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C4912" w14:textId="77777777" w:rsidR="008C7703" w:rsidRPr="008C7703" w:rsidRDefault="008C7703" w:rsidP="008C7703">
      <w:pPr>
        <w:jc w:val="both"/>
        <w:rPr>
          <w:rFonts w:ascii="Verdana" w:hAnsi="Verdana" w:cs="Arial"/>
          <w:b/>
          <w:bCs/>
          <w:lang w:val="es-ES" w:eastAsia="es-ES"/>
        </w:rPr>
      </w:pPr>
      <w:bookmarkStart w:id="0" w:name="_Hlk143780582"/>
      <w:bookmarkStart w:id="1" w:name="_Hlk202875225"/>
      <w:bookmarkStart w:id="2" w:name="_Hlk203032812"/>
      <w:bookmarkStart w:id="3" w:name="_Hlk204367265"/>
      <w:bookmarkStart w:id="4" w:name="_Hlk206116713"/>
      <w:bookmarkStart w:id="5" w:name="_Hlk207007066"/>
      <w:r w:rsidRPr="008C7703">
        <w:rPr>
          <w:rFonts w:ascii="Verdana" w:hAnsi="Verdana" w:cs="Arial"/>
          <w:b/>
          <w:bCs/>
          <w:lang w:val="es-ES" w:eastAsia="es-ES"/>
        </w:rPr>
        <w:t xml:space="preserve">CONSEJOS PROFESIONALES – Naturaleza jurídica </w:t>
      </w:r>
    </w:p>
    <w:p w14:paraId="291FCABF" w14:textId="77777777" w:rsidR="008C7703" w:rsidRDefault="008C7703" w:rsidP="008C7703">
      <w:pPr>
        <w:spacing w:after="0" w:line="240" w:lineRule="auto"/>
        <w:jc w:val="both"/>
        <w:rPr>
          <w:rFonts w:ascii="Verdana" w:hAnsi="Verdana" w:cs="Arial"/>
          <w:sz w:val="20"/>
          <w:szCs w:val="20"/>
        </w:rPr>
      </w:pPr>
      <w:r w:rsidRPr="008C7703">
        <w:rPr>
          <w:rFonts w:ascii="Verdana" w:hAnsi="Verdana" w:cs="Arial"/>
          <w:sz w:val="20"/>
          <w:szCs w:val="20"/>
        </w:rPr>
        <w:t xml:space="preserve">Los consejos profesionales son órganos creados por el Estado para ejercer la función de inspección y vigilancia sobre las profesiones. Su creación es legal, generalmente sin personería jurídica, adscritos a un ministerio y su conformación está integrada por servidores públicos y particulares que representan a los que ejercen la profesión, con la finalidad de controlar o supervisar el adecuado ejercicio de la misma, según las reglas y principios que le resultan aplicables, función que tiene sustento en la potestad de regulación legal y de inspección y vigilancia de las autoridades sobre el libre ejercicio de las profesiones en Colombia según el artículo 26 de la Constitución Política. </w:t>
      </w:r>
    </w:p>
    <w:p w14:paraId="5F88DAA7" w14:textId="77777777" w:rsidR="00C97E10" w:rsidRDefault="00C97E10" w:rsidP="008C7703">
      <w:pPr>
        <w:spacing w:after="0" w:line="240" w:lineRule="auto"/>
        <w:jc w:val="both"/>
        <w:rPr>
          <w:rFonts w:ascii="Verdana" w:hAnsi="Verdana" w:cs="Arial"/>
          <w:sz w:val="20"/>
          <w:szCs w:val="20"/>
        </w:rPr>
      </w:pPr>
    </w:p>
    <w:p w14:paraId="4CFFE36D" w14:textId="27F6C18D" w:rsidR="00C97E10" w:rsidRDefault="00C97E10" w:rsidP="008C7703">
      <w:pPr>
        <w:spacing w:after="0" w:line="240" w:lineRule="auto"/>
        <w:jc w:val="both"/>
        <w:rPr>
          <w:rFonts w:ascii="Verdana" w:hAnsi="Verdana" w:cs="Arial"/>
          <w:sz w:val="20"/>
          <w:szCs w:val="20"/>
        </w:rPr>
      </w:pPr>
      <w:r>
        <w:rPr>
          <w:rFonts w:ascii="Verdana" w:hAnsi="Verdana" w:cs="Arial"/>
          <w:sz w:val="20"/>
          <w:szCs w:val="20"/>
        </w:rPr>
        <w:t xml:space="preserve">[…] </w:t>
      </w:r>
      <w:r w:rsidRPr="00C97E10">
        <w:rPr>
          <w:rFonts w:ascii="Verdana" w:hAnsi="Verdana" w:cs="Arial"/>
          <w:sz w:val="20"/>
          <w:szCs w:val="20"/>
        </w:rPr>
        <w:t>los consejos profesionales se consideran de naturaleza sui generis, pues si bien no corresponden a las típicas clasificaciones de los entes públicos que integran los sectores central y descentralizado de la administración pública, sí son entes de naturaleza pública, en razón de su creación legal, su integración, sus funciones y su financiación, que en algunos casos proviene de recursos del presupuesto nacional, pero que en general tiene como fuente el dinero que la ley autoriza recaudar como contraprestación a las actividades que deben cumplir.</w:t>
      </w:r>
    </w:p>
    <w:p w14:paraId="797DBD81" w14:textId="77777777" w:rsidR="008C7703" w:rsidRDefault="008C7703" w:rsidP="008C7703">
      <w:pPr>
        <w:spacing w:after="0" w:line="240" w:lineRule="auto"/>
        <w:jc w:val="both"/>
        <w:rPr>
          <w:rFonts w:ascii="Verdana" w:hAnsi="Verdana" w:cs="Arial"/>
          <w:sz w:val="20"/>
          <w:szCs w:val="20"/>
        </w:rPr>
      </w:pPr>
    </w:p>
    <w:p w14:paraId="2CDD7FDD" w14:textId="77777777" w:rsidR="00F83D93" w:rsidRDefault="00C97E10" w:rsidP="00F83D93">
      <w:pPr>
        <w:spacing w:after="0" w:line="240" w:lineRule="auto"/>
        <w:jc w:val="both"/>
        <w:rPr>
          <w:rFonts w:ascii="Verdana" w:hAnsi="Verdana" w:cs="Arial"/>
          <w:sz w:val="20"/>
          <w:szCs w:val="20"/>
        </w:rPr>
      </w:pPr>
      <w:r w:rsidRPr="00C97E10">
        <w:rPr>
          <w:rFonts w:ascii="Verdana" w:hAnsi="Verdana" w:cs="Arial"/>
          <w:sz w:val="20"/>
          <w:szCs w:val="20"/>
        </w:rPr>
        <w:t>A su turno, la Sala de Consulta y Servicio Civil del Consejo de Estado se ha pronunciado sobre la naturaleza y el régimen jurídico de varios consejos profesionales, conceptos en los cuales ha reiterado que estos no hacen parte de la estructura típica de los organismos y entidades de la Administración Pública, pero se rigen por normas generales de la organización del Estado como el artículo 113 de la Constitución Política y la Ley 489 de 1998. Así mismo, ha considerado que estos consejos, al no tener personería jurídica, no tienen capacidad para celebrar contratos.</w:t>
      </w:r>
    </w:p>
    <w:p w14:paraId="4B103C89" w14:textId="77777777" w:rsidR="00F83D93" w:rsidRDefault="00F83D93" w:rsidP="00F83D93">
      <w:pPr>
        <w:spacing w:after="0" w:line="240" w:lineRule="auto"/>
        <w:jc w:val="both"/>
        <w:rPr>
          <w:rFonts w:ascii="Verdana" w:hAnsi="Verdana" w:cs="Arial"/>
          <w:sz w:val="20"/>
          <w:szCs w:val="20"/>
        </w:rPr>
      </w:pPr>
    </w:p>
    <w:p w14:paraId="3F3301A7" w14:textId="487EFF2D" w:rsidR="00F83D93" w:rsidRPr="00F83D93" w:rsidRDefault="008C7703" w:rsidP="00F83D93">
      <w:pPr>
        <w:spacing w:after="0" w:line="240" w:lineRule="auto"/>
        <w:jc w:val="both"/>
        <w:rPr>
          <w:rFonts w:ascii="Verdana" w:hAnsi="Verdana" w:cs="Arial"/>
          <w:sz w:val="20"/>
          <w:szCs w:val="20"/>
        </w:rPr>
      </w:pPr>
      <w:r w:rsidRPr="00F83D93">
        <w:rPr>
          <w:rFonts w:ascii="Verdana" w:hAnsi="Verdana" w:cs="Arial"/>
          <w:b/>
          <w:bCs/>
          <w:lang w:val="es-ES" w:eastAsia="es-ES"/>
        </w:rPr>
        <w:t xml:space="preserve">CONSEJO PROFESIONAL DE ADMINISTRACIÓN DE EMPRESAS – Falta de competencia para la celebración de contratos </w:t>
      </w:r>
    </w:p>
    <w:p w14:paraId="1FAD67A3" w14:textId="77777777" w:rsidR="00F83D93" w:rsidRDefault="00F83D93" w:rsidP="00F83D93">
      <w:pPr>
        <w:spacing w:after="0" w:line="240" w:lineRule="auto"/>
        <w:jc w:val="both"/>
        <w:rPr>
          <w:rFonts w:ascii="Verdana" w:hAnsi="Verdana" w:cs="Arial"/>
          <w:sz w:val="20"/>
          <w:szCs w:val="20"/>
          <w:lang w:val="es-ES_tradnl" w:eastAsia="es-ES"/>
        </w:rPr>
      </w:pPr>
    </w:p>
    <w:p w14:paraId="1C27FEB2" w14:textId="7B42DF9E" w:rsidR="00F83D93" w:rsidRDefault="00F83D93" w:rsidP="1FB4D015">
      <w:pPr>
        <w:spacing w:after="0" w:line="240" w:lineRule="auto"/>
        <w:jc w:val="both"/>
        <w:rPr>
          <w:rFonts w:ascii="Verdana" w:hAnsi="Verdana" w:cs="Arial"/>
          <w:sz w:val="20"/>
          <w:szCs w:val="20"/>
          <w:lang w:val="es-ES" w:eastAsia="es-ES"/>
        </w:rPr>
      </w:pPr>
      <w:r w:rsidRPr="1FB4D015">
        <w:rPr>
          <w:rFonts w:ascii="Verdana" w:hAnsi="Verdana" w:cs="Arial"/>
          <w:sz w:val="20"/>
          <w:szCs w:val="20"/>
          <w:lang w:val="es-ES" w:eastAsia="es-ES"/>
        </w:rPr>
        <w:t xml:space="preserve">[…] el Consejo Profesional de Administración de Empresas es una entidad pública sui géneris o especial del orden nacional, creado </w:t>
      </w:r>
      <w:proofErr w:type="gramStart"/>
      <w:r w:rsidRPr="1FB4D015">
        <w:rPr>
          <w:rFonts w:ascii="Verdana" w:hAnsi="Verdana" w:cs="Arial"/>
          <w:sz w:val="20"/>
          <w:szCs w:val="20"/>
          <w:lang w:val="es-ES" w:eastAsia="es-ES"/>
        </w:rPr>
        <w:t>de acuerdo al</w:t>
      </w:r>
      <w:proofErr w:type="gramEnd"/>
      <w:r w:rsidRPr="1FB4D015">
        <w:rPr>
          <w:rFonts w:ascii="Verdana" w:hAnsi="Verdana" w:cs="Arial"/>
          <w:sz w:val="20"/>
          <w:szCs w:val="20"/>
          <w:lang w:val="es-ES" w:eastAsia="es-ES"/>
        </w:rPr>
        <w:t xml:space="preserve"> artículo 8 de la Ley 60 de 1981 y reglamentado a partir del Decreto 2718 de 1984, adscrito actualmente al Ministerio de Comercio, Industria y Turismo y facultado de acuerdo con lo establecido en el artículo 26 de la Constitución Política. Este organismo cumple, en nombre del Estado, la misión constitucional de llevar el registro y ejercer la inspección, control y vigilancia del ejercicio de la profesión de Administración de empresas mediante la función administrativa.</w:t>
      </w:r>
    </w:p>
    <w:p w14:paraId="3BA9F83D" w14:textId="77777777" w:rsidR="00F83D93" w:rsidRDefault="00F83D93" w:rsidP="00F83D93">
      <w:pPr>
        <w:spacing w:after="0" w:line="240" w:lineRule="auto"/>
        <w:jc w:val="both"/>
        <w:rPr>
          <w:rFonts w:ascii="Verdana" w:hAnsi="Verdana" w:cs="Arial"/>
          <w:sz w:val="20"/>
          <w:szCs w:val="20"/>
          <w:lang w:val="es-ES_tradnl" w:eastAsia="es-ES"/>
        </w:rPr>
      </w:pPr>
    </w:p>
    <w:p w14:paraId="13E4DD2E" w14:textId="76D848EA" w:rsidR="00F83D93" w:rsidRDefault="00F83D93" w:rsidP="00F83D93">
      <w:pPr>
        <w:spacing w:after="0" w:line="240" w:lineRule="auto"/>
        <w:jc w:val="both"/>
        <w:rPr>
          <w:rFonts w:ascii="Verdana" w:hAnsi="Verdana" w:cs="Arial"/>
          <w:sz w:val="20"/>
          <w:szCs w:val="20"/>
          <w:lang w:val="es-ES_tradnl" w:eastAsia="es-ES"/>
        </w:rPr>
      </w:pPr>
      <w:r>
        <w:rPr>
          <w:rFonts w:ascii="Verdana" w:hAnsi="Verdana" w:cs="Arial"/>
          <w:sz w:val="20"/>
          <w:szCs w:val="20"/>
          <w:lang w:val="es-ES_tradnl" w:eastAsia="es-ES"/>
        </w:rPr>
        <w:t xml:space="preserve">[…] </w:t>
      </w:r>
      <w:r w:rsidRPr="00F83D93">
        <w:rPr>
          <w:rFonts w:ascii="Verdana" w:hAnsi="Verdana" w:cs="Arial"/>
          <w:sz w:val="20"/>
          <w:szCs w:val="20"/>
          <w:lang w:val="es-ES_tradnl" w:eastAsia="es-ES"/>
        </w:rPr>
        <w:t>Como se puede observar, ni la ley de creación ni los demás instrumentos normativos del Consejo Profesional de Administración de Empresas determinaron ningún aspecto adicional o especial respecto del régimen jurídico aplicable al órgano creado. Así las cosas, no existe, en la ley que dio vida jurídica ni en los demás instrumentos normativos que rigen su funcionalidad, una norma que le haya otorgado personería jurídica ni capacidad legal para celebrar contratos estatales o convenios o contratos interadministrativos.</w:t>
      </w:r>
    </w:p>
    <w:p w14:paraId="1C0F0A40" w14:textId="77777777" w:rsidR="00F83D93" w:rsidRDefault="00F83D93" w:rsidP="00F83D93">
      <w:pPr>
        <w:spacing w:after="0" w:line="240" w:lineRule="auto"/>
        <w:jc w:val="both"/>
        <w:rPr>
          <w:rFonts w:ascii="Verdana" w:hAnsi="Verdana" w:cs="Arial"/>
          <w:sz w:val="20"/>
          <w:szCs w:val="20"/>
          <w:lang w:val="es-ES_tradnl" w:eastAsia="es-ES"/>
        </w:rPr>
      </w:pPr>
    </w:p>
    <w:p w14:paraId="5C346D4C" w14:textId="64AC02E7" w:rsidR="00F83D93" w:rsidRDefault="00F83D93" w:rsidP="00F83D93">
      <w:pPr>
        <w:spacing w:after="0" w:line="240" w:lineRule="auto"/>
        <w:jc w:val="both"/>
        <w:rPr>
          <w:rFonts w:ascii="Verdana" w:hAnsi="Verdana" w:cs="Arial"/>
          <w:sz w:val="20"/>
          <w:szCs w:val="20"/>
          <w:lang w:val="es-ES_tradnl" w:eastAsia="es-ES"/>
        </w:rPr>
      </w:pPr>
      <w:r w:rsidRPr="00F83D93">
        <w:rPr>
          <w:rFonts w:ascii="Verdana" w:hAnsi="Verdana" w:cs="Arial"/>
          <w:sz w:val="20"/>
          <w:szCs w:val="20"/>
          <w:lang w:val="es-ES_tradnl" w:eastAsia="es-ES"/>
        </w:rPr>
        <w:lastRenderedPageBreak/>
        <w:t>Teniendo en cuenta el análisis tanto jurisprudencial y doctrinario expuesto en las consideraciones previas sobre la naturaleza y régimen de los consejos profesionales aplicables para el caso, se concluye que este es un órgano estatal especial, atípico, que cumple función administrativa en el sector central nacional de la Rama Ejecutiva del Poder Público, presidido por el Ministerio de Comercio, Industria y Turismo , que no goza del atributo de la personalidad jurídica y, por consiguiente, no tiene capacidad legal para celebrar contratos pues, no fue previsto con esa facultad en el EGCAP, en leyes especiales, ni en la norma de su creación. Por lo anterior, al no tener capacidad jurídica para contratar no está sujeto a las normas que rigen los contratos estatales.</w:t>
      </w:r>
    </w:p>
    <w:p w14:paraId="1239FBDF" w14:textId="77777777" w:rsidR="00F83D93" w:rsidRDefault="00F83D93" w:rsidP="00F83D93">
      <w:pPr>
        <w:spacing w:after="0" w:line="240" w:lineRule="auto"/>
        <w:jc w:val="both"/>
        <w:rPr>
          <w:rFonts w:ascii="Verdana" w:hAnsi="Verdana" w:cs="Arial"/>
          <w:sz w:val="20"/>
          <w:szCs w:val="20"/>
          <w:lang w:val="es-ES_tradnl" w:eastAsia="es-ES"/>
        </w:rPr>
      </w:pPr>
    </w:p>
    <w:p w14:paraId="652238F5" w14:textId="77777777" w:rsidR="0087166E" w:rsidRPr="0087166E" w:rsidRDefault="008C7703" w:rsidP="008C7703">
      <w:pPr>
        <w:jc w:val="both"/>
        <w:rPr>
          <w:rFonts w:ascii="Verdana" w:hAnsi="Verdana" w:cs="Arial"/>
          <w:b/>
          <w:bCs/>
          <w:lang w:val="es-MX" w:eastAsia="es-ES"/>
        </w:rPr>
      </w:pPr>
      <w:r w:rsidRPr="0087166E">
        <w:rPr>
          <w:rFonts w:ascii="Verdana" w:hAnsi="Verdana" w:cs="Arial"/>
          <w:b/>
          <w:bCs/>
          <w:lang w:val="es-MX" w:eastAsia="es-ES"/>
        </w:rPr>
        <w:t xml:space="preserve">LEY DE GARANTÍAS ELECTORALES ‒ Finalidad </w:t>
      </w:r>
    </w:p>
    <w:p w14:paraId="4CCFA09A" w14:textId="5C7F793B" w:rsidR="0087166E" w:rsidRPr="004B3A80" w:rsidRDefault="009C0432" w:rsidP="004B3A80">
      <w:pPr>
        <w:spacing w:after="0" w:line="240" w:lineRule="auto"/>
        <w:jc w:val="both"/>
        <w:rPr>
          <w:rFonts w:ascii="Verdana" w:eastAsia="Calibri" w:hAnsi="Verdana" w:cs="Arial"/>
          <w:bCs/>
          <w:sz w:val="20"/>
          <w:szCs w:val="20"/>
        </w:rPr>
      </w:pPr>
      <w:r w:rsidRPr="004B3A80">
        <w:rPr>
          <w:rFonts w:ascii="Verdana" w:eastAsia="Calibri" w:hAnsi="Verdana" w:cs="Arial"/>
          <w:bCs/>
          <w:sz w:val="20"/>
          <w:szCs w:val="20"/>
        </w:rPr>
        <w:t>[…] el ordenamiento jurídico colombiano contempla previsiones claras para evitar la obtención de beneficios personales en asuntos propios de la administración pública</w:t>
      </w:r>
      <w:r w:rsidRPr="004B3A80">
        <w:rPr>
          <w:rFonts w:ascii="Verdana" w:eastAsia="Calibri" w:hAnsi="Verdana" w:cs="Arial"/>
          <w:bCs/>
          <w:i/>
          <w:iCs/>
          <w:sz w:val="20"/>
          <w:szCs w:val="20"/>
        </w:rPr>
        <w:t xml:space="preserve">. </w:t>
      </w:r>
      <w:r w:rsidRPr="004B3A80">
        <w:rPr>
          <w:rFonts w:ascii="Verdana" w:eastAsia="Calibri" w:hAnsi="Verdana" w:cs="Arial"/>
          <w:bCs/>
          <w:sz w:val="20"/>
          <w:szCs w:val="20"/>
        </w:rPr>
        <w:t>Por ejemplo, el artículo 127 de la Constitución Política establece una prohibición contractual a los servidores públicos y en cuanto a aspectos políticos establece restricciones a ciertos empleados del Estado, incluso en época no electoral.</w:t>
      </w:r>
    </w:p>
    <w:p w14:paraId="409AE4DC" w14:textId="77777777" w:rsidR="004B3A80" w:rsidRDefault="004B3A80" w:rsidP="004B3A80">
      <w:pPr>
        <w:spacing w:after="0" w:line="240" w:lineRule="auto"/>
        <w:jc w:val="both"/>
        <w:rPr>
          <w:rFonts w:ascii="Verdana" w:eastAsia="Calibri" w:hAnsi="Verdana" w:cs="Arial"/>
          <w:bCs/>
          <w:sz w:val="20"/>
          <w:szCs w:val="20"/>
        </w:rPr>
      </w:pPr>
    </w:p>
    <w:p w14:paraId="3066FD8C" w14:textId="631891B6" w:rsidR="009C0432" w:rsidRPr="004B3A80" w:rsidRDefault="009C0432" w:rsidP="004B3A80">
      <w:pPr>
        <w:spacing w:after="0" w:line="240" w:lineRule="auto"/>
        <w:jc w:val="both"/>
        <w:rPr>
          <w:rFonts w:ascii="Verdana" w:eastAsia="Calibri" w:hAnsi="Verdana" w:cs="Arial"/>
          <w:bCs/>
          <w:sz w:val="20"/>
          <w:szCs w:val="20"/>
        </w:rPr>
      </w:pPr>
      <w:r w:rsidRPr="004B3A80">
        <w:rPr>
          <w:rFonts w:ascii="Verdana" w:eastAsia="Calibri" w:hAnsi="Verdana" w:cs="Arial"/>
          <w:bCs/>
          <w:sz w:val="20"/>
          <w:szCs w:val="20"/>
        </w:rPr>
        <w:t>[…]</w:t>
      </w:r>
    </w:p>
    <w:p w14:paraId="76394D5B" w14:textId="77777777" w:rsidR="004B3A80" w:rsidRDefault="004B3A80" w:rsidP="004B3A80">
      <w:pPr>
        <w:spacing w:after="0" w:line="240" w:lineRule="auto"/>
        <w:jc w:val="both"/>
        <w:rPr>
          <w:rFonts w:ascii="Verdana" w:eastAsia="Times New Roman" w:hAnsi="Verdana" w:cs="Arial"/>
          <w:bCs/>
          <w:sz w:val="20"/>
          <w:szCs w:val="20"/>
          <w:lang w:eastAsia="es-CO"/>
        </w:rPr>
      </w:pPr>
    </w:p>
    <w:p w14:paraId="26C55D5C" w14:textId="77777777" w:rsidR="004B3A80" w:rsidRDefault="009C0432" w:rsidP="004B3A80">
      <w:pPr>
        <w:spacing w:after="0" w:line="240" w:lineRule="auto"/>
        <w:jc w:val="both"/>
        <w:rPr>
          <w:rFonts w:ascii="Verdana" w:hAnsi="Verdana" w:cs="Arial"/>
          <w:sz w:val="20"/>
          <w:szCs w:val="20"/>
          <w:lang w:eastAsia="es-ES"/>
        </w:rPr>
      </w:pPr>
      <w:r w:rsidRPr="004B3A80">
        <w:rPr>
          <w:rFonts w:ascii="Verdana" w:eastAsia="Times New Roman" w:hAnsi="Verdana" w:cs="Arial"/>
          <w:bCs/>
          <w:sz w:val="20"/>
          <w:szCs w:val="20"/>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6F78B053" w14:textId="77777777" w:rsidR="004B3A80" w:rsidRDefault="004B3A80" w:rsidP="004B3A80">
      <w:pPr>
        <w:spacing w:after="0" w:line="240" w:lineRule="auto"/>
        <w:jc w:val="both"/>
        <w:rPr>
          <w:rFonts w:ascii="Verdana" w:hAnsi="Verdana" w:cs="Arial"/>
          <w:sz w:val="20"/>
          <w:szCs w:val="20"/>
          <w:lang w:eastAsia="es-ES"/>
        </w:rPr>
      </w:pPr>
    </w:p>
    <w:p w14:paraId="6C96FD5D" w14:textId="7C9B5E2C" w:rsidR="004B3A80" w:rsidRPr="004B3A80" w:rsidRDefault="008C7703" w:rsidP="004B3A80">
      <w:pPr>
        <w:spacing w:after="0" w:line="240" w:lineRule="auto"/>
        <w:jc w:val="both"/>
        <w:rPr>
          <w:rFonts w:ascii="Verdana" w:hAnsi="Verdana" w:cs="Arial"/>
          <w:sz w:val="20"/>
          <w:szCs w:val="20"/>
          <w:lang w:val="es-MX" w:eastAsia="es-ES"/>
        </w:rPr>
      </w:pPr>
      <w:r w:rsidRPr="004B3A80">
        <w:rPr>
          <w:rFonts w:ascii="Verdana" w:hAnsi="Verdana" w:cs="Arial"/>
          <w:b/>
          <w:bCs/>
          <w:lang w:val="es-MX" w:eastAsia="es-ES"/>
        </w:rPr>
        <w:t xml:space="preserve">LEY DE GARANTÍAS ELECTORALES ‒ Tipos de restricciones ‒ Ámbito temporal – Celebración - Límite </w:t>
      </w:r>
    </w:p>
    <w:p w14:paraId="24FE8A9B" w14:textId="77777777" w:rsidR="004B3A80" w:rsidRDefault="004B3A80" w:rsidP="004B3A80">
      <w:pPr>
        <w:spacing w:after="0" w:line="240" w:lineRule="auto"/>
        <w:jc w:val="both"/>
        <w:rPr>
          <w:rFonts w:ascii="Verdana" w:eastAsia="Times New Roman" w:hAnsi="Verdana" w:cs="Arial"/>
          <w:bCs/>
          <w:sz w:val="20"/>
          <w:szCs w:val="20"/>
          <w:lang w:eastAsia="es-CO"/>
        </w:rPr>
      </w:pPr>
    </w:p>
    <w:p w14:paraId="424FB8AD" w14:textId="04114130" w:rsidR="004B3A80" w:rsidRPr="004B3A80" w:rsidRDefault="004B3A80" w:rsidP="004B3A80">
      <w:pPr>
        <w:spacing w:after="0" w:line="240" w:lineRule="auto"/>
        <w:jc w:val="both"/>
        <w:rPr>
          <w:rFonts w:ascii="Verdana" w:eastAsia="Arial" w:hAnsi="Verdana" w:cs="Arial"/>
          <w:bCs/>
          <w:sz w:val="20"/>
          <w:szCs w:val="20"/>
          <w:lang w:val="es-ES" w:eastAsia="es-ES" w:bidi="es-ES"/>
        </w:rPr>
      </w:pPr>
      <w:r w:rsidRPr="004B3A80">
        <w:rPr>
          <w:rFonts w:ascii="Verdana" w:eastAsia="Times New Roman" w:hAnsi="Verdana" w:cs="Arial"/>
          <w:bCs/>
          <w:sz w:val="20"/>
          <w:szCs w:val="20"/>
          <w:lang w:eastAsia="es-CO"/>
        </w:rPr>
        <w:t xml:space="preserve">[…] </w:t>
      </w:r>
      <w:r w:rsidRPr="004B3A80">
        <w:rPr>
          <w:rFonts w:ascii="Verdana" w:eastAsia="Arial" w:hAnsi="Verdana" w:cs="Arial"/>
          <w:bCs/>
          <w:sz w:val="20"/>
          <w:szCs w:val="20"/>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178E1F33" w14:textId="77777777" w:rsidR="004B3A80" w:rsidRPr="004B3A80" w:rsidRDefault="004B3A80" w:rsidP="004B3A80">
      <w:pPr>
        <w:spacing w:after="0" w:line="240" w:lineRule="auto"/>
        <w:jc w:val="both"/>
        <w:rPr>
          <w:rFonts w:ascii="Verdana" w:hAnsi="Verdana" w:cs="Arial"/>
          <w:bCs/>
          <w:sz w:val="20"/>
          <w:szCs w:val="20"/>
          <w:lang w:val="es-ES" w:eastAsia="es-ES"/>
        </w:rPr>
      </w:pPr>
    </w:p>
    <w:p w14:paraId="5A36E604" w14:textId="77777777" w:rsidR="004B3A80" w:rsidRPr="004B3A80" w:rsidRDefault="008C7703" w:rsidP="004B3A80">
      <w:pPr>
        <w:spacing w:after="0" w:line="240" w:lineRule="auto"/>
        <w:jc w:val="both"/>
        <w:rPr>
          <w:rFonts w:ascii="Verdana" w:hAnsi="Verdana" w:cs="Arial"/>
          <w:b/>
          <w:bCs/>
          <w:lang w:val="es-MX" w:eastAsia="es-ES"/>
        </w:rPr>
      </w:pPr>
      <w:r w:rsidRPr="004B3A80">
        <w:rPr>
          <w:rFonts w:ascii="Verdana" w:hAnsi="Verdana" w:cs="Arial"/>
          <w:b/>
          <w:bCs/>
          <w:lang w:val="es-MX" w:eastAsia="es-ES"/>
        </w:rPr>
        <w:t xml:space="preserve">LEY DE GARANTÍAS ELECTORALES – Prohibición – Artículo 33 y 38 – Contratación directa – Alcance </w:t>
      </w:r>
    </w:p>
    <w:p w14:paraId="40F1B9B0" w14:textId="77777777" w:rsidR="004B3A80" w:rsidRDefault="004B3A80" w:rsidP="004B3A80">
      <w:pPr>
        <w:spacing w:after="0" w:line="240" w:lineRule="auto"/>
        <w:jc w:val="both"/>
        <w:rPr>
          <w:rFonts w:ascii="Verdana" w:hAnsi="Verdana" w:cs="Arial"/>
          <w:lang w:val="es-MX" w:eastAsia="es-ES"/>
        </w:rPr>
      </w:pPr>
    </w:p>
    <w:p w14:paraId="37BB922D" w14:textId="146D621E" w:rsidR="004B3A80" w:rsidRPr="004B3A80" w:rsidRDefault="004B3A80" w:rsidP="004B3A80">
      <w:pPr>
        <w:spacing w:after="0" w:line="240" w:lineRule="auto"/>
        <w:jc w:val="both"/>
        <w:rPr>
          <w:rFonts w:ascii="Verdana" w:eastAsia="Calibri" w:hAnsi="Verdana" w:cs="Arial"/>
          <w:sz w:val="20"/>
          <w:szCs w:val="20"/>
        </w:rPr>
      </w:pPr>
      <w:r w:rsidRPr="004B3A80">
        <w:rPr>
          <w:rFonts w:ascii="Verdana" w:eastAsia="Calibri" w:hAnsi="Verdana" w:cs="Arial"/>
          <w:sz w:val="20"/>
          <w:szCs w:val="20"/>
        </w:rPr>
        <w:t xml:space="preserve">Por un lado, el artículo 33 de la Ley 996 de 2005 prohíbe </w:t>
      </w:r>
      <w:r w:rsidRPr="004B3A80">
        <w:rPr>
          <w:rFonts w:ascii="Verdana" w:eastAsia="Calibri" w:hAnsi="Verdana" w:cs="Arial"/>
          <w:bCs/>
          <w:sz w:val="20"/>
          <w:szCs w:val="20"/>
        </w:rPr>
        <w:t xml:space="preserve">“(…) </w:t>
      </w:r>
      <w:r w:rsidRPr="004B3A80">
        <w:rPr>
          <w:rFonts w:ascii="Verdana" w:eastAsia="Calibri" w:hAnsi="Verdana" w:cs="Arial"/>
          <w:sz w:val="20"/>
          <w:szCs w:val="20"/>
        </w:rPr>
        <w:t xml:space="preserve">la contratación directa por parte de todos los entes del Estado” durante los cuatro (4) meses anteriores a las elecciones presidenciales, salvo </w:t>
      </w:r>
      <w:r w:rsidRPr="004B3A80">
        <w:rPr>
          <w:rFonts w:ascii="Verdana" w:eastAsia="Calibri" w:hAnsi="Verdana" w:cs="Arial"/>
          <w:bCs/>
          <w:sz w:val="20"/>
          <w:szCs w:val="20"/>
        </w:rPr>
        <w:t>“(…) l</w:t>
      </w:r>
      <w:r w:rsidRPr="004B3A80">
        <w:rPr>
          <w:rFonts w:ascii="Verdana" w:eastAsia="Calibri" w:hAnsi="Verdana" w:cs="Arial"/>
          <w:sz w:val="20"/>
          <w:szCs w:val="20"/>
        </w:rPr>
        <w:t xml:space="preserve">o referente a la defensa y seguridad del Estado, los contratos de crédito público, los requeridos para cubrir las emergencias educativas, sanitarias y desastres, así como también los utilizados para la reconstrucción de vías, </w:t>
      </w:r>
      <w:r w:rsidRPr="004B3A80">
        <w:rPr>
          <w:rFonts w:ascii="Verdana" w:eastAsia="Calibri" w:hAnsi="Verdana" w:cs="Arial"/>
          <w:sz w:val="20"/>
          <w:szCs w:val="20"/>
        </w:rPr>
        <w:lastRenderedPageBreak/>
        <w:t>puentes, carreteras, infraestructura energética y de comunicaciones, en caso de que hayan sido objeto de atentados, acciones terroristas, desastres naturales o casos de fuerza mayor, y los que deban realizar las entidades sanitarias y hospitalarias”.</w:t>
      </w:r>
    </w:p>
    <w:p w14:paraId="67868A99" w14:textId="77777777" w:rsidR="004B3A80" w:rsidRDefault="004B3A80" w:rsidP="004B3A80">
      <w:pPr>
        <w:spacing w:after="0" w:line="240" w:lineRule="auto"/>
        <w:jc w:val="both"/>
        <w:rPr>
          <w:rFonts w:ascii="Verdana" w:eastAsia="Calibri" w:hAnsi="Verdana" w:cs="Arial"/>
          <w:sz w:val="20"/>
          <w:szCs w:val="20"/>
        </w:rPr>
      </w:pPr>
    </w:p>
    <w:p w14:paraId="1F2FA7ED" w14:textId="4359CFD2" w:rsidR="004B3A80" w:rsidRDefault="004B3A80" w:rsidP="004B3A80">
      <w:pPr>
        <w:spacing w:after="0" w:line="240" w:lineRule="auto"/>
        <w:jc w:val="both"/>
        <w:rPr>
          <w:rFonts w:ascii="Verdana" w:eastAsia="Calibri" w:hAnsi="Verdana" w:cs="Arial"/>
          <w:sz w:val="20"/>
          <w:szCs w:val="20"/>
        </w:rPr>
      </w:pPr>
      <w:r w:rsidRPr="004B3A80">
        <w:rPr>
          <w:rFonts w:ascii="Verdana" w:eastAsia="Calibri" w:hAnsi="Verdana"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B3A80">
        <w:rPr>
          <w:rFonts w:ascii="Verdana" w:eastAsia="Calibri" w:hAnsi="Verdana" w:cs="Arial"/>
          <w:bCs/>
          <w:sz w:val="20"/>
          <w:szCs w:val="20"/>
        </w:rPr>
        <w:t xml:space="preserve">“(…) </w:t>
      </w:r>
      <w:r w:rsidRPr="004B3A80">
        <w:rPr>
          <w:rFonts w:ascii="Verdana" w:eastAsia="Calibri" w:hAnsi="Verdana" w:cs="Arial"/>
          <w:sz w:val="20"/>
          <w:szCs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B3A80">
        <w:rPr>
          <w:rFonts w:ascii="Verdana" w:eastAsia="Calibri" w:hAnsi="Verdana" w:cs="Arial"/>
          <w:bCs/>
          <w:sz w:val="20"/>
          <w:szCs w:val="20"/>
        </w:rPr>
        <w:t>”</w:t>
      </w:r>
      <w:r w:rsidRPr="004B3A80">
        <w:rPr>
          <w:rFonts w:ascii="Verdana" w:eastAsia="Calibri" w:hAnsi="Verdana" w:cs="Arial"/>
          <w:sz w:val="20"/>
          <w:szCs w:val="20"/>
        </w:rPr>
        <w:t>.</w:t>
      </w:r>
    </w:p>
    <w:p w14:paraId="596FA2CD" w14:textId="77777777" w:rsidR="004B3A80" w:rsidRDefault="004B3A80" w:rsidP="004B3A80">
      <w:pPr>
        <w:spacing w:after="0" w:line="240" w:lineRule="auto"/>
        <w:jc w:val="both"/>
        <w:rPr>
          <w:rFonts w:ascii="Verdana" w:eastAsia="Calibri" w:hAnsi="Verdana" w:cs="Arial"/>
          <w:sz w:val="20"/>
          <w:szCs w:val="20"/>
        </w:rPr>
      </w:pPr>
    </w:p>
    <w:p w14:paraId="27F39DD7" w14:textId="77777777" w:rsidR="004B3A80" w:rsidRDefault="004B3A80" w:rsidP="004B3A80">
      <w:pPr>
        <w:spacing w:after="0" w:line="240" w:lineRule="auto"/>
        <w:jc w:val="both"/>
        <w:rPr>
          <w:rFonts w:ascii="Verdana" w:hAnsi="Verdana" w:cs="Arial"/>
          <w:sz w:val="20"/>
          <w:szCs w:val="20"/>
          <w:lang w:val="es-ES" w:eastAsia="es-ES"/>
        </w:rPr>
      </w:pPr>
      <w:r>
        <w:rPr>
          <w:rFonts w:ascii="Verdana" w:hAnsi="Verdana" w:cs="Arial"/>
          <w:sz w:val="20"/>
          <w:szCs w:val="20"/>
          <w:lang w:val="es-ES" w:eastAsia="es-ES"/>
        </w:rPr>
        <w:t xml:space="preserve">[…] </w:t>
      </w:r>
    </w:p>
    <w:p w14:paraId="046E484F" w14:textId="77777777" w:rsidR="004B3A80" w:rsidRDefault="004B3A80" w:rsidP="004B3A80">
      <w:pPr>
        <w:spacing w:after="0" w:line="240" w:lineRule="auto"/>
        <w:jc w:val="both"/>
        <w:rPr>
          <w:rFonts w:ascii="Verdana" w:hAnsi="Verdana" w:cs="Arial"/>
          <w:sz w:val="20"/>
          <w:szCs w:val="20"/>
          <w:lang w:val="es-ES" w:eastAsia="es-ES"/>
        </w:rPr>
      </w:pPr>
    </w:p>
    <w:p w14:paraId="533E586A" w14:textId="47FB07FD" w:rsidR="004B3A80" w:rsidRPr="004B3A80" w:rsidRDefault="004B3A80" w:rsidP="004B3A80">
      <w:pPr>
        <w:spacing w:after="0" w:line="240" w:lineRule="auto"/>
        <w:jc w:val="both"/>
        <w:rPr>
          <w:rFonts w:ascii="Verdana" w:hAnsi="Verdana" w:cs="Arial"/>
          <w:sz w:val="20"/>
          <w:szCs w:val="20"/>
          <w:lang w:val="es-ES" w:eastAsia="es-ES"/>
        </w:rPr>
      </w:pPr>
      <w:r w:rsidRPr="004B3A80">
        <w:rPr>
          <w:rFonts w:ascii="Verdana" w:hAnsi="Verdana" w:cs="Arial"/>
          <w:sz w:val="20"/>
          <w:szCs w:val="20"/>
          <w:lang w:val="es-ES" w:eastAsia="es-ES"/>
        </w:rPr>
        <w:t>De conformidad con lo anterior,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3D7688D" w14:textId="77777777" w:rsidR="004B3A80" w:rsidRDefault="004B3A80" w:rsidP="004B3A80">
      <w:pPr>
        <w:spacing w:after="0" w:line="240" w:lineRule="auto"/>
        <w:jc w:val="both"/>
        <w:rPr>
          <w:rFonts w:ascii="Verdana" w:hAnsi="Verdana" w:cs="Arial"/>
          <w:sz w:val="20"/>
          <w:szCs w:val="20"/>
          <w:lang w:val="es-ES" w:eastAsia="es-ES"/>
        </w:rPr>
      </w:pPr>
    </w:p>
    <w:p w14:paraId="2A05CBD8" w14:textId="77777777" w:rsidR="004B3A80" w:rsidRDefault="004B3A80" w:rsidP="004B3A80">
      <w:pPr>
        <w:spacing w:after="0" w:line="240" w:lineRule="auto"/>
        <w:jc w:val="both"/>
        <w:rPr>
          <w:rFonts w:ascii="Verdana" w:hAnsi="Verdana" w:cs="Arial"/>
          <w:sz w:val="20"/>
          <w:szCs w:val="20"/>
          <w:lang w:val="es-ES" w:eastAsia="es-ES"/>
        </w:rPr>
      </w:pPr>
      <w:r w:rsidRPr="004B3A80">
        <w:rPr>
          <w:rFonts w:ascii="Verdana" w:hAnsi="Verdana" w:cs="Arial"/>
          <w:sz w:val="20"/>
          <w:szCs w:val="20"/>
          <w:lang w:val="es-ES" w:eastAsia="es-ES"/>
        </w:rPr>
        <w:t xml:space="preserve">Ambas restricciones no son excluyentes, lo que permite concluir que en el período preelectoral para elección de </w:t>
      </w:r>
      <w:proofErr w:type="gramStart"/>
      <w:r w:rsidRPr="004B3A80">
        <w:rPr>
          <w:rFonts w:ascii="Verdana" w:hAnsi="Verdana" w:cs="Arial"/>
          <w:sz w:val="20"/>
          <w:szCs w:val="20"/>
          <w:lang w:val="es-ES" w:eastAsia="es-ES"/>
        </w:rPr>
        <w:t>Presidente</w:t>
      </w:r>
      <w:proofErr w:type="gramEnd"/>
      <w:r w:rsidRPr="004B3A80">
        <w:rPr>
          <w:rFonts w:ascii="Verdana" w:hAnsi="Verdana" w:cs="Arial"/>
          <w:sz w:val="20"/>
          <w:szCs w:val="20"/>
          <w:lang w:val="es-ES" w:eastAsia="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B3A80">
        <w:rPr>
          <w:rFonts w:ascii="Verdana" w:hAnsi="Verdana" w:cs="Arial"/>
          <w:sz w:val="20"/>
          <w:szCs w:val="20"/>
          <w:lang w:val="es-ES" w:eastAsia="es-ES"/>
        </w:rPr>
        <w:t>Presidente</w:t>
      </w:r>
      <w:proofErr w:type="gramEnd"/>
      <w:r w:rsidRPr="004B3A80">
        <w:rPr>
          <w:rFonts w:ascii="Verdana" w:hAnsi="Verdana" w:cs="Arial"/>
          <w:sz w:val="20"/>
          <w:szCs w:val="20"/>
          <w:lang w:val="es-ES" w:eastAsia="es-ES"/>
        </w:rPr>
        <w:t xml:space="preserve"> de la República, las autoridades allí mencionadas sólo deben aplicar las restricciones contenidas en el parágrafo del artículo 38.</w:t>
      </w:r>
    </w:p>
    <w:p w14:paraId="6B6C816E" w14:textId="77777777" w:rsidR="004B3A80" w:rsidRDefault="004B3A80" w:rsidP="004B3A80">
      <w:pPr>
        <w:spacing w:after="0" w:line="240" w:lineRule="auto"/>
        <w:jc w:val="both"/>
        <w:rPr>
          <w:rFonts w:ascii="Verdana" w:hAnsi="Verdana" w:cs="Arial"/>
          <w:sz w:val="20"/>
          <w:szCs w:val="20"/>
          <w:lang w:val="es-ES" w:eastAsia="es-ES"/>
        </w:rPr>
      </w:pPr>
    </w:p>
    <w:p w14:paraId="27A01D5B" w14:textId="09120203" w:rsidR="008C7703" w:rsidRDefault="004B3A80" w:rsidP="004B3A80">
      <w:pPr>
        <w:spacing w:after="0" w:line="240" w:lineRule="auto"/>
        <w:jc w:val="both"/>
        <w:rPr>
          <w:rFonts w:ascii="Verdana" w:hAnsi="Verdana" w:cs="Arial"/>
          <w:b/>
          <w:bCs/>
          <w:lang w:val="es-MX" w:eastAsia="es-ES"/>
        </w:rPr>
      </w:pPr>
      <w:r w:rsidRPr="004B3A80">
        <w:rPr>
          <w:rFonts w:ascii="Verdana" w:hAnsi="Verdana" w:cs="Arial"/>
          <w:b/>
          <w:bCs/>
          <w:lang w:val="es-MX" w:eastAsia="es-ES"/>
        </w:rPr>
        <w:t>L</w:t>
      </w:r>
      <w:r w:rsidR="008C7703" w:rsidRPr="004B3A80">
        <w:rPr>
          <w:rFonts w:ascii="Verdana" w:hAnsi="Verdana" w:cs="Arial"/>
          <w:b/>
          <w:bCs/>
          <w:lang w:val="es-MX" w:eastAsia="es-ES"/>
        </w:rPr>
        <w:t>EY DE GARANTÍAS ELECTORALES –</w:t>
      </w:r>
      <w:r w:rsidR="0034372A">
        <w:rPr>
          <w:rFonts w:ascii="Verdana" w:hAnsi="Verdana" w:cs="Arial"/>
          <w:b/>
          <w:bCs/>
          <w:lang w:val="es-MX" w:eastAsia="es-ES"/>
        </w:rPr>
        <w:t xml:space="preserve"> </w:t>
      </w:r>
      <w:r w:rsidR="008C7703" w:rsidRPr="004B3A80">
        <w:rPr>
          <w:rFonts w:ascii="Verdana" w:hAnsi="Verdana" w:cs="Arial"/>
          <w:b/>
          <w:bCs/>
          <w:lang w:val="es-MX" w:eastAsia="es-ES"/>
        </w:rPr>
        <w:t xml:space="preserve">Contratos y convenios interadministrativos </w:t>
      </w:r>
    </w:p>
    <w:p w14:paraId="48E64679" w14:textId="77777777" w:rsidR="0034372A" w:rsidRDefault="0034372A" w:rsidP="004B3A80">
      <w:pPr>
        <w:spacing w:after="0" w:line="240" w:lineRule="auto"/>
        <w:jc w:val="both"/>
        <w:rPr>
          <w:rFonts w:ascii="Verdana" w:hAnsi="Verdana" w:cs="Arial"/>
          <w:b/>
          <w:bCs/>
          <w:lang w:val="es-MX" w:eastAsia="es-ES"/>
        </w:rPr>
      </w:pPr>
    </w:p>
    <w:p w14:paraId="746FDD69" w14:textId="77777777" w:rsidR="0034372A" w:rsidRPr="0034372A" w:rsidRDefault="0034372A" w:rsidP="0034372A">
      <w:pPr>
        <w:spacing w:after="120" w:line="240" w:lineRule="auto"/>
        <w:jc w:val="both"/>
        <w:rPr>
          <w:rFonts w:ascii="Verdana" w:eastAsia="Times New Roman" w:hAnsi="Verdana" w:cs="Arial"/>
          <w:sz w:val="20"/>
          <w:szCs w:val="20"/>
          <w:lang w:eastAsia="es-CO"/>
        </w:rPr>
      </w:pPr>
      <w:r w:rsidRPr="0034372A">
        <w:rPr>
          <w:rFonts w:ascii="Verdana" w:hAnsi="Verdana" w:cs="Arial"/>
          <w:sz w:val="20"/>
          <w:szCs w:val="20"/>
          <w:lang w:val="es-MX" w:eastAsia="es-ES"/>
        </w:rPr>
        <w:t xml:space="preserve">[…] </w:t>
      </w:r>
      <w:r w:rsidRPr="0034372A">
        <w:rPr>
          <w:rFonts w:ascii="Verdana" w:eastAsia="Times New Roman" w:hAnsi="Verdana" w:cs="Arial"/>
          <w:sz w:val="20"/>
          <w:szCs w:val="20"/>
          <w:lang w:eastAsia="es-CO"/>
        </w:rPr>
        <w:t xml:space="preserve">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w:t>
      </w:r>
      <w:r w:rsidRPr="0034372A">
        <w:rPr>
          <w:rFonts w:ascii="Verdana" w:eastAsia="Times New Roman" w:hAnsi="Verdana" w:cs="Arial"/>
          <w:sz w:val="20"/>
          <w:szCs w:val="20"/>
          <w:lang w:eastAsia="es-CO"/>
        </w:rPr>
        <w:lastRenderedPageBreak/>
        <w:t>de Ley 1150 de 2007, el Consejo de Estado comenzó a delimitar con mayor precisión el término de “contratación directa”.</w:t>
      </w:r>
    </w:p>
    <w:p w14:paraId="028E0341" w14:textId="6E48689E" w:rsidR="0034372A" w:rsidRDefault="0034372A" w:rsidP="0034372A">
      <w:pPr>
        <w:spacing w:after="120" w:line="240" w:lineRule="auto"/>
        <w:jc w:val="both"/>
        <w:rPr>
          <w:rFonts w:ascii="Verdana" w:eastAsia="Times New Roman" w:hAnsi="Verdana" w:cs="Arial"/>
          <w:sz w:val="20"/>
          <w:szCs w:val="20"/>
          <w:vertAlign w:val="superscript"/>
          <w:lang w:eastAsia="x-none"/>
        </w:rPr>
      </w:pPr>
      <w:r w:rsidRPr="0034372A">
        <w:rPr>
          <w:rFonts w:ascii="Verdana" w:eastAsia="Times New Roman" w:hAnsi="Verdana" w:cs="Arial"/>
          <w:sz w:val="20"/>
          <w:szCs w:val="20"/>
          <w:lang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34372A">
        <w:rPr>
          <w:rFonts w:ascii="Verdana" w:eastAsia="Times New Roman" w:hAnsi="Verdana" w:cs="Arial"/>
          <w:sz w:val="20"/>
          <w:szCs w:val="20"/>
          <w:vertAlign w:val="superscript"/>
          <w:lang w:eastAsia="x-none"/>
        </w:rPr>
        <w:t xml:space="preserve"> </w:t>
      </w:r>
    </w:p>
    <w:p w14:paraId="71744B55" w14:textId="071EBD27" w:rsidR="0034372A" w:rsidRDefault="0034372A" w:rsidP="0034372A">
      <w:pPr>
        <w:spacing w:after="120" w:line="240" w:lineRule="auto"/>
        <w:jc w:val="both"/>
        <w:rPr>
          <w:rFonts w:ascii="Verdana" w:eastAsia="Times New Roman" w:hAnsi="Verdana" w:cs="Arial"/>
          <w:sz w:val="20"/>
          <w:szCs w:val="20"/>
          <w:lang w:eastAsia="x-none"/>
        </w:rPr>
      </w:pPr>
      <w:r>
        <w:rPr>
          <w:rFonts w:ascii="Verdana" w:eastAsia="Times New Roman" w:hAnsi="Verdana" w:cs="Arial"/>
          <w:sz w:val="20"/>
          <w:szCs w:val="20"/>
          <w:lang w:eastAsia="x-none"/>
        </w:rPr>
        <w:t xml:space="preserve">[…] </w:t>
      </w:r>
      <w:r w:rsidRPr="0034372A">
        <w:rPr>
          <w:rFonts w:ascii="Verdana" w:eastAsia="Times New Roman" w:hAnsi="Verdana" w:cs="Arial"/>
          <w:sz w:val="20"/>
          <w:szCs w:val="20"/>
          <w:lang w:eastAsia="x-none"/>
        </w:rPr>
        <w:t>Por lo tanto, 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7DDEC7B9" w14:textId="25E8924E" w:rsidR="0034372A" w:rsidRDefault="0034372A" w:rsidP="0034372A">
      <w:pPr>
        <w:spacing w:after="120" w:line="240" w:lineRule="auto"/>
        <w:jc w:val="both"/>
        <w:rPr>
          <w:rFonts w:ascii="Verdana" w:eastAsia="Times New Roman" w:hAnsi="Verdana" w:cs="Arial"/>
          <w:sz w:val="20"/>
          <w:szCs w:val="20"/>
          <w:lang w:eastAsia="x-none"/>
        </w:rPr>
      </w:pPr>
      <w:r>
        <w:rPr>
          <w:rFonts w:ascii="Verdana" w:eastAsia="Times New Roman" w:hAnsi="Verdana" w:cs="Arial"/>
          <w:sz w:val="20"/>
          <w:szCs w:val="20"/>
          <w:lang w:eastAsia="x-none"/>
        </w:rPr>
        <w:t xml:space="preserve">[…] </w:t>
      </w:r>
      <w:r w:rsidRPr="0034372A">
        <w:rPr>
          <w:rFonts w:ascii="Verdana" w:eastAsia="Times New Roman" w:hAnsi="Verdana" w:cs="Arial"/>
          <w:sz w:val="20"/>
          <w:szCs w:val="20"/>
          <w:lang w:eastAsia="x-none"/>
        </w:rPr>
        <w:t xml:space="preserve">Por otro lado, es preciso indicar que el parágrafo del artículo 38 de la Ley 996 de 2005 dispone que “[l]os Gobernadores, </w:t>
      </w:r>
      <w:proofErr w:type="gramStart"/>
      <w:r w:rsidRPr="0034372A">
        <w:rPr>
          <w:rFonts w:ascii="Verdana" w:eastAsia="Times New Roman" w:hAnsi="Verdana" w:cs="Arial"/>
          <w:sz w:val="20"/>
          <w:szCs w:val="20"/>
          <w:lang w:eastAsia="x-none"/>
        </w:rPr>
        <w:t>Alcaldes</w:t>
      </w:r>
      <w:proofErr w:type="gramEnd"/>
      <w:r w:rsidRPr="0034372A">
        <w:rPr>
          <w:rFonts w:ascii="Verdana" w:eastAsia="Times New Roman" w:hAnsi="Verdana" w:cs="Arial"/>
          <w:sz w:val="20"/>
          <w:szCs w:val="20"/>
          <w:lang w:eastAsia="x-none"/>
        </w:rPr>
        <w:t xml:space="preserve"> Municipales y/o Distritales, </w:t>
      </w:r>
      <w:proofErr w:type="gramStart"/>
      <w:r w:rsidRPr="0034372A">
        <w:rPr>
          <w:rFonts w:ascii="Verdana" w:eastAsia="Times New Roman" w:hAnsi="Verdana" w:cs="Arial"/>
          <w:sz w:val="20"/>
          <w:szCs w:val="20"/>
          <w:lang w:eastAsia="x-none"/>
        </w:rPr>
        <w:t>Secretarios</w:t>
      </w:r>
      <w:proofErr w:type="gramEnd"/>
      <w:r w:rsidRPr="0034372A">
        <w:rPr>
          <w:rFonts w:ascii="Verdana" w:eastAsia="Times New Roman" w:hAnsi="Verdana" w:cs="Arial"/>
          <w:sz w:val="20"/>
          <w:szCs w:val="20"/>
          <w:lang w:eastAsia="x-none"/>
        </w:rPr>
        <w:t>, Gerentes y directores de Entidades Descentralizadas del orden Municipal, Departamental o Distrital, dentro de los cuatro (4) meses anteriores a las elecciones, no podrán celebrar convenios interadministrativos para la ejecución de recursos públicos”.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138FD50E" w14:textId="4E9CA861" w:rsidR="00A769C1" w:rsidRPr="00DB0F5F" w:rsidRDefault="0034372A" w:rsidP="00DB0F5F">
      <w:pPr>
        <w:spacing w:after="0" w:line="240" w:lineRule="auto"/>
        <w:jc w:val="both"/>
        <w:rPr>
          <w:rFonts w:ascii="Verdana" w:eastAsia="Times New Roman" w:hAnsi="Verdana" w:cs="Arial"/>
          <w:b/>
          <w:bCs/>
          <w:lang w:eastAsia="x-none"/>
        </w:rPr>
      </w:pPr>
      <w:r w:rsidRPr="00DB0F5F">
        <w:rPr>
          <w:rFonts w:ascii="Verdana" w:eastAsia="Times New Roman" w:hAnsi="Verdana" w:cs="Arial"/>
          <w:b/>
          <w:bCs/>
          <w:lang w:eastAsia="x-none"/>
        </w:rPr>
        <w:t xml:space="preserve">LEY DE GARANTÍAS </w:t>
      </w:r>
      <w:r w:rsidR="006E0A40" w:rsidRPr="00DB0F5F">
        <w:rPr>
          <w:rFonts w:ascii="Verdana" w:eastAsia="Times New Roman" w:hAnsi="Verdana" w:cs="Arial"/>
          <w:b/>
          <w:bCs/>
          <w:lang w:eastAsia="x-none"/>
        </w:rPr>
        <w:t>ELECTORALES –</w:t>
      </w:r>
      <w:r w:rsidRPr="00DB0F5F">
        <w:rPr>
          <w:rFonts w:ascii="Verdana" w:eastAsia="Times New Roman" w:hAnsi="Verdana" w:cs="Arial"/>
          <w:b/>
          <w:bCs/>
          <w:lang w:eastAsia="x-none"/>
        </w:rPr>
        <w:t xml:space="preserve"> </w:t>
      </w:r>
      <w:r w:rsidR="00A769C1" w:rsidRPr="00DB0F5F">
        <w:rPr>
          <w:rFonts w:ascii="Verdana" w:eastAsia="Times New Roman" w:hAnsi="Verdana" w:cs="Arial"/>
          <w:b/>
          <w:bCs/>
          <w:lang w:eastAsia="x-none"/>
        </w:rPr>
        <w:t>Alcance de</w:t>
      </w:r>
      <w:r w:rsidR="00DB0F5F" w:rsidRPr="00DB0F5F">
        <w:rPr>
          <w:rFonts w:ascii="Verdana" w:eastAsia="Times New Roman" w:hAnsi="Verdana" w:cs="Arial"/>
          <w:b/>
          <w:bCs/>
          <w:lang w:eastAsia="x-none"/>
        </w:rPr>
        <w:t>l concepto de</w:t>
      </w:r>
      <w:r w:rsidR="00A769C1" w:rsidRPr="00DB0F5F">
        <w:rPr>
          <w:rFonts w:ascii="Verdana" w:eastAsia="Times New Roman" w:hAnsi="Verdana" w:cs="Arial"/>
          <w:b/>
          <w:bCs/>
          <w:lang w:eastAsia="x-none"/>
        </w:rPr>
        <w:t xml:space="preserve"> convenio y contrato interadministrativo </w:t>
      </w:r>
    </w:p>
    <w:p w14:paraId="611F9836" w14:textId="77777777" w:rsidR="00DB0F5F" w:rsidRDefault="00DB0F5F" w:rsidP="00DB0F5F">
      <w:pPr>
        <w:spacing w:after="0" w:line="240" w:lineRule="auto"/>
        <w:jc w:val="both"/>
        <w:rPr>
          <w:rFonts w:ascii="Verdana" w:eastAsia="Calibri" w:hAnsi="Verdana"/>
          <w:sz w:val="20"/>
          <w:szCs w:val="20"/>
        </w:rPr>
      </w:pPr>
    </w:p>
    <w:p w14:paraId="6683A008" w14:textId="5C526CAA" w:rsidR="006E0A40" w:rsidRPr="00DB0F5F" w:rsidRDefault="006E0A40" w:rsidP="0034372A">
      <w:pPr>
        <w:spacing w:after="120" w:line="240" w:lineRule="auto"/>
        <w:jc w:val="both"/>
        <w:rPr>
          <w:rFonts w:ascii="Verdana" w:eastAsia="Calibri" w:hAnsi="Verdana"/>
          <w:sz w:val="20"/>
          <w:szCs w:val="20"/>
        </w:rPr>
      </w:pPr>
      <w:r w:rsidRPr="00DB0F5F">
        <w:rPr>
          <w:rFonts w:ascii="Verdana" w:eastAsia="Calibri" w:hAnsi="Verdana"/>
          <w:sz w:val="20"/>
          <w:szCs w:val="20"/>
        </w:rPr>
        <w:t>Ahora bien, para determinar el alcance de la prohibición consagrada por la Ley de Garantías Electorales, conviene precisar la tipología de convenios o contratos interadministrativos.</w:t>
      </w:r>
    </w:p>
    <w:p w14:paraId="055D9D7A" w14:textId="7F1D8E1F" w:rsidR="0034372A" w:rsidRDefault="00A60360" w:rsidP="00DB0F5F">
      <w:pPr>
        <w:spacing w:after="120" w:line="240" w:lineRule="auto"/>
        <w:jc w:val="both"/>
        <w:rPr>
          <w:rFonts w:ascii="Verdana" w:eastAsia="Times New Roman" w:hAnsi="Verdana" w:cs="Arial"/>
          <w:sz w:val="20"/>
          <w:szCs w:val="20"/>
          <w:lang w:eastAsia="x-none"/>
        </w:rPr>
      </w:pPr>
      <w:r w:rsidRPr="00DB0F5F">
        <w:rPr>
          <w:rFonts w:ascii="Verdana" w:eastAsia="Times New Roman" w:hAnsi="Verdana" w:cs="Arial"/>
          <w:sz w:val="20"/>
          <w:szCs w:val="20"/>
          <w:lang w:eastAsia="x-none"/>
        </w:rPr>
        <w:t>[…]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6DEA4C8D" w14:textId="3B3B2644" w:rsidR="00DB0F5F" w:rsidRDefault="00DB0F5F" w:rsidP="00DB0F5F">
      <w:pPr>
        <w:spacing w:after="120" w:line="240" w:lineRule="auto"/>
        <w:jc w:val="both"/>
        <w:rPr>
          <w:rFonts w:ascii="Verdana" w:eastAsia="Times New Roman" w:hAnsi="Verdana" w:cs="Arial"/>
          <w:sz w:val="20"/>
          <w:szCs w:val="20"/>
          <w:lang w:eastAsia="x-none"/>
        </w:rPr>
      </w:pPr>
      <w:r>
        <w:rPr>
          <w:rFonts w:ascii="Verdana" w:eastAsia="Times New Roman" w:hAnsi="Verdana" w:cs="Arial"/>
          <w:sz w:val="20"/>
          <w:szCs w:val="20"/>
          <w:lang w:eastAsia="x-none"/>
        </w:rPr>
        <w:t xml:space="preserve">[…] </w:t>
      </w:r>
    </w:p>
    <w:p w14:paraId="61BDBDB9" w14:textId="2E755EDE" w:rsidR="00DB0F5F" w:rsidRPr="00DB0F5F" w:rsidRDefault="00DB0F5F" w:rsidP="00DB0F5F">
      <w:pPr>
        <w:spacing w:after="120" w:line="240" w:lineRule="auto"/>
        <w:jc w:val="both"/>
        <w:rPr>
          <w:rFonts w:ascii="Verdana" w:eastAsia="Times New Roman" w:hAnsi="Verdana" w:cs="Arial"/>
          <w:sz w:val="20"/>
          <w:szCs w:val="20"/>
          <w:lang w:val="es-MX" w:eastAsia="x-none"/>
        </w:rPr>
      </w:pPr>
      <w:r>
        <w:rPr>
          <w:rFonts w:ascii="Verdana" w:eastAsia="Times New Roman" w:hAnsi="Verdana" w:cs="Arial"/>
          <w:sz w:val="20"/>
          <w:szCs w:val="20"/>
          <w:lang w:val="es-MX" w:eastAsia="x-none"/>
        </w:rPr>
        <w:t xml:space="preserve">[…] </w:t>
      </w:r>
      <w:r w:rsidRPr="00DB0F5F">
        <w:rPr>
          <w:rFonts w:ascii="Verdana" w:eastAsia="Times New Roman" w:hAnsi="Verdana" w:cs="Arial"/>
          <w:sz w:val="20"/>
          <w:szCs w:val="20"/>
          <w:lang w:val="es-MX" w:eastAsia="x-none"/>
        </w:rPr>
        <w:t xml:space="preserve">debido a que no existe una definición legal que diferencie los conceptos de contrato y convenio, esta Agencia ha partido de su asimilación para la aplicación de la Ley de Garantías Electorales, por lo que la interpretación que se ha efectuado del parágrafo del artículo 38 de la Ley 996 de 2005 es que prohíbe a los alcaldes, gobernadores, </w:t>
      </w:r>
      <w:r w:rsidRPr="00DB0F5F">
        <w:rPr>
          <w:rFonts w:ascii="Verdana" w:eastAsia="Times New Roman" w:hAnsi="Verdana" w:cs="Arial"/>
          <w:sz w:val="20"/>
          <w:szCs w:val="20"/>
          <w:lang w:val="es-MX" w:eastAsia="x-none"/>
        </w:rPr>
        <w:lastRenderedPageBreak/>
        <w:t>secretarios, gerentes y directores de las entidades del orden municipal, departamental o distrital celebrar convenios y contratos interadministrativos para la ejecución de recursos públicos.</w:t>
      </w:r>
    </w:p>
    <w:p w14:paraId="2143D3A7" w14:textId="77777777" w:rsidR="00DB0F5F" w:rsidRPr="0034372A" w:rsidRDefault="00DB0F5F" w:rsidP="00DB0F5F">
      <w:pPr>
        <w:spacing w:after="120" w:line="240" w:lineRule="auto"/>
        <w:jc w:val="both"/>
        <w:rPr>
          <w:rFonts w:ascii="Verdana" w:hAnsi="Verdana" w:cs="Arial"/>
          <w:b/>
          <w:bCs/>
          <w:lang w:eastAsia="es-ES"/>
        </w:rPr>
      </w:pPr>
    </w:p>
    <w:p w14:paraId="040A7B30" w14:textId="77777777" w:rsidR="004B3A80" w:rsidRDefault="004B3A80" w:rsidP="004B3A80">
      <w:pPr>
        <w:spacing w:after="0" w:line="240" w:lineRule="auto"/>
        <w:jc w:val="both"/>
        <w:rPr>
          <w:rFonts w:ascii="Verdana" w:hAnsi="Verdana" w:cs="Arial"/>
          <w:b/>
          <w:bCs/>
          <w:lang w:val="es-MX" w:eastAsia="es-ES"/>
        </w:rPr>
      </w:pPr>
    </w:p>
    <w:p w14:paraId="14C3D8BE" w14:textId="77777777" w:rsidR="004B3A80" w:rsidRPr="004B3A80" w:rsidRDefault="004B3A80" w:rsidP="004B3A80">
      <w:pPr>
        <w:spacing w:after="0" w:line="240" w:lineRule="auto"/>
        <w:jc w:val="both"/>
        <w:rPr>
          <w:rFonts w:ascii="Verdana" w:hAnsi="Verdana" w:cs="Arial"/>
          <w:b/>
          <w:bCs/>
          <w:sz w:val="20"/>
          <w:szCs w:val="20"/>
          <w:lang w:val="es-ES" w:eastAsia="es-ES"/>
        </w:rPr>
      </w:pPr>
    </w:p>
    <w:p w14:paraId="083EEAC1" w14:textId="77777777" w:rsidR="008C7703" w:rsidRPr="008C7703" w:rsidRDefault="008C7703" w:rsidP="00897CD2">
      <w:pPr>
        <w:spacing w:after="0" w:line="240" w:lineRule="auto"/>
        <w:jc w:val="both"/>
        <w:rPr>
          <w:rFonts w:ascii="Verdana" w:hAnsi="Verdana"/>
          <w:lang w:val="es-MX"/>
        </w:rPr>
      </w:pPr>
    </w:p>
    <w:p w14:paraId="28155A43" w14:textId="77777777" w:rsidR="008C7703" w:rsidRDefault="008C7703" w:rsidP="00897CD2">
      <w:pPr>
        <w:spacing w:after="0" w:line="240" w:lineRule="auto"/>
        <w:jc w:val="both"/>
        <w:rPr>
          <w:rFonts w:ascii="Verdana" w:hAnsi="Verdana"/>
        </w:rPr>
      </w:pPr>
    </w:p>
    <w:p w14:paraId="39E83A97" w14:textId="77777777" w:rsidR="008C7703" w:rsidRDefault="008C7703" w:rsidP="00897CD2">
      <w:pPr>
        <w:spacing w:after="0" w:line="240" w:lineRule="auto"/>
        <w:jc w:val="both"/>
        <w:rPr>
          <w:rFonts w:ascii="Verdana" w:hAnsi="Verdana"/>
        </w:rPr>
      </w:pPr>
    </w:p>
    <w:p w14:paraId="6C2310C3" w14:textId="77777777" w:rsidR="008C7703" w:rsidRDefault="008C7703" w:rsidP="00897CD2">
      <w:pPr>
        <w:spacing w:after="0" w:line="240" w:lineRule="auto"/>
        <w:jc w:val="both"/>
        <w:rPr>
          <w:rFonts w:ascii="Verdana" w:hAnsi="Verdana"/>
        </w:rPr>
      </w:pPr>
    </w:p>
    <w:p w14:paraId="786C3A27" w14:textId="77777777" w:rsidR="008C7703" w:rsidRDefault="008C7703" w:rsidP="00897CD2">
      <w:pPr>
        <w:spacing w:after="0" w:line="240" w:lineRule="auto"/>
        <w:jc w:val="both"/>
        <w:rPr>
          <w:rFonts w:ascii="Verdana" w:hAnsi="Verdana"/>
        </w:rPr>
      </w:pPr>
    </w:p>
    <w:p w14:paraId="76EEAEE8" w14:textId="77777777" w:rsidR="008C7703" w:rsidRDefault="008C7703" w:rsidP="00897CD2">
      <w:pPr>
        <w:spacing w:after="0" w:line="240" w:lineRule="auto"/>
        <w:jc w:val="both"/>
        <w:rPr>
          <w:rFonts w:ascii="Verdana" w:hAnsi="Verdana"/>
        </w:rPr>
      </w:pPr>
    </w:p>
    <w:p w14:paraId="7D6B2D69" w14:textId="77777777" w:rsidR="008C7703" w:rsidRDefault="008C7703" w:rsidP="00897CD2">
      <w:pPr>
        <w:spacing w:after="0" w:line="240" w:lineRule="auto"/>
        <w:jc w:val="both"/>
        <w:rPr>
          <w:rFonts w:ascii="Verdana" w:hAnsi="Verdana"/>
        </w:rPr>
      </w:pPr>
    </w:p>
    <w:p w14:paraId="6330FBE7" w14:textId="77777777" w:rsidR="008C7703" w:rsidRDefault="008C7703" w:rsidP="00897CD2">
      <w:pPr>
        <w:spacing w:after="0" w:line="240" w:lineRule="auto"/>
        <w:jc w:val="both"/>
        <w:rPr>
          <w:rFonts w:ascii="Verdana" w:hAnsi="Verdana"/>
        </w:rPr>
      </w:pPr>
    </w:p>
    <w:p w14:paraId="5C2B94B8" w14:textId="77777777" w:rsidR="008C7703" w:rsidRDefault="008C7703" w:rsidP="00897CD2">
      <w:pPr>
        <w:spacing w:after="0" w:line="240" w:lineRule="auto"/>
        <w:jc w:val="both"/>
        <w:rPr>
          <w:rFonts w:ascii="Verdana" w:hAnsi="Verdana"/>
        </w:rPr>
      </w:pPr>
    </w:p>
    <w:p w14:paraId="110A58D3" w14:textId="77777777" w:rsidR="00DB0F5F" w:rsidRDefault="00DB0F5F" w:rsidP="00897CD2">
      <w:pPr>
        <w:spacing w:after="0" w:line="240" w:lineRule="auto"/>
        <w:jc w:val="both"/>
        <w:rPr>
          <w:rFonts w:ascii="Verdana" w:hAnsi="Verdana"/>
        </w:rPr>
      </w:pPr>
    </w:p>
    <w:p w14:paraId="3C1532A6" w14:textId="77777777" w:rsidR="00DB0F5F" w:rsidRDefault="00DB0F5F" w:rsidP="00897CD2">
      <w:pPr>
        <w:spacing w:after="0" w:line="240" w:lineRule="auto"/>
        <w:jc w:val="both"/>
        <w:rPr>
          <w:rFonts w:ascii="Verdana" w:hAnsi="Verdana"/>
        </w:rPr>
      </w:pPr>
    </w:p>
    <w:p w14:paraId="3313840D" w14:textId="77777777" w:rsidR="00DB0F5F" w:rsidRDefault="00DB0F5F" w:rsidP="00897CD2">
      <w:pPr>
        <w:spacing w:after="0" w:line="240" w:lineRule="auto"/>
        <w:jc w:val="both"/>
        <w:rPr>
          <w:rFonts w:ascii="Verdana" w:hAnsi="Verdana"/>
        </w:rPr>
      </w:pPr>
    </w:p>
    <w:p w14:paraId="215D3CCE" w14:textId="77777777" w:rsidR="00DB0F5F" w:rsidRDefault="00DB0F5F" w:rsidP="00897CD2">
      <w:pPr>
        <w:spacing w:after="0" w:line="240" w:lineRule="auto"/>
        <w:jc w:val="both"/>
        <w:rPr>
          <w:rFonts w:ascii="Verdana" w:hAnsi="Verdana"/>
        </w:rPr>
      </w:pPr>
    </w:p>
    <w:p w14:paraId="3F2CBCCF" w14:textId="77777777" w:rsidR="00DB0F5F" w:rsidRDefault="00DB0F5F" w:rsidP="00897CD2">
      <w:pPr>
        <w:spacing w:after="0" w:line="240" w:lineRule="auto"/>
        <w:jc w:val="both"/>
        <w:rPr>
          <w:rFonts w:ascii="Verdana" w:hAnsi="Verdana"/>
        </w:rPr>
      </w:pPr>
    </w:p>
    <w:p w14:paraId="62AD88AC" w14:textId="77777777" w:rsidR="00DB0F5F" w:rsidRDefault="00DB0F5F" w:rsidP="00897CD2">
      <w:pPr>
        <w:spacing w:after="0" w:line="240" w:lineRule="auto"/>
        <w:jc w:val="both"/>
        <w:rPr>
          <w:rFonts w:ascii="Verdana" w:hAnsi="Verdana"/>
        </w:rPr>
      </w:pPr>
    </w:p>
    <w:p w14:paraId="47465EC2" w14:textId="77777777" w:rsidR="00DB0F5F" w:rsidRDefault="00DB0F5F" w:rsidP="00897CD2">
      <w:pPr>
        <w:spacing w:after="0" w:line="240" w:lineRule="auto"/>
        <w:jc w:val="both"/>
        <w:rPr>
          <w:rFonts w:ascii="Verdana" w:hAnsi="Verdana"/>
        </w:rPr>
      </w:pPr>
    </w:p>
    <w:p w14:paraId="3F4090BE" w14:textId="77777777" w:rsidR="00DB0F5F" w:rsidRDefault="00DB0F5F" w:rsidP="00897CD2">
      <w:pPr>
        <w:spacing w:after="0" w:line="240" w:lineRule="auto"/>
        <w:jc w:val="both"/>
        <w:rPr>
          <w:rFonts w:ascii="Verdana" w:hAnsi="Verdana"/>
        </w:rPr>
      </w:pPr>
    </w:p>
    <w:p w14:paraId="5FBF858F" w14:textId="77777777" w:rsidR="00DB0F5F" w:rsidRDefault="00DB0F5F" w:rsidP="00897CD2">
      <w:pPr>
        <w:spacing w:after="0" w:line="240" w:lineRule="auto"/>
        <w:jc w:val="both"/>
        <w:rPr>
          <w:rFonts w:ascii="Verdana" w:hAnsi="Verdana"/>
        </w:rPr>
      </w:pPr>
    </w:p>
    <w:p w14:paraId="5CA7B8CF" w14:textId="77777777" w:rsidR="00DB0F5F" w:rsidRDefault="00DB0F5F" w:rsidP="00897CD2">
      <w:pPr>
        <w:spacing w:after="0" w:line="240" w:lineRule="auto"/>
        <w:jc w:val="both"/>
        <w:rPr>
          <w:rFonts w:ascii="Verdana" w:hAnsi="Verdana"/>
        </w:rPr>
      </w:pPr>
    </w:p>
    <w:p w14:paraId="5A90EA6C" w14:textId="77777777" w:rsidR="00DB0F5F" w:rsidRDefault="00DB0F5F" w:rsidP="00897CD2">
      <w:pPr>
        <w:spacing w:after="0" w:line="240" w:lineRule="auto"/>
        <w:jc w:val="both"/>
        <w:rPr>
          <w:rFonts w:ascii="Verdana" w:hAnsi="Verdana"/>
        </w:rPr>
      </w:pPr>
    </w:p>
    <w:p w14:paraId="7195B3EB" w14:textId="77777777" w:rsidR="00DB0F5F" w:rsidRDefault="00DB0F5F" w:rsidP="00897CD2">
      <w:pPr>
        <w:spacing w:after="0" w:line="240" w:lineRule="auto"/>
        <w:jc w:val="both"/>
        <w:rPr>
          <w:rFonts w:ascii="Verdana" w:hAnsi="Verdana"/>
        </w:rPr>
      </w:pPr>
    </w:p>
    <w:p w14:paraId="621A3AD3" w14:textId="77777777" w:rsidR="00DB0F5F" w:rsidRDefault="00DB0F5F" w:rsidP="00897CD2">
      <w:pPr>
        <w:spacing w:after="0" w:line="240" w:lineRule="auto"/>
        <w:jc w:val="both"/>
        <w:rPr>
          <w:rFonts w:ascii="Verdana" w:hAnsi="Verdana"/>
        </w:rPr>
      </w:pPr>
    </w:p>
    <w:p w14:paraId="3E69AAF8" w14:textId="77777777" w:rsidR="00DB0F5F" w:rsidRDefault="00DB0F5F" w:rsidP="00897CD2">
      <w:pPr>
        <w:spacing w:after="0" w:line="240" w:lineRule="auto"/>
        <w:jc w:val="both"/>
        <w:rPr>
          <w:rFonts w:ascii="Verdana" w:hAnsi="Verdana"/>
        </w:rPr>
      </w:pPr>
    </w:p>
    <w:p w14:paraId="43ECC07C" w14:textId="77777777" w:rsidR="00DB0F5F" w:rsidRDefault="00DB0F5F" w:rsidP="00897CD2">
      <w:pPr>
        <w:spacing w:after="0" w:line="240" w:lineRule="auto"/>
        <w:jc w:val="both"/>
        <w:rPr>
          <w:rFonts w:ascii="Verdana" w:hAnsi="Verdana"/>
        </w:rPr>
      </w:pPr>
    </w:p>
    <w:p w14:paraId="7FB5BEF1" w14:textId="77777777" w:rsidR="00DB0F5F" w:rsidRDefault="00DB0F5F" w:rsidP="00897CD2">
      <w:pPr>
        <w:spacing w:after="0" w:line="240" w:lineRule="auto"/>
        <w:jc w:val="both"/>
        <w:rPr>
          <w:rFonts w:ascii="Verdana" w:hAnsi="Verdana"/>
        </w:rPr>
      </w:pPr>
    </w:p>
    <w:p w14:paraId="7B7572CA" w14:textId="77777777" w:rsidR="00DB0F5F" w:rsidRDefault="00DB0F5F" w:rsidP="00897CD2">
      <w:pPr>
        <w:spacing w:after="0" w:line="240" w:lineRule="auto"/>
        <w:jc w:val="both"/>
        <w:rPr>
          <w:rFonts w:ascii="Verdana" w:hAnsi="Verdana"/>
        </w:rPr>
      </w:pPr>
    </w:p>
    <w:p w14:paraId="15550374" w14:textId="77777777" w:rsidR="00DB0F5F" w:rsidRDefault="00DB0F5F" w:rsidP="00897CD2">
      <w:pPr>
        <w:spacing w:after="0" w:line="240" w:lineRule="auto"/>
        <w:jc w:val="both"/>
        <w:rPr>
          <w:rFonts w:ascii="Verdana" w:hAnsi="Verdana"/>
        </w:rPr>
      </w:pPr>
    </w:p>
    <w:p w14:paraId="2D938AA6" w14:textId="77777777" w:rsidR="00DB0F5F" w:rsidRDefault="00DB0F5F" w:rsidP="00897CD2">
      <w:pPr>
        <w:spacing w:after="0" w:line="240" w:lineRule="auto"/>
        <w:jc w:val="both"/>
        <w:rPr>
          <w:rFonts w:ascii="Verdana" w:hAnsi="Verdana"/>
        </w:rPr>
      </w:pPr>
    </w:p>
    <w:p w14:paraId="395C344F" w14:textId="77777777" w:rsidR="00DB0F5F" w:rsidRDefault="00DB0F5F" w:rsidP="00897CD2">
      <w:pPr>
        <w:spacing w:after="0" w:line="240" w:lineRule="auto"/>
        <w:jc w:val="both"/>
        <w:rPr>
          <w:rFonts w:ascii="Verdana" w:hAnsi="Verdana"/>
        </w:rPr>
      </w:pPr>
    </w:p>
    <w:p w14:paraId="043ECC9A" w14:textId="77777777" w:rsidR="00DB0F5F" w:rsidRDefault="00DB0F5F" w:rsidP="00897CD2">
      <w:pPr>
        <w:spacing w:after="0" w:line="240" w:lineRule="auto"/>
        <w:jc w:val="both"/>
        <w:rPr>
          <w:rFonts w:ascii="Verdana" w:hAnsi="Verdana"/>
        </w:rPr>
      </w:pPr>
    </w:p>
    <w:p w14:paraId="2E3FA482" w14:textId="77777777" w:rsidR="00DB0F5F" w:rsidRDefault="00DB0F5F" w:rsidP="00897CD2">
      <w:pPr>
        <w:spacing w:after="0" w:line="240" w:lineRule="auto"/>
        <w:jc w:val="both"/>
        <w:rPr>
          <w:rFonts w:ascii="Verdana" w:hAnsi="Verdana"/>
        </w:rPr>
      </w:pPr>
    </w:p>
    <w:p w14:paraId="69C00B1F" w14:textId="77777777" w:rsidR="00DB0F5F" w:rsidRDefault="00DB0F5F" w:rsidP="00897CD2">
      <w:pPr>
        <w:spacing w:after="0" w:line="240" w:lineRule="auto"/>
        <w:jc w:val="both"/>
        <w:rPr>
          <w:rFonts w:ascii="Verdana" w:hAnsi="Verdana"/>
        </w:rPr>
      </w:pPr>
    </w:p>
    <w:p w14:paraId="132403F5" w14:textId="77777777" w:rsidR="00DB0F5F" w:rsidRDefault="00DB0F5F" w:rsidP="00897CD2">
      <w:pPr>
        <w:spacing w:after="0" w:line="240" w:lineRule="auto"/>
        <w:jc w:val="both"/>
        <w:rPr>
          <w:rFonts w:ascii="Verdana" w:hAnsi="Verdana"/>
        </w:rPr>
      </w:pPr>
    </w:p>
    <w:p w14:paraId="2F377BBB" w14:textId="77777777" w:rsidR="00DB0F5F" w:rsidRDefault="00DB0F5F" w:rsidP="00897CD2">
      <w:pPr>
        <w:spacing w:after="0" w:line="240" w:lineRule="auto"/>
        <w:jc w:val="both"/>
        <w:rPr>
          <w:rFonts w:ascii="Verdana" w:hAnsi="Verdana"/>
        </w:rPr>
      </w:pPr>
    </w:p>
    <w:p w14:paraId="57D24FB8" w14:textId="77777777" w:rsidR="00DB0F5F" w:rsidRDefault="00DB0F5F" w:rsidP="00897CD2">
      <w:pPr>
        <w:spacing w:after="0" w:line="240" w:lineRule="auto"/>
        <w:jc w:val="both"/>
        <w:rPr>
          <w:rFonts w:ascii="Verdana" w:hAnsi="Verdana"/>
        </w:rPr>
      </w:pPr>
    </w:p>
    <w:p w14:paraId="26B81B8D" w14:textId="77777777" w:rsidR="00DB0F5F" w:rsidRDefault="00DB0F5F" w:rsidP="00897CD2">
      <w:pPr>
        <w:spacing w:after="0" w:line="240" w:lineRule="auto"/>
        <w:jc w:val="both"/>
        <w:rPr>
          <w:rFonts w:ascii="Verdana" w:hAnsi="Verdana"/>
        </w:rPr>
      </w:pPr>
    </w:p>
    <w:p w14:paraId="6ACF4010" w14:textId="3A493D0E" w:rsidR="008C7703" w:rsidRDefault="00897CD2" w:rsidP="00897CD2">
      <w:pPr>
        <w:spacing w:after="0" w:line="240" w:lineRule="auto"/>
        <w:jc w:val="both"/>
        <w:rPr>
          <w:rFonts w:ascii="Verdana" w:hAnsi="Verdana"/>
        </w:rPr>
      </w:pPr>
      <w:r w:rsidRPr="008E4F36">
        <w:rPr>
          <w:rFonts w:ascii="Verdana" w:hAnsi="Verdana"/>
        </w:rPr>
        <w:lastRenderedPageBreak/>
        <w:t xml:space="preserve">Bogotá D.C., </w:t>
      </w:r>
      <w:r w:rsidR="008C7703">
        <w:rPr>
          <w:rFonts w:ascii="Verdana" w:hAnsi="Verdana"/>
        </w:rPr>
        <w:t xml:space="preserve">22 de agosto de 2025 </w:t>
      </w:r>
    </w:p>
    <w:p w14:paraId="57D9B82A" w14:textId="77777777" w:rsidR="008C7703" w:rsidRDefault="008C7703" w:rsidP="00897CD2">
      <w:pPr>
        <w:spacing w:after="0" w:line="240" w:lineRule="auto"/>
        <w:jc w:val="both"/>
        <w:rPr>
          <w:rFonts w:ascii="Verdana" w:hAnsi="Verdana"/>
        </w:rPr>
      </w:pPr>
    </w:p>
    <w:p w14:paraId="2A15530D" w14:textId="5F7118E8" w:rsidR="00897CD2" w:rsidRPr="008E4F36" w:rsidRDefault="008C7703" w:rsidP="008C7703">
      <w:pPr>
        <w:spacing w:after="0" w:line="240" w:lineRule="auto"/>
        <w:jc w:val="right"/>
        <w:rPr>
          <w:rFonts w:ascii="Verdana" w:hAnsi="Verdana"/>
        </w:rPr>
      </w:pPr>
      <w:r w:rsidRPr="008C7703">
        <w:rPr>
          <w:rFonts w:ascii="Verdana" w:hAnsi="Verdana"/>
          <w:noProof/>
        </w:rPr>
        <w:drawing>
          <wp:inline distT="0" distB="0" distL="0" distR="0" wp14:anchorId="10D57811" wp14:editId="6790A820">
            <wp:extent cx="2733421" cy="791068"/>
            <wp:effectExtent l="0" t="0" r="0" b="9525"/>
            <wp:docPr id="138255230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52306" name="Imagen 1" descr="Texto&#10;&#10;El contenido generado por IA puede ser incorrecto."/>
                    <pic:cNvPicPr/>
                  </pic:nvPicPr>
                  <pic:blipFill>
                    <a:blip r:embed="rId10"/>
                    <a:stretch>
                      <a:fillRect/>
                    </a:stretch>
                  </pic:blipFill>
                  <pic:spPr>
                    <a:xfrm>
                      <a:off x="0" y="0"/>
                      <a:ext cx="2764535" cy="800073"/>
                    </a:xfrm>
                    <a:prstGeom prst="rect">
                      <a:avLst/>
                    </a:prstGeom>
                  </pic:spPr>
                </pic:pic>
              </a:graphicData>
            </a:graphic>
          </wp:inline>
        </w:drawing>
      </w:r>
      <w:r w:rsidR="00897CD2" w:rsidRPr="008E4F36">
        <w:rPr>
          <w:rFonts w:ascii="Verdana" w:hAnsi="Verdana"/>
        </w:rPr>
        <w:tab/>
      </w:r>
    </w:p>
    <w:p w14:paraId="0F1FF357" w14:textId="77777777" w:rsidR="00897CD2" w:rsidRPr="008E4F36" w:rsidRDefault="00897CD2" w:rsidP="00897CD2">
      <w:pPr>
        <w:spacing w:after="0" w:line="240" w:lineRule="auto"/>
        <w:jc w:val="both"/>
        <w:rPr>
          <w:rFonts w:ascii="Verdana" w:eastAsia="Calibri" w:hAnsi="Verdana" w:cs="Arial"/>
          <w:lang w:eastAsia="es-ES"/>
        </w:rPr>
      </w:pPr>
      <w:bookmarkStart w:id="6" w:name="_Hlk197462763"/>
      <w:bookmarkStart w:id="7" w:name="_Hlk197529996"/>
    </w:p>
    <w:p w14:paraId="0A58DB45" w14:textId="25E8A050" w:rsidR="00897CD2" w:rsidRPr="008E4F36" w:rsidRDefault="00897CD2" w:rsidP="00897CD2">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r>
        <w:rPr>
          <w:rFonts w:ascii="Verdana" w:eastAsia="Calibri" w:hAnsi="Verdana" w:cs="Arial"/>
          <w:lang w:eastAsia="es-ES"/>
        </w:rPr>
        <w:t>a</w:t>
      </w:r>
      <w:r w:rsidR="00CF36BB">
        <w:rPr>
          <w:rFonts w:ascii="Verdana" w:eastAsia="Calibri" w:hAnsi="Verdana" w:cs="Arial"/>
          <w:lang w:eastAsia="es-ES"/>
        </w:rPr>
        <w:t xml:space="preserve"> </w:t>
      </w:r>
    </w:p>
    <w:p w14:paraId="0DE08CCF" w14:textId="77777777" w:rsidR="00897CD2" w:rsidRDefault="00897CD2" w:rsidP="00897CD2">
      <w:pPr>
        <w:spacing w:after="0" w:line="240" w:lineRule="auto"/>
        <w:jc w:val="both"/>
        <w:rPr>
          <w:rFonts w:ascii="Verdana" w:eastAsia="Calibri" w:hAnsi="Verdana" w:cs="Arial"/>
          <w:b/>
          <w:lang w:eastAsia="es-ES_tradnl"/>
        </w:rPr>
      </w:pPr>
      <w:r w:rsidRPr="00DE0B78">
        <w:rPr>
          <w:rFonts w:ascii="Verdana" w:eastAsia="Calibri" w:hAnsi="Verdana" w:cs="Arial"/>
          <w:b/>
          <w:lang w:eastAsia="es-ES_tradnl"/>
        </w:rPr>
        <w:t>Olga Luc</w:t>
      </w:r>
      <w:r>
        <w:rPr>
          <w:rFonts w:ascii="Verdana" w:eastAsia="Calibri" w:hAnsi="Verdana" w:cs="Arial"/>
          <w:b/>
          <w:lang w:eastAsia="es-ES_tradnl"/>
        </w:rPr>
        <w:t>í</w:t>
      </w:r>
      <w:r w:rsidRPr="00DE0B78">
        <w:rPr>
          <w:rFonts w:ascii="Verdana" w:eastAsia="Calibri" w:hAnsi="Verdana" w:cs="Arial"/>
          <w:b/>
          <w:lang w:eastAsia="es-ES_tradnl"/>
        </w:rPr>
        <w:t>a Montes Gordillo</w:t>
      </w:r>
    </w:p>
    <w:p w14:paraId="7A869126" w14:textId="77777777" w:rsidR="00897CD2" w:rsidRDefault="00897CD2" w:rsidP="00897CD2">
      <w:pPr>
        <w:spacing w:after="0" w:line="240" w:lineRule="auto"/>
        <w:jc w:val="both"/>
        <w:rPr>
          <w:rFonts w:ascii="Verdana" w:eastAsia="Calibri" w:hAnsi="Verdana" w:cs="Arial"/>
          <w:bCs/>
          <w:lang w:eastAsia="es-ES_tradnl"/>
        </w:rPr>
      </w:pPr>
      <w:r w:rsidRPr="00DE0B78">
        <w:rPr>
          <w:rFonts w:ascii="Verdana" w:eastAsia="Calibri" w:hAnsi="Verdana" w:cs="Arial"/>
          <w:bCs/>
          <w:lang w:eastAsia="es-ES_tradnl"/>
        </w:rPr>
        <w:t>Directora Ejecutiva</w:t>
      </w:r>
    </w:p>
    <w:p w14:paraId="177B689A" w14:textId="7A5F1FD4" w:rsidR="00897CD2" w:rsidRPr="00DE0B78" w:rsidRDefault="0090302E" w:rsidP="00897CD2">
      <w:pPr>
        <w:spacing w:after="0" w:line="240" w:lineRule="auto"/>
        <w:jc w:val="both"/>
        <w:rPr>
          <w:rFonts w:ascii="Verdana" w:eastAsia="Calibri" w:hAnsi="Verdana" w:cs="Arial"/>
          <w:b/>
          <w:lang w:eastAsia="es-ES_tradnl"/>
        </w:rPr>
      </w:pPr>
      <w:r w:rsidRPr="00DE0B78">
        <w:rPr>
          <w:rFonts w:ascii="Verdana" w:eastAsia="Calibri" w:hAnsi="Verdana" w:cs="Arial"/>
          <w:b/>
          <w:lang w:eastAsia="es-ES_tradnl"/>
        </w:rPr>
        <w:t>Consejo Profesional de Administración de Empresa</w:t>
      </w:r>
      <w:r>
        <w:rPr>
          <w:rFonts w:ascii="Verdana" w:eastAsia="Calibri" w:hAnsi="Verdana" w:cs="Arial"/>
          <w:b/>
          <w:lang w:eastAsia="es-ES_tradnl"/>
        </w:rPr>
        <w:t>s</w:t>
      </w:r>
    </w:p>
    <w:p w14:paraId="746890EB" w14:textId="77777777" w:rsidR="00897CD2" w:rsidRPr="00DE0B78" w:rsidRDefault="00897CD2" w:rsidP="00897CD2">
      <w:pPr>
        <w:spacing w:after="0" w:line="240" w:lineRule="auto"/>
        <w:jc w:val="both"/>
        <w:rPr>
          <w:rFonts w:ascii="Verdana" w:hAnsi="Verdana"/>
        </w:rPr>
      </w:pPr>
      <w:hyperlink r:id="rId11" w:history="1">
        <w:r w:rsidRPr="00DE0B78">
          <w:rPr>
            <w:rStyle w:val="Hipervnculo"/>
            <w:rFonts w:ascii="Verdana" w:hAnsi="Verdana"/>
          </w:rPr>
          <w:t>notificacionesjudiciales@cpae.gov.co</w:t>
        </w:r>
      </w:hyperlink>
    </w:p>
    <w:p w14:paraId="6A8C7151" w14:textId="77777777" w:rsidR="00897CD2" w:rsidRPr="00624A4C" w:rsidRDefault="00897CD2" w:rsidP="00897CD2">
      <w:pPr>
        <w:spacing w:after="0" w:line="240" w:lineRule="auto"/>
        <w:jc w:val="both"/>
        <w:rPr>
          <w:rFonts w:ascii="Verdana" w:eastAsia="Calibri" w:hAnsi="Verdana" w:cs="Arial"/>
          <w:bCs/>
          <w:lang w:eastAsia="es-ES_tradnl"/>
        </w:rPr>
      </w:pPr>
      <w:r w:rsidRPr="00624A4C">
        <w:rPr>
          <w:rFonts w:ascii="Verdana" w:eastAsia="Calibri" w:hAnsi="Verdana" w:cs="Arial"/>
          <w:bCs/>
          <w:lang w:eastAsia="es-ES_tradnl"/>
        </w:rPr>
        <w:t>Ciudad</w:t>
      </w:r>
    </w:p>
    <w:p w14:paraId="28E42AA3" w14:textId="77777777" w:rsidR="00897CD2" w:rsidRDefault="00897CD2" w:rsidP="00897CD2">
      <w:pPr>
        <w:spacing w:after="0" w:line="240" w:lineRule="auto"/>
        <w:jc w:val="both"/>
        <w:rPr>
          <w:rFonts w:ascii="Verdana" w:hAnsi="Verdana"/>
          <w:lang w:val="it-CH"/>
        </w:rPr>
      </w:pPr>
    </w:p>
    <w:p w14:paraId="54446C81" w14:textId="77777777" w:rsidR="00897CD2" w:rsidRPr="005B4C57" w:rsidRDefault="00897CD2" w:rsidP="00897CD2">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897CD2" w:rsidRPr="002842E0" w14:paraId="1ACC4D8B" w14:textId="77777777" w:rsidTr="006D4C4F">
        <w:trPr>
          <w:trHeight w:val="162"/>
        </w:trPr>
        <w:tc>
          <w:tcPr>
            <w:tcW w:w="3119" w:type="dxa"/>
          </w:tcPr>
          <w:p w14:paraId="60038108" w14:textId="77777777" w:rsidR="00897CD2" w:rsidRPr="005B4C57" w:rsidRDefault="00897CD2" w:rsidP="006D4C4F">
            <w:pPr>
              <w:jc w:val="both"/>
              <w:rPr>
                <w:rFonts w:ascii="Verdana" w:eastAsia="Calibri" w:hAnsi="Verdana" w:cs="Arial"/>
                <w:b/>
                <w:bCs/>
                <w:color w:val="7030A0"/>
                <w:lang w:val="it-CH" w:eastAsia="es-ES_tradnl"/>
              </w:rPr>
            </w:pPr>
          </w:p>
        </w:tc>
        <w:tc>
          <w:tcPr>
            <w:tcW w:w="5670" w:type="dxa"/>
          </w:tcPr>
          <w:p w14:paraId="0179E687" w14:textId="77777777" w:rsidR="00897CD2" w:rsidRPr="00801462" w:rsidRDefault="00897CD2" w:rsidP="006D4C4F">
            <w:pPr>
              <w:jc w:val="both"/>
              <w:rPr>
                <w:rFonts w:ascii="Verdana" w:eastAsia="Calibri" w:hAnsi="Verdana" w:cs="Arial"/>
                <w:b/>
                <w:bCs/>
                <w:lang w:eastAsia="es-ES"/>
              </w:rPr>
            </w:pPr>
            <w:r w:rsidRPr="00801462">
              <w:rPr>
                <w:rFonts w:ascii="Verdana" w:eastAsia="Calibri" w:hAnsi="Verdana" w:cs="Arial"/>
                <w:b/>
                <w:bCs/>
                <w:lang w:eastAsia="es-ES"/>
              </w:rPr>
              <w:t xml:space="preserve">Concepto C- </w:t>
            </w:r>
            <w:r>
              <w:rPr>
                <w:rFonts w:ascii="Verdana" w:eastAsia="Calibri" w:hAnsi="Verdana" w:cs="Arial"/>
                <w:b/>
                <w:bCs/>
                <w:lang w:eastAsia="es-ES"/>
              </w:rPr>
              <w:t>922</w:t>
            </w:r>
            <w:r w:rsidRPr="00801462">
              <w:rPr>
                <w:rFonts w:ascii="Verdana" w:eastAsia="Calibri" w:hAnsi="Verdana" w:cs="Arial"/>
                <w:b/>
                <w:bCs/>
                <w:lang w:eastAsia="es-ES"/>
              </w:rPr>
              <w:t xml:space="preserve"> de 2025</w:t>
            </w:r>
          </w:p>
          <w:p w14:paraId="3C8D7B9F" w14:textId="77777777" w:rsidR="00897CD2" w:rsidRPr="00801462" w:rsidRDefault="00897CD2" w:rsidP="006D4C4F">
            <w:pPr>
              <w:jc w:val="both"/>
              <w:rPr>
                <w:rFonts w:ascii="Verdana" w:eastAsia="Calibri" w:hAnsi="Verdana" w:cs="Arial"/>
                <w:b/>
                <w:bCs/>
                <w:color w:val="7030A0"/>
                <w:lang w:eastAsia="es-ES"/>
              </w:rPr>
            </w:pPr>
          </w:p>
        </w:tc>
      </w:tr>
      <w:tr w:rsidR="00897CD2" w:rsidRPr="002842E0" w14:paraId="609BAB1F" w14:textId="77777777" w:rsidTr="006D4C4F">
        <w:trPr>
          <w:trHeight w:val="884"/>
        </w:trPr>
        <w:tc>
          <w:tcPr>
            <w:tcW w:w="3119" w:type="dxa"/>
          </w:tcPr>
          <w:p w14:paraId="2AC79714" w14:textId="77777777" w:rsidR="00897CD2" w:rsidRPr="00801462" w:rsidRDefault="00897CD2" w:rsidP="006D4C4F">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17EA4826" w14:textId="116BBB4A" w:rsidR="00897CD2" w:rsidRDefault="00897CD2" w:rsidP="006D4C4F">
            <w:pPr>
              <w:jc w:val="both"/>
              <w:rPr>
                <w:rFonts w:ascii="Verdana" w:hAnsi="Verdana" w:cs="Arial"/>
                <w:lang w:val="es-MX" w:eastAsia="es-ES"/>
              </w:rPr>
            </w:pPr>
            <w:r w:rsidRPr="00747D9A">
              <w:rPr>
                <w:rFonts w:ascii="Verdana" w:hAnsi="Verdana" w:cs="Arial"/>
                <w:lang w:val="es-ES" w:eastAsia="es-ES"/>
              </w:rPr>
              <w:t xml:space="preserve">CONSEJOS PROFESIONALES – Naturaleza jurídica / CONSEJO PROFESIONAL </w:t>
            </w:r>
            <w:r>
              <w:rPr>
                <w:rFonts w:ascii="Verdana" w:hAnsi="Verdana" w:cs="Arial"/>
                <w:lang w:val="es-ES" w:eastAsia="es-ES"/>
              </w:rPr>
              <w:t>DE ADMINISTRACIÓN DE EMPRESAS</w:t>
            </w:r>
            <w:r w:rsidRPr="00747D9A">
              <w:rPr>
                <w:rFonts w:ascii="Verdana" w:hAnsi="Verdana" w:cs="Arial"/>
                <w:lang w:val="es-ES" w:eastAsia="es-ES"/>
              </w:rPr>
              <w:t xml:space="preserve"> – Falta de competencia para la celebración de contratos </w:t>
            </w:r>
            <w:r>
              <w:rPr>
                <w:rFonts w:ascii="Verdana" w:hAnsi="Verdana" w:cs="Arial"/>
                <w:lang w:val="es-ES" w:eastAsia="es-ES"/>
              </w:rPr>
              <w:t xml:space="preserve">/ </w:t>
            </w:r>
            <w:r w:rsidRPr="3A5322BA">
              <w:rPr>
                <w:rFonts w:ascii="Verdana" w:hAnsi="Verdana" w:cs="Arial"/>
                <w:lang w:val="es-MX" w:eastAsia="es-ES"/>
              </w:rPr>
              <w:t xml:space="preserve">LEY DE GARANTÍAS ELECTORALES ‒ Finalidad / LEY DE GARANTÍAS ELECTORALES ‒ Tipos de restricciones ‒ Ámbito temporal – Celebración - Límite / LEY DE GARANTÍAS ELECTORALES – Prohibición – Artículo 33 </w:t>
            </w:r>
            <w:r>
              <w:rPr>
                <w:rFonts w:ascii="Verdana" w:hAnsi="Verdana" w:cs="Arial"/>
                <w:lang w:val="es-MX" w:eastAsia="es-ES"/>
              </w:rPr>
              <w:t xml:space="preserve">y 38 </w:t>
            </w:r>
            <w:r w:rsidRPr="3A5322BA">
              <w:rPr>
                <w:rFonts w:ascii="Verdana" w:hAnsi="Verdana" w:cs="Arial"/>
                <w:lang w:val="es-MX" w:eastAsia="es-ES"/>
              </w:rPr>
              <w:t>– Contratación directa – Alcance / LEY DE GARANTÍAS ELECTORALES –</w:t>
            </w:r>
            <w:r w:rsidR="00F90AF1">
              <w:rPr>
                <w:rFonts w:ascii="Verdana" w:hAnsi="Verdana" w:cs="Arial"/>
                <w:lang w:val="es-MX" w:eastAsia="es-ES"/>
              </w:rPr>
              <w:t xml:space="preserve"> </w:t>
            </w:r>
            <w:r>
              <w:rPr>
                <w:rFonts w:ascii="Verdana" w:hAnsi="Verdana" w:cs="Arial"/>
                <w:lang w:val="es-MX" w:eastAsia="es-ES"/>
              </w:rPr>
              <w:t xml:space="preserve">Contratos y convenios interadministrativos </w:t>
            </w:r>
          </w:p>
          <w:p w14:paraId="45FB9BFA" w14:textId="77777777" w:rsidR="00897CD2" w:rsidRPr="00801462" w:rsidRDefault="00897CD2" w:rsidP="006D4C4F">
            <w:pPr>
              <w:jc w:val="both"/>
              <w:rPr>
                <w:rFonts w:ascii="Verdana" w:eastAsia="Calibri" w:hAnsi="Verdana" w:cs="Arial"/>
                <w:lang w:val="es-ES_tradnl" w:eastAsia="es-ES"/>
              </w:rPr>
            </w:pPr>
          </w:p>
        </w:tc>
      </w:tr>
      <w:tr w:rsidR="00897CD2" w:rsidRPr="002842E0" w14:paraId="4ADA50ED" w14:textId="77777777" w:rsidTr="006D4C4F">
        <w:tc>
          <w:tcPr>
            <w:tcW w:w="3119" w:type="dxa"/>
          </w:tcPr>
          <w:p w14:paraId="4F00B447" w14:textId="77777777" w:rsidR="00897CD2" w:rsidRPr="00801462" w:rsidRDefault="00897CD2" w:rsidP="006D4C4F">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6910F6D6" w14:textId="77777777" w:rsidR="00897CD2" w:rsidRPr="00801462" w:rsidRDefault="00897CD2" w:rsidP="006D4C4F">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DE0B78">
              <w:rPr>
                <w:rFonts w:ascii="Verdana" w:eastAsia="Calibri" w:hAnsi="Verdana" w:cs="Arial"/>
                <w:lang w:eastAsia="es-ES_tradnl"/>
              </w:rPr>
              <w:t>1_2025_07_14_007088</w:t>
            </w:r>
          </w:p>
        </w:tc>
      </w:tr>
    </w:tbl>
    <w:p w14:paraId="345F5E21" w14:textId="77777777" w:rsidR="00897CD2" w:rsidRDefault="00897CD2" w:rsidP="00897CD2">
      <w:pPr>
        <w:spacing w:after="0" w:line="276" w:lineRule="auto"/>
        <w:jc w:val="both"/>
        <w:rPr>
          <w:rFonts w:ascii="Verdana" w:eastAsia="Calibri" w:hAnsi="Verdana" w:cs="Arial"/>
          <w:lang w:eastAsia="es-ES_tradnl"/>
        </w:rPr>
      </w:pPr>
    </w:p>
    <w:p w14:paraId="49AADD26" w14:textId="77777777" w:rsidR="00897CD2" w:rsidRPr="008E4F36" w:rsidRDefault="00897CD2" w:rsidP="00897CD2">
      <w:pPr>
        <w:spacing w:after="0" w:line="276" w:lineRule="auto"/>
        <w:jc w:val="both"/>
        <w:rPr>
          <w:rFonts w:ascii="Verdana" w:eastAsia="Calibri" w:hAnsi="Verdana" w:cs="Arial"/>
          <w:lang w:eastAsia="es-ES"/>
        </w:rPr>
      </w:pPr>
      <w:r w:rsidRPr="008E4F36">
        <w:rPr>
          <w:rFonts w:ascii="Verdana" w:eastAsia="Calibri" w:hAnsi="Verdana" w:cs="Arial"/>
          <w:lang w:eastAsia="es-ES"/>
        </w:rPr>
        <w:t>Estimad</w:t>
      </w:r>
      <w:r>
        <w:rPr>
          <w:rFonts w:ascii="Verdana" w:eastAsia="Calibri" w:hAnsi="Verdana" w:cs="Arial"/>
          <w:lang w:eastAsia="es-ES"/>
        </w:rPr>
        <w:t xml:space="preserve">a </w:t>
      </w:r>
      <w:r w:rsidRPr="008E4F36">
        <w:rPr>
          <w:rFonts w:ascii="Verdana" w:eastAsia="Calibri" w:hAnsi="Verdana" w:cs="Arial"/>
          <w:lang w:eastAsia="es-ES"/>
        </w:rPr>
        <w:t>señor</w:t>
      </w:r>
      <w:r>
        <w:rPr>
          <w:rFonts w:ascii="Verdana" w:eastAsia="Calibri" w:hAnsi="Verdana" w:cs="Arial"/>
          <w:lang w:eastAsia="es-ES"/>
        </w:rPr>
        <w:t>a Olga Lucía</w:t>
      </w:r>
      <w:r w:rsidRPr="008E4F36">
        <w:rPr>
          <w:rFonts w:ascii="Verdana" w:eastAsia="Calibri" w:hAnsi="Verdana" w:cs="Arial"/>
          <w:lang w:eastAsia="es-ES"/>
        </w:rPr>
        <w:t xml:space="preserve">: </w:t>
      </w:r>
    </w:p>
    <w:p w14:paraId="3AF2C762" w14:textId="77777777" w:rsidR="00897CD2" w:rsidRDefault="00897CD2" w:rsidP="00897CD2">
      <w:pPr>
        <w:tabs>
          <w:tab w:val="left" w:pos="3768"/>
        </w:tabs>
        <w:spacing w:after="0" w:line="240" w:lineRule="auto"/>
        <w:jc w:val="both"/>
        <w:rPr>
          <w:rFonts w:ascii="Verdana" w:eastAsia="Calibri" w:hAnsi="Verdana" w:cs="Arial"/>
          <w:lang w:eastAsia="es-ES"/>
        </w:rPr>
      </w:pPr>
    </w:p>
    <w:p w14:paraId="06E71CC8" w14:textId="24B8CB4D" w:rsidR="00897CD2" w:rsidRPr="006D4C4F" w:rsidRDefault="00897CD2" w:rsidP="006D4C4F">
      <w:pPr>
        <w:tabs>
          <w:tab w:val="left" w:pos="3768"/>
        </w:tabs>
        <w:spacing w:after="0" w:line="276" w:lineRule="auto"/>
        <w:jc w:val="both"/>
        <w:rPr>
          <w:rFonts w:ascii="Verdana" w:eastAsia="Calibri" w:hAnsi="Verdana" w:cs="Arial"/>
          <w:lang w:eastAsia="es-ES"/>
        </w:rPr>
      </w:pPr>
      <w:r w:rsidRPr="00DE0B78">
        <w:rPr>
          <w:rFonts w:ascii="Verdana" w:eastAsia="Calibri" w:hAnsi="Verdana" w:cs="Arial"/>
          <w:lang w:eastAsia="es-ES"/>
        </w:rPr>
        <w:t>En ejercicio de la competencia otorgada por los artículos 3, numeral 5º, y 11, numeral 8º, del Decreto Ley 4170 de 2011,</w:t>
      </w:r>
      <w:r w:rsidRPr="00DE0B78">
        <w:rPr>
          <w:rFonts w:ascii="Verdana" w:eastAsia="Arial MT" w:hAnsi="Verdana" w:cs="Arial MT"/>
          <w:lang w:eastAsia="es-ES"/>
        </w:rPr>
        <w:t xml:space="preserve"> </w:t>
      </w:r>
      <w:r w:rsidRPr="00DE0B78">
        <w:rPr>
          <w:rFonts w:ascii="Verdana" w:hAnsi="Verdana" w:cs="Arial"/>
        </w:rPr>
        <w:t xml:space="preserve">así como lo establecido en el artículo 4 de la Resolución 1707 de 2018 expedida por esta Entidad, </w:t>
      </w:r>
      <w:r w:rsidRPr="00DE0B78">
        <w:rPr>
          <w:rFonts w:ascii="Verdana" w:eastAsia="Calibri" w:hAnsi="Verdana" w:cs="Arial"/>
          <w:lang w:eastAsia="es-ES"/>
        </w:rPr>
        <w:t>la Agencia Nacional de Contratació</w:t>
      </w:r>
      <w:r>
        <w:rPr>
          <w:rFonts w:ascii="Verdana" w:eastAsia="Calibri" w:hAnsi="Verdana" w:cs="Arial"/>
          <w:lang w:eastAsia="es-ES"/>
        </w:rPr>
        <w:t>n</w:t>
      </w:r>
      <w:r w:rsidRPr="00DE0B78">
        <w:rPr>
          <w:rFonts w:ascii="Verdana" w:eastAsia="Calibri" w:hAnsi="Verdana" w:cs="Arial"/>
          <w:lang w:eastAsia="es-ES"/>
        </w:rPr>
        <w:t xml:space="preserve"> Pública – Colombia Compra Eficiente– responde su solicitud de consulta de fecha 7 de julio de 2025, previamente trasladado por el Departamento Administrativo de la Función Pública mediante radicado 202560003318711 del 11 de julio de 2025, en la cual manifiesta lo siguiente: </w:t>
      </w:r>
    </w:p>
    <w:p w14:paraId="6B47D6EE" w14:textId="77777777" w:rsidR="00897CD2" w:rsidRDefault="00897CD2" w:rsidP="00897CD2">
      <w:pPr>
        <w:spacing w:after="0" w:line="240" w:lineRule="auto"/>
        <w:ind w:left="709" w:right="709"/>
        <w:jc w:val="both"/>
        <w:rPr>
          <w:rFonts w:ascii="Verdana" w:eastAsia="Century Gothic" w:hAnsi="Verdana" w:cs="Century Gothic"/>
          <w:sz w:val="20"/>
          <w:szCs w:val="20"/>
        </w:rPr>
      </w:pPr>
      <w:bookmarkStart w:id="8" w:name="_Hlk192699624"/>
      <w:bookmarkStart w:id="9" w:name="_Hlk199394899"/>
      <w:r>
        <w:rPr>
          <w:rFonts w:ascii="Verdana" w:eastAsia="Century Gothic" w:hAnsi="Verdana" w:cs="Century Gothic"/>
          <w:sz w:val="20"/>
          <w:szCs w:val="20"/>
        </w:rPr>
        <w:lastRenderedPageBreak/>
        <w:t xml:space="preserve">“(…) </w:t>
      </w:r>
      <w:bookmarkEnd w:id="8"/>
      <w:r w:rsidRPr="00DE0B78">
        <w:rPr>
          <w:rFonts w:ascii="Verdana" w:eastAsia="Century Gothic" w:hAnsi="Verdana" w:cs="Century Gothic"/>
          <w:sz w:val="20"/>
          <w:szCs w:val="20"/>
        </w:rPr>
        <w:t xml:space="preserve">El Consejo Profesional de Administración de Empresas - CPAE, organismo administrativo del nivel nacional con naturaleza propia, adscrito al despacho del Ministro de Comercio, Industria y Turismo, catalogado como </w:t>
      </w:r>
      <w:r w:rsidRPr="00DE0B78">
        <w:rPr>
          <w:rFonts w:ascii="Verdana" w:eastAsia="Century Gothic" w:hAnsi="Verdana" w:cs="Century Gothic"/>
          <w:b/>
          <w:bCs/>
          <w:i/>
          <w:iCs/>
          <w:sz w:val="20"/>
          <w:szCs w:val="20"/>
        </w:rPr>
        <w:t>“sui generis”</w:t>
      </w:r>
      <w:r w:rsidRPr="00DE0B78">
        <w:rPr>
          <w:rFonts w:ascii="Verdana" w:eastAsia="Century Gothic" w:hAnsi="Verdana" w:cs="Century Gothic"/>
          <w:sz w:val="20"/>
          <w:szCs w:val="20"/>
        </w:rPr>
        <w:t xml:space="preserve">, creado por la Ley 60 de 1981 y reglamentado por el Decreto 2718 de 1984, sin personería jurídica, de naturaleza pública en razón de su creación legal, su integración, sus funciones y su financiación, sufragado con recursos públicos, concebido como autoridad administrativa de naturaleza pública de que trata el artículo 26 de la Constitución Política, para vigilar el ejercicio de las profesiones aplicables y de las actividades que impliquen riesgo social y que por tanto, hace parte de la Administración Pública más no de la Rama Ejecutiva del poder público. </w:t>
      </w:r>
    </w:p>
    <w:p w14:paraId="3E0D6418" w14:textId="77777777" w:rsidR="00897CD2" w:rsidRDefault="00897CD2" w:rsidP="00897CD2">
      <w:pPr>
        <w:spacing w:after="0" w:line="240" w:lineRule="auto"/>
        <w:ind w:left="709" w:right="709"/>
        <w:jc w:val="both"/>
        <w:rPr>
          <w:rFonts w:ascii="Verdana" w:eastAsia="Century Gothic" w:hAnsi="Verdana" w:cs="Century Gothic"/>
          <w:sz w:val="20"/>
          <w:szCs w:val="20"/>
        </w:rPr>
      </w:pPr>
    </w:p>
    <w:p w14:paraId="22C5BB78" w14:textId="77777777" w:rsidR="00897CD2" w:rsidRDefault="00897CD2" w:rsidP="00897CD2">
      <w:pPr>
        <w:spacing w:after="0" w:line="240" w:lineRule="auto"/>
        <w:ind w:left="709" w:right="709"/>
        <w:jc w:val="both"/>
        <w:rPr>
          <w:rFonts w:ascii="Verdana" w:eastAsia="Century Gothic" w:hAnsi="Verdana" w:cs="Century Gothic"/>
          <w:sz w:val="20"/>
          <w:szCs w:val="20"/>
        </w:rPr>
      </w:pPr>
      <w:r w:rsidRPr="00DE0B78">
        <w:rPr>
          <w:rFonts w:ascii="Verdana" w:eastAsia="Century Gothic" w:hAnsi="Verdana" w:cs="Century Gothic"/>
          <w:sz w:val="20"/>
          <w:szCs w:val="20"/>
        </w:rPr>
        <w:t>Consideración sustentada en reiterados pronunciamientos jurisprudenciales, tal como se expone a continuación a manera de antecedentes relevantes.</w:t>
      </w:r>
    </w:p>
    <w:p w14:paraId="16B5C0C4" w14:textId="77777777" w:rsidR="00897CD2" w:rsidRDefault="00897CD2" w:rsidP="00897CD2">
      <w:pPr>
        <w:spacing w:after="0" w:line="240" w:lineRule="auto"/>
        <w:ind w:left="709" w:right="709"/>
        <w:jc w:val="both"/>
        <w:rPr>
          <w:rFonts w:ascii="Verdana" w:eastAsia="Century Gothic" w:hAnsi="Verdana" w:cs="Century Gothic"/>
          <w:sz w:val="20"/>
          <w:szCs w:val="20"/>
        </w:rPr>
      </w:pPr>
    </w:p>
    <w:p w14:paraId="55B0CE55" w14:textId="77777777" w:rsidR="00897CD2" w:rsidRDefault="00897CD2" w:rsidP="00897CD2">
      <w:pPr>
        <w:spacing w:after="0" w:line="240" w:lineRule="auto"/>
        <w:ind w:left="709" w:right="709"/>
        <w:jc w:val="both"/>
        <w:rPr>
          <w:rFonts w:ascii="Verdana" w:eastAsia="Century Gothic" w:hAnsi="Verdana" w:cs="Century Gothic"/>
          <w:sz w:val="20"/>
          <w:szCs w:val="20"/>
        </w:rPr>
      </w:pPr>
      <w:r w:rsidRPr="00DE0B78">
        <w:rPr>
          <w:rFonts w:ascii="Verdana" w:eastAsia="Century Gothic" w:hAnsi="Verdana" w:cs="Century Gothic"/>
          <w:sz w:val="20"/>
          <w:szCs w:val="20"/>
        </w:rPr>
        <w:t>La Sala de Consulta y Servicio Civil del H. Consejo de Estado, mediante concepto con radicado No. 583 del 11 de febrero de 1994, con ponencia del Dr. Roberto Suárez Franco dispuso: “(...) Para el caso de la profesión de Administración de Empresas, por la ley 60 de 1981, (...) creó el Consejo Profesional de la especialidad, no propiamente como una dependencia de la Administración Pública de las contempladas en el artículo 16 del decreto</w:t>
      </w:r>
      <w:r>
        <w:rPr>
          <w:rFonts w:ascii="Verdana" w:eastAsia="Century Gothic" w:hAnsi="Verdana" w:cs="Century Gothic"/>
          <w:sz w:val="20"/>
          <w:szCs w:val="20"/>
        </w:rPr>
        <w:t xml:space="preserve"> </w:t>
      </w:r>
      <w:r w:rsidRPr="00AE606E">
        <w:rPr>
          <w:rFonts w:ascii="Verdana" w:eastAsia="Century Gothic" w:hAnsi="Verdana" w:cs="Century Gothic"/>
          <w:sz w:val="20"/>
          <w:szCs w:val="20"/>
        </w:rPr>
        <w:t xml:space="preserve">1050 de 1968, sino como organismo con una fisonomía propia que ejerce unas funciones especiales descritas en los artículos 9° y 11° de la ley 60 de 1981. (...)(...) se concluye que </w:t>
      </w:r>
      <w:r w:rsidRPr="00AE606E">
        <w:rPr>
          <w:rFonts w:ascii="Verdana" w:eastAsia="Century Gothic" w:hAnsi="Verdana" w:cs="Century Gothic"/>
          <w:i/>
          <w:iCs/>
          <w:sz w:val="20"/>
          <w:szCs w:val="20"/>
          <w:u w:val="single"/>
        </w:rPr>
        <w:t>el Consejo participa de la naturaleza de una entidad de derecho público; sin embargo, no corresponde a la naturaleza de establecimiento público, ni a la de empresa industrial y comercial del Estado como tampoco a una sociedad de economía mixta.</w:t>
      </w:r>
    </w:p>
    <w:p w14:paraId="7AE87661" w14:textId="77777777" w:rsidR="00897CD2" w:rsidRDefault="00897CD2" w:rsidP="00897CD2">
      <w:pPr>
        <w:spacing w:after="0" w:line="240" w:lineRule="auto"/>
        <w:ind w:left="709" w:right="709"/>
        <w:jc w:val="both"/>
        <w:rPr>
          <w:rFonts w:ascii="Verdana" w:eastAsia="Century Gothic" w:hAnsi="Verdana" w:cs="Century Gothic"/>
          <w:sz w:val="20"/>
          <w:szCs w:val="20"/>
        </w:rPr>
      </w:pPr>
      <w:r w:rsidRPr="00624A4C">
        <w:rPr>
          <w:rFonts w:ascii="Verdana" w:eastAsia="Century Gothic" w:hAnsi="Verdana" w:cs="Century Gothic"/>
          <w:sz w:val="20"/>
          <w:szCs w:val="20"/>
        </w:rPr>
        <w:t xml:space="preserve"> </w:t>
      </w:r>
    </w:p>
    <w:p w14:paraId="43126FD5" w14:textId="77777777" w:rsidR="00897CD2" w:rsidRDefault="00897CD2" w:rsidP="00897CD2">
      <w:pPr>
        <w:spacing w:after="0" w:line="240" w:lineRule="auto"/>
        <w:ind w:left="709" w:right="709"/>
        <w:jc w:val="both"/>
        <w:rPr>
          <w:rFonts w:ascii="Verdana" w:eastAsia="Century Gothic" w:hAnsi="Verdana" w:cs="Century Gothic"/>
          <w:sz w:val="20"/>
          <w:szCs w:val="20"/>
        </w:rPr>
      </w:pPr>
      <w:r w:rsidRPr="00AE606E">
        <w:rPr>
          <w:rFonts w:ascii="Verdana" w:eastAsia="Century Gothic" w:hAnsi="Verdana" w:cs="Century Gothic"/>
          <w:sz w:val="20"/>
          <w:szCs w:val="20"/>
        </w:rPr>
        <w:t xml:space="preserve">No obstante, el legislador al crear el Consejo de Administración de Empresas le asignó una tipología propia. En efecto, no le otorgó personería jurídica, como tampoco aparece que la haya adquirido mediante un acto posterior a su creación; (...)” (Subrayas propias). </w:t>
      </w:r>
      <w:bookmarkEnd w:id="9"/>
    </w:p>
    <w:p w14:paraId="35591D50" w14:textId="77777777" w:rsidR="00897CD2" w:rsidRDefault="00897CD2" w:rsidP="00897CD2">
      <w:pPr>
        <w:spacing w:after="0" w:line="240" w:lineRule="auto"/>
        <w:ind w:left="709" w:right="709"/>
        <w:jc w:val="both"/>
        <w:rPr>
          <w:rFonts w:ascii="Verdana" w:eastAsia="Century Gothic" w:hAnsi="Verdana" w:cs="Century Gothic"/>
          <w:sz w:val="20"/>
          <w:szCs w:val="20"/>
        </w:rPr>
      </w:pPr>
    </w:p>
    <w:p w14:paraId="36C66539" w14:textId="77777777" w:rsidR="00897CD2" w:rsidRDefault="00897CD2" w:rsidP="00897CD2">
      <w:pPr>
        <w:spacing w:after="0" w:line="240" w:lineRule="auto"/>
        <w:ind w:left="709" w:right="709"/>
        <w:jc w:val="both"/>
        <w:rPr>
          <w:rFonts w:ascii="Verdana" w:hAnsi="Verdana"/>
          <w:sz w:val="20"/>
          <w:szCs w:val="20"/>
        </w:rPr>
      </w:pPr>
      <w:r w:rsidRPr="00AE606E">
        <w:rPr>
          <w:rFonts w:ascii="Verdana" w:hAnsi="Verdana"/>
          <w:sz w:val="20"/>
          <w:szCs w:val="20"/>
        </w:rPr>
        <w:t>Que, la misma sala de Consulta y Servicio Civil del H. Consejo de Estado, bajo conceptos de 20041 y 20062 señala que: “… El carácter sui géneris implica que el órgano no es posible encasillarlo dentro de la clasificación tradicional de los organismos de la administración, no está adscrito, carece de los atributos de las personas jurídicas públicas, su composición es mixta y cumple funciones públicas (…)”</w:t>
      </w:r>
      <w:r>
        <w:rPr>
          <w:rFonts w:ascii="Verdana" w:hAnsi="Verdana"/>
          <w:sz w:val="20"/>
          <w:szCs w:val="20"/>
        </w:rPr>
        <w:t>.</w:t>
      </w:r>
    </w:p>
    <w:p w14:paraId="74260968" w14:textId="77777777" w:rsidR="00897CD2" w:rsidRDefault="00897CD2" w:rsidP="00897CD2">
      <w:pPr>
        <w:spacing w:after="0" w:line="240" w:lineRule="auto"/>
        <w:ind w:left="709" w:right="709"/>
        <w:jc w:val="both"/>
        <w:rPr>
          <w:rFonts w:ascii="Verdana" w:hAnsi="Verdana"/>
          <w:sz w:val="20"/>
          <w:szCs w:val="20"/>
        </w:rPr>
      </w:pPr>
    </w:p>
    <w:p w14:paraId="7243C27B" w14:textId="77777777" w:rsidR="00897CD2" w:rsidRDefault="00897CD2" w:rsidP="00897CD2">
      <w:pPr>
        <w:spacing w:after="0" w:line="240" w:lineRule="auto"/>
        <w:ind w:left="709" w:right="709"/>
        <w:jc w:val="both"/>
        <w:rPr>
          <w:rFonts w:ascii="Verdana" w:hAnsi="Verdana"/>
          <w:sz w:val="20"/>
          <w:szCs w:val="20"/>
        </w:rPr>
      </w:pPr>
      <w:r w:rsidRPr="00AE606E">
        <w:rPr>
          <w:rFonts w:ascii="Verdana" w:hAnsi="Verdana"/>
          <w:sz w:val="20"/>
          <w:szCs w:val="20"/>
        </w:rPr>
        <w:t xml:space="preserve">La </w:t>
      </w:r>
      <w:r w:rsidRPr="00AE606E">
        <w:rPr>
          <w:rFonts w:ascii="Verdana" w:hAnsi="Verdana"/>
          <w:b/>
          <w:bCs/>
          <w:sz w:val="20"/>
          <w:szCs w:val="20"/>
        </w:rPr>
        <w:t>Sala de Consulta y Servicio Civil del Consejo de Estado</w:t>
      </w:r>
      <w:r w:rsidRPr="00AE606E">
        <w:rPr>
          <w:rFonts w:ascii="Verdana" w:hAnsi="Verdana"/>
          <w:sz w:val="20"/>
          <w:szCs w:val="20"/>
        </w:rPr>
        <w:t xml:space="preserve">, mediante ponencia del Dr. Enrique José Arboleda Perdomo de fecha 04 de mayo de 2006, respecto a las funciones establecidas en el </w:t>
      </w:r>
      <w:r w:rsidRPr="00AE606E">
        <w:rPr>
          <w:rFonts w:ascii="Verdana" w:hAnsi="Verdana"/>
          <w:b/>
          <w:bCs/>
          <w:sz w:val="20"/>
          <w:szCs w:val="20"/>
        </w:rPr>
        <w:t>literal e) del artículo 9 de la Ley 60 de 1981</w:t>
      </w:r>
      <w:r w:rsidRPr="00AE606E">
        <w:rPr>
          <w:rFonts w:ascii="Verdana" w:hAnsi="Verdana"/>
          <w:sz w:val="20"/>
          <w:szCs w:val="20"/>
        </w:rPr>
        <w:t xml:space="preserve"> concluyó:</w:t>
      </w:r>
    </w:p>
    <w:p w14:paraId="2C88D183" w14:textId="77777777" w:rsidR="00897CD2" w:rsidRDefault="00897CD2" w:rsidP="00897CD2">
      <w:pPr>
        <w:spacing w:after="0" w:line="240" w:lineRule="auto"/>
        <w:ind w:left="709" w:right="709"/>
        <w:jc w:val="both"/>
        <w:rPr>
          <w:rFonts w:ascii="Verdana" w:hAnsi="Verdana"/>
          <w:sz w:val="20"/>
          <w:szCs w:val="20"/>
        </w:rPr>
      </w:pPr>
    </w:p>
    <w:p w14:paraId="17DA4690" w14:textId="77777777" w:rsidR="00897CD2" w:rsidRDefault="00897CD2" w:rsidP="00897CD2">
      <w:pPr>
        <w:spacing w:after="0" w:line="240" w:lineRule="auto"/>
        <w:ind w:left="709" w:right="709"/>
        <w:jc w:val="both"/>
        <w:rPr>
          <w:rFonts w:ascii="Verdana" w:hAnsi="Verdana"/>
          <w:sz w:val="20"/>
          <w:szCs w:val="20"/>
        </w:rPr>
      </w:pPr>
      <w:r w:rsidRPr="00AE606E">
        <w:rPr>
          <w:rFonts w:ascii="Verdana" w:hAnsi="Verdana"/>
          <w:i/>
          <w:iCs/>
          <w:sz w:val="20"/>
          <w:szCs w:val="20"/>
        </w:rPr>
        <w:lastRenderedPageBreak/>
        <w:t xml:space="preserve">“… Dentro de la categoría de organismos se puede ubicar, como se explicará, el Consejo aludido, el cual no se articula funcionalmente al sistema ordinario de clasificación de los entes u órganos de la administración pública nacional, sino que ostenta un carácter sui generis, el que en virtud de las funciones administrativas que cumple por mandato legal hace parte de la estructura administrativa del Estado. Como se verá, </w:t>
      </w:r>
      <w:r w:rsidRPr="00AE606E">
        <w:rPr>
          <w:rFonts w:ascii="Verdana" w:hAnsi="Verdana"/>
          <w:i/>
          <w:iCs/>
          <w:sz w:val="20"/>
          <w:szCs w:val="20"/>
          <w:u w:val="single"/>
        </w:rPr>
        <w:t>se trata de un organismo nacional distinto de los encasillados tradicionalmente dentro de la clasificación de los entes y órganos públicos, creados para el cumplimiento de funciones y actividades específicas de control y vigilancia de una profesión.”</w:t>
      </w:r>
      <w:r w:rsidRPr="00AE606E">
        <w:rPr>
          <w:rFonts w:ascii="Verdana" w:hAnsi="Verdana"/>
          <w:sz w:val="20"/>
          <w:szCs w:val="20"/>
        </w:rPr>
        <w:t xml:space="preserve"> (Subrayas fuera del texto original).</w:t>
      </w:r>
    </w:p>
    <w:p w14:paraId="2BD1D017" w14:textId="77777777" w:rsidR="00897CD2" w:rsidRDefault="00897CD2" w:rsidP="00897CD2">
      <w:pPr>
        <w:spacing w:after="0" w:line="240" w:lineRule="auto"/>
        <w:ind w:left="709" w:right="709"/>
        <w:jc w:val="both"/>
        <w:rPr>
          <w:rFonts w:ascii="Verdana" w:hAnsi="Verdana"/>
          <w:sz w:val="20"/>
          <w:szCs w:val="20"/>
        </w:rPr>
      </w:pPr>
    </w:p>
    <w:p w14:paraId="2B28CAAA" w14:textId="77777777" w:rsidR="00897CD2" w:rsidRDefault="00897CD2" w:rsidP="00897CD2">
      <w:pPr>
        <w:spacing w:after="0" w:line="240" w:lineRule="auto"/>
        <w:ind w:left="709" w:right="709"/>
        <w:jc w:val="both"/>
        <w:rPr>
          <w:rFonts w:ascii="Verdana" w:hAnsi="Verdana"/>
          <w:sz w:val="20"/>
          <w:szCs w:val="20"/>
        </w:rPr>
      </w:pPr>
      <w:r w:rsidRPr="00AE606E">
        <w:rPr>
          <w:rFonts w:ascii="Verdana" w:hAnsi="Verdana"/>
          <w:sz w:val="20"/>
          <w:szCs w:val="20"/>
        </w:rPr>
        <w:t>Por su parte, de acuerdo con lo conceptuado por el Departamento Administrativo de la Función Pública bajo radicado No. 201260000203641 del 28 de diciembre de 2012 concluyó, “(...) acogiendo el concepto del Consejo de Estado que considera que los Consejos Profesionales no pueden asimilarse a los Consejos Superiores de la Administración, ni a los organismos consultivos y coordinadores de la Rama Ejecutiva, se concluye que el Consejo Profesional de Administración de Empresas es un organismo administrativo de nivel nacional</w:t>
      </w:r>
      <w:r>
        <w:rPr>
          <w:rFonts w:ascii="Verdana" w:hAnsi="Verdana"/>
          <w:sz w:val="20"/>
          <w:szCs w:val="20"/>
        </w:rPr>
        <w:t xml:space="preserve"> </w:t>
      </w:r>
      <w:r w:rsidRPr="008A3F6C">
        <w:rPr>
          <w:rFonts w:ascii="Verdana" w:hAnsi="Verdana"/>
          <w:sz w:val="20"/>
          <w:szCs w:val="20"/>
        </w:rPr>
        <w:t>con naturaleza propia, que no hace parte de la Rama Ejecutiva, y por consiguiente no le es aplicable lo dispuesto en los artículos 8 y 9 de la Ley 1474 de 2011. (...)”</w:t>
      </w:r>
    </w:p>
    <w:p w14:paraId="56F39A19" w14:textId="77777777" w:rsidR="00897CD2" w:rsidRDefault="00897CD2" w:rsidP="00897CD2">
      <w:pPr>
        <w:spacing w:after="0" w:line="240" w:lineRule="auto"/>
        <w:ind w:left="709" w:right="709"/>
        <w:jc w:val="both"/>
        <w:rPr>
          <w:rFonts w:ascii="Verdana" w:hAnsi="Verdana"/>
          <w:sz w:val="20"/>
          <w:szCs w:val="20"/>
        </w:rPr>
      </w:pPr>
    </w:p>
    <w:p w14:paraId="5A6B8FB7"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Una vez expuesta la naturaleza jurídica del Consejo Profesional de Administración de Empresas - CPAE, es necesario determinar su composición y competencias internas, para lo cual se hará un recuento normativo de su estructuración, así:</w:t>
      </w:r>
    </w:p>
    <w:p w14:paraId="6B754921" w14:textId="77777777" w:rsidR="00897CD2" w:rsidRDefault="00897CD2" w:rsidP="00897CD2">
      <w:pPr>
        <w:spacing w:after="0" w:line="240" w:lineRule="auto"/>
        <w:ind w:left="709" w:right="709"/>
        <w:jc w:val="both"/>
        <w:rPr>
          <w:rFonts w:ascii="Verdana" w:hAnsi="Verdana"/>
          <w:sz w:val="20"/>
          <w:szCs w:val="20"/>
        </w:rPr>
      </w:pPr>
    </w:p>
    <w:p w14:paraId="0D83552D"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 xml:space="preserve">El Decreto 2718 de 1984 “Por el cual se reglamenta la Ley 60 de 1981 sobre el ejercicio de la profesión de Administración de Empresas”, en su artículo 4° establece a tenor literal: “(…) El Consejo Profesional de Administración de Empresas, creado por la Ley 60 de 1981, estará integrado de conformidad con lo dispuesto en el artículo 8° de la ley </w:t>
      </w:r>
      <w:r w:rsidRPr="008A3F6C">
        <w:rPr>
          <w:rFonts w:ascii="Verdana" w:hAnsi="Verdana"/>
          <w:i/>
          <w:iCs/>
          <w:sz w:val="20"/>
          <w:szCs w:val="20"/>
          <w:u w:val="single"/>
        </w:rPr>
        <w:t xml:space="preserve">y ejercerá las funciones de que trata el artículo 9° de la misma </w:t>
      </w:r>
      <w:proofErr w:type="gramStart"/>
      <w:r w:rsidRPr="008A3F6C">
        <w:rPr>
          <w:rFonts w:ascii="Verdana" w:hAnsi="Verdana"/>
          <w:i/>
          <w:iCs/>
          <w:sz w:val="20"/>
          <w:szCs w:val="20"/>
          <w:u w:val="single"/>
        </w:rPr>
        <w:t>ley</w:t>
      </w:r>
      <w:r w:rsidRPr="008A3F6C">
        <w:rPr>
          <w:rFonts w:ascii="Verdana" w:hAnsi="Verdana"/>
          <w:sz w:val="20"/>
          <w:szCs w:val="20"/>
        </w:rPr>
        <w:t>.(...)</w:t>
      </w:r>
      <w:proofErr w:type="gramEnd"/>
      <w:r w:rsidRPr="008A3F6C">
        <w:rPr>
          <w:rFonts w:ascii="Verdana" w:hAnsi="Verdana"/>
          <w:sz w:val="20"/>
          <w:szCs w:val="20"/>
        </w:rPr>
        <w:t>” (Subrayas fuera del texto).</w:t>
      </w:r>
    </w:p>
    <w:p w14:paraId="02675F44" w14:textId="77777777" w:rsidR="00897CD2" w:rsidRDefault="00897CD2" w:rsidP="00897CD2">
      <w:pPr>
        <w:spacing w:after="0" w:line="240" w:lineRule="auto"/>
        <w:ind w:left="709" w:right="709"/>
        <w:jc w:val="both"/>
        <w:rPr>
          <w:rFonts w:ascii="Verdana" w:hAnsi="Verdana"/>
          <w:sz w:val="20"/>
          <w:szCs w:val="20"/>
        </w:rPr>
      </w:pPr>
    </w:p>
    <w:p w14:paraId="52BE64DB"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 xml:space="preserve">Adicionalmente, el artículo 14 del mismo Decreto determina que: “(…) El Consejo Profesional de Administración de Empresas, en ejercicio de la función que confiere el literal i) del artículo 9° de la Ley 60 de 1981 dictará su propio reglamento el cual, para su validez, requerirá de la aprobación posterior del </w:t>
      </w:r>
      <w:proofErr w:type="gramStart"/>
      <w:r w:rsidRPr="008A3F6C">
        <w:rPr>
          <w:rFonts w:ascii="Verdana" w:hAnsi="Verdana"/>
          <w:sz w:val="20"/>
          <w:szCs w:val="20"/>
        </w:rPr>
        <w:t>Ministro</w:t>
      </w:r>
      <w:proofErr w:type="gramEnd"/>
      <w:r w:rsidRPr="008A3F6C">
        <w:rPr>
          <w:rFonts w:ascii="Verdana" w:hAnsi="Verdana"/>
          <w:sz w:val="20"/>
          <w:szCs w:val="20"/>
        </w:rPr>
        <w:t xml:space="preserve"> (…)”</w:t>
      </w:r>
    </w:p>
    <w:p w14:paraId="6D300564" w14:textId="77777777" w:rsidR="00897CD2" w:rsidRDefault="00897CD2" w:rsidP="00897CD2">
      <w:pPr>
        <w:spacing w:after="0" w:line="240" w:lineRule="auto"/>
        <w:ind w:left="709" w:right="709"/>
        <w:jc w:val="both"/>
        <w:rPr>
          <w:rFonts w:ascii="Verdana" w:hAnsi="Verdana"/>
          <w:sz w:val="20"/>
          <w:szCs w:val="20"/>
        </w:rPr>
      </w:pPr>
    </w:p>
    <w:p w14:paraId="664BCA62"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 xml:space="preserve">Por lo anterior, ante la preexistencia de algunas disposiciones internas frente a la organización interna del Consejo Profesional de Administración de Empresas, finalmente y ante diversas actualizaciones normativas, mediante Resolución No. 952 del 06 de julio de 2022 “Por medio del cual se aprueba el Acuerdo 001 de 2022 y sus anexos del Consejo Profesional de Administración de Empresas”, atendiendo las disposiciones del artículo </w:t>
      </w:r>
      <w:r w:rsidRPr="008A3F6C">
        <w:rPr>
          <w:rFonts w:ascii="Verdana" w:hAnsi="Verdana"/>
          <w:sz w:val="20"/>
          <w:szCs w:val="20"/>
        </w:rPr>
        <w:lastRenderedPageBreak/>
        <w:t>1° del Acuerdo 01 de 2022, estableció la estructura del Consejo Directivo del Consejo Profesional, compuesto por:</w:t>
      </w:r>
    </w:p>
    <w:p w14:paraId="049FF197" w14:textId="77777777" w:rsidR="00897CD2" w:rsidRDefault="00897CD2" w:rsidP="00897CD2">
      <w:pPr>
        <w:spacing w:after="0" w:line="240" w:lineRule="auto"/>
        <w:ind w:left="709" w:right="709"/>
        <w:jc w:val="both"/>
        <w:rPr>
          <w:rFonts w:ascii="Verdana" w:hAnsi="Verdana"/>
          <w:sz w:val="20"/>
          <w:szCs w:val="20"/>
        </w:rPr>
      </w:pPr>
    </w:p>
    <w:p w14:paraId="0703D51F"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 xml:space="preserve">“(…) </w:t>
      </w:r>
    </w:p>
    <w:p w14:paraId="3913C0A2" w14:textId="77777777" w:rsidR="00897CD2" w:rsidRDefault="00897CD2" w:rsidP="00897CD2">
      <w:pPr>
        <w:spacing w:after="0" w:line="240" w:lineRule="auto"/>
        <w:ind w:left="709" w:right="709"/>
        <w:jc w:val="both"/>
        <w:rPr>
          <w:rFonts w:ascii="Verdana" w:hAnsi="Verdana"/>
          <w:sz w:val="20"/>
          <w:szCs w:val="20"/>
        </w:rPr>
      </w:pPr>
    </w:p>
    <w:p w14:paraId="45D1CD6F"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 xml:space="preserve">a) El </w:t>
      </w:r>
      <w:proofErr w:type="gramStart"/>
      <w:r w:rsidRPr="008A3F6C">
        <w:rPr>
          <w:rFonts w:ascii="Verdana" w:hAnsi="Verdana"/>
          <w:sz w:val="20"/>
          <w:szCs w:val="20"/>
        </w:rPr>
        <w:t>Ministro</w:t>
      </w:r>
      <w:proofErr w:type="gramEnd"/>
      <w:r w:rsidRPr="008A3F6C">
        <w:rPr>
          <w:rFonts w:ascii="Verdana" w:hAnsi="Verdana"/>
          <w:sz w:val="20"/>
          <w:szCs w:val="20"/>
        </w:rPr>
        <w:t xml:space="preserve"> de Comercio, Industria y Turismo o su delegado, quién lo presidirá. </w:t>
      </w:r>
    </w:p>
    <w:p w14:paraId="1CC2F936"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b) Dos (2) representantes de las facultades o escuelas universitarias, oficialmente aprobadas que otorguen el título de Profesional en Administración de Empresas, elegidos por los Decanos y Directivos respectivos. Por lo menos uno de los representantes deberá pertenecer a una Facultad o Escuela Universitaria que tenga su sede fuera de Bogotá. c) Dos (2) representantes de la asociación de administradores de empresas o sus equivalentes, que estén legalmente constituidas, los cuales serán elegidos en la Asamblea General de Asociaciones. Por lo menos uno de estos representantes deberá perteneceré a una Asociación que tenga su sede fuera de Bogotá.</w:t>
      </w:r>
    </w:p>
    <w:p w14:paraId="7EDF56F1"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d) Un (1) representante de las agremiaciones empresariales elegido por la Presidencia de la República. (…)”</w:t>
      </w:r>
    </w:p>
    <w:p w14:paraId="591762F2" w14:textId="77777777" w:rsidR="00897CD2" w:rsidRDefault="00897CD2" w:rsidP="00897CD2">
      <w:pPr>
        <w:spacing w:after="0" w:line="240" w:lineRule="auto"/>
        <w:ind w:left="709" w:right="709"/>
        <w:jc w:val="both"/>
        <w:rPr>
          <w:rFonts w:ascii="Verdana" w:hAnsi="Verdana"/>
          <w:sz w:val="20"/>
          <w:szCs w:val="20"/>
        </w:rPr>
      </w:pPr>
    </w:p>
    <w:p w14:paraId="713BC071"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A su vez, el artículo 7° del Acuerdo 001 de 2022 aprobado mediante Resolución 952 de 2022 estipula: “(…) Al tenor de lo dispuesto en el artículo 4° del Decreto 2718 de 1984, los miembros del Consejo Directivo no recibirán remuneración alguna y ejercerán su cargo ad-honorem.”</w:t>
      </w:r>
    </w:p>
    <w:p w14:paraId="1C52A9C9" w14:textId="77777777" w:rsidR="00897CD2" w:rsidRDefault="00897CD2" w:rsidP="00897CD2">
      <w:pPr>
        <w:spacing w:after="0" w:line="240" w:lineRule="auto"/>
        <w:ind w:left="709" w:right="709"/>
        <w:jc w:val="both"/>
        <w:rPr>
          <w:rFonts w:ascii="Verdana" w:hAnsi="Verdana"/>
          <w:sz w:val="20"/>
          <w:szCs w:val="20"/>
        </w:rPr>
      </w:pPr>
    </w:p>
    <w:p w14:paraId="2A484BE1"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Adicionalmente a lo anterior, conforme las disposiciones del artículo 22 de la misma reglamentación que determina: “(…) La vinculación de los trabajadores del Consejo Profesional de Administración de Empresas será realizada de acuerdo con los términos establecidos en el Código Sustantivo del Trabajo.”</w:t>
      </w:r>
    </w:p>
    <w:p w14:paraId="3293B1A2" w14:textId="77777777" w:rsidR="00897CD2" w:rsidRDefault="00897CD2" w:rsidP="00897CD2">
      <w:pPr>
        <w:spacing w:after="0" w:line="240" w:lineRule="auto"/>
        <w:ind w:left="709" w:right="709"/>
        <w:jc w:val="both"/>
        <w:rPr>
          <w:rFonts w:ascii="Verdana" w:hAnsi="Verdana"/>
          <w:sz w:val="20"/>
          <w:szCs w:val="20"/>
        </w:rPr>
      </w:pPr>
    </w:p>
    <w:p w14:paraId="671264D9"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 xml:space="preserve">De otra parte, conforme las calidades particulares del Consejo Profesional aludido, frente a la vinculación del personal y la composición del mismo, han existido pronunciamientos como lo expuesto mediante Concepto No. 20146000193731 del 29 de diciembre de 2014, emitido por la Dirección Jurídica del Departamento Administrativo de la Función Pública, el cual dispone entre otras: </w:t>
      </w:r>
      <w:r w:rsidRPr="008A3F6C">
        <w:rPr>
          <w:rFonts w:ascii="Verdana" w:hAnsi="Verdana"/>
          <w:i/>
          <w:iCs/>
          <w:sz w:val="20"/>
          <w:szCs w:val="20"/>
        </w:rPr>
        <w:t xml:space="preserve">“(...) esta Dirección considera que </w:t>
      </w:r>
      <w:r w:rsidRPr="008A3F6C">
        <w:rPr>
          <w:rFonts w:ascii="Verdana" w:hAnsi="Verdana"/>
          <w:i/>
          <w:iCs/>
          <w:sz w:val="20"/>
          <w:szCs w:val="20"/>
          <w:u w:val="single"/>
        </w:rPr>
        <w:t>las personas que se encuentran vinculadas en el Consejo Profesional de Administración de Empresas no tienen la calidad de empleados públicos</w:t>
      </w:r>
      <w:r w:rsidRPr="008A3F6C">
        <w:rPr>
          <w:rFonts w:ascii="Verdana" w:hAnsi="Verdana"/>
          <w:i/>
          <w:iCs/>
          <w:sz w:val="20"/>
          <w:szCs w:val="20"/>
        </w:rPr>
        <w:t xml:space="preserve">, y por lo tanto, sus incentivos no serán los que taxativamente se señalan en (...) como quiera que los trabajadores vinculados con el Consejo Profesional de Administración de Empresas </w:t>
      </w:r>
      <w:r w:rsidRPr="008A3F6C">
        <w:rPr>
          <w:rFonts w:ascii="Verdana" w:hAnsi="Verdana"/>
          <w:i/>
          <w:iCs/>
          <w:sz w:val="20"/>
          <w:szCs w:val="20"/>
          <w:u w:val="single"/>
        </w:rPr>
        <w:t>tienen la calidad de particulares</w:t>
      </w:r>
      <w:r w:rsidRPr="008A3F6C">
        <w:rPr>
          <w:rFonts w:ascii="Verdana" w:hAnsi="Verdana"/>
          <w:i/>
          <w:iCs/>
          <w:sz w:val="20"/>
          <w:szCs w:val="20"/>
        </w:rPr>
        <w:t>,</w:t>
      </w:r>
      <w:r w:rsidRPr="008A3F6C">
        <w:rPr>
          <w:rFonts w:ascii="Verdana" w:hAnsi="Verdana"/>
          <w:sz w:val="20"/>
          <w:szCs w:val="20"/>
        </w:rPr>
        <w:t xml:space="preserve"> (...)” (Subrayas propias).</w:t>
      </w:r>
    </w:p>
    <w:p w14:paraId="47B3C03C" w14:textId="77777777" w:rsidR="00897CD2" w:rsidRDefault="00897CD2" w:rsidP="00897CD2">
      <w:pPr>
        <w:spacing w:after="0" w:line="240" w:lineRule="auto"/>
        <w:ind w:left="709" w:right="709"/>
        <w:jc w:val="both"/>
        <w:rPr>
          <w:rFonts w:ascii="Verdana" w:hAnsi="Verdana"/>
          <w:sz w:val="20"/>
          <w:szCs w:val="20"/>
        </w:rPr>
      </w:pPr>
    </w:p>
    <w:p w14:paraId="55E28ABF" w14:textId="77777777" w:rsidR="00897CD2" w:rsidRDefault="00897CD2" w:rsidP="00897CD2">
      <w:pPr>
        <w:spacing w:after="0" w:line="240" w:lineRule="auto"/>
        <w:ind w:left="709" w:right="709"/>
        <w:jc w:val="both"/>
        <w:rPr>
          <w:rFonts w:ascii="Verdana" w:hAnsi="Verdana"/>
          <w:sz w:val="20"/>
          <w:szCs w:val="20"/>
        </w:rPr>
      </w:pPr>
      <w:proofErr w:type="gramStart"/>
      <w:r w:rsidRPr="008A3F6C">
        <w:rPr>
          <w:rFonts w:ascii="Verdana" w:hAnsi="Verdana"/>
          <w:sz w:val="20"/>
          <w:szCs w:val="20"/>
        </w:rPr>
        <w:t>Que</w:t>
      </w:r>
      <w:proofErr w:type="gramEnd"/>
      <w:r w:rsidRPr="008A3F6C">
        <w:rPr>
          <w:rFonts w:ascii="Verdana" w:hAnsi="Verdana"/>
          <w:sz w:val="20"/>
          <w:szCs w:val="20"/>
        </w:rPr>
        <w:t xml:space="preserve"> una vez expuesta la naturaleza jurídica, funciones y estructuración organizacional del Consejo Profesional de Administración de Empresas - CPAE, se permite requerir la siguiente,</w:t>
      </w:r>
    </w:p>
    <w:p w14:paraId="6EF1B021" w14:textId="77777777" w:rsidR="00897CD2" w:rsidRDefault="00897CD2" w:rsidP="00897CD2">
      <w:pPr>
        <w:spacing w:after="0" w:line="240" w:lineRule="auto"/>
        <w:ind w:left="709" w:right="709"/>
        <w:jc w:val="center"/>
        <w:rPr>
          <w:rFonts w:ascii="Verdana" w:hAnsi="Verdana"/>
          <w:sz w:val="20"/>
          <w:szCs w:val="20"/>
        </w:rPr>
      </w:pPr>
    </w:p>
    <w:p w14:paraId="48FECDA9" w14:textId="77777777" w:rsidR="00897CD2" w:rsidRDefault="00897CD2" w:rsidP="00897CD2">
      <w:pPr>
        <w:spacing w:after="0" w:line="240" w:lineRule="auto"/>
        <w:ind w:left="709" w:right="709"/>
        <w:jc w:val="center"/>
        <w:rPr>
          <w:rFonts w:ascii="Verdana" w:hAnsi="Verdana"/>
          <w:b/>
          <w:bCs/>
          <w:sz w:val="20"/>
          <w:szCs w:val="20"/>
        </w:rPr>
      </w:pPr>
      <w:r w:rsidRPr="008A3F6C">
        <w:rPr>
          <w:rFonts w:ascii="Verdana" w:hAnsi="Verdana"/>
          <w:b/>
          <w:bCs/>
          <w:sz w:val="20"/>
          <w:szCs w:val="20"/>
        </w:rPr>
        <w:t>CONSULTA</w:t>
      </w:r>
    </w:p>
    <w:p w14:paraId="7224A6FB" w14:textId="77777777" w:rsidR="00897CD2" w:rsidRPr="008A3F6C" w:rsidRDefault="00897CD2" w:rsidP="00897CD2">
      <w:pPr>
        <w:spacing w:after="0" w:line="240" w:lineRule="auto"/>
        <w:ind w:left="709" w:right="709"/>
        <w:jc w:val="both"/>
        <w:rPr>
          <w:rFonts w:ascii="Verdana" w:hAnsi="Verdana"/>
          <w:sz w:val="20"/>
          <w:szCs w:val="20"/>
        </w:rPr>
      </w:pPr>
    </w:p>
    <w:p w14:paraId="0326DC2E" w14:textId="77777777" w:rsidR="00897CD2" w:rsidRDefault="00897CD2" w:rsidP="00897CD2">
      <w:pPr>
        <w:spacing w:after="0" w:line="240" w:lineRule="auto"/>
        <w:ind w:left="709" w:right="709"/>
        <w:jc w:val="both"/>
        <w:rPr>
          <w:rFonts w:ascii="Verdana" w:hAnsi="Verdana"/>
          <w:sz w:val="20"/>
          <w:szCs w:val="20"/>
        </w:rPr>
      </w:pPr>
      <w:r>
        <w:rPr>
          <w:rFonts w:ascii="Verdana" w:hAnsi="Verdana"/>
          <w:sz w:val="20"/>
          <w:szCs w:val="20"/>
        </w:rPr>
        <w:t xml:space="preserve">(…) </w:t>
      </w:r>
      <w:r w:rsidRPr="008A3F6C">
        <w:rPr>
          <w:rFonts w:ascii="Verdana" w:hAnsi="Verdana"/>
          <w:sz w:val="20"/>
          <w:szCs w:val="20"/>
        </w:rPr>
        <w:t>1. Conforme los postulados de la Ley 60 de 1981, lo reglado por el Decreto 2718 de 1984, así como lo contemplado por la Resolución No. 952 de 2022: ¿El Consejo Profesional de Administración de Empresas – CPAE, hace parte de la</w:t>
      </w:r>
      <w:r>
        <w:rPr>
          <w:rFonts w:ascii="Verdana" w:hAnsi="Verdana"/>
          <w:sz w:val="20"/>
          <w:szCs w:val="20"/>
        </w:rPr>
        <w:t xml:space="preserve"> (sic)</w:t>
      </w:r>
      <w:r w:rsidRPr="008A3F6C">
        <w:rPr>
          <w:rFonts w:ascii="Verdana" w:hAnsi="Verdana"/>
          <w:sz w:val="20"/>
          <w:szCs w:val="20"/>
        </w:rPr>
        <w:t xml:space="preserve"> entidades con restricciones para la contratación pública durante el periodo electoral 2025-2026 conforme las contemplaciones de la Ley 996 de 2005?</w:t>
      </w:r>
    </w:p>
    <w:p w14:paraId="04D980E5" w14:textId="77777777" w:rsidR="00897CD2" w:rsidRDefault="00897CD2" w:rsidP="00897CD2">
      <w:pPr>
        <w:spacing w:after="0" w:line="240" w:lineRule="auto"/>
        <w:ind w:left="709" w:right="709"/>
        <w:jc w:val="both"/>
        <w:rPr>
          <w:rFonts w:ascii="Verdana" w:hAnsi="Verdana"/>
          <w:sz w:val="20"/>
          <w:szCs w:val="20"/>
        </w:rPr>
      </w:pPr>
    </w:p>
    <w:p w14:paraId="27327CCE" w14:textId="77777777" w:rsidR="00897CD2"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 xml:space="preserve">2. De ser positivo el anterior interrogante, ¿desde que fecha y hasta cuando estarían contempladas las restricciones de que trata la Ley 996 de 2005 para este Consejo Profesional? </w:t>
      </w:r>
    </w:p>
    <w:p w14:paraId="56EAAA5D" w14:textId="77777777" w:rsidR="00897CD2" w:rsidRDefault="00897CD2" w:rsidP="00897CD2">
      <w:pPr>
        <w:spacing w:after="0" w:line="240" w:lineRule="auto"/>
        <w:ind w:left="709" w:right="709"/>
        <w:jc w:val="both"/>
        <w:rPr>
          <w:rFonts w:ascii="Verdana" w:hAnsi="Verdana"/>
          <w:sz w:val="20"/>
          <w:szCs w:val="20"/>
        </w:rPr>
      </w:pPr>
    </w:p>
    <w:p w14:paraId="0396A3F1" w14:textId="77777777" w:rsidR="00897CD2" w:rsidRPr="008A3F6C" w:rsidRDefault="00897CD2" w:rsidP="00897CD2">
      <w:pPr>
        <w:spacing w:after="0" w:line="240" w:lineRule="auto"/>
        <w:ind w:left="709" w:right="709"/>
        <w:jc w:val="both"/>
        <w:rPr>
          <w:rFonts w:ascii="Verdana" w:hAnsi="Verdana"/>
          <w:sz w:val="20"/>
          <w:szCs w:val="20"/>
        </w:rPr>
      </w:pPr>
      <w:r w:rsidRPr="008A3F6C">
        <w:rPr>
          <w:rFonts w:ascii="Verdana" w:hAnsi="Verdana"/>
          <w:sz w:val="20"/>
          <w:szCs w:val="20"/>
        </w:rPr>
        <w:t>3. ¿Es posible durante la vigencia de las restricciones de la Ley 996 de 2005, efectuar Convenios Interadministrativos y adjudicar la prestación de servicios por medio de la contratación directa? - Excepciones o recomendaciones</w:t>
      </w:r>
      <w:r>
        <w:rPr>
          <w:rFonts w:ascii="Verdana" w:hAnsi="Verdana"/>
          <w:sz w:val="20"/>
          <w:szCs w:val="20"/>
        </w:rPr>
        <w:t xml:space="preserve"> (…)”</w:t>
      </w:r>
      <w:r w:rsidRPr="008A3F6C">
        <w:rPr>
          <w:rFonts w:ascii="Verdana" w:hAnsi="Verdana"/>
          <w:sz w:val="20"/>
          <w:szCs w:val="20"/>
        </w:rPr>
        <w:t>.</w:t>
      </w:r>
    </w:p>
    <w:p w14:paraId="451C10CB" w14:textId="77777777" w:rsidR="00897CD2" w:rsidRPr="008A3F6C" w:rsidRDefault="00897CD2" w:rsidP="00897CD2">
      <w:pPr>
        <w:spacing w:after="0" w:line="240" w:lineRule="auto"/>
        <w:ind w:left="709" w:right="709"/>
        <w:jc w:val="both"/>
        <w:rPr>
          <w:rFonts w:ascii="Verdana" w:hAnsi="Verdana"/>
          <w:b/>
          <w:bCs/>
          <w:sz w:val="20"/>
          <w:szCs w:val="20"/>
        </w:rPr>
      </w:pPr>
    </w:p>
    <w:p w14:paraId="60BD1715" w14:textId="77777777" w:rsidR="00897CD2" w:rsidRDefault="00897CD2" w:rsidP="00897CD2">
      <w:pPr>
        <w:spacing w:after="120"/>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12B6A94" w14:textId="77777777" w:rsidR="00897CD2" w:rsidRPr="00054383" w:rsidRDefault="00897CD2" w:rsidP="00897CD2">
      <w:pPr>
        <w:spacing w:after="120"/>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los </w:t>
      </w:r>
      <w:r w:rsidRPr="002975A0">
        <w:rPr>
          <w:rFonts w:ascii="Verdana" w:eastAsia="Calibri" w:hAnsi="Verdana" w:cs="Arial"/>
          <w:color w:val="000000"/>
          <w:lang w:eastAsia="es-ES"/>
        </w:rPr>
        <w:t>problema</w:t>
      </w:r>
      <w:r>
        <w:rPr>
          <w:rFonts w:ascii="Verdana" w:eastAsia="Calibri" w:hAnsi="Verdana" w:cs="Arial"/>
          <w:color w:val="000000"/>
          <w:lang w:eastAsia="es-ES"/>
        </w:rPr>
        <w:t>s</w:t>
      </w:r>
      <w:r w:rsidRPr="002975A0">
        <w:rPr>
          <w:rFonts w:ascii="Verdana" w:eastAsia="Calibri" w:hAnsi="Verdana" w:cs="Arial"/>
          <w:color w:val="000000"/>
          <w:lang w:eastAsia="es-ES"/>
        </w:rPr>
        <w:t xml:space="preserve"> jurídico</w:t>
      </w:r>
      <w:r>
        <w:rPr>
          <w:rFonts w:ascii="Verdana" w:eastAsia="Calibri" w:hAnsi="Verdana" w:cs="Arial"/>
          <w:color w:val="000000"/>
          <w:lang w:eastAsia="es-ES"/>
        </w:rPr>
        <w:t>s</w:t>
      </w:r>
      <w:r w:rsidRPr="002975A0">
        <w:rPr>
          <w:rFonts w:ascii="Verdana" w:eastAsia="Calibri" w:hAnsi="Verdana" w:cs="Arial"/>
          <w:color w:val="000000"/>
          <w:lang w:eastAsia="es-ES"/>
        </w:rPr>
        <w:t xml:space="preserve"> de su consulta.</w:t>
      </w:r>
      <w:r w:rsidRPr="008E4F36">
        <w:rPr>
          <w:rFonts w:ascii="Verdana" w:eastAsia="Calibri" w:hAnsi="Verdana" w:cs="Arial"/>
          <w:color w:val="000000"/>
          <w:lang w:eastAsia="es-ES"/>
        </w:rPr>
        <w:t xml:space="preserve">  </w:t>
      </w:r>
    </w:p>
    <w:p w14:paraId="09A48377" w14:textId="77777777" w:rsidR="00897CD2" w:rsidRPr="008E4F36" w:rsidRDefault="00897CD2" w:rsidP="00897CD2">
      <w:pPr>
        <w:spacing w:after="0"/>
        <w:ind w:firstLine="709"/>
        <w:jc w:val="both"/>
        <w:rPr>
          <w:rFonts w:ascii="Verdana" w:eastAsia="Calibri" w:hAnsi="Verdana" w:cs="Arial"/>
          <w:color w:val="000000"/>
          <w:lang w:eastAsia="es-ES"/>
        </w:rPr>
      </w:pPr>
    </w:p>
    <w:p w14:paraId="07541B97" w14:textId="77777777" w:rsidR="00897CD2" w:rsidRDefault="00897CD2" w:rsidP="00897CD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40B31B8A" w14:textId="77777777" w:rsidR="00897CD2" w:rsidRDefault="00897CD2" w:rsidP="00897CD2">
      <w:pPr>
        <w:spacing w:after="0" w:line="276" w:lineRule="auto"/>
        <w:jc w:val="both"/>
        <w:rPr>
          <w:rFonts w:ascii="Verdana" w:eastAsia="Calibri" w:hAnsi="Verdana" w:cs="Arial"/>
          <w:color w:val="000000"/>
          <w:highlight w:val="yellow"/>
          <w:lang w:eastAsia="es-ES"/>
        </w:rPr>
      </w:pPr>
    </w:p>
    <w:p w14:paraId="1C6106FC" w14:textId="2E5E52D7" w:rsidR="00897CD2" w:rsidRPr="00294993" w:rsidRDefault="00897CD2" w:rsidP="00294993">
      <w:pPr>
        <w:spacing w:after="120"/>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los siguientes problemas jurídicos: </w:t>
      </w:r>
      <w:r>
        <w:rPr>
          <w:rFonts w:ascii="Verdana" w:eastAsia="Calibri" w:hAnsi="Verdana" w:cs="Arial"/>
          <w:color w:val="000000"/>
          <w:lang w:eastAsia="es-ES"/>
        </w:rPr>
        <w:t xml:space="preserve">i) </w:t>
      </w:r>
      <w:r w:rsidRPr="004F76F1">
        <w:rPr>
          <w:rFonts w:ascii="Verdana" w:eastAsia="Calibri" w:hAnsi="Verdana" w:cs="Arial"/>
          <w:color w:val="000000"/>
          <w:lang w:eastAsia="es-ES"/>
        </w:rPr>
        <w:t>¿</w:t>
      </w:r>
      <w:r>
        <w:rPr>
          <w:rFonts w:ascii="Verdana" w:eastAsia="Calibri" w:hAnsi="Verdana" w:cs="Arial"/>
          <w:color w:val="000000"/>
          <w:lang w:eastAsia="es-ES"/>
        </w:rPr>
        <w:t>El</w:t>
      </w:r>
      <w:r w:rsidRPr="00FC0BD3">
        <w:rPr>
          <w:rFonts w:ascii="Verdana" w:eastAsia="Calibri" w:hAnsi="Verdana" w:cs="Arial"/>
          <w:color w:val="000000"/>
          <w:lang w:eastAsia="es-ES"/>
        </w:rPr>
        <w:t xml:space="preserve"> Consejo </w:t>
      </w:r>
      <w:r>
        <w:rPr>
          <w:rFonts w:ascii="Verdana" w:eastAsia="Calibri" w:hAnsi="Verdana" w:cs="Arial"/>
          <w:color w:val="000000"/>
          <w:lang w:eastAsia="es-ES"/>
        </w:rPr>
        <w:t xml:space="preserve">Profesional </w:t>
      </w:r>
      <w:r w:rsidRPr="00FC0BD3">
        <w:rPr>
          <w:rFonts w:ascii="Verdana" w:eastAsia="Calibri" w:hAnsi="Verdana" w:cs="Arial"/>
          <w:color w:val="000000"/>
          <w:lang w:eastAsia="es-ES"/>
        </w:rPr>
        <w:t>de Administración de Empresas</w:t>
      </w:r>
      <w:r>
        <w:rPr>
          <w:rFonts w:ascii="Verdana" w:eastAsia="Calibri" w:hAnsi="Verdana" w:cs="Arial"/>
          <w:color w:val="000000"/>
          <w:lang w:eastAsia="es-ES"/>
        </w:rPr>
        <w:t xml:space="preserve"> cuenta con capacidad jurídica para celebrar contratos o convenios? </w:t>
      </w:r>
      <w:proofErr w:type="spellStart"/>
      <w:r>
        <w:rPr>
          <w:rFonts w:ascii="Verdana" w:eastAsia="Calibri" w:hAnsi="Verdana" w:cs="Arial"/>
          <w:color w:val="000000"/>
          <w:lang w:eastAsia="es-ES"/>
        </w:rPr>
        <w:t>ii</w:t>
      </w:r>
      <w:proofErr w:type="spellEnd"/>
      <w:r>
        <w:rPr>
          <w:rFonts w:ascii="Verdana" w:eastAsia="Calibri" w:hAnsi="Verdana" w:cs="Arial"/>
          <w:color w:val="000000"/>
          <w:lang w:eastAsia="es-ES"/>
        </w:rPr>
        <w:t>) ¿</w:t>
      </w:r>
      <w:r w:rsidRPr="004F76F1">
        <w:rPr>
          <w:rFonts w:ascii="Verdana" w:eastAsia="Calibri" w:hAnsi="Verdana" w:cs="Arial"/>
          <w:color w:val="000000"/>
          <w:lang w:eastAsia="es-ES"/>
        </w:rPr>
        <w:t xml:space="preserve">La Ley </w:t>
      </w:r>
      <w:r w:rsidRPr="00FC0BD3">
        <w:rPr>
          <w:rFonts w:ascii="Verdana" w:eastAsia="Calibri" w:hAnsi="Verdana" w:cs="Arial"/>
          <w:color w:val="000000"/>
          <w:lang w:eastAsia="es-ES"/>
        </w:rPr>
        <w:lastRenderedPageBreak/>
        <w:t xml:space="preserve">996 de 2005 le es aplicable al Consejo </w:t>
      </w:r>
      <w:r>
        <w:rPr>
          <w:rFonts w:ascii="Verdana" w:eastAsia="Calibri" w:hAnsi="Verdana" w:cs="Arial"/>
          <w:color w:val="000000"/>
          <w:lang w:eastAsia="es-ES"/>
        </w:rPr>
        <w:t xml:space="preserve">Profesional </w:t>
      </w:r>
      <w:r w:rsidRPr="00FC0BD3">
        <w:rPr>
          <w:rFonts w:ascii="Verdana" w:eastAsia="Calibri" w:hAnsi="Verdana" w:cs="Arial"/>
          <w:color w:val="000000"/>
          <w:lang w:eastAsia="es-ES"/>
        </w:rPr>
        <w:t>de Administración de Empresas</w:t>
      </w:r>
      <w:r>
        <w:rPr>
          <w:rFonts w:ascii="Verdana" w:eastAsia="Calibri" w:hAnsi="Verdana" w:cs="Arial"/>
          <w:color w:val="000000"/>
          <w:lang w:eastAsia="es-ES"/>
        </w:rPr>
        <w:t xml:space="preserve">? </w:t>
      </w:r>
    </w:p>
    <w:p w14:paraId="5155BF2C" w14:textId="77777777" w:rsidR="00897CD2" w:rsidRDefault="00897CD2" w:rsidP="00897CD2">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6193DBB7" w14:textId="77777777" w:rsidR="00897CD2" w:rsidRPr="008E4F36" w:rsidRDefault="00897CD2" w:rsidP="00897CD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897CD2" w:rsidRPr="008E4F36" w14:paraId="78C8E655" w14:textId="77777777" w:rsidTr="006D4C4F">
        <w:tc>
          <w:tcPr>
            <w:tcW w:w="8828" w:type="dxa"/>
          </w:tcPr>
          <w:p w14:paraId="0060E86E" w14:textId="77777777" w:rsidR="00897CD2" w:rsidRDefault="00897CD2" w:rsidP="005D7A3D">
            <w:pPr>
              <w:tabs>
                <w:tab w:val="left" w:pos="426"/>
              </w:tabs>
              <w:spacing w:after="120" w:line="276" w:lineRule="auto"/>
              <w:jc w:val="both"/>
              <w:rPr>
                <w:rFonts w:ascii="Verdana" w:eastAsia="Arial" w:hAnsi="Verdana" w:cs="Arial"/>
                <w:lang w:val="es-ES"/>
              </w:rPr>
            </w:pPr>
            <w:r>
              <w:rPr>
                <w:rFonts w:ascii="Verdana" w:hAnsi="Verdana" w:cs="Arial"/>
                <w:color w:val="000000" w:themeColor="text1"/>
                <w:lang w:val="es-ES"/>
              </w:rPr>
              <w:t>U</w:t>
            </w:r>
            <w:r w:rsidRPr="00095793">
              <w:rPr>
                <w:rFonts w:ascii="Verdana" w:eastAsia="Arial" w:hAnsi="Verdana" w:cs="Arial"/>
                <w:lang w:val="es-ES"/>
              </w:rPr>
              <w:t xml:space="preserve">no de los presupuestos para celebrar un contrato estatal, al igual que para celebrar cualquier otro negocio jurídico de forma válida, es el de gozar de capacidad jurídica entendida como la aptitud de un sujeto para ser titular de derecho y obligaciones, </w:t>
            </w:r>
            <w:r w:rsidRPr="00095793">
              <w:rPr>
                <w:rFonts w:ascii="Verdana" w:eastAsia="Arial" w:hAnsi="Verdana" w:cs="Arial"/>
                <w:spacing w:val="3"/>
                <w:lang w:val="es-ES"/>
              </w:rPr>
              <w:t xml:space="preserve">de </w:t>
            </w:r>
            <w:r w:rsidRPr="00095793">
              <w:rPr>
                <w:rFonts w:ascii="Verdana" w:eastAsia="Arial" w:hAnsi="Verdana" w:cs="Arial"/>
                <w:lang w:val="es-ES"/>
              </w:rPr>
              <w:t>ejercer o exigir los primeros y contraer las segundas en forma personal y de comparecer en juicio.</w:t>
            </w:r>
          </w:p>
          <w:p w14:paraId="20C17B7C" w14:textId="77777777" w:rsidR="00897CD2" w:rsidRDefault="00897CD2" w:rsidP="005D7A3D">
            <w:pPr>
              <w:tabs>
                <w:tab w:val="left" w:pos="426"/>
              </w:tabs>
              <w:spacing w:after="120" w:line="276" w:lineRule="auto"/>
              <w:ind w:firstLine="709"/>
              <w:jc w:val="both"/>
              <w:rPr>
                <w:rFonts w:ascii="Verdana" w:hAnsi="Verdana" w:cs="Arial"/>
              </w:rPr>
            </w:pPr>
            <w:r w:rsidRPr="00DF54D1">
              <w:rPr>
                <w:rFonts w:ascii="Verdana" w:hAnsi="Verdana" w:cs="Arial"/>
              </w:rPr>
              <w:t>Los consejos profesionales son órganos creados por el Estado para ejercer la función de inspección y vigilancia sobre las profesiones. Su creación es legal, generalmente sin personería jurídica, adscritos a un ministerio y su conformación está integrada por servidores públicos y particulares que representan a los que ejercen la profesión, con la finalidad de controlar o supervisar el adecuado ejercicio de la misma, según las reglas y principios que le resultan aplicables, función que tiene sustento en la potestad de regulación legal y de inspección y vigilancia de las autoridades sobre el libre ejercicio de las profesiones en Colombia según el artículo 26 de la Constitución Política.</w:t>
            </w:r>
          </w:p>
          <w:p w14:paraId="39AB0E61" w14:textId="77777777" w:rsidR="00897CD2" w:rsidRDefault="00897CD2" w:rsidP="005D7A3D">
            <w:pPr>
              <w:tabs>
                <w:tab w:val="left" w:pos="426"/>
              </w:tabs>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C</w:t>
            </w:r>
            <w:r w:rsidRPr="00581F13">
              <w:rPr>
                <w:rFonts w:ascii="Verdana" w:eastAsia="Calibri" w:hAnsi="Verdana" w:cs="Arial"/>
                <w:color w:val="000000" w:themeColor="text1"/>
                <w:lang w:val="es-ES_tradnl"/>
              </w:rPr>
              <w:t xml:space="preserve">uando la ley crea </w:t>
            </w:r>
            <w:r>
              <w:rPr>
                <w:rFonts w:ascii="Verdana" w:eastAsia="Calibri" w:hAnsi="Verdana" w:cs="Arial"/>
                <w:color w:val="000000" w:themeColor="text1"/>
                <w:lang w:val="es-ES_tradnl"/>
              </w:rPr>
              <w:t xml:space="preserve">los </w:t>
            </w:r>
            <w:r w:rsidRPr="00581F13">
              <w:rPr>
                <w:rFonts w:ascii="Verdana" w:eastAsia="Calibri" w:hAnsi="Verdana" w:cs="Arial"/>
                <w:color w:val="000000" w:themeColor="text1"/>
                <w:lang w:val="es-ES_tradnl"/>
              </w:rPr>
              <w:t xml:space="preserve">consejos profesionales sin personería jurídica, estos se constituyen como órganos estatales especiales del sector central nacional de la Administración Pública, titulares de la función administrativa de inspección y vigilancia del ejercicio de las profesiones, pero que, por regla general, carecen de capacidad legal para celebrar contratos, salvo aquellos casos en que la ley de creación o una ley especial les otorgue dicha capacidad, sin que sea posible que la capacidad legal para contratar tenga origen en una norma de inferior jerarquía. </w:t>
            </w:r>
          </w:p>
          <w:p w14:paraId="7253684A" w14:textId="77777777" w:rsidR="00897CD2" w:rsidRDefault="00897CD2" w:rsidP="005D7A3D">
            <w:pPr>
              <w:tabs>
                <w:tab w:val="left" w:pos="426"/>
              </w:tabs>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S</w:t>
            </w:r>
            <w:r w:rsidRPr="00B77FA7">
              <w:rPr>
                <w:rFonts w:ascii="Verdana" w:eastAsia="Calibri" w:hAnsi="Verdana" w:cs="Arial"/>
                <w:color w:val="000000" w:themeColor="text1"/>
                <w:lang w:val="es-ES_tradnl"/>
              </w:rPr>
              <w:t xml:space="preserve">e concluye que este es un órgano estatal especial, atípico, que cumple función administrativa en el sector central nacional de la Rama Ejecutiva del Poder Público, presidido por el </w:t>
            </w:r>
            <w:r>
              <w:rPr>
                <w:rFonts w:ascii="Verdana" w:eastAsia="Calibri" w:hAnsi="Verdana" w:cs="Arial"/>
                <w:color w:val="000000" w:themeColor="text1"/>
                <w:lang w:val="es-ES_tradnl"/>
              </w:rPr>
              <w:t>Ministerio de Comercio, Industria y Turismo</w:t>
            </w:r>
            <w:r w:rsidRPr="00B77FA7">
              <w:rPr>
                <w:rFonts w:ascii="Verdana" w:eastAsia="Calibri" w:hAnsi="Verdana" w:cs="Arial"/>
                <w:color w:val="000000" w:themeColor="text1"/>
                <w:lang w:val="es-ES_tradnl"/>
              </w:rPr>
              <w:t xml:space="preserve">, que no goza del atributo de la personalidad jurídica y, por consiguiente, no tiene capacidad legal para celebrar contratos pues, no fue previsto con esa facultad en el EGCAP, en leyes especiales, ni en la norma de su creación. Por lo anterior, al no tener capacidad jurídica para contratar no está sujeto a las normas que rigen los contratos estatales. </w:t>
            </w:r>
          </w:p>
          <w:p w14:paraId="04D4E2E9" w14:textId="77777777" w:rsidR="00897CD2" w:rsidRDefault="00897CD2" w:rsidP="005D7A3D">
            <w:pPr>
              <w:tabs>
                <w:tab w:val="left" w:pos="426"/>
              </w:tabs>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lastRenderedPageBreak/>
              <w:t xml:space="preserve">En ese escenario, ante la ausencia de la capacidad jurídica para celebrar contratos estatales, convenios o contratos interadministrativos, la Ley 996 de 2005, conocida como la ley de garantías, no resulta aplicable para el Consejo Profesional de Administración de Empresas.  </w:t>
            </w:r>
          </w:p>
          <w:p w14:paraId="7611BA37" w14:textId="02E7BBF1" w:rsidR="00897CD2" w:rsidRDefault="00897CD2" w:rsidP="005D7A3D">
            <w:pPr>
              <w:tabs>
                <w:tab w:val="left" w:pos="426"/>
              </w:tabs>
              <w:spacing w:after="120" w:line="276" w:lineRule="auto"/>
              <w:ind w:firstLine="709"/>
              <w:jc w:val="both"/>
              <w:rPr>
                <w:rFonts w:ascii="Verdana" w:eastAsia="Calibri" w:hAnsi="Verdana" w:cs="Arial"/>
                <w:color w:val="000000" w:themeColor="text1"/>
                <w:lang w:val="es-ES"/>
              </w:rPr>
            </w:pPr>
            <w:r w:rsidRPr="55C46561">
              <w:rPr>
                <w:rFonts w:ascii="Verdana" w:eastAsia="Calibri" w:hAnsi="Verdana" w:cs="Arial"/>
                <w:color w:val="000000" w:themeColor="text1"/>
                <w:lang w:val="es-ES"/>
              </w:rPr>
              <w:t xml:space="preserve">Sin embargo, ante la existencia de celebración de convenios y contratos por parte del consejo profesional y carecer de capacidad jurídica para ello, se evidencia una nulidad absoluta. Pese a ello, el Consejo de Estado en el concepto referenciado </w:t>
            </w:r>
            <w:r w:rsidR="00062B55" w:rsidRPr="55C46561">
              <w:rPr>
                <w:rFonts w:ascii="Verdana" w:eastAsia="Calibri" w:hAnsi="Verdana" w:cs="Arial"/>
                <w:color w:val="000000" w:themeColor="text1"/>
                <w:lang w:val="es-ES"/>
              </w:rPr>
              <w:t>en el presente escrito</w:t>
            </w:r>
            <w:r w:rsidRPr="55C46561">
              <w:rPr>
                <w:rFonts w:ascii="Verdana" w:eastAsia="Calibri" w:hAnsi="Verdana" w:cs="Arial"/>
                <w:color w:val="000000" w:themeColor="text1"/>
                <w:lang w:val="es-ES"/>
              </w:rPr>
              <w:t xml:space="preserve"> indicó que, para efectos de buscar una solución práctica que permita salvaguardar los intereses del Estado y de terceros de buena fe, resultan aplicables el principio de la confianza legítima y las teorías del acto propio y de la apariencia explicados por la jurisprudencia y la doctrina nacional y extranjera. En este contexto será el ministro o un delegado quien tiene la función de presidirlo.</w:t>
            </w:r>
          </w:p>
          <w:p w14:paraId="2121CB51" w14:textId="77777777" w:rsidR="00897CD2" w:rsidRDefault="00897CD2" w:rsidP="006D4C4F">
            <w:pPr>
              <w:spacing w:line="276" w:lineRule="auto"/>
              <w:ind w:firstLine="709"/>
              <w:jc w:val="both"/>
              <w:rPr>
                <w:rFonts w:ascii="Verdana" w:hAnsi="Verdana" w:cs="Arial"/>
              </w:rPr>
            </w:pPr>
            <w:r>
              <w:rPr>
                <w:rFonts w:ascii="Verdana" w:hAnsi="Verdana" w:cs="Arial"/>
              </w:rPr>
              <w:t xml:space="preserve">En ese sentido, </w:t>
            </w:r>
            <w:r w:rsidRPr="00E4092E">
              <w:rPr>
                <w:rFonts w:ascii="Verdana" w:hAnsi="Verdana" w:cs="Arial"/>
              </w:rPr>
              <w:t>los actos citados son un fundamento objetivo de una apariencia, generadora de confianza que después puede ser contradicha, pero que finalmente vincula jurídicamente al Ministerio, como quiera que de buena fe no podría sustraerse al cumplimiento de un convenio o contrato celebrado con ocasión del mencionado “acuerdo”, en la medida en que con tal actuación se transgredirían los principios de confianza legítima y el respeto a sus propios actos.</w:t>
            </w:r>
          </w:p>
          <w:p w14:paraId="2881954E" w14:textId="77777777" w:rsidR="00897CD2" w:rsidRDefault="00897CD2" w:rsidP="005D7A3D">
            <w:pPr>
              <w:spacing w:after="120" w:line="276" w:lineRule="auto"/>
              <w:ind w:firstLine="709"/>
              <w:jc w:val="both"/>
              <w:rPr>
                <w:rFonts w:ascii="Verdana" w:hAnsi="Verdana" w:cs="Arial"/>
              </w:rPr>
            </w:pPr>
            <w:r>
              <w:rPr>
                <w:rFonts w:ascii="Verdana" w:hAnsi="Verdana" w:cs="Arial"/>
              </w:rPr>
              <w:t xml:space="preserve">En este escenario y entendiendo que sería el Ministerio de Comercio, Industria y Turismo quien debe liderar la celebración de contratos y/o convenios interadministrativos, será esta cartera ministerial la llamada a cumplir lo dispuesto en la Ley 906 de 2005. </w:t>
            </w:r>
          </w:p>
          <w:p w14:paraId="0E4991A1" w14:textId="77777777" w:rsidR="00897CD2" w:rsidRDefault="00897CD2" w:rsidP="005D7A3D">
            <w:pPr>
              <w:spacing w:after="120" w:line="276" w:lineRule="auto"/>
              <w:ind w:firstLine="709"/>
              <w:jc w:val="both"/>
              <w:rPr>
                <w:rFonts w:ascii="Verdana" w:hAnsi="Verdana" w:cs="Arial"/>
              </w:rPr>
            </w:pPr>
            <w:r>
              <w:rPr>
                <w:rFonts w:ascii="Verdana" w:hAnsi="Verdana" w:cs="Arial"/>
              </w:rPr>
              <w:t>L</w:t>
            </w:r>
            <w:r w:rsidRPr="00D26499">
              <w:rPr>
                <w:rFonts w:ascii="Verdana" w:hAnsi="Verdana" w:cs="Arial"/>
              </w:rPr>
              <w:t xml:space="preserve">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w:t>
            </w:r>
            <w:r w:rsidRPr="00D26499">
              <w:rPr>
                <w:rFonts w:ascii="Verdana" w:hAnsi="Verdana" w:cs="Arial"/>
              </w:rPr>
              <w:lastRenderedPageBreak/>
              <w:t>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7647B1F" w14:textId="77777777" w:rsidR="00897CD2" w:rsidRDefault="00897CD2" w:rsidP="005D7A3D">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eastAsia="x-none"/>
              </w:rPr>
              <w:t>P</w:t>
            </w:r>
            <w:r w:rsidRPr="00C8410A">
              <w:rPr>
                <w:rFonts w:ascii="Verdana" w:eastAsia="Times New Roman" w:hAnsi="Verdana" w:cs="Arial"/>
                <w:bCs/>
                <w:lang w:eastAsia="x-none"/>
              </w:rPr>
              <w:t>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bCs/>
                <w:lang w:eastAsia="x-none"/>
              </w:rPr>
              <w:t>.</w:t>
            </w:r>
          </w:p>
          <w:p w14:paraId="24D41F7E" w14:textId="739CCB62" w:rsidR="00897CD2" w:rsidRPr="00A06828" w:rsidRDefault="00897CD2" w:rsidP="005D7A3D">
            <w:pPr>
              <w:shd w:val="clear" w:color="auto" w:fill="FFFFFF"/>
              <w:spacing w:after="120" w:line="276" w:lineRule="auto"/>
              <w:ind w:firstLine="709"/>
              <w:jc w:val="both"/>
              <w:rPr>
                <w:rFonts w:ascii="Verdana" w:eastAsia="Times New Roman" w:hAnsi="Verdana" w:cs="Arial"/>
                <w:bCs/>
                <w:lang w:eastAsia="es-CO"/>
              </w:rPr>
            </w:pPr>
            <w:r>
              <w:rPr>
                <w:rFonts w:ascii="Verdana" w:eastAsia="Times New Roman" w:hAnsi="Verdana" w:cs="Arial"/>
                <w:bCs/>
                <w:lang w:eastAsia="es-CO"/>
              </w:rPr>
              <w:t>Por último</w:t>
            </w:r>
            <w:r w:rsidRPr="004F76F1">
              <w:rPr>
                <w:rFonts w:ascii="Verdana" w:eastAsia="Times New Roman" w:hAnsi="Verdana" w:cs="Arial"/>
                <w:bCs/>
                <w:lang w:eastAsia="es-CO"/>
              </w:rPr>
              <w:t xml:space="preserve">, la Agencia advierte que para el año 2026 están programadas las elecciones para elegir miembros del Congreso de la República, así como las jornadas para la elección del </w:t>
            </w:r>
            <w:proofErr w:type="gramStart"/>
            <w:r w:rsidRPr="004F76F1">
              <w:rPr>
                <w:rFonts w:ascii="Verdana" w:eastAsia="Times New Roman" w:hAnsi="Verdana" w:cs="Arial"/>
                <w:bCs/>
                <w:lang w:eastAsia="es-CO"/>
              </w:rPr>
              <w:t>Presidente</w:t>
            </w:r>
            <w:proofErr w:type="gramEnd"/>
            <w:r w:rsidRPr="004F76F1">
              <w:rPr>
                <w:rFonts w:ascii="Verdana" w:eastAsia="Times New Roman" w:hAnsi="Verdana" w:cs="Arial"/>
                <w:bCs/>
                <w:lang w:eastAsia="es-CO"/>
              </w:rPr>
              <w:t xml:space="preserve"> y </w:t>
            </w:r>
            <w:proofErr w:type="gramStart"/>
            <w:r w:rsidRPr="004F76F1">
              <w:rPr>
                <w:rFonts w:ascii="Verdana" w:eastAsia="Times New Roman" w:hAnsi="Verdana" w:cs="Arial"/>
                <w:bCs/>
                <w:lang w:eastAsia="es-CO"/>
              </w:rPr>
              <w:t>Vicepresidente</w:t>
            </w:r>
            <w:proofErr w:type="gramEnd"/>
            <w:r w:rsidRPr="004F76F1">
              <w:rPr>
                <w:rFonts w:ascii="Verdana" w:eastAsia="Times New Roman" w:hAnsi="Verdana" w:cs="Arial"/>
                <w:bCs/>
                <w:lang w:eastAsia="es-CO"/>
              </w:rPr>
              <w:t xml:space="preserve"> de la República. Las primeras para el 8 de marzo de 2026 y las segundas para el 31 de mayo del mismo año, respectivamente. De esta manera, durante el periodo preelectoral de elección al Congreso de la República aplicará, únicamente, la prohibición del parágrafo 38</w:t>
            </w:r>
            <w:r>
              <w:rPr>
                <w:rFonts w:ascii="Verdana" w:eastAsia="Times New Roman" w:hAnsi="Verdana" w:cs="Arial"/>
                <w:bCs/>
                <w:lang w:eastAsia="es-CO"/>
              </w:rPr>
              <w:t>, la cual inicia a partir del 8 de noviembre de 2025 y se extenderá hasta el mismo día de la jornada electoral</w:t>
            </w:r>
            <w:r w:rsidRPr="004F76F1">
              <w:rPr>
                <w:rFonts w:ascii="Verdana" w:eastAsia="Times New Roman" w:hAnsi="Verdana" w:cs="Arial"/>
                <w:bCs/>
                <w:lang w:eastAsia="es-CO"/>
              </w:rPr>
              <w:t xml:space="preserve">. </w:t>
            </w:r>
            <w:r>
              <w:rPr>
                <w:rFonts w:ascii="Verdana" w:eastAsia="Times New Roman" w:hAnsi="Verdana" w:cs="Arial"/>
                <w:bCs/>
                <w:lang w:eastAsia="es-CO"/>
              </w:rPr>
              <w:t>Por su parte, respecto d</w:t>
            </w:r>
            <w:r w:rsidRPr="004F76F1">
              <w:rPr>
                <w:rFonts w:ascii="Verdana" w:eastAsia="Times New Roman" w:hAnsi="Verdana" w:cs="Arial"/>
                <w:bCs/>
                <w:lang w:eastAsia="es-CO"/>
              </w:rPr>
              <w:t xml:space="preserve">el periodo preelectoral para la elección de </w:t>
            </w:r>
            <w:proofErr w:type="gramStart"/>
            <w:r w:rsidRPr="004F76F1">
              <w:rPr>
                <w:rFonts w:ascii="Verdana" w:eastAsia="Times New Roman" w:hAnsi="Verdana" w:cs="Arial"/>
                <w:bCs/>
                <w:lang w:eastAsia="es-CO"/>
              </w:rPr>
              <w:t>Presidente</w:t>
            </w:r>
            <w:proofErr w:type="gramEnd"/>
            <w:r w:rsidRPr="004F76F1">
              <w:rPr>
                <w:rFonts w:ascii="Verdana" w:eastAsia="Times New Roman" w:hAnsi="Verdana" w:cs="Arial"/>
                <w:bCs/>
                <w:lang w:eastAsia="es-CO"/>
              </w:rPr>
              <w:t xml:space="preserve"> y </w:t>
            </w:r>
            <w:proofErr w:type="gramStart"/>
            <w:r w:rsidRPr="004F76F1">
              <w:rPr>
                <w:rFonts w:ascii="Verdana" w:eastAsia="Times New Roman" w:hAnsi="Verdana" w:cs="Arial"/>
                <w:bCs/>
                <w:lang w:eastAsia="es-CO"/>
              </w:rPr>
              <w:t>Vicepresidente</w:t>
            </w:r>
            <w:proofErr w:type="gramEnd"/>
            <w:r w:rsidRPr="004F76F1">
              <w:rPr>
                <w:rFonts w:ascii="Verdana" w:eastAsia="Times New Roman" w:hAnsi="Verdana" w:cs="Arial"/>
                <w:bCs/>
                <w:lang w:eastAsia="es-CO"/>
              </w:rPr>
              <w:t>, deberán aplicarse ambas restricciones, es decir, tanto la del parágrafo del artículo 38 como la del artículo 33 de la Ley de Garantías</w:t>
            </w:r>
            <w:r>
              <w:rPr>
                <w:rFonts w:ascii="Verdana" w:eastAsia="Times New Roman" w:hAnsi="Verdana" w:cs="Arial"/>
                <w:bCs/>
                <w:lang w:eastAsia="es-CO"/>
              </w:rPr>
              <w:t xml:space="preserve"> y la restricción iniciará a partir del 31 de enero de 2026 hasta el día de la jornada electoral, empero, si procede</w:t>
            </w:r>
            <w:r w:rsidR="00294993">
              <w:rPr>
                <w:rFonts w:ascii="Verdana" w:eastAsia="Times New Roman" w:hAnsi="Verdana" w:cs="Arial"/>
                <w:bCs/>
                <w:lang w:eastAsia="es-CO"/>
              </w:rPr>
              <w:t>n</w:t>
            </w:r>
            <w:r>
              <w:rPr>
                <w:rFonts w:ascii="Verdana" w:eastAsia="Times New Roman" w:hAnsi="Verdana" w:cs="Arial"/>
                <w:bCs/>
                <w:lang w:eastAsia="es-CO"/>
              </w:rPr>
              <w:t xml:space="preserve"> las elecciones de segunda vuelta electoral, la restricción se ampliará hasta el 21 de junio de 2026</w:t>
            </w:r>
            <w:r w:rsidRPr="004F76F1">
              <w:rPr>
                <w:rFonts w:ascii="Verdana" w:eastAsia="Times New Roman" w:hAnsi="Verdana" w:cs="Arial"/>
                <w:bCs/>
                <w:lang w:eastAsia="es-CO"/>
              </w:rPr>
              <w:t xml:space="preserve">. </w:t>
            </w:r>
          </w:p>
        </w:tc>
      </w:tr>
    </w:tbl>
    <w:p w14:paraId="4E39489C" w14:textId="77777777" w:rsidR="00897CD2" w:rsidRDefault="00897CD2" w:rsidP="00897CD2">
      <w:pPr>
        <w:tabs>
          <w:tab w:val="left" w:pos="142"/>
          <w:tab w:val="left" w:pos="284"/>
        </w:tabs>
        <w:spacing w:after="0" w:line="276" w:lineRule="auto"/>
        <w:jc w:val="both"/>
        <w:rPr>
          <w:rFonts w:ascii="Verdana" w:eastAsia="Century Gothic" w:hAnsi="Verdana" w:cs="Century Gothic"/>
          <w:b/>
          <w:bCs/>
        </w:rPr>
      </w:pPr>
    </w:p>
    <w:p w14:paraId="06A35AB9" w14:textId="77777777" w:rsidR="00897CD2" w:rsidRPr="008E4F36" w:rsidRDefault="00897CD2" w:rsidP="00897CD2">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43DC1AB6" w14:textId="77777777" w:rsidR="00897CD2" w:rsidRDefault="00897CD2" w:rsidP="00897CD2">
      <w:pPr>
        <w:pStyle w:val="Prrafodelista"/>
        <w:tabs>
          <w:tab w:val="left" w:pos="142"/>
          <w:tab w:val="left" w:pos="284"/>
        </w:tabs>
        <w:spacing w:after="0" w:line="276" w:lineRule="auto"/>
        <w:ind w:left="0"/>
        <w:contextualSpacing w:val="0"/>
        <w:jc w:val="both"/>
        <w:rPr>
          <w:rFonts w:ascii="Verdana" w:eastAsia="Calibri" w:hAnsi="Verdana" w:cs="Arial"/>
        </w:rPr>
      </w:pPr>
    </w:p>
    <w:p w14:paraId="6DF99819" w14:textId="77777777" w:rsidR="00897CD2" w:rsidRDefault="00897CD2" w:rsidP="00897CD2">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1B4CEB13" w14:textId="77777777" w:rsidR="00897CD2" w:rsidRDefault="00897CD2" w:rsidP="00897CD2">
      <w:pPr>
        <w:pStyle w:val="Prrafodelista"/>
        <w:tabs>
          <w:tab w:val="left" w:pos="142"/>
          <w:tab w:val="left" w:pos="284"/>
        </w:tabs>
        <w:spacing w:after="0" w:line="240" w:lineRule="auto"/>
        <w:ind w:left="0"/>
        <w:contextualSpacing w:val="0"/>
        <w:jc w:val="both"/>
        <w:rPr>
          <w:rFonts w:ascii="Verdana" w:eastAsia="Calibri" w:hAnsi="Verdana" w:cs="Arial"/>
        </w:rPr>
      </w:pPr>
    </w:p>
    <w:p w14:paraId="70E2F245" w14:textId="77777777" w:rsidR="00897CD2" w:rsidRPr="00E17076" w:rsidRDefault="00897CD2" w:rsidP="00897CD2">
      <w:pPr>
        <w:spacing w:after="120"/>
        <w:contextualSpacing/>
        <w:jc w:val="both"/>
        <w:rPr>
          <w:rFonts w:ascii="Verdana" w:eastAsia="Times New Roman" w:hAnsi="Verdana" w:cs="Arial"/>
          <w:color w:val="000000" w:themeColor="text1"/>
          <w:lang w:val="es-ES" w:eastAsia="es-ES_tradnl"/>
        </w:rPr>
      </w:pPr>
      <w:bookmarkStart w:id="10" w:name="_Hlk113524986"/>
      <w:bookmarkStart w:id="11" w:name="_Hlk204854194"/>
      <w:r w:rsidRPr="00E17076">
        <w:rPr>
          <w:rFonts w:ascii="Verdana" w:eastAsia="Times New Roman" w:hAnsi="Verdana" w:cs="Arial"/>
          <w:color w:val="000000" w:themeColor="text1"/>
          <w:lang w:val="es-ES" w:eastAsia="es-ES_tradnl"/>
        </w:rPr>
        <w:t xml:space="preserve">El ámbito de aplicación del EGCAP se encuentra en gran medida determinado por lo dispuesto en el artículo 2 de la Ley 80 de 1993. Dicha norma, consta de tres numerales a través de los cuales se encarga de establecer lo que se entiende por entidades estatales, servidores públicos y servicios, en el contexto del referido cuerpo normativo. </w:t>
      </w:r>
      <w:bookmarkEnd w:id="10"/>
      <w:r w:rsidRPr="00E17076">
        <w:rPr>
          <w:rFonts w:ascii="Verdana" w:eastAsia="Times New Roman" w:hAnsi="Verdana" w:cs="Arial"/>
          <w:color w:val="000000" w:themeColor="text1"/>
          <w:lang w:val="es-ES" w:eastAsia="es-ES_tradnl"/>
        </w:rPr>
        <w:t>Al respecto, resulta particularmente relevante lo dispuesto en el literal a) del numeral 1, el cual reza lo siguiente:</w:t>
      </w:r>
    </w:p>
    <w:p w14:paraId="4D752E03" w14:textId="77777777" w:rsidR="00897CD2" w:rsidRPr="00255BD1" w:rsidRDefault="00897CD2" w:rsidP="00897CD2">
      <w:pPr>
        <w:spacing w:line="276" w:lineRule="auto"/>
        <w:contextualSpacing/>
        <w:jc w:val="both"/>
        <w:rPr>
          <w:rFonts w:ascii="Arial" w:eastAsia="Times New Roman" w:hAnsi="Arial" w:cs="Arial"/>
          <w:color w:val="000000" w:themeColor="text1"/>
          <w:lang w:val="es-ES" w:eastAsia="es-ES_tradnl"/>
        </w:rPr>
      </w:pPr>
    </w:p>
    <w:p w14:paraId="23730720" w14:textId="77777777" w:rsidR="00897CD2" w:rsidRPr="00E17076" w:rsidRDefault="00897CD2" w:rsidP="00897CD2">
      <w:pPr>
        <w:ind w:left="709" w:right="709"/>
        <w:contextualSpacing/>
        <w:jc w:val="both"/>
        <w:rPr>
          <w:rFonts w:ascii="Verdana" w:hAnsi="Verdana" w:cs="Arial"/>
          <w:color w:val="000000"/>
          <w:sz w:val="20"/>
          <w:szCs w:val="20"/>
        </w:rPr>
      </w:pPr>
      <w:r w:rsidRPr="00E17076">
        <w:rPr>
          <w:rFonts w:ascii="Verdana" w:hAnsi="Verdana" w:cs="Arial"/>
          <w:color w:val="000000"/>
          <w:sz w:val="20"/>
          <w:szCs w:val="20"/>
          <w:lang w:eastAsia="es-MX"/>
        </w:rPr>
        <w:lastRenderedPageBreak/>
        <w:t xml:space="preserve">“(…) </w:t>
      </w:r>
      <w:r w:rsidRPr="00E17076">
        <w:rPr>
          <w:rFonts w:ascii="Verdana" w:hAnsi="Verdana" w:cs="Arial"/>
          <w:color w:val="000000"/>
          <w:sz w:val="20"/>
          <w:szCs w:val="20"/>
        </w:rPr>
        <w:t>Artículo 2o. De la definición de entidades, servidores y servicios públicos.</w:t>
      </w:r>
      <w:r w:rsidRPr="00E17076">
        <w:rPr>
          <w:rFonts w:ascii="Verdana" w:hAnsi="Verdana" w:cs="Arial"/>
          <w:b/>
          <w:bCs/>
          <w:color w:val="000000"/>
          <w:sz w:val="20"/>
          <w:szCs w:val="20"/>
        </w:rPr>
        <w:t xml:space="preserve"> </w:t>
      </w:r>
      <w:r w:rsidRPr="00E17076">
        <w:rPr>
          <w:rFonts w:ascii="Verdana" w:hAnsi="Verdana" w:cs="Arial"/>
          <w:color w:val="000000"/>
          <w:sz w:val="20"/>
          <w:szCs w:val="20"/>
        </w:rPr>
        <w:t>Para los solos efectos de esta ley: </w:t>
      </w:r>
    </w:p>
    <w:p w14:paraId="0EE52EE5" w14:textId="77777777" w:rsidR="00897CD2" w:rsidRPr="00E17076" w:rsidRDefault="00897CD2" w:rsidP="00897CD2">
      <w:pPr>
        <w:ind w:left="709" w:right="709"/>
        <w:contextualSpacing/>
        <w:jc w:val="both"/>
        <w:rPr>
          <w:rFonts w:ascii="Verdana" w:eastAsia="Times New Roman" w:hAnsi="Verdana" w:cs="Arial"/>
          <w:color w:val="000000" w:themeColor="text1"/>
          <w:sz w:val="20"/>
          <w:szCs w:val="20"/>
          <w:lang w:val="es-ES" w:eastAsia="es-ES_tradnl"/>
        </w:rPr>
      </w:pPr>
    </w:p>
    <w:p w14:paraId="0944B99F" w14:textId="77777777" w:rsidR="00897CD2" w:rsidRPr="00E17076" w:rsidRDefault="00897CD2" w:rsidP="00897CD2">
      <w:pPr>
        <w:ind w:left="709" w:right="709"/>
        <w:contextualSpacing/>
        <w:jc w:val="both"/>
        <w:rPr>
          <w:rFonts w:ascii="Verdana" w:hAnsi="Verdana" w:cs="Arial"/>
          <w:color w:val="000000"/>
          <w:sz w:val="20"/>
          <w:szCs w:val="20"/>
        </w:rPr>
      </w:pPr>
      <w:r w:rsidRPr="00E17076">
        <w:rPr>
          <w:rFonts w:ascii="Verdana" w:hAnsi="Verdana" w:cs="Arial"/>
          <w:color w:val="000000"/>
          <w:sz w:val="20"/>
          <w:szCs w:val="20"/>
        </w:rPr>
        <w:t>1o. Se denominan entidades estatales: </w:t>
      </w:r>
    </w:p>
    <w:p w14:paraId="2C91C59B" w14:textId="77777777" w:rsidR="00897CD2" w:rsidRPr="00E17076" w:rsidRDefault="00897CD2" w:rsidP="00897CD2">
      <w:pPr>
        <w:ind w:left="709" w:right="709"/>
        <w:contextualSpacing/>
        <w:jc w:val="both"/>
        <w:rPr>
          <w:rFonts w:ascii="Verdana" w:hAnsi="Verdana" w:cs="Arial"/>
          <w:color w:val="000000"/>
          <w:sz w:val="20"/>
          <w:szCs w:val="20"/>
        </w:rPr>
      </w:pPr>
      <w:r w:rsidRPr="00E17076">
        <w:rPr>
          <w:rFonts w:ascii="Verdana" w:hAnsi="Verdana" w:cs="Arial"/>
          <w:color w:val="000000"/>
          <w:sz w:val="20"/>
          <w:szCs w:val="20"/>
        </w:rPr>
        <w:t>  </w:t>
      </w:r>
    </w:p>
    <w:p w14:paraId="6F5691AA" w14:textId="77777777" w:rsidR="00897CD2" w:rsidRPr="00E17076" w:rsidRDefault="00897CD2" w:rsidP="00897CD2">
      <w:pPr>
        <w:ind w:left="709" w:right="709"/>
        <w:contextualSpacing/>
        <w:jc w:val="both"/>
        <w:rPr>
          <w:rFonts w:ascii="Verdana" w:hAnsi="Verdana" w:cs="Arial"/>
          <w:color w:val="000000"/>
          <w:sz w:val="20"/>
          <w:szCs w:val="20"/>
        </w:rPr>
      </w:pPr>
      <w:r w:rsidRPr="00E17076">
        <w:rPr>
          <w:rFonts w:ascii="Verdana" w:hAnsi="Verdana" w:cs="Arial"/>
          <w:color w:val="000000"/>
          <w:sz w:val="20"/>
          <w:szCs w:val="20"/>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sidRPr="00E17076">
        <w:rPr>
          <w:rFonts w:ascii="Verdana" w:hAnsi="Verdana" w:cs="Arial"/>
          <w:i/>
          <w:iCs/>
          <w:color w:val="000000"/>
          <w:sz w:val="20"/>
          <w:szCs w:val="20"/>
        </w:rPr>
        <w:t> </w:t>
      </w:r>
      <w:r w:rsidRPr="00E17076">
        <w:rPr>
          <w:rFonts w:ascii="Verdana" w:hAnsi="Verdana" w:cs="Arial"/>
          <w:color w:val="000000"/>
          <w:sz w:val="20"/>
          <w:szCs w:val="20"/>
        </w:rPr>
        <w:t>(...)</w:t>
      </w:r>
      <w:r w:rsidRPr="00E17076">
        <w:rPr>
          <w:rFonts w:ascii="Verdana" w:hAnsi="Verdana" w:cs="Arial"/>
          <w:color w:val="000000"/>
          <w:sz w:val="20"/>
          <w:szCs w:val="20"/>
          <w:lang w:eastAsia="es-MX"/>
        </w:rPr>
        <w:t>”.</w:t>
      </w:r>
      <w:r w:rsidRPr="00E17076">
        <w:rPr>
          <w:rFonts w:ascii="Verdana" w:hAnsi="Verdana" w:cs="Arial"/>
          <w:color w:val="000000"/>
          <w:sz w:val="20"/>
          <w:szCs w:val="20"/>
        </w:rPr>
        <w:t xml:space="preserve"> </w:t>
      </w:r>
    </w:p>
    <w:p w14:paraId="671F1619" w14:textId="77777777" w:rsidR="00897CD2" w:rsidRPr="00255BD1" w:rsidRDefault="00897CD2" w:rsidP="00897CD2">
      <w:pPr>
        <w:spacing w:after="0" w:line="240" w:lineRule="auto"/>
        <w:jc w:val="both"/>
        <w:rPr>
          <w:rFonts w:ascii="Arial" w:eastAsia="Times New Roman" w:hAnsi="Arial" w:cs="Arial"/>
          <w:color w:val="000000" w:themeColor="text1"/>
          <w:lang w:val="es-ES" w:eastAsia="es-ES_tradnl"/>
        </w:rPr>
      </w:pPr>
      <w:r w:rsidRPr="00255BD1">
        <w:rPr>
          <w:rFonts w:ascii="Arial" w:eastAsia="Times New Roman" w:hAnsi="Arial" w:cs="Arial"/>
          <w:color w:val="000000" w:themeColor="text1"/>
          <w:lang w:val="es-ES" w:eastAsia="es-ES_tradnl"/>
        </w:rPr>
        <w:t xml:space="preserve"> </w:t>
      </w:r>
      <w:r w:rsidRPr="00255BD1">
        <w:rPr>
          <w:rFonts w:ascii="Arial" w:eastAsia="Times New Roman" w:hAnsi="Arial" w:cs="Arial"/>
          <w:color w:val="000000" w:themeColor="text1"/>
          <w:lang w:val="es-ES" w:eastAsia="es-ES_tradnl"/>
        </w:rPr>
        <w:tab/>
      </w:r>
    </w:p>
    <w:p w14:paraId="2E9FBA4A" w14:textId="77777777" w:rsidR="00897CD2" w:rsidRPr="00E17076" w:rsidRDefault="00897CD2" w:rsidP="00897CD2">
      <w:pPr>
        <w:spacing w:after="120" w:line="276" w:lineRule="auto"/>
        <w:jc w:val="both"/>
        <w:rPr>
          <w:rFonts w:ascii="Verdana" w:eastAsia="Times New Roman" w:hAnsi="Verdana" w:cs="Arial"/>
          <w:color w:val="000000" w:themeColor="text1"/>
          <w:lang w:val="es-ES" w:eastAsia="es-ES_tradnl"/>
        </w:rPr>
      </w:pPr>
      <w:r w:rsidRPr="00255BD1">
        <w:rPr>
          <w:rFonts w:ascii="Arial" w:eastAsia="Times New Roman" w:hAnsi="Arial" w:cs="Arial"/>
          <w:color w:val="000000" w:themeColor="text1"/>
          <w:lang w:val="es-ES" w:eastAsia="es-ES_tradnl"/>
        </w:rPr>
        <w:tab/>
      </w:r>
      <w:r w:rsidRPr="00E17076">
        <w:rPr>
          <w:rFonts w:ascii="Verdana" w:eastAsia="Times New Roman" w:hAnsi="Verdana" w:cs="Arial"/>
          <w:color w:val="000000" w:themeColor="text1"/>
          <w:lang w:val="es-ES" w:eastAsia="es-ES_tradnl"/>
        </w:rPr>
        <w:t>Conforme se aprecia, esta norma hace alusión a una serie de personas jurídicas públicas ubicadas en distintos órdenes y niveles de la Administración Pública, a efectos de predicar respecto a estas la calidad de entidades estatales. Dicha calidad, de conformidad con lo establecido en el artículo 1 de la Ley 80 de 1993, en principio, implica que el régimen contractual aplicable a los sujetos referidos en la norma sea el Estatuto General de Contratación de la Administración Pública – en adelante EGCAP</w:t>
      </w:r>
      <w:r w:rsidRPr="00FC0BD3">
        <w:rPr>
          <w:rFonts w:ascii="Verdana" w:eastAsia="Times New Roman" w:hAnsi="Verdana" w:cs="Arial"/>
          <w:color w:val="000000" w:themeColor="text1"/>
          <w:vertAlign w:val="superscript"/>
          <w:lang w:val="es-ES" w:eastAsia="es-ES_tradnl"/>
        </w:rPr>
        <w:footnoteReference w:id="1"/>
      </w:r>
      <w:r w:rsidRPr="00FC0BD3">
        <w:rPr>
          <w:rFonts w:ascii="Verdana" w:eastAsia="Times New Roman" w:hAnsi="Verdana" w:cs="Arial"/>
          <w:color w:val="000000" w:themeColor="text1"/>
          <w:vertAlign w:val="superscript"/>
          <w:lang w:val="es-ES" w:eastAsia="es-ES_tradnl"/>
        </w:rPr>
        <w:t>.</w:t>
      </w:r>
      <w:r w:rsidRPr="00E17076">
        <w:rPr>
          <w:rFonts w:ascii="Verdana" w:eastAsia="Times New Roman" w:hAnsi="Verdana" w:cs="Arial"/>
          <w:color w:val="000000" w:themeColor="text1"/>
          <w:lang w:val="es-ES" w:eastAsia="es-ES_tradnl"/>
        </w:rPr>
        <w:t xml:space="preserve"> </w:t>
      </w:r>
    </w:p>
    <w:p w14:paraId="40BA705D" w14:textId="77777777" w:rsidR="00897CD2" w:rsidRPr="00E17076" w:rsidRDefault="00897CD2" w:rsidP="00897CD2">
      <w:pPr>
        <w:spacing w:after="120" w:line="276" w:lineRule="auto"/>
        <w:jc w:val="both"/>
        <w:rPr>
          <w:rFonts w:ascii="Verdana" w:eastAsia="Times New Roman" w:hAnsi="Verdana" w:cs="Arial"/>
          <w:color w:val="000000" w:themeColor="text1"/>
          <w:lang w:val="es-ES" w:eastAsia="es-ES_tradnl"/>
        </w:rPr>
      </w:pPr>
      <w:r w:rsidRPr="00255BD1">
        <w:rPr>
          <w:rFonts w:ascii="Arial" w:eastAsia="Times New Roman" w:hAnsi="Arial" w:cs="Arial"/>
          <w:color w:val="000000" w:themeColor="text1"/>
          <w:lang w:val="es-ES" w:eastAsia="es-ES_tradnl"/>
        </w:rPr>
        <w:tab/>
        <w:t xml:space="preserve"> </w:t>
      </w:r>
      <w:r w:rsidRPr="00E17076">
        <w:rPr>
          <w:rFonts w:ascii="Verdana" w:eastAsia="Times New Roman" w:hAnsi="Verdana" w:cs="Arial"/>
          <w:color w:val="000000" w:themeColor="text1"/>
          <w:lang w:val="es-ES" w:eastAsia="es-ES_tradnl"/>
        </w:rPr>
        <w:t>De acuerdo con lo anterior, resulta claro que entidades como la Nación, los departamentos, municipios, establecimientos públicos y asociaciones de municipios, obedecen a la noción de entidades estatales establecida por el literal a) del artículo 2-1 de la Ley 80 de 1993, de lo que se colige que se encuentran regidas por régimen de contratación pública. En principio, lo mismo podría predicarse de entidades como las empresas industriales y comerciales del Estado, las sociedades de economía mixta en las que el Estado tenga una participación superior al cincuenta por ciento (50%), las entidades descentralizadas indirectas y las demás personas jurídicas en las que exista una participación pública mayoritaria.</w:t>
      </w:r>
    </w:p>
    <w:p w14:paraId="4B758490" w14:textId="77777777" w:rsidR="00897CD2" w:rsidRPr="00E17076" w:rsidRDefault="00897CD2" w:rsidP="00897CD2">
      <w:pPr>
        <w:spacing w:after="120"/>
        <w:ind w:firstLine="709"/>
        <w:contextualSpacing/>
        <w:jc w:val="both"/>
        <w:rPr>
          <w:rFonts w:ascii="Verdana" w:eastAsia="Calibri" w:hAnsi="Verdana" w:cs="Arial"/>
          <w:color w:val="000000" w:themeColor="text1"/>
        </w:rPr>
      </w:pPr>
      <w:r w:rsidRPr="00E17076">
        <w:rPr>
          <w:rFonts w:ascii="Verdana" w:eastAsia="Times New Roman" w:hAnsi="Verdana" w:cs="Arial"/>
          <w:color w:val="000000" w:themeColor="text1"/>
          <w:lang w:val="es-ES" w:eastAsia="es-ES_tradnl"/>
        </w:rPr>
        <w:t xml:space="preserve">Sin perjuicio de lo dispuesto en los artículos 1 y 2 de la Ley 80 de 1993, la aplicabilidad del EGCAP a las empresas industriales comerciales del Estado, sociedades de economía mixta y entidades descentralizadas indirectas también está determinada por el artículo 14 de la Ley 1150 de 2007. Dicho precepto </w:t>
      </w:r>
      <w:r w:rsidRPr="00E17076">
        <w:rPr>
          <w:rFonts w:ascii="Verdana" w:eastAsia="Times New Roman" w:hAnsi="Verdana" w:cs="Arial"/>
          <w:color w:val="000000" w:themeColor="text1"/>
          <w:lang w:val="es-ES" w:eastAsia="es-ES_tradnl"/>
        </w:rPr>
        <w:lastRenderedPageBreak/>
        <w:t xml:space="preserve">exceptúa a las referidas entidades de la aplicación del régimen contractual público en consideración a un criterio relativo al desarrollo de actividades comerciales en competencia con el sector privado o en mercados regulados. El texto de la norma es el siguiente:  </w:t>
      </w:r>
    </w:p>
    <w:p w14:paraId="766B6DEA" w14:textId="77777777" w:rsidR="00897CD2" w:rsidRPr="00035163" w:rsidRDefault="00897CD2" w:rsidP="00897CD2">
      <w:pPr>
        <w:spacing w:line="276" w:lineRule="auto"/>
        <w:contextualSpacing/>
        <w:jc w:val="both"/>
        <w:rPr>
          <w:rFonts w:ascii="Verdana" w:eastAsia="Calibri" w:hAnsi="Verdana" w:cs="Arial"/>
          <w:color w:val="000000" w:themeColor="text1"/>
          <w:sz w:val="20"/>
          <w:szCs w:val="20"/>
        </w:rPr>
      </w:pPr>
    </w:p>
    <w:p w14:paraId="12648F8A" w14:textId="77777777" w:rsidR="00897CD2" w:rsidRPr="00035163" w:rsidRDefault="00897CD2" w:rsidP="00897CD2">
      <w:pPr>
        <w:ind w:left="709" w:right="709"/>
        <w:contextualSpacing/>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 </w:t>
      </w:r>
      <w:r w:rsidRPr="00035163">
        <w:rPr>
          <w:rFonts w:ascii="Verdana" w:eastAsia="Calibri" w:hAnsi="Verdana" w:cs="Arial"/>
          <w:color w:val="000000" w:themeColor="text1"/>
          <w:sz w:val="20"/>
          <w:szCs w:val="20"/>
        </w:rPr>
        <w:t>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Pr="00035163">
        <w:rPr>
          <w:rFonts w:ascii="Verdana" w:hAnsi="Verdana" w:cs="Arial"/>
          <w:color w:val="000000"/>
          <w:sz w:val="20"/>
          <w:szCs w:val="20"/>
          <w:lang w:eastAsia="es-MX"/>
        </w:rPr>
        <w:t>”</w:t>
      </w:r>
      <w:r>
        <w:rPr>
          <w:rFonts w:ascii="Verdana" w:hAnsi="Verdana" w:cs="Arial"/>
          <w:color w:val="000000"/>
          <w:sz w:val="20"/>
          <w:szCs w:val="20"/>
          <w:lang w:eastAsia="es-MX"/>
        </w:rPr>
        <w:t>.</w:t>
      </w:r>
    </w:p>
    <w:p w14:paraId="36E35968" w14:textId="77777777" w:rsidR="00897CD2" w:rsidRPr="00035163" w:rsidRDefault="00897CD2" w:rsidP="00897CD2">
      <w:pPr>
        <w:spacing w:after="0" w:line="240" w:lineRule="auto"/>
        <w:jc w:val="both"/>
        <w:rPr>
          <w:rFonts w:ascii="Verdana" w:eastAsia="Calibri" w:hAnsi="Verdana" w:cs="Arial"/>
          <w:color w:val="000000" w:themeColor="text1"/>
        </w:rPr>
      </w:pPr>
    </w:p>
    <w:p w14:paraId="4AE9AE11" w14:textId="77777777" w:rsidR="00897CD2" w:rsidRPr="00661B59" w:rsidRDefault="00897CD2" w:rsidP="00897CD2">
      <w:pPr>
        <w:spacing w:after="120"/>
        <w:jc w:val="both"/>
        <w:rPr>
          <w:rFonts w:ascii="Verdana" w:eastAsia="Times New Roman" w:hAnsi="Verdana" w:cs="Arial"/>
          <w:color w:val="000000" w:themeColor="text1"/>
          <w:lang w:val="es-ES" w:eastAsia="es-ES_tradnl"/>
        </w:rPr>
      </w:pPr>
      <w:r w:rsidRPr="00035163">
        <w:rPr>
          <w:rFonts w:ascii="Verdana" w:eastAsia="Calibri" w:hAnsi="Verdana" w:cs="Arial"/>
          <w:color w:val="000000" w:themeColor="text1"/>
        </w:rPr>
        <w:tab/>
        <w:t xml:space="preserve">En esta medida,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que no estén en competencia ni desarrollen su actividad en mercados regulados están sometidas al EGCAP y las normas que lo complementan. </w:t>
      </w:r>
      <w:r w:rsidRPr="00661B59">
        <w:rPr>
          <w:rFonts w:ascii="Verdana" w:eastAsia="Calibri" w:hAnsi="Verdana" w:cs="Arial"/>
          <w:color w:val="000000" w:themeColor="text1"/>
        </w:rPr>
        <w:t>En contraste, el régimen contractual de los mencionados tipos de entidades cuando se encuentren en competencia o en mercados regulados es el propio de tales actividades, esto es, por regla general, el derecho privado. De acuerdo con la jurisprudencia, la exclusión de estas últimas del EGCAP se justifica en el principio de igualdad, ya que, si el Estado desarrolla actividades de los particulares, debe actuar no solo desprovisto de poderes exorbitantes sino también con la misma eficacia y eficiencia que los sujetos de derecho privado</w:t>
      </w:r>
      <w:r w:rsidRPr="00661B59">
        <w:rPr>
          <w:rStyle w:val="Refdenotaalpie"/>
          <w:rFonts w:ascii="Verdana" w:eastAsia="Calibri" w:hAnsi="Verdana" w:cs="Arial"/>
          <w:color w:val="000000" w:themeColor="text1"/>
        </w:rPr>
        <w:footnoteReference w:id="2"/>
      </w:r>
      <w:r>
        <w:rPr>
          <w:rFonts w:ascii="Verdana" w:eastAsia="Times New Roman" w:hAnsi="Verdana" w:cs="Arial"/>
          <w:color w:val="000000" w:themeColor="text1"/>
          <w:lang w:val="es-ES" w:eastAsia="es-ES_tradnl"/>
        </w:rPr>
        <w:t>.</w:t>
      </w:r>
    </w:p>
    <w:p w14:paraId="01C7A05D" w14:textId="77777777" w:rsidR="00897CD2" w:rsidRPr="00095793" w:rsidRDefault="00897CD2" w:rsidP="00897CD2">
      <w:pPr>
        <w:spacing w:after="120"/>
        <w:jc w:val="both"/>
        <w:rPr>
          <w:rFonts w:ascii="Verdana" w:eastAsia="Calibri" w:hAnsi="Verdana" w:cs="Arial"/>
          <w:color w:val="000000" w:themeColor="text1"/>
        </w:rPr>
      </w:pPr>
      <w:r w:rsidRPr="00255BD1">
        <w:rPr>
          <w:rFonts w:ascii="Arial" w:eastAsia="Times New Roman" w:hAnsi="Arial" w:cs="Arial"/>
          <w:color w:val="000000" w:themeColor="text1"/>
          <w:lang w:val="es-ES" w:eastAsia="es-ES_tradnl"/>
        </w:rPr>
        <w:lastRenderedPageBreak/>
        <w:tab/>
      </w:r>
      <w:r w:rsidRPr="00661B59">
        <w:rPr>
          <w:rFonts w:ascii="Verdana" w:eastAsia="Times New Roman" w:hAnsi="Verdana" w:cs="Arial"/>
          <w:color w:val="000000" w:themeColor="text1"/>
          <w:lang w:val="es-ES" w:eastAsia="es-ES_tradnl"/>
        </w:rPr>
        <w:t xml:space="preserve">Es importante anotar que, el artículo 2.2.1.1.1.3.1 del Decreto 1082 de 2015 establece una definición de Entidad Estatal, la cual abarca no solo a las referidas en el artículo 2 de la Ley 80 de 1993, sino también a entidades referidas en otras disposiciones. Según esta definición constituyen entidades estatales: </w:t>
      </w:r>
      <w:r>
        <w:rPr>
          <w:rFonts w:ascii="Verdana" w:eastAsia="Times New Roman" w:hAnsi="Verdana" w:cs="Arial"/>
          <w:color w:val="000000" w:themeColor="text1"/>
          <w:lang w:val="es-ES" w:eastAsia="es-ES_tradnl"/>
        </w:rPr>
        <w:t>“</w:t>
      </w:r>
      <w:r w:rsidRPr="00661B59">
        <w:rPr>
          <w:rFonts w:ascii="Verdana" w:eastAsia="Times New Roman" w:hAnsi="Verdana" w:cs="Arial"/>
          <w:color w:val="000000" w:themeColor="text1"/>
          <w:lang w:val="es-ES" w:eastAsia="es-ES_tradnl"/>
        </w:rPr>
        <w:t xml:space="preserve">Cada una de las entidades: (a) a las que se refiere el artículo 2° de la Ley 80 de 1993; (b) a las que se refieren los artículos 10, 14 y 24 de la Ley 1150 de 2007 y (c) aquellas entidades que por disposición de la ley deban aplicar la Ley 80 de 1993 y </w:t>
      </w:r>
      <w:r w:rsidRPr="00095793">
        <w:rPr>
          <w:rFonts w:ascii="Verdana" w:eastAsia="Times New Roman" w:hAnsi="Verdana" w:cs="Arial"/>
          <w:color w:val="000000" w:themeColor="text1"/>
          <w:lang w:val="es-ES" w:eastAsia="es-ES_tradnl"/>
        </w:rPr>
        <w:t>la Ley 1150 de 2007, o las normas que las modifiquen, aclaren, adicionen o sustituyan”. Al tenor de esta definición, no solo constituyen entidades estatales las mencionadas en el artículo 2 de la Ley 80 de 1993, sino también las mencionadas en los artículos 10</w:t>
      </w:r>
      <w:r w:rsidRPr="00095793">
        <w:rPr>
          <w:rStyle w:val="Refdenotaalpie"/>
          <w:rFonts w:ascii="Verdana" w:eastAsia="Times New Roman" w:hAnsi="Verdana" w:cs="Arial"/>
          <w:color w:val="000000" w:themeColor="text1"/>
          <w:lang w:val="es-ES" w:eastAsia="es-ES_tradnl"/>
        </w:rPr>
        <w:footnoteReference w:id="3"/>
      </w:r>
      <w:r w:rsidRPr="00095793">
        <w:rPr>
          <w:rFonts w:ascii="Verdana" w:eastAsia="Times New Roman" w:hAnsi="Verdana" w:cs="Arial"/>
          <w:color w:val="000000" w:themeColor="text1"/>
          <w:lang w:val="es-ES" w:eastAsia="es-ES_tradnl"/>
        </w:rPr>
        <w:t>, 14 y 24</w:t>
      </w:r>
      <w:r w:rsidRPr="00095793">
        <w:rPr>
          <w:rStyle w:val="Refdenotaalpie"/>
          <w:rFonts w:ascii="Verdana" w:eastAsia="Times New Roman" w:hAnsi="Verdana" w:cs="Arial"/>
          <w:color w:val="000000" w:themeColor="text1"/>
          <w:lang w:val="es-ES" w:eastAsia="es-ES_tradnl"/>
        </w:rPr>
        <w:footnoteReference w:id="4"/>
      </w:r>
      <w:r w:rsidRPr="00095793">
        <w:rPr>
          <w:rFonts w:ascii="Verdana" w:eastAsia="Times New Roman" w:hAnsi="Verdana" w:cs="Arial"/>
          <w:color w:val="000000" w:themeColor="text1"/>
          <w:lang w:val="es-ES" w:eastAsia="es-ES_tradnl"/>
        </w:rPr>
        <w:t xml:space="preserve"> de la Ley 1150 de 2007. </w:t>
      </w:r>
    </w:p>
    <w:p w14:paraId="625FCF9F" w14:textId="77777777" w:rsidR="00897CD2" w:rsidRPr="00095793" w:rsidRDefault="00897CD2" w:rsidP="00897CD2">
      <w:pPr>
        <w:pStyle w:val="Textoindependiente"/>
        <w:spacing w:after="120" w:line="259" w:lineRule="auto"/>
        <w:ind w:firstLine="708"/>
        <w:jc w:val="both"/>
        <w:rPr>
          <w:rFonts w:ascii="Verdana" w:hAnsi="Verdana"/>
          <w:b/>
          <w:bCs/>
          <w:lang w:val="es-CO"/>
        </w:rPr>
      </w:pPr>
      <w:r w:rsidRPr="00095793">
        <w:rPr>
          <w:rFonts w:ascii="Verdana" w:eastAsia="Calibri" w:hAnsi="Verdana"/>
          <w:color w:val="000000" w:themeColor="text1"/>
        </w:rPr>
        <w:t xml:space="preserve">Es así entonces como </w:t>
      </w:r>
      <w:r w:rsidRPr="00095793">
        <w:rPr>
          <w:rFonts w:ascii="Verdana" w:eastAsia="Calibri" w:hAnsi="Verdana"/>
          <w:color w:val="000000" w:themeColor="text1"/>
          <w:lang w:val="es-ES_tradnl"/>
        </w:rPr>
        <w:t>los procedimientos contractuales mediante los cuales las Entidades Estatales sometidas al EGCAP ejecutan recursos públicos y satisfacen el interés general se rigen por la normativa de contratación pública ―Ley 80 de 1993, Ley 1150 de 2007 y Decreto 1082 de 2015―, que contiene los principios, reglas y procedimientos que regulan los contratos de las entidades estatales. Específicamente, el EGCAP ―Ley 80 de 1993, Ley 1150 de 2007 y normas complementarias― se aplica a las Entidades Estatales relacionadas en el artículo 2</w:t>
      </w:r>
      <w:r w:rsidRPr="00095793">
        <w:rPr>
          <w:rStyle w:val="Refdenotaalpie"/>
          <w:rFonts w:ascii="Verdana" w:eastAsia="Calibri" w:hAnsi="Verdana"/>
          <w:color w:val="000000" w:themeColor="text1"/>
          <w:lang w:val="es-ES_tradnl"/>
        </w:rPr>
        <w:footnoteReference w:id="5"/>
      </w:r>
      <w:r w:rsidRPr="00095793">
        <w:rPr>
          <w:rFonts w:ascii="Verdana" w:eastAsia="Calibri" w:hAnsi="Verdana"/>
          <w:color w:val="000000" w:themeColor="text1"/>
          <w:lang w:val="es-ES_tradnl"/>
        </w:rPr>
        <w:t xml:space="preserve">, con lo cual se puede determinar quiénes deben cumplir los </w:t>
      </w:r>
      <w:r w:rsidRPr="00095793">
        <w:rPr>
          <w:rFonts w:ascii="Verdana" w:eastAsia="Calibri" w:hAnsi="Verdana"/>
          <w:color w:val="000000" w:themeColor="text1"/>
          <w:lang w:val="es-ES_tradnl"/>
        </w:rPr>
        <w:lastRenderedPageBreak/>
        <w:t>principios y obligaciones señalados en las normas citadas.</w:t>
      </w:r>
    </w:p>
    <w:p w14:paraId="10ACFDAE" w14:textId="77777777" w:rsidR="00897CD2" w:rsidRPr="00095793" w:rsidRDefault="00897CD2" w:rsidP="00897CD2">
      <w:pPr>
        <w:widowControl w:val="0"/>
        <w:autoSpaceDE w:val="0"/>
        <w:autoSpaceDN w:val="0"/>
        <w:spacing w:after="120"/>
        <w:ind w:left="120" w:right="103" w:firstLine="588"/>
        <w:jc w:val="both"/>
        <w:rPr>
          <w:rFonts w:ascii="Verdana" w:eastAsia="Arial" w:hAnsi="Verdana" w:cs="Arial"/>
          <w:lang w:val="es-ES"/>
        </w:rPr>
      </w:pPr>
      <w:bookmarkStart w:id="12" w:name="_Hlk122353837"/>
      <w:r w:rsidRPr="00095793">
        <w:rPr>
          <w:rFonts w:ascii="Verdana" w:eastAsia="Arial" w:hAnsi="Verdana" w:cs="Arial"/>
          <w:lang w:val="es-ES"/>
        </w:rPr>
        <w:t xml:space="preserve">De otra parte, debe tenerse en cuenta también que, uno de los presupuestos para celebrar un contrato estatal, al igual que para celebrar cualquier otro negocio jurídico de forma válida, es el de gozar de capacidad jurídica entendida como la aptitud de un sujeto para ser titular de derecho y obligaciones, </w:t>
      </w:r>
      <w:r w:rsidRPr="00095793">
        <w:rPr>
          <w:rFonts w:ascii="Verdana" w:eastAsia="Arial" w:hAnsi="Verdana" w:cs="Arial"/>
          <w:spacing w:val="3"/>
          <w:lang w:val="es-ES"/>
        </w:rPr>
        <w:t xml:space="preserve">de </w:t>
      </w:r>
      <w:r w:rsidRPr="00095793">
        <w:rPr>
          <w:rFonts w:ascii="Verdana" w:eastAsia="Arial" w:hAnsi="Verdana" w:cs="Arial"/>
          <w:lang w:val="es-ES"/>
        </w:rPr>
        <w:t>ejercer o exigir los primeros y contraer las segundas en forma personal y de comparecer en juicio. La capacidad jurídica permite crear, modificar o extinguir relaciones jurídicas de forma voluntaria y</w:t>
      </w:r>
      <w:r w:rsidRPr="00095793">
        <w:rPr>
          <w:rFonts w:ascii="Verdana" w:eastAsia="Arial" w:hAnsi="Verdana" w:cs="Arial"/>
          <w:spacing w:val="-5"/>
          <w:lang w:val="es-ES"/>
        </w:rPr>
        <w:t xml:space="preserve"> </w:t>
      </w:r>
      <w:r w:rsidRPr="00095793">
        <w:rPr>
          <w:rFonts w:ascii="Verdana" w:eastAsia="Arial" w:hAnsi="Verdana" w:cs="Arial"/>
          <w:lang w:val="es-ES"/>
        </w:rPr>
        <w:t>autónoma. La capacidad</w:t>
      </w:r>
      <w:r w:rsidRPr="00095793">
        <w:rPr>
          <w:rFonts w:ascii="Verdana" w:eastAsia="Arial" w:hAnsi="Verdana" w:cs="Arial"/>
          <w:vertAlign w:val="superscript"/>
          <w:lang w:val="es-ES"/>
        </w:rPr>
        <w:footnoteReference w:id="6"/>
      </w:r>
      <w:r w:rsidRPr="00095793">
        <w:rPr>
          <w:rFonts w:ascii="Verdana" w:eastAsia="Arial" w:hAnsi="Verdana" w:cs="Arial"/>
          <w:lang w:val="es-ES"/>
        </w:rPr>
        <w:t>, de acuerdo con lo establecido en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 –artículos 1502, 1503 y 1504–, y de que la capacidad de las personas jurídicas se circunscribe a lo expresado en su objeto social y su forma de</w:t>
      </w:r>
      <w:r w:rsidRPr="00095793">
        <w:rPr>
          <w:rFonts w:ascii="Verdana" w:eastAsia="Arial" w:hAnsi="Verdana" w:cs="Arial"/>
          <w:spacing w:val="-13"/>
          <w:lang w:val="es-ES"/>
        </w:rPr>
        <w:t xml:space="preserve"> </w:t>
      </w:r>
      <w:r w:rsidRPr="00095793">
        <w:rPr>
          <w:rFonts w:ascii="Verdana" w:eastAsia="Arial" w:hAnsi="Verdana" w:cs="Arial"/>
          <w:lang w:val="es-ES"/>
        </w:rPr>
        <w:t>creación</w:t>
      </w:r>
      <w:bookmarkEnd w:id="12"/>
      <w:r w:rsidRPr="00095793">
        <w:rPr>
          <w:rFonts w:ascii="Verdana" w:eastAsia="Arial" w:hAnsi="Verdana" w:cs="Arial"/>
          <w:vertAlign w:val="superscript"/>
          <w:lang w:val="es-ES"/>
        </w:rPr>
        <w:footnoteReference w:id="7"/>
      </w:r>
      <w:r w:rsidRPr="00095793">
        <w:rPr>
          <w:rFonts w:ascii="Verdana" w:eastAsia="Arial" w:hAnsi="Verdana" w:cs="Arial"/>
          <w:lang w:val="es-ES"/>
        </w:rPr>
        <w:t>.</w:t>
      </w:r>
    </w:p>
    <w:p w14:paraId="578CAA71" w14:textId="77777777" w:rsidR="00897CD2" w:rsidRDefault="00897CD2" w:rsidP="00897CD2">
      <w:pPr>
        <w:spacing w:after="120"/>
        <w:ind w:firstLine="709"/>
        <w:jc w:val="both"/>
        <w:rPr>
          <w:rFonts w:ascii="Verdana" w:hAnsi="Verdana" w:cs="Arial"/>
        </w:rPr>
      </w:pPr>
      <w:bookmarkStart w:id="13" w:name="_Hlk92353042"/>
      <w:r w:rsidRPr="00DF54D1">
        <w:rPr>
          <w:rFonts w:ascii="Verdana" w:hAnsi="Verdana" w:cs="Arial"/>
        </w:rPr>
        <w:t xml:space="preserve">Los consejos profesionales son órganos creados por el Estado para ejercer la función de inspección y vigilancia sobre las profesiones. Su creación es legal, generalmente sin personería jurídica, adscritos a un ministerio y su conformación está integrada por servidores públicos y particulares que representan a los que ejercen la profesión, con la finalidad de controlar o supervisar el adecuado ejercicio de la misma, según las reglas y principios que le resultan aplicables, función que tiene sustento en la potestad de regulación legal y de inspección y vigilancia de las autoridades sobre el libre ejercicio de las profesiones en Colombia según el artículo 26 de la Constitución Política. </w:t>
      </w:r>
    </w:p>
    <w:p w14:paraId="4A738DA9" w14:textId="77777777" w:rsidR="00897CD2" w:rsidRPr="00DF54D1" w:rsidRDefault="00897CD2" w:rsidP="00897CD2">
      <w:pPr>
        <w:spacing w:after="120"/>
        <w:ind w:firstLine="709"/>
        <w:jc w:val="both"/>
        <w:rPr>
          <w:rFonts w:ascii="Verdana" w:hAnsi="Verdana" w:cs="Arial"/>
        </w:rPr>
      </w:pPr>
      <w:r w:rsidRPr="00DF54D1">
        <w:rPr>
          <w:rFonts w:ascii="Verdana" w:hAnsi="Verdana" w:cs="Arial"/>
        </w:rPr>
        <w:t>Sobre la naturaleza de estos consejos, la jurisprudencia de la Corte Constitucional</w:t>
      </w:r>
      <w:r w:rsidRPr="00DF54D1">
        <w:rPr>
          <w:rStyle w:val="Refdenotaalpie"/>
          <w:rFonts w:ascii="Verdana" w:hAnsi="Verdana" w:cs="Arial"/>
        </w:rPr>
        <w:footnoteReference w:id="8"/>
      </w:r>
      <w:r w:rsidRPr="00DF54D1">
        <w:rPr>
          <w:rFonts w:ascii="Verdana" w:hAnsi="Verdana" w:cs="Arial"/>
        </w:rPr>
        <w:t xml:space="preserve"> ha establecido que </w:t>
      </w:r>
      <w:r>
        <w:rPr>
          <w:rFonts w:ascii="Verdana" w:hAnsi="Verdana" w:cs="Arial"/>
        </w:rPr>
        <w:t>“</w:t>
      </w:r>
      <w:r w:rsidRPr="00DF54D1">
        <w:rPr>
          <w:rFonts w:ascii="Verdana" w:hAnsi="Verdana" w:cs="Arial"/>
        </w:rPr>
        <w:t xml:space="preserve">reúnen un conjunto de características que permiten catalogarlos como órganos del nivel central del orden nacional, puesto que son creados por el legislador como entidades conformadas por autoridades públicas y particulares, que ejercen funciones administrativas y cuyos gastos de funcionamiento se sufragan con recursos públicos […] en reiterada jurisprudencia, esta Corporación ha precisado que organismos como los </w:t>
      </w:r>
      <w:r w:rsidRPr="00DF54D1">
        <w:rPr>
          <w:rFonts w:ascii="Verdana" w:hAnsi="Verdana" w:cs="Arial"/>
        </w:rPr>
        <w:lastRenderedPageBreak/>
        <w:t>llamados Consejos o Comités Profesionales (Sentencia C- 964 de 1999), tienen carácter estatal y por tanto no pueden confundirse con los Colegios Profesionales que autorice la propia ley, ni con las asociaciones profesionales</w:t>
      </w:r>
      <w:r>
        <w:rPr>
          <w:rFonts w:ascii="Verdana" w:hAnsi="Verdana" w:cs="Arial"/>
        </w:rPr>
        <w:t>”</w:t>
      </w:r>
      <w:r w:rsidRPr="00DF54D1">
        <w:rPr>
          <w:rFonts w:ascii="Verdana" w:hAnsi="Verdana" w:cs="Arial"/>
        </w:rPr>
        <w:t xml:space="preserve">. (Sentencias C-606 de 1992, C-266 de 1994, C- 492 de 1996). </w:t>
      </w:r>
    </w:p>
    <w:p w14:paraId="4E0E79B7" w14:textId="77777777" w:rsidR="00897CD2" w:rsidRPr="00DF54D1" w:rsidRDefault="00897CD2" w:rsidP="00897CD2">
      <w:pPr>
        <w:spacing w:after="120"/>
        <w:ind w:firstLine="709"/>
        <w:jc w:val="both"/>
        <w:rPr>
          <w:rFonts w:ascii="Verdana" w:hAnsi="Verdana" w:cs="Arial"/>
        </w:rPr>
      </w:pPr>
      <w:r w:rsidRPr="00DF54D1">
        <w:rPr>
          <w:rFonts w:ascii="Verdana" w:hAnsi="Verdana" w:cs="Arial"/>
        </w:rPr>
        <w:t xml:space="preserve">Así  las cosas, </w:t>
      </w:r>
      <w:bookmarkStart w:id="14" w:name="_Hlk122355811"/>
      <w:r w:rsidRPr="00DF54D1">
        <w:rPr>
          <w:rFonts w:ascii="Verdana" w:hAnsi="Verdana" w:cs="Arial"/>
        </w:rPr>
        <w:t>los consejo</w:t>
      </w:r>
      <w:r>
        <w:rPr>
          <w:rFonts w:ascii="Verdana" w:hAnsi="Verdana" w:cs="Arial"/>
        </w:rPr>
        <w:t>s</w:t>
      </w:r>
      <w:r w:rsidRPr="00DF54D1">
        <w:rPr>
          <w:rFonts w:ascii="Verdana" w:hAnsi="Verdana" w:cs="Arial"/>
        </w:rPr>
        <w:t xml:space="preserve"> profesionales se consideran de naturaleza </w:t>
      </w:r>
      <w:r w:rsidRPr="00DF54D1">
        <w:rPr>
          <w:rFonts w:ascii="Verdana" w:hAnsi="Verdana" w:cs="Arial"/>
          <w:i/>
          <w:iCs/>
        </w:rPr>
        <w:t>sui generis,</w:t>
      </w:r>
      <w:r w:rsidRPr="00DF54D1">
        <w:rPr>
          <w:rFonts w:ascii="Verdana" w:hAnsi="Verdana" w:cs="Arial"/>
        </w:rPr>
        <w:t xml:space="preserve"> pues si bien no corresponden a las típicas clasificaciones de los entes públicos que integran los sectores central y descentralizado de la administración pública, sí son entes de naturaleza pública, en razón de su creación legal, su integración, sus funciones y su financiación, que en algunos casos proviene de recursos del presupuesto nacional, pero que en general tiene como fuente el dinero que la ley autoriza recaudar como contraprestación a las actividades que deben cumplir. </w:t>
      </w:r>
      <w:bookmarkEnd w:id="14"/>
    </w:p>
    <w:p w14:paraId="1C603BD9" w14:textId="77777777" w:rsidR="00897CD2" w:rsidRDefault="00897CD2" w:rsidP="00897CD2">
      <w:pPr>
        <w:spacing w:after="120"/>
        <w:ind w:firstLine="709"/>
        <w:jc w:val="both"/>
        <w:rPr>
          <w:rFonts w:ascii="Verdana" w:hAnsi="Verdana" w:cs="Arial"/>
        </w:rPr>
      </w:pPr>
      <w:r w:rsidRPr="005B4A16">
        <w:rPr>
          <w:rFonts w:ascii="Verdana" w:hAnsi="Verdana" w:cs="Arial"/>
        </w:rPr>
        <w:t>A su turno, la Sala de Consulta y Servicio Civil del Consejo de Estado se ha pronunciado sobre la naturaleza y el régimen jurídico de varios consejos profesionales</w:t>
      </w:r>
      <w:r w:rsidRPr="005B4A16">
        <w:rPr>
          <w:rStyle w:val="Refdenotaalpie"/>
          <w:rFonts w:ascii="Verdana" w:hAnsi="Verdana" w:cs="Arial"/>
        </w:rPr>
        <w:footnoteReference w:id="9"/>
      </w:r>
      <w:r w:rsidRPr="005B4A16">
        <w:rPr>
          <w:rFonts w:ascii="Verdana" w:hAnsi="Verdana" w:cs="Arial"/>
        </w:rPr>
        <w:t xml:space="preserve">, conceptos en los cuales ha reiterado que estos no hacen parte de la estructura típica de los organismos y entidades de la Administración Pública, pero se rigen por normas generales de la organización del Estado como el artículo 113 de la Constitución Política y la Ley 489 de 1998. Así mismo, ha considerado que estos consejos, al no tener personería jurídica, no tienen capacidad para celebrar contratos. En particular, se citará el análisis hecho por la Alta Corporación sobre </w:t>
      </w:r>
      <w:r>
        <w:rPr>
          <w:rFonts w:ascii="Verdana" w:hAnsi="Verdana" w:cs="Arial"/>
        </w:rPr>
        <w:t>el Consejo Profesional de Administración de Empresas</w:t>
      </w:r>
      <w:r w:rsidRPr="005B4A16">
        <w:rPr>
          <w:rFonts w:ascii="Verdana" w:hAnsi="Verdana" w:cs="Arial"/>
        </w:rPr>
        <w:t>, así:</w:t>
      </w:r>
    </w:p>
    <w:p w14:paraId="32E4A98F" w14:textId="77777777" w:rsidR="00897CD2" w:rsidRDefault="00897CD2" w:rsidP="00897CD2">
      <w:pPr>
        <w:spacing w:after="120" w:line="276" w:lineRule="auto"/>
        <w:ind w:left="426" w:right="474"/>
        <w:jc w:val="both"/>
        <w:rPr>
          <w:rFonts w:ascii="Verdana" w:hAnsi="Verdana" w:cs="Arial"/>
          <w:sz w:val="20"/>
          <w:szCs w:val="20"/>
        </w:rPr>
      </w:pPr>
      <w:r>
        <w:rPr>
          <w:rFonts w:ascii="Verdana" w:hAnsi="Verdana" w:cs="Arial"/>
          <w:sz w:val="20"/>
          <w:szCs w:val="20"/>
        </w:rPr>
        <w:t xml:space="preserve">“(…) </w:t>
      </w:r>
      <w:r w:rsidRPr="00B9473A">
        <w:rPr>
          <w:rFonts w:ascii="Verdana" w:hAnsi="Verdana" w:cs="Arial"/>
          <w:sz w:val="20"/>
          <w:szCs w:val="20"/>
        </w:rPr>
        <w:t>el legislador al crear el Consejo de Administración de Empresas le asignó una tipología propia. En efecto, no le otorgó personería jurídica, como tampoco aparece que la haya adquirido mediante un acto posterior a su creación; está “adscrito al Ministerio de Desarrollo” razón por la cual ciertas decisiones para que tengan validez jurídica deben ser aprobadas por éste; además las políticas que desarrolla en ejercicio de las funciones públicas deben ceñirse a las directrices que trace el Gobierno Nacional</w:t>
      </w:r>
      <w:r>
        <w:rPr>
          <w:rFonts w:ascii="Verdana" w:hAnsi="Verdana" w:cs="Arial"/>
          <w:sz w:val="20"/>
          <w:szCs w:val="20"/>
        </w:rPr>
        <w:t xml:space="preserve"> (…)”</w:t>
      </w:r>
      <w:r>
        <w:rPr>
          <w:rStyle w:val="Refdenotaalpie"/>
          <w:rFonts w:ascii="Verdana" w:hAnsi="Verdana" w:cs="Arial"/>
          <w:sz w:val="20"/>
          <w:szCs w:val="20"/>
        </w:rPr>
        <w:footnoteReference w:id="10"/>
      </w:r>
      <w:r w:rsidRPr="00B9473A">
        <w:rPr>
          <w:rFonts w:ascii="Verdana" w:hAnsi="Verdana" w:cs="Arial"/>
          <w:sz w:val="20"/>
          <w:szCs w:val="20"/>
        </w:rPr>
        <w:t>.</w:t>
      </w:r>
    </w:p>
    <w:p w14:paraId="09498F7F" w14:textId="77777777" w:rsidR="00897CD2" w:rsidRDefault="00897CD2" w:rsidP="00897CD2">
      <w:pPr>
        <w:spacing w:after="120"/>
        <w:ind w:right="49"/>
        <w:jc w:val="both"/>
        <w:rPr>
          <w:rFonts w:ascii="Verdana" w:hAnsi="Verdana" w:cs="Arial"/>
        </w:rPr>
      </w:pPr>
      <w:r w:rsidRPr="001D5030">
        <w:rPr>
          <w:rFonts w:ascii="Verdana" w:hAnsi="Verdana" w:cs="Arial"/>
        </w:rPr>
        <w:t xml:space="preserve">En otra oportunidad, </w:t>
      </w:r>
      <w:r>
        <w:rPr>
          <w:rFonts w:ascii="Verdana" w:hAnsi="Verdana" w:cs="Arial"/>
        </w:rPr>
        <w:t>el Consejo de Estado ha sostenido que tratándose de los consejos profesionales que no cuentan con personería jurídica “</w:t>
      </w:r>
      <w:r w:rsidRPr="001D5030">
        <w:rPr>
          <w:rFonts w:ascii="Verdana" w:hAnsi="Verdana" w:cs="Arial"/>
        </w:rPr>
        <w:t>por no ser sujetos de derechos y obligaciones por sustracción de materia carecen de capacidad para contratar.</w:t>
      </w:r>
      <w:r>
        <w:rPr>
          <w:rFonts w:ascii="Verdana" w:hAnsi="Verdana" w:cs="Arial"/>
        </w:rPr>
        <w:t xml:space="preserve"> </w:t>
      </w:r>
      <w:r w:rsidRPr="001D5030">
        <w:rPr>
          <w:rFonts w:ascii="Verdana" w:hAnsi="Verdana" w:cs="Arial"/>
        </w:rPr>
        <w:t xml:space="preserve">Los organismos y dependencias sin </w:t>
      </w:r>
      <w:proofErr w:type="gramStart"/>
      <w:r w:rsidRPr="001D5030">
        <w:rPr>
          <w:rFonts w:ascii="Verdana" w:hAnsi="Verdana" w:cs="Arial"/>
        </w:rPr>
        <w:t>personería,</w:t>
      </w:r>
      <w:proofErr w:type="gramEnd"/>
      <w:r w:rsidRPr="001D5030">
        <w:rPr>
          <w:rFonts w:ascii="Verdana" w:hAnsi="Verdana" w:cs="Arial"/>
        </w:rPr>
        <w:t xml:space="preserve"> </w:t>
      </w:r>
      <w:r w:rsidRPr="001D5030">
        <w:rPr>
          <w:rFonts w:ascii="Verdana" w:hAnsi="Verdana" w:cs="Arial"/>
        </w:rPr>
        <w:lastRenderedPageBreak/>
        <w:t>pueden celebrar contratos por cuenta de la nación o de la entidad de la que formen parte, cua</w:t>
      </w:r>
      <w:r>
        <w:rPr>
          <w:rFonts w:ascii="Verdana" w:hAnsi="Verdana" w:cs="Arial"/>
        </w:rPr>
        <w:t>n</w:t>
      </w:r>
      <w:r w:rsidRPr="001D5030">
        <w:rPr>
          <w:rFonts w:ascii="Verdana" w:hAnsi="Verdana" w:cs="Arial"/>
        </w:rPr>
        <w:t>do la ley en forma expresa les atribuye esta competencia como sucede con las enumeradas por el literal b) del numeral 2 del artículo 2 de la ley 80 de 1993</w:t>
      </w:r>
      <w:r>
        <w:rPr>
          <w:rFonts w:ascii="Verdana" w:hAnsi="Verdana" w:cs="Arial"/>
        </w:rPr>
        <w:t>”</w:t>
      </w:r>
      <w:r>
        <w:rPr>
          <w:rStyle w:val="Refdenotaalpie"/>
          <w:rFonts w:ascii="Verdana" w:hAnsi="Verdana" w:cs="Arial"/>
        </w:rPr>
        <w:footnoteReference w:id="11"/>
      </w:r>
      <w:r w:rsidRPr="001D5030">
        <w:rPr>
          <w:rFonts w:ascii="Verdana" w:hAnsi="Verdana" w:cs="Arial"/>
        </w:rPr>
        <w:t xml:space="preserve">.  </w:t>
      </w:r>
    </w:p>
    <w:p w14:paraId="6612A59E" w14:textId="77777777" w:rsidR="00897CD2" w:rsidRPr="001D5030" w:rsidRDefault="00897CD2" w:rsidP="00897CD2">
      <w:pPr>
        <w:spacing w:after="120"/>
        <w:ind w:right="49"/>
        <w:jc w:val="both"/>
        <w:rPr>
          <w:rFonts w:ascii="Verdana" w:hAnsi="Verdana" w:cs="Arial"/>
          <w:i/>
          <w:iCs/>
        </w:rPr>
      </w:pPr>
      <w:r>
        <w:rPr>
          <w:rFonts w:ascii="Verdana" w:hAnsi="Verdana" w:cs="Arial"/>
        </w:rPr>
        <w:t>Incluso, en un caso similar al que se está estudiando, y que resulta aplicable al presente caso, el Consejo de Estado indicó que “</w:t>
      </w:r>
      <w:r w:rsidRPr="00FC0BD3">
        <w:rPr>
          <w:rFonts w:ascii="Verdana" w:hAnsi="Verdana" w:cs="Arial"/>
        </w:rPr>
        <w:t>la facultad que tiene el Consejo Nacional de Arquitectura de “d</w:t>
      </w:r>
      <w:r w:rsidRPr="00FC0BD3">
        <w:rPr>
          <w:rFonts w:ascii="Verdana" w:hAnsi="Verdana" w:cs="Arial"/>
          <w:color w:val="000000"/>
        </w:rPr>
        <w:t>ictar su propio reglamento y el de los Consejos Profesionales Seccionales de Arquitectura y sus Profesiones Auxiliares”, implica que esa reglamentación puede contener las normas de funcionamiento interno del Consejo Nacional de Arquitectura, tales como la periodicidad de sus reuniones, convocatorias, votaciones, quórum, forma de llevar las actas de las mismas, informes que deban rendirse, etc., todo con base en sus funciones legales y reglamentarias, pero en modo alguno significa que ese Consejo pueda asignarse a sí mismo capacidad o competencia para contratar, comoquiera que tales atributos son de reserva legal</w:t>
      </w:r>
      <w:r w:rsidRPr="00FC0BD3">
        <w:rPr>
          <w:rStyle w:val="Refdenotaalpie"/>
          <w:rFonts w:ascii="Verdana" w:hAnsi="Verdana" w:cs="Arial"/>
          <w:color w:val="000000"/>
        </w:rPr>
        <w:footnoteReference w:id="12"/>
      </w:r>
      <w:r w:rsidRPr="001D5030">
        <w:rPr>
          <w:rFonts w:ascii="Verdana" w:hAnsi="Verdana" w:cs="Arial"/>
          <w:i/>
          <w:iCs/>
          <w:color w:val="000000"/>
        </w:rPr>
        <w:t>.</w:t>
      </w:r>
    </w:p>
    <w:p w14:paraId="74689E39" w14:textId="77777777" w:rsidR="00897CD2" w:rsidRPr="00E45F28" w:rsidRDefault="00897CD2" w:rsidP="00897CD2">
      <w:pPr>
        <w:spacing w:after="120"/>
        <w:ind w:firstLine="709"/>
        <w:jc w:val="both"/>
        <w:rPr>
          <w:rFonts w:ascii="Verdana" w:eastAsia="Calibri" w:hAnsi="Verdana" w:cs="Arial"/>
          <w:color w:val="000000" w:themeColor="text1"/>
          <w:lang w:val="es-ES"/>
        </w:rPr>
      </w:pPr>
      <w:r w:rsidRPr="6597C79F">
        <w:rPr>
          <w:rFonts w:ascii="Verdana" w:eastAsia="Calibri" w:hAnsi="Verdana" w:cs="Arial"/>
          <w:color w:val="000000" w:themeColor="text1"/>
          <w:lang w:val="es-ES"/>
        </w:rPr>
        <w:t xml:space="preserve">Según el análisis expuesto, para los efectos de responder a la consulta planteada en este concepto, se concluye que cuando la ley crea los consejos profesionales sin personería jurídica, estos se constituyen como órganos estatales especiales del sector central nacional de la Administración Pública, titulares de la función administrativa de inspección y vigilancia del ejercicio de las profesiones, pero que, por regla general, carecen de capacidad legal para celebrar contratos, salvo aquellos casos en que la ley de creación o una ley especial les otorgue dicha capacidad, sin que sea posible que la capacidad legal para contratar tenga origen en una norma de inferior jerarquía. </w:t>
      </w:r>
    </w:p>
    <w:p w14:paraId="6C8AEC43" w14:textId="77777777" w:rsidR="00897CD2" w:rsidRDefault="00897CD2" w:rsidP="00897CD2">
      <w:pPr>
        <w:spacing w:after="120"/>
        <w:ind w:firstLine="709"/>
        <w:jc w:val="both"/>
        <w:rPr>
          <w:rFonts w:ascii="Verdana" w:eastAsia="Calibri" w:hAnsi="Verdana" w:cs="Arial"/>
          <w:color w:val="000000" w:themeColor="text1"/>
          <w:lang w:val="es-ES_tradnl"/>
        </w:rPr>
      </w:pPr>
      <w:bookmarkStart w:id="15" w:name="_Hlk122360021"/>
      <w:r w:rsidRPr="006C42FC">
        <w:rPr>
          <w:rFonts w:ascii="Verdana" w:eastAsia="Calibri" w:hAnsi="Verdana" w:cs="Arial"/>
          <w:color w:val="000000" w:themeColor="text1"/>
          <w:lang w:val="es-ES_tradnl"/>
        </w:rPr>
        <w:t>Conforme con lo anterior</w:t>
      </w:r>
      <w:r>
        <w:rPr>
          <w:rFonts w:ascii="Verdana" w:eastAsia="Calibri" w:hAnsi="Verdana" w:cs="Arial"/>
          <w:color w:val="000000" w:themeColor="text1"/>
          <w:lang w:val="es-ES_tradnl"/>
        </w:rPr>
        <w:t>,</w:t>
      </w:r>
      <w:r w:rsidRPr="006C42FC">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el Consejo Profesional de Administración de Empresas </w:t>
      </w:r>
      <w:r w:rsidRPr="006C42FC">
        <w:rPr>
          <w:rFonts w:ascii="Verdana" w:eastAsia="Calibri" w:hAnsi="Verdana" w:cs="Arial"/>
          <w:color w:val="000000" w:themeColor="text1"/>
          <w:lang w:val="es-ES_tradnl"/>
        </w:rPr>
        <w:t xml:space="preserve">es una entidad pública sui géneris o especial del orden nacional, </w:t>
      </w:r>
      <w:r w:rsidRPr="006C42FC">
        <w:rPr>
          <w:rFonts w:ascii="Verdana" w:eastAsia="Calibri" w:hAnsi="Verdana" w:cs="Arial"/>
          <w:color w:val="000000" w:themeColor="text1"/>
          <w:lang w:val="es-ES_tradnl"/>
        </w:rPr>
        <w:lastRenderedPageBreak/>
        <w:t xml:space="preserve">creado de acuerdo al artículo </w:t>
      </w:r>
      <w:r>
        <w:rPr>
          <w:rFonts w:ascii="Verdana" w:eastAsia="Calibri" w:hAnsi="Verdana" w:cs="Arial"/>
          <w:color w:val="000000" w:themeColor="text1"/>
          <w:lang w:val="es-ES_tradnl"/>
        </w:rPr>
        <w:t>8</w:t>
      </w:r>
      <w:r>
        <w:rPr>
          <w:rStyle w:val="Refdenotaalpie"/>
          <w:rFonts w:ascii="Verdana" w:eastAsia="Calibri" w:hAnsi="Verdana" w:cs="Arial"/>
          <w:color w:val="000000" w:themeColor="text1"/>
          <w:lang w:val="es-ES_tradnl"/>
        </w:rPr>
        <w:footnoteReference w:id="13"/>
      </w:r>
      <w:r>
        <w:rPr>
          <w:rFonts w:ascii="Verdana" w:eastAsia="Calibri" w:hAnsi="Verdana" w:cs="Arial"/>
          <w:color w:val="000000" w:themeColor="text1"/>
          <w:lang w:val="es-ES_tradnl"/>
        </w:rPr>
        <w:t xml:space="preserve"> </w:t>
      </w:r>
      <w:r>
        <w:rPr>
          <w:rStyle w:val="Refdenotaalpie"/>
          <w:rFonts w:ascii="Verdana" w:eastAsia="Calibri" w:hAnsi="Verdana" w:cs="Arial"/>
          <w:color w:val="000000" w:themeColor="text1"/>
          <w:lang w:val="es-ES_tradnl"/>
        </w:rPr>
        <w:footnoteReference w:id="14"/>
      </w:r>
      <w:r w:rsidRPr="006C42FC">
        <w:rPr>
          <w:rFonts w:ascii="Verdana" w:eastAsia="Calibri" w:hAnsi="Verdana" w:cs="Arial"/>
          <w:color w:val="000000" w:themeColor="text1"/>
          <w:lang w:val="es-ES_tradnl"/>
        </w:rPr>
        <w:t>de la </w:t>
      </w:r>
      <w:hyperlink r:id="rId12" w:history="1">
        <w:r w:rsidRPr="006C42FC">
          <w:rPr>
            <w:rFonts w:ascii="Verdana" w:eastAsia="Calibri" w:hAnsi="Verdana" w:cs="Arial"/>
            <w:color w:val="000000" w:themeColor="text1"/>
            <w:lang w:val="es-ES_tradnl"/>
          </w:rPr>
          <w:t xml:space="preserve">Ley </w:t>
        </w:r>
        <w:r>
          <w:rPr>
            <w:rFonts w:ascii="Verdana" w:eastAsia="Calibri" w:hAnsi="Verdana" w:cs="Arial"/>
            <w:color w:val="000000" w:themeColor="text1"/>
            <w:lang w:val="es-ES_tradnl"/>
          </w:rPr>
          <w:t>60</w:t>
        </w:r>
      </w:hyperlink>
      <w:r>
        <w:rPr>
          <w:rFonts w:ascii="Verdana" w:hAnsi="Verdana"/>
        </w:rPr>
        <w:t xml:space="preserve"> de 1981</w:t>
      </w:r>
      <w:r w:rsidRPr="006C42FC">
        <w:rPr>
          <w:rFonts w:ascii="Verdana" w:eastAsia="Calibri" w:hAnsi="Verdana" w:cs="Arial"/>
          <w:color w:val="000000" w:themeColor="text1"/>
          <w:lang w:val="es-ES_tradnl"/>
        </w:rPr>
        <w:t> y reglamentado a partir del </w:t>
      </w:r>
      <w:hyperlink r:id="rId13" w:history="1">
        <w:r w:rsidRPr="006C42FC">
          <w:rPr>
            <w:rFonts w:ascii="Verdana" w:eastAsia="Calibri" w:hAnsi="Verdana" w:cs="Arial"/>
            <w:color w:val="000000" w:themeColor="text1"/>
            <w:lang w:val="es-ES_tradnl"/>
          </w:rPr>
          <w:t xml:space="preserve">Decreto </w:t>
        </w:r>
        <w:r>
          <w:rPr>
            <w:rFonts w:ascii="Verdana" w:eastAsia="Calibri" w:hAnsi="Verdana" w:cs="Arial"/>
            <w:color w:val="000000" w:themeColor="text1"/>
            <w:lang w:val="es-ES_tradnl"/>
          </w:rPr>
          <w:t>2718</w:t>
        </w:r>
      </w:hyperlink>
      <w:r>
        <w:rPr>
          <w:rFonts w:ascii="Verdana" w:hAnsi="Verdana"/>
        </w:rPr>
        <w:t xml:space="preserve"> de 1984</w:t>
      </w:r>
      <w:r w:rsidRPr="006C42FC">
        <w:rPr>
          <w:rFonts w:ascii="Verdana" w:eastAsia="Calibri" w:hAnsi="Verdana" w:cs="Arial"/>
          <w:color w:val="000000" w:themeColor="text1"/>
          <w:lang w:val="es-ES_tradnl"/>
        </w:rPr>
        <w:t>,</w:t>
      </w:r>
      <w:r>
        <w:rPr>
          <w:rFonts w:ascii="Verdana" w:eastAsia="Calibri" w:hAnsi="Verdana" w:cs="Arial"/>
          <w:color w:val="000000" w:themeColor="text1"/>
          <w:lang w:val="es-ES_tradnl"/>
        </w:rPr>
        <w:t xml:space="preserve"> adscrito actualmente al Ministerio de Comercio, Industria y Turismo y </w:t>
      </w:r>
      <w:r w:rsidRPr="006C42FC">
        <w:rPr>
          <w:rFonts w:ascii="Verdana" w:eastAsia="Calibri" w:hAnsi="Verdana" w:cs="Arial"/>
          <w:color w:val="000000" w:themeColor="text1"/>
          <w:lang w:val="es-ES_tradnl"/>
        </w:rPr>
        <w:t xml:space="preserve">facultado </w:t>
      </w:r>
      <w:r>
        <w:rPr>
          <w:rFonts w:ascii="Verdana" w:eastAsia="Calibri" w:hAnsi="Verdana" w:cs="Arial"/>
          <w:color w:val="000000" w:themeColor="text1"/>
          <w:lang w:val="es-ES_tradnl"/>
        </w:rPr>
        <w:t>de acuerdo con lo e</w:t>
      </w:r>
      <w:r w:rsidRPr="006C42FC">
        <w:rPr>
          <w:rFonts w:ascii="Verdana" w:eastAsia="Calibri" w:hAnsi="Verdana" w:cs="Arial"/>
          <w:color w:val="000000" w:themeColor="text1"/>
          <w:lang w:val="es-ES_tradnl"/>
        </w:rPr>
        <w:t xml:space="preserve">stablecido en el artículo 26 de la Constitución Política. Este organismo cumple, en nombre del Estado, la misión constitucional de llevar el registro y ejercer la inspección, control y vigilancia del ejercicio de la profesión de Administración </w:t>
      </w:r>
      <w:r>
        <w:rPr>
          <w:rFonts w:ascii="Verdana" w:eastAsia="Calibri" w:hAnsi="Verdana" w:cs="Arial"/>
          <w:color w:val="000000" w:themeColor="text1"/>
          <w:lang w:val="es-ES_tradnl"/>
        </w:rPr>
        <w:t>de empresas</w:t>
      </w:r>
      <w:r w:rsidRPr="006C42FC">
        <w:rPr>
          <w:rFonts w:ascii="Verdana" w:eastAsia="Calibri" w:hAnsi="Verdana" w:cs="Arial"/>
          <w:color w:val="000000" w:themeColor="text1"/>
          <w:lang w:val="es-ES_tradnl"/>
        </w:rPr>
        <w:t xml:space="preserve"> mediante la función administrativa.</w:t>
      </w:r>
    </w:p>
    <w:p w14:paraId="2896B469" w14:textId="77777777" w:rsidR="00897CD2" w:rsidRPr="006C42FC" w:rsidRDefault="00897CD2" w:rsidP="00897CD2">
      <w:pPr>
        <w:spacing w:after="120"/>
        <w:ind w:firstLine="709"/>
        <w:jc w:val="both"/>
        <w:rPr>
          <w:rFonts w:ascii="Verdana" w:eastAsia="Calibri" w:hAnsi="Verdana" w:cs="Arial"/>
          <w:color w:val="000000" w:themeColor="text1"/>
          <w:lang w:val="es-ES"/>
        </w:rPr>
      </w:pPr>
      <w:r w:rsidRPr="6597C79F">
        <w:rPr>
          <w:rFonts w:ascii="Verdana" w:eastAsia="Calibri" w:hAnsi="Verdana" w:cs="Arial"/>
          <w:color w:val="000000" w:themeColor="text1"/>
          <w:lang w:val="es-ES"/>
        </w:rPr>
        <w:t xml:space="preserve">También es preciso indicar que, según lo dispuesto en el artículo 5 del Decreto 2718 de 1984 los actos que dicte el Consejo Profesional de Administración de Empresas en ejercicio de sus funciones, se denominarán Acuerdos y llevarán las firmas del respectivo </w:t>
      </w:r>
      <w:proofErr w:type="gramStart"/>
      <w:r w:rsidRPr="6597C79F">
        <w:rPr>
          <w:rFonts w:ascii="Verdana" w:eastAsia="Calibri" w:hAnsi="Verdana" w:cs="Arial"/>
          <w:color w:val="000000" w:themeColor="text1"/>
          <w:lang w:val="es-ES"/>
        </w:rPr>
        <w:t>Presidente</w:t>
      </w:r>
      <w:proofErr w:type="gramEnd"/>
      <w:r w:rsidRPr="6597C79F">
        <w:rPr>
          <w:rFonts w:ascii="Verdana" w:eastAsia="Calibri" w:hAnsi="Verdana" w:cs="Arial"/>
          <w:color w:val="000000" w:themeColor="text1"/>
          <w:lang w:val="es-ES"/>
        </w:rPr>
        <w:t xml:space="preserve"> y </w:t>
      </w:r>
      <w:proofErr w:type="gramStart"/>
      <w:r w:rsidRPr="6597C79F">
        <w:rPr>
          <w:rFonts w:ascii="Verdana" w:eastAsia="Calibri" w:hAnsi="Verdana" w:cs="Arial"/>
          <w:color w:val="000000" w:themeColor="text1"/>
          <w:lang w:val="es-ES"/>
        </w:rPr>
        <w:t>Secretario</w:t>
      </w:r>
      <w:proofErr w:type="gramEnd"/>
      <w:r w:rsidRPr="6597C79F">
        <w:rPr>
          <w:rFonts w:ascii="Verdana" w:eastAsia="Calibri" w:hAnsi="Verdana" w:cs="Arial"/>
          <w:color w:val="000000" w:themeColor="text1"/>
          <w:lang w:val="es-ES"/>
        </w:rPr>
        <w:t xml:space="preserve">. Dichos acuerdos requieren para su validez la aprobación posterior del </w:t>
      </w:r>
      <w:proofErr w:type="gramStart"/>
      <w:r w:rsidRPr="6597C79F">
        <w:rPr>
          <w:rFonts w:ascii="Verdana" w:eastAsia="Calibri" w:hAnsi="Verdana" w:cs="Arial"/>
          <w:color w:val="000000" w:themeColor="text1"/>
          <w:lang w:val="es-ES"/>
        </w:rPr>
        <w:t>Ministro</w:t>
      </w:r>
      <w:proofErr w:type="gramEnd"/>
      <w:r w:rsidRPr="6597C79F">
        <w:rPr>
          <w:rFonts w:ascii="Verdana" w:eastAsia="Calibri" w:hAnsi="Verdana" w:cs="Arial"/>
          <w:color w:val="000000" w:themeColor="text1"/>
          <w:lang w:val="es-ES"/>
        </w:rPr>
        <w:t xml:space="preserve"> de Desarrollo Económico (hoy Ministerio de Comercio, Industria y Turismo). </w:t>
      </w:r>
    </w:p>
    <w:p w14:paraId="3893F38A" w14:textId="77777777" w:rsidR="00897CD2" w:rsidRPr="00B77FA7" w:rsidRDefault="00897CD2" w:rsidP="00897CD2">
      <w:pPr>
        <w:spacing w:after="120"/>
        <w:ind w:firstLine="709"/>
        <w:jc w:val="both"/>
        <w:rPr>
          <w:rFonts w:ascii="Verdana" w:eastAsia="Calibri" w:hAnsi="Verdana" w:cs="Arial"/>
          <w:color w:val="000000" w:themeColor="text1"/>
          <w:lang w:val="es-ES_tradnl"/>
        </w:rPr>
      </w:pPr>
      <w:bookmarkStart w:id="16" w:name="_Hlk122360093"/>
      <w:bookmarkStart w:id="17" w:name="_Hlk122360145"/>
      <w:bookmarkEnd w:id="15"/>
      <w:r w:rsidRPr="00B77FA7">
        <w:rPr>
          <w:rFonts w:ascii="Verdana" w:eastAsia="Calibri" w:hAnsi="Verdana" w:cs="Arial"/>
          <w:color w:val="000000" w:themeColor="text1"/>
          <w:lang w:val="es-ES_tradnl"/>
        </w:rPr>
        <w:t xml:space="preserve">Como </w:t>
      </w:r>
      <w:r>
        <w:rPr>
          <w:rFonts w:ascii="Verdana" w:eastAsia="Calibri" w:hAnsi="Verdana" w:cs="Arial"/>
          <w:color w:val="000000" w:themeColor="text1"/>
          <w:lang w:val="es-ES_tradnl"/>
        </w:rPr>
        <w:t xml:space="preserve">se puede observar, </w:t>
      </w:r>
      <w:r w:rsidRPr="00B77FA7">
        <w:rPr>
          <w:rFonts w:ascii="Verdana" w:eastAsia="Calibri" w:hAnsi="Verdana" w:cs="Arial"/>
          <w:color w:val="000000" w:themeColor="text1"/>
          <w:lang w:val="es-ES_tradnl"/>
        </w:rPr>
        <w:t xml:space="preserve">ni la ley de creación ni los demás instrumentos normativos </w:t>
      </w:r>
      <w:r>
        <w:rPr>
          <w:rFonts w:ascii="Verdana" w:eastAsia="Calibri" w:hAnsi="Verdana" w:cs="Arial"/>
          <w:color w:val="000000" w:themeColor="text1"/>
          <w:lang w:val="es-ES_tradnl"/>
        </w:rPr>
        <w:t xml:space="preserve">del Consejo Profesional </w:t>
      </w:r>
      <w:r w:rsidRPr="00B77FA7">
        <w:rPr>
          <w:rFonts w:ascii="Verdana" w:eastAsia="Calibri" w:hAnsi="Verdana" w:cs="Arial"/>
          <w:color w:val="000000" w:themeColor="text1"/>
          <w:lang w:val="es-ES_tradnl"/>
        </w:rPr>
        <w:t>de</w:t>
      </w:r>
      <w:r>
        <w:rPr>
          <w:rFonts w:ascii="Verdana" w:eastAsia="Calibri" w:hAnsi="Verdana" w:cs="Arial"/>
          <w:color w:val="000000" w:themeColor="text1"/>
          <w:lang w:val="es-ES_tradnl"/>
        </w:rPr>
        <w:t xml:space="preserve"> Administración de Empresas d</w:t>
      </w:r>
      <w:r w:rsidRPr="00B77FA7">
        <w:rPr>
          <w:rFonts w:ascii="Verdana" w:eastAsia="Calibri" w:hAnsi="Verdana" w:cs="Arial"/>
          <w:color w:val="000000" w:themeColor="text1"/>
          <w:lang w:val="es-ES_tradnl"/>
        </w:rPr>
        <w:t xml:space="preserve">eterminaron ningún aspecto adicional o especial respecto del régimen jurídico aplicable al órgano creado. Así las cosas, no existe, en la ley que dio vida jurídica ni en los demás instrumentos normativos que rigen su funcionalidad, una norma </w:t>
      </w:r>
      <w:r w:rsidRPr="00B77FA7">
        <w:rPr>
          <w:rFonts w:ascii="Verdana" w:eastAsia="Calibri" w:hAnsi="Verdana" w:cs="Arial"/>
          <w:color w:val="000000" w:themeColor="text1"/>
          <w:lang w:val="es-ES_tradnl"/>
        </w:rPr>
        <w:lastRenderedPageBreak/>
        <w:t xml:space="preserve">que le haya otorgado personería jurídica </w:t>
      </w:r>
      <w:r>
        <w:rPr>
          <w:rFonts w:ascii="Verdana" w:eastAsia="Calibri" w:hAnsi="Verdana" w:cs="Arial"/>
          <w:color w:val="000000" w:themeColor="text1"/>
          <w:lang w:val="es-ES_tradnl"/>
        </w:rPr>
        <w:t xml:space="preserve">ni </w:t>
      </w:r>
      <w:r w:rsidRPr="00B77FA7">
        <w:rPr>
          <w:rFonts w:ascii="Verdana" w:eastAsia="Calibri" w:hAnsi="Verdana" w:cs="Arial"/>
          <w:color w:val="000000" w:themeColor="text1"/>
          <w:lang w:val="es-ES_tradnl"/>
        </w:rPr>
        <w:t xml:space="preserve">capacidad legal para celebrar contratos </w:t>
      </w:r>
      <w:r>
        <w:rPr>
          <w:rFonts w:ascii="Verdana" w:eastAsia="Calibri" w:hAnsi="Verdana" w:cs="Arial"/>
          <w:color w:val="000000" w:themeColor="text1"/>
          <w:lang w:val="es-ES_tradnl"/>
        </w:rPr>
        <w:t>estatales o convenios o contratos interadministrativos</w:t>
      </w:r>
      <w:r w:rsidRPr="00B77FA7">
        <w:rPr>
          <w:rFonts w:ascii="Verdana" w:eastAsia="Calibri" w:hAnsi="Verdana" w:cs="Arial"/>
          <w:color w:val="000000" w:themeColor="text1"/>
          <w:lang w:val="es-ES_tradnl"/>
        </w:rPr>
        <w:t>.</w:t>
      </w:r>
    </w:p>
    <w:bookmarkEnd w:id="16"/>
    <w:p w14:paraId="1EF2D558" w14:textId="77777777" w:rsidR="00897CD2" w:rsidRDefault="00897CD2" w:rsidP="00897CD2">
      <w:pPr>
        <w:spacing w:after="120"/>
        <w:ind w:firstLine="709"/>
        <w:jc w:val="both"/>
        <w:rPr>
          <w:rFonts w:ascii="Verdana" w:eastAsia="Calibri" w:hAnsi="Verdana" w:cs="Arial"/>
          <w:color w:val="000000" w:themeColor="text1"/>
          <w:lang w:val="es-ES_tradnl"/>
        </w:rPr>
      </w:pPr>
      <w:r w:rsidRPr="00B77FA7">
        <w:rPr>
          <w:rFonts w:ascii="Verdana" w:eastAsia="Calibri" w:hAnsi="Verdana" w:cs="Arial"/>
          <w:color w:val="000000" w:themeColor="text1"/>
          <w:lang w:val="es-ES_tradnl"/>
        </w:rPr>
        <w:t xml:space="preserve">Teniendo en cuenta el análisis tanto jurisprudencial y doctrinario expuesto en las consideraciones previas sobre la naturaleza y régimen de los consejos profesionales aplicables para el caso, se concluye que este es un órgano estatal especial, atípico, que cumple función administrativa en el sector central nacional de la Rama Ejecutiva del Poder Público, presidido por el </w:t>
      </w:r>
      <w:r>
        <w:rPr>
          <w:rFonts w:ascii="Verdana" w:eastAsia="Calibri" w:hAnsi="Verdana" w:cs="Arial"/>
          <w:color w:val="000000" w:themeColor="text1"/>
          <w:lang w:val="es-ES_tradnl"/>
        </w:rPr>
        <w:t>Ministerio de Comercio, Industria y Turismo</w:t>
      </w:r>
      <w:r>
        <w:rPr>
          <w:rStyle w:val="Refdenotaalpie"/>
          <w:rFonts w:ascii="Verdana" w:eastAsia="Calibri" w:hAnsi="Verdana" w:cs="Arial"/>
          <w:color w:val="000000" w:themeColor="text1"/>
          <w:lang w:val="es-ES_tradnl"/>
        </w:rPr>
        <w:footnoteReference w:id="15"/>
      </w:r>
      <w:r w:rsidRPr="00B77FA7">
        <w:rPr>
          <w:rFonts w:ascii="Verdana" w:eastAsia="Calibri" w:hAnsi="Verdana" w:cs="Arial"/>
          <w:color w:val="000000" w:themeColor="text1"/>
          <w:lang w:val="es-ES_tradnl"/>
        </w:rPr>
        <w:t xml:space="preserve">, que no goza del atributo de la personalidad jurídica y, por consiguiente, no tiene capacidad legal para celebrar contratos pues, no fue previsto con esa facultad en el EGCAP, en leyes especiales, ni en la norma de su creación. Por lo anterior, al no tener capacidad jurídica para contratar no está sujeto a las normas que rigen los contratos estatales. </w:t>
      </w:r>
    </w:p>
    <w:p w14:paraId="64EF4D22" w14:textId="77777777" w:rsidR="00897CD2" w:rsidRDefault="00897CD2" w:rsidP="00897CD2">
      <w:pPr>
        <w:spacing w:after="120"/>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En ese escenario, ante la ausencia de la capacidad jurídica para celebrar contratos estatales, convenios o contratos interadministrativos, la Ley 996 de 2005, conocida como la ley de garantías, no resulta aplicable para el Consejo Profesional de Administración de Empresas.  </w:t>
      </w:r>
    </w:p>
    <w:p w14:paraId="4B6F0C15" w14:textId="77777777" w:rsidR="00897CD2" w:rsidRDefault="00897CD2" w:rsidP="00897CD2">
      <w:pPr>
        <w:spacing w:after="120"/>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Pese a lo anterior, resulta necesario presentar unas consideraciones expuestas por la Sala de Consulta y Servicio Civil del Consejo de Estado en el evento en que los consejos profesionales, que no cuentan con personería jurídica, celebren contratos. </w:t>
      </w:r>
    </w:p>
    <w:p w14:paraId="7E2F6FB2" w14:textId="77777777" w:rsidR="00897CD2" w:rsidRDefault="00897CD2" w:rsidP="00897CD2">
      <w:pPr>
        <w:spacing w:after="120"/>
        <w:ind w:firstLine="709"/>
        <w:jc w:val="both"/>
        <w:rPr>
          <w:rFonts w:ascii="Verdana" w:eastAsia="Calibri" w:hAnsi="Verdana" w:cs="Arial"/>
          <w:color w:val="000000" w:themeColor="text1"/>
          <w:lang w:val="es-ES"/>
        </w:rPr>
      </w:pPr>
      <w:r w:rsidRPr="6597C79F">
        <w:rPr>
          <w:rFonts w:ascii="Verdana" w:eastAsia="Calibri" w:hAnsi="Verdana" w:cs="Arial"/>
          <w:color w:val="000000" w:themeColor="text1"/>
          <w:lang w:val="es-ES"/>
        </w:rPr>
        <w:t xml:space="preserve">En el concepto del 2 de diciembre de 2008 (radicado 1924) tratándose del Consejo Profesional Nacional de Arquitectura y sus profesiones auxiliares, indicó en términos generales que el artículo 2 numeral 1 literal b) de la Ley 80 de 1993 no incluye a los consejos que vigilan profesional como posible parte pública contratante, de manera que el consejo profesional deberá proceder a través del ministerio al cual se encuentra adscrito. De esta manera, teniendo en consideración que el ministerio sí cuenta con capacidad jurídica en los términos del artículo 2 del numeral 1 de la Ley 80 de 1993, la cual expresará su voluntad a través de su jefe, esto es, el </w:t>
      </w:r>
      <w:proofErr w:type="gramStart"/>
      <w:r w:rsidRPr="6597C79F">
        <w:rPr>
          <w:rFonts w:ascii="Verdana" w:eastAsia="Calibri" w:hAnsi="Verdana" w:cs="Arial"/>
          <w:color w:val="000000" w:themeColor="text1"/>
          <w:lang w:val="es-ES"/>
        </w:rPr>
        <w:t>Ministro</w:t>
      </w:r>
      <w:proofErr w:type="gramEnd"/>
      <w:r w:rsidRPr="6597C79F">
        <w:rPr>
          <w:rFonts w:ascii="Verdana" w:eastAsia="Calibri" w:hAnsi="Verdana" w:cs="Arial"/>
          <w:color w:val="000000" w:themeColor="text1"/>
          <w:lang w:val="es-ES"/>
        </w:rPr>
        <w:t xml:space="preserve">, en los términos del artículo 11 de la ley 80, se efectuará sin perjuicio de los actos de desconcentración o delegación de funciones autorizados por el artículo 12 de la misma ley.   </w:t>
      </w:r>
    </w:p>
    <w:p w14:paraId="7CDCF958" w14:textId="77777777" w:rsidR="00897CD2" w:rsidRDefault="00897CD2" w:rsidP="00897CD2">
      <w:pPr>
        <w:spacing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Ahora bien, ante la existencia de celebración de convenios y contratos por parte del consejo profesional y carecer de capacidad jurídica para ello, se </w:t>
      </w:r>
      <w:r>
        <w:rPr>
          <w:rFonts w:ascii="Verdana" w:eastAsia="Calibri" w:hAnsi="Verdana" w:cs="Arial"/>
          <w:color w:val="000000" w:themeColor="text1"/>
          <w:lang w:val="es-ES_tradnl"/>
        </w:rPr>
        <w:lastRenderedPageBreak/>
        <w:t>evidencia una nulidad absoluta</w:t>
      </w:r>
      <w:r>
        <w:rPr>
          <w:rStyle w:val="Refdenotaalpie"/>
          <w:rFonts w:ascii="Verdana" w:eastAsia="Calibri" w:hAnsi="Verdana" w:cs="Arial"/>
          <w:color w:val="000000" w:themeColor="text1"/>
          <w:lang w:val="es-ES_tradnl"/>
        </w:rPr>
        <w:footnoteReference w:id="16"/>
      </w:r>
      <w:r>
        <w:rPr>
          <w:rFonts w:ascii="Verdana" w:eastAsia="Calibri" w:hAnsi="Verdana" w:cs="Arial"/>
          <w:color w:val="000000" w:themeColor="text1"/>
          <w:lang w:val="es-ES_tradnl"/>
        </w:rPr>
        <w:t xml:space="preserve">. Pese a ello, el Consejo de Estado en el concepto referenciado indicó que, para efectos de buscar una solución práctica que permita </w:t>
      </w:r>
      <w:r w:rsidRPr="00CD47DE">
        <w:rPr>
          <w:rFonts w:ascii="Verdana" w:eastAsia="Calibri" w:hAnsi="Verdana" w:cs="Arial"/>
          <w:color w:val="000000" w:themeColor="text1"/>
          <w:lang w:val="es-ES_tradnl"/>
        </w:rPr>
        <w:t>salvaguardar los intereses del Estado y de terceros de buena fe, resultan aplicables el principio de la confianza legítima y las teorías del acto propio y de la apariencia explicados por la jurisprudencia y la doctrina nacional y extranjera</w:t>
      </w:r>
      <w:r>
        <w:rPr>
          <w:rFonts w:ascii="Verdana" w:eastAsia="Calibri" w:hAnsi="Verdana" w:cs="Arial"/>
          <w:color w:val="000000" w:themeColor="text1"/>
          <w:lang w:val="es-ES_tradnl"/>
        </w:rPr>
        <w:t>. En este contexto será el ministro o un delegado quien tiene la función de presidirlo</w:t>
      </w:r>
      <w:r>
        <w:rPr>
          <w:rStyle w:val="Refdenotaalpie"/>
          <w:rFonts w:ascii="Verdana" w:eastAsia="Calibri" w:hAnsi="Verdana" w:cs="Arial"/>
          <w:color w:val="000000" w:themeColor="text1"/>
          <w:lang w:val="es-ES_tradnl"/>
        </w:rPr>
        <w:footnoteReference w:id="17"/>
      </w:r>
      <w:r>
        <w:rPr>
          <w:rFonts w:ascii="Verdana" w:eastAsia="Calibri" w:hAnsi="Verdana" w:cs="Arial"/>
          <w:color w:val="000000" w:themeColor="text1"/>
          <w:lang w:val="es-ES_tradnl"/>
        </w:rPr>
        <w:t>.</w:t>
      </w:r>
    </w:p>
    <w:p w14:paraId="4456A492" w14:textId="77777777" w:rsidR="00897CD2" w:rsidRDefault="00897CD2" w:rsidP="00897CD2">
      <w:pPr>
        <w:spacing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De acuerdo con lo dispuesto en el artículo 23 del Acuerdo 01 de 2022 como función de la Dirección Ejecutiva del Consejo Profesional de Administración de Empresas se encuentra aquella dispuesta en el literal c) que indica: Expedir los actos inherentes a la actividad precontractual, contractual y post contractual y en virtud de ello, suscribir los contratos, convenios y demás actos requeridos para la ejecución del presupuesto aprobado por el Consejo Directivo del Consejo Profesional de Administración de Empresas. </w:t>
      </w:r>
    </w:p>
    <w:p w14:paraId="4AF45BC4" w14:textId="77777777" w:rsidR="00897CD2" w:rsidRDefault="00897CD2" w:rsidP="00897CD2">
      <w:pPr>
        <w:spacing w:line="276" w:lineRule="auto"/>
        <w:ind w:firstLine="709"/>
        <w:jc w:val="both"/>
        <w:rPr>
          <w:rFonts w:ascii="Verdana" w:hAnsi="Verdana" w:cs="Arial"/>
        </w:rPr>
      </w:pPr>
      <w:r>
        <w:rPr>
          <w:rFonts w:ascii="Verdana" w:eastAsia="Calibri" w:hAnsi="Verdana" w:cs="Arial"/>
          <w:color w:val="000000" w:themeColor="text1"/>
          <w:lang w:val="es-ES_tradnl"/>
        </w:rPr>
        <w:t xml:space="preserve">En palabras de la Sala de Servicio y Consulta Civil se está dotando de competencia aparente al Consejo Profesional para celebrar negocios jurídicos, esto es: </w:t>
      </w:r>
      <w:r w:rsidRPr="00E4092E">
        <w:rPr>
          <w:rFonts w:ascii="Verdana" w:eastAsia="Calibri" w:hAnsi="Verdana" w:cs="Arial"/>
          <w:color w:val="000000" w:themeColor="text1"/>
          <w:lang w:val="es-ES_tradnl"/>
        </w:rPr>
        <w:t>“</w:t>
      </w:r>
      <w:r w:rsidRPr="00E4092E">
        <w:rPr>
          <w:rFonts w:ascii="Verdana" w:hAnsi="Verdana" w:cs="Arial"/>
        </w:rPr>
        <w:t>La apariencia creadora de derechos está reconocida en nuestro ordenamiento jurídico</w:t>
      </w:r>
      <w:r w:rsidRPr="00E4092E">
        <w:rPr>
          <w:rStyle w:val="Refdenotaalpie"/>
          <w:rFonts w:ascii="Verdana" w:hAnsi="Verdana" w:cs="Arial"/>
        </w:rPr>
        <w:footnoteReference w:id="18"/>
      </w:r>
      <w:r w:rsidRPr="00E4092E">
        <w:rPr>
          <w:rFonts w:ascii="Verdana" w:hAnsi="Verdana" w:cs="Arial"/>
        </w:rPr>
        <w:t xml:space="preserve">, situación fáctica y normativa que vincula jurídicamente a dicho Ministerio, lo que en palabras del artículo 842 del </w:t>
      </w:r>
      <w:proofErr w:type="spellStart"/>
      <w:r w:rsidRPr="00E4092E">
        <w:rPr>
          <w:rFonts w:ascii="Verdana" w:hAnsi="Verdana" w:cs="Arial"/>
        </w:rPr>
        <w:t>C.Co</w:t>
      </w:r>
      <w:proofErr w:type="spellEnd"/>
      <w:r w:rsidRPr="00E4092E">
        <w:rPr>
          <w:rFonts w:ascii="Verdana" w:hAnsi="Verdana" w:cs="Arial"/>
        </w:rPr>
        <w:t>., significa que esa cartera ministerial “quedará obligado en los términos pactados ante terceros de buena fe exenta de culpa”.</w:t>
      </w:r>
    </w:p>
    <w:p w14:paraId="1B71492B" w14:textId="77777777" w:rsidR="00897CD2" w:rsidRDefault="00897CD2" w:rsidP="00897CD2">
      <w:pPr>
        <w:spacing w:line="276" w:lineRule="auto"/>
        <w:ind w:firstLine="709"/>
        <w:jc w:val="both"/>
        <w:rPr>
          <w:rFonts w:ascii="Verdana" w:hAnsi="Verdana" w:cs="Arial"/>
        </w:rPr>
      </w:pPr>
      <w:r>
        <w:rPr>
          <w:rFonts w:ascii="Verdana" w:hAnsi="Verdana" w:cs="Arial"/>
        </w:rPr>
        <w:t xml:space="preserve">En ese sentido, </w:t>
      </w:r>
      <w:r w:rsidRPr="00E4092E">
        <w:rPr>
          <w:rFonts w:ascii="Verdana" w:hAnsi="Verdana" w:cs="Arial"/>
        </w:rPr>
        <w:t xml:space="preserve">los actos citados son un fundamento objetivo de una apariencia, generadora de confianza que después puede ser contradicha, pero que finalmente vincula jurídicamente al Ministerio, como quiera que de buena fe no podría sustraerse al cumplimiento de un convenio o contrato celebrado con ocasión del mencionado “acuerdo”, en la medida en que con tal actuación se </w:t>
      </w:r>
      <w:r w:rsidRPr="00E4092E">
        <w:rPr>
          <w:rFonts w:ascii="Verdana" w:hAnsi="Verdana" w:cs="Arial"/>
        </w:rPr>
        <w:lastRenderedPageBreak/>
        <w:t>transgredirían los principios de confianza legítima y el respeto a sus propios actos</w:t>
      </w:r>
      <w:r>
        <w:rPr>
          <w:rStyle w:val="Refdenotaalpie"/>
          <w:rFonts w:ascii="Verdana" w:hAnsi="Verdana" w:cs="Arial"/>
        </w:rPr>
        <w:footnoteReference w:id="19"/>
      </w:r>
      <w:r w:rsidRPr="00E4092E">
        <w:rPr>
          <w:rFonts w:ascii="Verdana" w:hAnsi="Verdana" w:cs="Arial"/>
        </w:rPr>
        <w:t xml:space="preserve"> .</w:t>
      </w:r>
    </w:p>
    <w:p w14:paraId="6410BDBA" w14:textId="77777777" w:rsidR="00897CD2" w:rsidRDefault="00897CD2" w:rsidP="00897CD2">
      <w:pPr>
        <w:spacing w:after="120"/>
        <w:ind w:firstLine="709"/>
        <w:jc w:val="both"/>
        <w:rPr>
          <w:rFonts w:ascii="Verdana" w:hAnsi="Verdana" w:cs="Arial"/>
        </w:rPr>
      </w:pPr>
      <w:r>
        <w:rPr>
          <w:rFonts w:ascii="Verdana" w:hAnsi="Verdana" w:cs="Arial"/>
        </w:rPr>
        <w:t xml:space="preserve">En este escenario y entendiendo que sería el Ministerio de Comercio, Industria y Turismo quien debe liderar la celebración de contratos y/o convenios interadministrativos, será esta cartera ministerial la llamada a cumplir lo dispuesto en la Ley 906 de 2005. </w:t>
      </w:r>
    </w:p>
    <w:p w14:paraId="714B70DE" w14:textId="77777777" w:rsidR="00897CD2" w:rsidRPr="00676106" w:rsidRDefault="00897CD2" w:rsidP="00897CD2">
      <w:pPr>
        <w:tabs>
          <w:tab w:val="left" w:pos="426"/>
        </w:tabs>
        <w:spacing w:after="120"/>
        <w:ind w:firstLine="425"/>
        <w:jc w:val="both"/>
        <w:rPr>
          <w:rFonts w:ascii="Verdana" w:eastAsia="Times New Roman" w:hAnsi="Verdana" w:cs="Arial"/>
          <w:bCs/>
          <w:lang w:eastAsia="es-CO"/>
        </w:rPr>
      </w:pPr>
      <w:r>
        <w:rPr>
          <w:rFonts w:ascii="Verdana" w:eastAsia="Calibri" w:hAnsi="Verdana" w:cs="Arial"/>
          <w:bCs/>
        </w:rPr>
        <w:t xml:space="preserve">   En ese contexto, y respecto de la aplicación o no de la Ley 906 de 2005, e</w:t>
      </w:r>
      <w:r w:rsidRPr="00676106">
        <w:rPr>
          <w:rFonts w:ascii="Verdana" w:eastAsia="Calibri" w:hAnsi="Verdana" w:cs="Arial"/>
          <w:bCs/>
        </w:rPr>
        <w:t>l ordenamiento jurídico colombiano contempla previsiones claras para evitar la obtención de beneficios personales en asuntos propios de la administración pública</w:t>
      </w:r>
      <w:r w:rsidRPr="00676106">
        <w:rPr>
          <w:rFonts w:ascii="Verdana" w:eastAsia="Calibri" w:hAnsi="Verdana" w:cs="Arial"/>
          <w:bCs/>
          <w:i/>
          <w:iCs/>
        </w:rPr>
        <w:t xml:space="preserve">. </w:t>
      </w:r>
      <w:r w:rsidRPr="00676106">
        <w:rPr>
          <w:rFonts w:ascii="Verdana" w:eastAsia="Calibri" w:hAnsi="Verdana"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676106">
        <w:rPr>
          <w:rStyle w:val="Refdenotaalpie"/>
          <w:rFonts w:ascii="Verdana" w:eastAsia="Calibri" w:hAnsi="Verdana" w:cs="Arial"/>
          <w:bCs/>
        </w:rPr>
        <w:footnoteReference w:id="20"/>
      </w:r>
      <w:r w:rsidRPr="00676106">
        <w:rPr>
          <w:rFonts w:ascii="Verdana" w:eastAsia="Calibri" w:hAnsi="Verdana" w:cs="Arial"/>
          <w:bCs/>
        </w:rPr>
        <w:t xml:space="preserve">. </w:t>
      </w:r>
    </w:p>
    <w:p w14:paraId="7635EEDA" w14:textId="77777777" w:rsidR="00897CD2" w:rsidRDefault="00897CD2" w:rsidP="00897CD2">
      <w:pPr>
        <w:tabs>
          <w:tab w:val="left" w:pos="426"/>
        </w:tabs>
        <w:spacing w:after="120"/>
        <w:ind w:firstLine="709"/>
        <w:jc w:val="both"/>
        <w:rPr>
          <w:rFonts w:ascii="Verdana" w:eastAsia="Calibri" w:hAnsi="Verdana" w:cs="Arial"/>
          <w:noProof/>
          <w:lang w:val="es-ES_tradnl"/>
        </w:rPr>
      </w:pPr>
      <w:r w:rsidRPr="003E638E">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w:t>
      </w:r>
      <w:r w:rsidRPr="003E638E">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E638E">
        <w:rPr>
          <w:rStyle w:val="Refdenotaalpie"/>
          <w:rFonts w:ascii="Verdana" w:eastAsia="Times New Roman" w:hAnsi="Verdana" w:cs="Arial"/>
          <w:bCs/>
          <w:lang w:eastAsia="es-CO"/>
        </w:rPr>
        <w:footnoteReference w:id="21"/>
      </w:r>
      <w:r w:rsidRPr="003E638E">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3E638E">
        <w:rPr>
          <w:rFonts w:ascii="Verdana" w:eastAsia="Calibri" w:hAnsi="Verdana" w:cs="Arial"/>
          <w:noProof/>
          <w:lang w:val="es-ES_tradnl"/>
        </w:rPr>
        <w:t xml:space="preserve"> </w:t>
      </w:r>
    </w:p>
    <w:p w14:paraId="0E192B4B" w14:textId="77777777" w:rsidR="00897CD2" w:rsidRPr="003E638E" w:rsidRDefault="00897CD2" w:rsidP="00897CD2">
      <w:pPr>
        <w:tabs>
          <w:tab w:val="left" w:pos="426"/>
        </w:tabs>
        <w:spacing w:after="120"/>
        <w:ind w:firstLine="709"/>
        <w:jc w:val="both"/>
        <w:rPr>
          <w:rFonts w:ascii="Verdana" w:eastAsia="Times New Roman" w:hAnsi="Verdana" w:cs="Arial"/>
          <w:bCs/>
          <w:lang w:eastAsia="es-CO"/>
        </w:rPr>
      </w:pPr>
      <w:r w:rsidRPr="003E638E">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769E86BA" w14:textId="77777777" w:rsidR="00897CD2" w:rsidRPr="00990FC7" w:rsidRDefault="00897CD2" w:rsidP="00897CD2">
      <w:pPr>
        <w:spacing w:after="0"/>
        <w:ind w:right="709"/>
        <w:rPr>
          <w:rFonts w:ascii="Arial" w:eastAsia="Times New Roman" w:hAnsi="Arial" w:cs="Arial"/>
          <w:sz w:val="21"/>
          <w:szCs w:val="21"/>
          <w:lang w:val="es-ES" w:eastAsia="es-CO"/>
        </w:rPr>
      </w:pPr>
    </w:p>
    <w:p w14:paraId="3AA38D66" w14:textId="77777777" w:rsidR="00897CD2" w:rsidRPr="003E638E" w:rsidRDefault="00897CD2" w:rsidP="00897CD2">
      <w:pPr>
        <w:spacing w:after="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sz w:val="20"/>
          <w:szCs w:val="20"/>
          <w:lang w:val="es-ES" w:eastAsia="es-CO"/>
        </w:rPr>
        <w:t xml:space="preserve">[…] </w:t>
      </w:r>
      <w:r w:rsidRPr="003E638E">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2F745766" w14:textId="77777777" w:rsidR="00897CD2" w:rsidRPr="003E638E" w:rsidRDefault="00897CD2" w:rsidP="00897CD2">
      <w:pPr>
        <w:spacing w:after="12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 xml:space="preserve">[…] </w:t>
      </w:r>
    </w:p>
    <w:p w14:paraId="1D49B9A0" w14:textId="77777777" w:rsidR="00897CD2" w:rsidRPr="003E638E" w:rsidRDefault="00897CD2" w:rsidP="00897CD2">
      <w:pPr>
        <w:spacing w:after="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E638E">
        <w:rPr>
          <w:rStyle w:val="Refdenotaalpie"/>
          <w:rFonts w:ascii="Verdana" w:hAnsi="Verdana" w:cs="Arial"/>
          <w:sz w:val="20"/>
          <w:szCs w:val="20"/>
        </w:rPr>
        <w:footnoteReference w:id="22"/>
      </w:r>
    </w:p>
    <w:p w14:paraId="3062F33C" w14:textId="77777777" w:rsidR="00897CD2" w:rsidRPr="003E638E" w:rsidRDefault="00897CD2" w:rsidP="00897CD2">
      <w:pPr>
        <w:spacing w:after="0"/>
        <w:ind w:left="709" w:right="709"/>
        <w:jc w:val="both"/>
        <w:rPr>
          <w:rFonts w:ascii="Verdana" w:eastAsia="Times New Roman" w:hAnsi="Verdana" w:cs="Arial"/>
          <w:bCs/>
          <w:sz w:val="21"/>
          <w:szCs w:val="21"/>
          <w:lang w:eastAsia="es-CO"/>
        </w:rPr>
      </w:pPr>
    </w:p>
    <w:p w14:paraId="5F1A22E8" w14:textId="77777777" w:rsidR="00897CD2" w:rsidRPr="003E638E" w:rsidRDefault="00897CD2" w:rsidP="00897CD2">
      <w:pPr>
        <w:spacing w:after="0"/>
        <w:ind w:firstLine="709"/>
        <w:jc w:val="both"/>
        <w:rPr>
          <w:rFonts w:ascii="Verdana" w:eastAsia="Times New Roman" w:hAnsi="Verdana" w:cs="Arial"/>
          <w:bCs/>
          <w:lang w:eastAsia="es-CO"/>
        </w:rPr>
      </w:pPr>
      <w:bookmarkStart w:id="18" w:name="_Hlk78818186"/>
      <w:r w:rsidRPr="003E638E">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8"/>
      <w:r w:rsidRPr="003E638E">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08B9FD85" w14:textId="77777777" w:rsidR="00897CD2" w:rsidRPr="003E638E" w:rsidRDefault="00897CD2" w:rsidP="00897CD2">
      <w:pPr>
        <w:spacing w:after="0"/>
        <w:ind w:firstLine="709"/>
        <w:jc w:val="both"/>
        <w:rPr>
          <w:rFonts w:ascii="Verdana" w:eastAsia="Times New Roman" w:hAnsi="Verdana" w:cs="Arial"/>
          <w:bCs/>
          <w:lang w:eastAsia="es-CO"/>
        </w:rPr>
      </w:pPr>
    </w:p>
    <w:p w14:paraId="623F859F" w14:textId="77777777" w:rsidR="00897CD2" w:rsidRPr="003E638E" w:rsidRDefault="00897CD2" w:rsidP="00897CD2">
      <w:pPr>
        <w:spacing w:after="12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E638E">
        <w:rPr>
          <w:rFonts w:ascii="Verdana" w:eastAsia="Times New Roman" w:hAnsi="Verdana" w:cs="Arial"/>
          <w:bCs/>
          <w:sz w:val="20"/>
          <w:szCs w:val="20"/>
          <w:lang w:eastAsia="es-CO"/>
        </w:rPr>
        <w:t>legis</w:t>
      </w:r>
      <w:proofErr w:type="spellEnd"/>
      <w:r w:rsidRPr="003E638E">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9F60858" w14:textId="77777777" w:rsidR="00897CD2" w:rsidRPr="003E638E" w:rsidRDefault="00897CD2" w:rsidP="00897CD2">
      <w:pPr>
        <w:spacing w:after="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La jurisprudencia de la Corte Constitucional</w:t>
      </w:r>
      <w:r w:rsidRPr="003E638E">
        <w:rPr>
          <w:rStyle w:val="Refdenotaalpie"/>
          <w:rFonts w:ascii="Verdana" w:eastAsia="Times New Roman" w:hAnsi="Verdana" w:cs="Arial"/>
          <w:bCs/>
          <w:sz w:val="20"/>
          <w:szCs w:val="20"/>
          <w:lang w:eastAsia="es-CO"/>
        </w:rPr>
        <w:footnoteReference w:id="23"/>
      </w:r>
      <w:r w:rsidRPr="003E638E">
        <w:rPr>
          <w:rFonts w:ascii="Verdana" w:eastAsia="Times New Roman" w:hAnsi="Verdana" w:cs="Arial"/>
          <w:bCs/>
          <w:sz w:val="20"/>
          <w:szCs w:val="20"/>
          <w:lang w:eastAsia="es-CO"/>
        </w:rPr>
        <w:t> y del Consejo de Estado</w:t>
      </w:r>
      <w:r w:rsidRPr="003E638E">
        <w:rPr>
          <w:rStyle w:val="Refdenotaalpie"/>
          <w:rFonts w:ascii="Verdana" w:eastAsia="Times New Roman" w:hAnsi="Verdana" w:cs="Arial"/>
          <w:bCs/>
          <w:sz w:val="20"/>
          <w:szCs w:val="20"/>
          <w:lang w:eastAsia="es-CO"/>
        </w:rPr>
        <w:footnoteReference w:id="24"/>
      </w:r>
      <w:r w:rsidRPr="003E638E">
        <w:rPr>
          <w:rFonts w:ascii="Verdana" w:eastAsia="Times New Roman" w:hAnsi="Verdana" w:cs="Arial"/>
          <w:bCs/>
          <w:sz w:val="20"/>
          <w:szCs w:val="20"/>
          <w:lang w:eastAsia="es-CO"/>
        </w:rPr>
        <w:t xml:space="preserve">, coinciden en que las normas que establecen prohibiciones deben estar de </w:t>
      </w:r>
      <w:r w:rsidRPr="003E638E">
        <w:rPr>
          <w:rFonts w:ascii="Verdana" w:eastAsia="Times New Roman" w:hAnsi="Verdana" w:cs="Arial"/>
          <w:bCs/>
          <w:sz w:val="20"/>
          <w:szCs w:val="20"/>
          <w:lang w:eastAsia="es-CO"/>
        </w:rPr>
        <w:lastRenderedPageBreak/>
        <w:t>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E638E">
        <w:rPr>
          <w:rStyle w:val="Refdenotaalpie"/>
          <w:rFonts w:ascii="Verdana" w:eastAsia="Times New Roman" w:hAnsi="Verdana" w:cs="Arial"/>
          <w:bCs/>
          <w:sz w:val="20"/>
          <w:szCs w:val="20"/>
          <w:lang w:eastAsia="es-CO"/>
        </w:rPr>
        <w:footnoteReference w:id="25"/>
      </w:r>
      <w:r w:rsidRPr="003E638E">
        <w:rPr>
          <w:rFonts w:ascii="Verdana" w:eastAsia="Times New Roman" w:hAnsi="Verdana" w:cs="Arial"/>
          <w:bCs/>
          <w:sz w:val="20"/>
          <w:szCs w:val="20"/>
          <w:lang w:eastAsia="es-CO"/>
        </w:rPr>
        <w:t>.</w:t>
      </w:r>
    </w:p>
    <w:p w14:paraId="2EAADACE" w14:textId="77777777" w:rsidR="00897CD2" w:rsidRPr="00990FC7" w:rsidRDefault="00897CD2" w:rsidP="00897CD2">
      <w:pPr>
        <w:spacing w:after="0"/>
        <w:ind w:right="709"/>
        <w:rPr>
          <w:rFonts w:ascii="Arial" w:eastAsia="Times New Roman" w:hAnsi="Arial" w:cs="Arial"/>
          <w:bCs/>
          <w:sz w:val="21"/>
          <w:szCs w:val="21"/>
          <w:lang w:eastAsia="es-CO"/>
        </w:rPr>
      </w:pPr>
    </w:p>
    <w:p w14:paraId="6B98EB92" w14:textId="77777777" w:rsidR="00897CD2" w:rsidRPr="003E638E" w:rsidRDefault="00897CD2" w:rsidP="00897CD2">
      <w:pPr>
        <w:spacing w:after="120"/>
        <w:jc w:val="both"/>
        <w:rPr>
          <w:rFonts w:ascii="Verdana" w:eastAsia="Arial" w:hAnsi="Verdana" w:cs="Arial"/>
          <w:lang w:val="es-ES" w:eastAsia="es-ES" w:bidi="es-ES"/>
        </w:rPr>
      </w:pPr>
      <w:r w:rsidRPr="00990FC7">
        <w:rPr>
          <w:rFonts w:ascii="Arial" w:eastAsia="Times New Roman" w:hAnsi="Arial" w:cs="Arial"/>
          <w:bCs/>
          <w:lang w:eastAsia="es-CO"/>
        </w:rPr>
        <w:tab/>
      </w:r>
      <w:r w:rsidRPr="003E638E">
        <w:rPr>
          <w:rFonts w:ascii="Verdana" w:eastAsia="Times New Roman" w:hAnsi="Verdana" w:cs="Arial"/>
          <w:bCs/>
          <w:lang w:eastAsia="es-CO"/>
        </w:rPr>
        <w:t>De</w:t>
      </w:r>
      <w:r w:rsidRPr="003E638E">
        <w:rPr>
          <w:rFonts w:ascii="Verdana" w:eastAsia="Arial" w:hAnsi="Verdana" w:cs="Arial"/>
          <w:lang w:val="es-ES" w:eastAsia="es-ES" w:bidi="es-ES"/>
        </w:rPr>
        <w:t xml:space="preserve"> conformidad con lo anterior, </w:t>
      </w:r>
      <w:bookmarkStart w:id="19" w:name="_Hlk77236098"/>
      <w:r w:rsidRPr="003E638E">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9"/>
    </w:p>
    <w:p w14:paraId="64923EF7" w14:textId="77777777" w:rsidR="00897CD2" w:rsidRPr="003E638E" w:rsidRDefault="00897CD2" w:rsidP="00897CD2">
      <w:pPr>
        <w:spacing w:after="120"/>
        <w:ind w:firstLine="708"/>
        <w:jc w:val="both"/>
        <w:rPr>
          <w:rFonts w:ascii="Verdana" w:eastAsia="Calibri" w:hAnsi="Verdana" w:cs="Arial"/>
        </w:rPr>
      </w:pPr>
      <w:r w:rsidRPr="003E638E">
        <w:rPr>
          <w:rFonts w:ascii="Verdana" w:eastAsia="Calibri" w:hAnsi="Verdana" w:cs="Arial"/>
        </w:rPr>
        <w:t xml:space="preserve">Por un lado, el artículo 33 de la Ley 996 de 2005 prohíbe </w:t>
      </w:r>
      <w:r>
        <w:rPr>
          <w:rFonts w:ascii="Verdana" w:eastAsia="Calibri" w:hAnsi="Verdana" w:cs="Arial"/>
          <w:bCs/>
        </w:rPr>
        <w:t>“(…)</w:t>
      </w:r>
      <w:r w:rsidRPr="003E638E">
        <w:rPr>
          <w:rFonts w:ascii="Verdana" w:eastAsia="Calibri" w:hAnsi="Verdana" w:cs="Arial"/>
          <w:bCs/>
        </w:rPr>
        <w:t xml:space="preserve"> </w:t>
      </w:r>
      <w:r w:rsidRPr="003E638E">
        <w:rPr>
          <w:rFonts w:ascii="Verdana" w:eastAsia="Calibri" w:hAnsi="Verdana" w:cs="Arial"/>
        </w:rPr>
        <w:t>la contratación directa por parte de todos los entes del Estado</w:t>
      </w:r>
      <w:r>
        <w:rPr>
          <w:rFonts w:ascii="Verdana" w:eastAsia="Calibri" w:hAnsi="Verdana" w:cs="Arial"/>
        </w:rPr>
        <w:t>”</w:t>
      </w:r>
      <w:r w:rsidRPr="003E638E">
        <w:rPr>
          <w:rFonts w:ascii="Verdana" w:eastAsia="Calibri" w:hAnsi="Verdana" w:cs="Arial"/>
        </w:rPr>
        <w:t xml:space="preserve"> durante los cuatro (4) meses anteriores a las elecciones presidenciales, salvo </w:t>
      </w:r>
      <w:r>
        <w:rPr>
          <w:rFonts w:ascii="Verdana" w:eastAsia="Calibri" w:hAnsi="Verdana" w:cs="Arial"/>
          <w:bCs/>
        </w:rPr>
        <w:t>“(…) l</w:t>
      </w:r>
      <w:r w:rsidRPr="003E638E">
        <w:rPr>
          <w:rFonts w:ascii="Verdana" w:eastAsia="Calibri" w:hAnsi="Verdana" w:cs="Arial"/>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rPr>
        <w:t>”</w:t>
      </w:r>
      <w:r w:rsidRPr="003E638E">
        <w:rPr>
          <w:rFonts w:ascii="Verdana" w:eastAsia="Calibri" w:hAnsi="Verdana" w:cs="Arial"/>
          <w:bCs/>
          <w:vertAlign w:val="superscript"/>
        </w:rPr>
        <w:footnoteReference w:id="26"/>
      </w:r>
      <w:r w:rsidRPr="003E638E">
        <w:rPr>
          <w:rFonts w:ascii="Verdana" w:eastAsia="Calibri" w:hAnsi="Verdana" w:cs="Arial"/>
        </w:rPr>
        <w:t>.</w:t>
      </w:r>
    </w:p>
    <w:p w14:paraId="59867E8B" w14:textId="77777777" w:rsidR="00897CD2" w:rsidRPr="003E638E" w:rsidRDefault="00897CD2" w:rsidP="00897CD2">
      <w:pPr>
        <w:widowControl w:val="0"/>
        <w:autoSpaceDE w:val="0"/>
        <w:autoSpaceDN w:val="0"/>
        <w:spacing w:after="0"/>
        <w:ind w:right="113" w:firstLine="708"/>
        <w:jc w:val="both"/>
        <w:rPr>
          <w:rFonts w:ascii="Verdana" w:eastAsia="Arial" w:hAnsi="Verdana" w:cs="Arial"/>
          <w:lang w:val="es-ES" w:eastAsia="es-ES" w:bidi="es-ES"/>
        </w:rPr>
      </w:pPr>
      <w:r w:rsidRPr="003E638E">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w:t>
      </w:r>
      <w:r w:rsidRPr="003E638E">
        <w:rPr>
          <w:rFonts w:ascii="Verdana" w:eastAsia="Calibri" w:hAnsi="Verdana" w:cs="Arial"/>
        </w:rPr>
        <w:lastRenderedPageBreak/>
        <w:t xml:space="preserve">gerentes y directores de entidades descentralizadas del orden municipal, departamental o distrital </w:t>
      </w:r>
      <w:r>
        <w:rPr>
          <w:rFonts w:ascii="Verdana" w:eastAsia="Calibri" w:hAnsi="Verdana" w:cs="Arial"/>
          <w:bCs/>
        </w:rPr>
        <w:t xml:space="preserve">“(…) </w:t>
      </w:r>
      <w:r w:rsidRPr="003E638E">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3E638E">
        <w:rPr>
          <w:rFonts w:ascii="Verdana" w:eastAsia="Calibri" w:hAnsi="Verdana" w:cs="Arial"/>
          <w:bCs/>
          <w:vertAlign w:val="superscript"/>
        </w:rPr>
        <w:footnoteReference w:id="27"/>
      </w:r>
      <w:r w:rsidRPr="003E638E">
        <w:rPr>
          <w:rFonts w:ascii="Verdana" w:eastAsia="Calibri" w:hAnsi="Verdana" w:cs="Arial"/>
        </w:rPr>
        <w:t>.</w:t>
      </w:r>
      <w:r w:rsidRPr="003E638E">
        <w:rPr>
          <w:rFonts w:ascii="Verdana" w:eastAsia="Arial" w:hAnsi="Verdana"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17B17B28" w14:textId="77777777" w:rsidR="00897CD2" w:rsidRPr="003E638E" w:rsidRDefault="00897CD2" w:rsidP="00897CD2">
      <w:pPr>
        <w:widowControl w:val="0"/>
        <w:autoSpaceDE w:val="0"/>
        <w:autoSpaceDN w:val="0"/>
        <w:spacing w:after="0"/>
        <w:ind w:left="805" w:right="812"/>
        <w:jc w:val="both"/>
        <w:rPr>
          <w:rFonts w:ascii="Verdana" w:eastAsia="Arial" w:hAnsi="Verdana" w:cs="Arial"/>
          <w:sz w:val="20"/>
          <w:szCs w:val="20"/>
          <w:lang w:val="es-ES" w:eastAsia="es-ES" w:bidi="es-ES"/>
        </w:rPr>
      </w:pPr>
    </w:p>
    <w:p w14:paraId="0ECE6D26" w14:textId="77777777" w:rsidR="00897CD2" w:rsidRPr="003E638E" w:rsidRDefault="00897CD2" w:rsidP="00897CD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3E638E">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2" w:name="_Hlk76109421"/>
      <w:r w:rsidRPr="003E638E">
        <w:rPr>
          <w:rFonts w:ascii="Verdana" w:eastAsia="Arial" w:hAnsi="Verdana" w:cs="Arial"/>
          <w:sz w:val="20"/>
          <w:szCs w:val="20"/>
          <w:lang w:val="es-ES" w:eastAsia="es-ES" w:bidi="es-ES"/>
        </w:rPr>
        <w:t>se integran parcialmente</w:t>
      </w:r>
      <w:bookmarkEnd w:id="22"/>
      <w:r w:rsidRPr="003E638E">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3E638E">
        <w:rPr>
          <w:rFonts w:ascii="Verdana" w:eastAsia="Arial" w:hAnsi="Verdana" w:cs="Arial"/>
          <w:bCs/>
          <w:sz w:val="20"/>
          <w:szCs w:val="20"/>
          <w:lang w:val="es-ES" w:eastAsia="es-ES" w:bidi="es-ES"/>
        </w:rPr>
        <w:t xml:space="preserve">En cambio, para elecciones en general, excluyendo las correspondientes a </w:t>
      </w:r>
      <w:proofErr w:type="gramStart"/>
      <w:r w:rsidRPr="003E638E">
        <w:rPr>
          <w:rFonts w:ascii="Verdana" w:eastAsia="Arial" w:hAnsi="Verdana" w:cs="Arial"/>
          <w:bCs/>
          <w:sz w:val="20"/>
          <w:szCs w:val="20"/>
          <w:lang w:val="es-ES" w:eastAsia="es-ES" w:bidi="es-ES"/>
        </w:rPr>
        <w:t>Presidente</w:t>
      </w:r>
      <w:proofErr w:type="gramEnd"/>
      <w:r w:rsidRPr="003E638E">
        <w:rPr>
          <w:rFonts w:ascii="Verdana" w:eastAsia="Arial" w:hAnsi="Verdana" w:cs="Arial"/>
          <w:bCs/>
          <w:sz w:val="20"/>
          <w:szCs w:val="20"/>
          <w:lang w:val="es-ES" w:eastAsia="es-ES" w:bidi="es-ES"/>
        </w:rPr>
        <w:t xml:space="preserve"> de la República, a las autoridades territoriales allí mencionadas sólo se aplican las restricciones contenidas en el parágrafo del artículo 38</w:t>
      </w:r>
      <w:r w:rsidRPr="003E638E">
        <w:rPr>
          <w:rFonts w:ascii="Verdana" w:eastAsia="Arial" w:hAnsi="Verdana" w:cs="Arial"/>
          <w:sz w:val="20"/>
          <w:szCs w:val="20"/>
          <w:lang w:val="es-ES" w:eastAsia="es-ES" w:bidi="es-ES"/>
        </w:rPr>
        <w:t>.</w:t>
      </w:r>
      <w:r w:rsidRPr="003E638E">
        <w:rPr>
          <w:rFonts w:ascii="Verdana" w:eastAsia="Arial" w:hAnsi="Verdana" w:cs="Arial"/>
          <w:sz w:val="20"/>
          <w:szCs w:val="20"/>
          <w:vertAlign w:val="superscript"/>
          <w:lang w:val="es-ES" w:eastAsia="es-ES" w:bidi="es-ES"/>
        </w:rPr>
        <w:footnoteReference w:id="28"/>
      </w:r>
    </w:p>
    <w:p w14:paraId="203E0673" w14:textId="77777777" w:rsidR="00897CD2" w:rsidRPr="003E638E" w:rsidRDefault="00897CD2" w:rsidP="00897CD2">
      <w:pPr>
        <w:widowControl w:val="0"/>
        <w:autoSpaceDE w:val="0"/>
        <w:autoSpaceDN w:val="0"/>
        <w:spacing w:before="8" w:after="0"/>
        <w:jc w:val="both"/>
        <w:rPr>
          <w:rFonts w:ascii="Verdana" w:eastAsia="Arial" w:hAnsi="Verdana" w:cs="Arial"/>
          <w:sz w:val="20"/>
          <w:szCs w:val="20"/>
          <w:lang w:val="es-ES" w:eastAsia="es-ES" w:bidi="es-ES"/>
        </w:rPr>
      </w:pPr>
    </w:p>
    <w:p w14:paraId="068A33BC" w14:textId="77777777" w:rsidR="00897CD2" w:rsidRPr="003E638E" w:rsidRDefault="00897CD2" w:rsidP="00897CD2">
      <w:pPr>
        <w:spacing w:after="120"/>
        <w:ind w:firstLine="709"/>
        <w:jc w:val="both"/>
        <w:rPr>
          <w:rFonts w:ascii="Verdana" w:eastAsia="Arial" w:hAnsi="Verdana" w:cs="Arial"/>
          <w:lang w:val="es-ES" w:eastAsia="es-ES" w:bidi="es-ES"/>
        </w:rPr>
      </w:pPr>
      <w:r w:rsidRPr="003E638E">
        <w:rPr>
          <w:rFonts w:ascii="Verdana" w:eastAsia="Arial" w:hAnsi="Verdana" w:cs="Arial"/>
          <w:lang w:val="es-ES" w:eastAsia="es-ES" w:bidi="es-ES"/>
        </w:rPr>
        <w:t xml:space="preserve">De conformidad con lo anterior, </w:t>
      </w:r>
      <w:bookmarkStart w:id="23" w:name="_Hlk77236420"/>
      <w:bookmarkStart w:id="24" w:name="_Hlk78818435"/>
      <w:bookmarkStart w:id="25" w:name="_Hlk75780333"/>
      <w:r w:rsidRPr="003E638E">
        <w:rPr>
          <w:rFonts w:ascii="Verdana" w:eastAsia="Arial" w:hAnsi="Verdana" w:cs="Arial"/>
          <w:lang w:val="es-ES" w:eastAsia="es-ES" w:bidi="es-ES"/>
        </w:rPr>
        <w:t xml:space="preserve">la Ley 996 de 2005 establece dos (2) tipos de restricciones en materia de contratación, las cuales coinciden parcialmente. </w:t>
      </w:r>
      <w:r w:rsidRPr="003E638E">
        <w:rPr>
          <w:rFonts w:ascii="Verdana" w:eastAsia="Arial" w:hAnsi="Verdana" w:cs="Arial"/>
          <w:i/>
          <w:iCs/>
          <w:lang w:val="es-ES" w:eastAsia="es-ES" w:bidi="es-ES"/>
        </w:rPr>
        <w:t>En primer lugar</w:t>
      </w:r>
      <w:r w:rsidRPr="003E638E">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w:t>
      </w:r>
      <w:r w:rsidRPr="003E638E">
        <w:rPr>
          <w:rFonts w:ascii="Verdana" w:eastAsia="Arial" w:hAnsi="Verdana" w:cs="Arial"/>
          <w:lang w:val="es-ES" w:eastAsia="es-ES" w:bidi="es-ES"/>
        </w:rPr>
        <w:lastRenderedPageBreak/>
        <w:t xml:space="preserve">más altas, de conformidad con el artículo 190 de la Constitución Política. Para estos efectos, la restricción se extenderá hasta la fecha en la que se realice la segunda vuelta. </w:t>
      </w:r>
      <w:r w:rsidRPr="003E638E">
        <w:rPr>
          <w:rFonts w:ascii="Verdana" w:eastAsia="Arial" w:hAnsi="Verdana" w:cs="Arial"/>
          <w:i/>
          <w:iCs/>
          <w:lang w:val="es-ES" w:eastAsia="es-ES" w:bidi="es-ES"/>
        </w:rPr>
        <w:t>En segundo lugar</w:t>
      </w:r>
      <w:r w:rsidRPr="003E638E">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3"/>
    </w:p>
    <w:bookmarkEnd w:id="24"/>
    <w:p w14:paraId="7EEF717C" w14:textId="77777777" w:rsidR="00897CD2" w:rsidRPr="003E638E" w:rsidRDefault="00897CD2" w:rsidP="00897CD2">
      <w:pPr>
        <w:spacing w:after="120"/>
        <w:ind w:firstLine="709"/>
        <w:jc w:val="both"/>
        <w:rPr>
          <w:rFonts w:ascii="Verdana" w:eastAsia="Arial" w:hAnsi="Verdana" w:cs="Arial"/>
          <w:lang w:val="es-ES" w:eastAsia="es-ES" w:bidi="es-ES"/>
        </w:rPr>
      </w:pPr>
      <w:r w:rsidRPr="003E638E">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3E638E">
        <w:rPr>
          <w:rFonts w:ascii="Verdana" w:eastAsia="Arial" w:hAnsi="Verdana" w:cs="Arial"/>
          <w:lang w:val="es-ES" w:eastAsia="es-ES" w:bidi="es-ES"/>
        </w:rPr>
        <w:t>Presidente</w:t>
      </w:r>
      <w:proofErr w:type="gramEnd"/>
      <w:r w:rsidRPr="003E638E">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3E638E">
        <w:rPr>
          <w:rFonts w:ascii="Verdana" w:eastAsia="Arial" w:hAnsi="Verdana" w:cs="Arial"/>
          <w:lang w:val="es-ES" w:eastAsia="es-ES" w:bidi="es-ES"/>
        </w:rPr>
        <w:t>Presidente</w:t>
      </w:r>
      <w:proofErr w:type="gramEnd"/>
      <w:r w:rsidRPr="003E638E">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25"/>
    <w:p w14:paraId="42E1991C" w14:textId="77777777" w:rsidR="00897CD2" w:rsidRPr="003E638E" w:rsidRDefault="00897CD2" w:rsidP="00897CD2">
      <w:pPr>
        <w:spacing w:after="0"/>
        <w:ind w:firstLine="708"/>
        <w:jc w:val="both"/>
        <w:rPr>
          <w:rFonts w:ascii="Verdana" w:eastAsia="Arial" w:hAnsi="Verdana" w:cs="Arial"/>
          <w:lang w:val="es-ES" w:eastAsia="es-ES" w:bidi="es-ES"/>
        </w:rPr>
      </w:pPr>
      <w:r w:rsidRPr="003E638E">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3E638E">
        <w:rPr>
          <w:rFonts w:ascii="Verdana" w:eastAsia="Arial" w:hAnsi="Verdana" w:cs="Arial"/>
          <w:lang w:val="es-ES" w:eastAsia="es-ES" w:bidi="es-ES"/>
        </w:rPr>
        <w:t>Presidente</w:t>
      </w:r>
      <w:proofErr w:type="gramEnd"/>
      <w:r w:rsidRPr="003E638E">
        <w:rPr>
          <w:rFonts w:ascii="Verdana" w:eastAsia="Arial" w:hAnsi="Verdana" w:cs="Arial"/>
          <w:lang w:val="es-ES" w:eastAsia="es-ES" w:bidi="es-ES"/>
        </w:rPr>
        <w:t xml:space="preserve"> o el </w:t>
      </w:r>
      <w:proofErr w:type="gramStart"/>
      <w:r w:rsidRPr="003E638E">
        <w:rPr>
          <w:rFonts w:ascii="Verdana" w:eastAsia="Arial" w:hAnsi="Verdana" w:cs="Arial"/>
          <w:lang w:val="es-ES" w:eastAsia="es-ES" w:bidi="es-ES"/>
        </w:rPr>
        <w:t>Vicepresidente</w:t>
      </w:r>
      <w:proofErr w:type="gramEnd"/>
      <w:r w:rsidRPr="003E638E">
        <w:rPr>
          <w:rFonts w:ascii="Verdana" w:eastAsia="Arial" w:hAnsi="Verdana" w:cs="Arial"/>
          <w:lang w:val="es-ES" w:eastAsia="es-ES" w:bidi="es-ES"/>
        </w:rPr>
        <w:t xml:space="preserv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63BB92C6" w14:textId="77777777" w:rsidR="00897CD2" w:rsidRPr="00990FC7" w:rsidRDefault="00897CD2" w:rsidP="00897CD2">
      <w:pPr>
        <w:spacing w:after="0"/>
        <w:rPr>
          <w:rFonts w:ascii="Arial" w:eastAsia="Times New Roman" w:hAnsi="Arial" w:cs="Arial"/>
          <w:bCs/>
          <w:lang w:eastAsia="x-none"/>
        </w:rPr>
      </w:pPr>
    </w:p>
    <w:p w14:paraId="2DFA9A56" w14:textId="77777777" w:rsidR="00897CD2" w:rsidRPr="003E638E" w:rsidRDefault="00897CD2" w:rsidP="00897CD2">
      <w:pPr>
        <w:spacing w:after="0"/>
        <w:ind w:firstLine="709"/>
        <w:jc w:val="both"/>
        <w:rPr>
          <w:rFonts w:ascii="Verdana" w:eastAsia="Times New Roman" w:hAnsi="Verdana" w:cs="Arial"/>
          <w:bCs/>
          <w:lang w:eastAsia="es-CO"/>
        </w:rPr>
      </w:pPr>
      <w:r w:rsidRPr="003E638E">
        <w:rPr>
          <w:rFonts w:ascii="Verdana" w:eastAsia="Times New Roman" w:hAnsi="Verdana" w:cs="Arial"/>
          <w:bCs/>
          <w:lang w:eastAsia="x-none"/>
        </w:rPr>
        <w:t xml:space="preserve">El ámbito material de la prohibición contenida </w:t>
      </w:r>
      <w:bookmarkStart w:id="26" w:name="_Hlk75628761"/>
      <w:r w:rsidRPr="003E638E">
        <w:rPr>
          <w:rFonts w:ascii="Verdana" w:eastAsia="Times New Roman" w:hAnsi="Verdana" w:cs="Arial"/>
          <w:bCs/>
          <w:lang w:eastAsia="x-none"/>
        </w:rPr>
        <w:t xml:space="preserve">en el artículo 33 de la ley 996 de 2005 </w:t>
      </w:r>
      <w:bookmarkEnd w:id="26"/>
      <w:r w:rsidRPr="003E638E">
        <w:rPr>
          <w:rFonts w:ascii="Verdana" w:eastAsia="Times New Roman" w:hAnsi="Verdana" w:cs="Arial"/>
          <w:bCs/>
          <w:lang w:eastAsia="x-none"/>
        </w:rPr>
        <w:t xml:space="preserve">está delimitado por la expresión </w:t>
      </w:r>
      <w:r>
        <w:rPr>
          <w:rFonts w:ascii="Verdana" w:eastAsia="Times New Roman" w:hAnsi="Verdana" w:cs="Arial"/>
          <w:bCs/>
          <w:lang w:eastAsia="x-none"/>
        </w:rPr>
        <w:t>“</w:t>
      </w:r>
      <w:r w:rsidRPr="003E638E">
        <w:rPr>
          <w:rFonts w:ascii="Verdana" w:eastAsia="Times New Roman" w:hAnsi="Verdana" w:cs="Arial"/>
          <w:bCs/>
          <w:lang w:eastAsia="x-none"/>
        </w:rPr>
        <w:t>queda prohibida la contratación directa</w:t>
      </w:r>
      <w:r>
        <w:rPr>
          <w:rFonts w:ascii="Verdana" w:hAnsi="Verdana" w:cs="Arial"/>
        </w:rPr>
        <w:t>”</w:t>
      </w:r>
      <w:r w:rsidRPr="003E638E">
        <w:rPr>
          <w:rFonts w:ascii="Verdana" w:eastAsia="Times New Roman" w:hAnsi="Verdana" w:cs="Arial"/>
          <w:bCs/>
          <w:lang w:eastAsia="x-none"/>
        </w:rPr>
        <w:t xml:space="preserve">. </w:t>
      </w:r>
      <w:r w:rsidRPr="003E638E">
        <w:rPr>
          <w:rFonts w:ascii="Verdana" w:eastAsia="Times New Roman" w:hAnsi="Verdana" w:cs="Arial"/>
          <w:lang w:eastAsia="es-CO"/>
        </w:rPr>
        <w:t>A propósito de esta restricción de la Ley de Garantías Electorales, la Sala de Consulta y Servicio Civil del Consejo de Estado ha considerado que:</w:t>
      </w:r>
    </w:p>
    <w:p w14:paraId="01FF9802" w14:textId="77777777" w:rsidR="00897CD2" w:rsidRPr="00990FC7" w:rsidRDefault="00897CD2" w:rsidP="00897CD2">
      <w:pPr>
        <w:spacing w:after="0"/>
        <w:ind w:left="708" w:right="709"/>
        <w:rPr>
          <w:rFonts w:ascii="Arial" w:hAnsi="Arial" w:cs="Arial"/>
          <w:sz w:val="21"/>
          <w:szCs w:val="21"/>
        </w:rPr>
      </w:pPr>
    </w:p>
    <w:p w14:paraId="45773222" w14:textId="77777777" w:rsidR="00897CD2" w:rsidRPr="003E638E" w:rsidRDefault="00897CD2" w:rsidP="00897CD2">
      <w:pPr>
        <w:spacing w:after="120" w:line="240" w:lineRule="auto"/>
        <w:ind w:left="709" w:right="709"/>
        <w:jc w:val="both"/>
        <w:rPr>
          <w:rFonts w:ascii="Verdana" w:hAnsi="Verdana" w:cs="Arial"/>
          <w:sz w:val="20"/>
          <w:szCs w:val="20"/>
        </w:rPr>
      </w:pPr>
      <w:r>
        <w:rPr>
          <w:rFonts w:ascii="Verdana" w:hAnsi="Verdana" w:cs="Arial"/>
          <w:sz w:val="20"/>
          <w:szCs w:val="20"/>
        </w:rPr>
        <w:t xml:space="preserve">“(…) </w:t>
      </w:r>
      <w:r w:rsidRPr="003E638E">
        <w:rPr>
          <w:rFonts w:ascii="Verdana" w:hAnsi="Verdana" w:cs="Arial"/>
          <w:sz w:val="20"/>
          <w:szCs w:val="20"/>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w:t>
      </w:r>
      <w:r w:rsidRPr="003E638E">
        <w:rPr>
          <w:rFonts w:ascii="Verdana" w:hAnsi="Verdana" w:cs="Arial"/>
          <w:sz w:val="20"/>
          <w:szCs w:val="20"/>
        </w:rPr>
        <w:lastRenderedPageBreak/>
        <w:t>2, ley 1150 de 2007), y cumpliendo siempre los principios que rigen la contratación pública</w:t>
      </w:r>
      <w:r w:rsidRPr="003E638E">
        <w:rPr>
          <w:rFonts w:ascii="Verdana" w:eastAsia="Times New Roman" w:hAnsi="Verdana" w:cs="Arial"/>
          <w:sz w:val="20"/>
          <w:szCs w:val="20"/>
          <w:vertAlign w:val="superscript"/>
          <w:lang w:eastAsia="es-CO"/>
        </w:rPr>
        <w:footnoteReference w:id="29"/>
      </w:r>
      <w:r w:rsidRPr="003E638E">
        <w:rPr>
          <w:rFonts w:ascii="Verdana" w:hAnsi="Verdana" w:cs="Arial"/>
          <w:sz w:val="20"/>
          <w:szCs w:val="20"/>
        </w:rPr>
        <w:t>.</w:t>
      </w:r>
    </w:p>
    <w:p w14:paraId="08CB1F0B" w14:textId="77777777" w:rsidR="00897CD2" w:rsidRPr="003E638E" w:rsidRDefault="00897CD2" w:rsidP="00897CD2">
      <w:pPr>
        <w:spacing w:after="0" w:line="240" w:lineRule="auto"/>
        <w:ind w:left="708" w:right="709"/>
        <w:jc w:val="both"/>
        <w:rPr>
          <w:rFonts w:ascii="Verdana" w:hAnsi="Verdana" w:cs="Arial"/>
          <w:sz w:val="20"/>
          <w:szCs w:val="20"/>
        </w:rPr>
      </w:pPr>
      <w:r w:rsidRPr="003E638E">
        <w:rPr>
          <w:rFonts w:ascii="Verdana" w:hAnsi="Verdana" w:cs="Arial"/>
          <w:sz w:val="20"/>
          <w:szCs w:val="20"/>
        </w:rPr>
        <w:t xml:space="preserve">Esta Sala ha entendido </w:t>
      </w:r>
      <w:proofErr w:type="gramStart"/>
      <w:r w:rsidRPr="003E638E">
        <w:rPr>
          <w:rFonts w:ascii="Verdana" w:hAnsi="Verdana" w:cs="Arial"/>
          <w:sz w:val="20"/>
          <w:szCs w:val="20"/>
        </w:rPr>
        <w:t>que</w:t>
      </w:r>
      <w:proofErr w:type="gramEnd"/>
      <w:r w:rsidRPr="003E638E">
        <w:rPr>
          <w:rFonts w:ascii="Verdana" w:hAnsi="Verdana" w:cs="Arial"/>
          <w:sz w:val="20"/>
          <w:szCs w:val="20"/>
        </w:rPr>
        <w:t xml:space="preserve"> para los efectos de la ley de garantías, y dada su finalidad, el enunciado ´contratación directa´ es sinónimo </w:t>
      </w:r>
      <w:bookmarkStart w:id="27" w:name="_Hlk75741738"/>
      <w:r w:rsidRPr="003E638E">
        <w:rPr>
          <w:rFonts w:ascii="Verdana" w:hAnsi="Verdana" w:cs="Arial"/>
          <w:sz w:val="20"/>
          <w:szCs w:val="20"/>
        </w:rPr>
        <w:t xml:space="preserve">de cualquier sistema que no implique convocatoria pública y posibilidad de pluralidad de oferentes, </w:t>
      </w:r>
      <w:bookmarkEnd w:id="27"/>
      <w:r w:rsidRPr="003E638E">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3E638E">
        <w:rPr>
          <w:rFonts w:ascii="Verdana" w:eastAsia="Times New Roman" w:hAnsi="Verdana" w:cs="Arial"/>
          <w:sz w:val="20"/>
          <w:szCs w:val="20"/>
          <w:vertAlign w:val="superscript"/>
        </w:rPr>
        <w:footnoteReference w:id="30"/>
      </w:r>
      <w:r w:rsidRPr="003E638E">
        <w:rPr>
          <w:rFonts w:ascii="Verdana" w:eastAsia="Times New Roman" w:hAnsi="Verdana" w:cs="Arial"/>
          <w:sz w:val="20"/>
          <w:szCs w:val="20"/>
          <w:vertAlign w:val="superscript"/>
        </w:rPr>
        <w:t>.</w:t>
      </w:r>
      <w:r w:rsidRPr="003E638E">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w:t>
      </w:r>
      <w:r>
        <w:rPr>
          <w:rFonts w:ascii="Verdana" w:hAnsi="Verdana" w:cs="Arial"/>
          <w:sz w:val="20"/>
          <w:szCs w:val="20"/>
        </w:rPr>
        <w:t xml:space="preserve"> (…)”</w:t>
      </w:r>
      <w:r w:rsidRPr="003E638E">
        <w:rPr>
          <w:rFonts w:ascii="Verdana" w:eastAsia="Times New Roman" w:hAnsi="Verdana" w:cs="Arial"/>
          <w:sz w:val="20"/>
          <w:szCs w:val="20"/>
          <w:vertAlign w:val="superscript"/>
          <w:lang w:eastAsia="es-CO"/>
        </w:rPr>
        <w:footnoteReference w:id="31"/>
      </w:r>
      <w:r w:rsidRPr="003E638E">
        <w:rPr>
          <w:rFonts w:ascii="Verdana" w:hAnsi="Verdana" w:cs="Arial"/>
          <w:sz w:val="20"/>
          <w:szCs w:val="20"/>
        </w:rPr>
        <w:t xml:space="preserve"> .</w:t>
      </w:r>
    </w:p>
    <w:p w14:paraId="39D349AB" w14:textId="77777777" w:rsidR="006D4C4F" w:rsidRDefault="006D4C4F" w:rsidP="006B597E">
      <w:pPr>
        <w:spacing w:after="120"/>
        <w:ind w:firstLine="709"/>
        <w:jc w:val="both"/>
        <w:rPr>
          <w:rFonts w:ascii="Verdana" w:eastAsia="Times New Roman" w:hAnsi="Verdana" w:cs="Arial"/>
          <w:lang w:eastAsia="x-none"/>
        </w:rPr>
      </w:pPr>
    </w:p>
    <w:p w14:paraId="10930C7E" w14:textId="24B47402" w:rsidR="00897CD2" w:rsidRPr="00C8410A" w:rsidRDefault="00897CD2" w:rsidP="006B597E">
      <w:pPr>
        <w:spacing w:after="120"/>
        <w:ind w:firstLine="709"/>
        <w:jc w:val="both"/>
        <w:rPr>
          <w:rFonts w:ascii="Verdana" w:eastAsia="Times New Roman" w:hAnsi="Verdana" w:cs="Arial"/>
          <w:bCs/>
          <w:lang w:eastAsia="x-none"/>
        </w:rPr>
      </w:pPr>
      <w:r w:rsidRPr="00C8410A">
        <w:rPr>
          <w:rFonts w:ascii="Verdana" w:eastAsia="Times New Roman" w:hAnsi="Verdana" w:cs="Arial"/>
          <w:lang w:eastAsia="x-none"/>
        </w:rPr>
        <w:t xml:space="preserve">De conformidad con el citado concepto, </w:t>
      </w:r>
      <w:bookmarkStart w:id="29" w:name="_Hlk78818702"/>
      <w:r w:rsidRPr="00C8410A">
        <w:rPr>
          <w:rFonts w:ascii="Verdana" w:eastAsia="Times New Roman" w:hAnsi="Verdana" w:cs="Arial"/>
          <w:lang w:eastAsia="x-none"/>
        </w:rPr>
        <w:t xml:space="preserve">la prohibición del artículo 33 de la Ley de Garantías Electorales se refiere a </w:t>
      </w:r>
      <w:r w:rsidRPr="00C8410A">
        <w:rPr>
          <w:rFonts w:ascii="Verdana" w:eastAsia="Times New Roman" w:hAnsi="Verdana" w:cs="Arial"/>
          <w:lang w:eastAsia="en-GB"/>
        </w:rPr>
        <w:t>“</w:t>
      </w:r>
      <w:r w:rsidRPr="00C8410A">
        <w:rPr>
          <w:rFonts w:ascii="Verdana" w:eastAsia="Times New Roman" w:hAnsi="Verdana" w:cs="Arial"/>
          <w:lang w:eastAsia="x-none"/>
        </w:rPr>
        <w:t>cualquier sistema que no implique convocatoria pública y posibilidad de pluralidad de oferentes</w:t>
      </w:r>
      <w:r w:rsidRPr="00C8410A">
        <w:rPr>
          <w:rFonts w:ascii="Verdana" w:eastAsia="Times New Roman" w:hAnsi="Verdana" w:cs="Arial"/>
          <w:lang w:eastAsia="en-GB"/>
        </w:rPr>
        <w:t>”</w:t>
      </w:r>
      <w:r w:rsidRPr="00C8410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9"/>
      <w:r w:rsidRPr="00C8410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C8410A">
        <w:rPr>
          <w:rFonts w:ascii="Verdana" w:eastAsia="Times New Roman" w:hAnsi="Verdana" w:cs="Arial"/>
          <w:vertAlign w:val="superscript"/>
          <w:lang w:val="en-GB" w:eastAsia="x-none"/>
        </w:rPr>
        <w:footnoteReference w:id="32"/>
      </w:r>
      <w:r w:rsidRPr="00C8410A">
        <w:rPr>
          <w:rFonts w:ascii="Verdana" w:eastAsia="Times New Roman" w:hAnsi="Verdana" w:cs="Arial"/>
          <w:lang w:eastAsia="x-none"/>
        </w:rPr>
        <w:t xml:space="preserve"> y sistematizó las causales de contratación directa</w:t>
      </w:r>
      <w:r w:rsidRPr="00C8410A">
        <w:rPr>
          <w:rFonts w:ascii="Verdana" w:eastAsia="Times New Roman" w:hAnsi="Verdana" w:cs="Arial"/>
          <w:vertAlign w:val="superscript"/>
          <w:lang w:val="en-GB" w:eastAsia="x-none"/>
        </w:rPr>
        <w:footnoteReference w:id="33"/>
      </w:r>
      <w:r w:rsidRPr="00C8410A">
        <w:rPr>
          <w:rFonts w:ascii="Verdana" w:eastAsia="Times New Roman" w:hAnsi="Verdana" w:cs="Arial"/>
          <w:lang w:eastAsia="x-none"/>
        </w:rPr>
        <w:t xml:space="preserve">. </w:t>
      </w:r>
    </w:p>
    <w:p w14:paraId="7452F4D8" w14:textId="77777777" w:rsidR="00897CD2" w:rsidRPr="00C8410A" w:rsidRDefault="00897CD2" w:rsidP="00897CD2">
      <w:pPr>
        <w:spacing w:after="120"/>
        <w:ind w:firstLine="709"/>
        <w:jc w:val="both"/>
        <w:rPr>
          <w:rFonts w:ascii="Verdana" w:eastAsia="Times New Roman" w:hAnsi="Verdana" w:cs="Arial"/>
          <w:lang w:eastAsia="x-none"/>
        </w:rPr>
      </w:pPr>
      <w:r w:rsidRPr="00C8410A">
        <w:rPr>
          <w:rFonts w:ascii="Verdana" w:eastAsia="Times New Roman" w:hAnsi="Verdana" w:cs="Arial"/>
          <w:lang w:eastAsia="x-none"/>
        </w:rPr>
        <w:t xml:space="preserve">De esta forma, con fundamento en la evolución de la normativa sobre la contratación pública, se ha depurado la noción de </w:t>
      </w:r>
      <w:r w:rsidRPr="00C8410A">
        <w:rPr>
          <w:rFonts w:ascii="Verdana" w:eastAsia="Times New Roman" w:hAnsi="Verdana" w:cs="Arial"/>
          <w:lang w:eastAsia="en-GB"/>
        </w:rPr>
        <w:t>«</w:t>
      </w:r>
      <w:r w:rsidRPr="00C8410A">
        <w:rPr>
          <w:rFonts w:ascii="Verdana" w:eastAsia="Times New Roman" w:hAnsi="Verdana" w:cs="Arial"/>
          <w:lang w:eastAsia="x-none"/>
        </w:rPr>
        <w:t>contratación directa</w:t>
      </w:r>
      <w:r w:rsidRPr="00C8410A">
        <w:rPr>
          <w:rFonts w:ascii="Verdana" w:eastAsia="Times New Roman" w:hAnsi="Verdana" w:cs="Arial"/>
          <w:lang w:eastAsia="en-GB"/>
        </w:rPr>
        <w:t>»</w:t>
      </w:r>
      <w:r w:rsidRPr="00C8410A">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C8410A">
        <w:rPr>
          <w:rFonts w:ascii="Verdana" w:eastAsia="Times New Roman" w:hAnsi="Verdana" w:cs="Arial"/>
          <w:vertAlign w:val="superscript"/>
          <w:lang w:val="en-GB" w:eastAsia="x-none"/>
        </w:rPr>
        <w:footnoteReference w:id="34"/>
      </w:r>
      <w:r w:rsidRPr="00C8410A">
        <w:rPr>
          <w:rFonts w:ascii="Verdana" w:eastAsia="Times New Roman" w:hAnsi="Verdana" w:cs="Arial"/>
          <w:lang w:eastAsia="x-none"/>
        </w:rPr>
        <w:t xml:space="preserve">, han establecido sistemas de </w:t>
      </w:r>
      <w:r w:rsidRPr="00C8410A">
        <w:rPr>
          <w:rFonts w:ascii="Verdana" w:eastAsia="Times New Roman" w:hAnsi="Verdana" w:cs="Arial"/>
          <w:lang w:eastAsia="x-none"/>
        </w:rPr>
        <w:lastRenderedPageBreak/>
        <w:t>contratación que implican convocatoria pública y participación de varios oferentes</w:t>
      </w:r>
      <w:r w:rsidRPr="00C8410A">
        <w:rPr>
          <w:rFonts w:ascii="Verdana" w:eastAsia="Times New Roman" w:hAnsi="Verdana" w:cs="Arial"/>
          <w:lang w:eastAsia="en-GB"/>
        </w:rPr>
        <w:t>”</w:t>
      </w:r>
      <w:r w:rsidRPr="00C8410A">
        <w:rPr>
          <w:rFonts w:ascii="Verdana" w:eastAsia="Times New Roman" w:hAnsi="Verdana" w:cs="Arial"/>
          <w:lang w:eastAsia="x-none"/>
        </w:rPr>
        <w:t xml:space="preserve">. </w:t>
      </w:r>
    </w:p>
    <w:p w14:paraId="2D87EFB7" w14:textId="77777777" w:rsidR="00897CD2" w:rsidRPr="00C8410A" w:rsidRDefault="00897CD2" w:rsidP="00897CD2">
      <w:pPr>
        <w:spacing w:after="120"/>
        <w:ind w:firstLine="709"/>
        <w:jc w:val="both"/>
        <w:rPr>
          <w:rFonts w:ascii="Verdana" w:eastAsia="Times New Roman" w:hAnsi="Verdana" w:cs="Arial"/>
          <w:bCs/>
          <w:lang w:eastAsia="es-CO"/>
        </w:rPr>
      </w:pPr>
      <w:r w:rsidRPr="00C8410A">
        <w:rPr>
          <w:rFonts w:ascii="Verdana" w:eastAsia="Times New Roman" w:hAnsi="Verdana" w:cs="Arial"/>
          <w:bCs/>
          <w:lang w:eastAsia="x-none"/>
        </w:rPr>
        <w:t>E</w:t>
      </w:r>
      <w:r w:rsidRPr="00C8410A">
        <w:rPr>
          <w:rFonts w:ascii="Verdana" w:eastAsia="Times New Roman" w:hAnsi="Verdana" w:cs="Arial"/>
          <w:lang w:eastAsia="x-none"/>
        </w:rPr>
        <w:t xml:space="preserve">n efecto, vale la pena mencionar que, </w:t>
      </w:r>
      <w:bookmarkStart w:id="30" w:name="_Hlk75636073"/>
      <w:r w:rsidRPr="00C8410A">
        <w:rPr>
          <w:rFonts w:ascii="Verdana" w:eastAsia="Times New Roman"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eastAsia="Times New Roman" w:hAnsi="Verdana" w:cs="Arial"/>
          <w:lang w:eastAsia="x-none"/>
        </w:rPr>
        <w:t>“</w:t>
      </w:r>
      <w:r w:rsidRPr="00C8410A">
        <w:rPr>
          <w:rFonts w:ascii="Verdana" w:eastAsia="Times New Roman" w:hAnsi="Verdana" w:cs="Arial"/>
          <w:lang w:eastAsia="x-none"/>
        </w:rPr>
        <w:t>contratación directa</w:t>
      </w:r>
      <w:r>
        <w:rPr>
          <w:rFonts w:ascii="Verdana" w:eastAsia="Times New Roman" w:hAnsi="Verdana" w:cs="Arial"/>
          <w:lang w:eastAsia="x-none"/>
        </w:rPr>
        <w:t>”</w:t>
      </w:r>
      <w:r w:rsidRPr="00C8410A">
        <w:rPr>
          <w:rFonts w:ascii="Verdana" w:eastAsia="Times New Roman" w:hAnsi="Verdana" w:cs="Arial"/>
          <w:lang w:eastAsia="x-none"/>
        </w:rPr>
        <w:t>, es que la convocatoria para inscribirse en forma previa se haga de manera pública, y que se permita la participación de una pluralidad de oferentes</w:t>
      </w:r>
      <w:bookmarkEnd w:id="30"/>
      <w:r w:rsidRPr="00C8410A">
        <w:rPr>
          <w:rFonts w:ascii="Verdana" w:eastAsia="Times New Roman" w:hAnsi="Verdana" w:cs="Arial"/>
          <w:vertAlign w:val="superscript"/>
          <w:lang w:eastAsia="x-none"/>
        </w:rPr>
        <w:footnoteReference w:id="35"/>
      </w:r>
      <w:r w:rsidRPr="00C8410A">
        <w:rPr>
          <w:rFonts w:ascii="Verdana" w:eastAsia="Times New Roman" w:hAnsi="Verdana" w:cs="Arial"/>
          <w:lang w:eastAsia="x-none"/>
        </w:rPr>
        <w:t xml:space="preserve">. </w:t>
      </w:r>
    </w:p>
    <w:p w14:paraId="53041306" w14:textId="77777777" w:rsidR="00897CD2" w:rsidRPr="00C8410A" w:rsidRDefault="00897CD2" w:rsidP="00897CD2">
      <w:pPr>
        <w:spacing w:after="120"/>
        <w:ind w:firstLine="709"/>
        <w:jc w:val="both"/>
        <w:rPr>
          <w:rFonts w:ascii="Verdana" w:eastAsia="Times New Roman" w:hAnsi="Verdana" w:cs="Arial"/>
          <w:bCs/>
          <w:lang w:eastAsia="es-CO"/>
        </w:rPr>
      </w:pPr>
      <w:r w:rsidRPr="00C8410A">
        <w:rPr>
          <w:rFonts w:ascii="Verdana" w:eastAsia="Times New Roman"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eastAsia="Times New Roman" w:hAnsi="Verdana" w:cs="Arial"/>
          <w:bCs/>
          <w:lang w:eastAsia="es-CO"/>
        </w:rPr>
        <w:t>“</w:t>
      </w:r>
      <w:r w:rsidRPr="00C8410A">
        <w:rPr>
          <w:rFonts w:ascii="Verdana" w:eastAsia="Times New Roman" w:hAnsi="Verdana" w:cs="Arial"/>
          <w:bCs/>
          <w:lang w:eastAsia="es-CO"/>
        </w:rPr>
        <w:t>contratación directa</w:t>
      </w:r>
      <w:r>
        <w:rPr>
          <w:rFonts w:ascii="Verdana" w:eastAsia="Times New Roman" w:hAnsi="Verdana" w:cs="Arial"/>
          <w:bCs/>
          <w:lang w:eastAsia="es-CO"/>
        </w:rPr>
        <w:t>”</w:t>
      </w:r>
      <w:r w:rsidRPr="00C8410A">
        <w:rPr>
          <w:rFonts w:ascii="Verdana" w:eastAsia="Times New Roman" w:hAnsi="Verdana" w:cs="Arial"/>
          <w:bCs/>
          <w:lang w:eastAsia="es-CO"/>
        </w:rPr>
        <w:t>.</w:t>
      </w:r>
    </w:p>
    <w:p w14:paraId="5E5ABB53" w14:textId="77777777" w:rsidR="00897CD2" w:rsidRPr="00C8410A" w:rsidRDefault="00897CD2" w:rsidP="00897CD2">
      <w:pPr>
        <w:spacing w:after="120"/>
        <w:ind w:firstLine="709"/>
        <w:jc w:val="both"/>
        <w:rPr>
          <w:rFonts w:ascii="Verdana" w:eastAsia="Times New Roman" w:hAnsi="Verdana" w:cs="Arial"/>
          <w:bCs/>
          <w:lang w:eastAsia="x-none"/>
        </w:rPr>
      </w:pPr>
      <w:bookmarkStart w:id="31" w:name="_Hlk78818796"/>
      <w:r w:rsidRPr="00990FC7">
        <w:rPr>
          <w:rFonts w:ascii="Arial" w:eastAsia="Times New Roman" w:hAnsi="Arial" w:cs="Arial"/>
          <w:bCs/>
          <w:lang w:eastAsia="x-none"/>
        </w:rPr>
        <w:t xml:space="preserve"> </w:t>
      </w:r>
      <w:r w:rsidRPr="00C8410A">
        <w:rPr>
          <w:rFonts w:ascii="Verdana" w:eastAsia="Times New Roman" w:hAnsi="Verdana" w:cs="Arial"/>
          <w:bCs/>
          <w:lang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8410A">
        <w:rPr>
          <w:rFonts w:ascii="Verdana" w:eastAsia="Times New Roman" w:hAnsi="Verdana" w:cs="Arial"/>
          <w:vertAlign w:val="superscript"/>
          <w:lang w:eastAsia="x-none"/>
        </w:rPr>
        <w:footnoteReference w:id="36"/>
      </w:r>
      <w:r w:rsidRPr="00C8410A">
        <w:rPr>
          <w:rFonts w:ascii="Verdana" w:eastAsia="Times New Roman" w:hAnsi="Verdana" w:cs="Arial"/>
          <w:bCs/>
          <w:lang w:eastAsia="x-none"/>
        </w:rPr>
        <w:t>.</w:t>
      </w:r>
      <w:r w:rsidRPr="00C8410A">
        <w:rPr>
          <w:rFonts w:ascii="Verdana" w:eastAsia="Times New Roman" w:hAnsi="Verdana" w:cs="Arial"/>
          <w:vertAlign w:val="superscript"/>
          <w:lang w:eastAsia="x-none"/>
        </w:rPr>
        <w:t xml:space="preserve"> </w:t>
      </w:r>
    </w:p>
    <w:bookmarkEnd w:id="31"/>
    <w:p w14:paraId="59D13971" w14:textId="77777777" w:rsidR="00897CD2" w:rsidRPr="00C8410A" w:rsidRDefault="00897CD2" w:rsidP="00897CD2">
      <w:pPr>
        <w:spacing w:after="120"/>
        <w:ind w:firstLine="709"/>
        <w:jc w:val="both"/>
        <w:rPr>
          <w:rFonts w:ascii="Verdana" w:eastAsia="Times New Roman" w:hAnsi="Verdana" w:cs="Arial"/>
          <w:lang w:eastAsia="x-none"/>
        </w:rPr>
      </w:pPr>
      <w:r w:rsidRPr="00C8410A">
        <w:rPr>
          <w:rFonts w:ascii="Verdana" w:eastAsia="Times New Roman" w:hAnsi="Verdana"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C8410A">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4A95792B" w14:textId="77777777" w:rsidR="00897CD2" w:rsidRPr="00C8410A" w:rsidRDefault="00897CD2" w:rsidP="00897CD2">
      <w:pPr>
        <w:spacing w:after="120"/>
        <w:ind w:firstLine="709"/>
        <w:jc w:val="both"/>
        <w:rPr>
          <w:rFonts w:ascii="Verdana" w:eastAsia="Times New Roman" w:hAnsi="Verdana" w:cs="Arial"/>
          <w:bCs/>
          <w:lang w:eastAsia="x-none"/>
        </w:rPr>
      </w:pPr>
      <w:bookmarkStart w:id="32" w:name="_Hlk77237094"/>
      <w:r w:rsidRPr="00C8410A">
        <w:rPr>
          <w:rFonts w:ascii="Verdana" w:eastAsia="Times New Roman" w:hAnsi="Verdana" w:cs="Arial"/>
          <w:bCs/>
          <w:lang w:eastAsia="es-CO"/>
        </w:rPr>
        <w:lastRenderedPageBreak/>
        <w:t xml:space="preserve">Como en otras oportunidades lo ha manifestado esta Agencia, las prórrogas, modificaciones o adiciones de los contratos suscritos antes de la </w:t>
      </w:r>
      <w:proofErr w:type="gramStart"/>
      <w:r w:rsidRPr="00C8410A">
        <w:rPr>
          <w:rFonts w:ascii="Verdana" w:eastAsia="Times New Roman" w:hAnsi="Verdana" w:cs="Arial"/>
          <w:bCs/>
          <w:lang w:eastAsia="es-CO"/>
        </w:rPr>
        <w:t>entrada en vigencia</w:t>
      </w:r>
      <w:proofErr w:type="gramEnd"/>
      <w:r w:rsidRPr="00C8410A">
        <w:rPr>
          <w:rFonts w:ascii="Verdana" w:eastAsia="Times New Roman" w:hAnsi="Verdana" w:cs="Arial"/>
          <w:bCs/>
          <w:lang w:eastAsia="es-CO"/>
        </w:rPr>
        <w:t xml:space="preserve"> de las prohibiciones anotadas, así como la cesión de </w:t>
      </w:r>
      <w:proofErr w:type="gramStart"/>
      <w:r w:rsidRPr="00C8410A">
        <w:rPr>
          <w:rFonts w:ascii="Verdana" w:eastAsia="Times New Roman" w:hAnsi="Verdana" w:cs="Arial"/>
          <w:bCs/>
          <w:lang w:eastAsia="es-CO"/>
        </w:rPr>
        <w:t>los mismos</w:t>
      </w:r>
      <w:proofErr w:type="gramEnd"/>
      <w:r w:rsidRPr="00C8410A">
        <w:rPr>
          <w:rFonts w:ascii="Verdana" w:eastAsia="Times New Roman" w:hAnsi="Verdana" w:cs="Arial"/>
          <w:bCs/>
          <w:lang w:eastAsia="es-CO"/>
        </w:rPr>
        <w:t>, pueden tener lugar en el período de aplicación de la Ley de Garantías, sin que ello haga nugatoria la restricción de la contratación directa y siempre que cumplan los principios de planeación, transparencia y responsabilidad.</w:t>
      </w:r>
      <w:bookmarkEnd w:id="32"/>
    </w:p>
    <w:p w14:paraId="63564DA5" w14:textId="77777777" w:rsidR="00897CD2" w:rsidRPr="00C8410A" w:rsidRDefault="00897CD2" w:rsidP="00897CD2">
      <w:pPr>
        <w:spacing w:after="120"/>
        <w:ind w:firstLine="709"/>
        <w:jc w:val="both"/>
        <w:rPr>
          <w:rFonts w:ascii="Verdana" w:eastAsia="Times New Roman" w:hAnsi="Verdana" w:cs="Arial"/>
          <w:bCs/>
          <w:lang w:eastAsia="es-CO"/>
        </w:rPr>
      </w:pPr>
      <w:r w:rsidRPr="00C8410A">
        <w:rPr>
          <w:rFonts w:ascii="Verdana" w:eastAsia="Times New Roman" w:hAnsi="Verdana" w:cs="Arial"/>
          <w:bCs/>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C8410A">
        <w:rPr>
          <w:rFonts w:ascii="Verdana" w:eastAsia="Times New Roman" w:hAnsi="Verdana" w:cs="Arial"/>
          <w:bCs/>
          <w:lang w:eastAsia="x-none"/>
        </w:rPr>
        <w:t>ii</w:t>
      </w:r>
      <w:proofErr w:type="spellEnd"/>
      <w:r w:rsidRPr="00C8410A">
        <w:rPr>
          <w:rFonts w:ascii="Verdana" w:eastAsia="Times New Roman" w:hAnsi="Verdana" w:cs="Arial"/>
          <w:bCs/>
          <w:lang w:eastAsia="x-none"/>
        </w:rPr>
        <w:t xml:space="preserve">) los contratos de crédito público; </w:t>
      </w:r>
      <w:proofErr w:type="spellStart"/>
      <w:r w:rsidRPr="00C8410A">
        <w:rPr>
          <w:rFonts w:ascii="Verdana" w:eastAsia="Times New Roman" w:hAnsi="Verdana" w:cs="Arial"/>
          <w:bCs/>
          <w:lang w:eastAsia="x-none"/>
        </w:rPr>
        <w:t>iii</w:t>
      </w:r>
      <w:proofErr w:type="spellEnd"/>
      <w:r w:rsidRPr="00C8410A">
        <w:rPr>
          <w:rFonts w:ascii="Verdana" w:eastAsia="Times New Roman" w:hAnsi="Verdana" w:cs="Arial"/>
          <w:bCs/>
          <w:lang w:eastAsia="x-none"/>
        </w:rPr>
        <w:t xml:space="preserve">) los requeridos para cubrir las emergencias educativas, sanitarias y desastres; </w:t>
      </w:r>
      <w:proofErr w:type="spellStart"/>
      <w:r w:rsidRPr="00C8410A">
        <w:rPr>
          <w:rFonts w:ascii="Verdana" w:eastAsia="Times New Roman" w:hAnsi="Verdana" w:cs="Arial"/>
          <w:bCs/>
          <w:lang w:eastAsia="x-none"/>
        </w:rPr>
        <w:t>iv</w:t>
      </w:r>
      <w:proofErr w:type="spellEnd"/>
      <w:r w:rsidRPr="00C8410A">
        <w:rPr>
          <w:rFonts w:ascii="Verdana" w:eastAsia="Times New Roman" w:hAnsi="Verdana" w:cs="Arial"/>
          <w:bCs/>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8410A">
        <w:rPr>
          <w:rFonts w:ascii="Verdana" w:eastAsia="Times New Roman" w:hAnsi="Verdana" w:cs="Arial"/>
          <w:bCs/>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0EDA9C8" w14:textId="77777777" w:rsidR="00897CD2" w:rsidRPr="0025069E" w:rsidRDefault="00897CD2" w:rsidP="00897CD2">
      <w:pPr>
        <w:spacing w:after="120"/>
        <w:ind w:firstLine="709"/>
        <w:jc w:val="both"/>
        <w:rPr>
          <w:rFonts w:ascii="Verdana" w:eastAsia="Times New Roman" w:hAnsi="Verdana" w:cs="Arial"/>
          <w:bCs/>
          <w:lang w:eastAsia="x-none"/>
        </w:rPr>
      </w:pPr>
      <w:r w:rsidRPr="00C8410A">
        <w:rPr>
          <w:rFonts w:ascii="Verdana" w:eastAsia="Times New Roman" w:hAnsi="Verdana" w:cs="Arial"/>
          <w:bCs/>
          <w:lang w:eastAsia="x-none"/>
        </w:rPr>
        <w:t>En esta labor es importante tener en cuenta, como lo anotó la Corte Constitucional, en Sentencia C-1153 de noviembre 11 de 2005</w:t>
      </w:r>
      <w:r w:rsidRPr="00C8410A">
        <w:rPr>
          <w:rStyle w:val="Refdenotaalpie"/>
          <w:rFonts w:ascii="Verdana" w:hAnsi="Verdana"/>
        </w:rPr>
        <w:t>,</w:t>
      </w:r>
      <w:r w:rsidRPr="00C8410A">
        <w:rPr>
          <w:rFonts w:ascii="Verdana" w:eastAsia="Times New Roman" w:hAnsi="Verdana" w:cs="Arial"/>
          <w:bCs/>
          <w:lang w:eastAsia="x-none"/>
        </w:rPr>
        <w:t xml:space="preserve"> </w:t>
      </w:r>
      <w:bookmarkStart w:id="33" w:name="_Hlk74309042"/>
      <w:r w:rsidRPr="00C8410A">
        <w:rPr>
          <w:rFonts w:ascii="Verdana" w:eastAsia="Times New Roman" w:hAnsi="Verdana" w:cs="Arial"/>
          <w:bCs/>
          <w:lang w:eastAsia="x-none"/>
        </w:rPr>
        <w:t xml:space="preserve">que </w:t>
      </w:r>
      <w:bookmarkEnd w:id="33"/>
      <w:r>
        <w:rPr>
          <w:rFonts w:ascii="Verdana" w:eastAsia="Times New Roman" w:hAnsi="Verdana" w:cs="Arial"/>
          <w:bCs/>
          <w:lang w:eastAsia="x-none"/>
        </w:rPr>
        <w:t>“</w:t>
      </w:r>
      <w:r w:rsidRPr="00C8410A">
        <w:rPr>
          <w:rFonts w:ascii="Verdana" w:eastAsia="Times New Roman" w:hAnsi="Verdana" w:cs="Arial"/>
          <w:bCs/>
          <w:lang w:eastAsia="x-none"/>
        </w:rPr>
        <w:t xml:space="preserve">si bien la limitación garantiza la igualdad de condiciones, también es necesario que tal limitación que pretende la igualdad </w:t>
      </w:r>
      <w:bookmarkStart w:id="34" w:name="_Hlk75768308"/>
      <w:r w:rsidRPr="00C8410A">
        <w:rPr>
          <w:rFonts w:ascii="Verdana" w:eastAsia="Times New Roman" w:hAnsi="Verdana" w:cs="Arial"/>
          <w:bCs/>
          <w:lang w:eastAsia="x-none"/>
        </w:rPr>
        <w:t>no termine yendo en detrimento de intereses públicos, cuya garantía está en cabeza del ejecutivo, como son los inmersos en las excepciones para la prohibición de contratación</w:t>
      </w:r>
      <w:r>
        <w:rPr>
          <w:rFonts w:ascii="Verdana" w:eastAsia="Times New Roman" w:hAnsi="Verdana" w:cs="Arial"/>
          <w:bCs/>
          <w:lang w:eastAsia="x-none"/>
        </w:rPr>
        <w:t>”</w:t>
      </w:r>
      <w:r w:rsidRPr="00C8410A">
        <w:rPr>
          <w:rStyle w:val="Refdenotaalpie"/>
          <w:rFonts w:ascii="Verdana" w:hAnsi="Verdana" w:cs="Arial"/>
        </w:rPr>
        <w:footnoteReference w:id="37"/>
      </w:r>
      <w:r w:rsidRPr="00C8410A">
        <w:rPr>
          <w:rFonts w:ascii="Verdana" w:eastAsia="Times New Roman" w:hAnsi="Verdana" w:cs="Arial"/>
          <w:bCs/>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5" w:name="_Hlk75783800"/>
      <w:bookmarkEnd w:id="34"/>
    </w:p>
    <w:p w14:paraId="38971448" w14:textId="77777777" w:rsidR="00897CD2" w:rsidRPr="00C8410A" w:rsidRDefault="00897CD2" w:rsidP="00897CD2">
      <w:pPr>
        <w:spacing w:after="0"/>
        <w:ind w:firstLine="709"/>
        <w:jc w:val="both"/>
        <w:rPr>
          <w:rFonts w:ascii="Verdana" w:eastAsia="Times New Roman" w:hAnsi="Verdana" w:cs="Arial"/>
          <w:bCs/>
          <w:lang w:eastAsia="x-none"/>
        </w:rPr>
      </w:pPr>
      <w:r w:rsidRPr="00C8410A">
        <w:rPr>
          <w:rFonts w:ascii="Verdana" w:eastAsia="Times New Roman" w:hAnsi="Verdana" w:cs="Arial"/>
          <w:bCs/>
          <w:lang w:eastAsia="x-none"/>
        </w:rPr>
        <w:t xml:space="preserve">El artículo 33 de la Ley 996 de 2005 señala expresamente a los destinatarios de la prohibición, en el sentido de que son </w:t>
      </w:r>
      <w:r>
        <w:rPr>
          <w:rFonts w:ascii="Verdana" w:eastAsia="Times New Roman" w:hAnsi="Verdana" w:cs="Arial"/>
          <w:bCs/>
          <w:lang w:eastAsia="x-none"/>
        </w:rPr>
        <w:t>“</w:t>
      </w:r>
      <w:r w:rsidRPr="00C8410A">
        <w:rPr>
          <w:rFonts w:ascii="Verdana" w:eastAsia="Times New Roman" w:hAnsi="Verdana" w:cs="Arial"/>
          <w:bCs/>
          <w:lang w:eastAsia="x-none"/>
        </w:rPr>
        <w:t>todos los entes del Estado</w:t>
      </w:r>
      <w:r>
        <w:rPr>
          <w:rFonts w:ascii="Verdana" w:eastAsia="Times New Roman" w:hAnsi="Verdana" w:cs="Arial"/>
          <w:bCs/>
          <w:lang w:eastAsia="x-none"/>
        </w:rPr>
        <w:t>”</w:t>
      </w:r>
      <w:r w:rsidRPr="00C8410A">
        <w:rPr>
          <w:rFonts w:ascii="Verdana" w:eastAsia="Times New Roman" w:hAnsi="Verdana" w:cs="Arial"/>
          <w:bCs/>
          <w:lang w:eastAsia="x-none"/>
        </w:rPr>
        <w:t xml:space="preserve">, expresión que contempla a los diferentes organismos o entidades </w:t>
      </w:r>
      <w:r w:rsidRPr="00C8410A">
        <w:rPr>
          <w:rFonts w:ascii="Verdana" w:eastAsia="Times New Roman" w:hAnsi="Verdana" w:cs="Arial"/>
          <w:bCs/>
          <w:lang w:eastAsia="x-none"/>
        </w:rPr>
        <w:lastRenderedPageBreak/>
        <w:t>autorizadas por la ley para suscribir contratos.</w:t>
      </w:r>
      <w:r w:rsidRPr="00C8410A">
        <w:rPr>
          <w:rFonts w:ascii="Verdana" w:hAnsi="Verdana"/>
        </w:rPr>
        <w:t xml:space="preserve"> </w:t>
      </w:r>
      <w:r w:rsidRPr="00C8410A">
        <w:rPr>
          <w:rFonts w:ascii="Verdana" w:eastAsia="Times New Roman" w:hAnsi="Verdana" w:cs="Arial"/>
          <w:bCs/>
          <w:lang w:eastAsia="x-none"/>
        </w:rPr>
        <w:t xml:space="preserve">En efecto, tal como lo ha sostenido el Consejo de Estado, el vocablo </w:t>
      </w:r>
      <w:r>
        <w:rPr>
          <w:rFonts w:ascii="Verdana" w:eastAsia="Times New Roman" w:hAnsi="Verdana" w:cs="Arial"/>
          <w:bCs/>
          <w:lang w:eastAsia="x-none"/>
        </w:rPr>
        <w:t>“</w:t>
      </w:r>
      <w:r w:rsidRPr="00C8410A">
        <w:rPr>
          <w:rFonts w:ascii="Verdana" w:eastAsia="Times New Roman" w:hAnsi="Verdana" w:cs="Arial"/>
          <w:bCs/>
          <w:lang w:eastAsia="x-none"/>
        </w:rPr>
        <w:t>todos</w:t>
      </w:r>
      <w:r>
        <w:rPr>
          <w:rFonts w:ascii="Verdana" w:eastAsia="Times New Roman" w:hAnsi="Verdana" w:cs="Arial"/>
          <w:bCs/>
          <w:lang w:eastAsia="x-none"/>
        </w:rPr>
        <w:t>”</w:t>
      </w:r>
      <w:r w:rsidRPr="00C8410A">
        <w:rPr>
          <w:rFonts w:ascii="Verdana" w:eastAsia="Times New Roman" w:hAnsi="Verdana" w:cs="Arial"/>
          <w:bCs/>
          <w:lang w:eastAsia="x-none"/>
        </w:rPr>
        <w:t xml:space="preserve"> utilizado por el legislador comprende</w:t>
      </w:r>
      <w:r w:rsidRPr="00C8410A">
        <w:rPr>
          <w:rFonts w:ascii="Verdana" w:hAnsi="Verdana"/>
        </w:rPr>
        <w:t xml:space="preserve"> </w:t>
      </w:r>
      <w:r w:rsidRPr="00C8410A">
        <w:rPr>
          <w:rFonts w:ascii="Verdana" w:eastAsia="Times New Roman" w:hAnsi="Verdana" w:cs="Arial"/>
          <w:bCs/>
          <w:lang w:eastAsia="x-none"/>
        </w:rPr>
        <w:t>a la totalidad de los entes del Estado, sin distinción del régimen jurídico, forma de organización o naturaleza, su pertenencia a una u otra rama del poder público o su autonomía</w:t>
      </w:r>
      <w:bookmarkEnd w:id="35"/>
      <w:r w:rsidRPr="00C8410A">
        <w:rPr>
          <w:rFonts w:ascii="Verdana" w:eastAsia="Times New Roman" w:hAnsi="Verdana" w:cs="Arial"/>
          <w:bCs/>
          <w:lang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16F1D199" w14:textId="77777777" w:rsidR="00897CD2" w:rsidRPr="00C8410A" w:rsidRDefault="00897CD2" w:rsidP="00897CD2">
      <w:pPr>
        <w:spacing w:after="0"/>
        <w:ind w:firstLine="709"/>
        <w:jc w:val="both"/>
        <w:rPr>
          <w:rFonts w:ascii="Verdana" w:eastAsia="Times New Roman" w:hAnsi="Verdana" w:cs="Arial"/>
          <w:bCs/>
          <w:lang w:eastAsia="x-none"/>
        </w:rPr>
      </w:pPr>
    </w:p>
    <w:p w14:paraId="56028571" w14:textId="77777777" w:rsidR="00897CD2" w:rsidRPr="00C8410A" w:rsidRDefault="00897CD2" w:rsidP="00897CD2">
      <w:pPr>
        <w:spacing w:after="0" w:line="240" w:lineRule="auto"/>
        <w:ind w:left="708" w:right="709"/>
        <w:jc w:val="both"/>
        <w:rPr>
          <w:rFonts w:ascii="Verdana" w:eastAsia="Times New Roman" w:hAnsi="Verdana" w:cs="Arial"/>
          <w:bCs/>
          <w:sz w:val="20"/>
          <w:szCs w:val="20"/>
          <w:lang w:eastAsia="es-CO"/>
        </w:rPr>
      </w:pPr>
      <w:r w:rsidRPr="00C8410A">
        <w:rPr>
          <w:rFonts w:ascii="Verdana" w:eastAsia="Times New Roman" w:hAnsi="Verdana" w:cs="Arial"/>
          <w:bCs/>
          <w:sz w:val="20"/>
          <w:szCs w:val="20"/>
          <w:lang w:eastAsia="x-none"/>
        </w:rPr>
        <w:t xml:space="preserve">El artículo 33 de la ley 996 de 2005, </w:t>
      </w:r>
      <w:bookmarkStart w:id="36" w:name="_Hlk75787147"/>
      <w:r w:rsidRPr="00C8410A">
        <w:rPr>
          <w:rFonts w:ascii="Verdana" w:eastAsia="Times New Roman" w:hAnsi="Verdana" w:cs="Arial"/>
          <w:bCs/>
          <w:sz w:val="20"/>
          <w:szCs w:val="20"/>
          <w:lang w:eastAsia="x-none"/>
        </w:rPr>
        <w:t xml:space="preserve">efectivamente se aplica </w:t>
      </w:r>
      <w:bookmarkStart w:id="37" w:name="_Hlk76074089"/>
      <w:r w:rsidRPr="00C8410A">
        <w:rPr>
          <w:rFonts w:ascii="Verdana" w:eastAsia="Times New Roman" w:hAnsi="Verdana" w:cs="Arial"/>
          <w:bCs/>
          <w:sz w:val="20"/>
          <w:szCs w:val="20"/>
          <w:lang w:eastAsia="x-none"/>
        </w:rPr>
        <w:t>incluso a las entidades estatales con régimen especial de contratación y que están exceptuadas del ámbito de aplicación del Estatuto General de Contratación de la Administración Pública</w:t>
      </w:r>
      <w:bookmarkEnd w:id="37"/>
      <w:r w:rsidRPr="00C8410A">
        <w:rPr>
          <w:rFonts w:ascii="Verdana" w:eastAsia="Times New Roman" w:hAnsi="Verdana" w:cs="Arial"/>
          <w:bCs/>
          <w:sz w:val="20"/>
          <w:szCs w:val="20"/>
          <w:lang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C8410A">
        <w:rPr>
          <w:rStyle w:val="Refdenotaalpie"/>
          <w:rFonts w:ascii="Verdana" w:eastAsia="Times New Roman" w:hAnsi="Verdana" w:cs="Arial"/>
          <w:bCs/>
          <w:sz w:val="20"/>
          <w:szCs w:val="20"/>
          <w:lang w:eastAsia="x-none"/>
        </w:rPr>
        <w:footnoteReference w:id="38"/>
      </w:r>
      <w:r w:rsidRPr="00C8410A">
        <w:rPr>
          <w:rFonts w:ascii="Verdana" w:eastAsia="Times New Roman" w:hAnsi="Verdana" w:cs="Arial"/>
          <w:bCs/>
          <w:sz w:val="20"/>
          <w:szCs w:val="20"/>
          <w:lang w:eastAsia="x-none"/>
        </w:rPr>
        <w:t>.</w:t>
      </w:r>
      <w:r w:rsidRPr="00C8410A">
        <w:rPr>
          <w:rFonts w:ascii="Verdana" w:eastAsia="Times New Roman" w:hAnsi="Verdana" w:cs="Arial"/>
          <w:bCs/>
          <w:sz w:val="20"/>
          <w:szCs w:val="20"/>
          <w:lang w:eastAsia="es-CO"/>
        </w:rPr>
        <w:t xml:space="preserve"> </w:t>
      </w:r>
    </w:p>
    <w:p w14:paraId="39C615FF" w14:textId="77777777" w:rsidR="00897CD2" w:rsidRPr="00990FC7" w:rsidRDefault="00897CD2" w:rsidP="00897CD2">
      <w:pPr>
        <w:spacing w:after="0"/>
        <w:ind w:firstLine="708"/>
        <w:rPr>
          <w:rFonts w:ascii="Arial" w:eastAsia="Times New Roman" w:hAnsi="Arial" w:cs="Arial"/>
          <w:bCs/>
          <w:lang w:eastAsia="es-CO"/>
        </w:rPr>
      </w:pPr>
    </w:p>
    <w:p w14:paraId="7F469839" w14:textId="77777777" w:rsidR="00897CD2" w:rsidRPr="00C8410A" w:rsidRDefault="00897CD2" w:rsidP="00897CD2">
      <w:pPr>
        <w:spacing w:after="120"/>
        <w:ind w:firstLine="709"/>
        <w:jc w:val="both"/>
        <w:rPr>
          <w:rFonts w:ascii="Verdana" w:eastAsia="Times New Roman" w:hAnsi="Verdana" w:cs="Arial"/>
          <w:bCs/>
          <w:lang w:eastAsia="x-none"/>
        </w:rPr>
      </w:pPr>
      <w:bookmarkStart w:id="38" w:name="_Hlk77237229"/>
      <w:bookmarkEnd w:id="36"/>
      <w:r w:rsidRPr="00C8410A">
        <w:rPr>
          <w:rFonts w:ascii="Verdana" w:hAnsi="Verdana" w:cs="Arial"/>
        </w:rPr>
        <w:t>Por lo tanto, la restricción prevista en la Ley 996 de 200</w:t>
      </w:r>
      <w:bookmarkStart w:id="39" w:name="_Hlk75741539"/>
      <w:r w:rsidRPr="00C8410A">
        <w:rPr>
          <w:rFonts w:ascii="Verdana" w:hAnsi="Verdana" w:cs="Arial"/>
        </w:rPr>
        <w:t xml:space="preserve">5, </w:t>
      </w:r>
      <w:r w:rsidRPr="00C8410A">
        <w:rPr>
          <w:rFonts w:ascii="Verdana" w:eastAsia="Times New Roman" w:hAnsi="Verdana" w:cs="Arial"/>
          <w:bCs/>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524AB293" w14:textId="77777777" w:rsidR="00897CD2" w:rsidRPr="00C8410A" w:rsidRDefault="00897CD2" w:rsidP="00897CD2">
      <w:pPr>
        <w:tabs>
          <w:tab w:val="left" w:pos="426"/>
        </w:tabs>
        <w:spacing w:after="120"/>
        <w:jc w:val="both"/>
        <w:rPr>
          <w:rFonts w:ascii="Verdana" w:eastAsia="Calibri" w:hAnsi="Verdana" w:cs="Arial"/>
          <w:bCs/>
          <w:lang w:val="es-ES_tradnl"/>
        </w:rPr>
      </w:pPr>
      <w:r w:rsidRPr="00C8410A">
        <w:rPr>
          <w:rFonts w:ascii="Verdana" w:eastAsia="Calibri" w:hAnsi="Verdana" w:cs="Arial"/>
          <w:bCs/>
          <w:lang w:val="es-ES_tradnl"/>
        </w:rPr>
        <w:tab/>
      </w:r>
      <w:r w:rsidRPr="00C8410A">
        <w:rPr>
          <w:rFonts w:ascii="Verdana" w:eastAsia="Calibri" w:hAnsi="Verdana" w:cs="Arial"/>
          <w:bCs/>
          <w:lang w:val="es-ES_tradnl"/>
        </w:rPr>
        <w:tab/>
        <w:t>No obstante, el segundo inciso del artículo 33 de la Ley de Garantías Electorales consagró las excepciones aplicables a la prohibición de contratación directa establecida en el mismo artículo, esto es, supuestos bajo los cuales no aplicaría la limitación analizada en el numeral 2.2 de este concepto. Las excepciones a la prohibición del artículo 33 de la norma mencionada son las siguientes:</w:t>
      </w:r>
    </w:p>
    <w:p w14:paraId="16B19296" w14:textId="77777777" w:rsidR="00897CD2" w:rsidRPr="00C8410A" w:rsidRDefault="00897CD2" w:rsidP="00897CD2">
      <w:pPr>
        <w:tabs>
          <w:tab w:val="left" w:pos="709"/>
        </w:tabs>
        <w:spacing w:after="120"/>
        <w:jc w:val="both"/>
        <w:rPr>
          <w:rFonts w:ascii="Verdana" w:eastAsia="Calibri" w:hAnsi="Verdana" w:cs="Arial"/>
          <w:bCs/>
          <w:lang w:val="es-ES_tradnl"/>
        </w:rPr>
      </w:pPr>
      <w:r w:rsidRPr="00990FC7">
        <w:rPr>
          <w:rFonts w:ascii="Arial" w:eastAsia="Calibri" w:hAnsi="Arial" w:cs="Arial"/>
          <w:bCs/>
          <w:lang w:val="es-ES_tradnl"/>
        </w:rPr>
        <w:lastRenderedPageBreak/>
        <w:tab/>
      </w:r>
      <w:r w:rsidRPr="00C8410A">
        <w:rPr>
          <w:rFonts w:ascii="Verdana" w:eastAsia="Calibri" w:hAnsi="Verdana" w:cs="Arial"/>
          <w:bCs/>
          <w:lang w:val="es-ES_tradnl"/>
        </w:rPr>
        <w:t>i) La contratación referente a la defensa y seguridad del Estado;</w:t>
      </w:r>
    </w:p>
    <w:p w14:paraId="35514E86" w14:textId="77777777" w:rsidR="00897CD2" w:rsidRPr="00C8410A" w:rsidRDefault="00897CD2" w:rsidP="00897CD2">
      <w:pPr>
        <w:tabs>
          <w:tab w:val="left" w:pos="709"/>
        </w:tabs>
        <w:spacing w:after="120"/>
        <w:jc w:val="both"/>
        <w:rPr>
          <w:rFonts w:ascii="Verdana" w:eastAsia="Calibri" w:hAnsi="Verdana" w:cs="Arial"/>
          <w:lang w:val="es-ES"/>
        </w:rPr>
      </w:pPr>
      <w:r w:rsidRPr="00C8410A">
        <w:rPr>
          <w:rFonts w:ascii="Verdana" w:eastAsia="Calibri" w:hAnsi="Verdana" w:cs="Arial"/>
          <w:bCs/>
          <w:lang w:val="es-ES_tradnl"/>
        </w:rPr>
        <w:tab/>
      </w:r>
      <w:proofErr w:type="spellStart"/>
      <w:r w:rsidRPr="00C8410A">
        <w:rPr>
          <w:rFonts w:ascii="Verdana" w:eastAsia="Calibri" w:hAnsi="Verdana" w:cs="Arial"/>
          <w:lang w:val="es-ES"/>
        </w:rPr>
        <w:t>ii</w:t>
      </w:r>
      <w:proofErr w:type="spellEnd"/>
      <w:r w:rsidRPr="00C8410A">
        <w:rPr>
          <w:rFonts w:ascii="Verdana" w:eastAsia="Calibri" w:hAnsi="Verdana" w:cs="Arial"/>
          <w:lang w:val="es-ES"/>
        </w:rPr>
        <w:t>) Los contratos de crédito público;</w:t>
      </w:r>
    </w:p>
    <w:p w14:paraId="0B3E2FD8" w14:textId="77777777" w:rsidR="00897CD2" w:rsidRPr="00C8410A" w:rsidRDefault="00897CD2" w:rsidP="00897CD2">
      <w:pPr>
        <w:tabs>
          <w:tab w:val="left" w:pos="709"/>
        </w:tabs>
        <w:spacing w:after="120"/>
        <w:jc w:val="both"/>
        <w:rPr>
          <w:rFonts w:ascii="Verdana" w:eastAsia="Calibri" w:hAnsi="Verdana" w:cs="Arial"/>
          <w:lang w:val="es-ES"/>
        </w:rPr>
      </w:pPr>
      <w:r w:rsidRPr="00C8410A">
        <w:rPr>
          <w:rFonts w:ascii="Verdana" w:eastAsia="Calibri" w:hAnsi="Verdana" w:cs="Arial"/>
          <w:bCs/>
          <w:lang w:val="es-ES_tradnl"/>
        </w:rPr>
        <w:tab/>
      </w:r>
      <w:proofErr w:type="spellStart"/>
      <w:r w:rsidRPr="00C8410A">
        <w:rPr>
          <w:rFonts w:ascii="Verdana" w:eastAsia="Calibri" w:hAnsi="Verdana" w:cs="Arial"/>
          <w:lang w:val="es-ES"/>
        </w:rPr>
        <w:t>iii</w:t>
      </w:r>
      <w:proofErr w:type="spellEnd"/>
      <w:r w:rsidRPr="00C8410A">
        <w:rPr>
          <w:rFonts w:ascii="Verdana" w:eastAsia="Calibri" w:hAnsi="Verdana" w:cs="Arial"/>
          <w:lang w:val="es-ES"/>
        </w:rPr>
        <w:t xml:space="preserve">) Los contratos requeridos para cubrir las emergencias educativas, sanitarias y desastres; </w:t>
      </w:r>
    </w:p>
    <w:p w14:paraId="6BBE17AE" w14:textId="77777777" w:rsidR="00897CD2" w:rsidRPr="00C8410A" w:rsidRDefault="00897CD2" w:rsidP="00897CD2">
      <w:pPr>
        <w:tabs>
          <w:tab w:val="left" w:pos="709"/>
        </w:tabs>
        <w:spacing w:after="120"/>
        <w:jc w:val="both"/>
        <w:rPr>
          <w:rFonts w:ascii="Verdana" w:eastAsia="Calibri" w:hAnsi="Verdana" w:cs="Arial"/>
          <w:lang w:val="es-ES"/>
        </w:rPr>
      </w:pPr>
      <w:r w:rsidRPr="00C8410A">
        <w:rPr>
          <w:rFonts w:ascii="Verdana" w:eastAsia="Calibri" w:hAnsi="Verdana" w:cs="Arial"/>
          <w:bCs/>
          <w:lang w:val="es-ES_tradnl"/>
        </w:rPr>
        <w:tab/>
      </w:r>
      <w:proofErr w:type="spellStart"/>
      <w:r w:rsidRPr="00C8410A">
        <w:rPr>
          <w:rFonts w:ascii="Verdana" w:eastAsia="Calibri" w:hAnsi="Verdana" w:cs="Arial"/>
          <w:lang w:val="es-ES"/>
        </w:rPr>
        <w:t>iv</w:t>
      </w:r>
      <w:proofErr w:type="spellEnd"/>
      <w:r w:rsidRPr="00C8410A">
        <w:rPr>
          <w:rFonts w:ascii="Verdana" w:eastAsia="Calibri" w:hAnsi="Verdana" w:cs="Arial"/>
          <w:lang w:val="es-ES"/>
        </w:rPr>
        <w:t>) La contratación para la reconstrucción de vías, puentes, carreteras, infraestructura energética y de comunicaciones, en caso de que hayan sido objeto de atentados, acciones terroristas, desastres naturales o casos de fuerza mayor y;</w:t>
      </w:r>
    </w:p>
    <w:p w14:paraId="769F6079" w14:textId="77777777" w:rsidR="00897CD2" w:rsidRPr="00C8410A" w:rsidRDefault="00897CD2" w:rsidP="00897CD2">
      <w:pPr>
        <w:tabs>
          <w:tab w:val="left" w:pos="709"/>
        </w:tabs>
        <w:spacing w:after="120"/>
        <w:jc w:val="both"/>
        <w:rPr>
          <w:rFonts w:ascii="Verdana" w:eastAsia="Calibri" w:hAnsi="Verdana" w:cs="Arial"/>
          <w:bCs/>
          <w:lang w:val="es-ES_tradnl"/>
        </w:rPr>
      </w:pPr>
      <w:r w:rsidRPr="00C8410A">
        <w:rPr>
          <w:rFonts w:ascii="Verdana" w:eastAsia="Calibri" w:hAnsi="Verdana" w:cs="Arial"/>
          <w:bCs/>
          <w:lang w:val="es-ES_tradnl"/>
        </w:rPr>
        <w:tab/>
        <w:t>v) La contratación que deban realizar las entidades sanitarias y hospitalarias</w:t>
      </w:r>
      <w:r w:rsidRPr="00C8410A">
        <w:rPr>
          <w:rStyle w:val="Refdenotaalpie"/>
          <w:rFonts w:ascii="Verdana" w:eastAsia="Calibri" w:hAnsi="Verdana" w:cs="Arial"/>
          <w:bCs/>
          <w:lang w:val="es-ES_tradnl"/>
        </w:rPr>
        <w:footnoteReference w:id="39"/>
      </w:r>
      <w:r w:rsidRPr="00C8410A">
        <w:rPr>
          <w:rFonts w:ascii="Verdana" w:eastAsia="Calibri" w:hAnsi="Verdana" w:cs="Arial"/>
          <w:bCs/>
          <w:lang w:val="es-ES_tradnl"/>
        </w:rPr>
        <w:t xml:space="preserve">. </w:t>
      </w:r>
    </w:p>
    <w:p w14:paraId="5B45024F" w14:textId="77777777" w:rsidR="00897CD2" w:rsidRPr="00C8410A" w:rsidRDefault="00897CD2" w:rsidP="00897CD2">
      <w:pPr>
        <w:tabs>
          <w:tab w:val="left" w:pos="426"/>
        </w:tabs>
        <w:spacing w:after="120"/>
        <w:ind w:firstLine="709"/>
        <w:jc w:val="both"/>
        <w:rPr>
          <w:rFonts w:ascii="Verdana" w:eastAsia="Calibri" w:hAnsi="Verdana" w:cs="Arial"/>
          <w:bCs/>
          <w:lang w:val="es-ES_tradnl"/>
        </w:rPr>
      </w:pPr>
      <w:r w:rsidRPr="00C8410A">
        <w:rPr>
          <w:rFonts w:ascii="Verdana" w:eastAsia="Calibri" w:hAnsi="Verdana" w:cs="Arial"/>
          <w:bCs/>
          <w:lang w:val="es-ES_tradnl"/>
        </w:rPr>
        <w:t xml:space="preserve">La Sala de Consulta y Servicio Civil del Consejo de Estado, en concepto del 4 de febrero de 2010, se pronunció frente a las razones por las que el legislador consagró excepciones al artículo 33 de la Ley de Garantías Electorales: </w:t>
      </w:r>
      <w:r>
        <w:rPr>
          <w:rFonts w:ascii="Verdana" w:eastAsia="Calibri" w:hAnsi="Verdana" w:cs="Arial"/>
          <w:bCs/>
          <w:lang w:val="es-ES_tradnl"/>
        </w:rPr>
        <w:t>“</w:t>
      </w:r>
      <w:r w:rsidRPr="00C8410A">
        <w:rPr>
          <w:rFonts w:ascii="Verdana" w:eastAsia="Times New Roman" w:hAnsi="Verdana" w:cs="Arial"/>
          <w:lang w:val="es-ES_tradnl" w:eastAsia="es-CO"/>
        </w:rPr>
        <w:t>Las excepciones establecidas en los artículos 32 y 33 en comento, guardan relación, exclusivamente, con algunos servicios públicos que por su naturaleza no admiten postergaciones en la atención de sus necesidades de personal, bienes y servicios</w:t>
      </w:r>
      <w:r>
        <w:rPr>
          <w:rFonts w:ascii="Verdana" w:eastAsia="Times New Roman" w:hAnsi="Verdana" w:cs="Arial"/>
          <w:lang w:val="es-ES_tradnl" w:eastAsia="es-CO"/>
        </w:rPr>
        <w:t>”</w:t>
      </w:r>
      <w:r w:rsidRPr="00C8410A">
        <w:rPr>
          <w:rStyle w:val="Refdenotaalpie"/>
          <w:rFonts w:ascii="Verdana" w:eastAsia="Times New Roman" w:hAnsi="Verdana" w:cs="Arial"/>
          <w:lang w:val="es-ES_tradnl" w:eastAsia="es-CO"/>
        </w:rPr>
        <w:footnoteReference w:id="40"/>
      </w:r>
      <w:r w:rsidRPr="00C8410A">
        <w:rPr>
          <w:rFonts w:ascii="Verdana" w:eastAsia="Times New Roman" w:hAnsi="Verdana" w:cs="Arial"/>
          <w:lang w:val="es-ES_tradnl" w:eastAsia="es-CO"/>
        </w:rPr>
        <w:t xml:space="preserve">. </w:t>
      </w:r>
    </w:p>
    <w:p w14:paraId="01767063" w14:textId="77777777" w:rsidR="00897CD2" w:rsidRPr="003776B6" w:rsidRDefault="00897CD2" w:rsidP="00897CD2">
      <w:pPr>
        <w:tabs>
          <w:tab w:val="left" w:pos="426"/>
        </w:tabs>
        <w:spacing w:after="120"/>
        <w:ind w:firstLine="709"/>
        <w:jc w:val="both"/>
        <w:rPr>
          <w:rFonts w:ascii="Verdana" w:eastAsia="Calibri" w:hAnsi="Verdana" w:cs="Arial"/>
          <w:lang w:val="es-ES"/>
        </w:rPr>
      </w:pPr>
      <w:r w:rsidRPr="003776B6">
        <w:rPr>
          <w:rFonts w:ascii="Verdana" w:eastAsia="Calibri" w:hAnsi="Verdana" w:cs="Arial"/>
          <w:lang w:val="es-ES"/>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el Tribunal Constitucional consideró que las excepciones para la prohibición de contratación se encontraban justificadas, avalando su </w:t>
      </w:r>
      <w:proofErr w:type="spellStart"/>
      <w:r w:rsidRPr="003776B6">
        <w:rPr>
          <w:rFonts w:ascii="Verdana" w:eastAsia="Calibri" w:hAnsi="Verdana" w:cs="Arial"/>
          <w:lang w:val="es-ES"/>
        </w:rPr>
        <w:t>exequibilidad</w:t>
      </w:r>
      <w:proofErr w:type="spellEnd"/>
      <w:r w:rsidRPr="003776B6">
        <w:rPr>
          <w:rFonts w:ascii="Verdana" w:eastAsia="Calibri" w:hAnsi="Verdana" w:cs="Arial"/>
          <w:lang w:val="es-ES"/>
        </w:rPr>
        <w:t>. Así, por ejemplo, la Corte Constitucional explicó que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3776B6">
        <w:rPr>
          <w:rStyle w:val="Refdenotaalpie"/>
          <w:rFonts w:ascii="Verdana" w:eastAsia="Calibri" w:hAnsi="Verdana" w:cs="Arial"/>
          <w:lang w:val="es-ES"/>
        </w:rPr>
        <w:footnoteReference w:id="41"/>
      </w:r>
      <w:r w:rsidRPr="003776B6">
        <w:rPr>
          <w:rFonts w:ascii="Verdana" w:eastAsia="Calibri" w:hAnsi="Verdana" w:cs="Arial"/>
          <w:lang w:val="es-ES"/>
        </w:rPr>
        <w:t xml:space="preserve">. </w:t>
      </w:r>
    </w:p>
    <w:p w14:paraId="37C237B8" w14:textId="77777777" w:rsidR="00897CD2" w:rsidRPr="003776B6" w:rsidRDefault="00897CD2" w:rsidP="00897CD2">
      <w:pPr>
        <w:tabs>
          <w:tab w:val="left" w:pos="426"/>
        </w:tabs>
        <w:spacing w:after="120"/>
        <w:ind w:firstLine="709"/>
        <w:jc w:val="both"/>
        <w:rPr>
          <w:rFonts w:ascii="Verdana" w:hAnsi="Verdana" w:cs="Arial"/>
          <w:lang w:val="es-ES"/>
        </w:rPr>
      </w:pPr>
      <w:r w:rsidRPr="003776B6">
        <w:rPr>
          <w:rFonts w:ascii="Verdana" w:eastAsia="Calibri" w:hAnsi="Verdana" w:cs="Arial"/>
          <w:lang w:val="es-ES"/>
        </w:rPr>
        <w:lastRenderedPageBreak/>
        <w:t xml:space="preserve">Por tanto, las excepciones a la prohibición contenida en el inciso segundo de artículo 33 de la ley de garantías electorales tienen por finalidad garantizar la prestación ininterrumpida de algunos servicios públicos, </w:t>
      </w:r>
      <w:proofErr w:type="gramStart"/>
      <w:r w:rsidRPr="003776B6">
        <w:rPr>
          <w:rFonts w:ascii="Verdana" w:eastAsia="Calibri" w:hAnsi="Verdana" w:cs="Arial"/>
          <w:lang w:val="es-ES"/>
        </w:rPr>
        <w:t>que</w:t>
      </w:r>
      <w:proofErr w:type="gramEnd"/>
      <w:r w:rsidRPr="003776B6">
        <w:rPr>
          <w:rFonts w:ascii="Verdana" w:eastAsia="Calibri" w:hAnsi="Verdana" w:cs="Arial"/>
          <w:lang w:val="es-ES"/>
        </w:rPr>
        <w:t xml:space="preserve"> dada su importancia en el orden interno, se verían irrazonablemente afectados por la restricción explicada. De igual forma, la Sala de Consulta y Servicio Civil del Consejo de Estado, en concepto del 2 de septiembre de 2013</w:t>
      </w:r>
      <w:r w:rsidRPr="003776B6">
        <w:rPr>
          <w:rFonts w:ascii="Verdana" w:hAnsi="Verdana" w:cs="Arial"/>
          <w:lang w:val="es-ES"/>
        </w:rPr>
        <w:t>, mencionó las excepciones a la prohibición del artículo 33 de la Ley de Garantías Electorales, resaltando el carácter taxativo de la regla de excepción referida, y señalando la independencia de los supuestos establecidos allí</w:t>
      </w:r>
      <w:r>
        <w:rPr>
          <w:rFonts w:ascii="Verdana" w:hAnsi="Verdana" w:cs="Arial"/>
          <w:lang w:val="es-ES"/>
        </w:rPr>
        <w:t>.</w:t>
      </w:r>
    </w:p>
    <w:p w14:paraId="30E058B3" w14:textId="77777777" w:rsidR="00897CD2" w:rsidRPr="003776B6" w:rsidRDefault="00897CD2" w:rsidP="00897CD2">
      <w:pPr>
        <w:tabs>
          <w:tab w:val="left" w:pos="426"/>
        </w:tabs>
        <w:spacing w:after="120"/>
        <w:ind w:firstLine="709"/>
        <w:jc w:val="both"/>
        <w:rPr>
          <w:rFonts w:ascii="Verdana" w:eastAsia="Calibri" w:hAnsi="Verdana" w:cs="Arial"/>
          <w:bCs/>
          <w:lang w:val="es-ES_tradnl"/>
        </w:rPr>
      </w:pPr>
      <w:r w:rsidRPr="003776B6">
        <w:rPr>
          <w:rFonts w:ascii="Verdana" w:eastAsia="Calibri" w:hAnsi="Verdana" w:cs="Arial"/>
          <w:bCs/>
          <w:lang w:val="es-ES_tradnl"/>
        </w:rPr>
        <w:t>Lo anterior implica que las excepciones al artículo 33 en comento deben interpretarse y aplicarse manera restrictiva. En otras palabras, que no sería posible hacer interpretaciones extensivas</w:t>
      </w:r>
      <w:r w:rsidRPr="003776B6">
        <w:rPr>
          <w:rFonts w:ascii="Verdana" w:eastAsia="Calibri" w:hAnsi="Verdana" w:cs="Arial"/>
          <w:bCs/>
          <w:i/>
          <w:iCs/>
          <w:lang w:val="es-ES_tradnl"/>
        </w:rPr>
        <w:t xml:space="preserve"> </w:t>
      </w:r>
      <w:r w:rsidRPr="003776B6">
        <w:rPr>
          <w:rFonts w:ascii="Verdana" w:eastAsia="Calibri" w:hAnsi="Verdana" w:cs="Arial"/>
          <w:bCs/>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bookmarkStart w:id="40" w:name="_Hlk88210558"/>
      <w:bookmarkStart w:id="41" w:name="_Hlk75784645"/>
      <w:bookmarkEnd w:id="38"/>
      <w:bookmarkEnd w:id="39"/>
    </w:p>
    <w:p w14:paraId="29B79B94" w14:textId="77777777" w:rsidR="00897CD2" w:rsidRPr="003776B6" w:rsidRDefault="00897CD2" w:rsidP="00897CD2">
      <w:pPr>
        <w:tabs>
          <w:tab w:val="left" w:pos="426"/>
        </w:tabs>
        <w:spacing w:after="120"/>
        <w:ind w:firstLine="425"/>
        <w:jc w:val="both"/>
        <w:rPr>
          <w:rFonts w:ascii="Verdana" w:eastAsia="Times New Roman" w:hAnsi="Verdana" w:cs="Arial"/>
          <w:bCs/>
          <w:iCs/>
          <w:lang w:eastAsia="x-none"/>
        </w:rPr>
      </w:pPr>
      <w:r>
        <w:rPr>
          <w:rFonts w:ascii="Verdana" w:eastAsia="Calibri" w:hAnsi="Verdana" w:cs="Arial"/>
          <w:bCs/>
          <w:lang w:val="es-ES_tradnl"/>
        </w:rPr>
        <w:t xml:space="preserve">   </w:t>
      </w:r>
      <w:r w:rsidRPr="003776B6">
        <w:rPr>
          <w:rFonts w:ascii="Verdana" w:eastAsia="Calibri" w:hAnsi="Verdana" w:cs="Arial"/>
          <w:bCs/>
          <w:lang w:val="es-ES_tradnl"/>
        </w:rPr>
        <w:t xml:space="preserve">Por otro lado, es preciso indicar que el parágrafo del artículo 38 de la Ley 996 de 2005 dispone que </w:t>
      </w:r>
      <w:r>
        <w:rPr>
          <w:rFonts w:ascii="Verdana" w:eastAsia="Calibri" w:hAnsi="Verdana" w:cs="Arial"/>
          <w:bCs/>
          <w:lang w:val="es-ES_tradnl"/>
        </w:rPr>
        <w:t>“</w:t>
      </w:r>
      <w:r w:rsidRPr="003776B6">
        <w:rPr>
          <w:rFonts w:ascii="Verdana" w:eastAsia="Calibri" w:hAnsi="Verdana" w:cs="Arial"/>
          <w:bCs/>
          <w:lang w:val="es-ES_tradnl"/>
        </w:rPr>
        <w:t xml:space="preserve">[l]os Gobernadores, </w:t>
      </w:r>
      <w:proofErr w:type="gramStart"/>
      <w:r w:rsidRPr="003776B6">
        <w:rPr>
          <w:rFonts w:ascii="Verdana" w:eastAsia="Calibri" w:hAnsi="Verdana" w:cs="Arial"/>
          <w:bCs/>
          <w:lang w:val="es-ES_tradnl"/>
        </w:rPr>
        <w:t>Alcaldes</w:t>
      </w:r>
      <w:proofErr w:type="gramEnd"/>
      <w:r w:rsidRPr="003776B6">
        <w:rPr>
          <w:rFonts w:ascii="Verdana" w:eastAsia="Calibri" w:hAnsi="Verdana" w:cs="Arial"/>
          <w:bCs/>
          <w:lang w:val="es-ES_tradnl"/>
        </w:rPr>
        <w:t xml:space="preserve"> Municipales y/o Distritales, </w:t>
      </w:r>
      <w:proofErr w:type="gramStart"/>
      <w:r w:rsidRPr="003776B6">
        <w:rPr>
          <w:rFonts w:ascii="Verdana" w:eastAsia="Calibri" w:hAnsi="Verdana" w:cs="Arial"/>
          <w:bCs/>
          <w:lang w:val="es-ES_tradnl"/>
        </w:rPr>
        <w:t>Secretarios</w:t>
      </w:r>
      <w:proofErr w:type="gramEnd"/>
      <w:r w:rsidRPr="003776B6">
        <w:rPr>
          <w:rFonts w:ascii="Verdana" w:eastAsia="Calibri" w:hAnsi="Verdana" w:cs="Arial"/>
          <w:bCs/>
          <w:lang w:val="es-ES_tradnl"/>
        </w:rPr>
        <w:t>, Gerentes y directores de Entidades Descentralizadas del orden Municipal, Departamental o Distrital, dentro de los cuatro (4) meses anteriores a las elecciones, no podrán celebrar convenios interadministrativos para la ejecución de recursos públicos</w:t>
      </w:r>
      <w:r>
        <w:rPr>
          <w:rFonts w:ascii="Verdana" w:eastAsia="Calibri" w:hAnsi="Verdana" w:cs="Arial"/>
          <w:bCs/>
          <w:lang w:val="es-ES_tradnl"/>
        </w:rPr>
        <w:t>”</w:t>
      </w:r>
      <w:r w:rsidRPr="003776B6">
        <w:rPr>
          <w:rFonts w:ascii="Verdana" w:eastAsia="Calibri" w:hAnsi="Verdana" w:cs="Arial"/>
          <w:bCs/>
          <w:lang w:val="es-ES_tradnl"/>
        </w:rPr>
        <w:t xml:space="preserve">. </w:t>
      </w:r>
      <w:bookmarkEnd w:id="40"/>
      <w:r w:rsidRPr="003776B6">
        <w:rPr>
          <w:rFonts w:ascii="Verdana" w:eastAsia="Calibri" w:hAnsi="Verdana" w:cs="Arial"/>
          <w:bCs/>
          <w:lang w:val="es-ES_tradnl"/>
        </w:rPr>
        <w:t>Los convenios o contratos</w:t>
      </w:r>
      <w:r w:rsidRPr="003776B6">
        <w:rPr>
          <w:rFonts w:ascii="Verdana" w:eastAsia="Times New Roman" w:hAnsi="Verdana" w:cs="Arial"/>
          <w:bCs/>
          <w:iCs/>
          <w:lang w:eastAsia="x-none"/>
        </w:rPr>
        <w:t xml:space="preserve"> interadministrativos que se restringen en el parágrafo del artículo 38 de la Ley</w:t>
      </w:r>
      <w:r w:rsidRPr="00990FC7">
        <w:rPr>
          <w:rFonts w:ascii="Arial" w:eastAsia="Times New Roman" w:hAnsi="Arial" w:cs="Arial"/>
          <w:bCs/>
          <w:iCs/>
          <w:lang w:eastAsia="x-none"/>
        </w:rPr>
        <w:t xml:space="preserve"> </w:t>
      </w:r>
      <w:r w:rsidRPr="003776B6">
        <w:rPr>
          <w:rFonts w:ascii="Verdana" w:eastAsia="Times New Roman" w:hAnsi="Verdana" w:cs="Arial"/>
          <w:bCs/>
          <w:iCs/>
          <w:lang w:eastAsia="x-none"/>
        </w:rPr>
        <w:t>996 de 2005, son únicamente aquellos en que se dispone la ejecución de recursos públicos, para evitar que mediante la suscripción de estos se comprometa el erario con fines políticos o partidistas</w:t>
      </w:r>
      <w:r w:rsidRPr="003776B6">
        <w:rPr>
          <w:rStyle w:val="Refdenotaalpie"/>
          <w:rFonts w:ascii="Verdana" w:eastAsia="Times New Roman" w:hAnsi="Verdana" w:cs="Arial"/>
          <w:bCs/>
          <w:iCs/>
          <w:lang w:eastAsia="x-none"/>
        </w:rPr>
        <w:footnoteReference w:id="42"/>
      </w:r>
      <w:r w:rsidRPr="003776B6">
        <w:rPr>
          <w:rFonts w:ascii="Verdana" w:eastAsia="Times New Roman" w:hAnsi="Verdana" w:cs="Arial"/>
          <w:bCs/>
          <w:iCs/>
          <w:lang w:eastAsia="x-none"/>
        </w:rPr>
        <w:t>.</w:t>
      </w:r>
      <w:r w:rsidRPr="003776B6">
        <w:rPr>
          <w:rFonts w:ascii="Verdana" w:hAnsi="Verdana" w:cs="Arial"/>
        </w:rPr>
        <w:t xml:space="preserve"> </w:t>
      </w:r>
    </w:p>
    <w:p w14:paraId="03D83A5C" w14:textId="77777777" w:rsidR="00897CD2" w:rsidRPr="000F0F39" w:rsidRDefault="00897CD2" w:rsidP="00897CD2">
      <w:pPr>
        <w:pStyle w:val="Textoindependiente"/>
        <w:spacing w:after="120" w:line="259" w:lineRule="auto"/>
        <w:ind w:firstLine="709"/>
        <w:jc w:val="both"/>
        <w:rPr>
          <w:rFonts w:ascii="Verdana" w:eastAsia="Calibri" w:hAnsi="Verdana"/>
        </w:rPr>
      </w:pPr>
      <w:r w:rsidRPr="6597C79F">
        <w:rPr>
          <w:rFonts w:ascii="Verdana" w:eastAsia="Calibri" w:hAnsi="Verdana"/>
        </w:rPr>
        <w:t xml:space="preserve">Ahora bien, </w:t>
      </w:r>
      <w:bookmarkStart w:id="42" w:name="_Hlk78820161"/>
      <w:r w:rsidRPr="6597C79F">
        <w:rPr>
          <w:rFonts w:ascii="Verdana" w:eastAsia="Calibri" w:hAnsi="Verdana"/>
        </w:rPr>
        <w:t>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w:t>
      </w:r>
      <w:r w:rsidRPr="6597C79F">
        <w:rPr>
          <w:rFonts w:eastAsia="Calibri"/>
          <w:vertAlign w:val="superscript"/>
        </w:rPr>
        <w:footnoteReference w:id="43"/>
      </w:r>
      <w:r w:rsidRPr="6597C79F">
        <w:rPr>
          <w:rFonts w:ascii="Verdana" w:eastAsia="Calibri" w:hAnsi="Verdana"/>
          <w:vertAlign w:val="superscript"/>
        </w:rPr>
        <w:t>.</w:t>
      </w:r>
      <w:r w:rsidRPr="6597C79F">
        <w:rPr>
          <w:rFonts w:ascii="Verdana" w:eastAsia="Calibri" w:hAnsi="Verdana"/>
        </w:rPr>
        <w:t xml:space="preserve"> De acuerdo con lo anterior, el contrato o el convenio interadministrativo es el acuerdo donde </w:t>
      </w:r>
      <w:r w:rsidRPr="6597C79F">
        <w:rPr>
          <w:rFonts w:ascii="Verdana" w:eastAsia="Calibri" w:hAnsi="Verdana"/>
        </w:rPr>
        <w:lastRenderedPageBreak/>
        <w:t>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19439ABD" w14:textId="77777777" w:rsidR="00897CD2" w:rsidRPr="000F0F39" w:rsidRDefault="00897CD2" w:rsidP="00897CD2">
      <w:pPr>
        <w:pStyle w:val="Textoindependiente"/>
        <w:spacing w:after="120" w:line="259" w:lineRule="auto"/>
        <w:ind w:firstLine="709"/>
        <w:jc w:val="both"/>
        <w:rPr>
          <w:rFonts w:ascii="Verdana" w:eastAsia="Calibri" w:hAnsi="Verdana"/>
        </w:rPr>
      </w:pPr>
      <w:bookmarkStart w:id="43" w:name="_Hlk78820654"/>
      <w:bookmarkEnd w:id="42"/>
      <w:r w:rsidRPr="6597C79F">
        <w:rPr>
          <w:rFonts w:ascii="Verdana" w:eastAsia="Calibri" w:hAnsi="Verdana"/>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43"/>
    <w:p w14:paraId="51940ACB" w14:textId="77777777" w:rsidR="00897CD2" w:rsidRPr="000F0F39" w:rsidRDefault="00897CD2" w:rsidP="00897CD2">
      <w:pPr>
        <w:pStyle w:val="Textoindependiente"/>
        <w:spacing w:after="120" w:line="259" w:lineRule="auto"/>
        <w:ind w:firstLine="709"/>
        <w:jc w:val="both"/>
        <w:rPr>
          <w:rFonts w:ascii="Verdana" w:eastAsia="Calibri" w:hAnsi="Verdana"/>
        </w:rPr>
      </w:pPr>
      <w:r w:rsidRPr="6597C79F">
        <w:rPr>
          <w:rFonts w:ascii="Verdana" w:eastAsia="Calibri" w:hAnsi="Verdana"/>
        </w:rPr>
        <w:t>Estos no están determinados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6597C79F">
        <w:rPr>
          <w:rFonts w:ascii="Verdana" w:eastAsia="Calibri" w:hAnsi="Verdana"/>
          <w:vertAlign w:val="superscript"/>
        </w:rPr>
        <w:footnoteReference w:id="44"/>
      </w:r>
      <w:r w:rsidRPr="6597C79F">
        <w:rPr>
          <w:rFonts w:ascii="Verdana" w:eastAsia="Calibri" w:hAnsi="Verdana"/>
          <w:vertAlign w:val="superscript"/>
        </w:rPr>
        <w:t>.</w:t>
      </w:r>
      <w:r w:rsidRPr="6597C79F">
        <w:rPr>
          <w:rFonts w:ascii="Verdana" w:eastAsia="Calibri" w:hAnsi="Verdana"/>
        </w:rPr>
        <w:t xml:space="preserve"> Nótese que, en este caso, lo que cambia es la modalidad de selección y no la naturaleza de contrato interadministrativo.</w:t>
      </w:r>
    </w:p>
    <w:p w14:paraId="376EE82F" w14:textId="77777777" w:rsidR="00897CD2" w:rsidRPr="000F0F39" w:rsidRDefault="00897CD2" w:rsidP="00897CD2">
      <w:pPr>
        <w:pStyle w:val="Textoindependiente"/>
        <w:spacing w:after="120" w:line="259" w:lineRule="auto"/>
        <w:ind w:firstLine="709"/>
        <w:jc w:val="both"/>
        <w:rPr>
          <w:rFonts w:ascii="Verdana" w:hAnsi="Verdana"/>
        </w:rPr>
      </w:pPr>
      <w:r w:rsidRPr="000F0F39">
        <w:rPr>
          <w:rFonts w:ascii="Verdana" w:hAnsi="Verdana"/>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0F0F39">
        <w:rPr>
          <w:rFonts w:ascii="Verdana" w:hAnsi="Verdana"/>
          <w:spacing w:val="-13"/>
        </w:rPr>
        <w:t xml:space="preserve"> </w:t>
      </w:r>
      <w:r w:rsidRPr="000F0F39">
        <w:rPr>
          <w:rFonts w:ascii="Verdana" w:hAnsi="Verdana"/>
        </w:rPr>
        <w:t>que:</w:t>
      </w:r>
    </w:p>
    <w:p w14:paraId="34CE3621" w14:textId="77777777" w:rsidR="00897CD2" w:rsidRPr="00990FC7" w:rsidRDefault="00897CD2" w:rsidP="00897CD2">
      <w:pPr>
        <w:pStyle w:val="Textoindependiente"/>
        <w:ind w:firstLine="707"/>
      </w:pPr>
    </w:p>
    <w:p w14:paraId="65FF6EC5" w14:textId="77777777" w:rsidR="00897CD2" w:rsidRPr="000F0F39" w:rsidRDefault="00897CD2" w:rsidP="00897CD2">
      <w:pPr>
        <w:spacing w:after="0" w:line="240" w:lineRule="auto"/>
        <w:ind w:left="709" w:right="709"/>
        <w:jc w:val="both"/>
        <w:rPr>
          <w:rFonts w:ascii="Verdana" w:hAnsi="Verdana" w:cs="Arial"/>
          <w:sz w:val="20"/>
          <w:szCs w:val="20"/>
        </w:rPr>
      </w:pPr>
      <w:r>
        <w:rPr>
          <w:rFonts w:ascii="Verdana" w:hAnsi="Verdana" w:cs="Arial"/>
          <w:sz w:val="20"/>
          <w:szCs w:val="20"/>
        </w:rPr>
        <w:t xml:space="preserve">“(…) </w:t>
      </w:r>
      <w:r w:rsidRPr="000F0F39">
        <w:rPr>
          <w:rFonts w:ascii="Verdana" w:hAnsi="Verdana" w:cs="Arial"/>
          <w:sz w:val="20"/>
          <w:szCs w:val="20"/>
        </w:rPr>
        <w:t>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0F0F39">
        <w:rPr>
          <w:rFonts w:ascii="Verdana" w:hAnsi="Verdana" w:cs="Arial"/>
          <w:sz w:val="20"/>
          <w:szCs w:val="20"/>
        </w:rPr>
        <w:t>ii</w:t>
      </w:r>
      <w:proofErr w:type="spellEnd"/>
      <w:r w:rsidRPr="000F0F39">
        <w:rPr>
          <w:rFonts w:ascii="Verdana" w:hAnsi="Verdana" w:cs="Arial"/>
          <w:sz w:val="20"/>
          <w:szCs w:val="20"/>
        </w:rPr>
        <w:t xml:space="preserve">) tienen como fuente </w:t>
      </w:r>
      <w:r w:rsidRPr="000F0F39">
        <w:rPr>
          <w:rFonts w:ascii="Verdana" w:hAnsi="Verdana" w:cs="Arial"/>
          <w:sz w:val="20"/>
          <w:szCs w:val="20"/>
        </w:rPr>
        <w:lastRenderedPageBreak/>
        <w:t>la autonomía contractual; (</w:t>
      </w:r>
      <w:proofErr w:type="spellStart"/>
      <w:r w:rsidRPr="000F0F39">
        <w:rPr>
          <w:rFonts w:ascii="Verdana" w:hAnsi="Verdana" w:cs="Arial"/>
          <w:sz w:val="20"/>
          <w:szCs w:val="20"/>
        </w:rPr>
        <w:t>iii</w:t>
      </w:r>
      <w:proofErr w:type="spellEnd"/>
      <w:r w:rsidRPr="000F0F39">
        <w:rPr>
          <w:rFonts w:ascii="Verdana" w:hAnsi="Verdana" w:cs="Arial"/>
          <w:sz w:val="20"/>
          <w:szCs w:val="20"/>
        </w:rPr>
        <w:t>) son contratos nominados puesto que están mencionados en la ley; (</w:t>
      </w:r>
      <w:proofErr w:type="spellStart"/>
      <w:r w:rsidRPr="000F0F39">
        <w:rPr>
          <w:rFonts w:ascii="Verdana" w:hAnsi="Verdana" w:cs="Arial"/>
          <w:sz w:val="20"/>
          <w:szCs w:val="20"/>
        </w:rPr>
        <w:t>iv</w:t>
      </w:r>
      <w:proofErr w:type="spellEnd"/>
      <w:r w:rsidRPr="000F0F39">
        <w:rPr>
          <w:rFonts w:ascii="Verdana" w:hAnsi="Verdana" w:cs="Arial"/>
          <w:sz w:val="20"/>
          <w:szCs w:val="20"/>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0F0F39">
        <w:rPr>
          <w:rFonts w:ascii="Verdana" w:hAnsi="Verdana" w:cs="Arial"/>
          <w:sz w:val="20"/>
          <w:szCs w:val="20"/>
        </w:rPr>
        <w:t>vii</w:t>
      </w:r>
      <w:proofErr w:type="spellEnd"/>
      <w:r w:rsidRPr="000F0F39">
        <w:rPr>
          <w:rFonts w:ascii="Verdana" w:hAnsi="Verdana" w:cs="Arial"/>
          <w:sz w:val="20"/>
          <w:szCs w:val="20"/>
        </w:rPr>
        <w:t>) persiguen  una finalidad común a través de la realización de intereses compartidos entre las entidades vinculadas; (</w:t>
      </w:r>
      <w:proofErr w:type="spellStart"/>
      <w:r w:rsidRPr="000F0F39">
        <w:rPr>
          <w:rFonts w:ascii="Verdana" w:hAnsi="Verdana" w:cs="Arial"/>
          <w:sz w:val="20"/>
          <w:szCs w:val="20"/>
        </w:rPr>
        <w:t>viii</w:t>
      </w:r>
      <w:proofErr w:type="spellEnd"/>
      <w:r w:rsidRPr="000F0F39">
        <w:rPr>
          <w:rFonts w:ascii="Verdana" w:hAnsi="Verdana" w:cs="Arial"/>
          <w:sz w:val="20"/>
          <w:szCs w:val="20"/>
        </w:rPr>
        <w:t>) la acción mediante la cual se deben ventilar las diferencias que sobre el particular surjan es la de controversias contractuales</w:t>
      </w:r>
      <w:r>
        <w:rPr>
          <w:rFonts w:ascii="Verdana" w:hAnsi="Verdana" w:cs="Arial"/>
          <w:sz w:val="20"/>
          <w:szCs w:val="20"/>
        </w:rPr>
        <w:t xml:space="preserve"> (…)”</w:t>
      </w:r>
      <w:r w:rsidRPr="000F0F39">
        <w:rPr>
          <w:rStyle w:val="Refdenotaalpie"/>
          <w:rFonts w:ascii="Verdana" w:hAnsi="Verdana" w:cs="Arial"/>
          <w:sz w:val="20"/>
          <w:szCs w:val="20"/>
        </w:rPr>
        <w:footnoteReference w:id="45"/>
      </w:r>
      <w:r>
        <w:rPr>
          <w:rFonts w:ascii="Verdana" w:hAnsi="Verdana" w:cs="Arial"/>
          <w:sz w:val="20"/>
          <w:szCs w:val="20"/>
        </w:rPr>
        <w:t>.</w:t>
      </w:r>
    </w:p>
    <w:p w14:paraId="13497328" w14:textId="77777777" w:rsidR="00897CD2" w:rsidRPr="00990FC7" w:rsidRDefault="00897CD2" w:rsidP="00897CD2">
      <w:pPr>
        <w:spacing w:after="0"/>
        <w:ind w:left="709" w:right="709"/>
        <w:rPr>
          <w:rFonts w:ascii="Arial" w:hAnsi="Arial" w:cs="Arial"/>
        </w:rPr>
      </w:pPr>
    </w:p>
    <w:p w14:paraId="03D3751D" w14:textId="77777777" w:rsidR="00897CD2" w:rsidRPr="000F0F39" w:rsidRDefault="00897CD2" w:rsidP="00897CD2">
      <w:pPr>
        <w:pStyle w:val="Textoindependiente"/>
        <w:spacing w:after="120" w:line="259" w:lineRule="auto"/>
        <w:ind w:firstLine="709"/>
        <w:jc w:val="both"/>
        <w:rPr>
          <w:rFonts w:ascii="Verdana" w:hAnsi="Verdana"/>
        </w:rPr>
      </w:pPr>
      <w:r w:rsidRPr="000F0F39">
        <w:rPr>
          <w:rFonts w:ascii="Verdana" w:hAnsi="Verdana"/>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62409A1F" w14:textId="77777777" w:rsidR="00897CD2" w:rsidRPr="000F0F39" w:rsidRDefault="00897CD2" w:rsidP="00897CD2">
      <w:pPr>
        <w:pStyle w:val="Textoindependiente"/>
        <w:spacing w:after="120" w:line="259" w:lineRule="auto"/>
        <w:ind w:firstLine="709"/>
        <w:jc w:val="both"/>
        <w:rPr>
          <w:rFonts w:ascii="Verdana" w:hAnsi="Verdana"/>
        </w:rPr>
      </w:pPr>
      <w:r w:rsidRPr="000F0F39">
        <w:rPr>
          <w:rFonts w:ascii="Verdana" w:hAnsi="Verdana"/>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0F0F39">
        <w:rPr>
          <w:rFonts w:ascii="Verdana" w:hAnsi="Verdana"/>
          <w:spacing w:val="-3"/>
        </w:rPr>
        <w:t xml:space="preserve"> </w:t>
      </w:r>
      <w:r w:rsidRPr="000F0F39">
        <w:rPr>
          <w:rFonts w:ascii="Verdana" w:hAnsi="Verdana"/>
        </w:rPr>
        <w:t>estatales.</w:t>
      </w:r>
    </w:p>
    <w:p w14:paraId="63658721" w14:textId="77777777" w:rsidR="00897CD2" w:rsidRPr="000F0F39" w:rsidRDefault="00897CD2" w:rsidP="00897CD2">
      <w:pPr>
        <w:pStyle w:val="Textoindependiente"/>
        <w:spacing w:after="120" w:line="259" w:lineRule="auto"/>
        <w:ind w:firstLine="709"/>
        <w:jc w:val="both"/>
        <w:rPr>
          <w:rFonts w:ascii="Verdana" w:hAnsi="Verdana"/>
        </w:rPr>
      </w:pPr>
      <w:r w:rsidRPr="000F0F39">
        <w:rPr>
          <w:rFonts w:ascii="Verdana" w:hAnsi="Verdana"/>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w:t>
      </w:r>
      <w:r w:rsidRPr="000F0F39">
        <w:rPr>
          <w:rFonts w:ascii="Verdana" w:hAnsi="Verdana"/>
        </w:rPr>
        <w:lastRenderedPageBreak/>
        <w:t>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48FDDE18" w14:textId="77777777" w:rsidR="00897CD2" w:rsidRPr="000F0F39" w:rsidRDefault="00897CD2" w:rsidP="00897CD2">
      <w:pPr>
        <w:pStyle w:val="Textoindependiente"/>
        <w:spacing w:after="120" w:line="259" w:lineRule="auto"/>
        <w:ind w:firstLine="709"/>
        <w:jc w:val="both"/>
        <w:rPr>
          <w:rFonts w:ascii="Verdana" w:hAnsi="Verdana"/>
        </w:rPr>
      </w:pPr>
      <w:r w:rsidRPr="000F0F39">
        <w:rPr>
          <w:rFonts w:ascii="Verdana" w:hAnsi="Verdana"/>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4E3E2824" w14:textId="77777777" w:rsidR="00897CD2" w:rsidRPr="000F0F39" w:rsidRDefault="00897CD2" w:rsidP="00897CD2">
      <w:pPr>
        <w:pStyle w:val="Textoindependiente"/>
        <w:spacing w:after="120" w:line="259" w:lineRule="auto"/>
        <w:ind w:firstLine="709"/>
        <w:jc w:val="both"/>
        <w:rPr>
          <w:rFonts w:ascii="Verdana" w:eastAsia="Calibri" w:hAnsi="Verdana"/>
          <w:bCs/>
          <w:lang w:val="es-CO"/>
        </w:rPr>
      </w:pPr>
      <w:r w:rsidRPr="000F0F39">
        <w:rPr>
          <w:rFonts w:ascii="Verdana" w:hAnsi="Verdana"/>
        </w:rPr>
        <w:t xml:space="preserve">Por tanto, aunque el artículo 95 de la Ley 489 de 1998 dispone que </w:t>
      </w:r>
      <w:r>
        <w:rPr>
          <w:rFonts w:ascii="Verdana" w:hAnsi="Verdana"/>
        </w:rPr>
        <w:t>“</w:t>
      </w:r>
      <w:r w:rsidRPr="000F0F39">
        <w:rPr>
          <w:rFonts w:ascii="Verdana" w:hAnsi="Verdana"/>
        </w:rPr>
        <w:t>Las entidades públicas podrán asociarse con el fin de cooperar en el cumplimiento de funciones administrativas o de prestar conjuntamente servicios que se hallen a su cargo, mediante la celebración de convenios interadministrativos</w:t>
      </w:r>
      <w:r>
        <w:rPr>
          <w:rFonts w:ascii="Verdana" w:hAnsi="Verdana"/>
        </w:rPr>
        <w:t>”</w:t>
      </w:r>
      <w:r w:rsidRPr="000F0F39">
        <w:rPr>
          <w:rFonts w:ascii="Verdana" w:hAnsi="Verdana"/>
        </w:rPr>
        <w:t xml:space="preserve">, esto no significa que dichos acuerdos estén exceptuados del Estatuto General de Contratación de la Administración Pública por no tener carácter contractual. Por ello, la jurisprudencia considera que </w:t>
      </w:r>
      <w:r>
        <w:rPr>
          <w:rFonts w:ascii="Verdana" w:hAnsi="Verdana"/>
        </w:rPr>
        <w:t>“</w:t>
      </w:r>
      <w:r w:rsidRPr="000F0F39">
        <w:rPr>
          <w:rFonts w:ascii="Verdana" w:hAnsi="Verdana"/>
        </w:rPr>
        <w:t>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Pr>
          <w:rFonts w:ascii="Verdana" w:hAnsi="Verdana"/>
          <w:spacing w:val="-4"/>
        </w:rPr>
        <w:t>"</w:t>
      </w:r>
      <w:r w:rsidRPr="000F0F39">
        <w:rPr>
          <w:rStyle w:val="Refdenotaalpie"/>
          <w:rFonts w:ascii="Verdana" w:hAnsi="Verdana"/>
        </w:rPr>
        <w:footnoteReference w:id="46"/>
      </w:r>
      <w:r w:rsidRPr="000F0F39">
        <w:rPr>
          <w:rFonts w:ascii="Verdana" w:hAnsi="Verdana"/>
        </w:rPr>
        <w:t>.</w:t>
      </w:r>
      <w:bookmarkStart w:id="44" w:name="_Hlk77171241"/>
    </w:p>
    <w:p w14:paraId="4196DCB9" w14:textId="77777777" w:rsidR="00897CD2" w:rsidRPr="000F0F39" w:rsidRDefault="00897CD2" w:rsidP="00897CD2">
      <w:pPr>
        <w:pStyle w:val="Textoindependiente"/>
        <w:spacing w:after="120" w:line="259" w:lineRule="auto"/>
        <w:ind w:firstLine="709"/>
        <w:jc w:val="both"/>
        <w:rPr>
          <w:rFonts w:ascii="Verdana" w:hAnsi="Verdana"/>
        </w:rPr>
      </w:pPr>
      <w:r w:rsidRPr="000F0F39">
        <w:rPr>
          <w:rFonts w:ascii="Verdana" w:hAnsi="Verdana"/>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539E7169" w14:textId="77777777" w:rsidR="00897CD2" w:rsidRPr="000F0F39" w:rsidRDefault="00897CD2" w:rsidP="00897CD2">
      <w:pPr>
        <w:pStyle w:val="Textoindependiente"/>
        <w:ind w:firstLine="709"/>
        <w:jc w:val="both"/>
        <w:rPr>
          <w:rFonts w:ascii="Verdana" w:hAnsi="Verdana"/>
          <w:sz w:val="20"/>
          <w:szCs w:val="20"/>
        </w:rPr>
      </w:pPr>
    </w:p>
    <w:p w14:paraId="00719893" w14:textId="77777777" w:rsidR="00897CD2" w:rsidRPr="000F0F39" w:rsidRDefault="00897CD2" w:rsidP="00897CD2">
      <w:pPr>
        <w:spacing w:after="120" w:line="240" w:lineRule="auto"/>
        <w:ind w:left="709" w:right="709"/>
        <w:jc w:val="both"/>
        <w:rPr>
          <w:rFonts w:ascii="Verdana" w:hAnsi="Verdana" w:cs="Arial"/>
          <w:sz w:val="20"/>
          <w:szCs w:val="20"/>
          <w:lang w:val="es-ES_tradnl"/>
        </w:rPr>
      </w:pPr>
      <w:r w:rsidRPr="000F0F39">
        <w:rPr>
          <w:rFonts w:ascii="Verdana" w:hAnsi="Verdana" w:cs="Arial"/>
          <w:sz w:val="20"/>
          <w:szCs w:val="20"/>
          <w:lang w:val="es-ES_tradnl"/>
        </w:rPr>
        <w:lastRenderedPageBreak/>
        <w:t>La Sala de Consulta y Servicio Civil</w:t>
      </w:r>
      <w:r w:rsidRPr="000F0F39">
        <w:rPr>
          <w:rStyle w:val="Refdenotaalpie"/>
          <w:rFonts w:ascii="Verdana" w:hAnsi="Verdana" w:cs="Arial"/>
          <w:sz w:val="20"/>
          <w:szCs w:val="20"/>
          <w:lang w:val="es-ES_tradnl"/>
        </w:rPr>
        <w:footnoteReference w:id="47"/>
      </w:r>
      <w:r w:rsidRPr="000F0F39">
        <w:rPr>
          <w:rFonts w:ascii="Verdana" w:hAnsi="Verdana" w:cs="Arial"/>
          <w:sz w:val="20"/>
          <w:szCs w:val="20"/>
          <w:lang w:val="es-ES_tradnl"/>
        </w:rPr>
        <w:t xml:space="preserve"> de esta Corporación se ha referido a los </w:t>
      </w:r>
      <w:r w:rsidRPr="000F0F39">
        <w:rPr>
          <w:rFonts w:ascii="Verdana" w:hAnsi="Verdana" w:cs="Arial"/>
          <w:i/>
          <w:sz w:val="20"/>
          <w:szCs w:val="20"/>
          <w:lang w:val="es-ES_tradnl"/>
        </w:rPr>
        <w:t>“convenios interadministrativos”</w:t>
      </w:r>
      <w:r w:rsidRPr="000F0F39">
        <w:rPr>
          <w:rFonts w:ascii="Verdana" w:hAnsi="Verdana" w:cs="Arial"/>
          <w:sz w:val="20"/>
          <w:szCs w:val="20"/>
          <w:lang w:val="es-ES_tradnl"/>
        </w:rPr>
        <w:t xml:space="preserve"> a los cuales alude el artículo 95 de la Ley 489 de 1998, calificándolos de </w:t>
      </w:r>
      <w:r w:rsidRPr="000F0F39">
        <w:rPr>
          <w:rFonts w:ascii="Verdana" w:hAnsi="Verdana" w:cs="Arial"/>
          <w:i/>
          <w:sz w:val="20"/>
          <w:szCs w:val="20"/>
          <w:lang w:val="es-ES_tradnl"/>
        </w:rPr>
        <w:t xml:space="preserve">“puros” </w:t>
      </w:r>
      <w:r w:rsidRPr="000F0F39">
        <w:rPr>
          <w:rFonts w:ascii="Verdana" w:hAnsi="Verdana" w:cs="Arial"/>
          <w:sz w:val="20"/>
          <w:szCs w:val="20"/>
          <w:lang w:val="es-ES_tradnl"/>
        </w:rPr>
        <w:t xml:space="preserve">y entendiendo que estos, además de perseguir la finalidad de cooperación antes indicada, no implican intereses contrapuestos ni tampoco se circunscriben a un </w:t>
      </w:r>
      <w:r w:rsidRPr="000F0F39">
        <w:rPr>
          <w:rFonts w:ascii="Verdana" w:hAnsi="Verdana" w:cs="Arial"/>
          <w:i/>
          <w:sz w:val="20"/>
          <w:szCs w:val="20"/>
          <w:lang w:val="es-ES_tradnl"/>
        </w:rPr>
        <w:t>“intercambio patrimonial”</w:t>
      </w:r>
      <w:r w:rsidRPr="000F0F39">
        <w:rPr>
          <w:rFonts w:ascii="Verdana" w:hAnsi="Verdana" w:cs="Arial"/>
          <w:sz w:val="20"/>
          <w:szCs w:val="20"/>
          <w:lang w:val="es-ES_tradnl"/>
        </w:rPr>
        <w:t>. Sin perjuicio de lo anterior, en otra oportunidad, la misma Sala</w:t>
      </w:r>
      <w:r w:rsidRPr="000F0F39">
        <w:rPr>
          <w:rStyle w:val="Refdenotaalpie"/>
          <w:rFonts w:ascii="Verdana" w:hAnsi="Verdana" w:cs="Arial"/>
          <w:sz w:val="20"/>
          <w:szCs w:val="20"/>
          <w:lang w:val="es-ES_tradnl"/>
        </w:rPr>
        <w:footnoteReference w:id="48"/>
      </w:r>
      <w:r w:rsidRPr="000F0F39">
        <w:rPr>
          <w:rFonts w:ascii="Verdana" w:hAnsi="Verdana" w:cs="Arial"/>
          <w:sz w:val="20"/>
          <w:szCs w:val="20"/>
          <w:lang w:val="es-ES_tradnl"/>
        </w:rPr>
        <w:t xml:space="preserve"> había indicado que, si bien en dichos convenios no se daba un </w:t>
      </w:r>
      <w:r w:rsidRPr="000F0F39">
        <w:rPr>
          <w:rFonts w:ascii="Verdana" w:hAnsi="Verdana" w:cs="Arial"/>
          <w:i/>
          <w:sz w:val="20"/>
          <w:szCs w:val="20"/>
          <w:lang w:val="es-ES_tradnl"/>
        </w:rPr>
        <w:t>“verdadero intercambio de bienes o servicios (contrato conmutativo)”</w:t>
      </w:r>
      <w:r w:rsidRPr="000F0F39">
        <w:rPr>
          <w:rFonts w:ascii="Verdana" w:hAnsi="Verdana" w:cs="Arial"/>
          <w:sz w:val="20"/>
          <w:szCs w:val="20"/>
          <w:lang w:val="es-ES_tradnl"/>
        </w:rPr>
        <w:t>, ello no impedía que se conviniera una remuneración a cargo de alguna(s) entidad(es).</w:t>
      </w:r>
    </w:p>
    <w:p w14:paraId="20F6E132" w14:textId="77777777" w:rsidR="00897CD2" w:rsidRPr="000F0F39" w:rsidRDefault="00897CD2" w:rsidP="00897CD2">
      <w:pPr>
        <w:pStyle w:val="Textoindependiente"/>
        <w:ind w:left="709" w:right="709"/>
        <w:jc w:val="both"/>
        <w:rPr>
          <w:rFonts w:ascii="Verdana" w:hAnsi="Verdana"/>
          <w:sz w:val="20"/>
          <w:szCs w:val="20"/>
        </w:rPr>
      </w:pPr>
      <w:r w:rsidRPr="000F0F39">
        <w:rPr>
          <w:rFonts w:ascii="Verdana" w:hAnsi="Verdana"/>
          <w:sz w:val="20"/>
          <w:szCs w:val="20"/>
          <w:lang w:val="es-ES_tradnl"/>
        </w:rPr>
        <w:t xml:space="preserve">Lo expuesto evidencia que, en general, las interpretaciones en torno a los </w:t>
      </w:r>
      <w:r w:rsidRPr="000F0F39">
        <w:rPr>
          <w:rFonts w:ascii="Verdana" w:hAnsi="Verdana"/>
          <w:i/>
          <w:sz w:val="20"/>
          <w:szCs w:val="20"/>
          <w:lang w:val="es-ES_tradnl"/>
        </w:rPr>
        <w:t>“convenios interadministrativos”</w:t>
      </w:r>
      <w:r w:rsidRPr="000F0F39">
        <w:rPr>
          <w:rFonts w:ascii="Verdana" w:hAnsi="Verdana"/>
          <w:sz w:val="20"/>
          <w:szCs w:val="20"/>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0F0F39">
        <w:rPr>
          <w:rStyle w:val="Refdenotaalpie"/>
          <w:rFonts w:ascii="Verdana" w:hAnsi="Verdana"/>
          <w:sz w:val="20"/>
          <w:szCs w:val="20"/>
          <w:lang w:val="es-ES_tradnl"/>
        </w:rPr>
        <w:footnoteReference w:id="49"/>
      </w:r>
      <w:r w:rsidRPr="000F0F39">
        <w:rPr>
          <w:rStyle w:val="Refdenotaalpie"/>
          <w:rFonts w:ascii="Verdana" w:hAnsi="Verdana"/>
          <w:sz w:val="20"/>
          <w:szCs w:val="20"/>
          <w:lang w:val="es-ES_tradnl"/>
        </w:rPr>
        <w:footnoteReference w:id="50"/>
      </w:r>
      <w:r w:rsidRPr="000F0F39">
        <w:rPr>
          <w:rFonts w:ascii="Verdana" w:hAnsi="Verdana"/>
          <w:sz w:val="20"/>
          <w:szCs w:val="20"/>
          <w:lang w:val="es-ES_tradnl"/>
        </w:rPr>
        <w:t>.</w:t>
      </w:r>
    </w:p>
    <w:p w14:paraId="3A2A11EF" w14:textId="77777777" w:rsidR="00897CD2" w:rsidRPr="00990FC7" w:rsidRDefault="00897CD2" w:rsidP="00897CD2">
      <w:pPr>
        <w:pStyle w:val="Textoindependiente"/>
      </w:pPr>
    </w:p>
    <w:p w14:paraId="7AFEC9D6" w14:textId="77777777" w:rsidR="00897CD2" w:rsidRPr="000F0F39" w:rsidRDefault="00897CD2" w:rsidP="00897CD2">
      <w:pPr>
        <w:pStyle w:val="Textoindependiente"/>
        <w:spacing w:after="120" w:line="259" w:lineRule="auto"/>
        <w:jc w:val="both"/>
        <w:rPr>
          <w:rFonts w:ascii="Verdana" w:hAnsi="Verdana"/>
        </w:rPr>
      </w:pPr>
      <w:r w:rsidRPr="00990FC7">
        <w:tab/>
      </w:r>
      <w:r w:rsidRPr="000F0F39">
        <w:rPr>
          <w:rFonts w:ascii="Verdana" w:hAnsi="Verdana"/>
        </w:rPr>
        <w:t>Sin perjuicio de lo indicado, vale la pena reiterar que el legislador y el ordenamiento jurídico, en general, en distintas ocasiones utiliza de forma indistinta los conceptos de contrato o convenio para referirse a la misma institución jurídica</w:t>
      </w:r>
      <w:r w:rsidRPr="000F0F39">
        <w:rPr>
          <w:rStyle w:val="Refdenotaalpie"/>
          <w:rFonts w:ascii="Verdana" w:hAnsi="Verdana"/>
        </w:rPr>
        <w:footnoteReference w:id="51"/>
      </w:r>
      <w:r w:rsidRPr="000F0F39">
        <w:rPr>
          <w:rFonts w:ascii="Verdana" w:hAnsi="Verdana"/>
        </w:rPr>
        <w:t xml:space="preserve">. Incluso </w:t>
      </w:r>
      <w:r>
        <w:rPr>
          <w:rFonts w:ascii="Verdana" w:hAnsi="Verdana"/>
        </w:rPr>
        <w:t>es necesario indicar,</w:t>
      </w:r>
      <w:r w:rsidRPr="000F0F39">
        <w:rPr>
          <w:rFonts w:ascii="Verdana" w:hAnsi="Verdana"/>
        </w:rPr>
        <w:t xml:space="preserve"> como la Corte Constitucional fundamenta la posibilidad de celebrar convenios interadministrativos de forma directa, con fundamento en la causal establecida en la Ley 1150 de 2007 </w:t>
      </w:r>
      <w:r w:rsidRPr="000F0F39">
        <w:rPr>
          <w:rFonts w:ascii="Verdana" w:hAnsi="Verdana"/>
        </w:rPr>
        <w:lastRenderedPageBreak/>
        <w:t>respecto a los contratos interadministrativos</w:t>
      </w:r>
      <w:r w:rsidRPr="000F0F39">
        <w:rPr>
          <w:rStyle w:val="Refdenotaalpie"/>
          <w:rFonts w:ascii="Verdana" w:hAnsi="Verdana"/>
        </w:rPr>
        <w:footnoteReference w:id="52"/>
      </w:r>
      <w:r w:rsidRPr="000F0F39">
        <w:rPr>
          <w:rFonts w:ascii="Verdana" w:hAnsi="Verdana"/>
        </w:rPr>
        <w:t>.</w:t>
      </w:r>
    </w:p>
    <w:p w14:paraId="1B920E55" w14:textId="77777777" w:rsidR="00897CD2" w:rsidRPr="000F0F39" w:rsidRDefault="00897CD2" w:rsidP="00897CD2">
      <w:pPr>
        <w:pStyle w:val="Textoindependiente"/>
        <w:spacing w:after="120" w:line="259" w:lineRule="auto"/>
        <w:jc w:val="both"/>
        <w:rPr>
          <w:rFonts w:ascii="Verdana" w:hAnsi="Verdana"/>
        </w:rPr>
      </w:pPr>
      <w:r w:rsidRPr="000F0F39">
        <w:rPr>
          <w:rFonts w:ascii="Verdana" w:hAnsi="Verdana"/>
        </w:rPr>
        <w:tab/>
        <w:t xml:space="preserve">En desarrollo de lo anterior, </w:t>
      </w:r>
      <w:r>
        <w:rPr>
          <w:rFonts w:ascii="Verdana" w:hAnsi="Verdana"/>
        </w:rPr>
        <w:t>resulta necesario</w:t>
      </w:r>
      <w:r w:rsidRPr="000F0F39">
        <w:rPr>
          <w:rFonts w:ascii="Verdana" w:hAnsi="Verdana"/>
        </w:rPr>
        <w:t xml:space="preserve">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4D3C8275" w14:textId="77777777" w:rsidR="00897CD2" w:rsidRPr="00990FC7" w:rsidRDefault="00897CD2" w:rsidP="00897CD2">
      <w:pPr>
        <w:pStyle w:val="Textoindependiente"/>
      </w:pPr>
    </w:p>
    <w:p w14:paraId="2565A975" w14:textId="77777777" w:rsidR="00897CD2" w:rsidRPr="005A5B79" w:rsidRDefault="00897CD2" w:rsidP="00897CD2">
      <w:pPr>
        <w:spacing w:after="120" w:line="240" w:lineRule="auto"/>
        <w:ind w:left="709" w:right="709"/>
        <w:jc w:val="both"/>
        <w:rPr>
          <w:rFonts w:ascii="Verdana" w:hAnsi="Verdana" w:cs="Arial"/>
          <w:sz w:val="20"/>
          <w:szCs w:val="20"/>
        </w:rPr>
      </w:pPr>
      <w:r w:rsidRPr="005A5B79">
        <w:rPr>
          <w:rFonts w:ascii="Verdana"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5A5B79">
        <w:rPr>
          <w:rFonts w:ascii="Verdana" w:hAnsi="Verdana" w:cs="Arial"/>
          <w:sz w:val="20"/>
          <w:szCs w:val="20"/>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4822B702" w14:textId="77777777" w:rsidR="00897CD2" w:rsidRPr="005A5B79" w:rsidRDefault="00897CD2" w:rsidP="00897CD2">
      <w:pPr>
        <w:spacing w:after="120" w:line="240" w:lineRule="auto"/>
        <w:ind w:left="709" w:right="709"/>
        <w:jc w:val="both"/>
        <w:rPr>
          <w:rFonts w:ascii="Verdana" w:hAnsi="Verdana" w:cs="Arial"/>
          <w:sz w:val="20"/>
          <w:szCs w:val="20"/>
        </w:rPr>
      </w:pPr>
      <w:r w:rsidRPr="005A5B79">
        <w:rPr>
          <w:rFonts w:ascii="Verdana" w:hAnsi="Verdana" w:cs="Arial"/>
          <w:sz w:val="20"/>
          <w:szCs w:val="20"/>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6D3A8D5" w14:textId="77777777" w:rsidR="00897CD2" w:rsidRPr="005A5B79" w:rsidRDefault="00897CD2" w:rsidP="00897CD2">
      <w:pPr>
        <w:spacing w:after="0" w:line="240" w:lineRule="auto"/>
        <w:ind w:left="709" w:right="709"/>
        <w:jc w:val="both"/>
        <w:rPr>
          <w:rFonts w:ascii="Verdana" w:hAnsi="Verdana"/>
          <w:sz w:val="20"/>
          <w:szCs w:val="20"/>
        </w:rPr>
      </w:pPr>
      <w:r w:rsidRPr="005A5B79">
        <w:rPr>
          <w:rFonts w:ascii="Verdana" w:hAnsi="Verdana" w:cs="Arial"/>
          <w:sz w:val="20"/>
          <w:szCs w:val="20"/>
        </w:rPr>
        <w:t xml:space="preserve">En el contexto de la Ley de Garantías, las restricciones además de propender por la igualdad de los candidatos están encaminadas a evitar que por medio de la contratación se altere la voluntad popular, lo cual se </w:t>
      </w:r>
      <w:r w:rsidRPr="005A5B79">
        <w:rPr>
          <w:rFonts w:ascii="Verdana" w:hAnsi="Verdana" w:cs="Arial"/>
          <w:sz w:val="20"/>
          <w:szCs w:val="20"/>
        </w:rPr>
        <w:lastRenderedPageBreak/>
        <w:t>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3100DCCE" w14:textId="77777777" w:rsidR="00897CD2" w:rsidRPr="00990FC7" w:rsidRDefault="00897CD2" w:rsidP="00897CD2">
      <w:pPr>
        <w:pStyle w:val="Textoindependiente"/>
      </w:pPr>
    </w:p>
    <w:p w14:paraId="09239432" w14:textId="77777777" w:rsidR="00897CD2" w:rsidRDefault="00897CD2" w:rsidP="00897CD2">
      <w:pPr>
        <w:spacing w:after="120"/>
        <w:ind w:firstLine="709"/>
        <w:jc w:val="both"/>
        <w:rPr>
          <w:rFonts w:ascii="Verdana" w:eastAsia="Arial" w:hAnsi="Verdana" w:cs="Arial"/>
          <w:lang w:val="es-MX" w:eastAsia="es-ES" w:bidi="es-ES"/>
        </w:rPr>
      </w:pPr>
      <w:r w:rsidRPr="005F73B4">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5F73B4">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34F8EEF9" w14:textId="77777777" w:rsidR="00897CD2" w:rsidRPr="00C75E29" w:rsidRDefault="00897CD2" w:rsidP="00897CD2">
      <w:pPr>
        <w:spacing w:after="0" w:line="276" w:lineRule="auto"/>
        <w:ind w:firstLine="709"/>
        <w:jc w:val="both"/>
        <w:rPr>
          <w:rFonts w:ascii="Verdana" w:hAnsi="Verdana"/>
        </w:rPr>
      </w:pPr>
      <w:r>
        <w:rPr>
          <w:rFonts w:ascii="Verdana" w:eastAsia="Arial" w:hAnsi="Verdana" w:cs="Arial"/>
          <w:lang w:val="es-MX" w:eastAsia="es-ES" w:bidi="es-ES"/>
        </w:rPr>
        <w:t>Sin perjuicio de lo expuesto</w:t>
      </w:r>
      <w:r w:rsidRPr="005F73B4">
        <w:rPr>
          <w:rFonts w:ascii="Verdana" w:eastAsia="Arial" w:hAnsi="Verdana" w:cs="Arial"/>
          <w:lang w:val="es-MX" w:eastAsia="es-ES" w:bidi="es-ES"/>
        </w:rPr>
        <w:t xml:space="preserve">, conviene señalar que, mediante auto de 4 de octubre del 2024, el Consejo de Estado, Sección Tercera, decretó medida de suspensión provisional parcial del </w:t>
      </w:r>
      <w:r w:rsidRPr="005F73B4">
        <w:rPr>
          <w:rFonts w:ascii="Verdana" w:hAnsi="Verdana"/>
        </w:rPr>
        <w:t>numeral 16.2 de la Circular Externa Única de 2022 expedida por la Agencia Nacional de Contratación Pública -Colombia Compra Eficiente-, concretamente, respecto de los siguientes apartes normativos</w:t>
      </w:r>
      <w:r w:rsidRPr="005F73B4">
        <w:rPr>
          <w:rFonts w:ascii="Verdana" w:hAnsi="Verdana"/>
          <w:vertAlign w:val="superscript"/>
        </w:rPr>
        <w:footnoteReference w:id="53"/>
      </w:r>
      <w:r w:rsidRPr="005F73B4">
        <w:rPr>
          <w:rFonts w:ascii="Verdana" w:hAnsi="Verdana"/>
        </w:rPr>
        <w:t>:</w:t>
      </w:r>
      <w:r w:rsidRPr="00C75E29">
        <w:rPr>
          <w:rFonts w:ascii="Verdana" w:hAnsi="Verdana"/>
        </w:rPr>
        <w:t xml:space="preserve"> </w:t>
      </w:r>
    </w:p>
    <w:p w14:paraId="4CF491C2" w14:textId="77777777" w:rsidR="00897CD2" w:rsidRPr="00C75E29" w:rsidRDefault="00897CD2" w:rsidP="00897CD2">
      <w:pPr>
        <w:spacing w:after="0" w:line="276" w:lineRule="auto"/>
        <w:ind w:firstLine="709"/>
        <w:jc w:val="both"/>
        <w:rPr>
          <w:rFonts w:ascii="Verdana" w:hAnsi="Verdana"/>
        </w:rPr>
      </w:pPr>
    </w:p>
    <w:p w14:paraId="5D88AE5E" w14:textId="77777777" w:rsidR="00897CD2" w:rsidRPr="005F73B4" w:rsidRDefault="00897CD2" w:rsidP="00897CD2">
      <w:pPr>
        <w:spacing w:after="0" w:line="240" w:lineRule="auto"/>
        <w:ind w:left="709" w:right="709"/>
        <w:jc w:val="both"/>
        <w:rPr>
          <w:rFonts w:ascii="Verdana" w:eastAsia="Calibri" w:hAnsi="Verdana" w:cs="Arial"/>
          <w:sz w:val="20"/>
          <w:szCs w:val="20"/>
        </w:rPr>
      </w:pPr>
      <w:r w:rsidRPr="005F73B4">
        <w:rPr>
          <w:rFonts w:ascii="Verdana" w:eastAsia="Calibri" w:hAnsi="Verdana" w:cs="Arial"/>
          <w:sz w:val="20"/>
          <w:szCs w:val="20"/>
          <w:lang w:val="es-MX"/>
        </w:rPr>
        <w:t>i)</w:t>
      </w:r>
      <w:r w:rsidRPr="005F73B4">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5F9645C1" w14:textId="77777777" w:rsidR="00897CD2" w:rsidRPr="005F73B4" w:rsidRDefault="00897CD2" w:rsidP="00897CD2">
      <w:pPr>
        <w:spacing w:after="0" w:line="240" w:lineRule="auto"/>
        <w:ind w:left="709" w:right="709"/>
        <w:jc w:val="both"/>
        <w:rPr>
          <w:rFonts w:ascii="Verdana" w:eastAsia="Calibri" w:hAnsi="Verdana" w:cs="Arial"/>
          <w:sz w:val="20"/>
          <w:szCs w:val="20"/>
        </w:rPr>
      </w:pPr>
    </w:p>
    <w:p w14:paraId="22FEF5C0" w14:textId="77777777" w:rsidR="00897CD2" w:rsidRPr="005F73B4" w:rsidRDefault="00897CD2" w:rsidP="00897CD2">
      <w:pPr>
        <w:spacing w:after="0" w:line="240" w:lineRule="auto"/>
        <w:ind w:left="709" w:right="709"/>
        <w:jc w:val="both"/>
        <w:rPr>
          <w:rFonts w:ascii="Verdana" w:hAnsi="Verdana"/>
          <w:sz w:val="20"/>
          <w:szCs w:val="20"/>
        </w:rPr>
      </w:pPr>
      <w:proofErr w:type="spellStart"/>
      <w:r w:rsidRPr="005F73B4">
        <w:rPr>
          <w:rFonts w:ascii="Verdana" w:hAnsi="Verdana"/>
          <w:sz w:val="20"/>
          <w:szCs w:val="20"/>
        </w:rPr>
        <w:t>ii</w:t>
      </w:r>
      <w:proofErr w:type="spellEnd"/>
      <w:r w:rsidRPr="005F73B4">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A268B29" w14:textId="77777777" w:rsidR="00897CD2" w:rsidRPr="005F73B4" w:rsidRDefault="00897CD2" w:rsidP="00897CD2">
      <w:pPr>
        <w:spacing w:after="0" w:line="276" w:lineRule="auto"/>
        <w:ind w:left="709" w:right="709"/>
        <w:jc w:val="both"/>
        <w:rPr>
          <w:rFonts w:ascii="Verdana" w:hAnsi="Verdana"/>
        </w:rPr>
      </w:pPr>
    </w:p>
    <w:p w14:paraId="23B57784" w14:textId="77777777" w:rsidR="00897CD2" w:rsidRPr="005F73B4" w:rsidRDefault="00897CD2" w:rsidP="00897CD2">
      <w:pPr>
        <w:spacing w:after="120"/>
        <w:ind w:firstLine="709"/>
        <w:jc w:val="both"/>
        <w:rPr>
          <w:rFonts w:ascii="Verdana" w:eastAsia="Arial" w:hAnsi="Verdana" w:cs="Arial"/>
          <w:i/>
          <w:iCs/>
          <w:lang w:val="es-MX" w:eastAsia="es-ES" w:bidi="es-ES"/>
        </w:rPr>
      </w:pPr>
      <w:r w:rsidRPr="005F73B4">
        <w:rPr>
          <w:rFonts w:ascii="Verdana" w:eastAsia="Arial" w:hAnsi="Verdana" w:cs="Arial"/>
          <w:lang w:val="es-MX" w:eastAsia="es-ES" w:bidi="es-ES"/>
        </w:rPr>
        <w:lastRenderedPageBreak/>
        <w:t xml:space="preserve">De conformidad con los argumentos de dicha providencia, se parte de la distinción entre los conceptos </w:t>
      </w:r>
      <w:r w:rsidRPr="005F73B4">
        <w:rPr>
          <w:rFonts w:ascii="Verdana" w:eastAsia="Arial" w:hAnsi="Verdana" w:cs="Arial"/>
          <w:lang w:eastAsia="es-ES" w:bidi="es-ES"/>
        </w:rPr>
        <w:t xml:space="preserve">de “convenio” y “contrato” interadministrativos, </w:t>
      </w:r>
      <w:r>
        <w:rPr>
          <w:rFonts w:ascii="Verdana" w:eastAsia="Arial" w:hAnsi="Verdana" w:cs="Arial"/>
          <w:lang w:eastAsia="es-ES" w:bidi="es-ES"/>
        </w:rPr>
        <w:t>diferenciándolos en cuanto a</w:t>
      </w:r>
      <w:r w:rsidRPr="005F73B4">
        <w:rPr>
          <w:rFonts w:ascii="Verdana" w:eastAsia="Arial" w:hAnsi="Verdana" w:cs="Arial"/>
          <w:lang w:eastAsia="es-ES" w:bidi="es-ES"/>
        </w:rPr>
        <w:t xml:space="preserve"> su naturaleza, contenido y alcance</w:t>
      </w:r>
      <w:r>
        <w:rPr>
          <w:rFonts w:ascii="Verdana" w:eastAsia="Arial" w:hAnsi="Verdana" w:cs="Arial"/>
          <w:lang w:eastAsia="es-ES" w:bidi="es-ES"/>
        </w:rPr>
        <w:t xml:space="preserve">. Esta distinción </w:t>
      </w:r>
      <w:r w:rsidRPr="005F73B4">
        <w:rPr>
          <w:rFonts w:ascii="Verdana" w:eastAsia="Arial" w:hAnsi="Verdana" w:cs="Arial"/>
          <w:lang w:eastAsia="es-ES" w:bidi="es-ES"/>
        </w:rPr>
        <w:t xml:space="preserve">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5F73B4">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5F73B4">
        <w:rPr>
          <w:rFonts w:ascii="Verdana" w:eastAsia="Arial" w:hAnsi="Verdana" w:cs="Arial"/>
          <w:lang w:eastAsia="es-ES" w:bidi="es-ES"/>
        </w:rPr>
        <w:t xml:space="preserve">Por tal motivo, para efectos de decretar la medida de suspensión provisional de los apartes señalados del numeral </w:t>
      </w:r>
      <w:bookmarkStart w:id="45" w:name="_Hlk192497089"/>
      <w:r w:rsidRPr="005F73B4">
        <w:rPr>
          <w:rFonts w:ascii="Verdana" w:eastAsia="Arial" w:hAnsi="Verdana" w:cs="Arial"/>
          <w:lang w:eastAsia="es-ES" w:bidi="es-ES"/>
        </w:rPr>
        <w:t>16.2 de la Circular Externa Única</w:t>
      </w:r>
      <w:bookmarkEnd w:id="45"/>
      <w:r w:rsidRPr="005F73B4">
        <w:rPr>
          <w:rFonts w:ascii="Verdana" w:eastAsia="Arial" w:hAnsi="Verdana" w:cs="Arial"/>
          <w:lang w:eastAsia="es-ES" w:bidi="es-ES"/>
        </w:rPr>
        <w:t xml:space="preserve">, argumentó que </w:t>
      </w:r>
      <w:r w:rsidRPr="005F73B4">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03B6D1B5" w14:textId="77777777" w:rsidR="00897CD2" w:rsidRPr="005F73B4" w:rsidRDefault="00897CD2" w:rsidP="00897CD2">
      <w:pPr>
        <w:spacing w:after="120"/>
        <w:ind w:firstLine="709"/>
        <w:jc w:val="both"/>
        <w:rPr>
          <w:rFonts w:ascii="Verdana" w:eastAsia="Calibri" w:hAnsi="Verdana" w:cs="Arial"/>
          <w:lang w:val="es-MX"/>
        </w:rPr>
      </w:pPr>
      <w:r w:rsidRPr="005F73B4">
        <w:rPr>
          <w:rFonts w:ascii="Verdana" w:eastAsia="Arial" w:hAnsi="Verdana" w:cs="Arial"/>
          <w:lang w:val="es-MX" w:eastAsia="es-ES" w:bidi="es-ES"/>
        </w:rPr>
        <w:t xml:space="preserve">Bajo este contexto, esta Agencia </w:t>
      </w:r>
      <w:r>
        <w:rPr>
          <w:rFonts w:ascii="Verdana" w:eastAsia="Arial" w:hAnsi="Verdana" w:cs="Arial"/>
          <w:lang w:val="es-MX" w:eastAsia="es-ES" w:bidi="es-ES"/>
        </w:rPr>
        <w:t>considera necesario manifestar</w:t>
      </w:r>
      <w:r w:rsidRPr="005F73B4">
        <w:rPr>
          <w:rFonts w:ascii="Verdana" w:eastAsia="Arial" w:hAnsi="Verdana" w:cs="Arial"/>
          <w:lang w:val="es-MX" w:eastAsia="es-ES" w:bidi="es-ES"/>
        </w:rPr>
        <w:t xml:space="preserve"> que, si bien respeta y acata las decisiones proferidas por el Consejo de Estado, como es el caso del auto de suspensión provisional parcial del numeral </w:t>
      </w:r>
      <w:r w:rsidRPr="005F73B4">
        <w:rPr>
          <w:rFonts w:ascii="Verdana" w:eastAsia="Arial" w:hAnsi="Verdana" w:cs="Arial"/>
          <w:lang w:eastAsia="es-ES" w:bidi="es-ES"/>
        </w:rPr>
        <w:t>16.2 de la Circular Externa Única</w:t>
      </w:r>
      <w:r w:rsidRPr="005F73B4">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5F73B4">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5F73B4">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1797BC90" w14:textId="77777777" w:rsidR="00897CD2" w:rsidRPr="005F73B4" w:rsidRDefault="00897CD2" w:rsidP="00897CD2">
      <w:pPr>
        <w:spacing w:after="120"/>
        <w:ind w:firstLine="709"/>
        <w:jc w:val="both"/>
        <w:rPr>
          <w:rFonts w:ascii="Verdana" w:eastAsia="Arial" w:hAnsi="Verdana" w:cs="Arial"/>
          <w:lang w:val="es-MX" w:eastAsia="es-ES" w:bidi="es-ES"/>
        </w:rPr>
      </w:pPr>
      <w:r w:rsidRPr="005F73B4">
        <w:rPr>
          <w:rFonts w:ascii="Verdana" w:eastAsia="Calibri" w:hAnsi="Verdana" w:cs="Arial"/>
        </w:rPr>
        <w:t xml:space="preserve">Conforme </w:t>
      </w:r>
      <w:r>
        <w:rPr>
          <w:rFonts w:ascii="Verdana" w:eastAsia="Calibri" w:hAnsi="Verdana" w:cs="Arial"/>
        </w:rPr>
        <w:t>con</w:t>
      </w:r>
      <w:r w:rsidRPr="005F73B4">
        <w:rPr>
          <w:rFonts w:ascii="Verdana" w:eastAsia="Calibri" w:hAnsi="Verdana" w:cs="Arial"/>
        </w:rPr>
        <w:t xml:space="preserve">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5F73B4">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5F73B4">
        <w:rPr>
          <w:rFonts w:ascii="Verdana" w:eastAsia="Calibri" w:hAnsi="Verdana" w:cs="Arial"/>
          <w:lang w:val="es-MX"/>
        </w:rPr>
        <w:t xml:space="preserve">a la fecha, se espera la decisión final respecto a la declaratoria de nulidad del numeral 16.2 de la Circular Externa Única que adopte el Consejo de Estado. </w:t>
      </w:r>
    </w:p>
    <w:bookmarkEnd w:id="44"/>
    <w:p w14:paraId="33298F72" w14:textId="77777777" w:rsidR="00897CD2" w:rsidRPr="005A5B79" w:rsidRDefault="00897CD2" w:rsidP="00897CD2">
      <w:pPr>
        <w:tabs>
          <w:tab w:val="left" w:pos="426"/>
        </w:tabs>
        <w:spacing w:after="120"/>
        <w:ind w:firstLine="709"/>
        <w:jc w:val="both"/>
        <w:rPr>
          <w:rFonts w:ascii="Verdana" w:eastAsia="Times New Roman" w:hAnsi="Verdana" w:cs="Arial"/>
          <w:bCs/>
          <w:lang w:eastAsia="es-CO"/>
        </w:rPr>
      </w:pPr>
      <w:r w:rsidRPr="005A5B79">
        <w:rPr>
          <w:rFonts w:ascii="Verdana" w:eastAsia="Times New Roman" w:hAnsi="Verdana" w:cs="Arial"/>
          <w:bCs/>
          <w:lang w:eastAsia="es-CO"/>
        </w:rPr>
        <w:lastRenderedPageBreak/>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5A5B79">
        <w:rPr>
          <w:rFonts w:ascii="Verdana" w:eastAsia="Times New Roman" w:hAnsi="Verdana" w:cs="Arial"/>
          <w:bCs/>
          <w:i/>
          <w:iCs/>
          <w:lang w:eastAsia="es-CO"/>
        </w:rPr>
        <w:t>ibidem</w:t>
      </w:r>
      <w:r w:rsidRPr="005A5B79">
        <w:rPr>
          <w:rFonts w:ascii="Verdana" w:eastAsia="Times New Roman" w:hAnsi="Verdana" w:cs="Arial"/>
          <w:bCs/>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5A5B79">
        <w:rPr>
          <w:rStyle w:val="Refdenotaalpie"/>
          <w:rFonts w:ascii="Verdana" w:hAnsi="Verdana" w:cs="Arial"/>
          <w:bCs/>
          <w:lang w:eastAsia="es-CO"/>
        </w:rPr>
        <w:footnoteReference w:id="54"/>
      </w:r>
      <w:r w:rsidRPr="005A5B79">
        <w:rPr>
          <w:rFonts w:ascii="Verdana" w:eastAsia="Times New Roman" w:hAnsi="Verdana" w:cs="Arial"/>
          <w:bCs/>
          <w:lang w:eastAsia="es-CO"/>
        </w:rPr>
        <w:t xml:space="preserve">. </w:t>
      </w:r>
    </w:p>
    <w:p w14:paraId="5C70C58E" w14:textId="77777777" w:rsidR="00897CD2" w:rsidRPr="00C466DF" w:rsidRDefault="00897CD2" w:rsidP="00897CD2">
      <w:pPr>
        <w:pStyle w:val="Textoindependiente"/>
        <w:spacing w:after="120" w:line="259" w:lineRule="auto"/>
        <w:ind w:firstLine="709"/>
        <w:jc w:val="both"/>
        <w:rPr>
          <w:rFonts w:ascii="Verdana" w:eastAsia="Calibri" w:hAnsi="Verdana"/>
          <w:lang w:val="es-CO"/>
        </w:rPr>
      </w:pPr>
      <w:r w:rsidRPr="005A5B79">
        <w:rPr>
          <w:rFonts w:ascii="Verdana" w:eastAsia="Times New Roman" w:hAnsi="Verdana"/>
          <w:bCs/>
          <w:lang w:eastAsia="es-CO"/>
        </w:rPr>
        <w:t>En todo caso</w:t>
      </w:r>
      <w:bookmarkStart w:id="46" w:name="_Hlk77154098"/>
      <w:r w:rsidRPr="005A5B79">
        <w:rPr>
          <w:rFonts w:ascii="Verdana" w:hAnsi="Verdana"/>
        </w:rPr>
        <w:t xml:space="preserve">, es importante resaltar que la Sala de Consulta y Servicio Civil del Consejo de Estado se ha pronunciado en el sentido de que </w:t>
      </w:r>
      <w:bookmarkStart w:id="47" w:name="_Hlk78820889"/>
      <w:r w:rsidRPr="005A5B79">
        <w:rPr>
          <w:rFonts w:ascii="Verdana" w:hAnsi="Verdana"/>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47"/>
      <w:r w:rsidRPr="005A5B79">
        <w:rPr>
          <w:rStyle w:val="Refdenotaalpie"/>
          <w:rFonts w:ascii="Verdana" w:hAnsi="Verdana"/>
        </w:rPr>
        <w:footnoteReference w:id="55"/>
      </w:r>
      <w:r w:rsidRPr="005A5B79">
        <w:rPr>
          <w:rFonts w:ascii="Verdana" w:eastAsia="Calibri" w:hAnsi="Verdana"/>
          <w:lang w:val="es-CO"/>
        </w:rPr>
        <w:t>.</w:t>
      </w:r>
      <w:bookmarkEnd w:id="41"/>
      <w:bookmarkEnd w:id="46"/>
    </w:p>
    <w:p w14:paraId="6D57BAD1" w14:textId="31EC938A" w:rsidR="00897CD2" w:rsidRDefault="00897CD2" w:rsidP="00897CD2">
      <w:pPr>
        <w:shd w:val="clear" w:color="auto" w:fill="FFFFFF"/>
        <w:spacing w:after="120"/>
        <w:ind w:firstLine="709"/>
        <w:jc w:val="both"/>
        <w:rPr>
          <w:rFonts w:ascii="Verdana" w:eastAsia="Times New Roman" w:hAnsi="Verdana" w:cs="Arial"/>
          <w:bCs/>
          <w:lang w:eastAsia="es-CO"/>
        </w:rPr>
      </w:pPr>
      <w:r>
        <w:rPr>
          <w:rFonts w:ascii="Verdana" w:eastAsia="Times New Roman" w:hAnsi="Verdana" w:cs="Arial"/>
          <w:bCs/>
          <w:lang w:eastAsia="es-CO"/>
        </w:rPr>
        <w:t>Por último</w:t>
      </w:r>
      <w:r w:rsidRPr="004F76F1">
        <w:rPr>
          <w:rFonts w:ascii="Verdana" w:eastAsia="Times New Roman" w:hAnsi="Verdana" w:cs="Arial"/>
          <w:bCs/>
          <w:lang w:eastAsia="es-CO"/>
        </w:rPr>
        <w:t xml:space="preserve">, la Agencia advierte que para el año 2026 están programadas las elecciones para elegir miembros del Congreso de la República, así como las jornadas para la elección del </w:t>
      </w:r>
      <w:proofErr w:type="gramStart"/>
      <w:r w:rsidRPr="004F76F1">
        <w:rPr>
          <w:rFonts w:ascii="Verdana" w:eastAsia="Times New Roman" w:hAnsi="Verdana" w:cs="Arial"/>
          <w:bCs/>
          <w:lang w:eastAsia="es-CO"/>
        </w:rPr>
        <w:t>Presidente</w:t>
      </w:r>
      <w:proofErr w:type="gramEnd"/>
      <w:r w:rsidRPr="004F76F1">
        <w:rPr>
          <w:rFonts w:ascii="Verdana" w:eastAsia="Times New Roman" w:hAnsi="Verdana" w:cs="Arial"/>
          <w:bCs/>
          <w:lang w:eastAsia="es-CO"/>
        </w:rPr>
        <w:t xml:space="preserve"> y </w:t>
      </w:r>
      <w:proofErr w:type="gramStart"/>
      <w:r w:rsidRPr="004F76F1">
        <w:rPr>
          <w:rFonts w:ascii="Verdana" w:eastAsia="Times New Roman" w:hAnsi="Verdana" w:cs="Arial"/>
          <w:bCs/>
          <w:lang w:eastAsia="es-CO"/>
        </w:rPr>
        <w:t>Vicepresidente</w:t>
      </w:r>
      <w:proofErr w:type="gramEnd"/>
      <w:r w:rsidRPr="004F76F1">
        <w:rPr>
          <w:rFonts w:ascii="Verdana" w:eastAsia="Times New Roman" w:hAnsi="Verdana" w:cs="Arial"/>
          <w:bCs/>
          <w:lang w:eastAsia="es-CO"/>
        </w:rPr>
        <w:t xml:space="preserve"> de la República. Las primeras para el 8 de marzo de 2026</w:t>
      </w:r>
      <w:r w:rsidRPr="004F76F1">
        <w:rPr>
          <w:rStyle w:val="Refdenotaalpie"/>
          <w:rFonts w:ascii="Verdana" w:eastAsia="Times New Roman" w:hAnsi="Verdana" w:cs="Arial"/>
          <w:bCs/>
          <w:lang w:eastAsia="es-CO"/>
        </w:rPr>
        <w:footnoteReference w:id="56"/>
      </w:r>
      <w:r w:rsidRPr="004F76F1">
        <w:rPr>
          <w:rFonts w:ascii="Verdana" w:eastAsia="Times New Roman" w:hAnsi="Verdana" w:cs="Arial"/>
          <w:bCs/>
          <w:lang w:eastAsia="es-CO"/>
        </w:rPr>
        <w:t xml:space="preserve"> y las segundas para el 31 de mayo del mismo año</w:t>
      </w:r>
      <w:r w:rsidRPr="004F76F1">
        <w:rPr>
          <w:rStyle w:val="Refdenotaalpie"/>
          <w:rFonts w:ascii="Verdana" w:eastAsia="Times New Roman" w:hAnsi="Verdana" w:cs="Arial"/>
          <w:bCs/>
          <w:lang w:eastAsia="es-CO"/>
        </w:rPr>
        <w:footnoteReference w:id="57"/>
      </w:r>
      <w:r w:rsidRPr="004F76F1">
        <w:rPr>
          <w:rFonts w:ascii="Verdana" w:eastAsia="Times New Roman" w:hAnsi="Verdana" w:cs="Arial"/>
          <w:bCs/>
          <w:lang w:eastAsia="es-CO"/>
        </w:rPr>
        <w:t>, respectivamente. De esta manera, durante el periodo preelectoral de elección al Congreso de la República aplicará, únicamente, la prohibición del parágrafo 38</w:t>
      </w:r>
      <w:r>
        <w:rPr>
          <w:rFonts w:ascii="Verdana" w:eastAsia="Times New Roman" w:hAnsi="Verdana" w:cs="Arial"/>
          <w:bCs/>
          <w:lang w:eastAsia="es-CO"/>
        </w:rPr>
        <w:t>, la cual inicia a partir del 8 de noviembre de 2025 y se extenderá hasta el mismo día de la jornada electoral</w:t>
      </w:r>
      <w:r w:rsidRPr="004F76F1">
        <w:rPr>
          <w:rFonts w:ascii="Verdana" w:eastAsia="Times New Roman" w:hAnsi="Verdana" w:cs="Arial"/>
          <w:bCs/>
          <w:lang w:eastAsia="es-CO"/>
        </w:rPr>
        <w:t xml:space="preserve">. </w:t>
      </w:r>
      <w:r>
        <w:rPr>
          <w:rFonts w:ascii="Verdana" w:eastAsia="Times New Roman" w:hAnsi="Verdana" w:cs="Arial"/>
          <w:bCs/>
          <w:lang w:eastAsia="es-CO"/>
        </w:rPr>
        <w:t>Por su parte, respecto d</w:t>
      </w:r>
      <w:r w:rsidRPr="004F76F1">
        <w:rPr>
          <w:rFonts w:ascii="Verdana" w:eastAsia="Times New Roman" w:hAnsi="Verdana" w:cs="Arial"/>
          <w:bCs/>
          <w:lang w:eastAsia="es-CO"/>
        </w:rPr>
        <w:t xml:space="preserve">el periodo preelectoral para la elección de </w:t>
      </w:r>
      <w:proofErr w:type="gramStart"/>
      <w:r w:rsidRPr="004F76F1">
        <w:rPr>
          <w:rFonts w:ascii="Verdana" w:eastAsia="Times New Roman" w:hAnsi="Verdana" w:cs="Arial"/>
          <w:bCs/>
          <w:lang w:eastAsia="es-CO"/>
        </w:rPr>
        <w:t>Presidente</w:t>
      </w:r>
      <w:proofErr w:type="gramEnd"/>
      <w:r w:rsidRPr="004F76F1">
        <w:rPr>
          <w:rFonts w:ascii="Verdana" w:eastAsia="Times New Roman" w:hAnsi="Verdana" w:cs="Arial"/>
          <w:bCs/>
          <w:lang w:eastAsia="es-CO"/>
        </w:rPr>
        <w:t xml:space="preserve"> y </w:t>
      </w:r>
      <w:proofErr w:type="gramStart"/>
      <w:r w:rsidRPr="004F76F1">
        <w:rPr>
          <w:rFonts w:ascii="Verdana" w:eastAsia="Times New Roman" w:hAnsi="Verdana" w:cs="Arial"/>
          <w:bCs/>
          <w:lang w:eastAsia="es-CO"/>
        </w:rPr>
        <w:t>Vicepresidente</w:t>
      </w:r>
      <w:proofErr w:type="gramEnd"/>
      <w:r w:rsidRPr="004F76F1">
        <w:rPr>
          <w:rFonts w:ascii="Verdana" w:eastAsia="Times New Roman" w:hAnsi="Verdana" w:cs="Arial"/>
          <w:bCs/>
          <w:lang w:eastAsia="es-CO"/>
        </w:rPr>
        <w:t>, deberán aplicarse ambas restricciones, es decir, tanto la del parágrafo del artículo 38 como la del artículo 33 de la Ley de Garantías</w:t>
      </w:r>
      <w:r>
        <w:rPr>
          <w:rFonts w:ascii="Verdana" w:eastAsia="Times New Roman" w:hAnsi="Verdana" w:cs="Arial"/>
          <w:bCs/>
          <w:lang w:eastAsia="es-CO"/>
        </w:rPr>
        <w:t xml:space="preserve"> y la restricción iniciará a partir del 31 de enero de 2026 hasta el día de la jornada electoral, empero, si procede</w:t>
      </w:r>
      <w:r w:rsidR="00EE57A6">
        <w:rPr>
          <w:rFonts w:ascii="Verdana" w:eastAsia="Times New Roman" w:hAnsi="Verdana" w:cs="Arial"/>
          <w:bCs/>
          <w:lang w:eastAsia="es-CO"/>
        </w:rPr>
        <w:t>n</w:t>
      </w:r>
      <w:r>
        <w:rPr>
          <w:rFonts w:ascii="Verdana" w:eastAsia="Times New Roman" w:hAnsi="Verdana" w:cs="Arial"/>
          <w:bCs/>
          <w:lang w:eastAsia="es-CO"/>
        </w:rPr>
        <w:t xml:space="preserve"> las elecciones </w:t>
      </w:r>
      <w:r>
        <w:rPr>
          <w:rFonts w:ascii="Verdana" w:eastAsia="Times New Roman" w:hAnsi="Verdana" w:cs="Arial"/>
          <w:bCs/>
          <w:lang w:eastAsia="es-CO"/>
        </w:rPr>
        <w:lastRenderedPageBreak/>
        <w:t>de segunda vuelta electoral, la restricción se ampliará hasta el 21 de junio de 2026</w:t>
      </w:r>
      <w:r w:rsidRPr="004F76F1">
        <w:rPr>
          <w:rFonts w:ascii="Verdana" w:eastAsia="Times New Roman" w:hAnsi="Verdana" w:cs="Arial"/>
          <w:bCs/>
          <w:lang w:eastAsia="es-CO"/>
        </w:rPr>
        <w:t xml:space="preserve">. </w:t>
      </w:r>
    </w:p>
    <w:p w14:paraId="59A6C2C9" w14:textId="77777777" w:rsidR="00897CD2" w:rsidRDefault="00897CD2" w:rsidP="00897CD2">
      <w:pPr>
        <w:shd w:val="clear" w:color="auto" w:fill="FFFFFF"/>
        <w:spacing w:after="120"/>
        <w:ind w:firstLine="709"/>
        <w:jc w:val="both"/>
        <w:rPr>
          <w:rFonts w:ascii="Verdana" w:eastAsia="Times New Roman" w:hAnsi="Verdana" w:cs="Arial"/>
          <w:bCs/>
          <w:lang w:eastAsia="es-CO"/>
        </w:rPr>
      </w:pPr>
      <w:r>
        <w:rPr>
          <w:rFonts w:ascii="Verdana" w:eastAsia="Times New Roman" w:hAnsi="Verdana" w:cs="Arial"/>
          <w:bCs/>
          <w:lang w:eastAsia="es-CO"/>
        </w:rPr>
        <w:t>Por último, a</w:t>
      </w:r>
      <w:r w:rsidRPr="3A5322BA">
        <w:rPr>
          <w:rFonts w:ascii="Verdana" w:eastAsia="Times New Roman" w:hAnsi="Verdana" w:cs="Arial"/>
          <w:color w:val="000000" w:themeColor="text1"/>
          <w:lang w:val="es-ES" w:eastAsia="es-ES"/>
        </w:rPr>
        <w:t xml:space="preserve">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6D8B715C" w14:textId="77777777" w:rsidR="00897CD2" w:rsidRPr="00A06828" w:rsidRDefault="00897CD2" w:rsidP="00897CD2">
      <w:pPr>
        <w:shd w:val="clear" w:color="auto" w:fill="FFFFFF"/>
        <w:spacing w:after="0" w:line="240" w:lineRule="auto"/>
        <w:ind w:firstLine="709"/>
        <w:jc w:val="both"/>
        <w:rPr>
          <w:rFonts w:ascii="Verdana" w:eastAsia="Times New Roman" w:hAnsi="Verdana" w:cs="Arial"/>
          <w:bCs/>
          <w:lang w:eastAsia="es-CO"/>
        </w:rPr>
      </w:pPr>
    </w:p>
    <w:bookmarkEnd w:id="13"/>
    <w:bookmarkEnd w:id="17"/>
    <w:p w14:paraId="1988B62F" w14:textId="77777777" w:rsidR="00897CD2" w:rsidRPr="001F283D" w:rsidRDefault="00897CD2" w:rsidP="00897CD2">
      <w:pPr>
        <w:tabs>
          <w:tab w:val="left" w:pos="142"/>
          <w:tab w:val="left" w:pos="284"/>
        </w:tabs>
        <w:spacing w:after="0" w:line="240"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11"/>
    <w:p w14:paraId="2CC1E1F2" w14:textId="77777777" w:rsidR="00897CD2" w:rsidRDefault="00897CD2" w:rsidP="00897CD2">
      <w:pPr>
        <w:widowControl w:val="0"/>
        <w:autoSpaceDE w:val="0"/>
        <w:autoSpaceDN w:val="0"/>
        <w:spacing w:after="0" w:line="240" w:lineRule="auto"/>
        <w:jc w:val="both"/>
        <w:rPr>
          <w:rFonts w:ascii="Verdana" w:hAnsi="Verdana" w:cs="Arial"/>
        </w:rPr>
      </w:pPr>
    </w:p>
    <w:p w14:paraId="2505D596" w14:textId="77777777" w:rsidR="00897CD2" w:rsidRPr="00593A5F" w:rsidRDefault="00897CD2" w:rsidP="00897CD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97CD2" w:rsidRPr="002407CE" w14:paraId="01ACABD2" w14:textId="77777777" w:rsidTr="006D4C4F">
        <w:trPr>
          <w:trHeight w:val="870"/>
          <w:jc w:val="center"/>
        </w:trPr>
        <w:tc>
          <w:tcPr>
            <w:tcW w:w="8647" w:type="dxa"/>
          </w:tcPr>
          <w:p w14:paraId="6BDF98B5"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Constitución Política de Colombia. Artículo 113. </w:t>
            </w:r>
          </w:p>
          <w:p w14:paraId="7BF240F3" w14:textId="77777777" w:rsidR="00897CD2" w:rsidRPr="004E07D0" w:rsidRDefault="00897CD2" w:rsidP="006D4C4F">
            <w:pPr>
              <w:pStyle w:val="NormalWeb"/>
              <w:spacing w:before="0" w:beforeAutospacing="0" w:after="0" w:afterAutospacing="0"/>
              <w:ind w:left="357"/>
              <w:jc w:val="both"/>
              <w:rPr>
                <w:rFonts w:ascii="Verdana" w:hAnsi="Verdana" w:cs="Arial"/>
                <w:color w:val="000000" w:themeColor="text1"/>
                <w:sz w:val="22"/>
                <w:szCs w:val="22"/>
              </w:rPr>
            </w:pPr>
          </w:p>
          <w:p w14:paraId="17B2AB62"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Ley 80 de 1993. Artículos 1, 2. </w:t>
            </w:r>
          </w:p>
          <w:p w14:paraId="3C6580E1" w14:textId="77777777" w:rsidR="00897CD2" w:rsidRPr="004E07D0" w:rsidRDefault="00897CD2" w:rsidP="006D4C4F">
            <w:pPr>
              <w:pStyle w:val="NormalWeb"/>
              <w:spacing w:before="0" w:beforeAutospacing="0" w:after="0" w:afterAutospacing="0"/>
              <w:jc w:val="both"/>
              <w:rPr>
                <w:rFonts w:ascii="Verdana" w:hAnsi="Verdana" w:cs="Arial"/>
                <w:color w:val="000000" w:themeColor="text1"/>
                <w:sz w:val="22"/>
                <w:szCs w:val="22"/>
              </w:rPr>
            </w:pPr>
          </w:p>
          <w:p w14:paraId="1D0E0D02"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Decreto 1082 de 2015. Artículos </w:t>
            </w:r>
            <w:r w:rsidRPr="004E07D0">
              <w:rPr>
                <w:rFonts w:ascii="Verdana" w:hAnsi="Verdana" w:cs="Arial"/>
                <w:color w:val="000000" w:themeColor="text1"/>
                <w:sz w:val="22"/>
                <w:szCs w:val="22"/>
                <w:lang w:val="es-ES" w:eastAsia="es-ES_tradnl"/>
              </w:rPr>
              <w:t>2.2.1.1.1.3.1., 2.2.1.2.1.4.4.</w:t>
            </w:r>
          </w:p>
          <w:p w14:paraId="3F15D454" w14:textId="77777777" w:rsidR="00897CD2" w:rsidRPr="004E07D0" w:rsidRDefault="00897CD2" w:rsidP="006D4C4F">
            <w:pPr>
              <w:pStyle w:val="NormalWeb"/>
              <w:spacing w:before="0" w:beforeAutospacing="0" w:after="0" w:afterAutospacing="0"/>
              <w:jc w:val="both"/>
              <w:rPr>
                <w:rFonts w:ascii="Verdana" w:hAnsi="Verdana" w:cs="Arial"/>
                <w:color w:val="000000" w:themeColor="text1"/>
                <w:sz w:val="22"/>
                <w:szCs w:val="22"/>
              </w:rPr>
            </w:pPr>
          </w:p>
          <w:p w14:paraId="437F62BF"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lang w:val="es-ES" w:eastAsia="es-ES_tradnl"/>
              </w:rPr>
              <w:t>Ley 1150 de 2007. Artículos 2, 10, 14 y 24.</w:t>
            </w:r>
          </w:p>
          <w:p w14:paraId="08FC1720" w14:textId="77777777" w:rsidR="00897CD2" w:rsidRPr="004E07D0" w:rsidRDefault="00897CD2" w:rsidP="006D4C4F">
            <w:pPr>
              <w:pStyle w:val="Prrafodelista"/>
              <w:rPr>
                <w:rFonts w:ascii="Verdana" w:hAnsi="Verdana" w:cs="Arial"/>
                <w:color w:val="000000" w:themeColor="text1"/>
              </w:rPr>
            </w:pPr>
          </w:p>
          <w:p w14:paraId="4A0FE304"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Ley 60 de 1981. Artículo 8.</w:t>
            </w:r>
          </w:p>
          <w:p w14:paraId="5E84F9BA" w14:textId="77777777" w:rsidR="00897CD2" w:rsidRPr="004E07D0" w:rsidRDefault="00897CD2" w:rsidP="006D4C4F">
            <w:pPr>
              <w:pStyle w:val="Prrafodelista"/>
              <w:rPr>
                <w:rFonts w:ascii="Verdana" w:hAnsi="Verdana" w:cs="Arial"/>
                <w:color w:val="000000" w:themeColor="text1"/>
              </w:rPr>
            </w:pPr>
          </w:p>
          <w:p w14:paraId="2E6D3647"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Decreto 2718 de 1984. Artículo 5.</w:t>
            </w:r>
          </w:p>
          <w:p w14:paraId="2EC8163D" w14:textId="77777777" w:rsidR="00897CD2" w:rsidRPr="004E07D0" w:rsidRDefault="00897CD2" w:rsidP="006D4C4F">
            <w:pPr>
              <w:pStyle w:val="Prrafodelista"/>
              <w:rPr>
                <w:rFonts w:ascii="Verdana" w:hAnsi="Verdana" w:cs="Arial"/>
                <w:color w:val="000000" w:themeColor="text1"/>
              </w:rPr>
            </w:pPr>
          </w:p>
          <w:p w14:paraId="4D09F0D6"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Resolución 0952 del 6 de julio de 2022. Artículo 1. </w:t>
            </w:r>
          </w:p>
          <w:p w14:paraId="116910F2" w14:textId="77777777" w:rsidR="00897CD2" w:rsidRPr="004E07D0" w:rsidRDefault="00897CD2" w:rsidP="006D4C4F">
            <w:pPr>
              <w:pStyle w:val="Prrafodelista"/>
              <w:rPr>
                <w:rFonts w:ascii="Verdana" w:hAnsi="Verdana" w:cs="Arial"/>
                <w:color w:val="000000" w:themeColor="text1"/>
              </w:rPr>
            </w:pPr>
          </w:p>
          <w:p w14:paraId="06BBC72B"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Código Civil. Artículo 1741. </w:t>
            </w:r>
          </w:p>
          <w:p w14:paraId="6CD47963" w14:textId="77777777" w:rsidR="00897CD2" w:rsidRPr="004E07D0" w:rsidRDefault="00897CD2" w:rsidP="006D4C4F">
            <w:pPr>
              <w:pStyle w:val="Prrafodelista"/>
              <w:rPr>
                <w:rFonts w:ascii="Verdana" w:hAnsi="Verdana" w:cs="Arial"/>
                <w:color w:val="000000" w:themeColor="text1"/>
              </w:rPr>
            </w:pPr>
          </w:p>
          <w:p w14:paraId="2E41B0B8"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Código de Comercio. Artículo 842. </w:t>
            </w:r>
          </w:p>
          <w:p w14:paraId="29255019" w14:textId="77777777" w:rsidR="00897CD2" w:rsidRPr="004E07D0" w:rsidRDefault="00897CD2" w:rsidP="006D4C4F">
            <w:pPr>
              <w:pStyle w:val="Prrafodelista"/>
              <w:rPr>
                <w:rFonts w:ascii="Verdana" w:hAnsi="Verdana" w:cs="Arial"/>
                <w:color w:val="000000" w:themeColor="text1"/>
              </w:rPr>
            </w:pPr>
          </w:p>
          <w:p w14:paraId="177E8CFA"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Ley 996 de 2005. Artículo 33 y 38. </w:t>
            </w:r>
          </w:p>
          <w:p w14:paraId="6CF307A4" w14:textId="77777777" w:rsidR="00897CD2" w:rsidRPr="004E07D0" w:rsidRDefault="00897CD2" w:rsidP="006D4C4F">
            <w:pPr>
              <w:pStyle w:val="Prrafodelista"/>
              <w:rPr>
                <w:rFonts w:ascii="Verdana" w:hAnsi="Verdana" w:cs="Arial"/>
                <w:color w:val="000000" w:themeColor="text1"/>
              </w:rPr>
            </w:pPr>
          </w:p>
          <w:p w14:paraId="427920F4"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Ley 489 de 1998. Artículo 95.</w:t>
            </w:r>
          </w:p>
          <w:p w14:paraId="3BF20C94" w14:textId="77777777" w:rsidR="00897CD2" w:rsidRPr="004E07D0" w:rsidRDefault="00897CD2" w:rsidP="006D4C4F">
            <w:pPr>
              <w:pStyle w:val="NormalWeb"/>
              <w:spacing w:before="0" w:beforeAutospacing="0" w:after="0" w:afterAutospacing="0"/>
              <w:jc w:val="both"/>
              <w:rPr>
                <w:rFonts w:ascii="Verdana" w:hAnsi="Verdana" w:cs="Arial"/>
                <w:color w:val="000000" w:themeColor="text1"/>
                <w:sz w:val="22"/>
                <w:szCs w:val="22"/>
              </w:rPr>
            </w:pPr>
          </w:p>
          <w:p w14:paraId="4FD95EBC"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Consejo de Estado Sala de lo Contencioso Administrativo. Sección Tercera. Sentencia del 19 de agosto de 2004. </w:t>
            </w:r>
            <w:proofErr w:type="spellStart"/>
            <w:r w:rsidRPr="004E07D0">
              <w:rPr>
                <w:rFonts w:ascii="Verdana" w:hAnsi="Verdana" w:cs="Arial"/>
                <w:color w:val="000000" w:themeColor="text1"/>
                <w:sz w:val="22"/>
                <w:szCs w:val="22"/>
              </w:rPr>
              <w:t>Exp</w:t>
            </w:r>
            <w:proofErr w:type="spellEnd"/>
            <w:r w:rsidRPr="004E07D0">
              <w:rPr>
                <w:rFonts w:ascii="Verdana" w:hAnsi="Verdana" w:cs="Arial"/>
                <w:color w:val="000000" w:themeColor="text1"/>
                <w:sz w:val="22"/>
                <w:szCs w:val="22"/>
              </w:rPr>
              <w:t>. 12342. C.P. Ramiro Saavedra Becerra.</w:t>
            </w:r>
          </w:p>
          <w:p w14:paraId="61142B63" w14:textId="77777777" w:rsidR="00897CD2" w:rsidRPr="004E07D0" w:rsidRDefault="00897CD2" w:rsidP="006D4C4F">
            <w:pPr>
              <w:pStyle w:val="NormalWeb"/>
              <w:spacing w:before="0" w:beforeAutospacing="0" w:after="0" w:afterAutospacing="0"/>
              <w:jc w:val="both"/>
              <w:rPr>
                <w:rFonts w:ascii="Verdana" w:hAnsi="Verdana" w:cs="Arial"/>
                <w:color w:val="000000" w:themeColor="text1"/>
                <w:sz w:val="22"/>
                <w:szCs w:val="22"/>
              </w:rPr>
            </w:pPr>
          </w:p>
          <w:p w14:paraId="5DD14DAE"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lastRenderedPageBreak/>
              <w:t xml:space="preserve">Consejo de Estado. Sala de Servicio y Consulta Civil. Concepto del 11 de febrero de 1994. Expediente 583. C.P: Roberto Suárez Franco. </w:t>
            </w:r>
          </w:p>
          <w:p w14:paraId="419DE873" w14:textId="77777777" w:rsidR="00897CD2" w:rsidRPr="004E07D0" w:rsidRDefault="00897CD2" w:rsidP="006D4C4F">
            <w:pPr>
              <w:pStyle w:val="NormalWeb"/>
              <w:spacing w:before="0" w:beforeAutospacing="0" w:after="0" w:afterAutospacing="0"/>
              <w:jc w:val="both"/>
              <w:rPr>
                <w:rFonts w:ascii="Verdana" w:hAnsi="Verdana" w:cs="Arial"/>
                <w:color w:val="000000" w:themeColor="text1"/>
                <w:sz w:val="22"/>
                <w:szCs w:val="22"/>
              </w:rPr>
            </w:pPr>
          </w:p>
          <w:p w14:paraId="61EB4E41"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Consejo de Estado. Sala de Servicio y Consulta Civil. Concepto 2 de diciembre de 2008. Radicado: Radicación número: 11001-03-06-000-2008-00076-00 (1924). C.P: Enrique José Arboleda Perdomo. </w:t>
            </w:r>
          </w:p>
          <w:p w14:paraId="1B260296" w14:textId="77777777" w:rsidR="00897CD2" w:rsidRPr="004E07D0" w:rsidRDefault="00897CD2" w:rsidP="006D4C4F">
            <w:pPr>
              <w:pStyle w:val="Prrafodelista"/>
              <w:rPr>
                <w:rFonts w:ascii="Verdana" w:hAnsi="Verdana" w:cs="Arial"/>
                <w:color w:val="000000" w:themeColor="text1"/>
              </w:rPr>
            </w:pPr>
          </w:p>
          <w:p w14:paraId="1C3DE858"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Consejo de Estado, Sala de lo Contencioso Administrativo, Sección Primera. Sentencia de 3 de marzo de 2005, expediente número 2004-00823-01(PI).</w:t>
            </w:r>
          </w:p>
          <w:p w14:paraId="0E07461F" w14:textId="77777777" w:rsidR="00897CD2" w:rsidRPr="004E07D0" w:rsidRDefault="00897CD2" w:rsidP="006D4C4F">
            <w:pPr>
              <w:pStyle w:val="Prrafodelista"/>
              <w:rPr>
                <w:rFonts w:ascii="Verdana" w:hAnsi="Verdana" w:cs="Arial"/>
                <w:color w:val="000000" w:themeColor="text1"/>
              </w:rPr>
            </w:pPr>
          </w:p>
          <w:p w14:paraId="4819D80C"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Consejo de Estado. Sala de lo Contencioso Administrativo. Sección Sentencia de 22 de enero de 2002, expediente número 2001-0148-01. </w:t>
            </w:r>
          </w:p>
          <w:p w14:paraId="22821476" w14:textId="77777777" w:rsidR="00897CD2" w:rsidRPr="004E07D0" w:rsidRDefault="00897CD2" w:rsidP="006D4C4F">
            <w:pPr>
              <w:pStyle w:val="NormalWeb"/>
              <w:spacing w:before="0" w:beforeAutospacing="0" w:after="0" w:afterAutospacing="0"/>
              <w:jc w:val="both"/>
              <w:rPr>
                <w:rFonts w:ascii="Verdana" w:hAnsi="Verdana" w:cs="Arial"/>
                <w:color w:val="000000" w:themeColor="text1"/>
                <w:sz w:val="22"/>
                <w:szCs w:val="22"/>
              </w:rPr>
            </w:pPr>
          </w:p>
          <w:p w14:paraId="7357AD02" w14:textId="77777777" w:rsidR="00897CD2" w:rsidRPr="004E07D0" w:rsidRDefault="00897CD2" w:rsidP="006D4C4F">
            <w:pPr>
              <w:pStyle w:val="NormalWeb"/>
              <w:numPr>
                <w:ilvl w:val="0"/>
                <w:numId w:val="17"/>
              </w:numPr>
              <w:spacing w:before="0" w:beforeAutospacing="0" w:after="0" w:afterAutospacing="0"/>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Consejo de Estado, Sala de Consulta y Servicio Civil de fecha 24 de julio de 2013, radicado 2166, </w:t>
            </w:r>
            <w:proofErr w:type="gramStart"/>
            <w:r w:rsidRPr="004E07D0">
              <w:rPr>
                <w:rFonts w:ascii="Verdana" w:hAnsi="Verdana" w:cs="Arial"/>
                <w:color w:val="000000" w:themeColor="text1"/>
                <w:sz w:val="22"/>
                <w:szCs w:val="22"/>
              </w:rPr>
              <w:t>Consejero</w:t>
            </w:r>
            <w:proofErr w:type="gramEnd"/>
            <w:r w:rsidRPr="004E07D0">
              <w:rPr>
                <w:rFonts w:ascii="Verdana" w:hAnsi="Verdana" w:cs="Arial"/>
                <w:color w:val="000000" w:themeColor="text1"/>
                <w:sz w:val="22"/>
                <w:szCs w:val="22"/>
              </w:rPr>
              <w:t xml:space="preserve"> Ponente: Álvaro </w:t>
            </w:r>
            <w:proofErr w:type="spellStart"/>
            <w:r w:rsidRPr="004E07D0">
              <w:rPr>
                <w:rFonts w:ascii="Verdana" w:hAnsi="Verdana" w:cs="Arial"/>
                <w:color w:val="000000" w:themeColor="text1"/>
                <w:sz w:val="22"/>
                <w:szCs w:val="22"/>
              </w:rPr>
              <w:t>Namén</w:t>
            </w:r>
            <w:proofErr w:type="spellEnd"/>
            <w:r w:rsidRPr="004E07D0">
              <w:rPr>
                <w:rFonts w:ascii="Verdana" w:hAnsi="Verdana" w:cs="Arial"/>
                <w:color w:val="000000" w:themeColor="text1"/>
                <w:sz w:val="22"/>
                <w:szCs w:val="22"/>
              </w:rPr>
              <w:t xml:space="preserve"> Vargas.  </w:t>
            </w:r>
          </w:p>
          <w:p w14:paraId="05952422" w14:textId="77777777" w:rsidR="00897CD2" w:rsidRPr="004E07D0" w:rsidRDefault="00897CD2" w:rsidP="006D4C4F">
            <w:pPr>
              <w:pStyle w:val="Prrafodelista"/>
              <w:rPr>
                <w:rFonts w:ascii="Verdana" w:hAnsi="Verdana" w:cs="Arial"/>
                <w:color w:val="000000" w:themeColor="text1"/>
              </w:rPr>
            </w:pPr>
          </w:p>
          <w:p w14:paraId="4597F050" w14:textId="77777777" w:rsidR="00897CD2" w:rsidRPr="004E07D0" w:rsidRDefault="00897CD2" w:rsidP="006D4C4F">
            <w:pPr>
              <w:pStyle w:val="NormalWeb"/>
              <w:numPr>
                <w:ilvl w:val="0"/>
                <w:numId w:val="17"/>
              </w:numPr>
              <w:spacing w:before="0" w:beforeAutospacing="0" w:after="0" w:afterAutospacing="0"/>
              <w:jc w:val="both"/>
              <w:rPr>
                <w:rFonts w:ascii="Verdana" w:hAnsi="Verdana" w:cs="Arial"/>
                <w:color w:val="000000" w:themeColor="text1"/>
                <w:sz w:val="22"/>
                <w:szCs w:val="22"/>
              </w:rPr>
            </w:pPr>
            <w:r w:rsidRPr="004E07D0">
              <w:rPr>
                <w:rFonts w:ascii="Verdana" w:hAnsi="Verdana" w:cs="Arial"/>
                <w:color w:val="000000" w:themeColor="text1"/>
                <w:sz w:val="22"/>
                <w:szCs w:val="22"/>
              </w:rPr>
              <w:t>Consejo de Estado. Sala de Consulta y Servicio Civil. Concepto del 17 de febrero de 2015. C.P. William Zambrano Cetina. Radicación No. 11001-03-06-000-2015-00164-00 (2269).</w:t>
            </w:r>
          </w:p>
          <w:p w14:paraId="70EAFD3C" w14:textId="77777777" w:rsidR="00897CD2" w:rsidRPr="004E07D0" w:rsidRDefault="00897CD2" w:rsidP="006D4C4F">
            <w:pPr>
              <w:pStyle w:val="Prrafodelista"/>
              <w:rPr>
                <w:rFonts w:ascii="Verdana" w:hAnsi="Verdana" w:cs="Arial"/>
                <w:color w:val="000000" w:themeColor="text1"/>
              </w:rPr>
            </w:pPr>
          </w:p>
          <w:p w14:paraId="0201CE47" w14:textId="77777777" w:rsidR="00897CD2" w:rsidRPr="004E07D0" w:rsidRDefault="00897CD2" w:rsidP="006D4C4F">
            <w:pPr>
              <w:pStyle w:val="NormalWeb"/>
              <w:numPr>
                <w:ilvl w:val="0"/>
                <w:numId w:val="17"/>
              </w:numPr>
              <w:spacing w:before="0" w:beforeAutospacing="0" w:after="0" w:afterAutospacing="0"/>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Consejo de Estado. Sala de Consulta y Servicio Civil. Concepto del 2 de septiembre de 2013. Radicación número: 11001-03-06-000-2013-00412-00 (2168). Consejero Ponente: Álvaro </w:t>
            </w:r>
            <w:proofErr w:type="spellStart"/>
            <w:r w:rsidRPr="004E07D0">
              <w:rPr>
                <w:rFonts w:ascii="Verdana" w:hAnsi="Verdana" w:cs="Arial"/>
                <w:color w:val="000000" w:themeColor="text1"/>
                <w:sz w:val="22"/>
                <w:szCs w:val="22"/>
              </w:rPr>
              <w:t>Namén</w:t>
            </w:r>
            <w:proofErr w:type="spellEnd"/>
            <w:r w:rsidRPr="004E07D0">
              <w:rPr>
                <w:rFonts w:ascii="Verdana" w:hAnsi="Verdana" w:cs="Arial"/>
                <w:color w:val="000000" w:themeColor="text1"/>
                <w:sz w:val="22"/>
                <w:szCs w:val="22"/>
              </w:rPr>
              <w:t xml:space="preserve"> Vargas.</w:t>
            </w:r>
          </w:p>
          <w:p w14:paraId="1A53276D" w14:textId="77777777" w:rsidR="00897CD2" w:rsidRPr="004E07D0" w:rsidRDefault="00897CD2" w:rsidP="006D4C4F">
            <w:pPr>
              <w:pStyle w:val="Prrafodelista"/>
              <w:rPr>
                <w:rFonts w:ascii="Verdana" w:hAnsi="Verdana" w:cs="Arial"/>
                <w:color w:val="000000" w:themeColor="text1"/>
              </w:rPr>
            </w:pPr>
          </w:p>
          <w:p w14:paraId="031C4BD5" w14:textId="77777777" w:rsidR="00897CD2" w:rsidRPr="004E07D0" w:rsidRDefault="00897CD2" w:rsidP="006D4C4F">
            <w:pPr>
              <w:pStyle w:val="NormalWeb"/>
              <w:numPr>
                <w:ilvl w:val="0"/>
                <w:numId w:val="17"/>
              </w:numPr>
              <w:spacing w:before="0" w:beforeAutospacing="0" w:after="0" w:afterAutospacing="0"/>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Consejo de Estado. Sala de Consulta y Servicio Civil, Concepto de 8 de mayo de 2018. Radicación Número: 11001-03-06-000-2018-00095-00 (2382). Consejero Ponente: Álvaro </w:t>
            </w:r>
            <w:proofErr w:type="spellStart"/>
            <w:r w:rsidRPr="004E07D0">
              <w:rPr>
                <w:rFonts w:ascii="Verdana" w:hAnsi="Verdana" w:cs="Arial"/>
                <w:color w:val="000000" w:themeColor="text1"/>
                <w:sz w:val="22"/>
                <w:szCs w:val="22"/>
              </w:rPr>
              <w:t>Namén</w:t>
            </w:r>
            <w:proofErr w:type="spellEnd"/>
            <w:r w:rsidRPr="004E07D0">
              <w:rPr>
                <w:rFonts w:ascii="Verdana" w:hAnsi="Verdana" w:cs="Arial"/>
                <w:color w:val="000000" w:themeColor="text1"/>
                <w:sz w:val="22"/>
                <w:szCs w:val="22"/>
              </w:rPr>
              <w:t xml:space="preserve"> Vargas.</w:t>
            </w:r>
          </w:p>
          <w:p w14:paraId="6F95DC94" w14:textId="77777777" w:rsidR="00897CD2" w:rsidRPr="004E07D0" w:rsidRDefault="00897CD2" w:rsidP="006D4C4F">
            <w:pPr>
              <w:pStyle w:val="NormalWeb"/>
              <w:spacing w:before="0" w:beforeAutospacing="0" w:after="0" w:afterAutospacing="0"/>
              <w:jc w:val="both"/>
              <w:rPr>
                <w:rFonts w:ascii="Verdana" w:hAnsi="Verdana" w:cs="Arial"/>
                <w:color w:val="000000" w:themeColor="text1"/>
                <w:sz w:val="22"/>
                <w:szCs w:val="22"/>
              </w:rPr>
            </w:pPr>
          </w:p>
          <w:p w14:paraId="633C0E6E" w14:textId="77777777" w:rsidR="00897CD2" w:rsidRPr="004E07D0" w:rsidRDefault="00897CD2" w:rsidP="006D4C4F">
            <w:pPr>
              <w:pStyle w:val="NormalWeb"/>
              <w:numPr>
                <w:ilvl w:val="0"/>
                <w:numId w:val="17"/>
              </w:numPr>
              <w:spacing w:before="0" w:beforeAutospacing="0" w:after="0" w:afterAutospacing="0"/>
              <w:jc w:val="both"/>
              <w:rPr>
                <w:rFonts w:ascii="Verdana" w:hAnsi="Verdana" w:cs="Arial"/>
                <w:color w:val="000000" w:themeColor="text1"/>
                <w:sz w:val="22"/>
                <w:szCs w:val="22"/>
              </w:rPr>
            </w:pPr>
            <w:r w:rsidRPr="004E07D0">
              <w:rPr>
                <w:rFonts w:ascii="Verdana" w:hAnsi="Verdana" w:cs="Arial"/>
                <w:color w:val="000000" w:themeColor="text1"/>
                <w:sz w:val="22"/>
                <w:szCs w:val="22"/>
              </w:rPr>
              <w:t>Consejo de Estado. Sala de Consulta y Servicio Civil. Concepto de 20 de febrero de 2006. Radicación Número: 11001-03-06-000-2006-00026-00 (1727). Consejero Ponente: Enrique José Arboleda Perdomo.</w:t>
            </w:r>
          </w:p>
          <w:p w14:paraId="12027BB0" w14:textId="77777777" w:rsidR="00897CD2" w:rsidRPr="004E07D0" w:rsidRDefault="00897CD2" w:rsidP="006D4C4F">
            <w:pPr>
              <w:pStyle w:val="Prrafodelista"/>
              <w:rPr>
                <w:rFonts w:ascii="Verdana" w:hAnsi="Verdana" w:cs="Arial"/>
                <w:color w:val="000000" w:themeColor="text1"/>
              </w:rPr>
            </w:pPr>
          </w:p>
          <w:p w14:paraId="044FCDBB" w14:textId="77777777" w:rsidR="00897CD2" w:rsidRPr="004E07D0" w:rsidRDefault="00897CD2" w:rsidP="006D4C4F">
            <w:pPr>
              <w:pStyle w:val="NormalWeb"/>
              <w:numPr>
                <w:ilvl w:val="0"/>
                <w:numId w:val="17"/>
              </w:numPr>
              <w:spacing w:before="0" w:beforeAutospacing="0" w:after="0" w:afterAutospacing="0"/>
              <w:jc w:val="both"/>
              <w:rPr>
                <w:rFonts w:ascii="Verdana" w:hAnsi="Verdana" w:cs="Arial"/>
                <w:color w:val="000000" w:themeColor="text1"/>
                <w:sz w:val="22"/>
                <w:szCs w:val="22"/>
              </w:rPr>
            </w:pPr>
            <w:r w:rsidRPr="004E07D0">
              <w:rPr>
                <w:rFonts w:ascii="Verdana" w:hAnsi="Verdana" w:cs="Arial"/>
                <w:color w:val="000000" w:themeColor="text1"/>
                <w:sz w:val="22"/>
                <w:szCs w:val="22"/>
              </w:rPr>
              <w:t>Consejo de Estado. Sala de Consulta y Servicio Civil. Concepto del 18 de febrero 2010. Rad. 11001-03-06-000-2010-00006-00 (1985). C.P. Enrique José Arboleda Perdomo.</w:t>
            </w:r>
          </w:p>
          <w:p w14:paraId="04943AA8" w14:textId="77777777" w:rsidR="00897CD2" w:rsidRPr="004E07D0" w:rsidRDefault="00897CD2" w:rsidP="006D4C4F">
            <w:pPr>
              <w:pStyle w:val="Prrafodelista"/>
              <w:rPr>
                <w:rFonts w:ascii="Verdana" w:hAnsi="Verdana" w:cs="Arial"/>
                <w:color w:val="000000" w:themeColor="text1"/>
              </w:rPr>
            </w:pPr>
          </w:p>
          <w:p w14:paraId="459AE997" w14:textId="77777777" w:rsidR="00897CD2" w:rsidRPr="004E07D0" w:rsidRDefault="00897CD2" w:rsidP="006D4C4F">
            <w:pPr>
              <w:pStyle w:val="Prrafodelista"/>
              <w:numPr>
                <w:ilvl w:val="0"/>
                <w:numId w:val="17"/>
              </w:numPr>
              <w:jc w:val="both"/>
              <w:rPr>
                <w:rFonts w:ascii="Verdana" w:eastAsia="Times New Roman" w:hAnsi="Verdana" w:cs="Arial"/>
                <w:color w:val="000000" w:themeColor="text1"/>
                <w:lang w:val="es-CO" w:eastAsia="es-CO"/>
              </w:rPr>
            </w:pPr>
            <w:r w:rsidRPr="004E07D0">
              <w:rPr>
                <w:rFonts w:ascii="Verdana" w:eastAsia="Times New Roman" w:hAnsi="Verdana" w:cs="Arial"/>
                <w:color w:val="000000" w:themeColor="text1"/>
                <w:lang w:val="es-CO" w:eastAsia="es-CO"/>
              </w:rPr>
              <w:t>Consejo de Estado. Sala de Consulta y Servicio Civil. Concepto de 20 de febrero de2006. Radicación 11001-03-06-000-2006-00023-00(1724). Consejero Ponente: Flavio Augusto Rodríguez Arce.</w:t>
            </w:r>
          </w:p>
          <w:p w14:paraId="63002649" w14:textId="77777777" w:rsidR="00897CD2" w:rsidRPr="004E07D0" w:rsidRDefault="00897CD2" w:rsidP="006D4C4F">
            <w:pPr>
              <w:pStyle w:val="Prrafodelista"/>
              <w:rPr>
                <w:rFonts w:ascii="Verdana" w:eastAsia="Times New Roman" w:hAnsi="Verdana" w:cs="Arial"/>
                <w:color w:val="000000" w:themeColor="text1"/>
                <w:lang w:val="es-CO" w:eastAsia="es-CO"/>
              </w:rPr>
            </w:pPr>
          </w:p>
          <w:p w14:paraId="17C9B5F5" w14:textId="77777777" w:rsidR="00897CD2" w:rsidRPr="004E07D0" w:rsidRDefault="00897CD2" w:rsidP="006D4C4F">
            <w:pPr>
              <w:pStyle w:val="Prrafodelista"/>
              <w:numPr>
                <w:ilvl w:val="0"/>
                <w:numId w:val="17"/>
              </w:numPr>
              <w:jc w:val="both"/>
              <w:rPr>
                <w:rFonts w:ascii="Verdana" w:eastAsia="Times New Roman" w:hAnsi="Verdana" w:cs="Arial"/>
                <w:color w:val="000000" w:themeColor="text1"/>
                <w:lang w:val="es-CO" w:eastAsia="es-CO"/>
              </w:rPr>
            </w:pPr>
            <w:r w:rsidRPr="004E07D0">
              <w:rPr>
                <w:rFonts w:ascii="Verdana" w:eastAsia="Times New Roman" w:hAnsi="Verdana" w:cs="Arial"/>
                <w:color w:val="000000" w:themeColor="text1"/>
                <w:lang w:val="es-CO" w:eastAsia="es-CO"/>
              </w:rPr>
              <w:t>Consejo de Estado. Sala de lo Contenciosos Administrativo. Sección Tercera. Sentencia del 23 de junio de 2010. Radicación No. 66001-23-31-000-1998-00261-01(17.860). Consejero Ponente: Mauricio Fajardo Gómez.</w:t>
            </w:r>
          </w:p>
          <w:p w14:paraId="30564003" w14:textId="77777777" w:rsidR="00897CD2" w:rsidRPr="004E07D0" w:rsidRDefault="00897CD2" w:rsidP="006D4C4F">
            <w:pPr>
              <w:pStyle w:val="Prrafodelista"/>
              <w:rPr>
                <w:rFonts w:ascii="Verdana" w:eastAsia="Times New Roman" w:hAnsi="Verdana" w:cs="Arial"/>
                <w:color w:val="000000" w:themeColor="text1"/>
                <w:lang w:val="es-CO" w:eastAsia="es-CO"/>
              </w:rPr>
            </w:pPr>
          </w:p>
          <w:p w14:paraId="77E27BEB" w14:textId="77777777" w:rsidR="00897CD2" w:rsidRPr="004E07D0" w:rsidRDefault="00897CD2" w:rsidP="006D4C4F">
            <w:pPr>
              <w:pStyle w:val="Prrafodelista"/>
              <w:numPr>
                <w:ilvl w:val="0"/>
                <w:numId w:val="17"/>
              </w:numPr>
              <w:jc w:val="both"/>
              <w:rPr>
                <w:rFonts w:ascii="Verdana" w:eastAsia="Times New Roman" w:hAnsi="Verdana" w:cs="Arial"/>
                <w:color w:val="000000" w:themeColor="text1"/>
                <w:lang w:val="es-CO" w:eastAsia="es-CO"/>
              </w:rPr>
            </w:pPr>
            <w:r w:rsidRPr="004E07D0">
              <w:rPr>
                <w:rFonts w:ascii="Verdana" w:eastAsia="Times New Roman" w:hAnsi="Verdana" w:cs="Arial"/>
                <w:color w:val="000000" w:themeColor="text1"/>
                <w:lang w:val="es-CO" w:eastAsia="es-CO"/>
              </w:rPr>
              <w:t xml:space="preserve">Consejo de Estado. Sala de lo Contencioso Administrativo. Sección Tercera. Subsección C. Sentencia del 11 de diciembre de 2019. </w:t>
            </w:r>
            <w:proofErr w:type="spellStart"/>
            <w:r w:rsidRPr="004E07D0">
              <w:rPr>
                <w:rFonts w:ascii="Verdana" w:eastAsia="Times New Roman" w:hAnsi="Verdana" w:cs="Arial"/>
                <w:color w:val="000000" w:themeColor="text1"/>
                <w:lang w:val="es-CO" w:eastAsia="es-CO"/>
              </w:rPr>
              <w:t>Exp</w:t>
            </w:r>
            <w:proofErr w:type="spellEnd"/>
            <w:r w:rsidRPr="004E07D0">
              <w:rPr>
                <w:rFonts w:ascii="Verdana" w:eastAsia="Times New Roman" w:hAnsi="Verdana" w:cs="Arial"/>
                <w:color w:val="000000" w:themeColor="text1"/>
                <w:lang w:val="es-CO" w:eastAsia="es-CO"/>
              </w:rPr>
              <w:t>. 46.986. C.P. Jaime Enrique Rodríguez Navas.</w:t>
            </w:r>
          </w:p>
          <w:p w14:paraId="46B8D57D" w14:textId="77777777" w:rsidR="00897CD2" w:rsidRPr="004E07D0" w:rsidRDefault="00897CD2" w:rsidP="006D4C4F">
            <w:pPr>
              <w:pStyle w:val="Prrafodelista"/>
              <w:rPr>
                <w:rFonts w:ascii="Verdana" w:eastAsia="Times New Roman" w:hAnsi="Verdana" w:cs="Arial"/>
                <w:color w:val="000000" w:themeColor="text1"/>
                <w:lang w:val="es-CO" w:eastAsia="es-CO"/>
              </w:rPr>
            </w:pPr>
          </w:p>
          <w:p w14:paraId="3BE304A3" w14:textId="77777777" w:rsidR="00897CD2" w:rsidRPr="004E07D0" w:rsidRDefault="00897CD2" w:rsidP="006D4C4F">
            <w:pPr>
              <w:pStyle w:val="Prrafodelista"/>
              <w:numPr>
                <w:ilvl w:val="0"/>
                <w:numId w:val="17"/>
              </w:numPr>
              <w:jc w:val="both"/>
              <w:rPr>
                <w:rFonts w:ascii="Verdana" w:eastAsia="Times New Roman" w:hAnsi="Verdana" w:cs="Arial"/>
                <w:color w:val="000000" w:themeColor="text1"/>
                <w:lang w:val="es-CO" w:eastAsia="es-CO"/>
              </w:rPr>
            </w:pPr>
            <w:r w:rsidRPr="004E07D0">
              <w:rPr>
                <w:rFonts w:ascii="Verdana" w:eastAsia="Times New Roman" w:hAnsi="Verdana" w:cs="Arial"/>
                <w:color w:val="000000" w:themeColor="text1"/>
                <w:lang w:val="es-CO" w:eastAsia="es-CO"/>
              </w:rPr>
              <w:t xml:space="preserve">Consejo de Estado. Sala de Consulta y Servicio Civil. Concepto 26 de julio de 2016. </w:t>
            </w:r>
            <w:proofErr w:type="spellStart"/>
            <w:r w:rsidRPr="004E07D0">
              <w:rPr>
                <w:rFonts w:ascii="Verdana" w:eastAsia="Times New Roman" w:hAnsi="Verdana" w:cs="Arial"/>
                <w:color w:val="000000" w:themeColor="text1"/>
                <w:lang w:val="es-CO" w:eastAsia="es-CO"/>
              </w:rPr>
              <w:t>Exp</w:t>
            </w:r>
            <w:proofErr w:type="spellEnd"/>
            <w:r w:rsidRPr="004E07D0">
              <w:rPr>
                <w:rFonts w:ascii="Verdana" w:eastAsia="Times New Roman" w:hAnsi="Verdana" w:cs="Arial"/>
                <w:color w:val="000000" w:themeColor="text1"/>
                <w:lang w:val="es-CO" w:eastAsia="es-CO"/>
              </w:rPr>
              <w:t xml:space="preserve">. 2257. M.P. Álvaro </w:t>
            </w:r>
            <w:proofErr w:type="spellStart"/>
            <w:r w:rsidRPr="004E07D0">
              <w:rPr>
                <w:rFonts w:ascii="Verdana" w:eastAsia="Times New Roman" w:hAnsi="Verdana" w:cs="Arial"/>
                <w:color w:val="000000" w:themeColor="text1"/>
                <w:lang w:val="es-CO" w:eastAsia="es-CO"/>
              </w:rPr>
              <w:t>Namén</w:t>
            </w:r>
            <w:proofErr w:type="spellEnd"/>
            <w:r w:rsidRPr="004E07D0">
              <w:rPr>
                <w:rFonts w:ascii="Verdana" w:eastAsia="Times New Roman" w:hAnsi="Verdana" w:cs="Arial"/>
                <w:color w:val="000000" w:themeColor="text1"/>
                <w:lang w:val="es-CO" w:eastAsia="es-CO"/>
              </w:rPr>
              <w:t xml:space="preserve"> Vargas.</w:t>
            </w:r>
          </w:p>
          <w:p w14:paraId="0F35AE18" w14:textId="77777777" w:rsidR="00897CD2" w:rsidRPr="004E07D0" w:rsidRDefault="00897CD2" w:rsidP="006D4C4F">
            <w:pPr>
              <w:pStyle w:val="Prrafodelista"/>
              <w:rPr>
                <w:rFonts w:ascii="Verdana" w:eastAsia="Times New Roman" w:hAnsi="Verdana" w:cs="Arial"/>
                <w:color w:val="000000" w:themeColor="text1"/>
                <w:lang w:val="es-CO" w:eastAsia="es-CO"/>
              </w:rPr>
            </w:pPr>
          </w:p>
          <w:p w14:paraId="19649022" w14:textId="77777777" w:rsidR="00897CD2" w:rsidRPr="004E07D0" w:rsidRDefault="00897CD2" w:rsidP="006D4C4F">
            <w:pPr>
              <w:pStyle w:val="Prrafodelista"/>
              <w:numPr>
                <w:ilvl w:val="0"/>
                <w:numId w:val="17"/>
              </w:numPr>
              <w:jc w:val="both"/>
              <w:rPr>
                <w:rFonts w:ascii="Verdana" w:eastAsia="Times New Roman" w:hAnsi="Verdana" w:cs="Arial"/>
                <w:color w:val="000000" w:themeColor="text1"/>
                <w:lang w:val="es-CO" w:eastAsia="es-CO"/>
              </w:rPr>
            </w:pPr>
            <w:r w:rsidRPr="004E07D0">
              <w:rPr>
                <w:rFonts w:ascii="Verdana" w:eastAsia="Times New Roman" w:hAnsi="Verdana" w:cs="Arial"/>
                <w:color w:val="000000" w:themeColor="text1"/>
                <w:lang w:val="es-CO" w:eastAsia="es-CO"/>
              </w:rPr>
              <w:t>Consejo de Estado, Sala de lo Contencioso Administrativo, Sección Tercera. Subsección B. Auto del 4 de octubre de 2024. Radicado No. 70.313. MP: Fredy Ibarra Martínez.</w:t>
            </w:r>
          </w:p>
          <w:p w14:paraId="41FA31C8" w14:textId="77777777" w:rsidR="00897CD2" w:rsidRPr="004E07D0" w:rsidRDefault="00897CD2" w:rsidP="006D4C4F">
            <w:pPr>
              <w:pStyle w:val="Prrafodelista"/>
              <w:rPr>
                <w:rFonts w:ascii="Verdana" w:eastAsia="Times New Roman" w:hAnsi="Verdana" w:cs="Arial"/>
                <w:color w:val="000000" w:themeColor="text1"/>
                <w:lang w:val="es-CO" w:eastAsia="es-CO"/>
              </w:rPr>
            </w:pPr>
          </w:p>
          <w:p w14:paraId="36549FCC" w14:textId="77777777" w:rsidR="00897CD2" w:rsidRPr="004E07D0" w:rsidRDefault="00897CD2" w:rsidP="006D4C4F">
            <w:pPr>
              <w:pStyle w:val="Prrafodelista"/>
              <w:numPr>
                <w:ilvl w:val="0"/>
                <w:numId w:val="17"/>
              </w:numPr>
              <w:jc w:val="both"/>
              <w:rPr>
                <w:rFonts w:ascii="Verdana" w:eastAsia="Times New Roman" w:hAnsi="Verdana" w:cs="Arial"/>
                <w:color w:val="000000" w:themeColor="text1"/>
                <w:lang w:val="es-CO" w:eastAsia="es-CO"/>
              </w:rPr>
            </w:pPr>
            <w:r w:rsidRPr="004E07D0">
              <w:rPr>
                <w:rFonts w:ascii="Verdana" w:eastAsia="Times New Roman" w:hAnsi="Verdana" w:cs="Arial"/>
                <w:color w:val="000000" w:themeColor="text1"/>
                <w:lang w:val="es-CO" w:eastAsia="es-CO"/>
              </w:rPr>
              <w:t>Consejo de Estado. Sala de Consulta y Servicio Civil. Concepto del 15 de noviembre de 2007. Expediente número 1863. Consejero Ponente: Luis Fernando Álvarez Jaramillo.</w:t>
            </w:r>
          </w:p>
          <w:p w14:paraId="67831C4A" w14:textId="77777777" w:rsidR="00897CD2" w:rsidRPr="004E07D0" w:rsidRDefault="00897CD2" w:rsidP="006D4C4F">
            <w:pPr>
              <w:pStyle w:val="NormalWeb"/>
              <w:spacing w:before="0" w:beforeAutospacing="0" w:after="0" w:afterAutospacing="0"/>
              <w:ind w:left="714"/>
              <w:jc w:val="both"/>
              <w:rPr>
                <w:rFonts w:ascii="Verdana" w:hAnsi="Verdana" w:cs="Arial"/>
                <w:color w:val="000000" w:themeColor="text1"/>
                <w:sz w:val="22"/>
                <w:szCs w:val="22"/>
              </w:rPr>
            </w:pPr>
          </w:p>
          <w:p w14:paraId="2BE13227"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Corte Constitucional, sentencia C-414 de 1994, M.P. Antonio Barrera Carbonell.</w:t>
            </w:r>
          </w:p>
          <w:p w14:paraId="794DD1E3"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Corte Constitucional, sentencia C-230 de 2008. M.P. Rodrigo Escobar Gil.</w:t>
            </w:r>
          </w:p>
          <w:p w14:paraId="3979FBDC" w14:textId="77777777" w:rsidR="00897CD2" w:rsidRPr="004E07D0" w:rsidRDefault="00897CD2" w:rsidP="006D4C4F">
            <w:pPr>
              <w:pStyle w:val="Prrafodelista"/>
              <w:rPr>
                <w:rFonts w:ascii="Verdana" w:hAnsi="Verdana" w:cs="Arial"/>
                <w:color w:val="000000" w:themeColor="text1"/>
              </w:rPr>
            </w:pPr>
          </w:p>
          <w:p w14:paraId="17BFED48"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Corte Constitucional, Sentencia C- 1153 de 2005, M.P. Marco Gerardo Monroy Cabra.</w:t>
            </w:r>
          </w:p>
          <w:p w14:paraId="38FEAC23" w14:textId="77777777" w:rsidR="00897CD2" w:rsidRPr="004E07D0" w:rsidRDefault="00897CD2" w:rsidP="006D4C4F">
            <w:pPr>
              <w:pStyle w:val="Prrafodelista"/>
              <w:rPr>
                <w:rFonts w:ascii="Verdana" w:hAnsi="Verdana" w:cs="Arial"/>
                <w:color w:val="000000" w:themeColor="text1"/>
              </w:rPr>
            </w:pPr>
          </w:p>
          <w:p w14:paraId="1D1E9169"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Corte Constitucional. Sentencia C-233 de 4 de abril de 2002. M.P: Álvaro Tafur Galvis.</w:t>
            </w:r>
          </w:p>
          <w:p w14:paraId="38BD22B1" w14:textId="77777777" w:rsidR="00897CD2" w:rsidRPr="004E07D0" w:rsidRDefault="00897CD2" w:rsidP="006D4C4F">
            <w:pPr>
              <w:pStyle w:val="Prrafodelista"/>
              <w:rPr>
                <w:rFonts w:ascii="Verdana" w:hAnsi="Verdana" w:cs="Arial"/>
                <w:color w:val="000000" w:themeColor="text1"/>
              </w:rPr>
            </w:pPr>
          </w:p>
          <w:p w14:paraId="4AE8A6F5"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Corte Constitucional. Sentencia. C-551 de 9 de julio de 2003. M.P: Eduardo Montealegre </w:t>
            </w:r>
            <w:proofErr w:type="spellStart"/>
            <w:r w:rsidRPr="004E07D0">
              <w:rPr>
                <w:rFonts w:ascii="Verdana" w:hAnsi="Verdana" w:cs="Arial"/>
                <w:color w:val="000000" w:themeColor="text1"/>
                <w:sz w:val="22"/>
                <w:szCs w:val="22"/>
              </w:rPr>
              <w:t>Lynnet</w:t>
            </w:r>
            <w:proofErr w:type="spellEnd"/>
            <w:r w:rsidRPr="004E07D0">
              <w:rPr>
                <w:rFonts w:ascii="Verdana" w:hAnsi="Verdana" w:cs="Arial"/>
                <w:color w:val="000000" w:themeColor="text1"/>
                <w:sz w:val="22"/>
                <w:szCs w:val="22"/>
              </w:rPr>
              <w:t>.</w:t>
            </w:r>
          </w:p>
          <w:p w14:paraId="5A59E9DB" w14:textId="77777777" w:rsidR="00897CD2" w:rsidRPr="004E07D0" w:rsidRDefault="00897CD2" w:rsidP="006D4C4F">
            <w:pPr>
              <w:pStyle w:val="Prrafodelista"/>
              <w:rPr>
                <w:rFonts w:ascii="Verdana" w:hAnsi="Verdana" w:cs="Arial"/>
                <w:color w:val="000000" w:themeColor="text1"/>
              </w:rPr>
            </w:pPr>
          </w:p>
          <w:p w14:paraId="466D6321"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Corte Constitucional. Sentencia C-353 de 20 de mayo de 2009. M.P: Jorge Iván Palacio </w:t>
            </w:r>
            <w:proofErr w:type="spellStart"/>
            <w:r w:rsidRPr="004E07D0">
              <w:rPr>
                <w:rFonts w:ascii="Verdana" w:hAnsi="Verdana" w:cs="Arial"/>
                <w:color w:val="000000" w:themeColor="text1"/>
                <w:sz w:val="22"/>
                <w:szCs w:val="22"/>
              </w:rPr>
              <w:t>Palacio</w:t>
            </w:r>
            <w:proofErr w:type="spellEnd"/>
            <w:r w:rsidRPr="004E07D0">
              <w:rPr>
                <w:rFonts w:ascii="Verdana" w:hAnsi="Verdana" w:cs="Arial"/>
                <w:color w:val="000000" w:themeColor="text1"/>
                <w:sz w:val="22"/>
                <w:szCs w:val="22"/>
              </w:rPr>
              <w:t>.</w:t>
            </w:r>
          </w:p>
          <w:p w14:paraId="6D80CA65" w14:textId="77777777" w:rsidR="00897CD2" w:rsidRPr="004E07D0" w:rsidRDefault="00897CD2" w:rsidP="006D4C4F">
            <w:pPr>
              <w:pStyle w:val="Prrafodelista"/>
              <w:rPr>
                <w:rFonts w:ascii="Verdana" w:hAnsi="Verdana" w:cs="Arial"/>
                <w:color w:val="000000" w:themeColor="text1"/>
              </w:rPr>
            </w:pPr>
          </w:p>
          <w:p w14:paraId="00E163A1"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Corte Constitucional. Sentencia C-541 de 30 de junio de 2010. M.P: Gabriel Eduardo Mendoza Martelo.</w:t>
            </w:r>
          </w:p>
          <w:p w14:paraId="61B7D05B" w14:textId="77777777" w:rsidR="00897CD2" w:rsidRPr="004E07D0" w:rsidRDefault="00897CD2" w:rsidP="006D4C4F">
            <w:pPr>
              <w:pStyle w:val="Prrafodelista"/>
              <w:rPr>
                <w:rFonts w:ascii="Verdana" w:hAnsi="Verdana" w:cs="Arial"/>
                <w:color w:val="000000" w:themeColor="text1"/>
              </w:rPr>
            </w:pPr>
          </w:p>
          <w:p w14:paraId="63C12E17"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Corte Constitucional. Sentencia C-671 de 2015. M.P. Alberto Rojas Ríos.</w:t>
            </w:r>
          </w:p>
          <w:p w14:paraId="05121767" w14:textId="77777777" w:rsidR="00897CD2" w:rsidRPr="004E07D0" w:rsidRDefault="00897CD2" w:rsidP="006D4C4F">
            <w:pPr>
              <w:pStyle w:val="NormalWeb"/>
              <w:spacing w:before="0" w:beforeAutospacing="0" w:after="0" w:afterAutospacing="0"/>
              <w:jc w:val="both"/>
              <w:rPr>
                <w:rFonts w:ascii="Verdana" w:hAnsi="Verdana" w:cs="Arial"/>
                <w:color w:val="000000" w:themeColor="text1"/>
                <w:sz w:val="22"/>
                <w:szCs w:val="22"/>
              </w:rPr>
            </w:pPr>
          </w:p>
          <w:p w14:paraId="2218853D" w14:textId="77777777" w:rsidR="00897CD2" w:rsidRPr="004E07D0" w:rsidRDefault="00897CD2" w:rsidP="006D4C4F">
            <w:pPr>
              <w:pStyle w:val="NormalWeb"/>
              <w:numPr>
                <w:ilvl w:val="0"/>
                <w:numId w:val="17"/>
              </w:numPr>
              <w:spacing w:before="0" w:beforeAutospacing="0" w:after="0" w:afterAutospacing="0"/>
              <w:ind w:left="714" w:hanging="357"/>
              <w:jc w:val="both"/>
              <w:rPr>
                <w:rFonts w:ascii="Verdana" w:hAnsi="Verdana" w:cs="Arial"/>
                <w:color w:val="000000" w:themeColor="text1"/>
                <w:sz w:val="22"/>
                <w:szCs w:val="22"/>
              </w:rPr>
            </w:pPr>
            <w:r w:rsidRPr="004E07D0">
              <w:rPr>
                <w:rFonts w:ascii="Verdana" w:hAnsi="Verdana" w:cs="Arial"/>
                <w:color w:val="000000" w:themeColor="text1"/>
                <w:sz w:val="22"/>
                <w:szCs w:val="22"/>
              </w:rPr>
              <w:t>EXPOSITO VÉLEZ, Juan Carlos. Forma y contenido del contrato estatal. Universidad Externado de Colombia, Bogotá, 2013, 1ra Ed., p.112.</w:t>
            </w:r>
          </w:p>
          <w:p w14:paraId="21BC3F31" w14:textId="77777777" w:rsidR="00897CD2" w:rsidRPr="004E07D0" w:rsidRDefault="00897CD2" w:rsidP="006D4C4F">
            <w:pPr>
              <w:pStyle w:val="NormalWeb"/>
              <w:numPr>
                <w:ilvl w:val="0"/>
                <w:numId w:val="17"/>
              </w:numPr>
              <w:spacing w:before="120" w:beforeAutospacing="0" w:after="0" w:afterAutospacing="0" w:line="276" w:lineRule="auto"/>
              <w:jc w:val="both"/>
              <w:rPr>
                <w:rFonts w:ascii="Verdana" w:hAnsi="Verdana" w:cs="Arial"/>
                <w:color w:val="000000" w:themeColor="text1"/>
                <w:sz w:val="22"/>
                <w:szCs w:val="22"/>
              </w:rPr>
            </w:pPr>
            <w:r w:rsidRPr="004E07D0">
              <w:rPr>
                <w:rFonts w:ascii="Verdana" w:hAnsi="Verdana" w:cs="Arial"/>
                <w:color w:val="000000" w:themeColor="text1"/>
                <w:sz w:val="22"/>
                <w:szCs w:val="22"/>
              </w:rPr>
              <w:t>BLANQUER, David. Curso de Derecho Administrativo, Tomo III. Ediciones Tirant lo Blanch. Valencia, 2006. Pág. 110.</w:t>
            </w:r>
          </w:p>
          <w:p w14:paraId="4DD0FFF6" w14:textId="77777777" w:rsidR="00897CD2" w:rsidRPr="004E07D0" w:rsidRDefault="00897CD2" w:rsidP="006D4C4F">
            <w:pPr>
              <w:pStyle w:val="NormalWeb"/>
              <w:numPr>
                <w:ilvl w:val="0"/>
                <w:numId w:val="17"/>
              </w:numPr>
              <w:spacing w:before="120" w:beforeAutospacing="0" w:after="0" w:afterAutospacing="0" w:line="276" w:lineRule="auto"/>
              <w:jc w:val="both"/>
              <w:rPr>
                <w:rFonts w:ascii="Verdana" w:hAnsi="Verdana" w:cs="Arial"/>
                <w:color w:val="000000" w:themeColor="text1"/>
                <w:sz w:val="22"/>
                <w:szCs w:val="22"/>
              </w:rPr>
            </w:pPr>
            <w:r w:rsidRPr="004E07D0">
              <w:rPr>
                <w:rFonts w:ascii="Verdana" w:hAnsi="Verdana" w:cs="Arial"/>
                <w:color w:val="000000" w:themeColor="text1"/>
                <w:sz w:val="22"/>
                <w:szCs w:val="22"/>
              </w:rPr>
              <w:t>Registraduría Nacional del Estado Civil, Resolución 2581 del 5 de marzo de 2025, mediante la cual “se fija el calendario electoral del Congreso de la República que se realizarán el 8 de marzo de 2026”.</w:t>
            </w:r>
          </w:p>
          <w:p w14:paraId="65F84CF1" w14:textId="77777777" w:rsidR="00897CD2" w:rsidRPr="004E07D0" w:rsidRDefault="00897CD2" w:rsidP="006D4C4F">
            <w:pPr>
              <w:pStyle w:val="NormalWeb"/>
              <w:numPr>
                <w:ilvl w:val="0"/>
                <w:numId w:val="17"/>
              </w:numPr>
              <w:spacing w:before="120" w:beforeAutospacing="0" w:after="0" w:afterAutospacing="0" w:line="276" w:lineRule="auto"/>
              <w:jc w:val="both"/>
              <w:rPr>
                <w:rFonts w:ascii="Verdana" w:hAnsi="Verdana" w:cs="Arial"/>
                <w:color w:val="000000" w:themeColor="text1"/>
                <w:sz w:val="22"/>
                <w:szCs w:val="22"/>
              </w:rPr>
            </w:pPr>
            <w:r w:rsidRPr="004E07D0">
              <w:rPr>
                <w:rFonts w:ascii="Verdana" w:hAnsi="Verdana" w:cs="Arial"/>
                <w:color w:val="000000" w:themeColor="text1"/>
                <w:sz w:val="22"/>
                <w:szCs w:val="22"/>
              </w:rPr>
              <w:t xml:space="preserve">Registraduría Nacional del Estado Civil, Resolución 2580 del 5 de marzo de 2025, «por la cual se fija el calendario electoral para las elecciones de </w:t>
            </w:r>
            <w:proofErr w:type="gramStart"/>
            <w:r w:rsidRPr="004E07D0">
              <w:rPr>
                <w:rFonts w:ascii="Verdana" w:hAnsi="Verdana" w:cs="Arial"/>
                <w:color w:val="000000" w:themeColor="text1"/>
                <w:sz w:val="22"/>
                <w:szCs w:val="22"/>
              </w:rPr>
              <w:t>Presidente</w:t>
            </w:r>
            <w:proofErr w:type="gramEnd"/>
            <w:r w:rsidRPr="004E07D0">
              <w:rPr>
                <w:rFonts w:ascii="Verdana" w:hAnsi="Verdana" w:cs="Arial"/>
                <w:color w:val="000000" w:themeColor="text1"/>
                <w:sz w:val="22"/>
                <w:szCs w:val="22"/>
              </w:rPr>
              <w:t xml:space="preserve"> y </w:t>
            </w:r>
            <w:proofErr w:type="gramStart"/>
            <w:r w:rsidRPr="004E07D0">
              <w:rPr>
                <w:rFonts w:ascii="Verdana" w:hAnsi="Verdana" w:cs="Arial"/>
                <w:color w:val="000000" w:themeColor="text1"/>
                <w:sz w:val="22"/>
                <w:szCs w:val="22"/>
              </w:rPr>
              <w:t>Vicepresidente</w:t>
            </w:r>
            <w:proofErr w:type="gramEnd"/>
            <w:r w:rsidRPr="004E07D0">
              <w:rPr>
                <w:rFonts w:ascii="Verdana" w:hAnsi="Verdana" w:cs="Arial"/>
                <w:color w:val="000000" w:themeColor="text1"/>
                <w:sz w:val="22"/>
                <w:szCs w:val="22"/>
              </w:rPr>
              <w:t xml:space="preserve"> de la República (primera vuelta) para el periodo constitucional 2026-2030.</w:t>
            </w:r>
          </w:p>
        </w:tc>
      </w:tr>
    </w:tbl>
    <w:p w14:paraId="58484AD7" w14:textId="77777777" w:rsidR="00897CD2" w:rsidRPr="00277E26" w:rsidRDefault="00897CD2" w:rsidP="00897CD2">
      <w:pPr>
        <w:widowControl w:val="0"/>
        <w:autoSpaceDE w:val="0"/>
        <w:autoSpaceDN w:val="0"/>
        <w:spacing w:after="0" w:line="276" w:lineRule="auto"/>
        <w:jc w:val="both"/>
        <w:rPr>
          <w:rFonts w:ascii="Verdana" w:hAnsi="Verdana" w:cs="Arial"/>
        </w:rPr>
      </w:pPr>
    </w:p>
    <w:p w14:paraId="686BF2BF" w14:textId="77777777" w:rsidR="00897CD2" w:rsidRPr="001F283D" w:rsidRDefault="00897CD2" w:rsidP="00897CD2">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04C75A9" w14:textId="77777777" w:rsidR="00897CD2" w:rsidRDefault="00897CD2" w:rsidP="00897CD2">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604A99ED" w14:textId="77777777" w:rsidR="00897CD2" w:rsidRPr="00AB70DD" w:rsidRDefault="00897CD2" w:rsidP="00897CD2">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4060A6">
        <w:rPr>
          <w:rFonts w:ascii="Verdana" w:hAnsi="Verdana" w:cs="Arial"/>
          <w:shd w:val="clear" w:color="auto" w:fill="FFFFFF"/>
        </w:rPr>
        <w:t xml:space="preserve">Esta Subdirección se ha pronunciado sobre la naturaleza jurídica de los consejos profesionales y la ausencia de competencia para la celebración de contratos en el Concepto C-867 del 19 de diciembre de 2022 y C-924 del 11 de diciembre de 2024. Por su parte, </w:t>
      </w:r>
      <w:r w:rsidRPr="004060A6">
        <w:rPr>
          <w:rFonts w:ascii="Verdana" w:hAnsi="Verdana" w:cs="Arial"/>
          <w:shd w:val="clear" w:color="auto" w:fill="FFFFFF"/>
          <w:lang w:val="es-ES"/>
        </w:rPr>
        <w:t xml:space="preserve">sobre la finalidad y propósito de la Ley de Garantías Electorales, la Subdirección se ha pronunciado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C-696 del 11 de julio de 2025, C-708 del 15 de julio de 2025, entro otros. Estos y otros </w:t>
      </w:r>
      <w:r w:rsidRPr="004060A6">
        <w:rPr>
          <w:rFonts w:ascii="Verdana" w:hAnsi="Verdana"/>
        </w:rPr>
        <w:t>conceptos se encuentran disponibles para consulta en el Sistema de relatoría de la Agencia, al cual se puede acceder a través del siguiente enlace:</w:t>
      </w:r>
      <w:r w:rsidRPr="00AB70DD">
        <w:rPr>
          <w:rFonts w:ascii="Verdana" w:hAnsi="Verdana" w:cs="Arial"/>
          <w:shd w:val="clear" w:color="auto" w:fill="FFFFFF"/>
        </w:rPr>
        <w:t xml:space="preserve"> </w:t>
      </w:r>
      <w:hyperlink r:id="rId14" w:history="1">
        <w:r w:rsidRPr="00AB70DD">
          <w:rPr>
            <w:rFonts w:ascii="Verdana" w:hAnsi="Verdana" w:cs="Arial"/>
            <w:color w:val="0563C1" w:themeColor="hyperlink"/>
            <w:u w:val="single"/>
            <w:shd w:val="clear" w:color="auto" w:fill="FFFFFF"/>
          </w:rPr>
          <w:t>https://relatoria.colombiacompra.gov.co/busqueda/conceptos</w:t>
        </w:r>
      </w:hyperlink>
      <w:r w:rsidRPr="00AB70DD">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29000885" w14:textId="77777777" w:rsidR="00897CD2" w:rsidRPr="00237766" w:rsidRDefault="00897CD2" w:rsidP="00897CD2">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1538D9E" w14:textId="77777777" w:rsidR="00897CD2" w:rsidRPr="008E4F36" w:rsidRDefault="00897CD2" w:rsidP="00897CD2">
      <w:pPr>
        <w:pStyle w:val="Prrafodelista"/>
        <w:numPr>
          <w:ilvl w:val="0"/>
          <w:numId w:val="15"/>
        </w:numPr>
        <w:spacing w:after="0" w:line="276" w:lineRule="auto"/>
        <w:contextualSpacing w:val="0"/>
        <w:jc w:val="both"/>
        <w:rPr>
          <w:rFonts w:ascii="Verdana" w:hAnsi="Verdana"/>
        </w:rPr>
      </w:pPr>
      <w:r w:rsidRPr="008E4F36">
        <w:rPr>
          <w:rFonts w:ascii="Verdana" w:hAnsi="Verdana"/>
        </w:rPr>
        <w:lastRenderedPageBreak/>
        <w:t>Línea nacional gratuita o servicio a la ciudadanía: 01800 0520808</w:t>
      </w:r>
    </w:p>
    <w:p w14:paraId="7D6C9BD2" w14:textId="77777777" w:rsidR="00897CD2" w:rsidRPr="008E4F36" w:rsidRDefault="00897CD2" w:rsidP="00897CD2">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4AA2B4AF" w14:textId="77777777" w:rsidR="00897CD2" w:rsidRPr="008E4F36" w:rsidRDefault="00897CD2" w:rsidP="00897CD2">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5EFA8A72" w14:textId="77777777" w:rsidR="00897CD2" w:rsidRPr="008E4F36" w:rsidRDefault="00897CD2" w:rsidP="00897CD2">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5" w:history="1">
        <w:r w:rsidRPr="008E4F36">
          <w:rPr>
            <w:rStyle w:val="Hipervnculo"/>
            <w:rFonts w:ascii="Verdana" w:hAnsi="Verdana"/>
          </w:rPr>
          <w:t>www.colombiacompra.gov.co</w:t>
        </w:r>
      </w:hyperlink>
    </w:p>
    <w:p w14:paraId="4C9E0E55" w14:textId="77777777" w:rsidR="00897CD2" w:rsidRDefault="00897CD2" w:rsidP="00897CD2">
      <w:pPr>
        <w:spacing w:before="120" w:after="0" w:line="276" w:lineRule="auto"/>
        <w:jc w:val="both"/>
        <w:rPr>
          <w:rFonts w:ascii="Verdana" w:hAnsi="Verdana"/>
        </w:rPr>
      </w:pPr>
    </w:p>
    <w:p w14:paraId="6698A154" w14:textId="77777777" w:rsidR="00897CD2" w:rsidRPr="008E4F36" w:rsidRDefault="00897CD2" w:rsidP="00897CD2">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0871F42D" w14:textId="77777777" w:rsidR="00897CD2" w:rsidRPr="008E4F36" w:rsidRDefault="00897CD2" w:rsidP="00897CD2">
      <w:pPr>
        <w:spacing w:after="0" w:line="276" w:lineRule="auto"/>
        <w:jc w:val="both"/>
        <w:rPr>
          <w:rFonts w:ascii="Verdana" w:hAnsi="Verdana"/>
        </w:rPr>
      </w:pPr>
    </w:p>
    <w:p w14:paraId="16B121F7" w14:textId="77777777" w:rsidR="00897CD2" w:rsidRPr="008E4F36" w:rsidRDefault="00897CD2" w:rsidP="00897CD2">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2470BC60" w14:textId="77777777" w:rsidR="00897CD2" w:rsidRPr="008E4F36" w:rsidRDefault="00897CD2" w:rsidP="00897CD2">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13F778D5" w14:textId="77777777" w:rsidR="00897CD2" w:rsidRPr="008E4F36" w:rsidRDefault="00897CD2" w:rsidP="00897CD2">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17E34192" w14:textId="77777777" w:rsidR="00897CD2" w:rsidRDefault="00897CD2" w:rsidP="00897CD2">
      <w:pPr>
        <w:spacing w:before="120" w:after="0" w:line="276" w:lineRule="auto"/>
        <w:jc w:val="both"/>
        <w:rPr>
          <w:rFonts w:ascii="Verdana" w:hAnsi="Verdana"/>
        </w:rPr>
      </w:pPr>
    </w:p>
    <w:p w14:paraId="04574EBE" w14:textId="77777777" w:rsidR="00897CD2" w:rsidRPr="00FB6C33" w:rsidRDefault="00897CD2" w:rsidP="00897CD2">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4747431" w14:textId="77777777" w:rsidR="00897CD2" w:rsidRPr="008E4F36" w:rsidRDefault="00897CD2" w:rsidP="00897CD2">
      <w:pPr>
        <w:spacing w:after="0" w:line="276" w:lineRule="auto"/>
        <w:jc w:val="both"/>
        <w:rPr>
          <w:rFonts w:ascii="Verdana" w:eastAsia="Calibri" w:hAnsi="Verdana" w:cs="Times New Roman"/>
        </w:rPr>
      </w:pPr>
    </w:p>
    <w:p w14:paraId="229A32E0" w14:textId="77777777" w:rsidR="00897CD2" w:rsidRDefault="00897CD2" w:rsidP="00897CD2">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109E8243" w14:textId="77777777" w:rsidR="00897CD2" w:rsidRDefault="00897CD2" w:rsidP="00897CD2">
      <w:pPr>
        <w:spacing w:after="0" w:line="256" w:lineRule="auto"/>
        <w:rPr>
          <w:rFonts w:eastAsia="Times New Roman" w:cs="Arial"/>
          <w:sz w:val="24"/>
          <w:szCs w:val="24"/>
        </w:rPr>
      </w:pPr>
    </w:p>
    <w:p w14:paraId="61F3A9B8" w14:textId="5B5838AD" w:rsidR="00897CD2" w:rsidRPr="00F90AF1" w:rsidRDefault="005763A2" w:rsidP="00F90AF1">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1E1FB202" wp14:editId="40FCC540">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6"/>
                    <a:stretch>
                      <a:fillRect/>
                    </a:stretch>
                  </pic:blipFill>
                  <pic:spPr>
                    <a:xfrm>
                      <a:off x="0" y="0"/>
                      <a:ext cx="3962953" cy="1867161"/>
                    </a:xfrm>
                    <a:prstGeom prst="rect">
                      <a:avLst/>
                    </a:prstGeom>
                  </pic:spPr>
                </pic:pic>
              </a:graphicData>
            </a:graphic>
          </wp:inline>
        </w:drawing>
      </w:r>
    </w:p>
    <w:p w14:paraId="5BC2DA60" w14:textId="77777777" w:rsidR="00897CD2" w:rsidRDefault="00897CD2" w:rsidP="00897CD2">
      <w:pPr>
        <w:spacing w:after="0" w:line="256" w:lineRule="auto"/>
        <w:jc w:val="center"/>
        <w:rPr>
          <w:rFonts w:ascii="Verdana" w:eastAsia="Times New Roman" w:hAnsi="Verdana"/>
          <w:b/>
          <w:bCs/>
          <w:noProof/>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897CD2" w:rsidRPr="008E4F36" w14:paraId="63007E5F" w14:textId="77777777" w:rsidTr="006D4C4F">
        <w:trPr>
          <w:trHeight w:val="315"/>
        </w:trPr>
        <w:tc>
          <w:tcPr>
            <w:tcW w:w="893" w:type="dxa"/>
            <w:vAlign w:val="center"/>
            <w:hideMark/>
          </w:tcPr>
          <w:p w14:paraId="5D40693E" w14:textId="77777777" w:rsidR="00897CD2" w:rsidRPr="008E4F36" w:rsidRDefault="00897CD2" w:rsidP="006D4C4F">
            <w:pPr>
              <w:contextualSpacing/>
              <w:rPr>
                <w:rFonts w:ascii="Verdana" w:hAnsi="Verdana" w:cs="Arial"/>
                <w:sz w:val="16"/>
                <w:szCs w:val="16"/>
                <w:lang w:eastAsia="es-ES"/>
              </w:rPr>
            </w:pPr>
            <w:r w:rsidRPr="008E4F36">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0B125D99" w14:textId="77777777" w:rsidR="00897CD2" w:rsidRPr="008E4F36" w:rsidRDefault="00897CD2" w:rsidP="006D4C4F">
            <w:pPr>
              <w:contextualSpacing/>
              <w:rPr>
                <w:rStyle w:val="normaltextrun"/>
                <w:rFonts w:ascii="Verdana" w:hAnsi="Verdana"/>
                <w:sz w:val="16"/>
                <w:szCs w:val="16"/>
              </w:rPr>
            </w:pPr>
            <w:r w:rsidRPr="008E4F36">
              <w:rPr>
                <w:rStyle w:val="normaltextrun"/>
                <w:rFonts w:ascii="Verdana" w:hAnsi="Verdana"/>
                <w:sz w:val="16"/>
                <w:szCs w:val="16"/>
              </w:rPr>
              <w:t xml:space="preserve">Esperanza Contreras P </w:t>
            </w:r>
          </w:p>
          <w:p w14:paraId="5A9D638A" w14:textId="77777777" w:rsidR="00897CD2" w:rsidRPr="008E4F36" w:rsidRDefault="00897CD2" w:rsidP="006D4C4F">
            <w:pPr>
              <w:contextualSpacing/>
              <w:rPr>
                <w:rFonts w:ascii="Verdana" w:eastAsia="Arial" w:hAnsi="Verdana" w:cs="Arial"/>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897CD2" w:rsidRPr="008E4F36" w14:paraId="256B6C08" w14:textId="77777777" w:rsidTr="006D4C4F">
        <w:trPr>
          <w:trHeight w:val="330"/>
        </w:trPr>
        <w:tc>
          <w:tcPr>
            <w:tcW w:w="893" w:type="dxa"/>
            <w:vAlign w:val="center"/>
            <w:hideMark/>
          </w:tcPr>
          <w:p w14:paraId="24FCE92A" w14:textId="77777777" w:rsidR="00897CD2" w:rsidRPr="008E4F36" w:rsidRDefault="00897CD2" w:rsidP="006D4C4F">
            <w:pPr>
              <w:contextualSpacing/>
              <w:rPr>
                <w:rFonts w:ascii="Verdana" w:hAnsi="Verdana" w:cs="Arial"/>
                <w:sz w:val="16"/>
                <w:szCs w:val="16"/>
                <w:lang w:eastAsia="es-ES"/>
              </w:rPr>
            </w:pPr>
            <w:r w:rsidRPr="008E4F36">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1589C441" w14:textId="77777777" w:rsidR="00897CD2" w:rsidRPr="008E4F36" w:rsidRDefault="00897CD2" w:rsidP="006D4C4F">
            <w:pPr>
              <w:pStyle w:val="paragraph"/>
              <w:spacing w:before="0" w:beforeAutospacing="0" w:after="0" w:afterAutospacing="0"/>
              <w:contextualSpacing/>
              <w:textAlignment w:val="baseline"/>
              <w:rPr>
                <w:rStyle w:val="normaltextrun"/>
                <w:rFonts w:ascii="Verdana" w:hAnsi="Verdana"/>
                <w:sz w:val="16"/>
                <w:szCs w:val="16"/>
              </w:rPr>
            </w:pPr>
            <w:r w:rsidRPr="008E4F36">
              <w:rPr>
                <w:rStyle w:val="normaltextrun"/>
                <w:rFonts w:ascii="Verdana" w:hAnsi="Verdana"/>
                <w:sz w:val="16"/>
                <w:szCs w:val="16"/>
              </w:rPr>
              <w:t xml:space="preserve">Diana Lucía Saavedra Castañeda </w:t>
            </w:r>
          </w:p>
          <w:p w14:paraId="613ABCD7" w14:textId="77777777" w:rsidR="00897CD2" w:rsidRPr="008E4F36" w:rsidRDefault="00897CD2" w:rsidP="006D4C4F">
            <w:pPr>
              <w:pStyle w:val="paragraph"/>
              <w:spacing w:before="0" w:beforeAutospacing="0" w:after="0" w:afterAutospacing="0"/>
              <w:contextualSpacing/>
              <w:textAlignment w:val="baseline"/>
              <w:rPr>
                <w:rFonts w:ascii="Verdana" w:hAnsi="Verdana" w:cs="Segoe UI"/>
                <w:sz w:val="16"/>
                <w:szCs w:val="16"/>
              </w:rPr>
            </w:pPr>
            <w:r w:rsidRPr="008E4F36">
              <w:rPr>
                <w:rStyle w:val="eop"/>
                <w:rFonts w:ascii="Verdana" w:hAnsi="Verdana" w:cs="Arial"/>
                <w:sz w:val="16"/>
                <w:szCs w:val="16"/>
              </w:rPr>
              <w:t xml:space="preserve">Contratista de la Subdirección de Negocios </w:t>
            </w:r>
          </w:p>
        </w:tc>
      </w:tr>
      <w:tr w:rsidR="00897CD2" w:rsidRPr="008E4F36" w14:paraId="252688A4" w14:textId="77777777" w:rsidTr="006D4C4F">
        <w:trPr>
          <w:trHeight w:val="300"/>
        </w:trPr>
        <w:tc>
          <w:tcPr>
            <w:tcW w:w="893" w:type="dxa"/>
            <w:vAlign w:val="center"/>
          </w:tcPr>
          <w:p w14:paraId="251C4646" w14:textId="77777777" w:rsidR="00897CD2" w:rsidRPr="008E4F36" w:rsidRDefault="00897CD2" w:rsidP="006D4C4F">
            <w:pPr>
              <w:contextualSpacing/>
              <w:rPr>
                <w:rFonts w:ascii="Verdana" w:hAnsi="Verdana" w:cs="Arial"/>
                <w:sz w:val="16"/>
                <w:szCs w:val="16"/>
                <w:lang w:eastAsia="es-ES"/>
              </w:rPr>
            </w:pPr>
            <w:r w:rsidRPr="008E4F36">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48C0BD53" w14:textId="77777777" w:rsidR="00897CD2" w:rsidRPr="008E4F36" w:rsidRDefault="00897CD2" w:rsidP="006D4C4F">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Gacharná</w:t>
            </w:r>
            <w:proofErr w:type="spellEnd"/>
          </w:p>
          <w:p w14:paraId="252C0773" w14:textId="77777777" w:rsidR="00897CD2" w:rsidRPr="008E4F36" w:rsidRDefault="00897CD2" w:rsidP="006D4C4F">
            <w:pPr>
              <w:contextualSpacing/>
              <w:rPr>
                <w:rFonts w:ascii="Verdana" w:eastAsia="Calibri" w:hAnsi="Verdana" w:cs="Arial"/>
                <w:sz w:val="16"/>
                <w:szCs w:val="16"/>
                <w:lang w:eastAsia="es-ES"/>
              </w:rPr>
            </w:pPr>
            <w:r w:rsidRPr="008E4F36">
              <w:rPr>
                <w:rFonts w:ascii="Verdana" w:eastAsia="Calibri" w:hAnsi="Verdana" w:cs="Arial"/>
                <w:sz w:val="16"/>
                <w:szCs w:val="16"/>
                <w:lang w:eastAsia="es-ES"/>
              </w:rPr>
              <w:t>Subdirectora de Gestión Contractual</w:t>
            </w:r>
            <w:r>
              <w:rPr>
                <w:rFonts w:ascii="Verdana" w:eastAsia="Calibri" w:hAnsi="Verdana" w:cs="Arial"/>
                <w:sz w:val="16"/>
                <w:szCs w:val="16"/>
                <w:lang w:eastAsia="es-ES"/>
              </w:rPr>
              <w:t xml:space="preserve"> </w:t>
            </w:r>
            <w:r w:rsidRPr="008E4F36">
              <w:rPr>
                <w:rFonts w:ascii="Verdana" w:eastAsia="Calibri" w:hAnsi="Verdana" w:cs="Arial"/>
                <w:sz w:val="16"/>
                <w:szCs w:val="16"/>
                <w:lang w:eastAsia="es-ES"/>
              </w:rPr>
              <w:t>ANCP – CCE</w:t>
            </w:r>
          </w:p>
        </w:tc>
      </w:tr>
      <w:bookmarkEnd w:id="6"/>
      <w:bookmarkEnd w:id="7"/>
    </w:tbl>
    <w:p w14:paraId="5254C874" w14:textId="77777777" w:rsidR="00897CD2" w:rsidRPr="008E4F36" w:rsidRDefault="00897CD2" w:rsidP="00897CD2">
      <w:pPr>
        <w:spacing w:after="0"/>
        <w:rPr>
          <w:rFonts w:ascii="Verdana" w:hAnsi="Verdana"/>
        </w:rPr>
      </w:pPr>
    </w:p>
    <w:p w14:paraId="199AF1EB" w14:textId="77777777" w:rsidR="00897CD2" w:rsidRPr="008E4F36" w:rsidRDefault="00897CD2" w:rsidP="00897CD2">
      <w:pPr>
        <w:spacing w:after="0"/>
        <w:jc w:val="both"/>
        <w:rPr>
          <w:rStyle w:val="Hipervnculo"/>
          <w:rFonts w:ascii="Verdana" w:hAnsi="Verdana"/>
        </w:rPr>
      </w:pPr>
    </w:p>
    <w:bookmarkEnd w:id="0"/>
    <w:bookmarkEnd w:id="1"/>
    <w:bookmarkEnd w:id="2"/>
    <w:p w14:paraId="683F8DCC" w14:textId="77777777" w:rsidR="00897CD2" w:rsidRPr="003F061C" w:rsidRDefault="00897CD2" w:rsidP="00897CD2"/>
    <w:p w14:paraId="692FCB9C" w14:textId="77777777" w:rsidR="00897CD2" w:rsidRPr="008E4F36" w:rsidRDefault="00897CD2" w:rsidP="00897CD2">
      <w:pPr>
        <w:spacing w:after="0"/>
        <w:jc w:val="both"/>
        <w:rPr>
          <w:rStyle w:val="Hipervnculo"/>
          <w:rFonts w:ascii="Verdana" w:hAnsi="Verdana"/>
        </w:rPr>
      </w:pPr>
    </w:p>
    <w:p w14:paraId="69A30D37" w14:textId="77777777" w:rsidR="00897CD2" w:rsidRPr="003F061C" w:rsidRDefault="00897CD2" w:rsidP="00897CD2"/>
    <w:bookmarkEnd w:id="3"/>
    <w:p w14:paraId="2F3EE640" w14:textId="77777777" w:rsidR="00897CD2" w:rsidRPr="00F22B3E" w:rsidRDefault="00897CD2" w:rsidP="00897CD2"/>
    <w:bookmarkEnd w:id="4"/>
    <w:p w14:paraId="1B13F4FA" w14:textId="77777777" w:rsidR="00897CD2" w:rsidRPr="00DA731C" w:rsidRDefault="00897CD2" w:rsidP="00897CD2"/>
    <w:bookmarkEnd w:id="5"/>
    <w:p w14:paraId="3900974D" w14:textId="4E5D3FDB" w:rsidR="003D5B0D" w:rsidRPr="00897CD2" w:rsidRDefault="003D5B0D" w:rsidP="00C76B1C">
      <w:pPr>
        <w:spacing w:after="0" w:line="240" w:lineRule="auto"/>
        <w:textAlignment w:val="baseline"/>
        <w:rPr>
          <w:rFonts w:ascii="Verdana" w:eastAsia="Times New Roman" w:hAnsi="Verdana" w:cs="Segoe UI"/>
          <w:b/>
          <w:bCs/>
          <w:color w:val="46589C"/>
          <w:lang w:eastAsia="es-CO"/>
        </w:rPr>
      </w:pPr>
    </w:p>
    <w:sectPr w:rsidR="003D5B0D" w:rsidRPr="00897CD2"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AED0C" w14:textId="77777777" w:rsidR="0043749D" w:rsidRDefault="0043749D" w:rsidP="004A1847">
      <w:pPr>
        <w:spacing w:after="0" w:line="240" w:lineRule="auto"/>
      </w:pPr>
      <w:r>
        <w:separator/>
      </w:r>
    </w:p>
  </w:endnote>
  <w:endnote w:type="continuationSeparator" w:id="0">
    <w:p w14:paraId="6A77F427" w14:textId="77777777" w:rsidR="0043749D" w:rsidRDefault="0043749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0FA9E" w14:textId="77777777" w:rsidR="0043749D" w:rsidRDefault="0043749D" w:rsidP="004A1847">
      <w:pPr>
        <w:spacing w:after="0" w:line="240" w:lineRule="auto"/>
      </w:pPr>
      <w:r>
        <w:separator/>
      </w:r>
    </w:p>
  </w:footnote>
  <w:footnote w:type="continuationSeparator" w:id="0">
    <w:p w14:paraId="1EB53866" w14:textId="77777777" w:rsidR="0043749D" w:rsidRDefault="0043749D" w:rsidP="004A1847">
      <w:pPr>
        <w:spacing w:after="0" w:line="240" w:lineRule="auto"/>
      </w:pPr>
      <w:r>
        <w:continuationSeparator/>
      </w:r>
    </w:p>
  </w:footnote>
  <w:footnote w:id="1">
    <w:p w14:paraId="1391E3AE" w14:textId="77777777" w:rsidR="00897CD2" w:rsidRPr="00E17076" w:rsidRDefault="00897CD2" w:rsidP="00897CD2">
      <w:pPr>
        <w:ind w:firstLine="708"/>
        <w:jc w:val="both"/>
        <w:rPr>
          <w:rFonts w:ascii="Verdana" w:hAnsi="Verdana" w:cs="Arial"/>
          <w:sz w:val="14"/>
          <w:szCs w:val="14"/>
        </w:rPr>
      </w:pPr>
      <w:r w:rsidRPr="00E17076">
        <w:rPr>
          <w:rStyle w:val="Refdenotaalpie"/>
          <w:rFonts w:ascii="Verdana" w:hAnsi="Verdana" w:cs="Arial"/>
          <w:sz w:val="14"/>
          <w:szCs w:val="14"/>
        </w:rPr>
        <w:footnoteRef/>
      </w:r>
      <w:r w:rsidRPr="00E17076">
        <w:rPr>
          <w:rFonts w:ascii="Verdana" w:hAnsi="Verdana" w:cs="Arial"/>
          <w:sz w:val="14"/>
          <w:szCs w:val="14"/>
        </w:rPr>
        <w:t xml:space="preserve">  Ley 80 de 1993: Artículo 1o. Del objeto. La presente ley tiene por objeto disponer las reglas y principios que rigen los contratos de las entidades estatales. </w:t>
      </w:r>
    </w:p>
  </w:footnote>
  <w:footnote w:id="2">
    <w:p w14:paraId="5ED83EBC" w14:textId="77777777" w:rsidR="00897CD2" w:rsidRPr="00661B59" w:rsidRDefault="00897CD2" w:rsidP="00897CD2">
      <w:pPr>
        <w:spacing w:after="120"/>
        <w:ind w:firstLine="709"/>
        <w:jc w:val="both"/>
        <w:rPr>
          <w:rFonts w:ascii="Verdana" w:eastAsia="Calibri" w:hAnsi="Verdana" w:cs="Arial"/>
          <w:sz w:val="14"/>
          <w:szCs w:val="14"/>
        </w:rPr>
      </w:pPr>
      <w:r w:rsidRPr="00661B59">
        <w:rPr>
          <w:rStyle w:val="Refdenotaalpie"/>
          <w:rFonts w:ascii="Verdana" w:hAnsi="Verdana" w:cs="Arial"/>
          <w:sz w:val="14"/>
          <w:szCs w:val="14"/>
        </w:rPr>
        <w:footnoteRef/>
      </w:r>
      <w:r w:rsidRPr="00661B59">
        <w:rPr>
          <w:rFonts w:ascii="Verdana" w:hAnsi="Verdana" w:cs="Arial"/>
          <w:sz w:val="14"/>
          <w:szCs w:val="14"/>
        </w:rPr>
        <w:t xml:space="preserve"> Al respecto, se ha pronunciado el Alto Tribunal de lo contencioso administrativo señalando que: </w:t>
      </w:r>
      <w:r>
        <w:rPr>
          <w:rFonts w:ascii="Verdana" w:hAnsi="Verdana" w:cs="Arial"/>
          <w:sz w:val="14"/>
          <w:szCs w:val="14"/>
        </w:rPr>
        <w:t>“</w:t>
      </w:r>
      <w:r w:rsidRPr="00661B59">
        <w:rPr>
          <w:rFonts w:ascii="Verdana" w:eastAsia="Calibri" w:hAnsi="Verdana" w:cs="Arial"/>
          <w:sz w:val="14"/>
          <w:szCs w:val="14"/>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28EB98CD" w14:textId="77777777" w:rsidR="00897CD2" w:rsidRPr="00661B59" w:rsidRDefault="00897CD2" w:rsidP="00897CD2">
      <w:pPr>
        <w:spacing w:after="120"/>
        <w:ind w:firstLine="709"/>
        <w:jc w:val="both"/>
        <w:rPr>
          <w:rFonts w:ascii="Verdana" w:eastAsia="Calibri" w:hAnsi="Verdana" w:cs="Arial"/>
          <w:sz w:val="14"/>
          <w:szCs w:val="14"/>
        </w:rPr>
      </w:pPr>
      <w:r>
        <w:rPr>
          <w:rFonts w:ascii="Verdana" w:eastAsia="Calibri" w:hAnsi="Verdana" w:cs="Arial"/>
          <w:sz w:val="14"/>
          <w:szCs w:val="14"/>
        </w:rPr>
        <w:t>“</w:t>
      </w:r>
      <w:r w:rsidRPr="00661B59">
        <w:rPr>
          <w:rFonts w:ascii="Verdana" w:eastAsia="Calibri" w:hAnsi="Verdana" w:cs="Arial"/>
          <w:sz w:val="14"/>
          <w:szCs w:val="14"/>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7151B687" w14:textId="77777777" w:rsidR="00897CD2" w:rsidRPr="00B61D9F" w:rsidRDefault="00897CD2" w:rsidP="00897CD2">
      <w:pPr>
        <w:ind w:firstLine="567"/>
        <w:jc w:val="both"/>
        <w:rPr>
          <w:rFonts w:ascii="Arial" w:hAnsi="Arial" w:cs="Arial"/>
          <w:sz w:val="19"/>
          <w:szCs w:val="19"/>
        </w:rPr>
      </w:pPr>
      <w:r>
        <w:rPr>
          <w:rFonts w:ascii="Verdana" w:eastAsia="Calibri" w:hAnsi="Verdana" w:cs="Arial"/>
          <w:sz w:val="14"/>
          <w:szCs w:val="14"/>
        </w:rPr>
        <w:t>“</w:t>
      </w:r>
      <w:r w:rsidRPr="00661B59">
        <w:rPr>
          <w:rFonts w:ascii="Verdana" w:eastAsia="Calibri" w:hAnsi="Verdana" w:cs="Arial"/>
          <w:sz w:val="14"/>
          <w:szCs w:val="14"/>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661B59">
        <w:rPr>
          <w:rFonts w:ascii="Verdana" w:eastAsia="Times New Roman" w:hAnsi="Verdana" w:cs="Arial"/>
          <w:sz w:val="14"/>
          <w:szCs w:val="14"/>
          <w:lang w:val="es-ES" w:eastAsia="es-ES_tradnl"/>
        </w:rPr>
        <w:t xml:space="preserve"> </w:t>
      </w:r>
      <w:r w:rsidRPr="00661B59">
        <w:rPr>
          <w:rFonts w:ascii="Verdana" w:hAnsi="Verdana" w:cs="Arial"/>
          <w:sz w:val="14"/>
          <w:szCs w:val="14"/>
        </w:rPr>
        <w:t>C</w:t>
      </w:r>
      <w:r>
        <w:rPr>
          <w:rFonts w:ascii="Verdana" w:hAnsi="Verdana" w:cs="Arial"/>
          <w:sz w:val="14"/>
          <w:szCs w:val="14"/>
        </w:rPr>
        <w:t>onsejo de Estado Sala de lo Contencioso Administrativo.</w:t>
      </w:r>
      <w:r w:rsidRPr="00661B59">
        <w:rPr>
          <w:rFonts w:ascii="Verdana" w:hAnsi="Verdana" w:cs="Arial"/>
          <w:sz w:val="14"/>
          <w:szCs w:val="14"/>
        </w:rPr>
        <w:t xml:space="preserve"> Sección Tercera. Sentencia del 19 de agosto de 2004. Exp. 12.342. C.P. Ramiro Saavedra Becerra.</w:t>
      </w:r>
    </w:p>
  </w:footnote>
  <w:footnote w:id="3">
    <w:p w14:paraId="66D452E0" w14:textId="77777777" w:rsidR="00897CD2" w:rsidRPr="00007AE0" w:rsidRDefault="00897CD2" w:rsidP="00897CD2">
      <w:pPr>
        <w:pStyle w:val="Textonotapie"/>
        <w:ind w:firstLine="709"/>
        <w:jc w:val="both"/>
        <w:rPr>
          <w:rFonts w:ascii="Verdana" w:hAnsi="Verdana" w:cs="Arial"/>
          <w:sz w:val="14"/>
          <w:szCs w:val="14"/>
        </w:rPr>
      </w:pPr>
      <w:r w:rsidRPr="00007AE0">
        <w:rPr>
          <w:rStyle w:val="Refdenotaalpie"/>
          <w:rFonts w:ascii="Verdana" w:hAnsi="Verdana" w:cs="Arial"/>
          <w:sz w:val="14"/>
          <w:szCs w:val="14"/>
        </w:rPr>
        <w:footnoteRef/>
      </w:r>
      <w:r w:rsidRPr="00007AE0">
        <w:rPr>
          <w:rFonts w:ascii="Verdana" w:hAnsi="Verdana" w:cs="Arial"/>
          <w:sz w:val="14"/>
          <w:szCs w:val="14"/>
        </w:rPr>
        <w:t xml:space="preserve"> 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 </w:t>
      </w:r>
    </w:p>
  </w:footnote>
  <w:footnote w:id="4">
    <w:p w14:paraId="7A7C42B3" w14:textId="77777777" w:rsidR="00897CD2" w:rsidRPr="00B548C4" w:rsidRDefault="00897CD2" w:rsidP="00897CD2">
      <w:pPr>
        <w:pStyle w:val="Textonotapie"/>
        <w:ind w:firstLine="567"/>
        <w:jc w:val="both"/>
        <w:rPr>
          <w:rFonts w:ascii="Arial" w:hAnsi="Arial" w:cs="Arial"/>
          <w:sz w:val="19"/>
          <w:szCs w:val="19"/>
        </w:rPr>
      </w:pPr>
    </w:p>
    <w:p w14:paraId="0C17B961" w14:textId="77777777" w:rsidR="00897CD2" w:rsidRPr="00007AE0" w:rsidRDefault="00897CD2" w:rsidP="00897CD2">
      <w:pPr>
        <w:pStyle w:val="Textonotapie"/>
        <w:ind w:firstLine="567"/>
        <w:jc w:val="both"/>
        <w:rPr>
          <w:rFonts w:ascii="Verdana" w:hAnsi="Verdana" w:cs="Arial"/>
          <w:sz w:val="14"/>
          <w:szCs w:val="14"/>
        </w:rPr>
      </w:pPr>
      <w:r w:rsidRPr="00007AE0">
        <w:rPr>
          <w:rStyle w:val="Refdenotaalpie"/>
          <w:rFonts w:ascii="Verdana" w:hAnsi="Verdana" w:cs="Arial"/>
          <w:sz w:val="14"/>
          <w:szCs w:val="14"/>
        </w:rPr>
        <w:footnoteRef/>
      </w:r>
      <w:r w:rsidRPr="00007AE0">
        <w:rPr>
          <w:rFonts w:ascii="Verdana" w:hAnsi="Verdana" w:cs="Arial"/>
          <w:sz w:val="14"/>
          <w:szCs w:val="14"/>
        </w:rPr>
        <w:t xml:space="preserve"> Artículo 24. Del régimen contractual de las Corporaciones Autónomas Regionales.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w:t>
      </w:r>
    </w:p>
  </w:footnote>
  <w:footnote w:id="5">
    <w:p w14:paraId="052F6488" w14:textId="77777777" w:rsidR="00897CD2" w:rsidRPr="00095793" w:rsidRDefault="00897CD2" w:rsidP="00897CD2">
      <w:pPr>
        <w:pStyle w:val="Textonotapie"/>
        <w:ind w:firstLine="709"/>
        <w:jc w:val="both"/>
        <w:rPr>
          <w:rFonts w:ascii="Verdana" w:hAnsi="Verdana" w:cs="Arial"/>
          <w:color w:val="000000" w:themeColor="text1"/>
          <w:sz w:val="14"/>
          <w:szCs w:val="14"/>
        </w:rPr>
      </w:pPr>
      <w:r w:rsidRPr="00095793">
        <w:rPr>
          <w:rStyle w:val="Refdenotaalpie"/>
          <w:rFonts w:ascii="Verdana" w:hAnsi="Verdana" w:cs="Arial"/>
          <w:color w:val="000000" w:themeColor="text1"/>
          <w:sz w:val="14"/>
          <w:szCs w:val="14"/>
        </w:rPr>
        <w:footnoteRef/>
      </w:r>
      <w:r w:rsidRPr="00095793">
        <w:rPr>
          <w:rFonts w:ascii="Verdana" w:hAnsi="Verdana" w:cs="Arial"/>
          <w:color w:val="000000" w:themeColor="text1"/>
          <w:sz w:val="14"/>
          <w:szCs w:val="14"/>
        </w:rPr>
        <w:t xml:space="preserve"> Ley 80 de 1993: «Artículo 2. De la definición de entidades, servidores y servicios públicos. Para los solos efectos de esta ley:</w:t>
      </w:r>
    </w:p>
    <w:p w14:paraId="063061EB" w14:textId="77777777" w:rsidR="00897CD2" w:rsidRPr="00095793" w:rsidRDefault="00897CD2" w:rsidP="00897CD2">
      <w:pPr>
        <w:pStyle w:val="Textonotapie"/>
        <w:ind w:firstLine="709"/>
        <w:jc w:val="both"/>
        <w:rPr>
          <w:rFonts w:ascii="Verdana" w:hAnsi="Verdana" w:cs="Arial"/>
          <w:color w:val="000000" w:themeColor="text1"/>
          <w:sz w:val="14"/>
          <w:szCs w:val="14"/>
        </w:rPr>
      </w:pPr>
      <w:r w:rsidRPr="00095793">
        <w:rPr>
          <w:rFonts w:ascii="Verdana" w:hAnsi="Verdana" w:cs="Arial"/>
          <w:color w:val="000000" w:themeColor="text1"/>
          <w:sz w:val="14"/>
          <w:szCs w:val="14"/>
        </w:rPr>
        <w:t>1. Se denominan entidades estatales:</w:t>
      </w:r>
    </w:p>
    <w:p w14:paraId="092923CE" w14:textId="77777777" w:rsidR="00897CD2" w:rsidRPr="00095793" w:rsidRDefault="00897CD2" w:rsidP="00897CD2">
      <w:pPr>
        <w:pStyle w:val="Textonotapie"/>
        <w:ind w:firstLine="709"/>
        <w:jc w:val="both"/>
        <w:rPr>
          <w:rFonts w:ascii="Verdana" w:hAnsi="Verdana" w:cs="Arial"/>
          <w:color w:val="000000" w:themeColor="text1"/>
          <w:sz w:val="14"/>
          <w:szCs w:val="14"/>
        </w:rPr>
      </w:pPr>
      <w:r w:rsidRPr="00095793">
        <w:rPr>
          <w:rFonts w:ascii="Verdana" w:hAnsi="Verdana" w:cs="Arial"/>
          <w:color w:val="000000" w:themeColor="text1"/>
          <w:sz w:val="14"/>
          <w:szCs w:val="14"/>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A4F487E" w14:textId="77777777" w:rsidR="00897CD2" w:rsidRPr="00095793" w:rsidRDefault="00897CD2" w:rsidP="00897CD2">
      <w:pPr>
        <w:pStyle w:val="Textonotapie"/>
        <w:ind w:firstLine="709"/>
        <w:jc w:val="both"/>
        <w:rPr>
          <w:rFonts w:ascii="Verdana" w:hAnsi="Verdana" w:cs="Arial"/>
          <w:color w:val="000000" w:themeColor="text1"/>
          <w:sz w:val="14"/>
          <w:szCs w:val="14"/>
        </w:rPr>
      </w:pPr>
      <w:r w:rsidRPr="00095793">
        <w:rPr>
          <w:rFonts w:ascii="Verdana" w:hAnsi="Verdana" w:cs="Arial"/>
          <w:color w:val="000000" w:themeColor="text1"/>
          <w:sz w:val="14"/>
          <w:szCs w:val="14"/>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1E9CB529" w14:textId="77777777" w:rsidR="00897CD2" w:rsidRPr="00095793" w:rsidRDefault="00897CD2" w:rsidP="00897CD2">
      <w:pPr>
        <w:pStyle w:val="Textonotapie"/>
        <w:ind w:firstLine="709"/>
        <w:jc w:val="both"/>
        <w:rPr>
          <w:rFonts w:ascii="Verdana" w:hAnsi="Verdana" w:cs="Arial"/>
          <w:color w:val="000000" w:themeColor="text1"/>
          <w:sz w:val="14"/>
          <w:szCs w:val="14"/>
        </w:rPr>
      </w:pPr>
    </w:p>
  </w:footnote>
  <w:footnote w:id="6">
    <w:p w14:paraId="7CDE9FE3" w14:textId="77777777" w:rsidR="00897CD2" w:rsidRDefault="00897CD2" w:rsidP="00897CD2">
      <w:pPr>
        <w:spacing w:after="0" w:line="240" w:lineRule="auto"/>
        <w:ind w:firstLine="590"/>
        <w:jc w:val="both"/>
        <w:rPr>
          <w:rFonts w:ascii="Verdana" w:hAnsi="Verdana" w:cs="Arial"/>
          <w:color w:val="000000" w:themeColor="text1"/>
          <w:sz w:val="14"/>
          <w:szCs w:val="14"/>
        </w:rPr>
      </w:pPr>
      <w:r w:rsidRPr="00095793">
        <w:rPr>
          <w:rStyle w:val="Refdenotaalpie"/>
          <w:rFonts w:ascii="Verdana" w:hAnsi="Verdana" w:cs="Arial"/>
          <w:sz w:val="14"/>
          <w:szCs w:val="14"/>
        </w:rPr>
        <w:footnoteRef/>
      </w:r>
      <w:r w:rsidRPr="00095793">
        <w:rPr>
          <w:rFonts w:ascii="Verdana" w:hAnsi="Verdana" w:cs="Arial"/>
          <w:sz w:val="14"/>
          <w:szCs w:val="14"/>
        </w:rPr>
        <w:t xml:space="preserve"> Corte Constitucional, sentencia C-414 de 1994, M.P. Antonio Barrera Carbonell </w:t>
      </w:r>
      <w:r w:rsidRPr="00095793">
        <w:rPr>
          <w:rFonts w:ascii="Verdana" w:hAnsi="Verdana" w:cs="Arial"/>
          <w:color w:val="000000" w:themeColor="text1"/>
          <w:sz w:val="14"/>
          <w:szCs w:val="14"/>
        </w:rPr>
        <w:t>«</w:t>
      </w:r>
      <w:r w:rsidRPr="00095793">
        <w:rPr>
          <w:rFonts w:ascii="Verdana" w:hAnsi="Verdana" w:cs="Arial"/>
          <w:sz w:val="14"/>
          <w:szCs w:val="14"/>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w:t>
      </w:r>
      <w:r w:rsidRPr="00095793">
        <w:rPr>
          <w:rFonts w:ascii="Verdana" w:hAnsi="Verdana" w:cs="Arial"/>
          <w:color w:val="000000" w:themeColor="text1"/>
          <w:sz w:val="14"/>
          <w:szCs w:val="14"/>
        </w:rPr>
        <w:t>.</w:t>
      </w:r>
    </w:p>
    <w:p w14:paraId="03A8B7F0" w14:textId="77777777" w:rsidR="00897CD2" w:rsidRPr="00095793" w:rsidRDefault="00897CD2" w:rsidP="00897CD2">
      <w:pPr>
        <w:spacing w:after="0" w:line="240" w:lineRule="auto"/>
        <w:ind w:firstLine="590"/>
        <w:jc w:val="both"/>
        <w:rPr>
          <w:rFonts w:ascii="Verdana" w:hAnsi="Verdana" w:cs="Arial"/>
          <w:sz w:val="14"/>
          <w:szCs w:val="14"/>
        </w:rPr>
      </w:pPr>
    </w:p>
  </w:footnote>
  <w:footnote w:id="7">
    <w:p w14:paraId="7AA51806" w14:textId="77777777" w:rsidR="00897CD2" w:rsidRDefault="00897CD2" w:rsidP="00897CD2">
      <w:pPr>
        <w:spacing w:after="0" w:line="240" w:lineRule="auto"/>
        <w:ind w:firstLine="590"/>
        <w:jc w:val="both"/>
        <w:rPr>
          <w:rFonts w:ascii="Verdana" w:hAnsi="Verdana" w:cs="Arial"/>
          <w:sz w:val="14"/>
          <w:szCs w:val="14"/>
        </w:rPr>
      </w:pPr>
      <w:r w:rsidRPr="00095793">
        <w:rPr>
          <w:rFonts w:ascii="Verdana" w:hAnsi="Verdana" w:cs="Arial"/>
          <w:sz w:val="14"/>
          <w:szCs w:val="14"/>
          <w:vertAlign w:val="superscript"/>
        </w:rPr>
        <w:footnoteRef/>
      </w:r>
      <w:r w:rsidRPr="00095793">
        <w:rPr>
          <w:rFonts w:ascii="Verdana" w:hAnsi="Verdana" w:cs="Arial"/>
          <w:sz w:val="14"/>
          <w:szCs w:val="14"/>
        </w:rPr>
        <w:t xml:space="preserve"> EXPOSITO VÉLEZ, Juan Carlos. Forma y contenido del contrato estatal. Universidad Externado de Colombia, Bogotá, 2013, 1ra Ed., p.112.</w:t>
      </w:r>
    </w:p>
    <w:p w14:paraId="2A9793F8" w14:textId="77777777" w:rsidR="00897CD2" w:rsidRPr="005B4A16" w:rsidRDefault="00897CD2" w:rsidP="00897CD2">
      <w:pPr>
        <w:spacing w:after="0" w:line="240" w:lineRule="auto"/>
        <w:ind w:firstLine="590"/>
        <w:jc w:val="both"/>
        <w:rPr>
          <w:rFonts w:ascii="Verdana" w:hAnsi="Verdana" w:cs="Arial"/>
          <w:sz w:val="14"/>
          <w:szCs w:val="14"/>
        </w:rPr>
      </w:pPr>
    </w:p>
  </w:footnote>
  <w:footnote w:id="8">
    <w:p w14:paraId="14145941" w14:textId="77777777" w:rsidR="00897CD2" w:rsidRPr="005B4A16" w:rsidRDefault="00897CD2" w:rsidP="00897CD2">
      <w:pPr>
        <w:pStyle w:val="Textonotapie"/>
        <w:ind w:firstLine="708"/>
        <w:jc w:val="both"/>
        <w:rPr>
          <w:rFonts w:ascii="Verdana" w:hAnsi="Verdana" w:cs="Arial"/>
          <w:color w:val="000000"/>
          <w:sz w:val="14"/>
          <w:szCs w:val="14"/>
        </w:rPr>
      </w:pPr>
      <w:r w:rsidRPr="005B4A16">
        <w:rPr>
          <w:rStyle w:val="Refdenotaalpie"/>
          <w:rFonts w:ascii="Verdana" w:hAnsi="Verdana"/>
          <w:sz w:val="14"/>
          <w:szCs w:val="14"/>
        </w:rPr>
        <w:footnoteRef/>
      </w:r>
      <w:r w:rsidRPr="005B4A16">
        <w:rPr>
          <w:rFonts w:ascii="Verdana" w:hAnsi="Verdana"/>
          <w:sz w:val="14"/>
          <w:szCs w:val="14"/>
        </w:rPr>
        <w:t xml:space="preserve"> </w:t>
      </w:r>
      <w:r w:rsidRPr="005B4A16">
        <w:rPr>
          <w:rFonts w:ascii="Verdana" w:hAnsi="Verdana" w:cs="Arial"/>
          <w:color w:val="000000"/>
          <w:sz w:val="14"/>
          <w:szCs w:val="14"/>
        </w:rPr>
        <w:t>Corte Constitucional, sentencia C-230 de 2008. M.P. Rodrigo Escobar Gil</w:t>
      </w:r>
      <w:r>
        <w:rPr>
          <w:rFonts w:ascii="Verdana" w:hAnsi="Verdana" w:cs="Arial"/>
          <w:color w:val="000000"/>
          <w:sz w:val="14"/>
          <w:szCs w:val="14"/>
        </w:rPr>
        <w:t>.</w:t>
      </w:r>
    </w:p>
    <w:p w14:paraId="6BB0C304" w14:textId="77777777" w:rsidR="00897CD2" w:rsidRPr="005B4A16" w:rsidRDefault="00897CD2" w:rsidP="00897CD2">
      <w:pPr>
        <w:pStyle w:val="Textonotapie"/>
        <w:ind w:firstLine="708"/>
        <w:jc w:val="both"/>
        <w:rPr>
          <w:rFonts w:ascii="Verdana" w:hAnsi="Verdana" w:cs="Arial"/>
          <w:color w:val="000000"/>
          <w:sz w:val="14"/>
          <w:szCs w:val="14"/>
        </w:rPr>
      </w:pPr>
      <w:r w:rsidRPr="005B4A16">
        <w:rPr>
          <w:rFonts w:ascii="Verdana" w:hAnsi="Verdana" w:cs="Arial"/>
          <w:color w:val="000000"/>
          <w:sz w:val="14"/>
          <w:szCs w:val="14"/>
        </w:rPr>
        <w:t xml:space="preserve"> </w:t>
      </w:r>
    </w:p>
  </w:footnote>
  <w:footnote w:id="9">
    <w:p w14:paraId="77365754" w14:textId="77777777" w:rsidR="00897CD2" w:rsidRPr="005B4A16" w:rsidRDefault="00897CD2" w:rsidP="00897CD2">
      <w:pPr>
        <w:pStyle w:val="Textonotapie"/>
        <w:ind w:firstLine="708"/>
        <w:jc w:val="both"/>
        <w:rPr>
          <w:rFonts w:ascii="Verdana" w:hAnsi="Verdana"/>
          <w:sz w:val="14"/>
          <w:szCs w:val="14"/>
          <w:lang w:val="es-ES_tradnl"/>
        </w:rPr>
      </w:pPr>
      <w:r w:rsidRPr="005B4A16">
        <w:rPr>
          <w:rStyle w:val="Refdenotaalpie"/>
          <w:rFonts w:ascii="Verdana" w:hAnsi="Verdana"/>
          <w:sz w:val="14"/>
          <w:szCs w:val="14"/>
        </w:rPr>
        <w:footnoteRef/>
      </w:r>
      <w:r w:rsidRPr="005B4A16">
        <w:rPr>
          <w:rFonts w:ascii="Verdana" w:hAnsi="Verdana"/>
          <w:sz w:val="14"/>
          <w:szCs w:val="14"/>
        </w:rPr>
        <w:t xml:space="preserve"> </w:t>
      </w:r>
      <w:r w:rsidRPr="005B4A16">
        <w:rPr>
          <w:rFonts w:ascii="Verdana" w:hAnsi="Verdana" w:cs="Arial"/>
          <w:color w:val="000000"/>
          <w:sz w:val="14"/>
          <w:szCs w:val="14"/>
        </w:rPr>
        <w:t>Por ejemplo: Sobre el Consejo Nacional de Trabajo Social, el Concepto 487 de 14/12/1992; sobre el Consejo profesional de Administración de Empresas, el Concepto 583 de 11/02</w:t>
      </w:r>
      <w:r>
        <w:rPr>
          <w:rFonts w:ascii="Verdana" w:hAnsi="Verdana" w:cs="Arial"/>
          <w:color w:val="000000"/>
          <w:sz w:val="14"/>
          <w:szCs w:val="14"/>
        </w:rPr>
        <w:t>/</w:t>
      </w:r>
      <w:r w:rsidRPr="005B4A16">
        <w:rPr>
          <w:rFonts w:ascii="Verdana" w:hAnsi="Verdana" w:cs="Arial"/>
          <w:color w:val="000000"/>
          <w:sz w:val="14"/>
          <w:szCs w:val="14"/>
        </w:rPr>
        <w:t>1994; sobre el Consejo Profesional de Agentes de Viaje y Turismo, el Concepto 630 de 9/09/1994; sobre el Consejo Nacional de Topografía, el Concepto 1590 de 14/10/2004, entre otros.</w:t>
      </w:r>
      <w:r w:rsidRPr="005B4A16">
        <w:rPr>
          <w:rFonts w:ascii="Verdana" w:hAnsi="Verdana"/>
          <w:sz w:val="14"/>
          <w:szCs w:val="14"/>
        </w:rPr>
        <w:t xml:space="preserve">   </w:t>
      </w:r>
    </w:p>
  </w:footnote>
  <w:footnote w:id="10">
    <w:p w14:paraId="7AC11A7D" w14:textId="77777777" w:rsidR="00897CD2" w:rsidRDefault="00897CD2" w:rsidP="00897CD2">
      <w:pPr>
        <w:pStyle w:val="Textonotapie"/>
        <w:ind w:firstLine="709"/>
        <w:rPr>
          <w:rFonts w:ascii="Verdana" w:hAnsi="Verdana"/>
          <w:sz w:val="14"/>
          <w:szCs w:val="14"/>
        </w:rPr>
      </w:pPr>
      <w:r w:rsidRPr="00EA7F39">
        <w:rPr>
          <w:rStyle w:val="Refdenotaalpie"/>
          <w:rFonts w:ascii="Verdana" w:hAnsi="Verdana"/>
          <w:sz w:val="14"/>
          <w:szCs w:val="14"/>
        </w:rPr>
        <w:footnoteRef/>
      </w:r>
      <w:r w:rsidRPr="00EA7F39">
        <w:rPr>
          <w:rFonts w:ascii="Verdana" w:hAnsi="Verdana"/>
          <w:sz w:val="14"/>
          <w:szCs w:val="14"/>
        </w:rPr>
        <w:t xml:space="preserve"> Consejo de Estado. Sala de Servicio y Consulta Civil. Concepto del 11 de febrero de 1994. Expediente 583. C.P: Roberto Suárez Franco. </w:t>
      </w:r>
    </w:p>
    <w:p w14:paraId="5D2219AE" w14:textId="77777777" w:rsidR="00897CD2" w:rsidRPr="00EA7F39" w:rsidRDefault="00897CD2" w:rsidP="00897CD2">
      <w:pPr>
        <w:pStyle w:val="Textonotapie"/>
        <w:ind w:firstLine="709"/>
        <w:rPr>
          <w:rFonts w:ascii="Verdana" w:hAnsi="Verdana"/>
          <w:sz w:val="14"/>
          <w:szCs w:val="14"/>
        </w:rPr>
      </w:pPr>
    </w:p>
  </w:footnote>
  <w:footnote w:id="11">
    <w:p w14:paraId="00401430" w14:textId="77777777" w:rsidR="00897CD2" w:rsidRDefault="00897CD2" w:rsidP="00897CD2">
      <w:pPr>
        <w:pStyle w:val="Textonotapie"/>
        <w:ind w:firstLine="709"/>
        <w:jc w:val="both"/>
        <w:rPr>
          <w:rFonts w:ascii="Verdana" w:hAnsi="Verdana"/>
          <w:sz w:val="14"/>
          <w:szCs w:val="14"/>
          <w:lang w:val="es-ES"/>
        </w:rPr>
      </w:pPr>
      <w:r w:rsidRPr="001D5030">
        <w:rPr>
          <w:rStyle w:val="Refdenotaalpie"/>
          <w:rFonts w:ascii="Verdana" w:hAnsi="Verdana"/>
          <w:sz w:val="14"/>
          <w:szCs w:val="14"/>
        </w:rPr>
        <w:footnoteRef/>
      </w:r>
      <w:r w:rsidRPr="001D5030">
        <w:rPr>
          <w:rFonts w:ascii="Verdana" w:hAnsi="Verdana"/>
          <w:sz w:val="14"/>
          <w:szCs w:val="14"/>
        </w:rPr>
        <w:t xml:space="preserve"> </w:t>
      </w:r>
      <w:r w:rsidRPr="001D5030">
        <w:rPr>
          <w:rFonts w:ascii="Verdana" w:hAnsi="Verdana"/>
          <w:sz w:val="14"/>
          <w:szCs w:val="14"/>
          <w:lang w:val="es-ES"/>
        </w:rPr>
        <w:t xml:space="preserve">Consejo de Estado. Sala de Servicio y Consulta Civil. Concepto 2 de diciembre de 2008. Radicado: Radicación número: 11001-03-06-000-2008-00076-00(1924). C.P: Enrique José Arboleda Perdomo. </w:t>
      </w:r>
    </w:p>
    <w:p w14:paraId="35531F19" w14:textId="77777777" w:rsidR="00897CD2" w:rsidRPr="001D5030" w:rsidRDefault="00897CD2" w:rsidP="00897CD2">
      <w:pPr>
        <w:pStyle w:val="Textonotapie"/>
        <w:ind w:firstLine="709"/>
        <w:jc w:val="both"/>
        <w:rPr>
          <w:rFonts w:ascii="Verdana" w:hAnsi="Verdana"/>
          <w:sz w:val="14"/>
          <w:szCs w:val="14"/>
          <w:lang w:val="es-ES"/>
        </w:rPr>
      </w:pPr>
    </w:p>
  </w:footnote>
  <w:footnote w:id="12">
    <w:p w14:paraId="50DCDB9F" w14:textId="77777777" w:rsidR="00897CD2" w:rsidRPr="001D5030" w:rsidRDefault="00897CD2" w:rsidP="00897CD2">
      <w:pPr>
        <w:pStyle w:val="Textonotapie"/>
        <w:ind w:firstLine="709"/>
        <w:rPr>
          <w:rFonts w:ascii="Verdana" w:hAnsi="Verdana"/>
          <w:sz w:val="14"/>
          <w:szCs w:val="14"/>
          <w:lang w:val="es-ES"/>
        </w:rPr>
      </w:pPr>
      <w:r w:rsidRPr="001D5030">
        <w:rPr>
          <w:rStyle w:val="Refdenotaalpie"/>
          <w:rFonts w:ascii="Verdana" w:hAnsi="Verdana"/>
          <w:sz w:val="14"/>
          <w:szCs w:val="14"/>
        </w:rPr>
        <w:footnoteRef/>
      </w:r>
      <w:r w:rsidRPr="001D5030">
        <w:rPr>
          <w:rFonts w:ascii="Verdana" w:hAnsi="Verdana"/>
          <w:sz w:val="14"/>
          <w:szCs w:val="14"/>
        </w:rPr>
        <w:t xml:space="preserve"> </w:t>
      </w:r>
      <w:r w:rsidRPr="001D5030">
        <w:rPr>
          <w:rFonts w:ascii="Verdana" w:hAnsi="Verdana"/>
          <w:sz w:val="14"/>
          <w:szCs w:val="14"/>
          <w:lang w:val="es-ES"/>
        </w:rPr>
        <w:t xml:space="preserve">Ibídem. </w:t>
      </w:r>
    </w:p>
  </w:footnote>
  <w:footnote w:id="13">
    <w:p w14:paraId="43E24D4F" w14:textId="77777777" w:rsidR="00897CD2" w:rsidRDefault="00897CD2" w:rsidP="00897CD2">
      <w:pPr>
        <w:pStyle w:val="Textonotapie"/>
        <w:rPr>
          <w:rFonts w:ascii="Verdana" w:hAnsi="Verdana"/>
          <w:sz w:val="14"/>
          <w:szCs w:val="14"/>
        </w:rPr>
      </w:pPr>
    </w:p>
    <w:p w14:paraId="5BBCB4C7" w14:textId="77777777" w:rsidR="00897CD2" w:rsidRPr="00C23001" w:rsidRDefault="00897CD2" w:rsidP="00897CD2">
      <w:pPr>
        <w:pStyle w:val="Textonotapie"/>
        <w:ind w:firstLine="709"/>
        <w:jc w:val="both"/>
        <w:rPr>
          <w:rFonts w:ascii="Verdana" w:hAnsi="Verdana"/>
          <w:sz w:val="14"/>
          <w:szCs w:val="14"/>
          <w:lang w:val="es-CO"/>
        </w:rPr>
      </w:pPr>
      <w:r w:rsidRPr="00C23001">
        <w:rPr>
          <w:rStyle w:val="Refdenotaalpie"/>
          <w:rFonts w:ascii="Verdana" w:hAnsi="Verdana"/>
          <w:sz w:val="14"/>
          <w:szCs w:val="14"/>
        </w:rPr>
        <w:footnoteRef/>
      </w:r>
      <w:r w:rsidRPr="00C23001">
        <w:rPr>
          <w:rFonts w:ascii="Verdana" w:hAnsi="Verdana"/>
          <w:sz w:val="14"/>
          <w:szCs w:val="14"/>
        </w:rPr>
        <w:t xml:space="preserve"> </w:t>
      </w:r>
      <w:r w:rsidRPr="00C23001">
        <w:rPr>
          <w:rFonts w:ascii="Verdana" w:hAnsi="Verdana"/>
          <w:b/>
          <w:bCs/>
          <w:sz w:val="14"/>
          <w:szCs w:val="14"/>
          <w:lang w:val="es-CO"/>
        </w:rPr>
        <w:t>Artículo octavo.</w:t>
      </w:r>
      <w:r w:rsidRPr="00C23001">
        <w:rPr>
          <w:rFonts w:ascii="Verdana" w:hAnsi="Verdana"/>
          <w:sz w:val="14"/>
          <w:szCs w:val="14"/>
          <w:lang w:val="es-CO"/>
        </w:rPr>
        <w:t> Créase el Consejo Profesional de Administración de Empresas, el cual estará integrado por: </w:t>
      </w:r>
    </w:p>
    <w:p w14:paraId="71701167" w14:textId="77777777" w:rsidR="00897CD2" w:rsidRPr="00C23001" w:rsidRDefault="00897CD2" w:rsidP="00897CD2">
      <w:pPr>
        <w:pStyle w:val="Textonotapie"/>
        <w:ind w:firstLine="709"/>
        <w:jc w:val="both"/>
        <w:rPr>
          <w:rFonts w:ascii="Verdana" w:hAnsi="Verdana"/>
          <w:sz w:val="14"/>
          <w:szCs w:val="14"/>
          <w:lang w:val="es-CO"/>
        </w:rPr>
      </w:pPr>
      <w:r w:rsidRPr="00C23001">
        <w:rPr>
          <w:rFonts w:ascii="Verdana" w:hAnsi="Verdana"/>
          <w:sz w:val="14"/>
          <w:szCs w:val="14"/>
          <w:lang w:val="es-CO"/>
        </w:rPr>
        <w:t>a) El Ministro de Educación Nacional o su delegado; </w:t>
      </w:r>
    </w:p>
    <w:p w14:paraId="735897D2" w14:textId="77777777" w:rsidR="00897CD2" w:rsidRPr="00C23001" w:rsidRDefault="00897CD2" w:rsidP="00897CD2">
      <w:pPr>
        <w:pStyle w:val="Textonotapie"/>
        <w:ind w:firstLine="709"/>
        <w:jc w:val="both"/>
        <w:rPr>
          <w:rFonts w:ascii="Verdana" w:hAnsi="Verdana"/>
          <w:sz w:val="14"/>
          <w:szCs w:val="14"/>
          <w:lang w:val="es-CO"/>
        </w:rPr>
      </w:pPr>
      <w:r w:rsidRPr="00C23001">
        <w:rPr>
          <w:rFonts w:ascii="Verdana" w:hAnsi="Verdana"/>
          <w:sz w:val="14"/>
          <w:szCs w:val="14"/>
          <w:lang w:val="es-CO"/>
        </w:rPr>
        <w:t>b) El Ministro de Desarrollo Económico o su delegado; </w:t>
      </w:r>
    </w:p>
    <w:p w14:paraId="28C559C9" w14:textId="77777777" w:rsidR="00897CD2" w:rsidRPr="00C23001" w:rsidRDefault="00897CD2" w:rsidP="00897CD2">
      <w:pPr>
        <w:pStyle w:val="Textonotapie"/>
        <w:ind w:firstLine="709"/>
        <w:jc w:val="both"/>
        <w:rPr>
          <w:rFonts w:ascii="Verdana" w:hAnsi="Verdana"/>
          <w:sz w:val="14"/>
          <w:szCs w:val="14"/>
          <w:lang w:val="es-CO"/>
        </w:rPr>
      </w:pPr>
      <w:r w:rsidRPr="00C23001">
        <w:rPr>
          <w:rFonts w:ascii="Verdana" w:hAnsi="Verdana"/>
          <w:sz w:val="14"/>
          <w:szCs w:val="14"/>
          <w:lang w:val="es-CO"/>
        </w:rPr>
        <w:t>c) Dos (2) representantes de las facultades o Escuelas Universitarias, oficialmente aprobadas que otorguen el título de Profesional en Administración de Empresas, elegidos por los decanos y directores respectivos. Por lo menos uno de estos representantes deberá pertenecer a una facultad o Escuela Universitaria que tenga su sede fuera de Bogotá; </w:t>
      </w:r>
    </w:p>
    <w:p w14:paraId="36124FA8" w14:textId="77777777" w:rsidR="00897CD2" w:rsidRPr="00C23001" w:rsidRDefault="00897CD2" w:rsidP="00897CD2">
      <w:pPr>
        <w:pStyle w:val="Textonotapie"/>
        <w:ind w:firstLine="709"/>
        <w:jc w:val="both"/>
        <w:rPr>
          <w:rFonts w:ascii="Verdana" w:hAnsi="Verdana"/>
          <w:sz w:val="14"/>
          <w:szCs w:val="14"/>
          <w:lang w:val="es-CO"/>
        </w:rPr>
      </w:pPr>
      <w:r w:rsidRPr="00C23001">
        <w:rPr>
          <w:rFonts w:ascii="Verdana" w:hAnsi="Verdana"/>
          <w:sz w:val="14"/>
          <w:szCs w:val="14"/>
          <w:lang w:val="es-CO"/>
        </w:rPr>
        <w:t>d) Dos (2) representantes de la Asociación de Administradores de Empresas o sus equivalentes, que estén legalmente constituidos, los cuales serán elegidos en Asamblea General de Asociaciones. Por lo menos uno de estos representantes deberá pertenecer a una Asociación que tenga su sede fuera de Bogotá; </w:t>
      </w:r>
    </w:p>
    <w:p w14:paraId="7786BF7D" w14:textId="77777777" w:rsidR="00897CD2" w:rsidRDefault="00897CD2" w:rsidP="00897CD2">
      <w:pPr>
        <w:pStyle w:val="Textonotapie"/>
        <w:ind w:firstLine="709"/>
        <w:jc w:val="both"/>
        <w:rPr>
          <w:rFonts w:ascii="Verdana" w:hAnsi="Verdana"/>
          <w:sz w:val="14"/>
          <w:szCs w:val="14"/>
          <w:lang w:val="es-CO"/>
        </w:rPr>
      </w:pPr>
      <w:r w:rsidRPr="00C23001">
        <w:rPr>
          <w:rFonts w:ascii="Verdana" w:hAnsi="Verdana"/>
          <w:sz w:val="14"/>
          <w:szCs w:val="14"/>
          <w:lang w:val="es-CO"/>
        </w:rPr>
        <w:t>e) Un (1) representante de las agremiaciones empresariales elegido por la Presidencia de la República. </w:t>
      </w:r>
    </w:p>
    <w:p w14:paraId="076D07FD" w14:textId="77777777" w:rsidR="00897CD2" w:rsidRPr="00C23001" w:rsidRDefault="00897CD2" w:rsidP="00897CD2">
      <w:pPr>
        <w:pStyle w:val="Textonotapie"/>
        <w:rPr>
          <w:lang w:val="es-ES"/>
        </w:rPr>
      </w:pPr>
    </w:p>
  </w:footnote>
  <w:footnote w:id="14">
    <w:p w14:paraId="7CD825D6" w14:textId="77777777" w:rsidR="00897CD2" w:rsidRPr="004E07D0" w:rsidRDefault="00897CD2" w:rsidP="00897CD2">
      <w:pPr>
        <w:pStyle w:val="Textonotapie"/>
        <w:ind w:firstLine="709"/>
        <w:jc w:val="both"/>
        <w:rPr>
          <w:rFonts w:ascii="Verdana" w:hAnsi="Verdana"/>
          <w:sz w:val="14"/>
          <w:szCs w:val="14"/>
          <w:lang w:val="es-CO"/>
        </w:rPr>
      </w:pPr>
      <w:r w:rsidRPr="004E07D0">
        <w:rPr>
          <w:rStyle w:val="Refdenotaalpie"/>
          <w:rFonts w:ascii="Verdana" w:hAnsi="Verdana"/>
          <w:sz w:val="14"/>
          <w:szCs w:val="14"/>
        </w:rPr>
        <w:footnoteRef/>
      </w:r>
      <w:r w:rsidRPr="004E07D0">
        <w:rPr>
          <w:rFonts w:ascii="Verdana" w:hAnsi="Verdana"/>
          <w:sz w:val="14"/>
          <w:szCs w:val="14"/>
        </w:rPr>
        <w:t xml:space="preserve"> </w:t>
      </w:r>
      <w:r w:rsidRPr="004E07D0">
        <w:rPr>
          <w:rFonts w:ascii="Verdana" w:hAnsi="Verdana"/>
          <w:sz w:val="14"/>
          <w:szCs w:val="14"/>
          <w:lang w:val="es-CO"/>
        </w:rPr>
        <w:t xml:space="preserve">A través de la Resolución 0952 del 6 de julio de 2022 expedida por el Ministerio de Comercio, Industria y Comercio aprobó el Acuerdo 01 de 2022 por medio de la cual se consolida el reglamento interno del Consejo Profesional de Administración de Empresas, así como el reglamento de la elección de los representantes de las facultades y asociaciones ante el Consejo Directivo del Consejo Profesional de Administración de Empresas. </w:t>
      </w:r>
    </w:p>
    <w:p w14:paraId="0B30740A" w14:textId="77777777" w:rsidR="00897CD2" w:rsidRPr="004E07D0" w:rsidRDefault="00897CD2" w:rsidP="00897CD2">
      <w:pPr>
        <w:pStyle w:val="Textonotapie"/>
        <w:ind w:firstLine="709"/>
        <w:jc w:val="both"/>
        <w:rPr>
          <w:rFonts w:ascii="Verdana" w:hAnsi="Verdana"/>
          <w:sz w:val="14"/>
          <w:szCs w:val="14"/>
          <w:lang w:val="es-CO"/>
        </w:rPr>
      </w:pPr>
    </w:p>
    <w:p w14:paraId="5CE04952" w14:textId="77777777" w:rsidR="00897CD2" w:rsidRPr="004E07D0" w:rsidRDefault="00897CD2" w:rsidP="00897CD2">
      <w:pPr>
        <w:pStyle w:val="Textonotapie"/>
        <w:ind w:firstLine="709"/>
        <w:jc w:val="both"/>
        <w:rPr>
          <w:rFonts w:ascii="Verdana" w:hAnsi="Verdana"/>
          <w:sz w:val="14"/>
          <w:szCs w:val="14"/>
          <w:lang w:val="es-CO"/>
        </w:rPr>
      </w:pPr>
      <w:r w:rsidRPr="004E07D0">
        <w:rPr>
          <w:rFonts w:ascii="Verdana" w:hAnsi="Verdana"/>
          <w:sz w:val="14"/>
          <w:szCs w:val="14"/>
          <w:lang w:val="es-CO"/>
        </w:rPr>
        <w:t xml:space="preserve">En este contexto, el artículo 1 del Acuerdo 01 de 2002 definió la estructura del Consejo Directivo en los siguientes términos: “En concordancia con lo establecido en el artículo 8° de la Ley 60 de 1981, la Ley 20 de 1988, y la Ley 962 del 8 de julio de 2005 o Ley anti trámites en su artículo 64, el Consejo Directico del Consejo Profesional de Administración de Empresas, estará integrado por: </w:t>
      </w:r>
    </w:p>
    <w:p w14:paraId="2369B6A4" w14:textId="77777777" w:rsidR="00897CD2" w:rsidRPr="004E07D0" w:rsidRDefault="00897CD2" w:rsidP="00897CD2">
      <w:pPr>
        <w:pStyle w:val="Textonotapie"/>
        <w:numPr>
          <w:ilvl w:val="0"/>
          <w:numId w:val="21"/>
        </w:numPr>
        <w:jc w:val="both"/>
        <w:rPr>
          <w:rFonts w:ascii="Verdana" w:hAnsi="Verdana"/>
          <w:sz w:val="14"/>
          <w:szCs w:val="14"/>
          <w:lang w:val="es-CO"/>
        </w:rPr>
      </w:pPr>
      <w:r w:rsidRPr="004E07D0">
        <w:rPr>
          <w:rFonts w:ascii="Verdana" w:hAnsi="Verdana"/>
          <w:sz w:val="14"/>
          <w:szCs w:val="14"/>
          <w:lang w:val="es-CO"/>
        </w:rPr>
        <w:t xml:space="preserve">El Ministro de Comercio, Industria y Turismo o su delegado, quien lo presidirá. </w:t>
      </w:r>
    </w:p>
    <w:p w14:paraId="299081FA" w14:textId="77777777" w:rsidR="00897CD2" w:rsidRDefault="00897CD2" w:rsidP="00897CD2">
      <w:pPr>
        <w:pStyle w:val="Textonotapie"/>
        <w:numPr>
          <w:ilvl w:val="0"/>
          <w:numId w:val="21"/>
        </w:numPr>
        <w:jc w:val="both"/>
        <w:rPr>
          <w:rFonts w:ascii="Verdana" w:hAnsi="Verdana"/>
          <w:sz w:val="14"/>
          <w:szCs w:val="14"/>
          <w:lang w:val="es-CO"/>
        </w:rPr>
      </w:pPr>
      <w:r w:rsidRPr="004E07D0">
        <w:rPr>
          <w:rFonts w:ascii="Verdana" w:hAnsi="Verdana"/>
          <w:sz w:val="14"/>
          <w:szCs w:val="14"/>
          <w:lang w:val="es-CO"/>
        </w:rPr>
        <w:t>B) Dos (2) representantes de las facultades o escuelas universitarias, oficialmente aprobadas que otorguen título de Profesional en Administración de Empresas, elegidos por los Decanos y Directivos respectivos. Por lo menos uno de los representantes deberá pertenecer a una facultad o Escuela Universitaria que tenga</w:t>
      </w:r>
      <w:r>
        <w:rPr>
          <w:rFonts w:ascii="Verdana" w:hAnsi="Verdana"/>
          <w:sz w:val="14"/>
          <w:szCs w:val="14"/>
          <w:lang w:val="es-CO"/>
        </w:rPr>
        <w:t xml:space="preserve"> su sede fuera de Bogotá. </w:t>
      </w:r>
    </w:p>
    <w:p w14:paraId="27D729D7" w14:textId="77777777" w:rsidR="00897CD2" w:rsidRDefault="00897CD2" w:rsidP="00897CD2">
      <w:pPr>
        <w:pStyle w:val="Textonotapie"/>
        <w:numPr>
          <w:ilvl w:val="0"/>
          <w:numId w:val="21"/>
        </w:numPr>
        <w:jc w:val="both"/>
        <w:rPr>
          <w:rFonts w:ascii="Verdana" w:hAnsi="Verdana"/>
          <w:sz w:val="14"/>
          <w:szCs w:val="14"/>
          <w:lang w:val="es-CO"/>
        </w:rPr>
      </w:pPr>
      <w:r>
        <w:rPr>
          <w:rFonts w:ascii="Verdana" w:hAnsi="Verdana"/>
          <w:sz w:val="14"/>
          <w:szCs w:val="14"/>
          <w:lang w:val="es-CO"/>
        </w:rPr>
        <w:t>Dos (2) representantes de la asociación de administradores de empresas o sus equivalentes, que estén legalmente constituidas, los cuales serán elegidos en las Asamblea General de Asociaciones. Por lo menos uno de estos representantes deberá pertenecer a una Asociación que tenga su sede fuera de Bogotá.</w:t>
      </w:r>
    </w:p>
    <w:p w14:paraId="046CE4AA" w14:textId="77777777" w:rsidR="00897CD2" w:rsidRDefault="00897CD2" w:rsidP="00897CD2">
      <w:pPr>
        <w:pStyle w:val="Textonotapie"/>
        <w:numPr>
          <w:ilvl w:val="0"/>
          <w:numId w:val="21"/>
        </w:numPr>
        <w:jc w:val="both"/>
        <w:rPr>
          <w:rFonts w:ascii="Verdana" w:hAnsi="Verdana"/>
          <w:sz w:val="14"/>
          <w:szCs w:val="14"/>
          <w:lang w:val="es-CO"/>
        </w:rPr>
      </w:pPr>
      <w:r>
        <w:rPr>
          <w:rFonts w:ascii="Verdana" w:hAnsi="Verdana"/>
          <w:sz w:val="14"/>
          <w:szCs w:val="14"/>
          <w:lang w:val="es-CO"/>
        </w:rPr>
        <w:t xml:space="preserve">Un (1) representante de las agremiaciones empresariales elegido por la Presidencia de la República.  </w:t>
      </w:r>
    </w:p>
    <w:p w14:paraId="608D1324" w14:textId="77777777" w:rsidR="00897CD2" w:rsidRDefault="00897CD2" w:rsidP="00897CD2">
      <w:pPr>
        <w:pStyle w:val="Textonotapie"/>
        <w:ind w:left="720"/>
        <w:jc w:val="both"/>
        <w:rPr>
          <w:rFonts w:ascii="Verdana" w:hAnsi="Verdana"/>
          <w:sz w:val="14"/>
          <w:szCs w:val="14"/>
          <w:lang w:val="es-CO"/>
        </w:rPr>
      </w:pPr>
    </w:p>
    <w:p w14:paraId="1F242D90" w14:textId="77777777" w:rsidR="00897CD2" w:rsidRDefault="00897CD2" w:rsidP="00897CD2">
      <w:pPr>
        <w:pStyle w:val="Textonotapie"/>
        <w:ind w:left="720"/>
        <w:jc w:val="both"/>
        <w:rPr>
          <w:rFonts w:ascii="Verdana" w:hAnsi="Verdana"/>
          <w:sz w:val="14"/>
          <w:szCs w:val="14"/>
          <w:lang w:val="es-CO"/>
        </w:rPr>
      </w:pPr>
      <w:r>
        <w:rPr>
          <w:rFonts w:ascii="Verdana" w:hAnsi="Verdana"/>
          <w:sz w:val="14"/>
          <w:szCs w:val="14"/>
          <w:lang w:val="es-CO"/>
        </w:rPr>
        <w:t xml:space="preserve">Parágrafo 1: El consejo Directivo será presidido por el Ministro de Comercio, Industria y Comercio, o en su defecto, por su delegado. </w:t>
      </w:r>
    </w:p>
    <w:p w14:paraId="49F4ACDA" w14:textId="77777777" w:rsidR="00897CD2" w:rsidRPr="004E07D0" w:rsidRDefault="00897CD2" w:rsidP="00897CD2">
      <w:pPr>
        <w:pStyle w:val="Textonotapie"/>
        <w:rPr>
          <w:lang w:val="es-CO"/>
        </w:rPr>
      </w:pPr>
    </w:p>
  </w:footnote>
  <w:footnote w:id="15">
    <w:p w14:paraId="4A98023C" w14:textId="77777777" w:rsidR="00897CD2" w:rsidRDefault="00897CD2" w:rsidP="00897CD2">
      <w:pPr>
        <w:pStyle w:val="Textonotapie"/>
        <w:ind w:firstLine="709"/>
        <w:rPr>
          <w:rFonts w:ascii="Verdana" w:hAnsi="Verdana"/>
          <w:sz w:val="14"/>
          <w:szCs w:val="14"/>
          <w:lang w:val="es-ES"/>
        </w:rPr>
      </w:pPr>
      <w:r w:rsidRPr="008B77A8">
        <w:rPr>
          <w:rStyle w:val="Refdenotaalpie"/>
          <w:rFonts w:ascii="Verdana" w:hAnsi="Verdana"/>
          <w:sz w:val="14"/>
          <w:szCs w:val="14"/>
        </w:rPr>
        <w:footnoteRef/>
      </w:r>
      <w:r w:rsidRPr="008B77A8">
        <w:rPr>
          <w:rFonts w:ascii="Verdana" w:hAnsi="Verdana"/>
          <w:sz w:val="14"/>
          <w:szCs w:val="14"/>
        </w:rPr>
        <w:t xml:space="preserve"> </w:t>
      </w:r>
      <w:r w:rsidRPr="008B77A8">
        <w:rPr>
          <w:rFonts w:ascii="Verdana" w:hAnsi="Verdana"/>
          <w:sz w:val="14"/>
          <w:szCs w:val="14"/>
          <w:lang w:val="es-ES"/>
        </w:rPr>
        <w:t xml:space="preserve">De acuerdo con el artículo 4 de la Ley 790 de 2002 se fusionaron los Ministerios de Desarrollo Económico y de Comercio Exterior, conformado ahora por el Ministerio de Comercio, Industria y Comercio. </w:t>
      </w:r>
    </w:p>
    <w:p w14:paraId="47A25A67" w14:textId="77777777" w:rsidR="006D4C4F" w:rsidRPr="008B77A8" w:rsidRDefault="006D4C4F" w:rsidP="00897CD2">
      <w:pPr>
        <w:pStyle w:val="Textonotapie"/>
        <w:ind w:firstLine="709"/>
        <w:rPr>
          <w:rFonts w:ascii="Verdana" w:hAnsi="Verdana"/>
          <w:sz w:val="14"/>
          <w:szCs w:val="14"/>
          <w:lang w:val="es-ES"/>
        </w:rPr>
      </w:pPr>
    </w:p>
  </w:footnote>
  <w:footnote w:id="16">
    <w:p w14:paraId="449A85DF" w14:textId="77777777" w:rsidR="00897CD2" w:rsidRPr="000E35C3" w:rsidRDefault="00897CD2" w:rsidP="00897CD2">
      <w:pPr>
        <w:pStyle w:val="Textonotapie"/>
        <w:ind w:firstLine="709"/>
        <w:jc w:val="both"/>
        <w:rPr>
          <w:rFonts w:ascii="Verdana" w:hAnsi="Verdana"/>
          <w:sz w:val="14"/>
          <w:szCs w:val="14"/>
        </w:rPr>
      </w:pPr>
      <w:r w:rsidRPr="000E35C3">
        <w:rPr>
          <w:rStyle w:val="Refdenotaalpie"/>
          <w:rFonts w:ascii="Verdana" w:hAnsi="Verdana"/>
          <w:sz w:val="14"/>
          <w:szCs w:val="14"/>
        </w:rPr>
        <w:footnoteRef/>
      </w:r>
      <w:r w:rsidRPr="000E35C3">
        <w:rPr>
          <w:rFonts w:ascii="Verdana" w:hAnsi="Verdana"/>
          <w:sz w:val="14"/>
          <w:szCs w:val="14"/>
        </w:rPr>
        <w:t xml:space="preserve"> Código Civil, art. 1741: “…Hay asimismo nulidad absoluta en los actos y contratos de las personas absolutamente incapaces…”.</w:t>
      </w:r>
    </w:p>
    <w:p w14:paraId="770EA030" w14:textId="77777777" w:rsidR="00897CD2" w:rsidRPr="000E35C3" w:rsidRDefault="00897CD2" w:rsidP="00897CD2">
      <w:pPr>
        <w:pStyle w:val="Textonotapie"/>
        <w:rPr>
          <w:sz w:val="14"/>
          <w:szCs w:val="14"/>
        </w:rPr>
      </w:pPr>
    </w:p>
  </w:footnote>
  <w:footnote w:id="17">
    <w:p w14:paraId="07244C06" w14:textId="77777777" w:rsidR="00897CD2" w:rsidRPr="000E35C3" w:rsidRDefault="00897CD2" w:rsidP="00897CD2">
      <w:pPr>
        <w:pStyle w:val="Textonotapie"/>
        <w:ind w:firstLine="709"/>
        <w:jc w:val="both"/>
        <w:rPr>
          <w:rFonts w:ascii="Verdana" w:hAnsi="Verdana"/>
          <w:sz w:val="14"/>
          <w:szCs w:val="14"/>
          <w:lang w:val="es-ES"/>
        </w:rPr>
      </w:pPr>
      <w:r w:rsidRPr="000E35C3">
        <w:rPr>
          <w:rStyle w:val="Refdenotaalpie"/>
          <w:rFonts w:ascii="Verdana" w:hAnsi="Verdana"/>
          <w:sz w:val="14"/>
          <w:szCs w:val="14"/>
        </w:rPr>
        <w:footnoteRef/>
      </w:r>
      <w:r w:rsidRPr="000E35C3">
        <w:rPr>
          <w:rFonts w:ascii="Verdana" w:hAnsi="Verdana"/>
          <w:sz w:val="14"/>
          <w:szCs w:val="14"/>
        </w:rPr>
        <w:t xml:space="preserve"> </w:t>
      </w:r>
      <w:r w:rsidRPr="000E35C3">
        <w:rPr>
          <w:rFonts w:ascii="Verdana" w:hAnsi="Verdana"/>
          <w:sz w:val="14"/>
          <w:szCs w:val="14"/>
          <w:lang w:val="es-ES"/>
        </w:rPr>
        <w:t xml:space="preserve">De acuerdo con lo establecido en el parágrafo 1 del artículo 1 del Acuerdo 001 de 2022 expedida por el Ministerio de Industria y Comercio, el Ministro de Comercio, Industria y Comercio presidirá dicho Consejo. </w:t>
      </w:r>
    </w:p>
  </w:footnote>
  <w:footnote w:id="18">
    <w:p w14:paraId="16853BF4" w14:textId="77777777" w:rsidR="00897CD2" w:rsidRPr="00E4092E" w:rsidRDefault="00897CD2" w:rsidP="00897CD2">
      <w:pPr>
        <w:pStyle w:val="Textonotapie"/>
        <w:ind w:firstLine="709"/>
        <w:jc w:val="both"/>
        <w:rPr>
          <w:rFonts w:ascii="Verdana" w:hAnsi="Verdana"/>
          <w:sz w:val="14"/>
          <w:szCs w:val="14"/>
        </w:rPr>
      </w:pPr>
      <w:r w:rsidRPr="00E4092E">
        <w:rPr>
          <w:rStyle w:val="Refdenotaalpie"/>
          <w:rFonts w:ascii="Verdana" w:hAnsi="Verdana"/>
          <w:sz w:val="14"/>
          <w:szCs w:val="14"/>
        </w:rPr>
        <w:footnoteRef/>
      </w:r>
      <w:r w:rsidRPr="00E4092E">
        <w:rPr>
          <w:rFonts w:ascii="Verdana" w:hAnsi="Verdana"/>
          <w:sz w:val="14"/>
          <w:szCs w:val="14"/>
        </w:rPr>
        <w:t xml:space="preserve"> Un ejemplo de la misma es lo previsto en el artículo 842 del Código de Comercio que dispone:</w:t>
      </w:r>
    </w:p>
    <w:p w14:paraId="1059B4D8" w14:textId="77777777" w:rsidR="00897CD2" w:rsidRPr="00E4092E" w:rsidRDefault="00897CD2" w:rsidP="00897CD2">
      <w:pPr>
        <w:ind w:right="20" w:firstLine="709"/>
        <w:jc w:val="both"/>
        <w:rPr>
          <w:rFonts w:ascii="Verdana" w:hAnsi="Verdana"/>
          <w:sz w:val="14"/>
          <w:szCs w:val="14"/>
        </w:rPr>
      </w:pPr>
      <w:r w:rsidRPr="00E4092E">
        <w:rPr>
          <w:rFonts w:ascii="Verdana" w:hAnsi="Verdana"/>
          <w:sz w:val="14"/>
          <w:szCs w:val="14"/>
        </w:rPr>
        <w:t>“Art. 842. Quien dé motivo a que se crea, conforme a las costumbres comerciales o por su culpa, que una persona está facultada para celebrar un negocio jurídico, quedará obligado en los términos pactados ante terceros de buena fe exenta de culpa”.</w:t>
      </w:r>
    </w:p>
  </w:footnote>
  <w:footnote w:id="19">
    <w:p w14:paraId="5C7B7498" w14:textId="77777777" w:rsidR="00897CD2" w:rsidRPr="00E4092E" w:rsidRDefault="00897CD2" w:rsidP="00897CD2">
      <w:pPr>
        <w:pStyle w:val="Textonotapie"/>
        <w:ind w:firstLine="709"/>
        <w:jc w:val="both"/>
        <w:rPr>
          <w:rFonts w:ascii="Verdana" w:hAnsi="Verdana"/>
          <w:sz w:val="14"/>
          <w:szCs w:val="14"/>
        </w:rPr>
      </w:pPr>
      <w:r w:rsidRPr="00E4092E">
        <w:rPr>
          <w:rStyle w:val="Refdenotaalpie"/>
          <w:rFonts w:ascii="Verdana" w:hAnsi="Verdana"/>
          <w:sz w:val="14"/>
          <w:szCs w:val="14"/>
        </w:rPr>
        <w:footnoteRef/>
      </w:r>
      <w:r w:rsidRPr="00E4092E">
        <w:rPr>
          <w:rFonts w:ascii="Verdana" w:hAnsi="Verdana"/>
          <w:sz w:val="14"/>
          <w:szCs w:val="14"/>
        </w:rPr>
        <w:t xml:space="preserve"> La doctrina española al explicar la teoría del acto propio, expone como una de las características de la misma que “el comportamiento que tiene fuerza vinculante debe ser inequívoco, claro y concluyente </w:t>
      </w:r>
      <w:r w:rsidRPr="00E4092E">
        <w:rPr>
          <w:rFonts w:ascii="Verdana" w:hAnsi="Verdana"/>
          <w:i/>
          <w:sz w:val="14"/>
          <w:szCs w:val="14"/>
        </w:rPr>
        <w:t>‘facta concludentia’</w:t>
      </w:r>
      <w:r w:rsidRPr="00E4092E">
        <w:rPr>
          <w:rFonts w:ascii="Verdana" w:hAnsi="Verdana"/>
          <w:sz w:val="14"/>
          <w:szCs w:val="14"/>
        </w:rPr>
        <w:t xml:space="preserve">. No basta con crear una apariencia de la que se infiera una presunción o una hipótesis de probabilidad. El significado de la conducta debe ser indubitado; la actuación que puede ser objeto de varias interpretaciones no tiene esa misma fuerza de obligar, que no puede residenciarse en la percepción subjetiva de terceros (…) la conducta debe ser objetivamente interpretada. Lo importante no es la percepción sicológica sino que se trate de un comportamiento socialmente estandarizado o una conducta socialmente típica…”. Blanquer David, Curso de Derecho Administrativo, Tomo III. Ediciones Tirant lo Blanch. Valencia, 2006. Pág. 110. </w:t>
      </w:r>
    </w:p>
    <w:p w14:paraId="0734D8EB" w14:textId="77777777" w:rsidR="00897CD2" w:rsidRPr="00E4092E" w:rsidRDefault="00897CD2" w:rsidP="00897CD2">
      <w:pPr>
        <w:pStyle w:val="Textonotapie"/>
        <w:rPr>
          <w:lang w:val="es-ES"/>
        </w:rPr>
      </w:pPr>
    </w:p>
  </w:footnote>
  <w:footnote w:id="20">
    <w:p w14:paraId="11725FDA" w14:textId="77777777" w:rsidR="00897CD2" w:rsidRPr="00676106" w:rsidRDefault="00897CD2" w:rsidP="00897CD2">
      <w:pPr>
        <w:pStyle w:val="Textonotapie"/>
        <w:ind w:firstLine="709"/>
        <w:jc w:val="both"/>
        <w:rPr>
          <w:rFonts w:ascii="Verdana" w:hAnsi="Verdana" w:cs="Arial"/>
          <w:sz w:val="14"/>
          <w:szCs w:val="14"/>
        </w:rPr>
      </w:pPr>
      <w:r w:rsidRPr="00676106">
        <w:rPr>
          <w:rStyle w:val="Refdenotaalpie"/>
          <w:rFonts w:ascii="Verdana" w:hAnsi="Verdana" w:cs="Arial"/>
          <w:sz w:val="14"/>
          <w:szCs w:val="14"/>
        </w:rPr>
        <w:footnoteRef/>
      </w:r>
      <w:r w:rsidRPr="00676106">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BD3F5AD" w14:textId="77777777" w:rsidR="00897CD2" w:rsidRDefault="00897CD2" w:rsidP="00897CD2">
      <w:pPr>
        <w:pStyle w:val="Textonotapie"/>
        <w:ind w:firstLine="709"/>
        <w:jc w:val="both"/>
        <w:rPr>
          <w:rFonts w:ascii="Verdana" w:hAnsi="Verdana" w:cs="Arial"/>
          <w:sz w:val="14"/>
          <w:szCs w:val="14"/>
        </w:rPr>
      </w:pPr>
      <w:r w:rsidRPr="00676106">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3D84D2A0" w14:textId="77777777" w:rsidR="00897CD2" w:rsidRPr="00676106" w:rsidRDefault="00897CD2" w:rsidP="00897CD2">
      <w:pPr>
        <w:pStyle w:val="Textonotapie"/>
        <w:ind w:firstLine="709"/>
        <w:jc w:val="both"/>
        <w:rPr>
          <w:rFonts w:ascii="Verdana" w:hAnsi="Verdana" w:cs="Arial"/>
          <w:sz w:val="14"/>
          <w:szCs w:val="14"/>
        </w:rPr>
      </w:pPr>
    </w:p>
  </w:footnote>
  <w:footnote w:id="21">
    <w:p w14:paraId="2B9129CE" w14:textId="77777777" w:rsidR="00897CD2" w:rsidRDefault="00897CD2" w:rsidP="00897CD2">
      <w:pPr>
        <w:pStyle w:val="Textonotapie"/>
        <w:ind w:firstLine="709"/>
        <w:rPr>
          <w:rFonts w:ascii="Verdana"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Gaceta del Congreso de la República No. 71 del 2005.</w:t>
      </w:r>
    </w:p>
    <w:p w14:paraId="7AFD89F7" w14:textId="77777777" w:rsidR="00897CD2" w:rsidRPr="003E638E" w:rsidRDefault="00897CD2" w:rsidP="00897CD2">
      <w:pPr>
        <w:pStyle w:val="Textonotapie"/>
        <w:ind w:firstLine="709"/>
        <w:rPr>
          <w:rFonts w:ascii="Verdana" w:hAnsi="Verdana" w:cs="Arial"/>
          <w:sz w:val="14"/>
          <w:szCs w:val="14"/>
        </w:rPr>
      </w:pPr>
    </w:p>
  </w:footnote>
  <w:footnote w:id="22">
    <w:p w14:paraId="6BA2C988" w14:textId="77777777" w:rsidR="00897CD2" w:rsidRPr="003E638E" w:rsidRDefault="00897CD2" w:rsidP="00897CD2">
      <w:pPr>
        <w:pStyle w:val="Textonotapie"/>
        <w:ind w:firstLine="709"/>
        <w:rPr>
          <w:rFonts w:ascii="Verdana"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Corte Constitucional, Sentencia C- 1153 de 2005, M.P. Marco Gerardo Monroy Cabra.</w:t>
      </w:r>
    </w:p>
  </w:footnote>
  <w:footnote w:id="23">
    <w:p w14:paraId="5F1A4989" w14:textId="77777777" w:rsidR="00897CD2" w:rsidRPr="00507686" w:rsidRDefault="00897CD2" w:rsidP="00897CD2">
      <w:pPr>
        <w:pStyle w:val="Textonotapie"/>
        <w:ind w:firstLine="709"/>
        <w:jc w:val="both"/>
        <w:rPr>
          <w:rFonts w:ascii="Verdana" w:hAnsi="Verdana" w:cs="Arial"/>
          <w:sz w:val="14"/>
          <w:szCs w:val="14"/>
          <w:lang w:val="es-CO"/>
        </w:rPr>
      </w:pPr>
      <w:r w:rsidRPr="003E638E">
        <w:rPr>
          <w:rStyle w:val="Refdenotaalpie"/>
          <w:rFonts w:ascii="Verdana" w:hAnsi="Verdana" w:cs="Arial"/>
          <w:sz w:val="14"/>
          <w:szCs w:val="14"/>
        </w:rPr>
        <w:footnoteRef/>
      </w:r>
      <w:r w:rsidRPr="003E638E">
        <w:rPr>
          <w:rFonts w:ascii="Verdana" w:hAnsi="Verdana" w:cs="Arial"/>
          <w:sz w:val="14"/>
          <w:szCs w:val="14"/>
        </w:rPr>
        <w:t xml:space="preserve"> </w:t>
      </w:r>
      <w:r w:rsidRPr="00507686">
        <w:rPr>
          <w:rFonts w:ascii="Verdana" w:hAnsi="Verdana" w:cs="Arial"/>
          <w:sz w:val="14"/>
          <w:szCs w:val="14"/>
          <w:lang w:val="es-CO"/>
        </w:rPr>
        <w:t>Corte Constitucional. Sentencias: C-233 de 4 de abril de 2002. M.P: Álvaro Tafur Galvis; C-551 de 9 de julio de 2003</w:t>
      </w:r>
      <w:r>
        <w:rPr>
          <w:rFonts w:ascii="Verdana" w:hAnsi="Verdana" w:cs="Arial"/>
          <w:sz w:val="14"/>
          <w:szCs w:val="14"/>
          <w:lang w:val="es-CO"/>
        </w:rPr>
        <w:t>. M.P: Eduardo Montealegre Lynnet</w:t>
      </w:r>
      <w:r w:rsidRPr="00507686">
        <w:rPr>
          <w:rFonts w:ascii="Verdana" w:hAnsi="Verdana" w:cs="Arial"/>
          <w:sz w:val="14"/>
          <w:szCs w:val="14"/>
          <w:lang w:val="es-CO"/>
        </w:rPr>
        <w:t>; C-353 de 20 de mayo de 2009</w:t>
      </w:r>
      <w:r>
        <w:rPr>
          <w:rFonts w:ascii="Verdana" w:hAnsi="Verdana" w:cs="Arial"/>
          <w:sz w:val="14"/>
          <w:szCs w:val="14"/>
          <w:lang w:val="es-CO"/>
        </w:rPr>
        <w:t xml:space="preserve">. M.P: Jorge Iván Palacio Palacio; </w:t>
      </w:r>
      <w:r w:rsidRPr="00507686">
        <w:rPr>
          <w:rFonts w:ascii="Verdana" w:hAnsi="Verdana" w:cs="Arial"/>
          <w:sz w:val="14"/>
          <w:szCs w:val="14"/>
          <w:lang w:val="es-CO"/>
        </w:rPr>
        <w:t>C-541 de 30 de junio de 2010</w:t>
      </w:r>
      <w:r>
        <w:rPr>
          <w:rFonts w:ascii="Verdana" w:hAnsi="Verdana" w:cs="Arial"/>
          <w:sz w:val="14"/>
          <w:szCs w:val="14"/>
          <w:lang w:val="es-CO"/>
        </w:rPr>
        <w:t>. M.P: Gabriel Eduardo Mendoza Martelo</w:t>
      </w:r>
      <w:r w:rsidRPr="00507686">
        <w:rPr>
          <w:rFonts w:ascii="Verdana" w:hAnsi="Verdana" w:cs="Arial"/>
          <w:sz w:val="14"/>
          <w:szCs w:val="14"/>
          <w:lang w:val="es-CO"/>
        </w:rPr>
        <w:t>; entre otras.</w:t>
      </w:r>
    </w:p>
    <w:p w14:paraId="0E83F29A" w14:textId="77777777" w:rsidR="00897CD2" w:rsidRPr="003E638E" w:rsidRDefault="00897CD2" w:rsidP="00897CD2">
      <w:pPr>
        <w:pStyle w:val="Textonotapie"/>
        <w:ind w:firstLine="709"/>
        <w:jc w:val="both"/>
        <w:rPr>
          <w:rFonts w:ascii="Verdana" w:hAnsi="Verdana" w:cs="Arial"/>
          <w:sz w:val="14"/>
          <w:szCs w:val="14"/>
        </w:rPr>
      </w:pPr>
    </w:p>
  </w:footnote>
  <w:footnote w:id="24">
    <w:p w14:paraId="76FEABA6" w14:textId="77777777" w:rsidR="00897CD2" w:rsidRDefault="00897CD2" w:rsidP="00897CD2">
      <w:pPr>
        <w:pStyle w:val="Textonotapie"/>
        <w:ind w:firstLine="709"/>
        <w:jc w:val="both"/>
        <w:rPr>
          <w:rFonts w:ascii="Verdana" w:hAnsi="Verdana" w:cs="Arial"/>
          <w:sz w:val="14"/>
          <w:szCs w:val="14"/>
          <w:lang w:val="es-CO"/>
        </w:rPr>
      </w:pPr>
      <w:r w:rsidRPr="003E638E">
        <w:rPr>
          <w:rStyle w:val="Refdenotaalpie"/>
          <w:rFonts w:ascii="Verdana" w:hAnsi="Verdana" w:cs="Arial"/>
          <w:sz w:val="14"/>
          <w:szCs w:val="14"/>
        </w:rPr>
        <w:footnoteRef/>
      </w:r>
      <w:r w:rsidRPr="003E638E">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30BF7DE" w14:textId="77777777" w:rsidR="00897CD2" w:rsidRPr="003E638E" w:rsidRDefault="00897CD2" w:rsidP="00897CD2">
      <w:pPr>
        <w:pStyle w:val="Textonotapie"/>
        <w:ind w:firstLine="709"/>
        <w:jc w:val="both"/>
        <w:rPr>
          <w:rFonts w:ascii="Verdana" w:hAnsi="Verdana" w:cs="Arial"/>
          <w:sz w:val="14"/>
          <w:szCs w:val="14"/>
          <w:lang w:val="es-CO"/>
        </w:rPr>
      </w:pPr>
    </w:p>
  </w:footnote>
  <w:footnote w:id="25">
    <w:p w14:paraId="1D30BD2B" w14:textId="77777777" w:rsidR="00897CD2" w:rsidRPr="003E638E" w:rsidRDefault="00897CD2" w:rsidP="00897CD2">
      <w:pPr>
        <w:pStyle w:val="Textonotapie"/>
        <w:ind w:firstLine="709"/>
        <w:jc w:val="both"/>
        <w:rPr>
          <w:rFonts w:ascii="Verdana"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Consejo de Estado, Sala de Consulta y Servicio Civil de fecha 24 de julio de 2013, radicado 2166, Consejero Ponente: Álvaro Namén Vargas.  </w:t>
      </w:r>
    </w:p>
  </w:footnote>
  <w:footnote w:id="26">
    <w:p w14:paraId="71D5D2F7" w14:textId="77777777" w:rsidR="00897CD2" w:rsidRDefault="00897CD2" w:rsidP="00897CD2">
      <w:pPr>
        <w:spacing w:after="0" w:line="240" w:lineRule="auto"/>
        <w:ind w:firstLine="709"/>
        <w:jc w:val="both"/>
        <w:rPr>
          <w:rFonts w:ascii="Verdana" w:eastAsia="Times New Roman"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w:t>
      </w:r>
      <w:bookmarkStart w:id="20" w:name="33"/>
      <w:r w:rsidRPr="003E638E">
        <w:rPr>
          <w:rFonts w:ascii="Verdana" w:eastAsia="Times New Roman" w:hAnsi="Verdana" w:cs="Arial"/>
          <w:sz w:val="14"/>
          <w:szCs w:val="14"/>
        </w:rPr>
        <w:t>Artículo 33. Restricciones a la contratación pública.</w:t>
      </w:r>
      <w:bookmarkEnd w:id="20"/>
      <w:r w:rsidRPr="003E638E">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330B3E59" w14:textId="77777777" w:rsidR="00897CD2" w:rsidRPr="003E638E" w:rsidRDefault="00897CD2" w:rsidP="00897CD2">
      <w:pPr>
        <w:spacing w:after="0" w:line="240" w:lineRule="auto"/>
        <w:ind w:firstLine="709"/>
        <w:jc w:val="both"/>
        <w:rPr>
          <w:rFonts w:ascii="Verdana" w:eastAsia="Times New Roman" w:hAnsi="Verdana" w:cs="Arial"/>
          <w:sz w:val="14"/>
          <w:szCs w:val="14"/>
        </w:rPr>
      </w:pPr>
    </w:p>
    <w:p w14:paraId="5163B678" w14:textId="77777777" w:rsidR="00897CD2" w:rsidRDefault="00897CD2" w:rsidP="00897CD2">
      <w:pPr>
        <w:spacing w:after="0" w:line="240" w:lineRule="auto"/>
        <w:ind w:firstLine="709"/>
        <w:jc w:val="both"/>
        <w:rPr>
          <w:rFonts w:ascii="Verdana" w:eastAsia="Times New Roman" w:hAnsi="Verdana" w:cs="Arial"/>
          <w:sz w:val="14"/>
          <w:szCs w:val="14"/>
        </w:rPr>
      </w:pPr>
      <w:r w:rsidRPr="003E638E">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95C0723" w14:textId="77777777" w:rsidR="00897CD2" w:rsidRPr="003E638E" w:rsidRDefault="00897CD2" w:rsidP="00897CD2">
      <w:pPr>
        <w:spacing w:after="0" w:line="240" w:lineRule="auto"/>
        <w:ind w:firstLine="709"/>
        <w:jc w:val="both"/>
        <w:rPr>
          <w:rFonts w:ascii="Verdana" w:eastAsia="Times New Roman" w:hAnsi="Verdana" w:cs="Arial"/>
          <w:sz w:val="14"/>
          <w:szCs w:val="14"/>
        </w:rPr>
      </w:pPr>
    </w:p>
  </w:footnote>
  <w:footnote w:id="27">
    <w:p w14:paraId="5A8AB8FB" w14:textId="77777777" w:rsidR="00897CD2" w:rsidRPr="003E638E" w:rsidRDefault="00897CD2" w:rsidP="00897CD2">
      <w:pPr>
        <w:pStyle w:val="NormalWeb"/>
        <w:spacing w:before="0" w:beforeAutospacing="0" w:after="0" w:afterAutospacing="0"/>
        <w:ind w:firstLine="709"/>
        <w:jc w:val="both"/>
        <w:rPr>
          <w:rFonts w:ascii="Verdana" w:hAnsi="Verdana" w:cs="Arial"/>
          <w:sz w:val="14"/>
          <w:szCs w:val="14"/>
          <w:lang w:val="es-MX"/>
        </w:rPr>
      </w:pPr>
      <w:r w:rsidRPr="003E638E">
        <w:rPr>
          <w:rStyle w:val="Refdenotaalpie"/>
          <w:rFonts w:ascii="Verdana" w:hAnsi="Verdana" w:cs="Arial"/>
          <w:sz w:val="14"/>
          <w:szCs w:val="14"/>
        </w:rPr>
        <w:footnoteRef/>
      </w:r>
      <w:r w:rsidRPr="003E638E">
        <w:rPr>
          <w:rFonts w:ascii="Verdana" w:hAnsi="Verdana" w:cs="Arial"/>
          <w:sz w:val="14"/>
          <w:szCs w:val="14"/>
        </w:rPr>
        <w:t xml:space="preserve"> </w:t>
      </w:r>
      <w:bookmarkStart w:id="21" w:name="38"/>
      <w:r w:rsidRPr="003E638E">
        <w:rPr>
          <w:rFonts w:ascii="Verdana" w:eastAsia="Calibri" w:hAnsi="Verdana" w:cs="Arial"/>
          <w:bCs/>
          <w:color w:val="000000"/>
          <w:sz w:val="14"/>
          <w:szCs w:val="14"/>
        </w:rPr>
        <w:t>«</w:t>
      </w:r>
      <w:r w:rsidRPr="003E638E">
        <w:rPr>
          <w:rFonts w:ascii="Verdana" w:hAnsi="Verdana" w:cs="Arial"/>
          <w:sz w:val="14"/>
          <w:szCs w:val="14"/>
          <w:lang w:val="es-MX"/>
        </w:rPr>
        <w:t>Artículo 38. Prohibiciones para los servidores públicos. A los empleados del Estado les está prohibido:</w:t>
      </w:r>
      <w:bookmarkEnd w:id="21"/>
    </w:p>
    <w:p w14:paraId="16E76B59" w14:textId="77777777" w:rsidR="00897CD2" w:rsidRPr="003E638E" w:rsidRDefault="00897CD2" w:rsidP="00897CD2">
      <w:pPr>
        <w:pStyle w:val="NormalWeb"/>
        <w:spacing w:before="0" w:beforeAutospacing="0" w:after="0" w:afterAutospacing="0"/>
        <w:ind w:firstLine="709"/>
        <w:jc w:val="both"/>
        <w:rPr>
          <w:rFonts w:ascii="Verdana" w:hAnsi="Verdana" w:cs="Arial"/>
          <w:sz w:val="14"/>
          <w:szCs w:val="14"/>
          <w:lang w:val="es-MX"/>
        </w:rPr>
      </w:pPr>
      <w:r w:rsidRPr="003E638E">
        <w:rPr>
          <w:rFonts w:ascii="Verdana" w:hAnsi="Verdana" w:cs="Arial"/>
          <w:sz w:val="14"/>
          <w:szCs w:val="14"/>
          <w:lang w:val="es-MX"/>
        </w:rPr>
        <w:t>[…]</w:t>
      </w:r>
    </w:p>
    <w:p w14:paraId="470DF9F7" w14:textId="77777777" w:rsidR="00897CD2" w:rsidRPr="003E638E" w:rsidRDefault="00897CD2" w:rsidP="00897CD2">
      <w:pPr>
        <w:pStyle w:val="NormalWeb"/>
        <w:spacing w:before="0" w:beforeAutospacing="0" w:after="0" w:afterAutospacing="0"/>
        <w:ind w:firstLine="709"/>
        <w:jc w:val="both"/>
        <w:rPr>
          <w:rFonts w:ascii="Verdana" w:hAnsi="Verdana" w:cs="Arial"/>
          <w:sz w:val="14"/>
          <w:szCs w:val="14"/>
          <w:lang w:val="es-MX"/>
        </w:rPr>
      </w:pPr>
      <w:r w:rsidRPr="003E638E">
        <w:rPr>
          <w:rStyle w:val="baj"/>
          <w:rFonts w:ascii="Verdana" w:hAnsi="Verdana" w:cs="Arial"/>
          <w:sz w:val="14"/>
          <w:szCs w:val="14"/>
          <w:lang w:val="es-MX"/>
        </w:rPr>
        <w:t>Parágrafo.</w:t>
      </w:r>
      <w:r w:rsidRPr="003E638E">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28">
    <w:p w14:paraId="7E3B6141" w14:textId="77777777" w:rsidR="00897CD2" w:rsidRPr="003E638E" w:rsidRDefault="00897CD2" w:rsidP="00897CD2">
      <w:pPr>
        <w:spacing w:after="0" w:line="240" w:lineRule="auto"/>
        <w:ind w:left="100" w:right="244" w:firstLine="709"/>
        <w:jc w:val="both"/>
        <w:rPr>
          <w:rFonts w:ascii="Verdana" w:hAnsi="Verdana" w:cs="Arial"/>
          <w:sz w:val="14"/>
          <w:szCs w:val="14"/>
          <w:lang w:val="es-ES"/>
        </w:rPr>
      </w:pPr>
      <w:r w:rsidRPr="003E638E">
        <w:rPr>
          <w:rStyle w:val="Refdenotaalpie"/>
          <w:rFonts w:ascii="Verdana" w:hAnsi="Verdana" w:cs="Arial"/>
          <w:sz w:val="14"/>
          <w:szCs w:val="14"/>
        </w:rPr>
        <w:footnoteRef/>
      </w:r>
      <w:r w:rsidRPr="003E638E">
        <w:rPr>
          <w:rFonts w:ascii="Verdana" w:hAnsi="Verdana" w:cs="Arial"/>
          <w:sz w:val="14"/>
          <w:szCs w:val="14"/>
        </w:rPr>
        <w:t xml:space="preserve"> Consejo de Estado. Sala de Consulta y Servicio Civil. Concepto del 17 de febrero de 2015. C.P. William Zambrano Cetina. Radicación No. 11001-03-06-000-2015-00164-00(2269).</w:t>
      </w:r>
    </w:p>
  </w:footnote>
  <w:footnote w:id="29">
    <w:p w14:paraId="470EE35D" w14:textId="77777777" w:rsidR="00897CD2" w:rsidRDefault="00897CD2" w:rsidP="00897CD2">
      <w:pPr>
        <w:pStyle w:val="Textonotapie"/>
        <w:ind w:right="51" w:firstLine="709"/>
        <w:jc w:val="both"/>
        <w:rPr>
          <w:rFonts w:ascii="Verdana" w:hAnsi="Verdana" w:cs="Arial"/>
          <w:sz w:val="14"/>
          <w:szCs w:val="14"/>
        </w:rPr>
      </w:pPr>
      <w:r w:rsidRPr="00C8410A">
        <w:rPr>
          <w:rStyle w:val="Refdenotaalpie"/>
          <w:rFonts w:ascii="Verdana" w:hAnsi="Verdana" w:cs="Arial"/>
          <w:sz w:val="14"/>
          <w:szCs w:val="14"/>
        </w:rPr>
        <w:footnoteRef/>
      </w:r>
      <w:r w:rsidRPr="00C8410A">
        <w:rPr>
          <w:rFonts w:ascii="Verdana" w:hAnsi="Verdana" w:cs="Arial"/>
          <w:sz w:val="14"/>
          <w:szCs w:val="14"/>
        </w:rPr>
        <w:t xml:space="preserve"> </w:t>
      </w:r>
      <w:r w:rsidRPr="00C8410A">
        <w:rPr>
          <w:rFonts w:ascii="Verdana" w:hAnsi="Verdana" w:cs="Arial"/>
          <w:sz w:val="14"/>
          <w:szCs w:val="14"/>
          <w:lang w:val="es-ES"/>
        </w:rPr>
        <w:t xml:space="preserve">[25] </w:t>
      </w:r>
      <w:r w:rsidRPr="00C8410A">
        <w:rPr>
          <w:rFonts w:ascii="Verdana" w:hAnsi="Verdana" w:cs="Arial"/>
          <w:sz w:val="14"/>
          <w:szCs w:val="14"/>
        </w:rPr>
        <w:t>Cfr. Consejo de Estado. Sección Tercera. Sentencia de 3 de diciembre de 2007. Radicados: 24.715, 25.206, 25.409, 24.524, 27.834, 25.410, 26.105, 28.244, 31.447 -acumulados-.</w:t>
      </w:r>
    </w:p>
    <w:p w14:paraId="21353E3B" w14:textId="77777777" w:rsidR="00897CD2" w:rsidRPr="00C8410A" w:rsidRDefault="00897CD2" w:rsidP="00897CD2">
      <w:pPr>
        <w:pStyle w:val="Textonotapie"/>
        <w:ind w:right="51" w:firstLine="709"/>
        <w:jc w:val="both"/>
        <w:rPr>
          <w:rFonts w:ascii="Verdana" w:hAnsi="Verdana" w:cs="Arial"/>
          <w:sz w:val="14"/>
          <w:szCs w:val="14"/>
        </w:rPr>
      </w:pPr>
    </w:p>
  </w:footnote>
  <w:footnote w:id="30">
    <w:p w14:paraId="12A10FF0" w14:textId="77777777" w:rsidR="00897CD2" w:rsidRPr="00C8410A" w:rsidRDefault="00897CD2" w:rsidP="00897CD2">
      <w:pPr>
        <w:pStyle w:val="Textonotapie"/>
        <w:ind w:right="51" w:firstLine="709"/>
        <w:jc w:val="both"/>
        <w:rPr>
          <w:rFonts w:ascii="Verdana" w:hAnsi="Verdana" w:cs="Arial"/>
          <w:sz w:val="14"/>
          <w:szCs w:val="14"/>
        </w:rPr>
      </w:pPr>
      <w:r w:rsidRPr="00C8410A">
        <w:rPr>
          <w:rStyle w:val="Refdenotaalpie"/>
          <w:rFonts w:ascii="Verdana" w:hAnsi="Verdana" w:cs="Arial"/>
          <w:sz w:val="14"/>
          <w:szCs w:val="14"/>
        </w:rPr>
        <w:footnoteRef/>
      </w:r>
      <w:r w:rsidRPr="00C8410A">
        <w:rPr>
          <w:rFonts w:ascii="Verdana" w:hAnsi="Verdana" w:cs="Arial"/>
          <w:sz w:val="14"/>
          <w:szCs w:val="14"/>
        </w:rPr>
        <w:t xml:space="preserve"> </w:t>
      </w:r>
      <w:bookmarkStart w:id="28" w:name="_Hlk74294506"/>
      <w:r w:rsidRPr="00C8410A">
        <w:rPr>
          <w:rFonts w:ascii="Verdana" w:hAnsi="Verdana" w:cs="Arial"/>
          <w:sz w:val="14"/>
          <w:szCs w:val="14"/>
          <w:lang w:val="es-ES"/>
        </w:rPr>
        <w:t xml:space="preserve">[26] </w:t>
      </w:r>
      <w:bookmarkEnd w:id="28"/>
      <w:r w:rsidRPr="00C8410A">
        <w:rPr>
          <w:rFonts w:ascii="Verdana" w:hAnsi="Verdana" w:cs="Arial"/>
          <w:sz w:val="14"/>
          <w:szCs w:val="14"/>
        </w:rPr>
        <w:t>Al respecto ver el concepto 1712 de 2 de febrero de 2006. Consejo de Estado Sala de Consulta y Servicio Civil».</w:t>
      </w:r>
    </w:p>
  </w:footnote>
  <w:footnote w:id="31">
    <w:p w14:paraId="47ED2DFF" w14:textId="77777777" w:rsidR="00897CD2" w:rsidRPr="00C8410A" w:rsidRDefault="00897CD2" w:rsidP="00897CD2">
      <w:pPr>
        <w:pStyle w:val="Textonotapie"/>
        <w:ind w:firstLine="709"/>
        <w:jc w:val="both"/>
        <w:rPr>
          <w:rFonts w:ascii="Verdana" w:hAnsi="Verdana" w:cs="Arial"/>
          <w:sz w:val="14"/>
          <w:szCs w:val="14"/>
        </w:rPr>
      </w:pPr>
      <w:r w:rsidRPr="00C8410A">
        <w:rPr>
          <w:rStyle w:val="Refdenotaalpie"/>
          <w:rFonts w:ascii="Verdana" w:hAnsi="Verdana" w:cs="Arial"/>
          <w:sz w:val="14"/>
          <w:szCs w:val="14"/>
        </w:rPr>
        <w:footnoteRef/>
      </w:r>
      <w:r w:rsidRPr="00C8410A">
        <w:rPr>
          <w:rFonts w:ascii="Verdana" w:hAnsi="Verdana" w:cs="Arial"/>
          <w:sz w:val="14"/>
          <w:szCs w:val="14"/>
        </w:rPr>
        <w:t xml:space="preserve"> Consejo de Estado. Sala de Consulta y Servicio Civil. Concepto del 2 de septiembre de 2013. Radicación número: 11001-03-06-000-2013-00412-00 (2168). Consejero Ponente: Álvaro Namén Vargas.</w:t>
      </w:r>
    </w:p>
  </w:footnote>
  <w:footnote w:id="32">
    <w:p w14:paraId="710A783C" w14:textId="77777777" w:rsidR="00897CD2" w:rsidRDefault="00897CD2" w:rsidP="00897CD2">
      <w:pPr>
        <w:pStyle w:val="Textonotapie"/>
        <w:ind w:firstLine="709"/>
        <w:jc w:val="both"/>
        <w:rPr>
          <w:rFonts w:ascii="Verdana" w:hAnsi="Verdana" w:cs="Arial"/>
          <w:sz w:val="14"/>
          <w:szCs w:val="14"/>
          <w:lang w:val="es-ES"/>
        </w:rPr>
      </w:pPr>
      <w:r w:rsidRPr="00C8410A">
        <w:rPr>
          <w:rStyle w:val="Refdenotaalpie"/>
          <w:rFonts w:ascii="Verdana" w:hAnsi="Verdana" w:cs="Arial"/>
          <w:sz w:val="14"/>
          <w:szCs w:val="14"/>
        </w:rPr>
        <w:footnoteRef/>
      </w:r>
      <w:r w:rsidRPr="00C8410A">
        <w:rPr>
          <w:rFonts w:ascii="Verdana" w:hAnsi="Verdana" w:cs="Arial"/>
          <w:sz w:val="14"/>
          <w:szCs w:val="14"/>
        </w:rPr>
        <w:t xml:space="preserve"> </w:t>
      </w:r>
      <w:r w:rsidRPr="00C8410A">
        <w:rPr>
          <w:rFonts w:ascii="Verdana" w:hAnsi="Verdana" w:cs="Arial"/>
          <w:sz w:val="14"/>
          <w:szCs w:val="14"/>
          <w:lang w:val="es-ES"/>
        </w:rPr>
        <w:t xml:space="preserve">Artículo 2. </w:t>
      </w:r>
    </w:p>
    <w:p w14:paraId="39B38584" w14:textId="77777777" w:rsidR="00897CD2" w:rsidRPr="00C8410A" w:rsidRDefault="00897CD2" w:rsidP="00897CD2">
      <w:pPr>
        <w:pStyle w:val="Textonotapie"/>
        <w:ind w:firstLine="709"/>
        <w:jc w:val="both"/>
        <w:rPr>
          <w:rFonts w:ascii="Verdana" w:hAnsi="Verdana" w:cs="Arial"/>
          <w:sz w:val="14"/>
          <w:szCs w:val="14"/>
          <w:lang w:val="es-ES"/>
        </w:rPr>
      </w:pPr>
    </w:p>
  </w:footnote>
  <w:footnote w:id="33">
    <w:p w14:paraId="3715EC33" w14:textId="77777777" w:rsidR="00897CD2" w:rsidRDefault="00897CD2" w:rsidP="00897CD2">
      <w:pPr>
        <w:pStyle w:val="Textonotapie"/>
        <w:ind w:firstLine="709"/>
        <w:jc w:val="both"/>
        <w:rPr>
          <w:rFonts w:ascii="Verdana" w:hAnsi="Verdana" w:cs="Arial"/>
          <w:sz w:val="14"/>
          <w:szCs w:val="14"/>
          <w:lang w:val="es-ES"/>
        </w:rPr>
      </w:pPr>
      <w:r w:rsidRPr="00C8410A">
        <w:rPr>
          <w:rStyle w:val="Refdenotaalpie"/>
          <w:rFonts w:ascii="Verdana" w:hAnsi="Verdana" w:cs="Arial"/>
          <w:sz w:val="14"/>
          <w:szCs w:val="14"/>
        </w:rPr>
        <w:footnoteRef/>
      </w:r>
      <w:r w:rsidRPr="00C8410A">
        <w:rPr>
          <w:rFonts w:ascii="Verdana" w:hAnsi="Verdana" w:cs="Arial"/>
          <w:sz w:val="14"/>
          <w:szCs w:val="14"/>
        </w:rPr>
        <w:t xml:space="preserve"> </w:t>
      </w:r>
      <w:r w:rsidRPr="00C8410A">
        <w:rPr>
          <w:rFonts w:ascii="Verdana" w:hAnsi="Verdana" w:cs="Arial"/>
          <w:i/>
          <w:sz w:val="14"/>
          <w:szCs w:val="14"/>
          <w:lang w:val="es-ES"/>
        </w:rPr>
        <w:t>Ídem</w:t>
      </w:r>
      <w:r w:rsidRPr="00C8410A">
        <w:rPr>
          <w:rFonts w:ascii="Verdana" w:hAnsi="Verdana" w:cs="Arial"/>
          <w:sz w:val="14"/>
          <w:szCs w:val="14"/>
          <w:lang w:val="es-ES"/>
        </w:rPr>
        <w:t>.</w:t>
      </w:r>
    </w:p>
    <w:p w14:paraId="5F1332CC" w14:textId="77777777" w:rsidR="00897CD2" w:rsidRPr="00C8410A" w:rsidRDefault="00897CD2" w:rsidP="00897CD2">
      <w:pPr>
        <w:pStyle w:val="Textonotapie"/>
        <w:ind w:firstLine="709"/>
        <w:jc w:val="both"/>
        <w:rPr>
          <w:rFonts w:ascii="Verdana" w:hAnsi="Verdana" w:cs="Arial"/>
          <w:sz w:val="14"/>
          <w:szCs w:val="14"/>
          <w:lang w:val="es-ES"/>
        </w:rPr>
      </w:pPr>
    </w:p>
  </w:footnote>
  <w:footnote w:id="34">
    <w:p w14:paraId="7E90A6E1" w14:textId="77777777" w:rsidR="00897CD2" w:rsidRPr="00C8410A" w:rsidRDefault="00897CD2" w:rsidP="00897CD2">
      <w:pPr>
        <w:pStyle w:val="Textonotapie"/>
        <w:ind w:firstLine="709"/>
        <w:jc w:val="both"/>
        <w:rPr>
          <w:rFonts w:ascii="Verdana" w:hAnsi="Verdana" w:cs="Arial"/>
          <w:sz w:val="14"/>
          <w:szCs w:val="14"/>
          <w:lang w:val="es-ES"/>
        </w:rPr>
      </w:pPr>
      <w:r w:rsidRPr="00C8410A">
        <w:rPr>
          <w:rStyle w:val="Refdenotaalpie"/>
          <w:rFonts w:ascii="Verdana" w:hAnsi="Verdana" w:cs="Arial"/>
          <w:sz w:val="14"/>
          <w:szCs w:val="14"/>
        </w:rPr>
        <w:footnoteRef/>
      </w:r>
      <w:r w:rsidRPr="00C8410A">
        <w:rPr>
          <w:rStyle w:val="Refdenotaalpie"/>
          <w:rFonts w:ascii="Verdana" w:hAnsi="Verdana" w:cs="Arial"/>
          <w:sz w:val="14"/>
          <w:szCs w:val="14"/>
        </w:rPr>
        <w:t xml:space="preserve"> </w:t>
      </w:r>
      <w:r w:rsidRPr="00C8410A">
        <w:rPr>
          <w:rFonts w:ascii="Verdana" w:hAnsi="Verdana" w:cs="Arial"/>
          <w:sz w:val="14"/>
          <w:szCs w:val="14"/>
          <w:lang w:val="es-ES"/>
        </w:rPr>
        <w:t xml:space="preserve">A este respecto, cabe recordar que el artículo 860 del Código de Comercio regula la licitación en el derecho privado». </w:t>
      </w:r>
    </w:p>
  </w:footnote>
  <w:footnote w:id="35">
    <w:p w14:paraId="0E5EFFBA" w14:textId="77777777" w:rsidR="00897CD2" w:rsidRDefault="00897CD2" w:rsidP="00897CD2">
      <w:pPr>
        <w:shd w:val="clear" w:color="auto" w:fill="FFFFFF"/>
        <w:spacing w:after="0" w:line="240" w:lineRule="auto"/>
        <w:ind w:firstLine="709"/>
        <w:jc w:val="both"/>
        <w:rPr>
          <w:rFonts w:ascii="Verdana" w:hAnsi="Verdana" w:cs="Arial"/>
          <w:sz w:val="14"/>
          <w:szCs w:val="14"/>
          <w:lang w:val="es-ES"/>
        </w:rPr>
      </w:pPr>
      <w:r w:rsidRPr="00C8410A">
        <w:rPr>
          <w:rStyle w:val="Refdenotaalpie"/>
          <w:rFonts w:ascii="Verdana" w:hAnsi="Verdana" w:cs="Arial"/>
          <w:sz w:val="14"/>
          <w:szCs w:val="14"/>
        </w:rPr>
        <w:footnoteRef/>
      </w:r>
      <w:r w:rsidRPr="00C8410A">
        <w:rPr>
          <w:rStyle w:val="Refdenotaalpie"/>
          <w:rFonts w:ascii="Verdana" w:hAnsi="Verdana" w:cs="Arial"/>
          <w:sz w:val="14"/>
          <w:szCs w:val="14"/>
        </w:rPr>
        <w:t xml:space="preserve"> </w:t>
      </w:r>
      <w:r w:rsidRPr="00C8410A">
        <w:rPr>
          <w:rFonts w:ascii="Verdana" w:hAnsi="Verdana" w:cs="Arial"/>
          <w:sz w:val="14"/>
          <w:szCs w:val="14"/>
          <w:lang w:val="es-ES"/>
        </w:rPr>
        <w:t>Consejo de Estado. Sala de Consulta y Servicio Civil, Concepto de 8 de mayo de 2018. Radicación Número: 11001-03-06-000-2018-00095-00(2382). Consejero Ponente: Álvaro Namén Vargas.</w:t>
      </w:r>
    </w:p>
    <w:p w14:paraId="6D852AF4" w14:textId="77777777" w:rsidR="00897CD2" w:rsidRPr="00C8410A" w:rsidRDefault="00897CD2" w:rsidP="00897CD2">
      <w:pPr>
        <w:shd w:val="clear" w:color="auto" w:fill="FFFFFF"/>
        <w:spacing w:after="0" w:line="240" w:lineRule="auto"/>
        <w:ind w:firstLine="709"/>
        <w:jc w:val="both"/>
        <w:rPr>
          <w:rFonts w:ascii="Verdana" w:hAnsi="Verdana" w:cs="Arial"/>
          <w:sz w:val="14"/>
          <w:szCs w:val="14"/>
          <w:lang w:val="es-ES"/>
        </w:rPr>
      </w:pPr>
    </w:p>
  </w:footnote>
  <w:footnote w:id="36">
    <w:p w14:paraId="28CDCF2C" w14:textId="77777777" w:rsidR="00897CD2" w:rsidRPr="00C8410A" w:rsidRDefault="00897CD2" w:rsidP="00897CD2">
      <w:pPr>
        <w:pStyle w:val="Textonotapie"/>
        <w:ind w:firstLine="709"/>
        <w:jc w:val="both"/>
        <w:rPr>
          <w:rFonts w:ascii="Verdana" w:hAnsi="Verdana" w:cs="Arial"/>
          <w:sz w:val="14"/>
          <w:szCs w:val="14"/>
        </w:rPr>
      </w:pPr>
      <w:r w:rsidRPr="00C8410A">
        <w:rPr>
          <w:rStyle w:val="Refdenotaalpie"/>
          <w:rFonts w:ascii="Verdana" w:hAnsi="Verdana" w:cs="Arial"/>
          <w:sz w:val="14"/>
          <w:szCs w:val="14"/>
        </w:rPr>
        <w:footnoteRef/>
      </w:r>
      <w:r w:rsidRPr="00C8410A">
        <w:rPr>
          <w:rFonts w:ascii="Verdana" w:hAnsi="Verdana" w:cs="Arial"/>
          <w:sz w:val="14"/>
          <w:szCs w:val="14"/>
        </w:rPr>
        <w:t xml:space="preserve"> Consejo de Estado. Sala de Consulta y Servicio Civil. Concepto del 08 de mayo de 2018. Exp. 2.382. C.P. Álvaro Namén Vargas.</w:t>
      </w:r>
    </w:p>
  </w:footnote>
  <w:footnote w:id="37">
    <w:p w14:paraId="7A91A0A0" w14:textId="77777777" w:rsidR="00897CD2" w:rsidRDefault="00897CD2" w:rsidP="00897CD2">
      <w:pPr>
        <w:pStyle w:val="Textonotapie"/>
        <w:ind w:firstLine="709"/>
        <w:jc w:val="both"/>
        <w:rPr>
          <w:rFonts w:ascii="Verdana" w:hAnsi="Verdana" w:cs="Arial"/>
          <w:sz w:val="14"/>
          <w:szCs w:val="14"/>
        </w:rPr>
      </w:pPr>
      <w:r w:rsidRPr="00C8410A">
        <w:rPr>
          <w:rStyle w:val="Refdenotaalpie"/>
          <w:rFonts w:ascii="Verdana" w:hAnsi="Verdana" w:cs="Arial"/>
          <w:sz w:val="14"/>
          <w:szCs w:val="14"/>
        </w:rPr>
        <w:footnoteRef/>
      </w:r>
      <w:r w:rsidRPr="00C8410A">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3FCC0B91" w14:textId="77777777" w:rsidR="00897CD2" w:rsidRPr="00C8410A" w:rsidRDefault="00897CD2" w:rsidP="00897CD2">
      <w:pPr>
        <w:pStyle w:val="Textonotapie"/>
        <w:ind w:firstLine="709"/>
        <w:jc w:val="both"/>
        <w:rPr>
          <w:rFonts w:ascii="Verdana" w:hAnsi="Verdana" w:cs="Arial"/>
          <w:sz w:val="14"/>
          <w:szCs w:val="14"/>
        </w:rPr>
      </w:pPr>
    </w:p>
  </w:footnote>
  <w:footnote w:id="38">
    <w:p w14:paraId="11E493D1" w14:textId="77777777" w:rsidR="00897CD2" w:rsidRDefault="00897CD2" w:rsidP="00897CD2">
      <w:pPr>
        <w:spacing w:after="0" w:line="240" w:lineRule="auto"/>
        <w:ind w:firstLine="709"/>
        <w:jc w:val="both"/>
        <w:rPr>
          <w:rFonts w:ascii="Verdana" w:hAnsi="Verdana" w:cs="Arial"/>
          <w:sz w:val="14"/>
          <w:szCs w:val="14"/>
        </w:rPr>
      </w:pPr>
      <w:r w:rsidRPr="00C8410A">
        <w:rPr>
          <w:rStyle w:val="Refdenotaalpie"/>
          <w:rFonts w:ascii="Verdana" w:hAnsi="Verdana" w:cs="Arial"/>
          <w:sz w:val="14"/>
          <w:szCs w:val="14"/>
        </w:rPr>
        <w:footnoteRef/>
      </w:r>
      <w:r w:rsidRPr="00C8410A">
        <w:rPr>
          <w:rFonts w:ascii="Verdana" w:hAnsi="Verdana" w:cs="Arial"/>
          <w:sz w:val="14"/>
          <w:szCs w:val="14"/>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0907801D" w14:textId="77777777" w:rsidR="00897CD2" w:rsidRPr="00C8410A" w:rsidRDefault="00897CD2" w:rsidP="00897CD2">
      <w:pPr>
        <w:spacing w:after="0" w:line="240" w:lineRule="auto"/>
        <w:ind w:firstLine="709"/>
        <w:jc w:val="both"/>
        <w:rPr>
          <w:rFonts w:ascii="Verdana" w:hAnsi="Verdana" w:cs="Arial"/>
          <w:sz w:val="14"/>
          <w:szCs w:val="14"/>
        </w:rPr>
      </w:pPr>
    </w:p>
  </w:footnote>
  <w:footnote w:id="39">
    <w:p w14:paraId="7FCA7B13" w14:textId="77777777" w:rsidR="00897CD2" w:rsidRPr="00C8410A" w:rsidRDefault="00897CD2" w:rsidP="00897CD2">
      <w:pPr>
        <w:pStyle w:val="Textonotapie"/>
        <w:ind w:firstLine="708"/>
        <w:jc w:val="both"/>
        <w:rPr>
          <w:rFonts w:ascii="Verdana" w:hAnsi="Verdana" w:cs="Arial"/>
          <w:sz w:val="14"/>
          <w:szCs w:val="14"/>
          <w:lang w:val="es-CO"/>
        </w:rPr>
      </w:pPr>
      <w:r w:rsidRPr="00C8410A">
        <w:rPr>
          <w:rStyle w:val="Refdenotaalpie"/>
          <w:rFonts w:ascii="Verdana" w:hAnsi="Verdana" w:cs="Arial"/>
          <w:sz w:val="14"/>
          <w:szCs w:val="14"/>
        </w:rPr>
        <w:footnoteRef/>
      </w:r>
      <w:r w:rsidRPr="00C8410A">
        <w:rPr>
          <w:rFonts w:ascii="Verdana" w:hAnsi="Verdana" w:cs="Arial"/>
          <w:sz w:val="14"/>
          <w:szCs w:val="14"/>
        </w:rPr>
        <w:t xml:space="preserve"> El artículo 33 de la Ley 996 de 2005 prescribe: «</w:t>
      </w:r>
      <w:r w:rsidRPr="00C8410A">
        <w:rPr>
          <w:rFonts w:ascii="Verdana" w:hAnsi="Verdana" w:cs="Arial"/>
          <w:sz w:val="14"/>
          <w:szCs w:val="14"/>
          <w:lang w:val="es-CO"/>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5E07DFE" w14:textId="77777777" w:rsidR="00897CD2" w:rsidRPr="00C8410A" w:rsidRDefault="00897CD2" w:rsidP="00897CD2">
      <w:pPr>
        <w:pStyle w:val="Textonotapie"/>
        <w:ind w:firstLine="708"/>
        <w:jc w:val="both"/>
        <w:rPr>
          <w:rFonts w:ascii="Verdana" w:hAnsi="Verdana" w:cs="Arial"/>
          <w:sz w:val="14"/>
          <w:szCs w:val="14"/>
          <w:lang w:val="es-CO"/>
        </w:rPr>
      </w:pPr>
      <w:r w:rsidRPr="00C8410A">
        <w:rPr>
          <w:rFonts w:ascii="Verdana" w:hAnsi="Verdana" w:cs="Arial"/>
          <w:i/>
          <w:iCs/>
          <w:sz w:val="14"/>
          <w:szCs w:val="14"/>
          <w:lang w:val="es-CO"/>
        </w:rPr>
        <w:t>Queda exceptuado</w:t>
      </w:r>
      <w:r w:rsidRPr="00C8410A">
        <w:rPr>
          <w:rFonts w:ascii="Verdana" w:hAnsi="Verdana" w:cs="Arial"/>
          <w:sz w:val="14"/>
          <w:szCs w:val="14"/>
          <w:lang w:val="es-CO"/>
        </w:rPr>
        <w:t xml:space="preserve"> lo referente a la defensa y seguridad del Estado, </w:t>
      </w:r>
      <w:r w:rsidRPr="00C8410A">
        <w:rPr>
          <w:rFonts w:ascii="Verdana" w:hAnsi="Verdana" w:cs="Arial"/>
          <w:i/>
          <w:iCs/>
          <w:sz w:val="14"/>
          <w:szCs w:val="14"/>
          <w:lang w:val="es-CO"/>
        </w:rPr>
        <w:t>los contratos</w:t>
      </w:r>
      <w:r w:rsidRPr="00C8410A">
        <w:rPr>
          <w:rFonts w:ascii="Verdana" w:hAnsi="Verdana" w:cs="Arial"/>
          <w:sz w:val="14"/>
          <w:szCs w:val="14"/>
          <w:lang w:val="es-CO"/>
        </w:rPr>
        <w:t xml:space="preserve">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w:t>
      </w:r>
      <w:r w:rsidRPr="00C8410A">
        <w:rPr>
          <w:rFonts w:ascii="Verdana" w:hAnsi="Verdana" w:cs="Arial"/>
          <w:i/>
          <w:iCs/>
          <w:sz w:val="14"/>
          <w:szCs w:val="14"/>
          <w:lang w:val="es-CO"/>
        </w:rPr>
        <w:t>los que deban realizar las entidades sanitarias y hospitalarias</w:t>
      </w:r>
      <w:r w:rsidRPr="00C8410A">
        <w:rPr>
          <w:rFonts w:ascii="Verdana" w:hAnsi="Verdana" w:cs="Arial"/>
          <w:sz w:val="14"/>
          <w:szCs w:val="14"/>
          <w:lang w:val="es-CO"/>
        </w:rPr>
        <w:t xml:space="preserve"> (Cursiva fuera del original).</w:t>
      </w:r>
    </w:p>
    <w:p w14:paraId="604E36F0" w14:textId="77777777" w:rsidR="00897CD2" w:rsidRPr="00C8410A" w:rsidRDefault="00897CD2" w:rsidP="00897CD2">
      <w:pPr>
        <w:pStyle w:val="Textonotapie"/>
        <w:ind w:firstLine="708"/>
        <w:jc w:val="both"/>
        <w:rPr>
          <w:rFonts w:ascii="Verdana" w:hAnsi="Verdana" w:cs="Arial"/>
          <w:sz w:val="14"/>
          <w:szCs w:val="14"/>
          <w:lang w:val="es-CO"/>
        </w:rPr>
      </w:pPr>
    </w:p>
  </w:footnote>
  <w:footnote w:id="40">
    <w:p w14:paraId="339E81D6" w14:textId="77777777" w:rsidR="00897CD2" w:rsidRPr="003776B6" w:rsidRDefault="00897CD2" w:rsidP="00897CD2">
      <w:pPr>
        <w:pStyle w:val="Textonotapie"/>
        <w:ind w:firstLine="708"/>
        <w:jc w:val="both"/>
        <w:rPr>
          <w:rFonts w:ascii="Verdana" w:hAnsi="Verdana" w:cs="Arial"/>
          <w:sz w:val="14"/>
          <w:szCs w:val="14"/>
        </w:rPr>
      </w:pPr>
      <w:r w:rsidRPr="003776B6">
        <w:rPr>
          <w:rStyle w:val="Refdenotaalpie"/>
          <w:rFonts w:ascii="Verdana" w:hAnsi="Verdana" w:cs="Arial"/>
          <w:sz w:val="14"/>
          <w:szCs w:val="14"/>
        </w:rPr>
        <w:footnoteRef/>
      </w:r>
      <w:r w:rsidRPr="003776B6">
        <w:rPr>
          <w:rFonts w:ascii="Verdana" w:hAnsi="Verdana" w:cs="Arial"/>
          <w:sz w:val="14"/>
          <w:szCs w:val="14"/>
        </w:rPr>
        <w:t xml:space="preserve"> Consejo de Estado. Sala de Consulta y Servicio Civil. Concepto del 18 de febrero 2010. Rad. 11001-03-06-000-2010-00006-00 (1985). C.P. Enrique José Arboleda Perdomo.</w:t>
      </w:r>
    </w:p>
    <w:p w14:paraId="62E7B0C1" w14:textId="77777777" w:rsidR="00897CD2" w:rsidRPr="003776B6" w:rsidRDefault="00897CD2" w:rsidP="00897CD2">
      <w:pPr>
        <w:pStyle w:val="Textonotapie"/>
        <w:ind w:firstLine="708"/>
        <w:jc w:val="both"/>
        <w:rPr>
          <w:rFonts w:ascii="Verdana" w:hAnsi="Verdana" w:cs="Arial"/>
          <w:sz w:val="14"/>
          <w:szCs w:val="14"/>
        </w:rPr>
      </w:pPr>
    </w:p>
  </w:footnote>
  <w:footnote w:id="41">
    <w:p w14:paraId="6D74B6ED" w14:textId="77777777" w:rsidR="00897CD2" w:rsidRPr="003776B6" w:rsidRDefault="00897CD2" w:rsidP="00897CD2">
      <w:pPr>
        <w:pStyle w:val="Textonotapie"/>
        <w:ind w:firstLine="708"/>
        <w:jc w:val="both"/>
        <w:rPr>
          <w:rFonts w:ascii="Verdana" w:hAnsi="Verdana" w:cs="Arial"/>
          <w:sz w:val="14"/>
          <w:szCs w:val="14"/>
        </w:rPr>
      </w:pPr>
      <w:r w:rsidRPr="003776B6">
        <w:rPr>
          <w:rStyle w:val="Refdenotaalpie"/>
          <w:rFonts w:ascii="Verdana" w:hAnsi="Verdana"/>
          <w:sz w:val="14"/>
          <w:szCs w:val="14"/>
        </w:rPr>
        <w:footnoteRef/>
      </w:r>
      <w:r w:rsidRPr="003776B6">
        <w:rPr>
          <w:rFonts w:ascii="Verdana" w:hAnsi="Verdana"/>
          <w:sz w:val="14"/>
          <w:szCs w:val="14"/>
        </w:rPr>
        <w:t xml:space="preserve"> </w:t>
      </w:r>
      <w:r w:rsidRPr="003776B6">
        <w:rPr>
          <w:rFonts w:ascii="Verdana" w:hAnsi="Verdana" w:cs="Arial"/>
          <w:sz w:val="14"/>
          <w:szCs w:val="14"/>
        </w:rPr>
        <w:t xml:space="preserve">Corte Constitucional. Sentencia C-1153 de 2005 M.P. Marco Gerardo Monroy Cabra. </w:t>
      </w:r>
    </w:p>
    <w:p w14:paraId="319A81A2" w14:textId="77777777" w:rsidR="00897CD2" w:rsidRPr="003776B6" w:rsidRDefault="00897CD2" w:rsidP="00897CD2">
      <w:pPr>
        <w:pStyle w:val="Textonotapie"/>
        <w:jc w:val="both"/>
        <w:rPr>
          <w:rFonts w:ascii="Verdana" w:hAnsi="Verdana"/>
          <w:sz w:val="14"/>
          <w:szCs w:val="14"/>
        </w:rPr>
      </w:pPr>
    </w:p>
  </w:footnote>
  <w:footnote w:id="42">
    <w:p w14:paraId="0F6BEE1C" w14:textId="77777777" w:rsidR="00897CD2" w:rsidRDefault="00897CD2" w:rsidP="00897CD2">
      <w:pPr>
        <w:pStyle w:val="Textonotapie"/>
        <w:ind w:firstLine="709"/>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Consejo de Estado. Sala de Consulta y Servicio Civil. Concepto de 20 de febrero de2006. Radicación 11001-03-06-000-2006-00023-00(1724). Consejero Ponente: Flavio Augusto Rodríguez Arce.</w:t>
      </w:r>
    </w:p>
    <w:p w14:paraId="3A9A5BE0" w14:textId="77777777" w:rsidR="00897CD2" w:rsidRPr="000F0F39" w:rsidRDefault="00897CD2" w:rsidP="00897CD2">
      <w:pPr>
        <w:pStyle w:val="Textonotapie"/>
        <w:ind w:firstLine="709"/>
        <w:jc w:val="both"/>
        <w:rPr>
          <w:rFonts w:ascii="Verdana" w:hAnsi="Verdana" w:cs="Arial"/>
          <w:sz w:val="14"/>
          <w:szCs w:val="14"/>
        </w:rPr>
      </w:pPr>
    </w:p>
  </w:footnote>
  <w:footnote w:id="43">
    <w:p w14:paraId="4EC36097" w14:textId="77777777" w:rsidR="00897CD2" w:rsidRDefault="00897CD2" w:rsidP="00897CD2">
      <w:pPr>
        <w:spacing w:after="0" w:line="240" w:lineRule="auto"/>
        <w:ind w:firstLine="709"/>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85D4DE2" w14:textId="77777777" w:rsidR="00897CD2" w:rsidRPr="000F0F39" w:rsidRDefault="00897CD2" w:rsidP="00897CD2">
      <w:pPr>
        <w:spacing w:after="0" w:line="240" w:lineRule="auto"/>
        <w:ind w:firstLine="709"/>
        <w:jc w:val="both"/>
        <w:rPr>
          <w:rFonts w:ascii="Verdana" w:hAnsi="Verdana" w:cs="Arial"/>
          <w:sz w:val="14"/>
          <w:szCs w:val="14"/>
        </w:rPr>
      </w:pPr>
    </w:p>
    <w:p w14:paraId="6E81A673" w14:textId="77777777" w:rsidR="00897CD2" w:rsidRDefault="00897CD2" w:rsidP="00897CD2">
      <w:pPr>
        <w:spacing w:after="0" w:line="240" w:lineRule="auto"/>
        <w:ind w:firstLine="709"/>
        <w:jc w:val="both"/>
        <w:rPr>
          <w:rFonts w:ascii="Verdana" w:hAnsi="Verdana" w:cs="Arial"/>
          <w:sz w:val="14"/>
          <w:szCs w:val="14"/>
        </w:rPr>
      </w:pPr>
      <w:r w:rsidRPr="000F0F39">
        <w:rPr>
          <w:rFonts w:ascii="Verdana" w:hAnsi="Verdana"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F0F39">
        <w:rPr>
          <w:rFonts w:ascii="Verdana" w:hAnsi="Verdana" w:cs="Arial"/>
          <w:spacing w:val="-1"/>
          <w:sz w:val="14"/>
          <w:szCs w:val="14"/>
        </w:rPr>
        <w:t xml:space="preserve"> </w:t>
      </w:r>
      <w:r w:rsidRPr="000F0F39">
        <w:rPr>
          <w:rFonts w:ascii="Verdana" w:hAnsi="Verdana" w:cs="Arial"/>
          <w:sz w:val="14"/>
          <w:szCs w:val="14"/>
        </w:rPr>
        <w:t>Estatales.</w:t>
      </w:r>
    </w:p>
    <w:p w14:paraId="7EDB7153" w14:textId="77777777" w:rsidR="00897CD2" w:rsidRPr="000F0F39" w:rsidRDefault="00897CD2" w:rsidP="00897CD2">
      <w:pPr>
        <w:spacing w:after="0" w:line="240" w:lineRule="auto"/>
        <w:ind w:firstLine="709"/>
        <w:jc w:val="both"/>
        <w:rPr>
          <w:rFonts w:ascii="Verdana" w:hAnsi="Verdana" w:cs="Arial"/>
          <w:sz w:val="14"/>
          <w:szCs w:val="14"/>
        </w:rPr>
      </w:pPr>
    </w:p>
  </w:footnote>
  <w:footnote w:id="44">
    <w:p w14:paraId="43977E8E" w14:textId="77777777" w:rsidR="00897CD2" w:rsidRPr="000F0F39" w:rsidRDefault="00897CD2" w:rsidP="00897CD2">
      <w:pPr>
        <w:spacing w:after="0" w:line="240" w:lineRule="auto"/>
        <w:ind w:firstLine="709"/>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F0F39">
        <w:rPr>
          <w:rFonts w:ascii="Verdana" w:hAnsi="Verdana" w:cs="Arial"/>
          <w:spacing w:val="-6"/>
          <w:sz w:val="14"/>
          <w:szCs w:val="14"/>
        </w:rPr>
        <w:t xml:space="preserve"> </w:t>
      </w:r>
      <w:r w:rsidRPr="000F0F39">
        <w:rPr>
          <w:rFonts w:ascii="Verdana" w:hAnsi="Verdana" w:cs="Arial"/>
          <w:sz w:val="14"/>
          <w:szCs w:val="14"/>
        </w:rPr>
        <w:t>artículo.</w:t>
      </w:r>
    </w:p>
  </w:footnote>
  <w:footnote w:id="45">
    <w:p w14:paraId="25DEDBBD" w14:textId="77777777" w:rsidR="00897CD2" w:rsidRPr="000F0F39" w:rsidRDefault="00897CD2" w:rsidP="00897CD2">
      <w:pPr>
        <w:spacing w:after="0" w:line="240" w:lineRule="auto"/>
        <w:ind w:right="454" w:firstLine="709"/>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position w:val="7"/>
          <w:sz w:val="14"/>
          <w:szCs w:val="14"/>
        </w:rPr>
        <w:t xml:space="preserve"> </w:t>
      </w:r>
      <w:r w:rsidRPr="000F0F39">
        <w:rPr>
          <w:rFonts w:ascii="Verdana" w:hAnsi="Verdana" w:cs="Arial"/>
          <w:sz w:val="14"/>
          <w:szCs w:val="14"/>
        </w:rPr>
        <w:t xml:space="preserve">Consejo de Estado. </w:t>
      </w:r>
      <w:r>
        <w:rPr>
          <w:rFonts w:ascii="Verdana" w:hAnsi="Verdana" w:cs="Arial"/>
          <w:sz w:val="14"/>
          <w:szCs w:val="14"/>
        </w:rPr>
        <w:t xml:space="preserve">Sala de lo Contenciosos Administrativo. </w:t>
      </w:r>
      <w:r w:rsidRPr="000F0F39">
        <w:rPr>
          <w:rFonts w:ascii="Verdana" w:hAnsi="Verdana" w:cs="Arial"/>
          <w:sz w:val="14"/>
          <w:szCs w:val="14"/>
        </w:rPr>
        <w:t>Sección Tercera. Sentencia del 23 de junio de</w:t>
      </w:r>
      <w:r>
        <w:rPr>
          <w:rFonts w:ascii="Verdana" w:hAnsi="Verdana" w:cs="Arial"/>
          <w:sz w:val="14"/>
          <w:szCs w:val="14"/>
        </w:rPr>
        <w:t xml:space="preserve"> </w:t>
      </w:r>
      <w:r w:rsidRPr="000F0F39">
        <w:rPr>
          <w:rFonts w:ascii="Verdana" w:hAnsi="Verdana" w:cs="Arial"/>
          <w:sz w:val="14"/>
          <w:szCs w:val="14"/>
        </w:rPr>
        <w:t>2010. Radicación No. 66001-23-31-000-1998-00261-01(17.860). Consejero Ponente: Mauricio Fajardo Gómez.</w:t>
      </w:r>
    </w:p>
  </w:footnote>
  <w:footnote w:id="46">
    <w:p w14:paraId="71A0A671" w14:textId="77777777" w:rsidR="00897CD2" w:rsidRDefault="00897CD2" w:rsidP="00897CD2">
      <w:pPr>
        <w:spacing w:after="0" w:line="240" w:lineRule="auto"/>
        <w:ind w:firstLine="709"/>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Consejo de Estado. </w:t>
      </w:r>
      <w:r>
        <w:rPr>
          <w:rFonts w:ascii="Verdana" w:hAnsi="Verdana" w:cs="Arial"/>
          <w:sz w:val="14"/>
          <w:szCs w:val="14"/>
        </w:rPr>
        <w:t xml:space="preserve">Sala de lo Contencioso Administrativo. </w:t>
      </w:r>
      <w:r w:rsidRPr="000F0F39">
        <w:rPr>
          <w:rFonts w:ascii="Verdana" w:hAnsi="Verdana" w:cs="Arial"/>
          <w:sz w:val="14"/>
          <w:szCs w:val="14"/>
        </w:rPr>
        <w:t>Sección Tercera. Subsección C. Sentencia del 11 de diciembre de 2019. Exp. 46.986. C.P. Jaime Enrique Rodríguez Navas.</w:t>
      </w:r>
    </w:p>
    <w:p w14:paraId="3B1E3383" w14:textId="77777777" w:rsidR="00897CD2" w:rsidRPr="000F0F39" w:rsidRDefault="00897CD2" w:rsidP="00897CD2">
      <w:pPr>
        <w:spacing w:after="0" w:line="240" w:lineRule="auto"/>
        <w:ind w:firstLine="709"/>
        <w:jc w:val="both"/>
        <w:rPr>
          <w:rFonts w:ascii="Verdana" w:hAnsi="Verdana" w:cs="Arial"/>
          <w:sz w:val="14"/>
          <w:szCs w:val="14"/>
        </w:rPr>
      </w:pPr>
    </w:p>
  </w:footnote>
  <w:footnote w:id="47">
    <w:p w14:paraId="10AB092D" w14:textId="77777777" w:rsidR="00897CD2" w:rsidRDefault="00897CD2" w:rsidP="00897CD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[Referencia propia de la cita] «CE. SCSC. Concepto de 1 de noviembre de 2016 [Rad. 11001-03-06-000-2016-00125-00(2305)]. MP. Germán Alberto Bula Escobar.</w:t>
      </w:r>
    </w:p>
    <w:p w14:paraId="0C8BBBFF" w14:textId="77777777" w:rsidR="00897CD2" w:rsidRPr="000F0F39" w:rsidRDefault="00897CD2" w:rsidP="00897CD2">
      <w:pPr>
        <w:pStyle w:val="Textonotapie"/>
        <w:ind w:firstLine="708"/>
        <w:jc w:val="both"/>
        <w:rPr>
          <w:rFonts w:ascii="Verdana" w:hAnsi="Verdana" w:cs="Arial"/>
          <w:sz w:val="14"/>
          <w:szCs w:val="14"/>
        </w:rPr>
      </w:pPr>
    </w:p>
  </w:footnote>
  <w:footnote w:id="48">
    <w:p w14:paraId="67B7E566" w14:textId="77777777" w:rsidR="00897CD2" w:rsidRDefault="00897CD2" w:rsidP="00897CD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[Referencia propia de la cita] «CE. SCSC. Concepto de 30 de abril de 2008 [Rad. 11001-03-06-000-2008-00013-00(1881)]. MP. Enrique José Arboleda Perdomo. En esta oportunidad, la Sala indicó que el contenido </w:t>
      </w:r>
      <w:r w:rsidRPr="000F0F39">
        <w:rPr>
          <w:rFonts w:ascii="Verdana" w:hAnsi="Verdana" w:cs="Arial"/>
          <w:i/>
          <w:sz w:val="14"/>
          <w:szCs w:val="14"/>
        </w:rPr>
        <w:t>“obligacional”</w:t>
      </w:r>
      <w:r w:rsidRPr="000F0F39">
        <w:rPr>
          <w:rFonts w:ascii="Verdana" w:hAnsi="Verdana" w:cs="Arial"/>
          <w:sz w:val="14"/>
          <w:szCs w:val="14"/>
        </w:rPr>
        <w:t xml:space="preserve"> de los convenios se estructura definiendo el resultado querido por las partes y los medios que cada entidad despliega para la obtención del respectivo objeto».</w:t>
      </w:r>
    </w:p>
    <w:p w14:paraId="14E86A00" w14:textId="77777777" w:rsidR="00897CD2" w:rsidRPr="000F0F39" w:rsidRDefault="00897CD2" w:rsidP="00897CD2">
      <w:pPr>
        <w:pStyle w:val="Textonotapie"/>
        <w:ind w:firstLine="708"/>
        <w:jc w:val="both"/>
        <w:rPr>
          <w:rFonts w:ascii="Verdana" w:hAnsi="Verdana" w:cs="Arial"/>
          <w:sz w:val="14"/>
          <w:szCs w:val="14"/>
        </w:rPr>
      </w:pPr>
    </w:p>
  </w:footnote>
  <w:footnote w:id="49">
    <w:p w14:paraId="333743B7" w14:textId="77777777" w:rsidR="00897CD2" w:rsidRDefault="00897CD2" w:rsidP="00897CD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[Referencia propia de la cita] La normativa vigente del EGCAP </w:t>
      </w:r>
      <w:r w:rsidRPr="000F0F39">
        <w:rPr>
          <w:rFonts w:ascii="Verdana" w:hAnsi="Verdana" w:cs="Arial"/>
          <w:i/>
          <w:sz w:val="14"/>
          <w:szCs w:val="14"/>
        </w:rPr>
        <w:t>[literal c) del numeral 4. del artículo 2 de la Ley 1150/07]</w:t>
      </w:r>
      <w:r w:rsidRPr="000F0F39">
        <w:rPr>
          <w:rFonts w:ascii="Verdana" w:hAnsi="Verdana" w:cs="Arial"/>
          <w:sz w:val="14"/>
          <w:szCs w:val="14"/>
        </w:rPr>
        <w:t xml:space="preserve"> se refiere a </w:t>
      </w:r>
      <w:r w:rsidRPr="000F0F39">
        <w:rPr>
          <w:rFonts w:ascii="Verdana" w:hAnsi="Verdana" w:cs="Arial"/>
          <w:i/>
          <w:sz w:val="14"/>
          <w:szCs w:val="14"/>
        </w:rPr>
        <w:t>“contratos interadministrativos”</w:t>
      </w:r>
      <w:r w:rsidRPr="000F0F39">
        <w:rPr>
          <w:rFonts w:ascii="Verdana" w:hAnsi="Verdana" w:cs="Arial"/>
          <w:sz w:val="14"/>
          <w:szCs w:val="14"/>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6A2D826B" w14:textId="77777777" w:rsidR="00897CD2" w:rsidRPr="000F0F39" w:rsidRDefault="00897CD2" w:rsidP="00897CD2">
      <w:pPr>
        <w:pStyle w:val="Textonotapie"/>
        <w:ind w:firstLine="708"/>
        <w:jc w:val="both"/>
        <w:rPr>
          <w:rFonts w:ascii="Verdana" w:hAnsi="Verdana" w:cs="Arial"/>
          <w:sz w:val="14"/>
          <w:szCs w:val="14"/>
        </w:rPr>
      </w:pPr>
    </w:p>
  </w:footnote>
  <w:footnote w:id="50">
    <w:p w14:paraId="6EF132E3" w14:textId="77777777" w:rsidR="00897CD2" w:rsidRDefault="00897CD2" w:rsidP="00897CD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363A1D82" w14:textId="77777777" w:rsidR="00897CD2" w:rsidRPr="000F0F39" w:rsidRDefault="00897CD2" w:rsidP="00897CD2">
      <w:pPr>
        <w:pStyle w:val="Textonotapie"/>
        <w:ind w:firstLine="708"/>
        <w:jc w:val="both"/>
        <w:rPr>
          <w:rFonts w:ascii="Verdana" w:hAnsi="Verdana" w:cs="Arial"/>
          <w:sz w:val="14"/>
          <w:szCs w:val="14"/>
        </w:rPr>
      </w:pPr>
    </w:p>
  </w:footnote>
  <w:footnote w:id="51">
    <w:p w14:paraId="6E8AE58E" w14:textId="77777777" w:rsidR="00897CD2" w:rsidRDefault="00897CD2" w:rsidP="00897CD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Es lo que sucede, por ejemplo, con el Decreto 092 de 2017, que en su desarrollo hace referencia tanto a los «contratos» como a los </w:t>
      </w:r>
      <w:r>
        <w:rPr>
          <w:rFonts w:ascii="Verdana" w:hAnsi="Verdana" w:cs="Arial"/>
          <w:sz w:val="14"/>
          <w:szCs w:val="14"/>
        </w:rPr>
        <w:t>“</w:t>
      </w:r>
      <w:r w:rsidRPr="000F0F39">
        <w:rPr>
          <w:rFonts w:ascii="Verdana" w:hAnsi="Verdana" w:cs="Arial"/>
          <w:sz w:val="14"/>
          <w:szCs w:val="14"/>
        </w:rPr>
        <w:t>convenios</w:t>
      </w:r>
      <w:r>
        <w:rPr>
          <w:rFonts w:ascii="Verdana" w:hAnsi="Verdana" w:cs="Arial"/>
          <w:sz w:val="14"/>
          <w:szCs w:val="14"/>
        </w:rPr>
        <w:t>”</w:t>
      </w:r>
      <w:r w:rsidRPr="000F0F39">
        <w:rPr>
          <w:rFonts w:ascii="Verdana" w:hAnsi="Verdana" w:cs="Arial"/>
          <w:sz w:val="14"/>
          <w:szCs w:val="14"/>
        </w:rPr>
        <w:t xml:space="preserve">. </w:t>
      </w:r>
    </w:p>
    <w:p w14:paraId="619576EA" w14:textId="77777777" w:rsidR="00897CD2" w:rsidRPr="000F0F39" w:rsidRDefault="00897CD2" w:rsidP="00897CD2">
      <w:pPr>
        <w:pStyle w:val="Textonotapie"/>
        <w:ind w:firstLine="708"/>
        <w:jc w:val="both"/>
        <w:rPr>
          <w:rFonts w:ascii="Verdana" w:hAnsi="Verdana" w:cs="Arial"/>
          <w:sz w:val="14"/>
          <w:szCs w:val="14"/>
        </w:rPr>
      </w:pPr>
    </w:p>
  </w:footnote>
  <w:footnote w:id="52">
    <w:p w14:paraId="3DFFD270" w14:textId="77777777" w:rsidR="00897CD2" w:rsidRPr="000F0F39" w:rsidRDefault="00897CD2" w:rsidP="00897CD2">
      <w:pPr>
        <w:pStyle w:val="Textonotapie"/>
        <w:ind w:firstLine="708"/>
        <w:jc w:val="both"/>
        <w:rPr>
          <w:rFonts w:ascii="Verdana" w:hAnsi="Verdana" w:cs="Arial"/>
          <w:sz w:val="14"/>
          <w:szCs w:val="14"/>
          <w:lang w:val="es-CO"/>
        </w:rPr>
      </w:pPr>
      <w:r w:rsidRPr="000F0F39">
        <w:rPr>
          <w:rStyle w:val="Refdenotaalpie"/>
          <w:rFonts w:ascii="Verdana" w:hAnsi="Verdana" w:cs="Arial"/>
          <w:sz w:val="14"/>
          <w:szCs w:val="14"/>
        </w:rPr>
        <w:footnoteRef/>
      </w:r>
      <w:r w:rsidRPr="000F0F39">
        <w:rPr>
          <w:rFonts w:ascii="Verdana" w:hAnsi="Verdana" w:cs="Arial"/>
          <w:sz w:val="14"/>
          <w:szCs w:val="14"/>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53">
    <w:p w14:paraId="1A38EDF4" w14:textId="77777777" w:rsidR="00897CD2" w:rsidRPr="00301D9D" w:rsidRDefault="00897CD2" w:rsidP="00897CD2">
      <w:pPr>
        <w:pStyle w:val="Textonotapie"/>
        <w:ind w:firstLine="709"/>
        <w:contextualSpacing/>
        <w:jc w:val="both"/>
        <w:rPr>
          <w:rFonts w:ascii="Verdana" w:hAnsi="Verdana"/>
          <w:sz w:val="14"/>
          <w:szCs w:val="14"/>
          <w:lang w:val="pt-BR"/>
        </w:rPr>
      </w:pPr>
      <w:r w:rsidRPr="00301D9D">
        <w:rPr>
          <w:rStyle w:val="Refdenotaalpie"/>
          <w:rFonts w:ascii="Verdana" w:hAnsi="Verdana"/>
          <w:sz w:val="14"/>
          <w:szCs w:val="14"/>
        </w:rPr>
        <w:footnoteRef/>
      </w:r>
      <w:r w:rsidRPr="00301D9D">
        <w:rPr>
          <w:rFonts w:ascii="Verdana" w:hAnsi="Verdana"/>
          <w:sz w:val="14"/>
          <w:szCs w:val="14"/>
          <w:lang w:val="pt-BR"/>
        </w:rPr>
        <w:t xml:space="preserve"> </w:t>
      </w:r>
      <w:r w:rsidRPr="004E07D0">
        <w:rPr>
          <w:rFonts w:ascii="Verdana" w:hAnsi="Verdana" w:cs="Arial"/>
          <w:sz w:val="14"/>
          <w:szCs w:val="14"/>
          <w:lang w:val="es-CO"/>
        </w:rPr>
        <w:t>Consejo de Estado, Sala de lo Contencioso Administrativo, Sección Tercera. Subsección B. Auto del 4 de octubre</w:t>
      </w:r>
      <w:r w:rsidRPr="00301D9D">
        <w:rPr>
          <w:rFonts w:ascii="Verdana" w:hAnsi="Verdana" w:cs="Arial"/>
          <w:sz w:val="14"/>
          <w:szCs w:val="14"/>
          <w:lang w:val="pt-BR"/>
        </w:rPr>
        <w:t xml:space="preserve"> de 2024. Radicado No. 70.313. MP: Fredy Ibarra Martínez.</w:t>
      </w:r>
    </w:p>
  </w:footnote>
  <w:footnote w:id="54">
    <w:p w14:paraId="150D6643" w14:textId="77777777" w:rsidR="00897CD2" w:rsidRPr="005A5B79" w:rsidRDefault="00897CD2" w:rsidP="00897CD2">
      <w:pPr>
        <w:pStyle w:val="Textonotapie"/>
        <w:ind w:firstLine="708"/>
        <w:jc w:val="both"/>
        <w:rPr>
          <w:rFonts w:ascii="Verdana" w:hAnsi="Verdana" w:cs="Arial"/>
          <w:sz w:val="14"/>
          <w:szCs w:val="14"/>
        </w:rPr>
      </w:pPr>
      <w:r w:rsidRPr="005A5B79">
        <w:rPr>
          <w:rStyle w:val="Refdenotaalpie"/>
          <w:rFonts w:ascii="Verdana" w:hAnsi="Verdana" w:cs="Arial"/>
          <w:sz w:val="14"/>
          <w:szCs w:val="14"/>
        </w:rPr>
        <w:footnoteRef/>
      </w:r>
      <w:r w:rsidRPr="005A5B79">
        <w:rPr>
          <w:rFonts w:ascii="Verdana" w:hAnsi="Verdana" w:cs="Arial"/>
          <w:sz w:val="14"/>
          <w:szCs w:val="14"/>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55">
    <w:p w14:paraId="3E18C9CB" w14:textId="77777777" w:rsidR="00897CD2" w:rsidRDefault="00897CD2" w:rsidP="00897CD2">
      <w:pPr>
        <w:pStyle w:val="Textonotapie"/>
        <w:ind w:firstLine="709"/>
        <w:jc w:val="both"/>
        <w:rPr>
          <w:rFonts w:ascii="Verdana" w:hAnsi="Verdana" w:cs="Arial"/>
          <w:sz w:val="14"/>
          <w:szCs w:val="14"/>
        </w:rPr>
      </w:pPr>
      <w:r w:rsidRPr="005A5B79">
        <w:rPr>
          <w:rStyle w:val="Refdenotaalpie"/>
          <w:rFonts w:ascii="Verdana" w:hAnsi="Verdana" w:cs="Arial"/>
          <w:sz w:val="14"/>
          <w:szCs w:val="14"/>
        </w:rPr>
        <w:footnoteRef/>
      </w:r>
      <w:r w:rsidRPr="005A5B79">
        <w:rPr>
          <w:rFonts w:ascii="Verdana" w:hAnsi="Verdana" w:cs="Arial"/>
          <w:sz w:val="14"/>
          <w:szCs w:val="14"/>
        </w:rPr>
        <w:t xml:space="preserve"> Consejo de Estado. Sala de Consulta y Servicio Civil. Concepto del 15 de noviembre de 2007. Expediente número 1863. Consejero Ponente: Luis Fernando Álvarez Jaramillo.</w:t>
      </w:r>
    </w:p>
    <w:p w14:paraId="58024617" w14:textId="77777777" w:rsidR="00897CD2" w:rsidRPr="005A5B79" w:rsidRDefault="00897CD2" w:rsidP="00897CD2">
      <w:pPr>
        <w:pStyle w:val="Textonotapie"/>
        <w:ind w:firstLine="709"/>
        <w:jc w:val="both"/>
        <w:rPr>
          <w:rFonts w:ascii="Verdana" w:hAnsi="Verdana" w:cs="Arial"/>
          <w:sz w:val="14"/>
          <w:szCs w:val="14"/>
        </w:rPr>
      </w:pPr>
    </w:p>
  </w:footnote>
  <w:footnote w:id="56">
    <w:p w14:paraId="6A47B5EC" w14:textId="77777777" w:rsidR="00897CD2" w:rsidRDefault="00897CD2" w:rsidP="00897CD2">
      <w:pPr>
        <w:pStyle w:val="Textonotapie"/>
        <w:ind w:firstLine="709"/>
        <w:jc w:val="both"/>
        <w:rPr>
          <w:rFonts w:ascii="Verdana" w:hAnsi="Verdana" w:cs="Arial"/>
          <w:sz w:val="14"/>
          <w:szCs w:val="14"/>
          <w:lang w:val="es-ES"/>
        </w:rPr>
      </w:pPr>
      <w:r w:rsidRPr="005A5B79">
        <w:rPr>
          <w:rStyle w:val="Refdenotaalpie"/>
          <w:rFonts w:ascii="Verdana" w:hAnsi="Verdana" w:cs="Arial"/>
          <w:sz w:val="14"/>
          <w:szCs w:val="14"/>
        </w:rPr>
        <w:footnoteRef/>
      </w:r>
      <w:r w:rsidRPr="005A5B79">
        <w:rPr>
          <w:rFonts w:ascii="Verdana" w:hAnsi="Verdana" w:cs="Arial"/>
          <w:sz w:val="14"/>
          <w:szCs w:val="14"/>
        </w:rPr>
        <w:t xml:space="preserve"> Registraduría Nacional del Estado Civil, </w:t>
      </w:r>
      <w:r w:rsidRPr="005A5B79">
        <w:rPr>
          <w:rFonts w:ascii="Verdana" w:hAnsi="Verdana" w:cs="Arial"/>
          <w:sz w:val="14"/>
          <w:szCs w:val="14"/>
          <w:lang w:val="es-ES"/>
        </w:rPr>
        <w:t xml:space="preserve">Resolución </w:t>
      </w:r>
      <w:r>
        <w:rPr>
          <w:rFonts w:ascii="Verdana" w:hAnsi="Verdana" w:cs="Arial"/>
          <w:sz w:val="14"/>
          <w:szCs w:val="14"/>
          <w:lang w:val="es-ES"/>
        </w:rPr>
        <w:t>2581 del 5 de marzo de 2025</w:t>
      </w:r>
      <w:r w:rsidRPr="005A5B79">
        <w:rPr>
          <w:rFonts w:ascii="Verdana" w:hAnsi="Verdana" w:cs="Arial"/>
          <w:sz w:val="14"/>
          <w:szCs w:val="14"/>
          <w:lang w:val="es-ES"/>
        </w:rPr>
        <w:t xml:space="preserve">, mediante la cual </w:t>
      </w:r>
      <w:r>
        <w:rPr>
          <w:rFonts w:ascii="Verdana" w:hAnsi="Verdana" w:cs="Arial"/>
          <w:sz w:val="14"/>
          <w:szCs w:val="14"/>
          <w:lang w:val="es-ES"/>
        </w:rPr>
        <w:t>“</w:t>
      </w:r>
      <w:r w:rsidRPr="005A5B79">
        <w:rPr>
          <w:rFonts w:ascii="Verdana" w:hAnsi="Verdana" w:cs="Arial"/>
          <w:sz w:val="14"/>
          <w:szCs w:val="14"/>
          <w:lang w:val="es-ES"/>
        </w:rPr>
        <w:t xml:space="preserve">se fija el calendario electoral del Congreso de la República que se realizarán el </w:t>
      </w:r>
      <w:r>
        <w:rPr>
          <w:rFonts w:ascii="Verdana" w:hAnsi="Verdana" w:cs="Arial"/>
          <w:sz w:val="14"/>
          <w:szCs w:val="14"/>
          <w:lang w:val="es-ES"/>
        </w:rPr>
        <w:t>8 de marzo de 2026”</w:t>
      </w:r>
      <w:r w:rsidRPr="005A5B79">
        <w:rPr>
          <w:rFonts w:ascii="Verdana" w:hAnsi="Verdana" w:cs="Arial"/>
          <w:sz w:val="14"/>
          <w:szCs w:val="14"/>
          <w:lang w:val="es-ES"/>
        </w:rPr>
        <w:t xml:space="preserve">. </w:t>
      </w:r>
    </w:p>
    <w:p w14:paraId="5C1B0935" w14:textId="77777777" w:rsidR="00897CD2" w:rsidRPr="005A5B79" w:rsidRDefault="00897CD2" w:rsidP="00897CD2">
      <w:pPr>
        <w:pStyle w:val="Textonotapie"/>
        <w:ind w:firstLine="709"/>
        <w:jc w:val="both"/>
        <w:rPr>
          <w:rFonts w:ascii="Verdana" w:hAnsi="Verdana" w:cs="Arial"/>
          <w:sz w:val="14"/>
          <w:szCs w:val="14"/>
          <w:lang w:val="es-ES"/>
        </w:rPr>
      </w:pPr>
    </w:p>
  </w:footnote>
  <w:footnote w:id="57">
    <w:p w14:paraId="143D145E" w14:textId="77777777" w:rsidR="00897CD2" w:rsidRPr="00990FC7" w:rsidRDefault="00897CD2" w:rsidP="00897CD2">
      <w:pPr>
        <w:pStyle w:val="Textonotapie"/>
        <w:ind w:firstLine="709"/>
        <w:jc w:val="both"/>
        <w:rPr>
          <w:rFonts w:ascii="Arial" w:hAnsi="Arial" w:cs="Arial"/>
          <w:sz w:val="12"/>
          <w:szCs w:val="12"/>
          <w:lang w:val="es-ES"/>
        </w:rPr>
      </w:pPr>
      <w:r w:rsidRPr="005A5B79">
        <w:rPr>
          <w:rStyle w:val="Refdenotaalpie"/>
          <w:rFonts w:ascii="Verdana" w:hAnsi="Verdana" w:cs="Arial"/>
          <w:sz w:val="14"/>
          <w:szCs w:val="14"/>
        </w:rPr>
        <w:footnoteRef/>
      </w:r>
      <w:r w:rsidRPr="005A5B79">
        <w:rPr>
          <w:rFonts w:ascii="Verdana" w:hAnsi="Verdana" w:cs="Arial"/>
          <w:sz w:val="14"/>
          <w:szCs w:val="14"/>
        </w:rPr>
        <w:t xml:space="preserve"> Registraduría Nacional del Estado Civil, Resolución </w:t>
      </w:r>
      <w:r>
        <w:rPr>
          <w:rFonts w:ascii="Verdana" w:hAnsi="Verdana" w:cs="Arial"/>
          <w:sz w:val="14"/>
          <w:szCs w:val="14"/>
        </w:rPr>
        <w:t>2580 del 5 de marzo de 2025</w:t>
      </w:r>
      <w:r w:rsidRPr="005A5B79">
        <w:rPr>
          <w:rFonts w:ascii="Verdana" w:hAnsi="Verdana" w:cs="Arial"/>
          <w:sz w:val="14"/>
          <w:szCs w:val="14"/>
        </w:rPr>
        <w:t xml:space="preserve">, «por la cual se fija el calendario electoral para las elecciones de Presidente y Vicepresidente de la República (primera vuelta) para el periodo constitucional </w:t>
      </w:r>
      <w:r>
        <w:rPr>
          <w:rFonts w:ascii="Verdana" w:hAnsi="Verdana" w:cs="Arial"/>
          <w:sz w:val="14"/>
          <w:szCs w:val="14"/>
        </w:rPr>
        <w:t>2026-2030</w:t>
      </w:r>
      <w:r w:rsidRPr="005A5B79">
        <w:rPr>
          <w:rFonts w:ascii="Verdana" w:hAnsi="Verdana" w:cs="Arial"/>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EF562E8"/>
    <w:multiLevelType w:val="hybridMultilevel"/>
    <w:tmpl w:val="4C92037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EBE10F8"/>
    <w:multiLevelType w:val="hybridMultilevel"/>
    <w:tmpl w:val="600053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5F0D6A"/>
    <w:multiLevelType w:val="hybridMultilevel"/>
    <w:tmpl w:val="243A2E9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4610C3B"/>
    <w:multiLevelType w:val="multilevel"/>
    <w:tmpl w:val="C7CEA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93020348">
    <w:abstractNumId w:val="11"/>
  </w:num>
  <w:num w:numId="19" w16cid:durableId="1827358651">
    <w:abstractNumId w:val="3"/>
  </w:num>
  <w:num w:numId="20" w16cid:durableId="930968340">
    <w:abstractNumId w:val="18"/>
  </w:num>
  <w:num w:numId="21" w16cid:durableId="7722422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93C"/>
    <w:rsid w:val="00016F78"/>
    <w:rsid w:val="00046945"/>
    <w:rsid w:val="000550D8"/>
    <w:rsid w:val="00061B2A"/>
    <w:rsid w:val="00062B55"/>
    <w:rsid w:val="00082362"/>
    <w:rsid w:val="000A683E"/>
    <w:rsid w:val="000B19B9"/>
    <w:rsid w:val="000D0334"/>
    <w:rsid w:val="000F6486"/>
    <w:rsid w:val="00125105"/>
    <w:rsid w:val="00127233"/>
    <w:rsid w:val="0014177B"/>
    <w:rsid w:val="001511A0"/>
    <w:rsid w:val="00183975"/>
    <w:rsid w:val="001E4177"/>
    <w:rsid w:val="001F7DC6"/>
    <w:rsid w:val="00236CEB"/>
    <w:rsid w:val="002421BB"/>
    <w:rsid w:val="00253440"/>
    <w:rsid w:val="0025796E"/>
    <w:rsid w:val="002707A2"/>
    <w:rsid w:val="00294993"/>
    <w:rsid w:val="002951A0"/>
    <w:rsid w:val="002962BC"/>
    <w:rsid w:val="002A093D"/>
    <w:rsid w:val="002A0DD0"/>
    <w:rsid w:val="002A49AC"/>
    <w:rsid w:val="002A64FD"/>
    <w:rsid w:val="002C7A84"/>
    <w:rsid w:val="002E4FD9"/>
    <w:rsid w:val="00322A85"/>
    <w:rsid w:val="00324168"/>
    <w:rsid w:val="0034372A"/>
    <w:rsid w:val="003448F4"/>
    <w:rsid w:val="00345934"/>
    <w:rsid w:val="00374F5E"/>
    <w:rsid w:val="00377E3E"/>
    <w:rsid w:val="003A779E"/>
    <w:rsid w:val="003D0F4D"/>
    <w:rsid w:val="003D5B0D"/>
    <w:rsid w:val="003E0499"/>
    <w:rsid w:val="003F3941"/>
    <w:rsid w:val="00406575"/>
    <w:rsid w:val="00414C74"/>
    <w:rsid w:val="00415524"/>
    <w:rsid w:val="0042722E"/>
    <w:rsid w:val="0043749D"/>
    <w:rsid w:val="0044528D"/>
    <w:rsid w:val="00496FDE"/>
    <w:rsid w:val="004A1847"/>
    <w:rsid w:val="004A305D"/>
    <w:rsid w:val="004B3A80"/>
    <w:rsid w:val="004F21C4"/>
    <w:rsid w:val="004F685F"/>
    <w:rsid w:val="005566E8"/>
    <w:rsid w:val="00574867"/>
    <w:rsid w:val="005763A2"/>
    <w:rsid w:val="00591460"/>
    <w:rsid w:val="005A5F97"/>
    <w:rsid w:val="005B3816"/>
    <w:rsid w:val="005C3777"/>
    <w:rsid w:val="005C5CDC"/>
    <w:rsid w:val="005D476C"/>
    <w:rsid w:val="005D7A3D"/>
    <w:rsid w:val="00601C33"/>
    <w:rsid w:val="006219F8"/>
    <w:rsid w:val="00665D70"/>
    <w:rsid w:val="006900D9"/>
    <w:rsid w:val="00692B46"/>
    <w:rsid w:val="006A5661"/>
    <w:rsid w:val="006B597E"/>
    <w:rsid w:val="006C320A"/>
    <w:rsid w:val="006D4C4F"/>
    <w:rsid w:val="006E0A40"/>
    <w:rsid w:val="00706C16"/>
    <w:rsid w:val="00720EF7"/>
    <w:rsid w:val="00741795"/>
    <w:rsid w:val="00756841"/>
    <w:rsid w:val="007649AB"/>
    <w:rsid w:val="00771D0C"/>
    <w:rsid w:val="007833AC"/>
    <w:rsid w:val="007B268C"/>
    <w:rsid w:val="007B7171"/>
    <w:rsid w:val="007C0C0F"/>
    <w:rsid w:val="007C3DC2"/>
    <w:rsid w:val="007E5497"/>
    <w:rsid w:val="00806F5F"/>
    <w:rsid w:val="00820278"/>
    <w:rsid w:val="008475C5"/>
    <w:rsid w:val="00867F95"/>
    <w:rsid w:val="0087166E"/>
    <w:rsid w:val="008843B6"/>
    <w:rsid w:val="00891928"/>
    <w:rsid w:val="00896085"/>
    <w:rsid w:val="00897CD2"/>
    <w:rsid w:val="008A446D"/>
    <w:rsid w:val="008C7703"/>
    <w:rsid w:val="008D180B"/>
    <w:rsid w:val="008F0EA7"/>
    <w:rsid w:val="0090289B"/>
    <w:rsid w:val="0090302E"/>
    <w:rsid w:val="00922436"/>
    <w:rsid w:val="00923EEF"/>
    <w:rsid w:val="00941504"/>
    <w:rsid w:val="009419F9"/>
    <w:rsid w:val="0095685E"/>
    <w:rsid w:val="00961B09"/>
    <w:rsid w:val="00965334"/>
    <w:rsid w:val="0097093E"/>
    <w:rsid w:val="00986AC5"/>
    <w:rsid w:val="009A0DFA"/>
    <w:rsid w:val="009B2D26"/>
    <w:rsid w:val="009C0432"/>
    <w:rsid w:val="009C71FA"/>
    <w:rsid w:val="009C72E7"/>
    <w:rsid w:val="009D3058"/>
    <w:rsid w:val="009F3A13"/>
    <w:rsid w:val="00A122D3"/>
    <w:rsid w:val="00A17F13"/>
    <w:rsid w:val="00A20739"/>
    <w:rsid w:val="00A33C78"/>
    <w:rsid w:val="00A5373B"/>
    <w:rsid w:val="00A60360"/>
    <w:rsid w:val="00A769C1"/>
    <w:rsid w:val="00AB0ADB"/>
    <w:rsid w:val="00AB1A9C"/>
    <w:rsid w:val="00AD61EE"/>
    <w:rsid w:val="00B01B1A"/>
    <w:rsid w:val="00B66319"/>
    <w:rsid w:val="00B72CD3"/>
    <w:rsid w:val="00B72FFF"/>
    <w:rsid w:val="00BC3D36"/>
    <w:rsid w:val="00BD7F72"/>
    <w:rsid w:val="00C04FB3"/>
    <w:rsid w:val="00C14D22"/>
    <w:rsid w:val="00C330EB"/>
    <w:rsid w:val="00C41061"/>
    <w:rsid w:val="00C754BE"/>
    <w:rsid w:val="00C76B1C"/>
    <w:rsid w:val="00C97E10"/>
    <w:rsid w:val="00CB6357"/>
    <w:rsid w:val="00CC18E6"/>
    <w:rsid w:val="00CC1B26"/>
    <w:rsid w:val="00CC3A91"/>
    <w:rsid w:val="00CF36BB"/>
    <w:rsid w:val="00CF5F24"/>
    <w:rsid w:val="00D423A2"/>
    <w:rsid w:val="00D520D8"/>
    <w:rsid w:val="00D63AC2"/>
    <w:rsid w:val="00D7383B"/>
    <w:rsid w:val="00D822B3"/>
    <w:rsid w:val="00D86F32"/>
    <w:rsid w:val="00DA231B"/>
    <w:rsid w:val="00DB0F5F"/>
    <w:rsid w:val="00DC2451"/>
    <w:rsid w:val="00DC39FC"/>
    <w:rsid w:val="00DF5254"/>
    <w:rsid w:val="00E16408"/>
    <w:rsid w:val="00E20894"/>
    <w:rsid w:val="00E245AB"/>
    <w:rsid w:val="00E255A8"/>
    <w:rsid w:val="00E2764C"/>
    <w:rsid w:val="00E27F2E"/>
    <w:rsid w:val="00E50AC9"/>
    <w:rsid w:val="00E50AFE"/>
    <w:rsid w:val="00E64629"/>
    <w:rsid w:val="00E66216"/>
    <w:rsid w:val="00E75C92"/>
    <w:rsid w:val="00E771DC"/>
    <w:rsid w:val="00E8772A"/>
    <w:rsid w:val="00E90F6B"/>
    <w:rsid w:val="00E92C27"/>
    <w:rsid w:val="00EA0ABB"/>
    <w:rsid w:val="00EA0E3D"/>
    <w:rsid w:val="00EC38A7"/>
    <w:rsid w:val="00ED7384"/>
    <w:rsid w:val="00EE1AA8"/>
    <w:rsid w:val="00EE57A6"/>
    <w:rsid w:val="00F31EDC"/>
    <w:rsid w:val="00F462B3"/>
    <w:rsid w:val="00F5664F"/>
    <w:rsid w:val="00F666C4"/>
    <w:rsid w:val="00F76AFC"/>
    <w:rsid w:val="00F83D93"/>
    <w:rsid w:val="00F90AF1"/>
    <w:rsid w:val="00F96773"/>
    <w:rsid w:val="00FA291D"/>
    <w:rsid w:val="00FA47C0"/>
    <w:rsid w:val="00FB5DD1"/>
    <w:rsid w:val="00FC2B5D"/>
    <w:rsid w:val="00FD7B8C"/>
    <w:rsid w:val="00FF1449"/>
    <w:rsid w:val="165E9519"/>
    <w:rsid w:val="1FB4D015"/>
    <w:rsid w:val="382536D9"/>
    <w:rsid w:val="55C46561"/>
    <w:rsid w:val="6597C79F"/>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98BC97B-CD6C-4646-9992-6AF8AF52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aliases w:val="Texto nota pie Car Car"/>
    <w:basedOn w:val="Fuentedeprrafopredeter"/>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97CD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97CD2"/>
    <w:rPr>
      <w:rFonts w:ascii="Geomanist Light" w:hAnsi="Geomanist Light"/>
      <w:lang w:val="es-ES"/>
    </w:rPr>
  </w:style>
  <w:style w:type="character" w:customStyle="1" w:styleId="NormalWebCar">
    <w:name w:val="Normal (Web) Car"/>
    <w:link w:val="NormalWeb"/>
    <w:uiPriority w:val="99"/>
    <w:locked/>
    <w:rsid w:val="00897CD2"/>
    <w:rPr>
      <w:rFonts w:ascii="Times New Roman" w:eastAsia="Times New Roman" w:hAnsi="Times New Roman" w:cs="Times New Roman"/>
      <w:sz w:val="24"/>
      <w:szCs w:val="24"/>
      <w:lang w:eastAsia="es-CO"/>
    </w:rPr>
  </w:style>
  <w:style w:type="character" w:customStyle="1" w:styleId="baj">
    <w:name w:val="b_aj"/>
    <w:basedOn w:val="Fuentedeprrafopredeter"/>
    <w:rsid w:val="00897CD2"/>
  </w:style>
  <w:style w:type="paragraph" w:styleId="Textoindependiente">
    <w:name w:val="Body Text"/>
    <w:basedOn w:val="Normal"/>
    <w:link w:val="TextoindependienteCar"/>
    <w:uiPriority w:val="1"/>
    <w:qFormat/>
    <w:rsid w:val="00897CD2"/>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897CD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paa.gov.co/wp-content/uploads/2021/11/DECRETO-1076-DE-2015.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paa.gov.co/wp-content/uploads/2021/11/LEY-1124-DE-2007.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tificacionesjudiciales@cpae.gov.co"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48EEC3AD-01DA-4AE5-A77C-2BFB88CF9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47</Pages>
  <Words>15798</Words>
  <Characters>86891</Characters>
  <Application>Microsoft Office Word</Application>
  <DocSecurity>0</DocSecurity>
  <Lines>724</Lines>
  <Paragraphs>204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102485</CharactersWithSpaces>
  <SharedDoc>false</SharedDoc>
  <HLinks>
    <vt:vector size="30" baseType="variant">
      <vt:variant>
        <vt:i4>6029407</vt:i4>
      </vt:variant>
      <vt:variant>
        <vt:i4>12</vt:i4>
      </vt:variant>
      <vt:variant>
        <vt:i4>0</vt:i4>
      </vt:variant>
      <vt:variant>
        <vt:i4>5</vt:i4>
      </vt:variant>
      <vt:variant>
        <vt:lpwstr>http://www.colombiacompra.gov.co/</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3014781</vt:i4>
      </vt:variant>
      <vt:variant>
        <vt:i4>6</vt:i4>
      </vt:variant>
      <vt:variant>
        <vt:i4>0</vt:i4>
      </vt:variant>
      <vt:variant>
        <vt:i4>5</vt:i4>
      </vt:variant>
      <vt:variant>
        <vt:lpwstr>https://cpaa.gov.co/wp-content/uploads/2021/11/DECRETO-1076-DE-2015.pdf</vt:lpwstr>
      </vt:variant>
      <vt:variant>
        <vt:lpwstr/>
      </vt:variant>
      <vt:variant>
        <vt:i4>3276922</vt:i4>
      </vt:variant>
      <vt:variant>
        <vt:i4>3</vt:i4>
      </vt:variant>
      <vt:variant>
        <vt:i4>0</vt:i4>
      </vt:variant>
      <vt:variant>
        <vt:i4>5</vt:i4>
      </vt:variant>
      <vt:variant>
        <vt:lpwstr>https://cpaa.gov.co/wp-content/uploads/2021/11/LEY-1124-DE-2007.pdf</vt:lpwstr>
      </vt:variant>
      <vt:variant>
        <vt:lpwstr/>
      </vt:variant>
      <vt:variant>
        <vt:i4>5898295</vt:i4>
      </vt:variant>
      <vt:variant>
        <vt:i4>0</vt:i4>
      </vt:variant>
      <vt:variant>
        <vt:i4>0</vt:i4>
      </vt:variant>
      <vt:variant>
        <vt:i4>5</vt:i4>
      </vt:variant>
      <vt:variant>
        <vt:lpwstr>mailto:notificacionesjudiciales@cpae.gov.co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13</cp:revision>
  <cp:lastPrinted>2023-01-11T00:18:00Z</cp:lastPrinted>
  <dcterms:created xsi:type="dcterms:W3CDTF">2025-08-22T21:35:00Z</dcterms:created>
  <dcterms:modified xsi:type="dcterms:W3CDTF">2025-08-26T20:07:00Z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