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B36DC" w14:textId="77777777" w:rsidR="001F72ED" w:rsidRPr="00BB3BE4" w:rsidRDefault="001F72ED" w:rsidP="001F72ED">
      <w:pPr>
        <w:tabs>
          <w:tab w:val="left" w:pos="709"/>
        </w:tabs>
        <w:spacing w:after="0" w:line="240" w:lineRule="auto"/>
        <w:jc w:val="both"/>
        <w:rPr>
          <w:rFonts w:ascii="Verdana" w:eastAsia="Calibri" w:hAnsi="Verdana" w:cs="Arial"/>
          <w:bCs/>
          <w:sz w:val="20"/>
          <w:szCs w:val="20"/>
          <w:lang w:val="es-ES_tradnl" w:eastAsia="es-ES_tradnl"/>
        </w:rPr>
      </w:pPr>
    </w:p>
    <w:p w14:paraId="1F546A12" w14:textId="77777777" w:rsidR="001F72ED" w:rsidRPr="00BB3BE4" w:rsidRDefault="001F72ED" w:rsidP="001F72ED">
      <w:pPr>
        <w:tabs>
          <w:tab w:val="left" w:pos="709"/>
        </w:tabs>
        <w:spacing w:after="0" w:line="240" w:lineRule="auto"/>
        <w:jc w:val="both"/>
        <w:rPr>
          <w:rFonts w:ascii="Verdana" w:eastAsia="Calibri" w:hAnsi="Verdana" w:cs="Arial"/>
          <w:b/>
          <w:lang w:val="es-ES_tradnl" w:eastAsia="es-ES_tradnl"/>
        </w:rPr>
      </w:pPr>
      <w:r w:rsidRPr="00BB3BE4">
        <w:rPr>
          <w:rFonts w:ascii="Verdana" w:eastAsia="Calibri" w:hAnsi="Verdana" w:cs="Arial"/>
          <w:b/>
          <w:lang w:val="es-ES_tradnl" w:eastAsia="es-ES_tradnl"/>
        </w:rPr>
        <w:t>PROPONENTE PLURAL ‒ Consorcio ‒ Uni</w:t>
      </w:r>
      <w:r w:rsidRPr="00BB3BE4">
        <w:rPr>
          <w:rFonts w:ascii="Verdana" w:eastAsia="Calibri" w:hAnsi="Verdana" w:cs="Century Gothic"/>
          <w:b/>
          <w:lang w:val="es-ES_tradnl" w:eastAsia="es-ES_tradnl"/>
        </w:rPr>
        <w:t>ó</w:t>
      </w:r>
      <w:r w:rsidRPr="00BB3BE4">
        <w:rPr>
          <w:rFonts w:ascii="Verdana" w:eastAsia="Calibri" w:hAnsi="Verdana" w:cs="Arial"/>
          <w:b/>
          <w:lang w:val="es-ES_tradnl" w:eastAsia="es-ES_tradnl"/>
        </w:rPr>
        <w:t xml:space="preserve">n temporal ‒ Concepto </w:t>
      </w:r>
      <w:r w:rsidRPr="00BB3BE4">
        <w:rPr>
          <w:rFonts w:ascii="Verdana" w:eastAsia="Calibri" w:hAnsi="Verdana" w:cs="Century Gothic"/>
          <w:b/>
          <w:lang w:val="es-ES_tradnl" w:eastAsia="es-ES_tradnl"/>
        </w:rPr>
        <w:t>–</w:t>
      </w:r>
      <w:r w:rsidRPr="00BB3BE4">
        <w:rPr>
          <w:rFonts w:ascii="Verdana" w:eastAsia="Calibri" w:hAnsi="Verdana" w:cs="Arial"/>
          <w:b/>
          <w:lang w:val="es-ES_tradnl" w:eastAsia="es-ES_tradnl"/>
        </w:rPr>
        <w:t xml:space="preserve"> Diferencias</w:t>
      </w:r>
    </w:p>
    <w:p w14:paraId="0475E758" w14:textId="77777777" w:rsidR="001F72ED" w:rsidRPr="00BB3BE4" w:rsidRDefault="001F72ED" w:rsidP="001F72ED">
      <w:pPr>
        <w:tabs>
          <w:tab w:val="left" w:pos="709"/>
        </w:tabs>
        <w:spacing w:after="0" w:line="240" w:lineRule="auto"/>
        <w:jc w:val="both"/>
        <w:rPr>
          <w:rFonts w:ascii="Verdana" w:eastAsia="Calibri" w:hAnsi="Verdana" w:cs="Arial"/>
          <w:bCs/>
          <w:sz w:val="20"/>
          <w:szCs w:val="20"/>
          <w:lang w:val="es-ES_tradnl" w:eastAsia="es-ES_tradnl"/>
        </w:rPr>
      </w:pPr>
    </w:p>
    <w:p w14:paraId="3A38D44A" w14:textId="77777777" w:rsidR="001F72ED" w:rsidRPr="00BB3BE4" w:rsidRDefault="001F72ED" w:rsidP="001F72ED">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3134F300" w14:textId="77777777" w:rsidR="001F72ED" w:rsidRPr="00BB3BE4" w:rsidRDefault="001F72ED" w:rsidP="001F72ED">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w:t>
      </w:r>
    </w:p>
    <w:p w14:paraId="575B11DA" w14:textId="77777777" w:rsidR="001F72ED" w:rsidRPr="00AF1555" w:rsidRDefault="001F72ED" w:rsidP="001F72ED">
      <w:pPr>
        <w:tabs>
          <w:tab w:val="left" w:pos="426"/>
        </w:tabs>
        <w:spacing w:after="0" w:line="240" w:lineRule="auto"/>
        <w:jc w:val="both"/>
        <w:rPr>
          <w:rFonts w:ascii="Verdana" w:hAnsi="Verdana" w:cs="Arial"/>
          <w:b/>
          <w:lang w:eastAsia="es-CO"/>
        </w:rPr>
      </w:pPr>
      <w:r>
        <w:rPr>
          <w:rFonts w:ascii="Verdana" w:hAnsi="Verdana" w:cs="Arial"/>
          <w:b/>
          <w:lang w:eastAsia="es-CO"/>
        </w:rPr>
        <w:t>SUBCONTRATACIÓN</w:t>
      </w:r>
      <w:r w:rsidRPr="00607390">
        <w:rPr>
          <w:rFonts w:ascii="Verdana" w:hAnsi="Verdana" w:cs="Arial"/>
          <w:b/>
          <w:lang w:eastAsia="es-CO"/>
        </w:rPr>
        <w:t xml:space="preserve"> – </w:t>
      </w:r>
      <w:r>
        <w:rPr>
          <w:rFonts w:ascii="Verdana" w:hAnsi="Verdana" w:cs="Arial"/>
          <w:b/>
          <w:lang w:eastAsia="es-CO"/>
        </w:rPr>
        <w:t xml:space="preserve">Concepto </w:t>
      </w:r>
      <w:r w:rsidRPr="00607390">
        <w:rPr>
          <w:rFonts w:ascii="Verdana" w:hAnsi="Verdana" w:cs="Arial"/>
          <w:b/>
          <w:lang w:eastAsia="es-CO"/>
        </w:rPr>
        <w:t>–</w:t>
      </w:r>
      <w:r>
        <w:rPr>
          <w:rFonts w:ascii="Verdana" w:hAnsi="Verdana" w:cs="Arial"/>
          <w:b/>
          <w:lang w:eastAsia="es-CO"/>
        </w:rPr>
        <w:t xml:space="preserve"> Limitaciones jurídicas </w:t>
      </w:r>
      <w:r w:rsidRPr="00607390">
        <w:rPr>
          <w:rFonts w:ascii="Verdana" w:hAnsi="Verdana" w:cs="Arial"/>
          <w:b/>
          <w:lang w:eastAsia="es-CO"/>
        </w:rPr>
        <w:t xml:space="preserve"> </w:t>
      </w:r>
    </w:p>
    <w:p w14:paraId="5BC8C3A4" w14:textId="77777777" w:rsidR="001F72ED" w:rsidRPr="00AF1555" w:rsidRDefault="001F72ED" w:rsidP="001F72ED">
      <w:pPr>
        <w:tabs>
          <w:tab w:val="left" w:pos="426"/>
        </w:tabs>
        <w:spacing w:after="0" w:line="240" w:lineRule="auto"/>
        <w:jc w:val="both"/>
        <w:rPr>
          <w:rFonts w:ascii="Verdana" w:hAnsi="Verdana" w:cs="Arial"/>
          <w:b/>
          <w:sz w:val="20"/>
          <w:szCs w:val="20"/>
          <w:lang w:eastAsia="es-CO"/>
        </w:rPr>
      </w:pPr>
    </w:p>
    <w:p w14:paraId="4006568D" w14:textId="77777777" w:rsidR="001F72ED" w:rsidRDefault="001F72ED" w:rsidP="001F72ED">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863481">
        <w:rPr>
          <w:rFonts w:ascii="Verdana" w:hAnsi="Verdana" w:cs="Arial"/>
          <w:bCs/>
          <w:sz w:val="20"/>
          <w:szCs w:val="20"/>
          <w:lang w:eastAsia="es-CO"/>
        </w:rPr>
        <w:t xml:space="preserve">la subcontratación implica la celebración de un contrato derivado de otro principal cuyo propósito es ejecutar parcialmente este último. Dentro de este marco, podrían presentarse niveles de subcontratación, es decir, los escalones en que se estructura el proceso de subcontratación. Estos niveles no excluyen el carácter de contrato derivado de estos subcontratos, puesto que sus objetos se encuentran en función de la realización material del contrato principal. </w:t>
      </w:r>
    </w:p>
    <w:p w14:paraId="4E332F3F" w14:textId="77777777" w:rsidR="001F72ED" w:rsidRPr="00863481" w:rsidRDefault="001F72ED" w:rsidP="001F72ED">
      <w:pPr>
        <w:spacing w:after="0" w:line="240" w:lineRule="auto"/>
        <w:jc w:val="both"/>
        <w:rPr>
          <w:rFonts w:ascii="Verdana" w:hAnsi="Verdana" w:cs="Arial"/>
          <w:bCs/>
          <w:sz w:val="20"/>
          <w:szCs w:val="20"/>
          <w:lang w:eastAsia="es-CO"/>
        </w:rPr>
      </w:pPr>
    </w:p>
    <w:p w14:paraId="1CA85D6E" w14:textId="77777777" w:rsidR="001F72ED" w:rsidRPr="00863481" w:rsidRDefault="001F72ED" w:rsidP="001F72ED">
      <w:pPr>
        <w:spacing w:after="0" w:line="240" w:lineRule="auto"/>
        <w:jc w:val="both"/>
        <w:rPr>
          <w:rFonts w:ascii="Verdana" w:hAnsi="Verdana" w:cs="Arial"/>
          <w:bCs/>
          <w:sz w:val="20"/>
          <w:szCs w:val="20"/>
          <w:lang w:val="es-ES" w:eastAsia="es-CO"/>
        </w:rPr>
      </w:pPr>
      <w:r w:rsidRPr="00863481">
        <w:rPr>
          <w:rFonts w:ascii="Verdana" w:hAnsi="Verdana" w:cs="Arial"/>
          <w:bCs/>
          <w:sz w:val="20"/>
          <w:szCs w:val="20"/>
          <w:lang w:val="es-ES" w:eastAsia="es-CO"/>
        </w:rPr>
        <w:t>Debido a la escasa regulación normativa, la subcontratación en materia de contratación pública estará supeditada a lo dispuesto en el Pliego de Condiciones y en el contrato, sin perjuicio de las limitaciones establecidas por la ley. De esta manera, su configuración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su autorización o sin el cumplimiento de la condición establecida en el negocio jurídico. Por su parte, si en el contrato no se estipula esta figura, se entiende que en principio está permitida y, por tanto, el contratista podrá subcontratar parcialmente con fundamento en la libertad de empresa, sin perjuicio de las limitaciones establecidas por ley</w:t>
      </w:r>
      <w:r w:rsidRPr="005E1218">
        <w:rPr>
          <w:rFonts w:ascii="Verdana" w:hAnsi="Verdana" w:cs="Arial"/>
          <w:bCs/>
          <w:sz w:val="20"/>
          <w:szCs w:val="20"/>
          <w:lang w:eastAsia="es-CO"/>
        </w:rPr>
        <w:t>.</w:t>
      </w:r>
    </w:p>
    <w:p w14:paraId="0214FAC3" w14:textId="77777777" w:rsidR="001F72ED" w:rsidRPr="00B53D4E" w:rsidRDefault="001F72ED" w:rsidP="001F72ED">
      <w:pPr>
        <w:spacing w:after="0" w:line="240" w:lineRule="auto"/>
        <w:jc w:val="both"/>
        <w:rPr>
          <w:rFonts w:ascii="Verdana" w:eastAsia="Calibri" w:hAnsi="Verdana" w:cs="Arial"/>
          <w:sz w:val="20"/>
          <w:szCs w:val="20"/>
        </w:rPr>
      </w:pPr>
    </w:p>
    <w:p w14:paraId="79E4CE59" w14:textId="77777777" w:rsidR="001F72ED" w:rsidRPr="00B53D4E" w:rsidRDefault="001F72ED" w:rsidP="001F72ED">
      <w:pPr>
        <w:pStyle w:val="s16"/>
        <w:spacing w:before="0" w:beforeAutospacing="0" w:after="0" w:afterAutospacing="0"/>
        <w:jc w:val="both"/>
        <w:rPr>
          <w:rFonts w:ascii="Verdana" w:hAnsi="Verdana" w:cs="Arial"/>
          <w:b/>
          <w:bCs/>
          <w:color w:val="000000"/>
          <w:sz w:val="22"/>
          <w:szCs w:val="22"/>
        </w:rPr>
      </w:pPr>
      <w:r>
        <w:rPr>
          <w:rStyle w:val="s15"/>
          <w:rFonts w:ascii="Verdana" w:hAnsi="Verdana" w:cs="Arial"/>
          <w:b/>
          <w:bCs/>
          <w:color w:val="000000"/>
          <w:sz w:val="22"/>
          <w:szCs w:val="22"/>
        </w:rPr>
        <w:t>INTEGRANTES DE ESTRUCTURA PLURAL – Subcontratación</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 xml:space="preserve">Terceros – Imposibilidad de fungir como subcontratistas </w:t>
      </w:r>
    </w:p>
    <w:p w14:paraId="59CD1F6C" w14:textId="77777777" w:rsidR="001F72ED" w:rsidRPr="00B53D4E" w:rsidRDefault="001F72ED" w:rsidP="001F72ED">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2D3B6301" w14:textId="77777777" w:rsidR="001F72ED" w:rsidRPr="006424A3" w:rsidRDefault="001F72ED" w:rsidP="001F72ED">
      <w:pPr>
        <w:pStyle w:val="s17"/>
        <w:spacing w:before="0" w:beforeAutospacing="0" w:after="0"/>
        <w:jc w:val="both"/>
        <w:rPr>
          <w:rFonts w:ascii="Verdana" w:hAnsi="Verdana" w:cs="Arial"/>
          <w:color w:val="000000"/>
          <w:sz w:val="20"/>
          <w:szCs w:val="20"/>
        </w:rPr>
      </w:pPr>
      <w:r w:rsidRPr="006424A3">
        <w:rPr>
          <w:rFonts w:ascii="Verdana" w:hAnsi="Verdana" w:cs="Arial"/>
          <w:bCs/>
          <w:color w:val="000000"/>
          <w:sz w:val="20"/>
          <w:szCs w:val="20"/>
        </w:rPr>
        <w:t>Conforme a la interpretación general de las normas del sistema de compras públicas,</w:t>
      </w:r>
      <w:r w:rsidRPr="006424A3">
        <w:rPr>
          <w:rFonts w:ascii="Verdana" w:hAnsi="Verdana" w:cs="Arial"/>
          <w:color w:val="000000"/>
          <w:sz w:val="20"/>
          <w:szCs w:val="20"/>
        </w:rPr>
        <w:t xml:space="preserve"> la subcontratación supone la celebración de un contrato eventual y accesorio, entre un contratista del Estado y un tercero. No obstante, sobre la base de que consorcios y uniones temporales carecen de personería jurídica, la calidad de contratista se predica de cada uno de los integrantes de la estructura plural. </w:t>
      </w:r>
    </w:p>
    <w:p w14:paraId="5A51DF00" w14:textId="77777777" w:rsidR="001F72ED" w:rsidRDefault="001F72ED" w:rsidP="001F72ED">
      <w:pPr>
        <w:pStyle w:val="s17"/>
        <w:spacing w:before="0" w:beforeAutospacing="0" w:after="0" w:afterAutospacing="0"/>
        <w:jc w:val="both"/>
        <w:rPr>
          <w:rStyle w:val="s18"/>
          <w:rFonts w:ascii="Verdana" w:hAnsi="Verdana" w:cs="Arial"/>
          <w:color w:val="000000"/>
          <w:sz w:val="20"/>
          <w:szCs w:val="20"/>
        </w:rPr>
      </w:pPr>
      <w:r w:rsidRPr="006424A3">
        <w:rPr>
          <w:rFonts w:ascii="Verdana" w:hAnsi="Verdana" w:cs="Arial"/>
          <w:color w:val="000000"/>
          <w:sz w:val="20"/>
          <w:szCs w:val="20"/>
        </w:rPr>
        <w:lastRenderedPageBreak/>
        <w:t>De acuerdo con el principio lógico de no contradicción, esto significa que quien ocupa la posición de parte en el negocio jurídico, por exclusión, no puede tener la naturaleza de tercero para efectos de la subcontratación. Por tanto, desde el punto de vista de los sujetos, la calidad de tercero corresponde a cualquier persona distinta al contratista o a los integrantes del consorcio o unión temporal y a la entidad estatal contratante. En este contexto, sólo la experiencia adquirida por lo integrantes del proponente plural puede acreditarse en otros procesos de selección, pues –por sustracción de materia– no pueden fungir como subcontratistas del consorcio o unión temporal del que hacen parte</w:t>
      </w:r>
      <w:r>
        <w:rPr>
          <w:rFonts w:ascii="Verdana" w:hAnsi="Verdana" w:cs="Arial"/>
          <w:color w:val="000000"/>
          <w:sz w:val="20"/>
          <w:szCs w:val="20"/>
        </w:rPr>
        <w:t>.</w:t>
      </w:r>
      <w:r w:rsidRPr="00977908">
        <w:rPr>
          <w:rStyle w:val="s18"/>
          <w:rFonts w:ascii="Verdana" w:hAnsi="Verdana" w:cs="Arial"/>
          <w:color w:val="000000"/>
          <w:sz w:val="20"/>
          <w:szCs w:val="20"/>
        </w:rPr>
        <w:t xml:space="preserve"> </w:t>
      </w:r>
    </w:p>
    <w:p w14:paraId="11E4E156" w14:textId="77777777" w:rsidR="001F72ED" w:rsidRDefault="001F72ED" w:rsidP="001F72ED">
      <w:pPr>
        <w:spacing w:after="0" w:line="240" w:lineRule="auto"/>
        <w:jc w:val="both"/>
        <w:rPr>
          <w:rFonts w:ascii="Verdana" w:eastAsia="Times New Roman" w:hAnsi="Verdana" w:cs="Arial"/>
          <w:color w:val="000000"/>
          <w:sz w:val="20"/>
          <w:szCs w:val="20"/>
          <w:lang w:eastAsia="es-MX"/>
        </w:rPr>
      </w:pPr>
    </w:p>
    <w:p w14:paraId="14A56E05" w14:textId="77777777" w:rsidR="001F72ED" w:rsidRPr="00705C5F" w:rsidRDefault="001F72ED" w:rsidP="001F72ED">
      <w:pPr>
        <w:spacing w:after="0" w:line="240" w:lineRule="auto"/>
        <w:jc w:val="both"/>
        <w:rPr>
          <w:rFonts w:ascii="Verdana" w:eastAsia="Times New Roman" w:hAnsi="Verdana" w:cs="Arial"/>
          <w:color w:val="000000"/>
          <w:sz w:val="20"/>
          <w:szCs w:val="20"/>
          <w:lang w:eastAsia="es-MX"/>
        </w:rPr>
      </w:pPr>
    </w:p>
    <w:p w14:paraId="297A7E20" w14:textId="77777777" w:rsidR="001F72ED" w:rsidRPr="00DE2AC7" w:rsidRDefault="001F72ED" w:rsidP="001F72ED">
      <w:pPr>
        <w:spacing w:after="0" w:line="240" w:lineRule="auto"/>
        <w:jc w:val="both"/>
        <w:rPr>
          <w:rFonts w:ascii="Verdana" w:eastAsia="Geomanist Light" w:hAnsi="Verdana" w:cs="Arial"/>
          <w:color w:val="000000" w:themeColor="text1"/>
        </w:rPr>
      </w:pPr>
    </w:p>
    <w:p w14:paraId="5B454FF7" w14:textId="77777777" w:rsidR="001F72ED" w:rsidRDefault="001F72ED" w:rsidP="001F72ED">
      <w:pPr>
        <w:spacing w:after="0" w:line="240" w:lineRule="auto"/>
        <w:rPr>
          <w:rFonts w:ascii="Verdana" w:eastAsia="Geomanist Light" w:hAnsi="Verdana" w:cs="Arial"/>
          <w:color w:val="000000" w:themeColor="text1"/>
          <w:lang w:val="es-MX"/>
        </w:rPr>
      </w:pPr>
    </w:p>
    <w:p w14:paraId="0D19955E" w14:textId="77777777" w:rsidR="001F72ED" w:rsidRDefault="001F72ED" w:rsidP="001F72ED">
      <w:pPr>
        <w:spacing w:after="0" w:line="240" w:lineRule="auto"/>
        <w:rPr>
          <w:rFonts w:ascii="Verdana" w:eastAsia="Geomanist Light" w:hAnsi="Verdana" w:cs="Arial"/>
          <w:color w:val="000000" w:themeColor="text1"/>
          <w:lang w:val="es-MX"/>
        </w:rPr>
      </w:pPr>
    </w:p>
    <w:p w14:paraId="2983FA70" w14:textId="77777777" w:rsidR="001F72ED" w:rsidRDefault="001F72ED" w:rsidP="001F72ED">
      <w:pPr>
        <w:spacing w:after="0" w:line="240" w:lineRule="auto"/>
        <w:rPr>
          <w:rFonts w:ascii="Verdana" w:eastAsia="Geomanist Light" w:hAnsi="Verdana" w:cs="Arial"/>
          <w:color w:val="000000" w:themeColor="text1"/>
          <w:lang w:val="es-MX"/>
        </w:rPr>
      </w:pPr>
    </w:p>
    <w:p w14:paraId="472B5282" w14:textId="77777777" w:rsidR="001F72ED" w:rsidRDefault="001F72ED" w:rsidP="001F72ED">
      <w:pPr>
        <w:spacing w:after="0" w:line="240" w:lineRule="auto"/>
        <w:rPr>
          <w:rFonts w:ascii="Verdana" w:eastAsia="Geomanist Light" w:hAnsi="Verdana" w:cs="Arial"/>
          <w:color w:val="000000" w:themeColor="text1"/>
          <w:lang w:val="es-MX"/>
        </w:rPr>
      </w:pPr>
    </w:p>
    <w:p w14:paraId="64092B6D" w14:textId="77777777" w:rsidR="001F72ED" w:rsidRDefault="001F72ED" w:rsidP="001F72ED">
      <w:pPr>
        <w:spacing w:after="0" w:line="240" w:lineRule="auto"/>
        <w:rPr>
          <w:rFonts w:ascii="Verdana" w:eastAsia="Geomanist Light" w:hAnsi="Verdana" w:cs="Arial"/>
          <w:color w:val="000000" w:themeColor="text1"/>
          <w:lang w:val="es-MX"/>
        </w:rPr>
      </w:pPr>
    </w:p>
    <w:p w14:paraId="4ED3EB82" w14:textId="77777777" w:rsidR="001F72ED" w:rsidRDefault="001F72ED" w:rsidP="001F72ED">
      <w:pPr>
        <w:spacing w:after="0" w:line="240" w:lineRule="auto"/>
        <w:rPr>
          <w:rFonts w:ascii="Verdana" w:eastAsia="Geomanist Light" w:hAnsi="Verdana" w:cs="Arial"/>
          <w:color w:val="000000" w:themeColor="text1"/>
          <w:lang w:val="es-MX"/>
        </w:rPr>
      </w:pPr>
    </w:p>
    <w:p w14:paraId="32FEBE2F" w14:textId="77777777" w:rsidR="001F72ED" w:rsidRDefault="001F72ED" w:rsidP="001F72ED">
      <w:pPr>
        <w:spacing w:after="0" w:line="240" w:lineRule="auto"/>
        <w:rPr>
          <w:rFonts w:ascii="Verdana" w:eastAsia="Geomanist Light" w:hAnsi="Verdana" w:cs="Arial"/>
          <w:color w:val="000000" w:themeColor="text1"/>
          <w:lang w:val="es-MX"/>
        </w:rPr>
      </w:pPr>
    </w:p>
    <w:p w14:paraId="71D2D063" w14:textId="77777777" w:rsidR="001F72ED" w:rsidRDefault="001F72ED" w:rsidP="001F72ED">
      <w:pPr>
        <w:spacing w:after="0" w:line="240" w:lineRule="auto"/>
        <w:rPr>
          <w:rFonts w:ascii="Verdana" w:eastAsia="Geomanist Light" w:hAnsi="Verdana" w:cs="Arial"/>
          <w:color w:val="000000" w:themeColor="text1"/>
          <w:lang w:val="es-MX"/>
        </w:rPr>
      </w:pPr>
    </w:p>
    <w:p w14:paraId="3F915276" w14:textId="77777777" w:rsidR="001F72ED" w:rsidRDefault="001F72ED" w:rsidP="001F72ED">
      <w:pPr>
        <w:spacing w:after="0" w:line="240" w:lineRule="auto"/>
        <w:rPr>
          <w:rFonts w:ascii="Verdana" w:eastAsia="Geomanist Light" w:hAnsi="Verdana" w:cs="Arial"/>
          <w:color w:val="000000" w:themeColor="text1"/>
          <w:lang w:val="es-MX"/>
        </w:rPr>
      </w:pPr>
    </w:p>
    <w:p w14:paraId="4515534E" w14:textId="77777777" w:rsidR="001F72ED" w:rsidRDefault="001F72ED" w:rsidP="001F72ED">
      <w:pPr>
        <w:spacing w:after="0" w:line="240" w:lineRule="auto"/>
        <w:rPr>
          <w:rFonts w:ascii="Verdana" w:eastAsia="Geomanist Light" w:hAnsi="Verdana" w:cs="Arial"/>
          <w:color w:val="000000" w:themeColor="text1"/>
          <w:lang w:val="es-MX"/>
        </w:rPr>
      </w:pPr>
    </w:p>
    <w:p w14:paraId="5E29BA64" w14:textId="77777777" w:rsidR="001F72ED" w:rsidRDefault="001F72ED" w:rsidP="001F72ED">
      <w:pPr>
        <w:spacing w:after="0" w:line="240" w:lineRule="auto"/>
        <w:rPr>
          <w:rFonts w:ascii="Verdana" w:eastAsia="Geomanist Light" w:hAnsi="Verdana" w:cs="Arial"/>
          <w:color w:val="000000" w:themeColor="text1"/>
          <w:lang w:val="es-MX"/>
        </w:rPr>
      </w:pPr>
    </w:p>
    <w:p w14:paraId="01E06D1E" w14:textId="77777777" w:rsidR="001F72ED" w:rsidRDefault="001F72ED" w:rsidP="001F72ED">
      <w:pPr>
        <w:spacing w:after="0" w:line="240" w:lineRule="auto"/>
        <w:rPr>
          <w:rFonts w:ascii="Verdana" w:eastAsia="Geomanist Light" w:hAnsi="Verdana" w:cs="Arial"/>
          <w:color w:val="000000" w:themeColor="text1"/>
          <w:lang w:val="es-MX"/>
        </w:rPr>
      </w:pPr>
    </w:p>
    <w:p w14:paraId="19C6C2C3" w14:textId="77777777" w:rsidR="001F72ED" w:rsidRDefault="001F72ED" w:rsidP="001F72ED">
      <w:pPr>
        <w:spacing w:after="0" w:line="240" w:lineRule="auto"/>
        <w:rPr>
          <w:rFonts w:ascii="Verdana" w:eastAsia="Geomanist Light" w:hAnsi="Verdana" w:cs="Arial"/>
          <w:color w:val="000000" w:themeColor="text1"/>
          <w:lang w:val="es-MX"/>
        </w:rPr>
      </w:pPr>
    </w:p>
    <w:p w14:paraId="792A626B" w14:textId="77777777" w:rsidR="001F72ED" w:rsidRDefault="001F72ED" w:rsidP="001F72ED">
      <w:pPr>
        <w:spacing w:after="0" w:line="240" w:lineRule="auto"/>
        <w:rPr>
          <w:rFonts w:ascii="Verdana" w:eastAsia="Geomanist Light" w:hAnsi="Verdana" w:cs="Arial"/>
          <w:color w:val="000000" w:themeColor="text1"/>
          <w:lang w:val="es-MX"/>
        </w:rPr>
      </w:pPr>
    </w:p>
    <w:p w14:paraId="6A0EA0D3" w14:textId="77777777" w:rsidR="001F72ED" w:rsidRDefault="001F72ED" w:rsidP="001F72ED">
      <w:pPr>
        <w:spacing w:after="0" w:line="240" w:lineRule="auto"/>
        <w:rPr>
          <w:rFonts w:ascii="Verdana" w:eastAsia="Geomanist Light" w:hAnsi="Verdana" w:cs="Arial"/>
          <w:color w:val="000000" w:themeColor="text1"/>
          <w:lang w:val="es-MX"/>
        </w:rPr>
      </w:pPr>
    </w:p>
    <w:p w14:paraId="4E3CA587" w14:textId="77777777" w:rsidR="001F72ED" w:rsidRDefault="001F72ED" w:rsidP="001F72ED">
      <w:pPr>
        <w:spacing w:after="0" w:line="240" w:lineRule="auto"/>
        <w:rPr>
          <w:rFonts w:ascii="Verdana" w:eastAsia="Geomanist Light" w:hAnsi="Verdana" w:cs="Arial"/>
          <w:color w:val="000000" w:themeColor="text1"/>
          <w:lang w:val="es-MX"/>
        </w:rPr>
      </w:pPr>
    </w:p>
    <w:p w14:paraId="07A714F2" w14:textId="77777777" w:rsidR="001F72ED" w:rsidRDefault="001F72ED" w:rsidP="001F72ED">
      <w:pPr>
        <w:spacing w:after="0" w:line="240" w:lineRule="auto"/>
        <w:rPr>
          <w:rFonts w:ascii="Verdana" w:eastAsia="Geomanist Light" w:hAnsi="Verdana" w:cs="Arial"/>
          <w:color w:val="000000" w:themeColor="text1"/>
          <w:lang w:val="es-MX"/>
        </w:rPr>
      </w:pPr>
    </w:p>
    <w:p w14:paraId="2FDB46C8" w14:textId="77777777" w:rsidR="001F72ED" w:rsidRDefault="001F72ED" w:rsidP="001F72ED">
      <w:pPr>
        <w:spacing w:after="0" w:line="240" w:lineRule="auto"/>
        <w:rPr>
          <w:rFonts w:ascii="Verdana" w:eastAsia="Geomanist Light" w:hAnsi="Verdana" w:cs="Arial"/>
          <w:color w:val="000000" w:themeColor="text1"/>
          <w:lang w:val="es-MX"/>
        </w:rPr>
      </w:pPr>
    </w:p>
    <w:p w14:paraId="0A372959" w14:textId="77777777" w:rsidR="001F72ED" w:rsidRDefault="001F72ED" w:rsidP="001F72ED">
      <w:pPr>
        <w:spacing w:after="0" w:line="240" w:lineRule="auto"/>
        <w:rPr>
          <w:rFonts w:ascii="Verdana" w:eastAsia="Geomanist Light" w:hAnsi="Verdana" w:cs="Arial"/>
          <w:color w:val="000000" w:themeColor="text1"/>
          <w:lang w:val="es-MX"/>
        </w:rPr>
      </w:pPr>
    </w:p>
    <w:p w14:paraId="0139E1C6" w14:textId="77777777" w:rsidR="001F72ED" w:rsidRDefault="001F72ED" w:rsidP="001F72ED">
      <w:pPr>
        <w:spacing w:after="0" w:line="240" w:lineRule="auto"/>
        <w:rPr>
          <w:rFonts w:ascii="Verdana" w:eastAsia="Geomanist Light" w:hAnsi="Verdana" w:cs="Arial"/>
          <w:color w:val="000000" w:themeColor="text1"/>
          <w:lang w:val="es-MX"/>
        </w:rPr>
      </w:pPr>
    </w:p>
    <w:p w14:paraId="24972360" w14:textId="77777777" w:rsidR="001F72ED" w:rsidRDefault="001F72ED" w:rsidP="001F72ED">
      <w:pPr>
        <w:spacing w:after="0" w:line="240" w:lineRule="auto"/>
        <w:rPr>
          <w:rFonts w:ascii="Verdana" w:eastAsia="Geomanist Light" w:hAnsi="Verdana" w:cs="Arial"/>
          <w:color w:val="000000" w:themeColor="text1"/>
          <w:lang w:val="es-MX"/>
        </w:rPr>
      </w:pPr>
    </w:p>
    <w:p w14:paraId="5534E76D" w14:textId="77777777" w:rsidR="001F72ED" w:rsidRDefault="001F72ED" w:rsidP="001F72ED">
      <w:pPr>
        <w:spacing w:after="0" w:line="240" w:lineRule="auto"/>
        <w:rPr>
          <w:rFonts w:ascii="Verdana" w:eastAsia="Geomanist Light" w:hAnsi="Verdana" w:cs="Arial"/>
          <w:color w:val="000000" w:themeColor="text1"/>
          <w:lang w:val="es-MX"/>
        </w:rPr>
      </w:pPr>
    </w:p>
    <w:p w14:paraId="699F25DC" w14:textId="77777777" w:rsidR="001F72ED" w:rsidRDefault="001F72ED" w:rsidP="001F72ED">
      <w:pPr>
        <w:spacing w:after="0" w:line="240" w:lineRule="auto"/>
        <w:rPr>
          <w:rFonts w:ascii="Verdana" w:eastAsia="Geomanist Light" w:hAnsi="Verdana" w:cs="Arial"/>
          <w:color w:val="000000" w:themeColor="text1"/>
          <w:lang w:val="es-MX"/>
        </w:rPr>
      </w:pPr>
    </w:p>
    <w:p w14:paraId="197C68AD" w14:textId="77777777" w:rsidR="001F72ED" w:rsidRDefault="001F72ED" w:rsidP="001F72ED">
      <w:pPr>
        <w:spacing w:after="0" w:line="240" w:lineRule="auto"/>
        <w:rPr>
          <w:rFonts w:ascii="Verdana" w:eastAsia="Geomanist Light" w:hAnsi="Verdana" w:cs="Arial"/>
          <w:color w:val="000000" w:themeColor="text1"/>
          <w:lang w:val="es-MX"/>
        </w:rPr>
      </w:pPr>
    </w:p>
    <w:p w14:paraId="54C88312" w14:textId="77777777" w:rsidR="001F72ED" w:rsidRDefault="001F72ED" w:rsidP="001F72ED">
      <w:pPr>
        <w:spacing w:after="0" w:line="240" w:lineRule="auto"/>
        <w:rPr>
          <w:rFonts w:ascii="Verdana" w:eastAsia="Geomanist Light" w:hAnsi="Verdana" w:cs="Arial"/>
          <w:color w:val="000000" w:themeColor="text1"/>
          <w:lang w:val="es-MX"/>
        </w:rPr>
      </w:pPr>
    </w:p>
    <w:p w14:paraId="2B593BA8" w14:textId="77777777" w:rsidR="001F72ED" w:rsidRDefault="001F72ED" w:rsidP="001F72ED">
      <w:pPr>
        <w:spacing w:after="0" w:line="240" w:lineRule="auto"/>
        <w:rPr>
          <w:rFonts w:ascii="Verdana" w:eastAsia="Geomanist Light" w:hAnsi="Verdana" w:cs="Arial"/>
          <w:color w:val="000000" w:themeColor="text1"/>
          <w:lang w:val="es-MX"/>
        </w:rPr>
      </w:pPr>
    </w:p>
    <w:p w14:paraId="19526803" w14:textId="77777777" w:rsidR="001F72ED" w:rsidRDefault="001F72ED" w:rsidP="001F72ED">
      <w:pPr>
        <w:spacing w:after="0" w:line="240" w:lineRule="auto"/>
        <w:rPr>
          <w:rFonts w:ascii="Verdana" w:eastAsia="Geomanist Light" w:hAnsi="Verdana" w:cs="Arial"/>
          <w:color w:val="000000" w:themeColor="text1"/>
          <w:lang w:val="es-MX"/>
        </w:rPr>
      </w:pPr>
    </w:p>
    <w:p w14:paraId="096CF59D" w14:textId="77777777" w:rsidR="001F72ED" w:rsidRDefault="001F72ED" w:rsidP="001F72ED">
      <w:pPr>
        <w:spacing w:after="0" w:line="240" w:lineRule="auto"/>
        <w:rPr>
          <w:rFonts w:ascii="Verdana" w:eastAsia="Geomanist Light" w:hAnsi="Verdana" w:cs="Arial"/>
          <w:color w:val="000000" w:themeColor="text1"/>
          <w:lang w:val="es-MX"/>
        </w:rPr>
      </w:pPr>
    </w:p>
    <w:p w14:paraId="34173631" w14:textId="77777777" w:rsidR="001F72ED" w:rsidRDefault="001F72ED" w:rsidP="001F72ED">
      <w:pPr>
        <w:spacing w:after="0" w:line="240" w:lineRule="auto"/>
        <w:rPr>
          <w:rFonts w:ascii="Verdana" w:eastAsia="Geomanist Light" w:hAnsi="Verdana" w:cs="Arial"/>
          <w:color w:val="000000" w:themeColor="text1"/>
          <w:lang w:val="es-MX"/>
        </w:rPr>
      </w:pPr>
    </w:p>
    <w:p w14:paraId="7986CB71" w14:textId="77777777" w:rsidR="001F72ED" w:rsidRDefault="001F72ED" w:rsidP="001F72ED">
      <w:pPr>
        <w:spacing w:after="0" w:line="240" w:lineRule="auto"/>
        <w:rPr>
          <w:rFonts w:ascii="Verdana" w:eastAsia="Geomanist Light" w:hAnsi="Verdana" w:cs="Arial"/>
          <w:color w:val="000000" w:themeColor="text1"/>
          <w:lang w:val="es-MX"/>
        </w:rPr>
      </w:pPr>
    </w:p>
    <w:p w14:paraId="43379F7E" w14:textId="77777777" w:rsidR="001F72ED" w:rsidRDefault="001F72ED" w:rsidP="001F72ED">
      <w:pPr>
        <w:spacing w:after="0" w:line="240" w:lineRule="auto"/>
        <w:rPr>
          <w:rFonts w:ascii="Verdana" w:eastAsia="Geomanist Light" w:hAnsi="Verdana" w:cs="Arial"/>
          <w:color w:val="000000" w:themeColor="text1"/>
          <w:lang w:val="es-MX"/>
        </w:rPr>
      </w:pPr>
    </w:p>
    <w:p w14:paraId="47EE7EC3" w14:textId="77777777" w:rsidR="001F72ED" w:rsidRDefault="001F72ED" w:rsidP="001F72ED">
      <w:pPr>
        <w:spacing w:after="0" w:line="240" w:lineRule="auto"/>
        <w:rPr>
          <w:rFonts w:ascii="Verdana" w:eastAsia="Geomanist Light" w:hAnsi="Verdana" w:cs="Arial"/>
          <w:color w:val="000000" w:themeColor="text1"/>
          <w:lang w:val="es-MX"/>
        </w:rPr>
      </w:pPr>
    </w:p>
    <w:p w14:paraId="20E4A472" w14:textId="77777777" w:rsidR="001F72ED" w:rsidRDefault="001F72ED" w:rsidP="00363C7E">
      <w:pPr>
        <w:spacing w:after="0" w:line="240" w:lineRule="auto"/>
        <w:rPr>
          <w:rFonts w:ascii="Verdana" w:eastAsia="Geomanist Light" w:hAnsi="Verdana" w:cs="Arial"/>
          <w:color w:val="000000" w:themeColor="text1"/>
          <w:lang w:val="es-MX"/>
        </w:rPr>
      </w:pPr>
    </w:p>
    <w:p w14:paraId="18628416" w14:textId="6A2B7998" w:rsidR="00363C7E" w:rsidRPr="00593A5F" w:rsidRDefault="00363C7E" w:rsidP="00363C7E">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4A550D" w:rsidRPr="004A550D">
        <w:rPr>
          <w:rFonts w:ascii="Verdana" w:eastAsia="Geomanist Light" w:hAnsi="Verdana" w:cs="Arial"/>
          <w:color w:val="000000" w:themeColor="text1"/>
          <w:lang w:val="es-MX"/>
        </w:rPr>
        <w:t>18 de Julio de 2025</w:t>
      </w:r>
    </w:p>
    <w:p w14:paraId="16720EBF" w14:textId="77777777" w:rsidR="00363C7E" w:rsidRDefault="00363C7E" w:rsidP="00363C7E">
      <w:pPr>
        <w:spacing w:after="0" w:line="240" w:lineRule="auto"/>
        <w:jc w:val="both"/>
        <w:rPr>
          <w:rFonts w:ascii="Verdana" w:eastAsia="Calibri" w:hAnsi="Verdana" w:cs="Arial"/>
          <w:color w:val="000000"/>
          <w:lang w:val="es-ES"/>
        </w:rPr>
      </w:pPr>
    </w:p>
    <w:p w14:paraId="78CE088F" w14:textId="7C5EC3E7" w:rsidR="000752AD" w:rsidRDefault="000752AD" w:rsidP="000752AD">
      <w:pPr>
        <w:spacing w:after="0" w:line="240" w:lineRule="auto"/>
        <w:jc w:val="right"/>
        <w:rPr>
          <w:rFonts w:ascii="Verdana" w:eastAsia="Calibri" w:hAnsi="Verdana" w:cs="Arial"/>
          <w:color w:val="000000"/>
          <w:lang w:val="es-ES"/>
        </w:rPr>
      </w:pPr>
      <w:r w:rsidRPr="000752AD">
        <w:rPr>
          <w:rFonts w:ascii="Verdana" w:eastAsia="Calibri" w:hAnsi="Verdana" w:cs="Arial"/>
          <w:noProof/>
          <w:color w:val="000000"/>
          <w:lang w:val="es-ES"/>
        </w:rPr>
        <w:drawing>
          <wp:inline distT="0" distB="0" distL="0" distR="0" wp14:anchorId="5A8E7A37" wp14:editId="26F36F37">
            <wp:extent cx="2400300" cy="622300"/>
            <wp:effectExtent l="0" t="0" r="0" b="0"/>
            <wp:docPr id="439073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07330" name=""/>
                    <pic:cNvPicPr/>
                  </pic:nvPicPr>
                  <pic:blipFill>
                    <a:blip r:embed="rId10"/>
                    <a:stretch>
                      <a:fillRect/>
                    </a:stretch>
                  </pic:blipFill>
                  <pic:spPr>
                    <a:xfrm>
                      <a:off x="0" y="0"/>
                      <a:ext cx="2400300" cy="622300"/>
                    </a:xfrm>
                    <a:prstGeom prst="rect">
                      <a:avLst/>
                    </a:prstGeom>
                  </pic:spPr>
                </pic:pic>
              </a:graphicData>
            </a:graphic>
          </wp:inline>
        </w:drawing>
      </w:r>
    </w:p>
    <w:p w14:paraId="30AC6531" w14:textId="77777777" w:rsidR="00363C7E" w:rsidRPr="00593A5F" w:rsidRDefault="00363C7E" w:rsidP="00363C7E">
      <w:pPr>
        <w:spacing w:after="0" w:line="240" w:lineRule="auto"/>
        <w:jc w:val="both"/>
        <w:rPr>
          <w:rFonts w:ascii="Verdana" w:eastAsia="Calibri" w:hAnsi="Verdana" w:cs="Arial"/>
          <w:color w:val="000000"/>
          <w:lang w:val="es-ES"/>
        </w:rPr>
      </w:pPr>
    </w:p>
    <w:p w14:paraId="60B2DE4B" w14:textId="77777777" w:rsidR="00363C7E" w:rsidRPr="00B96799" w:rsidRDefault="00363C7E" w:rsidP="00363C7E">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4906C6C0" w14:textId="77777777" w:rsidR="00363C7E" w:rsidRPr="0085423D" w:rsidRDefault="00363C7E" w:rsidP="00363C7E">
      <w:pPr>
        <w:spacing w:after="0" w:line="240" w:lineRule="auto"/>
        <w:rPr>
          <w:rFonts w:ascii="Verdana" w:eastAsia="Calibri" w:hAnsi="Verdana" w:cs="Arial"/>
          <w:b/>
          <w:lang w:val="es-ES" w:eastAsia="es-ES"/>
        </w:rPr>
      </w:pPr>
      <w:bookmarkStart w:id="0" w:name="OLE_LINK1"/>
      <w:r w:rsidRPr="2E7FB55D">
        <w:rPr>
          <w:rFonts w:ascii="Verdana" w:eastAsia="Calibri" w:hAnsi="Verdana" w:cs="Arial"/>
          <w:b/>
          <w:lang w:val="es-ES" w:eastAsia="es-ES"/>
        </w:rPr>
        <w:t xml:space="preserve">Estefanía </w:t>
      </w:r>
      <w:proofErr w:type="spellStart"/>
      <w:r w:rsidRPr="2E7FB55D">
        <w:rPr>
          <w:rFonts w:ascii="Verdana" w:eastAsia="Calibri" w:hAnsi="Verdana" w:cs="Arial"/>
          <w:b/>
          <w:lang w:val="es-ES" w:eastAsia="es-ES"/>
        </w:rPr>
        <w:t>Gironza</w:t>
      </w:r>
      <w:proofErr w:type="spellEnd"/>
      <w:r w:rsidRPr="2E7FB55D">
        <w:rPr>
          <w:rFonts w:ascii="Verdana" w:eastAsia="Calibri" w:hAnsi="Verdana" w:cs="Arial"/>
          <w:b/>
          <w:lang w:val="es-ES" w:eastAsia="es-ES"/>
        </w:rPr>
        <w:t xml:space="preserve"> Contreras  </w:t>
      </w:r>
    </w:p>
    <w:bookmarkEnd w:id="0"/>
    <w:p w14:paraId="240395FC" w14:textId="77777777" w:rsidR="00363C7E" w:rsidRPr="00A6315A" w:rsidRDefault="00363C7E" w:rsidP="00363C7E">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A6315A">
        <w:rPr>
          <w:rFonts w:ascii="Verdana" w:hAnsi="Verdana"/>
        </w:rPr>
        <w:instrText>estefania.gironza@ozul.com.co</w:instrText>
      </w:r>
      <w:r>
        <w:rPr>
          <w:rFonts w:ascii="Verdana" w:hAnsi="Verdana"/>
        </w:rPr>
        <w:instrText>"</w:instrText>
      </w:r>
      <w:r>
        <w:rPr>
          <w:rFonts w:ascii="Verdana" w:hAnsi="Verdana"/>
        </w:rPr>
      </w:r>
      <w:r>
        <w:rPr>
          <w:rFonts w:ascii="Verdana" w:hAnsi="Verdana"/>
        </w:rPr>
        <w:fldChar w:fldCharType="separate"/>
      </w:r>
      <w:r w:rsidRPr="00CD12C7">
        <w:rPr>
          <w:rStyle w:val="Hipervnculo"/>
          <w:rFonts w:ascii="Verdana" w:hAnsi="Verdana"/>
        </w:rPr>
        <w:t>estefania.gironza@ozul.com.co</w:t>
      </w:r>
      <w:r>
        <w:rPr>
          <w:rFonts w:ascii="Verdana" w:hAnsi="Verdana"/>
        </w:rPr>
        <w:fldChar w:fldCharType="end"/>
      </w:r>
      <w:r>
        <w:rPr>
          <w:rFonts w:ascii="Verdana" w:hAnsi="Verdana"/>
        </w:rPr>
        <w:t xml:space="preserve"> </w:t>
      </w:r>
      <w:r w:rsidRPr="00A6315A">
        <w:rPr>
          <w:rFonts w:ascii="Verdana" w:hAnsi="Verdana"/>
        </w:rPr>
        <w:t xml:space="preserve">            </w:t>
      </w:r>
      <w:r w:rsidRPr="00A6315A">
        <w:rPr>
          <w:rFonts w:ascii="Verdana" w:eastAsia="Calibri" w:hAnsi="Verdana" w:cs="Arial"/>
          <w:lang w:val="es-ES" w:eastAsia="es-ES"/>
        </w:rPr>
        <w:t xml:space="preserve">    </w:t>
      </w:r>
    </w:p>
    <w:p w14:paraId="389D9D0B" w14:textId="77777777" w:rsidR="00363C7E" w:rsidRDefault="00363C7E" w:rsidP="00363C7E">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119E8731" w14:textId="77777777" w:rsidR="00363C7E" w:rsidRPr="00593A5F" w:rsidRDefault="00363C7E" w:rsidP="00363C7E">
      <w:pPr>
        <w:spacing w:after="0" w:line="240" w:lineRule="auto"/>
        <w:rPr>
          <w:rFonts w:ascii="Verdana" w:eastAsia="Calibri" w:hAnsi="Verdana" w:cs="Arial"/>
          <w:b/>
          <w:bCs/>
          <w:color w:val="000000"/>
          <w:lang w:val="es-ES_tradnl" w:eastAsia="es-ES_tradnl"/>
        </w:rPr>
      </w:pPr>
    </w:p>
    <w:p w14:paraId="09B50E43" w14:textId="77777777" w:rsidR="00363C7E" w:rsidRPr="00593A5F" w:rsidRDefault="00363C7E" w:rsidP="00363C7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63C7E" w:rsidRPr="00593A5F" w14:paraId="4FBD9D4B" w14:textId="77777777" w:rsidTr="00F626C8">
        <w:trPr>
          <w:trHeight w:val="884"/>
        </w:trPr>
        <w:tc>
          <w:tcPr>
            <w:tcW w:w="2689" w:type="dxa"/>
          </w:tcPr>
          <w:p w14:paraId="01F0E14F" w14:textId="77777777" w:rsidR="00363C7E" w:rsidRPr="00C00976" w:rsidRDefault="00363C7E" w:rsidP="00F626C8">
            <w:pPr>
              <w:jc w:val="both"/>
              <w:rPr>
                <w:rFonts w:ascii="Verdana" w:eastAsia="Calibri" w:hAnsi="Verdana" w:cs="Arial"/>
                <w:b/>
                <w:bCs/>
                <w:color w:val="7030A0"/>
                <w:lang w:val="es-ES_tradnl" w:eastAsia="es-ES_tradnl"/>
              </w:rPr>
            </w:pPr>
          </w:p>
        </w:tc>
        <w:tc>
          <w:tcPr>
            <w:tcW w:w="6100" w:type="dxa"/>
          </w:tcPr>
          <w:p w14:paraId="11003352" w14:textId="0E4B38AA" w:rsidR="00363C7E" w:rsidRPr="00C00976" w:rsidRDefault="00363C7E" w:rsidP="00F626C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A87E90">
              <w:rPr>
                <w:rFonts w:ascii="Verdana" w:eastAsia="Calibri" w:hAnsi="Verdana" w:cs="Arial"/>
                <w:b/>
                <w:bCs/>
                <w:lang w:val="es-ES" w:eastAsia="es-ES"/>
              </w:rPr>
              <w:t>924</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363C7E" w:rsidRPr="00593A5F" w14:paraId="1F21D1B6" w14:textId="77777777" w:rsidTr="00F626C8">
        <w:trPr>
          <w:trHeight w:val="884"/>
        </w:trPr>
        <w:tc>
          <w:tcPr>
            <w:tcW w:w="2689" w:type="dxa"/>
          </w:tcPr>
          <w:p w14:paraId="3848222F" w14:textId="77777777" w:rsidR="00363C7E" w:rsidRPr="00593A5F" w:rsidRDefault="00363C7E" w:rsidP="00F626C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2543A0B" w14:textId="77777777" w:rsidR="00363C7E" w:rsidRPr="00A11406" w:rsidRDefault="00363C7E" w:rsidP="00F626C8">
            <w:pPr>
              <w:spacing w:line="276" w:lineRule="auto"/>
              <w:jc w:val="both"/>
              <w:rPr>
                <w:rFonts w:ascii="Verdana" w:eastAsia="Calibri" w:hAnsi="Verdana" w:cs="Arial"/>
                <w:lang w:val="es-ES" w:eastAsia="es-ES"/>
              </w:rPr>
            </w:pPr>
            <w:r w:rsidRPr="00003886">
              <w:rPr>
                <w:rFonts w:ascii="Verdana" w:eastAsia="Calibri" w:hAnsi="Verdana" w:cs="Arial"/>
                <w:lang w:val="es-ES" w:eastAsia="es-ES"/>
              </w:rPr>
              <w:t xml:space="preserve">PROPONENTE PLURAL ‒ </w:t>
            </w:r>
            <w:r w:rsidRPr="00127B1A">
              <w:rPr>
                <w:rFonts w:ascii="Verdana" w:eastAsia="Calibri" w:hAnsi="Verdana" w:cs="Arial"/>
                <w:lang w:val="es-ES" w:eastAsia="es-ES"/>
              </w:rPr>
              <w:t xml:space="preserve">Consorcio ‒ Unión temporal ‒ Concepto – Diferencias / SUBCONTRATACIÓN – Concepto – Limitaciones jurídicas </w:t>
            </w:r>
            <w:r w:rsidRPr="00127B1A">
              <w:rPr>
                <w:rFonts w:ascii="Verdana" w:eastAsia="Calibri" w:hAnsi="Verdana"/>
                <w:lang w:val="es-ES" w:eastAsia="es-ES"/>
              </w:rPr>
              <w:t xml:space="preserve">/ </w:t>
            </w:r>
            <w:r w:rsidRPr="00127B1A">
              <w:rPr>
                <w:rFonts w:ascii="Verdana" w:eastAsia="Calibri" w:hAnsi="Verdana" w:cs="Arial"/>
                <w:lang w:val="es-ES" w:eastAsia="es-ES"/>
              </w:rPr>
              <w:t>INTEGRANTES DE ESTRUCTURA PLURAL – Subcontratación – Terceros – Imposibilidad de fungir como subcontratistas</w:t>
            </w:r>
            <w:r w:rsidRPr="006424A3">
              <w:rPr>
                <w:rFonts w:ascii="Verdana" w:eastAsia="Calibri" w:hAnsi="Verdana" w:cs="Arial"/>
                <w:lang w:val="es-ES" w:eastAsia="es-ES"/>
              </w:rPr>
              <w:t xml:space="preserve">   </w:t>
            </w:r>
            <w:r w:rsidRPr="00003886">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34439116" w14:textId="77777777" w:rsidR="00363C7E" w:rsidRPr="00593A5F" w:rsidRDefault="00363C7E" w:rsidP="00F626C8">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363C7E" w:rsidRPr="008E6AD9" w14:paraId="6EA30EB7" w14:textId="77777777" w:rsidTr="00F626C8">
        <w:tc>
          <w:tcPr>
            <w:tcW w:w="2689" w:type="dxa"/>
          </w:tcPr>
          <w:p w14:paraId="6F76E8FD" w14:textId="77777777" w:rsidR="00363C7E" w:rsidRPr="008E6AD9" w:rsidRDefault="00363C7E" w:rsidP="00F626C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FD522C1" w14:textId="77777777" w:rsidR="00363C7E" w:rsidRPr="00B92340" w:rsidRDefault="00363C7E" w:rsidP="00F626C8">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 No.</w:t>
            </w:r>
            <w:r>
              <w:rPr>
                <w:rFonts w:ascii="Verdana" w:eastAsia="Calibri" w:hAnsi="Verdana" w:cs="Arial"/>
                <w:lang w:val="es-ES_tradnl" w:eastAsia="es-ES_tradnl"/>
              </w:rPr>
              <w:t xml:space="preserve"> </w:t>
            </w:r>
            <w:r w:rsidRPr="00A6315A">
              <w:rPr>
                <w:rFonts w:ascii="Verdana" w:eastAsia="Calibri" w:hAnsi="Verdana" w:cs="Arial"/>
                <w:lang w:val="es-ES_tradnl" w:eastAsia="es-ES_tradnl"/>
              </w:rPr>
              <w:t>1_2025_07_14_007083</w:t>
            </w:r>
            <w:r>
              <w:rPr>
                <w:rFonts w:ascii="Verdana" w:eastAsia="Calibri" w:hAnsi="Verdana" w:cs="Arial"/>
                <w:lang w:val="es-ES_tradnl" w:eastAsia="es-ES_tradnl"/>
              </w:rPr>
              <w:t xml:space="preserve"> y </w:t>
            </w:r>
            <w:r w:rsidRPr="00A6315A">
              <w:rPr>
                <w:rFonts w:ascii="Verdana" w:eastAsia="Calibri" w:hAnsi="Verdana" w:cs="Arial"/>
                <w:lang w:val="es-ES_tradnl" w:eastAsia="es-ES_tradnl"/>
              </w:rPr>
              <w:t>1_2025_07_14_007102</w:t>
            </w:r>
            <w:r>
              <w:rPr>
                <w:rFonts w:ascii="Verdana" w:eastAsia="Calibri" w:hAnsi="Verdana" w:cs="Arial"/>
                <w:lang w:val="es-ES_tradnl" w:eastAsia="es-ES_tradnl"/>
              </w:rPr>
              <w:t xml:space="preserve">       –Acumuladas–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0788310" w14:textId="77777777" w:rsidR="00363C7E" w:rsidRPr="00593A5F" w:rsidRDefault="00363C7E" w:rsidP="00363C7E">
      <w:pPr>
        <w:spacing w:after="0" w:line="240" w:lineRule="auto"/>
        <w:jc w:val="both"/>
        <w:rPr>
          <w:rFonts w:ascii="Verdana" w:eastAsia="Calibri" w:hAnsi="Verdana" w:cs="Arial"/>
          <w:color w:val="000000"/>
          <w:lang w:val="es-ES_tradnl" w:eastAsia="es-ES_tradnl"/>
        </w:rPr>
      </w:pPr>
    </w:p>
    <w:p w14:paraId="2A48A49A" w14:textId="77777777" w:rsidR="00363C7E" w:rsidRPr="00593A5F" w:rsidRDefault="00363C7E" w:rsidP="00363C7E">
      <w:pPr>
        <w:spacing w:after="0" w:line="240" w:lineRule="auto"/>
        <w:jc w:val="both"/>
        <w:rPr>
          <w:rFonts w:ascii="Verdana" w:eastAsia="Calibri" w:hAnsi="Verdana" w:cs="Arial"/>
          <w:color w:val="000000"/>
          <w:lang w:val="es-ES_tradnl" w:eastAsia="es-ES_tradnl"/>
        </w:rPr>
      </w:pPr>
    </w:p>
    <w:p w14:paraId="3FDF6CBB" w14:textId="77777777" w:rsidR="00363C7E" w:rsidRPr="008E6AD9" w:rsidRDefault="00363C7E" w:rsidP="00363C7E">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proofErr w:type="spellStart"/>
      <w:r w:rsidRPr="00A6315A">
        <w:rPr>
          <w:rFonts w:ascii="Verdana" w:eastAsia="Calibri" w:hAnsi="Verdana" w:cs="Arial"/>
          <w:lang w:val="es-ES" w:eastAsia="es-ES"/>
        </w:rPr>
        <w:t>Gironza</w:t>
      </w:r>
      <w:proofErr w:type="spellEnd"/>
      <w:r w:rsidRPr="00A6315A">
        <w:rPr>
          <w:rFonts w:ascii="Verdana" w:eastAsia="Calibri" w:hAnsi="Verdana" w:cs="Arial"/>
          <w:lang w:val="es-ES" w:eastAsia="es-ES"/>
        </w:rPr>
        <w:t xml:space="preserve"> Contreras</w:t>
      </w:r>
      <w:r w:rsidRPr="008E6AD9">
        <w:rPr>
          <w:rFonts w:ascii="Verdana" w:eastAsia="Calibri" w:hAnsi="Verdana" w:cs="Arial"/>
          <w:lang w:val="es-ES" w:eastAsia="es-ES"/>
        </w:rPr>
        <w:t xml:space="preserve">: </w:t>
      </w:r>
    </w:p>
    <w:p w14:paraId="795B1D88" w14:textId="77777777" w:rsidR="00363C7E" w:rsidRDefault="00363C7E" w:rsidP="00363C7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788D99A" w14:textId="77777777" w:rsidR="00363C7E" w:rsidRPr="00593A5F" w:rsidRDefault="00363C7E" w:rsidP="00363C7E">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14 de julio de 2025, en las que pregunta lo siguiente</w:t>
      </w:r>
      <w:r w:rsidRPr="008E6AD9">
        <w:rPr>
          <w:rFonts w:ascii="Verdana" w:eastAsia="Calibri" w:hAnsi="Verdana" w:cs="Arial"/>
          <w:lang w:val="es-ES" w:eastAsia="es-ES"/>
        </w:rPr>
        <w:t xml:space="preserve">: </w:t>
      </w:r>
    </w:p>
    <w:p w14:paraId="7CA1F432" w14:textId="77777777" w:rsidR="00363C7E" w:rsidRPr="00272A7B" w:rsidRDefault="00363C7E" w:rsidP="00363C7E">
      <w:pPr>
        <w:pStyle w:val="Prrafodelista"/>
        <w:tabs>
          <w:tab w:val="left" w:pos="142"/>
          <w:tab w:val="left" w:pos="284"/>
        </w:tabs>
        <w:spacing w:after="0" w:line="276" w:lineRule="auto"/>
        <w:ind w:left="0"/>
        <w:jc w:val="both"/>
        <w:rPr>
          <w:rFonts w:ascii="Verdana" w:eastAsia="Century Gothic" w:hAnsi="Verdana" w:cs="Century Gothic"/>
          <w:b/>
          <w:bCs/>
        </w:rPr>
      </w:pPr>
    </w:p>
    <w:p w14:paraId="537E082D" w14:textId="77777777" w:rsidR="00363C7E" w:rsidRPr="00A6315A" w:rsidRDefault="00363C7E" w:rsidP="00363C7E">
      <w:pPr>
        <w:spacing w:after="12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t>“</w:t>
      </w:r>
      <w:bookmarkEnd w:id="1"/>
      <w:r w:rsidRPr="00A6315A">
        <w:rPr>
          <w:rFonts w:ascii="Verdana" w:eastAsia="Century Gothic" w:hAnsi="Verdana" w:cs="Century Gothic"/>
          <w:sz w:val="21"/>
          <w:szCs w:val="21"/>
          <w:lang w:val="es-ES"/>
        </w:rPr>
        <w:t xml:space="preserve">¿Le es posible a un consorcio subcontratar a uno de sus propios consorciados para la ejecución de una parte del contrato? </w:t>
      </w:r>
    </w:p>
    <w:p w14:paraId="250C929F" w14:textId="77777777" w:rsidR="00363C7E" w:rsidRPr="00A6315A" w:rsidRDefault="00363C7E" w:rsidP="00363C7E">
      <w:pPr>
        <w:spacing w:after="0" w:line="240" w:lineRule="auto"/>
        <w:ind w:left="709" w:right="709"/>
        <w:jc w:val="both"/>
        <w:rPr>
          <w:rFonts w:ascii="Verdana" w:eastAsia="Century Gothic" w:hAnsi="Verdana" w:cs="Century Gothic"/>
          <w:sz w:val="21"/>
          <w:szCs w:val="21"/>
        </w:rPr>
      </w:pPr>
      <w:r w:rsidRPr="00A6315A">
        <w:rPr>
          <w:rFonts w:ascii="Verdana" w:eastAsia="Century Gothic" w:hAnsi="Verdana" w:cs="Century Gothic"/>
          <w:sz w:val="21"/>
          <w:szCs w:val="21"/>
          <w:lang w:val="es-ES"/>
        </w:rPr>
        <w:t xml:space="preserve">En caso afirmativo, ¿puede el consorciado que actuó como subcontratista presentar la experiencia adquirida en esa calidad para </w:t>
      </w:r>
      <w:r w:rsidRPr="00A6315A">
        <w:rPr>
          <w:rFonts w:ascii="Verdana" w:eastAsia="Century Gothic" w:hAnsi="Verdana" w:cs="Century Gothic"/>
          <w:sz w:val="21"/>
          <w:szCs w:val="21"/>
          <w:lang w:val="es-ES"/>
        </w:rPr>
        <w:lastRenderedPageBreak/>
        <w:t>participar en futuras licitaciones como proponente individual o como parte de otro consorcio o unión temporal?</w:t>
      </w:r>
      <w:r w:rsidRPr="00A6315A">
        <w:rPr>
          <w:rFonts w:ascii="Verdana" w:eastAsia="Century Gothic" w:hAnsi="Verdana" w:cs="Century Gothic"/>
          <w:sz w:val="21"/>
          <w:szCs w:val="21"/>
        </w:rPr>
        <w:t>”.</w:t>
      </w:r>
    </w:p>
    <w:p w14:paraId="6E61A34B" w14:textId="77777777" w:rsidR="00363C7E" w:rsidRPr="008E6AD9" w:rsidRDefault="00363C7E" w:rsidP="00363C7E">
      <w:pPr>
        <w:pStyle w:val="Prrafodelista"/>
        <w:tabs>
          <w:tab w:val="left" w:pos="142"/>
          <w:tab w:val="left" w:pos="284"/>
        </w:tabs>
        <w:spacing w:after="0" w:line="276" w:lineRule="auto"/>
        <w:ind w:left="0"/>
        <w:jc w:val="both"/>
        <w:rPr>
          <w:rFonts w:ascii="Verdana" w:eastAsia="Century Gothic" w:hAnsi="Verdana" w:cs="Century Gothic"/>
          <w:b/>
          <w:bCs/>
        </w:rPr>
      </w:pPr>
    </w:p>
    <w:p w14:paraId="32C263AA" w14:textId="77777777" w:rsidR="00363C7E" w:rsidRPr="00A652FF" w:rsidRDefault="00363C7E" w:rsidP="00363C7E">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6764E7E" w14:textId="77777777" w:rsidR="00363C7E" w:rsidRDefault="00363C7E" w:rsidP="00363C7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3AE1A87" w14:textId="77777777" w:rsidR="00363C7E" w:rsidRPr="00593A5F" w:rsidRDefault="00363C7E" w:rsidP="00363C7E">
      <w:pPr>
        <w:spacing w:after="0" w:line="276" w:lineRule="auto"/>
        <w:ind w:firstLine="709"/>
        <w:jc w:val="both"/>
        <w:rPr>
          <w:rFonts w:ascii="Verdana" w:eastAsia="Calibri" w:hAnsi="Verdana" w:cs="Arial"/>
          <w:color w:val="000000"/>
          <w:lang w:val="es-ES" w:eastAsia="es-ES"/>
        </w:rPr>
      </w:pPr>
    </w:p>
    <w:p w14:paraId="293C9652" w14:textId="77777777" w:rsidR="00363C7E" w:rsidRPr="00593A5F" w:rsidRDefault="00363C7E" w:rsidP="00363C7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45F8323" w14:textId="77777777" w:rsidR="00363C7E" w:rsidRPr="00593A5F" w:rsidRDefault="00363C7E" w:rsidP="00363C7E">
      <w:pPr>
        <w:tabs>
          <w:tab w:val="left" w:pos="426"/>
        </w:tabs>
        <w:spacing w:after="0" w:line="276" w:lineRule="auto"/>
        <w:jc w:val="both"/>
        <w:rPr>
          <w:rFonts w:ascii="Verdana" w:eastAsia="Century Gothic" w:hAnsi="Verdana" w:cs="Century Gothic"/>
          <w:lang w:val="es-ES"/>
        </w:rPr>
      </w:pPr>
    </w:p>
    <w:p w14:paraId="2F3683CC" w14:textId="77777777" w:rsidR="00363C7E" w:rsidRPr="00593A5F" w:rsidRDefault="00363C7E" w:rsidP="00363C7E">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¿es posible la subcontratación entre un consorcio o unión temporal y los integrantes de la estructura plural que la conforman?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596AF7C8" w14:textId="77777777" w:rsidR="00363C7E" w:rsidRPr="004B140F" w:rsidRDefault="00363C7E" w:rsidP="00363C7E">
      <w:pPr>
        <w:spacing w:after="0" w:line="276" w:lineRule="auto"/>
        <w:jc w:val="both"/>
        <w:rPr>
          <w:rFonts w:ascii="Verdana" w:eastAsia="Calibri" w:hAnsi="Verdana" w:cs="Arial"/>
          <w:color w:val="7030A0"/>
        </w:rPr>
      </w:pPr>
    </w:p>
    <w:p w14:paraId="77B0A937" w14:textId="77777777" w:rsidR="00363C7E" w:rsidRPr="00593A5F" w:rsidRDefault="00363C7E" w:rsidP="00363C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F58A2F5" w14:textId="77777777" w:rsidR="00363C7E" w:rsidRPr="00593A5F" w:rsidRDefault="00363C7E" w:rsidP="00363C7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63C7E" w:rsidRPr="00593A5F" w14:paraId="62D6EB09" w14:textId="77777777" w:rsidTr="00F626C8">
        <w:trPr>
          <w:jc w:val="center"/>
        </w:trPr>
        <w:tc>
          <w:tcPr>
            <w:tcW w:w="8828" w:type="dxa"/>
            <w:shd w:val="clear" w:color="auto" w:fill="auto"/>
          </w:tcPr>
          <w:p w14:paraId="16707423" w14:textId="77777777" w:rsidR="00363C7E" w:rsidRDefault="00363C7E" w:rsidP="00F626C8">
            <w:pPr>
              <w:spacing w:after="120" w:line="276" w:lineRule="auto"/>
              <w:ind w:right="51"/>
              <w:jc w:val="both"/>
              <w:rPr>
                <w:rFonts w:ascii="Verdana" w:eastAsia="Calibri" w:hAnsi="Verdana" w:cs="Arial"/>
                <w:color w:val="000000" w:themeColor="text1"/>
              </w:rPr>
            </w:pPr>
            <w:bookmarkStart w:id="2" w:name="_Hlk171694685"/>
            <w:r>
              <w:rPr>
                <w:rFonts w:ascii="Verdana" w:eastAsia="Calibri" w:hAnsi="Verdana" w:cs="Arial"/>
                <w:bCs/>
                <w:color w:val="000000" w:themeColor="text1"/>
              </w:rPr>
              <w:t>Conforme a la interpretación general de las normas del sistema de compras públicas,</w:t>
            </w:r>
            <w:r>
              <w:rPr>
                <w:rFonts w:ascii="Verdana" w:eastAsia="Calibri" w:hAnsi="Verdana" w:cs="Arial"/>
                <w:color w:val="000000" w:themeColor="text1"/>
              </w:rPr>
              <w:t xml:space="preserve"> l</w:t>
            </w:r>
            <w:r w:rsidRPr="009C7865">
              <w:rPr>
                <w:rFonts w:ascii="Verdana" w:eastAsia="Calibri" w:hAnsi="Verdana" w:cs="Arial"/>
              </w:rPr>
              <w:t>a subcontratación supone la celebración de un contrato eventual y accesorio, entre un contratista del Estado y un tercero</w:t>
            </w:r>
            <w:r>
              <w:rPr>
                <w:rFonts w:ascii="Verdana" w:eastAsia="Calibri" w:hAnsi="Verdana" w:cs="Arial"/>
              </w:rPr>
              <w:t xml:space="preserve">. </w:t>
            </w:r>
            <w:r>
              <w:rPr>
                <w:rFonts w:ascii="Verdana" w:eastAsia="Calibri" w:hAnsi="Verdana" w:cs="Arial"/>
                <w:color w:val="000000" w:themeColor="text1"/>
              </w:rPr>
              <w:t xml:space="preserve">No obstante, sobre la base de que consorcios y uniones temporales carecen de personería jurídica, </w:t>
            </w:r>
            <w:r w:rsidRPr="00090CBB">
              <w:rPr>
                <w:rFonts w:ascii="Verdana" w:eastAsia="Calibri" w:hAnsi="Verdana" w:cs="Arial"/>
                <w:color w:val="000000" w:themeColor="text1"/>
              </w:rPr>
              <w:t>la calidad de contratista se predica de cada uno de los integrantes</w:t>
            </w:r>
            <w:r>
              <w:rPr>
                <w:rFonts w:ascii="Verdana" w:eastAsia="Calibri" w:hAnsi="Verdana" w:cs="Arial"/>
                <w:color w:val="000000" w:themeColor="text1"/>
              </w:rPr>
              <w:t xml:space="preserve"> de la estructura plural. </w:t>
            </w:r>
          </w:p>
          <w:p w14:paraId="7324221A" w14:textId="77777777" w:rsidR="00363C7E" w:rsidRPr="003D4557" w:rsidRDefault="00363C7E" w:rsidP="00F626C8">
            <w:pPr>
              <w:spacing w:after="120" w:line="276" w:lineRule="auto"/>
              <w:ind w:right="51" w:firstLine="733"/>
              <w:jc w:val="both"/>
              <w:rPr>
                <w:rFonts w:ascii="Verdana" w:eastAsia="Calibri" w:hAnsi="Verdana" w:cs="Arial"/>
                <w:color w:val="000000" w:themeColor="text1"/>
              </w:rPr>
            </w:pPr>
            <w:r>
              <w:rPr>
                <w:rFonts w:ascii="Verdana" w:eastAsia="Calibri" w:hAnsi="Verdana" w:cs="Arial"/>
                <w:color w:val="000000" w:themeColor="text1"/>
              </w:rPr>
              <w:t>De acuerdo con el principio lógico de no contradicción, e</w:t>
            </w:r>
            <w:r w:rsidRPr="00090CBB">
              <w:rPr>
                <w:rFonts w:ascii="Verdana" w:eastAsia="Calibri" w:hAnsi="Verdana" w:cs="Arial"/>
                <w:color w:val="000000" w:themeColor="text1"/>
              </w:rPr>
              <w:t xml:space="preserve">sto significa que quien ocupa la posición de parte en el negocio jurídico, por exclusión, no </w:t>
            </w:r>
            <w:r w:rsidRPr="00090CBB">
              <w:rPr>
                <w:rFonts w:ascii="Verdana" w:eastAsia="Calibri" w:hAnsi="Verdana" w:cs="Arial"/>
                <w:color w:val="000000" w:themeColor="text1"/>
              </w:rPr>
              <w:lastRenderedPageBreak/>
              <w:t xml:space="preserve">puede tener la naturaleza de tercero para efectos de la subcontratación. Por tanto, desde el punto de vista de los sujetos, la calidad de tercero corresponde a cualquier persona distinta al contratista o a los integrantes del consorcio o unión temporal y a la entidad estatal contratante. En este contexto, sólo la experiencia adquirida por lo integrantes del proponente plural puede acreditarse en otros procesos de selección, pues –por sustracción de materia– no pueden fungir como subcontratistas del consorcio o unión temporal del que hacen parte.  </w:t>
            </w:r>
          </w:p>
          <w:p w14:paraId="4C3D32E9" w14:textId="77777777" w:rsidR="00363C7E" w:rsidRPr="001941FD" w:rsidRDefault="00363C7E" w:rsidP="00F626C8">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A03A2AA" w14:textId="77777777" w:rsidR="00363C7E" w:rsidRPr="00593A5F" w:rsidRDefault="00363C7E" w:rsidP="00363C7E">
      <w:pPr>
        <w:tabs>
          <w:tab w:val="left" w:pos="142"/>
          <w:tab w:val="left" w:pos="284"/>
        </w:tabs>
        <w:spacing w:after="0" w:line="276" w:lineRule="auto"/>
        <w:jc w:val="both"/>
        <w:rPr>
          <w:rFonts w:ascii="Verdana" w:eastAsia="Century Gothic" w:hAnsi="Verdana" w:cs="Century Gothic"/>
          <w:b/>
          <w:bCs/>
          <w:lang w:val="es-ES"/>
        </w:rPr>
      </w:pPr>
    </w:p>
    <w:bookmarkEnd w:id="2"/>
    <w:p w14:paraId="28845144" w14:textId="77777777" w:rsidR="00363C7E" w:rsidRPr="00593A5F" w:rsidRDefault="00363C7E" w:rsidP="00363C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72E5AB1" w14:textId="77777777" w:rsidR="00363C7E" w:rsidRPr="00593A5F" w:rsidRDefault="00363C7E" w:rsidP="00363C7E">
      <w:pPr>
        <w:spacing w:after="0" w:line="276" w:lineRule="auto"/>
        <w:jc w:val="both"/>
        <w:rPr>
          <w:rFonts w:ascii="Verdana" w:eastAsia="Calibri" w:hAnsi="Verdana" w:cs="Arial"/>
          <w:color w:val="7030A0"/>
          <w:lang w:val="es-ES"/>
        </w:rPr>
      </w:pPr>
    </w:p>
    <w:p w14:paraId="485A32F5" w14:textId="77777777" w:rsidR="00363C7E" w:rsidRDefault="00363C7E" w:rsidP="00363C7E">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761C82E" w14:textId="77777777" w:rsidR="00363C7E" w:rsidRPr="00415608" w:rsidRDefault="00363C7E" w:rsidP="00363C7E">
      <w:pPr>
        <w:spacing w:after="0" w:line="276" w:lineRule="auto"/>
        <w:jc w:val="both"/>
        <w:rPr>
          <w:rFonts w:ascii="Verdana" w:eastAsia="Calibri" w:hAnsi="Verdana" w:cs="Arial"/>
          <w:lang w:val="es-ES"/>
        </w:rPr>
      </w:pPr>
    </w:p>
    <w:p w14:paraId="0D496B20" w14:textId="77777777" w:rsidR="00363C7E" w:rsidRPr="008A4AEC" w:rsidRDefault="00363C7E" w:rsidP="00363C7E">
      <w:pPr>
        <w:spacing w:after="120" w:line="276" w:lineRule="auto"/>
        <w:jc w:val="both"/>
        <w:rPr>
          <w:rFonts w:ascii="Verdana" w:eastAsia="Calibri" w:hAnsi="Verdana" w:cs="Arial"/>
          <w:lang w:val="es-MX"/>
        </w:rPr>
      </w:pPr>
      <w:r>
        <w:rPr>
          <w:rFonts w:ascii="Verdana" w:eastAsia="Calibri" w:hAnsi="Verdana" w:cs="Arial"/>
        </w:rPr>
        <w:t xml:space="preserve">i. </w:t>
      </w:r>
      <w:r w:rsidRPr="008A4AEC">
        <w:rPr>
          <w:rFonts w:ascii="Verdana" w:hAnsi="Verdana" w:cs="Arial"/>
          <w:lang w:val="es-ES_tradnl"/>
        </w:rPr>
        <w:t xml:space="preserve">Si bien las personas pueden presentarse individualmente a los procesos de selección, también pueden hacerlo en forma plural a través de consorcios o uniones temporales. En efecto, </w:t>
      </w:r>
      <w:r w:rsidRPr="008A4AEC">
        <w:rPr>
          <w:rFonts w:ascii="Verdana" w:eastAsia="Calibri" w:hAnsi="Verdana" w:cs="Arial"/>
          <w:lang w:val="es-MX"/>
        </w:rPr>
        <w:t>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549F5901" w14:textId="77777777" w:rsidR="00363C7E" w:rsidRPr="008A4AEC" w:rsidRDefault="00363C7E" w:rsidP="00363C7E">
      <w:pPr>
        <w:spacing w:after="0" w:line="276" w:lineRule="auto"/>
        <w:ind w:firstLine="720"/>
        <w:jc w:val="both"/>
        <w:rPr>
          <w:rFonts w:ascii="Verdana" w:eastAsia="Calibri" w:hAnsi="Verdana" w:cs="Arial"/>
          <w:bCs/>
          <w:color w:val="000000" w:themeColor="text1"/>
          <w:lang w:val="es-ES"/>
        </w:rPr>
      </w:pPr>
      <w:r w:rsidRPr="008A4AEC">
        <w:rPr>
          <w:rFonts w:ascii="Verdana" w:eastAsia="Calibri" w:hAnsi="Verdana" w:cs="Arial"/>
          <w:bCs/>
          <w:color w:val="000000" w:themeColor="text1"/>
          <w:lang w:val="es-ES"/>
        </w:rPr>
        <w:lastRenderedPageBreak/>
        <w:t>La capacidad para contratar, e incluso la de realizar actos jurídicamente vinculantes como la presentación de una oferta en un procedimiento de 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 y uniones temporales. En este sentido, la Corte Constitucional ha sostenido:</w:t>
      </w:r>
    </w:p>
    <w:p w14:paraId="002665EA" w14:textId="77777777" w:rsidR="00363C7E" w:rsidRPr="008A4AEC" w:rsidRDefault="00363C7E" w:rsidP="00363C7E">
      <w:pPr>
        <w:spacing w:after="0" w:line="276" w:lineRule="auto"/>
        <w:jc w:val="both"/>
        <w:rPr>
          <w:rFonts w:ascii="Verdana" w:eastAsia="Calibri" w:hAnsi="Verdana" w:cs="Arial"/>
          <w:bCs/>
          <w:color w:val="000000" w:themeColor="text1"/>
          <w:lang w:val="es-ES"/>
        </w:rPr>
      </w:pPr>
    </w:p>
    <w:p w14:paraId="5C2080B9" w14:textId="77777777" w:rsidR="00363C7E" w:rsidRPr="008A4AEC" w:rsidRDefault="00363C7E" w:rsidP="00363C7E">
      <w:pPr>
        <w:spacing w:after="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65F71452" w14:textId="77777777" w:rsidR="00363C7E" w:rsidRPr="008A4AEC" w:rsidRDefault="00363C7E" w:rsidP="00363C7E">
      <w:pPr>
        <w:spacing w:after="12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w:t>
      </w:r>
    </w:p>
    <w:p w14:paraId="52D37138" w14:textId="77777777" w:rsidR="00363C7E" w:rsidRPr="008A4AEC" w:rsidRDefault="00363C7E" w:rsidP="00363C7E">
      <w:pPr>
        <w:spacing w:after="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8A4AEC">
        <w:rPr>
          <w:rStyle w:val="Refdenotaalpie"/>
          <w:rFonts w:ascii="Verdana" w:eastAsia="Calibri" w:hAnsi="Verdana" w:cs="Arial"/>
          <w:bCs/>
          <w:color w:val="000000" w:themeColor="text1"/>
          <w:sz w:val="21"/>
          <w:szCs w:val="21"/>
        </w:rPr>
        <w:footnoteReference w:id="2"/>
      </w:r>
      <w:r w:rsidRPr="008A4AEC">
        <w:rPr>
          <w:rFonts w:ascii="Verdana" w:eastAsia="Calibri" w:hAnsi="Verdana" w:cs="Arial"/>
          <w:bCs/>
          <w:color w:val="000000" w:themeColor="text1"/>
          <w:sz w:val="21"/>
          <w:szCs w:val="21"/>
        </w:rPr>
        <w:t>.</w:t>
      </w:r>
    </w:p>
    <w:p w14:paraId="14AB4C9C" w14:textId="77777777" w:rsidR="00363C7E" w:rsidRPr="008A4AEC" w:rsidRDefault="00363C7E" w:rsidP="00363C7E">
      <w:pPr>
        <w:spacing w:after="0"/>
        <w:ind w:left="720" w:right="730"/>
        <w:jc w:val="both"/>
        <w:rPr>
          <w:rFonts w:ascii="Verdana" w:eastAsia="Calibri" w:hAnsi="Verdana" w:cs="Arial"/>
          <w:bCs/>
          <w:color w:val="000000" w:themeColor="text1"/>
          <w:sz w:val="21"/>
          <w:szCs w:val="21"/>
        </w:rPr>
      </w:pPr>
    </w:p>
    <w:p w14:paraId="0AA6B94B" w14:textId="77777777" w:rsidR="00363C7E" w:rsidRPr="008A4AEC" w:rsidRDefault="00363C7E" w:rsidP="00363C7E">
      <w:pPr>
        <w:spacing w:after="120" w:line="276" w:lineRule="auto"/>
        <w:ind w:firstLine="720"/>
        <w:jc w:val="both"/>
        <w:rPr>
          <w:rFonts w:ascii="Verdana" w:eastAsia="Calibri" w:hAnsi="Verdana" w:cs="Arial"/>
          <w:bCs/>
          <w:color w:val="000000" w:themeColor="text1"/>
          <w:lang w:val="es-ES"/>
        </w:rPr>
      </w:pPr>
      <w:bookmarkStart w:id="3" w:name="_Hlk135067740"/>
      <w:r w:rsidRPr="008A4AEC">
        <w:rPr>
          <w:rFonts w:ascii="Verdana" w:eastAsia="Calibri" w:hAnsi="Verdana" w:cs="Arial"/>
          <w:bCs/>
          <w:color w:val="000000" w:themeColor="text1"/>
          <w:lang w:val="es-ES"/>
        </w:rPr>
        <w:t xml:space="preserve">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w:t>
      </w:r>
      <w:r w:rsidRPr="008A4AEC">
        <w:rPr>
          <w:rFonts w:ascii="Verdana" w:eastAsia="Calibri" w:hAnsi="Verdana" w:cs="Arial"/>
          <w:bCs/>
          <w:color w:val="000000" w:themeColor="text1"/>
          <w:lang w:val="es-ES"/>
        </w:rPr>
        <w:lastRenderedPageBreak/>
        <w:t>condición de su ejercicio que sean personas morales lo que, hasta cierto punto, podría considerarse una evolución en la teoría de la personalidad jurídica.</w:t>
      </w:r>
    </w:p>
    <w:bookmarkEnd w:id="3"/>
    <w:p w14:paraId="391F23B3" w14:textId="77777777" w:rsidR="00363C7E" w:rsidRPr="008A4AEC" w:rsidRDefault="00363C7E" w:rsidP="00363C7E">
      <w:pPr>
        <w:spacing w:after="0" w:line="276" w:lineRule="auto"/>
        <w:ind w:firstLine="709"/>
        <w:jc w:val="both"/>
        <w:rPr>
          <w:rFonts w:ascii="Verdana" w:hAnsi="Verdana" w:cs="Arial"/>
        </w:rPr>
      </w:pPr>
      <w:r w:rsidRPr="008A4AEC">
        <w:rPr>
          <w:rFonts w:ascii="Verdana" w:hAnsi="Verdana" w:cs="Arial"/>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En lo pertinente, la norma precitada dispone que:</w:t>
      </w:r>
    </w:p>
    <w:p w14:paraId="7AA95F5E" w14:textId="77777777" w:rsidR="00363C7E" w:rsidRPr="008A4AEC" w:rsidRDefault="00363C7E" w:rsidP="00363C7E">
      <w:pPr>
        <w:spacing w:after="0" w:line="276" w:lineRule="auto"/>
        <w:ind w:firstLine="709"/>
        <w:jc w:val="both"/>
        <w:rPr>
          <w:rFonts w:ascii="Verdana" w:eastAsia="Calibri" w:hAnsi="Verdana" w:cs="Arial"/>
          <w:bCs/>
          <w:color w:val="000000" w:themeColor="text1"/>
          <w:lang w:val="es-ES"/>
        </w:rPr>
      </w:pPr>
    </w:p>
    <w:p w14:paraId="4EBC9514" w14:textId="77777777" w:rsidR="00363C7E" w:rsidRPr="008A4AEC" w:rsidRDefault="00363C7E" w:rsidP="00363C7E">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“Artículo 7º.- ENTIDADES A CONTRATAR. Artículo modificado por el artículo 3 de la Ley 2160 de 2021. Para los efectos de esta Ley se entiende por:</w:t>
      </w:r>
    </w:p>
    <w:p w14:paraId="33B00ABD" w14:textId="77777777" w:rsidR="00363C7E" w:rsidRPr="008A4AEC" w:rsidRDefault="00363C7E" w:rsidP="00363C7E">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0398D2C6" w14:textId="77777777" w:rsidR="00363C7E" w:rsidRPr="008A4AEC" w:rsidRDefault="00363C7E" w:rsidP="00363C7E">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 xml:space="preserve">6. Consorcio: Cuando dos o más personas </w:t>
      </w:r>
      <w:bookmarkStart w:id="4" w:name="_Hlk180410264"/>
      <w:r w:rsidRPr="008A4AEC">
        <w:rPr>
          <w:rFonts w:ascii="Verdana" w:eastAsia="Calibri" w:hAnsi="Verdana" w:cs="Arial"/>
          <w:bCs/>
          <w:color w:val="000000" w:themeColor="text1"/>
          <w:sz w:val="21"/>
          <w:lang w:val="es-ES"/>
        </w:rPr>
        <w:t>en forma conjunta presentan una misma propuesta para la adjudicación, celebración y ejecución de un contrato</w:t>
      </w:r>
      <w:bookmarkEnd w:id="4"/>
      <w:r w:rsidRPr="008A4AEC">
        <w:rPr>
          <w:rFonts w:ascii="Verdana" w:eastAsia="Calibri" w:hAnsi="Verdana" w:cs="Arial"/>
          <w:bCs/>
          <w:color w:val="000000" w:themeColor="text1"/>
          <w:sz w:val="21"/>
          <w:lang w:val="es-ES"/>
        </w:rPr>
        <w:t>,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18DAAECE" w14:textId="77777777" w:rsidR="00363C7E" w:rsidRPr="008A4AEC" w:rsidRDefault="00363C7E" w:rsidP="00363C7E">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1870C325" w14:textId="77777777" w:rsidR="00363C7E" w:rsidRPr="008A4AEC" w:rsidRDefault="00363C7E" w:rsidP="00363C7E">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38FB1FA9" w14:textId="77777777" w:rsidR="00363C7E" w:rsidRPr="008A4AEC" w:rsidRDefault="00363C7E" w:rsidP="00363C7E">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14FA593C" w14:textId="77777777" w:rsidR="00363C7E" w:rsidRPr="008A4AEC" w:rsidRDefault="00363C7E" w:rsidP="00363C7E">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Los miembros del consorcio y de la unión temporal deberán designar la persona que, para todos los efectos, representará al consorcio o unión temporal y señalarán las reglas básicas que regulen las relaciones entre ellos y su responsabilidad.</w:t>
      </w:r>
    </w:p>
    <w:p w14:paraId="633E072C" w14:textId="77777777" w:rsidR="00363C7E" w:rsidRPr="008A4AEC" w:rsidRDefault="00363C7E" w:rsidP="00363C7E">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5DA5FB8C" w14:textId="77777777" w:rsidR="00363C7E" w:rsidRPr="008A4AEC" w:rsidRDefault="00363C7E" w:rsidP="00363C7E">
      <w:pPr>
        <w:spacing w:after="0" w:line="276" w:lineRule="auto"/>
        <w:ind w:left="720" w:right="731"/>
        <w:jc w:val="both"/>
        <w:rPr>
          <w:rFonts w:ascii="Verdana" w:eastAsia="Calibri" w:hAnsi="Verdana" w:cs="Arial"/>
          <w:bCs/>
          <w:color w:val="000000" w:themeColor="text1"/>
          <w:lang w:val="es-ES"/>
        </w:rPr>
      </w:pPr>
    </w:p>
    <w:p w14:paraId="43B01E86" w14:textId="77777777" w:rsidR="00363C7E" w:rsidRPr="008A4AEC" w:rsidRDefault="00363C7E" w:rsidP="00363C7E">
      <w:pPr>
        <w:spacing w:after="120" w:line="276" w:lineRule="auto"/>
        <w:jc w:val="both"/>
        <w:rPr>
          <w:rFonts w:ascii="Verdana" w:hAnsi="Verdana" w:cs="Arial"/>
          <w:color w:val="000000" w:themeColor="text1"/>
        </w:rPr>
      </w:pPr>
      <w:r w:rsidRPr="008A4AEC">
        <w:rPr>
          <w:rFonts w:ascii="Verdana" w:eastAsia="Calibri" w:hAnsi="Verdana" w:cs="Arial"/>
          <w:bCs/>
          <w:color w:val="000000" w:themeColor="text1"/>
          <w:lang w:val="es-ES"/>
        </w:rPr>
        <w:lastRenderedPageBreak/>
        <w:tab/>
        <w:t xml:space="preserve">Como se observa, el artículo citado señala que el consorcio o la unión temporal </w:t>
      </w:r>
      <w:r>
        <w:rPr>
          <w:rFonts w:ascii="Verdana" w:eastAsia="Calibri" w:hAnsi="Verdana" w:cs="Arial"/>
          <w:bCs/>
          <w:color w:val="000000" w:themeColor="text1"/>
          <w:lang w:val="es-ES"/>
        </w:rPr>
        <w:t>surge</w:t>
      </w:r>
      <w:r w:rsidRPr="008A4AEC">
        <w:rPr>
          <w:rFonts w:ascii="Verdana" w:eastAsia="Calibri" w:hAnsi="Verdana" w:cs="Arial"/>
          <w:bCs/>
          <w:color w:val="000000" w:themeColor="text1"/>
          <w:lang w:val="es-ES"/>
        </w:rPr>
        <w:t xml:space="preserve"> “Cuando dos o más personas en forma conjunta presentan una misma propuesta para la adjudicación, celebración y ejecución de un contrato […]”.</w:t>
      </w:r>
      <w:r w:rsidRPr="008A4AEC">
        <w:rPr>
          <w:rFonts w:ascii="Verdana" w:hAnsi="Verdana" w:cs="Arial"/>
          <w:color w:val="000000" w:themeColor="text1"/>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568FCD66" w14:textId="77777777" w:rsidR="00363C7E" w:rsidRPr="006367A0" w:rsidRDefault="00363C7E" w:rsidP="00363C7E">
      <w:pPr>
        <w:spacing w:after="0" w:line="276" w:lineRule="auto"/>
        <w:jc w:val="both"/>
        <w:rPr>
          <w:rFonts w:ascii="Verdana" w:hAnsi="Verdana" w:cs="Arial"/>
          <w:color w:val="000000" w:themeColor="text1"/>
        </w:rPr>
      </w:pPr>
      <w:r w:rsidRPr="008A4AEC">
        <w:rPr>
          <w:rFonts w:ascii="Verdana" w:hAnsi="Verdana" w:cs="Arial"/>
          <w:color w:val="000000" w:themeColor="text1"/>
        </w:rPr>
        <w:tab/>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r>
        <w:rPr>
          <w:rFonts w:ascii="Verdana" w:eastAsia="Calibri" w:hAnsi="Verdana" w:cs="Arial"/>
        </w:rPr>
        <w:t xml:space="preserve"> </w:t>
      </w:r>
    </w:p>
    <w:p w14:paraId="65C7B046" w14:textId="77777777" w:rsidR="00363C7E" w:rsidRPr="006367A0" w:rsidRDefault="00363C7E" w:rsidP="00363C7E">
      <w:pPr>
        <w:spacing w:after="0" w:line="276" w:lineRule="auto"/>
        <w:jc w:val="both"/>
        <w:rPr>
          <w:rFonts w:ascii="Verdana" w:eastAsia="Calibri" w:hAnsi="Verdana" w:cs="Arial"/>
        </w:rPr>
      </w:pPr>
    </w:p>
    <w:p w14:paraId="38C24EB0" w14:textId="77777777" w:rsidR="00363C7E" w:rsidRPr="009C7865" w:rsidRDefault="00363C7E" w:rsidP="00363C7E">
      <w:pPr>
        <w:spacing w:after="120" w:line="276" w:lineRule="auto"/>
        <w:jc w:val="both"/>
        <w:rPr>
          <w:rFonts w:ascii="Verdana" w:eastAsia="Calibri" w:hAnsi="Verdana" w:cs="Arial"/>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9C7865">
        <w:rPr>
          <w:rFonts w:ascii="Verdana" w:eastAsia="Calibri" w:hAnsi="Verdana" w:cs="Arial"/>
        </w:rPr>
        <w:t>La figura jurídica de la subcontratación no ha tenido un desarrollo regulatorio sustancial en el derecho colombiano. Aunque en materia de contratación estatal hay algunas referencias a esta institución en las Leyes 80 de 1993</w:t>
      </w:r>
      <w:r w:rsidRPr="009C7865">
        <w:rPr>
          <w:rFonts w:ascii="Verdana" w:eastAsia="Calibri" w:hAnsi="Verdana" w:cs="Arial"/>
          <w:vertAlign w:val="superscript"/>
        </w:rPr>
        <w:footnoteReference w:id="3"/>
      </w:r>
      <w:r w:rsidRPr="009C7865">
        <w:rPr>
          <w:rFonts w:ascii="Verdana" w:eastAsia="Calibri" w:hAnsi="Verdana" w:cs="Arial"/>
          <w:vertAlign w:val="superscript"/>
        </w:rPr>
        <w:t xml:space="preserve"> </w:t>
      </w:r>
      <w:r w:rsidRPr="009C7865">
        <w:rPr>
          <w:rFonts w:ascii="Verdana" w:eastAsia="Calibri" w:hAnsi="Verdana" w:cs="Arial"/>
        </w:rPr>
        <w:t>y 1150 de 2007</w:t>
      </w:r>
      <w:r w:rsidRPr="009C7865">
        <w:rPr>
          <w:rFonts w:ascii="Verdana" w:eastAsia="Calibri" w:hAnsi="Verdana" w:cs="Arial"/>
          <w:vertAlign w:val="superscript"/>
        </w:rPr>
        <w:footnoteReference w:id="4"/>
      </w:r>
      <w:r w:rsidRPr="009C7865">
        <w:rPr>
          <w:rFonts w:ascii="Verdana" w:eastAsia="Calibri" w:hAnsi="Verdana" w:cs="Arial"/>
        </w:rPr>
        <w:t>, así como en el Decreto 1082 de 2015</w:t>
      </w:r>
      <w:r w:rsidRPr="009C7865">
        <w:rPr>
          <w:rFonts w:ascii="Verdana" w:eastAsia="Calibri" w:hAnsi="Verdana" w:cs="Arial"/>
          <w:vertAlign w:val="superscript"/>
        </w:rPr>
        <w:footnoteReference w:id="5"/>
      </w:r>
      <w:r w:rsidRPr="009C7865">
        <w:rPr>
          <w:rFonts w:ascii="Verdana" w:eastAsia="Calibri" w:hAnsi="Verdana" w:cs="Arial"/>
        </w:rPr>
        <w:t xml:space="preserve">, y en </w:t>
      </w:r>
      <w:r w:rsidRPr="009C7865">
        <w:rPr>
          <w:rFonts w:ascii="Verdana" w:eastAsia="Calibri" w:hAnsi="Verdana" w:cs="Arial"/>
          <w:lang w:val="es-ES"/>
        </w:rPr>
        <w:t>el Decreto 092 de 2017</w:t>
      </w:r>
      <w:r w:rsidRPr="009C7865">
        <w:rPr>
          <w:rFonts w:ascii="Verdana" w:eastAsia="Calibri" w:hAnsi="Verdana" w:cs="Arial"/>
          <w:vertAlign w:val="superscript"/>
          <w:lang w:val="es-ES"/>
        </w:rPr>
        <w:footnoteReference w:id="6"/>
      </w:r>
      <w:r w:rsidRPr="009C7865">
        <w:rPr>
          <w:rFonts w:ascii="Verdana" w:eastAsia="Calibri" w:hAnsi="Verdana" w:cs="Arial"/>
          <w:lang w:val="es-ES"/>
        </w:rPr>
        <w:t xml:space="preserve">, </w:t>
      </w:r>
      <w:r w:rsidRPr="009C7865">
        <w:rPr>
          <w:rFonts w:ascii="Verdana" w:eastAsia="Calibri" w:hAnsi="Verdana" w:cs="Arial"/>
        </w:rPr>
        <w:t xml:space="preserve">el </w:t>
      </w:r>
      <w:r w:rsidRPr="009C7865">
        <w:rPr>
          <w:rFonts w:ascii="Verdana" w:eastAsia="Calibri" w:hAnsi="Verdana" w:cs="Arial"/>
        </w:rPr>
        <w:lastRenderedPageBreak/>
        <w:t xml:space="preserve">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w:t>
      </w:r>
    </w:p>
    <w:p w14:paraId="115186F0" w14:textId="77777777" w:rsidR="00363C7E" w:rsidRPr="009C7865" w:rsidRDefault="00363C7E" w:rsidP="00363C7E">
      <w:pPr>
        <w:spacing w:after="120" w:line="276" w:lineRule="auto"/>
        <w:ind w:firstLine="709"/>
        <w:jc w:val="both"/>
        <w:rPr>
          <w:rFonts w:ascii="Verdana" w:eastAsia="Calibri" w:hAnsi="Verdana" w:cs="Arial"/>
        </w:rPr>
      </w:pPr>
      <w:r w:rsidRPr="009C7865">
        <w:rPr>
          <w:rFonts w:ascii="Verdana" w:eastAsia="Calibri" w:hAnsi="Verdana" w:cs="Arial"/>
        </w:rPr>
        <w:t>La doctrina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9C7865">
        <w:rPr>
          <w:rFonts w:ascii="Verdana" w:eastAsia="Calibri" w:hAnsi="Verdana" w:cs="Arial"/>
          <w:vertAlign w:val="superscript"/>
        </w:rPr>
        <w:footnoteReference w:id="7"/>
      </w:r>
      <w:r w:rsidRPr="009C7865">
        <w:rPr>
          <w:rFonts w:ascii="Verdana" w:eastAsia="Calibri" w:hAnsi="Verdana" w:cs="Arial"/>
        </w:rPr>
        <w:t>.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9C7865">
        <w:rPr>
          <w:rFonts w:ascii="Verdana" w:eastAsia="Calibri" w:hAnsi="Verdana" w:cs="Arial"/>
          <w:vertAlign w:val="superscript"/>
        </w:rPr>
        <w:footnoteReference w:id="8"/>
      </w:r>
      <w:r w:rsidRPr="009C7865">
        <w:rPr>
          <w:rFonts w:ascii="Verdana" w:eastAsia="Calibri" w:hAnsi="Verdana" w:cs="Arial"/>
          <w:vertAlign w:val="superscript"/>
        </w:rPr>
        <w:t>.</w:t>
      </w:r>
      <w:r w:rsidRPr="009C7865">
        <w:rPr>
          <w:rFonts w:ascii="Verdana" w:eastAsia="Calibri" w:hAnsi="Verdana" w:cs="Arial"/>
        </w:rPr>
        <w:t xml:space="preserve"> En el marco de esta figura, se define el nivel de subcontratación como “Cada uno de los escalones en que se estructura el proceso de subcontratación que se desarrolla para la ejecución de la totalidad o parte de la obra asumida contractualmente por el contratista con el promotor”</w:t>
      </w:r>
      <w:r w:rsidRPr="009C7865">
        <w:rPr>
          <w:rFonts w:ascii="Verdana" w:eastAsia="Calibri" w:hAnsi="Verdana" w:cs="Arial"/>
          <w:vertAlign w:val="superscript"/>
        </w:rPr>
        <w:footnoteReference w:id="9"/>
      </w:r>
      <w:r w:rsidRPr="009C7865">
        <w:rPr>
          <w:rFonts w:ascii="Verdana" w:eastAsia="Calibri" w:hAnsi="Verdana" w:cs="Arial"/>
        </w:rPr>
        <w:t xml:space="preserve">. </w:t>
      </w:r>
    </w:p>
    <w:p w14:paraId="7FB26639" w14:textId="77777777" w:rsidR="00363C7E" w:rsidRPr="009C7865" w:rsidRDefault="00363C7E" w:rsidP="00363C7E">
      <w:pPr>
        <w:spacing w:before="120" w:after="0" w:line="276" w:lineRule="auto"/>
        <w:ind w:firstLine="709"/>
        <w:jc w:val="both"/>
        <w:rPr>
          <w:rFonts w:ascii="Verdana" w:eastAsia="Calibri" w:hAnsi="Verdana" w:cs="Arial"/>
        </w:rPr>
      </w:pPr>
      <w:r w:rsidRPr="009C7865">
        <w:rPr>
          <w:rFonts w:ascii="Verdana" w:eastAsia="Calibri" w:hAnsi="Verdana" w:cs="Arial"/>
        </w:rPr>
        <w:t>Por su parte, la Sección Tercera del Consejo de Estado, en Sentencia del 12 de agosto de 2013</w:t>
      </w:r>
      <w:r w:rsidRPr="009C7865">
        <w:rPr>
          <w:rFonts w:ascii="Verdana" w:eastAsia="Calibri" w:hAnsi="Verdana" w:cs="Arial"/>
          <w:vertAlign w:val="superscript"/>
        </w:rPr>
        <w:footnoteReference w:id="10"/>
      </w:r>
      <w:r w:rsidRPr="009C7865">
        <w:rPr>
          <w:rFonts w:ascii="Verdana" w:eastAsia="Calibri" w:hAnsi="Verdana" w:cs="Arial"/>
        </w:rPr>
        <w:t xml:space="preserve">, estructuró la definición y naturaleza del subcontrato reiterando lo señalado por la doctrina. Al respecto, indicó: </w:t>
      </w:r>
    </w:p>
    <w:p w14:paraId="7A088C05" w14:textId="77777777" w:rsidR="00363C7E" w:rsidRPr="009C7865" w:rsidRDefault="00363C7E" w:rsidP="00363C7E">
      <w:pPr>
        <w:spacing w:after="0" w:line="276" w:lineRule="auto"/>
        <w:ind w:right="618"/>
        <w:jc w:val="both"/>
        <w:rPr>
          <w:rFonts w:ascii="Verdana" w:eastAsia="Calibri" w:hAnsi="Verdana" w:cs="Arial"/>
        </w:rPr>
      </w:pPr>
    </w:p>
    <w:p w14:paraId="34F08AA3" w14:textId="77777777" w:rsidR="00363C7E" w:rsidRPr="009C7865" w:rsidRDefault="00363C7E" w:rsidP="00363C7E">
      <w:pPr>
        <w:spacing w:after="120" w:line="240" w:lineRule="auto"/>
        <w:ind w:left="709" w:right="709"/>
        <w:jc w:val="both"/>
        <w:rPr>
          <w:rFonts w:ascii="Verdana" w:eastAsia="Calibri" w:hAnsi="Verdana" w:cs="Arial"/>
          <w:sz w:val="20"/>
          <w:szCs w:val="20"/>
        </w:rPr>
      </w:pPr>
      <w:r w:rsidRPr="009C7865">
        <w:rPr>
          <w:rFonts w:ascii="Verdana" w:eastAsia="Calibri" w:hAnsi="Verdana" w:cs="Arial"/>
          <w:sz w:val="20"/>
          <w:szCs w:val="20"/>
        </w:rPr>
        <w:t xml:space="preserve">“Esta institución hace surgir una relación jurídica autónoma entre el contratista del Estado y el sub 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w:t>
      </w:r>
      <w:r w:rsidRPr="009C7865">
        <w:rPr>
          <w:rFonts w:ascii="Verdana" w:eastAsia="Calibri" w:hAnsi="Verdana" w:cs="Arial"/>
          <w:sz w:val="20"/>
          <w:szCs w:val="20"/>
        </w:rPr>
        <w:lastRenderedPageBreak/>
        <w:t xml:space="preserve">entidad estatal en la dirección general para ejercer el control y vigilancia de la ejecución del contrato, a que se refiere el artículo 14 de la Ley 80. </w:t>
      </w:r>
    </w:p>
    <w:p w14:paraId="0B035B92" w14:textId="77777777" w:rsidR="00363C7E" w:rsidRPr="009C7865" w:rsidRDefault="00363C7E" w:rsidP="00363C7E">
      <w:pPr>
        <w:spacing w:after="120" w:line="240" w:lineRule="auto"/>
        <w:ind w:left="709" w:right="709"/>
        <w:jc w:val="both"/>
        <w:rPr>
          <w:rFonts w:ascii="Verdana" w:eastAsia="Calibri" w:hAnsi="Verdana" w:cs="Arial"/>
          <w:sz w:val="20"/>
          <w:szCs w:val="20"/>
        </w:rPr>
      </w:pPr>
      <w:r w:rsidRPr="009C7865">
        <w:rPr>
          <w:rFonts w:ascii="Verdana" w:eastAsia="Calibri" w:hAnsi="Verdana" w:cs="Arial"/>
          <w:sz w:val="20"/>
          <w:szCs w:val="20"/>
        </w:rPr>
        <w:t>En este sentido, el contratista conserva frente a la entidad pública la responsabilidad por la ejecución del contrato, así que desde el punto de vista subjetivo la sub contratación es material y no jurídica, porque traslada el cumplimiento del contrato a un tercero, pero no sustituye al contratista.</w:t>
      </w:r>
    </w:p>
    <w:p w14:paraId="1ADCA70A" w14:textId="77777777" w:rsidR="00363C7E" w:rsidRPr="009C7865" w:rsidRDefault="00363C7E" w:rsidP="00363C7E">
      <w:pPr>
        <w:spacing w:after="0" w:line="240" w:lineRule="auto"/>
        <w:ind w:left="709" w:right="709"/>
        <w:jc w:val="both"/>
        <w:rPr>
          <w:rFonts w:ascii="Verdana" w:eastAsia="Calibri" w:hAnsi="Verdana" w:cs="Arial"/>
          <w:sz w:val="20"/>
          <w:szCs w:val="20"/>
        </w:rPr>
      </w:pPr>
      <w:r w:rsidRPr="009C7865">
        <w:rPr>
          <w:rFonts w:ascii="Verdana" w:eastAsia="Calibri" w:hAnsi="Verdana" w:cs="Arial"/>
          <w:sz w:val="20"/>
          <w:szCs w:val="20"/>
        </w:rPr>
        <w:t>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1E00EA8D" w14:textId="77777777" w:rsidR="00363C7E" w:rsidRPr="009C7865" w:rsidRDefault="00363C7E" w:rsidP="00363C7E">
      <w:pPr>
        <w:spacing w:after="0" w:line="276" w:lineRule="auto"/>
        <w:ind w:right="618"/>
        <w:jc w:val="both"/>
        <w:rPr>
          <w:rFonts w:ascii="Verdana" w:eastAsia="Calibri" w:hAnsi="Verdana" w:cs="Arial"/>
          <w:lang w:val="es-MX"/>
        </w:rPr>
      </w:pPr>
    </w:p>
    <w:p w14:paraId="2432D461" w14:textId="77777777" w:rsidR="00363C7E" w:rsidRPr="009C7865" w:rsidRDefault="00363C7E" w:rsidP="00363C7E">
      <w:pPr>
        <w:spacing w:after="0" w:line="276" w:lineRule="auto"/>
        <w:ind w:firstLine="709"/>
        <w:jc w:val="both"/>
        <w:rPr>
          <w:rFonts w:ascii="Verdana" w:eastAsia="Calibri" w:hAnsi="Verdana" w:cs="Arial"/>
        </w:rPr>
      </w:pPr>
      <w:r w:rsidRPr="009C7865">
        <w:rPr>
          <w:rFonts w:ascii="Verdana" w:eastAsia="Calibri" w:hAnsi="Verdana" w:cs="Arial"/>
        </w:rPr>
        <w:t xml:space="preserve">De lo expuesto se resaltan, como características esenciales de la subcontratación, las siguientes: i) es un contrato eventual, </w:t>
      </w:r>
      <w:proofErr w:type="spellStart"/>
      <w:r w:rsidRPr="009C7865">
        <w:rPr>
          <w:rFonts w:ascii="Verdana" w:eastAsia="Calibri" w:hAnsi="Verdana" w:cs="Arial"/>
        </w:rPr>
        <w:t>ii</w:t>
      </w:r>
      <w:proofErr w:type="spellEnd"/>
      <w:r w:rsidRPr="009C7865">
        <w:rPr>
          <w:rFonts w:ascii="Verdana" w:eastAsia="Calibri" w:hAnsi="Verdana" w:cs="Arial"/>
        </w:rPr>
        <w:t xml:space="preserve">) es un contrato accesorio, pues asegura el cumplimiento de otro contrato –principal–, </w:t>
      </w:r>
      <w:proofErr w:type="spellStart"/>
      <w:r w:rsidRPr="009C7865">
        <w:rPr>
          <w:rFonts w:ascii="Verdana" w:eastAsia="Calibri" w:hAnsi="Verdana" w:cs="Arial"/>
        </w:rPr>
        <w:t>iii</w:t>
      </w:r>
      <w:proofErr w:type="spellEnd"/>
      <w:r w:rsidRPr="009C7865">
        <w:rPr>
          <w:rFonts w:ascii="Verdana" w:eastAsia="Calibri" w:hAnsi="Verdana" w:cs="Arial"/>
        </w:rPr>
        <w:t xml:space="preserve">) la relación jurídica que surge entre el contratista del Estado y el tercero es independiente y autónoma de la entidad contratante, </w:t>
      </w:r>
      <w:proofErr w:type="spellStart"/>
      <w:r w:rsidRPr="009C7865">
        <w:rPr>
          <w:rFonts w:ascii="Verdana" w:eastAsia="Calibri" w:hAnsi="Verdana" w:cs="Arial"/>
        </w:rPr>
        <w:t>iv</w:t>
      </w:r>
      <w:proofErr w:type="spellEnd"/>
      <w:r w:rsidRPr="009C7865">
        <w:rPr>
          <w:rFonts w:ascii="Verdana" w:eastAsia="Calibri" w:hAnsi="Verdana" w:cs="Arial"/>
        </w:rPr>
        <w:t>) la sustitución es parcial, lo que significa que no podrán subcontratar la ejecución total del contrato principal y v) la sustitución es material y no jurídica; por lo tanto, no relevará al contratista del Estado de las responsabilidades emanadas del contrato principal.</w:t>
      </w:r>
    </w:p>
    <w:p w14:paraId="4D0A46B5" w14:textId="77777777" w:rsidR="00363C7E" w:rsidRPr="009C7865" w:rsidRDefault="00363C7E" w:rsidP="00363C7E">
      <w:pPr>
        <w:spacing w:before="120" w:after="0" w:line="276" w:lineRule="auto"/>
        <w:ind w:firstLine="709"/>
        <w:jc w:val="both"/>
        <w:rPr>
          <w:rFonts w:ascii="Verdana" w:eastAsia="Calibri" w:hAnsi="Verdana" w:cs="Arial"/>
        </w:rPr>
      </w:pPr>
      <w:r w:rsidRPr="009C7865">
        <w:rPr>
          <w:rFonts w:ascii="Verdana" w:eastAsia="Calibri" w:hAnsi="Verdana" w:cs="Arial"/>
          <w:noProof/>
        </w:rPr>
        <mc:AlternateContent>
          <mc:Choice Requires="wpi">
            <w:drawing>
              <wp:anchor distT="0" distB="0" distL="114300" distR="114300" simplePos="0" relativeHeight="251658240" behindDoc="0" locked="0" layoutInCell="1" allowOverlap="1" wp14:anchorId="5AD8B07F" wp14:editId="45F7DD5E">
                <wp:simplePos x="0" y="0"/>
                <wp:positionH relativeFrom="column">
                  <wp:posOffset>-468129</wp:posOffset>
                </wp:positionH>
                <wp:positionV relativeFrom="paragraph">
                  <wp:posOffset>588521</wp:posOffset>
                </wp:positionV>
                <wp:extent cx="360" cy="360"/>
                <wp:effectExtent l="38100" t="38100" r="38100" b="38100"/>
                <wp:wrapNone/>
                <wp:docPr id="1240376576" name="Entrada de lápiz 19"/>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7C8C45D5" id="Entrada de lápiz 19" o:spid="_x0000_s1026" type="#_x0000_t75" style="position:absolute;margin-left:-37.35pt;margin-top:45.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">
                <v:imagedata r:id="rId12" o:title=""/>
              </v:shape>
            </w:pict>
          </mc:Fallback>
        </mc:AlternateContent>
      </w:r>
      <w:r w:rsidRPr="009C7865">
        <w:rPr>
          <w:rFonts w:ascii="Verdana" w:eastAsia="Calibri" w:hAnsi="Verdana" w:cs="Arial"/>
        </w:rPr>
        <w:t xml:space="preserve">En este sentido, la subcontratación implica la celebración de un contrato derivado de otro principal cuyo propósito es ejecutar parcialmente este último. Dentro de este marco, podrían presentarse niveles de subcontratación, es decir, los escalones en que se estructura el proceso de subcontratación. Estos niveles no excluyen el carácter de contrato derivado de estos subcontratos, puesto que sus objetos se encuentran en función de la realización material del contrato principal. </w:t>
      </w:r>
    </w:p>
    <w:p w14:paraId="1E4773CF" w14:textId="77777777" w:rsidR="00363C7E" w:rsidRPr="009C7865" w:rsidRDefault="00363C7E" w:rsidP="00363C7E">
      <w:pPr>
        <w:widowControl w:val="0"/>
        <w:autoSpaceDE w:val="0"/>
        <w:autoSpaceDN w:val="0"/>
        <w:spacing w:before="120" w:after="0" w:line="276" w:lineRule="auto"/>
        <w:ind w:firstLine="709"/>
        <w:jc w:val="both"/>
        <w:rPr>
          <w:rFonts w:ascii="Verdana" w:eastAsia="Arial MT" w:hAnsi="Verdana" w:cs="Arial MT"/>
          <w:lang w:val="es-ES"/>
        </w:rPr>
      </w:pPr>
      <w:r w:rsidRPr="009C7865">
        <w:rPr>
          <w:rFonts w:ascii="Verdana" w:eastAsia="Calibri" w:hAnsi="Verdana" w:cs="Arial"/>
          <w:lang w:val="es-ES"/>
        </w:rPr>
        <w:t xml:space="preserve">Debido a la escasa regulación normativa, la subcontratación en materia de contratación pública estará supeditada a lo dispuesto en el </w:t>
      </w:r>
      <w:r>
        <w:rPr>
          <w:rFonts w:ascii="Verdana" w:eastAsia="Calibri" w:hAnsi="Verdana" w:cs="Arial"/>
          <w:lang w:val="es-ES"/>
        </w:rPr>
        <w:t>p</w:t>
      </w:r>
      <w:r w:rsidRPr="009C7865">
        <w:rPr>
          <w:rFonts w:ascii="Verdana" w:eastAsia="Calibri" w:hAnsi="Verdana" w:cs="Arial"/>
          <w:lang w:val="es-ES"/>
        </w:rPr>
        <w:t xml:space="preserve">liego de </w:t>
      </w:r>
      <w:r>
        <w:rPr>
          <w:rFonts w:ascii="Verdana" w:eastAsia="Calibri" w:hAnsi="Verdana" w:cs="Arial"/>
          <w:lang w:val="es-ES"/>
        </w:rPr>
        <w:lastRenderedPageBreak/>
        <w:t>c</w:t>
      </w:r>
      <w:r w:rsidRPr="009C7865">
        <w:rPr>
          <w:rFonts w:ascii="Verdana" w:eastAsia="Calibri" w:hAnsi="Verdana" w:cs="Arial"/>
          <w:lang w:val="es-ES"/>
        </w:rPr>
        <w:t xml:space="preserve">ondiciones y en el contrato, sin perjuicio de las limitaciones establecidas por la </w:t>
      </w:r>
      <w:r w:rsidRPr="00F21C12">
        <w:rPr>
          <w:rFonts w:ascii="Verdana" w:eastAsia="Calibri" w:hAnsi="Verdana" w:cs="Arial"/>
          <w:lang w:val="es-ES"/>
        </w:rPr>
        <w:t>ley</w:t>
      </w:r>
      <w:r w:rsidRPr="00F21C12">
        <w:rPr>
          <w:rStyle w:val="Refdenotaalpie"/>
          <w:rFonts w:ascii="Verdana" w:eastAsia="Calibri" w:hAnsi="Verdana" w:cs="Arial"/>
          <w:lang w:val="es-ES"/>
        </w:rPr>
        <w:footnoteReference w:id="11"/>
      </w:r>
      <w:r w:rsidRPr="00F21C12">
        <w:rPr>
          <w:rFonts w:ascii="Verdana" w:eastAsia="Calibri" w:hAnsi="Verdana" w:cs="Arial"/>
          <w:lang w:val="es-ES"/>
        </w:rPr>
        <w:t>. De</w:t>
      </w:r>
      <w:r w:rsidRPr="009C7865">
        <w:rPr>
          <w:rFonts w:ascii="Verdana" w:eastAsia="Calibri" w:hAnsi="Verdana" w:cs="Arial"/>
          <w:lang w:val="es-ES"/>
        </w:rPr>
        <w:t xml:space="preserve"> esta manera, su configuración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su autorización o sin el cumplimiento de la condición establecida en el negocio jurídico.</w:t>
      </w:r>
      <w:r w:rsidRPr="009C7865">
        <w:rPr>
          <w:rFonts w:ascii="Verdana" w:eastAsia="Arial MT" w:hAnsi="Verdana" w:cs="Arial MT"/>
          <w:lang w:val="es-ES"/>
        </w:rPr>
        <w:t xml:space="preserve"> Por su parte, si en el contrato no se estipula esta figura, se entiende que en principio está permitida y,</w:t>
      </w:r>
      <w:r w:rsidRPr="009C7865">
        <w:rPr>
          <w:rFonts w:ascii="Verdana" w:eastAsia="Arial MT" w:hAnsi="Verdana" w:cs="Arial MT"/>
          <w:spacing w:val="1"/>
          <w:lang w:val="es-ES"/>
        </w:rPr>
        <w:t xml:space="preserve"> </w:t>
      </w:r>
      <w:r w:rsidRPr="009C7865">
        <w:rPr>
          <w:rFonts w:ascii="Verdana" w:eastAsia="Arial MT" w:hAnsi="Verdana" w:cs="Arial MT"/>
          <w:lang w:val="es-ES"/>
        </w:rPr>
        <w:t>por tanto, el contratista podrá subcontratar parcialmente con fundamento en la libertad de</w:t>
      </w:r>
      <w:r w:rsidRPr="009C7865">
        <w:rPr>
          <w:rFonts w:ascii="Verdana" w:eastAsia="Arial MT" w:hAnsi="Verdana" w:cs="Arial MT"/>
          <w:spacing w:val="1"/>
          <w:lang w:val="es-ES"/>
        </w:rPr>
        <w:t xml:space="preserve"> </w:t>
      </w:r>
      <w:r w:rsidRPr="009C7865">
        <w:rPr>
          <w:rFonts w:ascii="Verdana" w:eastAsia="Arial MT" w:hAnsi="Verdana" w:cs="Arial MT"/>
          <w:lang w:val="es-ES"/>
        </w:rPr>
        <w:t>empresa,</w:t>
      </w:r>
      <w:r w:rsidRPr="009C7865">
        <w:rPr>
          <w:rFonts w:ascii="Verdana" w:eastAsia="Arial MT" w:hAnsi="Verdana" w:cs="Arial MT"/>
          <w:spacing w:val="-2"/>
          <w:lang w:val="es-ES"/>
        </w:rPr>
        <w:t xml:space="preserve"> </w:t>
      </w:r>
      <w:r w:rsidRPr="009C7865">
        <w:rPr>
          <w:rFonts w:ascii="Verdana" w:eastAsia="Arial MT" w:hAnsi="Verdana" w:cs="Arial MT"/>
          <w:lang w:val="es-ES"/>
        </w:rPr>
        <w:t>sin</w:t>
      </w:r>
      <w:r w:rsidRPr="009C7865">
        <w:rPr>
          <w:rFonts w:ascii="Verdana" w:eastAsia="Arial MT" w:hAnsi="Verdana" w:cs="Arial MT"/>
          <w:spacing w:val="-2"/>
          <w:lang w:val="es-ES"/>
        </w:rPr>
        <w:t xml:space="preserve"> </w:t>
      </w:r>
      <w:r w:rsidRPr="009C7865">
        <w:rPr>
          <w:rFonts w:ascii="Verdana" w:eastAsia="Arial MT" w:hAnsi="Verdana" w:cs="Arial MT"/>
          <w:lang w:val="es-ES"/>
        </w:rPr>
        <w:t>perjuicio</w:t>
      </w:r>
      <w:r w:rsidRPr="009C7865">
        <w:rPr>
          <w:rFonts w:ascii="Verdana" w:eastAsia="Arial MT" w:hAnsi="Verdana" w:cs="Arial MT"/>
          <w:spacing w:val="-2"/>
          <w:lang w:val="es-ES"/>
        </w:rPr>
        <w:t xml:space="preserve"> </w:t>
      </w:r>
      <w:r w:rsidRPr="009C7865">
        <w:rPr>
          <w:rFonts w:ascii="Verdana" w:eastAsia="Arial MT" w:hAnsi="Verdana" w:cs="Arial MT"/>
          <w:lang w:val="es-ES"/>
        </w:rPr>
        <w:t>de</w:t>
      </w:r>
      <w:r w:rsidRPr="009C7865">
        <w:rPr>
          <w:rFonts w:ascii="Verdana" w:eastAsia="Arial MT" w:hAnsi="Verdana" w:cs="Arial MT"/>
          <w:spacing w:val="-1"/>
          <w:lang w:val="es-ES"/>
        </w:rPr>
        <w:t xml:space="preserve"> </w:t>
      </w:r>
      <w:r w:rsidRPr="009C7865">
        <w:rPr>
          <w:rFonts w:ascii="Verdana" w:eastAsia="Arial MT" w:hAnsi="Verdana" w:cs="Arial MT"/>
          <w:lang w:val="es-ES"/>
        </w:rPr>
        <w:t>las</w:t>
      </w:r>
      <w:r w:rsidRPr="009C7865">
        <w:rPr>
          <w:rFonts w:ascii="Verdana" w:eastAsia="Arial MT" w:hAnsi="Verdana" w:cs="Arial MT"/>
          <w:spacing w:val="-2"/>
          <w:lang w:val="es-ES"/>
        </w:rPr>
        <w:t xml:space="preserve"> </w:t>
      </w:r>
      <w:r w:rsidRPr="009C7865">
        <w:rPr>
          <w:rFonts w:ascii="Verdana" w:eastAsia="Arial MT" w:hAnsi="Verdana" w:cs="Arial MT"/>
          <w:lang w:val="es-ES"/>
        </w:rPr>
        <w:t>limitaciones</w:t>
      </w:r>
      <w:r w:rsidRPr="009C7865">
        <w:rPr>
          <w:rFonts w:ascii="Verdana" w:eastAsia="Arial MT" w:hAnsi="Verdana" w:cs="Arial MT"/>
          <w:spacing w:val="-2"/>
          <w:lang w:val="es-ES"/>
        </w:rPr>
        <w:t xml:space="preserve"> </w:t>
      </w:r>
      <w:r w:rsidRPr="009C7865">
        <w:rPr>
          <w:rFonts w:ascii="Verdana" w:eastAsia="Arial MT" w:hAnsi="Verdana" w:cs="Arial MT"/>
          <w:lang w:val="es-ES"/>
        </w:rPr>
        <w:t>establecidas</w:t>
      </w:r>
      <w:r w:rsidRPr="009C7865">
        <w:rPr>
          <w:rFonts w:ascii="Verdana" w:eastAsia="Arial MT" w:hAnsi="Verdana" w:cs="Arial MT"/>
          <w:spacing w:val="-1"/>
          <w:lang w:val="es-ES"/>
        </w:rPr>
        <w:t xml:space="preserve"> </w:t>
      </w:r>
      <w:r w:rsidRPr="009C7865">
        <w:rPr>
          <w:rFonts w:ascii="Verdana" w:eastAsia="Arial MT" w:hAnsi="Verdana" w:cs="Arial MT"/>
          <w:lang w:val="es-ES"/>
        </w:rPr>
        <w:t>por</w:t>
      </w:r>
      <w:r w:rsidRPr="009C7865">
        <w:rPr>
          <w:rFonts w:ascii="Verdana" w:eastAsia="Arial MT" w:hAnsi="Verdana" w:cs="Arial MT"/>
          <w:spacing w:val="-2"/>
          <w:lang w:val="es-ES"/>
        </w:rPr>
        <w:t xml:space="preserve"> </w:t>
      </w:r>
      <w:r w:rsidRPr="009C7865">
        <w:rPr>
          <w:rFonts w:ascii="Verdana" w:eastAsia="Arial MT" w:hAnsi="Verdana" w:cs="Arial MT"/>
          <w:lang w:val="es-ES"/>
        </w:rPr>
        <w:t>ley.</w:t>
      </w:r>
    </w:p>
    <w:p w14:paraId="36328ED0" w14:textId="77777777" w:rsidR="00363C7E" w:rsidRDefault="00363C7E" w:rsidP="00363C7E">
      <w:pPr>
        <w:spacing w:before="120" w:after="120" w:line="276" w:lineRule="auto"/>
        <w:ind w:firstLine="709"/>
        <w:jc w:val="both"/>
        <w:rPr>
          <w:rFonts w:ascii="Verdana" w:eastAsia="Calibri" w:hAnsi="Verdana" w:cs="Arial"/>
        </w:rPr>
      </w:pPr>
      <w:r w:rsidRPr="009C7865">
        <w:rPr>
          <w:rFonts w:ascii="Verdana" w:eastAsia="Calibri" w:hAnsi="Verdana" w:cs="Arial"/>
        </w:rPr>
        <w:t xml:space="preserve">Aunque el subcontrato es un contrato autónomo e independiente del contrato principal, en materia de contratación estatal, es recomendable –en ciertos eventos–, que las Entidades Estatales, exijan en el contrato la autorización previa y expresa para la subcontratación. Esto permite a la Entidad Estatal controlar las condiciones bajo las cuales se ejecutará el contrato, asegurar el cumplimiento de este bajo un esquema de transparencia y garantizar que no se infrinjan los principios de la contratación estatal. </w:t>
      </w:r>
    </w:p>
    <w:p w14:paraId="4C9D8765" w14:textId="77777777" w:rsidR="00363C7E" w:rsidRDefault="00363C7E" w:rsidP="00363C7E">
      <w:pPr>
        <w:spacing w:after="0" w:line="276" w:lineRule="auto"/>
        <w:ind w:firstLine="709"/>
        <w:jc w:val="both"/>
        <w:rPr>
          <w:rFonts w:ascii="Verdana" w:eastAsia="Calibri" w:hAnsi="Verdana" w:cs="Arial"/>
        </w:rPr>
      </w:pPr>
      <w:r w:rsidRPr="009C7865">
        <w:rPr>
          <w:rFonts w:ascii="Verdana" w:eastAsia="Calibri" w:hAnsi="Verdana" w:cs="Arial"/>
        </w:rPr>
        <w:t xml:space="preserve">De esta manera, la autorización de la entidad contratante es importante –aunque no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respetar esta estipulación, so pena de un posible incumplimiento del contrato. Así las cosas, </w:t>
      </w:r>
      <w:r w:rsidRPr="009C7865">
        <w:rPr>
          <w:rFonts w:ascii="Verdana" w:eastAsia="Calibri" w:hAnsi="Verdana" w:cs="Arial"/>
          <w:bCs/>
        </w:rPr>
        <w:t>se colige que,</w:t>
      </w:r>
      <w:r w:rsidRPr="009C7865">
        <w:rPr>
          <w:rFonts w:ascii="Verdana" w:eastAsia="Calibri" w:hAnsi="Verdana" w:cs="Arial"/>
          <w:lang w:val="es-ES"/>
        </w:rPr>
        <w:t xml:space="preserve"> </w:t>
      </w:r>
      <w:bookmarkStart w:id="5" w:name="_Hlk113478384"/>
      <w:r w:rsidRPr="009C7865">
        <w:rPr>
          <w:rFonts w:ascii="Verdana" w:eastAsia="Calibri" w:hAnsi="Verdana" w:cs="Arial"/>
          <w:lang w:val="es-ES"/>
        </w:rPr>
        <w:t xml:space="preserve">aunque hay ausencia de regulación específica de la subcontratación, </w:t>
      </w:r>
      <w:r w:rsidRPr="009C7865">
        <w:rPr>
          <w:rFonts w:ascii="Verdana" w:eastAsia="Calibri" w:hAnsi="Verdana" w:cs="Arial"/>
          <w:bCs/>
        </w:rPr>
        <w:t>esta no se encuentra proscrita en materia de contratación pública; pero sí encuentra l</w:t>
      </w:r>
      <w:r>
        <w:rPr>
          <w:rFonts w:ascii="Verdana" w:eastAsia="Calibri" w:hAnsi="Verdana" w:cs="Arial"/>
          <w:bCs/>
        </w:rPr>
        <w:t>í</w:t>
      </w:r>
      <w:r w:rsidRPr="009C7865">
        <w:rPr>
          <w:rFonts w:ascii="Verdana" w:eastAsia="Calibri" w:hAnsi="Verdana" w:cs="Arial"/>
          <w:bCs/>
        </w:rPr>
        <w:t xml:space="preserve">mites </w:t>
      </w:r>
      <w:r>
        <w:rPr>
          <w:rFonts w:ascii="Verdana" w:eastAsia="Calibri" w:hAnsi="Verdana" w:cs="Arial"/>
          <w:bCs/>
        </w:rPr>
        <w:t xml:space="preserve">para </w:t>
      </w:r>
      <w:r w:rsidRPr="009C7865">
        <w:rPr>
          <w:rFonts w:ascii="Verdana" w:eastAsia="Calibri" w:hAnsi="Verdana" w:cs="Arial"/>
          <w:bCs/>
        </w:rPr>
        <w:t xml:space="preserve">su aplicación en </w:t>
      </w:r>
      <w:bookmarkStart w:id="6" w:name="_Hlk113472119"/>
      <w:r w:rsidRPr="009C7865">
        <w:rPr>
          <w:rFonts w:ascii="Verdana" w:eastAsia="Calibri" w:hAnsi="Verdana" w:cs="Arial"/>
          <w:bCs/>
        </w:rPr>
        <w:t>el principio de la autonomía de la voluntad, representada en lo pactado en el contrato principal</w:t>
      </w:r>
      <w:bookmarkEnd w:id="6"/>
      <w:r w:rsidRPr="009C7865">
        <w:rPr>
          <w:rFonts w:ascii="Verdana" w:eastAsia="Calibri" w:hAnsi="Verdana" w:cs="Arial"/>
          <w:bCs/>
        </w:rPr>
        <w:t>, y en algunas normas específicas</w:t>
      </w:r>
      <w:bookmarkEnd w:id="5"/>
      <w:r w:rsidRPr="009C7865">
        <w:rPr>
          <w:rFonts w:ascii="Verdana" w:eastAsia="Calibri" w:hAnsi="Verdana" w:cs="Arial"/>
        </w:rPr>
        <w:t xml:space="preserve">. </w:t>
      </w:r>
    </w:p>
    <w:p w14:paraId="5260129E" w14:textId="77777777" w:rsidR="00363C7E" w:rsidRDefault="00363C7E" w:rsidP="00363C7E">
      <w:pPr>
        <w:spacing w:after="0" w:line="276" w:lineRule="auto"/>
        <w:jc w:val="both"/>
        <w:rPr>
          <w:rFonts w:ascii="Verdana" w:eastAsia="Calibri" w:hAnsi="Verdana" w:cs="Arial"/>
        </w:rPr>
      </w:pPr>
    </w:p>
    <w:p w14:paraId="4AB72AF0" w14:textId="77777777" w:rsidR="00363C7E" w:rsidRDefault="00363C7E" w:rsidP="00363C7E">
      <w:pPr>
        <w:spacing w:after="120" w:line="276" w:lineRule="auto"/>
        <w:jc w:val="both"/>
        <w:rPr>
          <w:rFonts w:ascii="Verdana" w:eastAsia="Calibri" w:hAnsi="Verdana" w:cs="Arial"/>
          <w:lang w:val="es-ES"/>
        </w:rPr>
      </w:pPr>
      <w:proofErr w:type="spellStart"/>
      <w:r>
        <w:rPr>
          <w:rFonts w:ascii="Verdana" w:eastAsia="Calibri" w:hAnsi="Verdana" w:cs="Arial"/>
        </w:rPr>
        <w:t>iii</w:t>
      </w:r>
      <w:proofErr w:type="spellEnd"/>
      <w:r>
        <w:rPr>
          <w:rFonts w:ascii="Verdana" w:eastAsia="Calibri" w:hAnsi="Verdana" w:cs="Arial"/>
        </w:rPr>
        <w:t>.</w:t>
      </w:r>
      <w:r>
        <w:rPr>
          <w:rFonts w:ascii="Verdana" w:eastAsia="Calibri" w:hAnsi="Verdana" w:cs="Arial"/>
          <w:lang w:val="es-ES"/>
        </w:rPr>
        <w:t xml:space="preserve"> La subcontratación es distinta a la cesión del contrato. En el primer caso, a diferencia del segundo, no existe </w:t>
      </w:r>
      <w:r w:rsidRPr="00401D25">
        <w:rPr>
          <w:rFonts w:ascii="Verdana" w:eastAsia="Calibri" w:hAnsi="Verdana" w:cs="Arial"/>
          <w:lang w:val="es-ES"/>
        </w:rPr>
        <w:t xml:space="preserve">traslado de la posición contractual de una parte </w:t>
      </w:r>
      <w:r w:rsidRPr="00401D25">
        <w:rPr>
          <w:rFonts w:ascii="Verdana" w:eastAsia="Calibri" w:hAnsi="Verdana" w:cs="Arial"/>
          <w:lang w:val="es-ES"/>
        </w:rPr>
        <w:lastRenderedPageBreak/>
        <w:t>a otra</w:t>
      </w:r>
      <w:r>
        <w:rPr>
          <w:rFonts w:ascii="Verdana" w:eastAsia="Calibri" w:hAnsi="Verdana" w:cs="Arial"/>
          <w:lang w:val="es-ES"/>
        </w:rPr>
        <w:t xml:space="preserve">; por ello, en la subcontratación, </w:t>
      </w:r>
      <w:r w:rsidRPr="00401D25">
        <w:rPr>
          <w:rFonts w:ascii="Verdana" w:eastAsia="Calibri" w:hAnsi="Verdana" w:cs="Arial"/>
          <w:lang w:val="es-ES"/>
        </w:rPr>
        <w:t>al contrato principal se le suma un nuevo acuerdo, cuyo propósito es establecer relaciones jurídicas que se derivan del contrato original</w:t>
      </w:r>
      <w:r>
        <w:rPr>
          <w:rStyle w:val="Refdenotaalpie"/>
          <w:rFonts w:ascii="Verdana" w:eastAsia="Calibri" w:hAnsi="Verdana" w:cs="Arial"/>
          <w:lang w:val="es-ES"/>
        </w:rPr>
        <w:footnoteReference w:id="12"/>
      </w:r>
      <w:r>
        <w:rPr>
          <w:rFonts w:ascii="Verdana" w:eastAsia="Calibri" w:hAnsi="Verdana" w:cs="Arial"/>
          <w:lang w:val="es-ES"/>
        </w:rPr>
        <w:t>. Sin embargo, la aplicación de ambas figuras requiere que tanto el subcontrato como la cesión recaigan sobre un tercero ajeno a la relación originaria</w:t>
      </w:r>
      <w:r>
        <w:rPr>
          <w:rStyle w:val="Refdenotaalpie"/>
          <w:rFonts w:ascii="Verdana" w:eastAsia="Calibri" w:hAnsi="Verdana" w:cs="Arial"/>
          <w:lang w:val="es-ES"/>
        </w:rPr>
        <w:footnoteReference w:id="13"/>
      </w:r>
      <w:r>
        <w:rPr>
          <w:rFonts w:ascii="Verdana" w:eastAsia="Calibri" w:hAnsi="Verdana" w:cs="Arial"/>
          <w:lang w:val="es-ES"/>
        </w:rPr>
        <w:t xml:space="preserve">. </w:t>
      </w:r>
    </w:p>
    <w:p w14:paraId="6FF71678" w14:textId="77777777" w:rsidR="00363C7E" w:rsidRPr="004C544B" w:rsidRDefault="00363C7E" w:rsidP="00363C7E">
      <w:pPr>
        <w:tabs>
          <w:tab w:val="left" w:pos="709"/>
        </w:tabs>
        <w:spacing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w:t>
      </w:r>
      <w:r w:rsidRPr="004C544B">
        <w:rPr>
          <w:rFonts w:ascii="Verdana" w:eastAsia="Calibri" w:hAnsi="Verdana" w:cs="Arial"/>
          <w:color w:val="000000" w:themeColor="text1"/>
        </w:rPr>
        <w:t>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En esta última hipótesis, para la doctrina no existe un tercero como requisito de la cesión, y agrega lo siguiente:</w:t>
      </w:r>
    </w:p>
    <w:p w14:paraId="7525FF43" w14:textId="77777777" w:rsidR="00363C7E" w:rsidRPr="004C544B" w:rsidRDefault="00363C7E" w:rsidP="00363C7E">
      <w:pPr>
        <w:tabs>
          <w:tab w:val="left" w:pos="709"/>
        </w:tabs>
        <w:spacing w:after="0" w:line="276" w:lineRule="auto"/>
        <w:jc w:val="both"/>
        <w:rPr>
          <w:rFonts w:ascii="Verdana" w:eastAsia="Calibri" w:hAnsi="Verdana" w:cs="Arial"/>
          <w:color w:val="000000" w:themeColor="text1"/>
        </w:rPr>
      </w:pPr>
    </w:p>
    <w:p w14:paraId="4DBEAF57" w14:textId="77777777" w:rsidR="00363C7E" w:rsidRPr="004C544B" w:rsidRDefault="00363C7E" w:rsidP="00363C7E">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xml:space="preserve">“[…] supóngase que no existiera la restricción aludida; en este caso tampoco es válida la cesión en un integrante de un consorcio o unión temporal dado que los consorcios o uniones temporales no tienen personalidad jurídica, sino solo capacidad para celebrar contratos estatales, en virtud de la habilitación contenida en el artículo 6 de la Ley 80 de 1993. </w:t>
      </w:r>
      <w:r w:rsidRPr="00CD2159">
        <w:rPr>
          <w:rFonts w:ascii="Verdana" w:eastAsia="Calibri" w:hAnsi="Verdana" w:cs="Arial"/>
          <w:i/>
          <w:iCs/>
          <w:color w:val="000000" w:themeColor="text1"/>
          <w:sz w:val="21"/>
          <w:szCs w:val="21"/>
        </w:rPr>
        <w:t xml:space="preserve">En estos casos se está en presencia, por tanto, de un contratista plural; esto es, la calidad de contratista se predica de cada uno de los integrantes del consorcio o unión temporal, de allí que […] </w:t>
      </w:r>
      <w:r w:rsidRPr="00CD2159">
        <w:rPr>
          <w:rFonts w:ascii="Verdana" w:eastAsia="Calibri" w:hAnsi="Verdana" w:cs="Arial"/>
          <w:i/>
          <w:iCs/>
          <w:color w:val="000000" w:themeColor="text1"/>
          <w:sz w:val="21"/>
          <w:szCs w:val="21"/>
        </w:rPr>
        <w:lastRenderedPageBreak/>
        <w:t>no es válida la cesión en el propio contratista</w:t>
      </w:r>
      <w:r w:rsidRPr="004C544B">
        <w:rPr>
          <w:rFonts w:ascii="Verdana" w:eastAsia="Calibri" w:hAnsi="Verdana" w:cs="Arial"/>
          <w:color w:val="000000" w:themeColor="text1"/>
          <w:sz w:val="21"/>
          <w:szCs w:val="21"/>
        </w:rPr>
        <w:t>”</w:t>
      </w:r>
      <w:r w:rsidRPr="004C544B">
        <w:rPr>
          <w:rStyle w:val="Refdenotaalpie"/>
          <w:rFonts w:ascii="Verdana" w:eastAsia="Calibri" w:hAnsi="Verdana" w:cs="Arial"/>
          <w:color w:val="000000" w:themeColor="text1"/>
          <w:sz w:val="21"/>
          <w:szCs w:val="21"/>
        </w:rPr>
        <w:footnoteReference w:id="14"/>
      </w:r>
      <w:r w:rsidRPr="004C544B">
        <w:rPr>
          <w:rFonts w:ascii="Verdana" w:eastAsia="Calibri" w:hAnsi="Verdana" w:cs="Arial"/>
          <w:color w:val="000000" w:themeColor="text1"/>
          <w:sz w:val="21"/>
          <w:szCs w:val="21"/>
        </w:rPr>
        <w:t xml:space="preserve">. </w:t>
      </w:r>
      <w:r>
        <w:rPr>
          <w:rFonts w:ascii="Verdana" w:eastAsia="Calibri" w:hAnsi="Verdana" w:cs="Arial"/>
          <w:color w:val="000000" w:themeColor="text1"/>
          <w:sz w:val="21"/>
          <w:szCs w:val="21"/>
        </w:rPr>
        <w:t>(Énfasis fuera de texto)</w:t>
      </w:r>
      <w:r w:rsidRPr="004C544B">
        <w:rPr>
          <w:rFonts w:ascii="Verdana" w:eastAsia="Calibri" w:hAnsi="Verdana" w:cs="Arial"/>
          <w:color w:val="000000" w:themeColor="text1"/>
          <w:sz w:val="21"/>
          <w:szCs w:val="21"/>
        </w:rPr>
        <w:t xml:space="preserve">  </w:t>
      </w:r>
    </w:p>
    <w:p w14:paraId="27597C24" w14:textId="77777777" w:rsidR="00363C7E" w:rsidRPr="004C544B" w:rsidRDefault="00363C7E" w:rsidP="00363C7E">
      <w:pPr>
        <w:tabs>
          <w:tab w:val="left" w:pos="709"/>
        </w:tabs>
        <w:spacing w:after="0" w:line="276" w:lineRule="auto"/>
        <w:ind w:firstLine="709"/>
        <w:jc w:val="both"/>
        <w:rPr>
          <w:rFonts w:ascii="Verdana" w:eastAsia="Calibri" w:hAnsi="Verdana" w:cs="Arial"/>
          <w:color w:val="000000" w:themeColor="text1"/>
        </w:rPr>
      </w:pPr>
    </w:p>
    <w:p w14:paraId="2EFC3B42" w14:textId="77777777" w:rsidR="00363C7E" w:rsidRDefault="00363C7E" w:rsidP="00363C7E">
      <w:pPr>
        <w:spacing w:line="276" w:lineRule="auto"/>
        <w:ind w:right="51" w:firstLine="709"/>
        <w:jc w:val="both"/>
        <w:rPr>
          <w:rFonts w:ascii="Verdana" w:eastAsia="Calibri" w:hAnsi="Verdana" w:cs="Arial"/>
          <w:color w:val="000000" w:themeColor="text1"/>
        </w:rPr>
      </w:pPr>
      <w:r>
        <w:rPr>
          <w:rFonts w:ascii="Verdana" w:eastAsia="Calibri" w:hAnsi="Verdana" w:cs="Arial"/>
          <w:color w:val="000000" w:themeColor="text1"/>
        </w:rPr>
        <w:t xml:space="preserve">De esta manera, si está prohibida la cesión entre quienes integren el proponente plural, significa que está permitida la cesión de sus integrantes a un tercero distinto a los miembros del consorcio o la unión temporal. Este razonamiento es aplicable </w:t>
      </w:r>
      <w:r w:rsidRPr="000D0793">
        <w:rPr>
          <w:rFonts w:ascii="Verdana" w:eastAsia="Calibri" w:hAnsi="Verdana" w:cs="Arial"/>
          <w:i/>
          <w:iCs/>
          <w:color w:val="000000" w:themeColor="text1"/>
        </w:rPr>
        <w:t>mutatis mutandis</w:t>
      </w:r>
      <w:r>
        <w:rPr>
          <w:rFonts w:ascii="Verdana" w:eastAsia="Calibri" w:hAnsi="Verdana" w:cs="Arial"/>
          <w:color w:val="000000" w:themeColor="text1"/>
        </w:rPr>
        <w:t xml:space="preserve"> a la subcontratación, pues también depende de la existencia de un tercero. En este caso, no es posible que los integrantes de la estructura plural conformen el consorcio o la unión temporal y, de manera simultánea, uno o varios de aquellos tengan la calidad de subcontratistas. Pensar lo contrario resulta absurdo de cara al principio lógico de no contradicción, criterio bajo el cual “</w:t>
      </w:r>
      <w:r w:rsidRPr="00386BAE">
        <w:rPr>
          <w:rFonts w:ascii="Verdana" w:eastAsia="Calibri" w:hAnsi="Verdana" w:cs="Arial"/>
          <w:color w:val="000000" w:themeColor="text1"/>
        </w:rPr>
        <w:t>Una cosa no puede ser ella misma y su contrario, en el mismo aspecto y en el mismo momento</w:t>
      </w:r>
      <w:r>
        <w:rPr>
          <w:rFonts w:ascii="Verdana" w:eastAsia="Calibri" w:hAnsi="Verdana" w:cs="Arial"/>
          <w:color w:val="000000" w:themeColor="text1"/>
        </w:rPr>
        <w:t xml:space="preserve">”. </w:t>
      </w:r>
    </w:p>
    <w:p w14:paraId="1D7A2613" w14:textId="77777777" w:rsidR="00363C7E" w:rsidRDefault="00363C7E" w:rsidP="00363C7E">
      <w:pPr>
        <w:spacing w:after="0" w:line="276" w:lineRule="auto"/>
        <w:ind w:right="51" w:firstLine="709"/>
        <w:jc w:val="both"/>
        <w:rPr>
          <w:rFonts w:ascii="Verdana" w:eastAsia="Calibri" w:hAnsi="Verdana" w:cs="Arial"/>
          <w:color w:val="000000" w:themeColor="text1"/>
        </w:rPr>
      </w:pPr>
      <w:r>
        <w:rPr>
          <w:rFonts w:ascii="Verdana" w:eastAsia="Calibri" w:hAnsi="Verdana" w:cs="Arial"/>
          <w:color w:val="000000" w:themeColor="text1"/>
        </w:rPr>
        <w:t xml:space="preserve">Esto significa que quien ocupa la posición de parte en el negocio jurídico, por exclusión, no puede tener la naturaleza de tercero para efectos de la subcontratación. Por tanto, desde el punto de vista de los sujetos, la calidad de tercero corresponde a </w:t>
      </w:r>
      <w:r w:rsidRPr="007A04EE">
        <w:rPr>
          <w:rFonts w:ascii="Verdana" w:eastAsia="Calibri" w:hAnsi="Verdana" w:cs="Arial"/>
          <w:color w:val="000000" w:themeColor="text1"/>
        </w:rPr>
        <w:t>cualquier persona distinta al contratista o a los integrantes del consorcio o unión temporal y a la entidad estatal contratante</w:t>
      </w:r>
      <w:r>
        <w:rPr>
          <w:rStyle w:val="Refdenotaalpie"/>
          <w:rFonts w:ascii="Verdana" w:eastAsia="Calibri" w:hAnsi="Verdana" w:cs="Arial"/>
          <w:color w:val="000000" w:themeColor="text1"/>
        </w:rPr>
        <w:footnoteReference w:id="15"/>
      </w:r>
      <w:r>
        <w:rPr>
          <w:rFonts w:ascii="Verdana" w:eastAsia="Calibri" w:hAnsi="Verdana" w:cs="Arial"/>
          <w:color w:val="000000" w:themeColor="text1"/>
        </w:rPr>
        <w:t xml:space="preserve">. En este contexto, sólo la experiencia adquirida por lo integrantes del proponente plural puede acreditarse en otros procesos de selección, pues –por sustracción de materia– no pueden fungir como subcontratistas del consorcio o unión temporal del que hacen parte.  </w:t>
      </w:r>
    </w:p>
    <w:p w14:paraId="72136B3C" w14:textId="77777777" w:rsidR="00363C7E" w:rsidRPr="00092EDE" w:rsidRDefault="00363C7E" w:rsidP="00363C7E">
      <w:pPr>
        <w:spacing w:after="0" w:line="276" w:lineRule="auto"/>
        <w:ind w:right="51" w:firstLine="709"/>
        <w:jc w:val="both"/>
        <w:rPr>
          <w:rFonts w:ascii="Verdana" w:eastAsia="Calibri" w:hAnsi="Verdana" w:cs="Arial"/>
          <w:color w:val="000000" w:themeColor="text1"/>
        </w:rPr>
      </w:pPr>
    </w:p>
    <w:p w14:paraId="6E05CFCF" w14:textId="77777777" w:rsidR="00363C7E" w:rsidRDefault="00363C7E" w:rsidP="00363C7E">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0023181" w14:textId="77777777" w:rsidR="00363C7E" w:rsidRPr="00185EE9" w:rsidRDefault="00363C7E" w:rsidP="00363C7E">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lastRenderedPageBreak/>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1F322511" w14:textId="77777777" w:rsidR="00363C7E" w:rsidRPr="00182C89" w:rsidRDefault="00363C7E" w:rsidP="00363C7E">
      <w:pPr>
        <w:tabs>
          <w:tab w:val="left" w:pos="709"/>
        </w:tabs>
        <w:spacing w:after="0" w:line="276" w:lineRule="auto"/>
        <w:jc w:val="both"/>
        <w:rPr>
          <w:rFonts w:ascii="Verdana" w:eastAsia="Calibri" w:hAnsi="Verdana" w:cs="Arial"/>
          <w:color w:val="000000" w:themeColor="text1"/>
        </w:rPr>
      </w:pPr>
    </w:p>
    <w:p w14:paraId="61C4B2BF" w14:textId="77777777" w:rsidR="00363C7E" w:rsidRPr="00593A5F" w:rsidRDefault="00363C7E" w:rsidP="00363C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20A44B8" w14:textId="77777777" w:rsidR="00363C7E" w:rsidRPr="00593A5F" w:rsidRDefault="00363C7E" w:rsidP="00363C7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63C7E" w:rsidRPr="002407CE" w14:paraId="2D02E7CB" w14:textId="77777777" w:rsidTr="00F626C8">
        <w:trPr>
          <w:trHeight w:val="870"/>
          <w:jc w:val="center"/>
        </w:trPr>
        <w:tc>
          <w:tcPr>
            <w:tcW w:w="8647" w:type="dxa"/>
          </w:tcPr>
          <w:p w14:paraId="6EFB1FEE" w14:textId="77777777" w:rsidR="00363C7E" w:rsidRPr="008823C6" w:rsidRDefault="00363C7E" w:rsidP="00F626C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80 de 1993, artículos 6, 7, 9 y 32.</w:t>
            </w:r>
          </w:p>
          <w:p w14:paraId="3304EC8A" w14:textId="77777777" w:rsidR="00363C7E" w:rsidRPr="008823C6" w:rsidRDefault="00363C7E" w:rsidP="00F626C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1150 de 2007, artículo 2.</w:t>
            </w:r>
          </w:p>
          <w:p w14:paraId="5EF3465E" w14:textId="77777777" w:rsidR="00363C7E" w:rsidRDefault="00363C7E" w:rsidP="00F626C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8823C6">
              <w:rPr>
                <w:rFonts w:ascii="Verdana" w:hAnsi="Verdana" w:cs="Arial"/>
                <w:color w:val="000000" w:themeColor="text1"/>
                <w:lang w:val="es-ES_tradnl"/>
              </w:rPr>
              <w:t>Decreto 1082 de 2015</w:t>
            </w:r>
            <w:r>
              <w:rPr>
                <w:rFonts w:ascii="Verdana" w:hAnsi="Verdana" w:cs="Arial"/>
                <w:color w:val="000000" w:themeColor="text1"/>
                <w:lang w:val="es-ES_tradnl"/>
              </w:rPr>
              <w:t xml:space="preserve">, artículo </w:t>
            </w:r>
            <w:r w:rsidRPr="008823C6">
              <w:rPr>
                <w:rFonts w:ascii="Verdana" w:hAnsi="Verdana" w:cs="Arial"/>
                <w:color w:val="000000" w:themeColor="text1"/>
                <w:lang w:val="es-ES_tradnl"/>
              </w:rPr>
              <w:t>2.2.1.2.3.1.5</w:t>
            </w:r>
            <w:r>
              <w:rPr>
                <w:rFonts w:ascii="Verdana" w:hAnsi="Verdana" w:cs="Arial"/>
                <w:color w:val="000000" w:themeColor="text1"/>
                <w:lang w:val="es-ES_tradnl"/>
              </w:rPr>
              <w:t>.</w:t>
            </w:r>
          </w:p>
          <w:p w14:paraId="35DF74FE" w14:textId="77777777" w:rsidR="00363C7E" w:rsidRPr="008823C6" w:rsidRDefault="00363C7E" w:rsidP="00F626C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8823C6">
              <w:rPr>
                <w:rFonts w:ascii="Verdana" w:hAnsi="Verdana" w:cs="Arial"/>
                <w:color w:val="000000" w:themeColor="text1"/>
                <w:lang w:val="es-ES_tradnl"/>
              </w:rPr>
              <w:t>Decreto 092 de 2017</w:t>
            </w:r>
            <w:r>
              <w:rPr>
                <w:rFonts w:ascii="Verdana" w:hAnsi="Verdana" w:cs="Arial"/>
                <w:color w:val="000000" w:themeColor="text1"/>
                <w:lang w:val="es-ES_tradnl"/>
              </w:rPr>
              <w:t>, artículo 7.</w:t>
            </w:r>
          </w:p>
          <w:p w14:paraId="5897FCE1" w14:textId="77777777" w:rsidR="00363C7E" w:rsidRPr="008823C6" w:rsidRDefault="00363C7E" w:rsidP="00F626C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Código Civil, artículos 1502, 1503, 1504.</w:t>
            </w:r>
          </w:p>
          <w:p w14:paraId="59CD1DF3" w14:textId="77777777" w:rsidR="00363C7E" w:rsidRPr="00FF09AA" w:rsidRDefault="00363C7E" w:rsidP="00F626C8">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Código de Comercio, artículo 99.</w:t>
            </w:r>
          </w:p>
        </w:tc>
      </w:tr>
    </w:tbl>
    <w:p w14:paraId="63831B87" w14:textId="77777777" w:rsidR="00363C7E" w:rsidRPr="002407CE" w:rsidRDefault="00363C7E" w:rsidP="00363C7E">
      <w:pPr>
        <w:widowControl w:val="0"/>
        <w:autoSpaceDE w:val="0"/>
        <w:autoSpaceDN w:val="0"/>
        <w:spacing w:after="0" w:line="276" w:lineRule="auto"/>
        <w:jc w:val="both"/>
        <w:rPr>
          <w:rFonts w:ascii="Verdana" w:hAnsi="Verdana" w:cs="Arial"/>
        </w:rPr>
      </w:pPr>
    </w:p>
    <w:p w14:paraId="37C40081" w14:textId="77777777" w:rsidR="00363C7E" w:rsidRPr="00593A5F" w:rsidRDefault="00363C7E" w:rsidP="00363C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554355E" w14:textId="77777777" w:rsidR="00363C7E" w:rsidRPr="00593A5F" w:rsidRDefault="00363C7E" w:rsidP="00363C7E">
      <w:pPr>
        <w:widowControl w:val="0"/>
        <w:autoSpaceDE w:val="0"/>
        <w:autoSpaceDN w:val="0"/>
        <w:spacing w:after="0" w:line="276" w:lineRule="auto"/>
        <w:jc w:val="both"/>
        <w:rPr>
          <w:rFonts w:ascii="Verdana" w:hAnsi="Verdana" w:cs="Arial"/>
        </w:rPr>
      </w:pPr>
    </w:p>
    <w:p w14:paraId="3A90558E" w14:textId="77777777" w:rsidR="00363C7E" w:rsidRPr="00003886" w:rsidRDefault="00363C7E" w:rsidP="00363C7E">
      <w:pPr>
        <w:widowControl w:val="0"/>
        <w:autoSpaceDE w:val="0"/>
        <w:autoSpaceDN w:val="0"/>
        <w:spacing w:after="0" w:line="276" w:lineRule="auto"/>
        <w:jc w:val="both"/>
        <w:rPr>
          <w:rStyle w:val="normaltextrun"/>
          <w:rFonts w:ascii="Verdana" w:hAnsi="Verdana" w:cs="Arial"/>
          <w:shd w:val="clear" w:color="auto" w:fill="FFFFFF"/>
        </w:rPr>
      </w:pPr>
      <w:r w:rsidRPr="00003886">
        <w:rPr>
          <w:rFonts w:ascii="Verdana" w:hAnsi="Verdana" w:cs="Arial"/>
          <w:shd w:val="clear" w:color="auto" w:fill="FFFFFF"/>
        </w:rPr>
        <w:t>Esta Subdirección se ha pronunciado sobre la capacidad jurídica de los consorcios y las uniones temporales en los Conceptos 4201913000007643 del 26 de diciembre de 2019, C-343 del 17 de junio de 2020, C-518 del 9 de septiembre de 2020, C-614 del 5 de octubre de 2022, C-882 del 21 de diciembre de 2022, C-172 del 6 de junio de 2023, C-032 del 16 de abril de 2024</w:t>
      </w:r>
      <w:r>
        <w:rPr>
          <w:rFonts w:ascii="Verdana" w:hAnsi="Verdana" w:cs="Arial"/>
          <w:shd w:val="clear" w:color="auto" w:fill="FFFFFF"/>
        </w:rPr>
        <w:t>,</w:t>
      </w:r>
      <w:r w:rsidRPr="00003886">
        <w:rPr>
          <w:rFonts w:ascii="Verdana" w:hAnsi="Verdana" w:cs="Arial"/>
          <w:shd w:val="clear" w:color="auto" w:fill="FFFFFF"/>
        </w:rPr>
        <w:t xml:space="preserve"> C-100 del 12 de junio de 2024</w:t>
      </w:r>
      <w:r>
        <w:rPr>
          <w:rFonts w:ascii="Verdana" w:hAnsi="Verdana" w:cs="Arial"/>
          <w:shd w:val="clear" w:color="auto" w:fill="FFFFFF"/>
        </w:rPr>
        <w:t xml:space="preserve">, C-238 del 9 de julio de 2024 y C-727 del 28 de octubre de 2024. También </w:t>
      </w:r>
      <w:r w:rsidRPr="004035E6">
        <w:rPr>
          <w:rFonts w:ascii="Verdana" w:hAnsi="Verdana" w:cs="Arial"/>
          <w:shd w:val="clear" w:color="auto" w:fill="FFFFFF"/>
        </w:rPr>
        <w:t>se ha pronunciado sobre el alcance de la subcontratación o contratación derivada en los Conceptos C-599 del 26 de octubre de 2021, C-581 del 16 de septiembre de 2022, C-702 del 9 de noviembre de 2022, C-808 del 25 de noviembre de 2022, C-240 del 14 de septiembre de 2023</w:t>
      </w:r>
      <w:r>
        <w:rPr>
          <w:rFonts w:ascii="Verdana" w:hAnsi="Verdana" w:cs="Arial"/>
          <w:shd w:val="clear" w:color="auto" w:fill="FFFFFF"/>
        </w:rPr>
        <w:t>,</w:t>
      </w:r>
      <w:r w:rsidRPr="004035E6">
        <w:rPr>
          <w:rFonts w:ascii="Verdana" w:hAnsi="Verdana" w:cs="Arial"/>
          <w:shd w:val="clear" w:color="auto" w:fill="FFFFFF"/>
        </w:rPr>
        <w:t xml:space="preserve"> C-444 del 18 de septiembre de 2024</w:t>
      </w:r>
      <w:r>
        <w:rPr>
          <w:rFonts w:ascii="Verdana" w:hAnsi="Verdana" w:cs="Arial"/>
          <w:shd w:val="clear" w:color="auto" w:fill="FFFFFF"/>
        </w:rPr>
        <w:t xml:space="preserve"> y C-794 del 2 de julio de 2025</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E2EEC8C" w14:textId="77777777" w:rsidR="00363C7E" w:rsidRPr="00096788" w:rsidRDefault="00363C7E" w:rsidP="00363C7E">
      <w:pPr>
        <w:widowControl w:val="0"/>
        <w:autoSpaceDE w:val="0"/>
        <w:autoSpaceDN w:val="0"/>
        <w:spacing w:after="0" w:line="276" w:lineRule="auto"/>
        <w:jc w:val="both"/>
        <w:rPr>
          <w:rFonts w:ascii="Verdana" w:hAnsi="Verdana" w:cs="Arial"/>
          <w:color w:val="000000" w:themeColor="text1"/>
          <w:shd w:val="clear" w:color="auto" w:fill="FFFFFF"/>
        </w:rPr>
      </w:pPr>
    </w:p>
    <w:p w14:paraId="79358708" w14:textId="77777777" w:rsidR="00363C7E" w:rsidRPr="001205D1" w:rsidRDefault="00363C7E" w:rsidP="00363C7E">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158A2563" w14:textId="77777777" w:rsidR="00363C7E" w:rsidRPr="009C4035" w:rsidRDefault="00363C7E" w:rsidP="00363C7E">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6FC8F498" w14:textId="77777777" w:rsidR="00363C7E" w:rsidRPr="00593A5F" w:rsidRDefault="00363C7E" w:rsidP="00363C7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B5C5CD0" w14:textId="77777777" w:rsidR="00363C7E" w:rsidRPr="00593A5F" w:rsidRDefault="00363C7E" w:rsidP="00363C7E">
      <w:pPr>
        <w:widowControl w:val="0"/>
        <w:autoSpaceDE w:val="0"/>
        <w:autoSpaceDN w:val="0"/>
        <w:spacing w:after="0" w:line="276" w:lineRule="auto"/>
        <w:jc w:val="both"/>
        <w:rPr>
          <w:rFonts w:ascii="Verdana" w:hAnsi="Verdana" w:cs="Arial"/>
        </w:rPr>
      </w:pPr>
    </w:p>
    <w:p w14:paraId="7161591F" w14:textId="77777777" w:rsidR="00363C7E" w:rsidRPr="00593A5F" w:rsidRDefault="00363C7E" w:rsidP="00363C7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EA4F7FE" w14:textId="07EFE040" w:rsidR="00363C7E" w:rsidRPr="00593A5F" w:rsidRDefault="009A21A9" w:rsidP="00363C7E">
      <w:pPr>
        <w:spacing w:line="276" w:lineRule="auto"/>
        <w:jc w:val="center"/>
        <w:rPr>
          <w:rFonts w:ascii="Verdana" w:hAnsi="Verdana" w:cs="Arial"/>
          <w:color w:val="000000"/>
          <w:lang w:val="es-ES_tradnl" w:eastAsia="es-CO"/>
        </w:rPr>
      </w:pPr>
      <w:r>
        <w:rPr>
          <w:noProof/>
        </w:rPr>
        <w:drawing>
          <wp:inline distT="0" distB="0" distL="0" distR="0" wp14:anchorId="187AAB07" wp14:editId="34FFF2BA">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63C7E" w:rsidRPr="00593A5F" w14:paraId="7D6EE7AB" w14:textId="77777777" w:rsidTr="00F626C8">
        <w:trPr>
          <w:trHeight w:val="315"/>
        </w:trPr>
        <w:tc>
          <w:tcPr>
            <w:tcW w:w="893" w:type="dxa"/>
            <w:vAlign w:val="center"/>
            <w:hideMark/>
          </w:tcPr>
          <w:p w14:paraId="59CA9D2B" w14:textId="77777777" w:rsidR="00363C7E" w:rsidRPr="003751C7" w:rsidRDefault="00363C7E" w:rsidP="00F626C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CFC68EA" w14:textId="77777777" w:rsidR="00363C7E" w:rsidRPr="00254A7A" w:rsidRDefault="00363C7E" w:rsidP="00F626C8">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A51C13D" w14:textId="77777777" w:rsidR="00363C7E" w:rsidRPr="00254A7A" w:rsidRDefault="00363C7E" w:rsidP="00F626C8">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363C7E" w:rsidRPr="00593A5F" w14:paraId="4DCC7BD3" w14:textId="77777777" w:rsidTr="00F626C8">
        <w:trPr>
          <w:trHeight w:val="330"/>
        </w:trPr>
        <w:tc>
          <w:tcPr>
            <w:tcW w:w="893" w:type="dxa"/>
            <w:vAlign w:val="center"/>
            <w:hideMark/>
          </w:tcPr>
          <w:p w14:paraId="22BA9943" w14:textId="77777777" w:rsidR="00363C7E" w:rsidRPr="003751C7" w:rsidRDefault="00363C7E" w:rsidP="00F626C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9668D8" w14:textId="77777777" w:rsidR="00363C7E" w:rsidRPr="001B6B73" w:rsidRDefault="00363C7E" w:rsidP="00F626C8">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04410794" w14:textId="77777777" w:rsidR="00363C7E" w:rsidRPr="00254A7A" w:rsidRDefault="00363C7E" w:rsidP="00F626C8">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363C7E" w:rsidRPr="00593A5F" w14:paraId="3D349C11" w14:textId="77777777" w:rsidTr="00F626C8">
        <w:trPr>
          <w:trHeight w:val="300"/>
        </w:trPr>
        <w:tc>
          <w:tcPr>
            <w:tcW w:w="893" w:type="dxa"/>
            <w:vAlign w:val="center"/>
          </w:tcPr>
          <w:p w14:paraId="38B73D4C" w14:textId="77777777" w:rsidR="00363C7E" w:rsidRPr="003751C7" w:rsidRDefault="00363C7E" w:rsidP="00F626C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8B758CF" w14:textId="77777777" w:rsidR="00363C7E" w:rsidRPr="00A6315A" w:rsidRDefault="00363C7E" w:rsidP="00F626C8">
            <w:pPr>
              <w:contextualSpacing/>
              <w:rPr>
                <w:rFonts w:ascii="Verdana" w:eastAsia="Calibri" w:hAnsi="Verdana" w:cs="Arial"/>
                <w:sz w:val="16"/>
                <w:szCs w:val="16"/>
                <w:lang w:val="es-ES" w:eastAsia="es-ES"/>
              </w:rPr>
            </w:pPr>
            <w:r w:rsidRPr="2E7FB55D">
              <w:rPr>
                <w:rFonts w:ascii="Verdana" w:eastAsia="Calibri" w:hAnsi="Verdana" w:cs="Arial"/>
                <w:sz w:val="16"/>
                <w:szCs w:val="16"/>
                <w:lang w:val="es-ES" w:eastAsia="es-ES"/>
              </w:rPr>
              <w:t xml:space="preserve">Carolina Quintero </w:t>
            </w:r>
            <w:proofErr w:type="spellStart"/>
            <w:r w:rsidRPr="2E7FB55D">
              <w:rPr>
                <w:rFonts w:ascii="Verdana" w:eastAsia="Calibri" w:hAnsi="Verdana" w:cs="Arial"/>
                <w:sz w:val="16"/>
                <w:szCs w:val="16"/>
                <w:lang w:val="es-ES" w:eastAsia="es-ES"/>
              </w:rPr>
              <w:t>Gacharná</w:t>
            </w:r>
            <w:proofErr w:type="spellEnd"/>
          </w:p>
          <w:p w14:paraId="5CD6F2FC" w14:textId="77777777" w:rsidR="00363C7E" w:rsidRPr="003751C7" w:rsidRDefault="00363C7E" w:rsidP="00F626C8">
            <w:pPr>
              <w:contextualSpacing/>
              <w:rPr>
                <w:rFonts w:ascii="Verdana" w:eastAsia="Calibri" w:hAnsi="Verdana" w:cs="Arial"/>
                <w:sz w:val="16"/>
                <w:szCs w:val="16"/>
                <w:lang w:val="pt-BR" w:eastAsia="es-ES"/>
              </w:rPr>
            </w:pPr>
            <w:r w:rsidRPr="00A6315A">
              <w:rPr>
                <w:rFonts w:ascii="Verdana" w:eastAsia="Calibri" w:hAnsi="Verdana" w:cs="Arial"/>
                <w:sz w:val="16"/>
                <w:szCs w:val="16"/>
                <w:lang w:val="es-ES_tradnl" w:eastAsia="es-ES"/>
              </w:rPr>
              <w:t>Subdirectora de Gestión Contractual ANCP – CCE</w:t>
            </w:r>
          </w:p>
        </w:tc>
      </w:tr>
    </w:tbl>
    <w:p w14:paraId="26540EF2" w14:textId="77777777" w:rsidR="00363C7E" w:rsidRPr="00543BFE" w:rsidRDefault="00363C7E" w:rsidP="00363C7E"/>
    <w:p w14:paraId="01CE1A6E" w14:textId="77777777" w:rsidR="00363C7E" w:rsidRPr="00543BFE" w:rsidRDefault="00363C7E" w:rsidP="00363C7E"/>
    <w:p w14:paraId="3900974D" w14:textId="77777777" w:rsidR="003D5B0D" w:rsidRPr="00404D40" w:rsidRDefault="003D5B0D" w:rsidP="00404D40"/>
    <w:sectPr w:rsidR="003D5B0D" w:rsidRPr="00404D4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0BA26" w14:textId="77777777" w:rsidR="004A6598" w:rsidRDefault="004A6598" w:rsidP="004A1847">
      <w:pPr>
        <w:spacing w:after="0" w:line="240" w:lineRule="auto"/>
      </w:pPr>
      <w:r>
        <w:separator/>
      </w:r>
    </w:p>
  </w:endnote>
  <w:endnote w:type="continuationSeparator" w:id="0">
    <w:p w14:paraId="1641200E" w14:textId="77777777" w:rsidR="004A6598" w:rsidRDefault="004A6598" w:rsidP="004A1847">
      <w:pPr>
        <w:spacing w:after="0" w:line="240" w:lineRule="auto"/>
      </w:pPr>
      <w:r>
        <w:continuationSeparator/>
      </w:r>
    </w:p>
  </w:endnote>
  <w:endnote w:type="continuationNotice" w:id="1">
    <w:p w14:paraId="0F058811" w14:textId="77777777" w:rsidR="004A6598" w:rsidRDefault="004A65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1FCF5" w14:textId="77777777" w:rsidR="004A6598" w:rsidRDefault="004A6598" w:rsidP="004A1847">
      <w:pPr>
        <w:spacing w:after="0" w:line="240" w:lineRule="auto"/>
      </w:pPr>
      <w:r>
        <w:separator/>
      </w:r>
    </w:p>
  </w:footnote>
  <w:footnote w:type="continuationSeparator" w:id="0">
    <w:p w14:paraId="2D972E90" w14:textId="77777777" w:rsidR="004A6598" w:rsidRDefault="004A6598" w:rsidP="004A1847">
      <w:pPr>
        <w:spacing w:after="0" w:line="240" w:lineRule="auto"/>
      </w:pPr>
      <w:r>
        <w:continuationSeparator/>
      </w:r>
    </w:p>
  </w:footnote>
  <w:footnote w:type="continuationNotice" w:id="1">
    <w:p w14:paraId="4BE5711C" w14:textId="77777777" w:rsidR="004A6598" w:rsidRDefault="004A6598">
      <w:pPr>
        <w:spacing w:after="0" w:line="240" w:lineRule="auto"/>
      </w:pPr>
    </w:p>
  </w:footnote>
  <w:footnote w:id="2">
    <w:p w14:paraId="4CDE40BD" w14:textId="77777777" w:rsidR="00363C7E" w:rsidRPr="00AD6771" w:rsidRDefault="00363C7E" w:rsidP="00363C7E">
      <w:pPr>
        <w:pStyle w:val="Textonotapie"/>
        <w:ind w:firstLine="720"/>
        <w:jc w:val="both"/>
        <w:rPr>
          <w:rFonts w:ascii="Verdana" w:hAnsi="Verdana" w:cs="Arial"/>
          <w:sz w:val="16"/>
          <w:szCs w:val="16"/>
        </w:rPr>
      </w:pPr>
      <w:r w:rsidRPr="00AD6771">
        <w:rPr>
          <w:rStyle w:val="Refdenotaalpie"/>
          <w:rFonts w:ascii="Verdana" w:hAnsi="Verdana" w:cs="Arial"/>
          <w:sz w:val="16"/>
          <w:szCs w:val="16"/>
        </w:rPr>
        <w:footnoteRef/>
      </w:r>
      <w:r w:rsidRPr="00AD6771">
        <w:rPr>
          <w:rFonts w:ascii="Verdana" w:hAnsi="Verdana" w:cs="Arial"/>
          <w:sz w:val="16"/>
          <w:szCs w:val="16"/>
        </w:rPr>
        <w:t xml:space="preserve"> CORTE CONSTITUCIONAL. Sentencia C-949 del 5 de septiembre de 2001. M.P. Clara Inés Vargas Hernández.  </w:t>
      </w:r>
    </w:p>
  </w:footnote>
  <w:footnote w:id="3">
    <w:p w14:paraId="05666024" w14:textId="77777777" w:rsidR="00363C7E" w:rsidRPr="00AD6771" w:rsidRDefault="00363C7E" w:rsidP="00363C7E">
      <w:pPr>
        <w:pStyle w:val="Textonotapie"/>
        <w:ind w:firstLine="708"/>
        <w:contextualSpacing/>
        <w:jc w:val="both"/>
        <w:rPr>
          <w:rFonts w:ascii="Verdana" w:hAnsi="Verdana" w:cs="Arial"/>
          <w:sz w:val="16"/>
          <w:szCs w:val="16"/>
        </w:rPr>
      </w:pPr>
      <w:r w:rsidRPr="00AD6771">
        <w:rPr>
          <w:rFonts w:ascii="Verdana" w:hAnsi="Verdana"/>
          <w:sz w:val="16"/>
          <w:szCs w:val="16"/>
          <w:vertAlign w:val="superscript"/>
        </w:rPr>
        <w:footnoteRef/>
      </w:r>
      <w:r w:rsidRPr="00AD6771">
        <w:rPr>
          <w:rFonts w:ascii="Verdana" w:hAnsi="Verdana" w:cs="Arial"/>
          <w:sz w:val="16"/>
          <w:szCs w:val="16"/>
          <w:vertAlign w:val="superscript"/>
        </w:rPr>
        <w:t xml:space="preserve"> </w:t>
      </w:r>
      <w:r w:rsidRPr="00AD6771">
        <w:rPr>
          <w:rFonts w:ascii="Verdana" w:hAnsi="Verdana" w:cs="Arial"/>
          <w:sz w:val="16"/>
          <w:szCs w:val="16"/>
        </w:rPr>
        <w:t>El inciso final del numeral 5 “encargos fiduciarios y fiducia pública” del artículo 32 de la Ley 80 de 1993 señala lo siguiente: “So pena de nulidad no podrán celebrarse contratos de fiducia o subcontratos en contravención del artículo 355 de la Constitución Política. Si tal evento se diese, la entidad fideicomitente deberá repetir contra la persona, natural o jurídica, adjudicataria del respectivo contrato”.</w:t>
      </w:r>
    </w:p>
  </w:footnote>
  <w:footnote w:id="4">
    <w:p w14:paraId="4382F183" w14:textId="77777777" w:rsidR="00363C7E" w:rsidRPr="00AD6771" w:rsidRDefault="00363C7E" w:rsidP="00363C7E">
      <w:pPr>
        <w:pStyle w:val="Textonotapie"/>
        <w:ind w:firstLine="708"/>
        <w:contextualSpacing/>
        <w:jc w:val="both"/>
        <w:rPr>
          <w:rFonts w:ascii="Verdana" w:hAnsi="Verdana" w:cs="Arial"/>
          <w:sz w:val="16"/>
          <w:szCs w:val="16"/>
        </w:rPr>
      </w:pPr>
      <w:r w:rsidRPr="00AD6771">
        <w:rPr>
          <w:rFonts w:ascii="Verdana" w:hAnsi="Verdana"/>
          <w:sz w:val="16"/>
          <w:szCs w:val="16"/>
          <w:vertAlign w:val="superscript"/>
        </w:rPr>
        <w:footnoteRef/>
      </w:r>
      <w:r w:rsidRPr="00AD6771">
        <w:rPr>
          <w:rFonts w:ascii="Verdana" w:hAnsi="Verdana" w:cs="Arial"/>
          <w:sz w:val="16"/>
          <w:szCs w:val="16"/>
        </w:rPr>
        <w:t xml:space="preserve">  El literal c del numeral 4 del artículo 2 de la Ley 1150 de 2007 dispone que: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footnote>
  <w:footnote w:id="5">
    <w:p w14:paraId="1177FD6B" w14:textId="77777777" w:rsidR="00363C7E" w:rsidRPr="00AD6771" w:rsidRDefault="00363C7E" w:rsidP="00363C7E">
      <w:pPr>
        <w:pStyle w:val="Textonotapie"/>
        <w:ind w:firstLine="708"/>
        <w:contextualSpacing/>
        <w:jc w:val="both"/>
        <w:rPr>
          <w:rFonts w:ascii="Verdana" w:hAnsi="Verdana" w:cs="Arial"/>
          <w:sz w:val="16"/>
          <w:szCs w:val="16"/>
        </w:rPr>
      </w:pPr>
      <w:r w:rsidRPr="00AD6771">
        <w:rPr>
          <w:rFonts w:ascii="Verdana" w:hAnsi="Verdana"/>
          <w:sz w:val="16"/>
          <w:szCs w:val="16"/>
          <w:vertAlign w:val="superscript"/>
        </w:rPr>
        <w:footnoteRef/>
      </w:r>
      <w:r w:rsidRPr="00AD6771">
        <w:rPr>
          <w:rFonts w:ascii="Verdana" w:hAnsi="Verdana" w:cs="Arial"/>
          <w:sz w:val="16"/>
          <w:szCs w:val="16"/>
        </w:rPr>
        <w:t xml:space="preserve"> El artículo 2.2.1.2.3.1.5 del Decreto 1082 de 2015 hace mención a la subcontratación en lo relacionado con las garantías, particularmente en los riesgos a los que se encuentran expuestas las entidades estatales, derivados de la responsabilidad extracontractual que pueda surgir por las actuaciones, hechos u omisiones de sus contratistas y subcontratistas. </w:t>
      </w:r>
    </w:p>
  </w:footnote>
  <w:footnote w:id="6">
    <w:p w14:paraId="4341A8A5" w14:textId="77777777" w:rsidR="00363C7E" w:rsidRPr="00AD6771" w:rsidRDefault="00363C7E" w:rsidP="00363C7E">
      <w:pPr>
        <w:pStyle w:val="Textonotapie"/>
        <w:ind w:firstLine="709"/>
        <w:contextualSpacing/>
        <w:jc w:val="both"/>
        <w:rPr>
          <w:rFonts w:ascii="Verdana" w:hAnsi="Verdana" w:cs="Arial"/>
          <w:sz w:val="16"/>
          <w:szCs w:val="16"/>
        </w:rPr>
      </w:pPr>
      <w:r w:rsidRPr="00AD6771">
        <w:rPr>
          <w:rStyle w:val="Refdenotaalpie"/>
          <w:rFonts w:ascii="Verdana" w:hAnsi="Verdana"/>
          <w:sz w:val="16"/>
          <w:szCs w:val="16"/>
        </w:rPr>
        <w:footnoteRef/>
      </w:r>
      <w:r w:rsidRPr="00AD6771">
        <w:rPr>
          <w:rFonts w:ascii="Verdana" w:hAnsi="Verdana"/>
          <w:sz w:val="16"/>
          <w:szCs w:val="16"/>
        </w:rPr>
        <w:t xml:space="preserve"> </w:t>
      </w:r>
      <w:r w:rsidRPr="00AD6771">
        <w:rPr>
          <w:rFonts w:ascii="Verdana" w:hAnsi="Verdana" w:cs="Arial"/>
          <w:sz w:val="16"/>
          <w:szCs w:val="16"/>
        </w:rPr>
        <w:t>El artículo 7 del Decreto 092 de 2017 señala lo siguiente: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(Énfasis por fuera de texto).</w:t>
      </w:r>
    </w:p>
  </w:footnote>
  <w:footnote w:id="7">
    <w:p w14:paraId="48EF9350" w14:textId="77777777" w:rsidR="00363C7E" w:rsidRPr="00AD6771" w:rsidRDefault="00363C7E" w:rsidP="00363C7E">
      <w:pPr>
        <w:pStyle w:val="Textonotapie"/>
        <w:ind w:firstLine="708"/>
        <w:contextualSpacing/>
        <w:jc w:val="both"/>
        <w:rPr>
          <w:rFonts w:ascii="Verdana" w:hAnsi="Verdana" w:cs="Arial"/>
          <w:sz w:val="16"/>
          <w:szCs w:val="16"/>
        </w:rPr>
      </w:pPr>
      <w:r w:rsidRPr="00AD6771">
        <w:rPr>
          <w:rFonts w:ascii="Verdana" w:hAnsi="Verdana"/>
          <w:sz w:val="16"/>
          <w:szCs w:val="16"/>
          <w:vertAlign w:val="superscript"/>
        </w:rPr>
        <w:footnoteRef/>
      </w:r>
      <w:r w:rsidRPr="00AD6771">
        <w:rPr>
          <w:rFonts w:ascii="Verdana" w:hAnsi="Verdana" w:cs="Arial"/>
          <w:sz w:val="16"/>
          <w:szCs w:val="16"/>
          <w:vertAlign w:val="superscript"/>
        </w:rPr>
        <w:t xml:space="preserve"> </w:t>
      </w:r>
      <w:r w:rsidRPr="00AD6771">
        <w:rPr>
          <w:rFonts w:ascii="Verdana" w:hAnsi="Verdana" w:cs="Arial"/>
          <w:sz w:val="16"/>
          <w:szCs w:val="16"/>
        </w:rPr>
        <w:t xml:space="preserve">RAMÍREZ GRISALES, Richard Steve. La Subcontratación. Serie: Las cláusulas del contrato estatal. Librería Jurídica Sánchez R. Ltda. y Centro de Estudios de Derecho Administrativo –CEDA-, Medellín, 2012, p. 26. </w:t>
      </w:r>
    </w:p>
  </w:footnote>
  <w:footnote w:id="8">
    <w:p w14:paraId="29F347F2" w14:textId="77777777" w:rsidR="00363C7E" w:rsidRPr="00AD6771" w:rsidRDefault="00363C7E" w:rsidP="00363C7E">
      <w:pPr>
        <w:pStyle w:val="Textonotapie"/>
        <w:ind w:firstLine="708"/>
        <w:contextualSpacing/>
        <w:jc w:val="both"/>
        <w:rPr>
          <w:rFonts w:ascii="Verdana" w:hAnsi="Verdana" w:cs="Arial"/>
          <w:sz w:val="16"/>
          <w:szCs w:val="16"/>
        </w:rPr>
      </w:pPr>
      <w:r w:rsidRPr="00AD6771">
        <w:rPr>
          <w:rFonts w:ascii="Verdana" w:hAnsi="Verdana"/>
          <w:sz w:val="16"/>
          <w:szCs w:val="16"/>
          <w:vertAlign w:val="superscript"/>
        </w:rPr>
        <w:footnoteRef/>
      </w:r>
      <w:r w:rsidRPr="00AD6771">
        <w:rPr>
          <w:rFonts w:ascii="Verdana" w:hAnsi="Verdana" w:cs="Arial"/>
          <w:sz w:val="16"/>
          <w:szCs w:val="16"/>
          <w:vertAlign w:val="superscript"/>
        </w:rPr>
        <w:t xml:space="preserve"> </w:t>
      </w:r>
      <w:r w:rsidRPr="00AD6771">
        <w:rPr>
          <w:rFonts w:ascii="Verdana" w:hAnsi="Verdana" w:cs="Arial"/>
          <w:sz w:val="16"/>
          <w:szCs w:val="16"/>
        </w:rPr>
        <w:t>TRABALÓN Cristóbal. Tratado Legal de Construcción. Editorial Tébar Flores. Madrid. 2015</w:t>
      </w:r>
    </w:p>
  </w:footnote>
  <w:footnote w:id="9">
    <w:p w14:paraId="751BC742" w14:textId="77777777" w:rsidR="00363C7E" w:rsidRPr="00AD6771" w:rsidRDefault="00363C7E" w:rsidP="00363C7E">
      <w:pPr>
        <w:pStyle w:val="Textonotapie"/>
        <w:ind w:firstLine="708"/>
        <w:contextualSpacing/>
        <w:jc w:val="both"/>
        <w:rPr>
          <w:rFonts w:ascii="Verdana" w:hAnsi="Verdana" w:cs="Arial"/>
          <w:sz w:val="16"/>
          <w:szCs w:val="16"/>
        </w:rPr>
      </w:pPr>
      <w:r w:rsidRPr="00AD6771">
        <w:rPr>
          <w:rFonts w:ascii="Verdana" w:hAnsi="Verdana"/>
          <w:sz w:val="16"/>
          <w:szCs w:val="16"/>
          <w:vertAlign w:val="superscript"/>
        </w:rPr>
        <w:footnoteRef/>
      </w:r>
      <w:r w:rsidRPr="00AD6771">
        <w:rPr>
          <w:rFonts w:ascii="Verdana" w:hAnsi="Verdana" w:cs="Arial"/>
          <w:sz w:val="16"/>
          <w:szCs w:val="16"/>
          <w:vertAlign w:val="superscript"/>
        </w:rPr>
        <w:t xml:space="preserve"> </w:t>
      </w:r>
      <w:r w:rsidRPr="00462147">
        <w:rPr>
          <w:rFonts w:ascii="Verdana" w:hAnsi="Verdana" w:cs="Arial"/>
          <w:i/>
          <w:iCs/>
          <w:sz w:val="16"/>
          <w:szCs w:val="16"/>
        </w:rPr>
        <w:t>Ibidem</w:t>
      </w:r>
      <w:r>
        <w:rPr>
          <w:rFonts w:ascii="Verdana" w:hAnsi="Verdana" w:cs="Arial"/>
          <w:sz w:val="16"/>
          <w:szCs w:val="16"/>
        </w:rPr>
        <w:t>.</w:t>
      </w:r>
      <w:r w:rsidRPr="00AD6771">
        <w:rPr>
          <w:rFonts w:ascii="Verdana" w:hAnsi="Verdana" w:cs="Arial"/>
          <w:sz w:val="16"/>
          <w:szCs w:val="16"/>
        </w:rPr>
        <w:t xml:space="preserve"> </w:t>
      </w:r>
    </w:p>
  </w:footnote>
  <w:footnote w:id="10">
    <w:p w14:paraId="45B81F98" w14:textId="77777777" w:rsidR="00363C7E" w:rsidRPr="00AD6771" w:rsidRDefault="00363C7E" w:rsidP="00363C7E">
      <w:pPr>
        <w:pStyle w:val="Textonotapie"/>
        <w:ind w:firstLine="708"/>
        <w:contextualSpacing/>
        <w:jc w:val="both"/>
        <w:rPr>
          <w:rFonts w:ascii="Verdana" w:hAnsi="Verdana" w:cs="Arial"/>
          <w:sz w:val="16"/>
          <w:szCs w:val="16"/>
        </w:rPr>
      </w:pPr>
      <w:r w:rsidRPr="00AD6771">
        <w:rPr>
          <w:rFonts w:ascii="Verdana" w:hAnsi="Verdana"/>
          <w:sz w:val="16"/>
          <w:szCs w:val="16"/>
          <w:vertAlign w:val="superscript"/>
        </w:rPr>
        <w:footnoteRef/>
      </w:r>
      <w:r w:rsidRPr="00AD6771">
        <w:rPr>
          <w:rFonts w:ascii="Verdana" w:hAnsi="Verdana" w:cs="Arial"/>
          <w:sz w:val="16"/>
          <w:szCs w:val="16"/>
        </w:rPr>
        <w:t xml:space="preserve"> Consejo de Estado. Sección Tercera. Subsección C. Sentencia del 12 de agosto de 2013. Radicación número: 52001-23-31-000-1999-00985-01 (23.088) C.P</w:t>
      </w:r>
      <w:r>
        <w:rPr>
          <w:rFonts w:ascii="Verdana" w:hAnsi="Verdana" w:cs="Arial"/>
          <w:sz w:val="16"/>
          <w:szCs w:val="16"/>
        </w:rPr>
        <w:t>.</w:t>
      </w:r>
      <w:r w:rsidRPr="00AD6771">
        <w:rPr>
          <w:rFonts w:ascii="Verdana" w:hAnsi="Verdana" w:cs="Arial"/>
          <w:sz w:val="16"/>
          <w:szCs w:val="16"/>
        </w:rPr>
        <w:t xml:space="preserve"> Enrique Gil Botero. </w:t>
      </w:r>
    </w:p>
  </w:footnote>
  <w:footnote w:id="11">
    <w:p w14:paraId="43A0E45C" w14:textId="77777777" w:rsidR="00363C7E" w:rsidRPr="00AD6771" w:rsidRDefault="00363C7E" w:rsidP="00363C7E">
      <w:pPr>
        <w:pStyle w:val="Textonotapie"/>
        <w:ind w:firstLine="708"/>
        <w:jc w:val="both"/>
        <w:rPr>
          <w:rFonts w:ascii="Verdana" w:hAnsi="Verdana"/>
          <w:sz w:val="16"/>
          <w:szCs w:val="16"/>
          <w:lang w:val="es-CO"/>
        </w:rPr>
      </w:pPr>
      <w:r w:rsidRPr="00AD6771">
        <w:rPr>
          <w:rStyle w:val="Refdenotaalpie"/>
          <w:rFonts w:ascii="Verdana" w:hAnsi="Verdana"/>
          <w:sz w:val="16"/>
          <w:szCs w:val="16"/>
        </w:rPr>
        <w:footnoteRef/>
      </w:r>
      <w:r w:rsidRPr="00AD6771">
        <w:rPr>
          <w:rFonts w:ascii="Verdana" w:hAnsi="Verdana"/>
          <w:sz w:val="16"/>
          <w:szCs w:val="16"/>
        </w:rPr>
        <w:t xml:space="preserve"> Por ejemplo, </w:t>
      </w:r>
      <w:r w:rsidRPr="00AD6771">
        <w:rPr>
          <w:rFonts w:ascii="Verdana" w:hAnsi="Verdana"/>
          <w:sz w:val="16"/>
          <w:szCs w:val="16"/>
          <w:lang w:val="es-CO"/>
        </w:rPr>
        <w:t>el inciso 4 del literal c del numeral 4 del artículo 2 de la Ley 1150 de 2007 dispone que, tratándose de contratos interadministrativos,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footnote>
  <w:footnote w:id="12">
    <w:p w14:paraId="0E65649B" w14:textId="77777777" w:rsidR="00363C7E" w:rsidRPr="00401D25" w:rsidRDefault="00363C7E" w:rsidP="00363C7E">
      <w:pPr>
        <w:pStyle w:val="Textonotapie"/>
        <w:ind w:firstLine="708"/>
        <w:jc w:val="both"/>
        <w:rPr>
          <w:rFonts w:ascii="Verdana" w:hAnsi="Verdana"/>
          <w:sz w:val="16"/>
          <w:szCs w:val="16"/>
          <w:lang w:val="es-CO"/>
        </w:rPr>
      </w:pPr>
      <w:r w:rsidRPr="00401D25">
        <w:rPr>
          <w:rStyle w:val="Refdenotaalpie"/>
          <w:rFonts w:ascii="Verdana" w:hAnsi="Verdana"/>
          <w:sz w:val="16"/>
          <w:szCs w:val="16"/>
        </w:rPr>
        <w:footnoteRef/>
      </w:r>
      <w:r w:rsidRPr="00401D25">
        <w:rPr>
          <w:rFonts w:ascii="Verdana" w:hAnsi="Verdana"/>
          <w:sz w:val="16"/>
          <w:szCs w:val="16"/>
        </w:rPr>
        <w:t xml:space="preserve"> </w:t>
      </w:r>
      <w:r>
        <w:rPr>
          <w:rFonts w:ascii="Verdana" w:hAnsi="Verdana"/>
          <w:sz w:val="16"/>
          <w:szCs w:val="16"/>
        </w:rPr>
        <w:t>BIANCA, Massimo. Derecho civil III: el contrato. Segunda edición. Bogotá: Universidad Externado de Colombia, 2007. p. 748.</w:t>
      </w:r>
    </w:p>
  </w:footnote>
  <w:footnote w:id="13">
    <w:p w14:paraId="62D15736" w14:textId="77777777" w:rsidR="00363C7E" w:rsidRDefault="00363C7E" w:rsidP="00363C7E">
      <w:pPr>
        <w:pStyle w:val="Textonotapie"/>
        <w:ind w:firstLine="708"/>
        <w:jc w:val="both"/>
        <w:rPr>
          <w:rFonts w:ascii="Verdana" w:hAnsi="Verdana"/>
          <w:sz w:val="16"/>
          <w:szCs w:val="16"/>
        </w:rPr>
      </w:pPr>
      <w:r w:rsidRPr="009F1587">
        <w:rPr>
          <w:rStyle w:val="Refdenotaalpie"/>
          <w:rFonts w:ascii="Verdana" w:hAnsi="Verdana"/>
          <w:sz w:val="16"/>
          <w:szCs w:val="16"/>
        </w:rPr>
        <w:footnoteRef/>
      </w:r>
      <w:r w:rsidRPr="009F1587">
        <w:rPr>
          <w:rFonts w:ascii="Verdana" w:hAnsi="Verdana"/>
          <w:sz w:val="16"/>
          <w:szCs w:val="16"/>
        </w:rPr>
        <w:t xml:space="preserve"> </w:t>
      </w:r>
      <w:r>
        <w:rPr>
          <w:rFonts w:ascii="Verdana" w:hAnsi="Verdana"/>
          <w:sz w:val="16"/>
          <w:szCs w:val="16"/>
        </w:rPr>
        <w:t xml:space="preserve">En efecto, BIANCA define la subcontratación como “[…] </w:t>
      </w:r>
      <w:r w:rsidRPr="009F1587">
        <w:rPr>
          <w:rFonts w:ascii="Verdana" w:hAnsi="Verdana"/>
          <w:sz w:val="16"/>
          <w:szCs w:val="16"/>
        </w:rPr>
        <w:t>el contrato mediante</w:t>
      </w:r>
      <w:r>
        <w:rPr>
          <w:rFonts w:ascii="Verdana" w:hAnsi="Verdana"/>
          <w:sz w:val="16"/>
          <w:szCs w:val="16"/>
        </w:rPr>
        <w:t xml:space="preserve"> </w:t>
      </w:r>
      <w:r w:rsidRPr="009F1587">
        <w:rPr>
          <w:rFonts w:ascii="Verdana" w:hAnsi="Verdana"/>
          <w:sz w:val="16"/>
          <w:szCs w:val="16"/>
        </w:rPr>
        <w:t xml:space="preserve">el cual una parte vuelve a emplear frente a un </w:t>
      </w:r>
      <w:r w:rsidRPr="009F1587">
        <w:rPr>
          <w:rFonts w:ascii="Verdana" w:hAnsi="Verdana"/>
          <w:i/>
          <w:iCs/>
          <w:sz w:val="16"/>
          <w:szCs w:val="16"/>
        </w:rPr>
        <w:t>tercero</w:t>
      </w:r>
      <w:r w:rsidRPr="009F1587">
        <w:rPr>
          <w:rFonts w:ascii="Verdana" w:hAnsi="Verdana"/>
          <w:sz w:val="16"/>
          <w:szCs w:val="16"/>
        </w:rPr>
        <w:t xml:space="preserve"> la posición que ella</w:t>
      </w:r>
      <w:r>
        <w:rPr>
          <w:rFonts w:ascii="Verdana" w:hAnsi="Verdana"/>
          <w:sz w:val="16"/>
          <w:szCs w:val="16"/>
        </w:rPr>
        <w:t xml:space="preserve"> </w:t>
      </w:r>
      <w:r w:rsidRPr="009F1587">
        <w:rPr>
          <w:rFonts w:ascii="Verdana" w:hAnsi="Verdana"/>
          <w:sz w:val="16"/>
          <w:szCs w:val="16"/>
        </w:rPr>
        <w:t>misma tiene en un contrato en curso, llamado contrato base. El subcontrato</w:t>
      </w:r>
      <w:r>
        <w:rPr>
          <w:rFonts w:ascii="Verdana" w:hAnsi="Verdana"/>
          <w:sz w:val="16"/>
          <w:szCs w:val="16"/>
        </w:rPr>
        <w:t xml:space="preserve"> </w:t>
      </w:r>
      <w:r w:rsidRPr="009F1587">
        <w:rPr>
          <w:rFonts w:ascii="Verdana" w:hAnsi="Verdana"/>
          <w:sz w:val="16"/>
          <w:szCs w:val="16"/>
        </w:rPr>
        <w:t>reproduce el mismo tipo de operación económica del contrato base, pero la parte</w:t>
      </w:r>
      <w:r>
        <w:rPr>
          <w:rFonts w:ascii="Verdana" w:hAnsi="Verdana"/>
          <w:sz w:val="16"/>
          <w:szCs w:val="16"/>
        </w:rPr>
        <w:t xml:space="preserve"> </w:t>
      </w:r>
      <w:r w:rsidRPr="009F1587">
        <w:rPr>
          <w:rFonts w:ascii="Verdana" w:hAnsi="Verdana"/>
          <w:sz w:val="16"/>
          <w:szCs w:val="16"/>
        </w:rPr>
        <w:t xml:space="preserve">asume con el </w:t>
      </w:r>
      <w:r w:rsidRPr="009F1587">
        <w:rPr>
          <w:rFonts w:ascii="Verdana" w:hAnsi="Verdana"/>
          <w:i/>
          <w:iCs/>
          <w:sz w:val="16"/>
          <w:szCs w:val="16"/>
        </w:rPr>
        <w:t>tercero</w:t>
      </w:r>
      <w:r w:rsidRPr="009F1587">
        <w:rPr>
          <w:rFonts w:ascii="Verdana" w:hAnsi="Verdana"/>
          <w:sz w:val="16"/>
          <w:szCs w:val="16"/>
        </w:rPr>
        <w:t xml:space="preserve"> el papel contrario de aquel que tiene en tal contrato</w:t>
      </w:r>
      <w:r>
        <w:rPr>
          <w:rFonts w:ascii="Verdana" w:hAnsi="Verdana"/>
          <w:sz w:val="16"/>
          <w:szCs w:val="16"/>
        </w:rPr>
        <w:t xml:space="preserve"> […]” (</w:t>
      </w:r>
      <w:r w:rsidRPr="009F1587">
        <w:rPr>
          <w:rFonts w:ascii="Verdana" w:hAnsi="Verdana"/>
          <w:i/>
          <w:iCs/>
          <w:sz w:val="16"/>
          <w:szCs w:val="16"/>
        </w:rPr>
        <w:t>ibidem</w:t>
      </w:r>
      <w:r>
        <w:rPr>
          <w:rFonts w:ascii="Verdana" w:hAnsi="Verdana"/>
          <w:sz w:val="16"/>
          <w:szCs w:val="16"/>
        </w:rPr>
        <w:t xml:space="preserve">. Énfasis fuera de texto). </w:t>
      </w:r>
    </w:p>
    <w:p w14:paraId="140BA8B5" w14:textId="77777777" w:rsidR="00363C7E" w:rsidRPr="009F1587" w:rsidRDefault="00363C7E" w:rsidP="00363C7E">
      <w:pPr>
        <w:pStyle w:val="Textonotapie"/>
        <w:ind w:firstLine="708"/>
        <w:jc w:val="both"/>
        <w:rPr>
          <w:rFonts w:ascii="Verdana" w:hAnsi="Verdana"/>
          <w:sz w:val="16"/>
          <w:szCs w:val="16"/>
          <w:lang w:val="es-CO"/>
        </w:rPr>
      </w:pPr>
      <w:r>
        <w:rPr>
          <w:rFonts w:ascii="Verdana" w:hAnsi="Verdana"/>
          <w:sz w:val="16"/>
          <w:szCs w:val="16"/>
        </w:rPr>
        <w:t xml:space="preserve">De forma similar, para </w:t>
      </w:r>
      <w:r w:rsidRPr="009F1587">
        <w:rPr>
          <w:rFonts w:ascii="Verdana" w:hAnsi="Verdana"/>
          <w:sz w:val="16"/>
          <w:szCs w:val="16"/>
        </w:rPr>
        <w:t>ANDREOLI</w:t>
      </w:r>
      <w:r>
        <w:rPr>
          <w:rFonts w:ascii="Verdana" w:hAnsi="Verdana"/>
          <w:sz w:val="16"/>
          <w:szCs w:val="16"/>
        </w:rPr>
        <w:t xml:space="preserve">, la cesión corresponde al “[…] </w:t>
      </w:r>
      <w:r w:rsidRPr="009F1587">
        <w:rPr>
          <w:rFonts w:ascii="Verdana" w:hAnsi="Verdana"/>
          <w:sz w:val="16"/>
          <w:szCs w:val="16"/>
          <w:lang w:val="es-CO"/>
        </w:rPr>
        <w:t xml:space="preserve">instrumento que permite realizar la llamada </w:t>
      </w:r>
      <w:r w:rsidRPr="009F1587">
        <w:rPr>
          <w:rFonts w:ascii="Verdana" w:hAnsi="Verdana"/>
          <w:i/>
          <w:iCs/>
          <w:sz w:val="16"/>
          <w:szCs w:val="16"/>
          <w:lang w:val="es-CO"/>
        </w:rPr>
        <w:t>circulación del contrato</w:t>
      </w:r>
      <w:r w:rsidRPr="009F1587">
        <w:rPr>
          <w:rFonts w:ascii="Verdana" w:hAnsi="Verdana"/>
          <w:sz w:val="16"/>
          <w:szCs w:val="16"/>
          <w:lang w:val="es-CO"/>
        </w:rPr>
        <w:t xml:space="preserve">, es decir, la transferencia negocial a un tercero (llamado </w:t>
      </w:r>
      <w:r w:rsidRPr="009F1587">
        <w:rPr>
          <w:rFonts w:ascii="Verdana" w:hAnsi="Verdana"/>
          <w:i/>
          <w:iCs/>
          <w:sz w:val="16"/>
          <w:szCs w:val="16"/>
          <w:lang w:val="es-CO"/>
        </w:rPr>
        <w:t>cesionario</w:t>
      </w:r>
      <w:r w:rsidRPr="009F1587">
        <w:rPr>
          <w:rFonts w:ascii="Verdana" w:hAnsi="Verdana"/>
          <w:sz w:val="16"/>
          <w:szCs w:val="16"/>
          <w:lang w:val="es-CO"/>
        </w:rPr>
        <w:t xml:space="preserve">) del conjunto de posiciones contractuales (entendido como resultante unitario de derechos y obligaciones orgánicamente interdependientes), constituida en la persona de uno de los originarios contratantes (llamado </w:t>
      </w:r>
      <w:r w:rsidRPr="009F1587">
        <w:rPr>
          <w:rFonts w:ascii="Verdana" w:hAnsi="Verdana"/>
          <w:i/>
          <w:iCs/>
          <w:sz w:val="16"/>
          <w:szCs w:val="16"/>
          <w:lang w:val="es-CO"/>
        </w:rPr>
        <w:t>cedente</w:t>
      </w:r>
      <w:r w:rsidRPr="009F1587">
        <w:rPr>
          <w:rFonts w:ascii="Verdana" w:hAnsi="Verdana"/>
          <w:sz w:val="16"/>
          <w:szCs w:val="16"/>
          <w:lang w:val="es-CO"/>
        </w:rPr>
        <w:t xml:space="preserve">); de tal forma que, a través de esa sustitución </w:t>
      </w:r>
      <w:r w:rsidRPr="009F1587">
        <w:rPr>
          <w:rFonts w:ascii="Verdana" w:hAnsi="Verdana"/>
          <w:i/>
          <w:iCs/>
          <w:sz w:val="16"/>
          <w:szCs w:val="16"/>
          <w:lang w:val="es-CO"/>
        </w:rPr>
        <w:t>negocial</w:t>
      </w:r>
      <w:r w:rsidRPr="009F1587">
        <w:rPr>
          <w:rFonts w:ascii="Verdana" w:hAnsi="Verdana"/>
          <w:sz w:val="16"/>
          <w:szCs w:val="16"/>
          <w:lang w:val="es-CO"/>
        </w:rPr>
        <w:t xml:space="preserve"> del tercero en la posición de ‘parte’ del contrato, en lugar del cedente, dicho tercero subentra en la totalidad de los derechos y obligaciones que en su orgánica interdependencia se derivan del contrato estipulado por el cedente</w:t>
      </w:r>
      <w:r>
        <w:rPr>
          <w:rFonts w:ascii="Verdana" w:hAnsi="Verdana"/>
          <w:sz w:val="16"/>
          <w:szCs w:val="16"/>
          <w:lang w:val="es-CO"/>
        </w:rPr>
        <w:t>” (</w:t>
      </w:r>
      <w:r w:rsidRPr="009F1587">
        <w:rPr>
          <w:rFonts w:ascii="Verdana" w:hAnsi="Verdana"/>
          <w:sz w:val="16"/>
          <w:szCs w:val="16"/>
          <w:lang w:val="es-CO"/>
        </w:rPr>
        <w:t>ANDREOLI, Marcello. La cesión del contrato. Santiago: Ediciones Olejnik, 2019. p. 12. Énfasis dentro del texto</w:t>
      </w:r>
      <w:r>
        <w:rPr>
          <w:rFonts w:ascii="Verdana" w:hAnsi="Verdana"/>
          <w:sz w:val="16"/>
          <w:szCs w:val="16"/>
          <w:lang w:val="es-CO"/>
        </w:rPr>
        <w:t>)</w:t>
      </w:r>
      <w:r w:rsidRPr="009F1587">
        <w:rPr>
          <w:rFonts w:ascii="Verdana" w:hAnsi="Verdana"/>
          <w:sz w:val="16"/>
          <w:szCs w:val="16"/>
          <w:lang w:val="es-CO"/>
        </w:rPr>
        <w:t>.</w:t>
      </w:r>
    </w:p>
  </w:footnote>
  <w:footnote w:id="14">
    <w:p w14:paraId="1E53E56C" w14:textId="77777777" w:rsidR="00363C7E" w:rsidRPr="004C544B" w:rsidRDefault="00363C7E" w:rsidP="00363C7E">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0D0793">
        <w:rPr>
          <w:rFonts w:ascii="Verdana" w:hAnsi="Verdana" w:cs="Arial"/>
          <w:sz w:val="16"/>
          <w:szCs w:val="16"/>
          <w:lang w:val="es-CO"/>
        </w:rPr>
        <w:t>RAMÍREZ GRISALES, Richard. La cesión. Serie: Las cláusulas del contrato estatal. Medellín: Centro de Estudios de Derecho Administrativo –CEDA– y Librería Jurídica Sánchez R., 2014.</w:t>
      </w:r>
      <w:r w:rsidRPr="004C544B">
        <w:rPr>
          <w:rFonts w:ascii="Verdana" w:hAnsi="Verdana" w:cs="Arial"/>
          <w:sz w:val="16"/>
          <w:szCs w:val="16"/>
        </w:rPr>
        <w:t xml:space="preserve"> pp.162-163. </w:t>
      </w:r>
    </w:p>
  </w:footnote>
  <w:footnote w:id="15">
    <w:p w14:paraId="13952685" w14:textId="77777777" w:rsidR="00363C7E" w:rsidRPr="007A04EE" w:rsidRDefault="00363C7E" w:rsidP="00363C7E">
      <w:pPr>
        <w:pStyle w:val="Textonotapie"/>
        <w:ind w:firstLine="708"/>
        <w:jc w:val="both"/>
        <w:rPr>
          <w:rFonts w:ascii="Verdana" w:hAnsi="Verdana"/>
          <w:sz w:val="16"/>
          <w:szCs w:val="16"/>
          <w:lang w:val="en-US"/>
        </w:rPr>
      </w:pPr>
      <w:r w:rsidRPr="007A04EE">
        <w:rPr>
          <w:rStyle w:val="Refdenotaalpie"/>
          <w:rFonts w:ascii="Verdana" w:hAnsi="Verdana"/>
          <w:sz w:val="16"/>
          <w:szCs w:val="16"/>
        </w:rPr>
        <w:footnoteRef/>
      </w:r>
      <w:r w:rsidRPr="007A04EE">
        <w:rPr>
          <w:rFonts w:ascii="Verdana" w:hAnsi="Verdana"/>
          <w:sz w:val="16"/>
          <w:szCs w:val="16"/>
        </w:rPr>
        <w:t xml:space="preserve"> </w:t>
      </w:r>
      <w:r w:rsidRPr="007A04EE">
        <w:rPr>
          <w:rFonts w:ascii="Verdana" w:hAnsi="Verdana"/>
          <w:i/>
          <w:iCs/>
          <w:sz w:val="16"/>
          <w:szCs w:val="16"/>
        </w:rPr>
        <w:t>Ibidem</w:t>
      </w:r>
      <w:r>
        <w:rPr>
          <w:rFonts w:ascii="Verdana" w:hAnsi="Verdana"/>
          <w:sz w:val="16"/>
          <w:szCs w:val="16"/>
        </w:rPr>
        <w:t xml:space="preserve">, p. 159.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pt;height:1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52AD"/>
    <w:rsid w:val="00082362"/>
    <w:rsid w:val="000A683E"/>
    <w:rsid w:val="000B19B9"/>
    <w:rsid w:val="000D0334"/>
    <w:rsid w:val="000F6486"/>
    <w:rsid w:val="00125105"/>
    <w:rsid w:val="00127233"/>
    <w:rsid w:val="001511A0"/>
    <w:rsid w:val="001943ED"/>
    <w:rsid w:val="001E4177"/>
    <w:rsid w:val="001F72ED"/>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63C7E"/>
    <w:rsid w:val="00374F5E"/>
    <w:rsid w:val="00377E3E"/>
    <w:rsid w:val="003A779E"/>
    <w:rsid w:val="003C5C51"/>
    <w:rsid w:val="003D0F4D"/>
    <w:rsid w:val="003D5B0D"/>
    <w:rsid w:val="003E0499"/>
    <w:rsid w:val="003F3941"/>
    <w:rsid w:val="00404D40"/>
    <w:rsid w:val="00406575"/>
    <w:rsid w:val="00414C74"/>
    <w:rsid w:val="00416CAC"/>
    <w:rsid w:val="0042722E"/>
    <w:rsid w:val="0044528D"/>
    <w:rsid w:val="004570A7"/>
    <w:rsid w:val="004A1847"/>
    <w:rsid w:val="004A305D"/>
    <w:rsid w:val="004A550D"/>
    <w:rsid w:val="004A6598"/>
    <w:rsid w:val="004D3799"/>
    <w:rsid w:val="004F21C4"/>
    <w:rsid w:val="004F4694"/>
    <w:rsid w:val="004F685F"/>
    <w:rsid w:val="005563D9"/>
    <w:rsid w:val="005566E8"/>
    <w:rsid w:val="00574867"/>
    <w:rsid w:val="00574FC5"/>
    <w:rsid w:val="00591460"/>
    <w:rsid w:val="005B3816"/>
    <w:rsid w:val="005C3777"/>
    <w:rsid w:val="005C5CDC"/>
    <w:rsid w:val="005D476C"/>
    <w:rsid w:val="006219F8"/>
    <w:rsid w:val="00665D70"/>
    <w:rsid w:val="006900D9"/>
    <w:rsid w:val="00706C16"/>
    <w:rsid w:val="00724135"/>
    <w:rsid w:val="00756841"/>
    <w:rsid w:val="007649AB"/>
    <w:rsid w:val="00771D0C"/>
    <w:rsid w:val="007833AC"/>
    <w:rsid w:val="007B268C"/>
    <w:rsid w:val="007B7171"/>
    <w:rsid w:val="007C0C0F"/>
    <w:rsid w:val="007C3DC2"/>
    <w:rsid w:val="007C7F50"/>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21A9"/>
    <w:rsid w:val="009B2D26"/>
    <w:rsid w:val="009C71FA"/>
    <w:rsid w:val="009C72E7"/>
    <w:rsid w:val="009D3058"/>
    <w:rsid w:val="009F3A13"/>
    <w:rsid w:val="00A122D3"/>
    <w:rsid w:val="00A17F13"/>
    <w:rsid w:val="00A20739"/>
    <w:rsid w:val="00A33C78"/>
    <w:rsid w:val="00A87E90"/>
    <w:rsid w:val="00AB0ADB"/>
    <w:rsid w:val="00B01B1A"/>
    <w:rsid w:val="00B66319"/>
    <w:rsid w:val="00B72CD3"/>
    <w:rsid w:val="00B72FFF"/>
    <w:rsid w:val="00BC3D36"/>
    <w:rsid w:val="00BD7F72"/>
    <w:rsid w:val="00C04FB3"/>
    <w:rsid w:val="00C20B20"/>
    <w:rsid w:val="00C330EB"/>
    <w:rsid w:val="00C41061"/>
    <w:rsid w:val="00C42A39"/>
    <w:rsid w:val="00C754BE"/>
    <w:rsid w:val="00C76B1C"/>
    <w:rsid w:val="00CB6357"/>
    <w:rsid w:val="00CC1B26"/>
    <w:rsid w:val="00D423A2"/>
    <w:rsid w:val="00D520D8"/>
    <w:rsid w:val="00D63AC2"/>
    <w:rsid w:val="00D7383B"/>
    <w:rsid w:val="00D761A6"/>
    <w:rsid w:val="00D85535"/>
    <w:rsid w:val="00DA231B"/>
    <w:rsid w:val="00DC39FC"/>
    <w:rsid w:val="00DF371F"/>
    <w:rsid w:val="00DF5254"/>
    <w:rsid w:val="00E16408"/>
    <w:rsid w:val="00E20894"/>
    <w:rsid w:val="00E245AB"/>
    <w:rsid w:val="00E2764C"/>
    <w:rsid w:val="00E27F2E"/>
    <w:rsid w:val="00E50AFE"/>
    <w:rsid w:val="00E53B42"/>
    <w:rsid w:val="00E75C92"/>
    <w:rsid w:val="00E771DC"/>
    <w:rsid w:val="00E8772A"/>
    <w:rsid w:val="00E90F6B"/>
    <w:rsid w:val="00E92C27"/>
    <w:rsid w:val="00EA0E3D"/>
    <w:rsid w:val="00EA6707"/>
    <w:rsid w:val="00EC38A7"/>
    <w:rsid w:val="00ED7384"/>
    <w:rsid w:val="00EE1AA8"/>
    <w:rsid w:val="00F31EDC"/>
    <w:rsid w:val="00F462B3"/>
    <w:rsid w:val="00F5664F"/>
    <w:rsid w:val="00F666C4"/>
    <w:rsid w:val="00F76AFC"/>
    <w:rsid w:val="00FA47C0"/>
    <w:rsid w:val="00FB5DD1"/>
    <w:rsid w:val="00FC2B5D"/>
    <w:rsid w:val="00FE0952"/>
    <w:rsid w:val="00FF1449"/>
    <w:rsid w:val="165E9519"/>
    <w:rsid w:val="2E7FB55D"/>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63C7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63C7E"/>
    <w:rPr>
      <w:rFonts w:ascii="Geomanist Light" w:hAnsi="Geomanist Light"/>
      <w:lang w:val="es-ES"/>
    </w:rPr>
  </w:style>
  <w:style w:type="character" w:customStyle="1" w:styleId="s15">
    <w:name w:val="s15"/>
    <w:basedOn w:val="Fuentedeprrafopredeter"/>
    <w:rsid w:val="00363C7E"/>
  </w:style>
  <w:style w:type="character" w:customStyle="1" w:styleId="apple-converted-space">
    <w:name w:val="apple-converted-space"/>
    <w:basedOn w:val="Fuentedeprrafopredeter"/>
    <w:rsid w:val="00363C7E"/>
  </w:style>
  <w:style w:type="paragraph" w:customStyle="1" w:styleId="s16">
    <w:name w:val="s16"/>
    <w:basedOn w:val="Normal"/>
    <w:rsid w:val="00363C7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363C7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363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16T14:43:33.136"/>
    </inkml:context>
    <inkml:brush xml:id="br0">
      <inkml:brushProperty name="width" value="0.03501" units="cm"/>
      <inkml:brushProperty name="height" value="0.03501" units="cm"/>
      <inkml:brushProperty name="color" value="#E71224"/>
    </inkml:brush>
  </inkml:definitions>
  <inkml:trace contextRef="#ctx0" brushRef="#br0">1 1 24575,'0'0'0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3BBB10-4707-406F-87F3-BE60310B7664}"/>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4835</Words>
  <Characters>26595</Characters>
  <Application>Microsoft Office Word</Application>
  <DocSecurity>0</DocSecurity>
  <Lines>221</Lines>
  <Paragraphs>62</Paragraphs>
  <ScaleCrop>false</ScaleCrop>
  <Company/>
  <LinksUpToDate>false</LinksUpToDate>
  <CharactersWithSpaces>31368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2025-07-19T02:22:00Z</dcterms:created>
  <dcterms:modified xsi:type="dcterms:W3CDTF">2025-07-19T03:32:00Z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