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5306B" w14:textId="77777777" w:rsidR="005F0FA1" w:rsidRPr="008E1354" w:rsidRDefault="005F0FA1" w:rsidP="008E1354">
      <w:pPr>
        <w:snapToGrid w:val="0"/>
        <w:spacing w:after="0" w:line="240" w:lineRule="auto"/>
        <w:contextualSpacing/>
        <w:jc w:val="both"/>
        <w:rPr>
          <w:rFonts w:ascii="Verdana" w:eastAsia="Calibri" w:hAnsi="Verdana" w:cs="Arial"/>
          <w:b/>
          <w:bCs/>
          <w:sz w:val="20"/>
          <w:szCs w:val="20"/>
          <w:lang w:val="es-ES" w:eastAsia="es-ES_tradnl"/>
        </w:rPr>
      </w:pPr>
      <w:r w:rsidRPr="008E1354">
        <w:rPr>
          <w:rFonts w:ascii="Verdana" w:eastAsia="Calibri" w:hAnsi="Verdana" w:cs="Arial"/>
          <w:b/>
          <w:bCs/>
          <w:lang w:val="es-ES" w:eastAsia="es-ES_tradnl"/>
        </w:rPr>
        <w:t xml:space="preserve">CONTRATOS DE PRESTACIÓN DE SERVICIOS – Generalidades </w:t>
      </w:r>
    </w:p>
    <w:p w14:paraId="75C16BE0" w14:textId="77777777" w:rsidR="008E1354" w:rsidRDefault="008E1354" w:rsidP="008E1354">
      <w:pPr>
        <w:snapToGrid w:val="0"/>
        <w:spacing w:after="0" w:line="240" w:lineRule="auto"/>
        <w:contextualSpacing/>
        <w:jc w:val="both"/>
        <w:rPr>
          <w:rFonts w:ascii="Verdana" w:eastAsia="Calibri" w:hAnsi="Verdana" w:cs="Arial"/>
          <w:sz w:val="20"/>
          <w:szCs w:val="20"/>
          <w:lang w:val="es-ES"/>
        </w:rPr>
      </w:pPr>
    </w:p>
    <w:p w14:paraId="212A3CDC" w14:textId="0D4A4839" w:rsidR="008E1354" w:rsidRPr="008E1354" w:rsidRDefault="008E1354" w:rsidP="008E1354">
      <w:pPr>
        <w:snapToGrid w:val="0"/>
        <w:spacing w:after="0" w:line="240" w:lineRule="auto"/>
        <w:contextualSpacing/>
        <w:jc w:val="both"/>
        <w:rPr>
          <w:rFonts w:ascii="Verdana" w:eastAsia="Calibri" w:hAnsi="Verdana" w:cs="Arial"/>
          <w:sz w:val="20"/>
          <w:szCs w:val="20"/>
          <w:lang w:val="es-ES"/>
        </w:rPr>
      </w:pPr>
      <w:r w:rsidRPr="008E1354">
        <w:rPr>
          <w:rFonts w:ascii="Verdana" w:eastAsia="Calibri" w:hAnsi="Verdana" w:cs="Arial"/>
          <w:sz w:val="20"/>
          <w:szCs w:val="20"/>
          <w:lang w:val="es-ES"/>
        </w:rPr>
        <w:t>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 literal h) de la Ley 1150 de 2007.</w:t>
      </w:r>
    </w:p>
    <w:p w14:paraId="36B4E698" w14:textId="77777777" w:rsidR="005F0FA1" w:rsidRPr="008E1354" w:rsidRDefault="005F0FA1" w:rsidP="008E1354">
      <w:pPr>
        <w:snapToGrid w:val="0"/>
        <w:spacing w:after="0" w:line="240" w:lineRule="auto"/>
        <w:contextualSpacing/>
        <w:jc w:val="both"/>
        <w:rPr>
          <w:rFonts w:ascii="Verdana" w:eastAsia="Calibri" w:hAnsi="Verdana" w:cs="Arial"/>
          <w:b/>
          <w:bCs/>
          <w:sz w:val="20"/>
          <w:szCs w:val="20"/>
          <w:lang w:val="es-ES" w:eastAsia="es-ES_tradnl"/>
        </w:rPr>
      </w:pPr>
    </w:p>
    <w:p w14:paraId="468EC2C0" w14:textId="77777777" w:rsidR="005F0FA1" w:rsidRDefault="005F0FA1" w:rsidP="008E1354">
      <w:pPr>
        <w:snapToGrid w:val="0"/>
        <w:spacing w:after="0" w:line="240" w:lineRule="auto"/>
        <w:contextualSpacing/>
        <w:jc w:val="both"/>
        <w:rPr>
          <w:rFonts w:ascii="Verdana" w:eastAsia="Times New Roman" w:hAnsi="Verdana" w:cs="Arial"/>
          <w:b/>
          <w:bCs/>
          <w:lang w:val="es-ES" w:eastAsia="es-ES_tradnl"/>
        </w:rPr>
      </w:pPr>
      <w:r w:rsidRPr="008E1354">
        <w:rPr>
          <w:rFonts w:ascii="Verdana" w:eastAsia="Times New Roman" w:hAnsi="Verdana" w:cs="Arial"/>
          <w:b/>
          <w:bCs/>
          <w:lang w:val="es-ES" w:eastAsia="es-ES_tradnl"/>
        </w:rPr>
        <w:t>SUSPENSIÓN DE CONTRATO – Concepto</w:t>
      </w:r>
    </w:p>
    <w:p w14:paraId="14E51172" w14:textId="77777777" w:rsidR="008E1354" w:rsidRPr="008E1354" w:rsidRDefault="008E1354" w:rsidP="008E1354">
      <w:pPr>
        <w:snapToGrid w:val="0"/>
        <w:spacing w:after="0" w:line="240" w:lineRule="auto"/>
        <w:contextualSpacing/>
        <w:jc w:val="both"/>
        <w:rPr>
          <w:rFonts w:ascii="Verdana" w:eastAsia="Times New Roman" w:hAnsi="Verdana" w:cs="Arial"/>
          <w:b/>
          <w:bCs/>
          <w:sz w:val="20"/>
          <w:szCs w:val="20"/>
          <w:lang w:val="es-ES" w:eastAsia="es-ES_tradnl"/>
        </w:rPr>
      </w:pPr>
    </w:p>
    <w:p w14:paraId="0F8BCB0D" w14:textId="04622596" w:rsidR="008E1354" w:rsidRPr="008E1354" w:rsidRDefault="008E1354" w:rsidP="008E1354">
      <w:pPr>
        <w:snapToGrid w:val="0"/>
        <w:spacing w:after="0" w:line="240" w:lineRule="auto"/>
        <w:contextualSpacing/>
        <w:jc w:val="both"/>
        <w:rPr>
          <w:rFonts w:ascii="Verdana" w:eastAsia="Calibri" w:hAnsi="Verdana" w:cs="Arial"/>
          <w:b/>
          <w:bCs/>
          <w:sz w:val="20"/>
          <w:szCs w:val="20"/>
          <w:lang w:val="es-ES" w:eastAsia="es-ES_tradnl"/>
        </w:rPr>
      </w:pPr>
      <w:r w:rsidRPr="008E1354">
        <w:rPr>
          <w:rFonts w:ascii="Verdana" w:eastAsia="Calibri" w:hAnsi="Verdana" w:cs="Arial"/>
          <w:color w:val="000000"/>
          <w:sz w:val="20"/>
          <w:szCs w:val="20"/>
          <w:lang w:val="es-ES"/>
        </w:rPr>
        <w:t xml:space="preserve">La </w:t>
      </w:r>
      <w:r w:rsidRPr="008E1354">
        <w:rPr>
          <w:rFonts w:ascii="Verdana" w:eastAsia="Calibri" w:hAnsi="Verdana" w:cs="Arial"/>
          <w:i/>
          <w:iCs/>
          <w:color w:val="000000"/>
          <w:sz w:val="20"/>
          <w:szCs w:val="20"/>
          <w:lang w:val="es-ES"/>
        </w:rPr>
        <w:t>suspensión</w:t>
      </w:r>
      <w:r w:rsidRPr="008E1354">
        <w:rPr>
          <w:rFonts w:ascii="Verdana" w:eastAsia="Calibri" w:hAnsi="Verdana" w:cs="Arial"/>
          <w:color w:val="000000"/>
          <w:sz w:val="20"/>
          <w:szCs w:val="20"/>
          <w:lang w:val="es-ES"/>
        </w:rPr>
        <w:t xml:space="preserve"> del contrato estatal es la mediada por la cual se acuerda el cese provisional de la ejecución del contrato, por la ocurrencia de circunstancias que lo impiden o lo dificultan</w:t>
      </w:r>
      <w:r w:rsidRPr="008E1354">
        <w:rPr>
          <w:rFonts w:ascii="Verdana" w:eastAsia="Times New Roman" w:hAnsi="Verdana" w:cs="Arial"/>
          <w:color w:val="000000"/>
          <w:sz w:val="20"/>
          <w:szCs w:val="20"/>
          <w:lang w:val="es-ES" w:eastAsia="es-ES_tradnl"/>
        </w:rPr>
        <w:t>. De esta forma, pese a que durante la fase de planeación las Entidades Estatales deben prever los riesgos que pueden afectar la ejecución normal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w:t>
      </w:r>
    </w:p>
    <w:p w14:paraId="52EE003B" w14:textId="77777777" w:rsidR="008E1354" w:rsidRPr="008E1354" w:rsidRDefault="008E1354" w:rsidP="008E1354">
      <w:pPr>
        <w:snapToGrid w:val="0"/>
        <w:spacing w:after="0" w:line="240" w:lineRule="auto"/>
        <w:contextualSpacing/>
        <w:jc w:val="both"/>
        <w:rPr>
          <w:rFonts w:ascii="Verdana" w:eastAsia="Times New Roman" w:hAnsi="Verdana" w:cs="Arial"/>
          <w:b/>
          <w:bCs/>
          <w:sz w:val="20"/>
          <w:szCs w:val="20"/>
          <w:lang w:val="es-ES" w:eastAsia="es-ES_tradnl"/>
        </w:rPr>
      </w:pPr>
    </w:p>
    <w:p w14:paraId="30FDEC1F" w14:textId="77777777" w:rsidR="005F0FA1" w:rsidRPr="008E1354" w:rsidRDefault="005F0FA1" w:rsidP="008E1354">
      <w:pPr>
        <w:snapToGrid w:val="0"/>
        <w:spacing w:after="0" w:line="240" w:lineRule="auto"/>
        <w:contextualSpacing/>
        <w:jc w:val="both"/>
        <w:rPr>
          <w:rFonts w:ascii="Verdana" w:eastAsia="Times New Roman" w:hAnsi="Verdana" w:cs="Arial"/>
          <w:b/>
          <w:bCs/>
          <w:sz w:val="21"/>
          <w:szCs w:val="21"/>
          <w:lang w:val="es-ES" w:eastAsia="es-ES_tradnl"/>
        </w:rPr>
      </w:pPr>
      <w:r w:rsidRPr="008E1354">
        <w:rPr>
          <w:rFonts w:ascii="Verdana" w:eastAsia="Times New Roman" w:hAnsi="Verdana" w:cs="Arial"/>
          <w:b/>
          <w:bCs/>
          <w:sz w:val="21"/>
          <w:szCs w:val="21"/>
          <w:lang w:val="es-ES" w:eastAsia="es-ES_tradnl"/>
        </w:rPr>
        <w:t>SUSPENSIÓN DE CONTRATO – Requisitos Mínimos</w:t>
      </w:r>
    </w:p>
    <w:p w14:paraId="41701854" w14:textId="77777777" w:rsidR="008E1354" w:rsidRDefault="008E1354" w:rsidP="008E1354">
      <w:pPr>
        <w:snapToGrid w:val="0"/>
        <w:spacing w:after="0" w:line="240" w:lineRule="auto"/>
        <w:contextualSpacing/>
        <w:jc w:val="both"/>
        <w:rPr>
          <w:rFonts w:ascii="Verdana" w:eastAsia="Calibri" w:hAnsi="Verdana" w:cs="Arial"/>
          <w:sz w:val="20"/>
          <w:szCs w:val="20"/>
          <w:lang w:val="es-ES"/>
        </w:rPr>
      </w:pPr>
    </w:p>
    <w:p w14:paraId="289885E0" w14:textId="3CDFC497" w:rsidR="008E1354" w:rsidRDefault="008E1354" w:rsidP="008E1354">
      <w:pPr>
        <w:snapToGrid w:val="0"/>
        <w:spacing w:after="0" w:line="240" w:lineRule="auto"/>
        <w:contextualSpacing/>
        <w:jc w:val="both"/>
        <w:rPr>
          <w:rFonts w:ascii="Verdana" w:eastAsia="Times New Roman" w:hAnsi="Verdana" w:cs="Arial"/>
          <w:color w:val="000000"/>
          <w:sz w:val="20"/>
          <w:szCs w:val="20"/>
          <w:lang w:val="es-ES" w:eastAsia="es-ES_tradnl"/>
        </w:rPr>
      </w:pPr>
      <w:r w:rsidRPr="008E1354">
        <w:rPr>
          <w:rFonts w:ascii="Verdana" w:eastAsia="Calibri" w:hAnsi="Verdana" w:cs="Arial"/>
          <w:sz w:val="20"/>
          <w:szCs w:val="20"/>
          <w:lang w:val="es-ES"/>
        </w:rPr>
        <w:t xml:space="preserve">En virtud de lo anterior, los contratos de prestación de servicios, al igual que aquellos suscritos en virtud de otras modalidades de selección previstas en el Estatuto General de Contratación de la Administración Pública –En adelante EGCAP–, pueden ser objeto de suspensión. </w:t>
      </w:r>
      <w:r w:rsidRPr="008E1354">
        <w:rPr>
          <w:rFonts w:ascii="Verdana" w:eastAsia="Calibri" w:hAnsi="Verdana" w:cs="Arial"/>
          <w:color w:val="000000"/>
          <w:sz w:val="20"/>
          <w:szCs w:val="20"/>
          <w:lang w:val="es-ES"/>
        </w:rPr>
        <w:t xml:space="preserve">La </w:t>
      </w:r>
      <w:r w:rsidRPr="008E1354">
        <w:rPr>
          <w:rFonts w:ascii="Verdana" w:eastAsia="Calibri" w:hAnsi="Verdana" w:cs="Arial"/>
          <w:i/>
          <w:iCs/>
          <w:color w:val="000000"/>
          <w:sz w:val="20"/>
          <w:szCs w:val="20"/>
          <w:lang w:val="es-ES"/>
        </w:rPr>
        <w:t>suspensión</w:t>
      </w:r>
      <w:r w:rsidRPr="008E1354">
        <w:rPr>
          <w:rFonts w:ascii="Verdana" w:eastAsia="Calibri" w:hAnsi="Verdana" w:cs="Arial"/>
          <w:color w:val="000000"/>
          <w:sz w:val="20"/>
          <w:szCs w:val="20"/>
          <w:lang w:val="es-ES"/>
        </w:rPr>
        <w:t xml:space="preserve"> del contrato estatal es la mediada por la cual se acuerda el cese provisional de la ejecución del contrato, por la ocurrencia de circunstancias que lo impiden o lo dificultan</w:t>
      </w:r>
      <w:r w:rsidRPr="008E1354">
        <w:rPr>
          <w:rFonts w:ascii="Verdana" w:eastAsia="Times New Roman" w:hAnsi="Verdana" w:cs="Arial"/>
          <w:color w:val="000000"/>
          <w:sz w:val="20"/>
          <w:szCs w:val="20"/>
          <w:lang w:val="es-ES" w:eastAsia="es-ES_tradnl"/>
        </w:rPr>
        <w:t>. De esta forma, pese a que durante la fase de planeación las Entidades Estatales deben prever los riesgos que pueden afectar la ejecución normal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w:t>
      </w:r>
    </w:p>
    <w:p w14:paraId="0D456875" w14:textId="77777777" w:rsidR="008E1354" w:rsidRDefault="008E1354" w:rsidP="008E1354">
      <w:pPr>
        <w:snapToGrid w:val="0"/>
        <w:spacing w:after="0" w:line="240" w:lineRule="auto"/>
        <w:contextualSpacing/>
        <w:jc w:val="both"/>
        <w:rPr>
          <w:rFonts w:ascii="Verdana" w:eastAsia="Times New Roman" w:hAnsi="Verdana" w:cs="Arial"/>
          <w:color w:val="000000"/>
          <w:sz w:val="20"/>
          <w:szCs w:val="20"/>
          <w:lang w:val="es-ES" w:eastAsia="es-ES_tradnl"/>
        </w:rPr>
      </w:pPr>
    </w:p>
    <w:p w14:paraId="53B624DD" w14:textId="3DB19A69" w:rsidR="008E1354" w:rsidRPr="008E1354" w:rsidRDefault="008E1354" w:rsidP="008E1354">
      <w:pPr>
        <w:snapToGrid w:val="0"/>
        <w:spacing w:after="0" w:line="240" w:lineRule="auto"/>
        <w:contextualSpacing/>
        <w:jc w:val="both"/>
        <w:rPr>
          <w:rFonts w:ascii="Verdana" w:eastAsia="Times New Roman" w:hAnsi="Verdana" w:cs="Arial"/>
          <w:color w:val="000000"/>
          <w:sz w:val="20"/>
          <w:szCs w:val="20"/>
          <w:lang w:val="es-ES" w:eastAsia="es-ES_tradnl"/>
        </w:rPr>
      </w:pPr>
      <w:r w:rsidRPr="008E1354">
        <w:rPr>
          <w:rFonts w:ascii="Verdana" w:eastAsia="Times New Roman" w:hAnsi="Verdana" w:cs="Arial"/>
          <w:color w:val="000000"/>
          <w:sz w:val="20"/>
          <w:szCs w:val="20"/>
          <w:lang w:val="es-ES" w:eastAsia="es-ES_tradnl"/>
        </w:rPr>
        <w:t xml:space="preserve">Esto quiere decir que la suspensión puede ser </w:t>
      </w:r>
      <w:r w:rsidRPr="008E1354">
        <w:rPr>
          <w:rFonts w:ascii="Verdana" w:eastAsia="Times New Roman" w:hAnsi="Verdana" w:cs="Arial"/>
          <w:i/>
          <w:iCs/>
          <w:color w:val="000000"/>
          <w:sz w:val="20"/>
          <w:szCs w:val="20"/>
          <w:lang w:val="es-ES" w:eastAsia="es-ES_tradnl"/>
        </w:rPr>
        <w:t>acordada</w:t>
      </w:r>
      <w:r w:rsidRPr="008E1354">
        <w:rPr>
          <w:rFonts w:ascii="Verdana" w:eastAsia="Times New Roman" w:hAnsi="Verdana" w:cs="Arial"/>
          <w:color w:val="000000"/>
          <w:sz w:val="20"/>
          <w:szCs w:val="20"/>
          <w:lang w:val="es-ES" w:eastAsia="es-ES_tradnl"/>
        </w:rPr>
        <w:t xml:space="preserve">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o caso fortuito, o que procuran la satisfacción del interés público. Sobre el particular el Consejo de Estado ha manifestado lo siguiente: </w:t>
      </w:r>
      <w:r w:rsidRPr="008E1354">
        <w:rPr>
          <w:rFonts w:ascii="Verdana" w:eastAsia="Calibri" w:hAnsi="Verdana" w:cs="Arial"/>
          <w:bCs/>
          <w:color w:val="000000"/>
          <w:sz w:val="20"/>
          <w:szCs w:val="20"/>
          <w:lang w:val="es-ES"/>
        </w:rPr>
        <w:t>“Dado el interés público que gravita sobre la contratación estatal, las partes contratantes deberán en cada caso concreto: (i) ponderar que la naturaleza del contrato estatal admita la posibilidad de suspenderlo, (</w:t>
      </w:r>
      <w:proofErr w:type="spellStart"/>
      <w:r w:rsidRPr="008E1354">
        <w:rPr>
          <w:rFonts w:ascii="Verdana" w:eastAsia="Calibri" w:hAnsi="Verdana" w:cs="Arial"/>
          <w:bCs/>
          <w:color w:val="000000"/>
          <w:sz w:val="20"/>
          <w:szCs w:val="20"/>
          <w:lang w:val="es-ES"/>
        </w:rPr>
        <w:t>ii</w:t>
      </w:r>
      <w:proofErr w:type="spellEnd"/>
      <w:r w:rsidRPr="008E1354">
        <w:rPr>
          <w:rFonts w:ascii="Verdana" w:eastAsia="Calibri" w:hAnsi="Verdana" w:cs="Arial"/>
          <w:bCs/>
          <w:color w:val="000000"/>
          <w:sz w:val="20"/>
          <w:szCs w:val="20"/>
          <w:lang w:val="es-ES"/>
        </w:rPr>
        <w:t xml:space="preserve">) verificar que lo que se pacte no esté </w:t>
      </w:r>
      <w:r w:rsidRPr="008E1354">
        <w:rPr>
          <w:rFonts w:ascii="Verdana" w:eastAsia="Calibri" w:hAnsi="Verdana" w:cs="Arial"/>
          <w:bCs/>
          <w:color w:val="000000"/>
          <w:sz w:val="20"/>
          <w:szCs w:val="20"/>
          <w:lang w:val="es-ES"/>
        </w:rPr>
        <w:lastRenderedPageBreak/>
        <w:t>prohibido expresamente en la ley ni resulte contrario al orden público y a las buenas costumbres, (</w:t>
      </w:r>
      <w:proofErr w:type="spellStart"/>
      <w:r w:rsidRPr="008E1354">
        <w:rPr>
          <w:rFonts w:ascii="Verdana" w:eastAsia="Calibri" w:hAnsi="Verdana" w:cs="Arial"/>
          <w:bCs/>
          <w:color w:val="000000"/>
          <w:sz w:val="20"/>
          <w:szCs w:val="20"/>
          <w:lang w:val="es-ES"/>
        </w:rPr>
        <w:t>iii</w:t>
      </w:r>
      <w:proofErr w:type="spellEnd"/>
      <w:r w:rsidRPr="008E1354">
        <w:rPr>
          <w:rFonts w:ascii="Verdana" w:eastAsia="Calibri" w:hAnsi="Verdana" w:cs="Arial"/>
          <w:bCs/>
          <w:color w:val="000000"/>
          <w:sz w:val="20"/>
          <w:szCs w:val="20"/>
          <w:lang w:val="es-ES"/>
        </w:rPr>
        <w:t xml:space="preserve">) garantizar que la suspensión tenga por objeto la consecución del interés general y el cumplimiento de los fines </w:t>
      </w:r>
      <w:proofErr w:type="gramStart"/>
      <w:r w:rsidRPr="008E1354">
        <w:rPr>
          <w:rFonts w:ascii="Verdana" w:eastAsia="Calibri" w:hAnsi="Verdana" w:cs="Arial"/>
          <w:bCs/>
          <w:color w:val="000000"/>
          <w:sz w:val="20"/>
          <w:szCs w:val="20"/>
          <w:lang w:val="es-ES"/>
        </w:rPr>
        <w:t>estatales ;</w:t>
      </w:r>
      <w:proofErr w:type="gramEnd"/>
      <w:r w:rsidRPr="008E1354">
        <w:rPr>
          <w:rFonts w:ascii="Verdana" w:eastAsia="Calibri" w:hAnsi="Verdana" w:cs="Arial"/>
          <w:bCs/>
          <w:color w:val="000000"/>
          <w:sz w:val="20"/>
          <w:szCs w:val="20"/>
          <w:lang w:val="es-ES"/>
        </w:rPr>
        <w:t xml:space="preserve"> y (</w:t>
      </w:r>
      <w:proofErr w:type="spellStart"/>
      <w:r w:rsidRPr="008E1354">
        <w:rPr>
          <w:rFonts w:ascii="Verdana" w:eastAsia="Calibri" w:hAnsi="Verdana" w:cs="Arial"/>
          <w:bCs/>
          <w:color w:val="000000"/>
          <w:sz w:val="20"/>
          <w:szCs w:val="20"/>
          <w:lang w:val="es-ES"/>
        </w:rPr>
        <w:t>iv</w:t>
      </w:r>
      <w:proofErr w:type="spellEnd"/>
      <w:r w:rsidRPr="008E1354">
        <w:rPr>
          <w:rFonts w:ascii="Verdana" w:eastAsia="Calibri" w:hAnsi="Verdana" w:cs="Arial"/>
          <w:bCs/>
          <w:color w:val="000000"/>
          <w:sz w:val="20"/>
          <w:szCs w:val="20"/>
          <w:lang w:val="es-ES"/>
        </w:rPr>
        <w:t>)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8E1354">
        <w:rPr>
          <w:rFonts w:ascii="Verdana" w:eastAsia="Aptos" w:hAnsi="Verdana" w:cs="Times New Roman"/>
          <w:sz w:val="20"/>
          <w:szCs w:val="20"/>
          <w:lang w:val="es-ES"/>
        </w:rPr>
        <w:t>.</w:t>
      </w:r>
    </w:p>
    <w:p w14:paraId="1E4867C4" w14:textId="77777777" w:rsidR="008E1354" w:rsidRPr="008E1354" w:rsidRDefault="008E1354" w:rsidP="008E1354">
      <w:pPr>
        <w:snapToGrid w:val="0"/>
        <w:spacing w:after="0" w:line="240" w:lineRule="auto"/>
        <w:contextualSpacing/>
        <w:jc w:val="both"/>
        <w:rPr>
          <w:rFonts w:ascii="Verdana" w:eastAsia="Times New Roman" w:hAnsi="Verdana" w:cs="Arial"/>
          <w:b/>
          <w:bCs/>
          <w:sz w:val="20"/>
          <w:szCs w:val="20"/>
          <w:lang w:val="es-ES" w:eastAsia="es-ES_tradnl"/>
        </w:rPr>
      </w:pPr>
    </w:p>
    <w:p w14:paraId="3D54B573" w14:textId="77777777" w:rsidR="005F0FA1" w:rsidRPr="008E1354" w:rsidRDefault="005F0FA1" w:rsidP="008E1354">
      <w:pPr>
        <w:snapToGrid w:val="0"/>
        <w:spacing w:after="0" w:line="240" w:lineRule="auto"/>
        <w:contextualSpacing/>
        <w:jc w:val="both"/>
        <w:rPr>
          <w:rFonts w:ascii="Verdana" w:eastAsia="Times New Roman" w:hAnsi="Verdana" w:cs="Arial"/>
          <w:b/>
          <w:bCs/>
          <w:lang w:val="es-ES" w:eastAsia="es-ES_tradnl"/>
        </w:rPr>
      </w:pPr>
      <w:r w:rsidRPr="008E1354">
        <w:rPr>
          <w:rFonts w:ascii="Verdana" w:eastAsia="Times New Roman" w:hAnsi="Verdana" w:cs="Arial"/>
          <w:b/>
          <w:bCs/>
          <w:lang w:val="es-ES" w:eastAsia="es-ES_tradnl"/>
        </w:rPr>
        <w:t>SUSPENSIÓN DE CONTRATO – Efectos en el plazo de ejecución pactado</w:t>
      </w:r>
    </w:p>
    <w:p w14:paraId="3B4AB844" w14:textId="77777777" w:rsidR="008E1354" w:rsidRDefault="008E1354" w:rsidP="008E1354">
      <w:pPr>
        <w:snapToGrid w:val="0"/>
        <w:spacing w:after="0" w:line="240" w:lineRule="auto"/>
        <w:contextualSpacing/>
        <w:jc w:val="both"/>
        <w:rPr>
          <w:rFonts w:ascii="Verdana" w:hAnsi="Verdana" w:cs="Arial"/>
          <w:sz w:val="20"/>
          <w:szCs w:val="20"/>
          <w:lang w:val="es-ES"/>
        </w:rPr>
      </w:pPr>
    </w:p>
    <w:p w14:paraId="0B07F8E5" w14:textId="1EB906E8" w:rsidR="008E1354" w:rsidRDefault="008E1354" w:rsidP="008E1354">
      <w:pPr>
        <w:snapToGrid w:val="0"/>
        <w:spacing w:after="0" w:line="240" w:lineRule="auto"/>
        <w:contextualSpacing/>
        <w:jc w:val="both"/>
        <w:rPr>
          <w:rFonts w:ascii="Verdana" w:hAnsi="Verdana" w:cs="Arial"/>
          <w:sz w:val="20"/>
          <w:szCs w:val="20"/>
          <w:lang w:val="es-ES"/>
        </w:rPr>
      </w:pPr>
      <w:r w:rsidRPr="008E1354">
        <w:rPr>
          <w:rFonts w:ascii="Verdana" w:hAnsi="Verdana" w:cs="Arial"/>
          <w:sz w:val="20"/>
          <w:szCs w:val="20"/>
          <w:lang w:val="es-ES"/>
        </w:rPr>
        <w:t>La suspensión del contrato debe estar sujeta a un plazo o al cumplimiento de una condición pactada con criterios de razonabilidad y proporcionalidad entre las partes, acorde con la situación que se presente en cada caso, ya que la finalidad de la suspensión de un contrato estatal, como medida excepcional, está encaminada a reconocer la ocurrencia de situaciones de fuerza mayor, caso fortuito o de interés público que impiden la ejecución temporal del negocio jurídico, y es precisamente por este motivo que no puede permanecer indefinida en el tiempo.</w:t>
      </w:r>
    </w:p>
    <w:p w14:paraId="7C4A793D" w14:textId="77777777" w:rsidR="008E1354" w:rsidRDefault="008E1354" w:rsidP="008E1354">
      <w:pPr>
        <w:snapToGrid w:val="0"/>
        <w:spacing w:after="0" w:line="240" w:lineRule="auto"/>
        <w:contextualSpacing/>
        <w:jc w:val="both"/>
        <w:rPr>
          <w:rFonts w:ascii="Verdana" w:hAnsi="Verdana" w:cs="Arial"/>
          <w:sz w:val="20"/>
          <w:szCs w:val="20"/>
          <w:lang w:val="es-ES"/>
        </w:rPr>
      </w:pPr>
    </w:p>
    <w:p w14:paraId="7393E012" w14:textId="4BE42176" w:rsidR="008E1354" w:rsidRDefault="008E1354" w:rsidP="008E1354">
      <w:pPr>
        <w:snapToGrid w:val="0"/>
        <w:spacing w:after="0" w:line="240" w:lineRule="auto"/>
        <w:contextualSpacing/>
        <w:jc w:val="both"/>
        <w:rPr>
          <w:rFonts w:ascii="Verdana" w:eastAsia="Times New Roman" w:hAnsi="Verdana" w:cs="Arial"/>
          <w:color w:val="000000"/>
          <w:sz w:val="20"/>
          <w:szCs w:val="20"/>
          <w:lang w:val="es-ES" w:eastAsia="es-ES_tradnl"/>
        </w:rPr>
      </w:pPr>
      <w:r w:rsidRPr="008E1354">
        <w:rPr>
          <w:rFonts w:ascii="Verdana" w:eastAsia="Times New Roman" w:hAnsi="Verdana" w:cs="Arial"/>
          <w:color w:val="000000"/>
          <w:sz w:val="20"/>
          <w:szCs w:val="20"/>
          <w:lang w:val="es-ES" w:eastAsia="es-ES_tradnl"/>
        </w:rPr>
        <w:t xml:space="preserve">Por lo tanto, aun cuando un contrato se suspenda, conserva vigencia, pues su plazo no ha vencido, precisamente uno de los efectos de la suspensión es que se detiene provisionalmente el cómputo del plazo y las obligaciones de las partes permanecen pendientes de cumplimiento a cabalidad. Solo cuando los motivos que han dado lugar a la suspensión sean </w:t>
      </w:r>
      <w:r w:rsidRPr="008E1354">
        <w:rPr>
          <w:rFonts w:ascii="Verdana" w:eastAsia="Times New Roman" w:hAnsi="Verdana" w:cs="Arial"/>
          <w:i/>
          <w:iCs/>
          <w:color w:val="000000"/>
          <w:sz w:val="20"/>
          <w:szCs w:val="20"/>
          <w:lang w:val="es-ES" w:eastAsia="es-ES_tradnl"/>
        </w:rPr>
        <w:t>permanentes e irresistibles</w:t>
      </w:r>
      <w:r w:rsidRPr="008E1354">
        <w:rPr>
          <w:rFonts w:ascii="Verdana" w:eastAsia="Times New Roman" w:hAnsi="Verdana" w:cs="Arial"/>
          <w:color w:val="000000"/>
          <w:sz w:val="20"/>
          <w:szCs w:val="20"/>
          <w:lang w:val="es-ES" w:eastAsia="es-ES_tradnl"/>
        </w:rPr>
        <w:t>, lo que inicialmente fue solo dicha suspensión puede dar paso a la terminación, y en este evento el deudor no será responsable, salvo que las razones de la suspensión y futura terminación le sean imputables</w:t>
      </w:r>
    </w:p>
    <w:p w14:paraId="3F667C39" w14:textId="77777777" w:rsidR="008E1354" w:rsidRPr="008E1354" w:rsidRDefault="008E1354" w:rsidP="008E1354">
      <w:pPr>
        <w:snapToGrid w:val="0"/>
        <w:spacing w:after="0" w:line="240" w:lineRule="auto"/>
        <w:contextualSpacing/>
        <w:jc w:val="both"/>
        <w:rPr>
          <w:rFonts w:ascii="Verdana" w:eastAsia="Times New Roman" w:hAnsi="Verdana" w:cs="Arial"/>
          <w:b/>
          <w:bCs/>
          <w:sz w:val="20"/>
          <w:szCs w:val="20"/>
          <w:lang w:val="es-ES" w:eastAsia="es-ES_tradnl"/>
        </w:rPr>
      </w:pPr>
    </w:p>
    <w:p w14:paraId="60A54572" w14:textId="77777777" w:rsidR="008E1354" w:rsidRPr="008E1354" w:rsidRDefault="005F0FA1" w:rsidP="008E1354">
      <w:pPr>
        <w:snapToGrid w:val="0"/>
        <w:spacing w:after="0" w:line="240" w:lineRule="auto"/>
        <w:contextualSpacing/>
        <w:jc w:val="both"/>
        <w:rPr>
          <w:rFonts w:ascii="Verdana" w:eastAsia="Calibri" w:hAnsi="Verdana" w:cs="Arial"/>
          <w:b/>
          <w:bCs/>
          <w:sz w:val="20"/>
          <w:szCs w:val="20"/>
          <w:lang w:val="es-ES" w:eastAsia="es-ES_tradnl"/>
        </w:rPr>
      </w:pPr>
      <w:r w:rsidRPr="008E1354">
        <w:rPr>
          <w:rFonts w:ascii="Verdana" w:eastAsia="Calibri" w:hAnsi="Verdana" w:cs="Arial"/>
          <w:b/>
          <w:bCs/>
          <w:sz w:val="20"/>
          <w:szCs w:val="20"/>
          <w:lang w:val="es-ES" w:eastAsia="es-ES_tradnl"/>
        </w:rPr>
        <w:t xml:space="preserve">SUSPENSIÓN DEL CONTRATO – Incapacidad </w:t>
      </w:r>
    </w:p>
    <w:p w14:paraId="29D0A622" w14:textId="77777777" w:rsidR="008E1354" w:rsidRDefault="008E1354" w:rsidP="008E1354">
      <w:pPr>
        <w:tabs>
          <w:tab w:val="num" w:pos="720"/>
        </w:tabs>
        <w:snapToGrid w:val="0"/>
        <w:spacing w:after="0" w:line="240" w:lineRule="auto"/>
        <w:contextualSpacing/>
        <w:jc w:val="both"/>
        <w:rPr>
          <w:rFonts w:ascii="Verdana" w:eastAsia="Calibri" w:hAnsi="Verdana" w:cs="Arial"/>
          <w:b/>
          <w:bCs/>
          <w:sz w:val="20"/>
          <w:szCs w:val="20"/>
          <w:lang w:val="es-ES" w:eastAsia="es-ES_tradnl"/>
        </w:rPr>
      </w:pPr>
    </w:p>
    <w:p w14:paraId="6CC079AD" w14:textId="3CCADC9C" w:rsidR="008E1354" w:rsidRDefault="008E1354" w:rsidP="008E1354">
      <w:pPr>
        <w:tabs>
          <w:tab w:val="num" w:pos="720"/>
        </w:tabs>
        <w:snapToGrid w:val="0"/>
        <w:contextualSpacing/>
        <w:jc w:val="both"/>
        <w:rPr>
          <w:rFonts w:ascii="Verdana" w:eastAsia="Times New Roman" w:hAnsi="Verdana" w:cs="Arial"/>
          <w:color w:val="000000"/>
          <w:sz w:val="20"/>
          <w:szCs w:val="20"/>
          <w:lang w:val="es-ES" w:eastAsia="es-ES_tradnl"/>
        </w:rPr>
      </w:pPr>
      <w:r w:rsidRPr="008E1354">
        <w:rPr>
          <w:rFonts w:ascii="Verdana" w:eastAsia="Times New Roman" w:hAnsi="Verdana" w:cs="Arial"/>
          <w:color w:val="000000"/>
          <w:sz w:val="20"/>
          <w:szCs w:val="20"/>
          <w:lang w:val="es-ES" w:eastAsia="es-ES_tradnl"/>
        </w:rPr>
        <w:t>Uno de los motivos por el cual los contratos de prestación de servicios suelen ser materia de suspensión son los eventos que afectan la salud del contratista, de manera que resulta razonable convenir la suspensión del contrato durante el periodo necesario para superar la circunstancia incapacitante.</w:t>
      </w:r>
      <w:r w:rsidRPr="008E1354">
        <w:rPr>
          <w:rFonts w:ascii="Verdana" w:eastAsia="Times New Roman" w:hAnsi="Verdana" w:cs="Arial"/>
          <w:color w:val="000000"/>
          <w:sz w:val="20"/>
          <w:szCs w:val="20"/>
          <w:lang w:val="es-ES" w:eastAsia="es-ES"/>
        </w:rPr>
        <w:t xml:space="preserve"> En estos eventos, lo usual es suspender el contrato durante el periodo de la incapacidad, reiniciando la ejecución al cabo de </w:t>
      </w:r>
      <w:proofErr w:type="gramStart"/>
      <w:r w:rsidRPr="008E1354">
        <w:rPr>
          <w:rFonts w:ascii="Verdana" w:eastAsia="Times New Roman" w:hAnsi="Verdana" w:cs="Arial"/>
          <w:color w:val="000000"/>
          <w:sz w:val="20"/>
          <w:szCs w:val="20"/>
          <w:lang w:val="es-ES" w:eastAsia="es-ES"/>
        </w:rPr>
        <w:t>la misma</w:t>
      </w:r>
      <w:proofErr w:type="gramEnd"/>
      <w:r w:rsidRPr="008E1354">
        <w:rPr>
          <w:rFonts w:ascii="Verdana" w:eastAsia="Times New Roman" w:hAnsi="Verdana" w:cs="Arial"/>
          <w:color w:val="000000"/>
          <w:sz w:val="20"/>
          <w:szCs w:val="20"/>
          <w:lang w:val="es-ES" w:eastAsia="es-ES"/>
        </w:rPr>
        <w:t xml:space="preserve">. </w:t>
      </w:r>
      <w:r w:rsidRPr="008E1354">
        <w:rPr>
          <w:rFonts w:ascii="Verdana" w:eastAsia="Times New Roman" w:hAnsi="Verdana" w:cs="Arial"/>
          <w:color w:val="000000"/>
          <w:sz w:val="20"/>
          <w:szCs w:val="20"/>
          <w:lang w:val="es-ES" w:eastAsia="es-ES_tradnl"/>
        </w:rPr>
        <w:t>Otra opción para pactar la suspensión del contrato en estos eventos, sin que se reduzca el valor del contrato, consiste en extender el plazo de ejecución, por un periodo equivalente al lapso durante el cual estuvo suspendido.</w:t>
      </w:r>
    </w:p>
    <w:p w14:paraId="162EC0CF" w14:textId="77777777" w:rsidR="008E1354" w:rsidRDefault="008E1354" w:rsidP="008E1354">
      <w:pPr>
        <w:tabs>
          <w:tab w:val="num" w:pos="720"/>
        </w:tabs>
        <w:snapToGrid w:val="0"/>
        <w:spacing w:after="0" w:line="240" w:lineRule="auto"/>
        <w:contextualSpacing/>
        <w:jc w:val="both"/>
        <w:rPr>
          <w:rFonts w:ascii="Verdana" w:eastAsia="Times New Roman" w:hAnsi="Verdana" w:cs="Arial"/>
          <w:color w:val="000000"/>
          <w:sz w:val="20"/>
          <w:szCs w:val="20"/>
          <w:lang w:val="es-ES" w:eastAsia="es-ES_tradnl"/>
        </w:rPr>
      </w:pPr>
    </w:p>
    <w:p w14:paraId="7553E87F" w14:textId="098C7711" w:rsidR="008E1354" w:rsidRPr="008E1354" w:rsidRDefault="008E1354" w:rsidP="008E1354">
      <w:pPr>
        <w:tabs>
          <w:tab w:val="num" w:pos="720"/>
        </w:tabs>
        <w:snapToGrid w:val="0"/>
        <w:spacing w:after="0" w:line="240" w:lineRule="auto"/>
        <w:contextualSpacing/>
        <w:jc w:val="both"/>
        <w:rPr>
          <w:rFonts w:ascii="Verdana" w:eastAsia="Times New Roman" w:hAnsi="Verdana" w:cs="Arial"/>
          <w:color w:val="000000"/>
          <w:sz w:val="20"/>
          <w:szCs w:val="20"/>
          <w:lang w:val="es-ES" w:eastAsia="es-ES_tradnl"/>
        </w:rPr>
      </w:pPr>
      <w:r w:rsidRPr="008E1354">
        <w:rPr>
          <w:rFonts w:ascii="Verdana" w:eastAsia="Calibri" w:hAnsi="Verdana" w:cs="Arial"/>
          <w:sz w:val="20"/>
          <w:szCs w:val="20"/>
          <w:lang w:val="es-ES" w:eastAsia="es-ES_tradnl"/>
        </w:rPr>
        <w:t xml:space="preserve">[…] </w:t>
      </w:r>
      <w:r w:rsidRPr="008E1354">
        <w:rPr>
          <w:rFonts w:ascii="Verdana" w:eastAsia="Arial" w:hAnsi="Verdana" w:cs="Arial"/>
          <w:sz w:val="20"/>
          <w:szCs w:val="20"/>
          <w:lang w:val="es-ES"/>
        </w:rPr>
        <w:t xml:space="preserve">En virtud de lo anterior, cuando un contratista pretende el pago del auxilio por una incapacidad de origen común, ésta implica que se encuentra en un estado de inhabilidad que le impide a desarrollar su capacidad laboral por ese periodo tiempo. Con lo cual, al hacer efectiva la incapacidad, el contratista reconoce que se encuentra en un estado que le impide ejecutar las obligaciones del contrato, pues si la condición física o mental no imposibilita el desarrollo de las actividades a su cargo, no se cumple con la definición </w:t>
      </w:r>
      <w:r w:rsidRPr="008E1354">
        <w:rPr>
          <w:rFonts w:ascii="Verdana" w:eastAsia="Arial" w:hAnsi="Verdana" w:cs="Arial"/>
          <w:sz w:val="20"/>
          <w:szCs w:val="20"/>
          <w:lang w:val="es-ES"/>
        </w:rPr>
        <w:lastRenderedPageBreak/>
        <w:t>misma de “incapacidad de origen común” establecida en la normativa del SGSS en salud. En virtud de lo anterior, que el contratista obtenga el reconocimiento del auxilio por esta incapacidad, sopone que no se encuentra en condiciones para cumplir con sus obligaciones, lo cual hace posible proceder con la suspensión del contrato de prestación de servicios.</w:t>
      </w:r>
    </w:p>
    <w:p w14:paraId="160FAEDF" w14:textId="2F0B4FF7" w:rsidR="005F0FA1" w:rsidRPr="005F0FA1" w:rsidRDefault="005F0FA1" w:rsidP="008E1354">
      <w:pPr>
        <w:snapToGrid w:val="0"/>
        <w:spacing w:after="0" w:line="240" w:lineRule="auto"/>
        <w:contextualSpacing/>
        <w:jc w:val="both"/>
        <w:rPr>
          <w:rFonts w:ascii="Verdana" w:eastAsia="Calibri" w:hAnsi="Verdana" w:cs="Arial"/>
          <w:b/>
          <w:bCs/>
          <w:lang w:val="es-ES" w:eastAsia="es-ES"/>
        </w:rPr>
      </w:pPr>
      <w:r w:rsidRPr="005F0FA1">
        <w:rPr>
          <w:rFonts w:ascii="Verdana" w:eastAsia="Calibri" w:hAnsi="Verdana" w:cs="Arial"/>
          <w:b/>
          <w:bCs/>
          <w:lang w:val="es-ES" w:eastAsia="es-ES_tradnl"/>
        </w:rPr>
        <w:t xml:space="preserve"> </w:t>
      </w:r>
    </w:p>
    <w:p w14:paraId="63CEF812" w14:textId="77777777" w:rsidR="005F0FA1" w:rsidRDefault="005F0FA1" w:rsidP="0050025D">
      <w:pPr>
        <w:spacing w:after="0" w:line="240" w:lineRule="auto"/>
        <w:rPr>
          <w:rFonts w:ascii="Verdana" w:eastAsia="Geomanist Light" w:hAnsi="Verdana" w:cs="Arial"/>
          <w:color w:val="000000" w:themeColor="text1"/>
          <w:lang w:val="es-ES"/>
        </w:rPr>
      </w:pPr>
    </w:p>
    <w:p w14:paraId="36A05E8B" w14:textId="77777777" w:rsidR="008E1354" w:rsidRDefault="008E1354" w:rsidP="0050025D">
      <w:pPr>
        <w:spacing w:after="0" w:line="240" w:lineRule="auto"/>
        <w:rPr>
          <w:rFonts w:ascii="Verdana" w:eastAsia="Geomanist Light" w:hAnsi="Verdana" w:cs="Arial"/>
          <w:color w:val="000000" w:themeColor="text1"/>
          <w:lang w:val="es-ES"/>
        </w:rPr>
      </w:pPr>
    </w:p>
    <w:p w14:paraId="5DA2A524" w14:textId="77777777" w:rsidR="008E1354" w:rsidRDefault="008E1354" w:rsidP="0050025D">
      <w:pPr>
        <w:spacing w:after="0" w:line="240" w:lineRule="auto"/>
        <w:rPr>
          <w:rFonts w:ascii="Verdana" w:eastAsia="Geomanist Light" w:hAnsi="Verdana" w:cs="Arial"/>
          <w:color w:val="000000" w:themeColor="text1"/>
          <w:lang w:val="es-ES"/>
        </w:rPr>
      </w:pPr>
    </w:p>
    <w:p w14:paraId="5DB66BEF" w14:textId="77777777" w:rsidR="008E1354" w:rsidRDefault="008E1354" w:rsidP="0050025D">
      <w:pPr>
        <w:spacing w:after="0" w:line="240" w:lineRule="auto"/>
        <w:rPr>
          <w:rFonts w:ascii="Verdana" w:eastAsia="Geomanist Light" w:hAnsi="Verdana" w:cs="Arial"/>
          <w:color w:val="000000" w:themeColor="text1"/>
          <w:lang w:val="es-ES"/>
        </w:rPr>
      </w:pPr>
    </w:p>
    <w:p w14:paraId="4B714E9E" w14:textId="77777777" w:rsidR="008E1354" w:rsidRDefault="008E1354" w:rsidP="0050025D">
      <w:pPr>
        <w:spacing w:after="0" w:line="240" w:lineRule="auto"/>
        <w:rPr>
          <w:rFonts w:ascii="Verdana" w:eastAsia="Geomanist Light" w:hAnsi="Verdana" w:cs="Arial"/>
          <w:color w:val="000000" w:themeColor="text1"/>
          <w:lang w:val="es-ES"/>
        </w:rPr>
      </w:pPr>
    </w:p>
    <w:p w14:paraId="7ABA1EC2" w14:textId="77777777" w:rsidR="008E1354" w:rsidRDefault="008E1354" w:rsidP="0050025D">
      <w:pPr>
        <w:spacing w:after="0" w:line="240" w:lineRule="auto"/>
        <w:rPr>
          <w:rFonts w:ascii="Verdana" w:eastAsia="Geomanist Light" w:hAnsi="Verdana" w:cs="Arial"/>
          <w:color w:val="000000" w:themeColor="text1"/>
          <w:lang w:val="es-ES"/>
        </w:rPr>
      </w:pPr>
    </w:p>
    <w:p w14:paraId="5AA2E827" w14:textId="77777777" w:rsidR="008E1354" w:rsidRDefault="008E1354" w:rsidP="0050025D">
      <w:pPr>
        <w:spacing w:after="0" w:line="240" w:lineRule="auto"/>
        <w:rPr>
          <w:rFonts w:ascii="Verdana" w:eastAsia="Geomanist Light" w:hAnsi="Verdana" w:cs="Arial"/>
          <w:color w:val="000000" w:themeColor="text1"/>
          <w:lang w:val="es-ES"/>
        </w:rPr>
      </w:pPr>
    </w:p>
    <w:p w14:paraId="3EBBCD2A" w14:textId="77777777" w:rsidR="008E1354" w:rsidRDefault="008E1354" w:rsidP="0050025D">
      <w:pPr>
        <w:spacing w:after="0" w:line="240" w:lineRule="auto"/>
        <w:rPr>
          <w:rFonts w:ascii="Verdana" w:eastAsia="Geomanist Light" w:hAnsi="Verdana" w:cs="Arial"/>
          <w:color w:val="000000" w:themeColor="text1"/>
          <w:lang w:val="es-ES"/>
        </w:rPr>
      </w:pPr>
    </w:p>
    <w:p w14:paraId="250D82B6" w14:textId="77777777" w:rsidR="008E1354" w:rsidRDefault="008E1354" w:rsidP="0050025D">
      <w:pPr>
        <w:spacing w:after="0" w:line="240" w:lineRule="auto"/>
        <w:rPr>
          <w:rFonts w:ascii="Verdana" w:eastAsia="Geomanist Light" w:hAnsi="Verdana" w:cs="Arial"/>
          <w:color w:val="000000" w:themeColor="text1"/>
          <w:lang w:val="es-ES"/>
        </w:rPr>
      </w:pPr>
    </w:p>
    <w:p w14:paraId="78256984" w14:textId="77777777" w:rsidR="008E1354" w:rsidRDefault="008E1354" w:rsidP="0050025D">
      <w:pPr>
        <w:spacing w:after="0" w:line="240" w:lineRule="auto"/>
        <w:rPr>
          <w:rFonts w:ascii="Verdana" w:eastAsia="Geomanist Light" w:hAnsi="Verdana" w:cs="Arial"/>
          <w:color w:val="000000" w:themeColor="text1"/>
          <w:lang w:val="es-ES"/>
        </w:rPr>
      </w:pPr>
    </w:p>
    <w:p w14:paraId="1B2330CD" w14:textId="77777777" w:rsidR="008E1354" w:rsidRDefault="008E1354" w:rsidP="0050025D">
      <w:pPr>
        <w:spacing w:after="0" w:line="240" w:lineRule="auto"/>
        <w:rPr>
          <w:rFonts w:ascii="Verdana" w:eastAsia="Geomanist Light" w:hAnsi="Verdana" w:cs="Arial"/>
          <w:color w:val="000000" w:themeColor="text1"/>
          <w:lang w:val="es-ES"/>
        </w:rPr>
      </w:pPr>
    </w:p>
    <w:p w14:paraId="05936353" w14:textId="77777777" w:rsidR="008E1354" w:rsidRDefault="008E1354" w:rsidP="0050025D">
      <w:pPr>
        <w:spacing w:after="0" w:line="240" w:lineRule="auto"/>
        <w:rPr>
          <w:rFonts w:ascii="Verdana" w:eastAsia="Geomanist Light" w:hAnsi="Verdana" w:cs="Arial"/>
          <w:color w:val="000000" w:themeColor="text1"/>
          <w:lang w:val="es-ES"/>
        </w:rPr>
      </w:pPr>
    </w:p>
    <w:p w14:paraId="4AA987D6" w14:textId="77777777" w:rsidR="008E1354" w:rsidRDefault="008E1354" w:rsidP="0050025D">
      <w:pPr>
        <w:spacing w:after="0" w:line="240" w:lineRule="auto"/>
        <w:rPr>
          <w:rFonts w:ascii="Verdana" w:eastAsia="Geomanist Light" w:hAnsi="Verdana" w:cs="Arial"/>
          <w:color w:val="000000" w:themeColor="text1"/>
          <w:lang w:val="es-ES"/>
        </w:rPr>
      </w:pPr>
    </w:p>
    <w:p w14:paraId="2869C94A" w14:textId="77777777" w:rsidR="008E1354" w:rsidRDefault="008E1354" w:rsidP="0050025D">
      <w:pPr>
        <w:spacing w:after="0" w:line="240" w:lineRule="auto"/>
        <w:rPr>
          <w:rFonts w:ascii="Verdana" w:eastAsia="Geomanist Light" w:hAnsi="Verdana" w:cs="Arial"/>
          <w:color w:val="000000" w:themeColor="text1"/>
          <w:lang w:val="es-ES"/>
        </w:rPr>
      </w:pPr>
    </w:p>
    <w:p w14:paraId="4BBDAE14" w14:textId="77777777" w:rsidR="008E1354" w:rsidRDefault="008E1354" w:rsidP="0050025D">
      <w:pPr>
        <w:spacing w:after="0" w:line="240" w:lineRule="auto"/>
        <w:rPr>
          <w:rFonts w:ascii="Verdana" w:eastAsia="Geomanist Light" w:hAnsi="Verdana" w:cs="Arial"/>
          <w:color w:val="000000" w:themeColor="text1"/>
          <w:lang w:val="es-ES"/>
        </w:rPr>
      </w:pPr>
    </w:p>
    <w:p w14:paraId="1C5E1CA4" w14:textId="77777777" w:rsidR="008E1354" w:rsidRDefault="008E1354" w:rsidP="0050025D">
      <w:pPr>
        <w:spacing w:after="0" w:line="240" w:lineRule="auto"/>
        <w:rPr>
          <w:rFonts w:ascii="Verdana" w:eastAsia="Geomanist Light" w:hAnsi="Verdana" w:cs="Arial"/>
          <w:color w:val="000000" w:themeColor="text1"/>
          <w:lang w:val="es-ES"/>
        </w:rPr>
      </w:pPr>
    </w:p>
    <w:p w14:paraId="25322C12" w14:textId="77777777" w:rsidR="008E1354" w:rsidRDefault="008E1354" w:rsidP="0050025D">
      <w:pPr>
        <w:spacing w:after="0" w:line="240" w:lineRule="auto"/>
        <w:rPr>
          <w:rFonts w:ascii="Verdana" w:eastAsia="Geomanist Light" w:hAnsi="Verdana" w:cs="Arial"/>
          <w:color w:val="000000" w:themeColor="text1"/>
          <w:lang w:val="es-ES"/>
        </w:rPr>
      </w:pPr>
    </w:p>
    <w:p w14:paraId="4D2B33CB" w14:textId="77777777" w:rsidR="008E1354" w:rsidRDefault="008E1354" w:rsidP="0050025D">
      <w:pPr>
        <w:spacing w:after="0" w:line="240" w:lineRule="auto"/>
        <w:rPr>
          <w:rFonts w:ascii="Verdana" w:eastAsia="Geomanist Light" w:hAnsi="Verdana" w:cs="Arial"/>
          <w:color w:val="000000" w:themeColor="text1"/>
          <w:lang w:val="es-ES"/>
        </w:rPr>
      </w:pPr>
    </w:p>
    <w:p w14:paraId="721540D9" w14:textId="77777777" w:rsidR="008E1354" w:rsidRDefault="008E1354" w:rsidP="0050025D">
      <w:pPr>
        <w:spacing w:after="0" w:line="240" w:lineRule="auto"/>
        <w:rPr>
          <w:rFonts w:ascii="Verdana" w:eastAsia="Geomanist Light" w:hAnsi="Verdana" w:cs="Arial"/>
          <w:color w:val="000000" w:themeColor="text1"/>
          <w:lang w:val="es-ES"/>
        </w:rPr>
      </w:pPr>
    </w:p>
    <w:p w14:paraId="3B6DA83F" w14:textId="77777777" w:rsidR="008E1354" w:rsidRDefault="008E1354" w:rsidP="0050025D">
      <w:pPr>
        <w:spacing w:after="0" w:line="240" w:lineRule="auto"/>
        <w:rPr>
          <w:rFonts w:ascii="Verdana" w:eastAsia="Geomanist Light" w:hAnsi="Verdana" w:cs="Arial"/>
          <w:color w:val="000000" w:themeColor="text1"/>
          <w:lang w:val="es-ES"/>
        </w:rPr>
      </w:pPr>
    </w:p>
    <w:p w14:paraId="36D76152" w14:textId="77777777" w:rsidR="008E1354" w:rsidRDefault="008E1354" w:rsidP="0050025D">
      <w:pPr>
        <w:spacing w:after="0" w:line="240" w:lineRule="auto"/>
        <w:rPr>
          <w:rFonts w:ascii="Verdana" w:eastAsia="Geomanist Light" w:hAnsi="Verdana" w:cs="Arial"/>
          <w:color w:val="000000" w:themeColor="text1"/>
          <w:lang w:val="es-ES"/>
        </w:rPr>
      </w:pPr>
    </w:p>
    <w:p w14:paraId="1F6A4F93" w14:textId="77777777" w:rsidR="008E1354" w:rsidRDefault="008E1354" w:rsidP="0050025D">
      <w:pPr>
        <w:spacing w:after="0" w:line="240" w:lineRule="auto"/>
        <w:rPr>
          <w:rFonts w:ascii="Verdana" w:eastAsia="Geomanist Light" w:hAnsi="Verdana" w:cs="Arial"/>
          <w:color w:val="000000" w:themeColor="text1"/>
          <w:lang w:val="es-ES"/>
        </w:rPr>
      </w:pPr>
    </w:p>
    <w:p w14:paraId="3B0CEA8B" w14:textId="77777777" w:rsidR="008E1354" w:rsidRDefault="008E1354" w:rsidP="0050025D">
      <w:pPr>
        <w:spacing w:after="0" w:line="240" w:lineRule="auto"/>
        <w:rPr>
          <w:rFonts w:ascii="Verdana" w:eastAsia="Geomanist Light" w:hAnsi="Verdana" w:cs="Arial"/>
          <w:color w:val="000000" w:themeColor="text1"/>
          <w:lang w:val="es-ES"/>
        </w:rPr>
      </w:pPr>
    </w:p>
    <w:p w14:paraId="6FA88096" w14:textId="77777777" w:rsidR="008E1354" w:rsidRDefault="008E1354" w:rsidP="0050025D">
      <w:pPr>
        <w:spacing w:after="0" w:line="240" w:lineRule="auto"/>
        <w:rPr>
          <w:rFonts w:ascii="Verdana" w:eastAsia="Geomanist Light" w:hAnsi="Verdana" w:cs="Arial"/>
          <w:color w:val="000000" w:themeColor="text1"/>
          <w:lang w:val="es-ES"/>
        </w:rPr>
      </w:pPr>
    </w:p>
    <w:p w14:paraId="4CD0D1F6" w14:textId="77777777" w:rsidR="008E1354" w:rsidRDefault="008E1354" w:rsidP="0050025D">
      <w:pPr>
        <w:spacing w:after="0" w:line="240" w:lineRule="auto"/>
        <w:rPr>
          <w:rFonts w:ascii="Verdana" w:eastAsia="Geomanist Light" w:hAnsi="Verdana" w:cs="Arial"/>
          <w:color w:val="000000" w:themeColor="text1"/>
          <w:lang w:val="es-ES"/>
        </w:rPr>
      </w:pPr>
    </w:p>
    <w:p w14:paraId="4932D889" w14:textId="77777777" w:rsidR="008E1354" w:rsidRDefault="008E1354" w:rsidP="0050025D">
      <w:pPr>
        <w:spacing w:after="0" w:line="240" w:lineRule="auto"/>
        <w:rPr>
          <w:rFonts w:ascii="Verdana" w:eastAsia="Geomanist Light" w:hAnsi="Verdana" w:cs="Arial"/>
          <w:color w:val="000000" w:themeColor="text1"/>
          <w:lang w:val="es-ES"/>
        </w:rPr>
      </w:pPr>
    </w:p>
    <w:p w14:paraId="13958F4B" w14:textId="77777777" w:rsidR="008E1354" w:rsidRDefault="008E1354" w:rsidP="0050025D">
      <w:pPr>
        <w:spacing w:after="0" w:line="240" w:lineRule="auto"/>
        <w:rPr>
          <w:rFonts w:ascii="Verdana" w:eastAsia="Geomanist Light" w:hAnsi="Verdana" w:cs="Arial"/>
          <w:color w:val="000000" w:themeColor="text1"/>
          <w:lang w:val="es-ES"/>
        </w:rPr>
      </w:pPr>
    </w:p>
    <w:p w14:paraId="7B784D84" w14:textId="77777777" w:rsidR="008E1354" w:rsidRDefault="008E1354" w:rsidP="0050025D">
      <w:pPr>
        <w:spacing w:after="0" w:line="240" w:lineRule="auto"/>
        <w:rPr>
          <w:rFonts w:ascii="Verdana" w:eastAsia="Geomanist Light" w:hAnsi="Verdana" w:cs="Arial"/>
          <w:color w:val="000000" w:themeColor="text1"/>
          <w:lang w:val="es-ES"/>
        </w:rPr>
      </w:pPr>
    </w:p>
    <w:p w14:paraId="06FF040B" w14:textId="77777777" w:rsidR="008E1354" w:rsidRDefault="008E1354" w:rsidP="0050025D">
      <w:pPr>
        <w:spacing w:after="0" w:line="240" w:lineRule="auto"/>
        <w:rPr>
          <w:rFonts w:ascii="Verdana" w:eastAsia="Geomanist Light" w:hAnsi="Verdana" w:cs="Arial"/>
          <w:color w:val="000000" w:themeColor="text1"/>
          <w:lang w:val="es-ES"/>
        </w:rPr>
      </w:pPr>
    </w:p>
    <w:p w14:paraId="51298796" w14:textId="77777777" w:rsidR="008E1354" w:rsidRDefault="008E1354" w:rsidP="0050025D">
      <w:pPr>
        <w:spacing w:after="0" w:line="240" w:lineRule="auto"/>
        <w:rPr>
          <w:rFonts w:ascii="Verdana" w:eastAsia="Geomanist Light" w:hAnsi="Verdana" w:cs="Arial"/>
          <w:color w:val="000000" w:themeColor="text1"/>
          <w:lang w:val="es-ES"/>
        </w:rPr>
      </w:pPr>
    </w:p>
    <w:p w14:paraId="4F850D42" w14:textId="77777777" w:rsidR="008E1354" w:rsidRDefault="008E1354" w:rsidP="0050025D">
      <w:pPr>
        <w:spacing w:after="0" w:line="240" w:lineRule="auto"/>
        <w:rPr>
          <w:rFonts w:ascii="Verdana" w:eastAsia="Geomanist Light" w:hAnsi="Verdana" w:cs="Arial"/>
          <w:color w:val="000000" w:themeColor="text1"/>
          <w:lang w:val="es-ES"/>
        </w:rPr>
      </w:pPr>
    </w:p>
    <w:p w14:paraId="2F22A662" w14:textId="77777777" w:rsidR="008E1354" w:rsidRDefault="008E1354" w:rsidP="0050025D">
      <w:pPr>
        <w:spacing w:after="0" w:line="240" w:lineRule="auto"/>
        <w:rPr>
          <w:rFonts w:ascii="Verdana" w:eastAsia="Geomanist Light" w:hAnsi="Verdana" w:cs="Arial"/>
          <w:color w:val="000000" w:themeColor="text1"/>
          <w:lang w:val="es-ES"/>
        </w:rPr>
      </w:pPr>
    </w:p>
    <w:p w14:paraId="7B003E2D" w14:textId="77777777" w:rsidR="008E1354" w:rsidRDefault="008E1354" w:rsidP="0050025D">
      <w:pPr>
        <w:spacing w:after="0" w:line="240" w:lineRule="auto"/>
        <w:rPr>
          <w:rFonts w:ascii="Verdana" w:eastAsia="Geomanist Light" w:hAnsi="Verdana" w:cs="Arial"/>
          <w:color w:val="000000" w:themeColor="text1"/>
          <w:lang w:val="es-ES"/>
        </w:rPr>
      </w:pPr>
    </w:p>
    <w:p w14:paraId="3A45DB4F" w14:textId="77777777" w:rsidR="008E1354" w:rsidRDefault="008E1354" w:rsidP="0050025D">
      <w:pPr>
        <w:spacing w:after="0" w:line="240" w:lineRule="auto"/>
        <w:rPr>
          <w:rFonts w:ascii="Verdana" w:eastAsia="Geomanist Light" w:hAnsi="Verdana" w:cs="Arial"/>
          <w:color w:val="000000" w:themeColor="text1"/>
          <w:lang w:val="es-ES"/>
        </w:rPr>
      </w:pPr>
    </w:p>
    <w:p w14:paraId="57008B74" w14:textId="77777777" w:rsidR="008E1354" w:rsidRDefault="008E1354" w:rsidP="0050025D">
      <w:pPr>
        <w:spacing w:after="0" w:line="240" w:lineRule="auto"/>
        <w:rPr>
          <w:rFonts w:ascii="Verdana" w:eastAsia="Geomanist Light" w:hAnsi="Verdana" w:cs="Arial"/>
          <w:color w:val="000000" w:themeColor="text1"/>
          <w:lang w:val="es-ES"/>
        </w:rPr>
      </w:pPr>
    </w:p>
    <w:p w14:paraId="5BFF0C3C" w14:textId="77777777" w:rsidR="008E1354" w:rsidRDefault="008E1354" w:rsidP="0050025D">
      <w:pPr>
        <w:spacing w:after="0" w:line="240" w:lineRule="auto"/>
        <w:rPr>
          <w:rFonts w:ascii="Verdana" w:eastAsia="Geomanist Light" w:hAnsi="Verdana" w:cs="Arial"/>
          <w:color w:val="000000" w:themeColor="text1"/>
          <w:lang w:val="es-ES"/>
        </w:rPr>
      </w:pPr>
    </w:p>
    <w:p w14:paraId="2DA468A9" w14:textId="77777777" w:rsidR="008E1354" w:rsidRDefault="008E1354" w:rsidP="0050025D">
      <w:pPr>
        <w:spacing w:after="0" w:line="240" w:lineRule="auto"/>
        <w:rPr>
          <w:rFonts w:ascii="Verdana" w:eastAsia="Geomanist Light" w:hAnsi="Verdana" w:cs="Arial"/>
          <w:color w:val="000000" w:themeColor="text1"/>
          <w:lang w:val="es-ES"/>
        </w:rPr>
      </w:pPr>
    </w:p>
    <w:p w14:paraId="6FD6639B" w14:textId="77777777" w:rsidR="008E1354" w:rsidRDefault="008E1354" w:rsidP="0050025D">
      <w:pPr>
        <w:spacing w:after="0" w:line="240" w:lineRule="auto"/>
        <w:rPr>
          <w:rFonts w:ascii="Verdana" w:eastAsia="Geomanist Light" w:hAnsi="Verdana" w:cs="Arial"/>
          <w:color w:val="000000" w:themeColor="text1"/>
          <w:lang w:val="es-ES"/>
        </w:rPr>
      </w:pPr>
    </w:p>
    <w:p w14:paraId="775F2828" w14:textId="174FEA26" w:rsidR="0050025D" w:rsidRPr="00AA40D8" w:rsidRDefault="0050025D" w:rsidP="0050025D">
      <w:pPr>
        <w:spacing w:after="0" w:line="240" w:lineRule="auto"/>
        <w:rPr>
          <w:rFonts w:ascii="Verdana" w:eastAsia="Geomanist Light" w:hAnsi="Verdana" w:cs="Arial"/>
          <w:color w:val="201F1E"/>
          <w:lang w:val="es-ES"/>
        </w:rPr>
      </w:pPr>
      <w:r w:rsidRPr="00AA40D8">
        <w:rPr>
          <w:rFonts w:ascii="Verdana" w:eastAsia="Geomanist Light" w:hAnsi="Verdana" w:cs="Arial"/>
          <w:color w:val="000000" w:themeColor="text1"/>
          <w:lang w:val="es-ES"/>
        </w:rPr>
        <w:t>Bogotá D.C., </w:t>
      </w:r>
      <w:r w:rsidR="008F0B17">
        <w:rPr>
          <w:rFonts w:ascii="Verdana" w:eastAsia="Geomanist Light" w:hAnsi="Verdana" w:cs="Arial"/>
          <w:color w:val="201F1E"/>
          <w:lang w:val="es-ES"/>
        </w:rPr>
        <w:t xml:space="preserve">22 </w:t>
      </w:r>
      <w:proofErr w:type="gramStart"/>
      <w:r w:rsidR="008F0B17">
        <w:rPr>
          <w:rFonts w:ascii="Verdana" w:eastAsia="Geomanist Light" w:hAnsi="Verdana" w:cs="Arial"/>
          <w:color w:val="201F1E"/>
          <w:lang w:val="es-ES"/>
        </w:rPr>
        <w:t>Agosto</w:t>
      </w:r>
      <w:proofErr w:type="gramEnd"/>
      <w:r w:rsidR="008F0B17">
        <w:rPr>
          <w:rFonts w:ascii="Verdana" w:eastAsia="Geomanist Light" w:hAnsi="Verdana" w:cs="Arial"/>
          <w:color w:val="201F1E"/>
          <w:lang w:val="es-ES"/>
        </w:rPr>
        <w:t xml:space="preserve"> de 2025</w:t>
      </w:r>
    </w:p>
    <w:p w14:paraId="59B94989" w14:textId="77777777" w:rsidR="008F0B17" w:rsidRDefault="008F0B17" w:rsidP="00074499">
      <w:pPr>
        <w:spacing w:after="0" w:line="240" w:lineRule="auto"/>
        <w:rPr>
          <w:rFonts w:ascii="Verdana" w:eastAsia="Calibri" w:hAnsi="Verdana" w:cs="Arial"/>
          <w:lang w:val="es-ES" w:eastAsia="es-ES_tradnl"/>
        </w:rPr>
      </w:pPr>
    </w:p>
    <w:p w14:paraId="4556CEED" w14:textId="6E0BE767" w:rsidR="00074499" w:rsidRPr="00AA40D8" w:rsidRDefault="008F0B17" w:rsidP="00074499">
      <w:pPr>
        <w:spacing w:after="0" w:line="240" w:lineRule="auto"/>
        <w:rPr>
          <w:rFonts w:ascii="Verdana" w:eastAsia="Calibri" w:hAnsi="Verdana" w:cs="Arial"/>
          <w:lang w:val="es-ES" w:eastAsia="es-ES_tradnl"/>
        </w:rPr>
      </w:pPr>
      <w:r>
        <w:rPr>
          <w:rFonts w:ascii="Verdana" w:eastAsia="Calibri" w:hAnsi="Verdana" w:cs="Arial"/>
          <w:b/>
          <w:bCs/>
          <w:noProof/>
          <w:lang w:val="es-ES" w:eastAsia="es-ES_tradnl"/>
        </w:rPr>
        <w:drawing>
          <wp:anchor distT="0" distB="0" distL="114300" distR="114300" simplePos="0" relativeHeight="251658240" behindDoc="0" locked="0" layoutInCell="1" allowOverlap="1" wp14:anchorId="3DB57F89" wp14:editId="535E45AC">
            <wp:simplePos x="0" y="0"/>
            <wp:positionH relativeFrom="column">
              <wp:posOffset>2967990</wp:posOffset>
            </wp:positionH>
            <wp:positionV relativeFrom="page">
              <wp:posOffset>1742440</wp:posOffset>
            </wp:positionV>
            <wp:extent cx="2489835" cy="669290"/>
            <wp:effectExtent l="0" t="0" r="0" b="3810"/>
            <wp:wrapSquare wrapText="bothSides"/>
            <wp:docPr id="278613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13830" name="Picture 2786138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9835" cy="669290"/>
                    </a:xfrm>
                    <a:prstGeom prst="rect">
                      <a:avLst/>
                    </a:prstGeom>
                  </pic:spPr>
                </pic:pic>
              </a:graphicData>
            </a:graphic>
            <wp14:sizeRelH relativeFrom="page">
              <wp14:pctWidth>0</wp14:pctWidth>
            </wp14:sizeRelH>
            <wp14:sizeRelV relativeFrom="page">
              <wp14:pctHeight>0</wp14:pctHeight>
            </wp14:sizeRelV>
          </wp:anchor>
        </w:drawing>
      </w:r>
      <w:r w:rsidR="00074499" w:rsidRPr="00AA40D8">
        <w:rPr>
          <w:rFonts w:ascii="Verdana" w:eastAsia="Calibri" w:hAnsi="Verdana" w:cs="Arial"/>
          <w:lang w:val="es-ES" w:eastAsia="es-ES_tradnl"/>
        </w:rPr>
        <w:t>Señora</w:t>
      </w:r>
    </w:p>
    <w:p w14:paraId="2E4D25C7" w14:textId="477F6A8D" w:rsidR="00074499" w:rsidRPr="00E4153B" w:rsidRDefault="00074499" w:rsidP="00074499">
      <w:pPr>
        <w:spacing w:after="0" w:line="240" w:lineRule="auto"/>
        <w:rPr>
          <w:rFonts w:ascii="Verdana" w:eastAsia="Calibri" w:hAnsi="Verdana" w:cs="Arial"/>
          <w:b/>
          <w:bCs/>
          <w:lang w:val="es-ES" w:eastAsia="es-ES_tradnl"/>
        </w:rPr>
      </w:pPr>
      <w:r w:rsidRPr="00AA40D8">
        <w:rPr>
          <w:rFonts w:ascii="Verdana" w:eastAsia="Calibri" w:hAnsi="Verdana" w:cs="Arial"/>
          <w:b/>
          <w:bCs/>
          <w:lang w:val="es-ES" w:eastAsia="es-ES_tradnl"/>
        </w:rPr>
        <w:t xml:space="preserve">María Fernanda Rivera Meneses </w:t>
      </w:r>
    </w:p>
    <w:p w14:paraId="60AF084D" w14:textId="77777777" w:rsidR="00074499" w:rsidRPr="00AA40D8" w:rsidRDefault="00074499" w:rsidP="00074499">
      <w:pPr>
        <w:spacing w:after="0" w:line="240" w:lineRule="auto"/>
        <w:rPr>
          <w:rFonts w:ascii="Verdana" w:eastAsia="Calibri" w:hAnsi="Verdana" w:cs="Arial"/>
          <w:lang w:val="es-ES" w:eastAsia="es-ES_tradnl"/>
        </w:rPr>
      </w:pPr>
      <w:hyperlink r:id="rId11" w:history="1">
        <w:r w:rsidRPr="00E4153B">
          <w:rPr>
            <w:rStyle w:val="Hipervnculo"/>
            <w:rFonts w:ascii="Verdana" w:eastAsia="Calibri" w:hAnsi="Verdana" w:cs="Arial"/>
            <w:lang w:val="es-ES" w:eastAsia="es-ES_tradnl"/>
          </w:rPr>
          <w:t>mariaf85@gmail.com</w:t>
        </w:r>
      </w:hyperlink>
    </w:p>
    <w:p w14:paraId="35DE56FA" w14:textId="77777777" w:rsidR="00074499" w:rsidRPr="00AA40D8" w:rsidRDefault="00074499" w:rsidP="00074499">
      <w:pPr>
        <w:spacing w:after="0" w:line="240" w:lineRule="auto"/>
        <w:rPr>
          <w:rFonts w:ascii="Verdana" w:eastAsia="Calibri" w:hAnsi="Verdana" w:cs="Arial"/>
          <w:b/>
          <w:bCs/>
          <w:color w:val="000000"/>
          <w:lang w:val="es-ES" w:eastAsia="es-ES_tradnl"/>
        </w:rPr>
      </w:pPr>
      <w:r w:rsidRPr="00AA40D8">
        <w:rPr>
          <w:rFonts w:ascii="Verdana" w:eastAsia="Calibri" w:hAnsi="Verdana" w:cs="Arial"/>
          <w:color w:val="000000"/>
          <w:lang w:val="es-ES" w:eastAsia="es-ES_tradnl"/>
        </w:rPr>
        <w:t>Cali, Valle del Cauca</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74499" w:rsidRPr="00AA40D8" w14:paraId="48EE3D7E" w14:textId="77777777" w:rsidTr="00C54D4B">
        <w:trPr>
          <w:trHeight w:val="480"/>
        </w:trPr>
        <w:tc>
          <w:tcPr>
            <w:tcW w:w="2689" w:type="dxa"/>
          </w:tcPr>
          <w:p w14:paraId="2DBB88F7" w14:textId="77777777" w:rsidR="00074499" w:rsidRPr="00AA40D8" w:rsidRDefault="00074499" w:rsidP="00C54D4B">
            <w:pPr>
              <w:jc w:val="both"/>
              <w:rPr>
                <w:rFonts w:ascii="Verdana" w:eastAsia="Calibri" w:hAnsi="Verdana" w:cs="Arial"/>
                <w:b/>
                <w:bCs/>
                <w:color w:val="7030A0"/>
                <w:lang w:val="es-ES" w:eastAsia="es-ES_tradnl"/>
              </w:rPr>
            </w:pPr>
          </w:p>
        </w:tc>
        <w:tc>
          <w:tcPr>
            <w:tcW w:w="6100" w:type="dxa"/>
          </w:tcPr>
          <w:p w14:paraId="0E8244E6" w14:textId="77777777" w:rsidR="00074499" w:rsidRPr="00AA40D8" w:rsidRDefault="00074499" w:rsidP="00C54D4B">
            <w:pPr>
              <w:jc w:val="both"/>
              <w:rPr>
                <w:rFonts w:ascii="Verdana" w:eastAsia="Calibri" w:hAnsi="Verdana" w:cs="Arial"/>
                <w:b/>
                <w:bCs/>
                <w:lang w:val="es-ES" w:eastAsia="es-ES"/>
              </w:rPr>
            </w:pPr>
          </w:p>
          <w:p w14:paraId="3699E4E0" w14:textId="77777777" w:rsidR="00074499" w:rsidRPr="00AA40D8" w:rsidRDefault="00074499" w:rsidP="00C54D4B">
            <w:pPr>
              <w:jc w:val="both"/>
              <w:rPr>
                <w:rFonts w:ascii="Verdana" w:eastAsia="Calibri" w:hAnsi="Verdana" w:cs="Arial"/>
                <w:b/>
                <w:bCs/>
                <w:color w:val="7030A0"/>
                <w:lang w:val="es-ES" w:eastAsia="es-ES"/>
              </w:rPr>
            </w:pPr>
            <w:r w:rsidRPr="00AA40D8">
              <w:rPr>
                <w:rFonts w:ascii="Verdana" w:eastAsia="Calibri" w:hAnsi="Verdana" w:cs="Arial"/>
                <w:b/>
                <w:bCs/>
                <w:lang w:val="es-ES" w:eastAsia="es-ES"/>
              </w:rPr>
              <w:t>Concepto C-925</w:t>
            </w:r>
            <w:r w:rsidRPr="00AA40D8">
              <w:rPr>
                <w:rFonts w:ascii="Verdana" w:eastAsia="Calibri" w:hAnsi="Verdana" w:cs="Arial"/>
                <w:b/>
                <w:bCs/>
                <w:color w:val="7030A0"/>
                <w:lang w:val="es-ES" w:eastAsia="es-ES"/>
              </w:rPr>
              <w:t xml:space="preserve"> </w:t>
            </w:r>
            <w:r w:rsidRPr="00AA40D8">
              <w:rPr>
                <w:rFonts w:ascii="Verdana" w:eastAsia="Calibri" w:hAnsi="Verdana" w:cs="Arial"/>
                <w:b/>
                <w:bCs/>
                <w:lang w:val="es-ES" w:eastAsia="es-ES"/>
              </w:rPr>
              <w:t>de 2025</w:t>
            </w:r>
          </w:p>
        </w:tc>
      </w:tr>
      <w:tr w:rsidR="00074499" w:rsidRPr="00AA40D8" w14:paraId="01C24179" w14:textId="77777777" w:rsidTr="00C54D4B">
        <w:trPr>
          <w:trHeight w:val="884"/>
        </w:trPr>
        <w:tc>
          <w:tcPr>
            <w:tcW w:w="2689" w:type="dxa"/>
          </w:tcPr>
          <w:p w14:paraId="76B9D5A0" w14:textId="77777777" w:rsidR="00074499" w:rsidRPr="00AA40D8" w:rsidRDefault="00074499" w:rsidP="00C54D4B">
            <w:pPr>
              <w:jc w:val="both"/>
              <w:rPr>
                <w:rFonts w:ascii="Verdana" w:eastAsia="Calibri" w:hAnsi="Verdana" w:cs="Arial"/>
                <w:b/>
                <w:color w:val="000000"/>
                <w:lang w:val="es-ES" w:eastAsia="es-ES_tradnl"/>
              </w:rPr>
            </w:pPr>
          </w:p>
          <w:p w14:paraId="52454692" w14:textId="77777777" w:rsidR="00074499" w:rsidRPr="00AA40D8" w:rsidRDefault="00074499" w:rsidP="00C54D4B">
            <w:pPr>
              <w:jc w:val="both"/>
              <w:rPr>
                <w:rFonts w:ascii="Verdana" w:eastAsia="Calibri" w:hAnsi="Verdana" w:cs="Arial"/>
                <w:color w:val="000000"/>
                <w:lang w:val="es-ES" w:eastAsia="es-ES_tradnl"/>
              </w:rPr>
            </w:pPr>
            <w:r w:rsidRPr="00AA40D8">
              <w:rPr>
                <w:rFonts w:ascii="Verdana" w:eastAsia="Calibri" w:hAnsi="Verdana" w:cs="Arial"/>
                <w:b/>
                <w:color w:val="000000"/>
                <w:lang w:val="es-ES" w:eastAsia="es-ES_tradnl"/>
              </w:rPr>
              <w:t>Temas:</w:t>
            </w:r>
            <w:r w:rsidRPr="00AA40D8">
              <w:rPr>
                <w:rFonts w:ascii="Verdana" w:eastAsia="Calibri" w:hAnsi="Verdana" w:cs="Arial"/>
                <w:color w:val="000000"/>
                <w:lang w:val="es-ES" w:eastAsia="es-ES_tradnl"/>
              </w:rPr>
              <w:t xml:space="preserve">                   </w:t>
            </w:r>
          </w:p>
        </w:tc>
        <w:tc>
          <w:tcPr>
            <w:tcW w:w="6100" w:type="dxa"/>
          </w:tcPr>
          <w:p w14:paraId="46B13B29" w14:textId="77777777" w:rsidR="00074499" w:rsidRPr="00AA40D8" w:rsidRDefault="00074499" w:rsidP="00C54D4B">
            <w:pPr>
              <w:jc w:val="both"/>
              <w:rPr>
                <w:rFonts w:ascii="Verdana" w:eastAsia="Calibri" w:hAnsi="Verdana" w:cs="Arial"/>
                <w:color w:val="000000" w:themeColor="text1"/>
                <w:lang w:val="es-ES" w:eastAsia="es-ES_tradnl"/>
              </w:rPr>
            </w:pPr>
          </w:p>
          <w:p w14:paraId="183771DB" w14:textId="6F37FD3B" w:rsidR="00074499" w:rsidRPr="00AA40D8" w:rsidRDefault="00074499" w:rsidP="00C54D4B">
            <w:pPr>
              <w:jc w:val="both"/>
              <w:rPr>
                <w:rFonts w:ascii="Verdana" w:eastAsia="Calibri" w:hAnsi="Verdana" w:cs="Arial"/>
                <w:lang w:val="es-ES" w:eastAsia="es-ES"/>
              </w:rPr>
            </w:pPr>
            <w:r w:rsidRPr="00AA40D8">
              <w:rPr>
                <w:rFonts w:ascii="Verdana" w:eastAsia="Calibri" w:hAnsi="Verdana" w:cs="Arial"/>
                <w:lang w:val="es-ES" w:eastAsia="es-ES_tradnl"/>
              </w:rPr>
              <w:t xml:space="preserve">CONTRATOS DE PRESTACIÓN DE SERVICIOS – Generalidades / </w:t>
            </w:r>
            <w:r w:rsidRPr="00AA40D8">
              <w:rPr>
                <w:rFonts w:ascii="Verdana" w:eastAsia="Times New Roman" w:hAnsi="Verdana" w:cs="Arial"/>
                <w:lang w:val="es-ES" w:eastAsia="es-ES_tradnl"/>
              </w:rPr>
              <w:t xml:space="preserve">SUSPENSIÓN DE CONTRATO – Concepto / SUSPENSIÓN DE CONTRATO – Requisitos Mínimos / SUSPENSIÓN DE CONTRATO – Efectos en el plazo de ejecución pactado / </w:t>
            </w:r>
            <w:r w:rsidRPr="00AA40D8">
              <w:rPr>
                <w:rFonts w:ascii="Verdana" w:eastAsia="Calibri" w:hAnsi="Verdana" w:cs="Arial"/>
                <w:lang w:val="es-ES" w:eastAsia="es-ES_tradnl"/>
              </w:rPr>
              <w:t xml:space="preserve">SUSPENSIÓN DEL CONTRATO – Incapacidad  </w:t>
            </w:r>
          </w:p>
          <w:p w14:paraId="2217AFDC" w14:textId="77777777" w:rsidR="00074499" w:rsidRPr="00AA40D8" w:rsidRDefault="00074499" w:rsidP="00C54D4B">
            <w:pPr>
              <w:jc w:val="both"/>
              <w:rPr>
                <w:rFonts w:ascii="Verdana" w:eastAsia="Calibri" w:hAnsi="Verdana" w:cs="Arial"/>
                <w:lang w:val="es-ES" w:eastAsia="es-ES"/>
              </w:rPr>
            </w:pPr>
          </w:p>
        </w:tc>
      </w:tr>
      <w:tr w:rsidR="00074499" w:rsidRPr="00AA40D8" w14:paraId="5D0312E8" w14:textId="77777777" w:rsidTr="00C54D4B">
        <w:tc>
          <w:tcPr>
            <w:tcW w:w="2689" w:type="dxa"/>
          </w:tcPr>
          <w:p w14:paraId="14567B6D" w14:textId="77777777" w:rsidR="00074499" w:rsidRPr="00AA40D8" w:rsidRDefault="00074499" w:rsidP="00C54D4B">
            <w:pPr>
              <w:jc w:val="both"/>
              <w:rPr>
                <w:rFonts w:ascii="Verdana" w:eastAsia="Calibri" w:hAnsi="Verdana" w:cs="Arial"/>
                <w:b/>
                <w:color w:val="000000" w:themeColor="text1"/>
                <w:lang w:val="es-ES" w:eastAsia="es-ES_tradnl"/>
              </w:rPr>
            </w:pPr>
            <w:r w:rsidRPr="00AA40D8">
              <w:rPr>
                <w:rFonts w:ascii="Verdana" w:eastAsia="Calibri" w:hAnsi="Verdana" w:cs="Arial"/>
                <w:b/>
                <w:color w:val="000000" w:themeColor="text1"/>
                <w:lang w:val="es-ES" w:eastAsia="es-ES_tradnl"/>
              </w:rPr>
              <w:t>Radicación:</w:t>
            </w:r>
            <w:r w:rsidRPr="00AA40D8">
              <w:rPr>
                <w:rFonts w:ascii="Verdana" w:eastAsia="Calibri" w:hAnsi="Verdana" w:cs="Arial"/>
                <w:color w:val="000000" w:themeColor="text1"/>
                <w:lang w:val="es-ES" w:eastAsia="es-ES_tradnl"/>
              </w:rPr>
              <w:t xml:space="preserve">               </w:t>
            </w:r>
          </w:p>
        </w:tc>
        <w:tc>
          <w:tcPr>
            <w:tcW w:w="6100" w:type="dxa"/>
          </w:tcPr>
          <w:p w14:paraId="54C9CE7A" w14:textId="77777777" w:rsidR="00074499" w:rsidRPr="00AA40D8" w:rsidRDefault="00074499" w:rsidP="00C54D4B">
            <w:pPr>
              <w:jc w:val="both"/>
              <w:rPr>
                <w:rFonts w:ascii="Verdana" w:eastAsia="Calibri" w:hAnsi="Verdana" w:cs="Arial"/>
                <w:color w:val="000000" w:themeColor="text1"/>
                <w:lang w:val="es-ES" w:eastAsia="es-ES_tradnl"/>
              </w:rPr>
            </w:pPr>
            <w:r w:rsidRPr="00AA40D8">
              <w:rPr>
                <w:rFonts w:ascii="Verdana" w:eastAsia="Calibri" w:hAnsi="Verdana" w:cs="Arial"/>
                <w:color w:val="000000" w:themeColor="text1"/>
                <w:lang w:val="es-ES" w:eastAsia="es-ES_tradnl"/>
              </w:rPr>
              <w:t>Respuesta a consulta con radicado No.</w:t>
            </w:r>
            <w:r w:rsidRPr="00AA40D8">
              <w:rPr>
                <w:lang w:val="es-ES"/>
              </w:rPr>
              <w:t xml:space="preserve"> </w:t>
            </w:r>
            <w:r w:rsidRPr="00AA40D8">
              <w:rPr>
                <w:rFonts w:ascii="Verdana" w:eastAsia="Calibri" w:hAnsi="Verdana" w:cs="Arial"/>
                <w:color w:val="000000" w:themeColor="text1"/>
                <w:lang w:val="es-ES" w:eastAsia="es-ES_tradnl"/>
              </w:rPr>
              <w:t xml:space="preserve">1_2025_07_11_007070 </w:t>
            </w:r>
            <w:r w:rsidRPr="00AA40D8">
              <w:rPr>
                <w:rFonts w:ascii="Verdana" w:eastAsia="Calibri" w:hAnsi="Verdana" w:cs="Arial"/>
                <w:color w:val="000000" w:themeColor="text1"/>
                <w:lang w:val="es-ES" w:eastAsia="es-ES_tradnl"/>
              </w:rPr>
              <w:br/>
            </w:r>
          </w:p>
        </w:tc>
      </w:tr>
    </w:tbl>
    <w:p w14:paraId="59F94065" w14:textId="77777777" w:rsidR="00074499" w:rsidRPr="00AA40D8" w:rsidRDefault="00074499" w:rsidP="00074499">
      <w:pPr>
        <w:spacing w:after="0" w:line="276" w:lineRule="auto"/>
        <w:jc w:val="both"/>
        <w:rPr>
          <w:rFonts w:ascii="Verdana" w:eastAsia="Calibri" w:hAnsi="Verdana" w:cs="Arial"/>
          <w:color w:val="000000"/>
          <w:lang w:val="es-ES" w:eastAsia="es-ES_tradnl"/>
        </w:rPr>
      </w:pPr>
      <w:r w:rsidRPr="00AA40D8">
        <w:rPr>
          <w:rFonts w:ascii="Verdana" w:eastAsia="Calibri" w:hAnsi="Verdana" w:cs="Arial"/>
          <w:color w:val="000000"/>
          <w:lang w:val="es-ES" w:eastAsia="es-ES_tradnl"/>
        </w:rPr>
        <w:t xml:space="preserve"> </w:t>
      </w:r>
    </w:p>
    <w:p w14:paraId="4A285508" w14:textId="77777777" w:rsidR="00074499" w:rsidRPr="00AA40D8" w:rsidRDefault="00074499" w:rsidP="00074499">
      <w:pPr>
        <w:spacing w:after="0" w:line="276" w:lineRule="auto"/>
        <w:jc w:val="both"/>
        <w:rPr>
          <w:rFonts w:ascii="Verdana" w:eastAsia="Calibri" w:hAnsi="Verdana" w:cs="Arial"/>
          <w:color w:val="000000" w:themeColor="text1"/>
          <w:lang w:val="es-ES" w:eastAsia="es-ES"/>
        </w:rPr>
      </w:pPr>
      <w:r w:rsidRPr="00AA40D8">
        <w:rPr>
          <w:rFonts w:ascii="Verdana" w:eastAsia="Calibri" w:hAnsi="Verdana" w:cs="Arial"/>
          <w:color w:val="000000" w:themeColor="text1"/>
          <w:lang w:val="es-ES" w:eastAsia="es-ES"/>
        </w:rPr>
        <w:t xml:space="preserve">Estimada </w:t>
      </w:r>
      <w:r w:rsidRPr="00AA40D8">
        <w:rPr>
          <w:rFonts w:ascii="Verdana" w:eastAsia="Calibri" w:hAnsi="Verdana" w:cs="Arial"/>
          <w:color w:val="000000"/>
          <w:lang w:val="es-ES" w:eastAsia="es-ES_tradnl"/>
        </w:rPr>
        <w:t>Señora Rivera:</w:t>
      </w:r>
      <w:r w:rsidRPr="00AA40D8">
        <w:rPr>
          <w:rFonts w:ascii="Verdana" w:eastAsia="Calibri" w:hAnsi="Verdana" w:cs="Arial"/>
          <w:color w:val="000000" w:themeColor="text1"/>
          <w:lang w:val="es-ES" w:eastAsia="es-ES"/>
        </w:rPr>
        <w:t xml:space="preserve"> </w:t>
      </w:r>
    </w:p>
    <w:p w14:paraId="0852F4CB" w14:textId="77777777" w:rsidR="00074499" w:rsidRPr="00AA40D8" w:rsidRDefault="00074499" w:rsidP="00074499">
      <w:pPr>
        <w:tabs>
          <w:tab w:val="left" w:pos="3768"/>
        </w:tabs>
        <w:spacing w:after="0" w:line="276" w:lineRule="auto"/>
        <w:jc w:val="both"/>
        <w:rPr>
          <w:rFonts w:ascii="Verdana" w:eastAsia="Calibri" w:hAnsi="Verdana" w:cs="Arial"/>
          <w:color w:val="000000" w:themeColor="text1"/>
          <w:lang w:val="es-ES" w:eastAsia="es-ES"/>
        </w:rPr>
      </w:pPr>
      <w:r w:rsidRPr="00AA40D8">
        <w:rPr>
          <w:rFonts w:ascii="Verdana" w:eastAsia="Calibri" w:hAnsi="Verdana" w:cs="Arial"/>
          <w:color w:val="000000" w:themeColor="text1"/>
          <w:lang w:val="es-ES" w:eastAsia="es-ES"/>
        </w:rPr>
        <w:tab/>
      </w:r>
    </w:p>
    <w:p w14:paraId="7185BDE6" w14:textId="77777777" w:rsidR="00074499" w:rsidRPr="00AA40D8" w:rsidRDefault="00074499" w:rsidP="00074499">
      <w:pPr>
        <w:spacing w:after="0" w:line="276" w:lineRule="auto"/>
        <w:jc w:val="both"/>
        <w:rPr>
          <w:rFonts w:ascii="Verdana" w:eastAsia="Calibri" w:hAnsi="Verdana" w:cs="Arial"/>
          <w:color w:val="000000" w:themeColor="text1"/>
          <w:lang w:val="es-ES" w:eastAsia="es-ES"/>
        </w:rPr>
      </w:pPr>
      <w:r w:rsidRPr="00AA40D8">
        <w:rPr>
          <w:rFonts w:ascii="Verdana" w:eastAsia="Calibri" w:hAnsi="Verdana" w:cs="Arial"/>
          <w:color w:val="000000" w:themeColor="text1"/>
          <w:lang w:val="es-ES" w:eastAsia="es-ES"/>
        </w:rPr>
        <w:t>En ejercicio de la competencia otorgada por los artículos 3, numeral 5º, y 11, numeral 8º, del Decreto Ley 4170 de 2011,</w:t>
      </w:r>
      <w:r w:rsidRPr="00AA40D8">
        <w:rPr>
          <w:rFonts w:ascii="Verdana" w:eastAsia="Arial MT" w:hAnsi="Verdana" w:cs="Arial MT"/>
          <w:lang w:val="es-ES" w:eastAsia="es-ES"/>
        </w:rPr>
        <w:t xml:space="preserve"> </w:t>
      </w:r>
      <w:r w:rsidRPr="00AA40D8">
        <w:rPr>
          <w:rFonts w:ascii="Verdana" w:hAnsi="Verdana" w:cs="Arial"/>
          <w:lang w:val="es-ES"/>
        </w:rPr>
        <w:t xml:space="preserve">así como lo establecido en el artículo 4 de la Resolución 1707 de 2018 expedida por esta Entidad, </w:t>
      </w:r>
      <w:r w:rsidRPr="00AA40D8">
        <w:rPr>
          <w:rFonts w:ascii="Verdana" w:eastAsia="Calibri" w:hAnsi="Verdana" w:cs="Arial"/>
          <w:color w:val="000000" w:themeColor="text1"/>
          <w:lang w:val="es-ES" w:eastAsia="es-ES"/>
        </w:rPr>
        <w:t xml:space="preserve">la Agencia Nacional de Contratación Pública – Colombia Compra Eficiente– responde su solicitud de consulta de fecha 11 de julio de 2025, en la cual manifiesta lo siguiente: </w:t>
      </w:r>
    </w:p>
    <w:p w14:paraId="32D31C90" w14:textId="77777777" w:rsidR="00074499" w:rsidRPr="00AA40D8" w:rsidRDefault="00074499" w:rsidP="00074499">
      <w:pPr>
        <w:spacing w:after="0" w:line="276" w:lineRule="auto"/>
        <w:jc w:val="both"/>
        <w:rPr>
          <w:rFonts w:ascii="Verdana" w:eastAsia="Calibri" w:hAnsi="Verdana" w:cs="Arial"/>
          <w:color w:val="000000" w:themeColor="text1"/>
          <w:lang w:val="es-ES" w:eastAsia="es-ES"/>
        </w:rPr>
      </w:pPr>
    </w:p>
    <w:p w14:paraId="67FB8B77" w14:textId="04146910" w:rsidR="00074499" w:rsidRPr="00AA40D8" w:rsidRDefault="00074499" w:rsidP="00074499">
      <w:pPr>
        <w:spacing w:after="0"/>
        <w:ind w:left="709" w:right="709"/>
        <w:contextualSpacing/>
        <w:jc w:val="both"/>
        <w:rPr>
          <w:rFonts w:ascii="Verdana" w:eastAsia="Century Gothic" w:hAnsi="Verdana" w:cs="Century Gothic"/>
          <w:i/>
          <w:iCs/>
          <w:color w:val="000000" w:themeColor="text1"/>
          <w:sz w:val="20"/>
          <w:szCs w:val="20"/>
          <w:lang w:val="es-ES"/>
        </w:rPr>
      </w:pPr>
      <w:bookmarkStart w:id="0" w:name="_Hlk95313578"/>
      <w:r w:rsidRPr="00AA40D8">
        <w:rPr>
          <w:rFonts w:ascii="Verdana" w:eastAsia="Century Gothic" w:hAnsi="Verdana" w:cs="Century Gothic"/>
          <w:i/>
          <w:iCs/>
          <w:color w:val="000000" w:themeColor="text1"/>
          <w:sz w:val="20"/>
          <w:szCs w:val="20"/>
          <w:lang w:val="es-ES"/>
        </w:rPr>
        <w:t>“</w:t>
      </w:r>
      <w:bookmarkEnd w:id="0"/>
      <w:r w:rsidRPr="00AA40D8">
        <w:rPr>
          <w:rFonts w:ascii="Verdana" w:eastAsia="Century Gothic" w:hAnsi="Verdana" w:cs="Century Gothic"/>
          <w:i/>
          <w:iCs/>
          <w:color w:val="000000" w:themeColor="text1"/>
          <w:sz w:val="20"/>
          <w:szCs w:val="20"/>
          <w:lang w:val="es-ES"/>
        </w:rPr>
        <w:t xml:space="preserve">¿Si actualmente una persona natural tiene un contrato de </w:t>
      </w:r>
      <w:r w:rsidR="00872D69" w:rsidRPr="00AA40D8">
        <w:rPr>
          <w:rFonts w:ascii="Verdana" w:eastAsia="Century Gothic" w:hAnsi="Verdana" w:cs="Century Gothic"/>
          <w:i/>
          <w:iCs/>
          <w:color w:val="000000" w:themeColor="text1"/>
          <w:sz w:val="20"/>
          <w:szCs w:val="20"/>
          <w:lang w:val="es-ES"/>
        </w:rPr>
        <w:t>prestación</w:t>
      </w:r>
      <w:r w:rsidRPr="00AA40D8">
        <w:rPr>
          <w:rFonts w:ascii="Verdana" w:eastAsia="Century Gothic" w:hAnsi="Verdana" w:cs="Century Gothic"/>
          <w:i/>
          <w:iCs/>
          <w:color w:val="000000" w:themeColor="text1"/>
          <w:sz w:val="20"/>
          <w:szCs w:val="20"/>
          <w:lang w:val="es-ES"/>
        </w:rPr>
        <w:t xml:space="preserve"> de servicios con una entidad pública y en el transcurso de la </w:t>
      </w:r>
      <w:r w:rsidR="00872D69" w:rsidRPr="00AA40D8">
        <w:rPr>
          <w:rFonts w:ascii="Verdana" w:eastAsia="Century Gothic" w:hAnsi="Verdana" w:cs="Century Gothic"/>
          <w:i/>
          <w:iCs/>
          <w:color w:val="000000" w:themeColor="text1"/>
          <w:sz w:val="20"/>
          <w:szCs w:val="20"/>
          <w:lang w:val="es-ES"/>
        </w:rPr>
        <w:t>ejecución</w:t>
      </w:r>
      <w:r w:rsidRPr="00AA40D8">
        <w:rPr>
          <w:rFonts w:ascii="Verdana" w:eastAsia="Century Gothic" w:hAnsi="Verdana" w:cs="Century Gothic"/>
          <w:i/>
          <w:iCs/>
          <w:color w:val="000000" w:themeColor="text1"/>
          <w:sz w:val="20"/>
          <w:szCs w:val="20"/>
          <w:lang w:val="es-ES"/>
        </w:rPr>
        <w:t xml:space="preserve"> es intervenido </w:t>
      </w:r>
      <w:r w:rsidR="00872D69" w:rsidRPr="00AA40D8">
        <w:rPr>
          <w:rFonts w:ascii="Verdana" w:eastAsia="Century Gothic" w:hAnsi="Verdana" w:cs="Century Gothic"/>
          <w:i/>
          <w:iCs/>
          <w:color w:val="000000" w:themeColor="text1"/>
          <w:sz w:val="20"/>
          <w:szCs w:val="20"/>
          <w:lang w:val="es-ES"/>
        </w:rPr>
        <w:t>quirúrgicamente</w:t>
      </w:r>
      <w:r w:rsidRPr="00AA40D8">
        <w:rPr>
          <w:rFonts w:ascii="Verdana" w:eastAsia="Century Gothic" w:hAnsi="Verdana" w:cs="Century Gothic"/>
          <w:i/>
          <w:iCs/>
          <w:color w:val="000000" w:themeColor="text1"/>
          <w:sz w:val="20"/>
          <w:szCs w:val="20"/>
          <w:lang w:val="es-ES"/>
        </w:rPr>
        <w:t xml:space="preserve"> </w:t>
      </w:r>
      <w:r w:rsidR="00872D69" w:rsidRPr="00AA40D8">
        <w:rPr>
          <w:rFonts w:ascii="Verdana" w:eastAsia="Century Gothic" w:hAnsi="Verdana" w:cs="Century Gothic"/>
          <w:i/>
          <w:iCs/>
          <w:color w:val="000000" w:themeColor="text1"/>
          <w:sz w:val="20"/>
          <w:szCs w:val="20"/>
          <w:lang w:val="es-ES"/>
        </w:rPr>
        <w:t>generándose</w:t>
      </w:r>
      <w:r w:rsidRPr="00AA40D8">
        <w:rPr>
          <w:rFonts w:ascii="Verdana" w:eastAsia="Century Gothic" w:hAnsi="Verdana" w:cs="Century Gothic"/>
          <w:i/>
          <w:iCs/>
          <w:color w:val="000000" w:themeColor="text1"/>
          <w:sz w:val="20"/>
          <w:szCs w:val="20"/>
          <w:lang w:val="es-ES"/>
        </w:rPr>
        <w:t xml:space="preserve"> </w:t>
      </w:r>
      <w:r w:rsidR="00872D69" w:rsidRPr="00AA40D8">
        <w:rPr>
          <w:rFonts w:ascii="Verdana" w:eastAsia="Century Gothic" w:hAnsi="Verdana" w:cs="Century Gothic"/>
          <w:i/>
          <w:iCs/>
          <w:color w:val="000000" w:themeColor="text1"/>
          <w:sz w:val="20"/>
          <w:szCs w:val="20"/>
          <w:lang w:val="es-ES"/>
        </w:rPr>
        <w:t>así</w:t>
      </w:r>
      <w:r w:rsidRPr="00AA40D8">
        <w:rPr>
          <w:rFonts w:ascii="Verdana" w:eastAsia="Century Gothic" w:hAnsi="Verdana" w:cs="Century Gothic"/>
          <w:i/>
          <w:iCs/>
          <w:color w:val="000000" w:themeColor="text1"/>
          <w:sz w:val="20"/>
          <w:szCs w:val="20"/>
          <w:lang w:val="es-ES"/>
        </w:rPr>
        <w:t xml:space="preserve">́ una incapacidad de 2 meses, surge la siguiente inquietud: </w:t>
      </w:r>
    </w:p>
    <w:p w14:paraId="38223530" w14:textId="55FDD5C9" w:rsidR="00074499" w:rsidRPr="00AA40D8" w:rsidRDefault="00074499" w:rsidP="00074499">
      <w:pPr>
        <w:spacing w:after="0"/>
        <w:ind w:left="709" w:right="709"/>
        <w:contextualSpacing/>
        <w:jc w:val="both"/>
        <w:rPr>
          <w:rFonts w:ascii="Verdana" w:eastAsia="Century Gothic" w:hAnsi="Verdana" w:cs="Century Gothic"/>
          <w:i/>
          <w:iCs/>
          <w:color w:val="000000" w:themeColor="text1"/>
          <w:sz w:val="20"/>
          <w:szCs w:val="20"/>
          <w:lang w:val="es-ES"/>
        </w:rPr>
      </w:pPr>
      <w:r w:rsidRPr="00E4153B">
        <w:rPr>
          <w:rFonts w:ascii="Verdana" w:eastAsia="Century Gothic" w:hAnsi="Verdana" w:cs="Century Gothic"/>
          <w:i/>
          <w:iCs/>
          <w:color w:val="000000" w:themeColor="text1"/>
          <w:sz w:val="20"/>
          <w:szCs w:val="20"/>
          <w:lang w:val="es-ES"/>
        </w:rPr>
        <w:t xml:space="preserve">si la incapacidad le permite al contratista a </w:t>
      </w:r>
      <w:r w:rsidR="00872D69" w:rsidRPr="00E4153B">
        <w:rPr>
          <w:rFonts w:ascii="Verdana" w:eastAsia="Century Gothic" w:hAnsi="Verdana" w:cs="Century Gothic"/>
          <w:i/>
          <w:iCs/>
          <w:color w:val="000000" w:themeColor="text1"/>
          <w:sz w:val="20"/>
          <w:szCs w:val="20"/>
          <w:lang w:val="es-ES"/>
        </w:rPr>
        <w:t>través</w:t>
      </w:r>
      <w:r w:rsidRPr="00E4153B">
        <w:rPr>
          <w:rFonts w:ascii="Verdana" w:eastAsia="Century Gothic" w:hAnsi="Verdana" w:cs="Century Gothic"/>
          <w:i/>
          <w:iCs/>
          <w:color w:val="000000" w:themeColor="text1"/>
          <w:sz w:val="20"/>
          <w:szCs w:val="20"/>
          <w:lang w:val="es-ES"/>
        </w:rPr>
        <w:t xml:space="preserve"> de medios </w:t>
      </w:r>
      <w:r w:rsidR="00872D69" w:rsidRPr="00E4153B">
        <w:rPr>
          <w:rFonts w:ascii="Verdana" w:eastAsia="Century Gothic" w:hAnsi="Verdana" w:cs="Century Gothic"/>
          <w:i/>
          <w:iCs/>
          <w:color w:val="000000" w:themeColor="text1"/>
          <w:sz w:val="20"/>
          <w:szCs w:val="20"/>
          <w:lang w:val="es-ES"/>
        </w:rPr>
        <w:t>tecnológicos</w:t>
      </w:r>
      <w:r w:rsidRPr="00E4153B">
        <w:rPr>
          <w:rFonts w:ascii="Verdana" w:eastAsia="Century Gothic" w:hAnsi="Verdana" w:cs="Century Gothic"/>
          <w:i/>
          <w:iCs/>
          <w:color w:val="000000" w:themeColor="text1"/>
          <w:sz w:val="20"/>
          <w:szCs w:val="20"/>
          <w:lang w:val="es-ES"/>
        </w:rPr>
        <w:t xml:space="preserve"> cumplir con sus actividades contractuales y </w:t>
      </w:r>
      <w:r w:rsidR="00872D69" w:rsidRPr="00E4153B">
        <w:rPr>
          <w:rFonts w:ascii="Verdana" w:eastAsia="Century Gothic" w:hAnsi="Verdana" w:cs="Century Gothic"/>
          <w:i/>
          <w:iCs/>
          <w:color w:val="000000" w:themeColor="text1"/>
          <w:sz w:val="20"/>
          <w:szCs w:val="20"/>
          <w:lang w:val="es-ES"/>
        </w:rPr>
        <w:t>este</w:t>
      </w:r>
      <w:r w:rsidRPr="00E4153B">
        <w:rPr>
          <w:rFonts w:ascii="Verdana" w:eastAsia="Century Gothic" w:hAnsi="Verdana" w:cs="Century Gothic"/>
          <w:i/>
          <w:iCs/>
          <w:color w:val="000000" w:themeColor="text1"/>
          <w:sz w:val="20"/>
          <w:szCs w:val="20"/>
          <w:lang w:val="es-ES"/>
        </w:rPr>
        <w:t xml:space="preserve"> </w:t>
      </w:r>
      <w:proofErr w:type="spellStart"/>
      <w:r w:rsidRPr="00E4153B">
        <w:rPr>
          <w:rFonts w:ascii="Verdana" w:eastAsia="Century Gothic" w:hAnsi="Verdana" w:cs="Century Gothic"/>
          <w:i/>
          <w:iCs/>
          <w:color w:val="000000" w:themeColor="text1"/>
          <w:sz w:val="20"/>
          <w:szCs w:val="20"/>
          <w:lang w:val="es-ES"/>
        </w:rPr>
        <w:t>esta</w:t>
      </w:r>
      <w:proofErr w:type="spellEnd"/>
      <w:r w:rsidRPr="00E4153B">
        <w:rPr>
          <w:rFonts w:ascii="Verdana" w:eastAsia="Century Gothic" w:hAnsi="Verdana" w:cs="Century Gothic"/>
          <w:i/>
          <w:iCs/>
          <w:color w:val="000000" w:themeColor="text1"/>
          <w:sz w:val="20"/>
          <w:szCs w:val="20"/>
          <w:lang w:val="es-ES"/>
        </w:rPr>
        <w:t xml:space="preserve">́ de acuerdo con seguir con la </w:t>
      </w:r>
      <w:r w:rsidR="00872D69" w:rsidRPr="00E4153B">
        <w:rPr>
          <w:rFonts w:ascii="Verdana" w:eastAsia="Century Gothic" w:hAnsi="Verdana" w:cs="Century Gothic"/>
          <w:i/>
          <w:iCs/>
          <w:color w:val="000000" w:themeColor="text1"/>
          <w:sz w:val="20"/>
          <w:szCs w:val="20"/>
          <w:lang w:val="es-ES"/>
        </w:rPr>
        <w:t>ejecución</w:t>
      </w:r>
      <w:r w:rsidRPr="00E4153B">
        <w:rPr>
          <w:rFonts w:ascii="Verdana" w:eastAsia="Century Gothic" w:hAnsi="Verdana" w:cs="Century Gothic"/>
          <w:i/>
          <w:iCs/>
          <w:color w:val="000000" w:themeColor="text1"/>
          <w:sz w:val="20"/>
          <w:szCs w:val="20"/>
          <w:lang w:val="es-ES"/>
        </w:rPr>
        <w:t xml:space="preserve"> a </w:t>
      </w:r>
      <w:r w:rsidR="00872D69" w:rsidRPr="00E4153B">
        <w:rPr>
          <w:rFonts w:ascii="Verdana" w:eastAsia="Century Gothic" w:hAnsi="Verdana" w:cs="Century Gothic"/>
          <w:i/>
          <w:iCs/>
          <w:color w:val="000000" w:themeColor="text1"/>
          <w:sz w:val="20"/>
          <w:szCs w:val="20"/>
          <w:lang w:val="es-ES"/>
        </w:rPr>
        <w:t>través</w:t>
      </w:r>
      <w:r w:rsidRPr="00E4153B">
        <w:rPr>
          <w:rFonts w:ascii="Verdana" w:eastAsia="Century Gothic" w:hAnsi="Verdana" w:cs="Century Gothic"/>
          <w:i/>
          <w:iCs/>
          <w:color w:val="000000" w:themeColor="text1"/>
          <w:sz w:val="20"/>
          <w:szCs w:val="20"/>
          <w:lang w:val="es-ES"/>
        </w:rPr>
        <w:t xml:space="preserve"> de medios </w:t>
      </w:r>
      <w:r w:rsidR="00872D69" w:rsidRPr="00E4153B">
        <w:rPr>
          <w:rFonts w:ascii="Verdana" w:eastAsia="Century Gothic" w:hAnsi="Verdana" w:cs="Century Gothic"/>
          <w:i/>
          <w:iCs/>
          <w:color w:val="000000" w:themeColor="text1"/>
          <w:sz w:val="20"/>
          <w:szCs w:val="20"/>
          <w:lang w:val="es-ES"/>
        </w:rPr>
        <w:t>tecnológicos</w:t>
      </w:r>
      <w:r w:rsidRPr="00E4153B">
        <w:rPr>
          <w:rFonts w:ascii="Verdana" w:eastAsia="Century Gothic" w:hAnsi="Verdana" w:cs="Century Gothic"/>
          <w:i/>
          <w:iCs/>
          <w:color w:val="000000" w:themeColor="text1"/>
          <w:sz w:val="20"/>
          <w:szCs w:val="20"/>
          <w:lang w:val="es-ES"/>
        </w:rPr>
        <w:t xml:space="preserve">, pero el contratista </w:t>
      </w:r>
      <w:r w:rsidR="00872D69" w:rsidRPr="00E4153B">
        <w:rPr>
          <w:rFonts w:ascii="Verdana" w:eastAsia="Century Gothic" w:hAnsi="Verdana" w:cs="Century Gothic"/>
          <w:i/>
          <w:iCs/>
          <w:color w:val="000000" w:themeColor="text1"/>
          <w:sz w:val="20"/>
          <w:szCs w:val="20"/>
          <w:lang w:val="es-ES"/>
        </w:rPr>
        <w:t>simultáneamente</w:t>
      </w:r>
      <w:r w:rsidRPr="00E4153B">
        <w:rPr>
          <w:rFonts w:ascii="Verdana" w:eastAsia="Century Gothic" w:hAnsi="Verdana" w:cs="Century Gothic"/>
          <w:i/>
          <w:iCs/>
          <w:color w:val="000000" w:themeColor="text1"/>
          <w:sz w:val="20"/>
          <w:szCs w:val="20"/>
          <w:lang w:val="es-ES"/>
        </w:rPr>
        <w:t xml:space="preserve"> decide tramitar ante su EPS el pago de la incapacidad, debe la entidad estatal suspender el contrato de </w:t>
      </w:r>
      <w:r w:rsidR="00872D69" w:rsidRPr="00E4153B">
        <w:rPr>
          <w:rFonts w:ascii="Verdana" w:eastAsia="Century Gothic" w:hAnsi="Verdana" w:cs="Century Gothic"/>
          <w:i/>
          <w:iCs/>
          <w:color w:val="000000" w:themeColor="text1"/>
          <w:sz w:val="20"/>
          <w:szCs w:val="20"/>
          <w:lang w:val="es-ES"/>
        </w:rPr>
        <w:t>prestación</w:t>
      </w:r>
      <w:r w:rsidRPr="00E4153B">
        <w:rPr>
          <w:rFonts w:ascii="Verdana" w:eastAsia="Century Gothic" w:hAnsi="Verdana" w:cs="Century Gothic"/>
          <w:i/>
          <w:iCs/>
          <w:color w:val="000000" w:themeColor="text1"/>
          <w:sz w:val="20"/>
          <w:szCs w:val="20"/>
          <w:lang w:val="es-ES"/>
        </w:rPr>
        <w:t xml:space="preserve"> de servicios? o es </w:t>
      </w:r>
      <w:r w:rsidR="00872D69" w:rsidRPr="00E4153B">
        <w:rPr>
          <w:rFonts w:ascii="Verdana" w:eastAsia="Century Gothic" w:hAnsi="Verdana" w:cs="Century Gothic"/>
          <w:i/>
          <w:iCs/>
          <w:color w:val="000000" w:themeColor="text1"/>
          <w:sz w:val="20"/>
          <w:szCs w:val="20"/>
          <w:lang w:val="es-ES"/>
        </w:rPr>
        <w:t>válido</w:t>
      </w:r>
      <w:r w:rsidRPr="00E4153B">
        <w:rPr>
          <w:rFonts w:ascii="Verdana" w:eastAsia="Century Gothic" w:hAnsi="Verdana" w:cs="Century Gothic"/>
          <w:i/>
          <w:iCs/>
          <w:color w:val="000000" w:themeColor="text1"/>
          <w:sz w:val="20"/>
          <w:szCs w:val="20"/>
          <w:lang w:val="es-ES"/>
        </w:rPr>
        <w:t xml:space="preserve"> que el contratista continue con la </w:t>
      </w:r>
      <w:r w:rsidR="00872D69" w:rsidRPr="00E4153B">
        <w:rPr>
          <w:rFonts w:ascii="Verdana" w:eastAsia="Century Gothic" w:hAnsi="Verdana" w:cs="Century Gothic"/>
          <w:i/>
          <w:iCs/>
          <w:color w:val="000000" w:themeColor="text1"/>
          <w:sz w:val="20"/>
          <w:szCs w:val="20"/>
          <w:lang w:val="es-ES"/>
        </w:rPr>
        <w:t>ejecución</w:t>
      </w:r>
      <w:r w:rsidRPr="00E4153B">
        <w:rPr>
          <w:rFonts w:ascii="Verdana" w:eastAsia="Century Gothic" w:hAnsi="Verdana" w:cs="Century Gothic"/>
          <w:i/>
          <w:iCs/>
          <w:color w:val="000000" w:themeColor="text1"/>
          <w:sz w:val="20"/>
          <w:szCs w:val="20"/>
          <w:lang w:val="es-ES"/>
        </w:rPr>
        <w:t>, se generen sus cuentas de cobro y paralelamente recobre a la EPS el valor de la incapacidad</w:t>
      </w:r>
      <w:r w:rsidRPr="00AA40D8">
        <w:rPr>
          <w:rFonts w:ascii="Verdana" w:eastAsia="Century Gothic" w:hAnsi="Verdana" w:cs="Century Gothic"/>
          <w:i/>
          <w:iCs/>
          <w:color w:val="000000" w:themeColor="text1"/>
          <w:sz w:val="20"/>
          <w:szCs w:val="20"/>
          <w:lang w:val="es-ES"/>
        </w:rPr>
        <w:t>?”</w:t>
      </w:r>
    </w:p>
    <w:p w14:paraId="135F4DEE" w14:textId="77777777" w:rsidR="00074499" w:rsidRPr="00AA40D8" w:rsidRDefault="00074499" w:rsidP="00074499">
      <w:pPr>
        <w:spacing w:after="0" w:line="276" w:lineRule="auto"/>
        <w:ind w:firstLine="709"/>
        <w:contextualSpacing/>
        <w:jc w:val="both"/>
        <w:rPr>
          <w:rFonts w:ascii="Verdana" w:eastAsia="Calibri" w:hAnsi="Verdana" w:cs="Arial"/>
          <w:color w:val="000000"/>
          <w:lang w:val="es-ES" w:eastAsia="es-ES"/>
        </w:rPr>
      </w:pPr>
    </w:p>
    <w:p w14:paraId="4A3D4E9F" w14:textId="77777777" w:rsidR="00074499" w:rsidRPr="00AA40D8" w:rsidRDefault="00074499" w:rsidP="00074499">
      <w:pPr>
        <w:spacing w:after="120" w:line="276" w:lineRule="auto"/>
        <w:ind w:firstLine="709"/>
        <w:jc w:val="both"/>
        <w:rPr>
          <w:rFonts w:ascii="Verdana" w:eastAsia="Calibri" w:hAnsi="Verdana" w:cs="Arial"/>
          <w:color w:val="000000"/>
          <w:szCs w:val="24"/>
          <w:lang w:val="es-ES" w:eastAsia="es-ES_tradnl"/>
        </w:rPr>
      </w:pPr>
      <w:r w:rsidRPr="00AA40D8">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A40D8">
        <w:rPr>
          <w:rFonts w:ascii="Verdana" w:eastAsia="Calibri" w:hAnsi="Verdana" w:cs="Arial"/>
          <w:color w:val="000000"/>
          <w:szCs w:val="24"/>
          <w:lang w:val="es-ES" w:eastAsia="es-ES_tradnl"/>
        </w:rPr>
        <w:tab/>
      </w:r>
    </w:p>
    <w:p w14:paraId="2CFDF537" w14:textId="77777777" w:rsidR="00074499" w:rsidRPr="00AA40D8" w:rsidRDefault="00074499" w:rsidP="00074499">
      <w:pPr>
        <w:spacing w:after="0" w:line="276" w:lineRule="auto"/>
        <w:ind w:firstLine="709"/>
        <w:jc w:val="both"/>
        <w:rPr>
          <w:rFonts w:ascii="Verdana" w:eastAsia="Calibri" w:hAnsi="Verdana" w:cs="Arial"/>
          <w:color w:val="000000"/>
          <w:lang w:val="es-ES" w:eastAsia="es-ES"/>
        </w:rPr>
      </w:pPr>
      <w:r w:rsidRPr="00AA40D8">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w:t>
      </w:r>
      <w:r w:rsidRPr="00AA40D8">
        <w:rPr>
          <w:rFonts w:ascii="Verdana" w:eastAsia="Calibri" w:hAnsi="Verdana" w:cs="Arial"/>
          <w:color w:val="7030A0"/>
          <w:lang w:val="es-ES" w:eastAsia="es-ES"/>
        </w:rPr>
        <w:t xml:space="preserve"> </w:t>
      </w:r>
      <w:r w:rsidRPr="00AA40D8">
        <w:rPr>
          <w:rFonts w:ascii="Verdana" w:eastAsia="Calibri" w:hAnsi="Verdana" w:cs="Arial"/>
          <w:color w:val="000000"/>
          <w:lang w:val="es-ES" w:eastAsia="es-ES"/>
        </w:rPr>
        <w:t>jurídicos</w:t>
      </w:r>
      <w:r w:rsidRPr="00AA40D8">
        <w:rPr>
          <w:rFonts w:ascii="Verdana" w:eastAsia="Calibri" w:hAnsi="Verdana" w:cs="Arial"/>
          <w:color w:val="7030A0"/>
          <w:lang w:val="es-ES" w:eastAsia="es-ES"/>
        </w:rPr>
        <w:t xml:space="preserve"> </w:t>
      </w:r>
      <w:r w:rsidRPr="00AA40D8">
        <w:rPr>
          <w:rFonts w:ascii="Verdana" w:eastAsia="Calibri" w:hAnsi="Verdana" w:cs="Arial"/>
          <w:color w:val="000000"/>
          <w:lang w:val="es-ES" w:eastAsia="es-ES"/>
        </w:rPr>
        <w:t xml:space="preserve">de su consulta. </w:t>
      </w:r>
    </w:p>
    <w:p w14:paraId="25B51573" w14:textId="77777777" w:rsidR="00074499" w:rsidRPr="00AA40D8" w:rsidRDefault="00074499" w:rsidP="00074499">
      <w:pPr>
        <w:spacing w:after="0" w:line="276" w:lineRule="auto"/>
        <w:ind w:firstLine="709"/>
        <w:jc w:val="both"/>
        <w:rPr>
          <w:rFonts w:ascii="Verdana" w:eastAsia="Calibri" w:hAnsi="Verdana" w:cs="Arial"/>
          <w:color w:val="000000"/>
          <w:lang w:val="es-ES" w:eastAsia="es-ES"/>
        </w:rPr>
      </w:pPr>
    </w:p>
    <w:p w14:paraId="2F04A7C8" w14:textId="77777777" w:rsidR="00074499" w:rsidRPr="00AA40D8" w:rsidRDefault="00074499" w:rsidP="0007449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A40D8">
        <w:rPr>
          <w:rFonts w:ascii="Verdana" w:eastAsia="Century Gothic" w:hAnsi="Verdana" w:cs="Century Gothic"/>
          <w:b/>
          <w:bCs/>
        </w:rPr>
        <w:t>Problema planteado:</w:t>
      </w:r>
    </w:p>
    <w:p w14:paraId="60A576AD" w14:textId="77777777" w:rsidR="00074499" w:rsidRPr="00AA40D8" w:rsidRDefault="00074499" w:rsidP="00074499">
      <w:pPr>
        <w:tabs>
          <w:tab w:val="left" w:pos="426"/>
        </w:tabs>
        <w:spacing w:after="0" w:line="276" w:lineRule="auto"/>
        <w:jc w:val="both"/>
        <w:rPr>
          <w:rFonts w:ascii="Verdana" w:eastAsia="Century Gothic" w:hAnsi="Verdana" w:cs="Century Gothic"/>
          <w:lang w:val="es-ES"/>
        </w:rPr>
      </w:pPr>
    </w:p>
    <w:p w14:paraId="46C6AE94" w14:textId="4FD1764F" w:rsidR="00074499" w:rsidRPr="00AA40D8" w:rsidRDefault="00074499" w:rsidP="00074499">
      <w:pPr>
        <w:spacing w:after="0" w:line="276" w:lineRule="auto"/>
        <w:jc w:val="both"/>
        <w:rPr>
          <w:rFonts w:ascii="Verdana" w:eastAsia="Century Gothic" w:hAnsi="Verdana" w:cs="Century Gothic"/>
          <w:lang w:val="es-ES"/>
        </w:rPr>
      </w:pPr>
      <w:r w:rsidRPr="00AA40D8">
        <w:rPr>
          <w:rFonts w:ascii="Verdana" w:eastAsia="Century Gothic" w:hAnsi="Verdana" w:cs="Century Gothic"/>
          <w:lang w:val="es-ES"/>
        </w:rPr>
        <w:t>De acuerdo con el contenido de su solicitud, esta Agencia resolverá el siguiente problema jurídico: ¿</w:t>
      </w:r>
      <w:r w:rsidR="00AA40D8">
        <w:rPr>
          <w:rFonts w:ascii="Verdana" w:eastAsia="Century Gothic" w:hAnsi="Verdana" w:cs="Century Gothic"/>
          <w:lang w:val="es-ES"/>
        </w:rPr>
        <w:t>c</w:t>
      </w:r>
      <w:r w:rsidRPr="00AA40D8">
        <w:rPr>
          <w:rFonts w:ascii="Verdana" w:eastAsia="Century Gothic" w:hAnsi="Verdana" w:cs="Century Gothic"/>
          <w:lang w:val="es-ES"/>
        </w:rPr>
        <w:t>uál es el marco jurídico para la suspensión del contrato de prestación de servicios por incapacidad</w:t>
      </w:r>
      <w:r w:rsidRPr="00AA40D8">
        <w:rPr>
          <w:rFonts w:ascii="Verdana" w:eastAsia="Calibri" w:hAnsi="Verdana" w:cs="Arial"/>
          <w:lang w:val="es-ES" w:eastAsia="es-ES"/>
        </w:rPr>
        <w:t xml:space="preserve">? y ¿debe la entidad continuar con la ejecución y los pagos del contrato de prestación de servicios cuando </w:t>
      </w:r>
      <w:proofErr w:type="gramStart"/>
      <w:r w:rsidRPr="00AA40D8">
        <w:rPr>
          <w:rFonts w:ascii="Verdana" w:eastAsia="Calibri" w:hAnsi="Verdana" w:cs="Arial"/>
          <w:lang w:val="es-ES" w:eastAsia="es-ES"/>
        </w:rPr>
        <w:t>el  contratista</w:t>
      </w:r>
      <w:proofErr w:type="gramEnd"/>
      <w:r w:rsidR="00870BB5">
        <w:rPr>
          <w:rFonts w:ascii="Verdana" w:eastAsia="Calibri" w:hAnsi="Verdana" w:cs="Arial"/>
          <w:lang w:val="es-ES" w:eastAsia="es-ES"/>
        </w:rPr>
        <w:t>, simultáneamente,</w:t>
      </w:r>
      <w:r w:rsidRPr="00AA40D8">
        <w:rPr>
          <w:rFonts w:ascii="Verdana" w:eastAsia="Calibri" w:hAnsi="Verdana" w:cs="Arial"/>
          <w:lang w:val="es-ES" w:eastAsia="es-ES"/>
        </w:rPr>
        <w:t xml:space="preserve"> tramite y reciba el auxilio por incapacidad? </w:t>
      </w:r>
    </w:p>
    <w:p w14:paraId="4F24348A" w14:textId="77777777" w:rsidR="00074499" w:rsidRPr="00AA40D8" w:rsidRDefault="00074499" w:rsidP="00074499">
      <w:pPr>
        <w:spacing w:after="0" w:line="276" w:lineRule="auto"/>
        <w:jc w:val="both"/>
        <w:rPr>
          <w:rFonts w:ascii="Verdana" w:eastAsia="Calibri" w:hAnsi="Verdana" w:cs="Arial"/>
          <w:color w:val="7030A0"/>
          <w:lang w:val="es-ES"/>
        </w:rPr>
      </w:pPr>
    </w:p>
    <w:p w14:paraId="3B0064A1" w14:textId="77777777" w:rsidR="00074499" w:rsidRPr="00AA40D8" w:rsidRDefault="00074499" w:rsidP="000744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40D8">
        <w:rPr>
          <w:rFonts w:ascii="Verdana" w:eastAsia="Century Gothic" w:hAnsi="Verdana" w:cs="Century Gothic"/>
          <w:b/>
          <w:bCs/>
        </w:rPr>
        <w:t>Respuesta:</w:t>
      </w:r>
    </w:p>
    <w:p w14:paraId="19214DCE" w14:textId="77777777" w:rsidR="00074499" w:rsidRPr="00AA40D8" w:rsidRDefault="00074499" w:rsidP="0007449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4499" w:rsidRPr="00AA40D8" w14:paraId="12BD9EBF" w14:textId="77777777" w:rsidTr="00C54D4B">
        <w:tc>
          <w:tcPr>
            <w:tcW w:w="8828" w:type="dxa"/>
          </w:tcPr>
          <w:p w14:paraId="2DB29F18" w14:textId="77777777" w:rsidR="00074499" w:rsidRPr="00AA40D8" w:rsidRDefault="00074499" w:rsidP="00E56C8F">
            <w:pPr>
              <w:spacing w:after="120" w:line="276" w:lineRule="auto"/>
              <w:ind w:firstLine="742"/>
              <w:jc w:val="both"/>
              <w:rPr>
                <w:rFonts w:ascii="Verdana" w:eastAsia="Times New Roman" w:hAnsi="Verdana" w:cs="Arial"/>
                <w:color w:val="000000"/>
                <w:lang w:val="es-ES" w:eastAsia="es-ES"/>
              </w:rPr>
            </w:pPr>
            <w:r w:rsidRPr="4E2DD101">
              <w:rPr>
                <w:rFonts w:ascii="Verdana" w:eastAsia="Calibri" w:hAnsi="Verdana" w:cs="Arial"/>
                <w:color w:val="000000" w:themeColor="text1"/>
                <w:lang w:val="es-ES"/>
              </w:rPr>
              <w:t xml:space="preserve">La suspensión del contrato estatal es la mediada por la cual se acuerda el cese provisional de la ejecución del contrato, por la ocurrencia de circunstancias que lo impiden o lo dificultan. </w:t>
            </w:r>
            <w:r w:rsidRPr="4E2DD101">
              <w:rPr>
                <w:rFonts w:ascii="Verdana" w:eastAsia="Times New Roman" w:hAnsi="Verdana" w:cs="Arial"/>
                <w:color w:val="000000" w:themeColor="text1"/>
                <w:lang w:val="es-ES" w:eastAsia="es-ES"/>
              </w:rPr>
              <w:t xml:space="preserve">De esta forma, durante la ejecución pueden ocurrir sucesos posteriores y extraordinarios que lleven a las partes a acordar la suspensión o que paralicen el contrato de facto, mientras se resuelven las situaciones que están incidiendo negativamente en el desarrollo del negocio o que lo están tornando imposible. Esto quiere decir </w:t>
            </w:r>
            <w:r w:rsidRPr="4E2DD101">
              <w:rPr>
                <w:rFonts w:ascii="Verdana" w:eastAsia="Times New Roman" w:hAnsi="Verdana" w:cs="Arial"/>
                <w:color w:val="000000" w:themeColor="text1"/>
                <w:lang w:val="es-ES" w:eastAsia="es-ES"/>
              </w:rPr>
              <w:lastRenderedPageBreak/>
              <w:t xml:space="preserve">que la suspensión puede ser </w:t>
            </w:r>
            <w:r w:rsidRPr="4E2DD101">
              <w:rPr>
                <w:rFonts w:ascii="Verdana" w:eastAsia="Times New Roman" w:hAnsi="Verdana" w:cs="Arial"/>
                <w:i/>
                <w:color w:val="000000" w:themeColor="text1"/>
                <w:lang w:val="es-ES" w:eastAsia="es-ES"/>
              </w:rPr>
              <w:t>acordada</w:t>
            </w:r>
            <w:r w:rsidRPr="4E2DD101">
              <w:rPr>
                <w:rFonts w:ascii="Verdana" w:eastAsia="Times New Roman" w:hAnsi="Verdana" w:cs="Arial"/>
                <w:color w:val="000000" w:themeColor="text1"/>
                <w:lang w:val="es-ES" w:eastAsia="es-ES"/>
              </w:rPr>
              <w:t xml:space="preserve"> por las partes –como usualmente sucede y es lo más recomendable, siempre que existan motivos fundados para ello– o darse por la </w:t>
            </w:r>
            <w:r w:rsidRPr="001834AA">
              <w:rPr>
                <w:rFonts w:ascii="Verdana" w:eastAsia="Times New Roman" w:hAnsi="Verdana" w:cs="Arial"/>
                <w:i/>
                <w:iCs/>
                <w:color w:val="000000" w:themeColor="text1"/>
                <w:lang w:val="es-ES" w:eastAsia="es-ES"/>
              </w:rPr>
              <w:t>fuerza de los hechos</w:t>
            </w:r>
            <w:r w:rsidRPr="4E2DD101">
              <w:rPr>
                <w:rFonts w:ascii="Verdana" w:eastAsia="Times New Roman" w:hAnsi="Verdana" w:cs="Arial"/>
                <w:color w:val="000000" w:themeColor="text1"/>
                <w:lang w:val="es-ES" w:eastAsia="es-ES"/>
              </w:rPr>
              <w:t>, es decir, por la configuración de eventos externos e irresistibles que hagan imposible la ejecución del contrato durante un tiempo; es decir, por factores que constituyan razones de fuerza mayor o caso fortuito, o que procuran la satisfacción del interés público.</w:t>
            </w:r>
          </w:p>
          <w:p w14:paraId="388E2B98" w14:textId="77777777" w:rsidR="00074499" w:rsidRPr="00AA40D8" w:rsidRDefault="00074499" w:rsidP="00C54D4B">
            <w:pPr>
              <w:tabs>
                <w:tab w:val="num" w:pos="720"/>
              </w:tabs>
              <w:snapToGrid w:val="0"/>
              <w:spacing w:before="120" w:line="276" w:lineRule="auto"/>
              <w:ind w:firstLine="734"/>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Uno de los motivos por el cual los contratos de prestación de servicios suelen ser materia de suspensión son los eventos que afectan la salud del contratista, de manera que resulta razonable convenir la suspensión del contrato durante el periodo necesario para superar la circunstancia incapacitante.</w:t>
            </w:r>
            <w:r w:rsidRPr="00AA40D8">
              <w:rPr>
                <w:rFonts w:ascii="Verdana" w:eastAsia="Times New Roman" w:hAnsi="Verdana" w:cs="Arial"/>
                <w:color w:val="000000"/>
                <w:lang w:val="es-ES" w:eastAsia="es-ES"/>
              </w:rPr>
              <w:t xml:space="preserve"> En estos eventos, lo usual es suspender el contrato durante el periodo de la incapacidad, reiniciando la ejecución al cabo de </w:t>
            </w:r>
            <w:proofErr w:type="gramStart"/>
            <w:r w:rsidRPr="00AA40D8">
              <w:rPr>
                <w:rFonts w:ascii="Verdana" w:eastAsia="Times New Roman" w:hAnsi="Verdana" w:cs="Arial"/>
                <w:color w:val="000000"/>
                <w:lang w:val="es-ES" w:eastAsia="es-ES"/>
              </w:rPr>
              <w:t>la misma</w:t>
            </w:r>
            <w:proofErr w:type="gramEnd"/>
            <w:r w:rsidRPr="00AA40D8">
              <w:rPr>
                <w:rFonts w:ascii="Verdana" w:eastAsia="Times New Roman" w:hAnsi="Verdana" w:cs="Arial"/>
                <w:color w:val="000000"/>
                <w:lang w:val="es-ES" w:eastAsia="es-ES"/>
              </w:rPr>
              <w:t xml:space="preserve">. </w:t>
            </w:r>
            <w:r w:rsidRPr="00AA40D8">
              <w:rPr>
                <w:rFonts w:ascii="Verdana" w:eastAsia="Times New Roman" w:hAnsi="Verdana" w:cs="Arial"/>
                <w:color w:val="000000"/>
                <w:lang w:val="es-ES" w:eastAsia="es-ES_tradnl"/>
              </w:rPr>
              <w:t>Otra opción para pactar la suspensión del contrato en estos eventos, sin que se reduzca el valor del contrato, consiste en extender el plazo de ejecución, por un periodo equivalente al lapso durante el cual estuvo suspendido.</w:t>
            </w:r>
          </w:p>
          <w:p w14:paraId="412B31D2" w14:textId="77777777" w:rsidR="00074499" w:rsidRPr="00AA40D8" w:rsidRDefault="00074499" w:rsidP="00C54D4B">
            <w:pPr>
              <w:tabs>
                <w:tab w:val="num" w:pos="720"/>
              </w:tabs>
              <w:snapToGrid w:val="0"/>
              <w:spacing w:before="120" w:after="120" w:line="276" w:lineRule="auto"/>
              <w:ind w:firstLine="734"/>
              <w:jc w:val="both"/>
              <w:rPr>
                <w:rFonts w:ascii="Verdana" w:eastAsia="Arial" w:hAnsi="Verdana" w:cs="Arial"/>
                <w:lang w:val="es-ES"/>
              </w:rPr>
            </w:pPr>
            <w:r w:rsidRPr="00AA40D8">
              <w:rPr>
                <w:rFonts w:ascii="Verdana" w:eastAsia="Arial" w:hAnsi="Verdana" w:cs="Arial"/>
                <w:lang w:val="es-ES"/>
              </w:rPr>
              <w:t>Por otra parte, los contratistas de prestación de servicios del estado tienen derecho al reconocimiento del auxilio por incapacidad y deben acreditar el cumplimiento de los requisitos señalados en el artículo 2.2.3.3.1. del Decreto 780 de 2016 para que proceda su pago. Según la norma, no solo es necesario que el contratista se encuentre afiliado al Sistema y que haya cotizado en el periodo mínimo allí establecido, sino que también deberá contar con un certificado que dé cuenta de la incapacidad de origen común. Este tipo de incapacidad implica por definición la existencia de un “estado de inhabilidad física o mental que impide a una persona desarrollar su capacidad laboral por un tiempo determinado”, y que se origina por una enfermedad general o accidente común que no ha sido calificado como enfermedad de origen laboral o accidente de trabajo.</w:t>
            </w:r>
          </w:p>
          <w:p w14:paraId="312329B2" w14:textId="77777777" w:rsidR="00074499" w:rsidRPr="00AA40D8" w:rsidRDefault="00074499" w:rsidP="00C54D4B">
            <w:pPr>
              <w:spacing w:after="120" w:line="276" w:lineRule="auto"/>
              <w:ind w:firstLine="708"/>
              <w:jc w:val="both"/>
              <w:rPr>
                <w:rFonts w:ascii="Verdana" w:eastAsia="Arial" w:hAnsi="Verdana" w:cs="Arial"/>
                <w:lang w:val="es-ES"/>
              </w:rPr>
            </w:pPr>
            <w:r w:rsidRPr="00AA40D8">
              <w:rPr>
                <w:rFonts w:ascii="Verdana" w:eastAsia="Arial" w:hAnsi="Verdana" w:cs="Arial"/>
                <w:lang w:val="es-ES"/>
              </w:rPr>
              <w:t xml:space="preserve">En virtud de lo anterior, cuando un contratista pretende el pago del auxilio por una incapacidad de origen común, ésta implica que se encuentra en un estado de inhabilidad que le impide a desarrollar su capacidad laboral por ese periodo tiempo. Con lo cual, al hacer efectiva la incapacidad, el contratista reconoce que se encuentra en un estado que le impide ejecutar las obligaciones del contrato, pues si la condición física o mental no imposibilita el desarrollo de las actividades a su cargo, no se cumple con la definición misma de “incapacidad de origen común” establecida en la normativa del SGSS en salud. En virtud de lo anterior, que el contratista obtenga el </w:t>
            </w:r>
            <w:r w:rsidRPr="00AA40D8">
              <w:rPr>
                <w:rFonts w:ascii="Verdana" w:eastAsia="Arial" w:hAnsi="Verdana" w:cs="Arial"/>
                <w:lang w:val="es-ES"/>
              </w:rPr>
              <w:lastRenderedPageBreak/>
              <w:t>reconocimiento del auxilio por esta incapacidad, sopone que no se encuentra en condiciones para cumplir con sus obligaciones, lo cual hace posible proceder con la suspensión del contrato de prestación de servicios.</w:t>
            </w:r>
          </w:p>
          <w:p w14:paraId="2D03546D" w14:textId="73CA1658" w:rsidR="00074499" w:rsidRPr="00AA40D8" w:rsidRDefault="00074499" w:rsidP="00C54D4B">
            <w:pPr>
              <w:spacing w:after="120" w:line="276" w:lineRule="auto"/>
              <w:ind w:firstLine="734"/>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 xml:space="preserve">En efecto, si el contratista de prestación de servicios pretende buscar el reconocimiento de la incapacidad ante el SGSS en salud, es porque no puede continuar con la ejecución del contrato, con lo cual el auxilio cumple la finalidad de sustituir los honorarios que dejará de percibir por ese periodo de tiempo. </w:t>
            </w:r>
            <w:r w:rsidR="00D05ABA">
              <w:rPr>
                <w:rFonts w:ascii="Verdana" w:eastAsia="Times New Roman" w:hAnsi="Verdana" w:cs="Arial"/>
                <w:color w:val="000000"/>
                <w:lang w:val="es-ES" w:eastAsia="es-ES_tradnl"/>
              </w:rPr>
              <w:t>De esta forma</w:t>
            </w:r>
            <w:r w:rsidRPr="00AA40D8">
              <w:rPr>
                <w:rFonts w:ascii="Verdana" w:eastAsia="Times New Roman" w:hAnsi="Verdana" w:cs="Arial"/>
                <w:color w:val="000000"/>
                <w:lang w:val="es-ES" w:eastAsia="es-ES_tradnl"/>
              </w:rPr>
              <w:t xml:space="preserve">, es </w:t>
            </w:r>
            <w:r w:rsidRPr="00AA40D8">
              <w:rPr>
                <w:rFonts w:ascii="Verdana" w:eastAsia="Times New Roman" w:hAnsi="Verdana" w:cs="Arial"/>
                <w:i/>
                <w:iCs/>
                <w:color w:val="000000"/>
                <w:lang w:val="es-ES" w:eastAsia="es-ES_tradnl"/>
              </w:rPr>
              <w:t>contrario</w:t>
            </w:r>
            <w:r w:rsidRPr="00AA40D8">
              <w:rPr>
                <w:rFonts w:ascii="Verdana" w:eastAsia="Times New Roman" w:hAnsi="Verdana" w:cs="Arial"/>
                <w:color w:val="000000"/>
                <w:lang w:val="es-ES" w:eastAsia="es-ES_tradnl"/>
              </w:rPr>
              <w:t xml:space="preserve"> a la finalidad del auxilio, así como a los presupuestos normativos expuestos, que un contratista (a) busque el reconocimiento de la incapacidad ante el SGSS, al tiempo que (b) continúa con la ejecución de las actividades del contrato para obtener el pago de los honorarios, pues la causa de lo primero supone que no le es posible realizar lo segundo. Precisamente para evitar este escenario contradictorio, es recomendable proceder con la suspensión del contrato por el tiempo de la incapacidad. </w:t>
            </w:r>
          </w:p>
          <w:p w14:paraId="73CAAD5D" w14:textId="6A3052C2" w:rsidR="00074499" w:rsidRPr="00AA40D8" w:rsidRDefault="00074499" w:rsidP="00C54D4B">
            <w:pPr>
              <w:spacing w:after="120" w:line="276" w:lineRule="auto"/>
              <w:ind w:firstLine="734"/>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 xml:space="preserve">Además, en el supuesto expuesto, el contratista estaría obteniendo el pago del auxilio por la incapacidad para ejecutar el contrato, junto con el pago de los honorarios por la ejecución de sus actividades en el mismo periodo de tiempo. Si la Entidad Prestadora de Salud está pagando al contratista un porcentaje de los honorarios con ocasión a que no está en condiciones para percibirlos, la Entidad Estatal no debería también </w:t>
            </w:r>
            <w:proofErr w:type="gramStart"/>
            <w:r w:rsidRPr="00AA40D8">
              <w:rPr>
                <w:rFonts w:ascii="Verdana" w:eastAsia="Times New Roman" w:hAnsi="Verdana" w:cs="Arial"/>
                <w:color w:val="000000"/>
                <w:lang w:val="es-ES" w:eastAsia="es-ES_tradnl"/>
              </w:rPr>
              <w:t>proceder a realizar</w:t>
            </w:r>
            <w:proofErr w:type="gramEnd"/>
            <w:r w:rsidRPr="00AA40D8">
              <w:rPr>
                <w:rFonts w:ascii="Verdana" w:eastAsia="Times New Roman" w:hAnsi="Verdana" w:cs="Arial"/>
                <w:color w:val="000000"/>
                <w:lang w:val="es-ES" w:eastAsia="es-ES_tradnl"/>
              </w:rPr>
              <w:t xml:space="preserve"> su pago. Con respecto a esto, es importante advertir que este tipo de conductas pueden no solo constituir irregularidades en el ámbito de la ejecución contractual, sino que además podrían ser susceptibles de investigación y sanción por parte de las entidades encargadas de la vigilancia de este sector, pues pueden evidenciar actuaciones que busquen defraudar </w:t>
            </w:r>
            <w:r w:rsidR="00C56BB1">
              <w:rPr>
                <w:rFonts w:ascii="Verdana" w:eastAsia="Times New Roman" w:hAnsi="Verdana" w:cs="Arial"/>
                <w:color w:val="000000"/>
                <w:lang w:val="es-ES" w:eastAsia="es-ES_tradnl"/>
              </w:rPr>
              <w:t>a</w:t>
            </w:r>
            <w:r w:rsidRPr="00AA40D8">
              <w:rPr>
                <w:rFonts w:ascii="Verdana" w:eastAsia="Times New Roman" w:hAnsi="Verdana" w:cs="Arial"/>
                <w:color w:val="000000"/>
                <w:lang w:val="es-ES" w:eastAsia="es-ES_tradnl"/>
              </w:rPr>
              <w:t xml:space="preserve">l SGSS. </w:t>
            </w:r>
          </w:p>
          <w:p w14:paraId="4169CBD6" w14:textId="77777777" w:rsidR="00074499" w:rsidRPr="00AA40D8" w:rsidRDefault="00074499" w:rsidP="00C54D4B">
            <w:pPr>
              <w:snapToGrid w:val="0"/>
              <w:spacing w:before="120" w:after="120" w:line="276" w:lineRule="auto"/>
              <w:ind w:firstLine="709"/>
              <w:jc w:val="both"/>
              <w:rPr>
                <w:rFonts w:ascii="Verdana" w:eastAsia="Calibri" w:hAnsi="Verdana" w:cs="Arial"/>
                <w:lang w:val="es-ES"/>
              </w:rPr>
            </w:pPr>
            <w:r w:rsidRPr="00AA40D8">
              <w:rPr>
                <w:rFonts w:ascii="Verdana" w:eastAsia="Calibri" w:hAnsi="Verdana" w:cs="Arial"/>
                <w:bCs/>
                <w:color w:val="000000" w:themeColor="text1"/>
                <w:lang w:val="es-ES"/>
              </w:rPr>
              <w:t>Finalmente</w:t>
            </w:r>
            <w:r w:rsidRPr="00AA40D8">
              <w:rPr>
                <w:rFonts w:ascii="Verdana" w:eastAsia="Calibri" w:hAnsi="Verdana" w:cs="Times New Roman"/>
                <w:lang w:val="es-ES"/>
              </w:rPr>
              <w:t>, debe advertirse que el análisis para resolver problemas en torno a la ejecución de contratos de prestación específicos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en adoptar la decisión y, en caso de conflicto, a las autoridades judiciales, fiscales y disciplinarias.</w:t>
            </w:r>
          </w:p>
        </w:tc>
      </w:tr>
    </w:tbl>
    <w:p w14:paraId="2B42D133" w14:textId="77777777" w:rsidR="00CD6058" w:rsidRPr="00AA40D8" w:rsidRDefault="00CD6058" w:rsidP="00074499">
      <w:pPr>
        <w:tabs>
          <w:tab w:val="left" w:pos="142"/>
          <w:tab w:val="left" w:pos="284"/>
        </w:tabs>
        <w:spacing w:after="0" w:line="276" w:lineRule="auto"/>
        <w:jc w:val="both"/>
        <w:rPr>
          <w:rFonts w:ascii="Verdana" w:eastAsia="Century Gothic" w:hAnsi="Verdana" w:cs="Century Gothic"/>
          <w:b/>
          <w:bCs/>
          <w:lang w:val="es-ES"/>
        </w:rPr>
      </w:pPr>
    </w:p>
    <w:p w14:paraId="32652223" w14:textId="77777777" w:rsidR="00074499" w:rsidRPr="00AA40D8" w:rsidRDefault="00074499" w:rsidP="000744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40D8">
        <w:rPr>
          <w:rFonts w:ascii="Verdana" w:eastAsia="Century Gothic" w:hAnsi="Verdana" w:cs="Century Gothic"/>
          <w:b/>
          <w:bCs/>
        </w:rPr>
        <w:t>Razones de la respuesta:</w:t>
      </w:r>
    </w:p>
    <w:p w14:paraId="6CDB7879" w14:textId="77777777" w:rsidR="00074499" w:rsidRPr="00AA40D8" w:rsidRDefault="00074499" w:rsidP="00074499">
      <w:pPr>
        <w:spacing w:after="0" w:line="276" w:lineRule="auto"/>
        <w:jc w:val="both"/>
        <w:rPr>
          <w:rFonts w:ascii="Verdana" w:eastAsia="Calibri" w:hAnsi="Verdana" w:cs="Arial"/>
          <w:color w:val="7030A0"/>
          <w:lang w:val="es-ES"/>
        </w:rPr>
      </w:pPr>
    </w:p>
    <w:p w14:paraId="3AA9990B" w14:textId="77777777" w:rsidR="00074499" w:rsidRPr="00AA40D8" w:rsidRDefault="00074499" w:rsidP="00074499">
      <w:pPr>
        <w:spacing w:after="0" w:line="276" w:lineRule="auto"/>
        <w:jc w:val="both"/>
        <w:rPr>
          <w:rFonts w:ascii="Verdana" w:eastAsia="Calibri" w:hAnsi="Verdana" w:cs="Arial"/>
          <w:lang w:val="es-ES"/>
        </w:rPr>
      </w:pPr>
      <w:r w:rsidRPr="00AA40D8">
        <w:rPr>
          <w:rFonts w:ascii="Verdana" w:eastAsia="Calibri" w:hAnsi="Verdana" w:cs="Arial"/>
          <w:lang w:val="es-ES"/>
        </w:rPr>
        <w:t xml:space="preserve">Lo anterior se sustenta en las siguientes consideraciones: </w:t>
      </w:r>
    </w:p>
    <w:p w14:paraId="176101CE" w14:textId="77777777" w:rsidR="00074499" w:rsidRPr="00AA40D8" w:rsidRDefault="00074499" w:rsidP="00074499">
      <w:pPr>
        <w:spacing w:after="0" w:line="276" w:lineRule="auto"/>
        <w:jc w:val="both"/>
        <w:rPr>
          <w:rFonts w:ascii="Verdana" w:eastAsia="Calibri" w:hAnsi="Verdana" w:cs="Arial"/>
          <w:lang w:val="es-ES"/>
        </w:rPr>
      </w:pPr>
    </w:p>
    <w:p w14:paraId="7F8F0842" w14:textId="77777777" w:rsidR="00074499" w:rsidRPr="00AA40D8" w:rsidRDefault="00074499" w:rsidP="00074499">
      <w:pPr>
        <w:spacing w:line="276" w:lineRule="auto"/>
        <w:jc w:val="both"/>
        <w:rPr>
          <w:rFonts w:ascii="Verdana" w:eastAsia="Calibri" w:hAnsi="Verdana" w:cs="Arial"/>
          <w:lang w:val="es-ES"/>
        </w:rPr>
      </w:pPr>
      <w:r w:rsidRPr="00AA40D8">
        <w:rPr>
          <w:rFonts w:ascii="Verdana" w:eastAsia="Calibri" w:hAnsi="Verdana" w:cs="Arial"/>
          <w:lang w:val="es-ES"/>
        </w:rPr>
        <w:t>i) 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 literal h) de la Ley 1150 de 2007.</w:t>
      </w:r>
    </w:p>
    <w:p w14:paraId="2D3CD6AC" w14:textId="45BD8E00" w:rsidR="00074499" w:rsidRPr="00AA40D8" w:rsidRDefault="00074499" w:rsidP="00074499">
      <w:pPr>
        <w:spacing w:line="276" w:lineRule="auto"/>
        <w:ind w:firstLine="708"/>
        <w:jc w:val="both"/>
        <w:rPr>
          <w:rFonts w:ascii="Verdana" w:eastAsia="Calibri" w:hAnsi="Verdana" w:cs="Arial"/>
          <w:lang w:val="es-ES"/>
        </w:rPr>
      </w:pPr>
      <w:r w:rsidRPr="00035BB4">
        <w:rPr>
          <w:rFonts w:ascii="Verdana" w:eastAsia="Calibri" w:hAnsi="Verdana" w:cs="Arial"/>
          <w:lang w:val="es-ES"/>
        </w:rPr>
        <w:t xml:space="preserve">De acuerdo con la Ley 80 de 1993 las Entidades del Estado deben buscar a través de sus contratos, el cumplimiento de los fines estatales, la continua y eficiente </w:t>
      </w:r>
      <w:r w:rsidR="008E1354" w:rsidRPr="00035BB4">
        <w:rPr>
          <w:rFonts w:ascii="Verdana" w:eastAsia="Calibri" w:hAnsi="Verdana" w:cs="Arial"/>
          <w:lang w:val="es-ES"/>
        </w:rPr>
        <w:t>prestación</w:t>
      </w:r>
      <w:r w:rsidRPr="00035BB4">
        <w:rPr>
          <w:rFonts w:ascii="Verdana" w:eastAsia="Calibri" w:hAnsi="Verdana" w:cs="Arial"/>
          <w:lang w:val="es-ES"/>
        </w:rPr>
        <w:t xml:space="preserve"> de los servicios </w:t>
      </w:r>
      <w:proofErr w:type="spellStart"/>
      <w:r w:rsidR="008E1354" w:rsidRPr="00035BB4">
        <w:rPr>
          <w:rFonts w:ascii="Verdana" w:eastAsia="Calibri" w:hAnsi="Verdana" w:cs="Arial"/>
          <w:lang w:val="es-ES"/>
        </w:rPr>
        <w:t>público</w:t>
      </w:r>
      <w:r w:rsidR="008E1354">
        <w:rPr>
          <w:rFonts w:ascii="Verdana" w:eastAsia="Calibri" w:hAnsi="Verdana" w:cs="Arial"/>
          <w:lang w:val="es-ES"/>
        </w:rPr>
        <w:t>s</w:t>
      </w:r>
      <w:proofErr w:type="spellEnd"/>
      <w:r w:rsidRPr="00035BB4">
        <w:rPr>
          <w:rFonts w:ascii="Verdana" w:eastAsia="Calibri" w:hAnsi="Verdana" w:cs="Arial"/>
          <w:lang w:val="es-ES"/>
        </w:rPr>
        <w:t xml:space="preserve"> y la efectividad de los derechos e intereses de los administrados que colaboran con ellas en la </w:t>
      </w:r>
      <w:r w:rsidR="008E1354" w:rsidRPr="00035BB4">
        <w:rPr>
          <w:rFonts w:ascii="Verdana" w:eastAsia="Calibri" w:hAnsi="Verdana" w:cs="Arial"/>
          <w:lang w:val="es-ES"/>
        </w:rPr>
        <w:t>consecución</w:t>
      </w:r>
      <w:r w:rsidRPr="00035BB4">
        <w:rPr>
          <w:rFonts w:ascii="Verdana" w:eastAsia="Calibri" w:hAnsi="Verdana" w:cs="Arial"/>
          <w:lang w:val="es-ES"/>
        </w:rPr>
        <w:t xml:space="preserve"> de dichos fines. Por lo anterior, la Entidad Estatal tiene la obligación de exigirle al contratista la </w:t>
      </w:r>
      <w:r w:rsidR="008E1354" w:rsidRPr="00035BB4">
        <w:rPr>
          <w:rFonts w:ascii="Verdana" w:eastAsia="Calibri" w:hAnsi="Verdana" w:cs="Arial"/>
          <w:lang w:val="es-ES"/>
        </w:rPr>
        <w:t>ejecución</w:t>
      </w:r>
      <w:r w:rsidRPr="00035BB4">
        <w:rPr>
          <w:rFonts w:ascii="Verdana" w:eastAsia="Calibri" w:hAnsi="Verdana" w:cs="Arial"/>
          <w:lang w:val="es-ES"/>
        </w:rPr>
        <w:t xml:space="preserve"> </w:t>
      </w:r>
      <w:r w:rsidR="008E1354" w:rsidRPr="00035BB4">
        <w:rPr>
          <w:rFonts w:ascii="Verdana" w:eastAsia="Calibri" w:hAnsi="Verdana" w:cs="Arial"/>
          <w:lang w:val="es-ES"/>
        </w:rPr>
        <w:t>idónea</w:t>
      </w:r>
      <w:r w:rsidRPr="00035BB4">
        <w:rPr>
          <w:rFonts w:ascii="Verdana" w:eastAsia="Calibri" w:hAnsi="Verdana" w:cs="Arial"/>
          <w:lang w:val="es-ES"/>
        </w:rPr>
        <w:t xml:space="preserve"> y oportuna del objeto contratado. </w:t>
      </w:r>
    </w:p>
    <w:p w14:paraId="1204405B" w14:textId="77777777" w:rsidR="00074499" w:rsidRPr="00AA40D8" w:rsidRDefault="00074499" w:rsidP="00074499">
      <w:pPr>
        <w:spacing w:after="120" w:line="276" w:lineRule="auto"/>
        <w:ind w:firstLine="708"/>
        <w:jc w:val="both"/>
        <w:rPr>
          <w:rFonts w:ascii="Verdana" w:eastAsia="Times New Roman" w:hAnsi="Verdana" w:cs="Arial"/>
          <w:color w:val="000000"/>
          <w:lang w:val="es-ES" w:eastAsia="es-ES_tradnl"/>
        </w:rPr>
      </w:pPr>
      <w:r w:rsidRPr="00AA40D8">
        <w:rPr>
          <w:rFonts w:ascii="Verdana" w:eastAsia="Calibri" w:hAnsi="Verdana" w:cs="Arial"/>
          <w:lang w:val="es-ES"/>
        </w:rPr>
        <w:t xml:space="preserve">En virtud de lo anterior, los contratos de prestación de servicios, al igual que aquellos suscritos en virtud de otras modalidades de selección previstas en el Estatuto General de Contratación de la Administración Pública –En adelante EGCAP–, pueden ser objeto de suspensión. </w:t>
      </w:r>
      <w:r w:rsidRPr="00AA40D8">
        <w:rPr>
          <w:rFonts w:ascii="Verdana" w:eastAsia="Calibri" w:hAnsi="Verdana" w:cs="Arial"/>
          <w:color w:val="000000"/>
          <w:lang w:val="es-ES"/>
        </w:rPr>
        <w:t xml:space="preserve">La </w:t>
      </w:r>
      <w:r w:rsidRPr="00AA40D8">
        <w:rPr>
          <w:rFonts w:ascii="Verdana" w:eastAsia="Calibri" w:hAnsi="Verdana" w:cs="Arial"/>
          <w:i/>
          <w:iCs/>
          <w:color w:val="000000"/>
          <w:lang w:val="es-ES"/>
        </w:rPr>
        <w:t>suspensión</w:t>
      </w:r>
      <w:r w:rsidRPr="00AA40D8">
        <w:rPr>
          <w:rFonts w:ascii="Verdana" w:eastAsia="Calibri" w:hAnsi="Verdana" w:cs="Arial"/>
          <w:color w:val="000000"/>
          <w:lang w:val="es-ES"/>
        </w:rPr>
        <w:t xml:space="preserve"> del contrato estatal es la mediada por la cual se acuerda el cese provisional de la ejecución del contrato, por la ocurrencia de circunstancias que lo impiden o lo dificultan</w:t>
      </w:r>
      <w:r w:rsidRPr="00AA40D8">
        <w:rPr>
          <w:rFonts w:ascii="Verdana" w:eastAsia="Aptos" w:hAnsi="Verdana" w:cs="Arial"/>
          <w:vertAlign w:val="superscript"/>
          <w:lang w:val="es-ES"/>
        </w:rPr>
        <w:footnoteReference w:id="2"/>
      </w:r>
      <w:r w:rsidRPr="00AA40D8">
        <w:rPr>
          <w:rFonts w:ascii="Verdana" w:eastAsia="Times New Roman" w:hAnsi="Verdana" w:cs="Arial"/>
          <w:color w:val="000000"/>
          <w:lang w:val="es-ES" w:eastAsia="es-ES_tradnl"/>
        </w:rPr>
        <w:t>. De esta forma, pese a que durante la fase de planeación las Entidades Estatales deben prever los riesgos que pueden afectar la ejecución normal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w:t>
      </w:r>
    </w:p>
    <w:p w14:paraId="48259B8E" w14:textId="77777777" w:rsidR="00074499" w:rsidRPr="00AA40D8" w:rsidRDefault="00074499" w:rsidP="00074499">
      <w:pPr>
        <w:spacing w:after="0" w:line="276" w:lineRule="auto"/>
        <w:ind w:firstLine="708"/>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 xml:space="preserve">Esto quiere decir que la suspensión puede ser </w:t>
      </w:r>
      <w:r w:rsidRPr="00AA40D8">
        <w:rPr>
          <w:rFonts w:ascii="Verdana" w:eastAsia="Times New Roman" w:hAnsi="Verdana" w:cs="Arial"/>
          <w:i/>
          <w:iCs/>
          <w:color w:val="000000"/>
          <w:lang w:val="es-ES" w:eastAsia="es-ES_tradnl"/>
        </w:rPr>
        <w:t>acordada</w:t>
      </w:r>
      <w:r w:rsidRPr="00AA40D8">
        <w:rPr>
          <w:rFonts w:ascii="Verdana" w:eastAsia="Times New Roman" w:hAnsi="Verdana" w:cs="Arial"/>
          <w:color w:val="000000"/>
          <w:lang w:val="es-ES" w:eastAsia="es-ES_tradnl"/>
        </w:rPr>
        <w:t xml:space="preserve"> por las partes –como usualmente sucede y es lo más recomendable, siempre que existan </w:t>
      </w:r>
      <w:r w:rsidRPr="00AA40D8">
        <w:rPr>
          <w:rFonts w:ascii="Verdana" w:eastAsia="Times New Roman" w:hAnsi="Verdana" w:cs="Arial"/>
          <w:color w:val="000000"/>
          <w:lang w:val="es-ES" w:eastAsia="es-ES_tradnl"/>
        </w:rPr>
        <w:lastRenderedPageBreak/>
        <w:t>motivos fundados para ello– o darse por la fuerza de los hechos, es decir, por la configuración de eventos externos e irresistibles que hagan imposible la ejecución del contrato durante un tiempo</w:t>
      </w:r>
      <w:r w:rsidRPr="00AA40D8">
        <w:rPr>
          <w:rFonts w:ascii="Verdana" w:eastAsia="Aptos" w:hAnsi="Verdana" w:cs="Arial"/>
          <w:vertAlign w:val="superscript"/>
          <w:lang w:val="es-ES"/>
        </w:rPr>
        <w:footnoteReference w:id="3"/>
      </w:r>
      <w:r w:rsidRPr="00AA40D8">
        <w:rPr>
          <w:rFonts w:ascii="Verdana" w:eastAsia="Times New Roman" w:hAnsi="Verdana" w:cs="Arial"/>
          <w:color w:val="000000"/>
          <w:lang w:val="es-ES" w:eastAsia="es-ES_tradnl"/>
        </w:rPr>
        <w:t>; es decir, por factores que constituyan razones de fuerza mayor o caso fortuito, o que procuran la satisfacción del interés público</w:t>
      </w:r>
      <w:r w:rsidRPr="00AA40D8">
        <w:rPr>
          <w:rFonts w:ascii="Verdana" w:eastAsia="Aptos" w:hAnsi="Verdana" w:cs="Arial"/>
          <w:vertAlign w:val="superscript"/>
          <w:lang w:val="es-ES"/>
        </w:rPr>
        <w:footnoteReference w:id="4"/>
      </w:r>
      <w:r w:rsidRPr="00AA40D8">
        <w:rPr>
          <w:rFonts w:ascii="Verdana" w:eastAsia="Times New Roman" w:hAnsi="Verdana" w:cs="Arial"/>
          <w:color w:val="000000"/>
          <w:lang w:val="es-ES" w:eastAsia="es-ES_tradnl"/>
        </w:rPr>
        <w:t xml:space="preserve">. Sobre el particular el Consejo de Estado ha manifestado lo siguiente: </w:t>
      </w:r>
    </w:p>
    <w:p w14:paraId="65CD6EC6" w14:textId="77777777" w:rsidR="00074499" w:rsidRPr="00AA40D8" w:rsidRDefault="00074499" w:rsidP="00074499">
      <w:pPr>
        <w:tabs>
          <w:tab w:val="left" w:pos="0"/>
        </w:tabs>
        <w:spacing w:after="0" w:line="240" w:lineRule="auto"/>
        <w:ind w:left="709" w:right="709"/>
        <w:jc w:val="both"/>
        <w:rPr>
          <w:rFonts w:ascii="Verdana" w:eastAsia="Calibri" w:hAnsi="Verdana" w:cs="Arial"/>
          <w:bCs/>
          <w:color w:val="000000"/>
          <w:sz w:val="20"/>
          <w:szCs w:val="20"/>
          <w:lang w:val="es-ES"/>
        </w:rPr>
      </w:pPr>
    </w:p>
    <w:p w14:paraId="151F9A1E" w14:textId="77777777" w:rsidR="00074499" w:rsidRPr="00AA40D8" w:rsidRDefault="00074499" w:rsidP="00074499">
      <w:pPr>
        <w:tabs>
          <w:tab w:val="left" w:pos="0"/>
        </w:tabs>
        <w:spacing w:after="0" w:line="240" w:lineRule="auto"/>
        <w:ind w:left="709" w:right="709"/>
        <w:jc w:val="both"/>
        <w:rPr>
          <w:rFonts w:ascii="Verdana" w:eastAsia="Calibri" w:hAnsi="Verdana" w:cs="Arial"/>
          <w:bCs/>
          <w:color w:val="000000"/>
          <w:sz w:val="20"/>
          <w:szCs w:val="20"/>
          <w:lang w:val="es-ES"/>
        </w:rPr>
      </w:pPr>
      <w:r w:rsidRPr="00AA40D8">
        <w:rPr>
          <w:rFonts w:ascii="Verdana" w:eastAsia="Calibri" w:hAnsi="Verdana" w:cs="Arial"/>
          <w:bCs/>
          <w:color w:val="000000"/>
          <w:sz w:val="20"/>
          <w:szCs w:val="20"/>
          <w:lang w:val="es-ES"/>
        </w:rPr>
        <w:t>“Dado el interés público que gravita sobre la contratación estatal, las partes contratantes deberán en cada caso concreto: (i) ponderar que la naturaleza del contrato estatal admita la posibilidad de suspenderlo, (</w:t>
      </w:r>
      <w:proofErr w:type="spellStart"/>
      <w:r w:rsidRPr="00AA40D8">
        <w:rPr>
          <w:rFonts w:ascii="Verdana" w:eastAsia="Calibri" w:hAnsi="Verdana" w:cs="Arial"/>
          <w:bCs/>
          <w:color w:val="000000"/>
          <w:sz w:val="20"/>
          <w:szCs w:val="20"/>
          <w:lang w:val="es-ES"/>
        </w:rPr>
        <w:t>ii</w:t>
      </w:r>
      <w:proofErr w:type="spellEnd"/>
      <w:r w:rsidRPr="00AA40D8">
        <w:rPr>
          <w:rFonts w:ascii="Verdana" w:eastAsia="Calibri" w:hAnsi="Verdana" w:cs="Arial"/>
          <w:bCs/>
          <w:color w:val="000000"/>
          <w:sz w:val="20"/>
          <w:szCs w:val="20"/>
          <w:lang w:val="es-ES"/>
        </w:rPr>
        <w:t>) verificar que lo que se pacte no esté prohibido expresamente en la ley ni resulte contrario al orden público y a las buenas costumbres, (</w:t>
      </w:r>
      <w:proofErr w:type="spellStart"/>
      <w:r w:rsidRPr="00AA40D8">
        <w:rPr>
          <w:rFonts w:ascii="Verdana" w:eastAsia="Calibri" w:hAnsi="Verdana" w:cs="Arial"/>
          <w:bCs/>
          <w:color w:val="000000"/>
          <w:sz w:val="20"/>
          <w:szCs w:val="20"/>
          <w:lang w:val="es-ES"/>
        </w:rPr>
        <w:t>iii</w:t>
      </w:r>
      <w:proofErr w:type="spellEnd"/>
      <w:r w:rsidRPr="00AA40D8">
        <w:rPr>
          <w:rFonts w:ascii="Verdana" w:eastAsia="Calibri" w:hAnsi="Verdana" w:cs="Arial"/>
          <w:bCs/>
          <w:color w:val="000000"/>
          <w:sz w:val="20"/>
          <w:szCs w:val="20"/>
          <w:lang w:val="es-ES"/>
        </w:rPr>
        <w:t>) garantizar que la suspensión tenga por objeto la consecución del interés general y el cumplimiento de los fines estatales ; y (</w:t>
      </w:r>
      <w:proofErr w:type="spellStart"/>
      <w:r w:rsidRPr="00AA40D8">
        <w:rPr>
          <w:rFonts w:ascii="Verdana" w:eastAsia="Calibri" w:hAnsi="Verdana" w:cs="Arial"/>
          <w:bCs/>
          <w:color w:val="000000"/>
          <w:sz w:val="20"/>
          <w:szCs w:val="20"/>
          <w:lang w:val="es-ES"/>
        </w:rPr>
        <w:t>iv</w:t>
      </w:r>
      <w:proofErr w:type="spellEnd"/>
      <w:r w:rsidRPr="00AA40D8">
        <w:rPr>
          <w:rFonts w:ascii="Verdana" w:eastAsia="Calibri" w:hAnsi="Verdana" w:cs="Arial"/>
          <w:bCs/>
          <w:color w:val="000000"/>
          <w:sz w:val="20"/>
          <w:szCs w:val="20"/>
          <w:lang w:val="es-ES"/>
        </w:rPr>
        <w:t>)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AA40D8">
        <w:rPr>
          <w:rFonts w:ascii="Verdana" w:eastAsia="Aptos" w:hAnsi="Verdana" w:cs="Times New Roman"/>
          <w:sz w:val="21"/>
          <w:szCs w:val="21"/>
          <w:vertAlign w:val="superscript"/>
          <w:lang w:val="es-ES"/>
        </w:rPr>
        <w:footnoteReference w:id="5"/>
      </w:r>
      <w:r w:rsidRPr="00AA40D8">
        <w:rPr>
          <w:rFonts w:ascii="Verdana" w:eastAsia="Aptos" w:hAnsi="Verdana" w:cs="Times New Roman"/>
          <w:sz w:val="21"/>
          <w:szCs w:val="21"/>
          <w:lang w:val="es-ES"/>
        </w:rPr>
        <w:t>.</w:t>
      </w:r>
    </w:p>
    <w:p w14:paraId="786831DC" w14:textId="77777777" w:rsidR="00074499" w:rsidRPr="00AA40D8" w:rsidRDefault="00074499" w:rsidP="00074499">
      <w:pPr>
        <w:tabs>
          <w:tab w:val="left" w:pos="0"/>
        </w:tabs>
        <w:spacing w:after="0" w:line="240" w:lineRule="auto"/>
        <w:ind w:left="709" w:right="709"/>
        <w:jc w:val="both"/>
        <w:rPr>
          <w:rFonts w:ascii="Verdana" w:eastAsia="Calibri" w:hAnsi="Verdana" w:cs="Arial"/>
          <w:bCs/>
          <w:color w:val="000000"/>
          <w:sz w:val="20"/>
          <w:szCs w:val="20"/>
          <w:lang w:val="es-ES"/>
        </w:rPr>
      </w:pPr>
    </w:p>
    <w:p w14:paraId="504DB144" w14:textId="77777777" w:rsidR="00074499" w:rsidRPr="00AA40D8" w:rsidRDefault="00074499" w:rsidP="00074499">
      <w:pPr>
        <w:spacing w:line="276" w:lineRule="auto"/>
        <w:ind w:firstLine="708"/>
        <w:jc w:val="both"/>
        <w:rPr>
          <w:rFonts w:ascii="Verdana" w:eastAsia="Calibri" w:hAnsi="Verdana" w:cs="Arial"/>
          <w:color w:val="000000"/>
          <w:lang w:val="es-ES"/>
        </w:rPr>
      </w:pPr>
      <w:r w:rsidRPr="00AA40D8">
        <w:rPr>
          <w:rFonts w:ascii="Verdana" w:hAnsi="Verdana" w:cs="Arial"/>
          <w:lang w:val="es-ES"/>
        </w:rPr>
        <w:t>La suspensión del contrato debe estar sujeta a un plazo o al cumplimiento de una condición pactada con criterios de razonabilidad y proporcionalidad entre las partes, acorde con la situación que se presente en cada caso, ya que la finalidad de la suspensión de un contrato estatal, como medida excepcional, está encaminada a reconocer la ocurrencia de situaciones de fuerza mayor, caso fortuito o de interés público que impiden la ejecución temporal del negocio jurídico, y es precisamente por este motivo que no puede permanecer indefinida en el tiempo.</w:t>
      </w:r>
    </w:p>
    <w:p w14:paraId="4F9670B8" w14:textId="77777777" w:rsidR="00074499" w:rsidRPr="00AA40D8" w:rsidRDefault="00074499" w:rsidP="00074499">
      <w:pPr>
        <w:spacing w:before="120" w:after="0" w:line="276" w:lineRule="auto"/>
        <w:ind w:firstLine="708"/>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 xml:space="preserve">Por lo tanto, aun cuando un contrato se suspenda, conserva vigencia, pues su plazo no ha vencido, precisamente uno de los efectos de la suspensión es que se detiene provisionalmente el cómputo del plazo y las obligaciones de las partes </w:t>
      </w:r>
      <w:r w:rsidRPr="00AA40D8">
        <w:rPr>
          <w:rFonts w:ascii="Verdana" w:eastAsia="Times New Roman" w:hAnsi="Verdana" w:cs="Arial"/>
          <w:color w:val="000000"/>
          <w:lang w:val="es-ES" w:eastAsia="es-ES_tradnl"/>
        </w:rPr>
        <w:lastRenderedPageBreak/>
        <w:t xml:space="preserve">permanecen pendientes de cumplimiento a cabalidad. Solo cuando los motivos que han dado lugar a la suspensión sean </w:t>
      </w:r>
      <w:r w:rsidRPr="00AA40D8">
        <w:rPr>
          <w:rFonts w:ascii="Verdana" w:eastAsia="Times New Roman" w:hAnsi="Verdana" w:cs="Arial"/>
          <w:i/>
          <w:iCs/>
          <w:color w:val="000000"/>
          <w:lang w:val="es-ES" w:eastAsia="es-ES_tradnl"/>
        </w:rPr>
        <w:t>permanentes e irresistibles</w:t>
      </w:r>
      <w:r w:rsidRPr="00AA40D8">
        <w:rPr>
          <w:rFonts w:ascii="Verdana" w:eastAsia="Times New Roman" w:hAnsi="Verdana" w:cs="Arial"/>
          <w:color w:val="000000"/>
          <w:lang w:val="es-ES" w:eastAsia="es-ES_tradnl"/>
        </w:rPr>
        <w:t>, lo que inicialmente fue solo dicha suspensión puede dar paso a la terminación, y en este evento el deudor no será responsable, salvo que las razones de la suspensión y futura terminación le sean imputables</w:t>
      </w:r>
      <w:r w:rsidRPr="00AA40D8">
        <w:rPr>
          <w:rStyle w:val="Refdenotaalpie"/>
          <w:rFonts w:ascii="Verdana" w:hAnsi="Verdana" w:cs="Arial"/>
          <w:lang w:val="es-ES"/>
        </w:rPr>
        <w:footnoteReference w:id="6"/>
      </w:r>
      <w:r w:rsidRPr="00AA40D8">
        <w:rPr>
          <w:rFonts w:ascii="Verdana" w:eastAsia="Times New Roman" w:hAnsi="Verdana" w:cs="Arial"/>
          <w:color w:val="000000"/>
          <w:lang w:val="es-ES" w:eastAsia="es-ES_tradnl"/>
        </w:rPr>
        <w:t xml:space="preserve">. </w:t>
      </w:r>
    </w:p>
    <w:p w14:paraId="596F15B7" w14:textId="77777777" w:rsidR="00074499" w:rsidRPr="00AA40D8" w:rsidRDefault="00074499" w:rsidP="00074499">
      <w:pPr>
        <w:spacing w:after="0" w:line="276" w:lineRule="auto"/>
        <w:ind w:firstLine="708"/>
        <w:jc w:val="both"/>
        <w:rPr>
          <w:rFonts w:ascii="Verdana" w:eastAsia="Times New Roman" w:hAnsi="Verdana" w:cs="Arial"/>
          <w:color w:val="000000"/>
          <w:lang w:val="es-ES" w:eastAsia="es-ES_tradnl"/>
        </w:rPr>
      </w:pPr>
    </w:p>
    <w:p w14:paraId="15A0E347" w14:textId="77777777" w:rsidR="00074499" w:rsidRPr="00AA40D8" w:rsidRDefault="00074499" w:rsidP="00074499">
      <w:pPr>
        <w:snapToGrid w:val="0"/>
        <w:spacing w:after="120" w:line="276" w:lineRule="auto"/>
        <w:jc w:val="both"/>
        <w:rPr>
          <w:rFonts w:ascii="Verdana" w:eastAsia="Times New Roman" w:hAnsi="Verdana" w:cs="Arial"/>
          <w:color w:val="000000"/>
          <w:lang w:val="es-ES" w:eastAsia="es-ES_tradnl"/>
        </w:rPr>
      </w:pPr>
      <w:proofErr w:type="spellStart"/>
      <w:r w:rsidRPr="00AA40D8">
        <w:rPr>
          <w:rFonts w:ascii="Verdana" w:eastAsia="Times New Roman" w:hAnsi="Verdana" w:cs="Arial"/>
          <w:color w:val="000000"/>
          <w:lang w:val="es-ES" w:eastAsia="es-ES_tradnl"/>
        </w:rPr>
        <w:t>ii</w:t>
      </w:r>
      <w:proofErr w:type="spellEnd"/>
      <w:r w:rsidRPr="00AA40D8">
        <w:rPr>
          <w:rFonts w:ascii="Verdana" w:eastAsia="Times New Roman" w:hAnsi="Verdana" w:cs="Arial"/>
          <w:color w:val="000000"/>
          <w:lang w:val="es-ES" w:eastAsia="es-ES_tradnl"/>
        </w:rPr>
        <w:t>) Uno de los motivos por el cual los contratos de prestación de servicios suelen ser materia de suspensión son los eventos que afectan la salud del contratista, de manera que resulta razonable convenir la suspensión del contrato durante el periodo necesario para superar la circunstancia incapacitante.</w:t>
      </w:r>
    </w:p>
    <w:p w14:paraId="583BCD71" w14:textId="77777777" w:rsidR="00074499" w:rsidRPr="00AA40D8" w:rsidRDefault="00074499" w:rsidP="00074499">
      <w:pPr>
        <w:tabs>
          <w:tab w:val="num" w:pos="720"/>
        </w:tabs>
        <w:snapToGrid w:val="0"/>
        <w:spacing w:after="0" w:line="276" w:lineRule="auto"/>
        <w:jc w:val="both"/>
        <w:rPr>
          <w:rFonts w:ascii="Verdana" w:eastAsia="Calibri" w:hAnsi="Verdana" w:cs="Arial"/>
          <w:lang w:val="es-ES"/>
        </w:rPr>
      </w:pPr>
      <w:r w:rsidRPr="00AA40D8">
        <w:rPr>
          <w:rFonts w:ascii="Verdana" w:eastAsia="Times New Roman" w:hAnsi="Verdana" w:cs="Arial"/>
          <w:color w:val="000000"/>
          <w:lang w:val="es-ES" w:eastAsia="es-ES_tradnl"/>
        </w:rPr>
        <w:tab/>
        <w:t xml:space="preserve">Al respecto, es importante aclarar que la </w:t>
      </w:r>
      <w:r w:rsidRPr="00AA40D8">
        <w:rPr>
          <w:rFonts w:ascii="Verdana" w:hAnsi="Verdana" w:cs="Arial"/>
          <w:color w:val="000000"/>
          <w:lang w:val="es-ES" w:eastAsia="es-ES_tradnl"/>
        </w:rPr>
        <w:t xml:space="preserve">normativa del Sistema de Compra </w:t>
      </w:r>
      <w:proofErr w:type="spellStart"/>
      <w:r w:rsidRPr="00AA40D8">
        <w:rPr>
          <w:rFonts w:ascii="Verdana" w:hAnsi="Verdana" w:cs="Arial"/>
          <w:color w:val="000000"/>
          <w:lang w:val="es-ES" w:eastAsia="es-ES_tradnl"/>
        </w:rPr>
        <w:t>Pública</w:t>
      </w:r>
      <w:proofErr w:type="spellEnd"/>
      <w:r w:rsidRPr="00AA40D8">
        <w:rPr>
          <w:rFonts w:ascii="Verdana" w:hAnsi="Verdana" w:cs="Arial"/>
          <w:color w:val="000000"/>
          <w:lang w:val="es-ES" w:eastAsia="es-ES_tradnl"/>
        </w:rPr>
        <w:t xml:space="preserve"> no </w:t>
      </w:r>
      <w:proofErr w:type="spellStart"/>
      <w:r w:rsidRPr="00AA40D8">
        <w:rPr>
          <w:rFonts w:ascii="Verdana" w:hAnsi="Verdana" w:cs="Arial"/>
          <w:color w:val="000000"/>
          <w:lang w:val="es-ES" w:eastAsia="es-ES_tradnl"/>
        </w:rPr>
        <w:t>preve</w:t>
      </w:r>
      <w:proofErr w:type="spellEnd"/>
      <w:r w:rsidRPr="00AA40D8">
        <w:rPr>
          <w:rFonts w:ascii="Verdana" w:hAnsi="Verdana" w:cs="Arial"/>
          <w:color w:val="000000"/>
          <w:lang w:val="es-ES" w:eastAsia="es-ES_tradnl"/>
        </w:rPr>
        <w:t xml:space="preserve">́ la incapacidad del contratista como una causal de </w:t>
      </w:r>
      <w:proofErr w:type="spellStart"/>
      <w:r w:rsidRPr="00AA40D8">
        <w:rPr>
          <w:rFonts w:ascii="Verdana" w:hAnsi="Verdana" w:cs="Arial"/>
          <w:color w:val="000000"/>
          <w:lang w:val="es-ES" w:eastAsia="es-ES_tradnl"/>
        </w:rPr>
        <w:t>suspensión</w:t>
      </w:r>
      <w:proofErr w:type="spellEnd"/>
      <w:r w:rsidRPr="00AA40D8">
        <w:rPr>
          <w:rFonts w:ascii="Verdana" w:hAnsi="Verdana" w:cs="Arial"/>
          <w:color w:val="000000"/>
          <w:lang w:val="es-ES" w:eastAsia="es-ES_tradnl"/>
        </w:rPr>
        <w:t xml:space="preserve"> del contrato. No obstante, las partes pueden acordar las condiciones en que la incapacidad del contratista </w:t>
      </w:r>
      <w:proofErr w:type="spellStart"/>
      <w:r w:rsidRPr="00AA40D8">
        <w:rPr>
          <w:rFonts w:ascii="Verdana" w:hAnsi="Verdana" w:cs="Arial"/>
          <w:color w:val="000000"/>
          <w:lang w:val="es-ES" w:eastAsia="es-ES_tradnl"/>
        </w:rPr>
        <w:t>sera</w:t>
      </w:r>
      <w:proofErr w:type="spellEnd"/>
      <w:r w:rsidRPr="00AA40D8">
        <w:rPr>
          <w:rFonts w:ascii="Verdana" w:hAnsi="Verdana" w:cs="Arial"/>
          <w:color w:val="000000"/>
          <w:lang w:val="es-ES" w:eastAsia="es-ES_tradnl"/>
        </w:rPr>
        <w:t xml:space="preserve">́ una causal de </w:t>
      </w:r>
      <w:proofErr w:type="spellStart"/>
      <w:r w:rsidRPr="00AA40D8">
        <w:rPr>
          <w:rFonts w:ascii="Verdana" w:hAnsi="Verdana" w:cs="Arial"/>
          <w:color w:val="000000"/>
          <w:lang w:val="es-ES" w:eastAsia="es-ES_tradnl"/>
        </w:rPr>
        <w:t>suspensión</w:t>
      </w:r>
      <w:proofErr w:type="spellEnd"/>
      <w:r w:rsidRPr="00AA40D8">
        <w:rPr>
          <w:rFonts w:ascii="Verdana" w:hAnsi="Verdana" w:cs="Arial"/>
          <w:color w:val="000000"/>
          <w:lang w:val="es-ES" w:eastAsia="es-ES_tradnl"/>
        </w:rPr>
        <w:t xml:space="preserve"> del mismo. </w:t>
      </w:r>
      <w:r w:rsidRPr="00035BB4">
        <w:rPr>
          <w:rFonts w:ascii="Verdana" w:eastAsia="Calibri" w:hAnsi="Verdana" w:cs="Arial"/>
          <w:lang w:val="es-ES"/>
        </w:rPr>
        <w:t xml:space="preserve">El </w:t>
      </w:r>
      <w:proofErr w:type="spellStart"/>
      <w:r w:rsidRPr="00AA40D8">
        <w:rPr>
          <w:rFonts w:ascii="Verdana" w:eastAsia="Calibri" w:hAnsi="Verdana" w:cs="Arial"/>
          <w:lang w:val="es-ES"/>
        </w:rPr>
        <w:t>C</w:t>
      </w:r>
      <w:r w:rsidRPr="00035BB4">
        <w:rPr>
          <w:rFonts w:ascii="Verdana" w:eastAsia="Calibri" w:hAnsi="Verdana" w:cs="Arial"/>
          <w:lang w:val="es-ES"/>
        </w:rPr>
        <w:t>ódigo</w:t>
      </w:r>
      <w:proofErr w:type="spellEnd"/>
      <w:r w:rsidRPr="00035BB4">
        <w:rPr>
          <w:rFonts w:ascii="Verdana" w:eastAsia="Calibri" w:hAnsi="Verdana" w:cs="Arial"/>
          <w:lang w:val="es-ES"/>
        </w:rPr>
        <w:t xml:space="preserve"> Civil establece que todo contrato legalmente celebrado es ley para las partes, y no puede ser invalidado sino por su consentimiento mutuo o por causa legal. </w:t>
      </w:r>
      <w:r w:rsidRPr="00AA40D8">
        <w:rPr>
          <w:rFonts w:ascii="Verdana" w:eastAsia="Calibri" w:hAnsi="Verdana" w:cs="Arial"/>
          <w:lang w:val="es-ES"/>
        </w:rPr>
        <w:t>En efecto, en virtud de lo estipulado en los artículos 13 y 40 de la Ley 80 de 1993</w:t>
      </w:r>
      <w:r w:rsidRPr="00AA40D8">
        <w:rPr>
          <w:rStyle w:val="Refdenotaalpie"/>
          <w:rFonts w:ascii="Verdana" w:eastAsia="Calibri" w:hAnsi="Verdana" w:cs="Arial"/>
          <w:lang w:val="es-ES"/>
        </w:rPr>
        <w:footnoteReference w:id="7"/>
      </w:r>
      <w:r w:rsidRPr="00AA40D8">
        <w:rPr>
          <w:rFonts w:ascii="Verdana" w:eastAsia="Calibri" w:hAnsi="Verdana" w:cs="Arial"/>
          <w:lang w:val="es-ES"/>
        </w:rPr>
        <w:t>, l</w:t>
      </w:r>
      <w:r w:rsidRPr="00035BB4">
        <w:rPr>
          <w:rFonts w:ascii="Verdana" w:eastAsia="Calibri" w:hAnsi="Verdana" w:cs="Arial"/>
          <w:lang w:val="es-ES"/>
        </w:rPr>
        <w:t xml:space="preserve">as partes pueden incluir, en ejercicio de su autonomía de la voluntad, las situaciones que </w:t>
      </w:r>
      <w:proofErr w:type="spellStart"/>
      <w:r w:rsidRPr="00035BB4">
        <w:rPr>
          <w:rFonts w:ascii="Verdana" w:eastAsia="Calibri" w:hAnsi="Verdana" w:cs="Arial"/>
          <w:lang w:val="es-ES"/>
        </w:rPr>
        <w:t>serán</w:t>
      </w:r>
      <w:proofErr w:type="spellEnd"/>
      <w:r w:rsidRPr="00035BB4">
        <w:rPr>
          <w:rFonts w:ascii="Verdana" w:eastAsia="Calibri" w:hAnsi="Verdana" w:cs="Arial"/>
          <w:lang w:val="es-ES"/>
        </w:rPr>
        <w:t xml:space="preserve"> objeto de </w:t>
      </w:r>
      <w:proofErr w:type="spellStart"/>
      <w:r w:rsidRPr="00035BB4">
        <w:rPr>
          <w:rFonts w:ascii="Verdana" w:eastAsia="Calibri" w:hAnsi="Verdana" w:cs="Arial"/>
          <w:lang w:val="es-ES"/>
        </w:rPr>
        <w:t>suspensión</w:t>
      </w:r>
      <w:proofErr w:type="spellEnd"/>
      <w:r w:rsidRPr="00035BB4">
        <w:rPr>
          <w:rFonts w:ascii="Verdana" w:eastAsia="Calibri" w:hAnsi="Verdana" w:cs="Arial"/>
          <w:lang w:val="es-ES"/>
        </w:rPr>
        <w:t xml:space="preserve"> del contra</w:t>
      </w:r>
      <w:r w:rsidRPr="00AA40D8">
        <w:rPr>
          <w:rFonts w:ascii="Verdana" w:eastAsia="Calibri" w:hAnsi="Verdana" w:cs="Arial"/>
          <w:lang w:val="es-ES"/>
        </w:rPr>
        <w:t>to porque ocasionan</w:t>
      </w:r>
      <w:r w:rsidRPr="00035BB4">
        <w:rPr>
          <w:rFonts w:ascii="Verdana" w:eastAsia="Calibri" w:hAnsi="Verdana" w:cs="Arial"/>
          <w:lang w:val="es-ES"/>
        </w:rPr>
        <w:t xml:space="preserve"> </w:t>
      </w:r>
      <w:r w:rsidRPr="00035BB4">
        <w:rPr>
          <w:rFonts w:ascii="Verdana" w:eastAsia="Calibri" w:hAnsi="Verdana" w:cs="Arial"/>
          <w:lang w:val="es-ES"/>
        </w:rPr>
        <w:lastRenderedPageBreak/>
        <w:t xml:space="preserve">una imposibilidad de </w:t>
      </w:r>
      <w:proofErr w:type="spellStart"/>
      <w:r w:rsidRPr="00035BB4">
        <w:rPr>
          <w:rFonts w:ascii="Verdana" w:eastAsia="Calibri" w:hAnsi="Verdana" w:cs="Arial"/>
          <w:lang w:val="es-ES"/>
        </w:rPr>
        <w:t>prestación</w:t>
      </w:r>
      <w:proofErr w:type="spellEnd"/>
      <w:r w:rsidRPr="00035BB4">
        <w:rPr>
          <w:rFonts w:ascii="Verdana" w:eastAsia="Calibri" w:hAnsi="Verdana" w:cs="Arial"/>
          <w:lang w:val="es-ES"/>
        </w:rPr>
        <w:t xml:space="preserve"> del servicio</w:t>
      </w:r>
      <w:r w:rsidRPr="00AA40D8">
        <w:rPr>
          <w:rFonts w:ascii="Verdana" w:eastAsia="Calibri" w:hAnsi="Verdana" w:cs="Arial"/>
          <w:lang w:val="es-ES"/>
        </w:rPr>
        <w:t xml:space="preserve"> pactado</w:t>
      </w:r>
      <w:r w:rsidRPr="00035BB4">
        <w:rPr>
          <w:rFonts w:ascii="Verdana" w:eastAsia="Calibri" w:hAnsi="Verdana" w:cs="Arial"/>
          <w:lang w:val="es-ES"/>
        </w:rPr>
        <w:t xml:space="preserve">. </w:t>
      </w:r>
      <w:r w:rsidRPr="00AA40D8">
        <w:rPr>
          <w:rFonts w:ascii="Verdana" w:hAnsi="Verdana" w:cs="Arial"/>
          <w:color w:val="000000"/>
          <w:lang w:val="es-ES" w:eastAsia="es-ES_tradnl"/>
        </w:rPr>
        <w:t xml:space="preserve">Sin embargo, si el contrato no contempló este supuesto y deviene en el contratista una incapacidad que le impida continuar con el cumplimiento de sus obligaciones contractuales, el contrato podrá ser suspendido de mutuo acuerdo por </w:t>
      </w:r>
      <w:proofErr w:type="spellStart"/>
      <w:r w:rsidRPr="00AA40D8">
        <w:rPr>
          <w:rFonts w:ascii="Verdana" w:hAnsi="Verdana" w:cs="Arial"/>
          <w:color w:val="000000"/>
          <w:lang w:val="es-ES" w:eastAsia="es-ES_tradnl"/>
        </w:rPr>
        <w:t>el</w:t>
      </w:r>
      <w:proofErr w:type="spellEnd"/>
      <w:r w:rsidRPr="00AA40D8">
        <w:rPr>
          <w:rFonts w:ascii="Verdana" w:hAnsi="Verdana" w:cs="Arial"/>
          <w:color w:val="000000"/>
          <w:lang w:val="es-ES" w:eastAsia="es-ES_tradnl"/>
        </w:rPr>
        <w:t xml:space="preserve"> </w:t>
      </w:r>
      <w:proofErr w:type="spellStart"/>
      <w:r w:rsidRPr="00AA40D8">
        <w:rPr>
          <w:rFonts w:ascii="Verdana" w:hAnsi="Verdana" w:cs="Arial"/>
          <w:color w:val="000000"/>
          <w:lang w:val="es-ES" w:eastAsia="es-ES_tradnl"/>
        </w:rPr>
        <w:t>término</w:t>
      </w:r>
      <w:proofErr w:type="spellEnd"/>
      <w:r w:rsidRPr="00AA40D8">
        <w:rPr>
          <w:rFonts w:ascii="Verdana" w:hAnsi="Verdana" w:cs="Arial"/>
          <w:color w:val="000000"/>
          <w:lang w:val="es-ES" w:eastAsia="es-ES_tradnl"/>
        </w:rPr>
        <w:t xml:space="preserve"> en el cual persista la incapacidad. </w:t>
      </w:r>
    </w:p>
    <w:p w14:paraId="0945602A" w14:textId="77777777" w:rsidR="00074499" w:rsidRPr="00AA40D8" w:rsidRDefault="00074499" w:rsidP="00074499">
      <w:pPr>
        <w:tabs>
          <w:tab w:val="num" w:pos="720"/>
        </w:tabs>
        <w:snapToGrid w:val="0"/>
        <w:spacing w:before="120" w:after="0" w:line="276" w:lineRule="auto"/>
        <w:jc w:val="both"/>
        <w:rPr>
          <w:rFonts w:ascii="Verdana" w:eastAsia="Calibri" w:hAnsi="Verdana" w:cs="Arial"/>
          <w:lang w:val="es-ES"/>
        </w:rPr>
      </w:pPr>
      <w:r w:rsidRPr="00AA40D8">
        <w:rPr>
          <w:rFonts w:ascii="Verdana" w:eastAsia="Calibri" w:hAnsi="Verdana" w:cs="Arial"/>
          <w:lang w:val="es-ES"/>
        </w:rPr>
        <w:tab/>
      </w:r>
      <w:r w:rsidRPr="00AA40D8">
        <w:rPr>
          <w:rFonts w:ascii="Verdana" w:eastAsia="Times New Roman" w:hAnsi="Verdana" w:cs="Arial"/>
          <w:color w:val="000000"/>
          <w:lang w:val="es-ES" w:eastAsia="es-ES"/>
        </w:rPr>
        <w:t xml:space="preserve">En estos eventos, lo usual es suspender el contrato durante el periodo de la incapacidad, reiniciando la ejecución al cabo de </w:t>
      </w:r>
      <w:proofErr w:type="gramStart"/>
      <w:r w:rsidRPr="00AA40D8">
        <w:rPr>
          <w:rFonts w:ascii="Verdana" w:eastAsia="Times New Roman" w:hAnsi="Verdana" w:cs="Arial"/>
          <w:color w:val="000000"/>
          <w:lang w:val="es-ES" w:eastAsia="es-ES"/>
        </w:rPr>
        <w:t>la misma</w:t>
      </w:r>
      <w:proofErr w:type="gramEnd"/>
      <w:r w:rsidRPr="00AA40D8">
        <w:rPr>
          <w:rFonts w:ascii="Verdana" w:eastAsia="Times New Roman" w:hAnsi="Verdana" w:cs="Arial"/>
          <w:color w:val="000000"/>
          <w:lang w:val="es-ES" w:eastAsia="es-ES"/>
        </w:rPr>
        <w:t xml:space="preserve">. Esta opción implica modificar el valor del contrato, reduciéndolo de manera proporcional a los días durante los que el contrato estuvo suspendido. Esto además considerando que, por el referido periodo el trabajador independiente tiene derecho a recibir una prestación económica pagadera por la Entidad Promotora de Salud a la que se encuentre afiliado. </w:t>
      </w:r>
    </w:p>
    <w:p w14:paraId="4586E541" w14:textId="77777777" w:rsidR="00074499" w:rsidRPr="00AA40D8" w:rsidRDefault="00074499" w:rsidP="00074499">
      <w:pPr>
        <w:spacing w:before="120" w:after="120" w:line="276" w:lineRule="auto"/>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ab/>
        <w:t xml:space="preserve">Otra opción para pactar la suspensión del contrato en estos eventos, sin que se reduzca el valor del contrato, consiste en extender el plazo de ejecución, por un periodo equivalente al lapso durante el cual estuvo suspendido. Sin embargo, esta posibilidad no resulta viable cuando el plazo del contrato finaliza al cabo de la vigencia fiscal, tratándose de contratos sometidos al principio de anualidad, tal como los financiados por el presupuesto general de la nación, regidos por el Estatuto Orgánico del Presupuesto, cuyo artículo 14 proscribe la posibilidad de asumir compromisos más allá del 31 de diciembre, fecha que marca el final del año fiscal. </w:t>
      </w:r>
    </w:p>
    <w:p w14:paraId="6315B8B7" w14:textId="77777777" w:rsidR="00074499" w:rsidRPr="00AA40D8" w:rsidRDefault="00074499" w:rsidP="00074499">
      <w:pPr>
        <w:spacing w:before="120" w:after="0" w:line="276" w:lineRule="auto"/>
        <w:ind w:firstLine="708"/>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 xml:space="preserve">En cualquiera de estos supuestos, </w:t>
      </w:r>
      <w:r w:rsidRPr="00AA40D8">
        <w:rPr>
          <w:rFonts w:ascii="Verdana" w:hAnsi="Verdana" w:cs="Arial"/>
          <w:lang w:val="es-ES"/>
        </w:rPr>
        <w:t>en ejercicio de la autonomía de la voluntad, las partes pueden acordar en el acta de suspensión dos modalidades de reinicio:</w:t>
      </w:r>
      <w:r w:rsidRPr="00AA40D8">
        <w:rPr>
          <w:rFonts w:ascii="Verdana" w:eastAsia="Times New Roman" w:hAnsi="Verdana" w:cs="Arial"/>
          <w:color w:val="000000"/>
          <w:lang w:val="es-ES" w:eastAsia="es-ES_tradnl"/>
        </w:rPr>
        <w:t xml:space="preserve"> i) indicar en el acta de suspensión que, una vez se cumpla la fecha cierta o la condición establecida en la misma,</w:t>
      </w:r>
      <w:r w:rsidRPr="00AA40D8">
        <w:rPr>
          <w:rFonts w:ascii="Verdana" w:hAnsi="Verdana" w:cs="Arial"/>
          <w:lang w:val="es-ES"/>
        </w:rPr>
        <w:t xml:space="preserve"> </w:t>
      </w:r>
      <w:r w:rsidRPr="00AA40D8">
        <w:rPr>
          <w:rFonts w:ascii="Verdana" w:eastAsia="Times New Roman" w:hAnsi="Verdana" w:cs="Arial"/>
          <w:color w:val="000000"/>
          <w:lang w:val="es-ES" w:eastAsia="es-ES_tradnl"/>
        </w:rPr>
        <w:t xml:space="preserve">se reanudará o reiniciará la ejecución con la firma del acta de reinicio correspondiente, o </w:t>
      </w:r>
      <w:proofErr w:type="spellStart"/>
      <w:r w:rsidRPr="00AA40D8">
        <w:rPr>
          <w:rFonts w:ascii="Verdana" w:eastAsia="Times New Roman" w:hAnsi="Verdana" w:cs="Arial"/>
          <w:color w:val="000000"/>
          <w:lang w:val="es-ES" w:eastAsia="es-ES_tradnl"/>
        </w:rPr>
        <w:t>ii</w:t>
      </w:r>
      <w:proofErr w:type="spellEnd"/>
      <w:r w:rsidRPr="00AA40D8">
        <w:rPr>
          <w:rFonts w:ascii="Verdana" w:eastAsia="Times New Roman" w:hAnsi="Verdana" w:cs="Arial"/>
          <w:color w:val="000000"/>
          <w:lang w:val="es-ES" w:eastAsia="es-ES_tradnl"/>
        </w:rPr>
        <w:t xml:space="preserve">) se reanudará de manera automática, sin necesidad de suscripción de acta de reinicio, cuando se cumpla una fecha o condición. En todo caso, si las partes pactaron en el acta de suspensión del contrato la obligatoriedad de suscribir acta de reinicio al momento en que se cumpla la fecha o la condición, se entenderá que el mismo mantiene un estado de suspensión, hasta tanto las partes no suscriban el acta, es decir, “en tanto la suspensión sea provisional o temporal es porque el contrato se reiniciará cuando las partes así lo determinen; el caso es que estando el </w:t>
      </w:r>
      <w:r w:rsidRPr="00AA40D8">
        <w:rPr>
          <w:rFonts w:ascii="Verdana" w:eastAsia="Times New Roman" w:hAnsi="Verdana" w:cs="Arial"/>
          <w:color w:val="000000"/>
          <w:lang w:val="es-ES" w:eastAsia="es-ES_tradnl"/>
        </w:rPr>
        <w:lastRenderedPageBreak/>
        <w:t>contrato en ejecución o suspendido con la intención de reiniciarlo, subsiste el vínculo contractual”</w:t>
      </w:r>
      <w:r w:rsidRPr="00AA40D8">
        <w:rPr>
          <w:rStyle w:val="Refdenotaalpie"/>
          <w:rFonts w:ascii="Verdana" w:eastAsia="Times New Roman" w:hAnsi="Verdana" w:cs="Arial"/>
          <w:color w:val="000000"/>
          <w:lang w:val="es-ES" w:eastAsia="es-ES_tradnl"/>
        </w:rPr>
        <w:footnoteReference w:id="8"/>
      </w:r>
      <w:r w:rsidRPr="00AA40D8">
        <w:rPr>
          <w:rFonts w:ascii="Verdana" w:eastAsia="Times New Roman" w:hAnsi="Verdana" w:cs="Arial"/>
          <w:color w:val="000000"/>
          <w:lang w:val="es-ES" w:eastAsia="es-ES_tradnl"/>
        </w:rPr>
        <w:t xml:space="preserve">. </w:t>
      </w:r>
    </w:p>
    <w:p w14:paraId="535C36F8" w14:textId="77777777" w:rsidR="00074499" w:rsidRPr="00AA40D8" w:rsidRDefault="00074499" w:rsidP="00074499">
      <w:pPr>
        <w:spacing w:after="0" w:line="276" w:lineRule="auto"/>
        <w:jc w:val="both"/>
        <w:rPr>
          <w:rFonts w:ascii="Verdana" w:eastAsia="Times New Roman" w:hAnsi="Verdana" w:cs="Arial"/>
          <w:color w:val="000000"/>
          <w:lang w:val="es-ES" w:eastAsia="es-ES_tradnl"/>
        </w:rPr>
      </w:pPr>
    </w:p>
    <w:p w14:paraId="13B5B6EA" w14:textId="77777777" w:rsidR="00074499" w:rsidRPr="00AA40D8" w:rsidRDefault="00074499" w:rsidP="00074499">
      <w:pPr>
        <w:spacing w:after="120" w:line="276" w:lineRule="auto"/>
        <w:jc w:val="both"/>
        <w:rPr>
          <w:rFonts w:ascii="Verdana" w:eastAsia="Times New Roman" w:hAnsi="Verdana" w:cs="Arial"/>
          <w:color w:val="000000"/>
          <w:lang w:val="es-ES" w:eastAsia="es-ES_tradnl"/>
        </w:rPr>
      </w:pPr>
      <w:proofErr w:type="spellStart"/>
      <w:r w:rsidRPr="00AA40D8">
        <w:rPr>
          <w:rFonts w:ascii="Verdana" w:eastAsia="Times New Roman" w:hAnsi="Verdana" w:cs="Arial"/>
          <w:color w:val="000000"/>
          <w:lang w:val="es-ES" w:eastAsia="es-ES_tradnl"/>
        </w:rPr>
        <w:t>iii</w:t>
      </w:r>
      <w:proofErr w:type="spellEnd"/>
      <w:r w:rsidRPr="00AA40D8">
        <w:rPr>
          <w:rFonts w:ascii="Verdana" w:eastAsia="Times New Roman" w:hAnsi="Verdana" w:cs="Arial"/>
          <w:color w:val="000000"/>
          <w:lang w:val="es-ES" w:eastAsia="es-ES_tradnl"/>
        </w:rPr>
        <w:t>) Adicionalmente, es importante resaltar que cuando ocurre un evento de incapacidad por enfermedad común o general, el contratista tiene derecho a que el Sistema de Seguridad Social Integral le reconozca el auxilio por incapacidad. Lo anterior, pues de trata de un derecho irrenunciable según lo dispuesto en el artículo 48 de la Constitución Nacional</w:t>
      </w:r>
      <w:r w:rsidRPr="00AA40D8">
        <w:rPr>
          <w:rStyle w:val="Refdenotaalpie"/>
          <w:rFonts w:ascii="Verdana" w:eastAsia="Times New Roman" w:hAnsi="Verdana" w:cs="Arial"/>
          <w:color w:val="000000"/>
          <w:lang w:val="es-ES" w:eastAsia="es-ES_tradnl"/>
        </w:rPr>
        <w:footnoteReference w:id="9"/>
      </w:r>
      <w:r w:rsidRPr="00AA40D8">
        <w:rPr>
          <w:rFonts w:ascii="Verdana" w:eastAsia="Times New Roman" w:hAnsi="Verdana" w:cs="Arial"/>
          <w:color w:val="000000"/>
          <w:lang w:val="es-ES" w:eastAsia="es-ES_tradnl"/>
        </w:rPr>
        <w:t xml:space="preserve"> y los artículos 1º al 3º de la Ley 100 de 1993</w:t>
      </w:r>
      <w:r w:rsidRPr="00AA40D8">
        <w:rPr>
          <w:rStyle w:val="Refdenotaalpie"/>
          <w:rFonts w:ascii="Verdana" w:eastAsia="Times New Roman" w:hAnsi="Verdana" w:cs="Arial"/>
          <w:color w:val="000000"/>
          <w:lang w:val="es-ES" w:eastAsia="es-ES_tradnl"/>
        </w:rPr>
        <w:footnoteReference w:id="10"/>
      </w:r>
      <w:r w:rsidRPr="00AA40D8">
        <w:rPr>
          <w:rFonts w:ascii="Verdana" w:eastAsia="Times New Roman" w:hAnsi="Verdana" w:cs="Arial"/>
          <w:color w:val="000000"/>
          <w:lang w:val="es-ES" w:eastAsia="es-ES_tradnl"/>
        </w:rPr>
        <w:t>.</w:t>
      </w:r>
    </w:p>
    <w:p w14:paraId="3D36FB49" w14:textId="77777777" w:rsidR="00074499" w:rsidRPr="00AA40D8" w:rsidRDefault="00074499" w:rsidP="00074499">
      <w:pPr>
        <w:spacing w:after="120" w:line="276" w:lineRule="auto"/>
        <w:ind w:firstLine="708"/>
        <w:jc w:val="both"/>
        <w:rPr>
          <w:rFonts w:ascii="Verdana" w:eastAsia="Arial" w:hAnsi="Verdana" w:cs="Arial"/>
          <w:lang w:val="es-ES"/>
        </w:rPr>
      </w:pPr>
      <w:r w:rsidRPr="00AA40D8">
        <w:rPr>
          <w:rFonts w:ascii="Verdana" w:eastAsia="Times New Roman" w:hAnsi="Verdana" w:cs="Arial"/>
          <w:color w:val="000000"/>
          <w:lang w:val="es-ES" w:eastAsia="es-ES_tradnl"/>
        </w:rPr>
        <w:t>Por</w:t>
      </w:r>
      <w:r w:rsidRPr="00AA40D8">
        <w:rPr>
          <w:rFonts w:ascii="Verdana" w:eastAsia="Arial" w:hAnsi="Verdana" w:cs="Arial"/>
          <w:lang w:val="es-ES"/>
        </w:rPr>
        <w:t xml:space="preserve"> su parte, el artículo 50 de la</w:t>
      </w:r>
      <w:r w:rsidRPr="00AA40D8">
        <w:rPr>
          <w:rFonts w:ascii="Verdana" w:eastAsia="Arial" w:hAnsi="Verdana" w:cs="Arial"/>
          <w:spacing w:val="-17"/>
          <w:lang w:val="es-ES"/>
        </w:rPr>
        <w:t xml:space="preserve"> </w:t>
      </w:r>
      <w:r w:rsidRPr="00AA40D8">
        <w:rPr>
          <w:rFonts w:ascii="Verdana" w:eastAsia="Arial" w:hAnsi="Verdana" w:cs="Arial"/>
          <w:lang w:val="es-ES"/>
        </w:rPr>
        <w:t>Ley</w:t>
      </w:r>
      <w:r w:rsidRPr="00AA40D8">
        <w:rPr>
          <w:rFonts w:ascii="Verdana" w:eastAsia="Arial" w:hAnsi="Verdana" w:cs="Arial"/>
          <w:spacing w:val="-16"/>
          <w:lang w:val="es-ES"/>
        </w:rPr>
        <w:t xml:space="preserve"> </w:t>
      </w:r>
      <w:r w:rsidRPr="00AA40D8">
        <w:rPr>
          <w:rFonts w:ascii="Verdana" w:eastAsia="Arial" w:hAnsi="Verdana" w:cs="Arial"/>
          <w:lang w:val="es-ES"/>
        </w:rPr>
        <w:t>789</w:t>
      </w:r>
      <w:r w:rsidRPr="00AA40D8">
        <w:rPr>
          <w:rFonts w:ascii="Verdana" w:eastAsia="Arial" w:hAnsi="Verdana" w:cs="Arial"/>
          <w:spacing w:val="-16"/>
          <w:lang w:val="es-ES"/>
        </w:rPr>
        <w:t xml:space="preserve"> </w:t>
      </w:r>
      <w:r w:rsidRPr="00AA40D8">
        <w:rPr>
          <w:rFonts w:ascii="Verdana" w:eastAsia="Arial" w:hAnsi="Verdana" w:cs="Arial"/>
          <w:lang w:val="es-ES"/>
        </w:rPr>
        <w:t>de</w:t>
      </w:r>
      <w:r w:rsidRPr="00AA40D8">
        <w:rPr>
          <w:rFonts w:ascii="Verdana" w:eastAsia="Arial" w:hAnsi="Verdana" w:cs="Arial"/>
          <w:spacing w:val="-17"/>
          <w:lang w:val="es-ES"/>
        </w:rPr>
        <w:t xml:space="preserve"> </w:t>
      </w:r>
      <w:r w:rsidRPr="00AA40D8">
        <w:rPr>
          <w:rFonts w:ascii="Verdana" w:eastAsia="Arial" w:hAnsi="Verdana" w:cs="Arial"/>
          <w:lang w:val="es-ES"/>
        </w:rPr>
        <w:t>2002</w:t>
      </w:r>
      <w:r w:rsidRPr="00AA40D8">
        <w:rPr>
          <w:rFonts w:ascii="Verdana" w:eastAsia="Arial" w:hAnsi="Verdana" w:cs="Arial"/>
          <w:spacing w:val="-16"/>
          <w:lang w:val="es-ES"/>
        </w:rPr>
        <w:t xml:space="preserve"> </w:t>
      </w:r>
      <w:r w:rsidRPr="00AA40D8">
        <w:rPr>
          <w:rFonts w:ascii="Verdana" w:eastAsia="Arial" w:hAnsi="Verdana" w:cs="Arial"/>
          <w:lang w:val="es-ES"/>
        </w:rPr>
        <w:t>dispuso como</w:t>
      </w:r>
      <w:r w:rsidRPr="00AA40D8">
        <w:rPr>
          <w:rFonts w:ascii="Verdana" w:eastAsia="Arial" w:hAnsi="Verdana" w:cs="Arial"/>
          <w:spacing w:val="-16"/>
          <w:lang w:val="es-ES"/>
        </w:rPr>
        <w:t xml:space="preserve"> </w:t>
      </w:r>
      <w:r w:rsidRPr="00AA40D8">
        <w:rPr>
          <w:rFonts w:ascii="Verdana" w:eastAsia="Arial" w:hAnsi="Verdana" w:cs="Arial"/>
          <w:lang w:val="es-ES"/>
        </w:rPr>
        <w:t>obligación</w:t>
      </w:r>
      <w:r w:rsidRPr="00AA40D8">
        <w:rPr>
          <w:rFonts w:ascii="Verdana" w:eastAsia="Arial" w:hAnsi="Verdana" w:cs="Arial"/>
          <w:spacing w:val="-16"/>
          <w:lang w:val="es-ES"/>
        </w:rPr>
        <w:t xml:space="preserve"> </w:t>
      </w:r>
      <w:r w:rsidRPr="00AA40D8">
        <w:rPr>
          <w:rFonts w:ascii="Verdana" w:eastAsia="Arial" w:hAnsi="Verdana" w:cs="Arial"/>
          <w:lang w:val="es-ES"/>
        </w:rPr>
        <w:t>de</w:t>
      </w:r>
      <w:r w:rsidRPr="00AA40D8">
        <w:rPr>
          <w:rFonts w:ascii="Verdana" w:eastAsia="Arial" w:hAnsi="Verdana" w:cs="Arial"/>
          <w:spacing w:val="-16"/>
          <w:lang w:val="es-ES"/>
        </w:rPr>
        <w:t xml:space="preserve"> </w:t>
      </w:r>
      <w:r w:rsidRPr="00AA40D8">
        <w:rPr>
          <w:rFonts w:ascii="Verdana" w:eastAsia="Arial" w:hAnsi="Verdana" w:cs="Arial"/>
          <w:lang w:val="es-ES"/>
        </w:rPr>
        <w:t>quien</w:t>
      </w:r>
      <w:r w:rsidRPr="00AA40D8">
        <w:rPr>
          <w:rFonts w:ascii="Verdana" w:eastAsia="Arial" w:hAnsi="Verdana" w:cs="Arial"/>
          <w:spacing w:val="-17"/>
          <w:lang w:val="es-ES"/>
        </w:rPr>
        <w:t xml:space="preserve"> </w:t>
      </w:r>
      <w:r w:rsidRPr="00AA40D8">
        <w:rPr>
          <w:rFonts w:ascii="Verdana" w:eastAsia="Arial" w:hAnsi="Verdana" w:cs="Arial"/>
          <w:lang w:val="es-ES"/>
        </w:rPr>
        <w:t xml:space="preserve">quiere </w:t>
      </w:r>
      <w:r w:rsidRPr="00AA40D8">
        <w:rPr>
          <w:rFonts w:ascii="Verdana" w:eastAsia="Arial" w:hAnsi="Verdana" w:cs="Arial"/>
          <w:i/>
          <w:iCs/>
          <w:lang w:val="es-ES"/>
        </w:rPr>
        <w:t>celebrar, renovar o liquidar</w:t>
      </w:r>
      <w:r w:rsidRPr="00AA40D8">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En efecto, los contratistas de prestación de servicios cotizan y se encuentran afiliados al Sistema de Seguridad Social Integral. </w:t>
      </w:r>
    </w:p>
    <w:p w14:paraId="0152F5EA" w14:textId="77777777" w:rsidR="00074499" w:rsidRPr="005B7592" w:rsidRDefault="00074499" w:rsidP="00074499">
      <w:pPr>
        <w:spacing w:after="120" w:line="276" w:lineRule="auto"/>
        <w:ind w:firstLine="708"/>
        <w:jc w:val="both"/>
        <w:rPr>
          <w:b/>
          <w:bCs/>
          <w:i/>
          <w:iCs/>
          <w:lang w:val="es-ES"/>
        </w:rPr>
      </w:pPr>
      <w:r w:rsidRPr="00AA40D8">
        <w:rPr>
          <w:rFonts w:ascii="Verdana" w:eastAsia="Arial" w:hAnsi="Verdana" w:cs="Arial"/>
          <w:lang w:val="es-ES"/>
        </w:rPr>
        <w:t xml:space="preserve">De acuerdo con el artículo 206 de la Ley 100 de 1993, el régimen contributivo reconocerá las incapacidades generadas en enfermedad general a los afiliados al </w:t>
      </w:r>
      <w:r w:rsidRPr="00A306EF">
        <w:rPr>
          <w:rFonts w:ascii="Verdana" w:eastAsia="Arial" w:hAnsi="Verdana" w:cs="Arial"/>
          <w:lang w:val="es-ES"/>
        </w:rPr>
        <w:t>Sistema General de Seguridad Social en salud</w:t>
      </w:r>
      <w:r w:rsidRPr="00AA40D8">
        <w:rPr>
          <w:rFonts w:ascii="Verdana" w:eastAsia="Arial" w:hAnsi="Verdana" w:cs="Arial"/>
          <w:lang w:val="es-ES"/>
        </w:rPr>
        <w:t>, como es el caso de los trabajadores independientes</w:t>
      </w:r>
      <w:r w:rsidRPr="00AA40D8">
        <w:rPr>
          <w:rStyle w:val="Refdenotaalpie"/>
          <w:rFonts w:ascii="Verdana" w:eastAsia="Arial" w:hAnsi="Verdana" w:cs="Arial"/>
          <w:lang w:val="es-ES"/>
        </w:rPr>
        <w:footnoteReference w:id="11"/>
      </w:r>
      <w:r w:rsidRPr="00AA40D8">
        <w:rPr>
          <w:rFonts w:ascii="Verdana" w:eastAsia="Arial" w:hAnsi="Verdana" w:cs="Arial"/>
          <w:lang w:val="es-ES"/>
        </w:rPr>
        <w:t xml:space="preserve">. Adicionalmente, señala que las </w:t>
      </w:r>
      <w:r w:rsidRPr="00AA40D8">
        <w:rPr>
          <w:rFonts w:ascii="Verdana" w:eastAsia="Arial" w:hAnsi="Verdana" w:cs="Arial"/>
          <w:lang w:val="es-ES"/>
        </w:rPr>
        <w:lastRenderedPageBreak/>
        <w:t>incapacidades originadas en enfermedad profesional y accidente de trabajo deberán ser reconocidas por las Entidades Promotoras de Salud. Por su parte, el artículo 2.2.3.3.1. del Decreto 780 de 2016, sustituido por el artículo primero del Decreto 2126 de 2023, señala que es necesario acreditar las siguientes condiciones para</w:t>
      </w:r>
      <w:r w:rsidRPr="005B7592">
        <w:rPr>
          <w:rFonts w:ascii="Verdana" w:eastAsia="Arial" w:hAnsi="Verdana" w:cs="Arial"/>
          <w:lang w:val="es-ES"/>
        </w:rPr>
        <w:t xml:space="preserve"> el reconocimiento y pago de incapacidades de origen común</w:t>
      </w:r>
      <w:r w:rsidRPr="00AA40D8">
        <w:rPr>
          <w:rFonts w:ascii="Verdana" w:eastAsia="Arial" w:hAnsi="Verdana" w:cs="Arial"/>
          <w:lang w:val="es-ES"/>
        </w:rPr>
        <w:t>:</w:t>
      </w:r>
    </w:p>
    <w:p w14:paraId="66B0D60A" w14:textId="77777777" w:rsidR="00074499" w:rsidRPr="005B7592" w:rsidRDefault="00074499" w:rsidP="00074499">
      <w:pPr>
        <w:spacing w:after="120" w:line="276" w:lineRule="auto"/>
        <w:ind w:left="708"/>
        <w:jc w:val="both"/>
        <w:rPr>
          <w:rFonts w:ascii="Verdana" w:eastAsia="Arial" w:hAnsi="Verdana" w:cs="Arial"/>
          <w:lang w:val="es-ES"/>
        </w:rPr>
      </w:pPr>
      <w:r w:rsidRPr="005B7592">
        <w:rPr>
          <w:rFonts w:ascii="Verdana" w:eastAsia="Arial" w:hAnsi="Verdana" w:cs="Arial"/>
          <w:lang w:val="es-ES"/>
        </w:rPr>
        <w:t>1. Estar afiliado al Sistema General de Seguridad Social en Salud, en calidad de cotizante, incluidos los pensionados con ingresos adicionales.  </w:t>
      </w:r>
    </w:p>
    <w:p w14:paraId="29103B24" w14:textId="77777777" w:rsidR="00074499" w:rsidRPr="005B7592" w:rsidRDefault="00074499" w:rsidP="00074499">
      <w:pPr>
        <w:spacing w:after="120" w:line="276" w:lineRule="auto"/>
        <w:ind w:left="708"/>
        <w:jc w:val="both"/>
        <w:rPr>
          <w:rFonts w:ascii="Verdana" w:eastAsia="Arial" w:hAnsi="Verdana" w:cs="Arial"/>
          <w:lang w:val="es-ES"/>
        </w:rPr>
      </w:pPr>
      <w:r w:rsidRPr="005B7592">
        <w:rPr>
          <w:rFonts w:ascii="Verdana" w:eastAsia="Arial" w:hAnsi="Verdana" w:cs="Arial"/>
          <w:lang w:val="es-ES"/>
        </w:rPr>
        <w:t xml:space="preserve">2. Haber cotizado efectivamente al Sistema General de Seguridad Social en Salud, como mínimo cuatro (4) semanas, inmediatamente anteriores al inicio de la incapacidad, equivalente a 28 días. </w:t>
      </w:r>
    </w:p>
    <w:p w14:paraId="6EB99C88" w14:textId="77777777" w:rsidR="00074499" w:rsidRPr="005B7592" w:rsidRDefault="00074499" w:rsidP="00074499">
      <w:pPr>
        <w:spacing w:after="120" w:line="276" w:lineRule="auto"/>
        <w:ind w:left="708"/>
        <w:jc w:val="both"/>
        <w:rPr>
          <w:rFonts w:ascii="Verdana" w:eastAsia="Arial" w:hAnsi="Verdana" w:cs="Arial"/>
          <w:lang w:val="es-ES"/>
        </w:rPr>
      </w:pPr>
      <w:r w:rsidRPr="005B7592">
        <w:rPr>
          <w:rFonts w:ascii="Verdana" w:eastAsia="Arial" w:hAnsi="Verdana" w:cs="Arial"/>
          <w:lang w:val="es-ES"/>
        </w:rPr>
        <w:t>3. Contar con el certificado de incapacidad de origen común expedido por el médico de la red de la entidad promotora de salud o entidad adaptada o validado por esta.  </w:t>
      </w:r>
    </w:p>
    <w:p w14:paraId="61B7000B" w14:textId="77777777" w:rsidR="00074499" w:rsidRPr="00AA40D8" w:rsidRDefault="00074499" w:rsidP="00074499">
      <w:pPr>
        <w:spacing w:after="120" w:line="276" w:lineRule="auto"/>
        <w:jc w:val="both"/>
        <w:rPr>
          <w:rFonts w:ascii="Verdana" w:eastAsia="Arial" w:hAnsi="Verdana" w:cs="Arial"/>
          <w:lang w:val="es-ES"/>
        </w:rPr>
      </w:pPr>
      <w:r w:rsidRPr="00AA40D8">
        <w:rPr>
          <w:rFonts w:ascii="Verdana" w:eastAsia="Arial" w:hAnsi="Verdana" w:cs="Arial"/>
          <w:lang w:val="es-ES"/>
        </w:rPr>
        <w:tab/>
        <w:t>En efecto, los contratistas de prestación de servicios del estado tienen derecho al reconocimiento del auxilio por incapacidad y deben acreditar el cumplimiento de estos requisitos para que proceda su pago. Como se observa, no solo es necesario que el contratista se encuentre afiliado al Sistema y que haya cotizado en el periodo mínimo establecido, sino que también deberá contar con un certificado que dé cuenta de la incapacidad de origen común. Este tipo de incapacidad implica por definición la existencia de un “estado de inhabilidad física o mental que impide a una persona desarrollar su capacidad laboral por un tiempo determinado”, y que se origina por una enfermedad general o accidente común que no ha sido calificado como enfermedad de origen laboral o accidente de trabajo</w:t>
      </w:r>
      <w:r w:rsidRPr="00AA40D8">
        <w:rPr>
          <w:rStyle w:val="Refdenotaalpie"/>
          <w:rFonts w:ascii="Verdana" w:eastAsia="Arial" w:hAnsi="Verdana" w:cs="Arial"/>
          <w:lang w:val="es-ES"/>
        </w:rPr>
        <w:footnoteReference w:id="12"/>
      </w:r>
      <w:r w:rsidRPr="00AA40D8">
        <w:rPr>
          <w:rFonts w:ascii="Verdana" w:eastAsia="Arial" w:hAnsi="Verdana" w:cs="Arial"/>
          <w:lang w:val="es-ES"/>
        </w:rPr>
        <w:t xml:space="preserve">. </w:t>
      </w:r>
    </w:p>
    <w:p w14:paraId="4489A2E7" w14:textId="77777777" w:rsidR="00074499" w:rsidRPr="00AA40D8" w:rsidRDefault="00074499" w:rsidP="00074499">
      <w:pPr>
        <w:spacing w:after="120" w:line="276" w:lineRule="auto"/>
        <w:ind w:firstLine="708"/>
        <w:jc w:val="both"/>
        <w:rPr>
          <w:rFonts w:ascii="Verdana" w:eastAsia="Arial" w:hAnsi="Verdana" w:cs="Arial"/>
          <w:lang w:val="es-ES"/>
        </w:rPr>
      </w:pPr>
      <w:r w:rsidRPr="00AA40D8">
        <w:rPr>
          <w:rFonts w:ascii="Verdana" w:eastAsia="Arial" w:hAnsi="Verdana" w:cs="Arial"/>
          <w:lang w:val="es-ES"/>
        </w:rPr>
        <w:t xml:space="preserve">En virtud de lo anterior, cuando un contratista pretende el pago del auxilio por una incapacidad de origen común, ésta implica que se encuentra en un estado de inhabilidad que le impide a desarrollar su capacidad laboral por ese periodo tiempo. Con lo cual, al hacer efectiva la incapacidad, el contratista reconoce que se encuentra en un estado que le impide ejecutar las obligaciones del contrato, pues si la condición física o mental no imposibilita el desarrollo de las actividades a su cargo, no se cumple con la definición misma de “incapacidad de origen común” establecida en la normativa del SGSS en salud. En virtud de lo anterior, que el contratista obtenga el reconocimiento del auxilio por esta </w:t>
      </w:r>
      <w:r w:rsidRPr="00AA40D8">
        <w:rPr>
          <w:rFonts w:ascii="Verdana" w:eastAsia="Arial" w:hAnsi="Verdana" w:cs="Arial"/>
          <w:lang w:val="es-ES"/>
        </w:rPr>
        <w:lastRenderedPageBreak/>
        <w:t>incapacidad, sopone que no se encuentra en condiciones para cumplir con sus obligaciones, lo cual hace posible proceder con la suspensión del contrato de prestación de servicios.</w:t>
      </w:r>
    </w:p>
    <w:p w14:paraId="6F3B49E3" w14:textId="77777777" w:rsidR="00074499" w:rsidRPr="00AA40D8" w:rsidRDefault="00074499" w:rsidP="00074499">
      <w:pPr>
        <w:spacing w:after="0" w:line="276" w:lineRule="auto"/>
        <w:ind w:firstLine="708"/>
        <w:jc w:val="both"/>
        <w:rPr>
          <w:rFonts w:ascii="Verdana" w:eastAsia="Arial" w:hAnsi="Verdana" w:cs="Arial"/>
          <w:lang w:val="es-ES"/>
        </w:rPr>
      </w:pPr>
      <w:r w:rsidRPr="00AA40D8">
        <w:rPr>
          <w:rFonts w:ascii="Verdana" w:eastAsia="Arial" w:hAnsi="Verdana" w:cs="Arial"/>
          <w:lang w:val="es-ES"/>
        </w:rPr>
        <w:t>Aunado a lo anterior, es importante resaltar los fines que busca satisfacer el auxilio por incapacidad (de origen común o laboral). Sobre el auxilio por incapacidad, la Corte Constitucional ha señalado que:</w:t>
      </w:r>
    </w:p>
    <w:p w14:paraId="508E7EBA" w14:textId="77777777" w:rsidR="00074499" w:rsidRPr="00AA40D8" w:rsidRDefault="00074499" w:rsidP="00074499">
      <w:pPr>
        <w:spacing w:after="0" w:line="276" w:lineRule="auto"/>
        <w:ind w:firstLine="708"/>
        <w:jc w:val="both"/>
        <w:rPr>
          <w:rFonts w:ascii="Verdana" w:eastAsia="Arial" w:hAnsi="Verdana" w:cs="Arial"/>
          <w:lang w:val="es-ES"/>
        </w:rPr>
      </w:pPr>
    </w:p>
    <w:p w14:paraId="05A089C1" w14:textId="77777777" w:rsidR="00074499" w:rsidRPr="00AA40D8" w:rsidRDefault="00074499" w:rsidP="00074499">
      <w:pPr>
        <w:spacing w:after="120" w:line="276" w:lineRule="auto"/>
        <w:ind w:left="709" w:right="709"/>
        <w:jc w:val="both"/>
        <w:rPr>
          <w:rFonts w:ascii="Verdana" w:eastAsia="Arial" w:hAnsi="Verdana" w:cs="Arial"/>
          <w:sz w:val="20"/>
          <w:szCs w:val="20"/>
          <w:lang w:val="es-ES"/>
        </w:rPr>
      </w:pPr>
      <w:r w:rsidRPr="00AA40D8">
        <w:rPr>
          <w:rFonts w:ascii="Verdana" w:eastAsia="Arial" w:hAnsi="Verdana" w:cs="Arial"/>
          <w:sz w:val="20"/>
          <w:szCs w:val="20"/>
          <w:lang w:val="es-ES"/>
        </w:rPr>
        <w:t xml:space="preserve">“[…] </w:t>
      </w:r>
      <w:r w:rsidRPr="00756C9A">
        <w:rPr>
          <w:rFonts w:ascii="Verdana" w:eastAsia="Arial" w:hAnsi="Verdana" w:cs="Arial"/>
          <w:sz w:val="20"/>
          <w:szCs w:val="20"/>
          <w:lang w:val="es-ES"/>
        </w:rPr>
        <w:t>hace parte del esquema de prestaciones económicas que el legislador diseñó con el objeto de cubrir a los afiliados al Sistema General de Seguridad Social Integral frente a las contingencias que menoscaban su salud y su capacidad económica</w:t>
      </w:r>
    </w:p>
    <w:p w14:paraId="7AD15EF7" w14:textId="77777777" w:rsidR="00074499" w:rsidRPr="00AA40D8" w:rsidRDefault="00074499" w:rsidP="00074499">
      <w:pPr>
        <w:spacing w:after="120" w:line="276" w:lineRule="auto"/>
        <w:ind w:left="709" w:right="709"/>
        <w:jc w:val="both"/>
        <w:rPr>
          <w:rFonts w:ascii="Verdana" w:eastAsia="Arial" w:hAnsi="Verdana" w:cs="Arial"/>
          <w:sz w:val="20"/>
          <w:szCs w:val="20"/>
          <w:lang w:val="es-ES"/>
        </w:rPr>
      </w:pPr>
      <w:r w:rsidRPr="00AA40D8">
        <w:rPr>
          <w:rFonts w:ascii="Verdana" w:eastAsia="Arial" w:hAnsi="Verdana" w:cs="Arial"/>
          <w:sz w:val="20"/>
          <w:szCs w:val="20"/>
          <w:lang w:val="es-ES"/>
        </w:rPr>
        <w:t>[…]</w:t>
      </w:r>
    </w:p>
    <w:p w14:paraId="4D35303A" w14:textId="77777777" w:rsidR="00074499" w:rsidRPr="00AA40D8" w:rsidRDefault="00074499" w:rsidP="00074499">
      <w:pPr>
        <w:spacing w:after="0" w:line="276" w:lineRule="auto"/>
        <w:ind w:left="709" w:right="709"/>
        <w:jc w:val="both"/>
        <w:rPr>
          <w:rFonts w:ascii="Verdana" w:eastAsia="Arial" w:hAnsi="Verdana" w:cs="Arial"/>
          <w:sz w:val="20"/>
          <w:szCs w:val="20"/>
        </w:rPr>
      </w:pPr>
      <w:r w:rsidRPr="4E2DD101">
        <w:rPr>
          <w:rFonts w:ascii="Verdana" w:eastAsia="Arial" w:hAnsi="Verdana" w:cs="Arial"/>
          <w:sz w:val="20"/>
          <w:szCs w:val="20"/>
        </w:rPr>
        <w:t xml:space="preserve">El papel que cumple el subsidio de incapacidad laboral en la tarea de proteger a quienes quedan temporalmente desprovistos de los recursos que destinaban a satisfacer sus necesidades básicas y las de </w:t>
      </w:r>
      <w:proofErr w:type="gramStart"/>
      <w:r w:rsidRPr="4E2DD101">
        <w:rPr>
          <w:rFonts w:ascii="Verdana" w:eastAsia="Arial" w:hAnsi="Verdana" w:cs="Arial"/>
          <w:sz w:val="20"/>
          <w:szCs w:val="20"/>
        </w:rPr>
        <w:t>sus familia</w:t>
      </w:r>
      <w:proofErr w:type="gramEnd"/>
      <w:r w:rsidRPr="4E2DD101">
        <w:rPr>
          <w:rFonts w:ascii="Verdana" w:eastAsia="Arial" w:hAnsi="Verdana" w:cs="Arial"/>
          <w:sz w:val="20"/>
          <w:szCs w:val="20"/>
        </w:rPr>
        <w:t xml:space="preserve"> por razones de salud […]”</w:t>
      </w:r>
      <w:r w:rsidRPr="4E2DD101">
        <w:rPr>
          <w:rStyle w:val="Refdenotaalpie"/>
          <w:rFonts w:ascii="Verdana" w:eastAsia="Arial" w:hAnsi="Verdana" w:cs="Arial"/>
          <w:sz w:val="20"/>
          <w:szCs w:val="20"/>
        </w:rPr>
        <w:footnoteReference w:id="13"/>
      </w:r>
      <w:r w:rsidRPr="4E2DD101">
        <w:rPr>
          <w:rFonts w:ascii="Verdana" w:eastAsia="Arial" w:hAnsi="Verdana" w:cs="Arial"/>
          <w:sz w:val="20"/>
          <w:szCs w:val="20"/>
        </w:rPr>
        <w:t>.</w:t>
      </w:r>
    </w:p>
    <w:p w14:paraId="0C87FCB6" w14:textId="77777777" w:rsidR="00074499" w:rsidRPr="00756C9A" w:rsidRDefault="00074499" w:rsidP="00074499">
      <w:pPr>
        <w:spacing w:after="0" w:line="276" w:lineRule="auto"/>
        <w:ind w:left="709" w:right="709"/>
        <w:jc w:val="both"/>
        <w:rPr>
          <w:rFonts w:ascii="Verdana" w:eastAsia="Arial" w:hAnsi="Verdana" w:cs="Arial"/>
          <w:sz w:val="20"/>
          <w:szCs w:val="20"/>
          <w:lang w:val="es-ES"/>
        </w:rPr>
      </w:pPr>
    </w:p>
    <w:p w14:paraId="57F68B36" w14:textId="77777777" w:rsidR="00074499" w:rsidRPr="00AA40D8" w:rsidRDefault="00074499" w:rsidP="00074499">
      <w:pPr>
        <w:spacing w:after="120" w:line="276" w:lineRule="auto"/>
        <w:jc w:val="both"/>
        <w:rPr>
          <w:rFonts w:ascii="Verdana" w:eastAsia="Times New Roman" w:hAnsi="Verdana" w:cs="Arial"/>
          <w:color w:val="000000"/>
          <w:lang w:val="es-ES" w:eastAsia="es-ES_tradnl"/>
        </w:rPr>
      </w:pPr>
      <w:r w:rsidRPr="00AA40D8">
        <w:rPr>
          <w:rFonts w:ascii="Verdana" w:eastAsia="Arial" w:hAnsi="Verdana" w:cs="Arial"/>
          <w:lang w:val="es-ES"/>
        </w:rPr>
        <w:tab/>
        <w:t xml:space="preserve">Adicionalmente, refiriéndose al pago de </w:t>
      </w:r>
      <w:proofErr w:type="gramStart"/>
      <w:r w:rsidRPr="00AA40D8">
        <w:rPr>
          <w:rFonts w:ascii="Verdana" w:eastAsia="Arial" w:hAnsi="Verdana" w:cs="Arial"/>
          <w:lang w:val="es-ES"/>
        </w:rPr>
        <w:t>éstas</w:t>
      </w:r>
      <w:proofErr w:type="gramEnd"/>
      <w:r w:rsidRPr="00AA40D8">
        <w:rPr>
          <w:rFonts w:ascii="Verdana" w:eastAsia="Arial" w:hAnsi="Verdana" w:cs="Arial"/>
          <w:lang w:val="es-ES"/>
        </w:rPr>
        <w:t xml:space="preserve"> incapacidades, la Corte resaltó que “</w:t>
      </w:r>
      <w:r w:rsidRPr="00AA40D8">
        <w:rPr>
          <w:rFonts w:ascii="Verdana" w:eastAsia="Times New Roman" w:hAnsi="Verdana" w:cs="Arial"/>
          <w:color w:val="000000"/>
          <w:lang w:val="es-ES" w:eastAsia="es-ES_tradnl"/>
        </w:rPr>
        <w:t>esta prestación lo que pretende es sustituir el salario o los honorarios percibidos por un trabajador ante un evento de enfermedad, con el fin de garantizar su mínimo vital”</w:t>
      </w:r>
      <w:r w:rsidRPr="00AA40D8">
        <w:rPr>
          <w:rStyle w:val="Refdenotaalpie"/>
          <w:rFonts w:ascii="Verdana" w:eastAsia="Times New Roman" w:hAnsi="Verdana" w:cs="Arial"/>
          <w:color w:val="000000"/>
          <w:lang w:val="es-ES" w:eastAsia="es-ES_tradnl"/>
        </w:rPr>
        <w:t xml:space="preserve"> </w:t>
      </w:r>
      <w:r w:rsidRPr="00AA40D8">
        <w:rPr>
          <w:rStyle w:val="Refdenotaalpie"/>
          <w:rFonts w:ascii="Verdana" w:eastAsia="Times New Roman" w:hAnsi="Verdana" w:cs="Arial"/>
          <w:color w:val="000000"/>
          <w:lang w:val="es-ES" w:eastAsia="es-ES_tradnl"/>
        </w:rPr>
        <w:footnoteReference w:id="14"/>
      </w:r>
      <w:r w:rsidRPr="00AA40D8">
        <w:rPr>
          <w:rFonts w:ascii="Verdana" w:eastAsia="Times New Roman" w:hAnsi="Verdana" w:cs="Arial"/>
          <w:color w:val="000000"/>
          <w:lang w:val="es-ES" w:eastAsia="es-ES_tradnl"/>
        </w:rPr>
        <w:t>. En esa ocasión la Corte consideró que el no pago de las incapacidades por parte de la EPS puede amenazar el mínimo vital de la persona y su familia su familia al poner en riesgo la satisfacción de sus necesidades básicas.</w:t>
      </w:r>
    </w:p>
    <w:p w14:paraId="28478031" w14:textId="77777777" w:rsidR="00074499" w:rsidRPr="00AA40D8" w:rsidRDefault="00074499" w:rsidP="00074499">
      <w:pPr>
        <w:spacing w:after="120" w:line="276" w:lineRule="auto"/>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ab/>
        <w:t xml:space="preserve">En efecto, si el contratista de prestación de servicios pretende buscar el reconocimiento de la incapacidad ante el SGSS en salud, es porque se encuentra en un estado que lo inhabilita para continuar con la ejecución del contrato, con lo cual el auxilio cumple la finalidad de sustituir los honorarios que dejará de percibir por ese periodo de tiempo. En efecto, es </w:t>
      </w:r>
      <w:r w:rsidRPr="00AA40D8">
        <w:rPr>
          <w:rFonts w:ascii="Verdana" w:eastAsia="Times New Roman" w:hAnsi="Verdana" w:cs="Arial"/>
          <w:i/>
          <w:iCs/>
          <w:color w:val="000000"/>
          <w:lang w:val="es-ES" w:eastAsia="es-ES_tradnl"/>
        </w:rPr>
        <w:t>contrario</w:t>
      </w:r>
      <w:r w:rsidRPr="00AA40D8">
        <w:rPr>
          <w:rFonts w:ascii="Verdana" w:eastAsia="Times New Roman" w:hAnsi="Verdana" w:cs="Arial"/>
          <w:color w:val="000000"/>
          <w:lang w:val="es-ES" w:eastAsia="es-ES_tradnl"/>
        </w:rPr>
        <w:t xml:space="preserve"> a la finalidad del auxilio, así como a los presupuestos normativos expuestos, que un contratista (a) busque el reconocimiento de la incapacidad ante el SGSS, al tiempo que (b) continúa con la ejecución de las actividades del contrato para obtener el pago de los honorarios, pues la causa de lo primero supone que no le es posible </w:t>
      </w:r>
      <w:r w:rsidRPr="00AA40D8">
        <w:rPr>
          <w:rFonts w:ascii="Verdana" w:eastAsia="Times New Roman" w:hAnsi="Verdana" w:cs="Arial"/>
          <w:color w:val="000000"/>
          <w:lang w:val="es-ES" w:eastAsia="es-ES_tradnl"/>
        </w:rPr>
        <w:lastRenderedPageBreak/>
        <w:t xml:space="preserve">realizar lo segundo. Precisamente para evitar este escenario contradictorio, es recomendable proceder con la suspensión del contrato por el tiempo de la incapacidad. </w:t>
      </w:r>
    </w:p>
    <w:p w14:paraId="5A0DAF04" w14:textId="77777777" w:rsidR="00074499" w:rsidRPr="00AA40D8" w:rsidRDefault="00074499" w:rsidP="00074499">
      <w:pPr>
        <w:spacing w:after="120" w:line="276" w:lineRule="auto"/>
        <w:jc w:val="both"/>
        <w:rPr>
          <w:rFonts w:ascii="Verdana" w:eastAsia="Times New Roman" w:hAnsi="Verdana" w:cs="Arial"/>
          <w:color w:val="000000"/>
          <w:lang w:val="es-ES" w:eastAsia="es-ES_tradnl"/>
        </w:rPr>
      </w:pPr>
      <w:r w:rsidRPr="00AA40D8">
        <w:rPr>
          <w:rFonts w:ascii="Verdana" w:eastAsia="Times New Roman" w:hAnsi="Verdana" w:cs="Arial"/>
          <w:color w:val="000000"/>
          <w:lang w:val="es-ES" w:eastAsia="es-ES_tradnl"/>
        </w:rPr>
        <w:tab/>
        <w:t xml:space="preserve">Además, en el supuesto expuesto, el contratista estaría obteniendo el pago del auxilio por la incapacidad para ejecutar el contrato, junto con el pago de los honorarios por la ejecución de sus actividades en el mismo periodo de tiempo. Si la Entidad Prestadora de Salud está pagando al contratista un porcentaje de los honorarios con ocasión a que no está en condiciones para percibirlos, la Entidad Estatal no debería también realizar su pago. Con respecto a esto, es importante advertir que este tipo de conductas pueden no solo constituir irregularidades en el ámbito de la ejecución contractual, sino que además podrían ser susceptibles de investigación y sanción por parte de las entidades encargadas de la vigilancia de este sector, pues pueden evidenciar actuaciones que busquen defraudar el SGSS. </w:t>
      </w:r>
    </w:p>
    <w:p w14:paraId="5A0016C6" w14:textId="77777777" w:rsidR="00074499" w:rsidRPr="00AA40D8" w:rsidRDefault="00074499" w:rsidP="00074499">
      <w:pPr>
        <w:snapToGrid w:val="0"/>
        <w:spacing w:before="120" w:after="0" w:line="276" w:lineRule="auto"/>
        <w:ind w:firstLine="709"/>
        <w:jc w:val="both"/>
        <w:rPr>
          <w:rFonts w:ascii="Verdana" w:eastAsia="Calibri" w:hAnsi="Verdana" w:cs="Arial"/>
          <w:lang w:val="es-ES"/>
        </w:rPr>
      </w:pPr>
      <w:r w:rsidRPr="00AA40D8">
        <w:rPr>
          <w:rFonts w:ascii="Verdana" w:eastAsia="Calibri" w:hAnsi="Verdana" w:cs="Arial"/>
          <w:bCs/>
          <w:color w:val="000000" w:themeColor="text1"/>
          <w:lang w:val="es-ES"/>
        </w:rPr>
        <w:t>Finalmente</w:t>
      </w:r>
      <w:r w:rsidRPr="00AA40D8">
        <w:rPr>
          <w:rFonts w:ascii="Verdana" w:eastAsia="Calibri" w:hAnsi="Verdana" w:cs="Times New Roman"/>
          <w:lang w:val="es-ES"/>
        </w:rPr>
        <w:t>, debe advertirse que el análisis para resolver problemas en torno a la ejecución de contratos de prestación específicos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en adoptar la decisión y, en caso de conflicto, a las autoridades judiciales, fiscales y disciplinarias.</w:t>
      </w:r>
    </w:p>
    <w:p w14:paraId="5076A077" w14:textId="77777777" w:rsidR="00074499" w:rsidRDefault="00074499" w:rsidP="00074499">
      <w:pPr>
        <w:spacing w:before="120" w:after="0" w:line="276" w:lineRule="auto"/>
        <w:ind w:firstLine="708"/>
        <w:jc w:val="both"/>
        <w:rPr>
          <w:rFonts w:ascii="Verdana" w:eastAsia="Calibri" w:hAnsi="Verdana" w:cs="Times New Roman"/>
          <w:lang w:val="es-ES"/>
        </w:rPr>
      </w:pPr>
      <w:r w:rsidRPr="00AA40D8">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71F6DCB4" w14:textId="77777777" w:rsidR="00074499" w:rsidRDefault="00074499" w:rsidP="00074499">
      <w:pPr>
        <w:widowControl w:val="0"/>
        <w:autoSpaceDE w:val="0"/>
        <w:autoSpaceDN w:val="0"/>
        <w:spacing w:after="0" w:line="276" w:lineRule="auto"/>
        <w:jc w:val="both"/>
        <w:rPr>
          <w:rFonts w:ascii="Verdana" w:eastAsia="Calibri" w:hAnsi="Verdana" w:cs="Times New Roman"/>
          <w:lang w:val="es-ES"/>
        </w:rPr>
      </w:pPr>
    </w:p>
    <w:p w14:paraId="6DB278D4" w14:textId="77777777" w:rsidR="005F0FA1" w:rsidRPr="00AA40D8" w:rsidRDefault="005F0FA1" w:rsidP="00074499">
      <w:pPr>
        <w:widowControl w:val="0"/>
        <w:autoSpaceDE w:val="0"/>
        <w:autoSpaceDN w:val="0"/>
        <w:spacing w:after="0" w:line="276" w:lineRule="auto"/>
        <w:jc w:val="both"/>
        <w:rPr>
          <w:rFonts w:ascii="Verdana" w:hAnsi="Verdana" w:cs="Arial"/>
          <w:lang w:val="es-ES"/>
        </w:rPr>
      </w:pPr>
    </w:p>
    <w:p w14:paraId="267DDFAD" w14:textId="77777777" w:rsidR="00074499" w:rsidRPr="00AA40D8" w:rsidRDefault="00074499" w:rsidP="000744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40D8">
        <w:rPr>
          <w:rFonts w:ascii="Verdana" w:eastAsia="Century Gothic" w:hAnsi="Verdana" w:cs="Century Gothic"/>
          <w:b/>
          <w:bCs/>
        </w:rPr>
        <w:t>Referencias normativas, jurisprudenciales y otras fuentes:</w:t>
      </w:r>
    </w:p>
    <w:p w14:paraId="45FAB41B" w14:textId="77777777" w:rsidR="00074499" w:rsidRPr="00AA40D8" w:rsidRDefault="00074499" w:rsidP="0007449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74499" w:rsidRPr="00AA40D8" w14:paraId="14ADF242" w14:textId="77777777" w:rsidTr="00C54D4B">
        <w:trPr>
          <w:trHeight w:val="870"/>
        </w:trPr>
        <w:tc>
          <w:tcPr>
            <w:tcW w:w="8647" w:type="dxa"/>
          </w:tcPr>
          <w:p w14:paraId="3DDC5BDB"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lastRenderedPageBreak/>
              <w:t>Constitución Política de Colombia, artículo 48. </w:t>
            </w:r>
          </w:p>
          <w:p w14:paraId="49BCB78D"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Ley 80 de 1993, artículos 13 y 40.</w:t>
            </w:r>
          </w:p>
          <w:p w14:paraId="67DA71A4"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eastAsia="Arial" w:hAnsi="Verdana" w:cs="Arial"/>
              </w:rPr>
              <w:t>Ley 100 de 1993, artículos 1 y 157.</w:t>
            </w:r>
          </w:p>
          <w:p w14:paraId="42467D1D"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Decreto 780 de 2016, sustituido por el Decreto 2126 de 2023.</w:t>
            </w:r>
          </w:p>
          <w:p w14:paraId="253AA7E4"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Consejo de Estado. Sala de lo Contencioso Administrativo. Sección Tercera. Sentencia del 29 de mayo de 2003. Radicado: 14.945.</w:t>
            </w:r>
          </w:p>
          <w:p w14:paraId="56478DF3"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 xml:space="preserve">Consejo de Estado. Sala de Consulta y Servicio Civil. </w:t>
            </w:r>
            <w:proofErr w:type="spellStart"/>
            <w:r w:rsidRPr="00AA40D8">
              <w:rPr>
                <w:rFonts w:ascii="Verdana" w:hAnsi="Verdana"/>
              </w:rPr>
              <w:t>Exp</w:t>
            </w:r>
            <w:proofErr w:type="spellEnd"/>
            <w:r w:rsidRPr="00AA40D8">
              <w:rPr>
                <w:rFonts w:ascii="Verdana" w:hAnsi="Verdana"/>
              </w:rPr>
              <w:t>. 2278 de 2016. C.P. Germán Bula Escobar (E.)</w:t>
            </w:r>
          </w:p>
          <w:p w14:paraId="121D7EFE"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Consejo de Estado</w:t>
            </w:r>
            <w:r w:rsidRPr="00AA40D8">
              <w:rPr>
                <w:rFonts w:ascii="Verdana" w:hAnsi="Verdana" w:cs="Arial"/>
              </w:rPr>
              <w:t xml:space="preserve"> Sección Tercera. Sentencia del 1 de octubre de 2018. Consejera Ponente: Marta Nubia Velásquez Rico. Expediente: 57.897.</w:t>
            </w:r>
          </w:p>
          <w:p w14:paraId="109D9657"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Corte Constitucional. Sentencia T-333 del (11) de junio de dos mil trece (2013). M.P. Luis Ernesto Vargas Silva.</w:t>
            </w:r>
          </w:p>
          <w:p w14:paraId="089D46B3" w14:textId="77777777" w:rsidR="00074499" w:rsidRPr="00AA40D8" w:rsidRDefault="00074499" w:rsidP="00074499">
            <w:pPr>
              <w:pStyle w:val="Prrafodelista"/>
              <w:numPr>
                <w:ilvl w:val="0"/>
                <w:numId w:val="17"/>
              </w:numPr>
              <w:snapToGrid w:val="0"/>
              <w:spacing w:before="120" w:after="120"/>
              <w:ind w:left="714" w:hanging="357"/>
              <w:contextualSpacing w:val="0"/>
              <w:jc w:val="both"/>
              <w:rPr>
                <w:rFonts w:ascii="Verdana" w:hAnsi="Verdana" w:cs="Arial"/>
                <w:color w:val="000000" w:themeColor="text1"/>
              </w:rPr>
            </w:pPr>
            <w:r w:rsidRPr="00AA40D8">
              <w:rPr>
                <w:rFonts w:ascii="Verdana" w:hAnsi="Verdana"/>
              </w:rPr>
              <w:t>Corte Constitucional. Sentencia T-025 del veintitrés (23) de enero de dos mil diecisiete (2017). M.P. Aquiles Arrieta Gómez.</w:t>
            </w:r>
          </w:p>
        </w:tc>
      </w:tr>
    </w:tbl>
    <w:p w14:paraId="70338E6A" w14:textId="77777777" w:rsidR="00074499" w:rsidRPr="00AA40D8" w:rsidRDefault="00074499" w:rsidP="00074499">
      <w:pPr>
        <w:widowControl w:val="0"/>
        <w:autoSpaceDE w:val="0"/>
        <w:autoSpaceDN w:val="0"/>
        <w:spacing w:after="0" w:line="276" w:lineRule="auto"/>
        <w:jc w:val="both"/>
        <w:rPr>
          <w:rFonts w:ascii="Verdana" w:hAnsi="Verdana" w:cs="Arial"/>
          <w:lang w:val="es-ES"/>
        </w:rPr>
      </w:pPr>
    </w:p>
    <w:p w14:paraId="04EB5A71" w14:textId="77777777" w:rsidR="00074499" w:rsidRPr="00AA40D8" w:rsidRDefault="00074499" w:rsidP="000744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40D8">
        <w:rPr>
          <w:rFonts w:ascii="Verdana" w:eastAsia="Century Gothic" w:hAnsi="Verdana" w:cs="Century Gothic"/>
          <w:b/>
          <w:bCs/>
        </w:rPr>
        <w:t>Doctrina de la Agencia Nacional de Contratación Pública:</w:t>
      </w:r>
    </w:p>
    <w:p w14:paraId="53F9641C" w14:textId="77777777" w:rsidR="00074499" w:rsidRPr="00AA40D8" w:rsidRDefault="00074499" w:rsidP="00074499">
      <w:pPr>
        <w:widowControl w:val="0"/>
        <w:autoSpaceDE w:val="0"/>
        <w:autoSpaceDN w:val="0"/>
        <w:spacing w:after="0" w:line="276" w:lineRule="auto"/>
        <w:jc w:val="both"/>
        <w:rPr>
          <w:rFonts w:ascii="Verdana" w:hAnsi="Verdana" w:cs="Arial"/>
          <w:lang w:val="es-ES"/>
        </w:rPr>
      </w:pPr>
    </w:p>
    <w:p w14:paraId="218275D1" w14:textId="77777777" w:rsidR="00074499" w:rsidRPr="00AA40D8" w:rsidRDefault="00074499" w:rsidP="00074499">
      <w:pPr>
        <w:spacing w:after="0" w:line="276" w:lineRule="auto"/>
        <w:contextualSpacing/>
        <w:jc w:val="both"/>
        <w:rPr>
          <w:rFonts w:ascii="Verdana" w:eastAsia="Calibri" w:hAnsi="Verdana" w:cs="Arial"/>
          <w:lang w:val="es-ES"/>
        </w:rPr>
      </w:pPr>
      <w:r w:rsidRPr="00AA40D8">
        <w:rPr>
          <w:rFonts w:ascii="Verdana" w:eastAsia="Calibri" w:hAnsi="Verdana" w:cs="Arial"/>
          <w:color w:val="000000" w:themeColor="text1"/>
          <w:lang w:val="es-ES" w:eastAsia="es-ES_tradnl"/>
        </w:rPr>
        <w:t xml:space="preserve">La Agencia Nacional de Contratación Pública – Colombia Compra Eficiente </w:t>
      </w:r>
      <w:r w:rsidRPr="00AA40D8">
        <w:rPr>
          <w:rFonts w:ascii="Verdana" w:eastAsia="Arial" w:hAnsi="Verdana" w:cs="Arial"/>
          <w:lang w:val="es-ES" w:eastAsia="es-ES_tradnl"/>
        </w:rPr>
        <w:t>se ha referido</w:t>
      </w:r>
      <w:r w:rsidRPr="00AA40D8">
        <w:rPr>
          <w:rFonts w:ascii="Verdana" w:eastAsia="Calibri" w:hAnsi="Verdana" w:cs="Arial"/>
          <w:lang w:val="es-ES"/>
        </w:rPr>
        <w:t xml:space="preserve"> </w:t>
      </w:r>
      <w:r w:rsidRPr="00AA40D8">
        <w:rPr>
          <w:rFonts w:ascii="Verdana" w:eastAsia="Calibri" w:hAnsi="Verdana" w:cs="Arial"/>
          <w:lang w:val="es-ES" w:eastAsia="es-ES"/>
        </w:rPr>
        <w:t xml:space="preserve">a la suspensión </w:t>
      </w:r>
      <w:r w:rsidRPr="00AA40D8">
        <w:rPr>
          <w:rFonts w:ascii="Verdana" w:eastAsia="Calibri" w:hAnsi="Verdana" w:cs="Arial"/>
          <w:szCs w:val="24"/>
          <w:lang w:val="es-ES" w:eastAsia="es-ES_tradnl"/>
        </w:rPr>
        <w:t>de los contratos estatales</w:t>
      </w:r>
      <w:r w:rsidRPr="00AA40D8">
        <w:rPr>
          <w:rFonts w:ascii="Verdana" w:eastAsia="Calibri" w:hAnsi="Verdana" w:cs="Arial"/>
          <w:bCs/>
          <w:lang w:val="es-ES"/>
        </w:rPr>
        <w:t xml:space="preserve"> </w:t>
      </w:r>
      <w:r w:rsidRPr="00AA40D8">
        <w:rPr>
          <w:rFonts w:ascii="Verdana" w:eastAsia="Calibri" w:hAnsi="Verdana" w:cs="Arial"/>
          <w:lang w:val="es-ES"/>
        </w:rPr>
        <w:t xml:space="preserve">en los conceptos con radicado 4201814000004011, </w:t>
      </w:r>
      <w:r w:rsidRPr="00AA40D8">
        <w:rPr>
          <w:rFonts w:ascii="Verdana" w:eastAsia="Calibri" w:hAnsi="Verdana" w:cs="Arial"/>
          <w:lang w:val="es-ES" w:eastAsia="es-ES"/>
        </w:rPr>
        <w:t>C-379 del 30 de junio de 2020, C-870 del 15 de diciembre de 2022, C-766 del 20 de octubre de 2022, C-920 del 14 de febrero de 2023, C- C-827 del 16 de diciembre de 2024, C-387 del 8 de mayo de 2025, C-640 del 3 de julio de 2025, entre otros. Estos</w:t>
      </w:r>
      <w:r w:rsidRPr="00AA40D8">
        <w:rPr>
          <w:rFonts w:ascii="Verdana" w:hAnsi="Verdana" w:cs="Arial"/>
          <w:color w:val="000000" w:themeColor="text1"/>
          <w:shd w:val="clear" w:color="auto" w:fill="FFFFFF"/>
          <w:lang w:val="es-ES"/>
        </w:rPr>
        <w:t xml:space="preserve"> </w:t>
      </w:r>
      <w:r w:rsidRPr="00AA40D8">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2" w:history="1">
        <w:r w:rsidRPr="00AA40D8">
          <w:rPr>
            <w:rStyle w:val="Hipervnculo"/>
            <w:rFonts w:ascii="Verdana" w:hAnsi="Verdana" w:cs="Arial"/>
            <w:shd w:val="clear" w:color="auto" w:fill="FFFFFF"/>
            <w:lang w:val="es-ES"/>
          </w:rPr>
          <w:t>https://relatoria.colombiacompra.gov.co/busqueda/conceptos</w:t>
        </w:r>
      </w:hyperlink>
      <w:r w:rsidRPr="00AA40D8">
        <w:rPr>
          <w:rStyle w:val="Hipervnculo"/>
          <w:rFonts w:ascii="Verdana" w:hAnsi="Verdana"/>
          <w:lang w:val="es-ES"/>
        </w:rPr>
        <w:t>.</w:t>
      </w:r>
      <w:r w:rsidRPr="00AA40D8">
        <w:rPr>
          <w:rStyle w:val="normaltextrun"/>
          <w:rFonts w:ascii="Verdana" w:hAnsi="Verdana" w:cs="Arial"/>
          <w:color w:val="000000" w:themeColor="text1"/>
          <w:shd w:val="clear" w:color="auto" w:fill="FFFFFF"/>
          <w:lang w:val="es-ES"/>
        </w:rPr>
        <w:t xml:space="preserve">  </w:t>
      </w:r>
    </w:p>
    <w:p w14:paraId="24EE9F21" w14:textId="77777777" w:rsidR="00074499" w:rsidRPr="00AA40D8" w:rsidRDefault="00074499" w:rsidP="00074499">
      <w:pPr>
        <w:spacing w:after="0" w:line="276" w:lineRule="auto"/>
        <w:contextualSpacing/>
        <w:jc w:val="both"/>
        <w:rPr>
          <w:rFonts w:ascii="Verdana" w:hAnsi="Verdana"/>
          <w:lang w:val="es-ES"/>
        </w:rPr>
      </w:pPr>
    </w:p>
    <w:p w14:paraId="715B8469" w14:textId="77777777" w:rsidR="00074499" w:rsidRPr="00AA40D8" w:rsidRDefault="00074499" w:rsidP="00074499">
      <w:pPr>
        <w:spacing w:after="0" w:line="276" w:lineRule="auto"/>
        <w:contextualSpacing/>
        <w:jc w:val="both"/>
        <w:rPr>
          <w:rFonts w:ascii="Verdana" w:hAnsi="Verdana"/>
          <w:lang w:val="es-ES"/>
        </w:rPr>
      </w:pPr>
      <w:r w:rsidRPr="00AA40D8">
        <w:rPr>
          <w:rFonts w:ascii="Verdana" w:hAnsi="Verdana"/>
          <w:lang w:val="es-ES"/>
        </w:rPr>
        <w:t>También le contamos que ya se encuentra disponible la </w:t>
      </w:r>
      <w:r w:rsidRPr="00AA40D8">
        <w:rPr>
          <w:rFonts w:ascii="Verdana" w:hAnsi="Verdana"/>
          <w:b/>
          <w:bCs/>
          <w:lang w:val="es-ES"/>
        </w:rPr>
        <w:t>Guía de lineamientos de transparencia y selección objetiva para el departamento de La Guajira – Objetivo sexto constitucional de la Sentencia T-302 del 2017. </w:t>
      </w:r>
      <w:r w:rsidRPr="00AA40D8">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w:t>
      </w:r>
      <w:r w:rsidRPr="00AA40D8">
        <w:rPr>
          <w:rFonts w:ascii="Verdana" w:hAnsi="Verdana"/>
          <w:lang w:val="es-ES"/>
        </w:rPr>
        <w:lastRenderedPageBreak/>
        <w:t xml:space="preserve">de los derechos fundamentales de los niños y de las niñas del Pueblo </w:t>
      </w:r>
      <w:proofErr w:type="spellStart"/>
      <w:r w:rsidRPr="00AA40D8">
        <w:rPr>
          <w:rFonts w:ascii="Verdana" w:hAnsi="Verdana"/>
          <w:lang w:val="es-ES"/>
        </w:rPr>
        <w:t>Wayúu</w:t>
      </w:r>
      <w:proofErr w:type="spellEnd"/>
      <w:r w:rsidRPr="00AA40D8">
        <w:rPr>
          <w:rFonts w:ascii="Verdana" w:hAnsi="Verdana"/>
          <w:lang w:val="es-ES"/>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AA40D8">
          <w:rPr>
            <w:rStyle w:val="Hipervnculo"/>
            <w:rFonts w:ascii="Verdana" w:hAnsi="Verdana"/>
            <w:lang w:val="es-ES"/>
          </w:rPr>
          <w:t>Guía de lineamientos de transparencia y selección objetiva para el departamento de La Guajira – Objetivo sexto constitucional de la Sentencia T-302 del 2017</w:t>
        </w:r>
      </w:hyperlink>
      <w:r w:rsidRPr="00AA40D8">
        <w:rPr>
          <w:rFonts w:ascii="Verdana" w:hAnsi="Verdana"/>
          <w:u w:val="single"/>
          <w:lang w:val="es-ES"/>
        </w:rPr>
        <w:t>"</w:t>
      </w:r>
    </w:p>
    <w:p w14:paraId="5EF39EAA" w14:textId="77777777" w:rsidR="00074499" w:rsidRPr="00AA40D8" w:rsidRDefault="00074499" w:rsidP="00074499">
      <w:pPr>
        <w:spacing w:after="0" w:line="276" w:lineRule="auto"/>
        <w:contextualSpacing/>
        <w:jc w:val="both"/>
        <w:rPr>
          <w:rFonts w:ascii="Verdana" w:hAnsi="Verdana"/>
          <w:lang w:val="es-ES"/>
        </w:rPr>
      </w:pPr>
    </w:p>
    <w:p w14:paraId="431AB69A" w14:textId="77777777" w:rsidR="00074499" w:rsidRPr="00AA40D8" w:rsidRDefault="00074499" w:rsidP="00074499">
      <w:pPr>
        <w:spacing w:after="0" w:line="276" w:lineRule="auto"/>
        <w:contextualSpacing/>
        <w:jc w:val="both"/>
        <w:rPr>
          <w:rFonts w:ascii="Verdana" w:hAnsi="Verdana"/>
          <w:lang w:val="es-ES"/>
        </w:rPr>
      </w:pPr>
      <w:r w:rsidRPr="00AA40D8">
        <w:rPr>
          <w:rFonts w:ascii="Verdana" w:hAnsi="Verdana"/>
          <w:lang w:val="es-ES"/>
        </w:rPr>
        <w:t xml:space="preserve">Por último, lo invitamos a seguirnos en las redes sociales en las cuales se difunde información institucional: </w:t>
      </w:r>
    </w:p>
    <w:p w14:paraId="72DBF96D" w14:textId="77777777" w:rsidR="00074499" w:rsidRPr="00AA40D8" w:rsidRDefault="00074499" w:rsidP="00074499">
      <w:pPr>
        <w:spacing w:after="0" w:line="276" w:lineRule="auto"/>
        <w:contextualSpacing/>
        <w:jc w:val="both"/>
        <w:rPr>
          <w:rFonts w:ascii="Verdana" w:hAnsi="Verdana"/>
          <w:lang w:val="es-ES"/>
        </w:rPr>
      </w:pPr>
    </w:p>
    <w:p w14:paraId="7BFCAF5F" w14:textId="77777777" w:rsidR="00074499" w:rsidRPr="00AA40D8" w:rsidRDefault="00074499" w:rsidP="00074499">
      <w:pPr>
        <w:spacing w:after="0" w:line="276" w:lineRule="auto"/>
        <w:contextualSpacing/>
        <w:jc w:val="both"/>
        <w:rPr>
          <w:rFonts w:ascii="Verdana" w:hAnsi="Verdana"/>
          <w:lang w:val="es-ES"/>
        </w:rPr>
      </w:pPr>
      <w:r w:rsidRPr="00AA40D8">
        <w:rPr>
          <w:rFonts w:ascii="Verdana" w:hAnsi="Verdana"/>
          <w:lang w:val="es-ES"/>
        </w:rPr>
        <w:t xml:space="preserve">Twitter: </w:t>
      </w:r>
      <w:r w:rsidRPr="00AA40D8">
        <w:rPr>
          <w:rStyle w:val="Hipervnculo"/>
          <w:rFonts w:ascii="Verdana" w:hAnsi="Verdana" w:cs="Arial"/>
          <w:shd w:val="clear" w:color="auto" w:fill="FFFFFF"/>
          <w:lang w:val="es-ES"/>
        </w:rPr>
        <w:t>@colombiacompra</w:t>
      </w:r>
      <w:r w:rsidRPr="00AA40D8">
        <w:rPr>
          <w:rFonts w:ascii="Verdana" w:hAnsi="Verdana"/>
          <w:color w:val="4472C4" w:themeColor="accent1"/>
          <w:lang w:val="es-ES"/>
        </w:rPr>
        <w:t xml:space="preserve"> </w:t>
      </w:r>
    </w:p>
    <w:p w14:paraId="27E0DB8E" w14:textId="77777777" w:rsidR="00074499" w:rsidRPr="00AA40D8" w:rsidRDefault="00074499" w:rsidP="00074499">
      <w:pPr>
        <w:spacing w:after="0" w:line="276" w:lineRule="auto"/>
        <w:contextualSpacing/>
        <w:jc w:val="both"/>
        <w:rPr>
          <w:rFonts w:ascii="Verdana" w:hAnsi="Verdana"/>
          <w:lang w:val="es-ES"/>
        </w:rPr>
      </w:pPr>
      <w:r w:rsidRPr="00AA40D8">
        <w:rPr>
          <w:rFonts w:ascii="Verdana" w:hAnsi="Verdana"/>
          <w:lang w:val="es-ES"/>
        </w:rPr>
        <w:t xml:space="preserve">Facebook: </w:t>
      </w:r>
      <w:proofErr w:type="spellStart"/>
      <w:r w:rsidRPr="00AA40D8">
        <w:rPr>
          <w:rStyle w:val="Hipervnculo"/>
          <w:rFonts w:ascii="Verdana" w:hAnsi="Verdana" w:cs="Arial"/>
          <w:shd w:val="clear" w:color="auto" w:fill="FFFFFF"/>
          <w:lang w:val="es-ES"/>
        </w:rPr>
        <w:t>ColombiaCompraEficiente</w:t>
      </w:r>
      <w:proofErr w:type="spellEnd"/>
    </w:p>
    <w:p w14:paraId="78539CCA" w14:textId="77777777" w:rsidR="00074499" w:rsidRPr="00AA40D8" w:rsidRDefault="00074499" w:rsidP="00074499">
      <w:pPr>
        <w:spacing w:after="0" w:line="276" w:lineRule="auto"/>
        <w:contextualSpacing/>
        <w:jc w:val="both"/>
        <w:rPr>
          <w:rFonts w:ascii="Verdana" w:hAnsi="Verdana"/>
          <w:lang w:val="es-ES"/>
        </w:rPr>
      </w:pPr>
      <w:r w:rsidRPr="00AA40D8">
        <w:rPr>
          <w:rFonts w:ascii="Verdana" w:hAnsi="Verdana"/>
          <w:lang w:val="es-ES"/>
        </w:rPr>
        <w:t xml:space="preserve">LinkedIn: </w:t>
      </w:r>
      <w:r w:rsidRPr="00AA40D8">
        <w:rPr>
          <w:rStyle w:val="Hipervnculo"/>
          <w:rFonts w:ascii="Verdana" w:hAnsi="Verdana" w:cs="Arial"/>
          <w:shd w:val="clear" w:color="auto" w:fill="FFFFFF"/>
          <w:lang w:val="es-ES"/>
        </w:rPr>
        <w:t xml:space="preserve">Agencia Nacional de Contratación Pública - Colombia Compra Eficiente </w:t>
      </w:r>
      <w:r w:rsidRPr="00AA40D8">
        <w:rPr>
          <w:rFonts w:ascii="Verdana" w:hAnsi="Verdana"/>
          <w:lang w:val="es-ES"/>
        </w:rPr>
        <w:t xml:space="preserve">Instagram: </w:t>
      </w:r>
      <w:r w:rsidRPr="00AA40D8">
        <w:rPr>
          <w:rStyle w:val="Hipervnculo"/>
          <w:rFonts w:ascii="Verdana" w:hAnsi="Verdana" w:cs="Arial"/>
          <w:shd w:val="clear" w:color="auto" w:fill="FFFFFF"/>
          <w:lang w:val="es-ES"/>
        </w:rPr>
        <w:t>@colombiacompraeficiente_cce</w:t>
      </w:r>
    </w:p>
    <w:p w14:paraId="3AB2F927" w14:textId="77777777" w:rsidR="00074499" w:rsidRPr="00AA40D8" w:rsidRDefault="00074499" w:rsidP="00074499">
      <w:pPr>
        <w:widowControl w:val="0"/>
        <w:autoSpaceDE w:val="0"/>
        <w:autoSpaceDN w:val="0"/>
        <w:spacing w:after="0" w:line="276" w:lineRule="auto"/>
        <w:contextualSpacing/>
        <w:jc w:val="both"/>
        <w:rPr>
          <w:rFonts w:ascii="Verdana" w:hAnsi="Verdana" w:cs="Arial"/>
          <w:color w:val="000000" w:themeColor="text1"/>
          <w:lang w:val="es-ES"/>
        </w:rPr>
      </w:pPr>
    </w:p>
    <w:p w14:paraId="7F0D2C19" w14:textId="77777777" w:rsidR="00074499" w:rsidRPr="00AA40D8" w:rsidRDefault="00074499" w:rsidP="00074499">
      <w:pPr>
        <w:widowControl w:val="0"/>
        <w:autoSpaceDE w:val="0"/>
        <w:autoSpaceDN w:val="0"/>
        <w:spacing w:after="0" w:line="276" w:lineRule="auto"/>
        <w:contextualSpacing/>
        <w:jc w:val="both"/>
        <w:rPr>
          <w:rFonts w:ascii="Verdana" w:hAnsi="Verdana" w:cs="Arial"/>
          <w:color w:val="000000" w:themeColor="text1"/>
          <w:lang w:val="es-ES"/>
        </w:rPr>
      </w:pPr>
      <w:r w:rsidRPr="00AA40D8">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761C09B" w14:textId="77777777" w:rsidR="00074499" w:rsidRPr="00AA40D8" w:rsidRDefault="00074499" w:rsidP="00074499">
      <w:pPr>
        <w:widowControl w:val="0"/>
        <w:autoSpaceDE w:val="0"/>
        <w:autoSpaceDN w:val="0"/>
        <w:spacing w:after="0" w:line="276" w:lineRule="auto"/>
        <w:contextualSpacing/>
        <w:jc w:val="both"/>
        <w:rPr>
          <w:rFonts w:ascii="Verdana" w:hAnsi="Verdana" w:cs="Arial"/>
          <w:color w:val="000000" w:themeColor="text1"/>
          <w:lang w:val="es-ES"/>
        </w:rPr>
      </w:pPr>
    </w:p>
    <w:p w14:paraId="3C26C829" w14:textId="77777777" w:rsidR="00074499" w:rsidRPr="00AA40D8" w:rsidRDefault="00074499" w:rsidP="00074499">
      <w:pPr>
        <w:spacing w:after="0" w:line="276" w:lineRule="auto"/>
        <w:rPr>
          <w:rFonts w:ascii="Verdana" w:hAnsi="Verdana" w:cs="Arial"/>
          <w:color w:val="000000" w:themeColor="text1"/>
          <w:lang w:val="es-ES" w:eastAsia="es-CO"/>
        </w:rPr>
      </w:pPr>
      <w:r w:rsidRPr="00AA40D8">
        <w:rPr>
          <w:rFonts w:ascii="Verdana" w:eastAsia="Times New Roman" w:hAnsi="Verdana" w:cs="Arial"/>
          <w:color w:val="000000" w:themeColor="text1"/>
          <w:lang w:val="es-ES" w:eastAsia="es-CO"/>
        </w:rPr>
        <w:t>Atentamente,</w:t>
      </w:r>
      <w:r w:rsidRPr="00AA40D8">
        <w:rPr>
          <w:rFonts w:ascii="Verdana" w:hAnsi="Verdana" w:cs="Arial"/>
          <w:color w:val="000000" w:themeColor="text1"/>
          <w:lang w:val="es-ES" w:eastAsia="es-CO"/>
        </w:rPr>
        <w:t xml:space="preserve"> </w:t>
      </w:r>
    </w:p>
    <w:p w14:paraId="36D99C2B" w14:textId="77777777" w:rsidR="00074499" w:rsidRPr="00AA40D8" w:rsidRDefault="00074499" w:rsidP="00074499">
      <w:pPr>
        <w:spacing w:after="0" w:line="276" w:lineRule="auto"/>
        <w:rPr>
          <w:rFonts w:ascii="Verdana" w:hAnsi="Verdana" w:cs="Arial"/>
          <w:color w:val="000000" w:themeColor="text1"/>
          <w:lang w:val="es-ES" w:eastAsia="es-CO"/>
        </w:rPr>
      </w:pPr>
    </w:p>
    <w:p w14:paraId="6C4CEFE6" w14:textId="69CD53B4" w:rsidR="00074499" w:rsidRPr="00EE6D30" w:rsidRDefault="00EE6D30" w:rsidP="00EE6D30">
      <w:pPr>
        <w:spacing w:line="276" w:lineRule="auto"/>
        <w:jc w:val="center"/>
        <w:rPr>
          <w:rFonts w:ascii="Verdana" w:hAnsi="Verdana" w:cs="Arial"/>
          <w:color w:val="000000"/>
          <w:lang w:val="es-ES" w:eastAsia="es-CO"/>
        </w:rPr>
      </w:pPr>
      <w:r w:rsidRPr="002C3AD6">
        <w:rPr>
          <w:rFonts w:ascii="Century Gothic" w:hAnsi="Century Gothic"/>
          <w:noProof/>
        </w:rPr>
        <w:drawing>
          <wp:inline distT="0" distB="0" distL="0" distR="0" wp14:anchorId="3234618E" wp14:editId="1E8F467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74499" w:rsidRPr="00AA40D8" w14:paraId="7211A4B7" w14:textId="77777777" w:rsidTr="00C54D4B">
        <w:trPr>
          <w:trHeight w:val="315"/>
        </w:trPr>
        <w:tc>
          <w:tcPr>
            <w:tcW w:w="893" w:type="dxa"/>
            <w:vAlign w:val="center"/>
            <w:hideMark/>
          </w:tcPr>
          <w:p w14:paraId="5E9C30AE" w14:textId="77777777" w:rsidR="00074499" w:rsidRPr="00AA40D8" w:rsidRDefault="00074499" w:rsidP="00C54D4B">
            <w:pPr>
              <w:contextualSpacing/>
              <w:rPr>
                <w:rFonts w:ascii="Verdana" w:hAnsi="Verdana" w:cs="Arial"/>
                <w:sz w:val="15"/>
                <w:szCs w:val="15"/>
                <w:lang w:val="es-ES" w:eastAsia="es-ES"/>
              </w:rPr>
            </w:pPr>
            <w:r w:rsidRPr="00AA40D8">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2904733B" w14:textId="77777777" w:rsidR="00074499" w:rsidRPr="00AA40D8" w:rsidRDefault="00074499" w:rsidP="00C54D4B">
            <w:pPr>
              <w:contextualSpacing/>
              <w:rPr>
                <w:rFonts w:ascii="Verdana" w:eastAsia="Arial" w:hAnsi="Verdana" w:cs="Arial"/>
                <w:color w:val="000000" w:themeColor="text1"/>
                <w:sz w:val="15"/>
                <w:szCs w:val="15"/>
                <w:lang w:val="es-ES"/>
              </w:rPr>
            </w:pPr>
            <w:r w:rsidRPr="00AA40D8">
              <w:rPr>
                <w:rFonts w:ascii="Verdana" w:eastAsia="Arial" w:hAnsi="Verdana" w:cs="Arial"/>
                <w:color w:val="000000" w:themeColor="text1"/>
                <w:sz w:val="15"/>
                <w:szCs w:val="15"/>
                <w:lang w:val="es-ES"/>
              </w:rPr>
              <w:t>Anamaría Bonilla Prieto</w:t>
            </w:r>
          </w:p>
          <w:p w14:paraId="2AC5671E" w14:textId="77777777" w:rsidR="00074499" w:rsidRPr="00AA40D8" w:rsidRDefault="00074499" w:rsidP="00C54D4B">
            <w:pPr>
              <w:contextualSpacing/>
              <w:rPr>
                <w:rFonts w:ascii="Verdana" w:eastAsia="Arial" w:hAnsi="Verdana" w:cs="Arial"/>
                <w:sz w:val="15"/>
                <w:szCs w:val="15"/>
                <w:lang w:val="es-ES"/>
              </w:rPr>
            </w:pPr>
            <w:r w:rsidRPr="00AA40D8">
              <w:rPr>
                <w:rStyle w:val="normaltextrun"/>
                <w:rFonts w:ascii="Verdana" w:eastAsia="Arial" w:hAnsi="Verdana" w:cs="Arial"/>
                <w:color w:val="000000" w:themeColor="text1"/>
                <w:sz w:val="15"/>
                <w:szCs w:val="15"/>
                <w:lang w:val="es-ES"/>
              </w:rPr>
              <w:t xml:space="preserve">Contratista de la Subdirección </w:t>
            </w:r>
            <w:r w:rsidRPr="00AA40D8">
              <w:rPr>
                <w:rStyle w:val="normaltextrun"/>
                <w:rFonts w:ascii="Verdana" w:eastAsia="Arial" w:hAnsi="Verdana" w:cs="Arial"/>
                <w:sz w:val="15"/>
                <w:szCs w:val="15"/>
                <w:lang w:val="es-ES"/>
              </w:rPr>
              <w:t>de Gestión Contractual</w:t>
            </w:r>
          </w:p>
        </w:tc>
      </w:tr>
      <w:tr w:rsidR="00074499" w:rsidRPr="00AA40D8" w14:paraId="3C99DC3C" w14:textId="77777777" w:rsidTr="00C54D4B">
        <w:trPr>
          <w:trHeight w:val="330"/>
        </w:trPr>
        <w:tc>
          <w:tcPr>
            <w:tcW w:w="893" w:type="dxa"/>
            <w:vAlign w:val="center"/>
            <w:hideMark/>
          </w:tcPr>
          <w:p w14:paraId="29E8F0E0" w14:textId="77777777" w:rsidR="00074499" w:rsidRPr="00AA40D8" w:rsidRDefault="00074499" w:rsidP="00C54D4B">
            <w:pPr>
              <w:contextualSpacing/>
              <w:rPr>
                <w:rFonts w:ascii="Verdana" w:hAnsi="Verdana" w:cs="Arial"/>
                <w:sz w:val="15"/>
                <w:szCs w:val="15"/>
                <w:lang w:val="es-ES" w:eastAsia="es-ES"/>
              </w:rPr>
            </w:pPr>
            <w:r w:rsidRPr="00AA40D8">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6D8688" w14:textId="77777777" w:rsidR="00074499" w:rsidRPr="00AA40D8" w:rsidRDefault="00074499" w:rsidP="00C54D4B">
            <w:pPr>
              <w:spacing w:line="276" w:lineRule="auto"/>
              <w:contextualSpacing/>
              <w:textAlignment w:val="baseline"/>
              <w:rPr>
                <w:rFonts w:ascii="Verdana" w:eastAsia="Times New Roman" w:hAnsi="Verdana" w:cs="Arial"/>
                <w:sz w:val="15"/>
                <w:szCs w:val="15"/>
                <w:lang w:val="es-ES" w:eastAsia="es-ES_tradnl"/>
              </w:rPr>
            </w:pPr>
            <w:r w:rsidRPr="00AA40D8">
              <w:rPr>
                <w:rFonts w:ascii="Verdana" w:eastAsia="Times New Roman" w:hAnsi="Verdana" w:cs="Arial"/>
                <w:sz w:val="15"/>
                <w:szCs w:val="15"/>
                <w:lang w:val="es-ES" w:eastAsia="es-ES_tradnl"/>
              </w:rPr>
              <w:t>Alejandro Sarmiento Cantillo</w:t>
            </w:r>
          </w:p>
          <w:p w14:paraId="4CCF0259" w14:textId="77777777" w:rsidR="00074499" w:rsidRPr="00AA40D8" w:rsidRDefault="00074499" w:rsidP="00C54D4B">
            <w:pPr>
              <w:pStyle w:val="paragraph"/>
              <w:spacing w:before="0" w:beforeAutospacing="0" w:after="0" w:afterAutospacing="0"/>
              <w:contextualSpacing/>
              <w:textAlignment w:val="baseline"/>
              <w:rPr>
                <w:rFonts w:ascii="Verdana" w:hAnsi="Verdana" w:cs="Segoe UI"/>
                <w:sz w:val="15"/>
                <w:szCs w:val="15"/>
                <w:lang w:val="es-ES"/>
              </w:rPr>
            </w:pPr>
            <w:r w:rsidRPr="00AA40D8">
              <w:rPr>
                <w:rFonts w:ascii="Verdana" w:hAnsi="Verdana" w:cs="Arial"/>
                <w:sz w:val="15"/>
                <w:szCs w:val="15"/>
                <w:lang w:val="es-ES"/>
              </w:rPr>
              <w:t xml:space="preserve">Gestor T1 – 15 </w:t>
            </w:r>
            <w:r w:rsidRPr="00AA40D8">
              <w:rPr>
                <w:rStyle w:val="normaltextrun"/>
                <w:rFonts w:ascii="Verdana" w:hAnsi="Verdana" w:cs="Arial"/>
                <w:sz w:val="15"/>
                <w:szCs w:val="15"/>
                <w:lang w:val="es-ES"/>
              </w:rPr>
              <w:t>de la Subdirección de Gestión Contractual</w:t>
            </w:r>
            <w:r w:rsidRPr="00AA40D8">
              <w:rPr>
                <w:rStyle w:val="eop"/>
                <w:rFonts w:ascii="Verdana" w:hAnsi="Verdana" w:cs="Arial"/>
                <w:sz w:val="15"/>
                <w:szCs w:val="15"/>
                <w:lang w:val="es-ES"/>
              </w:rPr>
              <w:t> </w:t>
            </w:r>
          </w:p>
        </w:tc>
      </w:tr>
      <w:tr w:rsidR="00074499" w:rsidRPr="00AA40D8" w14:paraId="31DA95DC" w14:textId="77777777" w:rsidTr="00C54D4B">
        <w:trPr>
          <w:trHeight w:val="300"/>
        </w:trPr>
        <w:tc>
          <w:tcPr>
            <w:tcW w:w="893" w:type="dxa"/>
            <w:vAlign w:val="center"/>
          </w:tcPr>
          <w:p w14:paraId="75A2C3B5" w14:textId="77777777" w:rsidR="00074499" w:rsidRPr="00AA40D8" w:rsidRDefault="00074499" w:rsidP="00C54D4B">
            <w:pPr>
              <w:contextualSpacing/>
              <w:rPr>
                <w:rFonts w:ascii="Verdana" w:hAnsi="Verdana" w:cs="Arial"/>
                <w:sz w:val="15"/>
                <w:szCs w:val="15"/>
                <w:lang w:val="es-ES" w:eastAsia="es-ES"/>
              </w:rPr>
            </w:pPr>
            <w:r w:rsidRPr="00AA40D8">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3AF5C3" w14:textId="77777777" w:rsidR="00074499" w:rsidRPr="00AA40D8" w:rsidRDefault="00074499" w:rsidP="00C54D4B">
            <w:pPr>
              <w:contextualSpacing/>
              <w:rPr>
                <w:rFonts w:ascii="Verdana" w:eastAsia="Calibri" w:hAnsi="Verdana" w:cs="Arial"/>
                <w:sz w:val="15"/>
                <w:szCs w:val="15"/>
                <w:lang w:val="es-ES" w:eastAsia="es-ES"/>
              </w:rPr>
            </w:pPr>
            <w:r w:rsidRPr="00AA40D8">
              <w:rPr>
                <w:rFonts w:ascii="Verdana" w:eastAsia="Calibri" w:hAnsi="Verdana" w:cs="Arial"/>
                <w:sz w:val="15"/>
                <w:szCs w:val="15"/>
                <w:lang w:val="es-ES" w:eastAsia="es-ES"/>
              </w:rPr>
              <w:t>Carolina Quintero Gacharná</w:t>
            </w:r>
          </w:p>
          <w:p w14:paraId="70F2E8D1" w14:textId="77777777" w:rsidR="00074499" w:rsidRPr="00AA40D8" w:rsidRDefault="00074499" w:rsidP="00C54D4B">
            <w:pPr>
              <w:contextualSpacing/>
              <w:rPr>
                <w:rFonts w:ascii="Verdana" w:eastAsia="Calibri" w:hAnsi="Verdana" w:cs="Arial"/>
                <w:sz w:val="15"/>
                <w:szCs w:val="15"/>
                <w:lang w:val="es-ES" w:eastAsia="es-ES"/>
              </w:rPr>
            </w:pPr>
            <w:r w:rsidRPr="00AA40D8">
              <w:rPr>
                <w:rFonts w:ascii="Verdana" w:eastAsia="Calibri" w:hAnsi="Verdana" w:cs="Arial"/>
                <w:sz w:val="15"/>
                <w:szCs w:val="15"/>
                <w:lang w:val="es-ES" w:eastAsia="es-ES"/>
              </w:rPr>
              <w:t>Subdirectora de Gestión Contractual ANCP – CCE</w:t>
            </w:r>
          </w:p>
        </w:tc>
      </w:tr>
    </w:tbl>
    <w:p w14:paraId="29B3EB6B" w14:textId="77777777" w:rsidR="00074499" w:rsidRPr="00AA40D8" w:rsidRDefault="00074499" w:rsidP="00074499">
      <w:pPr>
        <w:spacing w:after="0" w:line="276" w:lineRule="auto"/>
        <w:jc w:val="center"/>
        <w:rPr>
          <w:lang w:val="es-ES"/>
        </w:rPr>
      </w:pPr>
    </w:p>
    <w:p w14:paraId="765B412F" w14:textId="77777777" w:rsidR="00074499" w:rsidRPr="00AA40D8" w:rsidRDefault="00074499" w:rsidP="00074499">
      <w:pPr>
        <w:spacing w:after="0" w:line="240" w:lineRule="auto"/>
        <w:textAlignment w:val="baseline"/>
        <w:rPr>
          <w:rFonts w:ascii="Verdana" w:eastAsia="Times New Roman" w:hAnsi="Verdana" w:cs="Segoe UI"/>
          <w:b/>
          <w:bCs/>
          <w:color w:val="46589C"/>
          <w:lang w:val="es-ES" w:eastAsia="es-CO"/>
        </w:rPr>
      </w:pPr>
    </w:p>
    <w:p w14:paraId="0FC619B8" w14:textId="77777777" w:rsidR="006D13BB" w:rsidRPr="00AA40D8" w:rsidRDefault="006D13BB" w:rsidP="00074499">
      <w:pPr>
        <w:rPr>
          <w:lang w:val="es-ES"/>
        </w:rPr>
      </w:pPr>
    </w:p>
    <w:p w14:paraId="3900974D" w14:textId="77777777" w:rsidR="003D5B0D" w:rsidRPr="00AA40D8" w:rsidRDefault="003D5B0D" w:rsidP="00C626E2">
      <w:pPr>
        <w:rPr>
          <w:lang w:val="es-ES"/>
        </w:rPr>
      </w:pPr>
    </w:p>
    <w:sectPr w:rsidR="003D5B0D" w:rsidRPr="00AA40D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A342" w14:textId="77777777" w:rsidR="00B2616F" w:rsidRDefault="00B2616F" w:rsidP="004A1847">
      <w:pPr>
        <w:spacing w:after="0" w:line="240" w:lineRule="auto"/>
      </w:pPr>
      <w:r>
        <w:separator/>
      </w:r>
    </w:p>
  </w:endnote>
  <w:endnote w:type="continuationSeparator" w:id="0">
    <w:p w14:paraId="5D7A3AAA" w14:textId="77777777" w:rsidR="00B2616F" w:rsidRDefault="00B2616F" w:rsidP="004A1847">
      <w:pPr>
        <w:spacing w:after="0" w:line="240" w:lineRule="auto"/>
      </w:pPr>
      <w:r>
        <w:continuationSeparator/>
      </w:r>
    </w:p>
  </w:endnote>
  <w:endnote w:type="continuationNotice" w:id="1">
    <w:p w14:paraId="11959FF6" w14:textId="77777777" w:rsidR="00B2616F" w:rsidRDefault="00B261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327BF" w14:textId="77777777" w:rsidR="00B2616F" w:rsidRDefault="00B2616F" w:rsidP="004A1847">
      <w:pPr>
        <w:spacing w:after="0" w:line="240" w:lineRule="auto"/>
      </w:pPr>
      <w:r>
        <w:separator/>
      </w:r>
    </w:p>
  </w:footnote>
  <w:footnote w:type="continuationSeparator" w:id="0">
    <w:p w14:paraId="3E98C3BF" w14:textId="77777777" w:rsidR="00B2616F" w:rsidRDefault="00B2616F" w:rsidP="004A1847">
      <w:pPr>
        <w:spacing w:after="0" w:line="240" w:lineRule="auto"/>
      </w:pPr>
      <w:r>
        <w:continuationSeparator/>
      </w:r>
    </w:p>
  </w:footnote>
  <w:footnote w:type="continuationNotice" w:id="1">
    <w:p w14:paraId="0E26BA2C" w14:textId="77777777" w:rsidR="00B2616F" w:rsidRDefault="00B2616F">
      <w:pPr>
        <w:spacing w:after="0" w:line="240" w:lineRule="auto"/>
      </w:pPr>
    </w:p>
  </w:footnote>
  <w:footnote w:id="2">
    <w:p w14:paraId="5C4DEE5A" w14:textId="77777777" w:rsidR="00074499" w:rsidRPr="00A306EF" w:rsidRDefault="00074499" w:rsidP="00074499">
      <w:pPr>
        <w:pStyle w:val="Textonotapie"/>
        <w:ind w:firstLine="708"/>
        <w:contextualSpacing/>
        <w:jc w:val="both"/>
        <w:rPr>
          <w:rFonts w:ascii="Verdana" w:hAnsi="Verdana" w:cs="Arial"/>
          <w:sz w:val="16"/>
          <w:szCs w:val="16"/>
        </w:rPr>
      </w:pPr>
    </w:p>
    <w:p w14:paraId="34BDE94F" w14:textId="77777777" w:rsidR="00074499" w:rsidRPr="00A306EF" w:rsidRDefault="00074499" w:rsidP="00074499">
      <w:pPr>
        <w:pStyle w:val="Textonotapie"/>
        <w:ind w:firstLine="708"/>
        <w:contextualSpacing/>
        <w:jc w:val="both"/>
        <w:rPr>
          <w:rFonts w:ascii="Verdana" w:hAnsi="Verdana" w:cs="Arial"/>
          <w:sz w:val="16"/>
          <w:szCs w:val="16"/>
        </w:rPr>
      </w:pPr>
      <w:r w:rsidRPr="00A306EF">
        <w:rPr>
          <w:rStyle w:val="Refdenotaalpie"/>
          <w:rFonts w:ascii="Verdana" w:hAnsi="Verdana"/>
          <w:sz w:val="16"/>
          <w:szCs w:val="16"/>
        </w:rPr>
        <w:footnoteRef/>
      </w:r>
      <w:r w:rsidRPr="00A306EF">
        <w:rPr>
          <w:rFonts w:ascii="Verdana" w:hAnsi="Verdana" w:cs="Arial"/>
          <w:sz w:val="16"/>
          <w:szCs w:val="16"/>
        </w:rPr>
        <w:t xml:space="preserve"> CONSEJO DE ESTADO. Sección Tercera. Sentencia del 1 de octubre de 2018. Consejera Ponente: Marta Nubia Velásquez Rico. Expediente: 57.897.</w:t>
      </w:r>
    </w:p>
  </w:footnote>
  <w:footnote w:id="3">
    <w:p w14:paraId="74AC43C7" w14:textId="77777777" w:rsidR="00074499" w:rsidRPr="00A306EF" w:rsidRDefault="00074499" w:rsidP="00074499">
      <w:pPr>
        <w:pStyle w:val="Textonotapie"/>
        <w:ind w:firstLine="709"/>
        <w:contextualSpacing/>
        <w:jc w:val="both"/>
        <w:rPr>
          <w:rFonts w:ascii="Verdana" w:hAnsi="Verdana" w:cs="Arial"/>
          <w:sz w:val="16"/>
          <w:szCs w:val="16"/>
        </w:rPr>
      </w:pPr>
      <w:r w:rsidRPr="00A306EF">
        <w:rPr>
          <w:rStyle w:val="Refdenotaalpie"/>
          <w:rFonts w:ascii="Verdana" w:hAnsi="Verdana"/>
          <w:sz w:val="16"/>
          <w:szCs w:val="16"/>
        </w:rPr>
        <w:footnoteRef/>
      </w:r>
      <w:r w:rsidRPr="00A306EF">
        <w:rPr>
          <w:rFonts w:ascii="Verdana" w:hAnsi="Verdana" w:cs="Arial"/>
          <w:sz w:val="16"/>
          <w:szCs w:val="16"/>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4">
    <w:p w14:paraId="0FB11F75" w14:textId="77777777" w:rsidR="00074499" w:rsidRPr="00A306EF" w:rsidRDefault="00074499" w:rsidP="00074499">
      <w:pPr>
        <w:pStyle w:val="Textonotapie"/>
        <w:ind w:firstLine="709"/>
        <w:contextualSpacing/>
        <w:jc w:val="both"/>
        <w:rPr>
          <w:rFonts w:ascii="Verdana" w:hAnsi="Verdana" w:cs="Arial"/>
          <w:sz w:val="16"/>
          <w:szCs w:val="16"/>
          <w:lang w:val="es-ES"/>
        </w:rPr>
      </w:pPr>
      <w:r w:rsidRPr="00A306EF">
        <w:rPr>
          <w:rStyle w:val="Refdenotaalpie"/>
          <w:rFonts w:ascii="Verdana" w:hAnsi="Verdana"/>
          <w:sz w:val="16"/>
          <w:szCs w:val="16"/>
        </w:rPr>
        <w:footnoteRef/>
      </w:r>
      <w:r w:rsidRPr="00A306EF">
        <w:rPr>
          <w:rFonts w:ascii="Verdana" w:hAnsi="Verdana" w:cs="Arial"/>
          <w:sz w:val="16"/>
          <w:szCs w:val="16"/>
        </w:rPr>
        <w:t xml:space="preserve"> </w:t>
      </w:r>
      <w:r w:rsidRPr="00A306EF">
        <w:rPr>
          <w:rFonts w:ascii="Verdana" w:hAnsi="Verdana" w:cs="Arial"/>
          <w:sz w:val="16"/>
          <w:szCs w:val="16"/>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5">
    <w:p w14:paraId="19109037" w14:textId="77777777" w:rsidR="00074499" w:rsidRPr="00A306EF" w:rsidRDefault="00074499" w:rsidP="00074499">
      <w:pPr>
        <w:pStyle w:val="Textonotapie"/>
        <w:ind w:firstLine="708"/>
        <w:contextualSpacing/>
        <w:jc w:val="both"/>
        <w:rPr>
          <w:rFonts w:ascii="Verdana" w:hAnsi="Verdana"/>
          <w:sz w:val="16"/>
          <w:szCs w:val="16"/>
        </w:rPr>
      </w:pPr>
      <w:r w:rsidRPr="00A306EF">
        <w:rPr>
          <w:rStyle w:val="Refdenotaalpie"/>
          <w:rFonts w:ascii="Verdana" w:hAnsi="Verdana"/>
          <w:sz w:val="16"/>
          <w:szCs w:val="16"/>
        </w:rPr>
        <w:footnoteRef/>
      </w:r>
      <w:r w:rsidRPr="00A306EF">
        <w:rPr>
          <w:rFonts w:ascii="Verdana" w:hAnsi="Verdana"/>
          <w:sz w:val="16"/>
          <w:szCs w:val="16"/>
        </w:rPr>
        <w:t xml:space="preserve"> CONSEJO DE ESTADO, Sala de Consulta y Servicio Civil, exp. 2278 de 2016, C.P. Germán Bula Escobar (E.)</w:t>
      </w:r>
    </w:p>
  </w:footnote>
  <w:footnote w:id="6">
    <w:p w14:paraId="2B79571D" w14:textId="77777777" w:rsidR="00074499" w:rsidRPr="00A306EF" w:rsidRDefault="00074499" w:rsidP="00074499">
      <w:pPr>
        <w:pStyle w:val="Textonotapie"/>
        <w:ind w:firstLine="709"/>
        <w:contextualSpacing/>
        <w:jc w:val="both"/>
        <w:rPr>
          <w:rFonts w:ascii="Verdana" w:hAnsi="Verdana" w:cs="Arial"/>
          <w:sz w:val="16"/>
          <w:szCs w:val="16"/>
        </w:rPr>
      </w:pPr>
      <w:r w:rsidRPr="00A306EF">
        <w:rPr>
          <w:rStyle w:val="Refdenotaalpie"/>
          <w:rFonts w:ascii="Verdana" w:hAnsi="Verdana"/>
          <w:sz w:val="16"/>
          <w:szCs w:val="16"/>
        </w:rPr>
        <w:footnoteRef/>
      </w:r>
      <w:r w:rsidRPr="00A306EF">
        <w:rPr>
          <w:rFonts w:ascii="Verdana" w:hAnsi="Verdana"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7">
    <w:p w14:paraId="690FB1CC" w14:textId="77777777" w:rsidR="00074499" w:rsidRPr="00A306EF" w:rsidRDefault="00074499" w:rsidP="00074499">
      <w:pPr>
        <w:pStyle w:val="Textonotapie"/>
        <w:ind w:firstLine="708"/>
        <w:contextualSpacing/>
        <w:jc w:val="both"/>
        <w:rPr>
          <w:rFonts w:ascii="Verdana" w:hAnsi="Verdana"/>
          <w:sz w:val="16"/>
          <w:szCs w:val="16"/>
        </w:rPr>
      </w:pPr>
      <w:r w:rsidRPr="00A306EF">
        <w:rPr>
          <w:rStyle w:val="Refdenotaalpie"/>
          <w:rFonts w:ascii="Verdana" w:hAnsi="Verdana"/>
          <w:sz w:val="16"/>
          <w:szCs w:val="16"/>
        </w:rPr>
        <w:footnoteRef/>
      </w:r>
      <w:r w:rsidRPr="00A306EF">
        <w:rPr>
          <w:rFonts w:ascii="Verdana" w:hAnsi="Verdana"/>
          <w:sz w:val="16"/>
          <w:szCs w:val="16"/>
        </w:rPr>
        <w:t xml:space="preserve"> </w:t>
      </w:r>
      <w:bookmarkStart w:id="1" w:name="13"/>
      <w:bookmarkStart w:id="2" w:name="40"/>
      <w:r w:rsidRPr="00A306EF">
        <w:rPr>
          <w:rFonts w:ascii="Verdana" w:hAnsi="Verdana"/>
          <w:sz w:val="16"/>
          <w:szCs w:val="16"/>
        </w:rPr>
        <w:t>El artículo</w:t>
      </w:r>
      <w:r w:rsidRPr="00A306EF">
        <w:rPr>
          <w:rFonts w:ascii="Verdana" w:hAnsi="Verdana"/>
          <w:b/>
          <w:sz w:val="16"/>
          <w:szCs w:val="16"/>
        </w:rPr>
        <w:t xml:space="preserve"> </w:t>
      </w:r>
      <w:r w:rsidRPr="00A306EF">
        <w:rPr>
          <w:rFonts w:ascii="Verdana" w:hAnsi="Verdana"/>
          <w:sz w:val="16"/>
          <w:szCs w:val="16"/>
        </w:rPr>
        <w:t xml:space="preserve">13 dispone: </w:t>
      </w:r>
      <w:bookmarkEnd w:id="1"/>
      <w:r w:rsidRPr="00A306EF">
        <w:rPr>
          <w:rFonts w:ascii="Verdana" w:hAnsi="Verdana"/>
          <w:sz w:val="16"/>
          <w:szCs w:val="16"/>
        </w:rPr>
        <w:t>“Los contratos que celebren las entidades a que se refiere el artículo </w:t>
      </w:r>
      <w:r w:rsidRPr="00EA7F27">
        <w:rPr>
          <w:rFonts w:ascii="Verdana" w:hAnsi="Verdana"/>
          <w:sz w:val="16"/>
          <w:szCs w:val="16"/>
        </w:rPr>
        <w:t>2</w:t>
      </w:r>
      <w:r w:rsidRPr="00A306EF">
        <w:rPr>
          <w:rFonts w:ascii="Verdana" w:hAnsi="Verdana"/>
          <w:sz w:val="16"/>
          <w:szCs w:val="16"/>
        </w:rPr>
        <w:t>o. del presente estatuto se regirán por las disposiciones comerciales y civiles pertinentes, salvo en las materias particularmente reguladas en esta ley.</w:t>
      </w:r>
    </w:p>
    <w:p w14:paraId="1A24DD24" w14:textId="77777777" w:rsidR="00074499" w:rsidRPr="00783DC7" w:rsidRDefault="00074499" w:rsidP="00074499">
      <w:pPr>
        <w:pStyle w:val="Textonotapie"/>
        <w:ind w:firstLine="708"/>
        <w:contextualSpacing/>
        <w:jc w:val="both"/>
        <w:rPr>
          <w:rFonts w:ascii="Verdana" w:hAnsi="Verdana"/>
          <w:sz w:val="16"/>
          <w:szCs w:val="16"/>
        </w:rPr>
      </w:pPr>
      <w:r w:rsidRPr="00783DC7">
        <w:rPr>
          <w:rFonts w:ascii="Verdana" w:hAnsi="Verdana"/>
          <w:sz w:val="16"/>
          <w:szCs w:val="16"/>
        </w:rPr>
        <w:t>Los contratos celebrados en el exterior se podrán regir en su ejecución por las reglas del país en donde se hayan suscrito, a menos que deban cumplirse en Colombia</w:t>
      </w:r>
      <w:r w:rsidRPr="00A306EF">
        <w:rPr>
          <w:rFonts w:ascii="Verdana" w:hAnsi="Verdana"/>
          <w:sz w:val="16"/>
          <w:szCs w:val="16"/>
        </w:rPr>
        <w:t>”</w:t>
      </w:r>
      <w:r w:rsidRPr="00783DC7">
        <w:rPr>
          <w:rFonts w:ascii="Verdana" w:hAnsi="Verdana"/>
          <w:sz w:val="16"/>
          <w:szCs w:val="16"/>
        </w:rPr>
        <w:t>.</w:t>
      </w:r>
    </w:p>
    <w:p w14:paraId="1344757D" w14:textId="77777777" w:rsidR="00074499" w:rsidRPr="00A306EF" w:rsidRDefault="00074499" w:rsidP="00074499">
      <w:pPr>
        <w:pStyle w:val="Textonotapie"/>
        <w:ind w:firstLine="708"/>
        <w:contextualSpacing/>
        <w:jc w:val="both"/>
        <w:rPr>
          <w:rFonts w:ascii="Verdana" w:hAnsi="Verdana"/>
          <w:sz w:val="16"/>
          <w:szCs w:val="16"/>
        </w:rPr>
      </w:pPr>
      <w:r w:rsidRPr="00A306EF">
        <w:rPr>
          <w:rFonts w:ascii="Verdana" w:hAnsi="Verdana"/>
          <w:sz w:val="16"/>
          <w:szCs w:val="16"/>
        </w:rPr>
        <w:t>Por su parte, el</w:t>
      </w:r>
      <w:bookmarkEnd w:id="2"/>
      <w:r w:rsidRPr="00A306EF">
        <w:rPr>
          <w:rFonts w:ascii="Verdana" w:hAnsi="Verdana"/>
          <w:sz w:val="16"/>
          <w:szCs w:val="16"/>
        </w:rPr>
        <w:t xml:space="preserve"> artículo 40 señala que:</w:t>
      </w:r>
      <w:r w:rsidRPr="00A306EF">
        <w:rPr>
          <w:rFonts w:ascii="Verdana" w:hAnsi="Verdana"/>
          <w:b/>
          <w:sz w:val="16"/>
          <w:szCs w:val="16"/>
        </w:rPr>
        <w:t xml:space="preserve"> “</w:t>
      </w:r>
      <w:r w:rsidRPr="00A306EF">
        <w:rPr>
          <w:rFonts w:ascii="Verdana" w:hAnsi="Verdana"/>
          <w:sz w:val="16"/>
          <w:szCs w:val="16"/>
        </w:rPr>
        <w:t>Las estipulaciones de los contratos serán las que de acuerdo con las normas civiles, comerciales y las previstas en esta ley, correspondan a su esencia y naturaleza.</w:t>
      </w:r>
    </w:p>
    <w:p w14:paraId="445BF3DB" w14:textId="77777777" w:rsidR="00074499" w:rsidRPr="00783DC7" w:rsidRDefault="00074499" w:rsidP="00074499">
      <w:pPr>
        <w:pStyle w:val="Textonotapie"/>
        <w:contextualSpacing/>
        <w:jc w:val="both"/>
        <w:rPr>
          <w:rFonts w:ascii="Verdana" w:hAnsi="Verdana"/>
          <w:sz w:val="16"/>
          <w:szCs w:val="16"/>
        </w:rPr>
      </w:pPr>
      <w:r w:rsidRPr="00783DC7">
        <w:rPr>
          <w:rFonts w:ascii="Verdana" w:hAnsi="Verdana"/>
          <w:sz w:val="16"/>
          <w:szCs w:val="16"/>
        </w:rPr>
        <w:t>Las entidades podrán celebrar los contratos y acuerdos que permitan la autonomía de la voluntad y requieran el cumplimiento de los fines estatales.</w:t>
      </w:r>
    </w:p>
    <w:p w14:paraId="16A70249" w14:textId="77777777" w:rsidR="00074499" w:rsidRPr="00783DC7" w:rsidRDefault="00074499" w:rsidP="00074499">
      <w:pPr>
        <w:pStyle w:val="Textonotapie"/>
        <w:ind w:firstLine="708"/>
        <w:contextualSpacing/>
        <w:jc w:val="both"/>
        <w:rPr>
          <w:rFonts w:ascii="Verdana" w:hAnsi="Verdana"/>
          <w:sz w:val="16"/>
          <w:szCs w:val="16"/>
        </w:rPr>
      </w:pPr>
      <w:r w:rsidRPr="00783DC7">
        <w:rPr>
          <w:rFonts w:ascii="Verdana" w:hAnsi="Verdana"/>
          <w:sz w:val="16"/>
          <w:szCs w:val="16"/>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200F6950" w14:textId="77777777" w:rsidR="00074499" w:rsidRPr="00A306EF" w:rsidRDefault="00074499" w:rsidP="00074499">
      <w:pPr>
        <w:pStyle w:val="Textonotapie"/>
        <w:contextualSpacing/>
        <w:jc w:val="both"/>
        <w:rPr>
          <w:rFonts w:ascii="Verdana" w:hAnsi="Verdana"/>
          <w:sz w:val="16"/>
          <w:szCs w:val="16"/>
        </w:rPr>
      </w:pPr>
      <w:r w:rsidRPr="00783DC7">
        <w:rPr>
          <w:rFonts w:ascii="Verdana" w:hAnsi="Verdana"/>
          <w:sz w:val="16"/>
          <w:szCs w:val="16"/>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Pr="00A306EF">
        <w:rPr>
          <w:rFonts w:ascii="Verdana" w:hAnsi="Verdana"/>
          <w:sz w:val="16"/>
          <w:szCs w:val="16"/>
        </w:rPr>
        <w:t xml:space="preserve"> […]”.</w:t>
      </w:r>
    </w:p>
  </w:footnote>
  <w:footnote w:id="8">
    <w:p w14:paraId="0A47DDC9" w14:textId="77777777" w:rsidR="00074499" w:rsidRPr="00A306EF" w:rsidRDefault="00074499" w:rsidP="00074499">
      <w:pPr>
        <w:pStyle w:val="Textonotapie"/>
        <w:ind w:firstLine="708"/>
        <w:contextualSpacing/>
        <w:jc w:val="both"/>
        <w:rPr>
          <w:rFonts w:ascii="Verdana" w:hAnsi="Verdana"/>
          <w:sz w:val="16"/>
          <w:szCs w:val="16"/>
        </w:rPr>
      </w:pPr>
      <w:r w:rsidRPr="00A306EF">
        <w:rPr>
          <w:rStyle w:val="Refdenotaalpie"/>
          <w:rFonts w:ascii="Verdana" w:hAnsi="Verdana"/>
          <w:sz w:val="16"/>
          <w:szCs w:val="16"/>
        </w:rPr>
        <w:footnoteRef/>
      </w:r>
      <w:r w:rsidRPr="00A306EF">
        <w:rPr>
          <w:rFonts w:ascii="Verdana" w:hAnsi="Verdana"/>
          <w:sz w:val="16"/>
          <w:szCs w:val="16"/>
        </w:rPr>
        <w:t xml:space="preserve"> CONSEJO DE ESTADO, Sala de lo Contencioso Administrativo, Sección Tercera, Sentencia del 29 de mayo de 2003, radicado: 14.945.</w:t>
      </w:r>
    </w:p>
  </w:footnote>
  <w:footnote w:id="9">
    <w:p w14:paraId="02141295" w14:textId="77777777" w:rsidR="00074499" w:rsidRPr="00A306EF" w:rsidRDefault="00074499" w:rsidP="00074499">
      <w:pPr>
        <w:pStyle w:val="Textonotapie"/>
        <w:ind w:firstLine="708"/>
        <w:contextualSpacing/>
        <w:jc w:val="both"/>
        <w:rPr>
          <w:rFonts w:ascii="Verdana" w:hAnsi="Verdana"/>
          <w:sz w:val="16"/>
          <w:szCs w:val="16"/>
          <w:lang w:val="es-ES"/>
        </w:rPr>
      </w:pPr>
      <w:r w:rsidRPr="00A306EF">
        <w:rPr>
          <w:rStyle w:val="Refdenotaalpie"/>
          <w:rFonts w:ascii="Verdana" w:hAnsi="Verdana"/>
          <w:sz w:val="16"/>
          <w:szCs w:val="16"/>
        </w:rPr>
        <w:footnoteRef/>
      </w:r>
      <w:r w:rsidRPr="00A306EF">
        <w:rPr>
          <w:rFonts w:ascii="Verdana" w:hAnsi="Verdana"/>
          <w:sz w:val="16"/>
          <w:szCs w:val="16"/>
        </w:rPr>
        <w:t xml:space="preserve"> Constitución Nacional. </w:t>
      </w:r>
      <w:r w:rsidRPr="00A306EF">
        <w:rPr>
          <w:rFonts w:ascii="Verdana" w:hAnsi="Verdana"/>
          <w:sz w:val="16"/>
          <w:szCs w:val="16"/>
          <w:lang w:val="es-CO"/>
        </w:rPr>
        <w:t>Artículo</w:t>
      </w:r>
      <w:bookmarkStart w:id="3" w:name="48"/>
      <w:bookmarkEnd w:id="3"/>
      <w:r w:rsidRPr="00A306EF">
        <w:rPr>
          <w:rFonts w:ascii="Verdana" w:hAnsi="Verdana"/>
          <w:sz w:val="16"/>
          <w:szCs w:val="16"/>
          <w:lang w:val="es-CO"/>
        </w:rPr>
        <w:t> 48.</w:t>
      </w:r>
      <w:r w:rsidRPr="00A306EF">
        <w:rPr>
          <w:rFonts w:ascii="Verdana" w:hAnsi="Verdana"/>
          <w:b/>
          <w:bCs/>
          <w:sz w:val="16"/>
          <w:szCs w:val="16"/>
          <w:lang w:val="es-CO"/>
        </w:rPr>
        <w:t> </w:t>
      </w:r>
      <w:r w:rsidRPr="00A306EF">
        <w:rPr>
          <w:rFonts w:ascii="Verdana" w:hAnsi="Verdana"/>
          <w:sz w:val="16"/>
          <w:szCs w:val="16"/>
          <w:lang w:val="es-CO"/>
        </w:rPr>
        <w:t>La Seguridad Social es un servicio público de carácter obligatorio que se prestará bajo la dirección, coordinación y control del Estado, en sujeción a los principios de eficiencia, universalidad y solidaridad, en los términos que establezca la Ley. Se garantiza a todos los habitantes el derecho irrenunciable a la Seguridad Social […]</w:t>
      </w:r>
    </w:p>
  </w:footnote>
  <w:footnote w:id="10">
    <w:p w14:paraId="57199832" w14:textId="77777777" w:rsidR="00074499" w:rsidRPr="00A306EF" w:rsidRDefault="00074499" w:rsidP="00074499">
      <w:pPr>
        <w:pStyle w:val="Textonotapie"/>
        <w:ind w:firstLine="708"/>
        <w:contextualSpacing/>
        <w:jc w:val="both"/>
        <w:rPr>
          <w:rFonts w:ascii="Verdana" w:hAnsi="Verdana"/>
          <w:sz w:val="16"/>
          <w:szCs w:val="16"/>
        </w:rPr>
      </w:pPr>
      <w:r w:rsidRPr="00A306EF">
        <w:rPr>
          <w:rStyle w:val="Refdenotaalpie"/>
          <w:rFonts w:ascii="Verdana" w:hAnsi="Verdana"/>
          <w:sz w:val="16"/>
          <w:szCs w:val="16"/>
        </w:rPr>
        <w:footnoteRef/>
      </w:r>
      <w:r w:rsidRPr="00A306EF">
        <w:rPr>
          <w:rFonts w:ascii="Verdana" w:hAnsi="Verdana"/>
          <w:sz w:val="16"/>
          <w:szCs w:val="16"/>
        </w:rPr>
        <w:t xml:space="preserve"> Ley 100 de 1993. Artículo</w:t>
      </w:r>
      <w:bookmarkStart w:id="4" w:name="1"/>
      <w:bookmarkEnd w:id="4"/>
      <w:r w:rsidRPr="00A306EF">
        <w:rPr>
          <w:rFonts w:ascii="Verdana" w:hAnsi="Verdana"/>
          <w:sz w:val="16"/>
          <w:szCs w:val="16"/>
        </w:rPr>
        <w:t> 1</w:t>
      </w:r>
      <w:proofErr w:type="gramStart"/>
      <w:r w:rsidRPr="00A306EF">
        <w:rPr>
          <w:rFonts w:ascii="Verdana" w:hAnsi="Verdana"/>
          <w:sz w:val="16"/>
          <w:szCs w:val="16"/>
        </w:rPr>
        <w:t>:”El</w:t>
      </w:r>
      <w:proofErr w:type="gramEnd"/>
      <w:r w:rsidRPr="00A306EF">
        <w:rPr>
          <w:rFonts w:ascii="Verdana" w:hAnsi="Verdana"/>
          <w:sz w:val="16"/>
          <w:szCs w:val="16"/>
        </w:rPr>
        <w:t xml:space="preserve"> Sistema de Seguridad Social Integral tiene por objeto garantizar los derechos irrenunciables de la persona y la comunidad para obtener la calidad de vida acorde con la dignidad humana, mediante la protección de las contingencias que la afecten.</w:t>
      </w:r>
    </w:p>
    <w:p w14:paraId="0BF0AD9B" w14:textId="77777777" w:rsidR="00074499" w:rsidRPr="00A77EA5" w:rsidRDefault="00074499" w:rsidP="00074499">
      <w:pPr>
        <w:pStyle w:val="Textonotapie"/>
        <w:contextualSpacing/>
        <w:jc w:val="both"/>
        <w:rPr>
          <w:rFonts w:ascii="Verdana" w:hAnsi="Verdana"/>
          <w:sz w:val="16"/>
          <w:szCs w:val="16"/>
        </w:rPr>
      </w:pPr>
      <w:r w:rsidRPr="00A77EA5">
        <w:rPr>
          <w:rFonts w:ascii="Verdana" w:hAnsi="Verdana"/>
          <w:sz w:val="16"/>
          <w:szCs w:val="16"/>
        </w:rPr>
        <w:t>El Sistema comprende las obligaciones del Estado y la sociedad, las instituciones y los recursos destinados a garantizar la cobertura de las prestaciones de carácter económico, de salud y servicios complementarios, materia de esta</w:t>
      </w:r>
      <w:bookmarkStart w:id="5" w:name="LPHit12"/>
      <w:bookmarkEnd w:id="5"/>
      <w:r w:rsidRPr="00A77EA5">
        <w:rPr>
          <w:rFonts w:ascii="Verdana" w:hAnsi="Verdana"/>
          <w:sz w:val="16"/>
          <w:szCs w:val="16"/>
        </w:rPr>
        <w:t> Ley, u otras que se incorporen normativamente en el futuro</w:t>
      </w:r>
      <w:r w:rsidRPr="00A306EF">
        <w:rPr>
          <w:rFonts w:ascii="Verdana" w:hAnsi="Verdana"/>
          <w:sz w:val="16"/>
          <w:szCs w:val="16"/>
        </w:rPr>
        <w:t>”.</w:t>
      </w:r>
    </w:p>
    <w:p w14:paraId="2B40CBF5" w14:textId="77777777" w:rsidR="00074499" w:rsidRPr="00A306EF" w:rsidRDefault="00074499" w:rsidP="00074499">
      <w:pPr>
        <w:pStyle w:val="Textonotapie"/>
        <w:ind w:firstLine="708"/>
        <w:contextualSpacing/>
        <w:jc w:val="both"/>
        <w:rPr>
          <w:rFonts w:ascii="Verdana" w:hAnsi="Verdana"/>
          <w:sz w:val="16"/>
          <w:szCs w:val="16"/>
        </w:rPr>
      </w:pPr>
      <w:bookmarkStart w:id="6" w:name="ver_110159"/>
      <w:bookmarkEnd w:id="6"/>
      <w:r w:rsidRPr="00A306EF">
        <w:rPr>
          <w:rFonts w:ascii="Verdana" w:hAnsi="Verdana"/>
          <w:sz w:val="16"/>
          <w:szCs w:val="16"/>
        </w:rPr>
        <w:t>Artículo</w:t>
      </w:r>
      <w:bookmarkStart w:id="7" w:name="2"/>
      <w:bookmarkEnd w:id="7"/>
      <w:r w:rsidRPr="00A306EF">
        <w:rPr>
          <w:rFonts w:ascii="Verdana" w:hAnsi="Verdana"/>
          <w:sz w:val="16"/>
          <w:szCs w:val="16"/>
        </w:rPr>
        <w:t> </w:t>
      </w:r>
      <w:r w:rsidRPr="00A77EA5">
        <w:rPr>
          <w:rFonts w:ascii="Verdana" w:hAnsi="Verdana"/>
          <w:sz w:val="16"/>
          <w:szCs w:val="16"/>
        </w:rPr>
        <w:t>2. Principios</w:t>
      </w:r>
      <w:r w:rsidRPr="00A306EF">
        <w:rPr>
          <w:rFonts w:ascii="Verdana" w:hAnsi="Verdana"/>
          <w:sz w:val="16"/>
          <w:szCs w:val="16"/>
        </w:rPr>
        <w:t>:</w:t>
      </w:r>
      <w:r w:rsidRPr="00A77EA5">
        <w:rPr>
          <w:rFonts w:ascii="Verdana" w:hAnsi="Verdana"/>
          <w:sz w:val="16"/>
          <w:szCs w:val="16"/>
        </w:rPr>
        <w:t xml:space="preserve"> </w:t>
      </w:r>
      <w:r w:rsidRPr="00A306EF">
        <w:rPr>
          <w:rFonts w:ascii="Verdana" w:hAnsi="Verdana"/>
          <w:sz w:val="16"/>
          <w:szCs w:val="16"/>
        </w:rPr>
        <w:t>“</w:t>
      </w:r>
      <w:r w:rsidRPr="00A77EA5">
        <w:rPr>
          <w:rFonts w:ascii="Verdana" w:hAnsi="Verdana"/>
          <w:sz w:val="16"/>
          <w:szCs w:val="16"/>
        </w:rPr>
        <w:t>El servicio público esencial de seguridad social se prestará con sujeción a los principios de eficiencia, universalidad, solidaridad, integralidad, unidad y participación</w:t>
      </w:r>
      <w:r w:rsidRPr="00A306EF">
        <w:rPr>
          <w:rFonts w:ascii="Verdana" w:hAnsi="Verdana"/>
          <w:sz w:val="16"/>
          <w:szCs w:val="16"/>
        </w:rPr>
        <w:t xml:space="preserve"> […]”</w:t>
      </w:r>
    </w:p>
  </w:footnote>
  <w:footnote w:id="11">
    <w:p w14:paraId="6FDD35C4" w14:textId="77777777" w:rsidR="00074499" w:rsidRPr="00A306EF" w:rsidRDefault="00074499" w:rsidP="00074499">
      <w:pPr>
        <w:spacing w:after="0" w:line="240" w:lineRule="auto"/>
        <w:ind w:firstLine="708"/>
        <w:contextualSpacing/>
        <w:jc w:val="both"/>
        <w:rPr>
          <w:rFonts w:ascii="Verdana" w:eastAsia="Arial" w:hAnsi="Verdana" w:cs="Arial"/>
          <w:sz w:val="16"/>
          <w:szCs w:val="16"/>
        </w:rPr>
      </w:pPr>
      <w:r w:rsidRPr="00A306EF">
        <w:rPr>
          <w:rStyle w:val="Refdenotaalpie"/>
          <w:rFonts w:ascii="Verdana" w:hAnsi="Verdana"/>
          <w:sz w:val="16"/>
          <w:szCs w:val="16"/>
        </w:rPr>
        <w:footnoteRef/>
      </w:r>
      <w:r w:rsidRPr="00A306EF">
        <w:rPr>
          <w:rFonts w:ascii="Verdana" w:hAnsi="Verdana"/>
          <w:sz w:val="16"/>
          <w:szCs w:val="16"/>
        </w:rPr>
        <w:t xml:space="preserve"> </w:t>
      </w:r>
      <w:r w:rsidRPr="00A306EF">
        <w:rPr>
          <w:rFonts w:ascii="Verdana" w:hAnsi="Verdana"/>
          <w:sz w:val="16"/>
          <w:szCs w:val="16"/>
          <w:lang w:val="es-ES"/>
        </w:rPr>
        <w:t xml:space="preserve">Así lo dispone el artículo </w:t>
      </w:r>
      <w:r w:rsidRPr="00A306EF">
        <w:rPr>
          <w:rFonts w:ascii="Verdana" w:eastAsia="Arial" w:hAnsi="Verdana" w:cs="Arial"/>
          <w:sz w:val="16"/>
          <w:szCs w:val="16"/>
        </w:rPr>
        <w:t xml:space="preserve">157 de la </w:t>
      </w:r>
      <w:r>
        <w:rPr>
          <w:rFonts w:ascii="Verdana" w:eastAsia="Arial" w:hAnsi="Verdana" w:cs="Arial"/>
          <w:sz w:val="16"/>
          <w:szCs w:val="16"/>
        </w:rPr>
        <w:t>L</w:t>
      </w:r>
      <w:r w:rsidRPr="00A306EF">
        <w:rPr>
          <w:rFonts w:ascii="Verdana" w:eastAsia="Arial" w:hAnsi="Verdana" w:cs="Arial"/>
          <w:sz w:val="16"/>
          <w:szCs w:val="16"/>
        </w:rPr>
        <w:t>ey 100 de 1993:</w:t>
      </w:r>
      <w:r w:rsidRPr="00A306EF">
        <w:rPr>
          <w:rFonts w:ascii="Verdana" w:eastAsia="Arial" w:hAnsi="Verdana" w:cs="Arial"/>
          <w:b/>
          <w:sz w:val="16"/>
          <w:szCs w:val="16"/>
        </w:rPr>
        <w:t xml:space="preserve"> “</w:t>
      </w:r>
      <w:r w:rsidRPr="00A306EF">
        <w:rPr>
          <w:rFonts w:ascii="Verdana" w:eastAsia="Arial" w:hAnsi="Verdana" w:cs="Arial"/>
          <w:sz w:val="16"/>
          <w:szCs w:val="16"/>
        </w:rPr>
        <w:t>Tipos de participantes en el Sistema General de Seguridad Social en Salud. A partir de la sanción de la presente Ley, todo colombiano participará en el servicio esencial de salud que permite el Sistema General de Seguridad Social en Salud. Unos lo harán en su condición de afiliados al régimen contributivo o subsidiado y otros lo harán en forma temporal como participantes vinculados. </w:t>
      </w:r>
    </w:p>
    <w:p w14:paraId="14649026" w14:textId="77777777" w:rsidR="00074499" w:rsidRPr="00A306EF" w:rsidRDefault="00074499" w:rsidP="00074499">
      <w:pPr>
        <w:spacing w:after="0" w:line="240" w:lineRule="auto"/>
        <w:ind w:firstLine="708"/>
        <w:contextualSpacing/>
        <w:jc w:val="both"/>
        <w:rPr>
          <w:rFonts w:ascii="Verdana" w:eastAsia="Arial" w:hAnsi="Verdana" w:cs="Arial"/>
          <w:sz w:val="16"/>
          <w:szCs w:val="16"/>
        </w:rPr>
      </w:pPr>
      <w:r w:rsidRPr="00A306EF">
        <w:rPr>
          <w:rFonts w:ascii="Verdana" w:eastAsia="Arial" w:hAnsi="Verdana" w:cs="Arial"/>
          <w:sz w:val="16"/>
          <w:szCs w:val="16"/>
        </w:rPr>
        <w:t>A. Afiliados al Sistema de Seguridad Social. </w:t>
      </w:r>
    </w:p>
    <w:p w14:paraId="70FAC3AA" w14:textId="77777777" w:rsidR="00074499" w:rsidRPr="00A306EF" w:rsidRDefault="00074499" w:rsidP="00074499">
      <w:pPr>
        <w:spacing w:after="0" w:line="240" w:lineRule="auto"/>
        <w:contextualSpacing/>
        <w:jc w:val="both"/>
        <w:rPr>
          <w:rFonts w:ascii="Verdana" w:eastAsia="Arial" w:hAnsi="Verdana" w:cs="Arial"/>
          <w:sz w:val="16"/>
          <w:szCs w:val="16"/>
        </w:rPr>
      </w:pPr>
      <w:r w:rsidRPr="00A306EF">
        <w:rPr>
          <w:rFonts w:ascii="Verdana" w:eastAsia="Arial" w:hAnsi="Verdana" w:cs="Arial"/>
          <w:sz w:val="16"/>
          <w:szCs w:val="16"/>
        </w:rPr>
        <w:t>Existirán dos tipos de afiliados al Sistema General de Seguridad Social en salud: </w:t>
      </w:r>
    </w:p>
    <w:p w14:paraId="5F3143FF" w14:textId="77777777" w:rsidR="00074499" w:rsidRPr="00A306EF" w:rsidRDefault="00074499" w:rsidP="00074499">
      <w:pPr>
        <w:spacing w:after="0" w:line="240" w:lineRule="auto"/>
        <w:ind w:firstLine="708"/>
        <w:contextualSpacing/>
        <w:jc w:val="both"/>
        <w:rPr>
          <w:rFonts w:ascii="Verdana" w:eastAsia="Arial" w:hAnsi="Verdana" w:cs="Arial"/>
          <w:sz w:val="16"/>
          <w:szCs w:val="16"/>
        </w:rPr>
      </w:pPr>
      <w:r w:rsidRPr="00A306EF">
        <w:rPr>
          <w:rFonts w:ascii="Verdana" w:eastAsia="Arial" w:hAnsi="Verdana" w:cs="Arial"/>
          <w:sz w:val="16"/>
          <w:szCs w:val="16"/>
        </w:rPr>
        <w:t>1. Los afiliados al Sistema mediante el régimen contributivo son las personas vinculadas a través de contrato de trabajo, los servidores públicos, los pensionados y jubilados y los trabajadores independientes con capacidad de pago. Estas personas deberán afiliarse al Sistema mediante las normas del régimen contributivo de que trata el Capitulo I del Título III de la presente Ley</w:t>
      </w:r>
      <w:r>
        <w:rPr>
          <w:rFonts w:ascii="Verdana" w:eastAsia="Arial" w:hAnsi="Verdana" w:cs="Arial"/>
          <w:sz w:val="16"/>
          <w:szCs w:val="16"/>
        </w:rPr>
        <w:t xml:space="preserve"> […]”. </w:t>
      </w:r>
      <w:r w:rsidRPr="00A306EF">
        <w:rPr>
          <w:rFonts w:ascii="Verdana" w:eastAsia="Arial" w:hAnsi="Verdana" w:cs="Arial"/>
          <w:sz w:val="16"/>
          <w:szCs w:val="16"/>
        </w:rPr>
        <w:t> </w:t>
      </w:r>
    </w:p>
  </w:footnote>
  <w:footnote w:id="12">
    <w:p w14:paraId="000A7591" w14:textId="77777777" w:rsidR="00074499" w:rsidRPr="00D06C8D" w:rsidRDefault="00074499" w:rsidP="00074499">
      <w:pPr>
        <w:pStyle w:val="Textonotapie"/>
        <w:ind w:firstLine="708"/>
        <w:rPr>
          <w:lang w:val="es-ES"/>
        </w:rPr>
      </w:pPr>
      <w:r>
        <w:rPr>
          <w:rStyle w:val="Refdenotaalpie"/>
        </w:rPr>
        <w:footnoteRef/>
      </w:r>
      <w:r>
        <w:t xml:space="preserve"> Deinición establecida por el </w:t>
      </w:r>
      <w:r w:rsidRPr="00234D75">
        <w:rPr>
          <w:lang w:val="es-CO"/>
        </w:rPr>
        <w:t>artículo 2.2.3.1.3 del Decreto 780 de 2016, sustituido por el Decreto 2126 de 2023</w:t>
      </w:r>
      <w:r>
        <w:rPr>
          <w:lang w:val="es-CO"/>
        </w:rPr>
        <w:t>.</w:t>
      </w:r>
    </w:p>
  </w:footnote>
  <w:footnote w:id="13">
    <w:p w14:paraId="2C4CECAE" w14:textId="77777777" w:rsidR="00074499" w:rsidRPr="00E70CD6" w:rsidRDefault="00074499" w:rsidP="00074499">
      <w:pPr>
        <w:pStyle w:val="Textonotapie"/>
        <w:ind w:firstLine="708"/>
        <w:jc w:val="both"/>
        <w:rPr>
          <w:b/>
        </w:rPr>
      </w:pPr>
      <w:r>
        <w:rPr>
          <w:rStyle w:val="Refdenotaalpie"/>
        </w:rPr>
        <w:footnoteRef/>
      </w:r>
      <w:r>
        <w:t xml:space="preserve"> </w:t>
      </w:r>
      <w:r>
        <w:rPr>
          <w:lang w:val="es-ES"/>
        </w:rPr>
        <w:t xml:space="preserve">Corte Constitucional. Sentencia </w:t>
      </w:r>
      <w:r w:rsidRPr="00E70CD6">
        <w:rPr>
          <w:lang w:val="es-ES"/>
        </w:rPr>
        <w:t>T-333</w:t>
      </w:r>
      <w:r>
        <w:rPr>
          <w:b/>
        </w:rPr>
        <w:t xml:space="preserve"> </w:t>
      </w:r>
      <w:r>
        <w:rPr>
          <w:lang w:val="es-ES"/>
        </w:rPr>
        <w:t xml:space="preserve">del </w:t>
      </w:r>
      <w:r w:rsidRPr="00E70CD6">
        <w:rPr>
          <w:lang w:val="es-CO"/>
        </w:rPr>
        <w:t>(11) de junio de dos mil trece (2013)</w:t>
      </w:r>
      <w:r>
        <w:rPr>
          <w:lang w:val="es-CO"/>
        </w:rPr>
        <w:t xml:space="preserve">. </w:t>
      </w:r>
      <w:r w:rsidRPr="00E70CD6">
        <w:rPr>
          <w:lang w:val="es-ES"/>
        </w:rPr>
        <w:t>M</w:t>
      </w:r>
      <w:r>
        <w:rPr>
          <w:lang w:val="es-ES"/>
        </w:rPr>
        <w:t>.P.</w:t>
      </w:r>
      <w:r>
        <w:rPr>
          <w:b/>
        </w:rPr>
        <w:t xml:space="preserve"> </w:t>
      </w:r>
      <w:r w:rsidRPr="00E70CD6">
        <w:rPr>
          <w:lang w:val="es-ES"/>
        </w:rPr>
        <w:t>Luis Ernesto Vargas Silva</w:t>
      </w:r>
      <w:r>
        <w:rPr>
          <w:lang w:val="es-ES"/>
        </w:rPr>
        <w:t>.</w:t>
      </w:r>
    </w:p>
  </w:footnote>
  <w:footnote w:id="14">
    <w:p w14:paraId="1E20A11D" w14:textId="77777777" w:rsidR="00074499" w:rsidRPr="00A306EF" w:rsidRDefault="00074499" w:rsidP="00074499">
      <w:pPr>
        <w:pStyle w:val="Textonotapie"/>
        <w:ind w:firstLine="708"/>
        <w:contextualSpacing/>
        <w:jc w:val="both"/>
        <w:rPr>
          <w:rFonts w:ascii="Verdana" w:hAnsi="Verdana"/>
          <w:b/>
          <w:sz w:val="16"/>
          <w:szCs w:val="16"/>
        </w:rPr>
      </w:pPr>
      <w:r w:rsidRPr="00A306EF">
        <w:rPr>
          <w:rStyle w:val="Refdenotaalpie"/>
          <w:rFonts w:ascii="Verdana" w:hAnsi="Verdana"/>
          <w:sz w:val="16"/>
          <w:szCs w:val="16"/>
        </w:rPr>
        <w:footnoteRef/>
      </w:r>
      <w:r w:rsidRPr="00A306EF">
        <w:rPr>
          <w:rFonts w:ascii="Verdana" w:hAnsi="Verdana"/>
          <w:sz w:val="16"/>
          <w:szCs w:val="16"/>
        </w:rPr>
        <w:t xml:space="preserve"> Corte Constitucional. Sentencia T-025 del veintitrés (23) de enero de dos mil diecisiete (2017). M.P. Aquiles Arrieta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4499"/>
    <w:rsid w:val="00082362"/>
    <w:rsid w:val="000A683E"/>
    <w:rsid w:val="000B19B9"/>
    <w:rsid w:val="000D0334"/>
    <w:rsid w:val="000F2D32"/>
    <w:rsid w:val="000F6486"/>
    <w:rsid w:val="00105C29"/>
    <w:rsid w:val="00125105"/>
    <w:rsid w:val="00127233"/>
    <w:rsid w:val="001511A0"/>
    <w:rsid w:val="001834AA"/>
    <w:rsid w:val="001E4177"/>
    <w:rsid w:val="001F7DC6"/>
    <w:rsid w:val="002421BB"/>
    <w:rsid w:val="0025796E"/>
    <w:rsid w:val="002707A2"/>
    <w:rsid w:val="00290CCC"/>
    <w:rsid w:val="00294A0E"/>
    <w:rsid w:val="002951A0"/>
    <w:rsid w:val="002962BC"/>
    <w:rsid w:val="002A093D"/>
    <w:rsid w:val="002A0DD0"/>
    <w:rsid w:val="002A2143"/>
    <w:rsid w:val="002A49AC"/>
    <w:rsid w:val="002A64FD"/>
    <w:rsid w:val="002C7A84"/>
    <w:rsid w:val="002E4FD9"/>
    <w:rsid w:val="00322A85"/>
    <w:rsid w:val="00324168"/>
    <w:rsid w:val="003448F4"/>
    <w:rsid w:val="00374F5E"/>
    <w:rsid w:val="00377E3E"/>
    <w:rsid w:val="003A114B"/>
    <w:rsid w:val="003A779E"/>
    <w:rsid w:val="003D0F4D"/>
    <w:rsid w:val="003D5B0D"/>
    <w:rsid w:val="003E0499"/>
    <w:rsid w:val="003F3941"/>
    <w:rsid w:val="00406575"/>
    <w:rsid w:val="00414C74"/>
    <w:rsid w:val="0042722E"/>
    <w:rsid w:val="0044528D"/>
    <w:rsid w:val="004A1847"/>
    <w:rsid w:val="004A305D"/>
    <w:rsid w:val="004F21C4"/>
    <w:rsid w:val="004F685F"/>
    <w:rsid w:val="0050025D"/>
    <w:rsid w:val="005566E8"/>
    <w:rsid w:val="00574867"/>
    <w:rsid w:val="00591460"/>
    <w:rsid w:val="005B3816"/>
    <w:rsid w:val="005C3777"/>
    <w:rsid w:val="005C5CDC"/>
    <w:rsid w:val="005D476C"/>
    <w:rsid w:val="005F0FA1"/>
    <w:rsid w:val="006219F8"/>
    <w:rsid w:val="00635B94"/>
    <w:rsid w:val="00665D70"/>
    <w:rsid w:val="00674035"/>
    <w:rsid w:val="006900D9"/>
    <w:rsid w:val="006D13BB"/>
    <w:rsid w:val="00706C16"/>
    <w:rsid w:val="00756841"/>
    <w:rsid w:val="00762389"/>
    <w:rsid w:val="007638FB"/>
    <w:rsid w:val="007649AB"/>
    <w:rsid w:val="00771D0C"/>
    <w:rsid w:val="007833AC"/>
    <w:rsid w:val="007B268C"/>
    <w:rsid w:val="007B7171"/>
    <w:rsid w:val="007C0C0F"/>
    <w:rsid w:val="007C3DC2"/>
    <w:rsid w:val="007E5497"/>
    <w:rsid w:val="00806F5F"/>
    <w:rsid w:val="00814E1C"/>
    <w:rsid w:val="00820278"/>
    <w:rsid w:val="00844159"/>
    <w:rsid w:val="00867F95"/>
    <w:rsid w:val="00870BB5"/>
    <w:rsid w:val="00872D69"/>
    <w:rsid w:val="008843B6"/>
    <w:rsid w:val="0089023A"/>
    <w:rsid w:val="00891928"/>
    <w:rsid w:val="008A446D"/>
    <w:rsid w:val="008D180B"/>
    <w:rsid w:val="008E1354"/>
    <w:rsid w:val="008F0B17"/>
    <w:rsid w:val="008F0EA7"/>
    <w:rsid w:val="00923EEF"/>
    <w:rsid w:val="009260DB"/>
    <w:rsid w:val="009269CE"/>
    <w:rsid w:val="009419F9"/>
    <w:rsid w:val="0095685E"/>
    <w:rsid w:val="00961B09"/>
    <w:rsid w:val="00965334"/>
    <w:rsid w:val="0097093E"/>
    <w:rsid w:val="00986AC5"/>
    <w:rsid w:val="009A0DFA"/>
    <w:rsid w:val="009B2D26"/>
    <w:rsid w:val="009C71FA"/>
    <w:rsid w:val="009C72E7"/>
    <w:rsid w:val="009D3058"/>
    <w:rsid w:val="009F3A13"/>
    <w:rsid w:val="00A11A07"/>
    <w:rsid w:val="00A122D3"/>
    <w:rsid w:val="00A17F13"/>
    <w:rsid w:val="00A20739"/>
    <w:rsid w:val="00A33C78"/>
    <w:rsid w:val="00AA40D8"/>
    <w:rsid w:val="00AB0ADB"/>
    <w:rsid w:val="00AC0C50"/>
    <w:rsid w:val="00B01B1A"/>
    <w:rsid w:val="00B17BB9"/>
    <w:rsid w:val="00B2616F"/>
    <w:rsid w:val="00B66319"/>
    <w:rsid w:val="00B72CD3"/>
    <w:rsid w:val="00B72FFF"/>
    <w:rsid w:val="00BC3D36"/>
    <w:rsid w:val="00BD7F72"/>
    <w:rsid w:val="00C04FB3"/>
    <w:rsid w:val="00C330EB"/>
    <w:rsid w:val="00C41061"/>
    <w:rsid w:val="00C56BB1"/>
    <w:rsid w:val="00C626E2"/>
    <w:rsid w:val="00C754BE"/>
    <w:rsid w:val="00C76B1C"/>
    <w:rsid w:val="00CA45E1"/>
    <w:rsid w:val="00CB6357"/>
    <w:rsid w:val="00CC1B26"/>
    <w:rsid w:val="00CD6058"/>
    <w:rsid w:val="00D05ABA"/>
    <w:rsid w:val="00D213E4"/>
    <w:rsid w:val="00D423A2"/>
    <w:rsid w:val="00D520D8"/>
    <w:rsid w:val="00D63AC2"/>
    <w:rsid w:val="00D7383B"/>
    <w:rsid w:val="00DA231B"/>
    <w:rsid w:val="00DC39FC"/>
    <w:rsid w:val="00DF5254"/>
    <w:rsid w:val="00E16408"/>
    <w:rsid w:val="00E20894"/>
    <w:rsid w:val="00E245AB"/>
    <w:rsid w:val="00E2764C"/>
    <w:rsid w:val="00E27F2E"/>
    <w:rsid w:val="00E50AFE"/>
    <w:rsid w:val="00E56C8F"/>
    <w:rsid w:val="00E75C92"/>
    <w:rsid w:val="00E771DC"/>
    <w:rsid w:val="00E8772A"/>
    <w:rsid w:val="00E90F6B"/>
    <w:rsid w:val="00E92A97"/>
    <w:rsid w:val="00E92C27"/>
    <w:rsid w:val="00EA0E3D"/>
    <w:rsid w:val="00EC0FE0"/>
    <w:rsid w:val="00EC38A7"/>
    <w:rsid w:val="00ED7384"/>
    <w:rsid w:val="00EE1AA8"/>
    <w:rsid w:val="00EE6D30"/>
    <w:rsid w:val="00F23FE1"/>
    <w:rsid w:val="00F31EDC"/>
    <w:rsid w:val="00F462B3"/>
    <w:rsid w:val="00F5664F"/>
    <w:rsid w:val="00F666C4"/>
    <w:rsid w:val="00F76AFC"/>
    <w:rsid w:val="00F95298"/>
    <w:rsid w:val="00FA47C0"/>
    <w:rsid w:val="00FB5DD1"/>
    <w:rsid w:val="00FC2B5D"/>
    <w:rsid w:val="00FF1449"/>
    <w:rsid w:val="165E9519"/>
    <w:rsid w:val="382536D9"/>
    <w:rsid w:val="4E2DD101"/>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7449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449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f85@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716E6D5-7240-42DA-8F4D-3C4B51A18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5611</Words>
  <Characters>30862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36401</CharactersWithSpaces>
  <SharedDoc>false</SharedDoc>
  <HLinks>
    <vt:vector size="18" baseType="variant">
      <vt:variant>
        <vt:i4>8126526</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2162712</vt:i4>
      </vt:variant>
      <vt:variant>
        <vt:i4>0</vt:i4>
      </vt:variant>
      <vt:variant>
        <vt:i4>0</vt:i4>
      </vt:variant>
      <vt:variant>
        <vt:i4>5</vt:i4>
      </vt:variant>
      <vt:variant>
        <vt:lpwstr>mailto:mariaf85@gmail.com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2025-08-27T02:34:00Z</dcterms:created>
  <dcterms:modified xsi:type="dcterms:W3CDTF">2025-08-27T02:34:00Z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