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96A96" w14:textId="77777777" w:rsidR="005520DD" w:rsidRPr="00CC306F" w:rsidRDefault="005520DD" w:rsidP="005520DD">
      <w:pPr>
        <w:jc w:val="right"/>
        <w:rPr>
          <w:rFonts w:ascii="Geomanist Light" w:eastAsia="Calibri" w:hAnsi="Geomanist Light" w:cs="Arial"/>
          <w:b/>
          <w:color w:val="000000" w:themeColor="text1"/>
          <w:sz w:val="20"/>
          <w:szCs w:val="20"/>
          <w:lang w:val="es-ES_tradnl"/>
        </w:rPr>
      </w:pPr>
      <w:bookmarkStart w:id="0" w:name="_Hlk28946138"/>
      <w:bookmarkStart w:id="1" w:name="_Hlk29548183"/>
      <w:r w:rsidRPr="00CC306F">
        <w:rPr>
          <w:rFonts w:ascii="Geomanist Light" w:hAnsi="Geomanist Light" w:cs="Arial"/>
          <w:bCs/>
          <w:color w:val="000000" w:themeColor="text1"/>
          <w:sz w:val="16"/>
          <w:szCs w:val="16"/>
          <w:lang w:val="es-ES_tradnl" w:eastAsia="es-ES"/>
        </w:rPr>
        <w:t>CCE-DES-FM-17</w:t>
      </w:r>
      <w:bookmarkEnd w:id="0"/>
      <w:bookmarkEnd w:id="1"/>
    </w:p>
    <w:p w14:paraId="54209CE4" w14:textId="77777777" w:rsidR="00AC0A07" w:rsidRPr="00CC306F" w:rsidRDefault="00AC0A07" w:rsidP="00AC0A07">
      <w:pPr>
        <w:tabs>
          <w:tab w:val="left" w:pos="3374"/>
        </w:tabs>
        <w:jc w:val="both"/>
        <w:rPr>
          <w:rFonts w:ascii="Geomanist Light" w:hAnsi="Geomanist Light" w:cs="Arial"/>
          <w:b/>
          <w:color w:val="000000" w:themeColor="text1"/>
          <w:sz w:val="22"/>
          <w:szCs w:val="22"/>
        </w:rPr>
      </w:pPr>
      <w:r w:rsidRPr="00CC306F">
        <w:rPr>
          <w:rFonts w:ascii="Geomanist Light" w:hAnsi="Geomanist Light" w:cs="Arial"/>
          <w:b/>
          <w:bCs/>
          <w:sz w:val="22"/>
          <w:szCs w:val="22"/>
        </w:rPr>
        <w:t>COLOMBIA COMPRA EFICIENTE – Competencia Consultiva – Contratación Estatal – Normas Generales</w:t>
      </w:r>
    </w:p>
    <w:p w14:paraId="022FBD69" w14:textId="77777777" w:rsidR="00AC0A07" w:rsidRPr="00CC306F" w:rsidRDefault="00AC0A07" w:rsidP="00AC0A07">
      <w:pPr>
        <w:tabs>
          <w:tab w:val="left" w:pos="3374"/>
        </w:tabs>
        <w:spacing w:line="276" w:lineRule="auto"/>
        <w:jc w:val="both"/>
        <w:rPr>
          <w:rFonts w:ascii="Geomanist Light" w:hAnsi="Geomanist Light" w:cs="Arial"/>
          <w:b/>
          <w:bCs/>
          <w:sz w:val="20"/>
          <w:szCs w:val="20"/>
        </w:rPr>
      </w:pPr>
    </w:p>
    <w:p w14:paraId="7C820BCE" w14:textId="77777777" w:rsidR="00AC0A07" w:rsidRPr="00CC306F" w:rsidRDefault="00AC0A07" w:rsidP="005E6D4A">
      <w:pPr>
        <w:tabs>
          <w:tab w:val="left" w:pos="3374"/>
        </w:tabs>
        <w:jc w:val="both"/>
        <w:rPr>
          <w:rFonts w:ascii="Geomanist Light" w:hAnsi="Geomanist Light" w:cs="Arial"/>
          <w:sz w:val="20"/>
          <w:szCs w:val="20"/>
        </w:rPr>
      </w:pPr>
      <w:r w:rsidRPr="00CC306F">
        <w:rPr>
          <w:rFonts w:ascii="Geomanist Light" w:hAnsi="Geomanist Light" w:cs="Arial"/>
          <w:sz w:val="20"/>
          <w:szCs w:val="20"/>
        </w:rPr>
        <w:t xml:space="preserve">Es necesario tener en cuenta que esta entidad solo tiene competencia para responder solicitudes sobre la aplicación de normas de carácter general en materia de compras y contratación pública. </w:t>
      </w:r>
    </w:p>
    <w:p w14:paraId="240BD38D" w14:textId="77777777" w:rsidR="00AC0A07" w:rsidRPr="00CC306F" w:rsidRDefault="00AC0A07" w:rsidP="005E6D4A">
      <w:pPr>
        <w:tabs>
          <w:tab w:val="left" w:pos="3374"/>
        </w:tabs>
        <w:jc w:val="both"/>
        <w:rPr>
          <w:rFonts w:ascii="Geomanist Light" w:hAnsi="Geomanist Light" w:cs="Arial"/>
          <w:sz w:val="20"/>
          <w:szCs w:val="20"/>
        </w:rPr>
      </w:pPr>
    </w:p>
    <w:p w14:paraId="74BFA069" w14:textId="77777777" w:rsidR="00AC0A07" w:rsidRPr="00CC306F" w:rsidRDefault="00AC0A07" w:rsidP="005E6D4A">
      <w:pPr>
        <w:tabs>
          <w:tab w:val="left" w:pos="3374"/>
        </w:tabs>
        <w:jc w:val="both"/>
        <w:rPr>
          <w:rFonts w:ascii="Geomanist Light" w:hAnsi="Geomanist Light" w:cs="Arial"/>
          <w:color w:val="000000" w:themeColor="text1"/>
          <w:sz w:val="20"/>
          <w:szCs w:val="20"/>
          <w:lang w:val="es-ES"/>
        </w:rPr>
      </w:pPr>
      <w:r w:rsidRPr="00CC306F">
        <w:rPr>
          <w:rFonts w:ascii="Geomanist Light" w:hAnsi="Geomanist Light" w:cs="Arial"/>
          <w:sz w:val="20"/>
          <w:szCs w:val="20"/>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tampoco puede extenderse a la resolución de controversias, ni a brindar asesorías sobre casos puntuales</w:t>
      </w:r>
      <w:r w:rsidRPr="00CC306F">
        <w:rPr>
          <w:rFonts w:ascii="Geomanist Light" w:hAnsi="Geomanist Light" w:cs="Arial"/>
          <w:color w:val="000000" w:themeColor="text1"/>
          <w:sz w:val="20"/>
          <w:szCs w:val="20"/>
          <w:lang w:val="es-ES"/>
        </w:rPr>
        <w:t xml:space="preserve">. </w:t>
      </w:r>
    </w:p>
    <w:p w14:paraId="0D955610" w14:textId="77777777" w:rsidR="00AC0A07" w:rsidRPr="00CC306F" w:rsidRDefault="00AC0A07" w:rsidP="0024608A">
      <w:pPr>
        <w:jc w:val="both"/>
        <w:textAlignment w:val="baseline"/>
        <w:rPr>
          <w:rFonts w:ascii="Geomanist Light" w:hAnsi="Geomanist Light" w:cs="Arial"/>
          <w:b/>
          <w:sz w:val="22"/>
          <w:szCs w:val="22"/>
          <w:lang w:val="es-ES"/>
        </w:rPr>
      </w:pPr>
    </w:p>
    <w:p w14:paraId="56797C32" w14:textId="77777777" w:rsidR="00934B91" w:rsidRPr="00CC306F" w:rsidRDefault="00934B91" w:rsidP="00E94C52">
      <w:pPr>
        <w:tabs>
          <w:tab w:val="left" w:pos="3374"/>
        </w:tabs>
        <w:jc w:val="both"/>
        <w:rPr>
          <w:rFonts w:ascii="Geomanist Light" w:hAnsi="Geomanist Light" w:cs="Arial"/>
          <w:b/>
          <w:bCs/>
          <w:sz w:val="22"/>
          <w:szCs w:val="22"/>
        </w:rPr>
      </w:pPr>
      <w:r w:rsidRPr="00CC306F">
        <w:rPr>
          <w:rFonts w:ascii="Geomanist Light" w:hAnsi="Geomanist Light" w:cs="Arial"/>
          <w:b/>
          <w:bCs/>
          <w:sz w:val="22"/>
          <w:szCs w:val="22"/>
        </w:rPr>
        <w:t>DOCUMENTOS TIPO – Fundamento normativo – Generalidades</w:t>
      </w:r>
    </w:p>
    <w:p w14:paraId="0D9E704B" w14:textId="77777777" w:rsidR="00934B91" w:rsidRPr="00CC306F" w:rsidRDefault="00934B91" w:rsidP="00E94C52">
      <w:pPr>
        <w:tabs>
          <w:tab w:val="left" w:pos="3374"/>
        </w:tabs>
        <w:jc w:val="both"/>
        <w:rPr>
          <w:rFonts w:ascii="Geomanist Light" w:hAnsi="Geomanist Light" w:cs="Arial"/>
          <w:b/>
          <w:bCs/>
          <w:sz w:val="22"/>
          <w:szCs w:val="22"/>
        </w:rPr>
      </w:pPr>
    </w:p>
    <w:p w14:paraId="1246B6D4" w14:textId="666E40AD" w:rsidR="00934B91" w:rsidRPr="00CC306F" w:rsidRDefault="00934B91" w:rsidP="00934B91">
      <w:pPr>
        <w:jc w:val="both"/>
        <w:rPr>
          <w:rFonts w:ascii="Geomanist Light" w:hAnsi="Geomanist Light" w:cs="Arial"/>
          <w:sz w:val="20"/>
          <w:szCs w:val="20"/>
        </w:rPr>
      </w:pPr>
      <w:r w:rsidRPr="00CC306F">
        <w:rPr>
          <w:rFonts w:ascii="Geomanist Light" w:hAnsi="Geomanist Light" w:cs="Arial"/>
          <w:sz w:val="20"/>
          <w:szCs w:val="20"/>
        </w:rPr>
        <w:t>Por otra parte, debe tenerse en cuenta que la Ley 2022 de 2020 fue sancionada por el presidente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w:t>
      </w:r>
      <w:r w:rsidR="00B84CF1" w:rsidRPr="00CC306F">
        <w:rPr>
          <w:rFonts w:ascii="Geomanist Light" w:hAnsi="Geomanist Light" w:cs="Arial"/>
          <w:sz w:val="20"/>
          <w:szCs w:val="20"/>
        </w:rPr>
        <w:t xml:space="preserve">l sistema para su revisión». Así </w:t>
      </w:r>
      <w:r w:rsidRPr="00CC306F">
        <w:rPr>
          <w:rFonts w:ascii="Geomanist Light" w:hAnsi="Geomanist Light" w:cs="Arial"/>
          <w:sz w:val="20"/>
          <w:szCs w:val="20"/>
        </w:rPr>
        <w:t xml:space="preserve">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3DE0A4BA" w14:textId="77777777" w:rsidR="00934B91" w:rsidRPr="00CC306F" w:rsidRDefault="00934B91" w:rsidP="00934B91">
      <w:pPr>
        <w:jc w:val="both"/>
        <w:rPr>
          <w:rFonts w:ascii="Geomanist Light" w:eastAsia="Calibri" w:hAnsi="Geomanist Light" w:cs="Arial"/>
          <w:color w:val="000000"/>
          <w:sz w:val="20"/>
          <w:szCs w:val="20"/>
          <w:lang w:val="es-ES"/>
        </w:rPr>
      </w:pPr>
    </w:p>
    <w:p w14:paraId="2531081A" w14:textId="77777777" w:rsidR="00934B91" w:rsidRPr="00CC306F" w:rsidRDefault="00934B91" w:rsidP="00E94C52">
      <w:pPr>
        <w:tabs>
          <w:tab w:val="left" w:pos="3374"/>
        </w:tabs>
        <w:jc w:val="both"/>
        <w:rPr>
          <w:rFonts w:ascii="Geomanist Light" w:hAnsi="Geomanist Light" w:cs="Arial"/>
          <w:b/>
          <w:bCs/>
          <w:sz w:val="22"/>
          <w:szCs w:val="22"/>
        </w:rPr>
      </w:pPr>
      <w:r w:rsidRPr="00CC306F">
        <w:rPr>
          <w:rFonts w:ascii="Geomanist Light" w:hAnsi="Geomanist Light" w:cs="Arial"/>
          <w:b/>
          <w:bCs/>
          <w:sz w:val="22"/>
          <w:szCs w:val="22"/>
        </w:rPr>
        <w:t>PERSONAS CON DISCAPACIDAD – Puntaje adicional – Fundamento normativo </w:t>
      </w:r>
    </w:p>
    <w:p w14:paraId="65109680" w14:textId="77777777" w:rsidR="00934B91" w:rsidRPr="00CC306F" w:rsidRDefault="00934B91" w:rsidP="00934B91">
      <w:pPr>
        <w:jc w:val="both"/>
        <w:rPr>
          <w:rFonts w:ascii="Geomanist Light" w:hAnsi="Geomanist Light" w:cs="Arial"/>
          <w:color w:val="000000"/>
          <w:sz w:val="20"/>
          <w:szCs w:val="20"/>
          <w:lang w:eastAsia="es-MX"/>
        </w:rPr>
      </w:pPr>
    </w:p>
    <w:p w14:paraId="486A8A29" w14:textId="77777777" w:rsidR="00934B91" w:rsidRPr="00CC306F" w:rsidRDefault="00934B91" w:rsidP="00934B91">
      <w:pPr>
        <w:jc w:val="both"/>
        <w:rPr>
          <w:rFonts w:ascii="Geomanist Light" w:hAnsi="Geomanist Light" w:cs="Arial"/>
          <w:sz w:val="20"/>
          <w:szCs w:val="20"/>
        </w:rPr>
      </w:pPr>
      <w:r w:rsidRPr="00CC306F">
        <w:rPr>
          <w:rFonts w:ascii="Geomanist Light" w:hAnsi="Geomanist Light" w:cs="Arial"/>
          <w:sz w:val="20"/>
          <w:szCs w:val="20"/>
        </w:rPr>
        <w:t xml:space="preserve">Para estos efectos, el Gobierno Nacional expidió el Decreto 392 de 2018, «Por el cual se reglamentan los numerales 1 y 8 del artículo 13 de la Ley 1618 de 2013, sobre incentivos en Procesos de Contratación en favor de personas con discapacidad», regulando el deber de las entidades del Estado de otorgar un puntaje adicional en los procedimientos de selección, especialmente, los que se desarrollan en las modalidades de licitación pública y concurso de méritos. </w:t>
      </w:r>
    </w:p>
    <w:p w14:paraId="3A4322AF" w14:textId="77777777" w:rsidR="00934B91" w:rsidRPr="00CC306F" w:rsidRDefault="00934B91" w:rsidP="00934B91">
      <w:pPr>
        <w:rPr>
          <w:rFonts w:ascii="Geomanist Light" w:hAnsi="Geomanist Light" w:cs="Arial"/>
          <w:color w:val="000000"/>
          <w:lang w:eastAsia="es-MX"/>
        </w:rPr>
      </w:pPr>
    </w:p>
    <w:p w14:paraId="3C965A9B" w14:textId="77777777" w:rsidR="00934B91" w:rsidRPr="00CC306F" w:rsidRDefault="00934B91" w:rsidP="00E94C52">
      <w:pPr>
        <w:tabs>
          <w:tab w:val="left" w:pos="3374"/>
        </w:tabs>
        <w:jc w:val="both"/>
        <w:rPr>
          <w:rFonts w:ascii="Geomanist Light" w:hAnsi="Geomanist Light" w:cs="Arial"/>
          <w:b/>
          <w:bCs/>
          <w:sz w:val="22"/>
          <w:szCs w:val="22"/>
        </w:rPr>
      </w:pPr>
      <w:r w:rsidRPr="00CC306F">
        <w:rPr>
          <w:rFonts w:ascii="Geomanist Light" w:hAnsi="Geomanist Light" w:cs="Arial"/>
          <w:b/>
          <w:bCs/>
          <w:sz w:val="22"/>
          <w:szCs w:val="22"/>
        </w:rPr>
        <w:t>PUNTAJE ADICIONAL – Personas con discapacidad – Requisitos – Acreditación – Formato 8</w:t>
      </w:r>
    </w:p>
    <w:p w14:paraId="6F1ECDA3" w14:textId="77777777" w:rsidR="00934B91" w:rsidRPr="00CC306F" w:rsidRDefault="00934B91" w:rsidP="00934B91">
      <w:pPr>
        <w:jc w:val="both"/>
        <w:rPr>
          <w:rFonts w:ascii="Geomanist Light" w:hAnsi="Geomanist Light" w:cs="Arial"/>
          <w:color w:val="000000"/>
          <w:lang w:val="es-ES"/>
        </w:rPr>
      </w:pPr>
    </w:p>
    <w:p w14:paraId="287A67CE" w14:textId="76F0D902" w:rsidR="00AC0A07" w:rsidRPr="00CC306F" w:rsidRDefault="00934B91" w:rsidP="00934B91">
      <w:pPr>
        <w:jc w:val="both"/>
        <w:rPr>
          <w:rFonts w:ascii="Geomanist Light" w:hAnsi="Geomanist Light" w:cs="Arial"/>
          <w:sz w:val="20"/>
          <w:szCs w:val="20"/>
        </w:rPr>
      </w:pPr>
      <w:r w:rsidRPr="00CC306F">
        <w:rPr>
          <w:rFonts w:ascii="Geomanist Light" w:hAnsi="Geomanist Light" w:cs="Arial"/>
          <w:sz w:val="20"/>
          <w:szCs w:val="20"/>
        </w:rPr>
        <w:t>[…] para que un proponente obtenga el puntaje de vinculación de personas con discapacidad deberá cumplir con lo previsto en el apartado 4.4 del documento base. En este contexto, i) debe certificar el número total de trabajadores vinculados a la planta de personal del proponente o sus integrantes a la fecha de cierre del proceso de selección, mediante la suscripción del «Formato 8 – Vinculación de personas con discapacidad» y ii) aportar el certificado del Ministerio de Trabajo en el que se acredite el número mínimo de personas con discapacidad en la planta de personal, el cual deberá estar vigente a la fecha de cierre del proceso de selección.</w:t>
      </w:r>
    </w:p>
    <w:p w14:paraId="10C219D7" w14:textId="25812C43" w:rsidR="0054133E" w:rsidRPr="00CC306F" w:rsidRDefault="0054133E" w:rsidP="00934B91">
      <w:pPr>
        <w:jc w:val="both"/>
        <w:rPr>
          <w:rFonts w:ascii="Geomanist Light" w:hAnsi="Geomanist Light" w:cs="Arial"/>
          <w:sz w:val="20"/>
          <w:szCs w:val="20"/>
        </w:rPr>
      </w:pPr>
    </w:p>
    <w:p w14:paraId="678BCB7F" w14:textId="0AB47AB4" w:rsidR="0054133E" w:rsidRPr="00CC306F" w:rsidRDefault="0054133E" w:rsidP="00934B91">
      <w:pPr>
        <w:jc w:val="both"/>
        <w:rPr>
          <w:rFonts w:ascii="Geomanist Light" w:hAnsi="Geomanist Light" w:cs="Arial"/>
          <w:b/>
          <w:bCs/>
          <w:sz w:val="22"/>
          <w:szCs w:val="22"/>
        </w:rPr>
      </w:pPr>
      <w:r w:rsidRPr="00CC306F">
        <w:rPr>
          <w:rFonts w:ascii="Geomanist Light" w:hAnsi="Geomanist Light" w:cs="Arial"/>
          <w:b/>
          <w:bCs/>
          <w:sz w:val="22"/>
          <w:szCs w:val="22"/>
        </w:rPr>
        <w:t>SOLICITUD DE ACLARACIONES</w:t>
      </w:r>
      <w:r w:rsidR="00472C17" w:rsidRPr="00CC306F">
        <w:rPr>
          <w:rFonts w:ascii="Geomanist Light" w:hAnsi="Geomanist Light" w:cs="Arial"/>
          <w:b/>
          <w:bCs/>
          <w:sz w:val="22"/>
          <w:szCs w:val="22"/>
        </w:rPr>
        <w:t> – </w:t>
      </w:r>
      <w:r w:rsidRPr="00CC306F">
        <w:rPr>
          <w:rFonts w:ascii="Geomanist Light" w:hAnsi="Geomanist Light" w:cs="Arial"/>
          <w:b/>
          <w:bCs/>
          <w:sz w:val="22"/>
          <w:szCs w:val="22"/>
        </w:rPr>
        <w:t>Propuesta</w:t>
      </w:r>
      <w:r w:rsidR="00472C17" w:rsidRPr="00CC306F">
        <w:rPr>
          <w:rFonts w:ascii="Geomanist Light" w:hAnsi="Geomanist Light" w:cs="Arial"/>
          <w:b/>
          <w:bCs/>
          <w:sz w:val="22"/>
          <w:szCs w:val="22"/>
        </w:rPr>
        <w:t> – Aspectos oscuros o confusos</w:t>
      </w:r>
    </w:p>
    <w:p w14:paraId="3FE4F4BD" w14:textId="65C831F4" w:rsidR="00472C17" w:rsidRPr="00CC306F" w:rsidRDefault="00472C17" w:rsidP="00934B91">
      <w:pPr>
        <w:jc w:val="both"/>
        <w:rPr>
          <w:rFonts w:ascii="Geomanist Light" w:hAnsi="Geomanist Light" w:cs="Arial"/>
          <w:b/>
          <w:bCs/>
          <w:sz w:val="22"/>
          <w:szCs w:val="22"/>
        </w:rPr>
      </w:pPr>
    </w:p>
    <w:p w14:paraId="1894301A" w14:textId="0CA0D26A" w:rsidR="00472C17" w:rsidRPr="00CC306F" w:rsidRDefault="00E10B8D" w:rsidP="00E10B8D">
      <w:pPr>
        <w:spacing w:before="120" w:after="120"/>
        <w:jc w:val="both"/>
        <w:rPr>
          <w:rFonts w:ascii="Geomanist Light" w:hAnsi="Geomanist Light" w:cs="Arial"/>
          <w:sz w:val="20"/>
          <w:szCs w:val="20"/>
        </w:rPr>
      </w:pPr>
      <w:r w:rsidRPr="00CC306F">
        <w:rPr>
          <w:rFonts w:ascii="Geomanist Light" w:hAnsi="Geomanist Light" w:cs="Arial"/>
          <w:sz w:val="20"/>
          <w:szCs w:val="20"/>
        </w:rPr>
        <w:t xml:space="preserve">[…] </w:t>
      </w:r>
      <w:r w:rsidR="00472C17" w:rsidRPr="00CC306F">
        <w:rPr>
          <w:rFonts w:ascii="Geomanist Light" w:hAnsi="Geomanist Light" w:cs="Arial"/>
          <w:sz w:val="20"/>
          <w:szCs w:val="20"/>
        </w:rPr>
        <w:t xml:space="preserve">la entidad cuenta con la facultad de «solicitar a los proponentes las aclaraciones y explicaciones que se estimen indispensables», establecida en el artículo 30-7 de la Ley 80 de 1993. </w:t>
      </w:r>
    </w:p>
    <w:p w14:paraId="4C31542D" w14:textId="607DA5E0" w:rsidR="00472C17" w:rsidRPr="00CC306F" w:rsidRDefault="00472C17" w:rsidP="00E10B8D">
      <w:pPr>
        <w:jc w:val="both"/>
        <w:rPr>
          <w:rFonts w:ascii="Geomanist Light" w:hAnsi="Geomanist Light" w:cs="Arial"/>
          <w:sz w:val="20"/>
          <w:szCs w:val="20"/>
        </w:rPr>
      </w:pPr>
      <w:r w:rsidRPr="00CC306F">
        <w:rPr>
          <w:rFonts w:ascii="Geomanist Light" w:hAnsi="Geomanist Light" w:cs="Arial"/>
          <w:sz w:val="20"/>
          <w:szCs w:val="20"/>
        </w:rPr>
        <w:t xml:space="preserve">El ejercicio de la facultad de solicitar las aclaraciones que permitan que las entidades obtengan la certeza de la información y para ello podrán requerir a los proponentes la aclaración y documentos de los aspectos de su propuesta que, en principio, resultan oscuros o confusos de cara a la evaluación, diferenciándose esta facultad de la </w:t>
      </w:r>
      <w:proofErr w:type="spellStart"/>
      <w:r w:rsidRPr="00CC306F">
        <w:rPr>
          <w:rFonts w:ascii="Geomanist Light" w:hAnsi="Geomanist Light" w:cs="Arial"/>
          <w:sz w:val="20"/>
          <w:szCs w:val="20"/>
        </w:rPr>
        <w:t>subsanabilidad</w:t>
      </w:r>
      <w:proofErr w:type="spellEnd"/>
      <w:r w:rsidRPr="00CC306F">
        <w:rPr>
          <w:rFonts w:ascii="Geomanist Light" w:hAnsi="Geomanist Light" w:cs="Arial"/>
          <w:sz w:val="20"/>
          <w:szCs w:val="20"/>
        </w:rPr>
        <w:t>, pues no parte del supuesto de la ausencia de requisitos de la oferta sino de la existencia de inconsistencias en la misma, cuyo esclarecimiento se requiere para la evaluar la propuesta.</w:t>
      </w:r>
    </w:p>
    <w:p w14:paraId="4F516461" w14:textId="77777777" w:rsidR="00472C17" w:rsidRPr="00CC306F" w:rsidRDefault="00472C17" w:rsidP="00472C17">
      <w:pPr>
        <w:jc w:val="both"/>
        <w:rPr>
          <w:rFonts w:ascii="Geomanist Light" w:hAnsi="Geomanist Light" w:cs="Arial"/>
          <w:b/>
          <w:bCs/>
          <w:sz w:val="22"/>
          <w:szCs w:val="22"/>
        </w:rPr>
      </w:pPr>
    </w:p>
    <w:p w14:paraId="7FF4485D" w14:textId="77777777" w:rsidR="0054133E" w:rsidRPr="00CC306F" w:rsidRDefault="0054133E" w:rsidP="0054133E">
      <w:pPr>
        <w:jc w:val="both"/>
        <w:rPr>
          <w:rFonts w:ascii="Geomanist Light" w:eastAsia="Calibri" w:hAnsi="Geomanist Light" w:cs="Arial"/>
          <w:b/>
          <w:color w:val="000000" w:themeColor="text1"/>
          <w:sz w:val="22"/>
        </w:rPr>
      </w:pPr>
      <w:r w:rsidRPr="00CC306F">
        <w:rPr>
          <w:rFonts w:ascii="Geomanist Light" w:eastAsia="Calibri" w:hAnsi="Geomanist Light" w:cs="Arial"/>
          <w:b/>
          <w:color w:val="000000" w:themeColor="text1"/>
          <w:sz w:val="22"/>
        </w:rPr>
        <w:t>LEY DE EMPRENDIMIENTO – Ley 2069 de 2020 – Artículo 32 – Criterios diferenciales – Emprendimientos de mujeres – Empresas de mujeres – Necesidad de reglamentación – Decreto 1860 de 2021</w:t>
      </w:r>
    </w:p>
    <w:p w14:paraId="59891237" w14:textId="77777777" w:rsidR="0054133E" w:rsidRPr="00CC306F" w:rsidRDefault="0054133E" w:rsidP="0054133E">
      <w:pPr>
        <w:jc w:val="both"/>
        <w:rPr>
          <w:rFonts w:ascii="Geomanist Light" w:eastAsia="Calibri" w:hAnsi="Geomanist Light" w:cs="Arial"/>
          <w:b/>
          <w:color w:val="000000" w:themeColor="text1"/>
          <w:sz w:val="22"/>
        </w:rPr>
      </w:pPr>
    </w:p>
    <w:p w14:paraId="7A8CC0B0" w14:textId="77777777" w:rsidR="0054133E" w:rsidRPr="00CC306F" w:rsidRDefault="0054133E" w:rsidP="0054133E">
      <w:pPr>
        <w:tabs>
          <w:tab w:val="left" w:pos="709"/>
        </w:tabs>
        <w:jc w:val="both"/>
        <w:rPr>
          <w:rFonts w:ascii="Geomanist Light" w:hAnsi="Geomanist Light" w:cs="Arial"/>
          <w:sz w:val="20"/>
          <w:szCs w:val="20"/>
        </w:rPr>
      </w:pPr>
      <w:r w:rsidRPr="00CC306F">
        <w:rPr>
          <w:rFonts w:ascii="Geomanist Light" w:hAnsi="Geomanist Light" w:cs="Arial"/>
          <w:sz w:val="20"/>
          <w:szCs w:val="20"/>
        </w:rPr>
        <w:t xml:space="preserve">[…] el artículo 32 de la Ley 2069 de 2020 regula criterios diferenciales para los «emprendimientos y empresas de mujeres» en el sistema de compras y contratación pública. […] De esta manera, los denominados «criterios diferenciales» del artículo 32 ibidem –que incluyen tanto los «requisitos diferenciales» como los «puntajes adicionales»– aplican a «[…] los procesos de licitación pública, selección abreviada de menor cuantía y concurso de méritos […]», excluyendo las demás modalidades de selección del artículo 2 de la Ley 1150 de 2007. Así mismo, sin distinciones ulteriores, la norma en comento también se extiende a todos los procedimientos que realicen las entidades estatales excluidas de la Ley 80 de 1993.     </w:t>
      </w:r>
    </w:p>
    <w:p w14:paraId="04C911AF" w14:textId="77777777" w:rsidR="0054133E" w:rsidRPr="00CC306F" w:rsidRDefault="0054133E" w:rsidP="0054133E">
      <w:pPr>
        <w:spacing w:before="120" w:after="120"/>
        <w:jc w:val="both"/>
        <w:rPr>
          <w:rFonts w:ascii="Geomanist Light" w:hAnsi="Geomanist Light" w:cs="Arial"/>
          <w:sz w:val="20"/>
          <w:szCs w:val="20"/>
        </w:rPr>
      </w:pPr>
      <w:r w:rsidRPr="00CC306F">
        <w:rPr>
          <w:rFonts w:ascii="Geomanist Light" w:hAnsi="Geomanist Light" w:cs="Arial"/>
          <w:sz w:val="20"/>
          <w:szCs w:val="20"/>
        </w:rPr>
        <w:t xml:space="preserve">No obstante, el artículo 32 de la Ley 2069 de 2020 –al igual que el artículo 31– alude a la necesidad del desarrollo normativo posterior. Al respecto, el parágrafo dispone que «La definición de emprendimientos y empresas de mujeres se reglamentará por el gobierno nacional». […] En este contexto, el pasado 24 de diciembre, el gobierno nacional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 de la Ley 2069 de 2020 –con excepción de los artículos 33 y 36–, realizando las adecuaciones requeridas para aplicar estas disposiciones, tal como indica el artículo 1 del Decreto 1860 de 2021.  </w:t>
      </w:r>
    </w:p>
    <w:p w14:paraId="30B80FDC" w14:textId="77777777" w:rsidR="0054133E" w:rsidRPr="00CC306F" w:rsidRDefault="0054133E" w:rsidP="0054133E">
      <w:pPr>
        <w:jc w:val="both"/>
        <w:rPr>
          <w:rFonts w:ascii="Geomanist Light" w:eastAsia="Calibri" w:hAnsi="Geomanist Light" w:cs="Arial"/>
          <w:b/>
          <w:color w:val="000000" w:themeColor="text1"/>
          <w:sz w:val="22"/>
          <w:szCs w:val="22"/>
          <w:lang w:val="es-ES"/>
        </w:rPr>
      </w:pPr>
      <w:r w:rsidRPr="00CC306F">
        <w:rPr>
          <w:rFonts w:ascii="Geomanist Light" w:eastAsia="Calibri" w:hAnsi="Geomanist Light" w:cs="Arial"/>
          <w:b/>
          <w:color w:val="000000" w:themeColor="text1"/>
          <w:sz w:val="22"/>
          <w:szCs w:val="22"/>
          <w:lang w:val="es-ES"/>
        </w:rPr>
        <w:t>DECRETO 1860 DE 2021 – Vigencia</w:t>
      </w:r>
    </w:p>
    <w:p w14:paraId="204547FC" w14:textId="77777777" w:rsidR="0054133E" w:rsidRPr="00CC306F" w:rsidRDefault="0054133E" w:rsidP="0054133E">
      <w:pPr>
        <w:jc w:val="both"/>
        <w:rPr>
          <w:rFonts w:ascii="Geomanist Light" w:eastAsia="Calibri" w:hAnsi="Geomanist Light" w:cs="Arial"/>
          <w:b/>
          <w:color w:val="000000" w:themeColor="text1"/>
          <w:sz w:val="20"/>
          <w:szCs w:val="20"/>
          <w:lang w:val="es-ES"/>
        </w:rPr>
      </w:pPr>
    </w:p>
    <w:p w14:paraId="1CE758F4" w14:textId="77777777" w:rsidR="0054133E" w:rsidRPr="00CC306F" w:rsidRDefault="0054133E" w:rsidP="0054133E">
      <w:pPr>
        <w:jc w:val="both"/>
        <w:rPr>
          <w:rFonts w:ascii="Geomanist Light" w:eastAsia="Calibri" w:hAnsi="Geomanist Light" w:cs="Arial"/>
          <w:bCs/>
          <w:color w:val="000000" w:themeColor="text1"/>
          <w:sz w:val="20"/>
          <w:szCs w:val="20"/>
        </w:rPr>
      </w:pPr>
      <w:r w:rsidRPr="00CC306F">
        <w:rPr>
          <w:rFonts w:ascii="Geomanist Light" w:hAnsi="Geomanist Light" w:cs="Arial"/>
          <w:sz w:val="20"/>
          <w:szCs w:val="20"/>
        </w:rPr>
        <w:t>[…] Debe precisarse que la vigencia del Decreto 1860 de 2021 está regida por lo establecido en su artículo 8, el cual prescribe que: «Las disposiciones contenidas en el presente Decreto se aplicarán a los procedimientos de selección cuya invitación, aviso de convocatoria o documento equivalente se publique a los tres (3) meses contados a partir de su expedición». De acuerdo con esto, habiéndose expedido el referido decreto el 24 de diciembre de 2021, la aplicación de su contenido comenzó una vez transcurridos tres (3) meses contados a partir de entonces, en los procesos cuyos avisos de convocatorias, invitaciones o documentos equivalentes –según corresponda– sean publicados con posterioridad a dicho momento, es decir, a partir del 24 de marzo de 2022, por lo que actualmente esta es la regulación vigente</w:t>
      </w:r>
      <w:r w:rsidRPr="00CC306F">
        <w:rPr>
          <w:rFonts w:ascii="Geomanist Light" w:hAnsi="Geomanist Light" w:cs="Arial"/>
          <w:color w:val="000000" w:themeColor="text1"/>
          <w:sz w:val="22"/>
          <w:szCs w:val="22"/>
          <w:lang w:eastAsia="es-CO"/>
        </w:rPr>
        <w:t>.</w:t>
      </w:r>
    </w:p>
    <w:p w14:paraId="724C4A46" w14:textId="77777777" w:rsidR="0054133E" w:rsidRPr="00CC306F" w:rsidRDefault="0054133E" w:rsidP="0054133E">
      <w:pPr>
        <w:jc w:val="both"/>
        <w:rPr>
          <w:rFonts w:ascii="Geomanist Light" w:eastAsia="Calibri" w:hAnsi="Geomanist Light" w:cs="Arial"/>
          <w:b/>
          <w:color w:val="000000" w:themeColor="text1"/>
          <w:sz w:val="20"/>
          <w:szCs w:val="20"/>
          <w:lang w:val="es-ES"/>
        </w:rPr>
      </w:pPr>
    </w:p>
    <w:p w14:paraId="73CA6420" w14:textId="3BA89EAB" w:rsidR="0054133E" w:rsidRPr="00CC306F" w:rsidRDefault="0054133E" w:rsidP="0054133E">
      <w:pPr>
        <w:jc w:val="both"/>
        <w:rPr>
          <w:rFonts w:ascii="Geomanist Light" w:eastAsia="Calibri" w:hAnsi="Geomanist Light" w:cs="Arial"/>
          <w:b/>
          <w:sz w:val="22"/>
          <w:szCs w:val="22"/>
          <w:lang w:val="es-ES_tradnl"/>
        </w:rPr>
      </w:pPr>
      <w:r w:rsidRPr="00CC306F">
        <w:rPr>
          <w:rFonts w:ascii="Geomanist Light" w:eastAsia="Calibri" w:hAnsi="Geomanist Light" w:cs="Arial"/>
          <w:b/>
          <w:color w:val="000000" w:themeColor="text1"/>
          <w:sz w:val="22"/>
          <w:szCs w:val="22"/>
          <w:lang w:val="es-ES"/>
        </w:rPr>
        <w:lastRenderedPageBreak/>
        <w:t>DECRETO 1860 DE 2021 – Emprendimientos y empresas de mujeres – Definición – Artículo 2.2.1.2.4.2.14 –</w:t>
      </w:r>
      <w:r w:rsidR="00033E4B" w:rsidRPr="00CC306F">
        <w:rPr>
          <w:rFonts w:ascii="Geomanist Light" w:eastAsia="Calibri" w:hAnsi="Geomanist Light" w:cs="Arial"/>
          <w:b/>
          <w:color w:val="000000" w:themeColor="text1"/>
          <w:sz w:val="22"/>
          <w:szCs w:val="22"/>
          <w:lang w:val="es-ES"/>
        </w:rPr>
        <w:t xml:space="preserve"> </w:t>
      </w:r>
      <w:r w:rsidRPr="00CC306F">
        <w:rPr>
          <w:rFonts w:ascii="Geomanist Light" w:eastAsia="Calibri" w:hAnsi="Geomanist Light" w:cs="Arial"/>
          <w:b/>
          <w:sz w:val="22"/>
          <w:szCs w:val="22"/>
          <w:lang w:val="es-ES_tradnl"/>
        </w:rPr>
        <w:t>Acreditación</w:t>
      </w:r>
    </w:p>
    <w:p w14:paraId="367013D7" w14:textId="77777777" w:rsidR="0054133E" w:rsidRPr="00CC306F" w:rsidRDefault="0054133E" w:rsidP="0054133E">
      <w:pPr>
        <w:jc w:val="both"/>
        <w:rPr>
          <w:rFonts w:ascii="Geomanist Light" w:eastAsia="Calibri" w:hAnsi="Geomanist Light" w:cs="Arial"/>
          <w:b/>
          <w:sz w:val="22"/>
          <w:szCs w:val="22"/>
          <w:lang w:val="es-ES_tradnl"/>
        </w:rPr>
      </w:pPr>
    </w:p>
    <w:p w14:paraId="04B5EE75" w14:textId="77777777" w:rsidR="0054133E" w:rsidRPr="00CC306F" w:rsidRDefault="0054133E" w:rsidP="0054133E">
      <w:pPr>
        <w:spacing w:after="120"/>
        <w:jc w:val="both"/>
        <w:rPr>
          <w:rFonts w:ascii="Geomanist Light" w:eastAsia="Calibri" w:hAnsi="Geomanist Light" w:cs="Arial"/>
          <w:sz w:val="20"/>
          <w:szCs w:val="20"/>
          <w:lang w:val="es-ES_tradnl"/>
        </w:rPr>
      </w:pPr>
      <w:r w:rsidRPr="00CC306F">
        <w:rPr>
          <w:rFonts w:ascii="Geomanist Light" w:eastAsia="Calibri" w:hAnsi="Geomanist Light" w:cs="Arial"/>
          <w:sz w:val="20"/>
          <w:szCs w:val="20"/>
          <w:lang w:val="es-ES_tradnl"/>
        </w:rPr>
        <w:t>[…] el artículo 2.2.1.2.4.2.14 del Decreto 1082 de 2015, adicionado por el Decreto 1860 de 2021, reglamentó in extenso la forma de acreditar las circunstancias, los medios de prueba requeridos en cada evento y las autoridades que pueden emitir estos documentos, por lo que las entidades contratantes deberán acudir a su contenido detallado para la aplicación de cada requisito habilitante y el otorgamiento del puntaje adicional en sus procesos de contratación.</w:t>
      </w:r>
    </w:p>
    <w:p w14:paraId="5289BFB1" w14:textId="77777777" w:rsidR="0054133E" w:rsidRPr="00CC306F" w:rsidRDefault="0054133E" w:rsidP="0054133E">
      <w:pPr>
        <w:spacing w:after="120"/>
        <w:jc w:val="both"/>
        <w:rPr>
          <w:rFonts w:ascii="Geomanist Light" w:eastAsia="Calibri" w:hAnsi="Geomanist Light" w:cs="Arial"/>
          <w:sz w:val="20"/>
          <w:szCs w:val="20"/>
          <w:lang w:val="es-ES_tradnl"/>
        </w:rPr>
      </w:pPr>
      <w:r w:rsidRPr="00CC306F">
        <w:rPr>
          <w:rFonts w:ascii="Geomanist Light" w:eastAsia="Calibri" w:hAnsi="Geomanist Light" w:cs="Arial"/>
          <w:sz w:val="20"/>
          <w:szCs w:val="20"/>
          <w:lang w:val="es-ES_tradnl"/>
        </w:rPr>
        <w:t>[…] de acuerdo con la revisión de todos los numerales del artículo 2.2.1.2.4.2.14 es posible advertir que para cada uno de estos fueron expresamente establecidos los documentos que sirven como medio para su acreditación. De este modo dichos documentos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Esto significa que a quienes pretendan acceder a tales beneficios en consideración a las definiciones establecidas en los numerales 1 y 2 del artículo 2.2.1.2.4.2.14, les corresponde presentar la mencionada certificación con sus respectivos soportes.</w:t>
      </w:r>
    </w:p>
    <w:p w14:paraId="06C77E76" w14:textId="59606F26" w:rsidR="002C21DC" w:rsidRPr="00CC306F" w:rsidRDefault="002C21DC" w:rsidP="002C21DC">
      <w:pPr>
        <w:jc w:val="both"/>
        <w:rPr>
          <w:rFonts w:ascii="Geomanist Light" w:eastAsia="Calibri" w:hAnsi="Geomanist Light" w:cs="Arial"/>
          <w:b/>
          <w:color w:val="000000" w:themeColor="text1"/>
          <w:sz w:val="22"/>
          <w:szCs w:val="22"/>
          <w:lang w:val="es-ES"/>
        </w:rPr>
      </w:pPr>
      <w:r w:rsidRPr="00CC306F">
        <w:rPr>
          <w:rFonts w:ascii="Geomanist Light" w:eastAsia="Calibri" w:hAnsi="Geomanist Light" w:cs="Arial"/>
          <w:b/>
          <w:color w:val="000000" w:themeColor="text1"/>
          <w:sz w:val="22"/>
          <w:szCs w:val="22"/>
          <w:lang w:val="es-ES"/>
        </w:rPr>
        <w:t xml:space="preserve">DECRETO 1860 DE 2021 – Criterios diferenciales </w:t>
      </w:r>
      <w:r w:rsidR="00D01BA7" w:rsidRPr="00CC306F">
        <w:rPr>
          <w:rFonts w:ascii="Geomanist Light" w:eastAsia="Calibri" w:hAnsi="Geomanist Light" w:cs="Arial"/>
          <w:b/>
          <w:color w:val="000000" w:themeColor="text1"/>
          <w:sz w:val="22"/>
          <w:szCs w:val="22"/>
          <w:lang w:val="es-ES"/>
        </w:rPr>
        <w:t xml:space="preserve">y Puntajes Adicionales </w:t>
      </w:r>
      <w:r w:rsidRPr="00CC306F">
        <w:rPr>
          <w:rFonts w:ascii="Geomanist Light" w:eastAsia="Calibri" w:hAnsi="Geomanist Light" w:cs="Arial"/>
          <w:b/>
          <w:color w:val="000000" w:themeColor="text1"/>
          <w:sz w:val="22"/>
          <w:szCs w:val="22"/>
          <w:lang w:val="es-ES"/>
        </w:rPr>
        <w:t xml:space="preserve">– </w:t>
      </w:r>
      <w:proofErr w:type="spellStart"/>
      <w:r w:rsidRPr="00CC306F">
        <w:rPr>
          <w:rFonts w:ascii="Geomanist Light" w:eastAsia="Calibri" w:hAnsi="Geomanist Light" w:cs="Arial"/>
          <w:b/>
          <w:color w:val="000000" w:themeColor="text1"/>
          <w:sz w:val="22"/>
          <w:szCs w:val="22"/>
          <w:lang w:val="es-ES"/>
        </w:rPr>
        <w:t>Mipymes</w:t>
      </w:r>
      <w:proofErr w:type="spellEnd"/>
    </w:p>
    <w:p w14:paraId="2E4B323C" w14:textId="77777777" w:rsidR="002C21DC" w:rsidRPr="00CC306F" w:rsidRDefault="002C21DC" w:rsidP="002C21DC">
      <w:pPr>
        <w:jc w:val="both"/>
        <w:rPr>
          <w:rFonts w:ascii="Geomanist Light" w:hAnsi="Geomanist Light" w:cs="Arial"/>
          <w:sz w:val="22"/>
        </w:rPr>
      </w:pPr>
    </w:p>
    <w:p w14:paraId="15D2F893" w14:textId="77777777" w:rsidR="002C21DC" w:rsidRPr="00CC306F" w:rsidRDefault="002C21DC" w:rsidP="002C21DC">
      <w:pPr>
        <w:spacing w:after="120"/>
        <w:jc w:val="both"/>
        <w:rPr>
          <w:rFonts w:ascii="Geomanist Light" w:eastAsia="Calibri" w:hAnsi="Geomanist Light" w:cs="Arial"/>
          <w:sz w:val="20"/>
          <w:szCs w:val="20"/>
          <w:lang w:val="es-ES_tradnl"/>
        </w:rPr>
      </w:pPr>
      <w:r w:rsidRPr="00CC306F">
        <w:rPr>
          <w:rFonts w:ascii="Geomanist Light" w:eastAsia="Calibri" w:hAnsi="Geomanist Light" w:cs="Arial"/>
          <w:sz w:val="20"/>
          <w:szCs w:val="20"/>
          <w:lang w:val="es-ES_tradnl"/>
        </w:rPr>
        <w:t xml:space="preserve">El artículo 3 del Decreto 1860 de 2021, que adicionó el artículo 2.2.1.2.4.2.18 al Decreto 1082 de 2015 regula los criterios diferenciales para </w:t>
      </w:r>
      <w:proofErr w:type="spellStart"/>
      <w:r w:rsidRPr="00CC306F">
        <w:rPr>
          <w:rFonts w:ascii="Geomanist Light" w:eastAsia="Calibri" w:hAnsi="Geomanist Light" w:cs="Arial"/>
          <w:sz w:val="20"/>
          <w:szCs w:val="20"/>
          <w:lang w:val="es-ES_tradnl"/>
        </w:rPr>
        <w:t>Mipyme</w:t>
      </w:r>
      <w:proofErr w:type="spellEnd"/>
      <w:r w:rsidRPr="00CC306F">
        <w:rPr>
          <w:rFonts w:ascii="Geomanist Light" w:eastAsia="Calibri" w:hAnsi="Geomanist Light" w:cs="Arial"/>
          <w:sz w:val="20"/>
          <w:szCs w:val="20"/>
          <w:lang w:val="es-ES_tradnl"/>
        </w:rPr>
        <w:t xml:space="preserve"> en el sistema de compras públicas. Conforme a esta norma las entidades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w:t>
      </w:r>
      <w:proofErr w:type="spellStart"/>
      <w:r w:rsidRPr="00CC306F">
        <w:rPr>
          <w:rFonts w:ascii="Geomanist Light" w:eastAsia="Calibri" w:hAnsi="Geomanist Light" w:cs="Arial"/>
          <w:sz w:val="20"/>
          <w:szCs w:val="20"/>
          <w:lang w:val="es-ES_tradnl"/>
        </w:rPr>
        <w:t>Mipyme</w:t>
      </w:r>
      <w:proofErr w:type="spellEnd"/>
      <w:r w:rsidRPr="00CC306F">
        <w:rPr>
          <w:rFonts w:ascii="Geomanist Light" w:eastAsia="Calibri" w:hAnsi="Geomanist Light" w:cs="Arial"/>
          <w:sz w:val="20"/>
          <w:szCs w:val="20"/>
          <w:lang w:val="es-ES_tradnl"/>
        </w:rPr>
        <w:t xml:space="preserve"> domiciliadas en Colombia. </w:t>
      </w:r>
    </w:p>
    <w:p w14:paraId="5996CB89" w14:textId="77777777" w:rsidR="002C21DC" w:rsidRPr="00CC306F" w:rsidRDefault="002C21DC" w:rsidP="002C21DC">
      <w:pPr>
        <w:spacing w:after="120"/>
        <w:jc w:val="both"/>
        <w:rPr>
          <w:rFonts w:ascii="Geomanist Light" w:eastAsia="Calibri" w:hAnsi="Geomanist Light" w:cs="Arial"/>
          <w:sz w:val="20"/>
          <w:szCs w:val="20"/>
          <w:lang w:val="es-ES_tradnl"/>
        </w:rPr>
      </w:pPr>
      <w:r w:rsidRPr="00CC306F">
        <w:rPr>
          <w:rFonts w:ascii="Geomanist Light" w:eastAsia="Calibri" w:hAnsi="Geomanist Light" w:cs="Arial"/>
          <w:sz w:val="20"/>
          <w:szCs w:val="20"/>
          <w:lang w:val="es-ES_tradnl"/>
        </w:rPr>
        <w:t xml:space="preserve">Estos criterios en favor de las </w:t>
      </w:r>
      <w:proofErr w:type="spellStart"/>
      <w:r w:rsidRPr="00CC306F">
        <w:rPr>
          <w:rFonts w:ascii="Geomanist Light" w:eastAsia="Calibri" w:hAnsi="Geomanist Light" w:cs="Arial"/>
          <w:sz w:val="20"/>
          <w:szCs w:val="20"/>
          <w:lang w:val="es-ES_tradnl"/>
        </w:rPr>
        <w:t>Mipyme</w:t>
      </w:r>
      <w:proofErr w:type="spellEnd"/>
      <w:r w:rsidRPr="00CC306F">
        <w:rPr>
          <w:rFonts w:ascii="Geomanist Light" w:eastAsia="Calibri" w:hAnsi="Geomanist Light" w:cs="Arial"/>
          <w:sz w:val="20"/>
          <w:szCs w:val="20"/>
          <w:lang w:val="es-ES_tradnl"/>
        </w:rPr>
        <w:t xml:space="preserve"> buscan reducir las asimetrías entre estas y las grandes empresas para vincularse como proveedoras al mercado de compras públicas y, en consecuencia, promover y facilitar la participación en los procedimientos de selección competitivos de las </w:t>
      </w:r>
      <w:proofErr w:type="spellStart"/>
      <w:r w:rsidRPr="00CC306F">
        <w:rPr>
          <w:rFonts w:ascii="Geomanist Light" w:eastAsia="Calibri" w:hAnsi="Geomanist Light" w:cs="Arial"/>
          <w:sz w:val="20"/>
          <w:szCs w:val="20"/>
          <w:lang w:val="es-ES_tradnl"/>
        </w:rPr>
        <w:t>Mipyme</w:t>
      </w:r>
      <w:proofErr w:type="spellEnd"/>
      <w:r w:rsidRPr="00CC306F">
        <w:rPr>
          <w:rFonts w:ascii="Geomanist Light" w:eastAsia="Calibri" w:hAnsi="Geomanist Light" w:cs="Arial"/>
          <w:sz w:val="20"/>
          <w:szCs w:val="20"/>
          <w:lang w:val="es-ES_tradnl"/>
        </w:rPr>
        <w:t xml:space="preserve"> domiciliadas en Colombia. Para estos efectos, el artículo 2.2.1.2.4.2.18 del Decreto 1082 de 2015 estableció que, según los resultados del análisis del sector, en función de los criterios de clasificación empresarial, los documentos del proceso deberán incorporar requisitos habilitantes diferenciales relacionados con alguno o algunos de los siguientes aspectos: i) tiempo de experiencia, ii) número de contratos para la acreditación de la experiencia, iii) índices de capacidad financiera, iv) índices de capacidad organizacional y v) valor de la garantía de seriedad de la oferta. </w:t>
      </w:r>
    </w:p>
    <w:p w14:paraId="6770C7B6" w14:textId="2F63638A" w:rsidR="0054133E" w:rsidRPr="00CC306F" w:rsidRDefault="002C21DC" w:rsidP="002C21DC">
      <w:pPr>
        <w:jc w:val="both"/>
        <w:rPr>
          <w:rFonts w:ascii="Geomanist Light" w:eastAsia="Calibri" w:hAnsi="Geomanist Light" w:cs="Arial"/>
          <w:sz w:val="20"/>
          <w:szCs w:val="20"/>
          <w:lang w:val="es-ES_tradnl"/>
        </w:rPr>
      </w:pPr>
      <w:r w:rsidRPr="00CC306F">
        <w:rPr>
          <w:rFonts w:ascii="Geomanist Light" w:eastAsia="Calibri" w:hAnsi="Geomanist Light" w:cs="Arial"/>
          <w:sz w:val="20"/>
          <w:szCs w:val="20"/>
          <w:lang w:val="es-ES_tradnl"/>
        </w:rPr>
        <w:t xml:space="preserve">Lo anterior significa que para la determinación de los criterios diferenciales para </w:t>
      </w:r>
      <w:proofErr w:type="spellStart"/>
      <w:r w:rsidRPr="00CC306F">
        <w:rPr>
          <w:rFonts w:ascii="Geomanist Light" w:eastAsia="Calibri" w:hAnsi="Geomanist Light" w:cs="Arial"/>
          <w:sz w:val="20"/>
          <w:szCs w:val="20"/>
          <w:lang w:val="es-ES_tradnl"/>
        </w:rPr>
        <w:t>Mipyme</w:t>
      </w:r>
      <w:proofErr w:type="spellEnd"/>
      <w:r w:rsidRPr="00CC306F">
        <w:rPr>
          <w:rFonts w:ascii="Geomanist Light" w:eastAsia="Calibri" w:hAnsi="Geomanist Light" w:cs="Arial"/>
          <w:sz w:val="20"/>
          <w:szCs w:val="20"/>
          <w:lang w:val="es-ES_tradnl"/>
        </w:rPr>
        <w:t xml:space="preserve">, las entidades podrán escoger uno o algunos de estos requisitos habilitantes, los cuales deberán fijarse respetando las condiciones habilitantes requeridas para el cumplimiento adecuado del contrato. En tal sentido, se establecerán condiciones más exigentes respecto a alguno o algunos de los criterios de participación antes enunciados frente a los demás proponentes que concurran al procedimiento de selección que no sean </w:t>
      </w:r>
      <w:proofErr w:type="spellStart"/>
      <w:r w:rsidRPr="00CC306F">
        <w:rPr>
          <w:rFonts w:ascii="Geomanist Light" w:eastAsia="Calibri" w:hAnsi="Geomanist Light" w:cs="Arial"/>
          <w:sz w:val="20"/>
          <w:szCs w:val="20"/>
          <w:lang w:val="es-ES_tradnl"/>
        </w:rPr>
        <w:t>Mipyme</w:t>
      </w:r>
      <w:proofErr w:type="spellEnd"/>
      <w:r w:rsidRPr="00CC306F">
        <w:rPr>
          <w:rFonts w:ascii="Geomanist Light" w:eastAsia="Calibri" w:hAnsi="Geomanist Light" w:cs="Arial"/>
          <w:sz w:val="20"/>
          <w:szCs w:val="20"/>
          <w:lang w:val="es-ES_tradnl"/>
        </w:rPr>
        <w:t>.</w:t>
      </w:r>
    </w:p>
    <w:p w14:paraId="12EE6BA5" w14:textId="0E7CD421" w:rsidR="002C21DC" w:rsidRPr="00CC306F" w:rsidRDefault="002C21DC" w:rsidP="002C21DC">
      <w:pPr>
        <w:jc w:val="both"/>
        <w:rPr>
          <w:rFonts w:ascii="Geomanist Light" w:eastAsia="Calibri" w:hAnsi="Geomanist Light" w:cs="Arial"/>
          <w:color w:val="000000" w:themeColor="text1"/>
          <w:sz w:val="20"/>
          <w:szCs w:val="20"/>
          <w:bdr w:val="none" w:sz="0" w:space="0" w:color="auto" w:frame="1"/>
          <w:lang w:val="es-ES_tradnl"/>
        </w:rPr>
      </w:pPr>
    </w:p>
    <w:p w14:paraId="34A66FC0" w14:textId="016C3D21" w:rsidR="004A7882" w:rsidRPr="00DC1F8E" w:rsidRDefault="004A7882" w:rsidP="004A7882">
      <w:pPr>
        <w:jc w:val="both"/>
        <w:rPr>
          <w:rFonts w:ascii="Geomanist Light" w:eastAsia="Calibri" w:hAnsi="Geomanist Light" w:cs="Arial"/>
          <w:b/>
          <w:noProof/>
          <w:color w:val="1A1A1A" w:themeColor="background1" w:themeShade="1A"/>
          <w:sz w:val="22"/>
          <w:szCs w:val="22"/>
          <w:lang w:val="es-ES_tradnl"/>
        </w:rPr>
      </w:pPr>
      <w:r w:rsidRPr="00DC1F8E">
        <w:rPr>
          <w:rFonts w:ascii="Geomanist Light" w:eastAsia="Calibri" w:hAnsi="Geomanist Light" w:cs="Arial"/>
          <w:b/>
          <w:noProof/>
          <w:color w:val="1A1A1A" w:themeColor="background1" w:themeShade="1A"/>
          <w:sz w:val="22"/>
          <w:szCs w:val="22"/>
          <w:lang w:val="es-ES_tradnl"/>
        </w:rPr>
        <w:t xml:space="preserve">PRECIO – Noción – Determinación – Contratos estatales – </w:t>
      </w:r>
      <w:r w:rsidRPr="00DC1F8E">
        <w:rPr>
          <w:rFonts w:ascii="Geomanist Light" w:eastAsia="Arial" w:hAnsi="Geomanist Light" w:cs="Arial"/>
          <w:b/>
          <w:bCs/>
          <w:sz w:val="22"/>
          <w:szCs w:val="22"/>
          <w:lang w:val="es-ES"/>
        </w:rPr>
        <w:t xml:space="preserve">Autonomía </w:t>
      </w:r>
    </w:p>
    <w:p w14:paraId="7019EB2B" w14:textId="77777777" w:rsidR="004A7882" w:rsidRPr="00DC1F8E" w:rsidRDefault="004A7882" w:rsidP="004A7882">
      <w:pPr>
        <w:spacing w:line="276" w:lineRule="auto"/>
        <w:jc w:val="both"/>
        <w:rPr>
          <w:rFonts w:ascii="Geomanist Light" w:eastAsia="Calibri" w:hAnsi="Geomanist Light" w:cs="Arial"/>
          <w:lang w:val="es-ES_tradnl"/>
        </w:rPr>
      </w:pPr>
    </w:p>
    <w:p w14:paraId="54E85939" w14:textId="0D22801B" w:rsidR="00174D3B" w:rsidRPr="00174D3B" w:rsidRDefault="00174D3B" w:rsidP="00174D3B">
      <w:pPr>
        <w:spacing w:after="240"/>
        <w:jc w:val="both"/>
        <w:rPr>
          <w:rFonts w:ascii="Geomanist Light" w:eastAsia="Calibri" w:hAnsi="Geomanist Light" w:cs="Arial"/>
          <w:sz w:val="20"/>
          <w:szCs w:val="20"/>
          <w:lang w:val="es-ES_tradnl"/>
        </w:rPr>
      </w:pPr>
      <w:r w:rsidRPr="00CC306F">
        <w:rPr>
          <w:rFonts w:ascii="Geomanist Light" w:eastAsia="Calibri" w:hAnsi="Geomanist Light" w:cs="Arial"/>
          <w:sz w:val="20"/>
          <w:szCs w:val="20"/>
          <w:lang w:val="es-ES_tradnl"/>
        </w:rPr>
        <w:t xml:space="preserve">[…] </w:t>
      </w:r>
      <w:r w:rsidRPr="00174D3B">
        <w:rPr>
          <w:rFonts w:ascii="Geomanist Light" w:eastAsia="Calibri" w:hAnsi="Geomanist Light" w:cs="Arial"/>
          <w:sz w:val="20"/>
          <w:szCs w:val="20"/>
          <w:lang w:val="es-ES_tradnl"/>
        </w:rPr>
        <w:t xml:space="preserve">conforme se desprende del numeral 4 del artículo 2.2.1.1.2.1.1 del Decreto 1082 de 2015, uno de los aspectos principales que deben abarcar los estudios previos es el valor estimado del contrato </w:t>
      </w:r>
      <w:r w:rsidRPr="00174D3B">
        <w:rPr>
          <w:rFonts w:ascii="Geomanist Light" w:eastAsia="Calibri" w:hAnsi="Geomanist Light" w:cs="Arial"/>
          <w:sz w:val="20"/>
          <w:szCs w:val="20"/>
          <w:lang w:val="es-ES_tradnl"/>
        </w:rPr>
        <w:lastRenderedPageBreak/>
        <w:t xml:space="preserve">aparejado de su respectiva justificación. Para estos efectos resulta relevante la información recolectada en el marco del estudio del mercado y el análisis del sector económico y de los potenciales oferentes, actividades de planeación previa que sirven para identificar aspectos concretos del mercado que pueden afectar el proceso de selección o las condiciones del negocio a realizar mediante el proceso de contratación. En este sentido, el análisis del sector de las perspectivas legal, comercial, tributaria, financiera, organizacional, técnica, y de análisis de Riesgo, al que se refiere el artículo 2.2.1.1.1.6.1 del Decreto 1082 de 2015, constituye un insumo importante para determinar factores que pudieran determinar el valor del contrato y orientar a la entidad en torno al monto de la disponibilidad presupuestal que requiere a realizar la contratación.  Sin perjuicio de lo anterior, las entidades estatales son autónomas para estructurar los estudios previos, siempre y cuando se observen los aspectos que deben contener esos estudios, de conformidad con los artículos 2.2.1.1.1.6.1, 2.2.1.1.2.1.1 y 2.2.1.2.1.4.9 del Decreto 1082 de 2015. </w:t>
      </w:r>
    </w:p>
    <w:p w14:paraId="70B3BF17" w14:textId="77777777" w:rsidR="00174D3B" w:rsidRPr="00174D3B" w:rsidRDefault="00174D3B" w:rsidP="00174D3B">
      <w:pPr>
        <w:pStyle w:val="Textoindependiente"/>
        <w:spacing w:after="240"/>
        <w:ind w:right="49"/>
        <w:contextualSpacing/>
        <w:jc w:val="both"/>
        <w:rPr>
          <w:rFonts w:ascii="Geomanist Light" w:eastAsia="Calibri" w:hAnsi="Geomanist Light"/>
          <w:sz w:val="20"/>
          <w:szCs w:val="20"/>
          <w:lang w:val="es-ES_tradnl" w:eastAsia="es-ES_tradnl"/>
        </w:rPr>
      </w:pPr>
      <w:r w:rsidRPr="00174D3B">
        <w:rPr>
          <w:rFonts w:ascii="Geomanist Light" w:eastAsia="Calibri" w:hAnsi="Geomanist Light"/>
          <w:sz w:val="20"/>
          <w:szCs w:val="20"/>
          <w:lang w:val="es-ES_tradnl" w:eastAsia="es-ES_tradnl"/>
        </w:rPr>
        <w:t xml:space="preserve">De este modo, para el caso en particular, resulta relevante precisar que, ante la ausencia de reglamentación específica que establezca los criterios evaluación y la forma de asignación de puntajes en los procesos de selección, estos aspectos corresponden a un asunto que se debe establecer en los pliegos de condiciones de cada proceso de selección en forma individual y corresponde a las entidades estatales establecer las reglas para su aplicación por parte de los proponentes en el pliego de condiciones, con el propósito de dar a conocer los aspectos deben tenerse en cuenta a la hora de configurar sus ofertas. A partir de tales reglas, la entidad podrá exigir el desglose de determinados factores imputables a costos directos en determinada manera y en general, establecer los parámetros que garanticen el desarrollo de principios de la función administrativa. </w:t>
      </w:r>
    </w:p>
    <w:p w14:paraId="3AB6B7F6" w14:textId="77777777" w:rsidR="00174D3B" w:rsidRPr="00174D3B" w:rsidRDefault="00174D3B" w:rsidP="00174D3B">
      <w:pPr>
        <w:pStyle w:val="Textoindependiente"/>
        <w:spacing w:after="240"/>
        <w:ind w:right="227"/>
        <w:contextualSpacing/>
        <w:jc w:val="both"/>
        <w:rPr>
          <w:rFonts w:ascii="Geomanist Light" w:eastAsia="Calibri" w:hAnsi="Geomanist Light"/>
          <w:sz w:val="20"/>
          <w:szCs w:val="20"/>
          <w:lang w:val="es-ES_tradnl" w:eastAsia="es-ES_tradnl"/>
        </w:rPr>
      </w:pPr>
    </w:p>
    <w:p w14:paraId="0EBC33B5" w14:textId="77777777" w:rsidR="00174D3B" w:rsidRPr="00174D3B" w:rsidRDefault="00174D3B" w:rsidP="00174D3B">
      <w:pPr>
        <w:pStyle w:val="Textoindependiente"/>
        <w:spacing w:after="240"/>
        <w:ind w:right="49"/>
        <w:contextualSpacing/>
        <w:jc w:val="both"/>
        <w:rPr>
          <w:rFonts w:ascii="Geomanist Light" w:eastAsia="Calibri" w:hAnsi="Geomanist Light"/>
          <w:sz w:val="20"/>
          <w:szCs w:val="20"/>
          <w:lang w:val="es-ES_tradnl" w:eastAsia="es-ES_tradnl"/>
        </w:rPr>
      </w:pPr>
      <w:r w:rsidRPr="00174D3B">
        <w:rPr>
          <w:rFonts w:ascii="Geomanist Light" w:eastAsia="Calibri" w:hAnsi="Geomanist Light"/>
          <w:sz w:val="20"/>
          <w:szCs w:val="20"/>
          <w:lang w:val="es-ES_tradnl" w:eastAsia="es-ES_tradnl"/>
        </w:rPr>
        <w:t>Sin perjuicio de lo anterior, Colombia Compra Eficiente dispone de una «Guía para la Elaboración de Estudios del Sector»,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 En este instrumento se recomienda un análisis integral sobre varios aspectos del mercado –económico, técnico, regulatorio, etc.,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p>
    <w:p w14:paraId="6FEDA908" w14:textId="0FCE900D" w:rsidR="002C21DC" w:rsidRPr="00174D3B" w:rsidRDefault="002C21DC" w:rsidP="002C21DC">
      <w:pPr>
        <w:jc w:val="both"/>
        <w:rPr>
          <w:rFonts w:ascii="Geomanist Light" w:eastAsia="Calibri" w:hAnsi="Geomanist Light" w:cs="Arial"/>
          <w:color w:val="000000" w:themeColor="text1"/>
          <w:sz w:val="20"/>
          <w:szCs w:val="20"/>
          <w:bdr w:val="none" w:sz="0" w:space="0" w:color="auto" w:frame="1"/>
        </w:rPr>
      </w:pPr>
    </w:p>
    <w:p w14:paraId="0278F275" w14:textId="54C93E97" w:rsidR="002C21DC" w:rsidRPr="00CC306F" w:rsidRDefault="002C21DC" w:rsidP="002C21DC">
      <w:pPr>
        <w:jc w:val="both"/>
        <w:rPr>
          <w:rFonts w:ascii="Geomanist Light" w:eastAsia="Calibri" w:hAnsi="Geomanist Light" w:cs="Arial"/>
          <w:color w:val="000000" w:themeColor="text1"/>
          <w:sz w:val="20"/>
          <w:szCs w:val="20"/>
          <w:bdr w:val="none" w:sz="0" w:space="0" w:color="auto" w:frame="1"/>
          <w:lang w:val="es-ES_tradnl"/>
        </w:rPr>
      </w:pPr>
    </w:p>
    <w:p w14:paraId="4772F96D" w14:textId="28A06622" w:rsidR="002C21DC" w:rsidRPr="00CC306F" w:rsidRDefault="002C21DC" w:rsidP="002C21DC">
      <w:pPr>
        <w:jc w:val="both"/>
        <w:rPr>
          <w:rFonts w:ascii="Geomanist Light" w:eastAsia="Calibri" w:hAnsi="Geomanist Light" w:cs="Arial"/>
          <w:color w:val="000000" w:themeColor="text1"/>
          <w:sz w:val="20"/>
          <w:szCs w:val="20"/>
          <w:bdr w:val="none" w:sz="0" w:space="0" w:color="auto" w:frame="1"/>
          <w:lang w:val="es-ES_tradnl"/>
        </w:rPr>
      </w:pPr>
    </w:p>
    <w:p w14:paraId="2C7AEA2A" w14:textId="598F752A" w:rsidR="002C21DC" w:rsidRPr="00CC306F" w:rsidRDefault="002C21DC" w:rsidP="002C21DC">
      <w:pPr>
        <w:jc w:val="both"/>
        <w:rPr>
          <w:rFonts w:ascii="Geomanist Light" w:eastAsia="Calibri" w:hAnsi="Geomanist Light" w:cs="Arial"/>
          <w:color w:val="000000" w:themeColor="text1"/>
          <w:sz w:val="20"/>
          <w:szCs w:val="20"/>
          <w:bdr w:val="none" w:sz="0" w:space="0" w:color="auto" w:frame="1"/>
          <w:lang w:val="es-ES_tradnl"/>
        </w:rPr>
      </w:pPr>
    </w:p>
    <w:p w14:paraId="6F8EB455" w14:textId="64947288" w:rsidR="00CC306F" w:rsidRPr="00CC306F" w:rsidRDefault="00CC306F">
      <w:pPr>
        <w:spacing w:after="120" w:line="276" w:lineRule="auto"/>
        <w:ind w:firstLine="709"/>
        <w:jc w:val="both"/>
        <w:rPr>
          <w:rFonts w:ascii="Geomanist Light" w:hAnsi="Geomanist Light" w:cs="Arial"/>
          <w:sz w:val="20"/>
          <w:szCs w:val="20"/>
        </w:rPr>
      </w:pPr>
      <w:r w:rsidRPr="00CC306F">
        <w:rPr>
          <w:rFonts w:ascii="Geomanist Light" w:hAnsi="Geomanist Light" w:cs="Arial"/>
          <w:sz w:val="20"/>
          <w:szCs w:val="20"/>
        </w:rPr>
        <w:br w:type="page"/>
      </w:r>
    </w:p>
    <w:p w14:paraId="2DFABE93" w14:textId="10879EBD" w:rsidR="002C21DC" w:rsidRPr="00CC306F" w:rsidRDefault="00573B69" w:rsidP="002C21DC">
      <w:pPr>
        <w:jc w:val="both"/>
        <w:rPr>
          <w:rFonts w:ascii="Geomanist Light" w:hAnsi="Geomanist Light" w:cs="Arial"/>
          <w:sz w:val="20"/>
          <w:szCs w:val="20"/>
        </w:rPr>
      </w:pPr>
      <w:r>
        <w:rPr>
          <w:rFonts w:ascii="Geomanist Light" w:hAnsi="Geomanist Light" w:cs="Arial"/>
          <w:sz w:val="20"/>
          <w:szCs w:val="20"/>
        </w:rPr>
        <w:lastRenderedPageBreak/>
        <w:t xml:space="preserve">Bogotá D.C. 28 de </w:t>
      </w:r>
      <w:proofErr w:type="gramStart"/>
      <w:r>
        <w:rPr>
          <w:rFonts w:ascii="Geomanist Light" w:hAnsi="Geomanist Light" w:cs="Arial"/>
          <w:sz w:val="20"/>
          <w:szCs w:val="20"/>
        </w:rPr>
        <w:t>Diciembre</w:t>
      </w:r>
      <w:proofErr w:type="gramEnd"/>
      <w:r>
        <w:rPr>
          <w:rFonts w:ascii="Geomanist Light" w:hAnsi="Geomanist Light" w:cs="Arial"/>
          <w:sz w:val="20"/>
          <w:szCs w:val="20"/>
        </w:rPr>
        <w:t xml:space="preserve"> de 2022</w:t>
      </w:r>
    </w:p>
    <w:p w14:paraId="164E07D2" w14:textId="77777777" w:rsidR="00573B69" w:rsidRDefault="00573B69" w:rsidP="00737250">
      <w:pPr>
        <w:jc w:val="both"/>
        <w:rPr>
          <w:rFonts w:ascii="Geomanist Light" w:eastAsia="Calibri" w:hAnsi="Geomanist Light" w:cs="Arial"/>
          <w:sz w:val="22"/>
          <w:szCs w:val="22"/>
          <w:lang w:val="es-ES_tradnl"/>
        </w:rPr>
      </w:pPr>
    </w:p>
    <w:p w14:paraId="5399D271" w14:textId="17CFD421" w:rsidR="00573B69" w:rsidRDefault="00573B69" w:rsidP="00573B69">
      <w:pPr>
        <w:jc w:val="right"/>
        <w:rPr>
          <w:rFonts w:ascii="Geomanist Light" w:eastAsia="Calibri" w:hAnsi="Geomanist Light" w:cs="Arial"/>
          <w:sz w:val="22"/>
          <w:szCs w:val="22"/>
          <w:lang w:val="es-ES_tradnl"/>
        </w:rPr>
      </w:pPr>
      <w:r>
        <w:rPr>
          <w:noProof/>
          <w:lang w:val="en-US" w:eastAsia="en-US"/>
        </w:rPr>
        <w:drawing>
          <wp:inline distT="0" distB="0" distL="0" distR="0" wp14:anchorId="1B09A39F" wp14:editId="6AE3F821">
            <wp:extent cx="3100633" cy="733646"/>
            <wp:effectExtent l="0" t="0" r="508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45480" t="63688" r="8847" b="17090"/>
                    <a:stretch/>
                  </pic:blipFill>
                  <pic:spPr bwMode="auto">
                    <a:xfrm>
                      <a:off x="0" y="0"/>
                      <a:ext cx="3116668" cy="737440"/>
                    </a:xfrm>
                    <a:prstGeom prst="rect">
                      <a:avLst/>
                    </a:prstGeom>
                    <a:ln>
                      <a:noFill/>
                    </a:ln>
                    <a:extLst>
                      <a:ext uri="{53640926-AAD7-44D8-BBD7-CCE9431645EC}">
                        <a14:shadowObscured xmlns:a14="http://schemas.microsoft.com/office/drawing/2010/main"/>
                      </a:ext>
                    </a:extLst>
                  </pic:spPr>
                </pic:pic>
              </a:graphicData>
            </a:graphic>
          </wp:inline>
        </w:drawing>
      </w:r>
    </w:p>
    <w:p w14:paraId="28522DFC" w14:textId="77777777" w:rsidR="00573B69" w:rsidRDefault="00573B69" w:rsidP="00737250">
      <w:pPr>
        <w:jc w:val="both"/>
        <w:rPr>
          <w:rFonts w:ascii="Geomanist Light" w:eastAsia="Calibri" w:hAnsi="Geomanist Light" w:cs="Arial"/>
          <w:sz w:val="22"/>
          <w:szCs w:val="22"/>
          <w:lang w:val="es-ES_tradnl"/>
        </w:rPr>
      </w:pPr>
    </w:p>
    <w:p w14:paraId="3C8F51D2" w14:textId="033877A2" w:rsidR="005520DD" w:rsidRPr="00CC306F" w:rsidRDefault="005520DD" w:rsidP="00737250">
      <w:pPr>
        <w:jc w:val="both"/>
        <w:rPr>
          <w:rFonts w:ascii="Geomanist Light" w:eastAsia="Calibri" w:hAnsi="Geomanist Light" w:cs="Arial"/>
          <w:sz w:val="22"/>
          <w:szCs w:val="22"/>
          <w:lang w:val="es-ES_tradnl"/>
        </w:rPr>
      </w:pPr>
      <w:r w:rsidRPr="00CC306F">
        <w:rPr>
          <w:rFonts w:ascii="Geomanist Light" w:eastAsia="Calibri" w:hAnsi="Geomanist Light" w:cs="Arial"/>
          <w:sz w:val="22"/>
          <w:szCs w:val="22"/>
          <w:lang w:val="es-ES_tradnl"/>
        </w:rPr>
        <w:t>Señor</w:t>
      </w:r>
    </w:p>
    <w:p w14:paraId="52F8E257" w14:textId="77777777" w:rsidR="00A30D60" w:rsidRPr="00CC306F" w:rsidRDefault="000013B6" w:rsidP="00737250">
      <w:pPr>
        <w:contextualSpacing/>
        <w:jc w:val="both"/>
        <w:rPr>
          <w:rFonts w:ascii="Geomanist Light" w:eastAsia="Calibri" w:hAnsi="Geomanist Light" w:cs="Arial"/>
          <w:b/>
          <w:bCs/>
          <w:sz w:val="22"/>
          <w:szCs w:val="22"/>
          <w:lang w:val="es-ES"/>
        </w:rPr>
      </w:pPr>
      <w:r w:rsidRPr="00CC306F">
        <w:rPr>
          <w:rFonts w:ascii="Geomanist Light" w:eastAsia="Calibri" w:hAnsi="Geomanist Light" w:cs="Arial"/>
          <w:b/>
          <w:bCs/>
          <w:sz w:val="22"/>
          <w:szCs w:val="22"/>
          <w:lang w:val="es-ES"/>
        </w:rPr>
        <w:t>Cesar Augusto Cruz Chacón</w:t>
      </w:r>
    </w:p>
    <w:p w14:paraId="6142BB61" w14:textId="6F53E5F0" w:rsidR="005520DD" w:rsidRPr="00CC306F" w:rsidRDefault="00A30D60" w:rsidP="00DA573C">
      <w:pPr>
        <w:contextualSpacing/>
        <w:jc w:val="both"/>
        <w:rPr>
          <w:rFonts w:ascii="Geomanist Light" w:eastAsia="Calibri" w:hAnsi="Geomanist Light" w:cs="Arial"/>
          <w:b/>
          <w:bCs/>
          <w:sz w:val="22"/>
          <w:szCs w:val="22"/>
          <w:lang w:val="es-ES"/>
        </w:rPr>
      </w:pPr>
      <w:r w:rsidRPr="00CC306F">
        <w:rPr>
          <w:rFonts w:ascii="Geomanist Light" w:eastAsia="Calibri" w:hAnsi="Geomanist Light" w:cs="Arial"/>
          <w:b/>
          <w:bCs/>
          <w:sz w:val="22"/>
          <w:szCs w:val="22"/>
          <w:lang w:val="es-ES"/>
        </w:rPr>
        <w:t>CONSTRUSERVICIOS SAS</w:t>
      </w:r>
      <w:r w:rsidR="000013B6" w:rsidRPr="00CC306F">
        <w:rPr>
          <w:rFonts w:ascii="Geomanist Light" w:eastAsia="Calibri" w:hAnsi="Geomanist Light" w:cs="Arial"/>
          <w:b/>
          <w:bCs/>
          <w:sz w:val="22"/>
          <w:szCs w:val="22"/>
          <w:lang w:val="es-ES"/>
        </w:rPr>
        <w:t xml:space="preserve"> </w:t>
      </w:r>
    </w:p>
    <w:p w14:paraId="581B6D20" w14:textId="5AC2BBB6" w:rsidR="005520DD" w:rsidRPr="00CC306F" w:rsidRDefault="000013B6" w:rsidP="00DA573C">
      <w:pPr>
        <w:contextualSpacing/>
        <w:jc w:val="both"/>
        <w:rPr>
          <w:rFonts w:ascii="Geomanist Light" w:eastAsia="Calibri" w:hAnsi="Geomanist Light" w:cs="Arial"/>
          <w:sz w:val="22"/>
          <w:szCs w:val="22"/>
          <w:lang w:val="es-ES_tradnl"/>
        </w:rPr>
      </w:pPr>
      <w:r w:rsidRPr="00CC306F">
        <w:rPr>
          <w:rFonts w:ascii="Geomanist Light" w:eastAsia="Calibri" w:hAnsi="Geomanist Light" w:cs="Arial"/>
          <w:sz w:val="22"/>
          <w:szCs w:val="22"/>
          <w:lang w:val="es-ES"/>
        </w:rPr>
        <w:t>Tunja, Boyacá</w:t>
      </w:r>
    </w:p>
    <w:p w14:paraId="5118151B" w14:textId="77777777" w:rsidR="005520DD" w:rsidRPr="00CC306F" w:rsidRDefault="005520DD" w:rsidP="00DA573C">
      <w:pPr>
        <w:contextualSpacing/>
        <w:jc w:val="both"/>
        <w:rPr>
          <w:rFonts w:ascii="Geomanist Light" w:eastAsia="Calibri" w:hAnsi="Geomanist Light" w:cs="Arial"/>
          <w:sz w:val="22"/>
          <w:szCs w:val="22"/>
          <w:lang w:val="es-ES_tradnl"/>
        </w:rPr>
      </w:pPr>
    </w:p>
    <w:p w14:paraId="23EE8F31" w14:textId="52DDBF32" w:rsidR="005520DD" w:rsidRPr="00CC306F" w:rsidRDefault="005520DD" w:rsidP="00DA573C">
      <w:pPr>
        <w:contextualSpacing/>
        <w:rPr>
          <w:rFonts w:ascii="Geomanist Light" w:eastAsia="Calibri" w:hAnsi="Geomanist Light" w:cs="Arial"/>
          <w:b/>
          <w:bCs/>
          <w:sz w:val="22"/>
          <w:szCs w:val="22"/>
          <w:lang w:val="es-ES_tradnl"/>
        </w:rPr>
      </w:pPr>
      <w:r w:rsidRPr="00CC306F">
        <w:rPr>
          <w:rFonts w:ascii="Geomanist Light" w:eastAsia="Calibri" w:hAnsi="Geomanist Light" w:cs="Arial"/>
          <w:b/>
          <w:bCs/>
          <w:sz w:val="22"/>
          <w:szCs w:val="22"/>
          <w:lang w:val="es-ES_tradnl"/>
        </w:rPr>
        <w:t xml:space="preserve">                                            </w:t>
      </w:r>
      <w:r w:rsidR="00A71E9F" w:rsidRPr="00CC306F">
        <w:rPr>
          <w:rFonts w:ascii="Geomanist Light" w:eastAsia="Calibri" w:hAnsi="Geomanist Light" w:cs="Arial"/>
          <w:b/>
          <w:bCs/>
          <w:sz w:val="22"/>
          <w:szCs w:val="22"/>
          <w:lang w:val="es-ES_tradnl"/>
        </w:rPr>
        <w:t xml:space="preserve">          </w:t>
      </w:r>
      <w:r w:rsidRPr="00CC306F">
        <w:rPr>
          <w:rFonts w:ascii="Geomanist Light" w:eastAsia="Calibri" w:hAnsi="Geomanist Light" w:cs="Arial"/>
          <w:b/>
          <w:bCs/>
          <w:sz w:val="22"/>
          <w:szCs w:val="22"/>
          <w:lang w:val="es-ES_tradnl"/>
        </w:rPr>
        <w:t xml:space="preserve">Concepto C ‒ </w:t>
      </w:r>
      <w:r w:rsidR="00E2301F" w:rsidRPr="00CC306F">
        <w:rPr>
          <w:rFonts w:ascii="Geomanist Light" w:eastAsia="Calibri" w:hAnsi="Geomanist Light" w:cs="Arial"/>
          <w:b/>
          <w:bCs/>
          <w:sz w:val="22"/>
          <w:szCs w:val="22"/>
          <w:lang w:val="es-ES_tradnl"/>
        </w:rPr>
        <w:t>9</w:t>
      </w:r>
      <w:r w:rsidR="00E225AA" w:rsidRPr="00CC306F">
        <w:rPr>
          <w:rFonts w:ascii="Geomanist Light" w:eastAsia="Calibri" w:hAnsi="Geomanist Light" w:cs="Arial"/>
          <w:b/>
          <w:bCs/>
          <w:sz w:val="22"/>
          <w:szCs w:val="22"/>
          <w:lang w:val="es-ES_tradnl"/>
        </w:rPr>
        <w:t>2</w:t>
      </w:r>
      <w:r w:rsidR="00E2301F" w:rsidRPr="00CC306F">
        <w:rPr>
          <w:rFonts w:ascii="Geomanist Light" w:eastAsia="Calibri" w:hAnsi="Geomanist Light" w:cs="Arial"/>
          <w:b/>
          <w:bCs/>
          <w:sz w:val="22"/>
          <w:szCs w:val="22"/>
          <w:lang w:val="es-ES_tradnl"/>
        </w:rPr>
        <w:t>6</w:t>
      </w:r>
      <w:r w:rsidRPr="00CC306F">
        <w:rPr>
          <w:rFonts w:ascii="Geomanist Light" w:eastAsia="Calibri" w:hAnsi="Geomanist Light" w:cs="Arial"/>
          <w:b/>
          <w:bCs/>
          <w:sz w:val="22"/>
          <w:szCs w:val="22"/>
          <w:lang w:val="es-ES_tradnl"/>
        </w:rPr>
        <w:t xml:space="preserve"> de 2022</w:t>
      </w:r>
    </w:p>
    <w:p w14:paraId="11F8113D" w14:textId="77777777" w:rsidR="005520DD" w:rsidRPr="00CC306F" w:rsidRDefault="005520DD" w:rsidP="00DA573C">
      <w:pPr>
        <w:contextualSpacing/>
        <w:jc w:val="both"/>
        <w:rPr>
          <w:rFonts w:ascii="Geomanist Light" w:eastAsia="Calibri" w:hAnsi="Geomanist Light" w:cs="Arial"/>
          <w:sz w:val="22"/>
          <w:szCs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520DD" w:rsidRPr="00CC306F" w14:paraId="199CEE70" w14:textId="77777777" w:rsidTr="009D35D5">
        <w:trPr>
          <w:trHeight w:val="1099"/>
        </w:trPr>
        <w:tc>
          <w:tcPr>
            <w:tcW w:w="2689" w:type="dxa"/>
          </w:tcPr>
          <w:p w14:paraId="74B9FABE" w14:textId="77777777" w:rsidR="005520DD" w:rsidRPr="00CC306F" w:rsidRDefault="005520DD" w:rsidP="00DA573C">
            <w:pPr>
              <w:contextualSpacing/>
              <w:jc w:val="both"/>
              <w:rPr>
                <w:rFonts w:ascii="Geomanist Light" w:eastAsia="Calibri" w:hAnsi="Geomanist Light" w:cs="Arial"/>
                <w:sz w:val="22"/>
                <w:szCs w:val="22"/>
                <w:lang w:val="es-ES_tradnl"/>
              </w:rPr>
            </w:pPr>
            <w:r w:rsidRPr="00CC306F">
              <w:rPr>
                <w:rFonts w:ascii="Geomanist Light" w:eastAsia="Calibri" w:hAnsi="Geomanist Light" w:cs="Arial"/>
                <w:b/>
                <w:sz w:val="22"/>
                <w:szCs w:val="22"/>
                <w:lang w:val="es-ES_tradnl"/>
              </w:rPr>
              <w:t>Temas:</w:t>
            </w:r>
            <w:r w:rsidRPr="00CC306F">
              <w:rPr>
                <w:rFonts w:ascii="Geomanist Light" w:eastAsia="Calibri" w:hAnsi="Geomanist Light" w:cs="Arial"/>
                <w:sz w:val="22"/>
                <w:szCs w:val="22"/>
                <w:lang w:val="es-ES_tradnl"/>
              </w:rPr>
              <w:t xml:space="preserve">                                      </w:t>
            </w:r>
          </w:p>
        </w:tc>
        <w:tc>
          <w:tcPr>
            <w:tcW w:w="6237" w:type="dxa"/>
          </w:tcPr>
          <w:p w14:paraId="3DD75764" w14:textId="0D41929B" w:rsidR="00585261" w:rsidRPr="00CC306F" w:rsidRDefault="00E225AA" w:rsidP="004F152E">
            <w:pPr>
              <w:contextualSpacing/>
              <w:jc w:val="both"/>
              <w:rPr>
                <w:rFonts w:ascii="Geomanist Light" w:hAnsi="Geomanist Light" w:cs="Arial"/>
                <w:bCs/>
                <w:sz w:val="22"/>
                <w:szCs w:val="22"/>
              </w:rPr>
            </w:pPr>
            <w:r w:rsidRPr="00CC306F">
              <w:rPr>
                <w:rFonts w:ascii="Geomanist Light" w:hAnsi="Geomanist Light" w:cs="Arial"/>
                <w:bCs/>
                <w:sz w:val="22"/>
                <w:szCs w:val="22"/>
              </w:rPr>
              <w:t xml:space="preserve">COLOMBIA COMPRA EFICIENTE – Competencia Consultiva – Contratación Estatal – Normas Generales / </w:t>
            </w:r>
            <w:r w:rsidR="00D0167A" w:rsidRPr="00CC306F">
              <w:rPr>
                <w:rFonts w:ascii="Geomanist Light" w:hAnsi="Geomanist Light" w:cs="Arial"/>
                <w:bCs/>
                <w:sz w:val="22"/>
                <w:szCs w:val="22"/>
              </w:rPr>
              <w:t>DOCUMENTOS TIPO – Fundamento normativo – Generalidades / PERSONAS CON DISCAPACIDAD – Puntaje adicional – Fundamento normativo / PUNTAJE ADICIONAL – Personas con discapacidad – Requisitos – Acreditación – Formato 8</w:t>
            </w:r>
            <w:r w:rsidR="00502E9D" w:rsidRPr="00CC306F">
              <w:rPr>
                <w:rFonts w:ascii="Geomanist Light" w:hAnsi="Geomanist Light" w:cs="Arial"/>
                <w:bCs/>
                <w:sz w:val="22"/>
                <w:szCs w:val="22"/>
              </w:rPr>
              <w:t xml:space="preserve"> / SOLICITUD DE ACLARACIONES – Propuesta – Aspectos oscuros o confusos</w:t>
            </w:r>
            <w:r w:rsidR="00737250" w:rsidRPr="00CC306F">
              <w:rPr>
                <w:rFonts w:ascii="Geomanist Light" w:hAnsi="Geomanist Light" w:cs="Arial"/>
                <w:bCs/>
                <w:sz w:val="22"/>
                <w:szCs w:val="22"/>
              </w:rPr>
              <w:t xml:space="preserve"> / </w:t>
            </w:r>
            <w:r w:rsidR="00737250" w:rsidRPr="00CC306F">
              <w:rPr>
                <w:rFonts w:ascii="Geomanist Light" w:eastAsia="Calibri" w:hAnsi="Geomanist Light" w:cs="Arial"/>
                <w:color w:val="000000" w:themeColor="text1"/>
                <w:sz w:val="22"/>
                <w:szCs w:val="22"/>
              </w:rPr>
              <w:t xml:space="preserve">LEY DE EMPRENDIMIENTO – Ley 2069 de 2020 – Finalidad / </w:t>
            </w:r>
            <w:r w:rsidR="00737250" w:rsidRPr="00CC306F">
              <w:rPr>
                <w:rFonts w:ascii="Geomanist Light" w:eastAsia="Calibri" w:hAnsi="Geomanist Light" w:cs="Arial"/>
                <w:color w:val="000000" w:themeColor="text1"/>
                <w:sz w:val="22"/>
              </w:rPr>
              <w:t xml:space="preserve">LEY DE EMPRENDIMIENTO – Ley 2069 de 2020 – Artículo 32 – Criterios diferenciales – Emprendimientos de mujeres – Empresas de mujeres – Necesidad de reglamentación – Decreto 1860 de 2021 / </w:t>
            </w:r>
            <w:r w:rsidR="00737250" w:rsidRPr="00CC306F">
              <w:rPr>
                <w:rFonts w:ascii="Geomanist Light" w:eastAsia="Calibri" w:hAnsi="Geomanist Light" w:cs="Arial"/>
                <w:color w:val="000000" w:themeColor="text1"/>
                <w:sz w:val="22"/>
                <w:szCs w:val="22"/>
                <w:lang w:val="es-ES"/>
              </w:rPr>
              <w:t>DECRETO 1860 DE 2021 – Vigencia / DECRETO 1860 DE 2021 – Emprendimientos y empresas de mujeres – Definición – Artículo 2.2.1.2.4.2.14 –</w:t>
            </w:r>
            <w:r w:rsidR="00737250" w:rsidRPr="00CC306F">
              <w:rPr>
                <w:rFonts w:ascii="Geomanist Light" w:eastAsia="Calibri" w:hAnsi="Geomanist Light" w:cs="Arial"/>
                <w:sz w:val="22"/>
                <w:szCs w:val="22"/>
                <w:lang w:val="es-ES_tradnl"/>
              </w:rPr>
              <w:t>Acreditación /</w:t>
            </w:r>
            <w:r w:rsidR="00625319" w:rsidRPr="00CC306F">
              <w:rPr>
                <w:rFonts w:ascii="Geomanist Light" w:eastAsia="Calibri" w:hAnsi="Geomanist Light" w:cs="Arial"/>
                <w:sz w:val="22"/>
                <w:szCs w:val="22"/>
                <w:lang w:val="es-ES_tradnl"/>
              </w:rPr>
              <w:t xml:space="preserve"> </w:t>
            </w:r>
            <w:r w:rsidR="00737250" w:rsidRPr="00CC306F">
              <w:rPr>
                <w:rFonts w:ascii="Geomanist Light" w:eastAsia="Calibri" w:hAnsi="Geomanist Light" w:cs="Arial"/>
                <w:sz w:val="22"/>
                <w:szCs w:val="22"/>
                <w:lang w:val="es-ES_tradnl"/>
              </w:rPr>
              <w:t xml:space="preserve"> </w:t>
            </w:r>
            <w:r w:rsidR="00215578" w:rsidRPr="00CC306F">
              <w:rPr>
                <w:rFonts w:ascii="Geomanist Light" w:eastAsia="Calibri" w:hAnsi="Geomanist Light" w:cs="Arial"/>
                <w:color w:val="000000" w:themeColor="text1"/>
                <w:sz w:val="22"/>
                <w:szCs w:val="22"/>
                <w:lang w:val="es-ES"/>
              </w:rPr>
              <w:t xml:space="preserve">DECRETO 1860 DE 2021 – Criterios diferenciales y Puntajes Adicionales – </w:t>
            </w:r>
            <w:proofErr w:type="spellStart"/>
            <w:r w:rsidR="00215578" w:rsidRPr="00CC306F">
              <w:rPr>
                <w:rFonts w:ascii="Geomanist Light" w:eastAsia="Calibri" w:hAnsi="Geomanist Light" w:cs="Arial"/>
                <w:color w:val="000000" w:themeColor="text1"/>
                <w:sz w:val="22"/>
                <w:szCs w:val="22"/>
                <w:lang w:val="es-ES"/>
              </w:rPr>
              <w:t>Mipymes</w:t>
            </w:r>
            <w:proofErr w:type="spellEnd"/>
            <w:r w:rsidR="00B222A6" w:rsidRPr="00CC306F">
              <w:rPr>
                <w:rFonts w:ascii="Geomanist Light" w:eastAsia="Calibri" w:hAnsi="Geomanist Light" w:cs="Arial"/>
                <w:color w:val="000000" w:themeColor="text1"/>
                <w:sz w:val="22"/>
                <w:szCs w:val="22"/>
                <w:lang w:val="es-ES"/>
              </w:rPr>
              <w:t xml:space="preserve"> </w:t>
            </w:r>
            <w:r w:rsidR="00B222A6" w:rsidRPr="005504DA">
              <w:rPr>
                <w:rFonts w:ascii="Geomanist Light" w:eastAsia="Calibri" w:hAnsi="Geomanist Light" w:cs="Arial"/>
                <w:color w:val="000000" w:themeColor="text1"/>
                <w:sz w:val="22"/>
                <w:szCs w:val="22"/>
                <w:lang w:val="es-ES"/>
              </w:rPr>
              <w:t xml:space="preserve">/ </w:t>
            </w:r>
            <w:r w:rsidR="005504DA" w:rsidRPr="005504DA">
              <w:rPr>
                <w:rFonts w:ascii="Geomanist Light" w:eastAsia="Calibri" w:hAnsi="Geomanist Light" w:cs="Arial"/>
                <w:noProof/>
                <w:color w:val="1A1A1A" w:themeColor="background1" w:themeShade="1A"/>
                <w:sz w:val="22"/>
                <w:szCs w:val="22"/>
                <w:lang w:val="es-ES_tradnl"/>
              </w:rPr>
              <w:t xml:space="preserve">PRECIO – Noción – Determinación – Contratos estatales – </w:t>
            </w:r>
            <w:r w:rsidR="005504DA" w:rsidRPr="005504DA">
              <w:rPr>
                <w:rFonts w:ascii="Geomanist Light" w:eastAsia="Arial" w:hAnsi="Geomanist Light" w:cs="Arial"/>
                <w:bCs/>
                <w:sz w:val="22"/>
                <w:szCs w:val="22"/>
                <w:lang w:val="es-ES"/>
              </w:rPr>
              <w:t>Autonomía</w:t>
            </w:r>
          </w:p>
          <w:p w14:paraId="1DD543F6" w14:textId="364ED2A7" w:rsidR="004F152E" w:rsidRPr="00CC306F" w:rsidRDefault="004F152E" w:rsidP="00DA573C">
            <w:pPr>
              <w:contextualSpacing/>
              <w:jc w:val="both"/>
              <w:rPr>
                <w:rFonts w:ascii="Geomanist Light" w:hAnsi="Geomanist Light" w:cs="Arial"/>
                <w:b/>
                <w:bCs/>
                <w:noProof/>
                <w:sz w:val="22"/>
                <w:szCs w:val="22"/>
                <w:lang w:val="es-ES_tradnl"/>
              </w:rPr>
            </w:pPr>
          </w:p>
        </w:tc>
      </w:tr>
      <w:tr w:rsidR="005520DD" w:rsidRPr="00CC306F" w14:paraId="44A214AA" w14:textId="77777777" w:rsidTr="009D35D5">
        <w:tc>
          <w:tcPr>
            <w:tcW w:w="2689" w:type="dxa"/>
          </w:tcPr>
          <w:p w14:paraId="34740FC3" w14:textId="77777777" w:rsidR="005520DD" w:rsidRPr="00CC306F" w:rsidRDefault="005520DD" w:rsidP="00DA573C">
            <w:pPr>
              <w:contextualSpacing/>
              <w:jc w:val="both"/>
              <w:rPr>
                <w:rFonts w:ascii="Geomanist Light" w:eastAsia="Calibri" w:hAnsi="Geomanist Light" w:cs="Arial"/>
                <w:b/>
                <w:sz w:val="22"/>
                <w:szCs w:val="22"/>
                <w:lang w:val="es-ES_tradnl"/>
              </w:rPr>
            </w:pPr>
            <w:r w:rsidRPr="00CC306F">
              <w:rPr>
                <w:rFonts w:ascii="Geomanist Light" w:eastAsia="Calibri" w:hAnsi="Geomanist Light" w:cs="Arial"/>
                <w:b/>
                <w:sz w:val="22"/>
                <w:szCs w:val="22"/>
                <w:lang w:val="es-ES_tradnl"/>
              </w:rPr>
              <w:t>Radicación:</w:t>
            </w:r>
            <w:r w:rsidRPr="00CC306F">
              <w:rPr>
                <w:rFonts w:ascii="Geomanist Light" w:eastAsia="Calibri" w:hAnsi="Geomanist Light" w:cs="Arial"/>
                <w:sz w:val="22"/>
                <w:szCs w:val="22"/>
                <w:lang w:val="es-ES_tradnl"/>
              </w:rPr>
              <w:t xml:space="preserve">                              </w:t>
            </w:r>
          </w:p>
        </w:tc>
        <w:tc>
          <w:tcPr>
            <w:tcW w:w="6237" w:type="dxa"/>
          </w:tcPr>
          <w:p w14:paraId="638D73D8" w14:textId="348A85EE" w:rsidR="005520DD" w:rsidRPr="00CC306F" w:rsidRDefault="005520DD" w:rsidP="00DA573C">
            <w:pPr>
              <w:contextualSpacing/>
              <w:jc w:val="both"/>
              <w:rPr>
                <w:rFonts w:ascii="Geomanist Light" w:eastAsia="Calibri" w:hAnsi="Geomanist Light" w:cs="Arial"/>
                <w:sz w:val="22"/>
                <w:szCs w:val="22"/>
                <w:lang w:val="es-ES"/>
              </w:rPr>
            </w:pPr>
            <w:r w:rsidRPr="00CC306F">
              <w:rPr>
                <w:rFonts w:ascii="Geomanist Light" w:eastAsia="Calibri" w:hAnsi="Geomanist Light" w:cs="Arial"/>
                <w:sz w:val="22"/>
                <w:szCs w:val="22"/>
                <w:lang w:val="es-ES"/>
              </w:rPr>
              <w:t xml:space="preserve">Respuesta a consulta </w:t>
            </w:r>
            <w:r w:rsidR="009E33EF" w:rsidRPr="00CC306F">
              <w:rPr>
                <w:rFonts w:ascii="Geomanist Light" w:eastAsia="Calibri" w:hAnsi="Geomanist Light" w:cs="Arial"/>
                <w:sz w:val="22"/>
                <w:szCs w:val="22"/>
                <w:lang w:val="es-ES"/>
              </w:rPr>
              <w:t>P20221128011796</w:t>
            </w:r>
          </w:p>
        </w:tc>
      </w:tr>
    </w:tbl>
    <w:p w14:paraId="18FF8684" w14:textId="77777777" w:rsidR="005520DD" w:rsidRPr="00CC306F" w:rsidRDefault="005520DD" w:rsidP="00DA573C">
      <w:pPr>
        <w:contextualSpacing/>
        <w:jc w:val="both"/>
        <w:rPr>
          <w:rFonts w:ascii="Geomanist Light" w:eastAsia="Calibri" w:hAnsi="Geomanist Light" w:cs="Arial"/>
          <w:sz w:val="22"/>
          <w:szCs w:val="22"/>
          <w:lang w:val="es-ES_tradnl"/>
        </w:rPr>
      </w:pPr>
    </w:p>
    <w:p w14:paraId="0ADF39EF" w14:textId="4A47F82E" w:rsidR="005520DD" w:rsidRPr="00CC306F" w:rsidRDefault="005520DD" w:rsidP="004E77FA">
      <w:pPr>
        <w:spacing w:after="240" w:line="276" w:lineRule="auto"/>
        <w:jc w:val="both"/>
        <w:rPr>
          <w:rFonts w:ascii="Geomanist Light" w:eastAsia="Calibri" w:hAnsi="Geomanist Light" w:cs="Arial"/>
          <w:sz w:val="22"/>
          <w:szCs w:val="22"/>
          <w:lang w:val="es-ES"/>
        </w:rPr>
      </w:pPr>
      <w:r w:rsidRPr="00CC306F">
        <w:rPr>
          <w:rFonts w:ascii="Geomanist Light" w:eastAsia="Calibri" w:hAnsi="Geomanist Light" w:cs="Arial"/>
          <w:sz w:val="22"/>
          <w:szCs w:val="22"/>
          <w:lang w:val="es-ES"/>
        </w:rPr>
        <w:t xml:space="preserve">Estimado señor </w:t>
      </w:r>
      <w:r w:rsidR="00E63233" w:rsidRPr="00CC306F">
        <w:rPr>
          <w:rFonts w:ascii="Geomanist Light" w:eastAsia="Calibri" w:hAnsi="Geomanist Light" w:cs="Arial"/>
          <w:sz w:val="22"/>
          <w:szCs w:val="22"/>
          <w:lang w:val="es-ES"/>
        </w:rPr>
        <w:t>Cruz</w:t>
      </w:r>
      <w:r w:rsidRPr="00CC306F">
        <w:rPr>
          <w:rFonts w:ascii="Geomanist Light" w:eastAsia="Calibri" w:hAnsi="Geomanist Light" w:cs="Arial"/>
          <w:sz w:val="22"/>
          <w:szCs w:val="22"/>
          <w:lang w:val="es-ES"/>
        </w:rPr>
        <w:t xml:space="preserve">:  </w:t>
      </w:r>
    </w:p>
    <w:p w14:paraId="1D3A12FC" w14:textId="2D7CE7D1" w:rsidR="005520DD" w:rsidRPr="00CC306F" w:rsidRDefault="005520DD" w:rsidP="004E77FA">
      <w:pPr>
        <w:spacing w:after="240" w:line="276" w:lineRule="auto"/>
        <w:jc w:val="both"/>
        <w:rPr>
          <w:rFonts w:ascii="Geomanist Light" w:eastAsia="Calibri" w:hAnsi="Geomanist Light" w:cs="Arial"/>
          <w:sz w:val="22"/>
          <w:szCs w:val="22"/>
          <w:lang w:val="es-ES"/>
        </w:rPr>
      </w:pPr>
      <w:r w:rsidRPr="00CC306F">
        <w:rPr>
          <w:rFonts w:ascii="Geomanist Light" w:eastAsia="Calibri" w:hAnsi="Geomanist Light" w:cs="Arial"/>
          <w:sz w:val="22"/>
          <w:szCs w:val="22"/>
          <w:lang w:val="es-ES"/>
        </w:rPr>
        <w:t>En ejercicio de la competencia otorgada por el numeral 8 del artículo 11 y el numeral 5 del artículo 3 del Decreto Ley 4170 de 2011, la Agencia Nacional de Contratación Pública – Colombia Compra Eficiente responde su consulta del</w:t>
      </w:r>
      <w:r w:rsidR="00444306" w:rsidRPr="00CC306F">
        <w:rPr>
          <w:rFonts w:ascii="Geomanist Light" w:eastAsia="Calibri" w:hAnsi="Geomanist Light" w:cs="Arial"/>
          <w:sz w:val="22"/>
          <w:szCs w:val="22"/>
          <w:lang w:val="es-ES"/>
        </w:rPr>
        <w:t xml:space="preserve"> </w:t>
      </w:r>
      <w:r w:rsidR="006A6E02" w:rsidRPr="00CC306F">
        <w:rPr>
          <w:rFonts w:ascii="Geomanist Light" w:eastAsia="Calibri" w:hAnsi="Geomanist Light" w:cs="Arial"/>
          <w:sz w:val="22"/>
          <w:szCs w:val="22"/>
          <w:lang w:val="es-ES"/>
        </w:rPr>
        <w:t>2</w:t>
      </w:r>
      <w:r w:rsidR="007E75FE" w:rsidRPr="00CC306F">
        <w:rPr>
          <w:rFonts w:ascii="Geomanist Light" w:eastAsia="Calibri" w:hAnsi="Geomanist Light" w:cs="Arial"/>
          <w:sz w:val="22"/>
          <w:szCs w:val="22"/>
          <w:lang w:val="es-ES"/>
        </w:rPr>
        <w:t>8</w:t>
      </w:r>
      <w:r w:rsidR="00444306" w:rsidRPr="00CC306F">
        <w:rPr>
          <w:rFonts w:ascii="Geomanist Light" w:eastAsia="Calibri" w:hAnsi="Geomanist Light" w:cs="Arial"/>
          <w:sz w:val="22"/>
          <w:szCs w:val="22"/>
          <w:lang w:val="es-ES"/>
        </w:rPr>
        <w:t xml:space="preserve"> de </w:t>
      </w:r>
      <w:r w:rsidR="009C15CB" w:rsidRPr="00CC306F">
        <w:rPr>
          <w:rFonts w:ascii="Geomanist Light" w:eastAsia="Calibri" w:hAnsi="Geomanist Light" w:cs="Arial"/>
          <w:sz w:val="22"/>
          <w:szCs w:val="22"/>
          <w:lang w:val="es-ES"/>
        </w:rPr>
        <w:t>noviembre</w:t>
      </w:r>
      <w:r w:rsidR="00444306" w:rsidRPr="00CC306F">
        <w:rPr>
          <w:rFonts w:ascii="Geomanist Light" w:eastAsia="Calibri" w:hAnsi="Geomanist Light" w:cs="Arial"/>
          <w:sz w:val="22"/>
          <w:szCs w:val="22"/>
          <w:lang w:val="es-ES"/>
        </w:rPr>
        <w:t xml:space="preserve"> de 2022.</w:t>
      </w:r>
    </w:p>
    <w:p w14:paraId="3A39D17D" w14:textId="739417A7" w:rsidR="005520DD" w:rsidRPr="00CC306F" w:rsidRDefault="005520DD" w:rsidP="004E77FA">
      <w:pPr>
        <w:pStyle w:val="Prrafodelista"/>
        <w:numPr>
          <w:ilvl w:val="0"/>
          <w:numId w:val="2"/>
        </w:numPr>
        <w:tabs>
          <w:tab w:val="left" w:pos="0"/>
          <w:tab w:val="left" w:pos="142"/>
          <w:tab w:val="left" w:pos="284"/>
        </w:tabs>
        <w:spacing w:after="240"/>
        <w:ind w:left="0" w:firstLine="0"/>
        <w:rPr>
          <w:rFonts w:ascii="Geomanist Light" w:eastAsia="Calibri" w:hAnsi="Geomanist Light" w:cs="Arial"/>
          <w:b/>
          <w:color w:val="000000" w:themeColor="text1"/>
          <w:lang w:val="es-ES_tradnl"/>
        </w:rPr>
      </w:pPr>
      <w:r w:rsidRPr="00CC306F">
        <w:rPr>
          <w:rFonts w:ascii="Geomanist Light" w:eastAsia="Calibri" w:hAnsi="Geomanist Light" w:cs="Arial"/>
          <w:b/>
          <w:color w:val="000000" w:themeColor="text1"/>
          <w:lang w:val="es-ES_tradnl"/>
        </w:rPr>
        <w:t xml:space="preserve">Problema planteado </w:t>
      </w:r>
    </w:p>
    <w:p w14:paraId="7E5660F5" w14:textId="51805273" w:rsidR="009321CE" w:rsidRPr="00CC306F" w:rsidRDefault="00F776E3" w:rsidP="004E77FA">
      <w:pPr>
        <w:spacing w:after="240" w:line="276" w:lineRule="auto"/>
        <w:jc w:val="both"/>
        <w:rPr>
          <w:rFonts w:ascii="Geomanist Light" w:hAnsi="Geomanist Light" w:cs="Arial"/>
          <w:color w:val="000000" w:themeColor="text1"/>
          <w:sz w:val="22"/>
          <w:lang w:val="es-ES_tradnl"/>
        </w:rPr>
      </w:pPr>
      <w:r w:rsidRPr="00CC306F">
        <w:rPr>
          <w:rFonts w:ascii="Geomanist Light" w:hAnsi="Geomanist Light" w:cs="Arial"/>
          <w:color w:val="1A1A1A" w:themeColor="background1" w:themeShade="1A"/>
          <w:sz w:val="22"/>
          <w:szCs w:val="22"/>
          <w:lang w:val="es-ES_tradnl"/>
        </w:rPr>
        <w:t>Usted formula la siguiente consulta:</w:t>
      </w:r>
      <w:r w:rsidR="005520DD" w:rsidRPr="00CC306F">
        <w:rPr>
          <w:rFonts w:ascii="Geomanist Light" w:hAnsi="Geomanist Light" w:cs="Arial"/>
          <w:color w:val="000000" w:themeColor="text1"/>
          <w:sz w:val="22"/>
          <w:lang w:val="es-ES_tradnl"/>
        </w:rPr>
        <w:t xml:space="preserve"> </w:t>
      </w:r>
      <w:bookmarkStart w:id="2" w:name="_Hlk79503570"/>
      <w:bookmarkStart w:id="3" w:name="_Hlk79651438"/>
    </w:p>
    <w:p w14:paraId="5D8F8408" w14:textId="2C9C56D1" w:rsidR="006A6E02" w:rsidRPr="00CC306F" w:rsidRDefault="00E66E65" w:rsidP="004E77FA">
      <w:pPr>
        <w:autoSpaceDE w:val="0"/>
        <w:autoSpaceDN w:val="0"/>
        <w:adjustRightInd w:val="0"/>
        <w:spacing w:after="240"/>
        <w:ind w:left="709" w:right="709"/>
        <w:contextualSpacing/>
        <w:jc w:val="both"/>
        <w:rPr>
          <w:rFonts w:ascii="Geomanist Light" w:hAnsi="Geomanist Light"/>
          <w:sz w:val="21"/>
          <w:szCs w:val="21"/>
        </w:rPr>
      </w:pPr>
      <w:r w:rsidRPr="00CC306F">
        <w:rPr>
          <w:rFonts w:ascii="Geomanist Light" w:eastAsiaTheme="minorHAnsi" w:hAnsi="Geomanist Light" w:cs="Arial"/>
          <w:color w:val="000000" w:themeColor="text1"/>
          <w:sz w:val="21"/>
          <w:szCs w:val="21"/>
          <w:lang w:eastAsia="en-US"/>
        </w:rPr>
        <w:lastRenderedPageBreak/>
        <w:t>«</w:t>
      </w:r>
      <w:r w:rsidR="006A6E02" w:rsidRPr="00CC306F">
        <w:rPr>
          <w:rFonts w:ascii="Geomanist Light" w:hAnsi="Geomanist Light"/>
          <w:sz w:val="21"/>
          <w:szCs w:val="21"/>
        </w:rPr>
        <w:t xml:space="preserve">1. ¿Puede una entidad estatal solicitar documento adicional al formato 8 de los Pliegos Tipo para la acreditación de la nómina del personal en condición de discapacidad aparte del certificado del MINTRABAJO? </w:t>
      </w:r>
    </w:p>
    <w:p w14:paraId="65C9090F" w14:textId="77777777" w:rsidR="006A6E02" w:rsidRPr="00CC306F" w:rsidRDefault="006A6E02" w:rsidP="004E77FA">
      <w:pPr>
        <w:autoSpaceDE w:val="0"/>
        <w:autoSpaceDN w:val="0"/>
        <w:adjustRightInd w:val="0"/>
        <w:spacing w:after="240"/>
        <w:ind w:left="709" w:right="709"/>
        <w:contextualSpacing/>
        <w:jc w:val="both"/>
        <w:rPr>
          <w:rFonts w:ascii="Geomanist Light" w:hAnsi="Geomanist Light"/>
          <w:sz w:val="21"/>
          <w:szCs w:val="21"/>
        </w:rPr>
      </w:pPr>
    </w:p>
    <w:p w14:paraId="6C6D82B3" w14:textId="77777777" w:rsidR="006A6E02" w:rsidRPr="00CC306F" w:rsidRDefault="006A6E02" w:rsidP="004E77FA">
      <w:pPr>
        <w:autoSpaceDE w:val="0"/>
        <w:autoSpaceDN w:val="0"/>
        <w:adjustRightInd w:val="0"/>
        <w:spacing w:after="240"/>
        <w:ind w:left="709" w:right="709"/>
        <w:contextualSpacing/>
        <w:jc w:val="both"/>
        <w:rPr>
          <w:rFonts w:ascii="Geomanist Light" w:hAnsi="Geomanist Light"/>
          <w:sz w:val="21"/>
          <w:szCs w:val="21"/>
        </w:rPr>
      </w:pPr>
      <w:r w:rsidRPr="00CC306F">
        <w:rPr>
          <w:rFonts w:ascii="Geomanist Light" w:hAnsi="Geomanist Light"/>
          <w:sz w:val="21"/>
          <w:szCs w:val="21"/>
        </w:rPr>
        <w:t xml:space="preserve">2. Si el número de trabajadores en nómina acreditado en el certificado de MINTRABAJO es diferente al acreditado en el formato 8 ¿es necesario aportar otro documento? El caso específico es que en mi certificado de </w:t>
      </w:r>
      <w:proofErr w:type="spellStart"/>
      <w:r w:rsidRPr="00CC306F">
        <w:rPr>
          <w:rFonts w:ascii="Geomanist Light" w:hAnsi="Geomanist Light"/>
          <w:sz w:val="21"/>
          <w:szCs w:val="21"/>
        </w:rPr>
        <w:t>Mintrabajo</w:t>
      </w:r>
      <w:proofErr w:type="spellEnd"/>
      <w:r w:rsidRPr="00CC306F">
        <w:rPr>
          <w:rFonts w:ascii="Geomanist Light" w:hAnsi="Geomanist Light"/>
          <w:sz w:val="21"/>
          <w:szCs w:val="21"/>
        </w:rPr>
        <w:t xml:space="preserve"> reportan 42 trabajadores a nómina de septiembre de 2022 y en octubre y noviembre mi nomina bajo a 25 y 19 trabajadores los cuales acredito en el formato 8 pero no me dan puntaje porque, según la entidad Parques Nacionales; como reporte 42 debo tener 2 personas en condición de discapacidad. </w:t>
      </w:r>
    </w:p>
    <w:p w14:paraId="403C0FB4" w14:textId="77777777" w:rsidR="006A6E02" w:rsidRPr="00CC306F" w:rsidRDefault="006A6E02" w:rsidP="004E77FA">
      <w:pPr>
        <w:autoSpaceDE w:val="0"/>
        <w:autoSpaceDN w:val="0"/>
        <w:adjustRightInd w:val="0"/>
        <w:spacing w:after="240"/>
        <w:ind w:left="709" w:right="709"/>
        <w:contextualSpacing/>
        <w:jc w:val="both"/>
        <w:rPr>
          <w:rFonts w:ascii="Geomanist Light" w:hAnsi="Geomanist Light"/>
          <w:sz w:val="21"/>
          <w:szCs w:val="21"/>
        </w:rPr>
      </w:pPr>
    </w:p>
    <w:p w14:paraId="5B333DD6" w14:textId="77777777" w:rsidR="006A6E02" w:rsidRPr="00CC306F" w:rsidRDefault="006A6E02" w:rsidP="004E77FA">
      <w:pPr>
        <w:autoSpaceDE w:val="0"/>
        <w:autoSpaceDN w:val="0"/>
        <w:adjustRightInd w:val="0"/>
        <w:spacing w:after="240"/>
        <w:ind w:left="709" w:right="709"/>
        <w:contextualSpacing/>
        <w:jc w:val="both"/>
        <w:rPr>
          <w:rFonts w:ascii="Geomanist Light" w:hAnsi="Geomanist Light"/>
          <w:sz w:val="21"/>
          <w:szCs w:val="21"/>
        </w:rPr>
      </w:pPr>
      <w:r w:rsidRPr="00CC306F">
        <w:rPr>
          <w:rFonts w:ascii="Geomanist Light" w:hAnsi="Geomanist Light"/>
          <w:sz w:val="21"/>
          <w:szCs w:val="21"/>
        </w:rPr>
        <w:t xml:space="preserve">3. Algunas Entidades Oficiales no me da puntaje por emprendimiento de mujeres porque según ellos debo anexar al formato tipo una certificación aparte en la que conste la composición accionaria ¿es esto valido? </w:t>
      </w:r>
    </w:p>
    <w:p w14:paraId="57D82597" w14:textId="77777777" w:rsidR="006A6E02" w:rsidRPr="00CC306F" w:rsidRDefault="006A6E02" w:rsidP="004E77FA">
      <w:pPr>
        <w:autoSpaceDE w:val="0"/>
        <w:autoSpaceDN w:val="0"/>
        <w:adjustRightInd w:val="0"/>
        <w:spacing w:after="240"/>
        <w:ind w:left="709" w:right="709"/>
        <w:contextualSpacing/>
        <w:jc w:val="both"/>
        <w:rPr>
          <w:rFonts w:ascii="Geomanist Light" w:hAnsi="Geomanist Light"/>
          <w:sz w:val="21"/>
          <w:szCs w:val="21"/>
        </w:rPr>
      </w:pPr>
    </w:p>
    <w:p w14:paraId="1A26EC72" w14:textId="77777777" w:rsidR="006A6E02" w:rsidRPr="00CC306F" w:rsidRDefault="006A6E02" w:rsidP="004E77FA">
      <w:pPr>
        <w:autoSpaceDE w:val="0"/>
        <w:autoSpaceDN w:val="0"/>
        <w:adjustRightInd w:val="0"/>
        <w:spacing w:after="240"/>
        <w:ind w:left="709" w:right="709"/>
        <w:contextualSpacing/>
        <w:jc w:val="both"/>
        <w:rPr>
          <w:rFonts w:ascii="Geomanist Light" w:hAnsi="Geomanist Light"/>
          <w:sz w:val="21"/>
          <w:szCs w:val="21"/>
        </w:rPr>
      </w:pPr>
      <w:r w:rsidRPr="00CC306F">
        <w:rPr>
          <w:rFonts w:ascii="Geomanist Light" w:hAnsi="Geomanist Light"/>
          <w:sz w:val="21"/>
          <w:szCs w:val="21"/>
        </w:rPr>
        <w:t xml:space="preserve">4. Algunas Entidades Oficiales no otorgan el puntaje por MIPYME pues no aceptan que esta condición se demuestra con la presentación del RUP vigente, en firme y con fecha no superior a 30 días del cierre del proceso. ¿es esto legal? </w:t>
      </w:r>
    </w:p>
    <w:p w14:paraId="62499C0A" w14:textId="77777777" w:rsidR="006A6E02" w:rsidRPr="00CC306F" w:rsidRDefault="006A6E02" w:rsidP="004E77FA">
      <w:pPr>
        <w:autoSpaceDE w:val="0"/>
        <w:autoSpaceDN w:val="0"/>
        <w:adjustRightInd w:val="0"/>
        <w:spacing w:after="240"/>
        <w:ind w:left="709" w:right="709"/>
        <w:contextualSpacing/>
        <w:jc w:val="both"/>
        <w:rPr>
          <w:rFonts w:ascii="Geomanist Light" w:hAnsi="Geomanist Light"/>
          <w:sz w:val="21"/>
          <w:szCs w:val="21"/>
        </w:rPr>
      </w:pPr>
    </w:p>
    <w:p w14:paraId="443F1B34" w14:textId="2D3DD0A3" w:rsidR="005520DD" w:rsidRPr="00CC306F" w:rsidRDefault="006A6E02" w:rsidP="004E77FA">
      <w:pPr>
        <w:autoSpaceDE w:val="0"/>
        <w:autoSpaceDN w:val="0"/>
        <w:adjustRightInd w:val="0"/>
        <w:spacing w:after="240"/>
        <w:ind w:left="709" w:right="709"/>
        <w:contextualSpacing/>
        <w:jc w:val="both"/>
        <w:rPr>
          <w:rFonts w:ascii="Geomanist Light" w:hAnsi="Geomanist Light"/>
          <w:sz w:val="21"/>
          <w:szCs w:val="21"/>
        </w:rPr>
      </w:pPr>
      <w:r w:rsidRPr="00CC306F">
        <w:rPr>
          <w:rFonts w:ascii="Geomanist Light" w:hAnsi="Geomanist Light"/>
          <w:sz w:val="21"/>
          <w:szCs w:val="21"/>
        </w:rPr>
        <w:t>5. ¿Si una Entidad está obligada al IVA sobre la Utilidad y el oferente no la incluye en su oferta se puede rechazar la propuesta?</w:t>
      </w:r>
      <w:r w:rsidR="005520DD" w:rsidRPr="00CC306F">
        <w:rPr>
          <w:rFonts w:ascii="Geomanist Light" w:eastAsiaTheme="minorHAnsi" w:hAnsi="Geomanist Light" w:cs="Arial"/>
          <w:color w:val="000000" w:themeColor="text1"/>
          <w:sz w:val="21"/>
          <w:szCs w:val="21"/>
          <w:lang w:eastAsia="en-US"/>
        </w:rPr>
        <w:t>»</w:t>
      </w:r>
      <w:r w:rsidR="00C01652" w:rsidRPr="00CC306F">
        <w:rPr>
          <w:rFonts w:ascii="Geomanist Light" w:hAnsi="Geomanist Light" w:cs="Arial"/>
          <w:color w:val="000000" w:themeColor="text1"/>
          <w:sz w:val="21"/>
          <w:szCs w:val="21"/>
        </w:rPr>
        <w:t xml:space="preserve"> </w:t>
      </w:r>
      <w:bookmarkEnd w:id="2"/>
      <w:bookmarkEnd w:id="3"/>
    </w:p>
    <w:p w14:paraId="6405ACDD" w14:textId="3C20D557" w:rsidR="00D45293" w:rsidRPr="00CC306F" w:rsidRDefault="005520DD" w:rsidP="004E77FA">
      <w:pPr>
        <w:pStyle w:val="Prrafodelista"/>
        <w:numPr>
          <w:ilvl w:val="0"/>
          <w:numId w:val="2"/>
        </w:numPr>
        <w:tabs>
          <w:tab w:val="left" w:pos="0"/>
          <w:tab w:val="left" w:pos="284"/>
        </w:tabs>
        <w:spacing w:after="240"/>
        <w:ind w:left="0" w:firstLine="0"/>
        <w:rPr>
          <w:rFonts w:ascii="Geomanist Light" w:eastAsia="Calibri" w:hAnsi="Geomanist Light" w:cs="Arial"/>
          <w:b/>
          <w:color w:val="000000" w:themeColor="text1"/>
          <w:lang w:val="es-ES_tradnl"/>
        </w:rPr>
      </w:pPr>
      <w:r w:rsidRPr="00CC306F">
        <w:rPr>
          <w:rFonts w:ascii="Geomanist Light" w:eastAsia="Calibri" w:hAnsi="Geomanist Light" w:cs="Arial"/>
          <w:b/>
          <w:color w:val="000000" w:themeColor="text1"/>
          <w:lang w:val="es-ES_tradnl"/>
        </w:rPr>
        <w:t>Consideraciones</w:t>
      </w:r>
    </w:p>
    <w:p w14:paraId="6FDC8873" w14:textId="38BABFE7" w:rsidR="001935F2" w:rsidRPr="00CC306F" w:rsidRDefault="001935F2" w:rsidP="004E77FA">
      <w:pPr>
        <w:spacing w:after="240" w:line="276" w:lineRule="auto"/>
        <w:jc w:val="both"/>
        <w:rPr>
          <w:rFonts w:ascii="Geomanist Light" w:eastAsia="Calibri" w:hAnsi="Geomanist Light" w:cs="Arial"/>
          <w:color w:val="000000"/>
          <w:sz w:val="22"/>
          <w:szCs w:val="22"/>
          <w:lang w:val="es-ES_tradnl"/>
        </w:rPr>
      </w:pPr>
      <w:r w:rsidRPr="00CC306F">
        <w:rPr>
          <w:rFonts w:ascii="Geomanist Light" w:eastAsia="Calibri" w:hAnsi="Geomanist Light" w:cs="Arial"/>
          <w:color w:val="000000"/>
          <w:sz w:val="22"/>
          <w:szCs w:val="22"/>
          <w:lang w:val="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4" w:name="_Hlk61701014"/>
      <w:bookmarkStart w:id="5" w:name="_Hlk62136649"/>
      <w:r w:rsidRPr="00CC306F">
        <w:rPr>
          <w:rFonts w:ascii="Geomanist Light" w:eastAsia="Calibri" w:hAnsi="Geomanist Light" w:cs="Arial"/>
          <w:color w:val="000000"/>
          <w:sz w:val="22"/>
          <w:szCs w:val="22"/>
          <w:lang w:val="es-ES_tradnl"/>
        </w:rPr>
        <w:t xml:space="preserve"> Es necesario tener en cuenta que </w:t>
      </w:r>
      <w:bookmarkStart w:id="6" w:name="_Hlk61026958"/>
      <w:r w:rsidRPr="00CC306F">
        <w:rPr>
          <w:rFonts w:ascii="Geomanist Light" w:eastAsia="Calibri" w:hAnsi="Geomanist Light" w:cs="Arial"/>
          <w:color w:val="000000"/>
          <w:sz w:val="22"/>
          <w:szCs w:val="22"/>
          <w:lang w:val="es-ES_tradnl"/>
        </w:rPr>
        <w:t>esta entidad solo tiene competencia para responder solicitudes sobre la aplicación de normas de carácter general en materia de compras y contratación pública</w:t>
      </w:r>
      <w:r w:rsidR="00287544" w:rsidRPr="00CC306F">
        <w:rPr>
          <w:rStyle w:val="Refdenotaalpie"/>
          <w:rFonts w:ascii="Geomanist Light" w:eastAsia="Calibri" w:hAnsi="Geomanist Light" w:cs="Arial"/>
          <w:color w:val="000000"/>
          <w:sz w:val="22"/>
          <w:szCs w:val="22"/>
          <w:lang w:val="es-ES_tradnl"/>
        </w:rPr>
        <w:footnoteReference w:id="1"/>
      </w:r>
      <w:r w:rsidRPr="00CC306F">
        <w:rPr>
          <w:rFonts w:ascii="Geomanist Light" w:eastAsia="Calibri" w:hAnsi="Geomanist Light" w:cs="Arial"/>
          <w:color w:val="000000"/>
          <w:sz w:val="22"/>
          <w:szCs w:val="22"/>
          <w:lang w:val="es-ES_tradnl"/>
        </w:rPr>
        <w:t>. En ese sentido, resolver casos particulares desborda las atribuciones asignadas por el legislador extraordinario, que no concibió a Colombia Compra Eficiente como una autoridad para solucionar problemas jurídicos particulares de todos los partícipes de la contratación estatal.</w:t>
      </w:r>
    </w:p>
    <w:p w14:paraId="6E1E16E4" w14:textId="77777777" w:rsidR="00737222" w:rsidRPr="00CC306F" w:rsidRDefault="001935F2" w:rsidP="004E77FA">
      <w:pPr>
        <w:spacing w:after="240" w:line="276" w:lineRule="auto"/>
        <w:ind w:firstLine="708"/>
        <w:jc w:val="both"/>
        <w:rPr>
          <w:rFonts w:ascii="Geomanist Light" w:eastAsia="Calibri" w:hAnsi="Geomanist Light" w:cs="Arial"/>
          <w:color w:val="000000"/>
          <w:sz w:val="22"/>
          <w:szCs w:val="22"/>
          <w:lang w:val="es-ES_tradnl"/>
        </w:rPr>
      </w:pPr>
      <w:r w:rsidRPr="00CC306F">
        <w:rPr>
          <w:rFonts w:ascii="Geomanist Light" w:eastAsia="Calibri" w:hAnsi="Geomanist Light" w:cs="Arial"/>
          <w:color w:val="000000"/>
          <w:sz w:val="22"/>
          <w:szCs w:val="22"/>
          <w:lang w:val="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000C63FF" w:rsidRPr="00CC306F">
        <w:rPr>
          <w:rStyle w:val="Refdenotaalpie"/>
          <w:rFonts w:ascii="Geomanist Light" w:eastAsia="Calibri" w:hAnsi="Geomanist Light" w:cs="Arial"/>
          <w:color w:val="000000"/>
          <w:sz w:val="22"/>
          <w:szCs w:val="22"/>
          <w:lang w:val="es-ES_tradnl"/>
        </w:rPr>
        <w:footnoteReference w:id="2"/>
      </w:r>
      <w:r w:rsidRPr="00CC306F">
        <w:rPr>
          <w:rFonts w:ascii="Geomanist Light" w:eastAsia="Calibri" w:hAnsi="Geomanist Light" w:cs="Arial"/>
          <w:color w:val="000000"/>
          <w:sz w:val="22"/>
          <w:szCs w:val="22"/>
          <w:lang w:val="es-ES_tradnl"/>
        </w:rPr>
        <w:t xml:space="preserve">. Esta competencia </w:t>
      </w:r>
      <w:r w:rsidRPr="00CC306F">
        <w:rPr>
          <w:rFonts w:ascii="Geomanist Light" w:eastAsia="Calibri" w:hAnsi="Geomanist Light" w:cs="Arial"/>
          <w:color w:val="000000"/>
          <w:sz w:val="22"/>
          <w:szCs w:val="22"/>
          <w:lang w:val="es-ES_tradnl"/>
        </w:rPr>
        <w:lastRenderedPageBreak/>
        <w:t xml:space="preserve">de interpretación de normas generales, por definición, no puede extenderse a la resolución de controversias, ni a brindar asesorías sobre casos puntuales. </w:t>
      </w:r>
      <w:bookmarkEnd w:id="6"/>
      <w:r w:rsidRPr="00CC306F">
        <w:rPr>
          <w:rFonts w:ascii="Geomanist Light" w:eastAsia="Calibri" w:hAnsi="Geomanist Light" w:cs="Arial"/>
          <w:color w:val="000000"/>
          <w:sz w:val="22"/>
          <w:szCs w:val="22"/>
          <w:lang w:val="es-ES_tradnl"/>
        </w:rPr>
        <w:t xml:space="preserve">Por lo anterior, previo concepto de sus órganos asesores, la solución de estos temas corresponde a la entidad que adelanta el procedimiento de selección y, en caso de conflicto, a las autoridades judiciales, fiscales y disciplinarias. </w:t>
      </w:r>
      <w:bookmarkEnd w:id="4"/>
      <w:bookmarkEnd w:id="5"/>
    </w:p>
    <w:p w14:paraId="0D32F150" w14:textId="24EA67C1" w:rsidR="001935F2" w:rsidRPr="00CC306F" w:rsidRDefault="001935F2" w:rsidP="004E77FA">
      <w:pPr>
        <w:spacing w:after="240" w:line="276" w:lineRule="auto"/>
        <w:ind w:firstLine="708"/>
        <w:jc w:val="both"/>
        <w:rPr>
          <w:rFonts w:ascii="Geomanist Light" w:eastAsia="Calibri" w:hAnsi="Geomanist Light" w:cs="Arial"/>
          <w:color w:val="000000"/>
          <w:sz w:val="22"/>
          <w:szCs w:val="22"/>
          <w:lang w:val="es-ES"/>
        </w:rPr>
      </w:pPr>
      <w:r w:rsidRPr="00CC306F">
        <w:rPr>
          <w:rFonts w:ascii="Geomanist Light" w:eastAsia="Calibri" w:hAnsi="Geomanist Light" w:cs="Arial"/>
          <w:color w:val="000000"/>
          <w:sz w:val="22"/>
          <w:szCs w:val="22"/>
          <w:lang w:val="es-ES_tradnl"/>
        </w:rPr>
        <w:t xml:space="preserve">En este contexto, la Subdirección –dentro de los límites de sus atribuciones, esto es, </w:t>
      </w:r>
      <w:bookmarkStart w:id="7" w:name="_Hlk61025408"/>
      <w:r w:rsidRPr="00CC306F">
        <w:rPr>
          <w:rFonts w:ascii="Geomanist Light" w:eastAsia="Calibri" w:hAnsi="Geomanist Light" w:cs="Arial"/>
          <w:color w:val="000000"/>
          <w:sz w:val="22"/>
          <w:szCs w:val="22"/>
          <w:lang w:val="es-ES_tradnl"/>
        </w:rPr>
        <w:t>haciendo abstracción del caso particular expuesto por el peticionario</w:t>
      </w:r>
      <w:bookmarkEnd w:id="7"/>
      <w:r w:rsidRPr="00CC306F">
        <w:rPr>
          <w:rFonts w:ascii="Geomanist Light" w:eastAsia="Calibri" w:hAnsi="Geomanist Light" w:cs="Arial"/>
          <w:color w:val="000000"/>
          <w:sz w:val="22"/>
          <w:szCs w:val="22"/>
          <w:lang w:val="es-ES_tradnl"/>
        </w:rPr>
        <w:t>– resolverá la consulta conforme a las normas generales en materia de contratación estatal.</w:t>
      </w:r>
      <w:r w:rsidR="00737222" w:rsidRPr="00CC306F">
        <w:rPr>
          <w:rFonts w:ascii="Geomanist Light" w:eastAsia="Calibri" w:hAnsi="Geomanist Light" w:cs="Arial"/>
          <w:color w:val="000000"/>
          <w:sz w:val="22"/>
          <w:szCs w:val="22"/>
          <w:lang w:val="es-ES_tradnl"/>
        </w:rPr>
        <w:t xml:space="preserve"> </w:t>
      </w:r>
      <w:r w:rsidR="00737222" w:rsidRPr="00CC306F">
        <w:rPr>
          <w:rFonts w:ascii="Geomanist Light" w:eastAsia="Calibri" w:hAnsi="Geomanist Light" w:cs="Arial"/>
          <w:color w:val="000000" w:themeColor="text1"/>
          <w:sz w:val="22"/>
          <w:szCs w:val="22"/>
          <w:lang w:val="es-ES"/>
        </w:rPr>
        <w:t xml:space="preserve">Con este objetivo, en desarrollo del presente concepto, se analizarán los siguientes temas: i) </w:t>
      </w:r>
      <w:r w:rsidR="00C76720" w:rsidRPr="00CC306F">
        <w:rPr>
          <w:rFonts w:ascii="Geomanist Light" w:eastAsia="Calibri" w:hAnsi="Geomanist Light" w:cs="Arial"/>
          <w:color w:val="000000" w:themeColor="text1"/>
          <w:sz w:val="22"/>
          <w:szCs w:val="22"/>
          <w:lang w:val="es-ES"/>
        </w:rPr>
        <w:t xml:space="preserve">puntaje adicional para personas con </w:t>
      </w:r>
      <w:r w:rsidR="00C76720" w:rsidRPr="00CC306F">
        <w:rPr>
          <w:rFonts w:ascii="Geomanist Light" w:hAnsi="Geomanist Light" w:cs="Arial"/>
          <w:bCs/>
          <w:sz w:val="22"/>
          <w:szCs w:val="22"/>
        </w:rPr>
        <w:t>discapacidad y la acreditación del requisito a la luz del formato 8 de los documentos tipo</w:t>
      </w:r>
      <w:r w:rsidR="00F46E77" w:rsidRPr="00CC306F">
        <w:rPr>
          <w:rFonts w:ascii="Geomanist Light" w:eastAsia="Calibri" w:hAnsi="Geomanist Light" w:cs="Arial"/>
          <w:color w:val="000000" w:themeColor="text1"/>
          <w:sz w:val="22"/>
          <w:szCs w:val="22"/>
          <w:lang w:val="es-ES"/>
        </w:rPr>
        <w:t>;</w:t>
      </w:r>
      <w:r w:rsidR="00737222" w:rsidRPr="00CC306F">
        <w:rPr>
          <w:rFonts w:ascii="Geomanist Light" w:eastAsia="Calibri" w:hAnsi="Geomanist Light" w:cs="Arial"/>
          <w:color w:val="000000" w:themeColor="text1"/>
          <w:sz w:val="22"/>
          <w:szCs w:val="22"/>
          <w:lang w:val="es-ES"/>
        </w:rPr>
        <w:t xml:space="preserve"> ii) </w:t>
      </w:r>
      <w:r w:rsidR="00F46E77" w:rsidRPr="00CC306F">
        <w:rPr>
          <w:rFonts w:ascii="Geomanist Light" w:eastAsia="Calibri" w:hAnsi="Geomanist Light" w:cs="Arial"/>
          <w:color w:val="000000" w:themeColor="text1"/>
          <w:sz w:val="22"/>
          <w:szCs w:val="22"/>
          <w:lang w:val="es-ES"/>
        </w:rPr>
        <w:t xml:space="preserve">la </w:t>
      </w:r>
      <w:r w:rsidR="00737222" w:rsidRPr="00CC306F">
        <w:rPr>
          <w:rFonts w:ascii="Geomanist Light" w:eastAsia="Calibri" w:hAnsi="Geomanist Light" w:cs="Arial"/>
          <w:color w:val="000000" w:themeColor="text1"/>
          <w:sz w:val="22"/>
          <w:szCs w:val="22"/>
          <w:lang w:val="es-ES"/>
        </w:rPr>
        <w:t xml:space="preserve">definición de emprendimientos y empresas de mujeres en el </w:t>
      </w:r>
      <w:r w:rsidR="00737222" w:rsidRPr="00102AD2">
        <w:rPr>
          <w:rFonts w:ascii="Geomanist Light" w:eastAsia="Calibri" w:hAnsi="Geomanist Light" w:cs="Arial"/>
          <w:color w:val="000000" w:themeColor="text1"/>
          <w:sz w:val="22"/>
          <w:szCs w:val="22"/>
          <w:lang w:val="es-ES"/>
        </w:rPr>
        <w:t>Decreto 1860 de 2021</w:t>
      </w:r>
      <w:r w:rsidR="00F46E77" w:rsidRPr="00102AD2">
        <w:rPr>
          <w:rFonts w:ascii="Geomanist Light" w:eastAsia="Calibri" w:hAnsi="Geomanist Light" w:cs="Arial"/>
          <w:color w:val="000000" w:themeColor="text1"/>
          <w:sz w:val="22"/>
          <w:szCs w:val="22"/>
          <w:lang w:val="es-ES"/>
        </w:rPr>
        <w:t xml:space="preserve"> y su acreditación</w:t>
      </w:r>
      <w:r w:rsidR="00FD1E9A" w:rsidRPr="00102AD2">
        <w:rPr>
          <w:rFonts w:ascii="Geomanist Light" w:eastAsia="Calibri" w:hAnsi="Geomanist Light" w:cs="Arial"/>
          <w:color w:val="000000" w:themeColor="text1"/>
          <w:sz w:val="22"/>
          <w:szCs w:val="22"/>
          <w:lang w:val="es-ES"/>
        </w:rPr>
        <w:t>; iii)</w:t>
      </w:r>
      <w:r w:rsidR="00567039" w:rsidRPr="00102AD2">
        <w:rPr>
          <w:rFonts w:ascii="Geomanist Light" w:eastAsia="Calibri" w:hAnsi="Geomanist Light" w:cs="Arial"/>
          <w:color w:val="000000" w:themeColor="text1"/>
          <w:sz w:val="22"/>
          <w:szCs w:val="22"/>
          <w:lang w:val="es-ES"/>
        </w:rPr>
        <w:t xml:space="preserve"> </w:t>
      </w:r>
      <w:r w:rsidR="00B57AB7" w:rsidRPr="00102AD2">
        <w:rPr>
          <w:rFonts w:ascii="Geomanist Light" w:eastAsia="Calibri" w:hAnsi="Geomanist Light" w:cs="Arial"/>
          <w:color w:val="000000" w:themeColor="text1"/>
          <w:sz w:val="22"/>
          <w:szCs w:val="22"/>
          <w:lang w:val="es-ES"/>
        </w:rPr>
        <w:t xml:space="preserve">criterios diferenciales y puntajes Adicionales para </w:t>
      </w:r>
      <w:proofErr w:type="spellStart"/>
      <w:r w:rsidR="00B57AB7" w:rsidRPr="00102AD2">
        <w:rPr>
          <w:rFonts w:ascii="Geomanist Light" w:eastAsia="Calibri" w:hAnsi="Geomanist Light" w:cs="Arial"/>
          <w:color w:val="000000" w:themeColor="text1"/>
          <w:sz w:val="22"/>
          <w:szCs w:val="22"/>
          <w:lang w:val="es-ES"/>
        </w:rPr>
        <w:t>Mipymes</w:t>
      </w:r>
      <w:proofErr w:type="spellEnd"/>
      <w:r w:rsidR="00B57AB7" w:rsidRPr="00102AD2">
        <w:rPr>
          <w:rFonts w:ascii="Geomanist Light" w:eastAsia="Calibri" w:hAnsi="Geomanist Light" w:cs="Arial"/>
          <w:color w:val="000000" w:themeColor="text1"/>
          <w:sz w:val="22"/>
          <w:szCs w:val="22"/>
          <w:lang w:val="es-ES"/>
        </w:rPr>
        <w:t xml:space="preserve">; y </w:t>
      </w:r>
      <w:proofErr w:type="spellStart"/>
      <w:r w:rsidR="00B57AB7" w:rsidRPr="00102AD2">
        <w:rPr>
          <w:rFonts w:ascii="Geomanist Light" w:eastAsia="Calibri" w:hAnsi="Geomanist Light" w:cs="Arial"/>
          <w:color w:val="000000" w:themeColor="text1"/>
          <w:sz w:val="22"/>
          <w:szCs w:val="22"/>
          <w:lang w:val="es-ES"/>
        </w:rPr>
        <w:t>iv</w:t>
      </w:r>
      <w:proofErr w:type="spellEnd"/>
      <w:r w:rsidR="00B57AB7" w:rsidRPr="00102AD2">
        <w:rPr>
          <w:rFonts w:ascii="Geomanist Light" w:eastAsia="Calibri" w:hAnsi="Geomanist Light" w:cs="Arial"/>
          <w:color w:val="000000" w:themeColor="text1"/>
          <w:sz w:val="22"/>
          <w:szCs w:val="22"/>
          <w:lang w:val="es-ES"/>
        </w:rPr>
        <w:t xml:space="preserve">) </w:t>
      </w:r>
      <w:r w:rsidR="00102AD2" w:rsidRPr="00102AD2">
        <w:rPr>
          <w:rFonts w:ascii="Geomanist Light" w:eastAsia="Calibri" w:hAnsi="Geomanist Light" w:cs="Arial"/>
          <w:color w:val="000000" w:themeColor="text1"/>
          <w:sz w:val="22"/>
          <w:szCs w:val="22"/>
          <w:lang w:val="es-ES"/>
        </w:rPr>
        <w:t>el precio de los contratos estatales y su determinación</w:t>
      </w:r>
      <w:r w:rsidR="00737222" w:rsidRPr="00102AD2">
        <w:rPr>
          <w:rFonts w:ascii="Geomanist Light" w:eastAsia="Calibri" w:hAnsi="Geomanist Light" w:cs="Arial"/>
          <w:color w:val="000000" w:themeColor="text1"/>
          <w:sz w:val="22"/>
          <w:szCs w:val="22"/>
          <w:lang w:val="es-ES"/>
        </w:rPr>
        <w:t>.</w:t>
      </w:r>
    </w:p>
    <w:p w14:paraId="1FF30CFB" w14:textId="1AD475A0" w:rsidR="00B76B85" w:rsidRPr="00CC306F" w:rsidRDefault="00B76B85" w:rsidP="004E77FA">
      <w:pPr>
        <w:spacing w:after="240" w:line="276" w:lineRule="auto"/>
        <w:ind w:firstLine="708"/>
        <w:jc w:val="both"/>
        <w:rPr>
          <w:rFonts w:ascii="Geomanist Light" w:eastAsia="Calibri" w:hAnsi="Geomanist Light" w:cs="Arial"/>
          <w:color w:val="000000" w:themeColor="text1"/>
          <w:sz w:val="22"/>
          <w:szCs w:val="22"/>
          <w:lang w:val="es-ES"/>
        </w:rPr>
      </w:pPr>
      <w:r w:rsidRPr="00CC306F">
        <w:rPr>
          <w:rFonts w:ascii="Geomanist Light" w:eastAsiaTheme="minorHAnsi" w:hAnsi="Geomanist Light" w:cs="Arial"/>
          <w:color w:val="000000"/>
          <w:sz w:val="22"/>
          <w:szCs w:val="22"/>
          <w:bdr w:val="none" w:sz="0" w:space="0" w:color="auto" w:frame="1"/>
          <w:lang w:eastAsia="en-US"/>
        </w:rPr>
        <w:t xml:space="preserve">La Agencia Nacional de Contratación Pública – Colombia Compra Eficiente </w:t>
      </w:r>
      <w:r w:rsidRPr="00CC306F">
        <w:rPr>
          <w:rFonts w:ascii="Geomanist Light" w:eastAsiaTheme="minorHAnsi" w:hAnsi="Geomanist Light" w:cs="Arial"/>
          <w:color w:val="000000"/>
          <w:sz w:val="22"/>
          <w:szCs w:val="22"/>
          <w:bdr w:val="none" w:sz="0" w:space="0" w:color="auto" w:frame="1"/>
          <w:lang w:val="es-MX" w:eastAsia="en-US"/>
        </w:rPr>
        <w:t>en el concepto con radicado No. 4201912000004631 de 10 de julio de 2019, reiterado y desarrollado en los conceptos con radicados Nos. 4201913000005084 del 23 de julio de 2019, 201913000004446 del 13 de agosto de 2019, 4201912000005689 del 16 de septiembre de 2019, 4201913000006373 del 18 de septiembre de 2019, 4201912000006258 del 3 de octubre de 2019, 4201913000006154 del 10 de octubre de 2019, 4201912000007756 del 16 de noviembre de 2019, 4201913000007151 del 2 de diciembre de 2019, 4201912000008593 de 27 de diciembre de 2019, C-030 del 28 de enero de 2020, C-026 del 11 de febrero de 2020, C-119 del 18 de marzo de 2020, C-137 del 26 de marzo de 2020,C-196 del 8 de abril de 2020, C-335 del 29 de mayo de 2020, C-302 del 12 de junio de 2020, C-397 del 30 de junio de 2020, C-410 del 26 de junio de 2020, C-429 del 24 de julio de 2020, C-555 del 24 de agosto de 2020, C-669 del 20 de noviembre de 2020, C-676 del 27 de noviembre de 2020</w:t>
      </w:r>
      <w:r w:rsidRPr="00CC306F">
        <w:rPr>
          <w:rFonts w:ascii="Geomanist Light" w:eastAsiaTheme="minorHAnsi" w:hAnsi="Geomanist Light" w:cs="Arial"/>
          <w:color w:val="000000"/>
          <w:sz w:val="22"/>
          <w:szCs w:val="22"/>
          <w:bdr w:val="none" w:sz="0" w:space="0" w:color="auto" w:frame="1"/>
          <w:lang w:eastAsia="en-US"/>
        </w:rPr>
        <w:t xml:space="preserve">, </w:t>
      </w:r>
      <w:r w:rsidRPr="00CC306F">
        <w:rPr>
          <w:rFonts w:ascii="Geomanist Light" w:eastAsiaTheme="minorHAnsi" w:hAnsi="Geomanist Light" w:cs="Arial"/>
          <w:color w:val="000000"/>
          <w:sz w:val="22"/>
          <w:szCs w:val="22"/>
          <w:bdr w:val="none" w:sz="0" w:space="0" w:color="auto" w:frame="1"/>
          <w:lang w:val="es-MX" w:eastAsia="en-US"/>
        </w:rPr>
        <w:t>C-747 del 15 de diciembre de 2020</w:t>
      </w:r>
      <w:r w:rsidRPr="00CC306F">
        <w:rPr>
          <w:rFonts w:ascii="Geomanist Light" w:eastAsiaTheme="minorHAnsi" w:hAnsi="Geomanist Light" w:cs="Arial"/>
          <w:color w:val="000000"/>
          <w:sz w:val="22"/>
          <w:szCs w:val="22"/>
          <w:bdr w:val="none" w:sz="0" w:space="0" w:color="auto" w:frame="1"/>
          <w:lang w:eastAsia="en-US"/>
        </w:rPr>
        <w:t>, C-119 del 30 de marzo de 2021, C-383 del 02 de agosto de 2022 y C-641 de 5 de octubre de 2022</w:t>
      </w:r>
      <w:r w:rsidRPr="00CC306F">
        <w:rPr>
          <w:rFonts w:ascii="Geomanist Light" w:eastAsiaTheme="minorHAnsi" w:hAnsi="Geomanist Light" w:cs="Arial"/>
          <w:color w:val="000000"/>
          <w:sz w:val="22"/>
          <w:szCs w:val="22"/>
          <w:bdr w:val="none" w:sz="0" w:space="0" w:color="auto" w:frame="1"/>
          <w:lang w:val="es-MX" w:eastAsia="en-US"/>
        </w:rPr>
        <w:t>,  estudió los requisitos para acreditar el personal con discapacidad</w:t>
      </w:r>
      <w:r w:rsidRPr="00CC306F">
        <w:rPr>
          <w:rFonts w:ascii="Geomanist Light" w:eastAsiaTheme="minorHAnsi" w:hAnsi="Geomanist Light" w:cs="Arial"/>
          <w:color w:val="000000"/>
          <w:sz w:val="22"/>
          <w:szCs w:val="22"/>
          <w:bdr w:val="none" w:sz="0" w:space="0" w:color="auto" w:frame="1"/>
          <w:lang w:eastAsia="en-US"/>
        </w:rPr>
        <w:t xml:space="preserve">. </w:t>
      </w:r>
    </w:p>
    <w:p w14:paraId="08D16D9D" w14:textId="0E290630" w:rsidR="00B76B85" w:rsidRPr="00CC306F" w:rsidRDefault="00567039" w:rsidP="004E77FA">
      <w:pPr>
        <w:spacing w:after="240" w:line="276" w:lineRule="auto"/>
        <w:ind w:firstLine="708"/>
        <w:jc w:val="both"/>
        <w:rPr>
          <w:rFonts w:ascii="Geomanist Light" w:eastAsia="Calibri" w:hAnsi="Geomanist Light" w:cs="Arial"/>
          <w:color w:val="000000" w:themeColor="text1"/>
          <w:sz w:val="22"/>
          <w:szCs w:val="22"/>
          <w:lang w:val="es-ES"/>
        </w:rPr>
      </w:pPr>
      <w:r w:rsidRPr="00CC306F">
        <w:rPr>
          <w:rFonts w:ascii="Geomanist Light" w:eastAsia="Calibri" w:hAnsi="Geomanist Light" w:cs="Arial"/>
          <w:color w:val="000000" w:themeColor="text1"/>
          <w:sz w:val="22"/>
          <w:szCs w:val="22"/>
          <w:lang w:val="es-ES"/>
        </w:rPr>
        <w:t xml:space="preserve">Por otra parte, </w:t>
      </w:r>
      <w:r w:rsidR="00250BD6" w:rsidRPr="00CC306F">
        <w:rPr>
          <w:rFonts w:ascii="Geomanist Light" w:eastAsia="Calibri" w:hAnsi="Geomanist Light" w:cs="Arial"/>
          <w:color w:val="000000" w:themeColor="text1"/>
          <w:sz w:val="22"/>
          <w:szCs w:val="22"/>
          <w:lang w:val="es-ES"/>
        </w:rPr>
        <w:t>esta Agencia se ha pronunciado, en términos generales, sobre el contenido de la Ley de Emprendimiento en diferentes conceptos</w:t>
      </w:r>
      <w:r w:rsidR="00250BD6" w:rsidRPr="00CC306F">
        <w:rPr>
          <w:rStyle w:val="Refdenotaalpie"/>
          <w:rFonts w:ascii="Geomanist Light" w:eastAsia="Calibri" w:hAnsi="Geomanist Light" w:cs="Arial"/>
          <w:color w:val="000000" w:themeColor="text1"/>
          <w:sz w:val="22"/>
          <w:szCs w:val="22"/>
          <w:lang w:val="es-ES"/>
        </w:rPr>
        <w:footnoteReference w:id="3"/>
      </w:r>
      <w:r w:rsidR="00250BD6" w:rsidRPr="00CC306F">
        <w:rPr>
          <w:rFonts w:ascii="Geomanist Light" w:eastAsia="Calibri" w:hAnsi="Geomanist Light" w:cs="Arial"/>
          <w:color w:val="000000" w:themeColor="text1"/>
          <w:sz w:val="22"/>
          <w:szCs w:val="22"/>
          <w:lang w:val="es-ES"/>
        </w:rPr>
        <w:t xml:space="preserve">, refiriéndose, especialmente, a lo dispuesto en el artículo 32 de la precitada ley, alusivo a los criterios diferenciales para emprendimientos y empresas de mujeres, y su decreto reglamentario, en </w:t>
      </w:r>
      <w:r w:rsidR="00250BD6" w:rsidRPr="00CC306F">
        <w:rPr>
          <w:rFonts w:ascii="Geomanist Light" w:eastAsia="Calibri" w:hAnsi="Geomanist Light" w:cs="Arial"/>
          <w:color w:val="000000" w:themeColor="text1"/>
          <w:sz w:val="22"/>
          <w:szCs w:val="22"/>
          <w:lang w:val="es-ES"/>
        </w:rPr>
        <w:lastRenderedPageBreak/>
        <w:t xml:space="preserve">los conceptos </w:t>
      </w:r>
      <w:r w:rsidR="00250BD6" w:rsidRPr="00CC306F">
        <w:rPr>
          <w:rStyle w:val="normaltextrun"/>
          <w:rFonts w:ascii="Geomanist Light" w:hAnsi="Geomanist Light" w:cs="Arial"/>
          <w:color w:val="000000" w:themeColor="text1"/>
          <w:sz w:val="22"/>
          <w:szCs w:val="22"/>
          <w:shd w:val="clear" w:color="auto" w:fill="FFFFFF"/>
        </w:rPr>
        <w:t xml:space="preserve">C-029 de 21 de febrero de 2021, C-037 del 26 de febrero de 2021, C-141 del 8 de abril de 2021, C-114 del 13 de abril de 2021 y C-031 del 1 de marzo de 2022, </w:t>
      </w:r>
      <w:r w:rsidR="00250BD6" w:rsidRPr="00CC306F">
        <w:rPr>
          <w:rFonts w:ascii="Geomanist Light" w:hAnsi="Geomanist Light" w:cs="Arial"/>
          <w:sz w:val="22"/>
          <w:szCs w:val="22"/>
          <w:shd w:val="clear" w:color="auto" w:fill="FFFFFF"/>
        </w:rPr>
        <w:t xml:space="preserve">C-213 del 21 de abril de 2022, C-217 del 21 de abril de 2022, C-281 del 12 de mayo de 2022, C-322 del 20 de mayo de 2022, C-323 del 17 de junio de 2022, C-326 del 18 de mayo de 2022, C-398 del 15 de junio de 2022, C-399 del 21 de junio de 2022, C-421 del 6 de julio de 2022, C-429 del 18 de julio de 2022, C-438 del 11 de julio de 2022, C-454 del 13 de julio de 2022, C-476 del 21 de junio de 2022, C-479 del 26 de julio de 2022, C-504 del 8 de agosto de 2022, C-522 del 16 de agosto de 2022, C-642 del 11 de octubre de 2022, C-696 de 26 de octubre de 2022 y C-781 del 25 de noviembre de 2022, </w:t>
      </w:r>
      <w:r w:rsidR="00250BD6" w:rsidRPr="00CC306F">
        <w:rPr>
          <w:rStyle w:val="normaltextrun"/>
          <w:rFonts w:ascii="Geomanist Light" w:hAnsi="Geomanist Light" w:cs="Arial"/>
          <w:color w:val="000000" w:themeColor="text1"/>
          <w:sz w:val="22"/>
          <w:szCs w:val="22"/>
          <w:shd w:val="clear" w:color="auto" w:fill="FFFFFF"/>
        </w:rPr>
        <w:t>entre otros.</w:t>
      </w:r>
    </w:p>
    <w:p w14:paraId="3446BCA1" w14:textId="79944D9D" w:rsidR="002436E3" w:rsidRPr="00CC306F" w:rsidRDefault="002436E3" w:rsidP="004E77FA">
      <w:pPr>
        <w:spacing w:after="240" w:line="276" w:lineRule="auto"/>
        <w:ind w:firstLine="708"/>
        <w:jc w:val="both"/>
        <w:rPr>
          <w:rFonts w:ascii="Geomanist Light" w:eastAsia="Calibri" w:hAnsi="Geomanist Light" w:cs="Arial"/>
          <w:color w:val="000000" w:themeColor="text1"/>
          <w:sz w:val="22"/>
          <w:szCs w:val="22"/>
          <w:lang w:val="es-ES"/>
        </w:rPr>
      </w:pPr>
      <w:r w:rsidRPr="00CC306F">
        <w:rPr>
          <w:rFonts w:ascii="Geomanist Light" w:eastAsia="Calibri" w:hAnsi="Geomanist Light" w:cs="Arial"/>
          <w:color w:val="000000" w:themeColor="text1"/>
          <w:sz w:val="22"/>
          <w:szCs w:val="22"/>
          <w:lang w:val="es-ES"/>
        </w:rPr>
        <w:t xml:space="preserve">Igualmente, </w:t>
      </w:r>
      <w:r w:rsidR="00B623DC" w:rsidRPr="00CC306F">
        <w:rPr>
          <w:rFonts w:ascii="Geomanist Light" w:eastAsia="Calibri" w:hAnsi="Geomanist Light" w:cs="Arial"/>
          <w:color w:val="000000" w:themeColor="text1"/>
          <w:sz w:val="22"/>
          <w:szCs w:val="22"/>
          <w:lang w:val="es-ES"/>
        </w:rPr>
        <w:t xml:space="preserve">se pronunció, en términos generales, sobre la regulación de los criterios diferenciales en favor de las </w:t>
      </w:r>
      <w:proofErr w:type="spellStart"/>
      <w:r w:rsidR="00B623DC" w:rsidRPr="00CC306F">
        <w:rPr>
          <w:rFonts w:ascii="Geomanist Light" w:eastAsia="Calibri" w:hAnsi="Geomanist Light" w:cs="Arial"/>
          <w:color w:val="000000" w:themeColor="text1"/>
          <w:sz w:val="22"/>
          <w:szCs w:val="22"/>
          <w:lang w:val="es-ES"/>
        </w:rPr>
        <w:t>Mipyme</w:t>
      </w:r>
      <w:proofErr w:type="spellEnd"/>
      <w:r w:rsidR="00B623DC" w:rsidRPr="00CC306F">
        <w:rPr>
          <w:rFonts w:ascii="Geomanist Light" w:eastAsia="Calibri" w:hAnsi="Geomanist Light" w:cs="Arial"/>
          <w:color w:val="000000" w:themeColor="text1"/>
          <w:sz w:val="22"/>
          <w:szCs w:val="22"/>
          <w:lang w:val="es-ES"/>
        </w:rPr>
        <w:t xml:space="preserve"> nacionales, los criterios diferenciales en favor de los emprendimientos y empresas de mujeres en el Decreto 1860 de 2021 y la vigencia de dicho reglamento en los conceptos C-344 del 9 de junio, C-386 del 15 de junio de 2022</w:t>
      </w:r>
      <w:r w:rsidR="00D5667F" w:rsidRPr="00CC306F">
        <w:rPr>
          <w:rFonts w:ascii="Geomanist Light" w:eastAsia="Calibri" w:hAnsi="Geomanist Light" w:cs="Arial"/>
          <w:color w:val="000000" w:themeColor="text1"/>
          <w:sz w:val="22"/>
          <w:szCs w:val="22"/>
          <w:lang w:val="es-ES"/>
        </w:rPr>
        <w:t>,</w:t>
      </w:r>
      <w:r w:rsidR="00B623DC" w:rsidRPr="00CC306F">
        <w:rPr>
          <w:rFonts w:ascii="Geomanist Light" w:eastAsia="Calibri" w:hAnsi="Geomanist Light" w:cs="Arial"/>
          <w:color w:val="000000" w:themeColor="text1"/>
          <w:sz w:val="22"/>
          <w:szCs w:val="22"/>
          <w:lang w:val="es-ES"/>
        </w:rPr>
        <w:t xml:space="preserve"> C-509 de 8 de agosto de 2022</w:t>
      </w:r>
      <w:r w:rsidR="00D5667F" w:rsidRPr="00CC306F">
        <w:rPr>
          <w:rFonts w:ascii="Geomanist Light" w:eastAsia="Calibri" w:hAnsi="Geomanist Light" w:cs="Arial"/>
          <w:color w:val="000000" w:themeColor="text1"/>
          <w:sz w:val="22"/>
          <w:szCs w:val="22"/>
          <w:lang w:val="es-ES"/>
        </w:rPr>
        <w:t xml:space="preserve"> y C-587 del 21 de septiembre de 2022</w:t>
      </w:r>
      <w:r w:rsidR="00B623DC" w:rsidRPr="00CC306F">
        <w:rPr>
          <w:rFonts w:ascii="Geomanist Light" w:eastAsia="Calibri" w:hAnsi="Geomanist Light" w:cs="Arial"/>
          <w:color w:val="000000" w:themeColor="text1"/>
          <w:sz w:val="22"/>
          <w:szCs w:val="22"/>
          <w:lang w:val="es-ES"/>
        </w:rPr>
        <w:t>.</w:t>
      </w:r>
    </w:p>
    <w:p w14:paraId="6FE4FC9E" w14:textId="2C7F9D6E" w:rsidR="00D279B7" w:rsidRPr="00CC306F" w:rsidRDefault="00D279B7" w:rsidP="004E77FA">
      <w:pPr>
        <w:spacing w:after="240" w:line="276" w:lineRule="auto"/>
        <w:ind w:firstLine="708"/>
        <w:jc w:val="both"/>
        <w:rPr>
          <w:rFonts w:ascii="Geomanist Light" w:eastAsia="Calibri" w:hAnsi="Geomanist Light" w:cs="Arial"/>
          <w:color w:val="000000" w:themeColor="text1"/>
          <w:sz w:val="22"/>
          <w:szCs w:val="22"/>
          <w:lang w:val="es-ES"/>
        </w:rPr>
      </w:pPr>
      <w:r w:rsidRPr="00CC306F">
        <w:rPr>
          <w:rFonts w:ascii="Geomanist Light" w:eastAsia="Calibri" w:hAnsi="Geomanist Light" w:cs="Arial"/>
          <w:color w:val="000000" w:themeColor="text1"/>
          <w:sz w:val="22"/>
          <w:szCs w:val="22"/>
          <w:lang w:val="es-ES"/>
        </w:rPr>
        <w:t>Algunas de las consideraciones de estos conceptos se reiteran y complementan en lo pertinente a continuación.</w:t>
      </w:r>
    </w:p>
    <w:p w14:paraId="111BC3C2" w14:textId="606E4637" w:rsidR="0000229C" w:rsidRPr="00174D3B" w:rsidRDefault="0000229C" w:rsidP="004E77FA">
      <w:pPr>
        <w:spacing w:after="240" w:line="276" w:lineRule="auto"/>
        <w:jc w:val="both"/>
        <w:rPr>
          <w:rFonts w:ascii="Geomanist Light" w:eastAsia="Calibri" w:hAnsi="Geomanist Light" w:cs="Arial"/>
          <w:b/>
          <w:bCs/>
          <w:sz w:val="22"/>
          <w:szCs w:val="22"/>
        </w:rPr>
      </w:pPr>
      <w:bookmarkStart w:id="8" w:name="_Hlk94018153"/>
      <w:r w:rsidRPr="00CC306F">
        <w:rPr>
          <w:rFonts w:ascii="Geomanist Light" w:eastAsia="Calibri" w:hAnsi="Geomanist Light" w:cs="Arial"/>
          <w:b/>
          <w:bCs/>
          <w:sz w:val="22"/>
          <w:szCs w:val="22"/>
        </w:rPr>
        <w:t>2.1. Fundamento normativo de los documentos tipo</w:t>
      </w:r>
    </w:p>
    <w:p w14:paraId="7131ADBC" w14:textId="77777777" w:rsidR="0000229C" w:rsidRPr="00CC306F" w:rsidRDefault="0000229C" w:rsidP="004E77FA">
      <w:pPr>
        <w:spacing w:after="240" w:line="276" w:lineRule="auto"/>
        <w:jc w:val="both"/>
        <w:rPr>
          <w:rFonts w:ascii="Geomanist Light" w:eastAsia="Calibri" w:hAnsi="Geomanist Light" w:cs="Arial"/>
          <w:sz w:val="22"/>
          <w:szCs w:val="22"/>
          <w:lang w:val="es-ES"/>
        </w:rPr>
      </w:pPr>
      <w:bookmarkStart w:id="9" w:name="_Hlk113267191"/>
      <w:r w:rsidRPr="00CC306F">
        <w:rPr>
          <w:rFonts w:ascii="Geomanist Light" w:eastAsia="Calibri" w:hAnsi="Geomanist Light" w:cs="Arial"/>
          <w:sz w:val="22"/>
          <w:szCs w:val="22"/>
          <w:lang w:val="es-ES"/>
        </w:rPr>
        <w:t>La adopción de los documentos tipo obligatorios en el ordenamiento jurídico colombiano se incluyó por primera vez en el parágrafo 3 del artículo 2 de la Ley 1150 de 2007</w:t>
      </w:r>
      <w:r w:rsidRPr="00CC306F">
        <w:rPr>
          <w:rStyle w:val="Refdenotaalpie"/>
          <w:rFonts w:ascii="Geomanist Light" w:hAnsi="Geomanist Light" w:cs="Arial"/>
        </w:rPr>
        <w:footnoteReference w:id="4"/>
      </w:r>
      <w:r w:rsidRPr="00CC306F">
        <w:rPr>
          <w:rFonts w:ascii="Geomanist Light" w:eastAsia="Calibri" w:hAnsi="Geomanist Light" w:cs="Arial"/>
          <w:lang w:val="es-ES"/>
        </w:rPr>
        <w:t xml:space="preserve">, </w:t>
      </w:r>
      <w:r w:rsidRPr="00CC306F">
        <w:rPr>
          <w:rFonts w:ascii="Geomanist Light" w:eastAsia="Calibri" w:hAnsi="Geomanist Light" w:cs="Arial"/>
          <w:sz w:val="22"/>
          <w:szCs w:val="22"/>
          <w:lang w:val="es-ES"/>
        </w:rPr>
        <w:t xml:space="preserve">que facultó al gobierno nacional para expedirlos, pero solo cuando se tratara de la adquisición o suministro de bienes y servicios de características técnicas uniformes y de común utilización; facultad que no ha sido ejercida hasta la actualidad. </w:t>
      </w:r>
    </w:p>
    <w:p w14:paraId="19E2F159" w14:textId="77777777" w:rsidR="0000229C" w:rsidRPr="00CC306F" w:rsidRDefault="0000229C" w:rsidP="004E77FA">
      <w:pPr>
        <w:spacing w:after="240" w:line="276" w:lineRule="auto"/>
        <w:ind w:firstLine="708"/>
        <w:jc w:val="both"/>
        <w:rPr>
          <w:rFonts w:ascii="Geomanist Light" w:eastAsia="Calibri" w:hAnsi="Geomanist Light" w:cs="Arial"/>
          <w:sz w:val="22"/>
          <w:szCs w:val="22"/>
          <w:lang w:val="es-ES"/>
        </w:rPr>
      </w:pPr>
      <w:r w:rsidRPr="00CC306F">
        <w:rPr>
          <w:rFonts w:ascii="Geomanist Light" w:eastAsia="Calibri" w:hAnsi="Geomanist Light" w:cs="Arial"/>
          <w:sz w:val="22"/>
          <w:szCs w:val="22"/>
          <w:lang w:val="es-ES"/>
        </w:rPr>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3251941D" w14:textId="77777777" w:rsidR="0000229C" w:rsidRPr="00CC306F" w:rsidRDefault="0000229C" w:rsidP="004E77FA">
      <w:pPr>
        <w:spacing w:after="240" w:line="276" w:lineRule="auto"/>
        <w:ind w:firstLine="708"/>
        <w:jc w:val="both"/>
        <w:rPr>
          <w:rFonts w:ascii="Geomanist Light" w:eastAsia="Calibri" w:hAnsi="Geomanist Light" w:cs="Arial"/>
          <w:lang w:val="es-ES"/>
        </w:rPr>
      </w:pPr>
      <w:r w:rsidRPr="00CC306F">
        <w:rPr>
          <w:rFonts w:ascii="Geomanist Light" w:eastAsia="Calibri" w:hAnsi="Geomanist Light" w:cs="Arial"/>
          <w:sz w:val="22"/>
          <w:szCs w:val="22"/>
          <w:lang w:val="es-ES"/>
        </w:rPr>
        <w:t xml:space="preserve">La Ley 1882 de 2018, en el artículo 4, establecía que el gobierno nacional adoptaría los documentos tipo para los pliegos de condiciones de los procesos de selección de obras públicas, interventoría para las obras públicas, interventoría para consultoría de estudios y </w:t>
      </w:r>
      <w:r w:rsidRPr="00CC306F">
        <w:rPr>
          <w:rFonts w:ascii="Geomanist Light" w:eastAsia="Calibri" w:hAnsi="Geomanist Light" w:cs="Arial"/>
          <w:sz w:val="22"/>
          <w:szCs w:val="22"/>
          <w:lang w:val="es-ES"/>
        </w:rPr>
        <w:lastRenderedPageBreak/>
        <w:t>diseños para obras públicas y consultoría en ingeniería para obras, los cuales debían ser utilizados por todas las entidades sometidas al Estatuto General de Contratación de la Administración Pública en los procesos de selección que adelantaran</w:t>
      </w:r>
      <w:r w:rsidRPr="00CC306F">
        <w:rPr>
          <w:rStyle w:val="Refdenotaalpie"/>
          <w:rFonts w:ascii="Geomanist Light" w:hAnsi="Geomanist Light" w:cs="Arial"/>
        </w:rPr>
        <w:footnoteReference w:id="5"/>
      </w:r>
      <w:r w:rsidRPr="00CC306F">
        <w:rPr>
          <w:rFonts w:ascii="Geomanist Light" w:eastAsia="Calibri" w:hAnsi="Geomanist Light" w:cs="Arial"/>
          <w:lang w:val="es-ES"/>
        </w:rPr>
        <w:t>.</w:t>
      </w:r>
    </w:p>
    <w:bookmarkEnd w:id="9"/>
    <w:p w14:paraId="7EABD986" w14:textId="7964A1E4" w:rsidR="0000229C" w:rsidRPr="00CC306F" w:rsidRDefault="0000229C" w:rsidP="004E77FA">
      <w:pPr>
        <w:spacing w:after="240" w:line="276" w:lineRule="auto"/>
        <w:jc w:val="both"/>
        <w:rPr>
          <w:rFonts w:ascii="Geomanist Light" w:eastAsia="Calibri" w:hAnsi="Geomanist Light" w:cs="Arial"/>
          <w:sz w:val="22"/>
          <w:szCs w:val="22"/>
          <w:lang w:val="es-ES"/>
        </w:rPr>
      </w:pPr>
      <w:r w:rsidRPr="00CC306F">
        <w:rPr>
          <w:rFonts w:ascii="Geomanist Light" w:eastAsia="Calibri" w:hAnsi="Geomanist Light" w:cs="Arial"/>
          <w:sz w:val="22"/>
          <w:szCs w:val="22"/>
          <w:lang w:val="es-ES"/>
        </w:rPr>
        <w:tab/>
        <w:t xml:space="preserve">Así 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21C4E457" w14:textId="77777777" w:rsidR="0000229C" w:rsidRPr="00CC306F" w:rsidRDefault="0000229C" w:rsidP="004E77FA">
      <w:pPr>
        <w:spacing w:after="240" w:line="276" w:lineRule="auto"/>
        <w:jc w:val="both"/>
        <w:rPr>
          <w:rFonts w:ascii="Geomanist Light" w:eastAsia="Calibri" w:hAnsi="Geomanist Light" w:cs="Arial"/>
          <w:sz w:val="22"/>
          <w:szCs w:val="22"/>
          <w:lang w:val="es-ES"/>
        </w:rPr>
      </w:pPr>
      <w:r w:rsidRPr="00CC306F">
        <w:rPr>
          <w:rFonts w:ascii="Geomanist Light" w:eastAsia="Calibri" w:hAnsi="Geomanist Light" w:cs="Arial"/>
          <w:sz w:val="22"/>
          <w:szCs w:val="22"/>
          <w:lang w:val="es-ES"/>
        </w:rPr>
        <w:tab/>
        <w:t xml:space="preserve">De la norma descrita se concluía lo siguiente: i) la adopción de los documentos tipo estaba en cabeza del gobierno nacional; ii) estos debían relacionarse con procesos de obra públicas, interventoría para las obras públicas, interventoría para consultoría de estudios y diseños y, finalmente, consultoría en ingeniería para obras; iii) eran de obligatorio cumplimiento por parte de todas las entidades sometidas al Estatuto General de Contratación de la Administración Pública; iv)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19789E6C" w14:textId="77777777" w:rsidR="0000229C" w:rsidRPr="00CC306F" w:rsidRDefault="0000229C" w:rsidP="004E77FA">
      <w:pPr>
        <w:spacing w:after="240" w:line="276" w:lineRule="auto"/>
        <w:jc w:val="both"/>
        <w:rPr>
          <w:rFonts w:ascii="Geomanist Light" w:eastAsia="Calibri" w:hAnsi="Geomanist Light" w:cs="Arial"/>
          <w:lang w:val="es-ES"/>
        </w:rPr>
      </w:pPr>
      <w:r w:rsidRPr="00CC306F">
        <w:rPr>
          <w:rFonts w:ascii="Geomanist Light" w:eastAsia="Calibri" w:hAnsi="Geomanist Light" w:cs="Arial"/>
          <w:lang w:val="es-ES"/>
        </w:rPr>
        <w:tab/>
      </w:r>
      <w:r w:rsidRPr="00CC306F">
        <w:rPr>
          <w:rFonts w:ascii="Geomanist Light" w:eastAsia="Calibri" w:hAnsi="Geomanist Light" w:cs="Arial"/>
          <w:sz w:val="22"/>
          <w:szCs w:val="22"/>
          <w:lang w:val="es-ES"/>
        </w:rPr>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w:t>
      </w:r>
      <w:r w:rsidRPr="00CC306F">
        <w:rPr>
          <w:rFonts w:ascii="Geomanist Light" w:eastAsia="Calibri" w:hAnsi="Geomanist Light" w:cs="Arial"/>
          <w:sz w:val="22"/>
          <w:szCs w:val="22"/>
          <w:lang w:val="es-ES"/>
        </w:rPr>
        <w:lastRenderedPageBreak/>
        <w:t>garantiza con la identificación autónoma de sus necesidades y la configuración de los elementos del contrato</w:t>
      </w:r>
      <w:r w:rsidRPr="00CC306F">
        <w:rPr>
          <w:rStyle w:val="Refdenotaalpie"/>
          <w:rFonts w:ascii="Geomanist Light" w:hAnsi="Geomanist Light" w:cs="Arial"/>
        </w:rPr>
        <w:footnoteReference w:id="6"/>
      </w:r>
      <w:r w:rsidRPr="00CC306F">
        <w:rPr>
          <w:rFonts w:ascii="Geomanist Light" w:eastAsia="Calibri" w:hAnsi="Geomanist Light" w:cs="Arial"/>
          <w:lang w:val="es-ES"/>
        </w:rPr>
        <w:t>.</w:t>
      </w:r>
    </w:p>
    <w:p w14:paraId="43624D48" w14:textId="77777777" w:rsidR="0000229C" w:rsidRPr="00CC306F" w:rsidRDefault="0000229C" w:rsidP="004E77FA">
      <w:pPr>
        <w:spacing w:after="240" w:line="276" w:lineRule="auto"/>
        <w:jc w:val="both"/>
        <w:rPr>
          <w:rFonts w:ascii="Geomanist Light" w:eastAsia="Calibri" w:hAnsi="Geomanist Light" w:cs="Arial"/>
          <w:sz w:val="22"/>
          <w:szCs w:val="22"/>
          <w:lang w:val="es-ES"/>
        </w:rPr>
      </w:pPr>
      <w:r w:rsidRPr="00CC306F">
        <w:rPr>
          <w:rFonts w:ascii="Geomanist Light" w:eastAsia="Calibri" w:hAnsi="Geomanist Light" w:cs="Arial"/>
          <w:lang w:val="es-ES"/>
        </w:rPr>
        <w:tab/>
      </w:r>
      <w:r w:rsidRPr="00CC306F">
        <w:rPr>
          <w:rFonts w:ascii="Geomanist Light" w:eastAsia="Calibri" w:hAnsi="Geomanist Light" w:cs="Arial"/>
          <w:sz w:val="22"/>
          <w:szCs w:val="22"/>
          <w:lang w:val="es-ES"/>
        </w:rPr>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2D3B97E7" w14:textId="77777777" w:rsidR="0000229C" w:rsidRPr="00CC306F" w:rsidRDefault="0000229C" w:rsidP="004E77FA">
      <w:pPr>
        <w:spacing w:after="240" w:line="276" w:lineRule="auto"/>
        <w:jc w:val="both"/>
        <w:rPr>
          <w:rFonts w:ascii="Geomanist Light" w:eastAsia="Calibri" w:hAnsi="Geomanist Light" w:cs="Arial"/>
          <w:sz w:val="22"/>
          <w:szCs w:val="22"/>
          <w:lang w:val="es-ES"/>
        </w:rPr>
      </w:pPr>
      <w:r w:rsidRPr="00CC306F">
        <w:rPr>
          <w:rFonts w:ascii="Geomanist Light" w:eastAsia="Calibri" w:hAnsi="Geomanist Light" w:cs="Arial"/>
          <w:sz w:val="22"/>
          <w:szCs w:val="22"/>
          <w:lang w:val="es-ES"/>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623F3D1A" w14:textId="77777777" w:rsidR="0000229C" w:rsidRPr="00CC306F" w:rsidRDefault="0000229C" w:rsidP="004E77FA">
      <w:pPr>
        <w:spacing w:after="240" w:line="276" w:lineRule="auto"/>
        <w:jc w:val="both"/>
        <w:rPr>
          <w:rFonts w:ascii="Geomanist Light" w:eastAsia="Calibri" w:hAnsi="Geomanist Light" w:cs="Arial"/>
          <w:sz w:val="22"/>
          <w:szCs w:val="22"/>
          <w:lang w:val="es-ES"/>
        </w:rPr>
      </w:pPr>
      <w:r w:rsidRPr="00CC306F">
        <w:rPr>
          <w:rFonts w:ascii="Geomanist Light" w:eastAsia="Calibri" w:hAnsi="Geomanist Light" w:cs="Arial"/>
          <w:sz w:val="22"/>
          <w:szCs w:val="22"/>
          <w:lang w:val="es-ES"/>
        </w:rPr>
        <w:tab/>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CC306F" w:rsidDel="00A434AB">
        <w:rPr>
          <w:rFonts w:ascii="Geomanist Light" w:eastAsia="Calibri" w:hAnsi="Geomanist Light" w:cs="Arial"/>
          <w:sz w:val="22"/>
          <w:szCs w:val="22"/>
          <w:lang w:val="es-ES"/>
        </w:rPr>
        <w:t xml:space="preserve"> </w:t>
      </w:r>
      <w:r w:rsidRPr="00CC306F">
        <w:rPr>
          <w:rFonts w:ascii="Geomanist Light" w:eastAsia="Calibri" w:hAnsi="Geomanist Light" w:cs="Arial"/>
          <w:sz w:val="22"/>
          <w:szCs w:val="22"/>
          <w:lang w:val="es-ES"/>
        </w:rPr>
        <w:t>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14:paraId="2F17F386" w14:textId="41CCDA24" w:rsidR="0000229C" w:rsidRPr="00CC306F" w:rsidRDefault="0000229C" w:rsidP="004E77FA">
      <w:pPr>
        <w:spacing w:after="240" w:line="276" w:lineRule="auto"/>
        <w:ind w:firstLine="709"/>
        <w:jc w:val="both"/>
        <w:rPr>
          <w:rFonts w:ascii="Geomanist Light" w:eastAsia="Calibri" w:hAnsi="Geomanist Light" w:cs="Arial"/>
          <w:sz w:val="22"/>
          <w:szCs w:val="22"/>
          <w:lang w:val="es-ES" w:eastAsia="es-ES"/>
        </w:rPr>
      </w:pPr>
      <w:r w:rsidRPr="00CC306F">
        <w:rPr>
          <w:rFonts w:ascii="Geomanist Light" w:eastAsia="Calibri" w:hAnsi="Geomanist Light" w:cs="Arial"/>
          <w:sz w:val="22"/>
          <w:szCs w:val="22"/>
          <w:lang w:val="es-ES" w:eastAsia="es-ES"/>
        </w:rPr>
        <w:t>Por otra parte</w:t>
      </w:r>
      <w:r w:rsidRPr="00CC306F">
        <w:rPr>
          <w:rFonts w:ascii="Geomanist Light" w:eastAsia="Calibri" w:hAnsi="Geomanist Light" w:cs="Arial"/>
          <w:i/>
          <w:iCs/>
          <w:sz w:val="22"/>
          <w:szCs w:val="22"/>
          <w:lang w:val="es-ES" w:eastAsia="es-ES"/>
        </w:rPr>
        <w:t>,</w:t>
      </w:r>
      <w:r w:rsidRPr="00CC306F">
        <w:rPr>
          <w:rFonts w:ascii="Geomanist Light" w:eastAsia="Calibri" w:hAnsi="Geomanist Light" w:cs="Arial"/>
          <w:sz w:val="22"/>
          <w:szCs w:val="22"/>
          <w:lang w:val="es-ES" w:eastAsia="es-ES"/>
        </w:rPr>
        <w:t xml:space="preserve"> debe tenerse en cuenta que la Ley 2022 de 2020 fue sancionada por el presidente de la República el 22 de julio de 2020, que en su artículo 1 modificó el artículo 4 </w:t>
      </w:r>
      <w:r w:rsidRPr="00CC306F">
        <w:rPr>
          <w:rFonts w:ascii="Geomanist Light" w:eastAsia="Calibri" w:hAnsi="Geomanist Light" w:cs="Arial"/>
          <w:sz w:val="22"/>
          <w:szCs w:val="22"/>
          <w:lang w:val="es-ES" w:eastAsia="es-ES"/>
        </w:rPr>
        <w:lastRenderedPageBreak/>
        <w:t>de la Ley 1882 de 2018 y, por tanto, modificó el parágrafo 7 del artículo 2 de la Ley 1150 de 2007, asignando directamente a la Agencia Nacional de Contratación Pública – Colombia Compra Eficiente la facultad para adoptar los documentos tipo</w:t>
      </w:r>
      <w:r w:rsidRPr="00CC306F">
        <w:rPr>
          <w:rStyle w:val="Refdenotaalpie"/>
          <w:rFonts w:ascii="Geomanist Light" w:hAnsi="Geomanist Light" w:cs="Arial"/>
          <w:sz w:val="22"/>
          <w:szCs w:val="22"/>
        </w:rPr>
        <w:footnoteReference w:id="7"/>
      </w:r>
      <w:r w:rsidRPr="00CC306F">
        <w:rPr>
          <w:rFonts w:ascii="Geomanist Light" w:eastAsia="Calibri" w:hAnsi="Geomanist Light" w:cs="Arial"/>
          <w:sz w:val="22"/>
          <w:szCs w:val="22"/>
          <w:lang w:val="es-ES" w:eastAsia="es-ES"/>
        </w:rPr>
        <w:t xml:space="preserv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Así 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44E636CB" w14:textId="77777777" w:rsidR="0000229C" w:rsidRPr="00CC306F" w:rsidRDefault="0000229C" w:rsidP="004E77FA">
      <w:pPr>
        <w:spacing w:after="240" w:line="276" w:lineRule="auto"/>
        <w:ind w:firstLine="709"/>
        <w:jc w:val="both"/>
        <w:rPr>
          <w:rFonts w:ascii="Geomanist Light" w:eastAsia="Calibri" w:hAnsi="Geomanist Light" w:cs="Arial"/>
          <w:sz w:val="22"/>
          <w:szCs w:val="22"/>
          <w:lang w:val="es-ES" w:eastAsia="es-ES"/>
        </w:rPr>
      </w:pPr>
      <w:r w:rsidRPr="00CC306F">
        <w:rPr>
          <w:rFonts w:ascii="Geomanist Light" w:eastAsia="Calibri" w:hAnsi="Geomanist Light" w:cs="Arial"/>
          <w:sz w:val="22"/>
          <w:szCs w:val="22"/>
          <w:lang w:val="es-ES" w:eastAsia="es-ES"/>
        </w:rPr>
        <w:t>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vigencia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4ED0DECA" w14:textId="09D0B1E6" w:rsidR="0000229C" w:rsidRPr="00CC306F" w:rsidRDefault="00513A15" w:rsidP="004E77FA">
      <w:pPr>
        <w:spacing w:after="240" w:line="276" w:lineRule="auto"/>
        <w:ind w:firstLine="709"/>
        <w:jc w:val="both"/>
        <w:rPr>
          <w:rFonts w:ascii="Geomanist Light" w:hAnsi="Geomanist Light" w:cs="Arial"/>
          <w:sz w:val="22"/>
          <w:szCs w:val="22"/>
          <w:lang w:val="es-MX"/>
        </w:rPr>
      </w:pPr>
      <w:r w:rsidRPr="00CC306F">
        <w:rPr>
          <w:rFonts w:ascii="Geomanist Light" w:eastAsia="Calibri" w:hAnsi="Geomanist Light" w:cs="Arial"/>
          <w:sz w:val="22"/>
          <w:szCs w:val="22"/>
          <w:lang w:val="es-ES" w:eastAsia="es-ES"/>
        </w:rPr>
        <w:t xml:space="preserve">Así </w:t>
      </w:r>
      <w:r w:rsidR="0000229C" w:rsidRPr="00CC306F">
        <w:rPr>
          <w:rFonts w:ascii="Geomanist Light" w:eastAsia="Calibri" w:hAnsi="Geomanist Light" w:cs="Arial"/>
          <w:sz w:val="22"/>
          <w:szCs w:val="22"/>
          <w:lang w:val="es-ES" w:eastAsia="es-ES"/>
        </w:rPr>
        <w:t xml:space="preserve">mismo, en el transcurso del año 2021, esta Agencia expidió la Resolución 193 del 14 de julio de 2021 «Por la cual se adoptan los documentos tipo para los procesos de selección de concurso de méritos, para contratar la consultoría de estudios de ingeniería de infraestructura de transporte». De igual forma, el 6 de agosto de 2021, se adoptaron las Resoluciones 219 de 2021 «Por la cual se adoptan los documentos tipo para los procesos de licitación de obra pública de infraestructura social» y 220 de 2021 «Por la cual se adoptan los documentos tipo complementarios para los procesos de licitación de obra pública de </w:t>
      </w:r>
      <w:r w:rsidR="0000229C" w:rsidRPr="00CC306F">
        <w:rPr>
          <w:rFonts w:ascii="Geomanist Light" w:eastAsia="Calibri" w:hAnsi="Geomanist Light" w:cs="Arial"/>
          <w:sz w:val="22"/>
          <w:szCs w:val="22"/>
          <w:lang w:val="es-ES" w:eastAsia="es-ES"/>
        </w:rPr>
        <w:lastRenderedPageBreak/>
        <w:t>infraestructura social relacionados con el sector educativo». Estos últimos documentos tipo tienen la particularidad de que los documentos adoptados por la Resolución de 219 de 2021 serán utilizados en forma transversal en los sectores de educación, salud y recreación, cultura y deporte. En esta línea, posteriormente se expidió la Resolución 392 del 18 de noviembre de 2021 «</w:t>
      </w:r>
      <w:r w:rsidR="0000229C" w:rsidRPr="00CC306F">
        <w:rPr>
          <w:rFonts w:ascii="Geomanist Light" w:hAnsi="Geomanist Light" w:cs="Arial"/>
          <w:bCs/>
          <w:iCs/>
          <w:sz w:val="22"/>
          <w:szCs w:val="22"/>
          <w:shd w:val="clear" w:color="auto" w:fill="FFFFFF"/>
          <w:lang w:val="es-MX"/>
        </w:rPr>
        <w:t>Por la cual se adoptan los documentos tipo complementarios para los procesos de licitación de obra pública de infraestructura social relacionados con el sector salud</w:t>
      </w:r>
      <w:r w:rsidR="0000229C" w:rsidRPr="00CC306F">
        <w:rPr>
          <w:rFonts w:ascii="Geomanist Light" w:eastAsia="Calibri" w:hAnsi="Geomanist Light" w:cs="Arial"/>
          <w:sz w:val="22"/>
          <w:szCs w:val="22"/>
          <w:lang w:val="es-ES" w:eastAsia="es-ES"/>
        </w:rPr>
        <w:t>». Luego, se expidió la Resolución 454 del 16 de diciembre de 2021 «</w:t>
      </w:r>
      <w:r w:rsidR="0000229C" w:rsidRPr="00CC306F">
        <w:rPr>
          <w:rFonts w:ascii="Geomanist Light" w:hAnsi="Geomanist Light" w:cs="Arial"/>
          <w:sz w:val="22"/>
          <w:szCs w:val="22"/>
          <w:lang w:val="es-MX"/>
        </w:rPr>
        <w:t>Por la cual se adoptan los documentos tipo complementarios para los procesos de licitación de obra pública de infraestructura social relacionados con el sector cultura, recreación y deporte</w:t>
      </w:r>
      <w:r w:rsidR="0000229C" w:rsidRPr="00CC306F">
        <w:rPr>
          <w:rFonts w:ascii="Geomanist Light" w:eastAsia="Calibri" w:hAnsi="Geomanist Light" w:cs="Arial"/>
          <w:sz w:val="22"/>
          <w:szCs w:val="22"/>
          <w:lang w:val="es-ES" w:eastAsia="es-ES"/>
        </w:rPr>
        <w:t>»</w:t>
      </w:r>
      <w:r w:rsidR="0000229C" w:rsidRPr="00CC306F">
        <w:rPr>
          <w:rFonts w:ascii="Geomanist Light" w:hAnsi="Geomanist Light" w:cs="Arial"/>
          <w:sz w:val="22"/>
          <w:szCs w:val="22"/>
          <w:lang w:val="es-MX"/>
        </w:rPr>
        <w:t xml:space="preserve">. </w:t>
      </w:r>
    </w:p>
    <w:p w14:paraId="3DFFCB71" w14:textId="77777777" w:rsidR="0000229C" w:rsidRPr="00CC306F" w:rsidRDefault="0000229C" w:rsidP="004E77FA">
      <w:pPr>
        <w:spacing w:after="240" w:line="276" w:lineRule="auto"/>
        <w:ind w:firstLine="709"/>
        <w:jc w:val="both"/>
        <w:rPr>
          <w:rFonts w:ascii="Geomanist Light" w:hAnsi="Geomanist Light" w:cs="Arial"/>
          <w:sz w:val="22"/>
          <w:szCs w:val="22"/>
          <w:lang w:val="es-ES"/>
        </w:rPr>
      </w:pPr>
      <w:r w:rsidRPr="00CC306F">
        <w:rPr>
          <w:rFonts w:ascii="Geomanist Light" w:hAnsi="Geomanist Light" w:cs="Arial"/>
          <w:sz w:val="22"/>
          <w:szCs w:val="22"/>
          <w:lang w:val="es-MX"/>
        </w:rPr>
        <w:t xml:space="preserve">En el año 2022, la Agencia expidió la Resolución 326 del 22 de julio de 2022 </w:t>
      </w:r>
      <w:r w:rsidRPr="00CC306F">
        <w:rPr>
          <w:rFonts w:ascii="Geomanist Light" w:eastAsia="Calibri" w:hAnsi="Geomanist Light" w:cs="Arial"/>
          <w:sz w:val="22"/>
          <w:szCs w:val="22"/>
          <w:lang w:val="es-ES" w:eastAsia="es-ES"/>
        </w:rPr>
        <w:t xml:space="preserve">«Por la cual se actualizan los documentos tipo para los procesos de contratación de concurso de méritos para contratar la interventoría de obras de infraestructura de transporte y se deroga la Resolución 256 de 2020», y la Resolución </w:t>
      </w:r>
      <w:r w:rsidRPr="00CC306F">
        <w:rPr>
          <w:rFonts w:ascii="Geomanist Light" w:hAnsi="Geomanist Light" w:cs="Arial"/>
          <w:sz w:val="22"/>
          <w:szCs w:val="22"/>
        </w:rPr>
        <w:t xml:space="preserve">333 del 27 de julio de 2022 </w:t>
      </w:r>
      <w:r w:rsidRPr="00CC306F">
        <w:rPr>
          <w:rFonts w:ascii="Geomanist Light" w:eastAsia="Calibri" w:hAnsi="Geomanist Light" w:cs="Arial"/>
          <w:sz w:val="22"/>
          <w:szCs w:val="22"/>
          <w:lang w:val="es-ES" w:eastAsia="es-ES"/>
        </w:rPr>
        <w:t>«Por la cual se adoptan los documentos tipo para los procesos de selección de concurso de méritos para contratar la interventoría de obras públicas de infraestructura de agua potable y saneamiento básico»</w:t>
      </w:r>
      <w:r w:rsidRPr="00CC306F">
        <w:rPr>
          <w:rFonts w:ascii="Geomanist Light" w:hAnsi="Geomanist Light" w:cs="Arial"/>
          <w:sz w:val="22"/>
          <w:szCs w:val="22"/>
          <w:lang w:val="es-ES"/>
        </w:rPr>
        <w:t xml:space="preserve">. </w:t>
      </w:r>
    </w:p>
    <w:p w14:paraId="192C82A6" w14:textId="77777777" w:rsidR="0000229C" w:rsidRPr="00CC306F" w:rsidRDefault="0000229C" w:rsidP="004E77FA">
      <w:pPr>
        <w:spacing w:after="240" w:line="276" w:lineRule="auto"/>
        <w:ind w:firstLine="709"/>
        <w:jc w:val="both"/>
        <w:rPr>
          <w:rFonts w:ascii="Geomanist Light" w:hAnsi="Geomanist Light" w:cs="Arial"/>
          <w:sz w:val="22"/>
          <w:szCs w:val="22"/>
          <w:bdr w:val="none" w:sz="0" w:space="0" w:color="auto" w:frame="1"/>
          <w:lang w:val="es-ES_tradnl" w:eastAsia="es-CO"/>
        </w:rPr>
      </w:pPr>
      <w:r w:rsidRPr="00CC306F">
        <w:rPr>
          <w:rFonts w:ascii="Geomanist Light" w:hAnsi="Geomanist Light" w:cs="Arial"/>
          <w:sz w:val="22"/>
          <w:szCs w:val="22"/>
          <w:bdr w:val="none" w:sz="0" w:space="0" w:color="auto" w:frame="1"/>
          <w:lang w:val="es-ES_tradnl" w:eastAsia="es-CO"/>
        </w:rPr>
        <w:t xml:space="preserve">No obstante, con la expedición de la Ley de Emprendimiento, se modificaron varios documentos tipo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5B9CD08D" w14:textId="77777777" w:rsidR="0000229C" w:rsidRPr="00CC306F" w:rsidRDefault="0000229C" w:rsidP="004E77FA">
      <w:pPr>
        <w:spacing w:after="240" w:line="276" w:lineRule="auto"/>
        <w:ind w:firstLine="708"/>
        <w:jc w:val="both"/>
        <w:rPr>
          <w:rFonts w:ascii="Geomanist Light" w:hAnsi="Geomanist Light" w:cs="Arial"/>
          <w:spacing w:val="2"/>
          <w:sz w:val="22"/>
          <w:szCs w:val="22"/>
          <w:lang w:eastAsia="es-CO"/>
        </w:rPr>
      </w:pPr>
      <w:r w:rsidRPr="00CC306F">
        <w:rPr>
          <w:rFonts w:ascii="Geomanist Light" w:hAnsi="Geomanist Light" w:cs="Arial"/>
          <w:spacing w:val="2"/>
          <w:sz w:val="22"/>
          <w:szCs w:val="22"/>
          <w:lang w:eastAsia="es-CO"/>
        </w:rPr>
        <w:t xml:space="preserve">Posteriormente, el Decreto 680 del 22 de junio de 2021 modificó la regla de origen aplicable a los Servicios Nacionales, con el fin de acercar el mercado de compras públicas a las empresas colombianas de manera directa o indirecta, promoviendo el empleo en el país y generando emparejamientos y encadenamientos productivos. En armonía con lo anterior, se expidió la Resolución 304 del 13 de octubre de 2021, la cual ajusta los documentos tipo a las nuevas reglas de origen aplicables a los servicios nacionales. Además, se expidió la Resolución 146 del 25 de marzo de 2022, mediante la cual se modificaron los documentos tipo de obra pública de infraestructura bajo la modalidad de mínima cuantía. </w:t>
      </w:r>
    </w:p>
    <w:p w14:paraId="111BD846" w14:textId="6D80F073" w:rsidR="00993D9C" w:rsidRPr="00CC306F" w:rsidRDefault="0000229C" w:rsidP="004E77FA">
      <w:pPr>
        <w:spacing w:after="240" w:line="276" w:lineRule="auto"/>
        <w:ind w:firstLine="708"/>
        <w:jc w:val="both"/>
        <w:rPr>
          <w:rFonts w:ascii="Geomanist Light" w:hAnsi="Geomanist Light" w:cs="Arial"/>
          <w:spacing w:val="2"/>
          <w:sz w:val="22"/>
          <w:szCs w:val="22"/>
          <w:lang w:eastAsia="es-CO"/>
        </w:rPr>
      </w:pPr>
      <w:r w:rsidRPr="00CC306F">
        <w:rPr>
          <w:rFonts w:ascii="Geomanist Light" w:hAnsi="Geomanist Light" w:cs="Arial"/>
          <w:spacing w:val="2"/>
          <w:sz w:val="22"/>
          <w:szCs w:val="22"/>
          <w:lang w:eastAsia="es-CO"/>
        </w:rPr>
        <w:t xml:space="preserve">Finalmente, teniendo en cuenta la expedición del Decreto 1860 del 24 de diciembre de 2021, que modificó el Decreto 1082 de 2015 y reglamentó los artículos 30, 31, 32, 34 y 35 de la Ley 2069 de 2020, la Agencia modificó los diferentes documentos tipo que había expedido hasta ese momento, con la finalidad de hacerlos compatibles con la nueva regulación, por lo que se expidió la Resolución 275 del 24 de junio de 2022, «Por la cual se modifican los documentos tipo adoptados por la Agencia Nacional de Contratación Pública </w:t>
      </w:r>
      <w:r w:rsidRPr="00CC306F">
        <w:rPr>
          <w:rFonts w:ascii="Geomanist Light" w:hAnsi="Geomanist Light" w:cs="Arial"/>
          <w:spacing w:val="2"/>
          <w:sz w:val="22"/>
          <w:szCs w:val="22"/>
          <w:lang w:eastAsia="es-CO"/>
        </w:rPr>
        <w:lastRenderedPageBreak/>
        <w:t xml:space="preserve">– Colombia Compra Eficiente». No obstante, esta última modificación aplicará a los procesos cuyo aviso de convocatoria se publique a partir del 29 de agosto de 2022. </w:t>
      </w:r>
    </w:p>
    <w:p w14:paraId="212C5472" w14:textId="650A73A1" w:rsidR="003F4A6D" w:rsidRPr="00CC306F" w:rsidRDefault="003F4A6D" w:rsidP="004E77FA">
      <w:pPr>
        <w:spacing w:after="240" w:line="276" w:lineRule="auto"/>
        <w:jc w:val="both"/>
        <w:rPr>
          <w:rFonts w:ascii="Geomanist Light" w:hAnsi="Geomanist Light" w:cs="Arial"/>
          <w:b/>
          <w:color w:val="000000"/>
          <w:sz w:val="22"/>
          <w:bdr w:val="none" w:sz="0" w:space="0" w:color="auto" w:frame="1"/>
          <w:lang w:eastAsia="es-MX"/>
        </w:rPr>
      </w:pPr>
      <w:r w:rsidRPr="00CC306F">
        <w:rPr>
          <w:rFonts w:ascii="Geomanist Light" w:hAnsi="Geomanist Light" w:cs="Arial"/>
          <w:b/>
          <w:color w:val="000000"/>
          <w:sz w:val="22"/>
          <w:bdr w:val="none" w:sz="0" w:space="0" w:color="auto" w:frame="1"/>
          <w:lang w:eastAsia="es-MX"/>
        </w:rPr>
        <w:t>2.2. Acreditación para obtener el puntaje de vinculación de trabajadores con discapacidad</w:t>
      </w:r>
    </w:p>
    <w:p w14:paraId="3CB06FCF" w14:textId="77777777" w:rsidR="003F4A6D" w:rsidRPr="00CC306F" w:rsidRDefault="003F4A6D" w:rsidP="004E77FA">
      <w:pPr>
        <w:spacing w:after="240" w:line="276" w:lineRule="auto"/>
        <w:jc w:val="both"/>
        <w:rPr>
          <w:rFonts w:ascii="Geomanist Light" w:eastAsiaTheme="minorHAnsi" w:hAnsi="Geomanist Light" w:cs="Arial"/>
          <w:color w:val="000000"/>
          <w:sz w:val="22"/>
          <w:szCs w:val="22"/>
          <w:bdr w:val="none" w:sz="0" w:space="0" w:color="auto" w:frame="1"/>
          <w:lang w:eastAsia="en-US"/>
        </w:rPr>
      </w:pPr>
    </w:p>
    <w:p w14:paraId="5286DA8B" w14:textId="1A61EC47" w:rsidR="003F4A6D" w:rsidRPr="00CC306F" w:rsidRDefault="003F4A6D" w:rsidP="00174D3B">
      <w:pPr>
        <w:spacing w:after="240" w:line="276" w:lineRule="auto"/>
        <w:jc w:val="both"/>
        <w:rPr>
          <w:rFonts w:ascii="Geomanist Light" w:hAnsi="Geomanist Light" w:cs="Arial"/>
          <w:color w:val="000000"/>
          <w:sz w:val="22"/>
          <w:lang w:eastAsia="es-MX"/>
        </w:rPr>
      </w:pPr>
      <w:bookmarkStart w:id="10" w:name="_Hlk60826619"/>
      <w:r w:rsidRPr="00CC306F">
        <w:rPr>
          <w:rFonts w:ascii="Geomanist Light" w:hAnsi="Geomanist Light" w:cs="Arial"/>
          <w:color w:val="000000"/>
          <w:sz w:val="22"/>
          <w:lang w:eastAsia="es-MX"/>
        </w:rPr>
        <w:t>Con la Ley Estatutaria 1618 de 2013, el legislador garantizó el ejercicio de los derechos de las personas con discapacidad</w:t>
      </w:r>
      <w:r w:rsidRPr="00CC306F">
        <w:rPr>
          <w:rFonts w:ascii="Geomanist Light" w:eastAsiaTheme="minorHAnsi" w:hAnsi="Geomanist Light" w:cs="Arial"/>
          <w:sz w:val="22"/>
          <w:szCs w:val="22"/>
          <w:vertAlign w:val="superscript"/>
          <w:lang w:eastAsia="en-US"/>
        </w:rPr>
        <w:footnoteReference w:id="8"/>
      </w:r>
      <w:r w:rsidRPr="00CC306F">
        <w:rPr>
          <w:rFonts w:ascii="Geomanist Light" w:hAnsi="Geomanist Light" w:cs="Arial"/>
          <w:color w:val="000000"/>
          <w:sz w:val="21"/>
          <w:szCs w:val="21"/>
          <w:lang w:eastAsia="es-MX"/>
        </w:rPr>
        <w:t>. Por ello, el</w:t>
      </w:r>
      <w:r w:rsidRPr="00CC306F">
        <w:rPr>
          <w:rFonts w:ascii="Geomanist Light" w:hAnsi="Geomanist Light" w:cs="Arial"/>
          <w:color w:val="000000"/>
          <w:sz w:val="22"/>
          <w:lang w:eastAsia="es-MX"/>
        </w:rPr>
        <w:t xml:space="preserve"> artículo 13 ordenó al Gobierno Nacional expedir un reglamento que determinara la metodología mediante la cual se otorgaría el puntaje adicional a las empresas que en su planta tuvieran contratado personal en situación de discapacidad. En lo pertinente, la norma dispone que:</w:t>
      </w:r>
    </w:p>
    <w:p w14:paraId="1A7ADACB" w14:textId="77777777" w:rsidR="003F4A6D" w:rsidRPr="00CC306F" w:rsidRDefault="003F4A6D" w:rsidP="004E77FA">
      <w:pPr>
        <w:spacing w:after="240"/>
        <w:ind w:left="709" w:right="709"/>
        <w:jc w:val="both"/>
        <w:rPr>
          <w:rFonts w:ascii="Geomanist Light" w:hAnsi="Geomanist Light" w:cs="Arial"/>
          <w:color w:val="000000"/>
          <w:sz w:val="21"/>
          <w:szCs w:val="21"/>
          <w:lang w:eastAsia="es-MX"/>
        </w:rPr>
      </w:pPr>
      <w:r w:rsidRPr="00CC306F">
        <w:rPr>
          <w:rFonts w:ascii="Geomanist Light" w:hAnsi="Geomanist Light" w:cs="Arial"/>
          <w:color w:val="000000"/>
          <w:sz w:val="21"/>
          <w:szCs w:val="21"/>
          <w:lang w:eastAsia="es-MX"/>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76285E7B" w14:textId="77777777" w:rsidR="003F4A6D" w:rsidRPr="00CC306F" w:rsidRDefault="003F4A6D" w:rsidP="004E77FA">
      <w:pPr>
        <w:spacing w:after="240"/>
        <w:ind w:left="709" w:right="709"/>
        <w:jc w:val="both"/>
        <w:rPr>
          <w:rFonts w:ascii="Geomanist Light" w:hAnsi="Geomanist Light" w:cs="Arial"/>
          <w:color w:val="000000"/>
          <w:sz w:val="21"/>
          <w:szCs w:val="21"/>
          <w:lang w:eastAsia="es-MX"/>
        </w:rPr>
      </w:pPr>
      <w:r w:rsidRPr="00CC306F">
        <w:rPr>
          <w:rFonts w:ascii="Geomanist Light" w:hAnsi="Geomanist Light" w:cs="Arial"/>
          <w:color w:val="000000"/>
          <w:sz w:val="21"/>
          <w:szCs w:val="21"/>
          <w:lang w:eastAsia="es-MX"/>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05BD927E" w14:textId="77777777" w:rsidR="003F4A6D" w:rsidRPr="00CC306F" w:rsidRDefault="003F4A6D" w:rsidP="004E77FA">
      <w:pPr>
        <w:spacing w:after="240"/>
        <w:ind w:left="709" w:right="709"/>
        <w:jc w:val="both"/>
        <w:rPr>
          <w:rFonts w:ascii="Geomanist Light" w:hAnsi="Geomanist Light" w:cs="Arial"/>
          <w:color w:val="000000"/>
          <w:sz w:val="21"/>
          <w:szCs w:val="21"/>
          <w:lang w:eastAsia="es-MX"/>
        </w:rPr>
      </w:pPr>
      <w:r w:rsidRPr="00CC306F">
        <w:rPr>
          <w:rFonts w:ascii="Geomanist Light" w:hAnsi="Geomanist Light" w:cs="Arial"/>
          <w:color w:val="000000"/>
          <w:sz w:val="21"/>
          <w:szCs w:val="21"/>
          <w:lang w:eastAsia="es-MX"/>
        </w:rPr>
        <w:t>[…]</w:t>
      </w:r>
    </w:p>
    <w:p w14:paraId="0A2CAD7A" w14:textId="1ED09091" w:rsidR="003F4A6D" w:rsidRPr="00174D3B" w:rsidRDefault="003F4A6D" w:rsidP="00174D3B">
      <w:pPr>
        <w:spacing w:after="240"/>
        <w:ind w:left="708" w:right="709"/>
        <w:jc w:val="both"/>
        <w:rPr>
          <w:rFonts w:ascii="Geomanist Light" w:hAnsi="Geomanist Light" w:cs="Arial"/>
          <w:color w:val="000000"/>
          <w:sz w:val="21"/>
          <w:szCs w:val="21"/>
          <w:lang w:eastAsia="es-MX"/>
        </w:rPr>
      </w:pPr>
      <w:r w:rsidRPr="00CC306F">
        <w:rPr>
          <w:rFonts w:ascii="Geomanist Light" w:hAnsi="Geomanist Light" w:cs="Arial"/>
          <w:color w:val="000000"/>
          <w:sz w:val="21"/>
          <w:szCs w:val="21"/>
          <w:lang w:eastAsia="es-MX"/>
        </w:rPr>
        <w:t xml:space="preserve">8. Los </w:t>
      </w:r>
      <w:proofErr w:type="gramStart"/>
      <w:r w:rsidRPr="00CC306F">
        <w:rPr>
          <w:rFonts w:ascii="Geomanist Light" w:hAnsi="Geomanist Light" w:cs="Arial"/>
          <w:color w:val="000000"/>
          <w:sz w:val="21"/>
          <w:szCs w:val="21"/>
          <w:lang w:eastAsia="es-MX"/>
        </w:rPr>
        <w:t>gobiernos nacional</w:t>
      </w:r>
      <w:proofErr w:type="gramEnd"/>
      <w:r w:rsidRPr="00CC306F">
        <w:rPr>
          <w:rFonts w:ascii="Geomanist Light" w:hAnsi="Geomanist Light" w:cs="Arial"/>
          <w:color w:val="000000"/>
          <w:sz w:val="21"/>
          <w:szCs w:val="21"/>
          <w:lang w:eastAsia="es-MX"/>
        </w:rPr>
        <w:t>, departamentales, distritales y municipales, deberán fijar mediante decreto reglamentario, en los procesos de selección de los contratistas y proveedores, un sistema de preferencias a favor de las personas con discapacidad.</w:t>
      </w:r>
    </w:p>
    <w:p w14:paraId="1C13956B" w14:textId="632B8E80" w:rsidR="003F4A6D" w:rsidRPr="00CC306F" w:rsidRDefault="003F4A6D" w:rsidP="00174D3B">
      <w:pPr>
        <w:spacing w:after="240" w:line="276" w:lineRule="auto"/>
        <w:ind w:firstLine="709"/>
        <w:jc w:val="both"/>
        <w:rPr>
          <w:rFonts w:ascii="Geomanist Light" w:hAnsi="Geomanist Light" w:cs="Arial"/>
          <w:color w:val="000000"/>
          <w:sz w:val="22"/>
          <w:lang w:eastAsia="es-MX"/>
        </w:rPr>
      </w:pPr>
      <w:bookmarkStart w:id="11" w:name="_Hlk78783360"/>
      <w:r w:rsidRPr="00CC306F">
        <w:rPr>
          <w:rFonts w:ascii="Geomanist Light" w:hAnsi="Geomanist Light" w:cs="Arial"/>
          <w:color w:val="000000"/>
          <w:sz w:val="22"/>
          <w:lang w:eastAsia="es-MX"/>
        </w:rPr>
        <w:t xml:space="preserve">Para estos efectos, el Gobierno Nacional expidió el Decreto 392 de 2018, «Por el cual se reglamentan los numerales 1 y 8 del artículo 13 de la Ley 1618 de 2013, sobre incentivos en Procesos de Contratación en favor de personas con discapacidad», regulando el deber de las entidades del Estado de otorgar un puntaje adicional en los procedimientos de selección, </w:t>
      </w:r>
      <w:r w:rsidRPr="00CC306F">
        <w:rPr>
          <w:rFonts w:ascii="Geomanist Light" w:hAnsi="Geomanist Light" w:cs="Arial"/>
          <w:color w:val="000000"/>
          <w:sz w:val="22"/>
          <w:lang w:eastAsia="es-MX"/>
        </w:rPr>
        <w:lastRenderedPageBreak/>
        <w:t xml:space="preserve">especialmente, los que se desarrollan en las modalidades de licitación pública y concurso de méritos. </w:t>
      </w:r>
      <w:bookmarkEnd w:id="11"/>
      <w:r w:rsidRPr="00CC306F">
        <w:rPr>
          <w:rFonts w:ascii="Geomanist Light" w:eastAsia="Calibri" w:hAnsi="Geomanist Light" w:cs="Arial"/>
          <w:color w:val="000000"/>
          <w:sz w:val="22"/>
          <w:lang w:val="es-ES" w:eastAsia="es-MX"/>
        </w:rPr>
        <w:t xml:space="preserve">De esta manera, adicionó el artículo </w:t>
      </w:r>
      <w:bookmarkStart w:id="12" w:name="_Hlk76741673"/>
      <w:r w:rsidRPr="00CC306F">
        <w:rPr>
          <w:rFonts w:ascii="Geomanist Light" w:eastAsia="Calibri" w:hAnsi="Geomanist Light" w:cs="Arial"/>
          <w:color w:val="000000"/>
          <w:sz w:val="22"/>
          <w:lang w:val="es-ES" w:eastAsia="es-MX"/>
        </w:rPr>
        <w:t>2.2.1.2.4.2.6 al Decreto 1082 de 2015</w:t>
      </w:r>
      <w:bookmarkEnd w:id="12"/>
      <w:r w:rsidRPr="00CC306F">
        <w:rPr>
          <w:rFonts w:ascii="Geomanist Light" w:eastAsia="Calibri" w:hAnsi="Geomanist Light" w:cs="Arial"/>
          <w:color w:val="000000"/>
          <w:sz w:val="22"/>
          <w:lang w:val="es-ES" w:eastAsia="es-MX"/>
        </w:rPr>
        <w:t xml:space="preserve">, el cual dispone lo siguiente: </w:t>
      </w:r>
    </w:p>
    <w:p w14:paraId="3657F985" w14:textId="77777777" w:rsidR="003F4A6D" w:rsidRPr="00CC306F" w:rsidRDefault="003F4A6D" w:rsidP="004E77FA">
      <w:pPr>
        <w:spacing w:after="240"/>
        <w:ind w:left="709" w:right="709"/>
        <w:jc w:val="both"/>
        <w:rPr>
          <w:rFonts w:ascii="Geomanist Light" w:hAnsi="Geomanist Light" w:cs="Arial"/>
          <w:color w:val="000000"/>
          <w:sz w:val="21"/>
          <w:szCs w:val="21"/>
          <w:lang w:eastAsia="es-CO"/>
        </w:rPr>
      </w:pPr>
      <w:r w:rsidRPr="00CC306F">
        <w:rPr>
          <w:rFonts w:ascii="Geomanist Light" w:hAnsi="Geomanist Light" w:cs="Arial"/>
          <w:color w:val="000000"/>
          <w:sz w:val="21"/>
          <w:szCs w:val="21"/>
          <w:lang w:eastAsia="es-CO"/>
        </w:rPr>
        <w:t>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680C4060" w14:textId="77777777" w:rsidR="003F4A6D" w:rsidRPr="00CC306F" w:rsidRDefault="003F4A6D" w:rsidP="004E77FA">
      <w:pPr>
        <w:spacing w:after="240"/>
        <w:ind w:left="709" w:right="709"/>
        <w:jc w:val="both"/>
        <w:rPr>
          <w:rFonts w:ascii="Geomanist Light" w:hAnsi="Geomanist Light" w:cs="Arial"/>
          <w:color w:val="000000"/>
          <w:sz w:val="21"/>
          <w:szCs w:val="21"/>
          <w:lang w:eastAsia="es-CO"/>
        </w:rPr>
      </w:pPr>
      <w:r w:rsidRPr="00CC306F">
        <w:rPr>
          <w:rFonts w:ascii="Geomanist Light" w:hAnsi="Geomanist Light" w:cs="Arial"/>
          <w:color w:val="000000"/>
          <w:sz w:val="21"/>
          <w:szCs w:val="21"/>
          <w:lang w:eastAsia="es-CO"/>
        </w:rPr>
        <w:t xml:space="preserve">1. </w:t>
      </w:r>
      <w:bookmarkStart w:id="13" w:name="_Hlk47271597"/>
      <w:r w:rsidRPr="00CC306F">
        <w:rPr>
          <w:rFonts w:ascii="Geomanist Light" w:hAnsi="Geomanist Light" w:cs="Arial"/>
          <w:color w:val="000000"/>
          <w:sz w:val="21"/>
          <w:szCs w:val="21"/>
          <w:lang w:eastAsia="es-CO"/>
        </w:rPr>
        <w:t>La persona natural, el representante legal de la persona jurídica o el revisor fiscal, según corresponda, certificará el número total de trabajadores vinculados a la planta de personal del proponente o sus integrantes a la fecha de cierre del proceso de selección</w:t>
      </w:r>
      <w:bookmarkEnd w:id="13"/>
      <w:r w:rsidRPr="00CC306F">
        <w:rPr>
          <w:rFonts w:ascii="Geomanist Light" w:hAnsi="Geomanist Light" w:cs="Arial"/>
          <w:color w:val="000000"/>
          <w:sz w:val="21"/>
          <w:szCs w:val="21"/>
          <w:lang w:eastAsia="es-CO"/>
        </w:rPr>
        <w:t>.</w:t>
      </w:r>
    </w:p>
    <w:p w14:paraId="7F42E293" w14:textId="36D6134D" w:rsidR="003F4A6D" w:rsidRPr="00174D3B" w:rsidRDefault="003F4A6D" w:rsidP="00174D3B">
      <w:pPr>
        <w:spacing w:after="240"/>
        <w:ind w:left="709" w:right="709"/>
        <w:jc w:val="both"/>
        <w:rPr>
          <w:rFonts w:ascii="Geomanist Light" w:hAnsi="Geomanist Light" w:cs="Arial"/>
          <w:color w:val="000000"/>
          <w:sz w:val="21"/>
          <w:szCs w:val="21"/>
          <w:lang w:eastAsia="es-CO"/>
        </w:rPr>
      </w:pPr>
      <w:r w:rsidRPr="00CC306F">
        <w:rPr>
          <w:rFonts w:ascii="Geomanist Light" w:hAnsi="Geomanist Light" w:cs="Arial"/>
          <w:color w:val="000000"/>
          <w:sz w:val="21"/>
          <w:szCs w:val="21"/>
          <w:lang w:eastAsia="es-CO"/>
        </w:rPr>
        <w:t>2. Acreditar el número mínimo de personas con discapacidad en su planta de personal, de conformidad con lo señalado en el certificado expedido por el Ministerio de Trabajo, el cual deberá estar vigente a la fecha de cierre del proceso de selección […]</w:t>
      </w:r>
    </w:p>
    <w:p w14:paraId="43FB261A" w14:textId="77777777" w:rsidR="003F4A6D" w:rsidRPr="00CC306F" w:rsidRDefault="003F4A6D" w:rsidP="004E77FA">
      <w:pPr>
        <w:spacing w:after="240" w:line="276" w:lineRule="auto"/>
        <w:ind w:firstLine="709"/>
        <w:jc w:val="both"/>
        <w:rPr>
          <w:rFonts w:ascii="Geomanist Light" w:hAnsi="Geomanist Light" w:cs="Arial"/>
          <w:color w:val="000000"/>
          <w:sz w:val="22"/>
          <w:lang w:eastAsia="es-MX"/>
        </w:rPr>
      </w:pPr>
      <w:r w:rsidRPr="00CC306F">
        <w:rPr>
          <w:rFonts w:ascii="Geomanist Light" w:hAnsi="Geomanist Light" w:cs="Arial"/>
          <w:color w:val="000000"/>
          <w:sz w:val="22"/>
          <w:lang w:eastAsia="es-MX"/>
        </w:rPr>
        <w:t xml:space="preserve">Respecto al </w:t>
      </w:r>
      <w:r w:rsidRPr="00CC306F">
        <w:rPr>
          <w:rFonts w:ascii="Geomanist Light" w:hAnsi="Geomanist Light" w:cs="Arial"/>
          <w:i/>
          <w:iCs/>
          <w:color w:val="000000"/>
          <w:sz w:val="22"/>
          <w:lang w:eastAsia="es-MX"/>
        </w:rPr>
        <w:t>primer requisito</w:t>
      </w:r>
      <w:r w:rsidRPr="00CC306F">
        <w:rPr>
          <w:rFonts w:ascii="Geomanist Light" w:hAnsi="Geomanist Light" w:cs="Arial"/>
          <w:color w:val="000000"/>
          <w:sz w:val="22"/>
          <w:lang w:eastAsia="es-MX"/>
        </w:rPr>
        <w:t xml:space="preserve">, la norma dispone que la persona natural, el representante legal de la persona jurídica o el revisor fiscal, según corresponda, deberá certificar el número total de trabajadores </w:t>
      </w:r>
      <w:r w:rsidRPr="00CC306F">
        <w:rPr>
          <w:rFonts w:ascii="Geomanist Light" w:hAnsi="Geomanist Light" w:cs="Arial"/>
          <w:i/>
          <w:iCs/>
          <w:color w:val="000000"/>
          <w:sz w:val="22"/>
          <w:lang w:eastAsia="es-MX"/>
        </w:rPr>
        <w:t xml:space="preserve">vinculados a la planta de personal </w:t>
      </w:r>
      <w:r w:rsidRPr="00CC306F">
        <w:rPr>
          <w:rFonts w:ascii="Geomanist Light" w:hAnsi="Geomanist Light" w:cs="Arial"/>
          <w:color w:val="000000"/>
          <w:sz w:val="22"/>
          <w:lang w:eastAsia="es-MX"/>
        </w:rPr>
        <w:t xml:space="preserve">del proponente o sus integrantes a la fecha de cierre del proceso de selección. Para el caso de </w:t>
      </w:r>
      <w:r w:rsidRPr="00CC306F">
        <w:rPr>
          <w:rFonts w:ascii="Geomanist Light" w:hAnsi="Geomanist Light" w:cs="Arial"/>
          <w:i/>
          <w:iCs/>
          <w:color w:val="000000"/>
          <w:sz w:val="22"/>
          <w:lang w:eastAsia="es-MX"/>
        </w:rPr>
        <w:t>proponentes singulares</w:t>
      </w:r>
      <w:r w:rsidRPr="00CC306F">
        <w:rPr>
          <w:rFonts w:ascii="Geomanist Light" w:hAnsi="Geomanist Light" w:cs="Arial"/>
          <w:color w:val="000000"/>
          <w:sz w:val="22"/>
          <w:lang w:eastAsia="es-MX"/>
        </w:rPr>
        <w:t xml:space="preserve">, la acreditación del número total de trabajadores vinculados en la planta de personal se realizará a través de certificación emitida por: i) la persona natural o ii) el representante legal de la persona jurídica o su revisor fiscal cuando esté obligado a tenerlo. Por su parte, cuando se trate de </w:t>
      </w:r>
      <w:r w:rsidRPr="00CC306F">
        <w:rPr>
          <w:rFonts w:ascii="Geomanist Light" w:hAnsi="Geomanist Light" w:cs="Arial"/>
          <w:i/>
          <w:iCs/>
          <w:color w:val="000000"/>
          <w:sz w:val="22"/>
          <w:lang w:eastAsia="es-MX"/>
        </w:rPr>
        <w:t>proponentes plurales</w:t>
      </w:r>
      <w:r w:rsidRPr="00CC306F">
        <w:rPr>
          <w:rFonts w:ascii="Geomanist Light" w:hAnsi="Geomanist Light" w:cs="Arial"/>
          <w:color w:val="000000"/>
          <w:sz w:val="22"/>
          <w:lang w:eastAsia="es-MX"/>
        </w:rPr>
        <w:t xml:space="preserve">, esto es, consorcio o unión temporal, la acreditación de requisito corresponderá a los integrantes en la forma antes enunciada. Por ende, deben certificar el número de trabajadores vinculados a la planta de personal, según se trate de persona natural o persona jurídica. </w:t>
      </w:r>
    </w:p>
    <w:p w14:paraId="14F1814C" w14:textId="77777777" w:rsidR="003F4A6D" w:rsidRPr="00CC306F" w:rsidRDefault="003F4A6D" w:rsidP="004E77FA">
      <w:pPr>
        <w:spacing w:after="240" w:line="276" w:lineRule="auto"/>
        <w:ind w:firstLine="709"/>
        <w:jc w:val="both"/>
        <w:rPr>
          <w:rFonts w:ascii="Geomanist Light" w:hAnsi="Geomanist Light" w:cs="Arial"/>
          <w:color w:val="000000"/>
          <w:sz w:val="22"/>
          <w:lang w:eastAsia="es-MX"/>
        </w:rPr>
      </w:pPr>
      <w:r w:rsidRPr="00CC306F">
        <w:rPr>
          <w:rFonts w:ascii="Geomanist Light" w:hAnsi="Geomanist Light" w:cs="Arial"/>
          <w:color w:val="000000"/>
          <w:sz w:val="22"/>
          <w:lang w:eastAsia="es-MX"/>
        </w:rPr>
        <w:t xml:space="preserve">Por lo anterior es necesario tener en cuenta que esta condición es propia de la persona que pretende acreditar la obtención del puntaje de acuerdo con su naturaleza jurídica. En efecto, cuando el numeral 1 del artículo </w:t>
      </w:r>
      <w:r w:rsidRPr="00CC306F">
        <w:rPr>
          <w:rFonts w:ascii="Geomanist Light" w:eastAsia="Calibri" w:hAnsi="Geomanist Light" w:cs="Arial"/>
          <w:color w:val="000000"/>
          <w:sz w:val="22"/>
          <w:lang w:val="es-ES" w:eastAsia="es-MX"/>
        </w:rPr>
        <w:t>2.2.1.2.4.2.6 del Decreto 1082 de 2015 se refiere a</w:t>
      </w:r>
      <w:r w:rsidRPr="00CC306F">
        <w:rPr>
          <w:rFonts w:ascii="Geomanist Light" w:hAnsi="Geomanist Light" w:cs="Arial"/>
          <w:color w:val="000000"/>
          <w:sz w:val="22"/>
          <w:lang w:eastAsia="es-MX"/>
        </w:rPr>
        <w:t xml:space="preserve"> «la planta de personal del proponente o sus integrantes», esta expresión debe entenderse de acuerdo con el tipo de oferente. Así, la expresión «proponente» se refiere a las personas naturales o jurídicas que se presentan individual o colectivamente, en este último caso con independencia de que formen un consorcio, una unión temporal o suscriban una </w:t>
      </w:r>
      <w:r w:rsidRPr="00CC306F">
        <w:rPr>
          <w:rFonts w:ascii="Geomanist Light" w:hAnsi="Geomanist Light" w:cs="Arial"/>
          <w:color w:val="000000"/>
          <w:sz w:val="22"/>
          <w:lang w:eastAsia="es-MX"/>
        </w:rPr>
        <w:lastRenderedPageBreak/>
        <w:t>promesa de sociedad futura. De allí que la expresión «o sus integrantes», califica el oferente y se refiere también a los integrantes de las estructuras plurales mencionadas.</w:t>
      </w:r>
    </w:p>
    <w:p w14:paraId="0FFA0FE3" w14:textId="77777777" w:rsidR="003F4A6D" w:rsidRPr="00CC306F" w:rsidRDefault="003F4A6D" w:rsidP="004E77FA">
      <w:pPr>
        <w:spacing w:after="240" w:line="276" w:lineRule="auto"/>
        <w:ind w:firstLine="709"/>
        <w:jc w:val="both"/>
        <w:rPr>
          <w:rFonts w:ascii="Geomanist Light" w:eastAsia="Calibri" w:hAnsi="Geomanist Light" w:cs="Arial"/>
          <w:color w:val="000000"/>
          <w:sz w:val="22"/>
          <w:lang w:eastAsia="es-MX"/>
        </w:rPr>
      </w:pPr>
      <w:r w:rsidRPr="00CC306F">
        <w:rPr>
          <w:rFonts w:ascii="Geomanist Light" w:eastAsia="Calibri" w:hAnsi="Geomanist Light" w:cs="Arial"/>
          <w:color w:val="000000"/>
          <w:sz w:val="22"/>
          <w:lang w:eastAsia="es-MX"/>
        </w:rPr>
        <w:t xml:space="preserve">Por otro lado, el numeral 1 del artículo en mención dispone que, para asignar el puntaje adicional a los proponentes con trabajadores en condición de discapacidad, se requiere un certificado expedido por la persona natural, el representante legal de la persona jurídica o el revisor fiscal que acredite el número total de trabajadores vinculados </w:t>
      </w:r>
      <w:r w:rsidRPr="00CC306F">
        <w:rPr>
          <w:rFonts w:ascii="Geomanist Light" w:eastAsia="Calibri" w:hAnsi="Geomanist Light" w:cs="Arial"/>
          <w:i/>
          <w:iCs/>
          <w:color w:val="000000"/>
          <w:sz w:val="22"/>
          <w:lang w:eastAsia="es-MX"/>
        </w:rPr>
        <w:t xml:space="preserve">a la planta de personal </w:t>
      </w:r>
      <w:r w:rsidRPr="00CC306F">
        <w:rPr>
          <w:rFonts w:ascii="Geomanist Light" w:eastAsia="Calibri" w:hAnsi="Geomanist Light" w:cs="Arial"/>
          <w:color w:val="000000"/>
          <w:sz w:val="22"/>
          <w:lang w:eastAsia="es-MX"/>
        </w:rPr>
        <w:t xml:space="preserve">del proponente </w:t>
      </w:r>
      <w:r w:rsidRPr="00CC306F">
        <w:rPr>
          <w:rFonts w:ascii="Geomanist Light" w:eastAsia="Calibri" w:hAnsi="Geomanist Light" w:cs="Arial"/>
          <w:iCs/>
          <w:color w:val="000000"/>
          <w:sz w:val="22"/>
          <w:lang w:eastAsia="es-MX"/>
        </w:rPr>
        <w:t>o</w:t>
      </w:r>
      <w:r w:rsidRPr="00CC306F">
        <w:rPr>
          <w:rFonts w:ascii="Geomanist Light" w:eastAsia="Calibri" w:hAnsi="Geomanist Light" w:cs="Arial"/>
          <w:color w:val="000000"/>
          <w:sz w:val="22"/>
          <w:lang w:eastAsia="es-MX"/>
        </w:rPr>
        <w:t xml:space="preserve"> sus integrantes a la fecha de cierre del procedimiento de selección.</w:t>
      </w:r>
    </w:p>
    <w:p w14:paraId="074031B0" w14:textId="77777777" w:rsidR="003F4A6D" w:rsidRPr="00CC306F" w:rsidRDefault="003F4A6D" w:rsidP="004E77FA">
      <w:pPr>
        <w:spacing w:after="240" w:line="276" w:lineRule="auto"/>
        <w:ind w:firstLine="709"/>
        <w:jc w:val="both"/>
        <w:rPr>
          <w:rFonts w:ascii="Geomanist Light" w:eastAsia="Calibri" w:hAnsi="Geomanist Light" w:cs="Arial"/>
          <w:color w:val="000000"/>
          <w:sz w:val="22"/>
          <w:lang w:eastAsia="es-MX"/>
        </w:rPr>
      </w:pPr>
      <w:r w:rsidRPr="00CC306F">
        <w:rPr>
          <w:rFonts w:ascii="Geomanist Light" w:eastAsia="Calibri" w:hAnsi="Geomanist Light" w:cs="Arial"/>
          <w:color w:val="000000"/>
          <w:sz w:val="22"/>
          <w:lang w:eastAsia="es-MX"/>
        </w:rPr>
        <w:t xml:space="preserve">De conformidad con la disyunción prevista en el numeral 1 del artículo </w:t>
      </w:r>
      <w:r w:rsidRPr="00CC306F">
        <w:rPr>
          <w:rFonts w:ascii="Geomanist Light" w:eastAsia="Calibri" w:hAnsi="Geomanist Light" w:cs="Arial"/>
          <w:color w:val="000000"/>
          <w:sz w:val="22"/>
          <w:lang w:val="es-ES" w:eastAsia="es-MX"/>
        </w:rPr>
        <w:t xml:space="preserve">2.2.1.2.4.2.6 </w:t>
      </w:r>
      <w:r w:rsidRPr="00CC306F">
        <w:rPr>
          <w:rFonts w:ascii="Geomanist Light" w:eastAsia="Calibri" w:hAnsi="Geomanist Light" w:cs="Arial"/>
          <w:color w:val="000000"/>
          <w:sz w:val="22"/>
          <w:lang w:eastAsia="es-MX"/>
        </w:rPr>
        <w:t>del Decreto 1082 de 2015, es posible afirmar que, tratándose de personas jurídicas, el representante legal firme la certificación requerida para otorgar puntaje adicional para proponentes con trabajadores con discapacidad, siempre que la empresa o sociedad no esté obligada a contar con revisor fiscal. Lo anterior aplica a las personas jurídicas que se presentan en forma individual o colectiva, pues conforme con el Decreto 392 de 2018, tratándose de empresas o sociedades que están obligadas a tener revisor fiscal, este es quien certifica el número total de trabajadores vinculados a la planta de personal del proponente o sus integrantes a la fecha de cierre</w:t>
      </w:r>
      <w:r w:rsidRPr="00CC306F">
        <w:rPr>
          <w:rFonts w:ascii="Geomanist Light" w:eastAsiaTheme="minorHAnsi" w:hAnsi="Geomanist Light" w:cs="Arial"/>
          <w:sz w:val="22"/>
          <w:szCs w:val="22"/>
          <w:vertAlign w:val="superscript"/>
          <w:lang w:eastAsia="en-US"/>
        </w:rPr>
        <w:footnoteReference w:id="9"/>
      </w:r>
      <w:r w:rsidRPr="00CC306F">
        <w:rPr>
          <w:rFonts w:ascii="Geomanist Light" w:eastAsia="Calibri" w:hAnsi="Geomanist Light" w:cs="Arial"/>
          <w:color w:val="000000"/>
          <w:sz w:val="22"/>
          <w:lang w:eastAsia="es-MX"/>
        </w:rPr>
        <w:t>.</w:t>
      </w:r>
    </w:p>
    <w:p w14:paraId="44BEE595" w14:textId="1B46FA91" w:rsidR="003F4A6D" w:rsidRPr="00CC306F" w:rsidRDefault="003F4A6D" w:rsidP="004E77FA">
      <w:pPr>
        <w:spacing w:after="240" w:line="276" w:lineRule="auto"/>
        <w:ind w:firstLine="708"/>
        <w:jc w:val="both"/>
        <w:rPr>
          <w:rFonts w:ascii="Geomanist Light" w:hAnsi="Geomanist Light" w:cs="Arial"/>
          <w:color w:val="000000"/>
          <w:sz w:val="22"/>
          <w:lang w:eastAsia="es-MX"/>
        </w:rPr>
      </w:pPr>
      <w:r w:rsidRPr="00CC306F">
        <w:rPr>
          <w:rFonts w:ascii="Geomanist Light" w:hAnsi="Geomanist Light" w:cs="Arial"/>
          <w:color w:val="000000"/>
          <w:sz w:val="22"/>
          <w:lang w:eastAsia="es-MX"/>
        </w:rPr>
        <w:t xml:space="preserve">En todo caso, el parágrafo del artículo </w:t>
      </w:r>
      <w:r w:rsidRPr="00CC306F">
        <w:rPr>
          <w:rFonts w:ascii="Geomanist Light" w:eastAsia="Calibri" w:hAnsi="Geomanist Light" w:cs="Arial"/>
          <w:color w:val="000000"/>
          <w:sz w:val="22"/>
          <w:lang w:val="es-ES" w:eastAsia="es-MX"/>
        </w:rPr>
        <w:t>2.2.1.2.4.2.6</w:t>
      </w:r>
      <w:r w:rsidRPr="00CC306F">
        <w:rPr>
          <w:rFonts w:ascii="Geomanist Light" w:hAnsi="Geomanist Light" w:cs="Arial"/>
          <w:color w:val="000000"/>
          <w:sz w:val="22"/>
          <w:lang w:eastAsia="es-MX"/>
        </w:rPr>
        <w:t xml:space="preserve"> del Decreto 1082 de 2015 dispone que «</w:t>
      </w:r>
      <w:r w:rsidRPr="00CC306F">
        <w:rPr>
          <w:rFonts w:ascii="Geomanist Light" w:hAnsi="Geomanist Light" w:cs="Arial"/>
          <w:color w:val="000000"/>
          <w:sz w:val="22"/>
          <w:lang w:eastAsia="es-CO"/>
        </w:rPr>
        <w:t>[…]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r w:rsidRPr="00CC306F">
        <w:rPr>
          <w:rFonts w:ascii="Geomanist Light" w:hAnsi="Geomanist Light" w:cs="Arial"/>
          <w:color w:val="000000"/>
          <w:sz w:val="22"/>
          <w:lang w:eastAsia="es-MX"/>
        </w:rPr>
        <w:t xml:space="preserve"> Esto significa que el cumplimiento de los requisitos establecidos en el Decreto 392 de 2019 lo acredita el integrante de la estructur</w:t>
      </w:r>
      <w:r w:rsidR="004265C9" w:rsidRPr="00CC306F">
        <w:rPr>
          <w:rFonts w:ascii="Geomanist Light" w:hAnsi="Geomanist Light" w:cs="Arial"/>
          <w:color w:val="000000"/>
          <w:sz w:val="22"/>
          <w:lang w:eastAsia="es-MX"/>
        </w:rPr>
        <w:t>a plural que aporte má</w:t>
      </w:r>
      <w:r w:rsidRPr="00CC306F">
        <w:rPr>
          <w:rFonts w:ascii="Geomanist Light" w:hAnsi="Geomanist Light" w:cs="Arial"/>
          <w:color w:val="000000"/>
          <w:sz w:val="22"/>
          <w:lang w:eastAsia="es-MX"/>
        </w:rPr>
        <w:t xml:space="preserve">s del cuarenta por ciento –40%– de la experiencia requerida en el procedimiento de contratación. Por el contrario, si el integrante que aporta este porcentaje mínimo de experiencia no tiene vinculados trabajadores con discapacidad, el consorcio, la unión temporal que forma parte no podrá obtener puntaje por este criterio, aun cuando los demás integrantes –con un porcentaje menor de experiencia– cuenten con trabajadores discapacitados. </w:t>
      </w:r>
    </w:p>
    <w:p w14:paraId="6A7A6B41" w14:textId="77777777" w:rsidR="003F4A6D" w:rsidRPr="00CC306F" w:rsidRDefault="003F4A6D" w:rsidP="004E77FA">
      <w:pPr>
        <w:spacing w:after="240" w:line="276" w:lineRule="auto"/>
        <w:ind w:firstLine="709"/>
        <w:jc w:val="both"/>
        <w:rPr>
          <w:rFonts w:ascii="Geomanist Light" w:hAnsi="Geomanist Light" w:cs="Arial"/>
          <w:color w:val="000000"/>
          <w:sz w:val="22"/>
          <w:lang w:eastAsia="es-MX"/>
        </w:rPr>
      </w:pPr>
      <w:r w:rsidRPr="00CC306F">
        <w:rPr>
          <w:rFonts w:ascii="Geomanist Light" w:hAnsi="Geomanist Light" w:cs="Arial"/>
          <w:color w:val="000000"/>
          <w:sz w:val="22"/>
          <w:lang w:eastAsia="es-MX"/>
        </w:rPr>
        <w:t xml:space="preserve">Para la acreditación del </w:t>
      </w:r>
      <w:r w:rsidRPr="00CC306F">
        <w:rPr>
          <w:rFonts w:ascii="Geomanist Light" w:hAnsi="Geomanist Light" w:cs="Arial"/>
          <w:i/>
          <w:iCs/>
          <w:color w:val="000000"/>
          <w:sz w:val="22"/>
          <w:lang w:eastAsia="es-MX"/>
        </w:rPr>
        <w:t>segundo requisito</w:t>
      </w:r>
      <w:r w:rsidRPr="00CC306F">
        <w:rPr>
          <w:rFonts w:ascii="Geomanist Light" w:hAnsi="Geomanist Light" w:cs="Arial"/>
          <w:color w:val="000000"/>
          <w:sz w:val="22"/>
          <w:lang w:eastAsia="es-MX"/>
        </w:rPr>
        <w:t xml:space="preserve">, esto es, el número mínimo de personas en condición discapacidad en su planta de personal, se deberá aportar el certificado expedido por el Ministerio de Trabajo al proponente persona natural o jurídica, o al integrante de la </w:t>
      </w:r>
      <w:r w:rsidRPr="00CC306F">
        <w:rPr>
          <w:rFonts w:ascii="Geomanist Light" w:hAnsi="Geomanist Light" w:cs="Arial"/>
          <w:color w:val="000000"/>
          <w:sz w:val="22"/>
          <w:lang w:eastAsia="es-MX"/>
        </w:rPr>
        <w:lastRenderedPageBreak/>
        <w:t>estructura plural que cumpla con esta condición. Este certificado deberá estar vigente al cierre del procedimiento de selección.</w:t>
      </w:r>
    </w:p>
    <w:p w14:paraId="75718C8E" w14:textId="6D9975A3" w:rsidR="003F4A6D" w:rsidRPr="00CC306F" w:rsidRDefault="003F4A6D" w:rsidP="004E77FA">
      <w:pPr>
        <w:spacing w:after="240" w:line="276" w:lineRule="auto"/>
        <w:ind w:firstLine="709"/>
        <w:jc w:val="both"/>
        <w:rPr>
          <w:rFonts w:ascii="Geomanist Light" w:hAnsi="Geomanist Light" w:cs="Arial"/>
          <w:color w:val="000000"/>
          <w:sz w:val="22"/>
          <w:lang w:eastAsia="es-MX"/>
        </w:rPr>
      </w:pPr>
      <w:r w:rsidRPr="00CC306F">
        <w:rPr>
          <w:rFonts w:ascii="Geomanist Light" w:hAnsi="Geomanist Light" w:cs="Arial"/>
          <w:color w:val="000000"/>
          <w:sz w:val="22"/>
          <w:lang w:eastAsia="es-MX"/>
        </w:rPr>
        <w:t>Del artículo 2.2.1.2.4.2.6 del Decreto 1082 de 2015 se observa que la solicitud de requisitos para la acreditación de la vinculación de personas en condición de discapacidad se refiere a cada un</w:t>
      </w:r>
      <w:r w:rsidR="004265C9" w:rsidRPr="00CC306F">
        <w:rPr>
          <w:rFonts w:ascii="Geomanist Light" w:hAnsi="Geomanist Light" w:cs="Arial"/>
          <w:color w:val="000000"/>
          <w:sz w:val="22"/>
          <w:lang w:eastAsia="es-MX"/>
        </w:rPr>
        <w:t>a</w:t>
      </w:r>
      <w:r w:rsidRPr="00CC306F">
        <w:rPr>
          <w:rFonts w:ascii="Geomanist Light" w:hAnsi="Geomanist Light" w:cs="Arial"/>
          <w:color w:val="000000"/>
          <w:sz w:val="22"/>
          <w:lang w:eastAsia="es-MX"/>
        </w:rPr>
        <w:t xml:space="preserve"> de las personas naturales o jurídicas, bien sea de forma singular o como integrante de estructura plural, tal es el caso del certificado del Ministerio de Trabajo que se expide de forma independiente o de la planta de personal que se tiene en cuenta para la verificación del número de trabajadores en condición de discapacidad que se deben acreditar frente al número de trabajadores con que cuenta la planta de personal. </w:t>
      </w:r>
    </w:p>
    <w:p w14:paraId="202A0BAA" w14:textId="77777777" w:rsidR="003F4A6D" w:rsidRPr="00CC306F" w:rsidRDefault="003F4A6D" w:rsidP="004E77FA">
      <w:pPr>
        <w:spacing w:after="240" w:line="276" w:lineRule="auto"/>
        <w:ind w:firstLine="708"/>
        <w:jc w:val="both"/>
        <w:rPr>
          <w:rFonts w:ascii="Geomanist Light" w:hAnsi="Geomanist Light" w:cs="Arial"/>
          <w:color w:val="000000"/>
          <w:sz w:val="22"/>
          <w:lang w:eastAsia="es-MX"/>
        </w:rPr>
      </w:pPr>
      <w:r w:rsidRPr="00CC306F">
        <w:rPr>
          <w:rFonts w:ascii="Geomanist Light" w:hAnsi="Geomanist Light" w:cs="Arial"/>
          <w:color w:val="000000"/>
          <w:sz w:val="22"/>
          <w:lang w:eastAsia="es-MX"/>
        </w:rPr>
        <w:t>La forma de asignar el puntaje por vinculación de trabajadores en condición de discapacidad se establece como factor de calificación adicional a los criterios económicos y técnicos fijados por la entidad en los pliegos de condiciones. Por lo tanto, cuando el proponente acredite que en la planta de personal de la empresa tiene contratadas personas con discapacidad y presente los documentos respectivos para acreditar tal condición, el órgano que dirige el procedimiento de selección deberá realizar una operación aritmética sobre el valor total de los puntos establecidos como factores de calificación para verificar qué resultado corresponde al 1%, puntaje que deberá otorgar al oferente como incentivo por acreditar la condición de su equipo de trabajo en estado de discapacidad en los términos del reglamento.</w:t>
      </w:r>
    </w:p>
    <w:p w14:paraId="247E778E" w14:textId="16693FED" w:rsidR="003F4A6D" w:rsidRPr="00CC306F" w:rsidRDefault="003F4A6D" w:rsidP="00174D3B">
      <w:pPr>
        <w:spacing w:after="240" w:line="276" w:lineRule="auto"/>
        <w:ind w:firstLine="708"/>
        <w:jc w:val="both"/>
        <w:rPr>
          <w:rFonts w:ascii="Geomanist Light" w:eastAsia="Calibri" w:hAnsi="Geomanist Light" w:cs="Arial"/>
          <w:color w:val="000000"/>
          <w:sz w:val="22"/>
          <w:lang w:val="es-ES" w:eastAsia="es-MX"/>
        </w:rPr>
      </w:pPr>
      <w:r w:rsidRPr="00CC306F">
        <w:rPr>
          <w:rFonts w:ascii="Geomanist Light" w:hAnsi="Geomanist Light" w:cs="Arial"/>
          <w:color w:val="000000"/>
          <w:sz w:val="22"/>
          <w:lang w:eastAsia="es-MX"/>
        </w:rPr>
        <w:t xml:space="preserve">Como se explicó </w:t>
      </w:r>
      <w:r w:rsidRPr="00CC306F">
        <w:rPr>
          <w:rFonts w:ascii="Geomanist Light" w:hAnsi="Geomanist Light" w:cs="Arial"/>
          <w:i/>
          <w:iCs/>
          <w:color w:val="000000"/>
          <w:sz w:val="22"/>
          <w:lang w:eastAsia="es-MX"/>
        </w:rPr>
        <w:t>ut supra</w:t>
      </w:r>
      <w:r w:rsidRPr="00CC306F">
        <w:rPr>
          <w:rFonts w:ascii="Geomanist Light" w:hAnsi="Geomanist Light" w:cs="Arial"/>
          <w:color w:val="000000"/>
          <w:sz w:val="22"/>
          <w:lang w:eastAsia="es-MX"/>
        </w:rPr>
        <w:t xml:space="preserve">, </w:t>
      </w:r>
      <w:r w:rsidRPr="00CC306F">
        <w:rPr>
          <w:rFonts w:ascii="Geomanist Light" w:eastAsia="Calibri" w:hAnsi="Geomanist Light" w:cs="Arial"/>
          <w:color w:val="000000"/>
          <w:sz w:val="22"/>
          <w:lang w:val="es-ES" w:eastAsia="es-MX"/>
        </w:rPr>
        <w:t>el artículo 2.2.1.2.4.2.6 del Decreto 1082 de 2015 aplica en los procedimientos de contratación regulados en los numerales 1 y 3 del artículo 2 de la Ley 1150 de 2007. Por tanto, el puntaje adicional para los proponentes con trabajadores en situación de discapacidad debe evaluarse obligatoriamente en los «Documentos Tipo – Versión 3» de licitación para obras públicas de infraestructura de transporte, adoptados en la Resolución 240 del 27 de noviembre de 2020. Para estos efectos, el apartado 4.4 del documento base dispone lo siguiente:</w:t>
      </w:r>
    </w:p>
    <w:p w14:paraId="22BD4726" w14:textId="77777777" w:rsidR="003F4A6D" w:rsidRPr="00CC306F" w:rsidRDefault="003F4A6D" w:rsidP="004E77FA">
      <w:pPr>
        <w:spacing w:after="240"/>
        <w:ind w:left="709" w:right="709"/>
        <w:jc w:val="both"/>
        <w:rPr>
          <w:rFonts w:ascii="Geomanist Light" w:eastAsia="Calibri" w:hAnsi="Geomanist Light" w:cs="Arial"/>
          <w:color w:val="000000"/>
          <w:sz w:val="21"/>
          <w:szCs w:val="21"/>
          <w:lang w:eastAsia="es-MX"/>
        </w:rPr>
      </w:pPr>
      <w:r w:rsidRPr="00CC306F">
        <w:rPr>
          <w:rFonts w:ascii="Geomanist Light" w:eastAsia="Calibri" w:hAnsi="Geomanist Light" w:cs="Arial"/>
          <w:color w:val="000000"/>
          <w:sz w:val="21"/>
          <w:szCs w:val="21"/>
          <w:lang w:eastAsia="es-MX"/>
        </w:rPr>
        <w:t xml:space="preserve">La entidad asignará un (1) punto al proponente que acredite el número mínimo de personas con discapacidad de acuerdo con el número total de trabajadores de la planta de su personal en los términos señalados en el artículo 2.2.1.2.4.2.6. del Decreto 1082 de 2015 (adicionado por el Decreto 392 de 2018). </w:t>
      </w:r>
    </w:p>
    <w:p w14:paraId="525F37FF" w14:textId="77777777" w:rsidR="003F4A6D" w:rsidRPr="00CC306F" w:rsidRDefault="003F4A6D" w:rsidP="004E77FA">
      <w:pPr>
        <w:spacing w:after="240"/>
        <w:ind w:left="709" w:right="709"/>
        <w:jc w:val="both"/>
        <w:rPr>
          <w:rFonts w:ascii="Geomanist Light" w:eastAsia="Calibri" w:hAnsi="Geomanist Light" w:cs="Arial"/>
          <w:color w:val="000000"/>
          <w:sz w:val="21"/>
          <w:szCs w:val="21"/>
          <w:lang w:eastAsia="es-MX"/>
        </w:rPr>
      </w:pPr>
      <w:r w:rsidRPr="00CC306F">
        <w:rPr>
          <w:rFonts w:ascii="Geomanist Light" w:eastAsia="Calibri" w:hAnsi="Geomanist Light" w:cs="Arial"/>
          <w:color w:val="000000"/>
          <w:sz w:val="21"/>
          <w:szCs w:val="21"/>
          <w:lang w:eastAsia="es-MX"/>
        </w:rPr>
        <w:t xml:space="preserve">Para esto debe presentar: i) el Formato 8 – Vinculación de personas con discapacidad – suscrito por la persona natural, el representante legal o el revisor fiscal, según corresponda en el cual certifique el número total de trabajadores vinculados a la planta de personal del Proponente o sus integrantes a la fecha de cierre del proceso de selección ii) acreditar el número mínimo de personas con </w:t>
      </w:r>
      <w:r w:rsidRPr="00CC306F">
        <w:rPr>
          <w:rFonts w:ascii="Geomanist Light" w:eastAsia="Calibri" w:hAnsi="Geomanist Light" w:cs="Arial"/>
          <w:color w:val="000000"/>
          <w:sz w:val="21"/>
          <w:szCs w:val="21"/>
          <w:lang w:eastAsia="es-MX"/>
        </w:rPr>
        <w:lastRenderedPageBreak/>
        <w:t>discapacidad en su planta de personal, de conformidad con lo señalado en el certificado expedido por el Ministerio de Trabajo, el cual deberá estar vigente a la fecha de cierre del proceso de selección.</w:t>
      </w:r>
    </w:p>
    <w:p w14:paraId="29F41E82" w14:textId="77777777" w:rsidR="003F4A6D" w:rsidRPr="00CC306F" w:rsidRDefault="003F4A6D" w:rsidP="004E77FA">
      <w:pPr>
        <w:spacing w:after="240"/>
        <w:ind w:left="709" w:right="709"/>
        <w:jc w:val="both"/>
        <w:rPr>
          <w:rFonts w:ascii="Geomanist Light" w:eastAsia="Calibri" w:hAnsi="Geomanist Light" w:cs="Arial"/>
          <w:color w:val="000000"/>
          <w:sz w:val="21"/>
          <w:szCs w:val="21"/>
          <w:lang w:eastAsia="es-MX"/>
        </w:rPr>
      </w:pPr>
      <w:r w:rsidRPr="00CC306F">
        <w:rPr>
          <w:rFonts w:ascii="Geomanist Light" w:eastAsia="Calibri" w:hAnsi="Geomanist Light" w:cs="Arial"/>
          <w:color w:val="000000"/>
          <w:sz w:val="21"/>
          <w:szCs w:val="21"/>
          <w:lang w:eastAsia="es-MX"/>
        </w:rPr>
        <w:t>Para los proponentes plurales, la Entidad Estatal tendrá en cuenta la planta de personal del integrante del proponente plural que aporte como mínimo el cuarenta por ciento (40%) de la experiencia requerida para el proceso de contratación. Este porcentaje de experiencia se tomará sobre el “valor mínimo a certificar (como % del Presupuesto Oficial de obra expresado en SMMLV)” de conformidad con el numeral 3.5.8, sin importar si la experiencia es general o específica.</w:t>
      </w:r>
    </w:p>
    <w:p w14:paraId="4ECDB1E4" w14:textId="27E1EAD3" w:rsidR="003F4A6D" w:rsidRPr="00CC306F" w:rsidRDefault="003F4A6D" w:rsidP="00174D3B">
      <w:pPr>
        <w:spacing w:after="240"/>
        <w:ind w:left="709" w:right="709"/>
        <w:jc w:val="both"/>
        <w:rPr>
          <w:rFonts w:ascii="Geomanist Light" w:eastAsia="Calibri" w:hAnsi="Geomanist Light" w:cs="Arial"/>
          <w:color w:val="000000"/>
          <w:sz w:val="22"/>
          <w:lang w:val="es-ES" w:eastAsia="es-MX"/>
        </w:rPr>
      </w:pPr>
      <w:r w:rsidRPr="00CC306F">
        <w:rPr>
          <w:rFonts w:ascii="Geomanist Light" w:eastAsia="Calibri" w:hAnsi="Geomanist Light" w:cs="Arial"/>
          <w:color w:val="000000"/>
          <w:sz w:val="21"/>
          <w:szCs w:val="21"/>
          <w:lang w:eastAsia="es-MX"/>
        </w:rPr>
        <w:t>El Formato 8, en el caso de los proponentes plurales, debe suscribirse por la persona natural o el representante legal de la persona jurídica que aporte como mínimo el cuarenta por ciento (40%) de la experiencia requerida para el proceso de contratación</w:t>
      </w:r>
      <w:r w:rsidRPr="00CC306F">
        <w:rPr>
          <w:rFonts w:ascii="Geomanist Light" w:eastAsia="Calibri" w:hAnsi="Geomanist Light" w:cs="Arial"/>
          <w:color w:val="000000"/>
          <w:sz w:val="22"/>
          <w:lang w:val="es-ES" w:eastAsia="es-MX"/>
        </w:rPr>
        <w:t>.</w:t>
      </w:r>
    </w:p>
    <w:p w14:paraId="442E587C" w14:textId="77777777" w:rsidR="003F4A6D" w:rsidRPr="00CC306F" w:rsidRDefault="003F4A6D" w:rsidP="004E77FA">
      <w:pPr>
        <w:spacing w:after="240" w:line="276" w:lineRule="auto"/>
        <w:ind w:firstLine="709"/>
        <w:jc w:val="both"/>
        <w:rPr>
          <w:rFonts w:ascii="Geomanist Light" w:eastAsia="Calibri" w:hAnsi="Geomanist Light" w:cs="Arial"/>
          <w:sz w:val="22"/>
          <w:lang w:eastAsia="es-MX"/>
        </w:rPr>
      </w:pPr>
      <w:r w:rsidRPr="00CC306F">
        <w:rPr>
          <w:rFonts w:ascii="Geomanist Light" w:eastAsia="Calibri" w:hAnsi="Geomanist Light" w:cs="Arial"/>
          <w:sz w:val="22"/>
          <w:lang w:eastAsia="es-MX"/>
        </w:rPr>
        <w:t xml:space="preserve">Para obtener el puntaje adicional, los proponentes deben presentar el «Formato 8 – Vinculación de personas con discapacidad», suscrito ya sea por la persona natural, el representante legal de la persona jurídica o el revisor fiscal en los casos que corresponda, en el cual certifique el número total de trabajadores vinculados a la planta de personal del proponente. Como se observa, este documento estandariza la forma de cumplir con el requisito del numeral 1 del </w:t>
      </w:r>
      <w:r w:rsidRPr="00CC306F">
        <w:rPr>
          <w:rFonts w:ascii="Geomanist Light" w:eastAsia="Calibri" w:hAnsi="Geomanist Light" w:cs="Arial"/>
          <w:color w:val="000000"/>
          <w:sz w:val="22"/>
          <w:lang w:val="es-ES" w:eastAsia="es-MX"/>
        </w:rPr>
        <w:t>artículo 2.2.1.2.4.2.6 del Decreto 1082 de 2015</w:t>
      </w:r>
      <w:r w:rsidRPr="00CC306F">
        <w:rPr>
          <w:rFonts w:ascii="Geomanist Light" w:eastAsia="Calibri" w:hAnsi="Geomanist Light" w:cs="Arial"/>
          <w:sz w:val="22"/>
          <w:lang w:eastAsia="es-MX"/>
        </w:rPr>
        <w:t xml:space="preserve">. Por lo demás, junto al formato, el oferente también debe entregar el certificado del Ministerio de Trabajo que acredite el número mínimo de personas con discapacidad en su planta de personal, el cual deberá estar vigente a la fecha de cierre del proceso de selección. </w:t>
      </w:r>
    </w:p>
    <w:bookmarkEnd w:id="10"/>
    <w:p w14:paraId="41057306" w14:textId="2B0AAE1E" w:rsidR="003F4A6D" w:rsidRPr="00CC306F" w:rsidRDefault="003F4A6D" w:rsidP="004E77FA">
      <w:pPr>
        <w:spacing w:after="240" w:line="276" w:lineRule="auto"/>
        <w:ind w:firstLine="709"/>
        <w:jc w:val="both"/>
        <w:rPr>
          <w:rFonts w:ascii="Geomanist Light" w:eastAsia="Calibri" w:hAnsi="Geomanist Light" w:cs="Arial"/>
          <w:sz w:val="22"/>
          <w:szCs w:val="22"/>
          <w:lang w:val="es-MX" w:eastAsia="en-US"/>
        </w:rPr>
      </w:pPr>
      <w:r w:rsidRPr="00CC306F">
        <w:rPr>
          <w:rFonts w:ascii="Geomanist Light" w:eastAsia="Calibri" w:hAnsi="Geomanist Light" w:cs="Arial"/>
          <w:sz w:val="22"/>
          <w:szCs w:val="22"/>
          <w:lang w:val="es-MX" w:eastAsia="en-US"/>
        </w:rPr>
        <w:t xml:space="preserve">Ahora bien, en caso de que el </w:t>
      </w:r>
      <w:r w:rsidRPr="00CC306F">
        <w:rPr>
          <w:rFonts w:ascii="Geomanist Light" w:eastAsia="Calibri" w:hAnsi="Geomanist Light" w:cs="Arial"/>
          <w:color w:val="000000"/>
          <w:sz w:val="22"/>
          <w:szCs w:val="22"/>
          <w:lang w:eastAsia="es-MX"/>
        </w:rPr>
        <w:t>Formato 8 – Vinculación de personas con discapacidad</w:t>
      </w:r>
      <w:r w:rsidRPr="00CC306F">
        <w:rPr>
          <w:rFonts w:ascii="Geomanist Light" w:eastAsia="Calibri" w:hAnsi="Geomanist Light" w:cs="Arial"/>
          <w:sz w:val="22"/>
          <w:szCs w:val="22"/>
          <w:lang w:val="es-MX" w:eastAsia="en-US"/>
        </w:rPr>
        <w:t xml:space="preserve">, y el </w:t>
      </w:r>
      <w:r w:rsidR="004265C9" w:rsidRPr="00CC306F">
        <w:rPr>
          <w:rFonts w:ascii="Geomanist Light" w:eastAsia="Calibri" w:hAnsi="Geomanist Light" w:cs="Arial"/>
          <w:sz w:val="22"/>
          <w:lang w:eastAsia="es-MX"/>
        </w:rPr>
        <w:t>el certificado del Ministerio de Trabajo</w:t>
      </w:r>
      <w:r w:rsidRPr="00CC306F">
        <w:rPr>
          <w:rFonts w:ascii="Geomanist Light" w:eastAsia="Calibri" w:hAnsi="Geomanist Light" w:cs="Arial"/>
          <w:sz w:val="22"/>
          <w:szCs w:val="22"/>
          <w:lang w:val="es-MX" w:eastAsia="en-US"/>
        </w:rPr>
        <w:t xml:space="preserve"> contengan un número distinto de trabajadores vinculados a la planta de personal del proponente, es pertinente mencionar que, ante tal situación, la entidad cuenta con la facultad de «solicitar a los proponentes las aclaraciones y explicaciones que se estimen indispensables», establecida en el artículo 30-7 de la Ley 80 de 1993</w:t>
      </w:r>
      <w:r w:rsidRPr="00CC306F">
        <w:rPr>
          <w:rFonts w:ascii="Geomanist Light" w:eastAsiaTheme="minorHAnsi" w:hAnsi="Geomanist Light" w:cs="Arial"/>
          <w:sz w:val="22"/>
          <w:szCs w:val="22"/>
          <w:vertAlign w:val="superscript"/>
          <w:lang w:eastAsia="en-US"/>
        </w:rPr>
        <w:footnoteReference w:id="10"/>
      </w:r>
      <w:r w:rsidRPr="00CC306F">
        <w:rPr>
          <w:rFonts w:ascii="Geomanist Light" w:eastAsia="Calibri" w:hAnsi="Geomanist Light" w:cs="Arial"/>
          <w:sz w:val="22"/>
          <w:szCs w:val="22"/>
          <w:lang w:val="es-MX" w:eastAsia="en-US"/>
        </w:rPr>
        <w:t xml:space="preserve">. </w:t>
      </w:r>
    </w:p>
    <w:p w14:paraId="091A8F31" w14:textId="51E452E0" w:rsidR="003F4A6D" w:rsidRPr="00CC306F" w:rsidRDefault="003F4A6D" w:rsidP="004E77FA">
      <w:pPr>
        <w:spacing w:after="240" w:line="276" w:lineRule="auto"/>
        <w:ind w:firstLine="709"/>
        <w:jc w:val="both"/>
        <w:rPr>
          <w:rFonts w:ascii="Geomanist Light" w:eastAsia="Calibri" w:hAnsi="Geomanist Light" w:cs="Arial"/>
          <w:sz w:val="22"/>
          <w:szCs w:val="22"/>
          <w:lang w:val="es-MX" w:eastAsia="en-US"/>
        </w:rPr>
      </w:pPr>
      <w:r w:rsidRPr="00CC306F">
        <w:rPr>
          <w:rFonts w:ascii="Geomanist Light" w:eastAsia="Calibri" w:hAnsi="Geomanist Light" w:cs="Arial"/>
          <w:sz w:val="22"/>
          <w:szCs w:val="22"/>
          <w:lang w:val="es-MX" w:eastAsia="en-US"/>
        </w:rPr>
        <w:t xml:space="preserve">El ejercicio de la facultad de solicitar </w:t>
      </w:r>
      <w:r w:rsidR="00A23833" w:rsidRPr="00CC306F">
        <w:rPr>
          <w:rFonts w:ascii="Geomanist Light" w:eastAsia="Calibri" w:hAnsi="Geomanist Light" w:cs="Arial"/>
          <w:sz w:val="22"/>
          <w:szCs w:val="22"/>
          <w:lang w:val="es-MX" w:eastAsia="en-US"/>
        </w:rPr>
        <w:t xml:space="preserve">las </w:t>
      </w:r>
      <w:r w:rsidRPr="00CC306F">
        <w:rPr>
          <w:rFonts w:ascii="Geomanist Light" w:eastAsia="Calibri" w:hAnsi="Geomanist Light" w:cs="Arial"/>
          <w:sz w:val="22"/>
          <w:szCs w:val="22"/>
          <w:lang w:val="es-MX" w:eastAsia="en-US"/>
        </w:rPr>
        <w:t xml:space="preserve">aclaraciones </w:t>
      </w:r>
      <w:r w:rsidR="00A23833" w:rsidRPr="00CC306F">
        <w:rPr>
          <w:rFonts w:ascii="Geomanist Light" w:eastAsia="Calibri" w:hAnsi="Geomanist Light" w:cs="Arial"/>
          <w:sz w:val="22"/>
          <w:szCs w:val="22"/>
          <w:lang w:val="es-MX" w:eastAsia="en-US"/>
        </w:rPr>
        <w:t xml:space="preserve">que </w:t>
      </w:r>
      <w:r w:rsidRPr="00CC306F">
        <w:rPr>
          <w:rFonts w:ascii="Geomanist Light" w:eastAsia="Calibri" w:hAnsi="Geomanist Light" w:cs="Arial"/>
          <w:sz w:val="22"/>
          <w:szCs w:val="22"/>
          <w:lang w:val="es-MX" w:eastAsia="en-US"/>
        </w:rPr>
        <w:t>permit</w:t>
      </w:r>
      <w:r w:rsidR="00A23833" w:rsidRPr="00CC306F">
        <w:rPr>
          <w:rFonts w:ascii="Geomanist Light" w:eastAsia="Calibri" w:hAnsi="Geomanist Light" w:cs="Arial"/>
          <w:sz w:val="22"/>
          <w:szCs w:val="22"/>
          <w:lang w:val="es-MX" w:eastAsia="en-US"/>
        </w:rPr>
        <w:t>an</w:t>
      </w:r>
      <w:r w:rsidRPr="00CC306F">
        <w:rPr>
          <w:rFonts w:ascii="Geomanist Light" w:eastAsia="Calibri" w:hAnsi="Geomanist Light" w:cs="Arial"/>
          <w:sz w:val="22"/>
          <w:szCs w:val="22"/>
          <w:lang w:val="es-MX" w:eastAsia="en-US"/>
        </w:rPr>
        <w:t xml:space="preserve"> que las entidades </w:t>
      </w:r>
      <w:r w:rsidR="00A23833" w:rsidRPr="00CC306F">
        <w:rPr>
          <w:rFonts w:ascii="Geomanist Light" w:eastAsia="Calibri" w:hAnsi="Geomanist Light" w:cs="Arial"/>
          <w:sz w:val="22"/>
          <w:szCs w:val="22"/>
          <w:lang w:val="es-MX" w:eastAsia="en-US"/>
        </w:rPr>
        <w:t xml:space="preserve">obtengan la certeza de la información y para ello podrán </w:t>
      </w:r>
      <w:r w:rsidRPr="00CC306F">
        <w:rPr>
          <w:rFonts w:ascii="Geomanist Light" w:eastAsia="Calibri" w:hAnsi="Geomanist Light" w:cs="Arial"/>
          <w:sz w:val="22"/>
          <w:szCs w:val="22"/>
          <w:lang w:val="es-MX" w:eastAsia="en-US"/>
        </w:rPr>
        <w:t>requ</w:t>
      </w:r>
      <w:r w:rsidR="00A23833" w:rsidRPr="00CC306F">
        <w:rPr>
          <w:rFonts w:ascii="Geomanist Light" w:eastAsia="Calibri" w:hAnsi="Geomanist Light" w:cs="Arial"/>
          <w:sz w:val="22"/>
          <w:szCs w:val="22"/>
          <w:lang w:val="es-MX" w:eastAsia="en-US"/>
        </w:rPr>
        <w:t xml:space="preserve">erir </w:t>
      </w:r>
      <w:r w:rsidRPr="00CC306F">
        <w:rPr>
          <w:rFonts w:ascii="Geomanist Light" w:eastAsia="Calibri" w:hAnsi="Geomanist Light" w:cs="Arial"/>
          <w:sz w:val="22"/>
          <w:szCs w:val="22"/>
          <w:lang w:val="es-MX" w:eastAsia="en-US"/>
        </w:rPr>
        <w:t xml:space="preserve">a los proponentes la aclaración </w:t>
      </w:r>
      <w:r w:rsidR="00592634" w:rsidRPr="00CC306F">
        <w:rPr>
          <w:rFonts w:ascii="Geomanist Light" w:eastAsia="Calibri" w:hAnsi="Geomanist Light" w:cs="Arial"/>
          <w:sz w:val="22"/>
          <w:szCs w:val="22"/>
          <w:lang w:val="es-MX" w:eastAsia="en-US"/>
        </w:rPr>
        <w:t xml:space="preserve">y documentos </w:t>
      </w:r>
      <w:r w:rsidRPr="00CC306F">
        <w:rPr>
          <w:rFonts w:ascii="Geomanist Light" w:eastAsia="Calibri" w:hAnsi="Geomanist Light" w:cs="Arial"/>
          <w:sz w:val="22"/>
          <w:szCs w:val="22"/>
          <w:lang w:val="es-MX" w:eastAsia="en-US"/>
        </w:rPr>
        <w:t xml:space="preserve">de los aspectos de su propuesta que, en principio, resultan oscuros o confusos de cara a la evaluación, diferenciándose esta facultad de la </w:t>
      </w:r>
      <w:proofErr w:type="spellStart"/>
      <w:r w:rsidRPr="00CC306F">
        <w:rPr>
          <w:rFonts w:ascii="Geomanist Light" w:eastAsia="Calibri" w:hAnsi="Geomanist Light" w:cs="Arial"/>
          <w:sz w:val="22"/>
          <w:szCs w:val="22"/>
          <w:lang w:val="es-MX" w:eastAsia="en-US"/>
        </w:rPr>
        <w:t>subsanabilidad</w:t>
      </w:r>
      <w:proofErr w:type="spellEnd"/>
      <w:r w:rsidRPr="00CC306F">
        <w:rPr>
          <w:rFonts w:ascii="Geomanist Light" w:eastAsia="Calibri" w:hAnsi="Geomanist Light" w:cs="Arial"/>
          <w:sz w:val="22"/>
          <w:szCs w:val="22"/>
          <w:lang w:val="es-MX" w:eastAsia="en-US"/>
        </w:rPr>
        <w:t xml:space="preserve">, pues no parte del supuesto de la ausencia de requisitos de la oferta sino de la existencia de </w:t>
      </w:r>
      <w:r w:rsidRPr="00CC306F">
        <w:rPr>
          <w:rFonts w:ascii="Geomanist Light" w:eastAsia="Calibri" w:hAnsi="Geomanist Light" w:cs="Arial"/>
          <w:sz w:val="22"/>
          <w:szCs w:val="22"/>
          <w:lang w:val="es-MX" w:eastAsia="en-US"/>
        </w:rPr>
        <w:lastRenderedPageBreak/>
        <w:t>inconsistencias en la misma, cuyo esclarecimiento se requiere para la evaluar la propuesta. Así lo ha manifestado el Consejo de Estado:</w:t>
      </w:r>
    </w:p>
    <w:p w14:paraId="29CAECCD" w14:textId="26C6255D" w:rsidR="003F4A6D" w:rsidRPr="00174D3B" w:rsidRDefault="003F4A6D" w:rsidP="00174D3B">
      <w:pPr>
        <w:spacing w:after="240"/>
        <w:ind w:left="709" w:right="616"/>
        <w:jc w:val="both"/>
        <w:rPr>
          <w:rFonts w:ascii="Geomanist Light" w:eastAsia="Calibri" w:hAnsi="Geomanist Light" w:cs="Arial"/>
          <w:sz w:val="21"/>
          <w:szCs w:val="21"/>
          <w:lang w:val="es-MX" w:eastAsia="en-US"/>
        </w:rPr>
      </w:pPr>
      <w:r w:rsidRPr="00CC306F">
        <w:rPr>
          <w:rFonts w:ascii="Geomanist Light" w:eastAsia="Calibri" w:hAnsi="Geomanist Light" w:cs="Arial"/>
          <w:sz w:val="21"/>
          <w:szCs w:val="21"/>
          <w:lang w:val="es-MX" w:eastAsia="en-US"/>
        </w:rPr>
        <w:t xml:space="preserve">Conforme al art. 30.7 las entidades deben garantizar el derecho que tienen los oferentes de aclarar los aspectos confusos de sus propuestas, facultad que le permitirá a la entidad definir su adecuación o no al pliego. Esta figura constituye una oportunidad propia del proceso de evaluación de las ofertas -que se diferencia de la </w:t>
      </w:r>
      <w:proofErr w:type="spellStart"/>
      <w:r w:rsidRPr="00CC306F">
        <w:rPr>
          <w:rFonts w:ascii="Geomanist Light" w:eastAsia="Calibri" w:hAnsi="Geomanist Light" w:cs="Arial"/>
          <w:sz w:val="21"/>
          <w:szCs w:val="21"/>
          <w:lang w:val="es-MX" w:eastAsia="en-US"/>
        </w:rPr>
        <w:t>subsanabilidad</w:t>
      </w:r>
      <w:proofErr w:type="spellEnd"/>
      <w:r w:rsidRPr="00CC306F">
        <w:rPr>
          <w:rFonts w:ascii="Geomanist Light" w:eastAsia="Calibri" w:hAnsi="Geomanist Light" w:cs="Arial"/>
          <w:sz w:val="21"/>
          <w:szCs w:val="21"/>
          <w:lang w:val="es-MX" w:eastAsia="en-US"/>
        </w:rPr>
        <w:t xml:space="preserve"> -, pues no parte del supuesto de la ausencia de requisitos de la oferta –los que hay que subsanar-, sino de la presencia de inconsistencias o falta de claridad en la oferta, </w:t>
      </w:r>
      <w:bookmarkStart w:id="14" w:name="_Hlk31969520"/>
      <w:r w:rsidRPr="00CC306F">
        <w:rPr>
          <w:rFonts w:ascii="Geomanist Light" w:eastAsia="Calibri" w:hAnsi="Geomanist Light" w:cs="Arial"/>
          <w:sz w:val="21"/>
          <w:szCs w:val="21"/>
          <w:lang w:val="es-MX" w:eastAsia="en-US"/>
        </w:rPr>
        <w:t>[…].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 se busca sacar a la luz lo que parece oscuro, no de subsanar algo, pues el requisito que admite ser aclarado tiene que estar incluido en la oferta, solo que la entidad tiene dudas sobre su alcance, contenido o acreditación, porque de la oferta se pueden inferir entendimientos diferentes</w:t>
      </w:r>
      <w:bookmarkEnd w:id="14"/>
      <w:r w:rsidRPr="00CC306F">
        <w:rPr>
          <w:rFonts w:ascii="Geomanist Light" w:eastAsia="Calibri" w:hAnsi="Geomanist Light" w:cs="Arial"/>
          <w:sz w:val="21"/>
          <w:szCs w:val="21"/>
          <w:lang w:val="es-MX" w:eastAsia="en-US"/>
        </w:rPr>
        <w:t>.[…] el proponente debe acogerse al tiempo que le otorga la administración para subsanar o aclarar la oferta, lapso que la entidad no puede extender más allá de la adjudicación. No se trata, entonces, de que el oferente tenga la posibilidad de entregar la información solicitada a más tardar hasta la adjudicación; es la entidad quien tiene, a más tardar hasta la adjudicación, la posibilidad de pedir a los oferentes que aclaren o subsanen.</w:t>
      </w:r>
      <w:r w:rsidRPr="00CC306F">
        <w:rPr>
          <w:rFonts w:ascii="Geomanist Light" w:eastAsiaTheme="minorHAnsi" w:hAnsi="Geomanist Light" w:cs="Arial"/>
          <w:sz w:val="22"/>
          <w:szCs w:val="22"/>
          <w:vertAlign w:val="superscript"/>
          <w:lang w:eastAsia="en-US"/>
        </w:rPr>
        <w:footnoteReference w:id="11"/>
      </w:r>
    </w:p>
    <w:p w14:paraId="71730318" w14:textId="28EDE601" w:rsidR="00592634" w:rsidRPr="00CC306F" w:rsidRDefault="003F4A6D" w:rsidP="00174D3B">
      <w:pPr>
        <w:spacing w:after="240" w:line="276" w:lineRule="auto"/>
        <w:ind w:firstLine="709"/>
        <w:jc w:val="both"/>
        <w:rPr>
          <w:rFonts w:ascii="Geomanist Light" w:eastAsia="Calibri" w:hAnsi="Geomanist Light" w:cs="Arial"/>
          <w:sz w:val="22"/>
          <w:szCs w:val="22"/>
          <w:lang w:val="es-MX" w:eastAsia="en-US"/>
        </w:rPr>
      </w:pPr>
      <w:r w:rsidRPr="00CC306F">
        <w:rPr>
          <w:rFonts w:ascii="Geomanist Light" w:eastAsia="Calibri" w:hAnsi="Geomanist Light" w:cs="Arial"/>
          <w:sz w:val="22"/>
          <w:szCs w:val="22"/>
          <w:lang w:val="es-MX" w:eastAsia="en-US"/>
        </w:rPr>
        <w:t xml:space="preserve">En ese orden, a partir del momento de cierre del período para presentar ofertas, y hasta antes de la adjudicación, la entidad cuenta con la oportunidad de solicitar las aclaraciones del caso respecto de aspectos de la propuesta que resulten poco claros, como podría ser el caso de la contradicción de la información presentada por el proponente en los documentos que conforman su oferta.  </w:t>
      </w:r>
    </w:p>
    <w:p w14:paraId="148EE1B8" w14:textId="173B6FC0" w:rsidR="0005632E" w:rsidRPr="00174D3B" w:rsidRDefault="004A6FA0" w:rsidP="004E77FA">
      <w:pPr>
        <w:spacing w:after="240" w:line="276" w:lineRule="auto"/>
        <w:jc w:val="both"/>
        <w:rPr>
          <w:rFonts w:ascii="Geomanist Light" w:eastAsia="Calibri" w:hAnsi="Geomanist Light" w:cs="Arial"/>
          <w:b/>
          <w:bCs/>
          <w:color w:val="000000" w:themeColor="text1"/>
          <w:sz w:val="22"/>
          <w:szCs w:val="22"/>
          <w:lang w:val="es-ES_tradnl"/>
        </w:rPr>
      </w:pPr>
      <w:r w:rsidRPr="00CC306F">
        <w:rPr>
          <w:rFonts w:ascii="Geomanist Light" w:eastAsia="Calibri" w:hAnsi="Geomanist Light" w:cs="Arial"/>
          <w:b/>
          <w:sz w:val="22"/>
          <w:szCs w:val="22"/>
          <w:lang w:val="es-MX" w:eastAsia="en-US"/>
        </w:rPr>
        <w:t xml:space="preserve">2.3. </w:t>
      </w:r>
      <w:r w:rsidR="0005632E" w:rsidRPr="00CC306F">
        <w:rPr>
          <w:rFonts w:ascii="Geomanist Light" w:eastAsia="Calibri" w:hAnsi="Geomanist Light" w:cs="Arial"/>
          <w:b/>
          <w:bCs/>
          <w:color w:val="000000" w:themeColor="text1"/>
          <w:sz w:val="22"/>
          <w:szCs w:val="22"/>
          <w:lang w:val="es-ES_tradnl"/>
        </w:rPr>
        <w:t xml:space="preserve">Vigencia y reglamentación de los criterios diferenciales introducidos por la Ley 2069 de 2020 </w:t>
      </w:r>
    </w:p>
    <w:p w14:paraId="48761155" w14:textId="77777777" w:rsidR="0005632E" w:rsidRPr="00CC306F" w:rsidRDefault="0005632E" w:rsidP="004E77FA">
      <w:pPr>
        <w:spacing w:after="240" w:line="276" w:lineRule="auto"/>
        <w:jc w:val="both"/>
        <w:rPr>
          <w:rFonts w:ascii="Geomanist Light" w:eastAsia="Calibri" w:hAnsi="Geomanist Light" w:cs="Arial"/>
          <w:color w:val="000000" w:themeColor="text1"/>
          <w:sz w:val="22"/>
          <w:szCs w:val="22"/>
          <w:lang w:val="es-ES_tradnl"/>
        </w:rPr>
      </w:pPr>
      <w:r w:rsidRPr="00CC306F">
        <w:rPr>
          <w:rFonts w:ascii="Geomanist Light" w:eastAsia="Calibri" w:hAnsi="Geomanist Light" w:cs="Arial"/>
          <w:color w:val="000000" w:themeColor="text1"/>
          <w:sz w:val="22"/>
          <w:szCs w:val="22"/>
          <w:lang w:val="es-ES_tradnl"/>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numeral 11 del artículo 189 de la Constitución Política, expida los decretos correspondientes que permitan la </w:t>
      </w:r>
      <w:r w:rsidRPr="00CC306F">
        <w:rPr>
          <w:rFonts w:ascii="Geomanist Light" w:eastAsia="Calibri" w:hAnsi="Geomanist Light" w:cs="Arial"/>
          <w:color w:val="000000" w:themeColor="text1"/>
          <w:sz w:val="22"/>
          <w:szCs w:val="22"/>
          <w:lang w:val="es-ES_tradnl"/>
        </w:rPr>
        <w:lastRenderedPageBreak/>
        <w:t>cumplida ejecución de esta Ley, potestad que fue ejercida mediante la expedición del Decreto 1860 de 2021, al cual se hará referencia más adelante.</w:t>
      </w:r>
    </w:p>
    <w:p w14:paraId="7483BA46" w14:textId="77777777" w:rsidR="0005632E" w:rsidRPr="00CC306F" w:rsidRDefault="0005632E" w:rsidP="004E77FA">
      <w:pPr>
        <w:spacing w:after="240" w:line="276" w:lineRule="auto"/>
        <w:ind w:firstLine="709"/>
        <w:jc w:val="both"/>
        <w:rPr>
          <w:rFonts w:ascii="Geomanist Light" w:eastAsia="Calibri" w:hAnsi="Geomanist Light" w:cs="Arial"/>
          <w:color w:val="000000" w:themeColor="text1"/>
          <w:sz w:val="22"/>
          <w:szCs w:val="22"/>
          <w:lang w:val="es-ES_tradnl"/>
        </w:rPr>
      </w:pPr>
      <w:r w:rsidRPr="00CC306F">
        <w:rPr>
          <w:rFonts w:ascii="Geomanist Light" w:eastAsia="Calibri" w:hAnsi="Geomanist Light" w:cs="Arial"/>
          <w:color w:val="000000" w:themeColor="text1"/>
          <w:sz w:val="22"/>
          <w:szCs w:val="22"/>
          <w:lang w:val="es-ES_tradnl"/>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w:t>
      </w:r>
      <w:r w:rsidRPr="00CC306F">
        <w:rPr>
          <w:rFonts w:ascii="Geomanist Light" w:eastAsia="Calibri" w:hAnsi="Geomanist Light" w:cs="Arial"/>
          <w:color w:val="000000" w:themeColor="text1"/>
          <w:sz w:val="22"/>
          <w:szCs w:val="22"/>
          <w:vertAlign w:val="superscript"/>
          <w:lang w:val="es-ES_tradnl"/>
        </w:rPr>
        <w:footnoteReference w:id="12"/>
      </w:r>
      <w:r w:rsidRPr="00CC306F">
        <w:rPr>
          <w:rFonts w:ascii="Geomanist Light" w:eastAsia="Calibri" w:hAnsi="Geomanist Light" w:cs="Arial"/>
          <w:color w:val="000000" w:themeColor="text1"/>
          <w:sz w:val="22"/>
          <w:szCs w:val="22"/>
          <w:lang w:val="es-ES_tradnl"/>
        </w:rPr>
        <w:t>. Esto, a partir de «[…] un enfoque regionalizado de acuerdo con las realidades socioeconómicas de cada región». En desarrollo de esta finalidad, se establecen medidas de apoyo para las micro, pequeñas y medianas empresas –</w:t>
      </w:r>
      <w:proofErr w:type="spellStart"/>
      <w:r w:rsidRPr="00CC306F">
        <w:rPr>
          <w:rFonts w:ascii="Geomanist Light" w:eastAsia="Calibri" w:hAnsi="Geomanist Light" w:cs="Arial"/>
          <w:color w:val="000000" w:themeColor="text1"/>
          <w:sz w:val="22"/>
          <w:szCs w:val="22"/>
          <w:lang w:val="es-ES_tradnl"/>
        </w:rPr>
        <w:t>Mipymes</w:t>
      </w:r>
      <w:proofErr w:type="spellEnd"/>
      <w:r w:rsidRPr="00CC306F">
        <w:rPr>
          <w:rFonts w:ascii="Geomanist Light" w:eastAsia="Calibri" w:hAnsi="Geomanist Light" w:cs="Arial"/>
          <w:color w:val="000000" w:themeColor="text1"/>
          <w:sz w:val="22"/>
          <w:szCs w:val="22"/>
          <w:lang w:val="es-ES_tradnl"/>
        </w:rPr>
        <w:t>–, mediante la racionalización y simplificación de los trámites y tarifas</w:t>
      </w:r>
      <w:r w:rsidRPr="00CC306F">
        <w:rPr>
          <w:rStyle w:val="Refdenotaalpie"/>
          <w:rFonts w:ascii="Geomanist Light" w:eastAsia="Calibri" w:hAnsi="Geomanist Light" w:cs="Arial"/>
          <w:color w:val="000000" w:themeColor="text1"/>
          <w:sz w:val="22"/>
          <w:szCs w:val="22"/>
          <w:lang w:val="es-ES_tradnl"/>
        </w:rPr>
        <w:footnoteReference w:id="13"/>
      </w:r>
      <w:r w:rsidRPr="00CC306F">
        <w:rPr>
          <w:rFonts w:ascii="Geomanist Light" w:eastAsia="Calibri" w:hAnsi="Geomanist Light" w:cs="Arial"/>
          <w:color w:val="000000" w:themeColor="text1"/>
          <w:sz w:val="22"/>
          <w:szCs w:val="22"/>
          <w:lang w:val="es-ES_tradnl"/>
        </w:rPr>
        <w:t>, así como incentivos a favor de aquellas dentro del sistema de compras y contratación pública</w:t>
      </w:r>
      <w:r w:rsidRPr="00CC306F">
        <w:rPr>
          <w:rStyle w:val="Refdenotaalpie"/>
          <w:rFonts w:ascii="Geomanist Light" w:eastAsia="Calibri" w:hAnsi="Geomanist Light" w:cs="Arial"/>
          <w:color w:val="000000" w:themeColor="text1"/>
          <w:sz w:val="22"/>
          <w:szCs w:val="22"/>
          <w:lang w:val="es-ES_tradnl"/>
        </w:rPr>
        <w:footnoteReference w:id="14"/>
      </w:r>
      <w:r w:rsidRPr="00CC306F">
        <w:rPr>
          <w:rFonts w:ascii="Geomanist Light" w:eastAsia="Calibri" w:hAnsi="Geomanist Light" w:cs="Arial"/>
          <w:color w:val="000000" w:themeColor="text1"/>
          <w:sz w:val="22"/>
          <w:szCs w:val="22"/>
          <w:lang w:val="es-ES_tradnl"/>
        </w:rPr>
        <w:t>. También se consagran mecanismos de acceso al financiamiento</w:t>
      </w:r>
      <w:r w:rsidRPr="00CC306F">
        <w:rPr>
          <w:rStyle w:val="Refdenotaalpie"/>
          <w:rFonts w:ascii="Geomanist Light" w:eastAsia="Calibri" w:hAnsi="Geomanist Light" w:cs="Arial"/>
          <w:color w:val="000000" w:themeColor="text1"/>
          <w:sz w:val="22"/>
          <w:szCs w:val="22"/>
          <w:lang w:val="es-ES_tradnl"/>
        </w:rPr>
        <w:footnoteReference w:id="15"/>
      </w:r>
      <w:r w:rsidRPr="00CC306F">
        <w:rPr>
          <w:rFonts w:ascii="Geomanist Light" w:eastAsia="Calibri" w:hAnsi="Geomanist Light" w:cs="Arial"/>
          <w:color w:val="000000" w:themeColor="text1"/>
          <w:sz w:val="22"/>
          <w:szCs w:val="22"/>
          <w:lang w:val="es-ES_tradnl"/>
        </w:rPr>
        <w:t>, se unifican las fuentes de emprendimiento y de desarrollo empresarial, para fortalecer y promover los distintos sectores de la economía</w:t>
      </w:r>
      <w:r w:rsidRPr="00CC306F">
        <w:rPr>
          <w:rStyle w:val="Refdenotaalpie"/>
          <w:rFonts w:ascii="Geomanist Light" w:eastAsia="Calibri" w:hAnsi="Geomanist Light" w:cs="Arial"/>
          <w:color w:val="000000" w:themeColor="text1"/>
          <w:sz w:val="22"/>
          <w:szCs w:val="22"/>
          <w:lang w:val="es-ES_tradnl"/>
        </w:rPr>
        <w:footnoteReference w:id="16"/>
      </w:r>
      <w:r w:rsidRPr="00CC306F">
        <w:rPr>
          <w:rFonts w:ascii="Geomanist Light" w:eastAsia="Calibri" w:hAnsi="Geomanist Light" w:cs="Arial"/>
          <w:color w:val="000000" w:themeColor="text1"/>
          <w:sz w:val="22"/>
          <w:szCs w:val="22"/>
          <w:lang w:val="es-ES_tradnl"/>
        </w:rPr>
        <w:t xml:space="preserve"> y se prevén medidas de educación para el emprendimiento y la innovación</w:t>
      </w:r>
      <w:r w:rsidRPr="00CC306F">
        <w:rPr>
          <w:rStyle w:val="Refdenotaalpie"/>
          <w:rFonts w:ascii="Geomanist Light" w:eastAsia="Calibri" w:hAnsi="Geomanist Light" w:cs="Arial"/>
          <w:color w:val="000000" w:themeColor="text1"/>
          <w:sz w:val="22"/>
          <w:szCs w:val="22"/>
          <w:lang w:val="es-ES_tradnl"/>
        </w:rPr>
        <w:footnoteReference w:id="17"/>
      </w:r>
      <w:r w:rsidRPr="00CC306F">
        <w:rPr>
          <w:rFonts w:ascii="Geomanist Light" w:eastAsia="Calibri" w:hAnsi="Geomanist Light" w:cs="Arial"/>
          <w:color w:val="000000" w:themeColor="text1"/>
          <w:sz w:val="22"/>
          <w:szCs w:val="22"/>
          <w:lang w:val="es-ES_tradnl"/>
        </w:rPr>
        <w:t>.</w:t>
      </w:r>
    </w:p>
    <w:p w14:paraId="7C8E0BCF" w14:textId="77777777" w:rsidR="0005632E" w:rsidRPr="00CC306F" w:rsidRDefault="0005632E" w:rsidP="004E77FA">
      <w:pPr>
        <w:spacing w:after="240" w:line="276" w:lineRule="auto"/>
        <w:ind w:firstLine="709"/>
        <w:jc w:val="both"/>
        <w:rPr>
          <w:rFonts w:ascii="Geomanist Light" w:eastAsia="Calibri" w:hAnsi="Geomanist Light" w:cs="Arial"/>
          <w:color w:val="000000" w:themeColor="text1"/>
          <w:sz w:val="22"/>
          <w:szCs w:val="22"/>
          <w:lang w:val="es-ES_tradnl"/>
        </w:rPr>
      </w:pPr>
      <w:r w:rsidRPr="00CC306F">
        <w:rPr>
          <w:rFonts w:ascii="Geomanist Light" w:eastAsia="Calibri" w:hAnsi="Geomanist Light" w:cs="Arial"/>
          <w:color w:val="000000" w:themeColor="text1"/>
          <w:sz w:val="22"/>
          <w:szCs w:val="22"/>
          <w:lang w:val="es-ES_tradnl"/>
        </w:rPr>
        <w:t xml:space="preserve">Como se indicó, parte de la Ley 2069 contiene normas que modifican algunos aspectos de la contratación estatal para promover el emprendimiento. Concretamente, aquellas se encuentran en el Capítulo II –artículos 30 al 36–. En su orden, tales artículos consagran: i) reglas sobre la participación de las </w:t>
      </w:r>
      <w:proofErr w:type="spellStart"/>
      <w:r w:rsidRPr="00CC306F">
        <w:rPr>
          <w:rFonts w:ascii="Geomanist Light" w:eastAsia="Calibri" w:hAnsi="Geomanist Light" w:cs="Arial"/>
          <w:color w:val="000000" w:themeColor="text1"/>
          <w:sz w:val="22"/>
          <w:szCs w:val="22"/>
          <w:lang w:val="es-ES_tradnl"/>
        </w:rPr>
        <w:t>Mipymes</w:t>
      </w:r>
      <w:proofErr w:type="spellEnd"/>
      <w:r w:rsidRPr="00CC306F">
        <w:rPr>
          <w:rFonts w:ascii="Geomanist Light" w:eastAsia="Calibri" w:hAnsi="Geomanist Light" w:cs="Arial"/>
          <w:color w:val="000000" w:themeColor="text1"/>
          <w:sz w:val="22"/>
          <w:szCs w:val="22"/>
          <w:lang w:val="es-ES_tradnl"/>
        </w:rPr>
        <w:t xml:space="preserve"> en el procedimiento de mínima cuantía, ii) criterios diferenciales para </w:t>
      </w:r>
      <w:proofErr w:type="spellStart"/>
      <w:r w:rsidRPr="00CC306F">
        <w:rPr>
          <w:rFonts w:ascii="Geomanist Light" w:eastAsia="Calibri" w:hAnsi="Geomanist Light" w:cs="Arial"/>
          <w:color w:val="000000" w:themeColor="text1"/>
          <w:sz w:val="22"/>
          <w:szCs w:val="22"/>
          <w:lang w:val="es-ES_tradnl"/>
        </w:rPr>
        <w:t>Mipymes</w:t>
      </w:r>
      <w:proofErr w:type="spellEnd"/>
      <w:r w:rsidRPr="00CC306F">
        <w:rPr>
          <w:rFonts w:ascii="Geomanist Light" w:eastAsia="Calibri" w:hAnsi="Geomanist Light" w:cs="Arial"/>
          <w:color w:val="000000" w:themeColor="text1"/>
          <w:sz w:val="22"/>
          <w:szCs w:val="22"/>
          <w:lang w:val="es-ES_tradnl"/>
        </w:rPr>
        <w:t xml:space="preserve"> en el sistema de compras públicas, iii) criterios diferenciales para emprendimientos y empresas de mujeres en el sistema de compras públicas, iv) promoción del acceso de las </w:t>
      </w:r>
      <w:proofErr w:type="spellStart"/>
      <w:r w:rsidRPr="00CC306F">
        <w:rPr>
          <w:rFonts w:ascii="Geomanist Light" w:eastAsia="Calibri" w:hAnsi="Geomanist Light" w:cs="Arial"/>
          <w:color w:val="000000" w:themeColor="text1"/>
          <w:sz w:val="22"/>
          <w:szCs w:val="22"/>
          <w:lang w:val="es-ES_tradnl"/>
        </w:rPr>
        <w:t>Mipymes</w:t>
      </w:r>
      <w:proofErr w:type="spellEnd"/>
      <w:r w:rsidRPr="00CC306F">
        <w:rPr>
          <w:rFonts w:ascii="Geomanist Light" w:eastAsia="Calibri" w:hAnsi="Geomanist Light"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w:t>
      </w:r>
      <w:r w:rsidRPr="00CC306F">
        <w:rPr>
          <w:rStyle w:val="Refdenotaalpie"/>
          <w:rFonts w:ascii="Geomanist Light" w:eastAsia="Calibri" w:hAnsi="Geomanist Light" w:cs="Arial"/>
          <w:color w:val="000000" w:themeColor="text1"/>
          <w:sz w:val="22"/>
          <w:szCs w:val="22"/>
          <w:lang w:val="es-ES_tradnl"/>
        </w:rPr>
        <w:footnoteReference w:id="18"/>
      </w:r>
      <w:r w:rsidRPr="00CC306F">
        <w:rPr>
          <w:rFonts w:ascii="Geomanist Light" w:eastAsia="Calibri" w:hAnsi="Geomanist Light" w:cs="Arial"/>
          <w:color w:val="000000" w:themeColor="text1"/>
          <w:sz w:val="22"/>
          <w:szCs w:val="22"/>
          <w:lang w:val="es-ES_tradnl"/>
        </w:rPr>
        <w:t xml:space="preserve">. </w:t>
      </w:r>
    </w:p>
    <w:p w14:paraId="7067F21E" w14:textId="77777777" w:rsidR="0005632E" w:rsidRPr="00CC306F" w:rsidRDefault="0005632E" w:rsidP="004E77FA">
      <w:pPr>
        <w:tabs>
          <w:tab w:val="left" w:pos="709"/>
        </w:tabs>
        <w:spacing w:after="240" w:line="276" w:lineRule="auto"/>
        <w:ind w:firstLine="709"/>
        <w:jc w:val="both"/>
        <w:rPr>
          <w:rFonts w:ascii="Geomanist Light" w:eastAsia="Calibri" w:hAnsi="Geomanist Light" w:cs="Arial"/>
          <w:bCs/>
          <w:color w:val="000000" w:themeColor="text1"/>
          <w:sz w:val="22"/>
          <w:szCs w:val="22"/>
        </w:rPr>
      </w:pPr>
      <w:r w:rsidRPr="00CC306F">
        <w:rPr>
          <w:rFonts w:ascii="Geomanist Light" w:eastAsia="Calibri" w:hAnsi="Geomanist Light" w:cs="Arial"/>
          <w:bCs/>
          <w:color w:val="000000" w:themeColor="text1"/>
          <w:sz w:val="22"/>
          <w:szCs w:val="22"/>
        </w:rPr>
        <w:t xml:space="preserve">Dentro del referido capítulo se encuentran </w:t>
      </w:r>
      <w:bookmarkStart w:id="16" w:name="_Hlk63848566"/>
      <w:r w:rsidRPr="00CC306F">
        <w:rPr>
          <w:rFonts w:ascii="Geomanist Light" w:eastAsia="Calibri" w:hAnsi="Geomanist Light" w:cs="Arial"/>
          <w:bCs/>
          <w:color w:val="000000" w:themeColor="text1"/>
          <w:sz w:val="22"/>
          <w:szCs w:val="22"/>
        </w:rPr>
        <w:t>los artículos 31 y 32 de la Ley 2069 de 2020</w:t>
      </w:r>
      <w:bookmarkEnd w:id="16"/>
      <w:r w:rsidRPr="00CC306F">
        <w:rPr>
          <w:rFonts w:ascii="Geomanist Light" w:eastAsia="Calibri" w:hAnsi="Geomanist Light" w:cs="Arial"/>
          <w:bCs/>
          <w:color w:val="000000" w:themeColor="text1"/>
          <w:sz w:val="22"/>
          <w:szCs w:val="22"/>
        </w:rPr>
        <w:t xml:space="preserve">, los cuales crean una serie de incentivos para las personas interesadas en celebrar contratos con el Estado. </w:t>
      </w:r>
      <w:r w:rsidRPr="00CC306F">
        <w:rPr>
          <w:rFonts w:ascii="Geomanist Light" w:eastAsia="Calibri" w:hAnsi="Geomanist Light" w:cs="Arial"/>
          <w:bCs/>
          <w:color w:val="000000" w:themeColor="text1"/>
          <w:sz w:val="22"/>
          <w:szCs w:val="22"/>
          <w:lang w:val="es-ES_tradnl"/>
        </w:rPr>
        <w:t xml:space="preserve">Por un lado, el artículo 31 </w:t>
      </w:r>
      <w:r w:rsidRPr="00CC306F">
        <w:rPr>
          <w:rFonts w:ascii="Geomanist Light" w:eastAsia="Calibri" w:hAnsi="Geomanist Light" w:cs="Arial"/>
          <w:bCs/>
          <w:color w:val="000000" w:themeColor="text1"/>
          <w:sz w:val="22"/>
          <w:szCs w:val="22"/>
        </w:rPr>
        <w:t xml:space="preserve">introduce criterios diferenciales para el acceso de las </w:t>
      </w:r>
      <w:proofErr w:type="spellStart"/>
      <w:r w:rsidRPr="00CC306F">
        <w:rPr>
          <w:rFonts w:ascii="Geomanist Light" w:eastAsia="Calibri" w:hAnsi="Geomanist Light" w:cs="Arial"/>
          <w:bCs/>
          <w:color w:val="000000" w:themeColor="text1"/>
          <w:sz w:val="22"/>
          <w:szCs w:val="22"/>
        </w:rPr>
        <w:t>Mipymes</w:t>
      </w:r>
      <w:proofErr w:type="spellEnd"/>
      <w:r w:rsidRPr="00CC306F">
        <w:rPr>
          <w:rFonts w:ascii="Geomanist Light" w:eastAsia="Calibri" w:hAnsi="Geomanist Light" w:cs="Arial"/>
          <w:bCs/>
          <w:color w:val="000000" w:themeColor="text1"/>
          <w:sz w:val="22"/>
          <w:szCs w:val="22"/>
        </w:rPr>
        <w:t xml:space="preserve"> al sistema de compras y contratación pública, estableciendo que «Las Entidades Estatales de acuerdo con el análisis de Sector </w:t>
      </w:r>
      <w:bookmarkStart w:id="17" w:name="_Hlk63767562"/>
      <w:r w:rsidRPr="00CC306F">
        <w:rPr>
          <w:rFonts w:ascii="Geomanist Light" w:eastAsia="Calibri" w:hAnsi="Geomanist Light" w:cs="Arial"/>
          <w:bCs/>
          <w:color w:val="000000" w:themeColor="text1"/>
          <w:sz w:val="22"/>
          <w:szCs w:val="22"/>
        </w:rPr>
        <w:t xml:space="preserve">podrán incluir, en los Documentos del Proceso, </w:t>
      </w:r>
      <w:r w:rsidRPr="00CC306F">
        <w:rPr>
          <w:rFonts w:ascii="Geomanist Light" w:eastAsia="Calibri" w:hAnsi="Geomanist Light" w:cs="Arial"/>
          <w:bCs/>
          <w:color w:val="000000" w:themeColor="text1"/>
          <w:sz w:val="22"/>
          <w:szCs w:val="22"/>
        </w:rPr>
        <w:lastRenderedPageBreak/>
        <w:t>requisitos diferenciales y puntajes adicionales</w:t>
      </w:r>
      <w:bookmarkEnd w:id="17"/>
      <w:r w:rsidRPr="00CC306F">
        <w:rPr>
          <w:rFonts w:ascii="Geomanist Light" w:eastAsia="Calibri" w:hAnsi="Geomanist Light" w:cs="Arial"/>
          <w:bCs/>
          <w:color w:val="000000" w:themeColor="text1"/>
          <w:sz w:val="22"/>
          <w:szCs w:val="22"/>
        </w:rPr>
        <w:t xml:space="preserve">, en función del tamaño empresarial para la promoción del acceso de las MIPYMES al mercado de Compras Públicas».  </w:t>
      </w:r>
    </w:p>
    <w:p w14:paraId="5EC054B8" w14:textId="77777777" w:rsidR="0005632E" w:rsidRPr="00CC306F" w:rsidRDefault="0005632E" w:rsidP="004E77FA">
      <w:pPr>
        <w:tabs>
          <w:tab w:val="left" w:pos="709"/>
        </w:tabs>
        <w:spacing w:after="240" w:line="276" w:lineRule="auto"/>
        <w:ind w:firstLine="709"/>
        <w:jc w:val="both"/>
        <w:rPr>
          <w:rFonts w:ascii="Geomanist Light" w:eastAsia="Calibri" w:hAnsi="Geomanist Light" w:cs="Arial"/>
          <w:bCs/>
          <w:color w:val="000000" w:themeColor="text1"/>
          <w:sz w:val="22"/>
          <w:szCs w:val="22"/>
        </w:rPr>
      </w:pPr>
      <w:r w:rsidRPr="00CC306F">
        <w:rPr>
          <w:rFonts w:ascii="Geomanist Light" w:eastAsia="Calibri" w:hAnsi="Geomanist Light" w:cs="Arial"/>
          <w:bCs/>
          <w:color w:val="000000" w:themeColor="text1"/>
          <w:sz w:val="22"/>
          <w:szCs w:val="22"/>
        </w:rPr>
        <w:t xml:space="preserve">Además, el inciso segundo y el parágrafo del </w:t>
      </w:r>
      <w:r w:rsidRPr="00CC306F">
        <w:rPr>
          <w:rFonts w:ascii="Geomanist Light" w:eastAsia="Calibri" w:hAnsi="Geomanist Light" w:cs="Arial"/>
          <w:bCs/>
          <w:color w:val="000000" w:themeColor="text1"/>
          <w:sz w:val="22"/>
          <w:szCs w:val="22"/>
          <w:lang w:val="es-ES_tradnl"/>
        </w:rPr>
        <w:t xml:space="preserve">artículo 31 </w:t>
      </w:r>
      <w:r w:rsidRPr="00CC306F">
        <w:rPr>
          <w:rFonts w:ascii="Geomanist Light" w:eastAsia="Calibri" w:hAnsi="Geomanist Light" w:cs="Arial"/>
          <w:bCs/>
          <w:color w:val="000000" w:themeColor="text1"/>
          <w:sz w:val="22"/>
          <w:szCs w:val="22"/>
        </w:rPr>
        <w:t>de la Ley 2069 de 2020 disponen, respectivamente, que: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comerciales adquiridos con otros Estados». Es decir, esta norma requiere el desarrollo reglamentario como una condición previa para su aplicación.</w:t>
      </w:r>
    </w:p>
    <w:p w14:paraId="137EFF5F" w14:textId="77777777" w:rsidR="0005632E" w:rsidRPr="00CC306F" w:rsidRDefault="0005632E" w:rsidP="004E77FA">
      <w:pPr>
        <w:tabs>
          <w:tab w:val="left" w:pos="709"/>
        </w:tabs>
        <w:spacing w:after="240" w:line="276" w:lineRule="auto"/>
        <w:ind w:firstLine="709"/>
        <w:jc w:val="both"/>
        <w:rPr>
          <w:rFonts w:ascii="Geomanist Light" w:eastAsia="Calibri" w:hAnsi="Geomanist Light" w:cs="Arial"/>
          <w:bCs/>
          <w:color w:val="000000" w:themeColor="text1"/>
          <w:sz w:val="22"/>
        </w:rPr>
      </w:pPr>
      <w:r w:rsidRPr="00CC306F">
        <w:rPr>
          <w:rFonts w:ascii="Geomanist Light" w:eastAsia="Calibri" w:hAnsi="Geomanist Light" w:cs="Arial"/>
          <w:bCs/>
          <w:color w:val="000000" w:themeColor="text1"/>
          <w:sz w:val="22"/>
        </w:rPr>
        <w:t>Por otra parte, el artículo 32 de la Ley 2069 de 2020</w:t>
      </w:r>
      <w:r w:rsidRPr="00CC306F">
        <w:rPr>
          <w:rStyle w:val="Refdenotaalpie"/>
          <w:rFonts w:ascii="Geomanist Light" w:eastAsia="Calibri" w:hAnsi="Geomanist Light" w:cs="Arial"/>
          <w:bCs/>
          <w:color w:val="000000" w:themeColor="text1"/>
          <w:sz w:val="22"/>
        </w:rPr>
        <w:footnoteReference w:id="19"/>
      </w:r>
      <w:r w:rsidRPr="00CC306F">
        <w:rPr>
          <w:rFonts w:ascii="Geomanist Light" w:eastAsia="Calibri" w:hAnsi="Geomanist Light" w:cs="Arial"/>
          <w:bCs/>
          <w:color w:val="000000" w:themeColor="text1"/>
          <w:sz w:val="22"/>
        </w:rPr>
        <w:t xml:space="preserve"> regula criterios diferenciales para los «emprendimientos y empresas de mujeres» en el sistema de compras y contratación pública. En relación con este aspecto, el inciso primero de la norma citada prescribe: </w:t>
      </w:r>
    </w:p>
    <w:p w14:paraId="0A17A1E7" w14:textId="77777777" w:rsidR="0005632E" w:rsidRPr="00CC306F" w:rsidRDefault="0005632E" w:rsidP="004E77FA">
      <w:pPr>
        <w:tabs>
          <w:tab w:val="left" w:pos="709"/>
        </w:tabs>
        <w:spacing w:after="240"/>
        <w:ind w:left="709" w:right="709"/>
        <w:contextualSpacing/>
        <w:jc w:val="both"/>
        <w:rPr>
          <w:rFonts w:ascii="Geomanist Light" w:eastAsia="Calibri" w:hAnsi="Geomanist Light" w:cs="Arial"/>
          <w:bCs/>
          <w:color w:val="000000" w:themeColor="text1"/>
          <w:sz w:val="21"/>
          <w:szCs w:val="21"/>
        </w:rPr>
      </w:pPr>
      <w:r w:rsidRPr="00CC306F">
        <w:rPr>
          <w:rFonts w:ascii="Geomanist Light" w:eastAsia="Calibri" w:hAnsi="Geomanist Light" w:cs="Arial"/>
          <w:bCs/>
          <w:color w:val="000000" w:themeColor="text1"/>
          <w:sz w:val="21"/>
          <w:szCs w:val="21"/>
        </w:rPr>
        <w:t xml:space="preserve">«De acuerdo con el resultado del análisis del sector, las entidades estatales incluirán requisitos diferenciales y puntajes adicionales en los procesos de </w:t>
      </w:r>
      <w:bookmarkStart w:id="18" w:name="_Hlk63770487"/>
      <w:r w:rsidRPr="00CC306F">
        <w:rPr>
          <w:rFonts w:ascii="Geomanist Light" w:eastAsia="Calibri" w:hAnsi="Geomanist Light" w:cs="Arial"/>
          <w:bCs/>
          <w:color w:val="000000" w:themeColor="text1"/>
          <w:sz w:val="21"/>
          <w:szCs w:val="21"/>
        </w:rPr>
        <w:t>licitación pública, selección abreviada de menor cuantía y concurso de méritos</w:t>
      </w:r>
      <w:bookmarkEnd w:id="18"/>
      <w:r w:rsidRPr="00CC306F">
        <w:rPr>
          <w:rFonts w:ascii="Geomanist Light" w:eastAsia="Calibri" w:hAnsi="Geomanist Light" w:cs="Arial"/>
          <w:bCs/>
          <w:color w:val="000000" w:themeColor="text1"/>
          <w:sz w:val="21"/>
          <w:szCs w:val="21"/>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p>
    <w:p w14:paraId="47AACBD9" w14:textId="77777777" w:rsidR="0005632E" w:rsidRPr="00CC306F" w:rsidRDefault="0005632E" w:rsidP="004E77FA">
      <w:pPr>
        <w:tabs>
          <w:tab w:val="left" w:pos="709"/>
        </w:tabs>
        <w:spacing w:after="240" w:line="276" w:lineRule="auto"/>
        <w:ind w:left="709" w:right="709"/>
        <w:contextualSpacing/>
        <w:jc w:val="both"/>
        <w:rPr>
          <w:rFonts w:ascii="Geomanist Light" w:eastAsia="Calibri" w:hAnsi="Geomanist Light" w:cs="Arial"/>
          <w:bCs/>
          <w:color w:val="000000" w:themeColor="text1"/>
          <w:sz w:val="22"/>
        </w:rPr>
      </w:pPr>
    </w:p>
    <w:p w14:paraId="7E5B0EC2" w14:textId="77777777" w:rsidR="0005632E" w:rsidRPr="00CC306F" w:rsidRDefault="0005632E" w:rsidP="004E77FA">
      <w:pPr>
        <w:tabs>
          <w:tab w:val="left" w:pos="709"/>
        </w:tabs>
        <w:spacing w:after="240" w:line="276" w:lineRule="auto"/>
        <w:ind w:firstLine="709"/>
        <w:jc w:val="both"/>
        <w:rPr>
          <w:rFonts w:ascii="Geomanist Light" w:eastAsia="Calibri" w:hAnsi="Geomanist Light" w:cs="Arial"/>
          <w:bCs/>
          <w:color w:val="000000" w:themeColor="text1"/>
          <w:sz w:val="22"/>
        </w:rPr>
      </w:pPr>
      <w:r w:rsidRPr="00CC306F">
        <w:rPr>
          <w:rFonts w:ascii="Geomanist Light" w:eastAsia="Calibri" w:hAnsi="Geomanist Light" w:cs="Arial"/>
          <w:bCs/>
          <w:color w:val="000000" w:themeColor="text1"/>
          <w:sz w:val="22"/>
        </w:rPr>
        <w:t xml:space="preserve">De esta manera, los denominados «criterios diferenciales» del artículo 32 </w:t>
      </w:r>
      <w:r w:rsidRPr="00CC306F">
        <w:rPr>
          <w:rFonts w:ascii="Geomanist Light" w:eastAsia="Calibri" w:hAnsi="Geomanist Light" w:cs="Arial"/>
          <w:bCs/>
          <w:i/>
          <w:iCs/>
          <w:color w:val="000000" w:themeColor="text1"/>
          <w:sz w:val="22"/>
        </w:rPr>
        <w:t>ibidem</w:t>
      </w:r>
      <w:r w:rsidRPr="00CC306F">
        <w:rPr>
          <w:rFonts w:ascii="Geomanist Light" w:eastAsia="Calibri" w:hAnsi="Geomanist Light" w:cs="Arial"/>
          <w:bCs/>
          <w:color w:val="000000" w:themeColor="text1"/>
          <w:sz w:val="22"/>
        </w:rPr>
        <w:t xml:space="preserve"> –que incluyen tanto los «requisitos diferenciales» como los «puntajes adicionales»– aplican a «[…] los procesos de licitación pública, selección abreviada de menor cuantía y concurso de méritos […]», excluyendo las demás modalidades de selección del artículo 2 de la Ley 1150 de 2007. Así mismo, sin distinciones ulteriores, la norma en comento también se extiende a todos los procedimientos que realicen las entidades estatales excluidas de la Ley 80 de 1993.     </w:t>
      </w:r>
    </w:p>
    <w:p w14:paraId="06521AE5" w14:textId="77777777" w:rsidR="0005632E" w:rsidRPr="00CC306F" w:rsidRDefault="0005632E" w:rsidP="004E77FA">
      <w:pPr>
        <w:spacing w:after="240" w:line="276" w:lineRule="auto"/>
        <w:ind w:firstLine="709"/>
        <w:jc w:val="both"/>
        <w:rPr>
          <w:rFonts w:ascii="Geomanist Light" w:eastAsia="Calibri" w:hAnsi="Geomanist Light" w:cs="Arial"/>
          <w:color w:val="000000" w:themeColor="text1"/>
          <w:sz w:val="22"/>
          <w:szCs w:val="22"/>
          <w:lang w:val="es-ES_tradnl"/>
        </w:rPr>
      </w:pPr>
      <w:r w:rsidRPr="00CC306F">
        <w:rPr>
          <w:rFonts w:ascii="Geomanist Light" w:eastAsia="Calibri" w:hAnsi="Geomanist Light" w:cs="Arial"/>
          <w:bCs/>
          <w:color w:val="000000" w:themeColor="text1"/>
          <w:sz w:val="22"/>
        </w:rPr>
        <w:t xml:space="preserve">No obstante, el artículo 32 de la Ley 2069 de 2020 –al igual que el artículo 31– alude a la necesidad del desarrollo normativo posterior. Al respecto, el parágrafo dispone que «La definición de emprendimientos y empresas de mujeres se reglamentará por el gobierno nacional». En ese sentido, la aplicación de criterios diferenciales en favor de mujeres y </w:t>
      </w:r>
      <w:r w:rsidRPr="00CC306F">
        <w:rPr>
          <w:rFonts w:ascii="Geomanist Light" w:eastAsia="Calibri" w:hAnsi="Geomanist Light" w:cs="Arial"/>
          <w:bCs/>
          <w:color w:val="000000" w:themeColor="text1"/>
          <w:sz w:val="22"/>
        </w:rPr>
        <w:lastRenderedPageBreak/>
        <w:t xml:space="preserve">emprendimientos de mujeres está condicionada por el ejercicio de la potestad reglamentaria, en orden de establecer la regulación en marco de la cual las entidades estatales deben aplicar los criterios diferenciales establecidos en el artículo 32 de la Ley 2069 de 2020. </w:t>
      </w:r>
    </w:p>
    <w:p w14:paraId="16DE84C2" w14:textId="77777777" w:rsidR="0005632E" w:rsidRPr="00CC306F" w:rsidRDefault="0005632E" w:rsidP="004E77FA">
      <w:pPr>
        <w:spacing w:after="240" w:line="276" w:lineRule="auto"/>
        <w:ind w:firstLine="709"/>
        <w:jc w:val="both"/>
        <w:rPr>
          <w:rFonts w:ascii="Geomanist Light" w:eastAsia="Calibri" w:hAnsi="Geomanist Light" w:cs="Arial"/>
          <w:color w:val="000000" w:themeColor="text1"/>
          <w:sz w:val="22"/>
          <w:szCs w:val="22"/>
          <w:lang w:val="es-ES_tradnl"/>
        </w:rPr>
      </w:pPr>
      <w:r w:rsidRPr="00CC306F">
        <w:rPr>
          <w:rFonts w:ascii="Geomanist Light" w:eastAsia="Calibri" w:hAnsi="Geomanist Light" w:cs="Arial"/>
          <w:color w:val="000000" w:themeColor="text1"/>
          <w:sz w:val="22"/>
          <w:szCs w:val="22"/>
          <w:lang w:val="es-ES_tradnl"/>
        </w:rPr>
        <w:t>En este contexto, el pasado 24 de diciembre, el gobierno nacional expidió el Decreto 1860 de 2021</w:t>
      </w:r>
      <w:r w:rsidRPr="00CC306F">
        <w:rPr>
          <w:rFonts w:ascii="Geomanist Light" w:hAnsi="Geomanist Light" w:cs="Arial"/>
          <w:color w:val="000000" w:themeColor="text1"/>
        </w:rPr>
        <w:t xml:space="preserve"> </w:t>
      </w:r>
      <w:r w:rsidRPr="00CC306F">
        <w:rPr>
          <w:rFonts w:ascii="Geomanist Light" w:eastAsia="Calibri" w:hAnsi="Geomanist Light" w:cs="Arial"/>
          <w:color w:val="000000" w:themeColor="text1"/>
          <w:sz w:val="22"/>
          <w:szCs w:val="22"/>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 de la Ley 2069 de 2020 –con excepción de los artículos 33 y 36–, realizando las adecuaciones requeridas para aplicar estas disposiciones, tal como indica el artículo 1 del Decreto 1860 de 2021</w:t>
      </w:r>
      <w:r w:rsidRPr="00CC306F">
        <w:rPr>
          <w:rStyle w:val="Refdenotaalpie"/>
          <w:rFonts w:ascii="Geomanist Light" w:eastAsia="Calibri" w:hAnsi="Geomanist Light" w:cs="Arial"/>
          <w:color w:val="000000" w:themeColor="text1"/>
          <w:sz w:val="22"/>
          <w:szCs w:val="22"/>
          <w:lang w:val="es-ES_tradnl"/>
        </w:rPr>
        <w:footnoteReference w:id="20"/>
      </w:r>
      <w:r w:rsidRPr="00CC306F">
        <w:rPr>
          <w:rFonts w:ascii="Geomanist Light" w:eastAsia="Calibri" w:hAnsi="Geomanist Light" w:cs="Arial"/>
          <w:color w:val="000000" w:themeColor="text1"/>
          <w:sz w:val="22"/>
          <w:szCs w:val="22"/>
          <w:lang w:val="es-ES_tradnl"/>
        </w:rPr>
        <w:t xml:space="preserve">.  </w:t>
      </w:r>
    </w:p>
    <w:p w14:paraId="7197B77A" w14:textId="77777777" w:rsidR="0005632E" w:rsidRPr="00CC306F" w:rsidRDefault="0005632E" w:rsidP="004E77FA">
      <w:pPr>
        <w:spacing w:after="240" w:line="276" w:lineRule="auto"/>
        <w:ind w:firstLine="709"/>
        <w:jc w:val="both"/>
        <w:rPr>
          <w:rFonts w:ascii="Geomanist Light" w:hAnsi="Geomanist Light" w:cs="Arial"/>
          <w:color w:val="000000" w:themeColor="text1"/>
          <w:sz w:val="22"/>
          <w:szCs w:val="22"/>
          <w:lang w:eastAsia="es-CO"/>
        </w:rPr>
      </w:pPr>
      <w:r w:rsidRPr="00CC306F">
        <w:rPr>
          <w:rFonts w:ascii="Geomanist Light" w:eastAsia="Calibri" w:hAnsi="Geomanist Light" w:cs="Arial"/>
          <w:color w:val="000000" w:themeColor="text1"/>
          <w:sz w:val="22"/>
          <w:szCs w:val="22"/>
          <w:lang w:val="es-ES_tradnl"/>
        </w:rPr>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w:t>
      </w:r>
    </w:p>
    <w:p w14:paraId="6466BB94" w14:textId="77777777" w:rsidR="0005632E" w:rsidRPr="00CC306F" w:rsidRDefault="0005632E" w:rsidP="004E77FA">
      <w:pPr>
        <w:spacing w:after="240" w:line="276" w:lineRule="auto"/>
        <w:ind w:firstLine="709"/>
        <w:jc w:val="both"/>
        <w:rPr>
          <w:rFonts w:ascii="Geomanist Light" w:hAnsi="Geomanist Light" w:cs="Arial"/>
          <w:color w:val="000000" w:themeColor="text1"/>
          <w:sz w:val="22"/>
          <w:szCs w:val="22"/>
          <w:lang w:eastAsia="es-CO"/>
        </w:rPr>
      </w:pPr>
      <w:r w:rsidRPr="00CC306F">
        <w:rPr>
          <w:rFonts w:ascii="Geomanist Light" w:hAnsi="Geomanist Light" w:cs="Arial"/>
          <w:color w:val="000000" w:themeColor="text1"/>
          <w:sz w:val="22"/>
          <w:szCs w:val="22"/>
          <w:lang w:eastAsia="es-CO"/>
        </w:rPr>
        <w:t xml:space="preserve">Debe precisarse que la vigencia del Decreto 1860 de 2021 está regida por lo establecido en su artículo 8, el cual prescribe que: «Las disposiciones contenidas en el presente Decreto se aplicarán a los procedimientos de selección cuya invitación, aviso de convocatoria o documento equivalente se publique a los tres (3) meses contados a partir de su expedición». De acuerdo con esto, habiéndose expedido el referido decreto el 24 de diciembre de 2021, la aplicación de su contenido comenzó una vez transcurridos tres (3) meses contados a partir de entonces, en los procesos cuyos avisos de convocatorias, invitaciones o documentos equivalentes </w:t>
      </w:r>
      <w:r w:rsidRPr="00CC306F">
        <w:rPr>
          <w:rFonts w:ascii="Geomanist Light" w:eastAsia="Arial" w:hAnsi="Geomanist Light" w:cs="Arial"/>
          <w:sz w:val="22"/>
          <w:szCs w:val="22"/>
          <w:lang w:val="es-ES" w:eastAsia="es-CO"/>
        </w:rPr>
        <w:t>–según corresponda–</w:t>
      </w:r>
      <w:r w:rsidRPr="00CC306F">
        <w:rPr>
          <w:rFonts w:ascii="Geomanist Light" w:hAnsi="Geomanist Light" w:cs="Arial"/>
          <w:color w:val="000000" w:themeColor="text1"/>
          <w:sz w:val="22"/>
          <w:szCs w:val="22"/>
          <w:lang w:eastAsia="es-CO"/>
        </w:rPr>
        <w:t xml:space="preserve"> sean publicados con posterioridad a dicho momento, es decir, a partir del 24 de marzo de 2022, por lo que actualmente esta es la regulación vigente</w:t>
      </w:r>
      <w:r w:rsidRPr="00CC306F">
        <w:rPr>
          <w:rStyle w:val="Refdenotaalpie"/>
          <w:rFonts w:ascii="Geomanist Light" w:hAnsi="Geomanist Light" w:cs="Arial"/>
          <w:color w:val="000000" w:themeColor="text1"/>
          <w:sz w:val="22"/>
          <w:szCs w:val="22"/>
          <w:lang w:eastAsia="es-CO"/>
        </w:rPr>
        <w:footnoteReference w:id="21"/>
      </w:r>
      <w:r w:rsidRPr="00CC306F">
        <w:rPr>
          <w:rFonts w:ascii="Geomanist Light" w:hAnsi="Geomanist Light" w:cs="Arial"/>
          <w:color w:val="000000" w:themeColor="text1"/>
          <w:sz w:val="22"/>
          <w:szCs w:val="22"/>
          <w:lang w:eastAsia="es-CO"/>
        </w:rPr>
        <w:t xml:space="preserve">. </w:t>
      </w:r>
    </w:p>
    <w:p w14:paraId="54370B22" w14:textId="77777777" w:rsidR="0005632E" w:rsidRPr="00CC306F" w:rsidRDefault="0005632E" w:rsidP="004E77FA">
      <w:pPr>
        <w:spacing w:after="240" w:line="276" w:lineRule="auto"/>
        <w:ind w:firstLine="709"/>
        <w:contextualSpacing/>
        <w:jc w:val="both"/>
        <w:rPr>
          <w:rFonts w:ascii="Geomanist Light" w:hAnsi="Geomanist Light" w:cs="Arial"/>
          <w:color w:val="000000" w:themeColor="text1"/>
          <w:sz w:val="22"/>
          <w:szCs w:val="22"/>
          <w:lang w:eastAsia="es-CO"/>
        </w:rPr>
      </w:pPr>
    </w:p>
    <w:p w14:paraId="5EB3068B" w14:textId="037864C5" w:rsidR="0005632E" w:rsidRPr="00CC306F" w:rsidRDefault="0005632E" w:rsidP="004E77FA">
      <w:pPr>
        <w:spacing w:after="240" w:line="276" w:lineRule="auto"/>
        <w:contextualSpacing/>
        <w:jc w:val="both"/>
        <w:rPr>
          <w:rFonts w:ascii="Geomanist Light" w:eastAsia="Calibri" w:hAnsi="Geomanist Light" w:cs="Arial"/>
          <w:b/>
          <w:bCs/>
          <w:color w:val="000000" w:themeColor="text1"/>
          <w:sz w:val="22"/>
          <w:szCs w:val="22"/>
          <w:lang w:val="es-ES_tradnl"/>
        </w:rPr>
      </w:pPr>
      <w:r w:rsidRPr="00CC306F">
        <w:rPr>
          <w:rFonts w:ascii="Geomanist Light" w:eastAsia="Calibri" w:hAnsi="Geomanist Light" w:cs="Arial"/>
          <w:b/>
          <w:bCs/>
          <w:color w:val="000000" w:themeColor="text1"/>
          <w:sz w:val="22"/>
          <w:szCs w:val="22"/>
          <w:lang w:val="es-ES_tradnl"/>
        </w:rPr>
        <w:lastRenderedPageBreak/>
        <w:t>2.</w:t>
      </w:r>
      <w:r w:rsidR="002F3E7B" w:rsidRPr="00CC306F">
        <w:rPr>
          <w:rFonts w:ascii="Geomanist Light" w:eastAsia="Calibri" w:hAnsi="Geomanist Light" w:cs="Arial"/>
          <w:b/>
          <w:bCs/>
          <w:color w:val="000000" w:themeColor="text1"/>
          <w:sz w:val="22"/>
          <w:szCs w:val="22"/>
          <w:lang w:val="es-ES_tradnl"/>
        </w:rPr>
        <w:t>4</w:t>
      </w:r>
      <w:r w:rsidRPr="00CC306F">
        <w:rPr>
          <w:rFonts w:ascii="Geomanist Light" w:eastAsia="Calibri" w:hAnsi="Geomanist Light" w:cs="Arial"/>
          <w:b/>
          <w:bCs/>
          <w:color w:val="000000" w:themeColor="text1"/>
          <w:sz w:val="22"/>
          <w:szCs w:val="22"/>
          <w:lang w:val="es-ES_tradnl"/>
        </w:rPr>
        <w:t xml:space="preserve">. Definición de emprendimientos y empresas de mujeres en el Decreto 1860 de 2021. Acreditación de criterios establecidos en el artículo </w:t>
      </w:r>
      <w:r w:rsidRPr="00CC306F">
        <w:rPr>
          <w:rFonts w:ascii="Geomanist Light" w:eastAsia="Calibri" w:hAnsi="Geomanist Light" w:cs="Arial"/>
          <w:b/>
          <w:bCs/>
          <w:color w:val="000000" w:themeColor="text1"/>
          <w:sz w:val="22"/>
          <w:szCs w:val="22"/>
        </w:rPr>
        <w:t xml:space="preserve">2.2.1.2.4.2.14 del Decreto 1082 de 2015 </w:t>
      </w:r>
    </w:p>
    <w:p w14:paraId="150EF19E" w14:textId="77777777" w:rsidR="0005632E" w:rsidRPr="00CC306F" w:rsidRDefault="0005632E" w:rsidP="004E77FA">
      <w:pPr>
        <w:spacing w:after="240" w:line="276" w:lineRule="auto"/>
        <w:contextualSpacing/>
        <w:jc w:val="both"/>
        <w:rPr>
          <w:rFonts w:ascii="Geomanist Light" w:eastAsia="Calibri" w:hAnsi="Geomanist Light" w:cs="Arial"/>
          <w:b/>
          <w:bCs/>
          <w:color w:val="000000" w:themeColor="text1"/>
          <w:sz w:val="22"/>
          <w:szCs w:val="22"/>
          <w:lang w:val="es-ES_tradnl"/>
        </w:rPr>
      </w:pPr>
    </w:p>
    <w:p w14:paraId="7957FC2F" w14:textId="77777777" w:rsidR="0005632E" w:rsidRPr="00CC306F" w:rsidRDefault="0005632E" w:rsidP="004E77FA">
      <w:pPr>
        <w:spacing w:after="240" w:line="276" w:lineRule="auto"/>
        <w:jc w:val="both"/>
        <w:rPr>
          <w:rFonts w:ascii="Geomanist Light" w:eastAsia="Calibri" w:hAnsi="Geomanist Light" w:cs="Arial"/>
          <w:color w:val="000000" w:themeColor="text1"/>
          <w:sz w:val="22"/>
          <w:szCs w:val="22"/>
          <w:lang w:val="es-ES_tradnl"/>
        </w:rPr>
      </w:pPr>
      <w:r w:rsidRPr="00CC306F">
        <w:rPr>
          <w:rFonts w:ascii="Geomanist Light" w:eastAsia="Calibri" w:hAnsi="Geomanist Light" w:cs="Arial"/>
          <w:color w:val="000000" w:themeColor="text1"/>
          <w:sz w:val="22"/>
          <w:szCs w:val="22"/>
          <w:lang w:val="es-ES_tradnl"/>
        </w:rPr>
        <w:t xml:space="preserve">Conforme se viene explicando, el artículo 32 de la Ley 2069 de 2021 establece el deber de las entidades estatales de incluir </w:t>
      </w:r>
      <w:r w:rsidRPr="00CC306F">
        <w:rPr>
          <w:rStyle w:val="normaltextrun"/>
          <w:rFonts w:ascii="Geomanist Light" w:hAnsi="Geomanist Light" w:cs="Arial"/>
          <w:color w:val="000000" w:themeColor="text1"/>
          <w:sz w:val="22"/>
          <w:szCs w:val="22"/>
          <w:shd w:val="clear" w:color="auto" w:fill="FFFFFF"/>
          <w:lang w:val="es-ES"/>
        </w:rPr>
        <w:t>en los procesos de licitación pública, selección abreviada de menor cuantía y concurso de méritos, así como en los procesos competitivos que adelanten las entidades estatales exceptuadas de aplicar el Estatuto General de Contratación de la Administración Pública, requisitos habilitantes diferenciales y puntajes adicionales en favor de los emprendimientos y empresas de mujeres. Esto, a título de medidas de acción afirmativa para incentivar la participación de emprendimientos y empresas de mujeres en el sistema de compras públicas y contratación estatal, sin perjuicio de los compromisos adquiridos por Colombia en los acuerdos comerciales en vigor.</w:t>
      </w:r>
    </w:p>
    <w:p w14:paraId="2725B2F1" w14:textId="317D80EC" w:rsidR="0005632E" w:rsidRPr="003D4FAA" w:rsidRDefault="0005632E" w:rsidP="003D4FAA">
      <w:pPr>
        <w:spacing w:after="240" w:line="276" w:lineRule="auto"/>
        <w:ind w:firstLine="709"/>
        <w:jc w:val="both"/>
        <w:rPr>
          <w:rFonts w:ascii="Geomanist Light" w:eastAsia="Calibri" w:hAnsi="Geomanist Light" w:cs="Arial"/>
          <w:color w:val="000000" w:themeColor="text1"/>
          <w:sz w:val="22"/>
          <w:szCs w:val="22"/>
          <w:lang w:val="es-ES"/>
        </w:rPr>
      </w:pPr>
      <w:r w:rsidRPr="00CC306F">
        <w:rPr>
          <w:rFonts w:ascii="Geomanist Light" w:eastAsia="Calibri" w:hAnsi="Geomanist Light" w:cs="Arial"/>
          <w:color w:val="000000" w:themeColor="text1"/>
          <w:sz w:val="22"/>
          <w:szCs w:val="22"/>
          <w:lang w:val="es-ES"/>
        </w:rPr>
        <w:t xml:space="preserve">En desarrollo de lo dispuesto en el parágrafo del artículo 32 de la Ley 2069 de 2020, el Decreto 1860 de 2021 adicionó el artículo 2.2.1.2.4.2.14 al Decreto 1082 de 2015. Esta norma establece las condiciones y requisitos en atención a los cuales se definen los emprendimientos y empresas de mujeres, a las que les aplican los criterios diferenciales. Para estos efectos, cada uno de los cuatro numerales de la norma establecen unas condiciones alternativas que definen los emprendimientos y empresas de mujeres, a efectos de aplicar los criterios diferenciales. A tenor literal el citado artículo indica:   </w:t>
      </w:r>
    </w:p>
    <w:p w14:paraId="1E19BBF2" w14:textId="1FBEF2CB" w:rsidR="0005632E" w:rsidRPr="00CC306F" w:rsidRDefault="0005632E" w:rsidP="003D4FAA">
      <w:pPr>
        <w:shd w:val="clear" w:color="auto" w:fill="FFFFFF"/>
        <w:spacing w:after="240"/>
        <w:ind w:left="709" w:right="709"/>
        <w:jc w:val="both"/>
        <w:textAlignment w:val="baseline"/>
        <w:rPr>
          <w:rFonts w:ascii="Geomanist Light" w:hAnsi="Geomanist Light" w:cs="Arial"/>
          <w:color w:val="000000" w:themeColor="text1"/>
          <w:sz w:val="21"/>
          <w:szCs w:val="21"/>
          <w:lang w:eastAsia="es-CO"/>
        </w:rPr>
      </w:pPr>
      <w:r w:rsidRPr="00CC306F">
        <w:rPr>
          <w:rFonts w:ascii="Geomanist Light" w:hAnsi="Geomanist Light" w:cs="Arial"/>
          <w:color w:val="000000" w:themeColor="text1"/>
          <w:sz w:val="21"/>
          <w:szCs w:val="21"/>
          <w:lang w:eastAsia="es-CO"/>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14:paraId="5C4BE8C9" w14:textId="77777777" w:rsidR="0005632E" w:rsidRPr="00CC306F" w:rsidRDefault="0005632E" w:rsidP="004E77FA">
      <w:pPr>
        <w:shd w:val="clear" w:color="auto" w:fill="FFFFFF"/>
        <w:spacing w:after="240"/>
        <w:ind w:left="709" w:right="709"/>
        <w:contextualSpacing/>
        <w:jc w:val="both"/>
        <w:textAlignment w:val="baseline"/>
        <w:rPr>
          <w:rFonts w:ascii="Geomanist Light" w:hAnsi="Geomanist Light" w:cs="Arial"/>
          <w:color w:val="000000" w:themeColor="text1"/>
          <w:sz w:val="21"/>
          <w:szCs w:val="21"/>
          <w:lang w:eastAsia="es-CO"/>
        </w:rPr>
      </w:pPr>
      <w:r w:rsidRPr="00CC306F">
        <w:rPr>
          <w:rFonts w:ascii="Geomanist Light" w:hAnsi="Geomanist Light" w:cs="Arial"/>
          <w:color w:val="000000" w:themeColor="text1"/>
          <w:sz w:val="21"/>
          <w:szCs w:val="21"/>
          <w:lang w:eastAsia="es-CO"/>
        </w:rPr>
        <w:t>1.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672E57DC" w14:textId="77777777" w:rsidR="0005632E" w:rsidRPr="00CC306F" w:rsidRDefault="0005632E" w:rsidP="004E77FA">
      <w:pPr>
        <w:shd w:val="clear" w:color="auto" w:fill="FFFFFF"/>
        <w:spacing w:after="240"/>
        <w:ind w:left="709" w:right="709"/>
        <w:contextualSpacing/>
        <w:jc w:val="both"/>
        <w:textAlignment w:val="baseline"/>
        <w:rPr>
          <w:rFonts w:ascii="Geomanist Light" w:hAnsi="Geomanist Light" w:cs="Arial"/>
          <w:color w:val="000000" w:themeColor="text1"/>
          <w:sz w:val="21"/>
          <w:szCs w:val="21"/>
          <w:lang w:eastAsia="es-CO"/>
        </w:rPr>
      </w:pPr>
    </w:p>
    <w:p w14:paraId="77ED81E3" w14:textId="77777777" w:rsidR="0005632E" w:rsidRPr="00CC306F" w:rsidRDefault="0005632E" w:rsidP="004E77FA">
      <w:pPr>
        <w:shd w:val="clear" w:color="auto" w:fill="FFFFFF"/>
        <w:spacing w:after="240"/>
        <w:ind w:left="709" w:right="709"/>
        <w:contextualSpacing/>
        <w:jc w:val="both"/>
        <w:textAlignment w:val="baseline"/>
        <w:rPr>
          <w:rFonts w:ascii="Geomanist Light" w:hAnsi="Geomanist Light" w:cs="Arial"/>
          <w:color w:val="000000" w:themeColor="text1"/>
          <w:sz w:val="21"/>
          <w:szCs w:val="21"/>
          <w:lang w:eastAsia="es-CO"/>
        </w:rPr>
      </w:pPr>
      <w:r w:rsidRPr="00CC306F">
        <w:rPr>
          <w:rFonts w:ascii="Geomanist Light" w:hAnsi="Geomanist Light" w:cs="Arial"/>
          <w:color w:val="000000" w:themeColor="text1"/>
          <w:sz w:val="21"/>
          <w:szCs w:val="21"/>
          <w:lang w:eastAsia="es-CO"/>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6D9CE20A" w14:textId="77777777" w:rsidR="0005632E" w:rsidRPr="00CC306F" w:rsidRDefault="0005632E" w:rsidP="004E77FA">
      <w:pPr>
        <w:shd w:val="clear" w:color="auto" w:fill="FFFFFF"/>
        <w:spacing w:after="240"/>
        <w:ind w:left="709" w:right="709"/>
        <w:contextualSpacing/>
        <w:jc w:val="both"/>
        <w:textAlignment w:val="baseline"/>
        <w:rPr>
          <w:rFonts w:ascii="Geomanist Light" w:hAnsi="Geomanist Light" w:cs="Arial"/>
          <w:color w:val="000000" w:themeColor="text1"/>
          <w:sz w:val="21"/>
          <w:szCs w:val="21"/>
          <w:lang w:eastAsia="es-CO"/>
        </w:rPr>
      </w:pPr>
    </w:p>
    <w:p w14:paraId="36988E26" w14:textId="77777777" w:rsidR="0005632E" w:rsidRPr="00CC306F" w:rsidRDefault="0005632E" w:rsidP="004E77FA">
      <w:pPr>
        <w:shd w:val="clear" w:color="auto" w:fill="FFFFFF"/>
        <w:spacing w:after="240"/>
        <w:ind w:left="709" w:right="709"/>
        <w:contextualSpacing/>
        <w:jc w:val="both"/>
        <w:textAlignment w:val="baseline"/>
        <w:rPr>
          <w:rFonts w:ascii="Geomanist Light" w:hAnsi="Geomanist Light" w:cs="Arial"/>
          <w:color w:val="000000" w:themeColor="text1"/>
          <w:sz w:val="21"/>
          <w:szCs w:val="21"/>
          <w:lang w:eastAsia="es-CO"/>
        </w:rPr>
      </w:pPr>
      <w:r w:rsidRPr="00CC306F">
        <w:rPr>
          <w:rFonts w:ascii="Geomanist Light" w:hAnsi="Geomanist Light" w:cs="Arial"/>
          <w:color w:val="000000" w:themeColor="text1"/>
          <w:sz w:val="21"/>
          <w:szCs w:val="21"/>
          <w:lang w:eastAsia="es-CO"/>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15920CAB" w14:textId="77777777" w:rsidR="0005632E" w:rsidRPr="00CC306F" w:rsidRDefault="0005632E" w:rsidP="004E77FA">
      <w:pPr>
        <w:shd w:val="clear" w:color="auto" w:fill="FFFFFF"/>
        <w:spacing w:after="240"/>
        <w:ind w:left="709" w:right="709"/>
        <w:contextualSpacing/>
        <w:jc w:val="both"/>
        <w:textAlignment w:val="baseline"/>
        <w:rPr>
          <w:rFonts w:ascii="Geomanist Light" w:hAnsi="Geomanist Light" w:cs="Arial"/>
          <w:color w:val="000000" w:themeColor="text1"/>
          <w:sz w:val="21"/>
          <w:szCs w:val="21"/>
          <w:lang w:eastAsia="es-CO"/>
        </w:rPr>
      </w:pPr>
    </w:p>
    <w:p w14:paraId="1EFCACD4" w14:textId="77777777" w:rsidR="0005632E" w:rsidRPr="00CC306F" w:rsidRDefault="0005632E" w:rsidP="004E77FA">
      <w:pPr>
        <w:shd w:val="clear" w:color="auto" w:fill="FFFFFF"/>
        <w:spacing w:after="240"/>
        <w:ind w:left="709" w:right="709"/>
        <w:contextualSpacing/>
        <w:jc w:val="both"/>
        <w:textAlignment w:val="baseline"/>
        <w:rPr>
          <w:rFonts w:ascii="Geomanist Light" w:hAnsi="Geomanist Light" w:cs="Arial"/>
          <w:color w:val="000000" w:themeColor="text1"/>
          <w:sz w:val="21"/>
          <w:szCs w:val="21"/>
          <w:lang w:eastAsia="es-CO"/>
        </w:rPr>
      </w:pPr>
      <w:r w:rsidRPr="00CC306F">
        <w:rPr>
          <w:rFonts w:ascii="Geomanist Light" w:hAnsi="Geomanist Light" w:cs="Arial"/>
          <w:color w:val="000000" w:themeColor="text1"/>
          <w:sz w:val="21"/>
          <w:szCs w:val="21"/>
          <w:lang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5E7EF70A" w14:textId="77777777" w:rsidR="0005632E" w:rsidRPr="00CC306F" w:rsidRDefault="0005632E" w:rsidP="004E77FA">
      <w:pPr>
        <w:shd w:val="clear" w:color="auto" w:fill="FFFFFF"/>
        <w:spacing w:after="240"/>
        <w:ind w:left="709" w:right="709"/>
        <w:contextualSpacing/>
        <w:jc w:val="both"/>
        <w:textAlignment w:val="baseline"/>
        <w:rPr>
          <w:rFonts w:ascii="Geomanist Light" w:hAnsi="Geomanist Light" w:cs="Arial"/>
          <w:color w:val="000000" w:themeColor="text1"/>
          <w:sz w:val="21"/>
          <w:szCs w:val="21"/>
          <w:lang w:eastAsia="es-CO"/>
        </w:rPr>
      </w:pPr>
    </w:p>
    <w:p w14:paraId="47D8130C" w14:textId="77777777" w:rsidR="0005632E" w:rsidRPr="00CC306F" w:rsidRDefault="0005632E" w:rsidP="004E77FA">
      <w:pPr>
        <w:shd w:val="clear" w:color="auto" w:fill="FFFFFF"/>
        <w:spacing w:after="240"/>
        <w:ind w:left="709" w:right="709"/>
        <w:contextualSpacing/>
        <w:jc w:val="both"/>
        <w:textAlignment w:val="baseline"/>
        <w:rPr>
          <w:rFonts w:ascii="Geomanist Light" w:hAnsi="Geomanist Light" w:cs="Arial"/>
          <w:color w:val="000000" w:themeColor="text1"/>
          <w:sz w:val="21"/>
          <w:szCs w:val="21"/>
          <w:lang w:eastAsia="es-CO"/>
        </w:rPr>
      </w:pPr>
      <w:r w:rsidRPr="00CC306F">
        <w:rPr>
          <w:rFonts w:ascii="Geomanist Light" w:hAnsi="Geomanist Light" w:cs="Arial"/>
          <w:color w:val="000000" w:themeColor="text1"/>
          <w:sz w:val="21"/>
          <w:szCs w:val="21"/>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475F9A16" w14:textId="77777777" w:rsidR="0005632E" w:rsidRPr="00CC306F" w:rsidRDefault="0005632E" w:rsidP="004E77FA">
      <w:pPr>
        <w:shd w:val="clear" w:color="auto" w:fill="FFFFFF"/>
        <w:spacing w:after="240"/>
        <w:ind w:left="709" w:right="709"/>
        <w:contextualSpacing/>
        <w:jc w:val="both"/>
        <w:textAlignment w:val="baseline"/>
        <w:rPr>
          <w:rFonts w:ascii="Geomanist Light" w:hAnsi="Geomanist Light" w:cs="Arial"/>
          <w:color w:val="000000" w:themeColor="text1"/>
          <w:sz w:val="21"/>
          <w:szCs w:val="21"/>
          <w:lang w:eastAsia="es-CO"/>
        </w:rPr>
      </w:pPr>
    </w:p>
    <w:p w14:paraId="39A718F5" w14:textId="77777777" w:rsidR="0005632E" w:rsidRPr="00CC306F" w:rsidRDefault="0005632E" w:rsidP="004E77FA">
      <w:pPr>
        <w:shd w:val="clear" w:color="auto" w:fill="FFFFFF"/>
        <w:spacing w:after="240"/>
        <w:ind w:left="709" w:right="709"/>
        <w:contextualSpacing/>
        <w:jc w:val="both"/>
        <w:textAlignment w:val="baseline"/>
        <w:rPr>
          <w:rFonts w:ascii="Geomanist Light" w:hAnsi="Geomanist Light" w:cs="Arial"/>
          <w:color w:val="000000" w:themeColor="text1"/>
          <w:sz w:val="21"/>
          <w:szCs w:val="21"/>
          <w:lang w:eastAsia="es-CO"/>
        </w:rPr>
      </w:pPr>
      <w:r w:rsidRPr="00CC306F">
        <w:rPr>
          <w:rFonts w:ascii="Geomanist Light" w:hAnsi="Geomanist Light" w:cs="Arial"/>
          <w:color w:val="000000" w:themeColor="text1"/>
          <w:sz w:val="21"/>
          <w:szCs w:val="21"/>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5A75361C" w14:textId="77777777" w:rsidR="0005632E" w:rsidRPr="00CC306F" w:rsidRDefault="0005632E" w:rsidP="004E77FA">
      <w:pPr>
        <w:shd w:val="clear" w:color="auto" w:fill="FFFFFF"/>
        <w:spacing w:after="240"/>
        <w:ind w:left="709" w:right="709"/>
        <w:contextualSpacing/>
        <w:jc w:val="both"/>
        <w:textAlignment w:val="baseline"/>
        <w:rPr>
          <w:rFonts w:ascii="Geomanist Light" w:hAnsi="Geomanist Light" w:cs="Arial"/>
          <w:color w:val="000000" w:themeColor="text1"/>
          <w:sz w:val="21"/>
          <w:szCs w:val="21"/>
          <w:lang w:eastAsia="es-CO"/>
        </w:rPr>
      </w:pPr>
    </w:p>
    <w:p w14:paraId="5DA9B878" w14:textId="77777777" w:rsidR="0005632E" w:rsidRPr="00CC306F" w:rsidRDefault="0005632E" w:rsidP="004E77FA">
      <w:pPr>
        <w:shd w:val="clear" w:color="auto" w:fill="FFFFFF"/>
        <w:spacing w:after="240"/>
        <w:ind w:left="709" w:right="709"/>
        <w:contextualSpacing/>
        <w:jc w:val="both"/>
        <w:textAlignment w:val="baseline"/>
        <w:rPr>
          <w:rFonts w:ascii="Geomanist Light" w:hAnsi="Geomanist Light" w:cs="Arial"/>
          <w:color w:val="000000" w:themeColor="text1"/>
          <w:sz w:val="21"/>
          <w:szCs w:val="21"/>
          <w:lang w:eastAsia="es-CO"/>
        </w:rPr>
      </w:pPr>
      <w:r w:rsidRPr="00CC306F">
        <w:rPr>
          <w:rFonts w:ascii="Geomanist Light" w:hAnsi="Geomanist Light" w:cs="Arial"/>
          <w:color w:val="000000" w:themeColor="text1"/>
          <w:sz w:val="21"/>
          <w:szCs w:val="21"/>
          <w:lang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5316CDCD" w14:textId="77777777" w:rsidR="0005632E" w:rsidRPr="00CC306F" w:rsidRDefault="0005632E" w:rsidP="004E77FA">
      <w:pPr>
        <w:shd w:val="clear" w:color="auto" w:fill="FFFFFF"/>
        <w:spacing w:after="240"/>
        <w:ind w:left="709" w:right="709"/>
        <w:contextualSpacing/>
        <w:jc w:val="both"/>
        <w:textAlignment w:val="baseline"/>
        <w:rPr>
          <w:rFonts w:ascii="Geomanist Light" w:hAnsi="Geomanist Light" w:cs="Arial"/>
          <w:color w:val="000000" w:themeColor="text1"/>
          <w:sz w:val="21"/>
          <w:szCs w:val="21"/>
          <w:lang w:eastAsia="es-CO"/>
        </w:rPr>
      </w:pPr>
    </w:p>
    <w:p w14:paraId="78515CCA" w14:textId="3EAB8E65" w:rsidR="0005632E" w:rsidRPr="00CC306F" w:rsidRDefault="0005632E" w:rsidP="004E77FA">
      <w:pPr>
        <w:shd w:val="clear" w:color="auto" w:fill="FFFFFF"/>
        <w:spacing w:after="240"/>
        <w:ind w:left="709" w:right="709"/>
        <w:contextualSpacing/>
        <w:jc w:val="both"/>
        <w:textAlignment w:val="baseline"/>
        <w:rPr>
          <w:rFonts w:ascii="Geomanist Light" w:hAnsi="Geomanist Light" w:cs="Arial"/>
          <w:color w:val="000000" w:themeColor="text1"/>
          <w:sz w:val="21"/>
          <w:szCs w:val="21"/>
          <w:lang w:eastAsia="es-CO"/>
        </w:rPr>
      </w:pPr>
      <w:r w:rsidRPr="00CC306F">
        <w:rPr>
          <w:rFonts w:ascii="Geomanist Light" w:hAnsi="Geomanist Light" w:cs="Arial"/>
          <w:color w:val="000000" w:themeColor="text1"/>
          <w:sz w:val="21"/>
          <w:szCs w:val="21"/>
          <w:lang w:eastAsia="es-CO"/>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w:t>
      </w:r>
      <w:r w:rsidRPr="00CC306F">
        <w:rPr>
          <w:rFonts w:ascii="Geomanist Light" w:hAnsi="Geomanist Light" w:cs="Arial"/>
          <w:sz w:val="21"/>
          <w:szCs w:val="21"/>
          <w:lang w:eastAsia="es-CO"/>
        </w:rPr>
        <w:t>» [Énfasis fuera de texto].</w:t>
      </w:r>
    </w:p>
    <w:p w14:paraId="6461AE5C" w14:textId="77777777" w:rsidR="0005632E" w:rsidRPr="00CC306F" w:rsidRDefault="0005632E" w:rsidP="004E77FA">
      <w:pPr>
        <w:spacing w:after="240" w:line="276" w:lineRule="auto"/>
        <w:ind w:firstLine="709"/>
        <w:jc w:val="both"/>
        <w:rPr>
          <w:rFonts w:ascii="Geomanist Light" w:eastAsia="Calibri" w:hAnsi="Geomanist Light" w:cs="Arial"/>
          <w:color w:val="000000" w:themeColor="text1"/>
          <w:sz w:val="22"/>
          <w:szCs w:val="22"/>
          <w:lang w:val="es-ES"/>
        </w:rPr>
      </w:pPr>
      <w:r w:rsidRPr="00CC306F">
        <w:rPr>
          <w:rFonts w:ascii="Geomanist Light" w:eastAsia="Calibri" w:hAnsi="Geomanist Light" w:cs="Arial"/>
          <w:color w:val="000000" w:themeColor="text1"/>
          <w:sz w:val="22"/>
          <w:szCs w:val="22"/>
          <w:lang w:val="es-ES"/>
        </w:rPr>
        <w:t xml:space="preserve">De acuerdo con lo establecido en este artículo, para efectos de la aplicación de los criterios diferenciales en el sistema de compras públicas, en los términos del artículo 32 de la Ley 2069 de 2020, son considerados emprendimientos y empresas de mujeres aquellas personas jurídicas o naturales que cumplan con alguno de los cuatro supuestos de hecho previstos en la norma citada y acrediten estos supuestos con los documentos previstos para ello. </w:t>
      </w:r>
    </w:p>
    <w:p w14:paraId="50CAFC1A" w14:textId="0FE57C85" w:rsidR="0005632E" w:rsidRPr="00CC306F" w:rsidRDefault="0005632E" w:rsidP="004E77FA">
      <w:pPr>
        <w:spacing w:after="240" w:line="276" w:lineRule="auto"/>
        <w:ind w:firstLine="709"/>
        <w:jc w:val="both"/>
        <w:rPr>
          <w:rFonts w:ascii="Geomanist Light" w:eastAsia="Calibri" w:hAnsi="Geomanist Light" w:cs="Arial"/>
          <w:sz w:val="22"/>
          <w:szCs w:val="22"/>
          <w:lang w:val="es-ES_tradnl"/>
        </w:rPr>
      </w:pPr>
      <w:r w:rsidRPr="00CC306F">
        <w:rPr>
          <w:rFonts w:ascii="Geomanist Light" w:eastAsia="Calibri" w:hAnsi="Geomanist Light" w:cs="Arial"/>
          <w:color w:val="000000" w:themeColor="text1"/>
          <w:sz w:val="22"/>
          <w:szCs w:val="22"/>
          <w:lang w:val="es-ES_tradnl"/>
        </w:rPr>
        <w:lastRenderedPageBreak/>
        <w:t xml:space="preserve">Así pues, de acuerdo con la revisión de todos los numerales del artículo 2.2.1.2.4.2.14 es posible advertir que para cada uno de estos fueron expresamente establecidos los documentos que sirven como medio para su acreditación. De este modo dichos </w:t>
      </w:r>
      <w:r w:rsidRPr="00CC306F">
        <w:rPr>
          <w:rFonts w:ascii="Geomanist Light" w:eastAsia="Calibri" w:hAnsi="Geomanist Light" w:cs="Arial"/>
          <w:sz w:val="22"/>
          <w:szCs w:val="22"/>
          <w:lang w:val="es-ES_tradnl"/>
        </w:rPr>
        <w:t>documentos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Esto significa que a quienes pretendan acceder a tales beneficios en consideración a las definiciones establecidas en los numerales del artículo 2.2.1.2.4.2.14, les corresponde presentar l</w:t>
      </w:r>
      <w:r w:rsidR="000834FF" w:rsidRPr="00CC306F">
        <w:rPr>
          <w:rFonts w:ascii="Geomanist Light" w:eastAsia="Calibri" w:hAnsi="Geomanist Light" w:cs="Arial"/>
          <w:sz w:val="22"/>
          <w:szCs w:val="22"/>
          <w:lang w:val="es-ES_tradnl"/>
        </w:rPr>
        <w:t>os</w:t>
      </w:r>
      <w:r w:rsidRPr="00CC306F">
        <w:rPr>
          <w:rFonts w:ascii="Geomanist Light" w:eastAsia="Calibri" w:hAnsi="Geomanist Light" w:cs="Arial"/>
          <w:sz w:val="22"/>
          <w:szCs w:val="22"/>
          <w:lang w:val="es-ES_tradnl"/>
        </w:rPr>
        <w:t xml:space="preserve"> </w:t>
      </w:r>
      <w:r w:rsidR="000834FF" w:rsidRPr="00CC306F">
        <w:rPr>
          <w:rFonts w:ascii="Geomanist Light" w:eastAsia="Calibri" w:hAnsi="Geomanist Light" w:cs="Arial"/>
          <w:sz w:val="22"/>
          <w:szCs w:val="22"/>
          <w:lang w:val="es-ES_tradnl"/>
        </w:rPr>
        <w:t>documentos allí relacionados</w:t>
      </w:r>
      <w:r w:rsidRPr="00CC306F">
        <w:rPr>
          <w:rFonts w:ascii="Geomanist Light" w:eastAsia="Calibri" w:hAnsi="Geomanist Light" w:cs="Arial"/>
          <w:sz w:val="22"/>
          <w:szCs w:val="22"/>
          <w:lang w:val="es-ES_tradnl"/>
        </w:rPr>
        <w:t xml:space="preserve"> con sus respectivos soportes.</w:t>
      </w:r>
      <w:r w:rsidR="00635917" w:rsidRPr="00CC306F">
        <w:rPr>
          <w:rFonts w:ascii="Geomanist Light" w:eastAsia="Calibri" w:hAnsi="Geomanist Light" w:cs="Arial"/>
          <w:sz w:val="22"/>
          <w:szCs w:val="22"/>
          <w:lang w:val="es-ES_tradnl"/>
        </w:rPr>
        <w:t xml:space="preserve"> </w:t>
      </w:r>
      <w:r w:rsidRPr="00CC306F">
        <w:rPr>
          <w:rFonts w:ascii="Geomanist Light" w:eastAsia="Calibri" w:hAnsi="Geomanist Light" w:cs="Arial"/>
          <w:sz w:val="22"/>
          <w:szCs w:val="22"/>
          <w:lang w:val="es-ES_tradnl"/>
        </w:rPr>
        <w:t xml:space="preserve">En todo caso, es deber de la entidad estatal verificar que los documentos presentados acrediten las condiciones descritas </w:t>
      </w:r>
      <w:r w:rsidR="00635917" w:rsidRPr="00CC306F">
        <w:rPr>
          <w:rFonts w:ascii="Geomanist Light" w:eastAsia="Calibri" w:hAnsi="Geomanist Light" w:cs="Arial"/>
          <w:sz w:val="22"/>
          <w:szCs w:val="22"/>
          <w:lang w:val="es-ES_tradnl"/>
        </w:rPr>
        <w:t xml:space="preserve">en </w:t>
      </w:r>
      <w:r w:rsidRPr="00CC306F">
        <w:rPr>
          <w:rFonts w:ascii="Geomanist Light" w:eastAsia="Calibri" w:hAnsi="Geomanist Light" w:cs="Arial"/>
          <w:sz w:val="22"/>
          <w:szCs w:val="22"/>
          <w:lang w:val="es-ES_tradnl"/>
        </w:rPr>
        <w:t xml:space="preserve">el artículo 2.2.1.2.4.2.14 del Decreto 1082 de 2015. </w:t>
      </w:r>
    </w:p>
    <w:p w14:paraId="1636521B" w14:textId="77777777" w:rsidR="0005632E" w:rsidRPr="00CC306F" w:rsidRDefault="0005632E" w:rsidP="004E77FA">
      <w:pPr>
        <w:spacing w:after="240" w:line="276" w:lineRule="auto"/>
        <w:ind w:firstLine="709"/>
        <w:jc w:val="both"/>
        <w:rPr>
          <w:rFonts w:ascii="Geomanist Light" w:eastAsia="Calibri" w:hAnsi="Geomanist Light" w:cs="Arial"/>
          <w:sz w:val="22"/>
          <w:szCs w:val="22"/>
          <w:lang w:val="es-ES_tradnl"/>
        </w:rPr>
      </w:pPr>
      <w:r w:rsidRPr="00CC306F">
        <w:rPr>
          <w:rFonts w:ascii="Geomanist Light" w:hAnsi="Geomanist Light" w:cs="Arial"/>
          <w:sz w:val="22"/>
          <w:szCs w:val="22"/>
          <w:lang w:eastAsia="es-CO"/>
        </w:rPr>
        <w:t xml:space="preserve">Conviene destacar que los documentos a los que se refiere la norma son, por regla general, certificaciones emitidas bajo la gravedad del juramento. </w:t>
      </w:r>
      <w:r w:rsidRPr="00CC306F">
        <w:rPr>
          <w:rFonts w:ascii="Geomanist Light" w:eastAsia="Calibri" w:hAnsi="Geomanist Light" w:cs="Arial"/>
          <w:bCs/>
          <w:color w:val="000000"/>
          <w:sz w:val="22"/>
          <w:szCs w:val="22"/>
          <w:lang w:val="es-ES_tradnl" w:eastAsia="en-US"/>
        </w:rPr>
        <w:t xml:space="preserve">Por tanto, teniendo en cuenta i) que el reglamento define los documentos que demuestran las circunstancias reguladas en los artículos 2.2.1.2.4.2.14. y </w:t>
      </w:r>
      <w:r w:rsidRPr="00CC306F">
        <w:rPr>
          <w:rFonts w:ascii="Geomanist Light" w:eastAsia="Calibri" w:hAnsi="Geomanist Light" w:cs="Arial"/>
          <w:color w:val="000000"/>
          <w:sz w:val="22"/>
          <w:szCs w:val="22"/>
          <w:lang w:eastAsia="en-US"/>
        </w:rPr>
        <w:t>2.2.1.2.4.2.15.</w:t>
      </w:r>
      <w:r w:rsidRPr="00CC306F">
        <w:rPr>
          <w:rFonts w:ascii="Geomanist Light" w:eastAsia="Calibri" w:hAnsi="Geomanist Light" w:cs="Arial"/>
          <w:bCs/>
          <w:color w:val="000000"/>
          <w:sz w:val="22"/>
          <w:szCs w:val="22"/>
          <w:lang w:val="es-ES_tradnl" w:eastAsia="en-US"/>
        </w:rPr>
        <w:t>, ii) que las entidades estatales deben presumir la buena fe, como lo ordena el artículo 83 de la Constitución Política, y que iii) los numerales 1 y 2 del artículo 25 de la Ley 80 de 1993 prohíben implementar trámites o requisitos que las normas no incluyen, como garantía del principio de economía, las entidades deben abstenerse de solicitar documentos adicionales a los señalados en el artículo 2.2.1.2.4.2.14. Lo anterior se indica, sin perjuicio del deber de verificación, ante las inconsistencias evidenciadas, o de denuncia de la posible falsedad de los documentos advertida durante el procedimiento contractual.</w:t>
      </w:r>
    </w:p>
    <w:p w14:paraId="2789323E" w14:textId="522F8DC2" w:rsidR="0005632E" w:rsidRPr="00CC306F" w:rsidRDefault="0005632E" w:rsidP="004E77FA">
      <w:pPr>
        <w:spacing w:after="240" w:line="276" w:lineRule="auto"/>
        <w:ind w:firstLine="709"/>
        <w:jc w:val="both"/>
        <w:rPr>
          <w:rFonts w:ascii="Geomanist Light" w:eastAsia="Calibri" w:hAnsi="Geomanist Light" w:cs="Arial"/>
          <w:sz w:val="22"/>
          <w:szCs w:val="22"/>
          <w:lang w:val="es-ES_tradnl"/>
        </w:rPr>
      </w:pPr>
      <w:r w:rsidRPr="00CC306F">
        <w:rPr>
          <w:rFonts w:ascii="Geomanist Light" w:eastAsia="Calibri" w:hAnsi="Geomanist Light" w:cs="Arial"/>
          <w:sz w:val="22"/>
          <w:szCs w:val="22"/>
          <w:lang w:val="es-ES_tradnl"/>
        </w:rPr>
        <w:t>Conforme a lo anterior, en el evento en que un proponente presente l</w:t>
      </w:r>
      <w:r w:rsidR="00C70272" w:rsidRPr="00CC306F">
        <w:rPr>
          <w:rFonts w:ascii="Geomanist Light" w:eastAsia="Calibri" w:hAnsi="Geomanist Light" w:cs="Arial"/>
          <w:sz w:val="22"/>
          <w:szCs w:val="22"/>
          <w:lang w:val="es-ES_tradnl"/>
        </w:rPr>
        <w:t>os documentos para l</w:t>
      </w:r>
      <w:r w:rsidRPr="00CC306F">
        <w:rPr>
          <w:rFonts w:ascii="Geomanist Light" w:eastAsia="Calibri" w:hAnsi="Geomanist Light" w:cs="Arial"/>
          <w:sz w:val="22"/>
          <w:szCs w:val="22"/>
          <w:lang w:val="es-ES_tradnl"/>
        </w:rPr>
        <w:t xml:space="preserve">a </w:t>
      </w:r>
      <w:r w:rsidR="00C70272" w:rsidRPr="00CC306F">
        <w:rPr>
          <w:rFonts w:ascii="Geomanist Light" w:eastAsia="Calibri" w:hAnsi="Geomanist Light" w:cs="Arial"/>
          <w:sz w:val="22"/>
          <w:szCs w:val="22"/>
          <w:lang w:val="es-ES_tradnl"/>
        </w:rPr>
        <w:t xml:space="preserve">acreditación de su condición </w:t>
      </w:r>
      <w:r w:rsidRPr="00CC306F">
        <w:rPr>
          <w:rFonts w:ascii="Geomanist Light" w:eastAsia="Calibri" w:hAnsi="Geomanist Light" w:cs="Arial"/>
          <w:sz w:val="22"/>
          <w:szCs w:val="22"/>
          <w:lang w:val="es-ES_tradnl"/>
        </w:rPr>
        <w:t xml:space="preserve">con los respectivos soportes, pero se encuentre que los mismos no acreditan las condiciones descritas en el artículo 2.2.1.2.4.2.14, la entidad deberá tener por no acreditada la condición de emprendimiento o empresa de mujeres y, en consecuencia, abstenerse de aplicar criterios diferenciales en favor de este oferente. </w:t>
      </w:r>
    </w:p>
    <w:p w14:paraId="55593E7A" w14:textId="6B575207" w:rsidR="0005632E" w:rsidRPr="00CC306F" w:rsidRDefault="0005632E" w:rsidP="004E77FA">
      <w:pPr>
        <w:spacing w:after="240" w:line="276" w:lineRule="auto"/>
        <w:ind w:firstLine="709"/>
        <w:jc w:val="both"/>
        <w:rPr>
          <w:rFonts w:ascii="Geomanist Light" w:eastAsia="Calibri" w:hAnsi="Geomanist Light" w:cs="Arial"/>
          <w:sz w:val="22"/>
          <w:szCs w:val="22"/>
          <w:lang w:val="es-ES_tradnl"/>
        </w:rPr>
      </w:pPr>
      <w:r w:rsidRPr="00CC306F">
        <w:rPr>
          <w:rFonts w:ascii="Geomanist Light" w:eastAsia="Calibri" w:hAnsi="Geomanist Light" w:cs="Arial"/>
          <w:sz w:val="22"/>
          <w:szCs w:val="22"/>
          <w:lang w:val="es-ES_tradnl"/>
        </w:rPr>
        <w:t xml:space="preserve"> Con todo, debe advertirse que corresponde a las entidades estatales contratantes determinar en cada caso concreto si, en efecto, se cumplen las condiciones antes explicadas, verificando además que dicha acreditación se haga con sujeción al marco jurídico aplicable. </w:t>
      </w:r>
    </w:p>
    <w:p w14:paraId="5BBEB2DF" w14:textId="4A3CECBF" w:rsidR="0005632E" w:rsidRPr="00CC306F" w:rsidRDefault="0005632E" w:rsidP="004E77FA">
      <w:pPr>
        <w:spacing w:after="240" w:line="276" w:lineRule="auto"/>
        <w:ind w:firstLine="709"/>
        <w:jc w:val="both"/>
        <w:rPr>
          <w:rFonts w:ascii="Geomanist Light" w:hAnsi="Geomanist Light" w:cs="Arial"/>
          <w:color w:val="000000" w:themeColor="text1"/>
          <w:sz w:val="22"/>
          <w:szCs w:val="22"/>
          <w:lang w:eastAsia="es-CO"/>
        </w:rPr>
      </w:pPr>
      <w:r w:rsidRPr="00CC306F">
        <w:rPr>
          <w:rFonts w:ascii="Geomanist Light" w:hAnsi="Geomanist Light" w:cs="Arial"/>
          <w:color w:val="000000" w:themeColor="text1"/>
          <w:sz w:val="22"/>
          <w:szCs w:val="22"/>
          <w:lang w:eastAsia="es-CO"/>
        </w:rPr>
        <w:lastRenderedPageBreak/>
        <w:t>También debe agregarse que el artículo 2.2.1.2.4.2.15 del Decreto 1082 de 2015</w:t>
      </w:r>
      <w:r w:rsidRPr="00CC306F">
        <w:rPr>
          <w:rStyle w:val="Refdenotaalpie"/>
          <w:rFonts w:ascii="Geomanist Light" w:hAnsi="Geomanist Light" w:cs="Arial"/>
          <w:color w:val="000000" w:themeColor="text1"/>
          <w:sz w:val="22"/>
          <w:szCs w:val="22"/>
          <w:lang w:eastAsia="es-CO"/>
        </w:rPr>
        <w:footnoteReference w:id="22"/>
      </w:r>
      <w:r w:rsidRPr="00CC306F">
        <w:rPr>
          <w:rFonts w:ascii="Geomanist Light" w:hAnsi="Geomanist Light" w:cs="Arial"/>
          <w:color w:val="000000" w:themeColor="text1"/>
          <w:sz w:val="22"/>
          <w:szCs w:val="22"/>
          <w:lang w:eastAsia="es-CO"/>
        </w:rPr>
        <w:t>, adicionado por el Decreto 1860 de 2021, complementa la regulación de criterios diferenciales estableciendo unos requisitos habilitantes diferenciales para incentivar emprendimientos y empresas de mujeres, que deben ser menos rigurosos respecto a los contemplados para los proponentes que no cumplan con alguna de los criterios del artículo 2.2.1.2.4.2.14. Del mismo modo, el artículo 2.2.1.2.4.2.15 también regula un puntaje adicional</w:t>
      </w:r>
      <w:r w:rsidRPr="00CC306F">
        <w:rPr>
          <w:rFonts w:ascii="Geomanist Light" w:hAnsi="Geomanist Light" w:cs="Arial"/>
          <w:color w:val="000000" w:themeColor="text1"/>
          <w:sz w:val="22"/>
          <w:szCs w:val="22"/>
        </w:rPr>
        <w:t xml:space="preserve"> </w:t>
      </w:r>
      <w:r w:rsidRPr="00CC306F">
        <w:rPr>
          <w:rFonts w:ascii="Geomanist Light" w:hAnsi="Geomanist Light" w:cs="Arial"/>
          <w:color w:val="000000" w:themeColor="text1"/>
          <w:sz w:val="22"/>
          <w:szCs w:val="22"/>
          <w:lang w:eastAsia="es-CO"/>
        </w:rPr>
        <w:t xml:space="preserve">de hasta el 0,25% del valor total de los puntos establecidos en los pliegos de condiciones o documentos equivalentes, para los proponentes que acrediten alguno de los supuestos del artículo 2.2.1.2.4.2.14. </w:t>
      </w:r>
    </w:p>
    <w:p w14:paraId="122BCF22" w14:textId="0FCC0E79" w:rsidR="00D56F24" w:rsidRPr="00CC306F" w:rsidRDefault="002F3E7B" w:rsidP="004E77FA">
      <w:pPr>
        <w:spacing w:after="240" w:line="276" w:lineRule="auto"/>
        <w:ind w:firstLine="709"/>
        <w:jc w:val="both"/>
        <w:rPr>
          <w:rFonts w:ascii="Geomanist Light" w:hAnsi="Geomanist Light" w:cs="Arial"/>
          <w:color w:val="000000" w:themeColor="text1"/>
          <w:lang w:eastAsia="es-CO"/>
        </w:rPr>
      </w:pPr>
      <w:r w:rsidRPr="00CC306F">
        <w:rPr>
          <w:rFonts w:ascii="Geomanist Light" w:eastAsia="Calibri" w:hAnsi="Geomanist Light" w:cs="Arial"/>
          <w:sz w:val="22"/>
          <w:lang w:val="es-ES_tradnl"/>
        </w:rPr>
        <w:t xml:space="preserve">Por todo lo expuesto, y para efectos de dar respuesta a la consulta realizada se puede concluir que, el </w:t>
      </w:r>
      <w:r w:rsidRPr="00CC306F">
        <w:rPr>
          <w:rFonts w:ascii="Geomanist Light" w:eastAsia="Calibri" w:hAnsi="Geomanist Light" w:cs="Arial"/>
          <w:bCs/>
          <w:sz w:val="22"/>
          <w:lang w:val="es-ES_tradnl"/>
        </w:rPr>
        <w:t xml:space="preserve">artículo 2.2.1.2.4.2.14 del Decreto 1082 de 2015, adicionado por el Decreto 1860 de 2021, </w:t>
      </w:r>
      <w:r w:rsidRPr="00CC306F">
        <w:rPr>
          <w:rFonts w:ascii="Geomanist Light" w:eastAsia="Calibri" w:hAnsi="Geomanist Light" w:cs="Arial"/>
          <w:sz w:val="22"/>
          <w:lang w:val="es-ES_tradnl"/>
        </w:rPr>
        <w:t xml:space="preserve">reglamentó </w:t>
      </w:r>
      <w:r w:rsidRPr="00CC306F">
        <w:rPr>
          <w:rFonts w:ascii="Geomanist Light" w:eastAsia="Calibri" w:hAnsi="Geomanist Light" w:cs="Arial"/>
          <w:i/>
          <w:iCs/>
          <w:sz w:val="22"/>
          <w:lang w:val="es-ES_tradnl"/>
        </w:rPr>
        <w:t xml:space="preserve">in extenso </w:t>
      </w:r>
      <w:r w:rsidRPr="00CC306F">
        <w:rPr>
          <w:rFonts w:ascii="Geomanist Light" w:eastAsia="Calibri" w:hAnsi="Geomanist Light" w:cs="Arial"/>
          <w:sz w:val="22"/>
          <w:lang w:val="es-ES_tradnl"/>
        </w:rPr>
        <w:t>la forma de acreditar las circunstancias, los medios de prueba requeridos en cada evento y las autoridades que pueden emitir estos documentos, por lo que las entidades contratantes deberán acudir a su contenido detallado para la aplicación de cada requisito habilitante y el otorgamiento del puntaje adicional en sus procesos de contratación. Lo anterior como quiera que, e</w:t>
      </w:r>
      <w:r w:rsidRPr="00CC306F">
        <w:rPr>
          <w:rFonts w:ascii="Geomanist Light" w:eastAsia="Calibri" w:hAnsi="Geomanist Light" w:cs="Arial"/>
          <w:color w:val="000000"/>
          <w:sz w:val="22"/>
          <w:szCs w:val="22"/>
          <w:lang w:val="es-ES_tradnl"/>
        </w:rPr>
        <w:t xml:space="preserve">n ejercicio de las competencias establecidas en los artículos 3.5 y 11.8 del Decreto 4170 de 2011, no le está dado a la Agencia Nacional de Contratación Pública – Colombia Compra Eficiente definir aspectos adicionales a los contemplados en la normativa enunciada, ya que el legislador no concibió a Colombia Compra Eficiente como una autoridad para solucionar problemas jurídicos particulares de todos los partícipes de la contratación estatal ni para interpretar el alcance de cualquier norma vigente en el ordenamiento jurídico. </w:t>
      </w:r>
      <w:r w:rsidRPr="00CC306F">
        <w:rPr>
          <w:rFonts w:ascii="Geomanist Light" w:eastAsia="Calibri" w:hAnsi="Geomanist Light" w:cs="Arial"/>
          <w:sz w:val="22"/>
          <w:szCs w:val="22"/>
          <w:lang w:val="es-ES_tradnl" w:eastAsia="es-MX"/>
        </w:rPr>
        <w:t xml:space="preserve">Por lo tanto, </w:t>
      </w:r>
      <w:r w:rsidRPr="00CC306F">
        <w:rPr>
          <w:rFonts w:ascii="Geomanist Light" w:eastAsia="Calibri" w:hAnsi="Geomanist Light" w:cs="Arial"/>
          <w:sz w:val="22"/>
          <w:szCs w:val="22"/>
          <w:lang w:val="es-ES_tradnl"/>
        </w:rPr>
        <w:t>la presente interpretación además se impone en virtud de aquella regla según la cual «cuando el sentido de la ley sea claro, no se desatenderá su tenor literal a pretexto de consultar su espíritu»</w:t>
      </w:r>
      <w:r w:rsidRPr="00CC306F">
        <w:rPr>
          <w:rStyle w:val="Refdenotaalpie"/>
          <w:rFonts w:ascii="Geomanist Light" w:hAnsi="Geomanist Light" w:cs="Arial"/>
          <w:color w:val="000000" w:themeColor="text1"/>
          <w:lang w:eastAsia="es-CO"/>
        </w:rPr>
        <w:footnoteReference w:id="23"/>
      </w:r>
      <w:r w:rsidRPr="00CC306F">
        <w:rPr>
          <w:rFonts w:ascii="Geomanist Light" w:hAnsi="Geomanist Light" w:cs="Arial"/>
          <w:color w:val="000000" w:themeColor="text1"/>
          <w:lang w:eastAsia="es-CO"/>
        </w:rPr>
        <w:t>.</w:t>
      </w:r>
    </w:p>
    <w:p w14:paraId="6BAC4AC8" w14:textId="6C253B55" w:rsidR="00E35E93" w:rsidRPr="003D4FAA" w:rsidRDefault="00376D94" w:rsidP="004E77FA">
      <w:pPr>
        <w:spacing w:after="240" w:line="276" w:lineRule="auto"/>
        <w:jc w:val="both"/>
        <w:rPr>
          <w:rFonts w:ascii="Geomanist Light" w:hAnsi="Geomanist Light" w:cs="Arial"/>
          <w:b/>
          <w:bCs/>
          <w:sz w:val="22"/>
          <w:lang w:val="es-ES"/>
        </w:rPr>
      </w:pPr>
      <w:r w:rsidRPr="00CC306F">
        <w:rPr>
          <w:rFonts w:ascii="Geomanist Light" w:eastAsia="Calibri" w:hAnsi="Geomanist Light" w:cs="Arial"/>
          <w:b/>
          <w:color w:val="000000" w:themeColor="text1"/>
          <w:sz w:val="22"/>
          <w:lang w:val="es-ES_tradnl"/>
        </w:rPr>
        <w:t xml:space="preserve">2.5. </w:t>
      </w:r>
      <w:r w:rsidR="00E35E93" w:rsidRPr="00CC306F">
        <w:rPr>
          <w:rFonts w:ascii="Geomanist Light" w:hAnsi="Geomanist Light" w:cs="Arial"/>
          <w:b/>
          <w:bCs/>
          <w:sz w:val="22"/>
          <w:lang w:val="es-ES"/>
        </w:rPr>
        <w:t xml:space="preserve">Regulación de los criterios diferenciales en favor de las </w:t>
      </w:r>
      <w:proofErr w:type="spellStart"/>
      <w:r w:rsidR="00E35E93" w:rsidRPr="00CC306F">
        <w:rPr>
          <w:rFonts w:ascii="Geomanist Light" w:hAnsi="Geomanist Light" w:cs="Arial"/>
          <w:b/>
          <w:bCs/>
          <w:sz w:val="22"/>
          <w:lang w:val="es-ES"/>
        </w:rPr>
        <w:t>Mipyme</w:t>
      </w:r>
      <w:proofErr w:type="spellEnd"/>
      <w:r w:rsidR="00E35E93" w:rsidRPr="00CC306F">
        <w:rPr>
          <w:rFonts w:ascii="Geomanist Light" w:hAnsi="Geomanist Light" w:cs="Arial"/>
          <w:b/>
          <w:bCs/>
          <w:sz w:val="22"/>
          <w:lang w:val="es-ES"/>
        </w:rPr>
        <w:t xml:space="preserve"> nacionales </w:t>
      </w:r>
    </w:p>
    <w:p w14:paraId="49FFDD7E" w14:textId="3B4819CE" w:rsidR="00E35E93" w:rsidRPr="00CC306F" w:rsidRDefault="00844C7B" w:rsidP="004E77FA">
      <w:pPr>
        <w:spacing w:after="240" w:line="276" w:lineRule="auto"/>
        <w:jc w:val="both"/>
        <w:rPr>
          <w:rFonts w:ascii="Geomanist Light" w:eastAsia="Arial" w:hAnsi="Geomanist Light" w:cs="Arial"/>
          <w:sz w:val="22"/>
          <w:lang w:eastAsia="es-CO"/>
        </w:rPr>
      </w:pPr>
      <w:bookmarkStart w:id="19" w:name="_Hlk110840316"/>
      <w:r w:rsidRPr="00CC306F">
        <w:rPr>
          <w:rFonts w:ascii="Geomanist Light" w:eastAsia="Arial" w:hAnsi="Geomanist Light" w:cs="Arial"/>
          <w:sz w:val="22"/>
          <w:lang w:val="es-ES" w:eastAsia="es-CO"/>
        </w:rPr>
        <w:lastRenderedPageBreak/>
        <w:t>E</w:t>
      </w:r>
      <w:r w:rsidR="00E35E93" w:rsidRPr="00CC306F">
        <w:rPr>
          <w:rFonts w:ascii="Geomanist Light" w:eastAsia="Arial" w:hAnsi="Geomanist Light" w:cs="Arial"/>
          <w:sz w:val="22"/>
          <w:lang w:val="es-ES" w:eastAsia="es-CO"/>
        </w:rPr>
        <w:t>l artículo 31 de la Ley 2069 de 2020</w:t>
      </w:r>
      <w:r w:rsidR="00E35E93" w:rsidRPr="00CC306F">
        <w:rPr>
          <w:rFonts w:ascii="Geomanist Light" w:eastAsia="Arial" w:hAnsi="Geomanist Light" w:cs="Arial"/>
          <w:sz w:val="22"/>
          <w:lang w:eastAsia="es-CO"/>
        </w:rPr>
        <w:t xml:space="preserve"> </w:t>
      </w:r>
      <w:r w:rsidR="00E35E93" w:rsidRPr="00CC306F">
        <w:rPr>
          <w:rFonts w:ascii="Geomanist Light" w:eastAsia="Arial" w:hAnsi="Geomanist Light" w:cs="Arial"/>
          <w:bCs/>
          <w:sz w:val="22"/>
          <w:lang w:eastAsia="es-CO"/>
        </w:rPr>
        <w:t xml:space="preserve">introduce criterios diferenciales para el acceso de las </w:t>
      </w:r>
      <w:proofErr w:type="spellStart"/>
      <w:r w:rsidR="00E35E93" w:rsidRPr="00CC306F">
        <w:rPr>
          <w:rFonts w:ascii="Geomanist Light" w:eastAsia="Arial" w:hAnsi="Geomanist Light" w:cs="Arial"/>
          <w:bCs/>
          <w:sz w:val="22"/>
          <w:lang w:eastAsia="es-CO"/>
        </w:rPr>
        <w:t>Mipyme</w:t>
      </w:r>
      <w:proofErr w:type="spellEnd"/>
      <w:r w:rsidR="00E35E93" w:rsidRPr="00CC306F">
        <w:rPr>
          <w:rFonts w:ascii="Geomanist Light" w:eastAsia="Arial" w:hAnsi="Geomanist Light" w:cs="Arial"/>
          <w:bCs/>
          <w:sz w:val="22"/>
          <w:lang w:eastAsia="es-CO"/>
        </w:rPr>
        <w:t xml:space="preserve"> al sistema de compras y contratación pública. Para estos efectos, el inciso primero dispone que «Las Entidades Estatales de acuerdo con el análisis de Sector podrán incluir, en los Documentos del Proceso, requisitos diferenciales y puntajes adicionales, en función del tamaño empresarial para la promoción del acceso de las MIPYMES al mercado de Compras Públicas». Esto significa que, la aplicación de los criterios diferenciales, los cuales incluyen tanto los requisitos diferenciales como los puntajes adicionales, depende de las conclusiones del estudio del sector. Esta norma </w:t>
      </w:r>
      <w:r w:rsidR="00E35E93" w:rsidRPr="00CC306F">
        <w:rPr>
          <w:rFonts w:ascii="Geomanist Light" w:eastAsia="Arial" w:hAnsi="Geomanist Light" w:cs="Arial"/>
          <w:sz w:val="22"/>
          <w:lang w:eastAsia="es-CO"/>
        </w:rPr>
        <w:t>dispuso que el Gobierno Nacional reglamentaría la definición de los criterios diferenciales</w:t>
      </w:r>
      <w:r w:rsidR="00E35E93" w:rsidRPr="00CC306F">
        <w:rPr>
          <w:rFonts w:ascii="Geomanist Light" w:eastAsia="Arial" w:hAnsi="Geomanist Light" w:cs="Arial"/>
          <w:sz w:val="22"/>
          <w:lang w:val="es-ES" w:eastAsia="es-CO"/>
        </w:rPr>
        <w:t xml:space="preserve"> para promover y facilitar el acceso de las </w:t>
      </w:r>
      <w:proofErr w:type="spellStart"/>
      <w:r w:rsidR="00E35E93" w:rsidRPr="00CC306F">
        <w:rPr>
          <w:rFonts w:ascii="Geomanist Light" w:eastAsia="Arial" w:hAnsi="Geomanist Light" w:cs="Arial"/>
          <w:sz w:val="22"/>
          <w:lang w:val="es-ES" w:eastAsia="es-CO"/>
        </w:rPr>
        <w:t>Mipyme</w:t>
      </w:r>
      <w:proofErr w:type="spellEnd"/>
      <w:r w:rsidR="00E35E93" w:rsidRPr="00CC306F">
        <w:rPr>
          <w:rFonts w:ascii="Geomanist Light" w:eastAsia="Arial" w:hAnsi="Geomanist Light" w:cs="Arial"/>
          <w:sz w:val="22"/>
          <w:lang w:val="es-ES" w:eastAsia="es-CO"/>
        </w:rPr>
        <w:t xml:space="preserve"> al mercado de compras públicas</w:t>
      </w:r>
      <w:r w:rsidR="00E35E93" w:rsidRPr="00CC306F">
        <w:rPr>
          <w:rFonts w:ascii="Geomanist Light" w:eastAsia="Arial" w:hAnsi="Geomanist Light" w:cs="Arial"/>
          <w:sz w:val="22"/>
          <w:lang w:eastAsia="es-CO"/>
        </w:rPr>
        <w:t xml:space="preserve">, estableciendo reglas objetivas para su implementación, las cuales priorizarían la contratación de producción nacional, sin perjuicio de los compromisos comerciales adquiridos con otros Estados. </w:t>
      </w:r>
    </w:p>
    <w:p w14:paraId="4BBDC787" w14:textId="68183CD4" w:rsidR="00E35E93" w:rsidRPr="00CC306F" w:rsidRDefault="00E35E93" w:rsidP="004E77FA">
      <w:pPr>
        <w:spacing w:after="240" w:line="276" w:lineRule="auto"/>
        <w:jc w:val="both"/>
        <w:rPr>
          <w:rFonts w:ascii="Geomanist Light" w:eastAsia="Arial" w:hAnsi="Geomanist Light" w:cs="Arial"/>
          <w:sz w:val="22"/>
          <w:lang w:eastAsia="es-MX"/>
        </w:rPr>
      </w:pPr>
      <w:r w:rsidRPr="00CC306F">
        <w:rPr>
          <w:rFonts w:ascii="Geomanist Light" w:eastAsia="Arial" w:hAnsi="Geomanist Light" w:cs="Arial"/>
          <w:sz w:val="22"/>
          <w:lang w:val="es-ES" w:eastAsia="es-CO"/>
        </w:rPr>
        <w:tab/>
      </w:r>
      <w:r w:rsidR="006718AA" w:rsidRPr="00CC306F">
        <w:rPr>
          <w:rFonts w:ascii="Geomanist Light" w:eastAsia="Arial" w:hAnsi="Geomanist Light" w:cs="Arial"/>
          <w:sz w:val="22"/>
          <w:lang w:val="es-ES" w:eastAsia="es-CO"/>
        </w:rPr>
        <w:t>Ahora bien, e</w:t>
      </w:r>
      <w:r w:rsidRPr="00CC306F">
        <w:rPr>
          <w:rFonts w:ascii="Geomanist Light" w:hAnsi="Geomanist Light" w:cs="Arial"/>
          <w:color w:val="000000" w:themeColor="text1"/>
          <w:sz w:val="22"/>
          <w:lang w:eastAsia="es-MX"/>
        </w:rPr>
        <w:t xml:space="preserve">l artículo 3 del Decreto 1860 de 2021, que adicionó </w:t>
      </w:r>
      <w:r w:rsidRPr="00CC306F">
        <w:rPr>
          <w:rFonts w:ascii="Geomanist Light" w:hAnsi="Geomanist Light" w:cs="Arial"/>
          <w:bCs/>
          <w:color w:val="000000" w:themeColor="text1"/>
          <w:sz w:val="22"/>
          <w:lang w:eastAsia="es-MX"/>
        </w:rPr>
        <w:t xml:space="preserve">el artículo 2.2.1.2.4.2.18 al </w:t>
      </w:r>
      <w:r w:rsidRPr="00CC306F">
        <w:rPr>
          <w:rFonts w:ascii="Geomanist Light" w:hAnsi="Geomanist Light" w:cs="Arial"/>
          <w:sz w:val="22"/>
          <w:lang w:eastAsia="es-MX"/>
        </w:rPr>
        <w:t xml:space="preserve">Decreto 1082 de 2015 reglamentó los criterios diferenciales para </w:t>
      </w:r>
      <w:proofErr w:type="spellStart"/>
      <w:r w:rsidRPr="00CC306F">
        <w:rPr>
          <w:rFonts w:ascii="Geomanist Light" w:hAnsi="Geomanist Light" w:cs="Arial"/>
          <w:sz w:val="22"/>
          <w:lang w:eastAsia="es-MX"/>
        </w:rPr>
        <w:t>Mipyme</w:t>
      </w:r>
      <w:proofErr w:type="spellEnd"/>
      <w:r w:rsidRPr="00CC306F">
        <w:rPr>
          <w:rFonts w:ascii="Geomanist Light" w:hAnsi="Geomanist Light" w:cs="Arial"/>
          <w:sz w:val="22"/>
          <w:lang w:eastAsia="es-MX"/>
        </w:rPr>
        <w:t xml:space="preserve"> en el sistema de compras públicas. Conforme a esta norma las entidades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w:t>
      </w:r>
      <w:proofErr w:type="spellStart"/>
      <w:r w:rsidRPr="00CC306F">
        <w:rPr>
          <w:rFonts w:ascii="Geomanist Light" w:hAnsi="Geomanist Light" w:cs="Arial"/>
          <w:sz w:val="22"/>
          <w:lang w:eastAsia="es-MX"/>
        </w:rPr>
        <w:t>Mipyme</w:t>
      </w:r>
      <w:proofErr w:type="spellEnd"/>
      <w:r w:rsidRPr="00CC306F">
        <w:rPr>
          <w:rFonts w:ascii="Geomanist Light" w:hAnsi="Geomanist Light" w:cs="Arial"/>
          <w:sz w:val="22"/>
          <w:lang w:eastAsia="es-MX"/>
        </w:rPr>
        <w:t xml:space="preserve"> domiciliadas en Colombia. </w:t>
      </w:r>
    </w:p>
    <w:p w14:paraId="4A9C5D09" w14:textId="77777777" w:rsidR="00E35E93" w:rsidRPr="00CC306F" w:rsidRDefault="00E35E93" w:rsidP="004E77FA">
      <w:pPr>
        <w:spacing w:after="240" w:line="276" w:lineRule="auto"/>
        <w:jc w:val="both"/>
        <w:rPr>
          <w:rFonts w:ascii="Geomanist Light" w:hAnsi="Geomanist Light" w:cs="Arial"/>
          <w:color w:val="000000" w:themeColor="text1"/>
          <w:sz w:val="22"/>
          <w:lang w:eastAsia="es-MX"/>
        </w:rPr>
      </w:pPr>
      <w:r w:rsidRPr="00CC306F">
        <w:rPr>
          <w:rFonts w:ascii="Geomanist Light" w:eastAsia="Arial" w:hAnsi="Geomanist Light" w:cs="Arial"/>
          <w:sz w:val="22"/>
          <w:lang w:eastAsia="es-MX"/>
        </w:rPr>
        <w:tab/>
      </w:r>
      <w:r w:rsidRPr="00CC306F">
        <w:rPr>
          <w:rFonts w:ascii="Geomanist Light" w:hAnsi="Geomanist Light" w:cs="Arial"/>
          <w:sz w:val="22"/>
          <w:lang w:eastAsia="es-MX"/>
        </w:rPr>
        <w:t xml:space="preserve">Estos criterios en favor de las </w:t>
      </w:r>
      <w:proofErr w:type="spellStart"/>
      <w:r w:rsidRPr="00CC306F">
        <w:rPr>
          <w:rFonts w:ascii="Geomanist Light" w:hAnsi="Geomanist Light" w:cs="Arial"/>
          <w:sz w:val="22"/>
          <w:lang w:eastAsia="es-MX"/>
        </w:rPr>
        <w:t>Mipyme</w:t>
      </w:r>
      <w:proofErr w:type="spellEnd"/>
      <w:r w:rsidRPr="00CC306F">
        <w:rPr>
          <w:rFonts w:ascii="Geomanist Light" w:hAnsi="Geomanist Light" w:cs="Arial"/>
          <w:sz w:val="22"/>
          <w:lang w:eastAsia="es-MX"/>
        </w:rPr>
        <w:t xml:space="preserve"> buscan reducir las asimetrías entre estas y las grandes empresas para vincularse como proveedoras del mercado de compras públicas y, en consecuencia, promover y facilitar la participación en los procedimientos de selección competitivos de las </w:t>
      </w:r>
      <w:proofErr w:type="spellStart"/>
      <w:r w:rsidRPr="00CC306F">
        <w:rPr>
          <w:rFonts w:ascii="Geomanist Light" w:hAnsi="Geomanist Light" w:cs="Arial"/>
          <w:sz w:val="22"/>
          <w:lang w:eastAsia="es-MX"/>
        </w:rPr>
        <w:t>Mipyme</w:t>
      </w:r>
      <w:proofErr w:type="spellEnd"/>
      <w:r w:rsidRPr="00CC306F">
        <w:rPr>
          <w:rFonts w:ascii="Geomanist Light" w:hAnsi="Geomanist Light" w:cs="Arial"/>
          <w:sz w:val="22"/>
          <w:lang w:eastAsia="es-MX"/>
        </w:rPr>
        <w:t xml:space="preserve"> domiciliadas en Colombia. Para estos efectos, el artículo 2.2.1.2.4.2.18 del Decreto 1082 de 2015 estableció que, según los resultados del análisis del sector, en función de los criterios de clasificación empresarial, los documentos del proceso deberán incorporar </w:t>
      </w:r>
      <w:r w:rsidRPr="00CC306F">
        <w:rPr>
          <w:rFonts w:ascii="Geomanist Light" w:hAnsi="Geomanist Light" w:cs="Arial"/>
          <w:color w:val="000000" w:themeColor="text1"/>
          <w:sz w:val="22"/>
          <w:lang w:eastAsia="es-MX"/>
        </w:rPr>
        <w:t xml:space="preserve">requisitos habilitantes diferenciales relacionados con alguno o algunos de los siguientes aspectos: i) tiempo de experiencia, ii) número de contratos para la acreditación de la experiencia, iii) índices de capacidad financiera, iv) índices de capacidad organizacional y v) valor de la garantía de seriedad de la oferta. </w:t>
      </w:r>
    </w:p>
    <w:p w14:paraId="6BA9F7AF" w14:textId="77777777" w:rsidR="00E35E93" w:rsidRPr="00CC306F" w:rsidRDefault="00E35E93" w:rsidP="004E77FA">
      <w:pPr>
        <w:spacing w:after="240" w:line="276" w:lineRule="auto"/>
        <w:ind w:firstLine="708"/>
        <w:jc w:val="both"/>
        <w:rPr>
          <w:rFonts w:ascii="Geomanist Light" w:hAnsi="Geomanist Light" w:cs="Arial"/>
          <w:sz w:val="22"/>
          <w:lang w:eastAsia="es-MX"/>
        </w:rPr>
      </w:pPr>
      <w:r w:rsidRPr="00CC306F">
        <w:rPr>
          <w:rFonts w:ascii="Geomanist Light" w:hAnsi="Geomanist Light" w:cs="Arial"/>
          <w:color w:val="000000" w:themeColor="text1"/>
          <w:sz w:val="22"/>
          <w:lang w:eastAsia="es-MX"/>
        </w:rPr>
        <w:t xml:space="preserve">Lo anterior significa que para determinar los criterios diferenciales para </w:t>
      </w:r>
      <w:proofErr w:type="spellStart"/>
      <w:r w:rsidRPr="00CC306F">
        <w:rPr>
          <w:rFonts w:ascii="Geomanist Light" w:hAnsi="Geomanist Light" w:cs="Arial"/>
          <w:color w:val="000000" w:themeColor="text1"/>
          <w:sz w:val="22"/>
          <w:lang w:eastAsia="es-MX"/>
        </w:rPr>
        <w:t>Mipyme</w:t>
      </w:r>
      <w:proofErr w:type="spellEnd"/>
      <w:r w:rsidRPr="00CC306F">
        <w:rPr>
          <w:rFonts w:ascii="Geomanist Light" w:hAnsi="Geomanist Light" w:cs="Arial"/>
          <w:color w:val="000000" w:themeColor="text1"/>
          <w:sz w:val="22"/>
          <w:lang w:eastAsia="es-MX"/>
        </w:rPr>
        <w:t xml:space="preserve">, las entidades podrán escoger uno o algunos de estos elementos relacionados con requisitos habilitantes, los cuales deberán fijarse respetando las condiciones habilitantes requeridas para el cumplimiento adecuado del contrato. En tal sentido, se establecerán condiciones más exigentes respecto a alguno o algunos de los criterios de participación antes enunciados </w:t>
      </w:r>
      <w:r w:rsidRPr="00CC306F">
        <w:rPr>
          <w:rFonts w:ascii="Geomanist Light" w:hAnsi="Geomanist Light" w:cs="Arial"/>
          <w:color w:val="000000" w:themeColor="text1"/>
          <w:sz w:val="22"/>
          <w:lang w:eastAsia="es-MX"/>
        </w:rPr>
        <w:lastRenderedPageBreak/>
        <w:t xml:space="preserve">frente a los demás proponentes que concurran al procedimiento de selección que no sean </w:t>
      </w:r>
      <w:proofErr w:type="spellStart"/>
      <w:r w:rsidRPr="00CC306F">
        <w:rPr>
          <w:rFonts w:ascii="Geomanist Light" w:hAnsi="Geomanist Light" w:cs="Arial"/>
          <w:color w:val="000000" w:themeColor="text1"/>
          <w:sz w:val="22"/>
          <w:lang w:eastAsia="es-MX"/>
        </w:rPr>
        <w:t>Mipyme</w:t>
      </w:r>
      <w:proofErr w:type="spellEnd"/>
      <w:r w:rsidRPr="00CC306F">
        <w:rPr>
          <w:rFonts w:ascii="Geomanist Light" w:hAnsi="Geomanist Light" w:cs="Arial"/>
          <w:color w:val="000000" w:themeColor="text1"/>
          <w:sz w:val="22"/>
          <w:lang w:eastAsia="es-MX"/>
        </w:rPr>
        <w:t xml:space="preserve">. </w:t>
      </w:r>
    </w:p>
    <w:bookmarkEnd w:id="19"/>
    <w:p w14:paraId="728FF779" w14:textId="21571AAB" w:rsidR="00E35E93" w:rsidRPr="00CC306F" w:rsidRDefault="00160CFF" w:rsidP="004E77FA">
      <w:pPr>
        <w:spacing w:after="240" w:line="276" w:lineRule="auto"/>
        <w:ind w:firstLine="708"/>
        <w:jc w:val="both"/>
        <w:rPr>
          <w:rFonts w:ascii="Geomanist Light" w:hAnsi="Geomanist Light" w:cs="Arial"/>
          <w:color w:val="000000" w:themeColor="text1"/>
          <w:sz w:val="22"/>
          <w:lang w:eastAsia="es-MX"/>
        </w:rPr>
      </w:pPr>
      <w:r w:rsidRPr="00CC306F">
        <w:rPr>
          <w:rFonts w:ascii="Geomanist Light" w:hAnsi="Geomanist Light" w:cs="Arial"/>
          <w:sz w:val="22"/>
          <w:lang w:eastAsia="es-MX"/>
        </w:rPr>
        <w:t xml:space="preserve">Así </w:t>
      </w:r>
      <w:r w:rsidR="00E35E93" w:rsidRPr="00CC306F">
        <w:rPr>
          <w:rFonts w:ascii="Geomanist Light" w:hAnsi="Geomanist Light" w:cs="Arial"/>
          <w:sz w:val="22"/>
          <w:lang w:eastAsia="es-MX"/>
        </w:rPr>
        <w:t xml:space="preserve">mismo, el decreto dispone que, con excepción de los procedimientos de selección abreviada por subasta inversa y de mínima cuantía, las entidades sometidas al Estatuto General de Contratación de la Administración Pública, teniendo en cuenta los criterios de clasificación empresarial, podrán establecer puntajes adicionales que en ningún caso podrán superar el cero punto veinticinco por ciento (0.25%) del valor total de los puntos establecidos en los pliegos de condiciones o documentos equivalentes. Como se observa, se estableció un porcentaje techo para el respectivo puntaje adicional, lo que significa que las entidades pueden otorgar el puntaje máximo de hasta el cero punto veinticinco por ciento (0.25%) del valor total de los puntos establecidos o un puntaje menor. </w:t>
      </w:r>
      <w:r w:rsidR="00E35E93" w:rsidRPr="00CC306F">
        <w:rPr>
          <w:rFonts w:ascii="Geomanist Light" w:hAnsi="Geomanist Light" w:cs="Arial"/>
          <w:color w:val="000000" w:themeColor="text1"/>
          <w:sz w:val="22"/>
          <w:lang w:eastAsia="es-MX"/>
        </w:rPr>
        <w:t xml:space="preserve">Esto con el objeto de que la aplicación del incentivo no vaya en desmedro de la escogencia de la oferta más favorable para la entidad, conforme el deber de selección objetiva exige, por lo que el reglamento estimó como adecuado el porcentaje señalado. </w:t>
      </w:r>
    </w:p>
    <w:p w14:paraId="2556B073" w14:textId="226478D0" w:rsidR="00E35E93" w:rsidRPr="00CC306F" w:rsidRDefault="00E35E93" w:rsidP="004E77FA">
      <w:pPr>
        <w:spacing w:after="240" w:line="276" w:lineRule="auto"/>
        <w:ind w:firstLine="708"/>
        <w:jc w:val="both"/>
        <w:rPr>
          <w:rFonts w:ascii="Geomanist Light" w:hAnsi="Geomanist Light" w:cs="Arial"/>
          <w:color w:val="000000" w:themeColor="text1"/>
          <w:sz w:val="22"/>
          <w:lang w:eastAsia="es-MX"/>
        </w:rPr>
      </w:pPr>
      <w:r w:rsidRPr="00CC306F">
        <w:rPr>
          <w:rFonts w:ascii="Geomanist Light" w:hAnsi="Geomanist Light" w:cs="Arial"/>
          <w:sz w:val="22"/>
          <w:lang w:eastAsia="es-MX"/>
        </w:rPr>
        <w:t xml:space="preserve">En lo relativo a la aplicación de los criterios diferenciales y puntajes adicionales para proponentes plurales, solo se aplicarán si por lo menos uno de los integrantes acredita la calidad de </w:t>
      </w:r>
      <w:proofErr w:type="spellStart"/>
      <w:r w:rsidRPr="00CC306F">
        <w:rPr>
          <w:rFonts w:ascii="Geomanist Light" w:hAnsi="Geomanist Light" w:cs="Arial"/>
          <w:sz w:val="22"/>
          <w:lang w:eastAsia="es-MX"/>
        </w:rPr>
        <w:t>Mipyme</w:t>
      </w:r>
      <w:proofErr w:type="spellEnd"/>
      <w:r w:rsidRPr="00CC306F">
        <w:rPr>
          <w:rFonts w:ascii="Geomanist Light" w:hAnsi="Geomanist Light" w:cs="Arial"/>
          <w:sz w:val="22"/>
          <w:lang w:eastAsia="es-MX"/>
        </w:rPr>
        <w:t xml:space="preserve"> y tiene una participación igual o superior al diez por ciento (10%) en el consorcio o en la unión temporal. Así mismo, de conformidad con el parágrafo 3 del artículo </w:t>
      </w:r>
      <w:r w:rsidRPr="00CC306F">
        <w:rPr>
          <w:rFonts w:ascii="Geomanist Light" w:hAnsi="Geomanist Light" w:cs="Arial"/>
          <w:bCs/>
          <w:sz w:val="22"/>
          <w:lang w:eastAsia="es-MX"/>
        </w:rPr>
        <w:t xml:space="preserve">2.2.1.2.4.2.18 del </w:t>
      </w:r>
      <w:r w:rsidRPr="00CC306F">
        <w:rPr>
          <w:rFonts w:ascii="Geomanist Light" w:hAnsi="Geomanist Light" w:cs="Arial"/>
          <w:sz w:val="22"/>
          <w:lang w:eastAsia="es-MX"/>
        </w:rPr>
        <w:t>Decreto 1082 de 2015 los criterios diferenciales y puntajes adicionales en favor de las micro, pequeñas y medianas empresas no</w:t>
      </w:r>
      <w:r w:rsidRPr="00CC306F">
        <w:rPr>
          <w:rFonts w:ascii="Geomanist Light" w:hAnsi="Geomanist Light" w:cs="Arial"/>
          <w:color w:val="000000" w:themeColor="text1"/>
          <w:sz w:val="22"/>
          <w:lang w:eastAsia="es-MX"/>
        </w:rPr>
        <w:t xml:space="preserve"> se aplicarán cuando se limiten las convocatorias a </w:t>
      </w:r>
      <w:proofErr w:type="spellStart"/>
      <w:r w:rsidRPr="00CC306F">
        <w:rPr>
          <w:rFonts w:ascii="Geomanist Light" w:hAnsi="Geomanist Light" w:cs="Arial"/>
          <w:color w:val="000000" w:themeColor="text1"/>
          <w:sz w:val="22"/>
          <w:lang w:eastAsia="es-MX"/>
        </w:rPr>
        <w:t>Mipyme</w:t>
      </w:r>
      <w:proofErr w:type="spellEnd"/>
      <w:r w:rsidRPr="00CC306F">
        <w:rPr>
          <w:rFonts w:ascii="Geomanist Light" w:hAnsi="Geomanist Light" w:cs="Arial"/>
          <w:color w:val="000000" w:themeColor="text1"/>
          <w:sz w:val="22"/>
          <w:lang w:eastAsia="es-MX"/>
        </w:rPr>
        <w:t xml:space="preserve"> en los términos de los artículos 2.2.1.2.4.2.2 y 2.2.1.2.4.2.3 de este Decreto. </w:t>
      </w:r>
    </w:p>
    <w:p w14:paraId="57BA157F" w14:textId="3159347F" w:rsidR="00BA5485" w:rsidRPr="00CC306F" w:rsidRDefault="009A6223" w:rsidP="004E77FA">
      <w:pPr>
        <w:spacing w:after="240" w:line="276" w:lineRule="auto"/>
        <w:ind w:firstLine="709"/>
        <w:jc w:val="both"/>
        <w:rPr>
          <w:rFonts w:ascii="Geomanist Light" w:hAnsi="Geomanist Light" w:cs="Arial"/>
          <w:sz w:val="22"/>
          <w:lang w:eastAsia="es-MX"/>
        </w:rPr>
      </w:pPr>
      <w:r w:rsidRPr="00CC306F">
        <w:rPr>
          <w:rFonts w:ascii="Geomanist Light" w:hAnsi="Geomanist Light" w:cs="Arial"/>
          <w:sz w:val="22"/>
          <w:lang w:eastAsia="es-MX"/>
        </w:rPr>
        <w:t>Ahora bien, para efectos de la acreditación c</w:t>
      </w:r>
      <w:r w:rsidR="00BA5485" w:rsidRPr="00CC306F">
        <w:rPr>
          <w:rFonts w:ascii="Geomanist Light" w:hAnsi="Geomanist Light" w:cs="Arial"/>
          <w:sz w:val="22"/>
          <w:lang w:eastAsia="es-MX"/>
        </w:rPr>
        <w:t xml:space="preserve">onforme a lo establecido en el artículo 2.2.1.2.4.2.18. que establece la posibilidad de otorgar puntaje adicional a </w:t>
      </w:r>
      <w:proofErr w:type="spellStart"/>
      <w:r w:rsidR="00BA5485" w:rsidRPr="00CC306F">
        <w:rPr>
          <w:rFonts w:ascii="Geomanist Light" w:hAnsi="Geomanist Light" w:cs="Arial"/>
          <w:sz w:val="22"/>
          <w:lang w:eastAsia="es-MX"/>
        </w:rPr>
        <w:t>Mipymes</w:t>
      </w:r>
      <w:proofErr w:type="spellEnd"/>
      <w:r w:rsidR="00BA5485" w:rsidRPr="00CC306F">
        <w:rPr>
          <w:rFonts w:ascii="Geomanist Light" w:hAnsi="Geomanist Light" w:cs="Arial"/>
          <w:sz w:val="22"/>
          <w:lang w:eastAsia="es-MX"/>
        </w:rPr>
        <w:t>, para los efectos de dicho beneficio los criterios de clasificación empresarial son los definidos en el artículo </w:t>
      </w:r>
      <w:hyperlink r:id="rId12" w:anchor="2.2.1.13.2.2" w:history="1">
        <w:r w:rsidR="00BA5485" w:rsidRPr="00CC306F">
          <w:rPr>
            <w:rFonts w:ascii="Geomanist Light" w:hAnsi="Geomanist Light" w:cs="Arial"/>
            <w:sz w:val="22"/>
            <w:lang w:eastAsia="es-MX"/>
          </w:rPr>
          <w:t>2.2.1.13.2.2</w:t>
        </w:r>
      </w:hyperlink>
      <w:r w:rsidR="00BA5485" w:rsidRPr="00CC306F">
        <w:rPr>
          <w:rFonts w:ascii="Geomanist Light" w:hAnsi="Geomanist Light" w:cs="Arial"/>
          <w:sz w:val="22"/>
          <w:lang w:eastAsia="es-MX"/>
        </w:rPr>
        <w:t> del Decreto 1074 de 2015, Único Reglamentario del Sector Comercio, Industria y Turismo, o la norma que lo modifique, derogue o sustituya.</w:t>
      </w:r>
    </w:p>
    <w:p w14:paraId="18D78A8C" w14:textId="77777777" w:rsidR="00BA5485" w:rsidRPr="00CC306F" w:rsidRDefault="00BA5485" w:rsidP="004E77FA">
      <w:pPr>
        <w:spacing w:after="240" w:line="276" w:lineRule="auto"/>
        <w:jc w:val="both"/>
        <w:rPr>
          <w:rFonts w:ascii="Geomanist Light" w:hAnsi="Geomanist Light" w:cs="Arial"/>
          <w:sz w:val="22"/>
          <w:lang w:eastAsia="es-MX"/>
        </w:rPr>
      </w:pPr>
    </w:p>
    <w:p w14:paraId="0F0ABC20" w14:textId="7D0F1B22" w:rsidR="00BA5485" w:rsidRPr="00CC306F" w:rsidRDefault="00BA5485" w:rsidP="003D4FAA">
      <w:pPr>
        <w:pStyle w:val="NormalWeb"/>
        <w:shd w:val="clear" w:color="auto" w:fill="FFFFFF"/>
        <w:spacing w:before="0" w:beforeAutospacing="0" w:after="240" w:afterAutospacing="0" w:line="276" w:lineRule="auto"/>
        <w:ind w:firstLine="709"/>
        <w:jc w:val="both"/>
        <w:rPr>
          <w:rFonts w:ascii="Geomanist Light" w:hAnsi="Geomanist Light" w:cs="Arial"/>
          <w:sz w:val="22"/>
          <w:lang w:eastAsia="es-MX"/>
        </w:rPr>
      </w:pPr>
      <w:r w:rsidRPr="00CC306F">
        <w:rPr>
          <w:rFonts w:ascii="Geomanist Light" w:hAnsi="Geomanist Light" w:cs="Arial"/>
          <w:sz w:val="22"/>
          <w:lang w:eastAsia="es-MX"/>
        </w:rPr>
        <w:t xml:space="preserve">A su vez, el artículo </w:t>
      </w:r>
      <w:hyperlink r:id="rId13" w:anchor="2.2.1.13.2.2" w:history="1">
        <w:r w:rsidRPr="00CC306F">
          <w:rPr>
            <w:rFonts w:ascii="Geomanist Light" w:hAnsi="Geomanist Light" w:cs="Arial"/>
            <w:sz w:val="22"/>
            <w:lang w:eastAsia="es-MX"/>
          </w:rPr>
          <w:t>2.2.1.13.2.2</w:t>
        </w:r>
      </w:hyperlink>
      <w:r w:rsidRPr="00CC306F">
        <w:rPr>
          <w:rFonts w:ascii="Geomanist Light" w:hAnsi="Geomanist Light" w:cs="Arial"/>
          <w:sz w:val="22"/>
          <w:lang w:eastAsia="es-MX"/>
        </w:rPr>
        <w:t xml:space="preserve"> del Decreto 1074 de 2015, establece los rangos para la definición del tamaño empresarial y a su vez en el parágrafo del artículo </w:t>
      </w:r>
      <w:bookmarkStart w:id="20" w:name="2.2.1.13.2.4"/>
      <w:bookmarkEnd w:id="20"/>
      <w:r w:rsidRPr="00CC306F">
        <w:rPr>
          <w:rFonts w:ascii="Geomanist Light" w:hAnsi="Geomanist Light" w:cs="Arial"/>
          <w:sz w:val="22"/>
          <w:lang w:eastAsia="es-MX"/>
        </w:rPr>
        <w:t>2.2.1.13.2.4. señaló que, para la aplicación de los incentivos del sistema de compras y contratación pública, la acreditación del tamaño empresarial se efectuará de acuerdo con lo previsto en el artículo 2.2.1.2.4.2.4 del Decreto 1082 de 2015 y demás normas que lo aclaren, modifiquen o adicionen.</w:t>
      </w:r>
    </w:p>
    <w:p w14:paraId="07ADCB12" w14:textId="00550E26" w:rsidR="00BA5485" w:rsidRPr="00CC306F" w:rsidRDefault="00BA5485" w:rsidP="003D4FAA">
      <w:pPr>
        <w:pStyle w:val="NormalWeb"/>
        <w:shd w:val="clear" w:color="auto" w:fill="FFFFFF"/>
        <w:spacing w:before="0" w:beforeAutospacing="0" w:after="240" w:afterAutospacing="0" w:line="276" w:lineRule="auto"/>
        <w:ind w:firstLine="709"/>
        <w:jc w:val="both"/>
        <w:rPr>
          <w:rFonts w:ascii="Geomanist Light" w:hAnsi="Geomanist Light" w:cs="Arial"/>
          <w:sz w:val="22"/>
          <w:lang w:eastAsia="es-MX"/>
        </w:rPr>
      </w:pPr>
      <w:r w:rsidRPr="00CC306F">
        <w:rPr>
          <w:rFonts w:ascii="Geomanist Light" w:hAnsi="Geomanist Light" w:cs="Arial"/>
          <w:sz w:val="22"/>
          <w:lang w:eastAsia="es-MX"/>
        </w:rPr>
        <w:lastRenderedPageBreak/>
        <w:t xml:space="preserve">En tal sentido, el 2.2.1.2.4.2.4 del Decreto 1082 de 2015 modificado por el artículo 5 del Decreto 1860 de 2021 establece que las </w:t>
      </w:r>
      <w:proofErr w:type="spellStart"/>
      <w:r w:rsidRPr="00CC306F">
        <w:rPr>
          <w:rFonts w:ascii="Geomanist Light" w:hAnsi="Geomanist Light" w:cs="Arial"/>
          <w:sz w:val="22"/>
          <w:lang w:eastAsia="es-MX"/>
        </w:rPr>
        <w:t>Mipyme</w:t>
      </w:r>
      <w:proofErr w:type="spellEnd"/>
      <w:r w:rsidRPr="00CC306F">
        <w:rPr>
          <w:rFonts w:ascii="Geomanist Light" w:hAnsi="Geomanist Light" w:cs="Arial"/>
          <w:sz w:val="22"/>
          <w:lang w:eastAsia="es-MX"/>
        </w:rPr>
        <w:t xml:space="preserve"> colombianas deben acreditar que tiene el tamaño empresarial establecido por la ley de la siguiente manera: </w:t>
      </w:r>
    </w:p>
    <w:p w14:paraId="065BC243" w14:textId="4374E689" w:rsidR="00BA5485" w:rsidRPr="00CC306F" w:rsidRDefault="00277D0B" w:rsidP="003D4FAA">
      <w:pPr>
        <w:pStyle w:val="NormalWeb"/>
        <w:shd w:val="clear" w:color="auto" w:fill="FFFFFF"/>
        <w:spacing w:before="0" w:beforeAutospacing="0" w:after="240" w:afterAutospacing="0"/>
        <w:ind w:left="709" w:right="900"/>
        <w:jc w:val="both"/>
        <w:rPr>
          <w:rFonts w:ascii="Geomanist Light" w:hAnsi="Geomanist Light" w:cs="Arial"/>
          <w:sz w:val="21"/>
          <w:szCs w:val="21"/>
          <w:lang w:eastAsia="es-MX"/>
        </w:rPr>
      </w:pPr>
      <w:r w:rsidRPr="00CC306F">
        <w:rPr>
          <w:rFonts w:ascii="Geomanist Light" w:hAnsi="Geomanist Light" w:cs="Arial"/>
          <w:sz w:val="21"/>
          <w:szCs w:val="21"/>
          <w:lang w:eastAsia="es-MX"/>
        </w:rPr>
        <w:t xml:space="preserve">1. </w:t>
      </w:r>
      <w:r w:rsidR="00BA5485" w:rsidRPr="00CC306F">
        <w:rPr>
          <w:rFonts w:ascii="Geomanist Light" w:hAnsi="Geomanist Light" w:cs="Arial"/>
          <w:sz w:val="21"/>
          <w:szCs w:val="21"/>
          <w:lang w:eastAsia="es-MX"/>
        </w:rPr>
        <w:t xml:space="preserve">Las personas naturales mediante certificación expedida por ellos y un contador público, adjuntando copia del registro mercantil. </w:t>
      </w:r>
    </w:p>
    <w:p w14:paraId="4FA7BD3B" w14:textId="39B5283E" w:rsidR="00BA5485" w:rsidRPr="00CC306F" w:rsidRDefault="00277D0B" w:rsidP="003D4FAA">
      <w:pPr>
        <w:pStyle w:val="NormalWeb"/>
        <w:shd w:val="clear" w:color="auto" w:fill="FFFFFF"/>
        <w:spacing w:before="0" w:beforeAutospacing="0" w:after="240" w:afterAutospacing="0"/>
        <w:ind w:left="709" w:right="900"/>
        <w:jc w:val="both"/>
        <w:rPr>
          <w:rFonts w:ascii="Geomanist Light" w:hAnsi="Geomanist Light" w:cs="Arial"/>
          <w:sz w:val="21"/>
          <w:szCs w:val="21"/>
          <w:lang w:eastAsia="es-MX"/>
        </w:rPr>
      </w:pPr>
      <w:r w:rsidRPr="00CC306F">
        <w:rPr>
          <w:rFonts w:ascii="Geomanist Light" w:hAnsi="Geomanist Light" w:cs="Arial"/>
          <w:sz w:val="21"/>
          <w:szCs w:val="21"/>
          <w:lang w:eastAsia="es-MX"/>
        </w:rPr>
        <w:t xml:space="preserve">2. </w:t>
      </w:r>
      <w:r w:rsidR="00BA5485" w:rsidRPr="00CC306F">
        <w:rPr>
          <w:rFonts w:ascii="Geomanist Light" w:hAnsi="Geomanist Light" w:cs="Arial"/>
          <w:sz w:val="21"/>
          <w:szCs w:val="21"/>
          <w:lang w:eastAsia="es-MX"/>
        </w:rPr>
        <w:t xml:space="preserve">Las personas jurídicas mediante 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 </w:t>
      </w:r>
    </w:p>
    <w:p w14:paraId="2D3B8E17" w14:textId="711364C3" w:rsidR="00D51728" w:rsidRPr="00CC306F" w:rsidRDefault="00BA5485" w:rsidP="004E77FA">
      <w:pPr>
        <w:spacing w:after="240"/>
        <w:ind w:left="709" w:right="900"/>
        <w:jc w:val="both"/>
        <w:rPr>
          <w:rFonts w:ascii="Geomanist Light" w:hAnsi="Geomanist Light" w:cs="Arial"/>
          <w:sz w:val="22"/>
          <w:lang w:eastAsia="es-MX"/>
        </w:rPr>
      </w:pPr>
      <w:r w:rsidRPr="00CC306F">
        <w:rPr>
          <w:rFonts w:ascii="Geomanist Light" w:hAnsi="Geomanist Light" w:cs="Arial"/>
          <w:sz w:val="21"/>
          <w:szCs w:val="21"/>
          <w:lang w:eastAsia="es-MX"/>
        </w:rPr>
        <w:t xml:space="preserve">Parágrafo 1. En todo caso, las </w:t>
      </w:r>
      <w:proofErr w:type="spellStart"/>
      <w:r w:rsidRPr="00CC306F">
        <w:rPr>
          <w:rFonts w:ascii="Geomanist Light" w:hAnsi="Geomanist Light" w:cs="Arial"/>
          <w:sz w:val="21"/>
          <w:szCs w:val="21"/>
          <w:lang w:eastAsia="es-MX"/>
        </w:rPr>
        <w:t>Mipyme</w:t>
      </w:r>
      <w:proofErr w:type="spellEnd"/>
      <w:r w:rsidRPr="00CC306F">
        <w:rPr>
          <w:rFonts w:ascii="Geomanist Light" w:hAnsi="Geomanist Light" w:cs="Arial"/>
          <w:sz w:val="21"/>
          <w:szCs w:val="21"/>
          <w:lang w:eastAsia="es-MX"/>
        </w:rPr>
        <w:t xml:space="preserve"> también podrán acreditar esta condición con la copia del certificado del Registro Único de Proponentes, el cual deberá encontrarse vigente y en firme al momento de su presentación.</w:t>
      </w:r>
    </w:p>
    <w:bookmarkEnd w:id="8"/>
    <w:p w14:paraId="089B0EA3" w14:textId="135341A9" w:rsidR="00175D56" w:rsidRPr="003D4FAA" w:rsidRDefault="00465C12" w:rsidP="003D4FAA">
      <w:pPr>
        <w:spacing w:after="240" w:line="276" w:lineRule="auto"/>
        <w:ind w:firstLine="709"/>
        <w:jc w:val="both"/>
        <w:rPr>
          <w:rFonts w:ascii="Geomanist Light" w:hAnsi="Geomanist Light" w:cs="Arial"/>
          <w:sz w:val="22"/>
          <w:szCs w:val="22"/>
          <w:lang w:val="es-ES_tradnl"/>
        </w:rPr>
      </w:pPr>
      <w:r w:rsidRPr="00CC306F">
        <w:rPr>
          <w:rFonts w:ascii="Geomanist Light" w:hAnsi="Geomanist Light" w:cs="Arial"/>
          <w:sz w:val="22"/>
          <w:szCs w:val="22"/>
          <w:lang w:val="es-ES_tradnl"/>
        </w:rPr>
        <w:t xml:space="preserve">Conforme a lo expuesto, la normativa descrita establece que </w:t>
      </w:r>
      <w:r w:rsidR="00175D56" w:rsidRPr="00CC306F">
        <w:rPr>
          <w:rFonts w:ascii="Geomanist Light" w:hAnsi="Geomanist Light" w:cs="Arial"/>
          <w:sz w:val="22"/>
          <w:szCs w:val="22"/>
          <w:lang w:val="es-ES_tradnl"/>
        </w:rPr>
        <w:t>los criterios de clasificación empresarial son los definidos en el artículo </w:t>
      </w:r>
      <w:hyperlink r:id="rId14" w:anchor="2.2.1.13.2.2" w:history="1">
        <w:r w:rsidR="00175D56" w:rsidRPr="00CC306F">
          <w:rPr>
            <w:rFonts w:ascii="Geomanist Light" w:hAnsi="Geomanist Light" w:cs="Arial"/>
            <w:sz w:val="22"/>
            <w:szCs w:val="22"/>
            <w:lang w:val="es-ES_tradnl"/>
          </w:rPr>
          <w:t>2.2.1.13.2.2</w:t>
        </w:r>
      </w:hyperlink>
      <w:r w:rsidR="00175D56" w:rsidRPr="00CC306F">
        <w:rPr>
          <w:rFonts w:ascii="Geomanist Light" w:hAnsi="Geomanist Light" w:cs="Arial"/>
          <w:sz w:val="22"/>
          <w:szCs w:val="22"/>
          <w:lang w:val="es-ES_tradnl"/>
        </w:rPr>
        <w:t> del Decreto 1074 de 2015, Único Reglamentario del Sector Comercio, Industria y Turismo, o la norma que lo modifique, derogue o sustituya, norma que además de establecer los rangos para la definición del tamaño empresarial precisó en el parágrafo de su artículo 2.2.1.13.2.4.  que, para la aplicación de los incentivos del sistema de compras y contratación pública, la acreditación del tamaño empresarial se efectuará de acuerdo con lo previsto en el artículo 2.2.1.2.4.2.4 del Decreto 1082 de 2015 y demás normas que lo aclaren, modifiquen o adicionen.</w:t>
      </w:r>
    </w:p>
    <w:p w14:paraId="256CCD83" w14:textId="32A2B603" w:rsidR="00175D56" w:rsidRPr="00CC306F" w:rsidRDefault="00175D56" w:rsidP="003D4FAA">
      <w:pPr>
        <w:pStyle w:val="NormalWeb"/>
        <w:shd w:val="clear" w:color="auto" w:fill="FFFFFF"/>
        <w:spacing w:before="0" w:beforeAutospacing="0" w:after="240" w:afterAutospacing="0" w:line="276" w:lineRule="auto"/>
        <w:ind w:firstLine="709"/>
        <w:jc w:val="both"/>
        <w:rPr>
          <w:rFonts w:ascii="Geomanist Light" w:hAnsi="Geomanist Light" w:cs="Arial"/>
          <w:sz w:val="22"/>
          <w:szCs w:val="22"/>
        </w:rPr>
      </w:pPr>
      <w:r w:rsidRPr="00CC306F">
        <w:rPr>
          <w:rFonts w:ascii="Geomanist Light" w:eastAsia="Calibri" w:hAnsi="Geomanist Light" w:cs="Arial"/>
          <w:sz w:val="22"/>
          <w:szCs w:val="22"/>
          <w:lang w:val="es-ES_tradnl" w:eastAsia="en-US"/>
        </w:rPr>
        <w:t xml:space="preserve">En tal sentido, el 2.2.1.2.4.2.4 del Decreto 1082 de 2015 modificado por el artículo 5 del Decreto 1860 de 2021 establece que las </w:t>
      </w:r>
      <w:proofErr w:type="spellStart"/>
      <w:r w:rsidRPr="00CC306F">
        <w:rPr>
          <w:rFonts w:ascii="Geomanist Light" w:hAnsi="Geomanist Light" w:cs="Arial"/>
          <w:sz w:val="22"/>
          <w:szCs w:val="22"/>
        </w:rPr>
        <w:t>Mipyme</w:t>
      </w:r>
      <w:proofErr w:type="spellEnd"/>
      <w:r w:rsidRPr="00CC306F">
        <w:rPr>
          <w:rFonts w:ascii="Geomanist Light" w:hAnsi="Geomanist Light" w:cs="Arial"/>
          <w:sz w:val="22"/>
          <w:szCs w:val="22"/>
        </w:rPr>
        <w:t xml:space="preserve"> colombianas deben acreditar que tiene el tamaño empresarial establecido por la ley de la siguiente manera: </w:t>
      </w:r>
      <w:r w:rsidR="00465C12" w:rsidRPr="00CC306F">
        <w:rPr>
          <w:rFonts w:ascii="Geomanist Light" w:hAnsi="Geomanist Light" w:cs="Arial"/>
          <w:sz w:val="22"/>
          <w:szCs w:val="22"/>
        </w:rPr>
        <w:t>i)</w:t>
      </w:r>
      <w:r w:rsidRPr="00CC306F">
        <w:rPr>
          <w:rFonts w:ascii="Geomanist Light" w:hAnsi="Geomanist Light" w:cs="Arial"/>
          <w:sz w:val="22"/>
          <w:szCs w:val="22"/>
        </w:rPr>
        <w:t xml:space="preserve"> </w:t>
      </w:r>
      <w:r w:rsidR="00465C12" w:rsidRPr="00CC306F">
        <w:rPr>
          <w:rFonts w:ascii="Geomanist Light" w:hAnsi="Geomanist Light" w:cs="Arial"/>
          <w:sz w:val="22"/>
          <w:szCs w:val="22"/>
        </w:rPr>
        <w:t>l</w:t>
      </w:r>
      <w:r w:rsidRPr="00CC306F">
        <w:rPr>
          <w:rFonts w:ascii="Geomanist Light" w:hAnsi="Geomanist Light" w:cs="Arial"/>
          <w:sz w:val="22"/>
          <w:szCs w:val="22"/>
        </w:rPr>
        <w:t xml:space="preserve">as personas naturales mediante certificación expedida por ellos y un contador público, adjuntando copia del registro mercantil; </w:t>
      </w:r>
      <w:r w:rsidR="00465C12" w:rsidRPr="00CC306F">
        <w:rPr>
          <w:rFonts w:ascii="Geomanist Light" w:hAnsi="Geomanist Light" w:cs="Arial"/>
          <w:sz w:val="22"/>
          <w:szCs w:val="22"/>
        </w:rPr>
        <w:t>ii)</w:t>
      </w:r>
      <w:r w:rsidRPr="00CC306F">
        <w:rPr>
          <w:rFonts w:ascii="Geomanist Light" w:hAnsi="Geomanist Light" w:cs="Arial"/>
          <w:sz w:val="22"/>
          <w:szCs w:val="22"/>
        </w:rPr>
        <w:t xml:space="preserve"> </w:t>
      </w:r>
      <w:r w:rsidR="00465C12" w:rsidRPr="00CC306F">
        <w:rPr>
          <w:rFonts w:ascii="Geomanist Light" w:hAnsi="Geomanist Light" w:cs="Arial"/>
          <w:sz w:val="22"/>
          <w:szCs w:val="22"/>
        </w:rPr>
        <w:t>l</w:t>
      </w:r>
      <w:r w:rsidRPr="00CC306F">
        <w:rPr>
          <w:rFonts w:ascii="Geomanist Light" w:hAnsi="Geomanist Light" w:cs="Arial"/>
          <w:sz w:val="22"/>
          <w:szCs w:val="22"/>
        </w:rPr>
        <w:t xml:space="preserve">as personas jurídicas mediante 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 </w:t>
      </w:r>
    </w:p>
    <w:p w14:paraId="76BEA29F" w14:textId="77777777" w:rsidR="00465C12" w:rsidRPr="00CC306F" w:rsidRDefault="00175D56" w:rsidP="004E77FA">
      <w:pPr>
        <w:tabs>
          <w:tab w:val="left" w:pos="0"/>
        </w:tabs>
        <w:spacing w:after="240" w:line="276" w:lineRule="auto"/>
        <w:ind w:firstLine="709"/>
        <w:contextualSpacing/>
        <w:jc w:val="both"/>
        <w:rPr>
          <w:rFonts w:ascii="Geomanist Light" w:hAnsi="Geomanist Light" w:cs="Arial"/>
          <w:sz w:val="22"/>
          <w:szCs w:val="22"/>
        </w:rPr>
      </w:pPr>
      <w:r w:rsidRPr="00CC306F">
        <w:rPr>
          <w:rFonts w:ascii="Geomanist Light" w:hAnsi="Geomanist Light" w:cs="Arial"/>
          <w:sz w:val="22"/>
          <w:szCs w:val="22"/>
        </w:rPr>
        <w:t xml:space="preserve">No obstante, el parágrafo 1 ibídem establece que </w:t>
      </w:r>
      <w:r w:rsidRPr="00CC306F">
        <w:rPr>
          <w:rFonts w:ascii="Geomanist Light" w:hAnsi="Geomanist Light" w:cs="Arial"/>
          <w:i/>
          <w:sz w:val="22"/>
          <w:szCs w:val="22"/>
        </w:rPr>
        <w:t xml:space="preserve">“En todo caso, las </w:t>
      </w:r>
      <w:proofErr w:type="spellStart"/>
      <w:r w:rsidRPr="00CC306F">
        <w:rPr>
          <w:rFonts w:ascii="Geomanist Light" w:hAnsi="Geomanist Light" w:cs="Arial"/>
          <w:i/>
          <w:sz w:val="22"/>
          <w:szCs w:val="22"/>
        </w:rPr>
        <w:t>Mipyme</w:t>
      </w:r>
      <w:proofErr w:type="spellEnd"/>
      <w:r w:rsidRPr="00CC306F">
        <w:rPr>
          <w:rFonts w:ascii="Geomanist Light" w:hAnsi="Geomanist Light" w:cs="Arial"/>
          <w:i/>
          <w:sz w:val="22"/>
          <w:szCs w:val="22"/>
        </w:rPr>
        <w:t xml:space="preserve"> también podrán acreditar esta condición con la copia del certificado del Registro Único de Proponentes, el cual deberá encontrarse vigente y en firme al momento de su presentación</w:t>
      </w:r>
      <w:r w:rsidRPr="00CC306F">
        <w:rPr>
          <w:rFonts w:ascii="Geomanist Light" w:hAnsi="Geomanist Light" w:cs="Arial"/>
          <w:sz w:val="22"/>
          <w:szCs w:val="22"/>
        </w:rPr>
        <w:t xml:space="preserve">”. </w:t>
      </w:r>
    </w:p>
    <w:p w14:paraId="7007C233" w14:textId="2AE38DAB" w:rsidR="00EB7970" w:rsidRPr="00CC306F" w:rsidRDefault="00175D56" w:rsidP="004E77FA">
      <w:pPr>
        <w:tabs>
          <w:tab w:val="left" w:pos="0"/>
        </w:tabs>
        <w:spacing w:after="240" w:line="276" w:lineRule="auto"/>
        <w:ind w:firstLine="709"/>
        <w:contextualSpacing/>
        <w:jc w:val="both"/>
        <w:rPr>
          <w:rFonts w:ascii="Geomanist Light" w:eastAsia="Calibri" w:hAnsi="Geomanist Light" w:cs="Arial"/>
          <w:b/>
          <w:color w:val="000000" w:themeColor="text1"/>
          <w:sz w:val="22"/>
          <w:szCs w:val="22"/>
          <w:lang w:val="es-ES_tradnl"/>
        </w:rPr>
      </w:pPr>
      <w:r w:rsidRPr="00CC306F">
        <w:rPr>
          <w:rFonts w:ascii="Geomanist Light" w:eastAsia="Arial" w:hAnsi="Geomanist Light" w:cs="Arial"/>
          <w:color w:val="000000"/>
          <w:sz w:val="22"/>
          <w:szCs w:val="22"/>
        </w:rPr>
        <w:t xml:space="preserve">De este modo, las entidades deben dar cumplimiento expreso a las distintas posibilidades que otorga el Decreto 1082 para </w:t>
      </w:r>
      <w:r w:rsidRPr="00CC306F">
        <w:rPr>
          <w:rFonts w:ascii="Geomanist Light" w:hAnsi="Geomanist Light" w:cs="Arial"/>
          <w:sz w:val="22"/>
          <w:szCs w:val="22"/>
        </w:rPr>
        <w:t>acreditar que tiene el tamaño empresarial establecido por la ley</w:t>
      </w:r>
      <w:r w:rsidRPr="00CC306F">
        <w:rPr>
          <w:rFonts w:ascii="Geomanist Light" w:hAnsi="Geomanist Light" w:cs="Arial"/>
          <w:sz w:val="22"/>
          <w:szCs w:val="22"/>
          <w:lang w:val="es-ES_tradnl"/>
        </w:rPr>
        <w:t xml:space="preserve">. De tal suerte que </w:t>
      </w:r>
      <w:r w:rsidRPr="00CC306F">
        <w:rPr>
          <w:rFonts w:ascii="Geomanist Light" w:hAnsi="Geomanist Light" w:cs="Arial"/>
          <w:sz w:val="22"/>
          <w:szCs w:val="22"/>
        </w:rPr>
        <w:t xml:space="preserve">las </w:t>
      </w:r>
      <w:proofErr w:type="spellStart"/>
      <w:r w:rsidRPr="00CC306F">
        <w:rPr>
          <w:rFonts w:ascii="Geomanist Light" w:hAnsi="Geomanist Light" w:cs="Arial"/>
          <w:sz w:val="22"/>
          <w:szCs w:val="22"/>
        </w:rPr>
        <w:t>Mipyme</w:t>
      </w:r>
      <w:proofErr w:type="spellEnd"/>
      <w:r w:rsidRPr="00CC306F">
        <w:rPr>
          <w:rFonts w:ascii="Geomanist Light" w:hAnsi="Geomanist Light" w:cs="Arial"/>
          <w:sz w:val="22"/>
          <w:szCs w:val="22"/>
        </w:rPr>
        <w:t xml:space="preserve"> también podrán acreditar esta condición </w:t>
      </w:r>
      <w:r w:rsidRPr="00CC306F">
        <w:rPr>
          <w:rFonts w:ascii="Geomanist Light" w:hAnsi="Geomanist Light" w:cs="Arial"/>
          <w:sz w:val="22"/>
          <w:szCs w:val="22"/>
        </w:rPr>
        <w:lastRenderedPageBreak/>
        <w:t>con la copia del certificado del Registro Único de Proponentes, el cual deberá encontrarse vigente y en firme al momento de su presentación.</w:t>
      </w:r>
    </w:p>
    <w:p w14:paraId="32C62381" w14:textId="77777777" w:rsidR="00CC306F" w:rsidRPr="00CC306F" w:rsidRDefault="00CC306F" w:rsidP="004E77FA">
      <w:pPr>
        <w:tabs>
          <w:tab w:val="left" w:pos="0"/>
        </w:tabs>
        <w:spacing w:after="240" w:line="276" w:lineRule="auto"/>
        <w:contextualSpacing/>
        <w:jc w:val="both"/>
        <w:rPr>
          <w:rFonts w:ascii="Geomanist Light" w:eastAsia="Calibri" w:hAnsi="Geomanist Light" w:cs="Arial"/>
          <w:b/>
          <w:color w:val="000000" w:themeColor="text1"/>
          <w:sz w:val="22"/>
          <w:lang w:val="es-ES_tradnl"/>
        </w:rPr>
      </w:pPr>
    </w:p>
    <w:p w14:paraId="018E5588" w14:textId="114A947B" w:rsidR="00EB7970" w:rsidRPr="00CC306F" w:rsidRDefault="00751030" w:rsidP="004E77FA">
      <w:pPr>
        <w:tabs>
          <w:tab w:val="left" w:pos="0"/>
        </w:tabs>
        <w:spacing w:after="240" w:line="276" w:lineRule="auto"/>
        <w:contextualSpacing/>
        <w:jc w:val="both"/>
        <w:rPr>
          <w:rFonts w:ascii="Geomanist Light" w:eastAsia="Calibri" w:hAnsi="Geomanist Light" w:cs="Arial"/>
          <w:b/>
          <w:color w:val="000000" w:themeColor="text1"/>
          <w:sz w:val="22"/>
          <w:lang w:val="es-ES_tradnl"/>
        </w:rPr>
      </w:pPr>
      <w:r w:rsidRPr="00CC306F">
        <w:rPr>
          <w:rFonts w:ascii="Geomanist Light" w:eastAsia="Calibri" w:hAnsi="Geomanist Light" w:cs="Arial"/>
          <w:b/>
          <w:color w:val="000000" w:themeColor="text1"/>
          <w:sz w:val="22"/>
          <w:lang w:val="es-ES_tradnl"/>
        </w:rPr>
        <w:t xml:space="preserve">2.6. </w:t>
      </w:r>
      <w:r w:rsidR="00CC306F">
        <w:rPr>
          <w:rFonts w:ascii="Geomanist Light" w:eastAsia="Calibri" w:hAnsi="Geomanist Light" w:cs="Arial"/>
          <w:b/>
          <w:color w:val="000000" w:themeColor="text1"/>
          <w:sz w:val="22"/>
          <w:lang w:val="es-ES_tradnl"/>
        </w:rPr>
        <w:t>El precio en los contratos estatales</w:t>
      </w:r>
    </w:p>
    <w:p w14:paraId="29954AE4" w14:textId="77777777" w:rsidR="00CC306F" w:rsidRPr="00CC306F" w:rsidRDefault="00CC306F" w:rsidP="004E77FA">
      <w:pPr>
        <w:tabs>
          <w:tab w:val="left" w:pos="0"/>
        </w:tabs>
        <w:spacing w:after="240" w:line="276" w:lineRule="auto"/>
        <w:contextualSpacing/>
        <w:jc w:val="both"/>
        <w:rPr>
          <w:rFonts w:ascii="Geomanist Light" w:eastAsia="Calibri" w:hAnsi="Geomanist Light" w:cs="Arial"/>
          <w:b/>
          <w:color w:val="000000" w:themeColor="text1"/>
          <w:sz w:val="22"/>
          <w:szCs w:val="22"/>
          <w:lang w:val="es-ES_tradnl"/>
        </w:rPr>
      </w:pPr>
    </w:p>
    <w:p w14:paraId="3DEB2DEA" w14:textId="6E100497" w:rsidR="006370A0" w:rsidRDefault="002843ED" w:rsidP="004E77FA">
      <w:pPr>
        <w:tabs>
          <w:tab w:val="left" w:pos="0"/>
        </w:tabs>
        <w:spacing w:after="240" w:line="276" w:lineRule="auto"/>
        <w:contextualSpacing/>
        <w:jc w:val="both"/>
        <w:rPr>
          <w:rFonts w:ascii="Geomanist Light" w:hAnsi="Geomanist Light"/>
          <w:sz w:val="22"/>
          <w:szCs w:val="22"/>
        </w:rPr>
      </w:pPr>
      <w:r>
        <w:rPr>
          <w:rFonts w:ascii="Geomanist Light" w:eastAsia="Calibri" w:hAnsi="Geomanist Light" w:cs="Arial"/>
          <w:color w:val="000000" w:themeColor="text1"/>
          <w:sz w:val="22"/>
          <w:szCs w:val="22"/>
          <w:lang w:val="es-ES_tradnl"/>
        </w:rPr>
        <w:t>E</w:t>
      </w:r>
      <w:r w:rsidR="007617C2" w:rsidRPr="00671D8E">
        <w:rPr>
          <w:rFonts w:ascii="Geomanist Light" w:hAnsi="Geomanist Light"/>
          <w:sz w:val="22"/>
          <w:szCs w:val="22"/>
        </w:rPr>
        <w:t xml:space="preserve">n nuestro ordenamiento jurídico, tenemos una definición de precio en el Código Civil y en el Código de Comercio. Ambas codificaciones, al regular el contrato de compraventa, definen el precio como el dinero que el comprador suministra por la cosa vendida: </w:t>
      </w:r>
    </w:p>
    <w:p w14:paraId="1FB2F0DF" w14:textId="77777777" w:rsidR="006370A0" w:rsidRDefault="006370A0" w:rsidP="004E77FA">
      <w:pPr>
        <w:tabs>
          <w:tab w:val="left" w:pos="0"/>
        </w:tabs>
        <w:spacing w:after="240" w:line="276" w:lineRule="auto"/>
        <w:ind w:firstLine="709"/>
        <w:contextualSpacing/>
        <w:jc w:val="both"/>
        <w:rPr>
          <w:rFonts w:ascii="Geomanist Light" w:hAnsi="Geomanist Light"/>
          <w:sz w:val="22"/>
          <w:szCs w:val="22"/>
        </w:rPr>
      </w:pPr>
    </w:p>
    <w:p w14:paraId="3085BF23" w14:textId="77777777" w:rsidR="006370A0" w:rsidRDefault="007617C2" w:rsidP="004E77FA">
      <w:pPr>
        <w:tabs>
          <w:tab w:val="left" w:pos="709"/>
          <w:tab w:val="left" w:pos="6237"/>
        </w:tabs>
        <w:spacing w:after="240"/>
        <w:ind w:left="709" w:right="900"/>
        <w:contextualSpacing/>
        <w:jc w:val="both"/>
        <w:rPr>
          <w:rFonts w:ascii="Geomanist Light" w:hAnsi="Geomanist Light"/>
          <w:sz w:val="21"/>
          <w:szCs w:val="21"/>
        </w:rPr>
      </w:pPr>
      <w:r w:rsidRPr="006370A0">
        <w:rPr>
          <w:rFonts w:ascii="Geomanist Light" w:hAnsi="Geomanist Light"/>
          <w:sz w:val="21"/>
          <w:szCs w:val="21"/>
        </w:rPr>
        <w:t xml:space="preserve">Artículo 1849 del Código Civil: La compraventa es un contrato en que una de las partes se obliga a dar una cosa y la otra a pagarla en dinero. Aquella se dice vender y esta comprar. El dinero que el comprador da por la cosa vendida se llama precio. </w:t>
      </w:r>
    </w:p>
    <w:p w14:paraId="397827BA" w14:textId="76D9E73F" w:rsidR="006370A0" w:rsidRDefault="007617C2" w:rsidP="004E77FA">
      <w:pPr>
        <w:tabs>
          <w:tab w:val="left" w:pos="709"/>
          <w:tab w:val="left" w:pos="6237"/>
        </w:tabs>
        <w:spacing w:after="240"/>
        <w:ind w:left="709" w:right="900"/>
        <w:contextualSpacing/>
        <w:jc w:val="both"/>
        <w:rPr>
          <w:rFonts w:ascii="Geomanist Light" w:hAnsi="Geomanist Light"/>
          <w:sz w:val="22"/>
          <w:szCs w:val="22"/>
        </w:rPr>
      </w:pPr>
      <w:r w:rsidRPr="006370A0">
        <w:rPr>
          <w:rFonts w:ascii="Geomanist Light" w:hAnsi="Geomanist Light"/>
          <w:sz w:val="21"/>
          <w:szCs w:val="21"/>
        </w:rPr>
        <w:t>Artículo 905 del Código de Comercio: La compraventa es un contrato en que una de las partes se obliga a trasmitir la propiedad de una cosa y la otra a pagarla en dinero</w:t>
      </w:r>
      <w:r w:rsidR="006370A0">
        <w:rPr>
          <w:rFonts w:ascii="Geomanist Light" w:hAnsi="Geomanist Light"/>
          <w:sz w:val="21"/>
          <w:szCs w:val="21"/>
        </w:rPr>
        <w:t xml:space="preserve">. </w:t>
      </w:r>
      <w:r w:rsidRPr="006370A0">
        <w:rPr>
          <w:rFonts w:ascii="Geomanist Light" w:hAnsi="Geomanist Light"/>
          <w:sz w:val="21"/>
          <w:szCs w:val="21"/>
        </w:rPr>
        <w:t>El dinero que el comprador da por la cosa vendida se llama precio.</w:t>
      </w:r>
      <w:r w:rsidRPr="00671D8E">
        <w:rPr>
          <w:rFonts w:ascii="Geomanist Light" w:hAnsi="Geomanist Light"/>
          <w:sz w:val="22"/>
          <w:szCs w:val="22"/>
        </w:rPr>
        <w:t xml:space="preserve"> </w:t>
      </w:r>
    </w:p>
    <w:p w14:paraId="1000DC33" w14:textId="77777777" w:rsidR="006370A0" w:rsidRDefault="006370A0" w:rsidP="004E77FA">
      <w:pPr>
        <w:tabs>
          <w:tab w:val="left" w:pos="0"/>
          <w:tab w:val="left" w:pos="6237"/>
        </w:tabs>
        <w:spacing w:after="240" w:line="276" w:lineRule="auto"/>
        <w:ind w:firstLine="709"/>
        <w:contextualSpacing/>
        <w:jc w:val="both"/>
        <w:rPr>
          <w:rFonts w:ascii="Geomanist Light" w:hAnsi="Geomanist Light"/>
          <w:sz w:val="22"/>
          <w:szCs w:val="22"/>
        </w:rPr>
      </w:pPr>
    </w:p>
    <w:p w14:paraId="0EF83CC4" w14:textId="77777777" w:rsidR="006370A0" w:rsidRDefault="007617C2" w:rsidP="004E77FA">
      <w:pPr>
        <w:tabs>
          <w:tab w:val="left" w:pos="0"/>
          <w:tab w:val="left" w:pos="6237"/>
        </w:tabs>
        <w:spacing w:after="240" w:line="276" w:lineRule="auto"/>
        <w:ind w:firstLine="709"/>
        <w:contextualSpacing/>
        <w:jc w:val="both"/>
        <w:rPr>
          <w:rFonts w:ascii="Geomanist Light" w:hAnsi="Geomanist Light"/>
          <w:sz w:val="22"/>
          <w:szCs w:val="22"/>
        </w:rPr>
      </w:pPr>
      <w:r w:rsidRPr="00671D8E">
        <w:rPr>
          <w:rFonts w:ascii="Geomanist Light" w:hAnsi="Geomanist Light"/>
          <w:sz w:val="22"/>
          <w:szCs w:val="22"/>
        </w:rPr>
        <w:t xml:space="preserve">A partir de esta definición, podría deducirse que para el ordenamiento jurídico colombiano el precio es lo que se entrega como retribución de un bien o servicio, es decir, no es lo que se anuncia o una parte de lo que vale el bien o servicio, sino lo que el comprador efectivamente entrega o paga como contraprestación por la cosa recibida. </w:t>
      </w:r>
    </w:p>
    <w:p w14:paraId="159A75BB" w14:textId="68D12B73" w:rsidR="00FC67C3" w:rsidRDefault="007617C2" w:rsidP="004E77FA">
      <w:pPr>
        <w:tabs>
          <w:tab w:val="left" w:pos="0"/>
          <w:tab w:val="left" w:pos="6237"/>
        </w:tabs>
        <w:spacing w:after="240" w:line="276" w:lineRule="auto"/>
        <w:ind w:firstLine="709"/>
        <w:contextualSpacing/>
        <w:jc w:val="both"/>
        <w:rPr>
          <w:rFonts w:ascii="Geomanist Light" w:hAnsi="Geomanist Light"/>
          <w:sz w:val="22"/>
          <w:szCs w:val="22"/>
        </w:rPr>
      </w:pPr>
      <w:r w:rsidRPr="00671D8E">
        <w:rPr>
          <w:rFonts w:ascii="Geomanist Light" w:hAnsi="Geomanist Light"/>
          <w:sz w:val="22"/>
          <w:szCs w:val="22"/>
        </w:rPr>
        <w:t>El Consejo de Estado ha señalado que en el precio se entienden incluidos todos los costos en que se incurre para vender un bien o prestar un servicio:</w:t>
      </w:r>
      <w:r w:rsidR="00FC67C3">
        <w:rPr>
          <w:rFonts w:ascii="Geomanist Light" w:hAnsi="Geomanist Light"/>
          <w:sz w:val="22"/>
          <w:szCs w:val="22"/>
        </w:rPr>
        <w:t xml:space="preserve"> </w:t>
      </w:r>
      <w:r w:rsidR="00FC67C3" w:rsidRPr="00CC306F">
        <w:rPr>
          <w:rFonts w:ascii="Geomanist Light" w:eastAsia="Arial" w:hAnsi="Geomanist Light" w:cs="Arial"/>
          <w:color w:val="000000"/>
          <w:sz w:val="21"/>
          <w:szCs w:val="21"/>
        </w:rPr>
        <w:t>«</w:t>
      </w:r>
      <w:r w:rsidRPr="00671D8E">
        <w:rPr>
          <w:rFonts w:ascii="Geomanist Light" w:hAnsi="Geomanist Light"/>
          <w:sz w:val="22"/>
          <w:szCs w:val="22"/>
        </w:rPr>
        <w:t>El precio cubre los costos en que incurre la entidad para prestar el servicio, incluyendo los gastos de funcionamiento y las previsiones para amortización y crecimiento de la inversión</w:t>
      </w:r>
      <w:r w:rsidR="00FC67C3" w:rsidRPr="00CC306F">
        <w:rPr>
          <w:rFonts w:ascii="Geomanist Light" w:eastAsiaTheme="minorHAnsi" w:hAnsi="Geomanist Light" w:cs="Arial"/>
          <w:color w:val="000000" w:themeColor="text1"/>
          <w:sz w:val="21"/>
          <w:szCs w:val="21"/>
          <w:lang w:eastAsia="en-US"/>
        </w:rPr>
        <w:t>»</w:t>
      </w:r>
      <w:r w:rsidR="00FC67C3">
        <w:rPr>
          <w:rStyle w:val="Refdenotaalpie"/>
          <w:rFonts w:ascii="Geomanist Light" w:eastAsiaTheme="minorHAnsi" w:hAnsi="Geomanist Light" w:cs="Arial"/>
          <w:color w:val="000000" w:themeColor="text1"/>
          <w:sz w:val="21"/>
          <w:szCs w:val="21"/>
          <w:lang w:eastAsia="en-US"/>
        </w:rPr>
        <w:footnoteReference w:id="24"/>
      </w:r>
      <w:r w:rsidRPr="00671D8E">
        <w:rPr>
          <w:rFonts w:ascii="Geomanist Light" w:hAnsi="Geomanist Light"/>
          <w:sz w:val="22"/>
          <w:szCs w:val="22"/>
        </w:rPr>
        <w:t xml:space="preserve">. </w:t>
      </w:r>
    </w:p>
    <w:p w14:paraId="660B827B" w14:textId="6975C864" w:rsidR="002E2C77" w:rsidRDefault="007617C2" w:rsidP="004E77FA">
      <w:pPr>
        <w:tabs>
          <w:tab w:val="left" w:pos="0"/>
          <w:tab w:val="left" w:pos="6237"/>
        </w:tabs>
        <w:spacing w:after="240" w:line="276" w:lineRule="auto"/>
        <w:ind w:firstLine="709"/>
        <w:contextualSpacing/>
        <w:jc w:val="both"/>
        <w:rPr>
          <w:rFonts w:ascii="Geomanist Light" w:hAnsi="Geomanist Light"/>
          <w:sz w:val="22"/>
          <w:szCs w:val="22"/>
        </w:rPr>
      </w:pPr>
      <w:r w:rsidRPr="00671D8E">
        <w:rPr>
          <w:rFonts w:ascii="Geomanist Light" w:hAnsi="Geomanist Light"/>
          <w:sz w:val="22"/>
          <w:szCs w:val="22"/>
        </w:rPr>
        <w:t>La doctrina también ha teorizado en torno a lo que se debe entender incluido en el precio en la contratación estatal. Así, se ha sostenido que dentro del precio se incluyen todos los</w:t>
      </w:r>
      <w:r w:rsidR="00EF309E">
        <w:rPr>
          <w:rFonts w:ascii="Geomanist Light" w:hAnsi="Geomanist Light"/>
          <w:sz w:val="22"/>
          <w:szCs w:val="22"/>
        </w:rPr>
        <w:t xml:space="preserve"> </w:t>
      </w:r>
      <w:r w:rsidR="00EF309E" w:rsidRPr="00EF309E">
        <w:rPr>
          <w:rFonts w:ascii="Geomanist Light" w:hAnsi="Geomanist Light"/>
          <w:sz w:val="22"/>
          <w:szCs w:val="22"/>
        </w:rPr>
        <w:t xml:space="preserve">costos en que incurre el contratista para cumplir con las obligaciones que va a adquirir y satisfacer su derecho a obtener utilidad: </w:t>
      </w:r>
    </w:p>
    <w:p w14:paraId="66958BE1" w14:textId="77777777" w:rsidR="003D4FAA" w:rsidRDefault="003D4FAA" w:rsidP="004E77FA">
      <w:pPr>
        <w:tabs>
          <w:tab w:val="left" w:pos="0"/>
          <w:tab w:val="left" w:pos="6237"/>
        </w:tabs>
        <w:spacing w:after="240" w:line="276" w:lineRule="auto"/>
        <w:ind w:firstLine="709"/>
        <w:contextualSpacing/>
        <w:jc w:val="both"/>
        <w:rPr>
          <w:rFonts w:ascii="Geomanist Light" w:hAnsi="Geomanist Light"/>
          <w:sz w:val="22"/>
          <w:szCs w:val="22"/>
        </w:rPr>
      </w:pPr>
    </w:p>
    <w:p w14:paraId="26D0EB18" w14:textId="09E229E2" w:rsidR="002E2C77" w:rsidRPr="002E2C77" w:rsidRDefault="00EF309E" w:rsidP="004E77FA">
      <w:pPr>
        <w:tabs>
          <w:tab w:val="left" w:pos="6237"/>
        </w:tabs>
        <w:spacing w:after="240"/>
        <w:ind w:left="709" w:right="900"/>
        <w:contextualSpacing/>
        <w:jc w:val="both"/>
        <w:rPr>
          <w:rFonts w:ascii="Geomanist Light" w:hAnsi="Geomanist Light"/>
          <w:sz w:val="21"/>
          <w:szCs w:val="21"/>
        </w:rPr>
      </w:pPr>
      <w:r w:rsidRPr="002E2C77">
        <w:rPr>
          <w:rFonts w:ascii="Geomanist Light" w:hAnsi="Geomanist Light"/>
          <w:sz w:val="21"/>
          <w:szCs w:val="21"/>
        </w:rPr>
        <w:t xml:space="preserve">En primer lugar, el precio debe incluir los costos en que incurrirá el contratista para cumplir sus obligaciones y obtener la utilidad que espera del negocio. Esto significa que hacen parte del precio las inversiones y gastos que deba hacer, más la utilidad que espera. Entre los costos se encuentran los impuestos que afectarán el contrato, por ejemplo, el IVA, la contribución especial, las estampillas, y otros. Esta precisión resulta importante porque el valor, que incluye el impuesto, determina el precio final. Basta hacer una pregunta para entender la idea: ¿un bien gravado puede venderse sin el impuesto, sin violar las normas tributarias? Como no es posible, entonces es inevitable incorporarlo al costo, </w:t>
      </w:r>
      <w:r w:rsidRPr="002E2C77">
        <w:rPr>
          <w:rFonts w:ascii="Geomanist Light" w:hAnsi="Geomanist Light"/>
          <w:sz w:val="21"/>
          <w:szCs w:val="21"/>
        </w:rPr>
        <w:lastRenderedPageBreak/>
        <w:t>porque el oferente -futuro contratista- inevitablemente debe incurrir en él, so pena de no poder cobrarlo luego. En otras palabras, es absurdo presentar una oferta que no incluya los impuestos que gravan la actividad o los productos, guardando la esperanza de que se adjudique el contrato por ese precio -que será bajo-, y confiando en que posteriormente se podrá facturar el impuesto, so pretexto de que al fin y al cabo la ley grava la actividad. Por el contrario, el oferente tiene la obligación de incluir todos los gastos en que incurrirá para vender sus bienes o servicios, so pena de que la entidad entienda que el precio ofrecido los incluye, y luego sólo pagará el precio ofertado, pues allí se debieron incluir -es lo lógico y así debe entenderse- todos los gastos</w:t>
      </w:r>
      <w:r w:rsidR="009126FF">
        <w:rPr>
          <w:rFonts w:ascii="Geomanist Light" w:hAnsi="Geomanist Light"/>
          <w:sz w:val="21"/>
          <w:szCs w:val="21"/>
        </w:rPr>
        <w:t xml:space="preserve"> en que incurrirá el proponente</w:t>
      </w:r>
      <w:r w:rsidR="009126FF">
        <w:rPr>
          <w:rStyle w:val="Refdenotaalpie"/>
          <w:rFonts w:ascii="Geomanist Light" w:hAnsi="Geomanist Light"/>
          <w:sz w:val="21"/>
          <w:szCs w:val="21"/>
        </w:rPr>
        <w:footnoteReference w:id="25"/>
      </w:r>
      <w:r w:rsidRPr="002E2C77">
        <w:rPr>
          <w:rFonts w:ascii="Geomanist Light" w:hAnsi="Geomanist Light"/>
          <w:sz w:val="21"/>
          <w:szCs w:val="21"/>
        </w:rPr>
        <w:t xml:space="preserve">. </w:t>
      </w:r>
    </w:p>
    <w:p w14:paraId="4F6A7950" w14:textId="51D48923" w:rsidR="00EF309E" w:rsidRDefault="00EF309E" w:rsidP="004E77FA">
      <w:pPr>
        <w:tabs>
          <w:tab w:val="left" w:pos="0"/>
          <w:tab w:val="left" w:pos="6237"/>
        </w:tabs>
        <w:spacing w:after="240" w:line="276" w:lineRule="auto"/>
        <w:ind w:firstLine="709"/>
        <w:contextualSpacing/>
        <w:jc w:val="both"/>
        <w:rPr>
          <w:rFonts w:ascii="Geomanist Light" w:hAnsi="Geomanist Light"/>
          <w:sz w:val="22"/>
          <w:szCs w:val="22"/>
        </w:rPr>
      </w:pPr>
      <w:r w:rsidRPr="00EF309E">
        <w:rPr>
          <w:rFonts w:ascii="Geomanist Light" w:hAnsi="Geomanist Light"/>
          <w:sz w:val="22"/>
          <w:szCs w:val="22"/>
        </w:rPr>
        <w:t>Conforme con lo expuesto, podemos afirmar que el precio es el total del valor que paga el comprador por un bien o servicio, y eso incluye los impuestos, por una sencilla razón, ningún comprador podrá hacerse a la propiedad de una cosa o beneficiarse de un servicio sino paga la totalidad de lo que incluye el precio. En otros términos, si la venta de determinado bien o servicio está gravado con impuestos, estos se entienden incluidos en el precio, pues no se podrá tener acceso al bien si no se paga la totalidad de lo que vale.</w:t>
      </w:r>
    </w:p>
    <w:p w14:paraId="619DD60F" w14:textId="731AA848" w:rsidR="002843ED" w:rsidRDefault="002843ED" w:rsidP="004E77FA">
      <w:pPr>
        <w:tabs>
          <w:tab w:val="left" w:pos="0"/>
          <w:tab w:val="left" w:pos="6237"/>
        </w:tabs>
        <w:spacing w:after="240" w:line="276" w:lineRule="auto"/>
        <w:ind w:firstLine="709"/>
        <w:contextualSpacing/>
        <w:jc w:val="both"/>
        <w:rPr>
          <w:rFonts w:ascii="Geomanist Light" w:hAnsi="Geomanist Light"/>
          <w:sz w:val="22"/>
          <w:szCs w:val="22"/>
        </w:rPr>
      </w:pPr>
    </w:p>
    <w:p w14:paraId="0D313A95" w14:textId="123E2325" w:rsidR="002843ED" w:rsidRPr="00CC306F" w:rsidRDefault="002843ED" w:rsidP="004E77FA">
      <w:pPr>
        <w:spacing w:after="240" w:line="276" w:lineRule="auto"/>
        <w:ind w:firstLine="709"/>
        <w:jc w:val="both"/>
        <w:rPr>
          <w:rFonts w:ascii="Geomanist Light" w:hAnsi="Geomanist Light" w:cs="Arial"/>
          <w:sz w:val="22"/>
          <w:szCs w:val="22"/>
          <w:lang w:val="es-ES_tradnl" w:eastAsia="es-MX"/>
        </w:rPr>
      </w:pPr>
      <w:bookmarkStart w:id="21" w:name="_Hlk54011258"/>
      <w:r>
        <w:rPr>
          <w:rFonts w:ascii="Geomanist Light" w:eastAsia="Calibri" w:hAnsi="Geomanist Light" w:cs="Arial"/>
          <w:bCs/>
          <w:sz w:val="22"/>
          <w:szCs w:val="22"/>
          <w:lang w:val="es-ES_tradnl" w:eastAsia="es-MX"/>
        </w:rPr>
        <w:t>Ahora bien, con respecto a la determinación del precio en los procesos de selección, l</w:t>
      </w:r>
      <w:r w:rsidRPr="00CC306F">
        <w:rPr>
          <w:rFonts w:ascii="Geomanist Light" w:eastAsia="Calibri" w:hAnsi="Geomanist Light" w:cs="Arial"/>
          <w:bCs/>
          <w:sz w:val="22"/>
          <w:szCs w:val="22"/>
          <w:lang w:val="es-ES_tradnl" w:eastAsia="es-MX"/>
        </w:rPr>
        <w:t xml:space="preserve">a planeación contractual es una herramienta de gerencia pública, que </w:t>
      </w:r>
      <w:r>
        <w:rPr>
          <w:rFonts w:ascii="Geomanist Light" w:eastAsia="Calibri" w:hAnsi="Geomanist Light" w:cs="Arial"/>
          <w:bCs/>
          <w:sz w:val="22"/>
          <w:szCs w:val="22"/>
          <w:lang w:val="es-ES_tradnl" w:eastAsia="es-MX"/>
        </w:rPr>
        <w:t>permite</w:t>
      </w:r>
      <w:r w:rsidRPr="00CC306F">
        <w:rPr>
          <w:rFonts w:ascii="Geomanist Light" w:eastAsia="Calibri" w:hAnsi="Geomanist Light" w:cs="Arial"/>
          <w:bCs/>
          <w:sz w:val="22"/>
          <w:szCs w:val="22"/>
          <w:lang w:val="es-ES_tradnl" w:eastAsia="es-MX"/>
        </w:rPr>
        <w:t xml:space="preserv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bookmarkEnd w:id="21"/>
      <w:r w:rsidRPr="00CC306F">
        <w:rPr>
          <w:rFonts w:ascii="Geomanist Light" w:eastAsia="Calibri" w:hAnsi="Geomanist Light" w:cs="Arial"/>
          <w:bCs/>
          <w:sz w:val="22"/>
          <w:szCs w:val="22"/>
          <w:lang w:val="es-ES_tradnl" w:eastAsia="es-MX"/>
        </w:rPr>
        <w:t>.</w:t>
      </w:r>
    </w:p>
    <w:p w14:paraId="34A11449" w14:textId="77777777" w:rsidR="002843ED" w:rsidRPr="00CC306F" w:rsidRDefault="002843ED" w:rsidP="004E77FA">
      <w:pPr>
        <w:spacing w:after="240" w:line="276" w:lineRule="auto"/>
        <w:ind w:firstLine="708"/>
        <w:jc w:val="both"/>
        <w:rPr>
          <w:rFonts w:ascii="Geomanist Light" w:eastAsia="Calibri" w:hAnsi="Geomanist Light" w:cs="Arial"/>
          <w:bCs/>
          <w:sz w:val="22"/>
          <w:szCs w:val="22"/>
          <w:lang w:val="es-ES"/>
        </w:rPr>
      </w:pPr>
      <w:r w:rsidRPr="00CC306F">
        <w:rPr>
          <w:rFonts w:ascii="Geomanist Light" w:eastAsia="Calibri" w:hAnsi="Geomanist Light" w:cs="Arial"/>
          <w:bCs/>
          <w:sz w:val="22"/>
          <w:szCs w:val="22"/>
          <w:lang w:val="es-MX"/>
        </w:rPr>
        <w:t xml:space="preserve">El Estatuto General de Contratación de la Administración Pública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 </w:t>
      </w:r>
    </w:p>
    <w:p w14:paraId="22940A2A" w14:textId="77777777" w:rsidR="002843ED" w:rsidRPr="00CC306F" w:rsidRDefault="002843ED" w:rsidP="004E77FA">
      <w:pPr>
        <w:spacing w:after="240"/>
        <w:ind w:left="709" w:right="709"/>
        <w:jc w:val="both"/>
        <w:rPr>
          <w:rFonts w:ascii="Geomanist Light" w:eastAsia="Calibri" w:hAnsi="Geomanist Light" w:cs="Arial"/>
          <w:sz w:val="21"/>
          <w:szCs w:val="21"/>
          <w:lang w:val="es-MX"/>
        </w:rPr>
      </w:pPr>
      <w:r w:rsidRPr="00CC306F">
        <w:rPr>
          <w:rFonts w:ascii="Geomanist Light" w:eastAsia="Calibri" w:hAnsi="Geomanist Light" w:cs="Arial"/>
          <w:sz w:val="21"/>
          <w:szCs w:val="21"/>
          <w:lang w:val="es-MX"/>
        </w:rPr>
        <w:lastRenderedPageBreak/>
        <w:t>7o. La conveniencia o inconveniencia del objeto a contratar y las autorizaciones y aprobaciones para ello, se analizarán o impartirán con antelación al inicio del proceso de selección del contratista o al de la firma del contrato, según el caso.</w:t>
      </w:r>
    </w:p>
    <w:p w14:paraId="2456B857" w14:textId="77777777" w:rsidR="002843ED" w:rsidRPr="00CC306F" w:rsidRDefault="002843ED" w:rsidP="004E77FA">
      <w:pPr>
        <w:spacing w:after="240"/>
        <w:ind w:left="709" w:right="709"/>
        <w:jc w:val="both"/>
        <w:rPr>
          <w:rFonts w:ascii="Geomanist Light" w:eastAsia="Calibri" w:hAnsi="Geomanist Light" w:cs="Arial"/>
          <w:sz w:val="21"/>
          <w:szCs w:val="21"/>
          <w:lang w:val="es-MX"/>
        </w:rPr>
      </w:pPr>
      <w:r w:rsidRPr="00CC306F">
        <w:rPr>
          <w:rFonts w:ascii="Geomanist Light" w:eastAsia="Calibri" w:hAnsi="Geomanist Light" w:cs="Arial"/>
          <w:sz w:val="21"/>
          <w:szCs w:val="21"/>
          <w:lang w:val="es-MX"/>
        </w:rPr>
        <w:t>[…]</w:t>
      </w:r>
    </w:p>
    <w:p w14:paraId="2DEA953C" w14:textId="77777777" w:rsidR="002843ED" w:rsidRPr="00CC306F" w:rsidRDefault="002843ED" w:rsidP="004E77FA">
      <w:pPr>
        <w:spacing w:after="240"/>
        <w:ind w:left="709" w:right="709"/>
        <w:jc w:val="both"/>
        <w:rPr>
          <w:rFonts w:ascii="Geomanist Light" w:eastAsia="Calibri" w:hAnsi="Geomanist Light" w:cs="Arial"/>
          <w:sz w:val="21"/>
          <w:szCs w:val="21"/>
          <w:lang w:val="es-MX"/>
        </w:rPr>
      </w:pPr>
      <w:r w:rsidRPr="00CC306F">
        <w:rPr>
          <w:rFonts w:ascii="Geomanist Light" w:eastAsia="Calibri" w:hAnsi="Geomanist Light" w:cs="Arial"/>
          <w:sz w:val="21"/>
          <w:szCs w:val="21"/>
          <w:lang w:val="es-MX"/>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1B6BD80B" w14:textId="77777777" w:rsidR="002843ED" w:rsidRPr="00CC306F" w:rsidRDefault="002843ED" w:rsidP="004E77FA">
      <w:pPr>
        <w:spacing w:after="240"/>
        <w:ind w:left="709" w:right="709"/>
        <w:jc w:val="both"/>
        <w:rPr>
          <w:rFonts w:ascii="Geomanist Light" w:eastAsia="Calibri" w:hAnsi="Geomanist Light" w:cs="Arial"/>
          <w:sz w:val="21"/>
          <w:szCs w:val="21"/>
          <w:lang w:val="es-MX"/>
        </w:rPr>
      </w:pPr>
      <w:r w:rsidRPr="00CC306F">
        <w:rPr>
          <w:rFonts w:ascii="Geomanist Light" w:eastAsia="Calibri" w:hAnsi="Geomanist Light" w:cs="Arial"/>
          <w:sz w:val="21"/>
          <w:szCs w:val="21"/>
          <w:lang w:val="es-MX"/>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134BEF26" w14:textId="77777777" w:rsidR="002843ED" w:rsidRPr="00CC306F" w:rsidRDefault="002843ED" w:rsidP="004E77FA">
      <w:pPr>
        <w:spacing w:after="240"/>
        <w:ind w:left="709" w:right="709"/>
        <w:jc w:val="both"/>
        <w:rPr>
          <w:rFonts w:ascii="Geomanist Light" w:hAnsi="Geomanist Light" w:cs="Arial"/>
          <w:sz w:val="21"/>
          <w:szCs w:val="21"/>
          <w:lang w:val="es-ES_tradnl" w:eastAsia="es-MX"/>
        </w:rPr>
      </w:pPr>
      <w:r w:rsidRPr="00CC306F">
        <w:rPr>
          <w:rFonts w:ascii="Geomanist Light" w:hAnsi="Geomanist Light" w:cs="Arial"/>
          <w:sz w:val="21"/>
          <w:szCs w:val="21"/>
          <w:lang w:val="es-ES_tradnl" w:eastAsia="es-MX"/>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31352695" w14:textId="044F9969" w:rsidR="002843ED" w:rsidRPr="003D4FAA" w:rsidRDefault="002843ED" w:rsidP="003D4FAA">
      <w:pPr>
        <w:spacing w:after="240"/>
        <w:ind w:left="709" w:right="709"/>
        <w:jc w:val="both"/>
        <w:rPr>
          <w:rFonts w:ascii="Geomanist Light" w:hAnsi="Geomanist Light" w:cs="Arial"/>
          <w:sz w:val="21"/>
          <w:szCs w:val="21"/>
          <w:lang w:val="es-ES_tradnl" w:eastAsia="es-MX"/>
        </w:rPr>
      </w:pPr>
      <w:r w:rsidRPr="00CC306F">
        <w:rPr>
          <w:rFonts w:ascii="Geomanist Light" w:hAnsi="Geomanist Light" w:cs="Arial"/>
          <w:sz w:val="21"/>
          <w:szCs w:val="21"/>
          <w:lang w:val="es-ES_tradnl" w:eastAsia="es-MX"/>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p>
    <w:p w14:paraId="66EF279A" w14:textId="66741319" w:rsidR="002843ED" w:rsidRPr="003D4FAA" w:rsidRDefault="002843ED" w:rsidP="003D4FAA">
      <w:pPr>
        <w:spacing w:after="240" w:line="276" w:lineRule="auto"/>
        <w:ind w:firstLine="709"/>
        <w:jc w:val="both"/>
        <w:rPr>
          <w:rFonts w:ascii="Geomanist Light" w:hAnsi="Geomanist Light" w:cs="Arial"/>
          <w:sz w:val="22"/>
          <w:szCs w:val="22"/>
          <w:lang w:val="es-ES_tradnl" w:eastAsia="es-MX"/>
        </w:rPr>
      </w:pPr>
      <w:r w:rsidRPr="00CC306F">
        <w:rPr>
          <w:rFonts w:ascii="Geomanist Light" w:hAnsi="Geomanist Light" w:cs="Arial"/>
          <w:sz w:val="22"/>
          <w:szCs w:val="22"/>
          <w:lang w:val="es-ES_tradnl" w:eastAsia="es-MX"/>
        </w:rPr>
        <w:t>Lo anterior le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Pr="00CC306F">
        <w:rPr>
          <w:rFonts w:ascii="Geomanist Light" w:hAnsi="Geomanist Light" w:cs="Arial"/>
          <w:vertAlign w:val="superscript"/>
          <w:lang w:val="es-ES_tradnl" w:eastAsia="es-MX"/>
        </w:rPr>
        <w:footnoteReference w:id="26"/>
      </w:r>
      <w:r w:rsidRPr="00CC306F">
        <w:rPr>
          <w:rFonts w:ascii="Geomanist Light" w:hAnsi="Geomanist Light" w:cs="Arial"/>
          <w:lang w:val="es-ES_tradnl" w:eastAsia="es-MX"/>
        </w:rPr>
        <w:t xml:space="preserve">. </w:t>
      </w:r>
      <w:r w:rsidRPr="00CC306F">
        <w:rPr>
          <w:rFonts w:ascii="Geomanist Light" w:hAnsi="Geomanist Light" w:cs="Arial"/>
          <w:sz w:val="22"/>
          <w:szCs w:val="22"/>
          <w:lang w:val="es-ES_tradnl" w:eastAsia="es-MX"/>
        </w:rPr>
        <w:t>En congruencia con el artículo 25 de la Ley 80 de 1993, el Decreto Único Reglamentario del Sector Administrativo de Planeación Nacional –Decreto 1082 de 2015–, dispone en el artículo 2.2.1.1.2.1.1 el contenido mínimo de los estudios y documentos previos:</w:t>
      </w:r>
    </w:p>
    <w:p w14:paraId="7FCF3CF9" w14:textId="77777777" w:rsidR="002843ED" w:rsidRPr="00CC306F" w:rsidRDefault="002843ED" w:rsidP="004E77FA">
      <w:pPr>
        <w:spacing w:after="240"/>
        <w:ind w:left="709" w:right="709"/>
        <w:jc w:val="both"/>
        <w:rPr>
          <w:rFonts w:ascii="Geomanist Light" w:hAnsi="Geomanist Light" w:cs="Arial"/>
          <w:sz w:val="21"/>
          <w:szCs w:val="21"/>
          <w:lang w:val="es-ES_tradnl" w:eastAsia="es-MX"/>
        </w:rPr>
      </w:pPr>
      <w:r w:rsidRPr="00CC306F">
        <w:rPr>
          <w:rFonts w:ascii="Geomanist Light" w:hAnsi="Geomanist Light" w:cs="Arial"/>
          <w:sz w:val="21"/>
          <w:szCs w:val="21"/>
          <w:lang w:val="es-ES_tradnl" w:eastAsia="es-MX"/>
        </w:rPr>
        <w:lastRenderedPageBreak/>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4C630A3A" w14:textId="77777777" w:rsidR="002843ED" w:rsidRPr="00CC306F" w:rsidRDefault="002843ED" w:rsidP="004E77FA">
      <w:pPr>
        <w:spacing w:after="240"/>
        <w:ind w:left="709" w:right="709"/>
        <w:jc w:val="both"/>
        <w:rPr>
          <w:rFonts w:ascii="Geomanist Light" w:hAnsi="Geomanist Light" w:cs="Arial"/>
          <w:sz w:val="21"/>
          <w:szCs w:val="21"/>
          <w:lang w:val="es-ES_tradnl" w:eastAsia="es-MX"/>
        </w:rPr>
      </w:pPr>
      <w:r w:rsidRPr="00CC306F">
        <w:rPr>
          <w:rFonts w:ascii="Geomanist Light" w:hAnsi="Geomanist Light" w:cs="Arial"/>
          <w:sz w:val="21"/>
          <w:szCs w:val="21"/>
          <w:lang w:val="es-ES_tradnl" w:eastAsia="es-MX"/>
        </w:rPr>
        <w:t>1. La descripción de la necesidad que la Entidad Estatal pretende satisfacer con el Proceso de Contratación. ​</w:t>
      </w:r>
    </w:p>
    <w:p w14:paraId="0E8C30F5" w14:textId="77777777" w:rsidR="002843ED" w:rsidRPr="00CC306F" w:rsidRDefault="002843ED" w:rsidP="004E77FA">
      <w:pPr>
        <w:spacing w:after="240"/>
        <w:ind w:left="709" w:right="709"/>
        <w:jc w:val="both"/>
        <w:rPr>
          <w:rFonts w:ascii="Geomanist Light" w:hAnsi="Geomanist Light" w:cs="Arial"/>
          <w:sz w:val="21"/>
          <w:szCs w:val="21"/>
          <w:lang w:val="es-ES_tradnl" w:eastAsia="es-MX"/>
        </w:rPr>
      </w:pPr>
      <w:r w:rsidRPr="00CC306F">
        <w:rPr>
          <w:rFonts w:ascii="Geomanist Light" w:hAnsi="Geomanist Light" w:cs="Arial"/>
          <w:sz w:val="21"/>
          <w:szCs w:val="21"/>
          <w:lang w:val="es-ES_tradnl" w:eastAsia="es-MX"/>
        </w:rPr>
        <w:t xml:space="preserve">2. El objeto a contratar, con sus especificaciones, las autorizaciones, permisos y licencias requeridos para su ejecución, y cuando el contrato incluye diseño y construcción, los documentos técnicos para el desarrollo del proyecto. </w:t>
      </w:r>
    </w:p>
    <w:p w14:paraId="333EF155" w14:textId="77777777" w:rsidR="002843ED" w:rsidRPr="00CC306F" w:rsidRDefault="002843ED" w:rsidP="004E77FA">
      <w:pPr>
        <w:spacing w:after="240"/>
        <w:ind w:left="709" w:right="709"/>
        <w:jc w:val="both"/>
        <w:rPr>
          <w:rFonts w:ascii="Geomanist Light" w:hAnsi="Geomanist Light" w:cs="Arial"/>
          <w:sz w:val="21"/>
          <w:szCs w:val="21"/>
          <w:lang w:val="es-ES_tradnl" w:eastAsia="es-MX"/>
        </w:rPr>
      </w:pPr>
      <w:r w:rsidRPr="00CC306F">
        <w:rPr>
          <w:rFonts w:ascii="Geomanist Light" w:hAnsi="Geomanist Light" w:cs="Arial"/>
          <w:sz w:val="21"/>
          <w:szCs w:val="21"/>
          <w:lang w:val="es-ES_tradnl" w:eastAsia="es-MX"/>
        </w:rPr>
        <w:t xml:space="preserve">3. La modalidad de selección del contratista y su justificación, incluyendo los fundamentos jurídicos. </w:t>
      </w:r>
    </w:p>
    <w:p w14:paraId="10BD2AEA" w14:textId="77777777" w:rsidR="002843ED" w:rsidRPr="00CC306F" w:rsidRDefault="002843ED" w:rsidP="004E77FA">
      <w:pPr>
        <w:spacing w:after="240"/>
        <w:ind w:left="709" w:right="709"/>
        <w:jc w:val="both"/>
        <w:rPr>
          <w:rFonts w:ascii="Geomanist Light" w:hAnsi="Geomanist Light" w:cs="Arial"/>
          <w:sz w:val="21"/>
          <w:szCs w:val="21"/>
          <w:lang w:val="es-ES_tradnl" w:eastAsia="es-MX"/>
        </w:rPr>
      </w:pPr>
      <w:r w:rsidRPr="00CC306F">
        <w:rPr>
          <w:rFonts w:ascii="Geomanist Light" w:hAnsi="Geomanist Light" w:cs="Arial"/>
          <w:sz w:val="21"/>
          <w:szCs w:val="21"/>
          <w:lang w:val="es-ES_tradnl" w:eastAsia="es-MX"/>
        </w:rPr>
        <w:t xml:space="preserve">4. El valor estimado del contrato y la justificación del mismo.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44240F1A" w14:textId="77777777" w:rsidR="002843ED" w:rsidRPr="00CC306F" w:rsidRDefault="002843ED" w:rsidP="004E77FA">
      <w:pPr>
        <w:spacing w:after="240"/>
        <w:ind w:left="709" w:right="709"/>
        <w:jc w:val="both"/>
        <w:rPr>
          <w:rFonts w:ascii="Geomanist Light" w:hAnsi="Geomanist Light" w:cs="Arial"/>
          <w:sz w:val="21"/>
          <w:szCs w:val="21"/>
          <w:lang w:val="es-ES_tradnl" w:eastAsia="es-MX"/>
        </w:rPr>
      </w:pPr>
      <w:r w:rsidRPr="00CC306F">
        <w:rPr>
          <w:rFonts w:ascii="Geomanist Light" w:hAnsi="Geomanist Light" w:cs="Arial"/>
          <w:sz w:val="21"/>
          <w:szCs w:val="21"/>
          <w:lang w:val="es-ES_tradnl" w:eastAsia="es-MX"/>
        </w:rPr>
        <w:t xml:space="preserve">5. Los criterios para seleccionar la oferta más favorable. </w:t>
      </w:r>
    </w:p>
    <w:p w14:paraId="366425D9" w14:textId="77777777" w:rsidR="002843ED" w:rsidRPr="00CC306F" w:rsidRDefault="002843ED" w:rsidP="004E77FA">
      <w:pPr>
        <w:spacing w:after="240"/>
        <w:ind w:left="709" w:right="709"/>
        <w:jc w:val="both"/>
        <w:rPr>
          <w:rFonts w:ascii="Geomanist Light" w:hAnsi="Geomanist Light" w:cs="Arial"/>
          <w:sz w:val="21"/>
          <w:szCs w:val="21"/>
          <w:lang w:val="es-ES_tradnl" w:eastAsia="es-MX"/>
        </w:rPr>
      </w:pPr>
      <w:r w:rsidRPr="00CC306F">
        <w:rPr>
          <w:rFonts w:ascii="Geomanist Light" w:hAnsi="Geomanist Light" w:cs="Arial"/>
          <w:sz w:val="21"/>
          <w:szCs w:val="21"/>
          <w:lang w:val="es-ES_tradnl" w:eastAsia="es-MX"/>
        </w:rPr>
        <w:t xml:space="preserve">6. El análisis de Riesgo y la forma de mitigarlo. </w:t>
      </w:r>
    </w:p>
    <w:p w14:paraId="3B0CC1A9" w14:textId="77777777" w:rsidR="002843ED" w:rsidRPr="00CC306F" w:rsidRDefault="002843ED" w:rsidP="004E77FA">
      <w:pPr>
        <w:spacing w:after="240"/>
        <w:ind w:left="709" w:right="709"/>
        <w:jc w:val="both"/>
        <w:rPr>
          <w:rFonts w:ascii="Geomanist Light" w:hAnsi="Geomanist Light" w:cs="Arial"/>
          <w:sz w:val="21"/>
          <w:szCs w:val="21"/>
          <w:lang w:val="es-ES_tradnl" w:eastAsia="es-MX"/>
        </w:rPr>
      </w:pPr>
      <w:r w:rsidRPr="00CC306F">
        <w:rPr>
          <w:rFonts w:ascii="Geomanist Light" w:hAnsi="Geomanist Light" w:cs="Arial"/>
          <w:sz w:val="21"/>
          <w:szCs w:val="21"/>
          <w:lang w:val="es-ES_tradnl" w:eastAsia="es-MX"/>
        </w:rPr>
        <w:t xml:space="preserve">7. Las garantías que la Entidad Estatal contempla exigir en el proceso de contratación. </w:t>
      </w:r>
    </w:p>
    <w:p w14:paraId="736E4356" w14:textId="77777777" w:rsidR="002843ED" w:rsidRPr="00CC306F" w:rsidRDefault="002843ED" w:rsidP="004E77FA">
      <w:pPr>
        <w:spacing w:after="240"/>
        <w:ind w:left="709" w:right="709"/>
        <w:jc w:val="both"/>
        <w:rPr>
          <w:rFonts w:ascii="Geomanist Light" w:hAnsi="Geomanist Light" w:cs="Arial"/>
          <w:sz w:val="21"/>
          <w:szCs w:val="21"/>
          <w:lang w:val="es-ES_tradnl" w:eastAsia="es-MX"/>
        </w:rPr>
      </w:pPr>
      <w:r w:rsidRPr="00CC306F">
        <w:rPr>
          <w:rFonts w:ascii="Geomanist Light" w:hAnsi="Geomanist Light" w:cs="Arial"/>
          <w:sz w:val="21"/>
          <w:szCs w:val="21"/>
          <w:lang w:val="es-ES_tradnl" w:eastAsia="es-MX"/>
        </w:rPr>
        <w:t xml:space="preserve">8. La indicación de si el proceso de contratación está cobijado por un acuerdo comercial. </w:t>
      </w:r>
    </w:p>
    <w:p w14:paraId="51B11431" w14:textId="075B3D72" w:rsidR="002843ED" w:rsidRPr="003D4FAA" w:rsidRDefault="002843ED" w:rsidP="003D4FAA">
      <w:pPr>
        <w:spacing w:after="240"/>
        <w:ind w:left="709" w:right="709"/>
        <w:jc w:val="both"/>
        <w:rPr>
          <w:rFonts w:ascii="Geomanist Light" w:hAnsi="Geomanist Light" w:cs="Arial"/>
          <w:sz w:val="21"/>
          <w:szCs w:val="21"/>
          <w:lang w:val="es-ES_tradnl" w:eastAsia="es-MX"/>
        </w:rPr>
      </w:pPr>
      <w:r w:rsidRPr="00CC306F">
        <w:rPr>
          <w:rFonts w:ascii="Geomanist Light" w:hAnsi="Geomanist Light" w:cs="Arial"/>
          <w:sz w:val="21"/>
          <w:szCs w:val="21"/>
          <w:lang w:val="es-ES_tradnl" w:eastAsia="es-MX"/>
        </w:rPr>
        <w:t>El presente artículo no es aplicable a la contratación por mínima cuantía.</w:t>
      </w:r>
    </w:p>
    <w:p w14:paraId="11607BDD" w14:textId="77777777" w:rsidR="002843ED" w:rsidRPr="00CC306F" w:rsidRDefault="002843ED" w:rsidP="004E77FA">
      <w:pPr>
        <w:spacing w:after="240" w:line="276" w:lineRule="auto"/>
        <w:ind w:firstLine="709"/>
        <w:jc w:val="both"/>
        <w:rPr>
          <w:rFonts w:ascii="Geomanist Light" w:hAnsi="Geomanist Light" w:cs="Arial"/>
          <w:sz w:val="22"/>
          <w:szCs w:val="22"/>
          <w:lang w:val="es-ES_tradnl" w:eastAsia="es-MX"/>
        </w:rPr>
      </w:pPr>
      <w:bookmarkStart w:id="22" w:name="_Hlk54011351"/>
      <w:r w:rsidRPr="00CC306F">
        <w:rPr>
          <w:rFonts w:ascii="Geomanist Light" w:hAnsi="Geomanist Light" w:cs="Arial"/>
          <w:sz w:val="22"/>
          <w:szCs w:val="22"/>
          <w:lang w:val="es-ES_tradnl" w:eastAsia="es-MX"/>
        </w:rPr>
        <w:t xml:space="preserve">De esta manera, antes de iniciar un procedimiento de selección, la entidad estatal podrá determinar con los estudios previos: i) la verdadera necesidad de la celebración del contrato; ii) las modalidades existentes para satisfacer esa necesidad y las razones que justifiquen la modalidad o tipo contractual que se escoja; iii) las calidades, especificaciones, cantidades y demás características que puedan o deban reunir los bienes, las obras o los servicios cuya contratación se haya determinado necesaria, iv)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w:t>
      </w:r>
      <w:r w:rsidRPr="00CC306F">
        <w:rPr>
          <w:rFonts w:ascii="Geomanist Light" w:hAnsi="Geomanist Light" w:cs="Arial"/>
          <w:sz w:val="22"/>
          <w:szCs w:val="22"/>
          <w:lang w:val="es-ES_tradnl" w:eastAsia="es-MX"/>
        </w:rPr>
        <w:lastRenderedPageBreak/>
        <w:t xml:space="preserve">la existencia y disponibilidad, en el mercado nacional o internacional, de proveedores, constructores, profesionales, etc., en condiciones de atender los requerimientos y satisfacer las necesidades y vii) los procedimientos, trámites y requisitos que deban satisfacerse, reunirse u obtenerse para llevar a cabo la selección del respectivo contratista y la celebración del contrato que se pretenda celebrar. La consideración de todos estos aspectos </w:t>
      </w:r>
      <w:bookmarkEnd w:id="22"/>
      <w:r w:rsidRPr="00CC306F">
        <w:rPr>
          <w:rFonts w:ascii="Geomanist Light" w:eastAsia="Calibri" w:hAnsi="Geomanist Light" w:cs="Arial"/>
          <w:bCs/>
          <w:sz w:val="22"/>
          <w:szCs w:val="22"/>
          <w:lang w:val="es-ES_tradnl" w:eastAsia="es-MX"/>
        </w:rPr>
        <w:t xml:space="preserve">permite que los contratos resultantes de la planeación cuenten con el sustento técnico, económico y jurídico que incidirá </w:t>
      </w:r>
      <w:r w:rsidRPr="00CC306F">
        <w:rPr>
          <w:rFonts w:ascii="Geomanist Light" w:hAnsi="Geomanist Light" w:cs="Arial"/>
          <w:sz w:val="22"/>
          <w:szCs w:val="22"/>
          <w:lang w:val="es-ES_tradnl" w:eastAsia="es-MX"/>
        </w:rPr>
        <w:t>en una adecuada ejecución.</w:t>
      </w:r>
    </w:p>
    <w:p w14:paraId="3D7C7B84" w14:textId="77777777" w:rsidR="002843ED" w:rsidRPr="00CC306F" w:rsidRDefault="002843ED" w:rsidP="004E77FA">
      <w:pPr>
        <w:spacing w:after="240" w:line="276" w:lineRule="auto"/>
        <w:ind w:right="102" w:firstLine="709"/>
        <w:jc w:val="both"/>
        <w:rPr>
          <w:rFonts w:ascii="Geomanist Light" w:hAnsi="Geomanist Light" w:cs="Arial"/>
          <w:lang w:val="es-ES_tradnl" w:eastAsia="es-MX"/>
        </w:rPr>
      </w:pPr>
      <w:r w:rsidRPr="00CC306F">
        <w:rPr>
          <w:rFonts w:ascii="Geomanist Light" w:hAnsi="Geomanist Light" w:cs="Arial"/>
          <w:sz w:val="22"/>
          <w:szCs w:val="22"/>
          <w:lang w:val="es-ES_tradnl" w:eastAsia="es-MX"/>
        </w:rPr>
        <w:t>Más allá del cumplimiento de la normativa, «los estudios y documentos previos son el soporte para elaborar el proyecto de pliegos, los pliegos de condiciones, y el contrato»</w:t>
      </w:r>
      <w:r w:rsidRPr="00CC306F">
        <w:rPr>
          <w:rFonts w:ascii="Geomanist Light" w:hAnsi="Geomanist Light" w:cs="Arial"/>
          <w:sz w:val="22"/>
          <w:szCs w:val="22"/>
          <w:vertAlign w:val="superscript"/>
          <w:lang w:val="es-ES_tradnl" w:eastAsia="es-MX"/>
        </w:rPr>
        <w:footnoteReference w:id="27"/>
      </w:r>
      <w:r w:rsidRPr="00CC306F">
        <w:rPr>
          <w:rFonts w:ascii="Geomanist Light" w:hAnsi="Geomanist Light" w:cs="Arial"/>
          <w:sz w:val="22"/>
          <w:szCs w:val="22"/>
          <w:lang w:val="es-ES_tradnl" w:eastAsia="es-MX"/>
        </w:rPr>
        <w:t xml:space="preserve">, por lo que deben publicarse en la etapa precontractual y sirven de motivación para los documentos expedidos unilateralmente por la entidad estatal tales como el acto administrativo de apertura, los pliegos de condiciones y el acto de adjudicación, entre otros. En ese sentido, </w:t>
      </w:r>
      <w:bookmarkStart w:id="24" w:name="_Hlk54011438"/>
      <w:r w:rsidRPr="00CC306F">
        <w:rPr>
          <w:rFonts w:ascii="Geomanist Light" w:hAnsi="Geomanist Light" w:cs="Arial"/>
          <w:sz w:val="22"/>
          <w:szCs w:val="22"/>
          <w:lang w:val="es-ES_tradnl" w:eastAsia="es-MX"/>
        </w:rPr>
        <w:t xml:space="preserve">los estudios y documentos previos son necesarios antes de la celebración del contrato, pues fundamentan las condiciones que la entidad estatal exige en su proceso de contratación. </w:t>
      </w:r>
      <w:bookmarkEnd w:id="24"/>
    </w:p>
    <w:p w14:paraId="6B9B5390" w14:textId="77777777" w:rsidR="002843ED" w:rsidRPr="00CC306F" w:rsidRDefault="002843ED" w:rsidP="004E77FA">
      <w:pPr>
        <w:spacing w:after="240" w:line="276" w:lineRule="auto"/>
        <w:ind w:firstLine="708"/>
        <w:jc w:val="both"/>
        <w:rPr>
          <w:rFonts w:ascii="Geomanist Light" w:eastAsia="Calibri" w:hAnsi="Geomanist Light" w:cs="Arial"/>
          <w:bCs/>
          <w:lang w:val="es-ES_tradnl" w:eastAsia="es-MX"/>
        </w:rPr>
      </w:pPr>
      <w:r w:rsidRPr="00CC306F">
        <w:rPr>
          <w:rFonts w:ascii="Geomanist Light" w:hAnsi="Geomanist Light" w:cs="Arial"/>
          <w:sz w:val="22"/>
          <w:szCs w:val="22"/>
          <w:lang w:val="es-ES_tradnl" w:eastAsia="es-MX"/>
        </w:rPr>
        <w:t xml:space="preserve">Ahora bien, conforme se desprende del numeral 4 del artículo 2.2.1.1.2.1.1 del Decreto 1082 de 2015, uno de los aspectos principales que deben abarcar los estudios previos es el valor estimado del contrato aparejado de su respectiva justificación. </w:t>
      </w:r>
      <w:r w:rsidRPr="00CC306F">
        <w:rPr>
          <w:rFonts w:ascii="Geomanist Light" w:eastAsia="Calibri" w:hAnsi="Geomanist Light" w:cs="Arial"/>
          <w:bCs/>
          <w:sz w:val="22"/>
          <w:szCs w:val="22"/>
          <w:lang w:val="es-ES_tradnl" w:eastAsia="es-MX"/>
        </w:rPr>
        <w:t xml:space="preserve">Para estos efectos resulta relevante la información recolectada en el marco del estudio del mercado y el análisis del sector económico y de los potenciales oferentes, actividades de planeación previa que sirven para identificar aspectos concretos del mercado que pueden afectar el proceso de selección o las condiciones del negocio a realizar mediante el proceso de contratación. En este sentido, el análisis del sector de las perspectivas legal, comercial, </w:t>
      </w:r>
      <w:r>
        <w:rPr>
          <w:rFonts w:ascii="Geomanist Light" w:eastAsia="Calibri" w:hAnsi="Geomanist Light" w:cs="Arial"/>
          <w:bCs/>
          <w:sz w:val="22"/>
          <w:szCs w:val="22"/>
          <w:lang w:val="es-ES_tradnl" w:eastAsia="es-MX"/>
        </w:rPr>
        <w:t xml:space="preserve">tributaria, </w:t>
      </w:r>
      <w:r w:rsidRPr="00CC306F">
        <w:rPr>
          <w:rFonts w:ascii="Geomanist Light" w:eastAsia="Calibri" w:hAnsi="Geomanist Light" w:cs="Arial"/>
          <w:bCs/>
          <w:sz w:val="22"/>
          <w:szCs w:val="22"/>
          <w:lang w:val="es-ES_tradnl" w:eastAsia="es-MX"/>
        </w:rPr>
        <w:t xml:space="preserve">financiera, organizacional, técnica, y de análisis de Riesgo, al que se refiere el artículo </w:t>
      </w:r>
      <w:bookmarkStart w:id="25" w:name="_Hlk36117416"/>
      <w:r w:rsidRPr="00CC306F">
        <w:rPr>
          <w:rFonts w:ascii="Geomanist Light" w:eastAsia="Calibri" w:hAnsi="Geomanist Light" w:cs="Arial"/>
          <w:bCs/>
          <w:sz w:val="22"/>
          <w:szCs w:val="22"/>
          <w:lang w:val="es-ES_tradnl" w:eastAsia="es-MX"/>
        </w:rPr>
        <w:t>2.2.1.1.1.6.1 del Decreto 1082 de 2015</w:t>
      </w:r>
      <w:bookmarkEnd w:id="25"/>
      <w:r w:rsidRPr="00CC306F">
        <w:rPr>
          <w:rFonts w:ascii="Geomanist Light" w:eastAsia="Calibri" w:hAnsi="Geomanist Light" w:cs="Arial"/>
          <w:bCs/>
          <w:sz w:val="22"/>
          <w:szCs w:val="22"/>
          <w:lang w:val="es-ES_tradnl" w:eastAsia="es-MX"/>
        </w:rPr>
        <w:t>, constituye un insumo importante para determinar factores que pudieran determinar el valor del contrato y orientar a la entidad en torno al monto de la disponibilidad presupuestal que requiere a realizar la contratación</w:t>
      </w:r>
      <w:r w:rsidRPr="00CC306F">
        <w:rPr>
          <w:rStyle w:val="Refdenotaalpie"/>
          <w:rFonts w:ascii="Geomanist Light" w:eastAsia="Calibri" w:hAnsi="Geomanist Light" w:cs="Arial"/>
          <w:bCs/>
          <w:lang w:val="es-ES_tradnl" w:eastAsia="es-MX"/>
        </w:rPr>
        <w:footnoteReference w:id="28"/>
      </w:r>
      <w:r w:rsidRPr="00CC306F">
        <w:rPr>
          <w:rFonts w:ascii="Geomanist Light" w:eastAsia="Calibri" w:hAnsi="Geomanist Light" w:cs="Arial"/>
          <w:bCs/>
          <w:lang w:val="es-ES_tradnl" w:eastAsia="es-MX"/>
        </w:rPr>
        <w:t xml:space="preserve">.  </w:t>
      </w:r>
    </w:p>
    <w:p w14:paraId="40E1A8A2" w14:textId="77777777" w:rsidR="002843ED" w:rsidRPr="006276C7" w:rsidRDefault="002843ED" w:rsidP="004E77FA">
      <w:pPr>
        <w:spacing w:after="240" w:line="276" w:lineRule="auto"/>
        <w:ind w:right="113" w:firstLine="709"/>
        <w:jc w:val="both"/>
        <w:rPr>
          <w:rFonts w:ascii="Geomanist Light" w:hAnsi="Geomanist Light" w:cs="Arial"/>
          <w:sz w:val="22"/>
          <w:szCs w:val="22"/>
          <w:lang w:val="es-ES_tradnl" w:eastAsia="es-CO"/>
        </w:rPr>
      </w:pPr>
      <w:bookmarkStart w:id="26" w:name="_Hlk91231640"/>
      <w:r w:rsidRPr="00CC306F">
        <w:rPr>
          <w:rFonts w:ascii="Geomanist Light" w:hAnsi="Geomanist Light" w:cs="Arial"/>
          <w:sz w:val="22"/>
          <w:szCs w:val="22"/>
          <w:lang w:val="es-ES_tradnl" w:eastAsia="es-CO"/>
        </w:rPr>
        <w:t xml:space="preserve">Sin perjuicio de lo anterior, las entidades estatales son autónomas para estructurar los estudios previos, siempre y cuando se observen los aspectos que deben contener esos estudios, de conformidad con los artículos 2.2.1.1.1.6.1, 2.2.1.1.2.1.1 y 2.2.1.2.1.4.9 del Decreto 1082 de 2015. </w:t>
      </w:r>
      <w:bookmarkEnd w:id="26"/>
    </w:p>
    <w:p w14:paraId="55A0AE3D" w14:textId="28635645" w:rsidR="00614A07" w:rsidRPr="00614A07" w:rsidRDefault="002843ED" w:rsidP="004E77FA">
      <w:pPr>
        <w:pStyle w:val="Textoindependiente"/>
        <w:spacing w:after="240" w:line="276" w:lineRule="auto"/>
        <w:ind w:right="49" w:firstLine="567"/>
        <w:contextualSpacing/>
        <w:jc w:val="both"/>
        <w:rPr>
          <w:rFonts w:ascii="Geomanist Light" w:eastAsia="Times New Roman" w:hAnsi="Geomanist Light" w:cs="Times New Roman"/>
          <w:lang w:val="es-CO" w:eastAsia="es-ES_tradnl"/>
        </w:rPr>
      </w:pPr>
      <w:r>
        <w:rPr>
          <w:rFonts w:ascii="Geomanist Light" w:eastAsia="Times New Roman" w:hAnsi="Geomanist Light" w:cs="Times New Roman"/>
          <w:lang w:val="es-CO" w:eastAsia="es-ES_tradnl"/>
        </w:rPr>
        <w:lastRenderedPageBreak/>
        <w:t>De este modo, p</w:t>
      </w:r>
      <w:r w:rsidR="00614A07" w:rsidRPr="00614A07">
        <w:rPr>
          <w:rFonts w:ascii="Geomanist Light" w:eastAsia="Times New Roman" w:hAnsi="Geomanist Light" w:cs="Times New Roman"/>
          <w:lang w:val="es-CO" w:eastAsia="es-ES_tradnl"/>
        </w:rPr>
        <w:t xml:space="preserve">ara el caso en particular, resulta relevante precisar que, ante la ausencia de reglamentación específica que establezca los criterios evaluación y la forma de asignación de puntajes en los procesos de selección, estos aspectos corresponden a un asunto que se debe establecer en los pliegos de condiciones de cada proceso de selección en forma individual y corresponde a las entidades estatales establecer las reglas para su aplicación por parte de los proponentes en el pliego de condiciones, con el propósito de dar a conocer los aspectos deben tenerse en cuenta a la hora de configurar sus ofertas. A partir de tales reglas, la entidad podrá exigir el desglose de determinados factores imputables a costos directos en determinada manera y en general, establecer los parámetros que garanticen el desarrollo de principios de la función administrativa. </w:t>
      </w:r>
    </w:p>
    <w:p w14:paraId="10494B15" w14:textId="77777777" w:rsidR="00614A07" w:rsidRPr="00614A07" w:rsidRDefault="00614A07" w:rsidP="004E77FA">
      <w:pPr>
        <w:pStyle w:val="Textoindependiente"/>
        <w:spacing w:after="240" w:line="276" w:lineRule="auto"/>
        <w:ind w:right="227"/>
        <w:contextualSpacing/>
        <w:jc w:val="both"/>
        <w:rPr>
          <w:rFonts w:ascii="Geomanist Light" w:eastAsia="Times New Roman" w:hAnsi="Geomanist Light" w:cs="Times New Roman"/>
          <w:lang w:val="es-CO" w:eastAsia="es-ES_tradnl"/>
        </w:rPr>
      </w:pPr>
    </w:p>
    <w:p w14:paraId="2369C733" w14:textId="55B586C4" w:rsidR="00614A07" w:rsidRPr="00614A07" w:rsidRDefault="00614A07" w:rsidP="003D4FAA">
      <w:pPr>
        <w:pStyle w:val="Textoindependiente"/>
        <w:spacing w:after="240" w:line="276" w:lineRule="auto"/>
        <w:ind w:right="49" w:firstLine="709"/>
        <w:contextualSpacing/>
        <w:jc w:val="both"/>
        <w:rPr>
          <w:rFonts w:ascii="Geomanist Light" w:eastAsia="Times New Roman" w:hAnsi="Geomanist Light" w:cs="Times New Roman"/>
          <w:lang w:val="es-CO" w:eastAsia="es-ES_tradnl"/>
        </w:rPr>
      </w:pPr>
      <w:r w:rsidRPr="00614A07">
        <w:rPr>
          <w:rFonts w:ascii="Geomanist Light" w:eastAsia="Times New Roman" w:hAnsi="Geomanist Light" w:cs="Times New Roman"/>
          <w:lang w:val="es-CO" w:eastAsia="es-ES_tradnl"/>
        </w:rPr>
        <w:t>Sin perjuicio de lo anterior, Colombia Compra Eficiente dispone de una «Guía para la Elaboración de Estudios del Sector»,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 En este instrumento se recomienda un análisis integral sobre varios aspectos del mercado –económico, técnico, regulatorio, etc.,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p>
    <w:p w14:paraId="6B904504" w14:textId="2C0BBE0E" w:rsidR="00EF309E" w:rsidRDefault="00614A07" w:rsidP="004E77FA">
      <w:pPr>
        <w:tabs>
          <w:tab w:val="left" w:pos="0"/>
          <w:tab w:val="left" w:pos="6237"/>
        </w:tabs>
        <w:spacing w:after="240" w:line="276" w:lineRule="auto"/>
        <w:ind w:firstLine="709"/>
        <w:contextualSpacing/>
        <w:jc w:val="both"/>
        <w:rPr>
          <w:rFonts w:ascii="Geomanist Light" w:hAnsi="Geomanist Light"/>
          <w:sz w:val="22"/>
          <w:szCs w:val="22"/>
        </w:rPr>
      </w:pPr>
      <w:r w:rsidRPr="00614A07">
        <w:rPr>
          <w:rFonts w:ascii="Geomanist Light" w:hAnsi="Geomanist Light"/>
          <w:sz w:val="22"/>
          <w:szCs w:val="22"/>
        </w:rPr>
        <w:t>En todo caso, será responsabilidad de cada proponente estructurar sus ofertas conforme lo establecen los pliegos de condiciones diseñados por las entidades estatales en cada proceso de selección y no corresponde a esta entidad entrar a resolver conflictos o problema jurídicos relacionados con la aplicación de normas tributarias, como quiera que la competencia consultiva atribuida a esta Agencia por el numeral 8 del artículo 11 y el numeral 5 del artículo 3 del Decreto Ley 4170 de 2011, se encuentra limitada a la resolución consultas sobre la aplicación de normas generales en materia de contratación pública.</w:t>
      </w:r>
    </w:p>
    <w:p w14:paraId="6CF06240" w14:textId="77777777" w:rsidR="00EF309E" w:rsidRPr="00671D8E" w:rsidRDefault="00EF309E" w:rsidP="004E77FA">
      <w:pPr>
        <w:tabs>
          <w:tab w:val="left" w:pos="0"/>
          <w:tab w:val="left" w:pos="6237"/>
        </w:tabs>
        <w:spacing w:after="240" w:line="276" w:lineRule="auto"/>
        <w:ind w:firstLine="709"/>
        <w:contextualSpacing/>
        <w:jc w:val="both"/>
        <w:rPr>
          <w:rFonts w:ascii="Geomanist Light" w:eastAsia="Calibri" w:hAnsi="Geomanist Light" w:cs="Arial"/>
          <w:color w:val="000000" w:themeColor="text1"/>
          <w:sz w:val="22"/>
          <w:szCs w:val="22"/>
          <w:lang w:val="es-ES_tradnl"/>
        </w:rPr>
      </w:pPr>
    </w:p>
    <w:p w14:paraId="4FDE44D0" w14:textId="3F407A74" w:rsidR="00AB1230" w:rsidRPr="00CC306F" w:rsidRDefault="00AB1230" w:rsidP="004E77FA">
      <w:pPr>
        <w:tabs>
          <w:tab w:val="left" w:pos="0"/>
        </w:tabs>
        <w:spacing w:after="240" w:line="276" w:lineRule="auto"/>
        <w:contextualSpacing/>
        <w:jc w:val="both"/>
        <w:rPr>
          <w:rFonts w:ascii="Geomanist Light" w:eastAsia="Calibri" w:hAnsi="Geomanist Light" w:cs="Arial"/>
          <w:b/>
          <w:color w:val="000000" w:themeColor="text1"/>
          <w:sz w:val="22"/>
          <w:lang w:val="es-ES_tradnl"/>
        </w:rPr>
      </w:pPr>
      <w:r w:rsidRPr="00CC306F">
        <w:rPr>
          <w:rFonts w:ascii="Geomanist Light" w:eastAsia="Calibri" w:hAnsi="Geomanist Light" w:cs="Arial"/>
          <w:b/>
          <w:color w:val="000000" w:themeColor="text1"/>
          <w:sz w:val="22"/>
          <w:lang w:val="es-ES_tradnl"/>
        </w:rPr>
        <w:t>3. Respuesta</w:t>
      </w:r>
    </w:p>
    <w:p w14:paraId="076A4802" w14:textId="4CC743FB" w:rsidR="00AB1230" w:rsidRPr="00CC306F" w:rsidRDefault="00AB1230" w:rsidP="004E77FA">
      <w:pPr>
        <w:autoSpaceDE w:val="0"/>
        <w:autoSpaceDN w:val="0"/>
        <w:adjustRightInd w:val="0"/>
        <w:spacing w:after="240" w:line="276" w:lineRule="auto"/>
        <w:ind w:right="709"/>
        <w:contextualSpacing/>
        <w:jc w:val="both"/>
        <w:rPr>
          <w:rFonts w:ascii="Geomanist Light" w:hAnsi="Geomanist Light" w:cs="Arial"/>
          <w:lang w:val="es-ES"/>
        </w:rPr>
      </w:pPr>
    </w:p>
    <w:p w14:paraId="147CC384" w14:textId="076F67A6" w:rsidR="00337936" w:rsidRPr="00CC306F" w:rsidRDefault="00337936" w:rsidP="003D4FAA">
      <w:pPr>
        <w:spacing w:after="240"/>
        <w:ind w:left="709" w:right="902"/>
        <w:jc w:val="both"/>
        <w:rPr>
          <w:rFonts w:ascii="Geomanist Light" w:eastAsia="Arial" w:hAnsi="Geomanist Light" w:cs="Arial"/>
          <w:color w:val="000000"/>
          <w:sz w:val="21"/>
          <w:szCs w:val="21"/>
        </w:rPr>
      </w:pPr>
      <w:bookmarkStart w:id="27" w:name="_Hlk94281581"/>
      <w:r w:rsidRPr="00CC306F">
        <w:rPr>
          <w:rFonts w:ascii="Geomanist Light" w:eastAsia="Arial" w:hAnsi="Geomanist Light" w:cs="Arial"/>
          <w:color w:val="000000"/>
          <w:sz w:val="21"/>
          <w:szCs w:val="21"/>
        </w:rPr>
        <w:t xml:space="preserve">«1. ¿Puede una entidad estatal solicitar documento adicional al formato 8 de los Pliegos Tipo para la acreditación de la nómina del personal en condición de discapacidad aparte del certificado del MINTRABAJO? </w:t>
      </w:r>
    </w:p>
    <w:p w14:paraId="7A1D54D7" w14:textId="2B590DB2" w:rsidR="00337936" w:rsidRPr="00CC306F" w:rsidRDefault="00337936" w:rsidP="003D4FAA">
      <w:pPr>
        <w:spacing w:after="240"/>
        <w:ind w:left="709" w:right="902"/>
        <w:jc w:val="both"/>
        <w:rPr>
          <w:rFonts w:ascii="Geomanist Light" w:eastAsia="Arial" w:hAnsi="Geomanist Light" w:cs="Arial"/>
          <w:color w:val="000000"/>
          <w:sz w:val="21"/>
          <w:szCs w:val="21"/>
        </w:rPr>
      </w:pPr>
      <w:r w:rsidRPr="00CC306F">
        <w:rPr>
          <w:rFonts w:ascii="Geomanist Light" w:eastAsia="Arial" w:hAnsi="Geomanist Light" w:cs="Arial"/>
          <w:color w:val="000000"/>
          <w:sz w:val="21"/>
          <w:szCs w:val="21"/>
        </w:rPr>
        <w:t xml:space="preserve">2. Si el número de trabajadores en nómina acreditado en el certificado de MINTRABAJO es diferente al acreditado en el formato 8 ¿es necesario aportar </w:t>
      </w:r>
      <w:r w:rsidRPr="00CC306F">
        <w:rPr>
          <w:rFonts w:ascii="Geomanist Light" w:eastAsia="Arial" w:hAnsi="Geomanist Light" w:cs="Arial"/>
          <w:color w:val="000000"/>
          <w:sz w:val="21"/>
          <w:szCs w:val="21"/>
        </w:rPr>
        <w:lastRenderedPageBreak/>
        <w:t xml:space="preserve">otro documento? El caso específico es que en mi certificado de </w:t>
      </w:r>
      <w:proofErr w:type="spellStart"/>
      <w:r w:rsidRPr="00CC306F">
        <w:rPr>
          <w:rFonts w:ascii="Geomanist Light" w:eastAsia="Arial" w:hAnsi="Geomanist Light" w:cs="Arial"/>
          <w:color w:val="000000"/>
          <w:sz w:val="21"/>
          <w:szCs w:val="21"/>
        </w:rPr>
        <w:t>Mintrabajo</w:t>
      </w:r>
      <w:proofErr w:type="spellEnd"/>
      <w:r w:rsidRPr="00CC306F">
        <w:rPr>
          <w:rFonts w:ascii="Geomanist Light" w:eastAsia="Arial" w:hAnsi="Geomanist Light" w:cs="Arial"/>
          <w:color w:val="000000"/>
          <w:sz w:val="21"/>
          <w:szCs w:val="21"/>
        </w:rPr>
        <w:t xml:space="preserve"> reportan 42 trabajadores a nómina de septiembre de 2022 y en octubre y noviembre mi nomina bajo a 25 y 19 trabajadores los cuales acredito en el formato 8 pero no me dan puntaje porque, según la entidad Parques Nacionales; como reporte 42 debo tener 2 personas en condición de discapacidad. </w:t>
      </w:r>
    </w:p>
    <w:p w14:paraId="65680E71" w14:textId="4A591111" w:rsidR="00337936" w:rsidRPr="00CC306F" w:rsidRDefault="00337936" w:rsidP="003D4FAA">
      <w:pPr>
        <w:spacing w:after="240"/>
        <w:ind w:left="709" w:right="902"/>
        <w:jc w:val="both"/>
        <w:rPr>
          <w:rFonts w:ascii="Geomanist Light" w:eastAsia="Arial" w:hAnsi="Geomanist Light" w:cs="Arial"/>
          <w:color w:val="000000"/>
          <w:sz w:val="20"/>
          <w:szCs w:val="20"/>
        </w:rPr>
      </w:pPr>
      <w:r w:rsidRPr="00CC306F">
        <w:rPr>
          <w:rFonts w:ascii="Geomanist Light" w:eastAsia="Arial" w:hAnsi="Geomanist Light" w:cs="Arial"/>
          <w:color w:val="000000"/>
          <w:sz w:val="21"/>
          <w:szCs w:val="21"/>
        </w:rPr>
        <w:t>3. Algunas Entidades Oficiales no me da puntaje por emprendimiento de mujeres porque según ellos debo anexar al formato tipo una certificación aparte en la que conste la composición accionaria ¿es esto valido?</w:t>
      </w:r>
      <w:r w:rsidR="00556732" w:rsidRPr="00CC306F">
        <w:rPr>
          <w:rFonts w:ascii="Geomanist Light" w:eastAsiaTheme="minorHAnsi" w:hAnsi="Geomanist Light" w:cs="Arial"/>
          <w:color w:val="000000" w:themeColor="text1"/>
          <w:sz w:val="21"/>
          <w:szCs w:val="21"/>
          <w:lang w:eastAsia="en-US"/>
        </w:rPr>
        <w:t>»</w:t>
      </w:r>
      <w:r w:rsidRPr="00CC306F">
        <w:rPr>
          <w:rFonts w:ascii="Geomanist Light" w:eastAsia="Arial" w:hAnsi="Geomanist Light" w:cs="Arial"/>
          <w:color w:val="000000"/>
          <w:sz w:val="21"/>
          <w:szCs w:val="21"/>
        </w:rPr>
        <w:t xml:space="preserve"> </w:t>
      </w:r>
    </w:p>
    <w:p w14:paraId="45772E74" w14:textId="5CC717B5" w:rsidR="00337936" w:rsidRPr="00CC306F" w:rsidRDefault="00337936" w:rsidP="004E77FA">
      <w:pPr>
        <w:tabs>
          <w:tab w:val="left" w:pos="3374"/>
        </w:tabs>
        <w:spacing w:after="240" w:line="276" w:lineRule="auto"/>
        <w:jc w:val="both"/>
        <w:rPr>
          <w:rFonts w:ascii="Geomanist Light" w:hAnsi="Geomanist Light" w:cs="Arial"/>
          <w:color w:val="000000" w:themeColor="text1"/>
          <w:sz w:val="22"/>
          <w:szCs w:val="22"/>
          <w:lang w:val="es-ES"/>
        </w:rPr>
      </w:pPr>
      <w:r w:rsidRPr="00CC306F">
        <w:rPr>
          <w:rFonts w:ascii="Geomanist Light" w:hAnsi="Geomanist Light" w:cs="Arial"/>
          <w:sz w:val="22"/>
          <w:szCs w:val="22"/>
        </w:rPr>
        <w:t>Para efectos prácticos estas preguntas se agrupan por unidad de materia, y para su respuesta se precisa que</w:t>
      </w:r>
      <w:r w:rsidRPr="00CC306F">
        <w:rPr>
          <w:rFonts w:ascii="Geomanist Light" w:eastAsia="Arial" w:hAnsi="Geomanist Light" w:cs="Arial"/>
          <w:color w:val="000000"/>
          <w:sz w:val="22"/>
          <w:szCs w:val="22"/>
        </w:rPr>
        <w:t>, e</w:t>
      </w:r>
      <w:r w:rsidRPr="00CC306F">
        <w:rPr>
          <w:rFonts w:ascii="Geomanist Light" w:hAnsi="Geomanist Light" w:cs="Arial"/>
          <w:sz w:val="22"/>
          <w:szCs w:val="22"/>
        </w:rPr>
        <w:t>sta entidad solo tiene competencia para responder solicitudes sobre la aplicación de normas de carácter general en materia de compras y contratación pública y esta competencia de interpretación de normas generales, por definición, no puede extenderse a la resolución de controversias, ni a brindar asesorías sobre casos puntuales</w:t>
      </w:r>
      <w:r w:rsidRPr="00CC306F">
        <w:rPr>
          <w:rFonts w:ascii="Geomanist Light" w:hAnsi="Geomanist Light" w:cs="Arial"/>
          <w:color w:val="000000" w:themeColor="text1"/>
          <w:sz w:val="22"/>
          <w:szCs w:val="22"/>
          <w:lang w:val="es-ES"/>
        </w:rPr>
        <w:t>.</w:t>
      </w:r>
    </w:p>
    <w:p w14:paraId="4D6A457B" w14:textId="62A3CC4C" w:rsidR="00337936" w:rsidRPr="00CC306F" w:rsidRDefault="00337936" w:rsidP="003D4FAA">
      <w:pPr>
        <w:tabs>
          <w:tab w:val="left" w:pos="3374"/>
        </w:tabs>
        <w:spacing w:after="240" w:line="276" w:lineRule="auto"/>
        <w:ind w:firstLine="709"/>
        <w:jc w:val="both"/>
        <w:rPr>
          <w:rFonts w:ascii="Geomanist Light" w:hAnsi="Geomanist Light" w:cs="Arial"/>
          <w:color w:val="000000"/>
          <w:sz w:val="22"/>
          <w:szCs w:val="22"/>
          <w:lang w:eastAsia="es-MX"/>
        </w:rPr>
      </w:pPr>
      <w:r w:rsidRPr="00CC306F">
        <w:rPr>
          <w:rFonts w:ascii="Geomanist Light" w:hAnsi="Geomanist Light" w:cs="Arial"/>
          <w:color w:val="000000" w:themeColor="text1"/>
          <w:sz w:val="22"/>
          <w:szCs w:val="22"/>
          <w:lang w:val="es-ES"/>
        </w:rPr>
        <w:t xml:space="preserve">Por lo anterior, haciendo abstracción del caso concreto se dará respuesta desde las normas generales precisando que </w:t>
      </w:r>
      <w:r w:rsidRPr="00CC306F">
        <w:rPr>
          <w:rFonts w:ascii="Geomanist Light" w:hAnsi="Geomanist Light" w:cs="Arial"/>
          <w:color w:val="000000"/>
          <w:sz w:val="22"/>
          <w:szCs w:val="22"/>
          <w:lang w:eastAsia="es-MX"/>
        </w:rPr>
        <w:t xml:space="preserve">el Gobierno Nacional expidió el Decreto 392 de 2018, «Por el cual se reglamentan los numerales 1 y 8 del artículo 13 de la Ley 1618 de 2013, sobre incentivos en Procesos de Contratación en favor de personas con discapacidad», regulando el deber de las entidades del Estado de otorgar un puntaje adicional en los procedimientos de selección, especialmente, los que se desarrollan en las modalidades de licitación pública y concurso de méritos. </w:t>
      </w:r>
    </w:p>
    <w:p w14:paraId="54E24095" w14:textId="081B8044" w:rsidR="00337936" w:rsidRPr="00CC306F" w:rsidRDefault="00337936" w:rsidP="003D4FAA">
      <w:pPr>
        <w:spacing w:after="240" w:line="276" w:lineRule="auto"/>
        <w:ind w:firstLine="709"/>
        <w:jc w:val="both"/>
        <w:rPr>
          <w:rFonts w:ascii="Geomanist Light" w:hAnsi="Geomanist Light" w:cs="Arial"/>
          <w:sz w:val="22"/>
          <w:szCs w:val="22"/>
          <w:lang w:eastAsia="es-MX"/>
        </w:rPr>
      </w:pPr>
      <w:r w:rsidRPr="00CC306F">
        <w:rPr>
          <w:rFonts w:ascii="Geomanist Light" w:hAnsi="Geomanist Light" w:cs="Arial"/>
          <w:sz w:val="22"/>
          <w:szCs w:val="22"/>
          <w:lang w:eastAsia="es-MX"/>
        </w:rPr>
        <w:t xml:space="preserve">De este modo para obtener el puntaje adicional, los proponentes deben presentar el «Formato 8 – Vinculación de personas con discapacidad», suscrito ya sea por la persona natural, el representante legal de la persona jurídica o el revisor fiscal en los casos que corresponda, en el cual certifique el número total de trabajadores vinculados a la planta de personal del proponente. Como se observa, este documento estandariza la forma de cumplir con el requisito del numeral 1 del </w:t>
      </w:r>
      <w:r w:rsidRPr="00CC306F">
        <w:rPr>
          <w:rFonts w:ascii="Geomanist Light" w:hAnsi="Geomanist Light" w:cs="Arial"/>
          <w:color w:val="000000"/>
          <w:sz w:val="22"/>
          <w:szCs w:val="22"/>
          <w:lang w:val="es-ES" w:eastAsia="es-MX"/>
        </w:rPr>
        <w:t>artículo 2.2.1.2.4.2.6 del Decreto 1082 de 2015</w:t>
      </w:r>
      <w:r w:rsidRPr="00CC306F">
        <w:rPr>
          <w:rFonts w:ascii="Geomanist Light" w:hAnsi="Geomanist Light" w:cs="Arial"/>
          <w:sz w:val="22"/>
          <w:szCs w:val="22"/>
          <w:lang w:eastAsia="es-MX"/>
        </w:rPr>
        <w:t xml:space="preserve">. Por lo demás, junto al formato, el oferente también debe entregar el certificado del Ministerio de Trabajo que acredite el número mínimo de personas con discapacidad en su planta de personal, el cual deberá estar vigente a la fecha de cierre del proceso de selección. </w:t>
      </w:r>
    </w:p>
    <w:p w14:paraId="1D1E90A8" w14:textId="63DC7CCA" w:rsidR="00337936" w:rsidRPr="003D4FAA" w:rsidRDefault="00337936" w:rsidP="003D4FAA">
      <w:pPr>
        <w:spacing w:after="240" w:line="276" w:lineRule="auto"/>
        <w:ind w:firstLine="709"/>
        <w:jc w:val="both"/>
        <w:rPr>
          <w:rFonts w:ascii="Geomanist Light" w:hAnsi="Geomanist Light" w:cs="Arial"/>
          <w:color w:val="000000" w:themeColor="text1"/>
          <w:sz w:val="22"/>
          <w:szCs w:val="22"/>
          <w:lang w:eastAsia="es-CO"/>
        </w:rPr>
      </w:pPr>
      <w:r w:rsidRPr="00CC306F">
        <w:rPr>
          <w:rFonts w:ascii="Geomanist Light" w:hAnsi="Geomanist Light" w:cs="Arial"/>
          <w:sz w:val="22"/>
          <w:szCs w:val="22"/>
          <w:lang w:eastAsia="es-MX"/>
        </w:rPr>
        <w:t>Por su parte, e</w:t>
      </w:r>
      <w:r w:rsidRPr="00CC306F">
        <w:rPr>
          <w:rFonts w:ascii="Geomanist Light" w:hAnsi="Geomanist Light" w:cs="Arial"/>
          <w:color w:val="000000" w:themeColor="text1"/>
          <w:sz w:val="22"/>
          <w:szCs w:val="22"/>
          <w:lang w:val="es-ES"/>
        </w:rPr>
        <w:t xml:space="preserve">l Decreto 1860 de 2021 adicionó el artículo 2.2.1.2.4.2.14 al Decreto 1082 de 2015, estableciendo las condiciones y requisitos en atención a los cuales se definen los emprendimientos y empresas de mujeres, a las que les aplican los criterios diferenciales. Para estos efectos, señala cuatro numerales con unas condiciones alternativas que definen los emprendimientos y empresas de mujeres, a efectos de aplicar los criterios diferenciales. </w:t>
      </w:r>
    </w:p>
    <w:p w14:paraId="6C333309" w14:textId="24E1BB14" w:rsidR="00337936" w:rsidRPr="00CC306F" w:rsidRDefault="00337936" w:rsidP="003D4FAA">
      <w:pPr>
        <w:spacing w:after="240" w:line="276" w:lineRule="auto"/>
        <w:ind w:firstLine="709"/>
        <w:jc w:val="both"/>
        <w:rPr>
          <w:rFonts w:ascii="Geomanist Light" w:hAnsi="Geomanist Light" w:cs="Arial"/>
          <w:color w:val="000000" w:themeColor="text1"/>
          <w:sz w:val="22"/>
          <w:szCs w:val="22"/>
          <w:lang w:val="es-ES_tradnl"/>
        </w:rPr>
      </w:pPr>
      <w:r w:rsidRPr="00CC306F">
        <w:rPr>
          <w:rFonts w:ascii="Geomanist Light" w:hAnsi="Geomanist Light" w:cs="Arial"/>
          <w:color w:val="000000" w:themeColor="text1"/>
          <w:sz w:val="22"/>
          <w:szCs w:val="22"/>
          <w:lang w:val="es-ES_tradnl"/>
        </w:rPr>
        <w:lastRenderedPageBreak/>
        <w:t xml:space="preserve">Así pues, de acuerdo con lo señalado, se observa que el legislador </w:t>
      </w:r>
      <w:r w:rsidRPr="00CC306F">
        <w:rPr>
          <w:rFonts w:ascii="Geomanist Light" w:hAnsi="Geomanist Light" w:cs="Arial"/>
          <w:sz w:val="22"/>
          <w:szCs w:val="22"/>
          <w:lang w:val="es-ES_tradnl"/>
        </w:rPr>
        <w:t xml:space="preserve">reglamentó in extenso la forma de acreditar las circunstancias, los medios de prueba requeridos y las autoridades que pueden emitir estos documentos, para la obtención de los beneficios de puntuación adicional </w:t>
      </w:r>
      <w:r w:rsidRPr="00CC306F">
        <w:rPr>
          <w:rFonts w:ascii="Geomanist Light" w:hAnsi="Geomanist Light" w:cs="Arial"/>
          <w:color w:val="000000"/>
          <w:sz w:val="22"/>
          <w:szCs w:val="22"/>
          <w:lang w:eastAsia="es-MX"/>
        </w:rPr>
        <w:t xml:space="preserve">en favor tanto de personas con discapacidad como de </w:t>
      </w:r>
      <w:r w:rsidRPr="00CC306F">
        <w:rPr>
          <w:rFonts w:ascii="Geomanist Light" w:hAnsi="Geomanist Light" w:cs="Arial"/>
          <w:color w:val="000000" w:themeColor="text1"/>
          <w:sz w:val="22"/>
          <w:szCs w:val="22"/>
          <w:lang w:val="es-ES"/>
        </w:rPr>
        <w:t xml:space="preserve">los emprendimientos y empresas de mujeres, </w:t>
      </w:r>
      <w:r w:rsidRPr="00CC306F">
        <w:rPr>
          <w:rFonts w:ascii="Geomanist Light" w:hAnsi="Geomanist Light" w:cs="Arial"/>
          <w:sz w:val="22"/>
          <w:szCs w:val="22"/>
          <w:lang w:val="es-ES_tradnl"/>
        </w:rPr>
        <w:t>por lo que las entidades contratantes deberán acudir a su contenido detallado para la aplicación de cada requisito habilitante y el otorgamiento del puntaje adicional en sus procesos de contratación.</w:t>
      </w:r>
    </w:p>
    <w:p w14:paraId="5CE704FA" w14:textId="5A788DA1" w:rsidR="00337936" w:rsidRPr="003D4FAA" w:rsidRDefault="00337936" w:rsidP="003D4FAA">
      <w:pPr>
        <w:spacing w:after="240" w:line="276" w:lineRule="auto"/>
        <w:ind w:firstLine="709"/>
        <w:jc w:val="both"/>
        <w:rPr>
          <w:rFonts w:ascii="Geomanist Light" w:hAnsi="Geomanist Light" w:cs="Arial"/>
          <w:sz w:val="22"/>
          <w:szCs w:val="22"/>
          <w:lang w:val="es-ES_tradnl"/>
        </w:rPr>
      </w:pPr>
      <w:r w:rsidRPr="00CC306F">
        <w:rPr>
          <w:rFonts w:ascii="Geomanist Light" w:hAnsi="Geomanist Light" w:cs="Arial"/>
          <w:color w:val="000000" w:themeColor="text1"/>
          <w:sz w:val="22"/>
          <w:szCs w:val="22"/>
          <w:lang w:val="es-ES_tradnl"/>
        </w:rPr>
        <w:t xml:space="preserve">De este modo dichos </w:t>
      </w:r>
      <w:r w:rsidRPr="00CC306F">
        <w:rPr>
          <w:rFonts w:ascii="Geomanist Light" w:hAnsi="Geomanist Light" w:cs="Arial"/>
          <w:sz w:val="22"/>
          <w:szCs w:val="22"/>
          <w:lang w:val="es-ES_tradnl"/>
        </w:rPr>
        <w:t>documentos constituyen una tarifa legal probatoria para demostrar una u otra calidad y así hacerse acreedores del beneficio solicitado, de tal suerte que corresponde al proponente que pretendan acceder a tales beneficios presentarlos en debida forma junto con sus respectivos soportes. En todo caso, es deber de la entidad estatal verificar que los documentos presentados acrediten las condiciones descritas.</w:t>
      </w:r>
    </w:p>
    <w:p w14:paraId="734F65C7" w14:textId="2895A652" w:rsidR="00337936" w:rsidRPr="00CC306F" w:rsidRDefault="00337936" w:rsidP="003D4FAA">
      <w:pPr>
        <w:spacing w:after="240" w:line="276" w:lineRule="auto"/>
        <w:ind w:firstLine="709"/>
        <w:jc w:val="both"/>
        <w:rPr>
          <w:rFonts w:ascii="Geomanist Light" w:hAnsi="Geomanist Light" w:cs="Arial"/>
          <w:bCs/>
          <w:color w:val="000000"/>
          <w:sz w:val="22"/>
          <w:szCs w:val="22"/>
          <w:lang w:val="es-ES_tradnl"/>
        </w:rPr>
      </w:pPr>
      <w:r w:rsidRPr="00CC306F">
        <w:rPr>
          <w:rFonts w:ascii="Geomanist Light" w:hAnsi="Geomanist Light" w:cs="Arial"/>
          <w:sz w:val="22"/>
          <w:szCs w:val="22"/>
          <w:lang w:eastAsia="es-CO"/>
        </w:rPr>
        <w:t xml:space="preserve">Conviene destacar que </w:t>
      </w:r>
      <w:r w:rsidRPr="00CC306F">
        <w:rPr>
          <w:rFonts w:ascii="Geomanist Light" w:hAnsi="Geomanist Light" w:cs="Arial"/>
          <w:bCs/>
          <w:color w:val="000000"/>
          <w:sz w:val="22"/>
          <w:szCs w:val="22"/>
          <w:lang w:val="es-ES_tradnl"/>
        </w:rPr>
        <w:t xml:space="preserve">teniendo en cuenta i) que el reglamento define los documentos que demuestran las circunstancias reguladas </w:t>
      </w:r>
      <w:r w:rsidRPr="00CC306F">
        <w:rPr>
          <w:rFonts w:ascii="Geomanist Light" w:hAnsi="Geomanist Light" w:cs="Arial"/>
          <w:sz w:val="22"/>
          <w:szCs w:val="22"/>
          <w:lang w:val="es-ES_tradnl"/>
        </w:rPr>
        <w:t xml:space="preserve">para la obtención de los beneficios de puntuación adicional </w:t>
      </w:r>
      <w:r w:rsidRPr="00CC306F">
        <w:rPr>
          <w:rFonts w:ascii="Geomanist Light" w:hAnsi="Geomanist Light" w:cs="Arial"/>
          <w:color w:val="000000"/>
          <w:sz w:val="22"/>
          <w:szCs w:val="22"/>
          <w:lang w:eastAsia="es-MX"/>
        </w:rPr>
        <w:t xml:space="preserve">en favor tanto de personas con discapacidad como de </w:t>
      </w:r>
      <w:r w:rsidRPr="00CC306F">
        <w:rPr>
          <w:rFonts w:ascii="Geomanist Light" w:hAnsi="Geomanist Light" w:cs="Arial"/>
          <w:color w:val="000000" w:themeColor="text1"/>
          <w:sz w:val="22"/>
          <w:szCs w:val="22"/>
          <w:lang w:val="es-ES"/>
        </w:rPr>
        <w:t>los emprendimientos y empresas de mujeres</w:t>
      </w:r>
      <w:r w:rsidRPr="00CC306F">
        <w:rPr>
          <w:rFonts w:ascii="Geomanist Light" w:hAnsi="Geomanist Light" w:cs="Arial"/>
          <w:bCs/>
          <w:color w:val="000000"/>
          <w:sz w:val="22"/>
          <w:szCs w:val="22"/>
          <w:lang w:val="es-ES_tradnl"/>
        </w:rPr>
        <w:t xml:space="preserve">, ii) que las entidades estatales deben presumir la buena fe, como lo ordena el artículo 83 de la Constitución Política, y que iii) los numerales 1 y 2 del artículo 25 de la Ley 80 de 1993 prohíben implementar trámites o requisitos que las normas no incluyen, como garantía del principio de economía, las entidades deben abstenerse de solicitar documentos adicionales a los señalados por el legislador. </w:t>
      </w:r>
    </w:p>
    <w:p w14:paraId="549989B7" w14:textId="03887816" w:rsidR="00337936" w:rsidRPr="00CC306F" w:rsidRDefault="00C829F8" w:rsidP="003D4FAA">
      <w:pPr>
        <w:spacing w:after="240" w:line="276" w:lineRule="auto"/>
        <w:ind w:firstLine="709"/>
        <w:jc w:val="both"/>
        <w:rPr>
          <w:rFonts w:ascii="Geomanist Light" w:hAnsi="Geomanist Light" w:cs="Arial"/>
          <w:sz w:val="22"/>
          <w:szCs w:val="22"/>
          <w:lang w:val="es-ES_tradnl"/>
        </w:rPr>
      </w:pPr>
      <w:r w:rsidRPr="00CC306F">
        <w:rPr>
          <w:rFonts w:ascii="Geomanist Light" w:hAnsi="Geomanist Light" w:cs="Arial"/>
          <w:bCs/>
          <w:color w:val="000000"/>
          <w:sz w:val="22"/>
          <w:szCs w:val="22"/>
          <w:lang w:val="es-ES_tradnl"/>
        </w:rPr>
        <w:t xml:space="preserve">Todo lo anterior, </w:t>
      </w:r>
      <w:r w:rsidR="00337936" w:rsidRPr="00CC306F">
        <w:rPr>
          <w:rFonts w:ascii="Geomanist Light" w:hAnsi="Geomanist Light" w:cs="Arial"/>
          <w:bCs/>
          <w:color w:val="000000"/>
          <w:sz w:val="22"/>
          <w:szCs w:val="22"/>
          <w:lang w:val="es-ES_tradnl"/>
        </w:rPr>
        <w:t xml:space="preserve">sin perjuicio del deber de verificación ante las inconsistencias evidenciadas que </w:t>
      </w:r>
      <w:proofErr w:type="gramStart"/>
      <w:r w:rsidR="00337936" w:rsidRPr="00CC306F">
        <w:rPr>
          <w:rFonts w:ascii="Geomanist Light" w:hAnsi="Geomanist Light" w:cs="Arial"/>
          <w:bCs/>
          <w:color w:val="000000"/>
          <w:sz w:val="22"/>
          <w:szCs w:val="22"/>
          <w:lang w:val="es-ES_tradnl"/>
        </w:rPr>
        <w:t>le</w:t>
      </w:r>
      <w:proofErr w:type="gramEnd"/>
      <w:r w:rsidR="00337936" w:rsidRPr="00CC306F">
        <w:rPr>
          <w:rFonts w:ascii="Geomanist Light" w:hAnsi="Geomanist Light" w:cs="Arial"/>
          <w:bCs/>
          <w:color w:val="000000"/>
          <w:sz w:val="22"/>
          <w:szCs w:val="22"/>
          <w:lang w:val="es-ES_tradnl"/>
        </w:rPr>
        <w:t xml:space="preserve"> asiste a las entidades estatales, así como de la </w:t>
      </w:r>
      <w:r w:rsidR="00337936" w:rsidRPr="00CC306F">
        <w:rPr>
          <w:rFonts w:ascii="Geomanist Light" w:hAnsi="Geomanist Light" w:cs="Arial"/>
          <w:sz w:val="22"/>
          <w:szCs w:val="22"/>
          <w:lang w:val="es-MX"/>
        </w:rPr>
        <w:t xml:space="preserve">facultad con la que cuentan para «solicitar a los proponentes las aclaraciones y explicaciones que se estimen indispensables», establecida en el artículo 30-7 de la Ley 80 de 1993; aunado a la posibilidad </w:t>
      </w:r>
      <w:r w:rsidR="00337936" w:rsidRPr="00CC306F">
        <w:rPr>
          <w:rFonts w:ascii="Geomanist Light" w:hAnsi="Geomanist Light" w:cs="Arial"/>
          <w:bCs/>
          <w:color w:val="000000"/>
          <w:sz w:val="22"/>
          <w:szCs w:val="22"/>
          <w:lang w:val="es-ES_tradnl"/>
        </w:rPr>
        <w:t>de denuncia de la posible falsedad de los documentos advertida durante el procedimiento contractual.</w:t>
      </w:r>
    </w:p>
    <w:p w14:paraId="1478EE56" w14:textId="77DEF199" w:rsidR="00C36BB2" w:rsidRPr="00CC306F" w:rsidRDefault="00337936" w:rsidP="004E77FA">
      <w:pPr>
        <w:spacing w:after="240" w:line="276" w:lineRule="auto"/>
        <w:ind w:firstLine="708"/>
        <w:jc w:val="both"/>
        <w:rPr>
          <w:rFonts w:ascii="Geomanist Light" w:hAnsi="Geomanist Light" w:cs="Arial"/>
          <w:sz w:val="22"/>
          <w:szCs w:val="22"/>
          <w:lang w:val="es-ES_tradnl"/>
        </w:rPr>
      </w:pPr>
      <w:r w:rsidRPr="00CC306F">
        <w:rPr>
          <w:rFonts w:ascii="Geomanist Light" w:hAnsi="Geomanist Light" w:cs="Arial"/>
          <w:sz w:val="22"/>
          <w:szCs w:val="22"/>
          <w:lang w:val="es-ES_tradnl"/>
        </w:rPr>
        <w:t>Finalmente se reitera que, e</w:t>
      </w:r>
      <w:r w:rsidRPr="00CC306F">
        <w:rPr>
          <w:rFonts w:ascii="Geomanist Light" w:hAnsi="Geomanist Light" w:cs="Arial"/>
          <w:color w:val="000000"/>
          <w:sz w:val="22"/>
          <w:szCs w:val="22"/>
          <w:lang w:val="es-ES_tradnl"/>
        </w:rPr>
        <w:t xml:space="preserve">n ejercicio de las competencias establecidas en los artículos 3.5 y 11.8 del Decreto 4170 de 2011, no le está dado a la Agencia Nacional de Contratación Pública – Colombia Compra Eficiente definir aspectos adicionales a los contemplados en la normativa enunciada, ya que el legislador no concibió a Colombia Compra Eficiente como una autoridad para solucionar problemas jurídicos particulares de todos los partícipes de la contratación estatal ni para interpretar el alcance de cualquier norma vigente en el ordenamiento jurídico. </w:t>
      </w:r>
      <w:r w:rsidRPr="00CC306F">
        <w:rPr>
          <w:rFonts w:ascii="Geomanist Light" w:hAnsi="Geomanist Light" w:cs="Arial"/>
          <w:sz w:val="22"/>
          <w:szCs w:val="22"/>
          <w:lang w:val="es-ES_tradnl" w:eastAsia="es-MX"/>
        </w:rPr>
        <w:t xml:space="preserve">Por lo tanto, </w:t>
      </w:r>
      <w:r w:rsidRPr="00CC306F">
        <w:rPr>
          <w:rFonts w:ascii="Geomanist Light" w:hAnsi="Geomanist Light" w:cs="Arial"/>
          <w:sz w:val="22"/>
          <w:szCs w:val="22"/>
          <w:lang w:val="es-ES_tradnl"/>
        </w:rPr>
        <w:t xml:space="preserve">la presente interpretación además se </w:t>
      </w:r>
      <w:r w:rsidRPr="00CC306F">
        <w:rPr>
          <w:rFonts w:ascii="Geomanist Light" w:hAnsi="Geomanist Light" w:cs="Arial"/>
          <w:sz w:val="22"/>
          <w:szCs w:val="22"/>
          <w:lang w:val="es-ES_tradnl"/>
        </w:rPr>
        <w:lastRenderedPageBreak/>
        <w:t>impone en virtud de aquella regla según la cual «cuando el sentido de la ley sea claro, no se desatenderá su tenor literal a pretexto de consultar su espíritu».</w:t>
      </w:r>
    </w:p>
    <w:p w14:paraId="0C3AD26B" w14:textId="6B0CF806" w:rsidR="00556732" w:rsidRPr="003D4FAA" w:rsidRDefault="00556732" w:rsidP="003D4FAA">
      <w:pPr>
        <w:spacing w:after="240"/>
        <w:ind w:left="709" w:right="902"/>
        <w:jc w:val="both"/>
        <w:rPr>
          <w:rFonts w:ascii="Geomanist Light" w:eastAsia="Arial" w:hAnsi="Geomanist Light" w:cs="Arial"/>
          <w:color w:val="000000"/>
          <w:sz w:val="21"/>
          <w:szCs w:val="21"/>
        </w:rPr>
      </w:pPr>
      <w:r w:rsidRPr="00CC306F">
        <w:rPr>
          <w:rFonts w:ascii="Geomanist Light" w:eastAsia="Arial" w:hAnsi="Geomanist Light" w:cs="Arial"/>
          <w:color w:val="000000"/>
          <w:sz w:val="21"/>
          <w:szCs w:val="21"/>
        </w:rPr>
        <w:t>«4. Algunas Entidades Oficiales no otorgan el puntaje por MIPYME pues no aceptan que esta condición se demuestra con la presentación del RUP vigente, en firme y con fecha no superior a 30 días del cierre del proceso. ¿es esto legal?</w:t>
      </w:r>
      <w:r w:rsidRPr="00CC306F">
        <w:rPr>
          <w:rFonts w:ascii="Geomanist Light" w:eastAsiaTheme="minorHAnsi" w:hAnsi="Geomanist Light" w:cs="Arial"/>
          <w:color w:val="000000" w:themeColor="text1"/>
          <w:sz w:val="21"/>
          <w:szCs w:val="21"/>
          <w:lang w:eastAsia="en-US"/>
        </w:rPr>
        <w:t>»</w:t>
      </w:r>
      <w:r w:rsidRPr="00CC306F">
        <w:rPr>
          <w:rFonts w:ascii="Geomanist Light" w:eastAsia="Arial" w:hAnsi="Geomanist Light" w:cs="Arial"/>
          <w:color w:val="000000"/>
          <w:sz w:val="21"/>
          <w:szCs w:val="21"/>
        </w:rPr>
        <w:t xml:space="preserve"> </w:t>
      </w:r>
    </w:p>
    <w:p w14:paraId="6D6EF8B8" w14:textId="6074B9B1" w:rsidR="00556732" w:rsidRPr="00CC306F" w:rsidRDefault="00556732" w:rsidP="003D4FAA">
      <w:pPr>
        <w:spacing w:after="240" w:line="276" w:lineRule="auto"/>
        <w:jc w:val="both"/>
        <w:rPr>
          <w:rFonts w:ascii="Geomanist Light" w:hAnsi="Geomanist Light" w:cs="Arial"/>
          <w:sz w:val="22"/>
          <w:szCs w:val="22"/>
          <w:lang w:val="es-ES_tradnl"/>
        </w:rPr>
      </w:pPr>
      <w:r w:rsidRPr="00CC306F">
        <w:rPr>
          <w:rFonts w:ascii="Geomanist Light" w:hAnsi="Geomanist Light" w:cs="Arial"/>
          <w:sz w:val="22"/>
          <w:szCs w:val="22"/>
          <w:lang w:val="es-ES_tradnl"/>
        </w:rPr>
        <w:t xml:space="preserve">El artículo 3 del Decreto 1860 de 2021, que adicionó el artículo 2.2.1.2.4.2.18 al Decreto 1082 de 2015 reglamentó los criterios diferenciales para </w:t>
      </w:r>
      <w:proofErr w:type="spellStart"/>
      <w:r w:rsidRPr="00CC306F">
        <w:rPr>
          <w:rFonts w:ascii="Geomanist Light" w:hAnsi="Geomanist Light" w:cs="Arial"/>
          <w:sz w:val="22"/>
          <w:szCs w:val="22"/>
          <w:lang w:val="es-ES_tradnl"/>
        </w:rPr>
        <w:t>Mipyme</w:t>
      </w:r>
      <w:proofErr w:type="spellEnd"/>
      <w:r w:rsidRPr="00CC306F">
        <w:rPr>
          <w:rFonts w:ascii="Geomanist Light" w:hAnsi="Geomanist Light" w:cs="Arial"/>
          <w:sz w:val="22"/>
          <w:szCs w:val="22"/>
          <w:lang w:val="es-ES_tradnl"/>
        </w:rPr>
        <w:t xml:space="preserve"> en el sistema de compras públicas. Conforme a esta norma las entidades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w:t>
      </w:r>
      <w:proofErr w:type="spellStart"/>
      <w:r w:rsidRPr="00CC306F">
        <w:rPr>
          <w:rFonts w:ascii="Geomanist Light" w:hAnsi="Geomanist Light" w:cs="Arial"/>
          <w:sz w:val="22"/>
          <w:szCs w:val="22"/>
          <w:lang w:val="es-ES_tradnl"/>
        </w:rPr>
        <w:t>Mipyme</w:t>
      </w:r>
      <w:proofErr w:type="spellEnd"/>
      <w:r w:rsidRPr="00CC306F">
        <w:rPr>
          <w:rFonts w:ascii="Geomanist Light" w:hAnsi="Geomanist Light" w:cs="Arial"/>
          <w:sz w:val="22"/>
          <w:szCs w:val="22"/>
          <w:lang w:val="es-ES_tradnl"/>
        </w:rPr>
        <w:t xml:space="preserve"> domiciliadas en Colombia. </w:t>
      </w:r>
    </w:p>
    <w:p w14:paraId="5B7E4F14" w14:textId="7603AE40" w:rsidR="00556732" w:rsidRPr="00CC306F" w:rsidRDefault="00556732" w:rsidP="003D4FAA">
      <w:pPr>
        <w:spacing w:after="240" w:line="276" w:lineRule="auto"/>
        <w:ind w:firstLine="709"/>
        <w:jc w:val="both"/>
        <w:rPr>
          <w:rFonts w:ascii="Geomanist Light" w:hAnsi="Geomanist Light" w:cs="Arial"/>
          <w:sz w:val="22"/>
          <w:szCs w:val="22"/>
          <w:lang w:val="es-ES_tradnl"/>
        </w:rPr>
      </w:pPr>
      <w:r w:rsidRPr="00CC306F">
        <w:rPr>
          <w:rFonts w:ascii="Geomanist Light" w:hAnsi="Geomanist Light" w:cs="Arial"/>
          <w:sz w:val="22"/>
          <w:szCs w:val="22"/>
          <w:lang w:val="es-ES_tradnl"/>
        </w:rPr>
        <w:t xml:space="preserve">En tal sentido, además de la posibilidad de determinar los criterios diferenciales para </w:t>
      </w:r>
      <w:proofErr w:type="spellStart"/>
      <w:r w:rsidRPr="00CC306F">
        <w:rPr>
          <w:rFonts w:ascii="Geomanist Light" w:hAnsi="Geomanist Light" w:cs="Arial"/>
          <w:sz w:val="22"/>
          <w:szCs w:val="22"/>
          <w:lang w:val="es-ES_tradnl"/>
        </w:rPr>
        <w:t>Mipyme</w:t>
      </w:r>
      <w:proofErr w:type="spellEnd"/>
      <w:r w:rsidRPr="00CC306F">
        <w:rPr>
          <w:rFonts w:ascii="Geomanist Light" w:hAnsi="Geomanist Light" w:cs="Arial"/>
          <w:sz w:val="22"/>
          <w:szCs w:val="22"/>
          <w:lang w:val="es-ES_tradnl"/>
        </w:rPr>
        <w:t xml:space="preserve"> relacionados con requisitos habilitantes el decreto dispone que, con excepción de los procedimientos de selección abreviada por subasta inversa y de mínima cuantía, las entidades sometidas al Estatuto General de Contratación de la Administración Pública, teniendo en cuenta los criterios de clasificación empresarial, podrán establecer puntajes adicionales que en ningún caso podrán superar el cero punto veinticinco por ciento (0.25%) del valor total de los puntos establecidos en los pliegos de condiciones o documentos equivalentes. </w:t>
      </w:r>
    </w:p>
    <w:p w14:paraId="54C0B45D" w14:textId="7261A228" w:rsidR="00556732" w:rsidRPr="003D4FAA" w:rsidRDefault="00556732" w:rsidP="003D4FAA">
      <w:pPr>
        <w:spacing w:after="240" w:line="276" w:lineRule="auto"/>
        <w:ind w:firstLine="709"/>
        <w:jc w:val="both"/>
        <w:rPr>
          <w:rFonts w:ascii="Geomanist Light" w:hAnsi="Geomanist Light" w:cs="Arial"/>
          <w:sz w:val="22"/>
          <w:szCs w:val="22"/>
          <w:lang w:val="es-ES_tradnl"/>
        </w:rPr>
      </w:pPr>
      <w:r w:rsidRPr="00CC306F">
        <w:rPr>
          <w:rFonts w:ascii="Geomanist Light" w:hAnsi="Geomanist Light" w:cs="Arial"/>
          <w:sz w:val="22"/>
          <w:szCs w:val="22"/>
          <w:lang w:val="es-ES_tradnl"/>
        </w:rPr>
        <w:t>Para los efectos de dicho beneficio los criterios de clasificación empresarial son los definidos en el artículo </w:t>
      </w:r>
      <w:hyperlink r:id="rId15" w:anchor="2.2.1.13.2.2" w:history="1">
        <w:r w:rsidRPr="00CC306F">
          <w:rPr>
            <w:rFonts w:ascii="Geomanist Light" w:hAnsi="Geomanist Light" w:cs="Arial"/>
            <w:sz w:val="22"/>
            <w:szCs w:val="22"/>
            <w:lang w:val="es-ES_tradnl"/>
          </w:rPr>
          <w:t>2.2.1.13.2.2</w:t>
        </w:r>
      </w:hyperlink>
      <w:r w:rsidRPr="00CC306F">
        <w:rPr>
          <w:rFonts w:ascii="Geomanist Light" w:hAnsi="Geomanist Light" w:cs="Arial"/>
          <w:sz w:val="22"/>
          <w:szCs w:val="22"/>
          <w:lang w:val="es-ES_tradnl"/>
        </w:rPr>
        <w:t> del Decreto 1074 de 2015, Único Reglamentario del Sector Comercio, Industria y Turismo, o la norma que lo modifique, derogue o sustituya, norma que además de establecer los rangos para la definición del tamaño empresarial precisó en el parágrafo de su artículo 2.2.1.13.2.4.  que, para la aplicación de los incentivos del sistema de compras y contratación pública, la acreditación del tamaño empresarial se efectuará de acuerdo con lo previsto en el artículo 2.2.1.2.4.2.4 del Decreto 1082 de 2015 y demás normas que lo aclaren, modifiquen o adicionen.</w:t>
      </w:r>
    </w:p>
    <w:p w14:paraId="0ACFFA53" w14:textId="7F6DD94E" w:rsidR="00556732" w:rsidRPr="00CC306F" w:rsidRDefault="00556732" w:rsidP="00167784">
      <w:pPr>
        <w:pStyle w:val="NormalWeb"/>
        <w:shd w:val="clear" w:color="auto" w:fill="FFFFFF"/>
        <w:spacing w:before="0" w:beforeAutospacing="0" w:after="240" w:afterAutospacing="0" w:line="276" w:lineRule="auto"/>
        <w:ind w:firstLine="709"/>
        <w:jc w:val="both"/>
        <w:rPr>
          <w:rFonts w:ascii="Geomanist Light" w:hAnsi="Geomanist Light" w:cs="Arial"/>
          <w:sz w:val="22"/>
          <w:szCs w:val="22"/>
        </w:rPr>
      </w:pPr>
      <w:r w:rsidRPr="00CC306F">
        <w:rPr>
          <w:rFonts w:ascii="Geomanist Light" w:eastAsia="Calibri" w:hAnsi="Geomanist Light" w:cs="Arial"/>
          <w:sz w:val="22"/>
          <w:szCs w:val="22"/>
          <w:lang w:val="es-ES_tradnl" w:eastAsia="en-US"/>
        </w:rPr>
        <w:t xml:space="preserve">En tal sentido, el 2.2.1.2.4.2.4 del Decreto 1082 de 2015 modificado por el artículo 5 del Decreto 1860 de 2021 establece que las </w:t>
      </w:r>
      <w:proofErr w:type="spellStart"/>
      <w:r w:rsidRPr="00CC306F">
        <w:rPr>
          <w:rFonts w:ascii="Geomanist Light" w:hAnsi="Geomanist Light" w:cs="Arial"/>
          <w:sz w:val="22"/>
          <w:szCs w:val="22"/>
        </w:rPr>
        <w:t>Mipyme</w:t>
      </w:r>
      <w:proofErr w:type="spellEnd"/>
      <w:r w:rsidRPr="00CC306F">
        <w:rPr>
          <w:rFonts w:ascii="Geomanist Light" w:hAnsi="Geomanist Light" w:cs="Arial"/>
          <w:sz w:val="22"/>
          <w:szCs w:val="22"/>
        </w:rPr>
        <w:t xml:space="preserve"> colombianas deben acreditar que tiene el tamaño empresarial establecido por la ley de la siguiente manera: 1. Las personas naturales mediante certificación expedida por ellos y un contador público, adjuntando copia del registro mercantil; 2. Las personas jurídicas mediante certificación expedida por el representante legal y el contador o revisor fiscal, si están obligados a tenerlo, adjuntando </w:t>
      </w:r>
      <w:r w:rsidRPr="00CC306F">
        <w:rPr>
          <w:rFonts w:ascii="Geomanist Light" w:hAnsi="Geomanist Light" w:cs="Arial"/>
          <w:sz w:val="22"/>
          <w:szCs w:val="22"/>
        </w:rPr>
        <w:lastRenderedPageBreak/>
        <w:t xml:space="preserve">copia del certificado de existencia y representación legal expedido por la Cámara de Comercio o por la autoridad competente para expedir dicha certificación. </w:t>
      </w:r>
    </w:p>
    <w:p w14:paraId="3EFF6005" w14:textId="00B68D41" w:rsidR="00556732" w:rsidRPr="003D4FAA" w:rsidRDefault="00556732" w:rsidP="003D4FAA">
      <w:pPr>
        <w:pStyle w:val="NormalWeb"/>
        <w:shd w:val="clear" w:color="auto" w:fill="FFFFFF"/>
        <w:spacing w:before="0" w:beforeAutospacing="0" w:after="240" w:afterAutospacing="0" w:line="276" w:lineRule="auto"/>
        <w:ind w:firstLine="709"/>
        <w:jc w:val="both"/>
        <w:rPr>
          <w:rFonts w:ascii="Geomanist Light" w:hAnsi="Geomanist Light" w:cs="Arial"/>
          <w:sz w:val="22"/>
          <w:szCs w:val="22"/>
          <w:lang w:val="es-ES_tradnl"/>
        </w:rPr>
      </w:pPr>
      <w:r w:rsidRPr="00CC306F">
        <w:rPr>
          <w:rFonts w:ascii="Geomanist Light" w:hAnsi="Geomanist Light" w:cs="Arial"/>
          <w:sz w:val="22"/>
          <w:szCs w:val="22"/>
        </w:rPr>
        <w:t xml:space="preserve">No obstante, el parágrafo 1 ibídem establece que </w:t>
      </w:r>
      <w:r w:rsidRPr="00CC306F">
        <w:rPr>
          <w:rFonts w:ascii="Geomanist Light" w:hAnsi="Geomanist Light" w:cs="Arial"/>
          <w:i/>
          <w:sz w:val="22"/>
          <w:szCs w:val="22"/>
        </w:rPr>
        <w:t xml:space="preserve">“En todo caso, las </w:t>
      </w:r>
      <w:proofErr w:type="spellStart"/>
      <w:r w:rsidRPr="00CC306F">
        <w:rPr>
          <w:rFonts w:ascii="Geomanist Light" w:hAnsi="Geomanist Light" w:cs="Arial"/>
          <w:i/>
          <w:sz w:val="22"/>
          <w:szCs w:val="22"/>
        </w:rPr>
        <w:t>Mipyme</w:t>
      </w:r>
      <w:proofErr w:type="spellEnd"/>
      <w:r w:rsidRPr="00CC306F">
        <w:rPr>
          <w:rFonts w:ascii="Geomanist Light" w:hAnsi="Geomanist Light" w:cs="Arial"/>
          <w:i/>
          <w:sz w:val="22"/>
          <w:szCs w:val="22"/>
        </w:rPr>
        <w:t xml:space="preserve"> también podrán acreditar esta condición con la copia del certificado del Registro Único de Proponentes, el cual deberá encontrarse vigente y en firme al momento de su presentación</w:t>
      </w:r>
      <w:r w:rsidRPr="00CC306F">
        <w:rPr>
          <w:rFonts w:ascii="Geomanist Light" w:hAnsi="Geomanist Light" w:cs="Arial"/>
          <w:sz w:val="22"/>
          <w:szCs w:val="22"/>
        </w:rPr>
        <w:t xml:space="preserve">”. </w:t>
      </w:r>
      <w:r w:rsidRPr="00CC306F">
        <w:rPr>
          <w:rFonts w:ascii="Geomanist Light" w:eastAsia="Arial" w:hAnsi="Geomanist Light" w:cs="Arial"/>
          <w:color w:val="000000"/>
          <w:sz w:val="22"/>
          <w:szCs w:val="22"/>
        </w:rPr>
        <w:t xml:space="preserve">De este modo, las entidades deben dar cumplimiento expreso a las distintas posibilidades que otorga el Decreto 1082 para </w:t>
      </w:r>
      <w:r w:rsidRPr="00CC306F">
        <w:rPr>
          <w:rFonts w:ascii="Geomanist Light" w:hAnsi="Geomanist Light" w:cs="Arial"/>
          <w:sz w:val="22"/>
          <w:szCs w:val="22"/>
        </w:rPr>
        <w:t>acreditar que tiene el tamaño empresarial establecido por la ley</w:t>
      </w:r>
      <w:r w:rsidRPr="00CC306F">
        <w:rPr>
          <w:rFonts w:ascii="Geomanist Light" w:hAnsi="Geomanist Light" w:cs="Arial"/>
          <w:sz w:val="22"/>
          <w:szCs w:val="22"/>
          <w:lang w:val="es-ES_tradnl"/>
        </w:rPr>
        <w:t xml:space="preserve">. De tal suerte que </w:t>
      </w:r>
      <w:r w:rsidRPr="00CC306F">
        <w:rPr>
          <w:rFonts w:ascii="Geomanist Light" w:hAnsi="Geomanist Light" w:cs="Arial"/>
          <w:sz w:val="22"/>
          <w:szCs w:val="22"/>
        </w:rPr>
        <w:t xml:space="preserve">las </w:t>
      </w:r>
      <w:proofErr w:type="spellStart"/>
      <w:r w:rsidRPr="00CC306F">
        <w:rPr>
          <w:rFonts w:ascii="Geomanist Light" w:hAnsi="Geomanist Light" w:cs="Arial"/>
          <w:sz w:val="22"/>
          <w:szCs w:val="22"/>
        </w:rPr>
        <w:t>Mipyme</w:t>
      </w:r>
      <w:proofErr w:type="spellEnd"/>
      <w:r w:rsidRPr="00CC306F">
        <w:rPr>
          <w:rFonts w:ascii="Geomanist Light" w:hAnsi="Geomanist Light" w:cs="Arial"/>
          <w:sz w:val="22"/>
          <w:szCs w:val="22"/>
        </w:rPr>
        <w:t xml:space="preserve"> también podrán acreditar esta condición con la copia del certificado del Registro Único de Proponentes, el cual deberá encontrarse vigente y en firme al momento de su presentación.</w:t>
      </w:r>
    </w:p>
    <w:p w14:paraId="58F6F683" w14:textId="2366003A" w:rsidR="009824F9" w:rsidRPr="003D4FAA" w:rsidRDefault="009824F9" w:rsidP="003D4FAA">
      <w:pPr>
        <w:spacing w:after="240"/>
        <w:ind w:left="709" w:right="902"/>
        <w:jc w:val="both"/>
        <w:rPr>
          <w:rFonts w:ascii="Geomanist Light" w:eastAsia="Arial" w:hAnsi="Geomanist Light" w:cs="Arial"/>
          <w:color w:val="000000"/>
          <w:sz w:val="21"/>
          <w:szCs w:val="21"/>
        </w:rPr>
      </w:pPr>
      <w:r w:rsidRPr="005504DA">
        <w:rPr>
          <w:rFonts w:ascii="Geomanist Light" w:eastAsia="Arial" w:hAnsi="Geomanist Light" w:cs="Arial"/>
          <w:color w:val="000000"/>
          <w:sz w:val="21"/>
          <w:szCs w:val="21"/>
        </w:rPr>
        <w:t xml:space="preserve">5. ¿Si una Entidad está obligada al IVA sobre la Utilidad y el oferente no la incluye en su oferta se puede rechazar la propuesta?» </w:t>
      </w:r>
    </w:p>
    <w:p w14:paraId="03ECD1E2" w14:textId="455B95F6" w:rsidR="009824F9" w:rsidRPr="005504DA" w:rsidRDefault="009824F9" w:rsidP="00167784">
      <w:pPr>
        <w:pStyle w:val="Textoindependiente"/>
        <w:spacing w:after="240" w:line="276" w:lineRule="auto"/>
        <w:ind w:right="49"/>
        <w:jc w:val="both"/>
        <w:rPr>
          <w:rFonts w:ascii="Geomanist Light" w:eastAsia="Times New Roman" w:hAnsi="Geomanist Light"/>
          <w:lang w:val="es-CO" w:eastAsia="es-CO"/>
        </w:rPr>
      </w:pPr>
      <w:r w:rsidRPr="005504DA">
        <w:rPr>
          <w:rFonts w:ascii="Geomanist Light" w:eastAsia="Times New Roman" w:hAnsi="Geomanist Light"/>
          <w:lang w:val="es-CO" w:eastAsia="es-CO"/>
        </w:rPr>
        <w:t>Si bien los procedimientos de selección en su integridad se tramitan a través de actuaciones administrativas regladas en el Estatuto General de Contratación de la Administración Pública y el Decreto Único Reglamentario, que contemplan cada una de las etapas que se deben agotar desde la planeación hasta la celebración del contrato, las entidades estatales gozan de discrecionalidad administrativa para establecer en el pliego de condiciones la forma en que se realizará la evaluación de las ofertas, conforme a la naturaleza y condiciones de los bienes y/o servicios a adquirir.</w:t>
      </w:r>
    </w:p>
    <w:p w14:paraId="3BE28731" w14:textId="20770BC6" w:rsidR="009824F9" w:rsidRPr="003D4FAA" w:rsidRDefault="009824F9" w:rsidP="00167784">
      <w:pPr>
        <w:pStyle w:val="Textoindependiente"/>
        <w:spacing w:after="240" w:line="276" w:lineRule="auto"/>
        <w:ind w:right="49" w:firstLine="709"/>
        <w:contextualSpacing/>
        <w:jc w:val="both"/>
        <w:rPr>
          <w:rFonts w:ascii="Geomanist Light" w:hAnsi="Geomanist Light"/>
          <w:bCs/>
          <w:lang w:val="es-ES_tradnl"/>
        </w:rPr>
      </w:pPr>
      <w:r w:rsidRPr="005504DA">
        <w:rPr>
          <w:rFonts w:ascii="Geomanist Light" w:eastAsia="Times New Roman" w:hAnsi="Geomanist Light"/>
          <w:lang w:val="es-CO" w:eastAsia="es-CO"/>
        </w:rPr>
        <w:t>Para el caso en particular, resulta relevante precisar que, ante la ausencia de reglamentación específica que establezca los criterios evaluación y la forma de asignación de puntajes en los procesos</w:t>
      </w:r>
      <w:r w:rsidRPr="00CC306F">
        <w:rPr>
          <w:rFonts w:ascii="Geomanist Light" w:eastAsia="Times New Roman" w:hAnsi="Geomanist Light"/>
          <w:lang w:val="es-CO" w:eastAsia="es-CO"/>
        </w:rPr>
        <w:t xml:space="preserve"> de selección, estos aspectos corresponden a un asunto que se debe establecer en los pliegos de condiciones de cada proceso de selección en forma individual y </w:t>
      </w:r>
      <w:r w:rsidRPr="00CC306F">
        <w:rPr>
          <w:rFonts w:ascii="Geomanist Light" w:hAnsi="Geomanist Light"/>
          <w:bCs/>
          <w:lang w:val="es-ES_tradnl"/>
        </w:rPr>
        <w:t xml:space="preserve">corresponde a las entidades estatales establecer las reglas para su aplicación por parte de los proponentes en el pliego de condiciones, con el propósito de dar a conocer los aspectos deben tenerse en cuenta a la hora de configurar sus ofertas. A partir de tales reglas, la entidad podrá exigir el desglose de determinados factores imputables a costos directos en determinada manera y en general, establecer los parámetros que garanticen el desarrollo de principios de la función administrativa. </w:t>
      </w:r>
    </w:p>
    <w:p w14:paraId="5A4C41A6" w14:textId="7C693D9C" w:rsidR="00556732" w:rsidRPr="00CC306F" w:rsidRDefault="009824F9" w:rsidP="00167784">
      <w:pPr>
        <w:spacing w:after="240" w:line="276" w:lineRule="auto"/>
        <w:ind w:firstLine="709"/>
        <w:jc w:val="both"/>
        <w:rPr>
          <w:rFonts w:ascii="Geomanist Light" w:hAnsi="Geomanist Light" w:cs="Arial"/>
          <w:color w:val="000000" w:themeColor="text1"/>
          <w:sz w:val="22"/>
          <w:szCs w:val="22"/>
        </w:rPr>
      </w:pPr>
      <w:r w:rsidRPr="00CC306F">
        <w:rPr>
          <w:rFonts w:ascii="Geomanist Light" w:eastAsia="Calibri" w:hAnsi="Geomanist Light"/>
          <w:bCs/>
          <w:sz w:val="22"/>
          <w:szCs w:val="22"/>
          <w:lang w:val="es-ES_tradnl" w:eastAsia="es-MX"/>
        </w:rPr>
        <w:t xml:space="preserve">En todo caso, será responsabilidad de cada proponente estructurar sus ofertas conforme lo establecen los pliegos de condiciones diseñados por las entidades estatales en cada proceso de selección y no corresponde a esta entidad entrar a resolver conflictos o problema jurídicos relacionados con la aplicación de normas tributarias, como quiera que la competencia consultiva atribuida a esta Agencia por el numeral 8 del artículo 11 y el numeral </w:t>
      </w:r>
      <w:r w:rsidRPr="00CC306F">
        <w:rPr>
          <w:rFonts w:ascii="Geomanist Light" w:eastAsia="Calibri" w:hAnsi="Geomanist Light"/>
          <w:bCs/>
          <w:sz w:val="22"/>
          <w:szCs w:val="22"/>
          <w:lang w:val="es-ES_tradnl" w:eastAsia="es-MX"/>
        </w:rPr>
        <w:lastRenderedPageBreak/>
        <w:t>5 del artículo 3 del Decreto Ley 4170 de 2011, se encuentra limitada a la resolución consultas sobre la aplicación de normas generales en materia de contratación pública.</w:t>
      </w:r>
    </w:p>
    <w:p w14:paraId="7B88C63D" w14:textId="59F84895" w:rsidR="00C142A3" w:rsidRPr="00CC306F" w:rsidRDefault="005C01C3" w:rsidP="00167784">
      <w:pPr>
        <w:spacing w:after="240" w:line="276" w:lineRule="auto"/>
        <w:jc w:val="both"/>
        <w:rPr>
          <w:rFonts w:ascii="Geomanist Light" w:hAnsi="Geomanist Light" w:cs="Arial"/>
          <w:color w:val="000000" w:themeColor="text1"/>
          <w:sz w:val="22"/>
          <w:lang w:val="es-ES_tradnl"/>
        </w:rPr>
      </w:pPr>
      <w:r w:rsidRPr="00CC306F">
        <w:rPr>
          <w:rFonts w:ascii="Geomanist Light" w:hAnsi="Geomanist Light" w:cs="Arial"/>
          <w:color w:val="000000" w:themeColor="text1"/>
          <w:sz w:val="22"/>
          <w:lang w:val="es-ES_tradnl"/>
        </w:rPr>
        <w:t>Este concepto tiene el alcance previsto en el artículo 28 del Código de Procedimiento Administrativo y de lo Contencioso Administrativo.</w:t>
      </w:r>
    </w:p>
    <w:p w14:paraId="0F5BBE95" w14:textId="77777777" w:rsidR="00AB1230" w:rsidRPr="00CC306F" w:rsidRDefault="00AB1230" w:rsidP="00AB1230">
      <w:pPr>
        <w:pStyle w:val="NormalWeb"/>
        <w:spacing w:before="0" w:beforeAutospacing="0" w:after="0" w:afterAutospacing="0" w:line="276" w:lineRule="auto"/>
        <w:jc w:val="both"/>
        <w:rPr>
          <w:rFonts w:ascii="Geomanist Light" w:hAnsi="Geomanist Light" w:cs="Arial"/>
          <w:noProof/>
          <w:color w:val="000000" w:themeColor="text1"/>
          <w:lang w:val="en-US"/>
        </w:rPr>
      </w:pPr>
      <w:r w:rsidRPr="00CC306F">
        <w:rPr>
          <w:rFonts w:ascii="Geomanist Light" w:hAnsi="Geomanist Light" w:cs="Arial"/>
          <w:color w:val="000000" w:themeColor="text1"/>
          <w:sz w:val="22"/>
          <w:szCs w:val="22"/>
          <w:lang w:val="es-ES_tradnl"/>
        </w:rPr>
        <w:t>Atentamente,</w:t>
      </w:r>
    </w:p>
    <w:bookmarkEnd w:id="27"/>
    <w:p w14:paraId="7C256F39" w14:textId="4644FAAB" w:rsidR="00303001" w:rsidRPr="00CC306F" w:rsidRDefault="00303001" w:rsidP="00EA3412">
      <w:pPr>
        <w:rPr>
          <w:rFonts w:ascii="Geomanist Light" w:hAnsi="Geomanist Light" w:cs="Arial"/>
          <w:lang w:val="es-ES" w:eastAsia="es-CO"/>
        </w:rPr>
      </w:pPr>
    </w:p>
    <w:p w14:paraId="0B1A425C" w14:textId="3B606EB9" w:rsidR="0023018C" w:rsidRPr="00CC306F" w:rsidRDefault="009F511B" w:rsidP="00E02991">
      <w:pPr>
        <w:jc w:val="center"/>
        <w:rPr>
          <w:rFonts w:ascii="Geomanist Light" w:hAnsi="Geomanist Light" w:cs="Arial"/>
          <w:shd w:val="clear" w:color="auto" w:fill="FFFFFF"/>
          <w:lang w:val="es-ES" w:eastAsia="es-CO"/>
        </w:rPr>
      </w:pPr>
      <w:r>
        <w:rPr>
          <w:noProof/>
          <w:lang w:val="en-US"/>
        </w:rPr>
        <w:drawing>
          <wp:inline distT="0" distB="0" distL="0" distR="0" wp14:anchorId="7D848D2A" wp14:editId="61287BEB">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6"/>
                    <a:stretch>
                      <a:fillRect/>
                    </a:stretch>
                  </pic:blipFill>
                  <pic:spPr>
                    <a:xfrm>
                      <a:off x="0" y="0"/>
                      <a:ext cx="2785707" cy="1068836"/>
                    </a:xfrm>
                    <a:prstGeom prst="rect">
                      <a:avLst/>
                    </a:prstGeom>
                  </pic:spPr>
                </pic:pic>
              </a:graphicData>
            </a:graphic>
          </wp:inline>
        </w:drawing>
      </w:r>
    </w:p>
    <w:p w14:paraId="2E18CF65" w14:textId="75D22745" w:rsidR="00DB28E2" w:rsidRPr="00CC306F" w:rsidRDefault="00DB28E2" w:rsidP="005520DD">
      <w:pPr>
        <w:rPr>
          <w:rFonts w:ascii="Geomanist Light" w:hAnsi="Geomanist Light" w:cs="Arial"/>
        </w:rPr>
      </w:pP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DB28E2" w:rsidRPr="00CC306F" w14:paraId="6CB13F70" w14:textId="77777777" w:rsidTr="00D453EC">
        <w:trPr>
          <w:trHeight w:val="286"/>
        </w:trPr>
        <w:tc>
          <w:tcPr>
            <w:tcW w:w="817" w:type="dxa"/>
            <w:vAlign w:val="center"/>
          </w:tcPr>
          <w:p w14:paraId="7F68D403" w14:textId="77777777" w:rsidR="00DB28E2" w:rsidRPr="00CC306F" w:rsidRDefault="00DB28E2" w:rsidP="00D453EC">
            <w:pPr>
              <w:spacing w:before="0"/>
              <w:rPr>
                <w:rFonts w:ascii="Geomanist Light" w:hAnsi="Geomanist Light" w:cs="Arial"/>
                <w:sz w:val="16"/>
                <w:szCs w:val="16"/>
              </w:rPr>
            </w:pPr>
            <w:r w:rsidRPr="00CC306F">
              <w:rPr>
                <w:rFonts w:ascii="Geomanist Light" w:hAnsi="Geomanist Light" w:cs="Arial"/>
                <w:sz w:val="16"/>
                <w:szCs w:val="16"/>
              </w:rPr>
              <w:t>Elaboró:</w:t>
            </w:r>
          </w:p>
        </w:tc>
        <w:tc>
          <w:tcPr>
            <w:tcW w:w="4445" w:type="dxa"/>
            <w:tcBorders>
              <w:bottom w:val="dotted" w:sz="4" w:space="0" w:color="7F7F7F"/>
            </w:tcBorders>
            <w:vAlign w:val="center"/>
          </w:tcPr>
          <w:p w14:paraId="739A7F9B" w14:textId="77777777" w:rsidR="00DB28E2" w:rsidRPr="00CC306F" w:rsidRDefault="00DB28E2" w:rsidP="00D453EC">
            <w:pPr>
              <w:spacing w:before="0"/>
              <w:rPr>
                <w:rFonts w:ascii="Geomanist Light" w:hAnsi="Geomanist Light" w:cs="Arial"/>
                <w:sz w:val="16"/>
                <w:szCs w:val="16"/>
              </w:rPr>
            </w:pPr>
            <w:r w:rsidRPr="00CC306F">
              <w:rPr>
                <w:rFonts w:ascii="Geomanist Light" w:hAnsi="Geomanist Light" w:cs="Arial"/>
                <w:sz w:val="16"/>
                <w:szCs w:val="16"/>
              </w:rPr>
              <w:t xml:space="preserve">Diana Fabiola Herrera Hernández </w:t>
            </w:r>
          </w:p>
          <w:p w14:paraId="091E5BB7" w14:textId="77777777" w:rsidR="00DB28E2" w:rsidRPr="00CC306F" w:rsidRDefault="00DB28E2" w:rsidP="00D453EC">
            <w:pPr>
              <w:spacing w:before="0"/>
              <w:rPr>
                <w:rFonts w:ascii="Geomanist Light" w:hAnsi="Geomanist Light" w:cs="Arial"/>
                <w:sz w:val="16"/>
                <w:szCs w:val="16"/>
              </w:rPr>
            </w:pPr>
            <w:r w:rsidRPr="00CC306F">
              <w:rPr>
                <w:rFonts w:ascii="Geomanist Light" w:hAnsi="Geomanist Light" w:cs="Arial"/>
                <w:sz w:val="16"/>
                <w:szCs w:val="16"/>
              </w:rPr>
              <w:t>Contratista de la Subdirección de Gestión Contractual</w:t>
            </w:r>
          </w:p>
        </w:tc>
      </w:tr>
      <w:tr w:rsidR="00DB28E2" w:rsidRPr="00CC306F" w14:paraId="06C620AE" w14:textId="77777777" w:rsidTr="00D453EC">
        <w:trPr>
          <w:trHeight w:val="286"/>
        </w:trPr>
        <w:tc>
          <w:tcPr>
            <w:tcW w:w="817" w:type="dxa"/>
            <w:vAlign w:val="center"/>
          </w:tcPr>
          <w:p w14:paraId="66DBA239" w14:textId="77777777" w:rsidR="00DB28E2" w:rsidRPr="00CC306F" w:rsidRDefault="00DB28E2" w:rsidP="00D453EC">
            <w:pPr>
              <w:spacing w:before="0"/>
              <w:rPr>
                <w:rFonts w:ascii="Geomanist Light" w:hAnsi="Geomanist Light" w:cs="Arial"/>
                <w:sz w:val="16"/>
                <w:szCs w:val="16"/>
              </w:rPr>
            </w:pPr>
            <w:r w:rsidRPr="00CC306F">
              <w:rPr>
                <w:rFonts w:ascii="Geomanist Light" w:hAnsi="Geomanist Light" w:cs="Arial"/>
                <w:sz w:val="16"/>
                <w:szCs w:val="16"/>
              </w:rPr>
              <w:t>Revisó:</w:t>
            </w:r>
          </w:p>
        </w:tc>
        <w:tc>
          <w:tcPr>
            <w:tcW w:w="4445" w:type="dxa"/>
            <w:tcBorders>
              <w:bottom w:val="dotted" w:sz="4" w:space="0" w:color="7F7F7F"/>
            </w:tcBorders>
            <w:vAlign w:val="center"/>
          </w:tcPr>
          <w:p w14:paraId="33843477" w14:textId="77777777" w:rsidR="00803F1B" w:rsidRPr="00803F1B" w:rsidRDefault="00803F1B" w:rsidP="00803F1B">
            <w:pPr>
              <w:spacing w:before="0"/>
              <w:rPr>
                <w:rFonts w:ascii="Geomanist Light" w:hAnsi="Geomanist Light" w:cs="Arial"/>
                <w:sz w:val="16"/>
                <w:szCs w:val="16"/>
              </w:rPr>
            </w:pPr>
            <w:r w:rsidRPr="00803F1B">
              <w:rPr>
                <w:rFonts w:ascii="Geomanist Light" w:hAnsi="Geomanist Light" w:cs="Arial"/>
                <w:sz w:val="16"/>
                <w:szCs w:val="16"/>
              </w:rPr>
              <w:t xml:space="preserve">Alejandro Sarmiento Cantillo </w:t>
            </w:r>
          </w:p>
          <w:p w14:paraId="67DC3ABC" w14:textId="71DD8CFF" w:rsidR="00DB28E2" w:rsidRPr="00CC306F" w:rsidRDefault="00803F1B" w:rsidP="00803F1B">
            <w:pPr>
              <w:spacing w:before="0"/>
              <w:rPr>
                <w:rFonts w:ascii="Geomanist Light" w:hAnsi="Geomanist Light" w:cs="Arial"/>
                <w:sz w:val="16"/>
                <w:szCs w:val="16"/>
              </w:rPr>
            </w:pPr>
            <w:r w:rsidRPr="00803F1B">
              <w:rPr>
                <w:rFonts w:ascii="Geomanist Light" w:hAnsi="Geomanist Light" w:cs="Arial"/>
                <w:sz w:val="16"/>
                <w:szCs w:val="16"/>
              </w:rPr>
              <w:t>Gestor T1-15 de la Subdirección de Gestión Contractual</w:t>
            </w:r>
          </w:p>
        </w:tc>
      </w:tr>
      <w:tr w:rsidR="00DB28E2" w:rsidRPr="00CC306F" w14:paraId="2D46E036" w14:textId="77777777" w:rsidTr="00D453EC">
        <w:trPr>
          <w:trHeight w:val="299"/>
        </w:trPr>
        <w:tc>
          <w:tcPr>
            <w:tcW w:w="817" w:type="dxa"/>
            <w:vAlign w:val="center"/>
          </w:tcPr>
          <w:p w14:paraId="79E079A4" w14:textId="77777777" w:rsidR="00DB28E2" w:rsidRPr="00CC306F" w:rsidRDefault="00DB28E2" w:rsidP="00D453EC">
            <w:pPr>
              <w:spacing w:before="0"/>
              <w:rPr>
                <w:rFonts w:ascii="Geomanist Light" w:hAnsi="Geomanist Light" w:cs="Arial"/>
                <w:sz w:val="16"/>
                <w:szCs w:val="16"/>
              </w:rPr>
            </w:pPr>
            <w:r w:rsidRPr="00CC306F">
              <w:rPr>
                <w:rFonts w:ascii="Geomanist Light" w:hAnsi="Geomanist Light" w:cs="Arial"/>
                <w:sz w:val="16"/>
                <w:szCs w:val="16"/>
              </w:rPr>
              <w:t>Aprobó:</w:t>
            </w:r>
          </w:p>
        </w:tc>
        <w:tc>
          <w:tcPr>
            <w:tcW w:w="4445" w:type="dxa"/>
            <w:tcBorders>
              <w:top w:val="dotted" w:sz="4" w:space="0" w:color="7F7F7F"/>
              <w:bottom w:val="dotted" w:sz="4" w:space="0" w:color="7F7F7F"/>
            </w:tcBorders>
            <w:vAlign w:val="center"/>
          </w:tcPr>
          <w:p w14:paraId="33A77EE4" w14:textId="77777777" w:rsidR="00DB28E2" w:rsidRPr="00CC306F" w:rsidRDefault="00DB28E2" w:rsidP="00D453EC">
            <w:pPr>
              <w:spacing w:before="0"/>
              <w:rPr>
                <w:rFonts w:ascii="Geomanist Light" w:hAnsi="Geomanist Light" w:cs="Arial"/>
                <w:sz w:val="16"/>
                <w:szCs w:val="16"/>
              </w:rPr>
            </w:pPr>
            <w:r w:rsidRPr="00CC306F">
              <w:rPr>
                <w:rFonts w:ascii="Geomanist Light" w:hAnsi="Geomanist Light" w:cs="Arial"/>
                <w:sz w:val="16"/>
                <w:szCs w:val="16"/>
              </w:rPr>
              <w:t>Nohelia del Carmen Zawady Palacio</w:t>
            </w:r>
          </w:p>
          <w:p w14:paraId="3BBBC37A" w14:textId="77777777" w:rsidR="00DB28E2" w:rsidRPr="00CC306F" w:rsidRDefault="00DB28E2" w:rsidP="00D453EC">
            <w:pPr>
              <w:spacing w:before="0"/>
              <w:rPr>
                <w:rFonts w:ascii="Geomanist Light" w:hAnsi="Geomanist Light" w:cs="Arial"/>
                <w:sz w:val="16"/>
                <w:szCs w:val="16"/>
              </w:rPr>
            </w:pPr>
            <w:r w:rsidRPr="00CC306F">
              <w:rPr>
                <w:rFonts w:ascii="Geomanist Light" w:hAnsi="Geomanist Light" w:cs="Arial"/>
                <w:sz w:val="16"/>
                <w:szCs w:val="16"/>
              </w:rPr>
              <w:t xml:space="preserve">Subdirectora de Gestión Contractual ANCP – CCE </w:t>
            </w:r>
          </w:p>
        </w:tc>
      </w:tr>
    </w:tbl>
    <w:p w14:paraId="1A397948" w14:textId="77777777" w:rsidR="00DB28E2" w:rsidRPr="00CC306F" w:rsidRDefault="00DB28E2" w:rsidP="005520DD">
      <w:pPr>
        <w:rPr>
          <w:rFonts w:ascii="Geomanist Light" w:hAnsi="Geomanist Light" w:cs="Arial"/>
        </w:rPr>
      </w:pPr>
    </w:p>
    <w:sectPr w:rsidR="00DB28E2" w:rsidRPr="00CC306F" w:rsidSect="009D35D5">
      <w:headerReference w:type="default" r:id="rId17"/>
      <w:footerReference w:type="default" r:id="rId18"/>
      <w:pgSz w:w="12240" w:h="15840"/>
      <w:pgMar w:top="1683"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44831" w14:textId="77777777" w:rsidR="005E31AF" w:rsidRDefault="005E31AF" w:rsidP="00795D0C">
      <w:r>
        <w:separator/>
      </w:r>
    </w:p>
  </w:endnote>
  <w:endnote w:type="continuationSeparator" w:id="0">
    <w:p w14:paraId="330AA698" w14:textId="77777777" w:rsidR="005E31AF" w:rsidRDefault="005E31AF" w:rsidP="00795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Arial Nova">
    <w:altName w:val="Arial"/>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C67FA" w14:textId="77777777" w:rsidR="002E0ACA" w:rsidRDefault="002E0ACA" w:rsidP="002E0ACA">
    <w:pPr>
      <w:pStyle w:val="Sinespaciado"/>
      <w:jc w:val="right"/>
      <w:rPr>
        <w:rFonts w:ascii="Arial" w:hAnsi="Arial" w:cs="Arial"/>
        <w:sz w:val="18"/>
        <w:szCs w:val="18"/>
      </w:rPr>
    </w:pPr>
  </w:p>
  <w:p w14:paraId="062DE71F" w14:textId="77777777" w:rsidR="002E0ACA" w:rsidRDefault="002E0ACA" w:rsidP="002E0ACA">
    <w:pPr>
      <w:pStyle w:val="Piedepgina"/>
      <w:ind w:firstLine="0"/>
      <w:jc w:val="center"/>
    </w:pPr>
    <w:r>
      <w:rPr>
        <w:noProof/>
        <w:lang w:val="en-US"/>
      </w:rPr>
      <w:drawing>
        <wp:inline distT="0" distB="0" distL="0" distR="0" wp14:anchorId="203A77BC" wp14:editId="7E102230">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0"/>
      <w:gridCol w:w="1113"/>
      <w:gridCol w:w="834"/>
      <w:gridCol w:w="1646"/>
      <w:gridCol w:w="720"/>
      <w:gridCol w:w="2608"/>
      <w:gridCol w:w="1428"/>
    </w:tblGrid>
    <w:tr w:rsidR="002E0ACA" w:rsidRPr="00080DA3" w14:paraId="196DB160" w14:textId="77777777" w:rsidTr="00C94D39">
      <w:trPr>
        <w:trHeight w:val="198"/>
        <w:jc w:val="center"/>
      </w:trPr>
      <w:tc>
        <w:tcPr>
          <w:tcW w:w="838" w:type="dxa"/>
          <w:tcBorders>
            <w:top w:val="dotted" w:sz="4" w:space="0" w:color="808080"/>
            <w:left w:val="dotted" w:sz="4" w:space="0" w:color="808080"/>
            <w:bottom w:val="dotted" w:sz="4" w:space="0" w:color="808080"/>
          </w:tcBorders>
          <w:shd w:val="clear" w:color="auto" w:fill="auto"/>
        </w:tcPr>
        <w:p w14:paraId="2A084922" w14:textId="77777777" w:rsidR="002E0ACA" w:rsidRPr="00080DA3" w:rsidRDefault="002E0ACA" w:rsidP="002E0ACA">
          <w:pPr>
            <w:pStyle w:val="Piedepgina"/>
            <w:ind w:firstLine="22"/>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bottom w:val="dotted" w:sz="4" w:space="0" w:color="808080"/>
            <w:right w:val="dotted" w:sz="4" w:space="0" w:color="808080"/>
          </w:tcBorders>
          <w:shd w:val="clear" w:color="auto" w:fill="auto"/>
        </w:tcPr>
        <w:p w14:paraId="1AEA7206" w14:textId="77777777" w:rsidR="002E0ACA" w:rsidRPr="00080DA3" w:rsidRDefault="002E0ACA" w:rsidP="002E0ACA">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2</w:t>
          </w:r>
        </w:p>
      </w:tc>
      <w:tc>
        <w:tcPr>
          <w:tcW w:w="844" w:type="dxa"/>
          <w:tcBorders>
            <w:top w:val="dotted" w:sz="4" w:space="0" w:color="808080"/>
            <w:left w:val="dotted" w:sz="4" w:space="0" w:color="808080"/>
            <w:bottom w:val="dotted" w:sz="4" w:space="0" w:color="808080"/>
          </w:tcBorders>
          <w:shd w:val="clear" w:color="auto" w:fill="auto"/>
        </w:tcPr>
        <w:p w14:paraId="2F250D66" w14:textId="77777777" w:rsidR="002E0ACA" w:rsidRPr="00080DA3" w:rsidRDefault="002E0ACA" w:rsidP="002E0ACA">
          <w:pPr>
            <w:pStyle w:val="Piedepgina"/>
            <w:ind w:hanging="84"/>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bottom w:val="dotted" w:sz="4" w:space="0" w:color="808080"/>
            <w:right w:val="dotted" w:sz="4" w:space="0" w:color="808080"/>
          </w:tcBorders>
          <w:shd w:val="clear" w:color="auto" w:fill="auto"/>
          <w:vAlign w:val="center"/>
        </w:tcPr>
        <w:p w14:paraId="3B7FC4E4" w14:textId="77777777" w:rsidR="002E0ACA" w:rsidRPr="004B6B0E" w:rsidRDefault="002E0ACA" w:rsidP="002E0ACA">
          <w:pPr>
            <w:pBdr>
              <w:top w:val="nil"/>
              <w:left w:val="nil"/>
              <w:bottom w:val="nil"/>
              <w:right w:val="nil"/>
              <w:between w:val="nil"/>
            </w:pBdr>
            <w:tabs>
              <w:tab w:val="center" w:pos="4419"/>
              <w:tab w:val="right" w:pos="8838"/>
              <w:tab w:val="center" w:pos="5400"/>
            </w:tabs>
            <w:ind w:left="-156"/>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left w:val="dotted" w:sz="4" w:space="0" w:color="808080"/>
            <w:bottom w:val="dotted" w:sz="4" w:space="0" w:color="808080"/>
          </w:tcBorders>
          <w:shd w:val="clear" w:color="auto" w:fill="auto"/>
        </w:tcPr>
        <w:p w14:paraId="2FB13991" w14:textId="77777777" w:rsidR="002E0ACA" w:rsidRPr="00080DA3" w:rsidRDefault="002E0ACA" w:rsidP="002E0ACA">
          <w:pPr>
            <w:pStyle w:val="Piedepgina"/>
            <w:ind w:firstLine="0"/>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bottom w:val="dotted" w:sz="4" w:space="0" w:color="808080"/>
            <w:right w:val="dotted" w:sz="4" w:space="0" w:color="808080"/>
          </w:tcBorders>
          <w:shd w:val="clear" w:color="auto" w:fill="auto"/>
        </w:tcPr>
        <w:p w14:paraId="3CFA483E" w14:textId="77777777" w:rsidR="002E0ACA" w:rsidRPr="00080DA3" w:rsidRDefault="002E0ACA" w:rsidP="002E0ACA">
          <w:pPr>
            <w:pStyle w:val="Piedepgina"/>
            <w:ind w:firstLine="10"/>
            <w:jc w:val="center"/>
            <w:rPr>
              <w:rFonts w:ascii="Geomanist Light" w:hAnsi="Geomanist Light"/>
              <w:sz w:val="18"/>
              <w:szCs w:val="18"/>
            </w:rPr>
          </w:pPr>
          <w:r>
            <w:rPr>
              <w:rFonts w:ascii="Geomanist Light" w:hAnsi="Geomanist Light"/>
              <w:sz w:val="18"/>
              <w:szCs w:val="18"/>
            </w:rPr>
            <w:t>28</w:t>
          </w:r>
          <w:r w:rsidRPr="00080DA3">
            <w:rPr>
              <w:rFonts w:ascii="Geomanist Light" w:hAnsi="Geomanist Light"/>
              <w:sz w:val="18"/>
              <w:szCs w:val="18"/>
            </w:rPr>
            <w:t xml:space="preserve"> de </w:t>
          </w:r>
          <w:r>
            <w:rPr>
              <w:rFonts w:ascii="Geomanist Light" w:hAnsi="Geomanist Light"/>
              <w:sz w:val="18"/>
              <w:szCs w:val="18"/>
            </w:rPr>
            <w:t>septiembre</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left w:val="dotted" w:sz="4" w:space="0" w:color="808080"/>
            <w:bottom w:val="dotted" w:sz="4" w:space="0" w:color="808080"/>
            <w:right w:val="dotted" w:sz="4" w:space="0" w:color="808080"/>
          </w:tcBorders>
          <w:shd w:val="clear" w:color="auto" w:fill="auto"/>
        </w:tcPr>
        <w:p w14:paraId="68B240D2" w14:textId="32B950E4" w:rsidR="002E0ACA" w:rsidRPr="00080DA3" w:rsidRDefault="002E0ACA" w:rsidP="002E0ACA">
          <w:pPr>
            <w:pStyle w:val="Piedepgina"/>
            <w:ind w:firstLine="0"/>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9F511B">
            <w:rPr>
              <w:rFonts w:ascii="Geomanist Light" w:hAnsi="Geomanist Light"/>
              <w:b/>
              <w:bCs/>
              <w:noProof/>
              <w:sz w:val="18"/>
              <w:szCs w:val="18"/>
            </w:rPr>
            <w:t>5</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9F511B">
            <w:rPr>
              <w:rFonts w:ascii="Geomanist Light" w:hAnsi="Geomanist Light"/>
              <w:b/>
              <w:bCs/>
              <w:noProof/>
              <w:sz w:val="18"/>
              <w:szCs w:val="18"/>
            </w:rPr>
            <w:t>37</w:t>
          </w:r>
          <w:r w:rsidRPr="00080DA3">
            <w:rPr>
              <w:rFonts w:ascii="Geomanist Light" w:hAnsi="Geomanist Light"/>
              <w:b/>
              <w:bCs/>
              <w:sz w:val="18"/>
              <w:szCs w:val="18"/>
            </w:rPr>
            <w:fldChar w:fldCharType="end"/>
          </w:r>
        </w:p>
      </w:tc>
    </w:tr>
  </w:tbl>
  <w:p w14:paraId="0AB56D70" w14:textId="4DFF1FFE" w:rsidR="009D35D5" w:rsidRPr="002E0ACA" w:rsidRDefault="009D35D5" w:rsidP="002E0ACA">
    <w:pPr>
      <w:pStyle w:val="Piedepgina"/>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C2FD1" w14:textId="77777777" w:rsidR="005E31AF" w:rsidRDefault="005E31AF" w:rsidP="00795D0C">
      <w:r>
        <w:separator/>
      </w:r>
    </w:p>
  </w:footnote>
  <w:footnote w:type="continuationSeparator" w:id="0">
    <w:p w14:paraId="2C23BF27" w14:textId="77777777" w:rsidR="005E31AF" w:rsidRDefault="005E31AF" w:rsidP="00795D0C">
      <w:r>
        <w:continuationSeparator/>
      </w:r>
    </w:p>
  </w:footnote>
  <w:footnote w:id="1">
    <w:p w14:paraId="6F60C7CC" w14:textId="0F605138" w:rsidR="00287544" w:rsidRPr="00076E91" w:rsidRDefault="00287544" w:rsidP="00287544">
      <w:pPr>
        <w:pStyle w:val="Textonotapie"/>
        <w:ind w:firstLine="709"/>
        <w:jc w:val="both"/>
        <w:rPr>
          <w:rFonts w:ascii="Geomanist Light" w:hAnsi="Geomanist Light"/>
          <w:sz w:val="10"/>
          <w:szCs w:val="10"/>
          <w:lang w:val="es-ES"/>
        </w:rPr>
      </w:pPr>
      <w:r w:rsidRPr="00076E91">
        <w:rPr>
          <w:rStyle w:val="Refdenotaalpie"/>
          <w:rFonts w:ascii="Geomanist Light" w:hAnsi="Geomanist Light"/>
          <w:sz w:val="10"/>
          <w:szCs w:val="10"/>
        </w:rPr>
        <w:footnoteRef/>
      </w:r>
      <w:r w:rsidRPr="00076E91">
        <w:rPr>
          <w:rFonts w:ascii="Geomanist Light" w:hAnsi="Geomanist Light"/>
          <w:sz w:val="10"/>
          <w:szCs w:val="10"/>
        </w:rPr>
        <w:t xml:space="preserve"> </w:t>
      </w:r>
      <w:r w:rsidRPr="00076E91">
        <w:rPr>
          <w:rFonts w:ascii="Geomanist Light" w:hAnsi="Geomanist Light" w:cs="Arial"/>
          <w:sz w:val="10"/>
          <w:szCs w:val="10"/>
        </w:rPr>
        <w:t xml:space="preserve">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076E91">
        <w:rPr>
          <w:rFonts w:ascii="Geomanist Light" w:hAnsi="Geomanist Light" w:cs="Arial"/>
          <w:i/>
          <w:iCs/>
          <w:sz w:val="10"/>
          <w:szCs w:val="10"/>
        </w:rPr>
        <w:t xml:space="preserve">ibidem </w:t>
      </w:r>
      <w:r w:rsidRPr="00076E91">
        <w:rPr>
          <w:rFonts w:ascii="Geomanist Light" w:hAnsi="Geomanist Light" w:cs="Arial"/>
          <w:sz w:val="10"/>
          <w:szCs w:val="10"/>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3A56A664" w14:textId="63C9113E" w:rsidR="000C63FF" w:rsidRPr="00076E91" w:rsidRDefault="000C63FF" w:rsidP="000C63FF">
      <w:pPr>
        <w:pStyle w:val="Textonotapie"/>
        <w:ind w:firstLine="709"/>
        <w:jc w:val="both"/>
        <w:rPr>
          <w:rFonts w:ascii="Geomanist Light" w:hAnsi="Geomanist Light"/>
          <w:sz w:val="10"/>
          <w:szCs w:val="10"/>
        </w:rPr>
      </w:pPr>
      <w:r w:rsidRPr="00076E91">
        <w:rPr>
          <w:rStyle w:val="Refdenotaalpie"/>
          <w:rFonts w:ascii="Geomanist Light" w:hAnsi="Geomanist Light"/>
          <w:sz w:val="10"/>
          <w:szCs w:val="10"/>
        </w:rPr>
        <w:footnoteRef/>
      </w:r>
      <w:r w:rsidRPr="00076E91">
        <w:rPr>
          <w:rFonts w:ascii="Geomanist Light" w:hAnsi="Geomanist Light"/>
          <w:sz w:val="10"/>
          <w:szCs w:val="10"/>
        </w:rPr>
        <w:t xml:space="preserve"> </w:t>
      </w:r>
      <w:r w:rsidRPr="00076E91">
        <w:rPr>
          <w:rFonts w:ascii="Geomanist Light" w:hAnsi="Geomanist Light" w:cs="Arial"/>
          <w:sz w:val="10"/>
          <w:szCs w:val="10"/>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3">
    <w:p w14:paraId="7761CB31" w14:textId="26FECBFF" w:rsidR="00250BD6" w:rsidRPr="00076E91" w:rsidRDefault="00250BD6" w:rsidP="00076E91">
      <w:pPr>
        <w:pStyle w:val="Textonotapie"/>
        <w:ind w:firstLine="708"/>
        <w:contextualSpacing/>
        <w:jc w:val="both"/>
        <w:rPr>
          <w:rFonts w:ascii="Geomanist Light" w:hAnsi="Geomanist Light" w:cs="Arial"/>
          <w:color w:val="000000" w:themeColor="text1"/>
          <w:sz w:val="10"/>
          <w:szCs w:val="10"/>
          <w:lang w:val="es-CO"/>
        </w:rPr>
      </w:pPr>
      <w:r w:rsidRPr="00076E91">
        <w:rPr>
          <w:rStyle w:val="Refdenotaalpie"/>
          <w:rFonts w:ascii="Geomanist Light" w:hAnsi="Geomanist Light" w:cs="Arial"/>
          <w:color w:val="000000" w:themeColor="text1"/>
          <w:sz w:val="10"/>
          <w:szCs w:val="10"/>
        </w:rPr>
        <w:footnoteRef/>
      </w:r>
      <w:r w:rsidRPr="00076E91">
        <w:rPr>
          <w:rFonts w:ascii="Geomanist Light" w:hAnsi="Geomanist Light" w:cs="Arial"/>
          <w:color w:val="000000" w:themeColor="text1"/>
          <w:sz w:val="10"/>
          <w:szCs w:val="10"/>
        </w:rPr>
        <w:t xml:space="preserve"> </w:t>
      </w:r>
      <w:r w:rsidRPr="00076E91">
        <w:rPr>
          <w:rFonts w:ascii="Geomanist Light" w:hAnsi="Geomanist Light" w:cs="Arial"/>
          <w:color w:val="000000" w:themeColor="text1"/>
          <w:sz w:val="10"/>
          <w:szCs w:val="10"/>
          <w:lang w:val="es-CO"/>
        </w:rPr>
        <w:t>La Agencia también se ha pronunciado sobre las diferentes disposiciones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C-102 del 25 de marzo de 2020,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C-338 del 12 de julio de 2021, C-422 del 18 de agosto de 2021, C-437 del 24 de agosto de 2021, C-518 el 20 de septiembre de 2021, C-438 del 28 de septiembre de 2021, C-586 del 14 de octubre de 2021 y C-617 del 12 de diciembre de 2021, C-689 del 05 de enero de 2022, C-738 del 1 de febrero de 2022, C-741 del 1 de febrero de 2022, C-750 del 4 de febrero de 2022, C-031 del 1 de marzo de 2022, C-041 del 2 de marzo de 2022, C-057 del 8 de marzo de 2022, C-199 del 13 de abril de 2022 entre otros.</w:t>
      </w:r>
    </w:p>
  </w:footnote>
  <w:footnote w:id="4">
    <w:p w14:paraId="6371DB41" w14:textId="6D4CCD2B" w:rsidR="0000229C" w:rsidRPr="00076E91" w:rsidRDefault="0000229C" w:rsidP="00C26B27">
      <w:pPr>
        <w:pStyle w:val="Textonotapie"/>
        <w:ind w:firstLine="709"/>
        <w:jc w:val="both"/>
        <w:rPr>
          <w:rFonts w:ascii="Geomanist Light" w:hAnsi="Geomanist Light" w:cs="Arial"/>
          <w:color w:val="000000"/>
          <w:sz w:val="10"/>
          <w:szCs w:val="10"/>
        </w:rPr>
      </w:pPr>
      <w:r w:rsidRPr="00076E91">
        <w:rPr>
          <w:rStyle w:val="Refdenotaalpie"/>
          <w:rFonts w:ascii="Geomanist Light" w:hAnsi="Geomanist Light"/>
          <w:sz w:val="10"/>
          <w:szCs w:val="10"/>
        </w:rPr>
        <w:footnoteRef/>
      </w:r>
      <w:r w:rsidRPr="00076E91">
        <w:rPr>
          <w:rFonts w:ascii="Geomanist Light" w:hAnsi="Geomanist Light" w:cs="Arial"/>
          <w:color w:val="000000"/>
          <w:sz w:val="10"/>
          <w:szCs w:val="10"/>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5">
    <w:p w14:paraId="21F52B7A" w14:textId="77777777" w:rsidR="0000229C" w:rsidRPr="00076E91" w:rsidRDefault="0000229C" w:rsidP="0000229C">
      <w:pPr>
        <w:pStyle w:val="Textonotapie"/>
        <w:ind w:firstLine="709"/>
        <w:jc w:val="both"/>
        <w:rPr>
          <w:rFonts w:ascii="Geomanist Light" w:hAnsi="Geomanist Light" w:cs="Arial"/>
          <w:color w:val="000000"/>
          <w:sz w:val="10"/>
          <w:szCs w:val="10"/>
        </w:rPr>
      </w:pPr>
      <w:r w:rsidRPr="00076E91">
        <w:rPr>
          <w:rStyle w:val="Refdenotaalpie"/>
          <w:rFonts w:ascii="Geomanist Light" w:hAnsi="Geomanist Light"/>
          <w:sz w:val="10"/>
          <w:szCs w:val="10"/>
        </w:rPr>
        <w:footnoteRef/>
      </w:r>
      <w:r w:rsidRPr="00076E91">
        <w:rPr>
          <w:rFonts w:ascii="Geomanist Light" w:hAnsi="Geomanist Light" w:cs="Arial"/>
          <w:color w:val="000000"/>
          <w:sz w:val="10"/>
          <w:szCs w:val="10"/>
        </w:rPr>
        <w:t xml:space="preserve"> </w:t>
      </w:r>
      <w:r w:rsidRPr="00076E91">
        <w:rPr>
          <w:rFonts w:ascii="Geomanist Light" w:hAnsi="Geomanist Light" w:cs="Arial"/>
          <w:color w:val="000000"/>
          <w:sz w:val="10"/>
          <w:szCs w:val="10"/>
          <w:lang w:val="es-CO"/>
        </w:rPr>
        <w:t xml:space="preserve">Ley 1882 de 2018: «Artículo 4. </w:t>
      </w:r>
      <w:r w:rsidRPr="00076E91">
        <w:rPr>
          <w:rFonts w:ascii="Geomanist Light" w:hAnsi="Geomanist Light" w:cs="Arial"/>
          <w:color w:val="000000"/>
          <w:sz w:val="10"/>
          <w:szCs w:val="10"/>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55919926" w14:textId="77777777" w:rsidR="0000229C" w:rsidRPr="00076E91" w:rsidRDefault="0000229C" w:rsidP="0000229C">
      <w:pPr>
        <w:pStyle w:val="Textonotapie"/>
        <w:ind w:firstLine="709"/>
        <w:jc w:val="both"/>
        <w:rPr>
          <w:rFonts w:ascii="Geomanist Light" w:hAnsi="Geomanist Light" w:cs="Arial"/>
          <w:color w:val="000000"/>
          <w:sz w:val="10"/>
          <w:szCs w:val="10"/>
          <w:lang w:val="es-CO"/>
        </w:rPr>
      </w:pPr>
      <w:r w:rsidRPr="00076E91">
        <w:rPr>
          <w:rFonts w:ascii="Geomanist Light" w:hAnsi="Geomanist Light" w:cs="Arial"/>
          <w:color w:val="000000"/>
          <w:sz w:val="10"/>
          <w:szCs w:val="10"/>
          <w:lang w:val="es-CO"/>
        </w:rPr>
        <w:t>»La facultad de adoptar documentos tipo la tendrá el Gobierno nacional, cuando lo considere necesario, en relación con otros contratos o procesos de selección.</w:t>
      </w:r>
    </w:p>
    <w:p w14:paraId="04969974" w14:textId="665579CA" w:rsidR="0000229C" w:rsidRPr="00076E91" w:rsidRDefault="0000229C" w:rsidP="00076E91">
      <w:pPr>
        <w:pStyle w:val="Textonotapie"/>
        <w:ind w:firstLine="709"/>
        <w:jc w:val="both"/>
        <w:rPr>
          <w:rFonts w:ascii="Geomanist Light" w:hAnsi="Geomanist Light" w:cs="Arial"/>
          <w:color w:val="000000"/>
          <w:sz w:val="10"/>
          <w:szCs w:val="10"/>
          <w:lang w:val="es-CO"/>
        </w:rPr>
      </w:pPr>
      <w:r w:rsidRPr="00076E91">
        <w:rPr>
          <w:rFonts w:ascii="Geomanist Light" w:hAnsi="Geomanist Light" w:cs="Arial"/>
          <w:color w:val="000000"/>
          <w:sz w:val="10"/>
          <w:szCs w:val="10"/>
          <w:lang w:val="es-CO"/>
        </w:rPr>
        <w:t>»Los pliegos tipo se adoptarán por categorías de acuerdo con la cuantía de la contratación, según la reglamentación que expida el Gobierno nacional».</w:t>
      </w:r>
    </w:p>
  </w:footnote>
  <w:footnote w:id="6">
    <w:p w14:paraId="5F294120" w14:textId="22791E17" w:rsidR="0000229C" w:rsidRPr="00076E91" w:rsidRDefault="0000229C" w:rsidP="00C26B27">
      <w:pPr>
        <w:pStyle w:val="Textonotapie"/>
        <w:ind w:firstLine="709"/>
        <w:jc w:val="both"/>
        <w:rPr>
          <w:rFonts w:ascii="Geomanist Light" w:hAnsi="Geomanist Light" w:cs="Arial"/>
          <w:color w:val="000000"/>
          <w:sz w:val="10"/>
          <w:szCs w:val="10"/>
        </w:rPr>
      </w:pPr>
      <w:r w:rsidRPr="00076E91">
        <w:rPr>
          <w:rStyle w:val="Refdenotaalpie"/>
          <w:rFonts w:ascii="Geomanist Light" w:hAnsi="Geomanist Light"/>
          <w:sz w:val="10"/>
          <w:szCs w:val="10"/>
        </w:rPr>
        <w:footnoteRef/>
      </w:r>
      <w:r w:rsidRPr="00076E91">
        <w:rPr>
          <w:rFonts w:ascii="Geomanist Light" w:hAnsi="Geomanist Light" w:cs="Arial"/>
          <w:color w:val="000000"/>
          <w:sz w:val="10"/>
          <w:szCs w:val="10"/>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footnote>
  <w:footnote w:id="7">
    <w:p w14:paraId="4CB453EC" w14:textId="77777777" w:rsidR="0000229C" w:rsidRPr="00076E91" w:rsidRDefault="0000229C" w:rsidP="00C26B27">
      <w:pPr>
        <w:pStyle w:val="Textonotapie"/>
        <w:ind w:firstLine="708"/>
        <w:jc w:val="both"/>
        <w:rPr>
          <w:rFonts w:ascii="Geomanist Light" w:hAnsi="Geomanist Light" w:cs="Arial"/>
          <w:color w:val="000000"/>
          <w:sz w:val="10"/>
          <w:szCs w:val="10"/>
        </w:rPr>
      </w:pPr>
      <w:r w:rsidRPr="00076E91">
        <w:rPr>
          <w:rStyle w:val="Refdenotaalpie"/>
          <w:rFonts w:ascii="Geomanist Light" w:hAnsi="Geomanist Light"/>
          <w:sz w:val="10"/>
          <w:szCs w:val="10"/>
        </w:rPr>
        <w:footnoteRef/>
      </w:r>
      <w:r w:rsidRPr="00076E91">
        <w:rPr>
          <w:rFonts w:ascii="Geomanist Light" w:hAnsi="Geomanist Light" w:cs="Arial"/>
          <w:color w:val="000000"/>
          <w:sz w:val="10"/>
          <w:szCs w:val="10"/>
        </w:rPr>
        <w:t xml:space="preserve"> «ARTÍCULO 1o. Modifíquese el artículo 4o de la Ley 1882 de 2018, el cual quedará así:</w:t>
      </w:r>
    </w:p>
    <w:p w14:paraId="3D0462C5" w14:textId="77777777" w:rsidR="0000229C" w:rsidRPr="00076E91" w:rsidRDefault="0000229C" w:rsidP="00C26B27">
      <w:pPr>
        <w:pStyle w:val="Textonotapie"/>
        <w:ind w:firstLine="708"/>
        <w:jc w:val="both"/>
        <w:rPr>
          <w:rFonts w:ascii="Geomanist Light" w:hAnsi="Geomanist Light" w:cs="Arial"/>
          <w:color w:val="000000"/>
          <w:sz w:val="10"/>
          <w:szCs w:val="10"/>
        </w:rPr>
      </w:pPr>
      <w:r w:rsidRPr="00076E91">
        <w:rPr>
          <w:rFonts w:ascii="Geomanist Light" w:hAnsi="Geomanist Light" w:cs="Arial"/>
          <w:color w:val="000000"/>
          <w:sz w:val="10"/>
          <w:szCs w:val="10"/>
        </w:rPr>
        <w:t>»Artículo 4o. Adiciónese el siguiente parágrafo al artículo 2o de la Ley 1150 de 2007.</w:t>
      </w:r>
    </w:p>
    <w:p w14:paraId="6C4DF7D4" w14:textId="77777777" w:rsidR="0000229C" w:rsidRPr="00076E91" w:rsidRDefault="0000229C" w:rsidP="00C26B27">
      <w:pPr>
        <w:pStyle w:val="Textonotapie"/>
        <w:ind w:firstLine="708"/>
        <w:jc w:val="both"/>
        <w:rPr>
          <w:rFonts w:ascii="Geomanist Light" w:hAnsi="Geomanist Light" w:cs="Arial"/>
          <w:color w:val="000000"/>
          <w:sz w:val="10"/>
          <w:szCs w:val="10"/>
        </w:rPr>
      </w:pPr>
      <w:r w:rsidRPr="00076E91">
        <w:rPr>
          <w:rFonts w:ascii="Geomanist Light" w:hAnsi="Geomanist Light" w:cs="Arial"/>
          <w:color w:val="000000"/>
          <w:sz w:val="10"/>
          <w:szCs w:val="10"/>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06297F2C" w14:textId="77777777" w:rsidR="0000229C" w:rsidRPr="00076E91" w:rsidRDefault="0000229C" w:rsidP="00C26B27">
      <w:pPr>
        <w:pStyle w:val="Textonotapie"/>
        <w:ind w:firstLine="708"/>
        <w:jc w:val="both"/>
        <w:rPr>
          <w:rFonts w:ascii="Geomanist Light" w:hAnsi="Geomanist Light" w:cs="Arial"/>
          <w:color w:val="000000"/>
          <w:sz w:val="10"/>
          <w:szCs w:val="10"/>
        </w:rPr>
      </w:pPr>
      <w:r w:rsidRPr="00076E91">
        <w:rPr>
          <w:rFonts w:ascii="Geomanist Light" w:hAnsi="Geomanist Light" w:cs="Arial"/>
          <w:color w:val="000000"/>
          <w:sz w:val="10"/>
          <w:szCs w:val="10"/>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010077E8" w14:textId="77777777" w:rsidR="0000229C" w:rsidRPr="00076E91" w:rsidRDefault="0000229C" w:rsidP="00C26B27">
      <w:pPr>
        <w:pStyle w:val="Textonotapie"/>
        <w:ind w:firstLine="708"/>
        <w:jc w:val="both"/>
        <w:rPr>
          <w:rFonts w:ascii="Geomanist Light" w:hAnsi="Geomanist Light" w:cs="Arial"/>
          <w:color w:val="000000"/>
          <w:sz w:val="10"/>
          <w:szCs w:val="10"/>
        </w:rPr>
      </w:pPr>
      <w:r w:rsidRPr="00076E91">
        <w:rPr>
          <w:rFonts w:ascii="Geomanist Light" w:hAnsi="Geomanist Light" w:cs="Arial"/>
          <w:color w:val="000000"/>
          <w:sz w:val="10"/>
          <w:szCs w:val="10"/>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0A04A63F" w14:textId="77777777" w:rsidR="0000229C" w:rsidRPr="00076E91" w:rsidRDefault="0000229C" w:rsidP="0000229C">
      <w:pPr>
        <w:pStyle w:val="Textonotapie"/>
        <w:ind w:firstLine="708"/>
        <w:jc w:val="both"/>
        <w:rPr>
          <w:rFonts w:ascii="Geomanist Light" w:hAnsi="Geomanist Light" w:cs="Arial"/>
          <w:color w:val="000000"/>
          <w:sz w:val="10"/>
          <w:szCs w:val="10"/>
        </w:rPr>
      </w:pPr>
      <w:r w:rsidRPr="00076E91">
        <w:rPr>
          <w:rFonts w:ascii="Geomanist Light" w:hAnsi="Geomanist Light" w:cs="Arial"/>
          <w:color w:val="000000"/>
          <w:sz w:val="10"/>
          <w:szCs w:val="10"/>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6F6A83BF" w14:textId="77777777" w:rsidR="0000229C" w:rsidRPr="00076E91" w:rsidRDefault="0000229C" w:rsidP="0000229C">
      <w:pPr>
        <w:pStyle w:val="Textonotapie"/>
        <w:ind w:firstLine="708"/>
        <w:jc w:val="both"/>
        <w:rPr>
          <w:rFonts w:ascii="Geomanist Light" w:hAnsi="Geomanist Light" w:cs="Arial"/>
          <w:color w:val="000000"/>
          <w:sz w:val="10"/>
          <w:szCs w:val="10"/>
          <w:lang w:val="es-CO"/>
        </w:rPr>
      </w:pPr>
      <w:r w:rsidRPr="00076E91">
        <w:rPr>
          <w:rFonts w:ascii="Geomanist Light" w:hAnsi="Geomanist Light" w:cs="Arial"/>
          <w:color w:val="000000"/>
          <w:sz w:val="10"/>
          <w:szCs w:val="10"/>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8">
    <w:p w14:paraId="24031D70" w14:textId="77777777" w:rsidR="003F4A6D" w:rsidRPr="00076E91" w:rsidRDefault="003F4A6D" w:rsidP="003F4A6D">
      <w:pPr>
        <w:pStyle w:val="Textonotapie"/>
        <w:ind w:firstLine="708"/>
        <w:jc w:val="both"/>
        <w:rPr>
          <w:rFonts w:ascii="Geomanist Light" w:hAnsi="Geomanist Light" w:cs="Arial"/>
          <w:color w:val="000000"/>
          <w:sz w:val="10"/>
          <w:szCs w:val="10"/>
        </w:rPr>
      </w:pPr>
      <w:r w:rsidRPr="00076E91">
        <w:rPr>
          <w:rStyle w:val="Refdenotaalpie"/>
          <w:rFonts w:ascii="Geomanist Light" w:hAnsi="Geomanist Light"/>
          <w:sz w:val="10"/>
          <w:szCs w:val="10"/>
        </w:rPr>
        <w:footnoteRef/>
      </w:r>
      <w:r w:rsidRPr="00076E91">
        <w:rPr>
          <w:rFonts w:ascii="Geomanist Light" w:hAnsi="Geomanist Light"/>
          <w:color w:val="000000"/>
          <w:sz w:val="10"/>
          <w:szCs w:val="10"/>
        </w:rPr>
        <w:t xml:space="preserve"> </w:t>
      </w:r>
      <w:r w:rsidRPr="00076E91">
        <w:rPr>
          <w:rFonts w:ascii="Geomanist Light" w:hAnsi="Geomanist Light" w:cs="Arial"/>
          <w:color w:val="000000"/>
          <w:sz w:val="10"/>
          <w:szCs w:val="10"/>
        </w:rPr>
        <w:t>Ley 1618 de 2013</w:t>
      </w:r>
      <w:r w:rsidRPr="00076E91">
        <w:rPr>
          <w:rFonts w:ascii="Geomanist Light" w:hAnsi="Geomanist Light"/>
          <w:color w:val="000000"/>
          <w:sz w:val="10"/>
          <w:szCs w:val="10"/>
        </w:rPr>
        <w:t>: «A</w:t>
      </w:r>
      <w:r w:rsidRPr="00076E91">
        <w:rPr>
          <w:rFonts w:ascii="Geomanist Light" w:hAnsi="Geomanist Light" w:cs="Arial"/>
          <w:color w:val="000000"/>
          <w:sz w:val="10"/>
          <w:szCs w:val="10"/>
        </w:rPr>
        <w:t>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footnote>
  <w:footnote w:id="9">
    <w:p w14:paraId="268D1892" w14:textId="77777777" w:rsidR="003F4A6D" w:rsidRPr="00076E91" w:rsidRDefault="003F4A6D" w:rsidP="003F4A6D">
      <w:pPr>
        <w:pStyle w:val="Textonotapie"/>
        <w:ind w:firstLine="708"/>
        <w:jc w:val="both"/>
        <w:rPr>
          <w:rFonts w:ascii="Geomanist Light" w:hAnsi="Geomanist Light" w:cs="Arial"/>
          <w:color w:val="000000"/>
          <w:sz w:val="10"/>
          <w:szCs w:val="10"/>
        </w:rPr>
      </w:pPr>
      <w:r w:rsidRPr="00076E91">
        <w:rPr>
          <w:rStyle w:val="Refdenotaalpie"/>
          <w:rFonts w:ascii="Geomanist Light" w:hAnsi="Geomanist Light"/>
          <w:sz w:val="10"/>
          <w:szCs w:val="10"/>
        </w:rPr>
        <w:footnoteRef/>
      </w:r>
      <w:r w:rsidRPr="00076E91">
        <w:rPr>
          <w:rFonts w:ascii="Geomanist Light" w:hAnsi="Geomanist Light" w:cs="Arial"/>
          <w:color w:val="000000"/>
          <w:sz w:val="10"/>
          <w:szCs w:val="10"/>
        </w:rPr>
        <w:t xml:space="preserve"> Conforme al parágrafo 2 del artículo 13 de la Ley 43 de 1990, «Será obligatorio tener revisor fiscal en todas las sociedades comerciales, de cualquier naturaleza, cuyos activos brutos al 31 de diciembre del año inmediatamente anterior sean o excedan el equivalente de cinco mil salarios mínimos y/o cuyos ingresos brutos durante el año inmediatamente anterior sean o excedan al equivalente a tres mil salarios mínimos». </w:t>
      </w:r>
    </w:p>
    <w:p w14:paraId="0DF46C70" w14:textId="77777777" w:rsidR="003F4A6D" w:rsidRPr="00076E91" w:rsidRDefault="003F4A6D" w:rsidP="003F4A6D">
      <w:pPr>
        <w:pStyle w:val="Textonotapie"/>
        <w:ind w:firstLine="708"/>
        <w:jc w:val="both"/>
        <w:rPr>
          <w:rFonts w:ascii="Geomanist Light" w:hAnsi="Geomanist Light" w:cs="Arial"/>
          <w:color w:val="000000"/>
          <w:sz w:val="10"/>
          <w:szCs w:val="10"/>
        </w:rPr>
      </w:pPr>
      <w:r w:rsidRPr="00076E91">
        <w:rPr>
          <w:rFonts w:ascii="Geomanist Light" w:hAnsi="Geomanist Light" w:cs="Arial"/>
          <w:color w:val="000000"/>
          <w:sz w:val="10"/>
          <w:szCs w:val="10"/>
        </w:rPr>
        <w:t xml:space="preserve">La revisoría fiscal también es obligatoria en los casos previstos en el artículo 203 del Código de Comercio –sociedades por acciones; sucursales de compañías extrajeras; sociedades que voluntariamente lo dispongan, siempre que la decisión sea tomada por socios que representen como mínimo el 20 % del capital y no hagan parte de la administración de la entidad–, así como los demás dispuestos en la ley. </w:t>
      </w:r>
    </w:p>
  </w:footnote>
  <w:footnote w:id="10">
    <w:p w14:paraId="52CA49F0" w14:textId="3BC72E40" w:rsidR="003F4A6D" w:rsidRPr="00076E91" w:rsidRDefault="003F4A6D" w:rsidP="00076E91">
      <w:pPr>
        <w:pStyle w:val="Textonotapie"/>
        <w:ind w:firstLine="708"/>
        <w:jc w:val="both"/>
        <w:rPr>
          <w:rFonts w:ascii="Geomanist Light" w:hAnsi="Geomanist Light" w:cs="Arial"/>
          <w:color w:val="000000"/>
          <w:sz w:val="10"/>
          <w:szCs w:val="10"/>
          <w:lang w:val="es-CO"/>
        </w:rPr>
      </w:pPr>
      <w:r w:rsidRPr="00076E91">
        <w:rPr>
          <w:rStyle w:val="Refdenotaalpie"/>
          <w:rFonts w:ascii="Geomanist Light" w:hAnsi="Geomanist Light"/>
          <w:sz w:val="10"/>
          <w:szCs w:val="10"/>
        </w:rPr>
        <w:footnoteRef/>
      </w:r>
      <w:r w:rsidRPr="00076E91">
        <w:rPr>
          <w:rFonts w:ascii="Geomanist Light" w:hAnsi="Geomanist Light" w:cs="Arial"/>
          <w:color w:val="000000"/>
          <w:sz w:val="10"/>
          <w:szCs w:val="10"/>
        </w:rPr>
        <w:t xml:space="preserve"> Ley 80 de 1993: </w:t>
      </w:r>
      <w:r w:rsidRPr="00076E91">
        <w:rPr>
          <w:rFonts w:ascii="Geomanist Light" w:hAnsi="Geomanist Light" w:cs="Arial"/>
          <w:color w:val="000000"/>
          <w:sz w:val="10"/>
          <w:szCs w:val="10"/>
          <w:lang w:val="es-CO"/>
        </w:rPr>
        <w:t>«Artículo 30-</w:t>
      </w:r>
      <w:r w:rsidRPr="00076E91">
        <w:rPr>
          <w:rFonts w:ascii="Geomanist Light" w:hAnsi="Geomanist Light" w:cs="Arial"/>
          <w:color w:val="000000"/>
          <w:sz w:val="10"/>
          <w:szCs w:val="10"/>
        </w:rPr>
        <w:t>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r w:rsidRPr="00076E91">
        <w:rPr>
          <w:rFonts w:ascii="Geomanist Light" w:hAnsi="Geomanist Light" w:cs="Arial"/>
          <w:color w:val="000000"/>
          <w:sz w:val="10"/>
          <w:szCs w:val="10"/>
          <w:lang w:val="es-CO"/>
        </w:rPr>
        <w:t>».</w:t>
      </w:r>
    </w:p>
  </w:footnote>
  <w:footnote w:id="11">
    <w:p w14:paraId="358350A2" w14:textId="77777777" w:rsidR="003F4A6D" w:rsidRPr="00076E91" w:rsidRDefault="003F4A6D" w:rsidP="003F4A6D">
      <w:pPr>
        <w:pStyle w:val="Textonotapie"/>
        <w:ind w:firstLine="708"/>
        <w:jc w:val="both"/>
        <w:rPr>
          <w:rFonts w:ascii="Geomanist Light" w:hAnsi="Geomanist Light"/>
          <w:color w:val="797979"/>
          <w:sz w:val="10"/>
          <w:szCs w:val="10"/>
          <w:lang w:val="es-CO"/>
        </w:rPr>
      </w:pPr>
      <w:r w:rsidRPr="00076E91">
        <w:rPr>
          <w:rStyle w:val="Refdenotaalpie"/>
          <w:rFonts w:ascii="Geomanist Light" w:hAnsi="Geomanist Light"/>
          <w:sz w:val="10"/>
          <w:szCs w:val="10"/>
        </w:rPr>
        <w:footnoteRef/>
      </w:r>
      <w:r w:rsidRPr="00076E91">
        <w:rPr>
          <w:rFonts w:ascii="Geomanist Light" w:hAnsi="Geomanist Light"/>
          <w:color w:val="000000"/>
          <w:sz w:val="10"/>
          <w:szCs w:val="10"/>
        </w:rPr>
        <w:t xml:space="preserve"> </w:t>
      </w:r>
      <w:r w:rsidRPr="00076E91">
        <w:rPr>
          <w:rFonts w:ascii="Geomanist Light" w:hAnsi="Geomanist Light" w:cs="Arial"/>
          <w:color w:val="000000"/>
          <w:sz w:val="10"/>
          <w:szCs w:val="10"/>
        </w:rPr>
        <w:t>Consejo de Estado, Sala de lo Contencioso Administrativo, Sección Tercera, Subsección C. Consejero ponente: Enrique Gil Botero. Sentencia de doce (12) de noviembre dos mil catorce (2014), Radicación número: 25000-23-26-00</w:t>
      </w:r>
      <w:r w:rsidRPr="00076E91">
        <w:rPr>
          <w:rFonts w:ascii="Geomanist Light" w:hAnsi="Geomanist Light" w:cs="Arial"/>
          <w:color w:val="797979"/>
          <w:sz w:val="10"/>
          <w:szCs w:val="10"/>
        </w:rPr>
        <w:t>0-1996-12809-01(27986).</w:t>
      </w:r>
    </w:p>
  </w:footnote>
  <w:footnote w:id="12">
    <w:p w14:paraId="42406419" w14:textId="58CEDC1F" w:rsidR="0005632E" w:rsidRPr="00076E91" w:rsidRDefault="0005632E" w:rsidP="000834FF">
      <w:pPr>
        <w:pStyle w:val="Textonotapie"/>
        <w:ind w:firstLine="708"/>
        <w:contextualSpacing/>
        <w:jc w:val="both"/>
        <w:rPr>
          <w:rFonts w:ascii="Geomanist Light" w:hAnsi="Geomanist Light" w:cs="Arial"/>
          <w:color w:val="000000" w:themeColor="text1"/>
          <w:sz w:val="10"/>
          <w:szCs w:val="10"/>
          <w:u w:val="single"/>
        </w:rPr>
      </w:pPr>
      <w:r w:rsidRPr="00076E91">
        <w:rPr>
          <w:rStyle w:val="Refdenotaalpie"/>
          <w:rFonts w:ascii="Geomanist Light" w:hAnsi="Geomanist Light" w:cs="Arial"/>
          <w:color w:val="000000" w:themeColor="text1"/>
          <w:sz w:val="10"/>
          <w:szCs w:val="10"/>
        </w:rPr>
        <w:footnoteRef/>
      </w:r>
      <w:r w:rsidRPr="00076E91">
        <w:rPr>
          <w:rFonts w:ascii="Geomanist Light" w:hAnsi="Geomanist Light" w:cs="Arial"/>
          <w:color w:val="000000" w:themeColor="text1"/>
          <w:sz w:val="10"/>
          <w:szCs w:val="10"/>
        </w:rPr>
        <w:t xml:space="preserve"> Texto del Proyecto de Ley 122 de 2020 Cámara. Exposición de motivos. Consultado el 29 de diciembre de 2021 en la página web: </w:t>
      </w:r>
      <w:hyperlink r:id="rId1" w:history="1">
        <w:r w:rsidRPr="00076E91">
          <w:rPr>
            <w:rStyle w:val="Hipervnculo1"/>
            <w:rFonts w:ascii="Geomanist Light" w:hAnsi="Geomanist Light" w:cs="Arial"/>
            <w:color w:val="000000" w:themeColor="text1"/>
            <w:sz w:val="10"/>
            <w:szCs w:val="10"/>
          </w:rPr>
          <w:t>http://leyes.senado.gov.co/proyectos/index.php/textos-radicados-senado/p-ley-2020-2021/1957-proyecto-de-ley-161-de-2020</w:t>
        </w:r>
      </w:hyperlink>
    </w:p>
  </w:footnote>
  <w:footnote w:id="13">
    <w:p w14:paraId="11ED629D" w14:textId="45C6BBD0" w:rsidR="0005632E" w:rsidRPr="00076E91" w:rsidRDefault="0005632E" w:rsidP="000834FF">
      <w:pPr>
        <w:pStyle w:val="Textonotapie"/>
        <w:ind w:firstLine="709"/>
        <w:contextualSpacing/>
        <w:jc w:val="both"/>
        <w:rPr>
          <w:rFonts w:ascii="Geomanist Light" w:hAnsi="Geomanist Light" w:cs="Arial"/>
          <w:color w:val="000000" w:themeColor="text1"/>
          <w:sz w:val="10"/>
          <w:szCs w:val="10"/>
          <w:lang w:val="es-ES"/>
        </w:rPr>
      </w:pPr>
      <w:r w:rsidRPr="00076E91">
        <w:rPr>
          <w:rStyle w:val="Refdenotaalpie"/>
          <w:rFonts w:ascii="Geomanist Light" w:hAnsi="Geomanist Light" w:cs="Arial"/>
          <w:color w:val="000000" w:themeColor="text1"/>
          <w:sz w:val="10"/>
          <w:szCs w:val="10"/>
        </w:rPr>
        <w:footnoteRef/>
      </w:r>
      <w:r w:rsidRPr="00076E91">
        <w:rPr>
          <w:rFonts w:ascii="Geomanist Light" w:hAnsi="Geomanist Light" w:cs="Arial"/>
          <w:color w:val="000000" w:themeColor="text1"/>
          <w:sz w:val="10"/>
          <w:szCs w:val="10"/>
        </w:rPr>
        <w:t xml:space="preserve"> </w:t>
      </w:r>
      <w:r w:rsidRPr="00076E91">
        <w:rPr>
          <w:rFonts w:ascii="Geomanist Light" w:hAnsi="Geomanist Light" w:cs="Arial"/>
          <w:color w:val="000000" w:themeColor="text1"/>
          <w:sz w:val="10"/>
          <w:szCs w:val="10"/>
          <w:lang w:val="es-ES"/>
        </w:rPr>
        <w:t>Artículos 2 al 29.</w:t>
      </w:r>
    </w:p>
  </w:footnote>
  <w:footnote w:id="14">
    <w:p w14:paraId="4E8F89FF" w14:textId="68CF039F" w:rsidR="0005632E" w:rsidRPr="00076E91" w:rsidRDefault="0005632E" w:rsidP="000834FF">
      <w:pPr>
        <w:pStyle w:val="Textonotapie"/>
        <w:ind w:firstLine="709"/>
        <w:contextualSpacing/>
        <w:jc w:val="both"/>
        <w:rPr>
          <w:rFonts w:ascii="Geomanist Light" w:hAnsi="Geomanist Light" w:cs="Arial"/>
          <w:color w:val="000000" w:themeColor="text1"/>
          <w:sz w:val="10"/>
          <w:szCs w:val="10"/>
          <w:lang w:val="es-ES"/>
        </w:rPr>
      </w:pPr>
      <w:r w:rsidRPr="00076E91">
        <w:rPr>
          <w:rStyle w:val="Refdenotaalpie"/>
          <w:rFonts w:ascii="Geomanist Light" w:hAnsi="Geomanist Light" w:cs="Arial"/>
          <w:color w:val="000000" w:themeColor="text1"/>
          <w:sz w:val="10"/>
          <w:szCs w:val="10"/>
        </w:rPr>
        <w:footnoteRef/>
      </w:r>
      <w:r w:rsidRPr="00076E91">
        <w:rPr>
          <w:rFonts w:ascii="Geomanist Light" w:hAnsi="Geomanist Light" w:cs="Arial"/>
          <w:color w:val="000000" w:themeColor="text1"/>
          <w:sz w:val="10"/>
          <w:szCs w:val="10"/>
        </w:rPr>
        <w:t xml:space="preserve"> </w:t>
      </w:r>
      <w:r w:rsidRPr="00076E91">
        <w:rPr>
          <w:rFonts w:ascii="Geomanist Light" w:hAnsi="Geomanist Light" w:cs="Arial"/>
          <w:color w:val="000000" w:themeColor="text1"/>
          <w:sz w:val="10"/>
          <w:szCs w:val="10"/>
          <w:lang w:val="es-ES"/>
        </w:rPr>
        <w:t>Artículos 30 al 36.</w:t>
      </w:r>
    </w:p>
  </w:footnote>
  <w:footnote w:id="15">
    <w:p w14:paraId="71226120" w14:textId="4DF6936C" w:rsidR="0005632E" w:rsidRPr="00076E91" w:rsidRDefault="0005632E" w:rsidP="000834FF">
      <w:pPr>
        <w:pStyle w:val="Textonotapie"/>
        <w:ind w:firstLine="709"/>
        <w:contextualSpacing/>
        <w:jc w:val="both"/>
        <w:rPr>
          <w:rFonts w:ascii="Geomanist Light" w:hAnsi="Geomanist Light" w:cs="Arial"/>
          <w:color w:val="000000" w:themeColor="text1"/>
          <w:sz w:val="10"/>
          <w:szCs w:val="10"/>
          <w:lang w:val="es-ES"/>
        </w:rPr>
      </w:pPr>
      <w:r w:rsidRPr="00076E91">
        <w:rPr>
          <w:rStyle w:val="Refdenotaalpie"/>
          <w:rFonts w:ascii="Geomanist Light" w:hAnsi="Geomanist Light" w:cs="Arial"/>
          <w:color w:val="000000" w:themeColor="text1"/>
          <w:sz w:val="10"/>
          <w:szCs w:val="10"/>
        </w:rPr>
        <w:footnoteRef/>
      </w:r>
      <w:r w:rsidRPr="00076E91">
        <w:rPr>
          <w:rFonts w:ascii="Geomanist Light" w:hAnsi="Geomanist Light" w:cs="Arial"/>
          <w:color w:val="000000" w:themeColor="text1"/>
          <w:sz w:val="10"/>
          <w:szCs w:val="10"/>
        </w:rPr>
        <w:t xml:space="preserve"> </w:t>
      </w:r>
      <w:r w:rsidRPr="00076E91">
        <w:rPr>
          <w:rFonts w:ascii="Geomanist Light" w:hAnsi="Geomanist Light" w:cs="Arial"/>
          <w:color w:val="000000" w:themeColor="text1"/>
          <w:sz w:val="10"/>
          <w:szCs w:val="10"/>
          <w:lang w:val="es-ES"/>
        </w:rPr>
        <w:t>Artículos 37 al 45.</w:t>
      </w:r>
    </w:p>
  </w:footnote>
  <w:footnote w:id="16">
    <w:p w14:paraId="268C1F5B" w14:textId="281D7990" w:rsidR="0005632E" w:rsidRPr="00076E91" w:rsidRDefault="0005632E" w:rsidP="000834FF">
      <w:pPr>
        <w:pStyle w:val="Textonotapie"/>
        <w:ind w:firstLine="709"/>
        <w:contextualSpacing/>
        <w:jc w:val="both"/>
        <w:rPr>
          <w:rFonts w:ascii="Geomanist Light" w:hAnsi="Geomanist Light" w:cs="Arial"/>
          <w:color w:val="000000" w:themeColor="text1"/>
          <w:sz w:val="10"/>
          <w:szCs w:val="10"/>
          <w:lang w:val="es-ES"/>
        </w:rPr>
      </w:pPr>
      <w:r w:rsidRPr="00076E91">
        <w:rPr>
          <w:rStyle w:val="Refdenotaalpie"/>
          <w:rFonts w:ascii="Geomanist Light" w:hAnsi="Geomanist Light" w:cs="Arial"/>
          <w:color w:val="000000" w:themeColor="text1"/>
          <w:sz w:val="10"/>
          <w:szCs w:val="10"/>
        </w:rPr>
        <w:footnoteRef/>
      </w:r>
      <w:r w:rsidRPr="00076E91">
        <w:rPr>
          <w:rFonts w:ascii="Geomanist Light" w:hAnsi="Geomanist Light" w:cs="Arial"/>
          <w:color w:val="000000" w:themeColor="text1"/>
          <w:sz w:val="10"/>
          <w:szCs w:val="10"/>
        </w:rPr>
        <w:t xml:space="preserve"> </w:t>
      </w:r>
      <w:r w:rsidRPr="00076E91">
        <w:rPr>
          <w:rFonts w:ascii="Geomanist Light" w:hAnsi="Geomanist Light" w:cs="Arial"/>
          <w:color w:val="000000" w:themeColor="text1"/>
          <w:sz w:val="10"/>
          <w:szCs w:val="10"/>
          <w:lang w:val="es-ES"/>
        </w:rPr>
        <w:t>Artículos 46 al 73.</w:t>
      </w:r>
    </w:p>
  </w:footnote>
  <w:footnote w:id="17">
    <w:p w14:paraId="35BF7E89" w14:textId="6CE742EF" w:rsidR="0005632E" w:rsidRPr="00076E91" w:rsidRDefault="0005632E" w:rsidP="000834FF">
      <w:pPr>
        <w:pStyle w:val="Textonotapie"/>
        <w:ind w:firstLine="709"/>
        <w:contextualSpacing/>
        <w:jc w:val="both"/>
        <w:rPr>
          <w:rFonts w:ascii="Geomanist Light" w:hAnsi="Geomanist Light" w:cs="Arial"/>
          <w:color w:val="000000" w:themeColor="text1"/>
          <w:sz w:val="10"/>
          <w:szCs w:val="10"/>
          <w:lang w:val="es-ES"/>
        </w:rPr>
      </w:pPr>
      <w:r w:rsidRPr="00076E91">
        <w:rPr>
          <w:rStyle w:val="Refdenotaalpie"/>
          <w:rFonts w:ascii="Geomanist Light" w:hAnsi="Geomanist Light" w:cs="Arial"/>
          <w:color w:val="000000" w:themeColor="text1"/>
          <w:sz w:val="10"/>
          <w:szCs w:val="10"/>
        </w:rPr>
        <w:footnoteRef/>
      </w:r>
      <w:r w:rsidRPr="00076E91">
        <w:rPr>
          <w:rFonts w:ascii="Geomanist Light" w:hAnsi="Geomanist Light" w:cs="Arial"/>
          <w:color w:val="000000" w:themeColor="text1"/>
          <w:sz w:val="10"/>
          <w:szCs w:val="10"/>
        </w:rPr>
        <w:t xml:space="preserve"> </w:t>
      </w:r>
      <w:r w:rsidRPr="00076E91">
        <w:rPr>
          <w:rFonts w:ascii="Geomanist Light" w:hAnsi="Geomanist Light" w:cs="Arial"/>
          <w:color w:val="000000" w:themeColor="text1"/>
          <w:sz w:val="10"/>
          <w:szCs w:val="10"/>
          <w:lang w:val="es-ES"/>
        </w:rPr>
        <w:t>Artículos 74 al 83.</w:t>
      </w:r>
    </w:p>
  </w:footnote>
  <w:footnote w:id="18">
    <w:p w14:paraId="7EBFCC36" w14:textId="0E41CF4E" w:rsidR="0005632E" w:rsidRPr="00076E91" w:rsidRDefault="0005632E" w:rsidP="000834FF">
      <w:pPr>
        <w:pStyle w:val="Textonotapie"/>
        <w:ind w:firstLine="708"/>
        <w:contextualSpacing/>
        <w:jc w:val="both"/>
        <w:rPr>
          <w:rFonts w:ascii="Geomanist Light" w:hAnsi="Geomanist Light" w:cs="Arial"/>
          <w:sz w:val="10"/>
          <w:szCs w:val="10"/>
        </w:rPr>
      </w:pPr>
      <w:r w:rsidRPr="00076E91">
        <w:rPr>
          <w:rStyle w:val="Refdenotaalpie"/>
          <w:rFonts w:ascii="Geomanist Light" w:hAnsi="Geomanist Light" w:cs="Arial"/>
          <w:sz w:val="10"/>
          <w:szCs w:val="10"/>
        </w:rPr>
        <w:footnoteRef/>
      </w:r>
      <w:r w:rsidRPr="00076E91">
        <w:rPr>
          <w:rFonts w:ascii="Geomanist Light" w:hAnsi="Geomanist Light" w:cs="Arial"/>
          <w:sz w:val="10"/>
          <w:szCs w:val="10"/>
        </w:rPr>
        <w:t xml:space="preserve"> </w:t>
      </w:r>
      <w:bookmarkStart w:id="15" w:name="_Hlk63862868"/>
      <w:r w:rsidRPr="00076E91">
        <w:rPr>
          <w:rFonts w:ascii="Geomanist Light" w:hAnsi="Geomanist Light" w:cs="Arial"/>
          <w:sz w:val="10"/>
          <w:szCs w:val="10"/>
        </w:rPr>
        <w:t xml:space="preserve">CONGRESO DE LA REPÚBLICA. Gaceta No. 670 del 11 de agosto de 2020. Exposición de motivos del Proyecto de Ley No. 122 de 2020 Cámara. p. 13. </w:t>
      </w:r>
      <w:bookmarkEnd w:id="15"/>
    </w:p>
  </w:footnote>
  <w:footnote w:id="19">
    <w:p w14:paraId="1F0A40EF" w14:textId="77777777" w:rsidR="0005632E" w:rsidRPr="00076E91" w:rsidRDefault="0005632E" w:rsidP="0005632E">
      <w:pPr>
        <w:pStyle w:val="Textonotapie"/>
        <w:ind w:firstLine="709"/>
        <w:contextualSpacing/>
        <w:jc w:val="both"/>
        <w:rPr>
          <w:rFonts w:ascii="Geomanist Light" w:hAnsi="Geomanist Light" w:cs="Arial"/>
          <w:color w:val="000000" w:themeColor="text1"/>
          <w:sz w:val="10"/>
          <w:szCs w:val="10"/>
        </w:rPr>
      </w:pPr>
      <w:r w:rsidRPr="00076E91">
        <w:rPr>
          <w:rStyle w:val="Refdenotaalpie"/>
          <w:rFonts w:ascii="Geomanist Light" w:hAnsi="Geomanist Light" w:cs="Arial"/>
          <w:color w:val="000000" w:themeColor="text1"/>
          <w:sz w:val="10"/>
          <w:szCs w:val="10"/>
        </w:rPr>
        <w:footnoteRef/>
      </w:r>
      <w:r w:rsidRPr="00076E91">
        <w:rPr>
          <w:rFonts w:ascii="Geomanist Light" w:hAnsi="Geomanist Light" w:cs="Arial"/>
          <w:color w:val="000000" w:themeColor="text1"/>
          <w:sz w:val="10"/>
          <w:szCs w:val="10"/>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14:paraId="6769DA7A" w14:textId="51699349" w:rsidR="0005632E" w:rsidRPr="00076E91" w:rsidRDefault="0005632E" w:rsidP="0005632E">
      <w:pPr>
        <w:pStyle w:val="Textonotapie"/>
        <w:ind w:firstLine="708"/>
        <w:contextualSpacing/>
        <w:jc w:val="both"/>
        <w:rPr>
          <w:rFonts w:ascii="Geomanist Light" w:hAnsi="Geomanist Light" w:cs="Arial"/>
          <w:color w:val="000000" w:themeColor="text1"/>
          <w:sz w:val="10"/>
          <w:szCs w:val="10"/>
        </w:rPr>
      </w:pPr>
      <w:r w:rsidRPr="00076E91">
        <w:rPr>
          <w:rFonts w:ascii="Geomanist Light" w:hAnsi="Geomanist Light" w:cs="Arial"/>
          <w:color w:val="000000" w:themeColor="text1"/>
          <w:sz w:val="10"/>
          <w:szCs w:val="10"/>
        </w:rPr>
        <w:t>»Parágrafo primero. La definición de emprendimientos y empresas de mujeres se reglamen</w:t>
      </w:r>
      <w:r w:rsidR="00076E91" w:rsidRPr="00076E91">
        <w:rPr>
          <w:rFonts w:ascii="Geomanist Light" w:hAnsi="Geomanist Light" w:cs="Arial"/>
          <w:color w:val="000000" w:themeColor="text1"/>
          <w:sz w:val="10"/>
          <w:szCs w:val="10"/>
        </w:rPr>
        <w:t>tará por el gobierno nacional».</w:t>
      </w:r>
      <w:r w:rsidRPr="00076E91">
        <w:rPr>
          <w:rFonts w:ascii="Geomanist Light" w:hAnsi="Geomanist Light" w:cs="Arial"/>
          <w:color w:val="000000" w:themeColor="text1"/>
          <w:sz w:val="10"/>
          <w:szCs w:val="10"/>
        </w:rPr>
        <w:t xml:space="preserve"> </w:t>
      </w:r>
    </w:p>
  </w:footnote>
  <w:footnote w:id="20">
    <w:p w14:paraId="62EF695D" w14:textId="77777777" w:rsidR="0005632E" w:rsidRPr="00076E91" w:rsidRDefault="0005632E" w:rsidP="0005632E">
      <w:pPr>
        <w:pStyle w:val="Textonotapie"/>
        <w:ind w:firstLine="709"/>
        <w:contextualSpacing/>
        <w:jc w:val="both"/>
        <w:rPr>
          <w:rFonts w:ascii="Geomanist Light" w:hAnsi="Geomanist Light" w:cs="Arial"/>
          <w:color w:val="000000" w:themeColor="text1"/>
          <w:sz w:val="10"/>
          <w:szCs w:val="10"/>
        </w:rPr>
      </w:pPr>
      <w:r w:rsidRPr="00076E91">
        <w:rPr>
          <w:rStyle w:val="Refdenotaalpie"/>
          <w:rFonts w:ascii="Geomanist Light" w:hAnsi="Geomanist Light" w:cs="Arial"/>
          <w:color w:val="000000" w:themeColor="text1"/>
          <w:sz w:val="10"/>
          <w:szCs w:val="10"/>
        </w:rPr>
        <w:footnoteRef/>
      </w:r>
      <w:r w:rsidRPr="00076E91">
        <w:rPr>
          <w:rFonts w:ascii="Geomanist Light" w:hAnsi="Geomanist Light" w:cs="Arial"/>
          <w:color w:val="000000" w:themeColor="text1"/>
          <w:sz w:val="10"/>
          <w:szCs w:val="10"/>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w:t>
      </w:r>
      <w:r w:rsidRPr="00076E91">
        <w:rPr>
          <w:rFonts w:ascii="Geomanist Light" w:hAnsi="Geomanist Light" w:cs="Arial"/>
          <w:color w:val="000000" w:themeColor="text1"/>
          <w:sz w:val="10"/>
          <w:szCs w:val="10"/>
        </w:rPr>
        <w:t>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21">
    <w:p w14:paraId="15A9F5F8" w14:textId="77777777" w:rsidR="0005632E" w:rsidRPr="00076E91" w:rsidRDefault="0005632E" w:rsidP="0005632E">
      <w:pPr>
        <w:pStyle w:val="NormalWeb"/>
        <w:shd w:val="clear" w:color="auto" w:fill="FFFFFF"/>
        <w:spacing w:before="0" w:beforeAutospacing="0" w:after="0" w:afterAutospacing="0"/>
        <w:ind w:firstLine="709"/>
        <w:contextualSpacing/>
        <w:jc w:val="both"/>
        <w:rPr>
          <w:rFonts w:ascii="Geomanist Light" w:hAnsi="Geomanist Light" w:cs="Arial"/>
          <w:color w:val="000000" w:themeColor="text1"/>
          <w:sz w:val="10"/>
          <w:szCs w:val="10"/>
        </w:rPr>
      </w:pPr>
      <w:r w:rsidRPr="00076E91">
        <w:rPr>
          <w:rStyle w:val="Refdenotaalpie"/>
          <w:rFonts w:ascii="Geomanist Light" w:hAnsi="Geomanist Light" w:cs="Arial"/>
          <w:color w:val="000000" w:themeColor="text1"/>
          <w:sz w:val="10"/>
          <w:szCs w:val="10"/>
        </w:rPr>
        <w:footnoteRef/>
      </w:r>
      <w:r w:rsidRPr="00076E91">
        <w:rPr>
          <w:rFonts w:ascii="Geomanist Light" w:hAnsi="Geomanist Light" w:cs="Arial"/>
          <w:color w:val="000000" w:themeColor="text1"/>
          <w:sz w:val="10"/>
          <w:szCs w:val="10"/>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2" w:anchor="2.2.1.2.1.5.1" w:history="1">
        <w:r w:rsidRPr="00076E91">
          <w:rPr>
            <w:rStyle w:val="Hipervnculo"/>
            <w:rFonts w:ascii="Geomanist Light" w:hAnsi="Geomanist Light" w:cs="Arial"/>
            <w:color w:val="000000" w:themeColor="text1"/>
            <w:sz w:val="10"/>
            <w:szCs w:val="10"/>
          </w:rPr>
          <w:t>5 </w:t>
        </w:r>
      </w:hyperlink>
      <w:r w:rsidRPr="00076E91">
        <w:rPr>
          <w:rFonts w:ascii="Geomanist Light" w:hAnsi="Geomanist Light" w:cs="Arial"/>
          <w:color w:val="000000" w:themeColor="text1"/>
          <w:sz w:val="10"/>
          <w:szCs w:val="10"/>
        </w:rPr>
        <w:t xml:space="preserve">de la Sección 1 del Capítulo 2 del Título 1 de la Parte 2 del Libro 2, así como los artículos </w:t>
      </w:r>
      <w:hyperlink r:id="rId3" w:anchor="2.2.1.2.4.2.2" w:history="1">
        <w:r w:rsidRPr="00076E91">
          <w:rPr>
            <w:rStyle w:val="Hipervnculo"/>
            <w:rFonts w:ascii="Geomanist Light" w:hAnsi="Geomanist Light" w:cs="Arial"/>
            <w:color w:val="000000" w:themeColor="text1"/>
            <w:sz w:val="10"/>
            <w:szCs w:val="10"/>
            <w:u w:val="none"/>
          </w:rPr>
          <w:t>2.2.1.2.4.2.2</w:t>
        </w:r>
      </w:hyperlink>
      <w:r w:rsidRPr="00076E91">
        <w:rPr>
          <w:rFonts w:ascii="Geomanist Light" w:hAnsi="Geomanist Light" w:cs="Arial"/>
          <w:color w:val="000000" w:themeColor="text1"/>
          <w:sz w:val="10"/>
          <w:szCs w:val="10"/>
        </w:rPr>
        <w:t>., </w:t>
      </w:r>
      <w:hyperlink r:id="rId4" w:anchor="2.2.1.2.4.2.3" w:history="1">
        <w:r w:rsidRPr="00076E91">
          <w:rPr>
            <w:rStyle w:val="Hipervnculo"/>
            <w:rFonts w:ascii="Geomanist Light" w:hAnsi="Geomanist Light" w:cs="Arial"/>
            <w:color w:val="000000" w:themeColor="text1"/>
            <w:sz w:val="10"/>
            <w:szCs w:val="10"/>
            <w:u w:val="none"/>
          </w:rPr>
          <w:t>2.2.1.2.4.2.3</w:t>
        </w:r>
      </w:hyperlink>
      <w:r w:rsidRPr="00076E91">
        <w:rPr>
          <w:rFonts w:ascii="Geomanist Light" w:hAnsi="Geomanist Light" w:cs="Arial"/>
          <w:color w:val="000000" w:themeColor="text1"/>
          <w:sz w:val="10"/>
          <w:szCs w:val="10"/>
        </w:rPr>
        <w:t>., </w:t>
      </w:r>
      <w:hyperlink r:id="rId5" w:anchor="2.2.1.2.4.2.4" w:history="1">
        <w:r w:rsidRPr="00076E91">
          <w:rPr>
            <w:rStyle w:val="Hipervnculo"/>
            <w:rFonts w:ascii="Geomanist Light" w:hAnsi="Geomanist Light" w:cs="Arial"/>
            <w:color w:val="000000" w:themeColor="text1"/>
            <w:sz w:val="10"/>
            <w:szCs w:val="10"/>
            <w:u w:val="none"/>
          </w:rPr>
          <w:t>2.2.1.2.4.2.4</w:t>
        </w:r>
      </w:hyperlink>
      <w:r w:rsidRPr="00076E91">
        <w:rPr>
          <w:rFonts w:ascii="Geomanist Light" w:hAnsi="Geomanist Light" w:cs="Arial"/>
          <w:color w:val="000000" w:themeColor="text1"/>
          <w:sz w:val="10"/>
          <w:szCs w:val="10"/>
        </w:rPr>
        <w:t>., </w:t>
      </w:r>
      <w:hyperlink r:id="rId6" w:anchor="2.2.1.2.1.2.2" w:history="1">
        <w:r w:rsidRPr="00076E91">
          <w:rPr>
            <w:rStyle w:val="Hipervnculo"/>
            <w:rFonts w:ascii="Geomanist Light" w:hAnsi="Geomanist Light" w:cs="Arial"/>
            <w:color w:val="000000" w:themeColor="text1"/>
            <w:sz w:val="10"/>
            <w:szCs w:val="10"/>
            <w:u w:val="none"/>
          </w:rPr>
          <w:t>2.2.1.2.1.2.2</w:t>
        </w:r>
      </w:hyperlink>
      <w:r w:rsidRPr="00076E91">
        <w:rPr>
          <w:rFonts w:ascii="Geomanist Light" w:hAnsi="Geomanist Light" w:cs="Arial"/>
          <w:color w:val="000000" w:themeColor="text1"/>
          <w:sz w:val="10"/>
          <w:szCs w:val="10"/>
        </w:rPr>
        <w:t xml:space="preserve"> y </w:t>
      </w:r>
      <w:hyperlink r:id="rId7" w:anchor="2.2.1.2.4.2.8" w:history="1">
        <w:r w:rsidRPr="00076E91">
          <w:rPr>
            <w:rStyle w:val="Hipervnculo"/>
            <w:rFonts w:ascii="Geomanist Light" w:hAnsi="Geomanist Light" w:cs="Arial"/>
            <w:color w:val="000000" w:themeColor="text1"/>
            <w:sz w:val="10"/>
            <w:szCs w:val="10"/>
            <w:u w:val="none"/>
          </w:rPr>
          <w:t>2.2.1.2.4.2.8</w:t>
        </w:r>
      </w:hyperlink>
      <w:r w:rsidRPr="00076E91">
        <w:rPr>
          <w:rFonts w:ascii="Geomanist Light" w:hAnsi="Geomanist Light" w:cs="Arial"/>
          <w:color w:val="000000" w:themeColor="text1"/>
          <w:sz w:val="10"/>
          <w:szCs w:val="10"/>
        </w:rPr>
        <w:t xml:space="preserve">.; adiciona los artículos </w:t>
      </w:r>
      <w:hyperlink r:id="rId8" w:anchor="2.2.1.2.4.2.14" w:history="1">
        <w:r w:rsidRPr="00076E91">
          <w:rPr>
            <w:rStyle w:val="Hipervnculo"/>
            <w:rFonts w:ascii="Geomanist Light" w:hAnsi="Geomanist Light" w:cs="Arial"/>
            <w:color w:val="000000" w:themeColor="text1"/>
            <w:sz w:val="10"/>
            <w:szCs w:val="10"/>
            <w:u w:val="none"/>
          </w:rPr>
          <w:t>2.2.1.2.4.2.14</w:t>
        </w:r>
      </w:hyperlink>
      <w:r w:rsidRPr="00076E91">
        <w:rPr>
          <w:rFonts w:ascii="Geomanist Light" w:hAnsi="Geomanist Light" w:cs="Arial"/>
          <w:color w:val="000000" w:themeColor="text1"/>
          <w:sz w:val="10"/>
          <w:szCs w:val="10"/>
        </w:rPr>
        <w:t>., </w:t>
      </w:r>
      <w:hyperlink r:id="rId9" w:anchor="2.2.1.2.4.2.15" w:history="1">
        <w:r w:rsidRPr="00076E91">
          <w:rPr>
            <w:rStyle w:val="Hipervnculo"/>
            <w:rFonts w:ascii="Geomanist Light" w:hAnsi="Geomanist Light" w:cs="Arial"/>
            <w:color w:val="000000" w:themeColor="text1"/>
            <w:sz w:val="10"/>
            <w:szCs w:val="10"/>
            <w:u w:val="none"/>
          </w:rPr>
          <w:t>2.2.1.2.4.2.15</w:t>
        </w:r>
      </w:hyperlink>
      <w:r w:rsidRPr="00076E91">
        <w:rPr>
          <w:rFonts w:ascii="Geomanist Light" w:hAnsi="Geomanist Light" w:cs="Arial"/>
          <w:color w:val="000000" w:themeColor="text1"/>
          <w:sz w:val="10"/>
          <w:szCs w:val="10"/>
        </w:rPr>
        <w:t>., </w:t>
      </w:r>
      <w:hyperlink r:id="rId10" w:anchor="2.2.1.2.4.2.16" w:history="1">
        <w:r w:rsidRPr="00076E91">
          <w:rPr>
            <w:rStyle w:val="Hipervnculo"/>
            <w:rFonts w:ascii="Geomanist Light" w:hAnsi="Geomanist Light" w:cs="Arial"/>
            <w:color w:val="000000" w:themeColor="text1"/>
            <w:sz w:val="10"/>
            <w:szCs w:val="10"/>
            <w:u w:val="none"/>
          </w:rPr>
          <w:t>2.2.1.2.4.2.16</w:t>
        </w:r>
      </w:hyperlink>
      <w:r w:rsidRPr="00076E91">
        <w:rPr>
          <w:rFonts w:ascii="Geomanist Light" w:hAnsi="Geomanist Light" w:cs="Arial"/>
          <w:color w:val="000000" w:themeColor="text1"/>
          <w:sz w:val="10"/>
          <w:szCs w:val="10"/>
        </w:rPr>
        <w:t>., </w:t>
      </w:r>
      <w:hyperlink r:id="rId11" w:anchor="2.2.1.2.4.2.17" w:history="1">
        <w:r w:rsidRPr="00076E91">
          <w:rPr>
            <w:rStyle w:val="Hipervnculo"/>
            <w:rFonts w:ascii="Geomanist Light" w:hAnsi="Geomanist Light" w:cs="Arial"/>
            <w:color w:val="000000" w:themeColor="text1"/>
            <w:sz w:val="10"/>
            <w:szCs w:val="10"/>
            <w:u w:val="none"/>
          </w:rPr>
          <w:t>2.2.1.2.4.2.17</w:t>
        </w:r>
      </w:hyperlink>
      <w:r w:rsidRPr="00076E91">
        <w:rPr>
          <w:rFonts w:ascii="Geomanist Light" w:hAnsi="Geomanist Light" w:cs="Arial"/>
          <w:color w:val="000000" w:themeColor="text1"/>
          <w:sz w:val="10"/>
          <w:szCs w:val="10"/>
        </w:rPr>
        <w:t xml:space="preserve">. y </w:t>
      </w:r>
      <w:hyperlink r:id="rId12" w:anchor="2.2.1.2.4.2.18" w:history="1">
        <w:r w:rsidRPr="00076E91">
          <w:rPr>
            <w:rStyle w:val="Hipervnculo"/>
            <w:rFonts w:ascii="Geomanist Light" w:hAnsi="Geomanist Light" w:cs="Arial"/>
            <w:color w:val="000000" w:themeColor="text1"/>
            <w:sz w:val="10"/>
            <w:szCs w:val="10"/>
            <w:u w:val="none"/>
          </w:rPr>
          <w:t>2.2.1.2.4.2.18</w:t>
        </w:r>
      </w:hyperlink>
      <w:r w:rsidRPr="00076E91">
        <w:rPr>
          <w:rFonts w:ascii="Geomanist Light" w:hAnsi="Geomanist Light" w:cs="Arial"/>
          <w:color w:val="000000" w:themeColor="text1"/>
          <w:sz w:val="10"/>
          <w:szCs w:val="10"/>
        </w:rPr>
        <w:t>.; adiciona un </w:t>
      </w:r>
      <w:hyperlink r:id="rId13" w:anchor="2.2.1.2.3.1.9.p" w:history="1">
        <w:r w:rsidRPr="00076E91">
          <w:rPr>
            <w:rStyle w:val="Hipervnculo"/>
            <w:rFonts w:ascii="Geomanist Light" w:hAnsi="Geomanist Light" w:cs="Arial"/>
            <w:color w:val="000000" w:themeColor="text1"/>
            <w:sz w:val="10"/>
            <w:szCs w:val="10"/>
            <w:u w:val="none"/>
          </w:rPr>
          <w:t>parágrafo </w:t>
        </w:r>
      </w:hyperlink>
      <w:r w:rsidRPr="00076E91">
        <w:rPr>
          <w:rFonts w:ascii="Geomanist Light" w:hAnsi="Geomanist Light" w:cs="Arial"/>
          <w:color w:val="000000" w:themeColor="text1"/>
          <w:sz w:val="10"/>
          <w:szCs w:val="10"/>
        </w:rPr>
        <w:t xml:space="preserve">al artículo </w:t>
      </w:r>
      <w:hyperlink r:id="rId14" w:anchor="2.2.1.2.3.1.9" w:history="1">
        <w:r w:rsidRPr="00076E91">
          <w:rPr>
            <w:rStyle w:val="Hipervnculo"/>
            <w:rFonts w:ascii="Geomanist Light" w:hAnsi="Geomanist Light" w:cs="Arial"/>
            <w:color w:val="000000" w:themeColor="text1"/>
            <w:sz w:val="10"/>
            <w:szCs w:val="10"/>
            <w:u w:val="none"/>
          </w:rPr>
          <w:t>2.2.1.2.3.1.9</w:t>
        </w:r>
      </w:hyperlink>
      <w:r w:rsidRPr="00076E91">
        <w:rPr>
          <w:rFonts w:ascii="Geomanist Light" w:hAnsi="Geomanist Light" w:cs="Arial"/>
          <w:color w:val="000000" w:themeColor="text1"/>
          <w:sz w:val="10"/>
          <w:szCs w:val="10"/>
        </w:rPr>
        <w:t>; y deroga el artículo </w:t>
      </w:r>
      <w:hyperlink r:id="rId15" w:anchor="2.2.1.1.2.2.9" w:history="1">
        <w:r w:rsidRPr="00076E91">
          <w:rPr>
            <w:rStyle w:val="Hipervnculo"/>
            <w:rFonts w:ascii="Geomanist Light" w:hAnsi="Geomanist Light" w:cs="Arial"/>
            <w:color w:val="000000" w:themeColor="text1"/>
            <w:sz w:val="10"/>
            <w:szCs w:val="10"/>
            <w:u w:val="none"/>
          </w:rPr>
          <w:t>2.2.1.1.2.2.9</w:t>
        </w:r>
      </w:hyperlink>
      <w:r w:rsidRPr="00076E91">
        <w:rPr>
          <w:rFonts w:ascii="Geomanist Light" w:hAnsi="Geomanist Light" w:cs="Arial"/>
          <w:color w:val="000000" w:themeColor="text1"/>
          <w:sz w:val="10"/>
          <w:szCs w:val="10"/>
        </w:rPr>
        <w:t>. del Decreto 1082 de 2015, Único Reglamentario del Sector Administrativo de Planeación Nacional.</w:t>
      </w:r>
    </w:p>
    <w:p w14:paraId="344DF520" w14:textId="77777777" w:rsidR="0005632E" w:rsidRPr="00076E91" w:rsidRDefault="0005632E" w:rsidP="0005632E">
      <w:pPr>
        <w:pStyle w:val="NormalWeb"/>
        <w:shd w:val="clear" w:color="auto" w:fill="FFFFFF"/>
        <w:spacing w:before="0" w:beforeAutospacing="0" w:after="0" w:afterAutospacing="0"/>
        <w:contextualSpacing/>
        <w:jc w:val="both"/>
        <w:rPr>
          <w:rFonts w:ascii="Geomanist Light" w:hAnsi="Geomanist Light" w:cs="Arial"/>
          <w:color w:val="000000" w:themeColor="text1"/>
          <w:sz w:val="10"/>
          <w:szCs w:val="10"/>
        </w:rPr>
      </w:pPr>
      <w:r w:rsidRPr="00076E91">
        <w:rPr>
          <w:rFonts w:ascii="Geomanist Light" w:hAnsi="Geomanist Light" w:cs="Arial"/>
          <w:b/>
          <w:bCs/>
          <w:color w:val="000000" w:themeColor="text1"/>
          <w:sz w:val="10"/>
          <w:szCs w:val="10"/>
        </w:rPr>
        <w:t> </w:t>
      </w:r>
      <w:r w:rsidRPr="00076E91">
        <w:rPr>
          <w:rFonts w:ascii="Geomanist Light" w:hAnsi="Geomanist Light" w:cs="Arial"/>
          <w:b/>
          <w:bCs/>
          <w:color w:val="000000" w:themeColor="text1"/>
          <w:sz w:val="10"/>
          <w:szCs w:val="10"/>
        </w:rPr>
        <w:tab/>
      </w:r>
      <w:r w:rsidRPr="00076E91">
        <w:rPr>
          <w:rFonts w:ascii="Geomanist Light" w:hAnsi="Geomanist Light" w:cs="Arial"/>
          <w:b/>
          <w:bCs/>
          <w:color w:val="000000" w:themeColor="text1"/>
          <w:sz w:val="10"/>
          <w:szCs w:val="10"/>
        </w:rPr>
        <w:t>»</w:t>
      </w:r>
      <w:r w:rsidRPr="00076E91">
        <w:rPr>
          <w:rFonts w:ascii="Geomanist Light" w:hAnsi="Geomanist Light" w:cs="Arial"/>
          <w:color w:val="000000" w:themeColor="text1"/>
          <w:sz w:val="10"/>
          <w:szCs w:val="10"/>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2DC191C9" w14:textId="77777777" w:rsidR="0005632E" w:rsidRPr="00076E91" w:rsidRDefault="0005632E" w:rsidP="0005632E">
      <w:pPr>
        <w:pStyle w:val="NormalWeb"/>
        <w:shd w:val="clear" w:color="auto" w:fill="FFFFFF"/>
        <w:spacing w:before="0" w:beforeAutospacing="0" w:after="0" w:afterAutospacing="0"/>
        <w:contextualSpacing/>
        <w:jc w:val="both"/>
        <w:rPr>
          <w:rFonts w:ascii="Geomanist Light" w:hAnsi="Geomanist Light" w:cs="Arial"/>
          <w:color w:val="000000" w:themeColor="text1"/>
          <w:sz w:val="10"/>
          <w:szCs w:val="10"/>
        </w:rPr>
      </w:pPr>
      <w:r w:rsidRPr="00076E91">
        <w:rPr>
          <w:rFonts w:ascii="Geomanist Light" w:hAnsi="Geomanist Light" w:cs="Arial"/>
          <w:color w:val="000000" w:themeColor="text1"/>
          <w:sz w:val="10"/>
          <w:szCs w:val="10"/>
        </w:rPr>
        <w:t> </w:t>
      </w:r>
      <w:r w:rsidRPr="00076E91">
        <w:rPr>
          <w:rFonts w:ascii="Geomanist Light" w:hAnsi="Geomanist Light" w:cs="Arial"/>
          <w:color w:val="000000" w:themeColor="text1"/>
          <w:sz w:val="10"/>
          <w:szCs w:val="10"/>
        </w:rPr>
        <w:tab/>
        <w:t>»La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 w:id="22">
    <w:p w14:paraId="416ED6A2" w14:textId="77777777" w:rsidR="0005632E" w:rsidRPr="00076E91" w:rsidRDefault="0005632E" w:rsidP="0005632E">
      <w:pPr>
        <w:pStyle w:val="Textonotapie"/>
        <w:ind w:firstLine="709"/>
        <w:contextualSpacing/>
        <w:jc w:val="both"/>
        <w:rPr>
          <w:rFonts w:ascii="Geomanist Light" w:hAnsi="Geomanist Light" w:cs="Arial"/>
          <w:color w:val="000000" w:themeColor="text1"/>
          <w:sz w:val="10"/>
          <w:szCs w:val="10"/>
        </w:rPr>
      </w:pPr>
      <w:r w:rsidRPr="00076E91">
        <w:rPr>
          <w:rStyle w:val="Refdenotaalpie"/>
          <w:rFonts w:ascii="Geomanist Light" w:hAnsi="Geomanist Light" w:cs="Arial"/>
          <w:color w:val="000000" w:themeColor="text1"/>
          <w:sz w:val="10"/>
          <w:szCs w:val="10"/>
        </w:rPr>
        <w:footnoteRef/>
      </w:r>
      <w:r w:rsidRPr="00076E91">
        <w:rPr>
          <w:rFonts w:ascii="Geomanist Light" w:hAnsi="Geomanist Light" w:cs="Arial"/>
          <w:color w:val="000000" w:themeColor="text1"/>
          <w:sz w:val="10"/>
          <w:szCs w:val="10"/>
        </w:rPr>
        <w:t xml:space="preserve"> Decreto 1082 de 2015, adicionado por el Decreto 1860 de 2021: «Artículo 2.2.1.2.4.2.15. Criterios diferenciales para emprendimientos y empresas de mujeres en el sistema de compras públicas. En los procesos de licitación pública, selección abreviada de menor cuantía y concurso de méritos, así como en los procesos competitivos que adelanten las Entidades Estatales no sometidas al Estatuto General de Contratación de la Administración Pública, las Entidades incluirán condiciones habilitantes para incentivar los emprendimientos y empresas de mujeres con domicilio en el territorio nacional. Para el efecto, los Documentos del Proceso deberán incorporar requisitos habilitantes diferenciales relacionados con alguno o algunos de los siguientes aspectos: </w:t>
      </w:r>
    </w:p>
    <w:p w14:paraId="542CC9DC" w14:textId="77777777" w:rsidR="0005632E" w:rsidRPr="00076E91" w:rsidRDefault="0005632E" w:rsidP="0005632E">
      <w:pPr>
        <w:pStyle w:val="Textonotapie"/>
        <w:ind w:firstLine="709"/>
        <w:contextualSpacing/>
        <w:jc w:val="both"/>
        <w:rPr>
          <w:rFonts w:ascii="Geomanist Light" w:hAnsi="Geomanist Light" w:cs="Arial"/>
          <w:color w:val="000000" w:themeColor="text1"/>
          <w:sz w:val="10"/>
          <w:szCs w:val="10"/>
        </w:rPr>
      </w:pPr>
      <w:r w:rsidRPr="00076E91">
        <w:rPr>
          <w:rFonts w:ascii="Geomanist Light" w:hAnsi="Geomanist Light" w:cs="Arial"/>
          <w:color w:val="000000" w:themeColor="text1"/>
          <w:sz w:val="10"/>
          <w:szCs w:val="10"/>
        </w:rPr>
        <w:t xml:space="preserve">»1. Tiempo de experiencia. </w:t>
      </w:r>
    </w:p>
    <w:p w14:paraId="5548E1ED" w14:textId="77777777" w:rsidR="0005632E" w:rsidRPr="00076E91" w:rsidRDefault="0005632E" w:rsidP="0005632E">
      <w:pPr>
        <w:pStyle w:val="Textonotapie"/>
        <w:ind w:firstLine="709"/>
        <w:contextualSpacing/>
        <w:jc w:val="both"/>
        <w:rPr>
          <w:rFonts w:ascii="Geomanist Light" w:hAnsi="Geomanist Light" w:cs="Arial"/>
          <w:color w:val="000000" w:themeColor="text1"/>
          <w:sz w:val="10"/>
          <w:szCs w:val="10"/>
        </w:rPr>
      </w:pPr>
      <w:r w:rsidRPr="00076E91">
        <w:rPr>
          <w:rFonts w:ascii="Geomanist Light" w:hAnsi="Geomanist Light" w:cs="Arial"/>
          <w:color w:val="000000" w:themeColor="text1"/>
          <w:sz w:val="10"/>
          <w:szCs w:val="10"/>
        </w:rPr>
        <w:t xml:space="preserve">»2. Número de contratos para la acreditación de la experiencia. </w:t>
      </w:r>
    </w:p>
    <w:p w14:paraId="6810153D" w14:textId="77777777" w:rsidR="0005632E" w:rsidRPr="00076E91" w:rsidRDefault="0005632E" w:rsidP="0005632E">
      <w:pPr>
        <w:pStyle w:val="Textonotapie"/>
        <w:ind w:firstLine="709"/>
        <w:contextualSpacing/>
        <w:jc w:val="both"/>
        <w:rPr>
          <w:rFonts w:ascii="Geomanist Light" w:hAnsi="Geomanist Light" w:cs="Arial"/>
          <w:color w:val="000000" w:themeColor="text1"/>
          <w:sz w:val="10"/>
          <w:szCs w:val="10"/>
        </w:rPr>
      </w:pPr>
      <w:r w:rsidRPr="00076E91">
        <w:rPr>
          <w:rFonts w:ascii="Geomanist Light" w:hAnsi="Geomanist Light" w:cs="Arial"/>
          <w:color w:val="000000" w:themeColor="text1"/>
          <w:sz w:val="10"/>
          <w:szCs w:val="10"/>
        </w:rPr>
        <w:t xml:space="preserve">»3. Índices de capacidad financiera. </w:t>
      </w:r>
    </w:p>
    <w:p w14:paraId="4C0BC4B0" w14:textId="77777777" w:rsidR="0005632E" w:rsidRPr="00076E91" w:rsidRDefault="0005632E" w:rsidP="0005632E">
      <w:pPr>
        <w:pStyle w:val="Textonotapie"/>
        <w:ind w:firstLine="709"/>
        <w:contextualSpacing/>
        <w:jc w:val="both"/>
        <w:rPr>
          <w:rFonts w:ascii="Geomanist Light" w:hAnsi="Geomanist Light" w:cs="Arial"/>
          <w:color w:val="000000" w:themeColor="text1"/>
          <w:sz w:val="10"/>
          <w:szCs w:val="10"/>
        </w:rPr>
      </w:pPr>
      <w:r w:rsidRPr="00076E91">
        <w:rPr>
          <w:rFonts w:ascii="Geomanist Light" w:hAnsi="Geomanist Light" w:cs="Arial"/>
          <w:color w:val="000000" w:themeColor="text1"/>
          <w:sz w:val="10"/>
          <w:szCs w:val="10"/>
        </w:rPr>
        <w:t xml:space="preserve">»4. Índices de capacidad organizacional. </w:t>
      </w:r>
    </w:p>
    <w:p w14:paraId="7A85739E" w14:textId="77777777" w:rsidR="0005632E" w:rsidRPr="00076E91" w:rsidRDefault="0005632E" w:rsidP="0005632E">
      <w:pPr>
        <w:pStyle w:val="Textonotapie"/>
        <w:ind w:firstLine="709"/>
        <w:contextualSpacing/>
        <w:jc w:val="both"/>
        <w:rPr>
          <w:rFonts w:ascii="Geomanist Light" w:hAnsi="Geomanist Light" w:cs="Arial"/>
          <w:color w:val="000000" w:themeColor="text1"/>
          <w:sz w:val="10"/>
          <w:szCs w:val="10"/>
        </w:rPr>
      </w:pPr>
      <w:r w:rsidRPr="00076E91">
        <w:rPr>
          <w:rFonts w:ascii="Geomanist Light" w:hAnsi="Geomanist Light" w:cs="Arial"/>
          <w:color w:val="000000" w:themeColor="text1"/>
          <w:sz w:val="10"/>
          <w:szCs w:val="10"/>
        </w:rPr>
        <w:t xml:space="preserve">»5. Valor de la garantía de seriedad de la oferta. </w:t>
      </w:r>
    </w:p>
    <w:p w14:paraId="6CB172E0" w14:textId="77777777" w:rsidR="0005632E" w:rsidRPr="00076E91" w:rsidRDefault="0005632E" w:rsidP="0005632E">
      <w:pPr>
        <w:pStyle w:val="Textonotapie"/>
        <w:ind w:firstLine="709"/>
        <w:contextualSpacing/>
        <w:jc w:val="both"/>
        <w:rPr>
          <w:rFonts w:ascii="Geomanist Light" w:hAnsi="Geomanist Light" w:cs="Arial"/>
          <w:color w:val="000000" w:themeColor="text1"/>
          <w:sz w:val="10"/>
          <w:szCs w:val="10"/>
        </w:rPr>
      </w:pPr>
      <w:r w:rsidRPr="00076E91">
        <w:rPr>
          <w:rFonts w:ascii="Geomanist Light" w:hAnsi="Geomanist Light" w:cs="Arial"/>
          <w:color w:val="000000" w:themeColor="text1"/>
          <w:sz w:val="10"/>
          <w:szCs w:val="10"/>
        </w:rPr>
        <w:t xml:space="preserve"> » Los requisitos mencionados deberán fijarse respetando las condiciones habilitantes requeridas para el cumplimiento adecuado del contrato, teniendo en cuenta el alcance de las obligaciones. En desarrollo de lo anterior, con la finalidad de beneficiar a las empresas y emprendimientos de mujeres, se establecerán condiciones más exigentes respecto a alguno o algunos de los criterios de participación antes enunciados frente a los demás proponentes que concurran al procedimiento de selección que no sean empresas o emprendimientos de mujeres. </w:t>
      </w:r>
    </w:p>
    <w:p w14:paraId="6E90EC97" w14:textId="77777777" w:rsidR="0005632E" w:rsidRPr="00076E91" w:rsidRDefault="0005632E" w:rsidP="0005632E">
      <w:pPr>
        <w:pStyle w:val="Textonotapie"/>
        <w:ind w:firstLine="709"/>
        <w:contextualSpacing/>
        <w:jc w:val="both"/>
        <w:rPr>
          <w:rFonts w:ascii="Geomanist Light" w:hAnsi="Geomanist Light" w:cs="Arial"/>
          <w:color w:val="000000" w:themeColor="text1"/>
          <w:sz w:val="10"/>
          <w:szCs w:val="10"/>
        </w:rPr>
      </w:pPr>
      <w:r w:rsidRPr="00076E91">
        <w:rPr>
          <w:rFonts w:ascii="Geomanist Light" w:hAnsi="Geomanist Light" w:cs="Arial"/>
          <w:color w:val="000000" w:themeColor="text1"/>
          <w:sz w:val="10"/>
          <w:szCs w:val="10"/>
        </w:rPr>
        <w:t xml:space="preserve">»De manera que no se ponga en riesgo el cumplimiento adecuado del objeto contractual, con excepción de los procedimientos donde el menor precio ofrecido sea el único factor de evaluación, las Entidades también otorgarán un puntaje adicional de hasta el cero punto veinticinco por ciento (0.25%) del valor total de los puntos establecidos en los pliegos de condiciones o documentos equivalentes, a los proponentes que acrediten alguno de los supuestos del artículo 2.2.1.2.4.2.14 del presente Decreto. </w:t>
      </w:r>
    </w:p>
    <w:p w14:paraId="48D14861" w14:textId="77777777" w:rsidR="0005632E" w:rsidRPr="00076E91" w:rsidRDefault="0005632E" w:rsidP="0005632E">
      <w:pPr>
        <w:pStyle w:val="Textonotapie"/>
        <w:ind w:firstLine="709"/>
        <w:contextualSpacing/>
        <w:jc w:val="both"/>
        <w:rPr>
          <w:rFonts w:ascii="Geomanist Light" w:hAnsi="Geomanist Light" w:cs="Arial"/>
          <w:color w:val="000000" w:themeColor="text1"/>
          <w:sz w:val="10"/>
          <w:szCs w:val="10"/>
        </w:rPr>
      </w:pPr>
      <w:r w:rsidRPr="00076E91">
        <w:rPr>
          <w:rFonts w:ascii="Geomanist Light" w:hAnsi="Geomanist Light" w:cs="Arial"/>
          <w:color w:val="000000" w:themeColor="text1"/>
          <w:sz w:val="10"/>
          <w:szCs w:val="10"/>
        </w:rPr>
        <w:t xml:space="preserve">»Las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 </w:t>
      </w:r>
    </w:p>
    <w:p w14:paraId="1FD27DE4" w14:textId="77777777" w:rsidR="0005632E" w:rsidRPr="00076E91" w:rsidRDefault="0005632E" w:rsidP="0005632E">
      <w:pPr>
        <w:pStyle w:val="Textonotapie"/>
        <w:ind w:firstLine="709"/>
        <w:contextualSpacing/>
        <w:jc w:val="both"/>
        <w:rPr>
          <w:rFonts w:ascii="Geomanist Light" w:hAnsi="Geomanist Light" w:cs="Arial"/>
          <w:color w:val="000000" w:themeColor="text1"/>
          <w:sz w:val="10"/>
          <w:szCs w:val="10"/>
        </w:rPr>
      </w:pPr>
      <w:r w:rsidRPr="00076E91">
        <w:rPr>
          <w:rFonts w:ascii="Geomanist Light" w:hAnsi="Geomanist Light" w:cs="Arial"/>
          <w:color w:val="000000" w:themeColor="text1"/>
          <w:sz w:val="10"/>
          <w:szCs w:val="10"/>
        </w:rPr>
        <w:t xml:space="preserve">»Parágrafo 1. Tratándose de proponentes plurales, los criterios diferenciales y los puntajes adicionales solo se aplicarán si por lo menos uno de los integrantes acredita que es emprendimiento y empresa de mujeres bajo los criterios dispuestos en el artículo precedente y que tiene una participación igual o superior al diez por ciento (10%) en el consorcio o la unión temporal. </w:t>
      </w:r>
    </w:p>
    <w:p w14:paraId="693466B2" w14:textId="77777777" w:rsidR="0005632E" w:rsidRPr="00076E91" w:rsidRDefault="0005632E" w:rsidP="0005632E">
      <w:pPr>
        <w:pStyle w:val="Textonotapie"/>
        <w:ind w:firstLine="709"/>
        <w:contextualSpacing/>
        <w:jc w:val="both"/>
        <w:rPr>
          <w:rFonts w:ascii="Geomanist Light" w:hAnsi="Geomanist Light" w:cs="Arial"/>
          <w:color w:val="000000" w:themeColor="text1"/>
          <w:sz w:val="10"/>
          <w:szCs w:val="10"/>
        </w:rPr>
      </w:pPr>
      <w:r w:rsidRPr="00076E91">
        <w:rPr>
          <w:rFonts w:ascii="Geomanist Light" w:hAnsi="Geomanist Light" w:cs="Arial"/>
          <w:color w:val="000000" w:themeColor="text1"/>
          <w:sz w:val="10"/>
          <w:szCs w:val="10"/>
        </w:rPr>
        <w:t xml:space="preserve">»Parágrafo 2. Los incentivos contractuales para las empresas y emprendimientos de mujeres no excluyen la aplicación de los criterios diferenciales para </w:t>
      </w:r>
      <w:r w:rsidRPr="00076E91">
        <w:rPr>
          <w:rFonts w:ascii="Geomanist Light" w:hAnsi="Geomanist Light" w:cs="Arial"/>
          <w:color w:val="000000" w:themeColor="text1"/>
          <w:sz w:val="10"/>
          <w:szCs w:val="10"/>
        </w:rPr>
        <w:t xml:space="preserve">Mipyme en el sistema de compras públicas».  </w:t>
      </w:r>
    </w:p>
  </w:footnote>
  <w:footnote w:id="23">
    <w:p w14:paraId="172E51CB" w14:textId="77777777" w:rsidR="002F3E7B" w:rsidRPr="00076E91" w:rsidRDefault="002F3E7B" w:rsidP="002F3E7B">
      <w:pPr>
        <w:pStyle w:val="NormalWeb"/>
        <w:spacing w:before="0" w:beforeAutospacing="0" w:after="0" w:afterAutospacing="0"/>
        <w:ind w:firstLine="709"/>
        <w:jc w:val="both"/>
        <w:rPr>
          <w:rFonts w:ascii="Geomanist Light" w:hAnsi="Geomanist Light" w:cs="Arial"/>
          <w:color w:val="000000" w:themeColor="text1"/>
          <w:sz w:val="10"/>
          <w:szCs w:val="10"/>
        </w:rPr>
      </w:pPr>
      <w:r w:rsidRPr="00076E91">
        <w:rPr>
          <w:rStyle w:val="Refdenotaalpie"/>
          <w:rFonts w:ascii="Geomanist Light" w:hAnsi="Geomanist Light" w:cs="Arial"/>
          <w:color w:val="000000" w:themeColor="text1"/>
          <w:sz w:val="10"/>
          <w:szCs w:val="10"/>
        </w:rPr>
        <w:footnoteRef/>
      </w:r>
      <w:r w:rsidRPr="00076E91">
        <w:rPr>
          <w:rFonts w:ascii="Geomanist Light" w:hAnsi="Geomanist Light" w:cs="Arial"/>
          <w:color w:val="000000" w:themeColor="text1"/>
          <w:sz w:val="10"/>
          <w:szCs w:val="10"/>
        </w:rPr>
        <w:t xml:space="preserve"> Código Civil Colombiano «Artículo 27. Cuando el sentido de la ley sea claro, no se desatenderá su tenor literal a pretexto de consultar su espíritu. </w:t>
      </w:r>
    </w:p>
    <w:p w14:paraId="67049E6D" w14:textId="77777777" w:rsidR="002F3E7B" w:rsidRPr="00076E91" w:rsidRDefault="002F3E7B" w:rsidP="002F3E7B">
      <w:pPr>
        <w:jc w:val="both"/>
        <w:rPr>
          <w:rFonts w:ascii="Geomanist Light" w:hAnsi="Geomanist Light" w:cs="Arial"/>
          <w:color w:val="000000" w:themeColor="text1"/>
          <w:sz w:val="10"/>
          <w:szCs w:val="10"/>
          <w:lang w:eastAsia="es-CO"/>
        </w:rPr>
      </w:pPr>
      <w:r w:rsidRPr="00076E91">
        <w:rPr>
          <w:rFonts w:ascii="Geomanist Light" w:hAnsi="Geomanist Light" w:cs="Arial"/>
          <w:color w:val="000000" w:themeColor="text1"/>
          <w:sz w:val="10"/>
          <w:szCs w:val="10"/>
          <w:lang w:eastAsia="es-CO"/>
        </w:rPr>
        <w:t>  </w:t>
      </w:r>
      <w:r w:rsidRPr="00076E91">
        <w:rPr>
          <w:rFonts w:ascii="Geomanist Light" w:hAnsi="Geomanist Light" w:cs="Arial"/>
          <w:color w:val="000000" w:themeColor="text1"/>
          <w:sz w:val="10"/>
          <w:szCs w:val="10"/>
          <w:lang w:eastAsia="es-CO"/>
        </w:rPr>
        <w:tab/>
      </w:r>
      <w:r w:rsidRPr="00076E91">
        <w:rPr>
          <w:rFonts w:ascii="Geomanist Light" w:hAnsi="Geomanist Light" w:cs="Arial"/>
          <w:color w:val="000000" w:themeColor="text1"/>
          <w:sz w:val="10"/>
          <w:szCs w:val="10"/>
          <w:lang w:eastAsia="es-CO"/>
        </w:rPr>
        <w:t>»Pero bien se puede, para interpretar una expresión </w:t>
      </w:r>
      <w:r w:rsidRPr="00076E91">
        <w:rPr>
          <w:rFonts w:ascii="Geomanist Light" w:hAnsi="Geomanist Light" w:cs="Arial"/>
          <w:i/>
          <w:iCs/>
          <w:color w:val="000000" w:themeColor="text1"/>
          <w:sz w:val="10"/>
          <w:szCs w:val="10"/>
          <w:lang w:eastAsia="es-CO"/>
        </w:rPr>
        <w:t>oscura</w:t>
      </w:r>
      <w:r w:rsidRPr="00076E91">
        <w:rPr>
          <w:rFonts w:ascii="Geomanist Light" w:hAnsi="Geomanist Light" w:cs="Arial"/>
          <w:color w:val="000000" w:themeColor="text1"/>
          <w:sz w:val="10"/>
          <w:szCs w:val="10"/>
          <w:lang w:eastAsia="es-CO"/>
        </w:rPr>
        <w:t> de la ley, recurrir a su intención o espíritu, claramente manifestados en ella misma o en la historia fidedigna de su establecimiento». </w:t>
      </w:r>
    </w:p>
  </w:footnote>
  <w:footnote w:id="24">
    <w:p w14:paraId="646839DA" w14:textId="4D7AA5C0" w:rsidR="00FC67C3" w:rsidRPr="00076E91" w:rsidRDefault="00FC67C3" w:rsidP="00FC67C3">
      <w:pPr>
        <w:pStyle w:val="Textonotapie"/>
        <w:ind w:firstLine="709"/>
        <w:rPr>
          <w:rFonts w:ascii="Geomanist Light" w:hAnsi="Geomanist Light"/>
          <w:sz w:val="10"/>
          <w:szCs w:val="10"/>
          <w:lang w:val="es-ES"/>
        </w:rPr>
      </w:pPr>
      <w:r w:rsidRPr="00076E91">
        <w:rPr>
          <w:rStyle w:val="Refdenotaalpie"/>
          <w:rFonts w:ascii="Geomanist Light" w:hAnsi="Geomanist Light"/>
          <w:sz w:val="10"/>
          <w:szCs w:val="10"/>
        </w:rPr>
        <w:footnoteRef/>
      </w:r>
      <w:r w:rsidRPr="00076E91">
        <w:rPr>
          <w:rFonts w:ascii="Geomanist Light" w:hAnsi="Geomanist Light"/>
          <w:sz w:val="10"/>
          <w:szCs w:val="10"/>
        </w:rPr>
        <w:t xml:space="preserve"> Consejo de Estado, Sección Cuarta, sentencia del 24 de octubre de 2002, C.P. Ligia López Díaz, Rad. 13.408</w:t>
      </w:r>
    </w:p>
  </w:footnote>
  <w:footnote w:id="25">
    <w:p w14:paraId="446D8603" w14:textId="791F581A" w:rsidR="009126FF" w:rsidRPr="00076E91" w:rsidRDefault="009126FF" w:rsidP="009126FF">
      <w:pPr>
        <w:pStyle w:val="Textonotapie"/>
        <w:ind w:firstLine="709"/>
        <w:rPr>
          <w:rFonts w:ascii="Geomanist Light" w:hAnsi="Geomanist Light"/>
          <w:sz w:val="10"/>
          <w:szCs w:val="10"/>
          <w:lang w:val="es-ES"/>
        </w:rPr>
      </w:pPr>
      <w:r w:rsidRPr="00076E91">
        <w:rPr>
          <w:rStyle w:val="Refdenotaalpie"/>
          <w:rFonts w:ascii="Geomanist Light" w:hAnsi="Geomanist Light"/>
          <w:sz w:val="10"/>
          <w:szCs w:val="10"/>
        </w:rPr>
        <w:footnoteRef/>
      </w:r>
      <w:r w:rsidRPr="00076E91">
        <w:rPr>
          <w:rFonts w:ascii="Geomanist Light" w:hAnsi="Geomanist Light"/>
          <w:sz w:val="10"/>
          <w:szCs w:val="10"/>
        </w:rPr>
        <w:t xml:space="preserve"> Marín Cortés, Fabián G. El precio. Librería Jurídica Sánchez R. Ltda. Medellín, 2012, p. 60</w:t>
      </w:r>
    </w:p>
  </w:footnote>
  <w:footnote w:id="26">
    <w:p w14:paraId="5CAFDEF0" w14:textId="5FA64AE8" w:rsidR="002843ED" w:rsidRPr="00076E91" w:rsidRDefault="002843ED" w:rsidP="00076E91">
      <w:pPr>
        <w:ind w:firstLine="707"/>
        <w:jc w:val="both"/>
        <w:rPr>
          <w:rFonts w:ascii="Geomanist Light" w:hAnsi="Geomanist Light" w:cs="Arial"/>
          <w:sz w:val="10"/>
          <w:szCs w:val="10"/>
        </w:rPr>
      </w:pPr>
      <w:r w:rsidRPr="00076E91">
        <w:rPr>
          <w:rStyle w:val="Refdenotaalpie"/>
          <w:rFonts w:ascii="Geomanist Light" w:hAnsi="Geomanist Light" w:cs="Arial"/>
          <w:sz w:val="10"/>
          <w:szCs w:val="10"/>
        </w:rPr>
        <w:footnoteRef/>
      </w:r>
      <w:r w:rsidRPr="00076E91">
        <w:rPr>
          <w:rFonts w:ascii="Geomanist Light" w:hAnsi="Geomanist Light" w:cs="Arial"/>
          <w:position w:val="6"/>
          <w:sz w:val="10"/>
          <w:szCs w:val="10"/>
        </w:rPr>
        <w:t xml:space="preserve"> </w:t>
      </w:r>
      <w:r w:rsidRPr="00076E91">
        <w:rPr>
          <w:rFonts w:ascii="Geomanist Light" w:hAnsi="Geomanist Light" w:cs="Arial"/>
          <w:sz w:val="10"/>
          <w:szCs w:val="10"/>
        </w:rPr>
        <w:t>DEIK ACOSTAMADIEDO, Carolina, Guía de Contratación Estatal: Deber de planeación y modalidades de selección, Buenos Aires, 2015, p. 59.</w:t>
      </w:r>
    </w:p>
  </w:footnote>
  <w:footnote w:id="27">
    <w:p w14:paraId="62087BF8" w14:textId="77777777" w:rsidR="002843ED" w:rsidRPr="00076E91" w:rsidRDefault="002843ED" w:rsidP="002843ED">
      <w:pPr>
        <w:pStyle w:val="Textoindependiente"/>
        <w:ind w:firstLine="709"/>
        <w:jc w:val="both"/>
        <w:rPr>
          <w:rFonts w:ascii="Geomanist Light" w:hAnsi="Geomanist Light"/>
          <w:sz w:val="10"/>
          <w:szCs w:val="10"/>
        </w:rPr>
      </w:pPr>
      <w:r w:rsidRPr="00076E91">
        <w:rPr>
          <w:rStyle w:val="Refdenotaalpie"/>
          <w:rFonts w:ascii="Geomanist Light" w:hAnsi="Geomanist Light"/>
          <w:sz w:val="10"/>
          <w:szCs w:val="10"/>
        </w:rPr>
        <w:footnoteRef/>
      </w:r>
      <w:r w:rsidRPr="00076E91">
        <w:rPr>
          <w:rFonts w:ascii="Geomanist Light" w:hAnsi="Geomanist Light"/>
          <w:sz w:val="10"/>
          <w:szCs w:val="10"/>
        </w:rPr>
        <w:t xml:space="preserve"> </w:t>
      </w:r>
      <w:r w:rsidRPr="00076E91">
        <w:rPr>
          <w:rFonts w:ascii="Geomanist Light" w:hAnsi="Geomanist Light"/>
          <w:position w:val="6"/>
          <w:sz w:val="10"/>
          <w:szCs w:val="10"/>
        </w:rPr>
        <w:t xml:space="preserve"> </w:t>
      </w:r>
      <w:r w:rsidRPr="00076E91">
        <w:rPr>
          <w:rFonts w:ascii="Geomanist Light" w:hAnsi="Geomanist Light"/>
          <w:sz w:val="10"/>
          <w:szCs w:val="10"/>
        </w:rPr>
        <w:t xml:space="preserve">«Artículo </w:t>
      </w:r>
      <w:bookmarkStart w:id="23" w:name="_Hlk54173885"/>
      <w:r w:rsidRPr="00076E91">
        <w:rPr>
          <w:rFonts w:ascii="Geomanist Light" w:hAnsi="Geomanist Light"/>
          <w:sz w:val="10"/>
          <w:szCs w:val="10"/>
        </w:rPr>
        <w:t>2.2.1.1.2.1.1</w:t>
      </w:r>
      <w:bookmarkEnd w:id="23"/>
      <w:r w:rsidRPr="00076E91">
        <w:rPr>
          <w:rFonts w:ascii="Geomanist Light" w:hAnsi="Geomanist Light"/>
          <w:sz w:val="10"/>
          <w:szCs w:val="10"/>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footnote>
  <w:footnote w:id="28">
    <w:p w14:paraId="7A88D0AD" w14:textId="77777777" w:rsidR="002843ED" w:rsidRPr="00076E91" w:rsidRDefault="002843ED" w:rsidP="002843ED">
      <w:pPr>
        <w:pStyle w:val="Textonotapie"/>
        <w:ind w:firstLine="708"/>
        <w:jc w:val="both"/>
        <w:rPr>
          <w:rFonts w:ascii="Geomanist Light" w:hAnsi="Geomanist Light" w:cs="Arial"/>
          <w:sz w:val="10"/>
          <w:szCs w:val="10"/>
        </w:rPr>
      </w:pPr>
      <w:r w:rsidRPr="00076E91">
        <w:rPr>
          <w:rStyle w:val="Refdenotaalpie"/>
          <w:rFonts w:ascii="Geomanist Light" w:hAnsi="Geomanist Light" w:cs="Arial"/>
          <w:sz w:val="10"/>
          <w:szCs w:val="10"/>
        </w:rPr>
        <w:footnoteRef/>
      </w:r>
      <w:r w:rsidRPr="00076E91">
        <w:rPr>
          <w:rFonts w:ascii="Geomanist Light" w:hAnsi="Geomanist Light" w:cs="Arial"/>
          <w:sz w:val="10"/>
          <w:szCs w:val="10"/>
        </w:rPr>
        <w:t xml:space="preserve"> Decreto 1082 de 2015: «Artículo 2.2.1.1.1.6.1. Deber de análisis de las Entidades Estatales.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AFFF5" w14:textId="77777777" w:rsidR="009D35D5" w:rsidRDefault="009D35D5" w:rsidP="009D35D5">
    <w:pPr>
      <w:pStyle w:val="Encabezado"/>
      <w:jc w:val="right"/>
    </w:pPr>
  </w:p>
  <w:p w14:paraId="52358AC2" w14:textId="77777777" w:rsidR="009F529C" w:rsidRPr="007566FE" w:rsidRDefault="009F529C" w:rsidP="009F529C">
    <w:pPr>
      <w:rPr>
        <w:rFonts w:ascii="Geomanist Light" w:hAnsi="Geomanist Light"/>
        <w:color w:val="002060"/>
        <w:sz w:val="16"/>
        <w:szCs w:val="16"/>
      </w:rPr>
    </w:pPr>
    <w:r w:rsidRPr="007566FE">
      <w:rPr>
        <w:rFonts w:ascii="Geomanist Light" w:eastAsia="Arial Nova" w:hAnsi="Geomanist Light" w:cs="Arial Nova"/>
        <w:noProof/>
        <w:sz w:val="16"/>
        <w:szCs w:val="16"/>
        <w:lang w:val="en-US" w:eastAsia="en-US"/>
      </w:rPr>
      <w:drawing>
        <wp:anchor distT="0" distB="0" distL="0" distR="0" simplePos="0" relativeHeight="251659264" behindDoc="1" locked="0" layoutInCell="1" hidden="0" allowOverlap="1" wp14:anchorId="560FA5FC" wp14:editId="315F8ED6">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hAnsi="Geomanist Light"/>
        <w:color w:val="002060"/>
        <w:sz w:val="16"/>
        <w:szCs w:val="16"/>
      </w:rPr>
      <w:t>FORMATO PQRSD</w:t>
    </w:r>
  </w:p>
  <w:p w14:paraId="6B19240B" w14:textId="77777777" w:rsidR="009F529C" w:rsidRPr="007566FE" w:rsidRDefault="009F529C" w:rsidP="009F529C">
    <w:pPr>
      <w:pBdr>
        <w:top w:val="nil"/>
        <w:left w:val="nil"/>
        <w:bottom w:val="nil"/>
        <w:right w:val="nil"/>
        <w:between w:val="nil"/>
      </w:pBdr>
      <w:tabs>
        <w:tab w:val="center" w:pos="4419"/>
        <w:tab w:val="right" w:pos="8838"/>
        <w:tab w:val="center" w:pos="5400"/>
      </w:tabs>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3E88A598" w14:textId="77777777" w:rsidR="009F529C" w:rsidRDefault="009F529C" w:rsidP="009F529C">
    <w:pPr>
      <w:rPr>
        <w:rFonts w:ascii="Geomanist Light" w:eastAsia="Geo" w:hAnsi="Geomanist Light" w:cs="Geo"/>
        <w:sz w:val="16"/>
        <w:szCs w:val="16"/>
        <w:lang w:eastAsia="es-CO"/>
      </w:rPr>
    </w:pPr>
    <w:r w:rsidRPr="00367110">
      <w:rPr>
        <w:rFonts w:eastAsia="Arial Nova" w:cs="Arial Nova"/>
        <w:noProof/>
        <w:color w:val="000000"/>
        <w:lang w:val="en-US" w:eastAsia="en-US"/>
      </w:rPr>
      <w:drawing>
        <wp:anchor distT="0" distB="0" distL="114300" distR="114300" simplePos="0" relativeHeight="251660288" behindDoc="1" locked="0" layoutInCell="1" allowOverlap="1" wp14:anchorId="39F77CDD" wp14:editId="667DEAF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eastAsia="Geo" w:hAnsi="Geomanist Light" w:cs="Geo"/>
        <w:b/>
        <w:color w:val="000000"/>
        <w:sz w:val="16"/>
        <w:szCs w:val="16"/>
        <w:lang w:eastAsia="es-CO"/>
      </w:rPr>
      <w:t>Versión</w:t>
    </w:r>
    <w:r w:rsidRPr="007566FE">
      <w:rPr>
        <w:rFonts w:ascii="Geomanist Light" w:eastAsia="Arial Nova" w:hAnsi="Geomanist Light" w:cs="Arial Nova"/>
        <w:b/>
        <w:color w:val="000000"/>
        <w:sz w:val="16"/>
        <w:szCs w:val="16"/>
        <w:lang w:eastAsia="es-CO"/>
      </w:rPr>
      <w:t xml:space="preserve">: </w:t>
    </w:r>
    <w:r w:rsidRPr="007566FE">
      <w:rPr>
        <w:rFonts w:ascii="Geomanist Light" w:eastAsia="Geo" w:hAnsi="Geomanist Light" w:cs="Geo"/>
        <w:sz w:val="16"/>
        <w:szCs w:val="16"/>
        <w:lang w:eastAsia="es-CO"/>
      </w:rPr>
      <w:t>0</w:t>
    </w:r>
    <w:r>
      <w:rPr>
        <w:rFonts w:ascii="Geomanist Light" w:eastAsia="Geo" w:hAnsi="Geomanist Light" w:cs="Geo"/>
        <w:sz w:val="16"/>
        <w:szCs w:val="16"/>
        <w:lang w:eastAsia="es-CO"/>
      </w:rPr>
      <w:t>2</w:t>
    </w:r>
    <w:r w:rsidRPr="007566FE">
      <w:rPr>
        <w:rFonts w:ascii="Geomanist Light" w:eastAsia="Geo" w:hAnsi="Geomanist Light" w:cs="Geo"/>
        <w:sz w:val="16"/>
        <w:szCs w:val="16"/>
        <w:lang w:eastAsia="es-CO"/>
      </w:rPr>
      <w:t xml:space="preserve"> DEL </w:t>
    </w:r>
    <w:r>
      <w:rPr>
        <w:rFonts w:ascii="Geomanist Light" w:eastAsia="Geo" w:hAnsi="Geomanist Light" w:cs="Geo"/>
        <w:sz w:val="16"/>
        <w:szCs w:val="16"/>
        <w:lang w:eastAsia="es-CO"/>
      </w:rPr>
      <w:t>28</w:t>
    </w:r>
    <w:r w:rsidRPr="007566FE">
      <w:rPr>
        <w:rFonts w:ascii="Geomanist Light" w:eastAsia="Geo" w:hAnsi="Geomanist Light" w:cs="Geo"/>
        <w:sz w:val="16"/>
        <w:szCs w:val="16"/>
        <w:lang w:eastAsia="es-CO"/>
      </w:rPr>
      <w:t xml:space="preserve"> DE </w:t>
    </w:r>
    <w:r>
      <w:rPr>
        <w:rFonts w:ascii="Geomanist Light" w:eastAsia="Geo" w:hAnsi="Geomanist Light" w:cs="Geo"/>
        <w:sz w:val="16"/>
        <w:szCs w:val="16"/>
        <w:lang w:eastAsia="es-CO"/>
      </w:rPr>
      <w:t>SEPTIEMBRE</w:t>
    </w:r>
    <w:r w:rsidRPr="007566FE">
      <w:rPr>
        <w:rFonts w:ascii="Geomanist Light" w:eastAsia="Geo" w:hAnsi="Geomanist Light" w:cs="Geo"/>
        <w:sz w:val="16"/>
        <w:szCs w:val="16"/>
        <w:lang w:eastAsia="es-CO"/>
      </w:rPr>
      <w:t xml:space="preserve"> DE 2022</w:t>
    </w:r>
  </w:p>
  <w:p w14:paraId="1259AED4" w14:textId="6BD2013A" w:rsidR="009D35D5" w:rsidRDefault="009D35D5" w:rsidP="009D35D5">
    <w:pPr>
      <w:pStyle w:val="Encabezado"/>
      <w:jc w:val="right"/>
    </w:pPr>
  </w:p>
  <w:p w14:paraId="7285EFC6" w14:textId="77777777" w:rsidR="009D35D5" w:rsidRDefault="009D35D5" w:rsidP="009D35D5">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8E04182"/>
    <w:multiLevelType w:val="hybridMultilevel"/>
    <w:tmpl w:val="2904D5EC"/>
    <w:lvl w:ilvl="0" w:tplc="47E8FE0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59584D70"/>
    <w:multiLevelType w:val="hybridMultilevel"/>
    <w:tmpl w:val="A8FC7D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43039619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42488348">
    <w:abstractNumId w:val="0"/>
  </w:num>
  <w:num w:numId="3" w16cid:durableId="1062950260">
    <w:abstractNumId w:val="2"/>
  </w:num>
  <w:num w:numId="4" w16cid:durableId="11913372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D0C"/>
    <w:rsid w:val="000013B6"/>
    <w:rsid w:val="0000229C"/>
    <w:rsid w:val="00011F2D"/>
    <w:rsid w:val="00013A0C"/>
    <w:rsid w:val="00016282"/>
    <w:rsid w:val="00017404"/>
    <w:rsid w:val="000219DB"/>
    <w:rsid w:val="000278EC"/>
    <w:rsid w:val="00033B53"/>
    <w:rsid w:val="00033E4B"/>
    <w:rsid w:val="00047725"/>
    <w:rsid w:val="0005562C"/>
    <w:rsid w:val="0005632E"/>
    <w:rsid w:val="000606C7"/>
    <w:rsid w:val="00063547"/>
    <w:rsid w:val="0006665E"/>
    <w:rsid w:val="000668B5"/>
    <w:rsid w:val="00070BFE"/>
    <w:rsid w:val="000726D5"/>
    <w:rsid w:val="00073996"/>
    <w:rsid w:val="00076E91"/>
    <w:rsid w:val="000834FF"/>
    <w:rsid w:val="00090392"/>
    <w:rsid w:val="000B0950"/>
    <w:rsid w:val="000B4315"/>
    <w:rsid w:val="000C2B81"/>
    <w:rsid w:val="000C2F17"/>
    <w:rsid w:val="000C495A"/>
    <w:rsid w:val="000C63FF"/>
    <w:rsid w:val="000D4875"/>
    <w:rsid w:val="000E0507"/>
    <w:rsid w:val="000E1C39"/>
    <w:rsid w:val="000E2D77"/>
    <w:rsid w:val="000E3BC8"/>
    <w:rsid w:val="000F3B31"/>
    <w:rsid w:val="000F530E"/>
    <w:rsid w:val="000F759E"/>
    <w:rsid w:val="00102AD2"/>
    <w:rsid w:val="0010311E"/>
    <w:rsid w:val="0011032D"/>
    <w:rsid w:val="00110E79"/>
    <w:rsid w:val="00116920"/>
    <w:rsid w:val="0012651A"/>
    <w:rsid w:val="00126AAD"/>
    <w:rsid w:val="001414D9"/>
    <w:rsid w:val="0014309D"/>
    <w:rsid w:val="00144118"/>
    <w:rsid w:val="0014427A"/>
    <w:rsid w:val="00147017"/>
    <w:rsid w:val="00160CFF"/>
    <w:rsid w:val="001626D1"/>
    <w:rsid w:val="0016582F"/>
    <w:rsid w:val="00167784"/>
    <w:rsid w:val="00173A9F"/>
    <w:rsid w:val="00174AA5"/>
    <w:rsid w:val="00174D3B"/>
    <w:rsid w:val="00175D56"/>
    <w:rsid w:val="0017659D"/>
    <w:rsid w:val="00176D8A"/>
    <w:rsid w:val="00180656"/>
    <w:rsid w:val="0018185A"/>
    <w:rsid w:val="0019200A"/>
    <w:rsid w:val="0019224D"/>
    <w:rsid w:val="001935F2"/>
    <w:rsid w:val="001A4FAD"/>
    <w:rsid w:val="001A7726"/>
    <w:rsid w:val="001B66E2"/>
    <w:rsid w:val="001C3D2D"/>
    <w:rsid w:val="001C5296"/>
    <w:rsid w:val="001D21D5"/>
    <w:rsid w:val="001D337F"/>
    <w:rsid w:val="001D3E02"/>
    <w:rsid w:val="001D77EF"/>
    <w:rsid w:val="001E3D25"/>
    <w:rsid w:val="001E46E9"/>
    <w:rsid w:val="001E528B"/>
    <w:rsid w:val="001E55E2"/>
    <w:rsid w:val="001E59EC"/>
    <w:rsid w:val="001F00E4"/>
    <w:rsid w:val="001F52B1"/>
    <w:rsid w:val="00203976"/>
    <w:rsid w:val="002115C0"/>
    <w:rsid w:val="00215578"/>
    <w:rsid w:val="00216228"/>
    <w:rsid w:val="0023018C"/>
    <w:rsid w:val="00230EEB"/>
    <w:rsid w:val="002436E3"/>
    <w:rsid w:val="0024608A"/>
    <w:rsid w:val="0025094B"/>
    <w:rsid w:val="00250BD6"/>
    <w:rsid w:val="0025415C"/>
    <w:rsid w:val="0025560C"/>
    <w:rsid w:val="00255F0E"/>
    <w:rsid w:val="00274B11"/>
    <w:rsid w:val="00277D0B"/>
    <w:rsid w:val="002843ED"/>
    <w:rsid w:val="00286465"/>
    <w:rsid w:val="002868F9"/>
    <w:rsid w:val="00287544"/>
    <w:rsid w:val="00293A7D"/>
    <w:rsid w:val="00296394"/>
    <w:rsid w:val="0029735F"/>
    <w:rsid w:val="002A1110"/>
    <w:rsid w:val="002C21DC"/>
    <w:rsid w:val="002C769A"/>
    <w:rsid w:val="002D2FD8"/>
    <w:rsid w:val="002D4840"/>
    <w:rsid w:val="002D7995"/>
    <w:rsid w:val="002E0ACA"/>
    <w:rsid w:val="002E2C77"/>
    <w:rsid w:val="002E52A6"/>
    <w:rsid w:val="002F3E7B"/>
    <w:rsid w:val="00300B2F"/>
    <w:rsid w:val="00303001"/>
    <w:rsid w:val="003057FD"/>
    <w:rsid w:val="003126C1"/>
    <w:rsid w:val="003128B2"/>
    <w:rsid w:val="00314A3D"/>
    <w:rsid w:val="003151C1"/>
    <w:rsid w:val="00316893"/>
    <w:rsid w:val="00317C69"/>
    <w:rsid w:val="0032771C"/>
    <w:rsid w:val="00337936"/>
    <w:rsid w:val="00343146"/>
    <w:rsid w:val="00346346"/>
    <w:rsid w:val="00351914"/>
    <w:rsid w:val="00375412"/>
    <w:rsid w:val="00376D94"/>
    <w:rsid w:val="00380497"/>
    <w:rsid w:val="00390962"/>
    <w:rsid w:val="00390C92"/>
    <w:rsid w:val="0039590C"/>
    <w:rsid w:val="00395E69"/>
    <w:rsid w:val="00396D2F"/>
    <w:rsid w:val="003A30E4"/>
    <w:rsid w:val="003B2828"/>
    <w:rsid w:val="003B4D96"/>
    <w:rsid w:val="003C008B"/>
    <w:rsid w:val="003D2432"/>
    <w:rsid w:val="003D4FAA"/>
    <w:rsid w:val="003F29CF"/>
    <w:rsid w:val="003F46DC"/>
    <w:rsid w:val="003F4A6D"/>
    <w:rsid w:val="00423B39"/>
    <w:rsid w:val="00423BE9"/>
    <w:rsid w:val="00425218"/>
    <w:rsid w:val="0042578E"/>
    <w:rsid w:val="004265C9"/>
    <w:rsid w:val="0043006A"/>
    <w:rsid w:val="00433A5A"/>
    <w:rsid w:val="004427B5"/>
    <w:rsid w:val="00444306"/>
    <w:rsid w:val="00447F84"/>
    <w:rsid w:val="00450726"/>
    <w:rsid w:val="004607B2"/>
    <w:rsid w:val="00465C12"/>
    <w:rsid w:val="0046677E"/>
    <w:rsid w:val="00472C17"/>
    <w:rsid w:val="004761E0"/>
    <w:rsid w:val="0047738A"/>
    <w:rsid w:val="00481144"/>
    <w:rsid w:val="00483379"/>
    <w:rsid w:val="004908DF"/>
    <w:rsid w:val="004A0BDA"/>
    <w:rsid w:val="004A124A"/>
    <w:rsid w:val="004A68D1"/>
    <w:rsid w:val="004A6FA0"/>
    <w:rsid w:val="004A7882"/>
    <w:rsid w:val="004B010A"/>
    <w:rsid w:val="004B1E29"/>
    <w:rsid w:val="004B5B41"/>
    <w:rsid w:val="004C054C"/>
    <w:rsid w:val="004C05AC"/>
    <w:rsid w:val="004C0AD4"/>
    <w:rsid w:val="004D3384"/>
    <w:rsid w:val="004D4AA1"/>
    <w:rsid w:val="004E6DB1"/>
    <w:rsid w:val="004E77FA"/>
    <w:rsid w:val="004F152E"/>
    <w:rsid w:val="004F33FA"/>
    <w:rsid w:val="004F5116"/>
    <w:rsid w:val="004F7784"/>
    <w:rsid w:val="00500E4D"/>
    <w:rsid w:val="00502E9D"/>
    <w:rsid w:val="00513A15"/>
    <w:rsid w:val="00515135"/>
    <w:rsid w:val="00527879"/>
    <w:rsid w:val="005278EA"/>
    <w:rsid w:val="0053357A"/>
    <w:rsid w:val="0053694E"/>
    <w:rsid w:val="0054133E"/>
    <w:rsid w:val="00542590"/>
    <w:rsid w:val="00546ADD"/>
    <w:rsid w:val="005504DA"/>
    <w:rsid w:val="005520DD"/>
    <w:rsid w:val="005523E1"/>
    <w:rsid w:val="00555F07"/>
    <w:rsid w:val="00556732"/>
    <w:rsid w:val="00556A45"/>
    <w:rsid w:val="00562725"/>
    <w:rsid w:val="005648B4"/>
    <w:rsid w:val="00567039"/>
    <w:rsid w:val="0057048D"/>
    <w:rsid w:val="00572705"/>
    <w:rsid w:val="00573B69"/>
    <w:rsid w:val="0058210E"/>
    <w:rsid w:val="00585261"/>
    <w:rsid w:val="00587D6A"/>
    <w:rsid w:val="005908E7"/>
    <w:rsid w:val="00592634"/>
    <w:rsid w:val="0059341D"/>
    <w:rsid w:val="00596B8F"/>
    <w:rsid w:val="00596BD3"/>
    <w:rsid w:val="00597514"/>
    <w:rsid w:val="005A5C09"/>
    <w:rsid w:val="005B31C8"/>
    <w:rsid w:val="005B3F92"/>
    <w:rsid w:val="005B6E0E"/>
    <w:rsid w:val="005C01C3"/>
    <w:rsid w:val="005C4B64"/>
    <w:rsid w:val="005C685F"/>
    <w:rsid w:val="005D1EAE"/>
    <w:rsid w:val="005D38AC"/>
    <w:rsid w:val="005E1DC5"/>
    <w:rsid w:val="005E31AF"/>
    <w:rsid w:val="005E6D4A"/>
    <w:rsid w:val="005F555E"/>
    <w:rsid w:val="006011D8"/>
    <w:rsid w:val="00602D75"/>
    <w:rsid w:val="00604D15"/>
    <w:rsid w:val="0060519F"/>
    <w:rsid w:val="00612D34"/>
    <w:rsid w:val="00614693"/>
    <w:rsid w:val="00614A07"/>
    <w:rsid w:val="00621D1E"/>
    <w:rsid w:val="00625319"/>
    <w:rsid w:val="006276C7"/>
    <w:rsid w:val="00633ADD"/>
    <w:rsid w:val="00635917"/>
    <w:rsid w:val="006370A0"/>
    <w:rsid w:val="006379EB"/>
    <w:rsid w:val="006429DC"/>
    <w:rsid w:val="00645095"/>
    <w:rsid w:val="00647271"/>
    <w:rsid w:val="0066016B"/>
    <w:rsid w:val="0066036F"/>
    <w:rsid w:val="00660AAE"/>
    <w:rsid w:val="006639B9"/>
    <w:rsid w:val="006712EB"/>
    <w:rsid w:val="006718AA"/>
    <w:rsid w:val="00671D8E"/>
    <w:rsid w:val="00683FE8"/>
    <w:rsid w:val="006845FC"/>
    <w:rsid w:val="006905FD"/>
    <w:rsid w:val="006A300C"/>
    <w:rsid w:val="006A3A4F"/>
    <w:rsid w:val="006A5766"/>
    <w:rsid w:val="006A6E02"/>
    <w:rsid w:val="006A7A4E"/>
    <w:rsid w:val="006C5B7E"/>
    <w:rsid w:val="006C613F"/>
    <w:rsid w:val="006D614E"/>
    <w:rsid w:val="006E0564"/>
    <w:rsid w:val="006E0AC3"/>
    <w:rsid w:val="006E1BB9"/>
    <w:rsid w:val="006E2360"/>
    <w:rsid w:val="00700BAB"/>
    <w:rsid w:val="00702BE5"/>
    <w:rsid w:val="00712F53"/>
    <w:rsid w:val="00713AAD"/>
    <w:rsid w:val="007151B9"/>
    <w:rsid w:val="007152B4"/>
    <w:rsid w:val="00722ED0"/>
    <w:rsid w:val="00737222"/>
    <w:rsid w:val="00737250"/>
    <w:rsid w:val="0074256A"/>
    <w:rsid w:val="00742997"/>
    <w:rsid w:val="00751030"/>
    <w:rsid w:val="00754BE8"/>
    <w:rsid w:val="007617C2"/>
    <w:rsid w:val="007623EE"/>
    <w:rsid w:val="00770614"/>
    <w:rsid w:val="007710AF"/>
    <w:rsid w:val="00795D0C"/>
    <w:rsid w:val="00795F60"/>
    <w:rsid w:val="007A045B"/>
    <w:rsid w:val="007A1D16"/>
    <w:rsid w:val="007A1EBC"/>
    <w:rsid w:val="007B38F9"/>
    <w:rsid w:val="007B3EF3"/>
    <w:rsid w:val="007B4DA5"/>
    <w:rsid w:val="007C7464"/>
    <w:rsid w:val="007C7B74"/>
    <w:rsid w:val="007D30C3"/>
    <w:rsid w:val="007D44D6"/>
    <w:rsid w:val="007E09EB"/>
    <w:rsid w:val="007E6BDC"/>
    <w:rsid w:val="007E75FE"/>
    <w:rsid w:val="008009F1"/>
    <w:rsid w:val="00803F1B"/>
    <w:rsid w:val="008167EE"/>
    <w:rsid w:val="0084000D"/>
    <w:rsid w:val="00840FD0"/>
    <w:rsid w:val="00844C7B"/>
    <w:rsid w:val="00857511"/>
    <w:rsid w:val="0086628C"/>
    <w:rsid w:val="00866ABE"/>
    <w:rsid w:val="008706D8"/>
    <w:rsid w:val="00871B85"/>
    <w:rsid w:val="00872347"/>
    <w:rsid w:val="00875852"/>
    <w:rsid w:val="00881977"/>
    <w:rsid w:val="00885D97"/>
    <w:rsid w:val="00887040"/>
    <w:rsid w:val="0089113B"/>
    <w:rsid w:val="008A01A2"/>
    <w:rsid w:val="008A29E5"/>
    <w:rsid w:val="008A4D5D"/>
    <w:rsid w:val="008A6884"/>
    <w:rsid w:val="008B2D4B"/>
    <w:rsid w:val="008B512A"/>
    <w:rsid w:val="008C0043"/>
    <w:rsid w:val="008C296B"/>
    <w:rsid w:val="008D0C14"/>
    <w:rsid w:val="008D0EC9"/>
    <w:rsid w:val="008D2F34"/>
    <w:rsid w:val="008D3724"/>
    <w:rsid w:val="008D3A96"/>
    <w:rsid w:val="008E029C"/>
    <w:rsid w:val="008F705D"/>
    <w:rsid w:val="009126FF"/>
    <w:rsid w:val="00914BFE"/>
    <w:rsid w:val="00914C99"/>
    <w:rsid w:val="00922AEB"/>
    <w:rsid w:val="00923A9B"/>
    <w:rsid w:val="00926695"/>
    <w:rsid w:val="009321CE"/>
    <w:rsid w:val="00934B91"/>
    <w:rsid w:val="0094177F"/>
    <w:rsid w:val="00942470"/>
    <w:rsid w:val="00944FE4"/>
    <w:rsid w:val="00946405"/>
    <w:rsid w:val="00947DC3"/>
    <w:rsid w:val="009627D3"/>
    <w:rsid w:val="009631C9"/>
    <w:rsid w:val="00976F38"/>
    <w:rsid w:val="00977D1E"/>
    <w:rsid w:val="00980A0B"/>
    <w:rsid w:val="00980D02"/>
    <w:rsid w:val="009824F9"/>
    <w:rsid w:val="009845F4"/>
    <w:rsid w:val="00986CAE"/>
    <w:rsid w:val="009900EF"/>
    <w:rsid w:val="00992F9F"/>
    <w:rsid w:val="00993D9C"/>
    <w:rsid w:val="00995A5F"/>
    <w:rsid w:val="009A2461"/>
    <w:rsid w:val="009A2AEE"/>
    <w:rsid w:val="009A6223"/>
    <w:rsid w:val="009B1E2B"/>
    <w:rsid w:val="009B244C"/>
    <w:rsid w:val="009B442C"/>
    <w:rsid w:val="009B4AFD"/>
    <w:rsid w:val="009B611F"/>
    <w:rsid w:val="009B7B02"/>
    <w:rsid w:val="009C0E81"/>
    <w:rsid w:val="009C15CB"/>
    <w:rsid w:val="009C2E2E"/>
    <w:rsid w:val="009D23A4"/>
    <w:rsid w:val="009D35D5"/>
    <w:rsid w:val="009D4249"/>
    <w:rsid w:val="009E0BB4"/>
    <w:rsid w:val="009E33EF"/>
    <w:rsid w:val="009E43E9"/>
    <w:rsid w:val="009E7EA0"/>
    <w:rsid w:val="009F2875"/>
    <w:rsid w:val="009F3AE9"/>
    <w:rsid w:val="009F511B"/>
    <w:rsid w:val="009F529C"/>
    <w:rsid w:val="00A04CF4"/>
    <w:rsid w:val="00A105B4"/>
    <w:rsid w:val="00A20AED"/>
    <w:rsid w:val="00A213E6"/>
    <w:rsid w:val="00A21E87"/>
    <w:rsid w:val="00A23833"/>
    <w:rsid w:val="00A23F34"/>
    <w:rsid w:val="00A2567A"/>
    <w:rsid w:val="00A30826"/>
    <w:rsid w:val="00A30D60"/>
    <w:rsid w:val="00A35E28"/>
    <w:rsid w:val="00A45656"/>
    <w:rsid w:val="00A47061"/>
    <w:rsid w:val="00A61459"/>
    <w:rsid w:val="00A64CDE"/>
    <w:rsid w:val="00A71345"/>
    <w:rsid w:val="00A71E9F"/>
    <w:rsid w:val="00A821E3"/>
    <w:rsid w:val="00A83C04"/>
    <w:rsid w:val="00A861E0"/>
    <w:rsid w:val="00A86DD3"/>
    <w:rsid w:val="00A916E5"/>
    <w:rsid w:val="00AA6788"/>
    <w:rsid w:val="00AA7016"/>
    <w:rsid w:val="00AB1230"/>
    <w:rsid w:val="00AC0A07"/>
    <w:rsid w:val="00AC34BC"/>
    <w:rsid w:val="00AC441A"/>
    <w:rsid w:val="00AC706B"/>
    <w:rsid w:val="00AD1D50"/>
    <w:rsid w:val="00AD6DF7"/>
    <w:rsid w:val="00AE6185"/>
    <w:rsid w:val="00AF2478"/>
    <w:rsid w:val="00B00342"/>
    <w:rsid w:val="00B00ABF"/>
    <w:rsid w:val="00B01F99"/>
    <w:rsid w:val="00B0467B"/>
    <w:rsid w:val="00B0527C"/>
    <w:rsid w:val="00B079E9"/>
    <w:rsid w:val="00B116A1"/>
    <w:rsid w:val="00B16823"/>
    <w:rsid w:val="00B17276"/>
    <w:rsid w:val="00B20318"/>
    <w:rsid w:val="00B222A6"/>
    <w:rsid w:val="00B4271B"/>
    <w:rsid w:val="00B4692D"/>
    <w:rsid w:val="00B57AB7"/>
    <w:rsid w:val="00B61431"/>
    <w:rsid w:val="00B623DC"/>
    <w:rsid w:val="00B62619"/>
    <w:rsid w:val="00B62791"/>
    <w:rsid w:val="00B70999"/>
    <w:rsid w:val="00B70FB0"/>
    <w:rsid w:val="00B758B0"/>
    <w:rsid w:val="00B76B85"/>
    <w:rsid w:val="00B80461"/>
    <w:rsid w:val="00B84907"/>
    <w:rsid w:val="00B84CF1"/>
    <w:rsid w:val="00B93975"/>
    <w:rsid w:val="00B95BFB"/>
    <w:rsid w:val="00BA5485"/>
    <w:rsid w:val="00BA6C38"/>
    <w:rsid w:val="00BB4A2D"/>
    <w:rsid w:val="00BC0249"/>
    <w:rsid w:val="00BC79BA"/>
    <w:rsid w:val="00BC79E6"/>
    <w:rsid w:val="00BD1DA5"/>
    <w:rsid w:val="00BE0C77"/>
    <w:rsid w:val="00BF2366"/>
    <w:rsid w:val="00BF4468"/>
    <w:rsid w:val="00BF5336"/>
    <w:rsid w:val="00C00DA5"/>
    <w:rsid w:val="00C01652"/>
    <w:rsid w:val="00C05886"/>
    <w:rsid w:val="00C142A3"/>
    <w:rsid w:val="00C26B27"/>
    <w:rsid w:val="00C272C3"/>
    <w:rsid w:val="00C27B86"/>
    <w:rsid w:val="00C35ED8"/>
    <w:rsid w:val="00C36BB2"/>
    <w:rsid w:val="00C5002A"/>
    <w:rsid w:val="00C5060D"/>
    <w:rsid w:val="00C56FD2"/>
    <w:rsid w:val="00C627EF"/>
    <w:rsid w:val="00C62AF9"/>
    <w:rsid w:val="00C66ECE"/>
    <w:rsid w:val="00C70272"/>
    <w:rsid w:val="00C70AC8"/>
    <w:rsid w:val="00C71AF0"/>
    <w:rsid w:val="00C7443D"/>
    <w:rsid w:val="00C759EA"/>
    <w:rsid w:val="00C76410"/>
    <w:rsid w:val="00C76720"/>
    <w:rsid w:val="00C77898"/>
    <w:rsid w:val="00C829F8"/>
    <w:rsid w:val="00C8312A"/>
    <w:rsid w:val="00C91310"/>
    <w:rsid w:val="00C95A87"/>
    <w:rsid w:val="00CA101A"/>
    <w:rsid w:val="00CA4187"/>
    <w:rsid w:val="00CA7C77"/>
    <w:rsid w:val="00CB1EA2"/>
    <w:rsid w:val="00CB2244"/>
    <w:rsid w:val="00CC0C44"/>
    <w:rsid w:val="00CC306F"/>
    <w:rsid w:val="00CC3B8D"/>
    <w:rsid w:val="00CC4D7C"/>
    <w:rsid w:val="00CD31AA"/>
    <w:rsid w:val="00CD6DBB"/>
    <w:rsid w:val="00CF0161"/>
    <w:rsid w:val="00CF33BE"/>
    <w:rsid w:val="00CF64D6"/>
    <w:rsid w:val="00D0167A"/>
    <w:rsid w:val="00D01BA7"/>
    <w:rsid w:val="00D0557B"/>
    <w:rsid w:val="00D11FE1"/>
    <w:rsid w:val="00D237F9"/>
    <w:rsid w:val="00D279B7"/>
    <w:rsid w:val="00D31D7A"/>
    <w:rsid w:val="00D332A6"/>
    <w:rsid w:val="00D45293"/>
    <w:rsid w:val="00D51728"/>
    <w:rsid w:val="00D55BA9"/>
    <w:rsid w:val="00D562BA"/>
    <w:rsid w:val="00D5667F"/>
    <w:rsid w:val="00D56F24"/>
    <w:rsid w:val="00D57F89"/>
    <w:rsid w:val="00D64F46"/>
    <w:rsid w:val="00D7015F"/>
    <w:rsid w:val="00D70434"/>
    <w:rsid w:val="00D72E5A"/>
    <w:rsid w:val="00D82510"/>
    <w:rsid w:val="00D8727C"/>
    <w:rsid w:val="00DA075E"/>
    <w:rsid w:val="00DA573C"/>
    <w:rsid w:val="00DB0DE8"/>
    <w:rsid w:val="00DB28E2"/>
    <w:rsid w:val="00DB34EC"/>
    <w:rsid w:val="00DB4997"/>
    <w:rsid w:val="00DB6DCD"/>
    <w:rsid w:val="00DC1F8E"/>
    <w:rsid w:val="00DC435F"/>
    <w:rsid w:val="00DD1C23"/>
    <w:rsid w:val="00DD50A3"/>
    <w:rsid w:val="00DD70F7"/>
    <w:rsid w:val="00DE3D35"/>
    <w:rsid w:val="00DE6786"/>
    <w:rsid w:val="00DE7D38"/>
    <w:rsid w:val="00E02554"/>
    <w:rsid w:val="00E02991"/>
    <w:rsid w:val="00E06F2C"/>
    <w:rsid w:val="00E07A4B"/>
    <w:rsid w:val="00E10B8D"/>
    <w:rsid w:val="00E12DAC"/>
    <w:rsid w:val="00E154AD"/>
    <w:rsid w:val="00E20079"/>
    <w:rsid w:val="00E225AA"/>
    <w:rsid w:val="00E2301F"/>
    <w:rsid w:val="00E34392"/>
    <w:rsid w:val="00E344D5"/>
    <w:rsid w:val="00E35E93"/>
    <w:rsid w:val="00E37895"/>
    <w:rsid w:val="00E37B3B"/>
    <w:rsid w:val="00E50479"/>
    <w:rsid w:val="00E526DE"/>
    <w:rsid w:val="00E55A01"/>
    <w:rsid w:val="00E57EEC"/>
    <w:rsid w:val="00E611E4"/>
    <w:rsid w:val="00E63025"/>
    <w:rsid w:val="00E63233"/>
    <w:rsid w:val="00E66E65"/>
    <w:rsid w:val="00E74106"/>
    <w:rsid w:val="00E860CD"/>
    <w:rsid w:val="00E87333"/>
    <w:rsid w:val="00E9230A"/>
    <w:rsid w:val="00E94C52"/>
    <w:rsid w:val="00EA31DC"/>
    <w:rsid w:val="00EA3412"/>
    <w:rsid w:val="00EA7C69"/>
    <w:rsid w:val="00EB0092"/>
    <w:rsid w:val="00EB3256"/>
    <w:rsid w:val="00EB7970"/>
    <w:rsid w:val="00EC34CB"/>
    <w:rsid w:val="00EC37BF"/>
    <w:rsid w:val="00ED1338"/>
    <w:rsid w:val="00EF309E"/>
    <w:rsid w:val="00EF7068"/>
    <w:rsid w:val="00F16C76"/>
    <w:rsid w:val="00F37574"/>
    <w:rsid w:val="00F4384D"/>
    <w:rsid w:val="00F44A3D"/>
    <w:rsid w:val="00F46E77"/>
    <w:rsid w:val="00F51834"/>
    <w:rsid w:val="00F54E1C"/>
    <w:rsid w:val="00F56967"/>
    <w:rsid w:val="00F5772B"/>
    <w:rsid w:val="00F664D1"/>
    <w:rsid w:val="00F76EF8"/>
    <w:rsid w:val="00F776E3"/>
    <w:rsid w:val="00F84A3C"/>
    <w:rsid w:val="00FA0BAD"/>
    <w:rsid w:val="00FA164C"/>
    <w:rsid w:val="00FA28D1"/>
    <w:rsid w:val="00FA6A29"/>
    <w:rsid w:val="00FB1D36"/>
    <w:rsid w:val="00FC0C74"/>
    <w:rsid w:val="00FC2B86"/>
    <w:rsid w:val="00FC67C3"/>
    <w:rsid w:val="00FD0349"/>
    <w:rsid w:val="00FD0FB6"/>
    <w:rsid w:val="00FD1E9A"/>
    <w:rsid w:val="00FE0C13"/>
    <w:rsid w:val="00FE3FA7"/>
    <w:rsid w:val="00FF10E7"/>
    <w:rsid w:val="00FF3386"/>
    <w:rsid w:val="00FF63A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A2132"/>
  <w15:chartTrackingRefBased/>
  <w15:docId w15:val="{AB314478-6C34-4C87-B026-CBF47FF09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20" w:line="276"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2A6"/>
    <w:pPr>
      <w:spacing w:after="0" w:line="240" w:lineRule="auto"/>
      <w:ind w:firstLine="0"/>
      <w:jc w:val="left"/>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795D0C"/>
    <w:pPr>
      <w:tabs>
        <w:tab w:val="center" w:pos="4419"/>
        <w:tab w:val="right" w:pos="8838"/>
      </w:tabs>
      <w:ind w:firstLine="709"/>
      <w:jc w:val="both"/>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795D0C"/>
  </w:style>
  <w:style w:type="paragraph" w:styleId="Encabezado">
    <w:name w:val="header"/>
    <w:basedOn w:val="Normal"/>
    <w:link w:val="EncabezadoCar"/>
    <w:uiPriority w:val="99"/>
    <w:unhideWhenUsed/>
    <w:rsid w:val="00795D0C"/>
    <w:pPr>
      <w:tabs>
        <w:tab w:val="center" w:pos="4419"/>
        <w:tab w:val="right" w:pos="8838"/>
      </w:tabs>
      <w:ind w:firstLine="709"/>
      <w:jc w:val="both"/>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795D0C"/>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95D0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795D0C"/>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95D0C"/>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795D0C"/>
    <w:rPr>
      <w:vertAlign w:val="superscript"/>
    </w:rPr>
  </w:style>
  <w:style w:type="paragraph" w:customStyle="1" w:styleId="Appelnotedebasde">
    <w:name w:val="Appel note de bas de..."/>
    <w:basedOn w:val="Normal"/>
    <w:link w:val="Refdenotaalpie"/>
    <w:rsid w:val="00795D0C"/>
    <w:pPr>
      <w:spacing w:after="160" w:line="240" w:lineRule="exact"/>
    </w:pPr>
    <w:rPr>
      <w:rFonts w:asciiTheme="minorHAnsi" w:eastAsiaTheme="minorHAnsi" w:hAnsiTheme="minorHAnsi" w:cstheme="minorBidi"/>
      <w:sz w:val="22"/>
      <w:szCs w:val="22"/>
      <w:vertAlign w:val="superscript"/>
      <w:lang w:eastAsia="en-US"/>
    </w:rPr>
  </w:style>
  <w:style w:type="table" w:customStyle="1" w:styleId="Tablaconcuadrcula3">
    <w:name w:val="Tabla con cuadrícula3"/>
    <w:basedOn w:val="Tablanormal"/>
    <w:next w:val="Tablaconcuadrcula"/>
    <w:uiPriority w:val="59"/>
    <w:rsid w:val="00795D0C"/>
    <w:pPr>
      <w:spacing w:after="0"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795D0C"/>
    <w:rPr>
      <w:color w:val="F2F2F2"/>
      <w:u w:val="single"/>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795D0C"/>
    <w:pPr>
      <w:spacing w:after="120" w:line="276" w:lineRule="auto"/>
      <w:ind w:left="720" w:firstLine="709"/>
      <w:contextualSpacing/>
      <w:jc w:val="both"/>
    </w:pPr>
    <w:rPr>
      <w:rFonts w:asciiTheme="minorHAnsi" w:eastAsiaTheme="minorHAnsi" w:hAnsiTheme="minorHAnsi" w:cstheme="minorBidi"/>
      <w:sz w:val="22"/>
      <w:szCs w:val="22"/>
      <w:lang w:eastAsia="en-US"/>
    </w:rPr>
  </w:style>
  <w:style w:type="table" w:styleId="Tablaconcuadrcula">
    <w:name w:val="Table Grid"/>
    <w:basedOn w:val="Tablanormal"/>
    <w:uiPriority w:val="59"/>
    <w:qFormat/>
    <w:rsid w:val="0079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520DD"/>
    <w:rPr>
      <w:color w:val="0563C1" w:themeColor="hyperlink"/>
      <w:u w:val="single"/>
    </w:rPr>
  </w:style>
  <w:style w:type="paragraph" w:styleId="NormalWeb">
    <w:name w:val="Normal (Web)"/>
    <w:basedOn w:val="Normal"/>
    <w:link w:val="NormalWebCar"/>
    <w:uiPriority w:val="99"/>
    <w:unhideWhenUsed/>
    <w:rsid w:val="005520DD"/>
    <w:pPr>
      <w:spacing w:before="100" w:beforeAutospacing="1" w:after="100" w:afterAutospacing="1"/>
    </w:pPr>
    <w:rPr>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520DD"/>
  </w:style>
  <w:style w:type="character" w:customStyle="1" w:styleId="normaltextrun">
    <w:name w:val="normaltextrun"/>
    <w:basedOn w:val="Fuentedeprrafopredeter"/>
    <w:rsid w:val="005520DD"/>
  </w:style>
  <w:style w:type="character" w:customStyle="1" w:styleId="NormalWebCar">
    <w:name w:val="Normal (Web) Car"/>
    <w:link w:val="NormalWeb"/>
    <w:uiPriority w:val="99"/>
    <w:rsid w:val="005520DD"/>
    <w:rPr>
      <w:rFonts w:ascii="Times New Roman" w:eastAsia="Times New Roman" w:hAnsi="Times New Roman" w:cs="Times New Roman"/>
      <w:sz w:val="24"/>
      <w:szCs w:val="24"/>
      <w:lang w:eastAsia="es-CO"/>
    </w:rPr>
  </w:style>
  <w:style w:type="paragraph" w:styleId="Revisin">
    <w:name w:val="Revision"/>
    <w:hidden/>
    <w:uiPriority w:val="99"/>
    <w:semiHidden/>
    <w:rsid w:val="00947DC3"/>
    <w:pPr>
      <w:spacing w:after="0" w:line="240" w:lineRule="auto"/>
      <w:ind w:firstLine="0"/>
      <w:jc w:val="left"/>
    </w:pPr>
    <w:rPr>
      <w:rFonts w:ascii="Times New Roman" w:eastAsia="Times New Roman" w:hAnsi="Times New Roman" w:cs="Times New Roman"/>
      <w:sz w:val="24"/>
      <w:szCs w:val="24"/>
      <w:lang w:eastAsia="es-ES_tradnl"/>
    </w:rPr>
  </w:style>
  <w:style w:type="character" w:styleId="Refdecomentario">
    <w:name w:val="annotation reference"/>
    <w:basedOn w:val="Fuentedeprrafopredeter"/>
    <w:uiPriority w:val="99"/>
    <w:semiHidden/>
    <w:unhideWhenUsed/>
    <w:rsid w:val="00B17276"/>
    <w:rPr>
      <w:sz w:val="16"/>
      <w:szCs w:val="16"/>
    </w:rPr>
  </w:style>
  <w:style w:type="paragraph" w:styleId="Textocomentario">
    <w:name w:val="annotation text"/>
    <w:basedOn w:val="Normal"/>
    <w:link w:val="TextocomentarioCar"/>
    <w:uiPriority w:val="99"/>
    <w:unhideWhenUsed/>
    <w:rsid w:val="00B17276"/>
    <w:rPr>
      <w:sz w:val="20"/>
      <w:szCs w:val="20"/>
    </w:rPr>
  </w:style>
  <w:style w:type="character" w:customStyle="1" w:styleId="TextocomentarioCar">
    <w:name w:val="Texto comentario Car"/>
    <w:basedOn w:val="Fuentedeprrafopredeter"/>
    <w:link w:val="Textocomentario"/>
    <w:uiPriority w:val="99"/>
    <w:rsid w:val="00B17276"/>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B17276"/>
    <w:rPr>
      <w:b/>
      <w:bCs/>
    </w:rPr>
  </w:style>
  <w:style w:type="character" w:customStyle="1" w:styleId="AsuntodelcomentarioCar">
    <w:name w:val="Asunto del comentario Car"/>
    <w:basedOn w:val="TextocomentarioCar"/>
    <w:link w:val="Asuntodelcomentario"/>
    <w:uiPriority w:val="99"/>
    <w:semiHidden/>
    <w:rsid w:val="00B17276"/>
    <w:rPr>
      <w:rFonts w:ascii="Times New Roman" w:eastAsia="Times New Roman" w:hAnsi="Times New Roman" w:cs="Times New Roman"/>
      <w:b/>
      <w:bCs/>
      <w:sz w:val="20"/>
      <w:szCs w:val="20"/>
      <w:lang w:eastAsia="es-ES_tradnl"/>
    </w:rPr>
  </w:style>
  <w:style w:type="paragraph" w:styleId="Textodeglobo">
    <w:name w:val="Balloon Text"/>
    <w:basedOn w:val="Normal"/>
    <w:link w:val="TextodegloboCar"/>
    <w:uiPriority w:val="99"/>
    <w:semiHidden/>
    <w:unhideWhenUsed/>
    <w:rsid w:val="00FE3FA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E3FA7"/>
    <w:rPr>
      <w:rFonts w:ascii="Segoe UI" w:eastAsia="Times New Roman" w:hAnsi="Segoe UI" w:cs="Segoe UI"/>
      <w:sz w:val="18"/>
      <w:szCs w:val="18"/>
      <w:lang w:eastAsia="es-ES_tradnl"/>
    </w:rPr>
  </w:style>
  <w:style w:type="paragraph" w:customStyle="1" w:styleId="Default">
    <w:name w:val="Default"/>
    <w:rsid w:val="00EA7C69"/>
    <w:pPr>
      <w:autoSpaceDE w:val="0"/>
      <w:autoSpaceDN w:val="0"/>
      <w:adjustRightInd w:val="0"/>
      <w:spacing w:after="0" w:line="240" w:lineRule="auto"/>
      <w:ind w:firstLine="0"/>
      <w:jc w:val="left"/>
    </w:pPr>
    <w:rPr>
      <w:rFonts w:ascii="Arial" w:hAnsi="Arial" w:cs="Arial"/>
      <w:color w:val="000000"/>
      <w:sz w:val="24"/>
      <w:szCs w:val="24"/>
    </w:rPr>
  </w:style>
  <w:style w:type="character" w:customStyle="1" w:styleId="Mencinsinresolver2">
    <w:name w:val="Mención sin resolver2"/>
    <w:basedOn w:val="Fuentedeprrafopredeter"/>
    <w:uiPriority w:val="99"/>
    <w:semiHidden/>
    <w:unhideWhenUsed/>
    <w:rsid w:val="007C7B74"/>
    <w:rPr>
      <w:color w:val="605E5C"/>
      <w:shd w:val="clear" w:color="auto" w:fill="E1DFDD"/>
    </w:rPr>
  </w:style>
  <w:style w:type="paragraph" w:customStyle="1" w:styleId="paragraph">
    <w:name w:val="paragraph"/>
    <w:basedOn w:val="Normal"/>
    <w:rsid w:val="000C495A"/>
    <w:pPr>
      <w:spacing w:before="100" w:beforeAutospacing="1" w:after="100" w:afterAutospacing="1"/>
    </w:pPr>
    <w:rPr>
      <w:lang w:eastAsia="es-MX"/>
    </w:rPr>
  </w:style>
  <w:style w:type="table" w:customStyle="1" w:styleId="Tablaconcuadrcula1">
    <w:name w:val="Tabla con cuadrícula1"/>
    <w:basedOn w:val="Tablanormal"/>
    <w:next w:val="Tablaconcuadrcula"/>
    <w:uiPriority w:val="59"/>
    <w:rsid w:val="00B758B0"/>
    <w:pPr>
      <w:spacing w:before="120" w:after="0"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No Indent"/>
    <w:uiPriority w:val="3"/>
    <w:qFormat/>
    <w:rsid w:val="002E0ACA"/>
    <w:pPr>
      <w:spacing w:after="0" w:line="240" w:lineRule="auto"/>
      <w:ind w:firstLine="0"/>
      <w:jc w:val="left"/>
    </w:pPr>
    <w:rPr>
      <w:sz w:val="24"/>
      <w:lang w:val="es-MX"/>
    </w:rPr>
  </w:style>
  <w:style w:type="paragraph" w:styleId="Textoindependiente">
    <w:name w:val="Body Text"/>
    <w:basedOn w:val="Normal"/>
    <w:link w:val="TextoindependienteCar"/>
    <w:uiPriority w:val="1"/>
    <w:qFormat/>
    <w:rsid w:val="00A213E6"/>
    <w:pPr>
      <w:widowControl w:val="0"/>
      <w:autoSpaceDE w:val="0"/>
      <w:autoSpaceDN w:val="0"/>
    </w:pPr>
    <w:rPr>
      <w:rFonts w:ascii="Arial" w:eastAsia="Arial" w:hAnsi="Arial" w:cs="Arial"/>
      <w:sz w:val="22"/>
      <w:szCs w:val="22"/>
      <w:lang w:val="es-ES" w:eastAsia="en-US"/>
    </w:rPr>
  </w:style>
  <w:style w:type="character" w:customStyle="1" w:styleId="TextoindependienteCar">
    <w:name w:val="Texto independiente Car"/>
    <w:basedOn w:val="Fuentedeprrafopredeter"/>
    <w:link w:val="Textoindependiente"/>
    <w:uiPriority w:val="1"/>
    <w:rsid w:val="00A213E6"/>
    <w:rPr>
      <w:rFonts w:ascii="Arial" w:eastAsia="Arial" w:hAnsi="Arial" w:cs="Arial"/>
      <w:lang w:val="es-ES"/>
    </w:rPr>
  </w:style>
  <w:style w:type="character" w:styleId="Textoennegrita">
    <w:name w:val="Strong"/>
    <w:basedOn w:val="Fuentedeprrafopredeter"/>
    <w:uiPriority w:val="22"/>
    <w:qFormat/>
    <w:rsid w:val="000C2B81"/>
    <w:rPr>
      <w:b/>
      <w:bCs/>
    </w:rPr>
  </w:style>
  <w:style w:type="character" w:styleId="nfasis">
    <w:name w:val="Emphasis"/>
    <w:basedOn w:val="Fuentedeprrafopredeter"/>
    <w:uiPriority w:val="20"/>
    <w:qFormat/>
    <w:rsid w:val="000C2B81"/>
    <w:rPr>
      <w:i/>
      <w:iCs/>
    </w:rPr>
  </w:style>
  <w:style w:type="character" w:customStyle="1" w:styleId="baj">
    <w:name w:val="b_aj"/>
    <w:basedOn w:val="Fuentedeprrafopredeter"/>
    <w:rsid w:val="00F4384D"/>
  </w:style>
  <w:style w:type="character" w:customStyle="1" w:styleId="iaj">
    <w:name w:val="i_aj"/>
    <w:basedOn w:val="Fuentedeprrafopredeter"/>
    <w:rsid w:val="006A300C"/>
  </w:style>
  <w:style w:type="paragraph" w:customStyle="1" w:styleId="margenizq1punto0margender1punto0">
    <w:name w:val="margen_izq_1punto0_margen_der_1punto0"/>
    <w:basedOn w:val="Normal"/>
    <w:rsid w:val="00180656"/>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606636">
      <w:bodyDiv w:val="1"/>
      <w:marLeft w:val="0"/>
      <w:marRight w:val="0"/>
      <w:marTop w:val="0"/>
      <w:marBottom w:val="0"/>
      <w:divBdr>
        <w:top w:val="none" w:sz="0" w:space="0" w:color="auto"/>
        <w:left w:val="none" w:sz="0" w:space="0" w:color="auto"/>
        <w:bottom w:val="none" w:sz="0" w:space="0" w:color="auto"/>
        <w:right w:val="none" w:sz="0" w:space="0" w:color="auto"/>
      </w:divBdr>
    </w:div>
    <w:div w:id="1374310261">
      <w:bodyDiv w:val="1"/>
      <w:marLeft w:val="0"/>
      <w:marRight w:val="0"/>
      <w:marTop w:val="0"/>
      <w:marBottom w:val="0"/>
      <w:divBdr>
        <w:top w:val="none" w:sz="0" w:space="0" w:color="auto"/>
        <w:left w:val="none" w:sz="0" w:space="0" w:color="auto"/>
        <w:bottom w:val="none" w:sz="0" w:space="0" w:color="auto"/>
        <w:right w:val="none" w:sz="0" w:space="0" w:color="auto"/>
      </w:divBdr>
    </w:div>
    <w:div w:id="1694960360">
      <w:bodyDiv w:val="1"/>
      <w:marLeft w:val="0"/>
      <w:marRight w:val="0"/>
      <w:marTop w:val="0"/>
      <w:marBottom w:val="0"/>
      <w:divBdr>
        <w:top w:val="none" w:sz="0" w:space="0" w:color="auto"/>
        <w:left w:val="none" w:sz="0" w:space="0" w:color="auto"/>
        <w:bottom w:val="none" w:sz="0" w:space="0" w:color="auto"/>
        <w:right w:val="none" w:sz="0" w:space="0" w:color="auto"/>
      </w:divBdr>
    </w:div>
    <w:div w:id="2126533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7660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uncionpublica.gov.co/eva/gestornormativo/norma.php?i=76608"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funcionpublica.gov.co/eva/gestornormativo/norma.php?i=76608"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uncionpublica.gov.co/eva/gestornormativo/norma.php?i=76608"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2" Type="http://schemas.openxmlformats.org/officeDocument/2006/relationships/hyperlink" Target="https://www.funcionpublica.gov.co/eva/gestornormativo/norma.php?i=77653" TargetMode="External"/><Relationship Id="rId1" Type="http://schemas.openxmlformats.org/officeDocument/2006/relationships/hyperlink" Target="http://leyes.senado.gov.co/proyectos/index.php/textos-radicados-senado/p-ley-2020-2021/1957-proyecto-de-ley-161-de-2020"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B68B7E-E247-4625-89E8-3CCBC4DE941D}">
  <ds:schemaRefs>
    <ds:schemaRef ds:uri="http://schemas.microsoft.com/office/2006/documentManagement/types"/>
    <ds:schemaRef ds:uri="http://schemas.microsoft.com/office/infopath/2007/PartnerControls"/>
    <ds:schemaRef ds:uri="9d85dbaf-23eb-4e57-a637-93dcacc8b1a1"/>
    <ds:schemaRef ds:uri="http://purl.org/dc/terms/"/>
    <ds:schemaRef ds:uri="http://schemas.openxmlformats.org/package/2006/metadata/core-properties"/>
    <ds:schemaRef ds:uri="http://schemas.microsoft.com/office/2006/metadata/properties"/>
    <ds:schemaRef ds:uri="http://www.w3.org/XML/1998/namespace"/>
    <ds:schemaRef ds:uri="a6cb9e4b-f1d1-4245-83ec-6cad768d538a"/>
    <ds:schemaRef ds:uri="http://purl.org/dc/dcmitype/"/>
    <ds:schemaRef ds:uri="http://purl.org/dc/elements/1.1/"/>
  </ds:schemaRefs>
</ds:datastoreItem>
</file>

<file path=customXml/itemProps2.xml><?xml version="1.0" encoding="utf-8"?>
<ds:datastoreItem xmlns:ds="http://schemas.openxmlformats.org/officeDocument/2006/customXml" ds:itemID="{CAB2A190-5718-437F-BE03-18A939087D50}">
  <ds:schemaRefs>
    <ds:schemaRef ds:uri="http://schemas.openxmlformats.org/officeDocument/2006/bibliography"/>
  </ds:schemaRefs>
</ds:datastoreItem>
</file>

<file path=customXml/itemProps3.xml><?xml version="1.0" encoding="utf-8"?>
<ds:datastoreItem xmlns:ds="http://schemas.openxmlformats.org/officeDocument/2006/customXml" ds:itemID="{C9C8857E-A924-4ABA-8D25-F94DAD32C7F4}">
  <ds:schemaRefs>
    <ds:schemaRef ds:uri="http://schemas.microsoft.com/sharepoint/v3/contenttype/forms"/>
  </ds:schemaRefs>
</ds:datastoreItem>
</file>

<file path=customXml/itemProps4.xml><?xml version="1.0" encoding="utf-8"?>
<ds:datastoreItem xmlns:ds="http://schemas.openxmlformats.org/officeDocument/2006/customXml" ds:itemID="{DFC0460C-A643-401B-9123-49BEB414A6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15896</Words>
  <Characters>87432</Characters>
  <Application>Microsoft Office Word</Application>
  <DocSecurity>0</DocSecurity>
  <Lines>728</Lines>
  <Paragraphs>206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Fernández Reinoso</dc:creator>
  <cp:keywords/>
  <dc:description/>
  <cp:lastModifiedBy>Diana Lucia Saavedra</cp:lastModifiedBy>
  <cp:revision>2</cp:revision>
  <dcterms:created xsi:type="dcterms:W3CDTF">2023-03-03T15:36:00Z</dcterms:created>
  <dcterms:modified xsi:type="dcterms:W3CDTF">2023-03-03T15:36:00Z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