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BA5D0" w14:textId="77777777" w:rsidR="00E961DC" w:rsidRPr="00372D18" w:rsidRDefault="00E961DC" w:rsidP="00E961DC">
      <w:pPr>
        <w:spacing w:after="0" w:line="240" w:lineRule="auto"/>
        <w:jc w:val="both"/>
        <w:rPr>
          <w:rFonts w:ascii="Verdana" w:eastAsia="Calibri" w:hAnsi="Verdana" w:cs="Arial"/>
          <w:b/>
          <w:color w:val="000000" w:themeColor="text1"/>
          <w:lang w:val="es-ES_tradnl"/>
        </w:rPr>
      </w:pPr>
      <w:r w:rsidRPr="00372D18">
        <w:rPr>
          <w:rFonts w:ascii="Verdana" w:eastAsia="Calibri" w:hAnsi="Verdana" w:cs="Arial"/>
          <w:b/>
          <w:color w:val="000000" w:themeColor="text1"/>
          <w:lang w:val="es-ES_tradnl"/>
        </w:rPr>
        <w:t xml:space="preserve">PERSONAS JURÍDICAS – Capacidad – Clasificación Industrial Internacional Uniforme – Efectos declarativos </w:t>
      </w:r>
    </w:p>
    <w:p w14:paraId="76E505AF" w14:textId="77777777" w:rsidR="00E961DC" w:rsidRPr="00372D18" w:rsidRDefault="00E961DC" w:rsidP="00E961DC">
      <w:pPr>
        <w:spacing w:after="0" w:line="240" w:lineRule="auto"/>
        <w:jc w:val="both"/>
        <w:rPr>
          <w:rFonts w:ascii="Verdana" w:eastAsia="Calibri" w:hAnsi="Verdana" w:cs="Arial"/>
          <w:bCs/>
          <w:color w:val="000000" w:themeColor="text1"/>
          <w:sz w:val="20"/>
          <w:szCs w:val="20"/>
          <w:lang w:val="es-ES_tradnl"/>
        </w:rPr>
      </w:pPr>
    </w:p>
    <w:p w14:paraId="4B1804B5" w14:textId="77777777" w:rsidR="00E961DC" w:rsidRPr="00372D18" w:rsidRDefault="00E961DC" w:rsidP="00E961DC">
      <w:pPr>
        <w:spacing w:after="0" w:line="240" w:lineRule="auto"/>
        <w:jc w:val="both"/>
        <w:rPr>
          <w:rFonts w:ascii="Verdana" w:hAnsi="Verdana" w:cs="Arial"/>
          <w:color w:val="000000" w:themeColor="text1"/>
          <w:sz w:val="20"/>
          <w:szCs w:val="20"/>
        </w:rPr>
      </w:pPr>
      <w:r w:rsidRPr="00372D18">
        <w:rPr>
          <w:rFonts w:ascii="Verdana" w:hAnsi="Verdana" w:cs="Arial"/>
          <w:color w:val="000000" w:themeColor="text1"/>
          <w:sz w:val="20"/>
          <w:szCs w:val="20"/>
        </w:rPr>
        <w:t xml:space="preserve">Ninguna de las normas citadas condiciona la capacidad de las </w:t>
      </w:r>
      <w:r w:rsidRPr="00372D18">
        <w:rPr>
          <w:rFonts w:ascii="Verdana" w:hAnsi="Verdana" w:cs="Arial"/>
          <w:i/>
          <w:iCs/>
          <w:color w:val="000000" w:themeColor="text1"/>
          <w:sz w:val="20"/>
          <w:szCs w:val="20"/>
        </w:rPr>
        <w:t>personas jurídicas</w:t>
      </w:r>
      <w:r w:rsidRPr="00372D18">
        <w:rPr>
          <w:rFonts w:ascii="Verdana" w:hAnsi="Verdana" w:cs="Arial"/>
          <w:color w:val="000000" w:themeColor="text1"/>
          <w:sz w:val="20"/>
          <w:szCs w:val="20"/>
        </w:rPr>
        <w:t xml:space="preserve"> a los códigos de la </w:t>
      </w:r>
      <w:r w:rsidRPr="00372D18">
        <w:rPr>
          <w:rFonts w:ascii="Verdana" w:hAnsi="Verdana" w:cs="Arial"/>
          <w:color w:val="000000" w:themeColor="text1"/>
          <w:sz w:val="20"/>
          <w:szCs w:val="20"/>
          <w:lang w:val="es-ES_tradnl"/>
        </w:rPr>
        <w:t>Clasificación Industrial Internacional Uniforme –CIIU–</w:t>
      </w:r>
      <w:r w:rsidRPr="00372D18">
        <w:rPr>
          <w:rFonts w:ascii="Verdana" w:hAnsi="Verdana" w:cs="Arial"/>
          <w:color w:val="000000" w:themeColor="text1"/>
          <w:sz w:val="20"/>
          <w:szCs w:val="20"/>
        </w:rPr>
        <w:t xml:space="preserve">. Ésta corresponde a un sistema estandarizado desarrollado por las Naciones Unidas para clasificar las actividades económicas en distintos sectores. Como explica el DANE, su objetivo es facilitar la recopilación, análisis y comparación de datos estadísticos a nivel nacional e internacional. </w:t>
      </w:r>
    </w:p>
    <w:p w14:paraId="73797096" w14:textId="77777777" w:rsidR="00E961DC" w:rsidRPr="00372D18" w:rsidRDefault="00E961DC" w:rsidP="00E961DC">
      <w:pPr>
        <w:spacing w:after="0" w:line="240" w:lineRule="auto"/>
        <w:jc w:val="both"/>
        <w:rPr>
          <w:rFonts w:ascii="Verdana" w:hAnsi="Verdana" w:cs="Arial"/>
          <w:color w:val="000000" w:themeColor="text1"/>
          <w:sz w:val="20"/>
          <w:szCs w:val="20"/>
          <w:lang w:val="es-ES"/>
        </w:rPr>
      </w:pPr>
    </w:p>
    <w:p w14:paraId="14E12CB8" w14:textId="77777777" w:rsidR="00E961DC" w:rsidRPr="00372D18" w:rsidRDefault="00E961DC" w:rsidP="00E961DC">
      <w:pPr>
        <w:spacing w:after="0" w:line="240" w:lineRule="auto"/>
        <w:jc w:val="both"/>
        <w:rPr>
          <w:rFonts w:ascii="Verdana" w:hAnsi="Verdana" w:cs="Arial"/>
          <w:color w:val="000000" w:themeColor="text1"/>
          <w:sz w:val="20"/>
          <w:szCs w:val="20"/>
        </w:rPr>
      </w:pPr>
      <w:r w:rsidRPr="00372D18">
        <w:rPr>
          <w:rFonts w:ascii="Verdana" w:hAnsi="Verdana" w:cs="Arial"/>
          <w:color w:val="000000" w:themeColor="text1"/>
          <w:sz w:val="20"/>
          <w:szCs w:val="20"/>
        </w:rPr>
        <w:t xml:space="preserve">De esta manera, la </w:t>
      </w:r>
      <w:r w:rsidRPr="00372D18">
        <w:rPr>
          <w:rFonts w:ascii="Verdana" w:hAnsi="Verdana" w:cs="Arial"/>
          <w:color w:val="000000" w:themeColor="text1"/>
          <w:sz w:val="20"/>
          <w:szCs w:val="20"/>
          <w:lang w:val="es-ES_tradnl"/>
        </w:rPr>
        <w:t>CIIU</w:t>
      </w:r>
      <w:r w:rsidRPr="00372D18">
        <w:rPr>
          <w:rFonts w:ascii="Verdana" w:hAnsi="Verdana" w:cs="Arial"/>
          <w:color w:val="000000" w:themeColor="text1"/>
          <w:sz w:val="20"/>
          <w:szCs w:val="20"/>
        </w:rPr>
        <w:t xml:space="preserve"> tienen efectos declarativos, no constitutivos. Por ello, existe capacidad si el objeto del contrato está relacionado con el objeto social de la </w:t>
      </w:r>
      <w:r w:rsidRPr="00372D18">
        <w:rPr>
          <w:rFonts w:ascii="Verdana" w:hAnsi="Verdana" w:cs="Arial"/>
          <w:i/>
          <w:iCs/>
          <w:color w:val="000000" w:themeColor="text1"/>
          <w:sz w:val="20"/>
          <w:szCs w:val="20"/>
        </w:rPr>
        <w:t>persona jurídica</w:t>
      </w:r>
      <w:r w:rsidRPr="00372D18">
        <w:rPr>
          <w:rFonts w:ascii="Verdana" w:hAnsi="Verdana" w:cs="Arial"/>
          <w:color w:val="000000" w:themeColor="text1"/>
          <w:sz w:val="20"/>
          <w:szCs w:val="20"/>
        </w:rPr>
        <w:t xml:space="preserve">, y aquella se </w:t>
      </w:r>
      <w:proofErr w:type="gramStart"/>
      <w:r w:rsidRPr="00372D18">
        <w:rPr>
          <w:rFonts w:ascii="Verdana" w:hAnsi="Verdana" w:cs="Arial"/>
          <w:color w:val="000000" w:themeColor="text1"/>
          <w:sz w:val="20"/>
          <w:szCs w:val="20"/>
        </w:rPr>
        <w:t>mantiene</w:t>
      </w:r>
      <w:proofErr w:type="gramEnd"/>
      <w:r w:rsidRPr="00372D18">
        <w:rPr>
          <w:rFonts w:ascii="Verdana" w:hAnsi="Verdana" w:cs="Arial"/>
          <w:color w:val="000000" w:themeColor="text1"/>
          <w:sz w:val="20"/>
          <w:szCs w:val="20"/>
        </w:rPr>
        <w:t xml:space="preserve"> aunque la actividad económica no se haya recogido en la clasificación. De la misma forma, si el código registrado es ajeno al objeto social, dicha situación no hace que la empresa adquiera la capacidad para ejecutar esa actividad en particular. Además, en sociedades con objeto indeterminado –como las sociedades por acciones simplificadas– los códigos del </w:t>
      </w:r>
      <w:r w:rsidRPr="00372D18">
        <w:rPr>
          <w:rFonts w:ascii="Verdana" w:hAnsi="Verdana" w:cs="Arial"/>
          <w:color w:val="000000" w:themeColor="text1"/>
          <w:sz w:val="20"/>
          <w:szCs w:val="20"/>
          <w:lang w:val="es-ES_tradnl"/>
        </w:rPr>
        <w:t xml:space="preserve">CIIU no restringen la capacidad de la </w:t>
      </w:r>
      <w:r w:rsidRPr="00372D18">
        <w:rPr>
          <w:rFonts w:ascii="Verdana" w:hAnsi="Verdana" w:cs="Arial"/>
          <w:i/>
          <w:iCs/>
          <w:color w:val="000000" w:themeColor="text1"/>
          <w:sz w:val="20"/>
          <w:szCs w:val="20"/>
          <w:lang w:val="es-ES_tradnl"/>
        </w:rPr>
        <w:t>persona jurídica</w:t>
      </w:r>
      <w:r w:rsidRPr="00372D18">
        <w:rPr>
          <w:rFonts w:ascii="Verdana" w:hAnsi="Verdana" w:cs="Arial"/>
          <w:color w:val="000000" w:themeColor="text1"/>
          <w:sz w:val="20"/>
          <w:szCs w:val="20"/>
          <w:lang w:val="es-ES_tradnl"/>
        </w:rPr>
        <w:t>, ya que –en las condiciones del</w:t>
      </w:r>
      <w:r w:rsidRPr="00372D18">
        <w:rPr>
          <w:rFonts w:ascii="Verdana" w:hAnsi="Verdana" w:cs="Arial"/>
          <w:color w:val="000000" w:themeColor="text1"/>
          <w:sz w:val="20"/>
          <w:szCs w:val="20"/>
        </w:rPr>
        <w:t xml:space="preserve"> artículo 5.4 de la Ley 1258 de 2008– </w:t>
      </w:r>
      <w:r w:rsidRPr="00372D18">
        <w:rPr>
          <w:rFonts w:ascii="Verdana" w:hAnsi="Verdana" w:cs="Arial"/>
          <w:color w:val="000000" w:themeColor="text1"/>
          <w:sz w:val="20"/>
          <w:szCs w:val="20"/>
          <w:lang w:val="es-ES_tradnl"/>
        </w:rPr>
        <w:t>pueden ejecutar cualquier actividad lícita.</w:t>
      </w:r>
      <w:r w:rsidRPr="00372D18">
        <w:rPr>
          <w:rFonts w:ascii="Verdana" w:hAnsi="Verdana" w:cs="Arial"/>
          <w:color w:val="000000" w:themeColor="text1"/>
          <w:sz w:val="20"/>
          <w:szCs w:val="20"/>
        </w:rPr>
        <w:t xml:space="preserve"> </w:t>
      </w:r>
    </w:p>
    <w:p w14:paraId="1D7D5CFF" w14:textId="77777777" w:rsidR="00E961DC" w:rsidRPr="00372D18" w:rsidRDefault="00E961DC" w:rsidP="00E961DC">
      <w:pPr>
        <w:spacing w:after="0" w:line="240" w:lineRule="auto"/>
        <w:jc w:val="both"/>
        <w:rPr>
          <w:rFonts w:ascii="Verdana" w:hAnsi="Verdana" w:cs="Arial"/>
          <w:color w:val="000000" w:themeColor="text1"/>
          <w:sz w:val="20"/>
          <w:szCs w:val="20"/>
        </w:rPr>
      </w:pPr>
    </w:p>
    <w:p w14:paraId="6D65676B" w14:textId="77777777" w:rsidR="00E961DC" w:rsidRPr="00372D18" w:rsidRDefault="00E961DC" w:rsidP="00E961DC">
      <w:pPr>
        <w:spacing w:after="0" w:line="240" w:lineRule="auto"/>
        <w:jc w:val="both"/>
        <w:rPr>
          <w:rFonts w:ascii="Verdana" w:hAnsi="Verdana" w:cs="Arial"/>
          <w:color w:val="000000" w:themeColor="text1"/>
          <w:sz w:val="20"/>
          <w:szCs w:val="20"/>
          <w:lang w:val="es-ES_tradnl"/>
        </w:rPr>
      </w:pPr>
      <w:r w:rsidRPr="00372D18">
        <w:rPr>
          <w:rFonts w:ascii="Verdana" w:hAnsi="Verdana" w:cs="Arial"/>
          <w:color w:val="000000" w:themeColor="text1"/>
          <w:sz w:val="20"/>
          <w:szCs w:val="20"/>
        </w:rPr>
        <w:t xml:space="preserve">Sin perjuicio de lo anterior, sumado a las implicaciones estadísticas de la </w:t>
      </w:r>
      <w:r w:rsidRPr="00372D18">
        <w:rPr>
          <w:rFonts w:ascii="Verdana" w:hAnsi="Verdana" w:cs="Arial"/>
          <w:color w:val="000000" w:themeColor="text1"/>
          <w:sz w:val="20"/>
          <w:szCs w:val="20"/>
          <w:lang w:val="es-ES_tradnl"/>
        </w:rPr>
        <w:t>CIIU, los interesados deben registrar adecuadamente los códigos de sus actividades económicas en el RUES. Lo anterior teniendo en cuenta que son un parámetro para la DIAN en lo relativo al control y determinación de los impuestos y demás obligaciones tributarias, aduaneras y cambiarias</w:t>
      </w:r>
      <w:r w:rsidRPr="00372D18">
        <w:rPr>
          <w:rFonts w:ascii="Verdana" w:hAnsi="Verdana" w:cs="Arial"/>
          <w:color w:val="000000" w:themeColor="text1"/>
          <w:sz w:val="20"/>
          <w:szCs w:val="20"/>
        </w:rPr>
        <w:t>.</w:t>
      </w:r>
    </w:p>
    <w:p w14:paraId="5D251F76" w14:textId="77777777" w:rsidR="00E961DC" w:rsidRPr="00372D18" w:rsidRDefault="00E961DC" w:rsidP="00E961DC">
      <w:pPr>
        <w:tabs>
          <w:tab w:val="left" w:pos="426"/>
        </w:tabs>
        <w:spacing w:line="276" w:lineRule="auto"/>
        <w:contextualSpacing/>
        <w:jc w:val="both"/>
        <w:rPr>
          <w:rFonts w:ascii="Verdana" w:eastAsia="Calibri" w:hAnsi="Verdana" w:cs="Arial"/>
          <w:b/>
          <w:bCs/>
          <w:lang w:eastAsia="es-ES_tradnl"/>
        </w:rPr>
      </w:pPr>
    </w:p>
    <w:p w14:paraId="7434D0E0" w14:textId="77777777" w:rsidR="00E961DC" w:rsidRPr="00372D18" w:rsidRDefault="00E961DC" w:rsidP="00E961DC">
      <w:pPr>
        <w:spacing w:line="276" w:lineRule="auto"/>
        <w:contextualSpacing/>
        <w:jc w:val="both"/>
        <w:rPr>
          <w:rFonts w:ascii="Verdana" w:eastAsia="Calibri" w:hAnsi="Verdana" w:cs="Arial"/>
          <w:b/>
          <w:bCs/>
          <w:lang w:val="es-ES_tradnl" w:eastAsia="es-ES_tradnl"/>
        </w:rPr>
      </w:pPr>
      <w:r w:rsidRPr="00372D18">
        <w:rPr>
          <w:rFonts w:ascii="Verdana" w:eastAsia="Calibri" w:hAnsi="Verdana" w:cs="Arial"/>
          <w:b/>
          <w:bCs/>
          <w:lang w:val="es-ES_tradnl" w:eastAsia="es-ES_tradnl"/>
        </w:rPr>
        <w:t>CAPACIDAD JURÍDICA – Objeto Social determinado – Sociedades por Acciones Simplificadas</w:t>
      </w:r>
    </w:p>
    <w:p w14:paraId="293E0781" w14:textId="77777777" w:rsidR="00E961DC" w:rsidRPr="00372D18" w:rsidRDefault="00E961DC" w:rsidP="00E961DC">
      <w:pPr>
        <w:spacing w:line="276" w:lineRule="auto"/>
        <w:contextualSpacing/>
        <w:jc w:val="both"/>
        <w:rPr>
          <w:rFonts w:ascii="Verdana" w:eastAsia="Calibri" w:hAnsi="Verdana" w:cs="Arial"/>
          <w:b/>
          <w:bCs/>
          <w:lang w:val="es-ES_tradnl" w:eastAsia="es-ES_tradnl"/>
        </w:rPr>
      </w:pPr>
      <w:r w:rsidRPr="00372D18">
        <w:rPr>
          <w:rFonts w:ascii="Verdana" w:eastAsia="Calibri" w:hAnsi="Verdana" w:cs="Arial"/>
          <w:b/>
          <w:bCs/>
          <w:lang w:val="es-ES_tradnl" w:eastAsia="es-ES_tradnl"/>
        </w:rPr>
        <w:t xml:space="preserve"> </w:t>
      </w:r>
    </w:p>
    <w:p w14:paraId="4BB2A984" w14:textId="77777777" w:rsidR="00E961DC" w:rsidRPr="00487121" w:rsidRDefault="00E961DC" w:rsidP="00E961DC">
      <w:pPr>
        <w:spacing w:line="276" w:lineRule="auto"/>
        <w:jc w:val="both"/>
        <w:rPr>
          <w:rFonts w:ascii="Verdana" w:hAnsi="Verdana" w:cs="Arial"/>
          <w:sz w:val="20"/>
          <w:szCs w:val="20"/>
        </w:rPr>
      </w:pPr>
      <w:r w:rsidRPr="00487121">
        <w:rPr>
          <w:rFonts w:ascii="Verdana" w:hAnsi="Verdana" w:cs="Arial"/>
          <w:sz w:val="20"/>
          <w:szCs w:val="20"/>
        </w:rPr>
        <w:t>Cuando el</w:t>
      </w:r>
      <w:r w:rsidRPr="00487121">
        <w:rPr>
          <w:rFonts w:ascii="Verdana" w:eastAsia="Calibri" w:hAnsi="Verdana" w:cs="Arial"/>
          <w:bCs/>
          <w:sz w:val="20"/>
          <w:szCs w:val="20"/>
        </w:rPr>
        <w:t xml:space="preserve"> proponente defina de forma clara, completa y precisa las actividades comerciales sobre las cuales versa su objeto, sin mencionar la posibilidad de realizar otro tipo de actividades de carácter lícito, solo tendrán capacidad para participar en procedimientos de selección y celebrar contratos cuyo objeto se relacione con las actividades definidas en su documento de </w:t>
      </w:r>
      <w:r w:rsidRPr="00487121">
        <w:rPr>
          <w:rFonts w:ascii="Verdana" w:hAnsi="Verdana" w:cs="Arial"/>
          <w:sz w:val="20"/>
          <w:szCs w:val="20"/>
        </w:rPr>
        <w:t>constitución, tal como sucede con otras sociedades comerciales. Ahora bien, sobre este punto vale resaltar que las Entidades Estatales deben verificar que el objeto social de las de las personas jurídicas les permite desarrollar el objeto del contrato, bien porque la actividad está prevista como una actividad del objeto social principal o como una actividad conexa o porque al tratarse de una sociedad por acciones simplificada puede realizar actividades comerciales o civiles.</w:t>
      </w:r>
    </w:p>
    <w:p w14:paraId="2D3480EA" w14:textId="77777777" w:rsidR="00A30A1D" w:rsidRPr="00372D18" w:rsidRDefault="00A30A1D" w:rsidP="00A30A1D">
      <w:pPr>
        <w:tabs>
          <w:tab w:val="left" w:pos="426"/>
        </w:tabs>
        <w:spacing w:line="276" w:lineRule="auto"/>
        <w:contextualSpacing/>
        <w:jc w:val="both"/>
        <w:rPr>
          <w:rFonts w:ascii="Verdana" w:eastAsia="Times New Roman" w:hAnsi="Verdana" w:cs="Arial"/>
          <w:lang w:val="es-ES_tradnl" w:eastAsia="es-MX"/>
        </w:rPr>
      </w:pPr>
    </w:p>
    <w:p w14:paraId="52426753" w14:textId="77777777" w:rsidR="00A30A1D" w:rsidRPr="00372D18" w:rsidRDefault="00A30A1D" w:rsidP="00A30A1D">
      <w:pPr>
        <w:spacing w:after="0" w:line="240" w:lineRule="auto"/>
        <w:rPr>
          <w:rFonts w:ascii="Verdana" w:eastAsia="Geomanist Light" w:hAnsi="Verdana" w:cs="Arial"/>
          <w:lang w:val="es-MX"/>
        </w:rPr>
      </w:pPr>
    </w:p>
    <w:p w14:paraId="727B2FBF" w14:textId="77777777" w:rsidR="00487121" w:rsidRDefault="00487121" w:rsidP="00A30A1D">
      <w:pPr>
        <w:spacing w:after="0" w:line="240" w:lineRule="auto"/>
        <w:rPr>
          <w:rFonts w:ascii="Verdana" w:eastAsia="Geomanist Light" w:hAnsi="Verdana" w:cs="Arial"/>
          <w:lang w:val="es-MX"/>
        </w:rPr>
      </w:pPr>
    </w:p>
    <w:p w14:paraId="146A2233" w14:textId="77777777" w:rsidR="00487121" w:rsidRDefault="00487121" w:rsidP="00A30A1D">
      <w:pPr>
        <w:spacing w:after="0" w:line="240" w:lineRule="auto"/>
        <w:rPr>
          <w:rFonts w:ascii="Verdana" w:eastAsia="Geomanist Light" w:hAnsi="Verdana" w:cs="Arial"/>
          <w:lang w:val="es-MX"/>
        </w:rPr>
      </w:pPr>
    </w:p>
    <w:p w14:paraId="5882BE95" w14:textId="114B64E3" w:rsidR="00A30A1D" w:rsidRPr="00372D18" w:rsidRDefault="00A30A1D" w:rsidP="00A30A1D">
      <w:pPr>
        <w:spacing w:after="0" w:line="240" w:lineRule="auto"/>
        <w:rPr>
          <w:rFonts w:ascii="Verdana" w:eastAsia="Geomanist Light" w:hAnsi="Verdana" w:cs="Arial"/>
          <w:lang w:val="es-MX"/>
        </w:rPr>
      </w:pPr>
      <w:r w:rsidRPr="00372D18">
        <w:rPr>
          <w:rFonts w:ascii="Verdana" w:eastAsia="Geomanist Light" w:hAnsi="Verdana" w:cs="Arial"/>
          <w:lang w:val="es-MX"/>
        </w:rPr>
        <w:lastRenderedPageBreak/>
        <w:t>Bogotá D.C., [Día] de [</w:t>
      </w:r>
      <w:proofErr w:type="spellStart"/>
      <w:r w:rsidRPr="00372D18">
        <w:rPr>
          <w:rFonts w:ascii="Verdana" w:eastAsia="Geomanist Light" w:hAnsi="Verdana" w:cs="Arial"/>
          <w:lang w:val="es-MX"/>
        </w:rPr>
        <w:t>Mes.NombreCapitalizado</w:t>
      </w:r>
      <w:proofErr w:type="spellEnd"/>
      <w:r w:rsidRPr="00372D18">
        <w:rPr>
          <w:rFonts w:ascii="Verdana" w:eastAsia="Geomanist Light" w:hAnsi="Verdana" w:cs="Arial"/>
          <w:lang w:val="es-MX"/>
        </w:rPr>
        <w:t>] de [Año]</w:t>
      </w:r>
    </w:p>
    <w:p w14:paraId="2AD63565" w14:textId="64235097" w:rsidR="00A30A1D" w:rsidRPr="00372D18" w:rsidRDefault="00A30A1D" w:rsidP="00A30A1D">
      <w:pPr>
        <w:spacing w:after="0" w:line="240" w:lineRule="auto"/>
        <w:jc w:val="both"/>
        <w:rPr>
          <w:rFonts w:ascii="Verdana" w:eastAsia="Calibri" w:hAnsi="Verdana" w:cs="Arial"/>
          <w:lang w:val="es-ES"/>
        </w:rPr>
      </w:pPr>
    </w:p>
    <w:p w14:paraId="76CB204E" w14:textId="39D7A824" w:rsidR="00A30A1D" w:rsidRPr="00372D18" w:rsidRDefault="00487121" w:rsidP="00A30A1D">
      <w:pPr>
        <w:spacing w:after="0" w:line="240" w:lineRule="auto"/>
        <w:jc w:val="both"/>
        <w:rPr>
          <w:rFonts w:ascii="Verdana" w:eastAsia="Calibri" w:hAnsi="Verdana" w:cs="Arial"/>
          <w:lang w:val="es-ES" w:eastAsia="es-ES"/>
        </w:rPr>
      </w:pPr>
      <w:r w:rsidRPr="00E961DC">
        <w:rPr>
          <w:rFonts w:ascii="Verdana" w:eastAsia="Calibri" w:hAnsi="Verdana" w:cs="Arial"/>
          <w:noProof/>
          <w:u w:val="single"/>
          <w:lang w:val="es-ES" w:eastAsia="es-ES"/>
        </w:rPr>
        <w:drawing>
          <wp:anchor distT="0" distB="0" distL="114300" distR="114300" simplePos="0" relativeHeight="251658240" behindDoc="1" locked="0" layoutInCell="1" allowOverlap="1" wp14:anchorId="0E5EDCAA" wp14:editId="215A4D83">
            <wp:simplePos x="0" y="0"/>
            <wp:positionH relativeFrom="margin">
              <wp:align>right</wp:align>
            </wp:positionH>
            <wp:positionV relativeFrom="paragraph">
              <wp:posOffset>9028</wp:posOffset>
            </wp:positionV>
            <wp:extent cx="2823845" cy="825500"/>
            <wp:effectExtent l="0" t="0" r="0" b="0"/>
            <wp:wrapSquare wrapText="bothSides"/>
            <wp:docPr id="141222904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29045"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23845" cy="825500"/>
                    </a:xfrm>
                    <a:prstGeom prst="rect">
                      <a:avLst/>
                    </a:prstGeom>
                  </pic:spPr>
                </pic:pic>
              </a:graphicData>
            </a:graphic>
            <wp14:sizeRelH relativeFrom="page">
              <wp14:pctWidth>0</wp14:pctWidth>
            </wp14:sizeRelH>
            <wp14:sizeRelV relativeFrom="page">
              <wp14:pctHeight>0</wp14:pctHeight>
            </wp14:sizeRelV>
          </wp:anchor>
        </w:drawing>
      </w:r>
      <w:r w:rsidR="00A30A1D" w:rsidRPr="00372D18">
        <w:rPr>
          <w:rFonts w:ascii="Verdana" w:eastAsia="Calibri" w:hAnsi="Verdana" w:cs="Arial"/>
          <w:lang w:val="es-ES" w:eastAsia="es-ES"/>
        </w:rPr>
        <w:t>Señora</w:t>
      </w:r>
    </w:p>
    <w:p w14:paraId="69A34E83" w14:textId="04953FF3" w:rsidR="00A30A1D" w:rsidRPr="00372D18" w:rsidRDefault="00A30A1D" w:rsidP="00A30A1D">
      <w:pPr>
        <w:spacing w:after="0" w:line="240" w:lineRule="auto"/>
        <w:rPr>
          <w:rFonts w:ascii="Verdana" w:eastAsia="Calibri" w:hAnsi="Verdana" w:cs="Arial"/>
          <w:b/>
          <w:lang w:val="es-ES_tradnl" w:eastAsia="es-ES_tradnl"/>
        </w:rPr>
      </w:pPr>
      <w:r w:rsidRPr="00372D18">
        <w:rPr>
          <w:rFonts w:ascii="Verdana" w:eastAsia="Calibri" w:hAnsi="Verdana" w:cs="Arial"/>
          <w:b/>
          <w:lang w:val="es-ES_tradnl" w:eastAsia="es-ES_tradnl"/>
        </w:rPr>
        <w:t xml:space="preserve">Vanesa Severini </w:t>
      </w:r>
    </w:p>
    <w:p w14:paraId="3907F34C" w14:textId="00EEF21F" w:rsidR="00A30A1D" w:rsidRPr="00372D18" w:rsidRDefault="00A30A1D" w:rsidP="00A30A1D">
      <w:pPr>
        <w:spacing w:after="0" w:line="240" w:lineRule="auto"/>
        <w:rPr>
          <w:rFonts w:ascii="Verdana" w:eastAsia="Calibri" w:hAnsi="Verdana" w:cs="Arial"/>
          <w:b/>
          <w:lang w:val="es-ES_tradnl" w:eastAsia="es-ES_tradnl"/>
        </w:rPr>
      </w:pPr>
      <w:r w:rsidRPr="00372D18">
        <w:rPr>
          <w:rFonts w:ascii="Verdana" w:eastAsia="Calibri" w:hAnsi="Verdana" w:cs="Arial"/>
          <w:bCs/>
          <w:lang w:val="es-ES_tradnl" w:eastAsia="es-ES_tradnl"/>
        </w:rPr>
        <w:t>MSO Relaciones Públicas</w:t>
      </w:r>
      <w:r w:rsidRPr="00372D18">
        <w:rPr>
          <w:rFonts w:ascii="Verdana" w:eastAsia="Calibri" w:hAnsi="Verdana" w:cs="Arial"/>
          <w:b/>
          <w:lang w:val="es-ES_tradnl" w:eastAsia="es-ES_tradnl"/>
        </w:rPr>
        <w:t xml:space="preserve"> </w:t>
      </w:r>
    </w:p>
    <w:p w14:paraId="010D802F" w14:textId="7FC57425" w:rsidR="00A30A1D" w:rsidRPr="00372D18" w:rsidRDefault="00ED297F" w:rsidP="00A30A1D">
      <w:pPr>
        <w:spacing w:after="0" w:line="240" w:lineRule="auto"/>
        <w:rPr>
          <w:rFonts w:ascii="Verdana" w:eastAsia="Calibri" w:hAnsi="Verdana" w:cs="Arial"/>
          <w:u w:val="single"/>
          <w:lang w:val="es-ES" w:eastAsia="es-ES"/>
        </w:rPr>
      </w:pPr>
      <w:hyperlink r:id="rId12" w:history="1">
        <w:r w:rsidRPr="007D4E6A">
          <w:rPr>
            <w:rStyle w:val="Hipervnculo"/>
            <w:rFonts w:ascii="Verdana" w:eastAsia="Calibri" w:hAnsi="Verdana" w:cs="Arial"/>
            <w:lang w:val="es-ES" w:eastAsia="es-ES"/>
          </w:rPr>
          <w:t>msorelacionespublicas@gmail.com</w:t>
        </w:r>
      </w:hyperlink>
      <w:r>
        <w:rPr>
          <w:rFonts w:ascii="Verdana" w:eastAsia="Calibri" w:hAnsi="Verdana" w:cs="Arial"/>
          <w:u w:val="single"/>
          <w:lang w:val="es-ES" w:eastAsia="es-ES"/>
        </w:rPr>
        <w:t xml:space="preserve"> </w:t>
      </w:r>
    </w:p>
    <w:p w14:paraId="7DFB28D1" w14:textId="77777777" w:rsidR="00A30A1D" w:rsidRPr="00372D18" w:rsidRDefault="00A30A1D" w:rsidP="00A30A1D">
      <w:pPr>
        <w:spacing w:after="0" w:line="240" w:lineRule="auto"/>
        <w:rPr>
          <w:rFonts w:ascii="Verdana" w:eastAsia="Calibri" w:hAnsi="Verdana" w:cs="Arial"/>
          <w:b/>
          <w:bCs/>
          <w:lang w:val="es-ES" w:eastAsia="es-ES"/>
        </w:rPr>
      </w:pPr>
      <w:r w:rsidRPr="00372D18">
        <w:rPr>
          <w:rFonts w:ascii="Verdana" w:eastAsia="Calibri" w:hAnsi="Verdana" w:cs="Arial"/>
          <w:lang w:val="es-ES" w:eastAsia="es-ES"/>
        </w:rPr>
        <w:t>Barranquilla, Atlántico</w:t>
      </w:r>
    </w:p>
    <w:p w14:paraId="2759DE67" w14:textId="77777777" w:rsidR="00A30A1D" w:rsidRPr="00372D18" w:rsidRDefault="00A30A1D" w:rsidP="00A30A1D">
      <w:pPr>
        <w:spacing w:after="0" w:line="240" w:lineRule="auto"/>
        <w:rPr>
          <w:rFonts w:ascii="Verdana" w:eastAsia="Calibri" w:hAnsi="Verdana" w:cs="Arial"/>
          <w:b/>
          <w:bCs/>
          <w:lang w:val="es-ES_tradnl" w:eastAsia="es-ES_tradnl"/>
        </w:rPr>
      </w:pPr>
    </w:p>
    <w:p w14:paraId="3DB5D9D4" w14:textId="77777777" w:rsidR="00A30A1D" w:rsidRPr="00372D18" w:rsidRDefault="00A30A1D" w:rsidP="00A30A1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30A1D" w:rsidRPr="00372D18" w14:paraId="49CADDE6" w14:textId="77777777" w:rsidTr="00D600FA">
        <w:trPr>
          <w:trHeight w:val="74"/>
        </w:trPr>
        <w:tc>
          <w:tcPr>
            <w:tcW w:w="2689" w:type="dxa"/>
          </w:tcPr>
          <w:p w14:paraId="04726DA4" w14:textId="77777777" w:rsidR="00A30A1D" w:rsidRPr="00372D18" w:rsidRDefault="00A30A1D" w:rsidP="00260794">
            <w:pPr>
              <w:jc w:val="both"/>
              <w:rPr>
                <w:rFonts w:ascii="Verdana" w:eastAsia="Calibri" w:hAnsi="Verdana" w:cs="Arial"/>
                <w:b/>
                <w:bCs/>
                <w:lang w:val="es-ES_tradnl" w:eastAsia="es-ES_tradnl"/>
              </w:rPr>
            </w:pPr>
          </w:p>
        </w:tc>
        <w:tc>
          <w:tcPr>
            <w:tcW w:w="6100" w:type="dxa"/>
          </w:tcPr>
          <w:p w14:paraId="6FD50CDC" w14:textId="77777777" w:rsidR="00A30A1D" w:rsidRDefault="00A30A1D" w:rsidP="00260794">
            <w:pPr>
              <w:jc w:val="both"/>
              <w:rPr>
                <w:rFonts w:ascii="Verdana" w:eastAsia="Calibri" w:hAnsi="Verdana" w:cs="Arial"/>
                <w:b/>
                <w:bCs/>
                <w:lang w:val="es-ES" w:eastAsia="es-ES"/>
              </w:rPr>
            </w:pPr>
            <w:r w:rsidRPr="00372D18">
              <w:rPr>
                <w:rFonts w:ascii="Verdana" w:eastAsia="Calibri" w:hAnsi="Verdana" w:cs="Arial"/>
                <w:b/>
                <w:bCs/>
                <w:lang w:val="es-ES" w:eastAsia="es-ES"/>
              </w:rPr>
              <w:t>Concepto C- 926 de 2025</w:t>
            </w:r>
          </w:p>
          <w:p w14:paraId="34E4D4F7" w14:textId="63D17A19" w:rsidR="00A30A1D" w:rsidRPr="00372D18" w:rsidRDefault="00A30A1D" w:rsidP="00260794">
            <w:pPr>
              <w:jc w:val="both"/>
              <w:rPr>
                <w:rFonts w:ascii="Verdana" w:eastAsia="Calibri" w:hAnsi="Verdana" w:cs="Arial"/>
                <w:b/>
                <w:bCs/>
                <w:lang w:val="es-ES" w:eastAsia="es-ES"/>
              </w:rPr>
            </w:pPr>
          </w:p>
        </w:tc>
      </w:tr>
      <w:tr w:rsidR="00A30A1D" w:rsidRPr="00372D18" w14:paraId="69185984" w14:textId="77777777" w:rsidTr="00260794">
        <w:trPr>
          <w:trHeight w:val="884"/>
        </w:trPr>
        <w:tc>
          <w:tcPr>
            <w:tcW w:w="2689" w:type="dxa"/>
          </w:tcPr>
          <w:p w14:paraId="06AF960D" w14:textId="77777777" w:rsidR="00A30A1D" w:rsidRPr="00372D18" w:rsidRDefault="00A30A1D" w:rsidP="00260794">
            <w:pPr>
              <w:jc w:val="both"/>
              <w:rPr>
                <w:rFonts w:ascii="Verdana" w:eastAsia="Calibri" w:hAnsi="Verdana" w:cs="Arial"/>
                <w:lang w:val="es-ES_tradnl" w:eastAsia="es-ES_tradnl"/>
              </w:rPr>
            </w:pPr>
            <w:r w:rsidRPr="00372D18">
              <w:rPr>
                <w:rFonts w:ascii="Verdana" w:eastAsia="Calibri" w:hAnsi="Verdana" w:cs="Arial"/>
                <w:b/>
                <w:lang w:val="es-ES_tradnl" w:eastAsia="es-ES_tradnl"/>
              </w:rPr>
              <w:t>Temas:</w:t>
            </w:r>
            <w:r w:rsidRPr="00372D18">
              <w:rPr>
                <w:rFonts w:ascii="Verdana" w:eastAsia="Calibri" w:hAnsi="Verdana" w:cs="Arial"/>
                <w:lang w:val="es-ES_tradnl" w:eastAsia="es-ES_tradnl"/>
              </w:rPr>
              <w:t xml:space="preserve">                   </w:t>
            </w:r>
          </w:p>
        </w:tc>
        <w:tc>
          <w:tcPr>
            <w:tcW w:w="6100" w:type="dxa"/>
          </w:tcPr>
          <w:p w14:paraId="191C2DDE" w14:textId="174D6171" w:rsidR="00A30A1D" w:rsidRPr="00372D18" w:rsidRDefault="00A30A1D" w:rsidP="00260794">
            <w:pPr>
              <w:spacing w:line="276" w:lineRule="auto"/>
              <w:jc w:val="both"/>
              <w:rPr>
                <w:rFonts w:ascii="Verdana" w:eastAsia="Calibri" w:hAnsi="Verdana" w:cs="Arial"/>
                <w:lang w:val="es-ES" w:eastAsia="es-ES"/>
              </w:rPr>
            </w:pPr>
            <w:r w:rsidRPr="00FB46C6">
              <w:rPr>
                <w:rFonts w:ascii="Verdana" w:eastAsia="Calibri" w:hAnsi="Verdana" w:cs="Arial"/>
                <w:lang w:val="es-ES" w:eastAsia="es-ES"/>
              </w:rPr>
              <w:t xml:space="preserve">PERSONAS JURÍDICAS – Capacidad </w:t>
            </w:r>
            <w:r w:rsidR="009E6EE5">
              <w:rPr>
                <w:rFonts w:ascii="Verdana" w:eastAsia="Calibri" w:hAnsi="Verdana" w:cs="Arial"/>
                <w:lang w:val="es-ES" w:eastAsia="es-ES"/>
              </w:rPr>
              <w:t xml:space="preserve">/ </w:t>
            </w:r>
            <w:r w:rsidR="009E6EE5" w:rsidRPr="00FB46C6">
              <w:rPr>
                <w:rFonts w:ascii="Verdana" w:eastAsia="Calibri" w:hAnsi="Verdana" w:cs="Arial"/>
                <w:lang w:val="es-ES" w:eastAsia="es-ES"/>
              </w:rPr>
              <w:t>PERSONAS JURÍDICAS – Capacidad –</w:t>
            </w:r>
            <w:r w:rsidRPr="00FB46C6">
              <w:rPr>
                <w:rFonts w:ascii="Verdana" w:eastAsia="Calibri" w:hAnsi="Verdana" w:cs="Arial"/>
                <w:lang w:val="es-ES" w:eastAsia="es-ES"/>
              </w:rPr>
              <w:t xml:space="preserve"> Clasificación Industrial Internacional Uniforme – Efectos declarativos</w:t>
            </w:r>
            <w:r w:rsidR="009E6EE5">
              <w:rPr>
                <w:rFonts w:ascii="Verdana" w:eastAsia="Calibri" w:hAnsi="Verdana" w:cs="Arial"/>
                <w:lang w:val="es-ES" w:eastAsia="es-ES"/>
              </w:rPr>
              <w:t xml:space="preserve"> </w:t>
            </w:r>
            <w:r>
              <w:rPr>
                <w:rFonts w:ascii="Verdana" w:eastAsia="Calibri" w:hAnsi="Verdana" w:cs="Arial"/>
                <w:lang w:val="es-ES" w:eastAsia="es-ES"/>
              </w:rPr>
              <w:t>/</w:t>
            </w:r>
            <w:r>
              <w:t xml:space="preserve"> </w:t>
            </w:r>
            <w:r w:rsidRPr="00FB46C6">
              <w:rPr>
                <w:rFonts w:ascii="Verdana" w:eastAsia="Calibri" w:hAnsi="Verdana" w:cs="Arial"/>
                <w:lang w:val="es-ES" w:eastAsia="es-ES"/>
              </w:rPr>
              <w:t>CAPACIDAD JURÍDICA – Objeto Social determinado – Sociedades por Acciones Simplificadas</w:t>
            </w:r>
          </w:p>
        </w:tc>
      </w:tr>
      <w:tr w:rsidR="00A30A1D" w:rsidRPr="00372D18" w14:paraId="31CAE7F0" w14:textId="77777777" w:rsidTr="00260794">
        <w:tc>
          <w:tcPr>
            <w:tcW w:w="2689" w:type="dxa"/>
          </w:tcPr>
          <w:p w14:paraId="662EFBCF" w14:textId="77777777" w:rsidR="00A30A1D" w:rsidRPr="00372D18" w:rsidRDefault="00A30A1D" w:rsidP="00260794">
            <w:pPr>
              <w:jc w:val="both"/>
              <w:rPr>
                <w:rFonts w:ascii="Verdana" w:eastAsia="Calibri" w:hAnsi="Verdana" w:cs="Arial"/>
                <w:b/>
                <w:lang w:val="es-ES_tradnl" w:eastAsia="es-ES_tradnl"/>
              </w:rPr>
            </w:pPr>
            <w:r w:rsidRPr="00372D18">
              <w:rPr>
                <w:rFonts w:ascii="Verdana" w:eastAsia="Calibri" w:hAnsi="Verdana" w:cs="Arial"/>
                <w:b/>
                <w:lang w:val="es-ES_tradnl" w:eastAsia="es-ES_tradnl"/>
              </w:rPr>
              <w:t>Radicación:</w:t>
            </w:r>
            <w:r w:rsidRPr="00372D18">
              <w:rPr>
                <w:rFonts w:ascii="Verdana" w:eastAsia="Calibri" w:hAnsi="Verdana" w:cs="Arial"/>
                <w:lang w:val="es-ES_tradnl" w:eastAsia="es-ES_tradnl"/>
              </w:rPr>
              <w:t xml:space="preserve">               </w:t>
            </w:r>
          </w:p>
        </w:tc>
        <w:tc>
          <w:tcPr>
            <w:tcW w:w="6100" w:type="dxa"/>
          </w:tcPr>
          <w:p w14:paraId="337F32C1" w14:textId="77777777" w:rsidR="00A30A1D" w:rsidRPr="00372D18" w:rsidRDefault="00A30A1D" w:rsidP="00260794">
            <w:pPr>
              <w:jc w:val="both"/>
              <w:rPr>
                <w:rFonts w:ascii="Verdana" w:eastAsia="Calibri" w:hAnsi="Verdana" w:cs="Arial"/>
                <w:lang w:val="es-ES_tradnl" w:eastAsia="es-ES_tradnl"/>
              </w:rPr>
            </w:pPr>
            <w:r w:rsidRPr="00372D18">
              <w:rPr>
                <w:rFonts w:ascii="Verdana" w:eastAsia="Calibri" w:hAnsi="Verdana" w:cs="Arial"/>
                <w:lang w:val="es-ES_tradnl" w:eastAsia="es-ES_tradnl"/>
              </w:rPr>
              <w:t xml:space="preserve">Respuesta a consulta con radicado No. </w:t>
            </w:r>
            <w:r w:rsidRPr="00372D18">
              <w:rPr>
                <w:rFonts w:ascii="Verdana" w:eastAsia="Calibri" w:hAnsi="Verdana" w:cs="Arial"/>
                <w:lang w:eastAsia="es-ES_tradnl"/>
              </w:rPr>
              <w:t>1_2025_07_12_007074</w:t>
            </w:r>
          </w:p>
        </w:tc>
      </w:tr>
    </w:tbl>
    <w:p w14:paraId="5030A326" w14:textId="77777777" w:rsidR="00A30A1D" w:rsidRPr="00372D18" w:rsidRDefault="00A30A1D" w:rsidP="00A30A1D">
      <w:pPr>
        <w:spacing w:after="0" w:line="240" w:lineRule="auto"/>
        <w:jc w:val="both"/>
        <w:rPr>
          <w:rFonts w:ascii="Verdana" w:eastAsia="Calibri" w:hAnsi="Verdana" w:cs="Arial"/>
          <w:lang w:val="es-ES_tradnl" w:eastAsia="es-ES_tradnl"/>
        </w:rPr>
      </w:pPr>
    </w:p>
    <w:p w14:paraId="74EFD526" w14:textId="77777777" w:rsidR="00A30A1D" w:rsidRPr="00372D18" w:rsidRDefault="00A30A1D" w:rsidP="00A30A1D">
      <w:pPr>
        <w:spacing w:after="0" w:line="240" w:lineRule="auto"/>
        <w:jc w:val="both"/>
        <w:rPr>
          <w:rFonts w:ascii="Verdana" w:eastAsia="Calibri" w:hAnsi="Verdana" w:cs="Arial"/>
          <w:lang w:val="es-ES_tradnl" w:eastAsia="es-ES_tradnl"/>
        </w:rPr>
      </w:pPr>
    </w:p>
    <w:p w14:paraId="2FD105AC" w14:textId="77777777" w:rsidR="00A30A1D" w:rsidRPr="00372D18" w:rsidRDefault="00A30A1D" w:rsidP="00A30A1D">
      <w:pPr>
        <w:spacing w:after="0" w:line="276" w:lineRule="auto"/>
        <w:jc w:val="both"/>
        <w:rPr>
          <w:rFonts w:ascii="Verdana" w:eastAsia="Calibri" w:hAnsi="Verdana" w:cs="Arial"/>
          <w:lang w:val="es-ES" w:eastAsia="es-ES"/>
        </w:rPr>
      </w:pPr>
      <w:r w:rsidRPr="00372D18">
        <w:rPr>
          <w:rFonts w:ascii="Verdana" w:eastAsia="Calibri" w:hAnsi="Verdana" w:cs="Arial"/>
          <w:lang w:val="es-ES" w:eastAsia="es-ES"/>
        </w:rPr>
        <w:t xml:space="preserve">Estimada señora Severini: </w:t>
      </w:r>
    </w:p>
    <w:p w14:paraId="00D35C7F" w14:textId="77777777" w:rsidR="00A30A1D" w:rsidRPr="00372D18" w:rsidRDefault="00A30A1D" w:rsidP="00A30A1D">
      <w:pPr>
        <w:tabs>
          <w:tab w:val="left" w:pos="3768"/>
        </w:tabs>
        <w:spacing w:after="0" w:line="276" w:lineRule="auto"/>
        <w:jc w:val="both"/>
        <w:rPr>
          <w:rFonts w:ascii="Verdana" w:eastAsia="Calibri" w:hAnsi="Verdana" w:cs="Arial"/>
          <w:lang w:val="es-ES" w:eastAsia="es-ES"/>
        </w:rPr>
      </w:pPr>
      <w:r w:rsidRPr="00372D18">
        <w:rPr>
          <w:rFonts w:ascii="Verdana" w:eastAsia="Calibri" w:hAnsi="Verdana" w:cs="Arial"/>
          <w:lang w:val="es-ES" w:eastAsia="es-ES"/>
        </w:rPr>
        <w:tab/>
      </w:r>
    </w:p>
    <w:p w14:paraId="479032C7" w14:textId="77777777" w:rsidR="00A30A1D" w:rsidRPr="00372D18" w:rsidRDefault="00A30A1D" w:rsidP="00A30A1D">
      <w:pPr>
        <w:spacing w:after="0" w:line="276" w:lineRule="auto"/>
        <w:jc w:val="both"/>
        <w:rPr>
          <w:rFonts w:ascii="Verdana" w:eastAsia="Calibri" w:hAnsi="Verdana" w:cs="Arial"/>
          <w:lang w:val="es-ES" w:eastAsia="es-ES"/>
        </w:rPr>
      </w:pPr>
      <w:r w:rsidRPr="00372D18">
        <w:rPr>
          <w:rFonts w:ascii="Verdana" w:eastAsia="Calibri" w:hAnsi="Verdana" w:cs="Arial"/>
          <w:lang w:val="es-ES" w:eastAsia="es-ES"/>
        </w:rPr>
        <w:t>En ejercicio de la competencia otorgada por los artículos 3, numeral 5º, y 11, numeral 8º, del Decreto Ley 4170 de 2011,</w:t>
      </w:r>
      <w:r w:rsidRPr="00372D18">
        <w:rPr>
          <w:rFonts w:ascii="Verdana" w:eastAsia="Arial MT" w:hAnsi="Verdana" w:cs="Arial MT"/>
          <w:lang w:val="es-ES" w:eastAsia="es-ES"/>
        </w:rPr>
        <w:t xml:space="preserve"> </w:t>
      </w:r>
      <w:r w:rsidRPr="00372D18">
        <w:rPr>
          <w:rFonts w:ascii="Verdana" w:hAnsi="Verdana" w:cs="Arial"/>
        </w:rPr>
        <w:t xml:space="preserve">así como lo establecido en el artículo 4 de la Resolución 1707 de 2018 expedida por esta Entidad, </w:t>
      </w:r>
      <w:r w:rsidRPr="00372D18">
        <w:rPr>
          <w:rFonts w:ascii="Verdana" w:eastAsia="Calibri" w:hAnsi="Verdana" w:cs="Arial"/>
          <w:lang w:val="es-ES" w:eastAsia="es-ES"/>
        </w:rPr>
        <w:t xml:space="preserve">la Agencia Nacional de Contratación Pública – Colombia Compra Eficiente– responde su solicitud de consulta de fecha 12 de julio de 2025, en la cual manifiesta lo siguiente: </w:t>
      </w:r>
    </w:p>
    <w:p w14:paraId="01F8D071" w14:textId="77777777" w:rsidR="00A30A1D" w:rsidRPr="00372D18" w:rsidRDefault="00A30A1D" w:rsidP="00D600F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B3774DE"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bookmarkStart w:id="0" w:name="_Hlk95313578"/>
      <w:r w:rsidRPr="00D600FA">
        <w:rPr>
          <w:rFonts w:ascii="Verdana" w:eastAsia="Century Gothic" w:hAnsi="Verdana" w:cs="Century Gothic"/>
          <w:sz w:val="20"/>
          <w:szCs w:val="20"/>
          <w:lang w:val="es-ES"/>
        </w:rPr>
        <w:t>“… ¿Debemos entender que, si se trata de una sociedad por acciones simplificada, ella puede ejecutar cualquier actividad lícita y por ningún motivo se puede interpretar su objeto o actividades principales incluidas en él, como un límite perentorio para su actividad?”</w:t>
      </w:r>
    </w:p>
    <w:p w14:paraId="4A7A2418"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p>
    <w:p w14:paraId="4AC78B21"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r w:rsidRPr="00D600FA">
        <w:rPr>
          <w:rFonts w:ascii="Verdana" w:eastAsia="Century Gothic" w:hAnsi="Verdana" w:cs="Century Gothic"/>
          <w:sz w:val="20"/>
          <w:szCs w:val="20"/>
          <w:lang w:val="es-ES"/>
        </w:rPr>
        <w:t>“No sería necesario modificar el objeto social de la sociedad, si de acuerdo con la lectura de esta disposición, la inclusión de actividades es más a manera de ejemplo, que como un límite a la acción de la sociedad”</w:t>
      </w:r>
    </w:p>
    <w:p w14:paraId="643145BB"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p>
    <w:p w14:paraId="514D017B"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r w:rsidRPr="00D600FA">
        <w:rPr>
          <w:rFonts w:ascii="Verdana" w:eastAsia="Century Gothic" w:hAnsi="Verdana" w:cs="Century Gothic"/>
          <w:sz w:val="20"/>
          <w:szCs w:val="20"/>
          <w:lang w:val="es-ES"/>
        </w:rPr>
        <w:t xml:space="preserve">¿Es jurídicamente exigible, en los términos de la Ley 1258 de 2008, artículo 5 </w:t>
      </w:r>
      <w:proofErr w:type="spellStart"/>
      <w:r w:rsidRPr="00D600FA">
        <w:rPr>
          <w:rFonts w:ascii="Verdana" w:eastAsia="Century Gothic" w:hAnsi="Verdana" w:cs="Century Gothic"/>
          <w:sz w:val="20"/>
          <w:szCs w:val="20"/>
          <w:lang w:val="es-ES"/>
        </w:rPr>
        <w:t>num</w:t>
      </w:r>
      <w:proofErr w:type="spellEnd"/>
      <w:r w:rsidRPr="00D600FA">
        <w:rPr>
          <w:rFonts w:ascii="Verdana" w:eastAsia="Century Gothic" w:hAnsi="Verdana" w:cs="Century Gothic"/>
          <w:sz w:val="20"/>
          <w:szCs w:val="20"/>
          <w:lang w:val="es-ES"/>
        </w:rPr>
        <w:t xml:space="preserve"> 5 (régimen de las SAS), que el objeto social de una SAS contenga de forma expresa y literal cada una de las actividades contenidas en el objeto contractual de un proceso de contratación estatal, aun cuando la empresa haya acreditado experiencia, capacidad y </w:t>
      </w:r>
      <w:proofErr w:type="gramStart"/>
      <w:r w:rsidRPr="00D600FA">
        <w:rPr>
          <w:rFonts w:ascii="Verdana" w:eastAsia="Century Gothic" w:hAnsi="Verdana" w:cs="Century Gothic"/>
          <w:sz w:val="20"/>
          <w:szCs w:val="20"/>
          <w:lang w:val="es-ES"/>
        </w:rPr>
        <w:t>cumplimiento?.</w:t>
      </w:r>
      <w:proofErr w:type="gramEnd"/>
      <w:r w:rsidRPr="00D600FA">
        <w:rPr>
          <w:rFonts w:ascii="Verdana" w:eastAsia="Century Gothic" w:hAnsi="Verdana" w:cs="Century Gothic"/>
          <w:sz w:val="20"/>
          <w:szCs w:val="20"/>
          <w:lang w:val="es-ES"/>
        </w:rPr>
        <w:t xml:space="preserve"> </w:t>
      </w:r>
    </w:p>
    <w:p w14:paraId="123EB0C4"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p>
    <w:p w14:paraId="198B6675"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r w:rsidRPr="00D600FA">
        <w:rPr>
          <w:rFonts w:ascii="Verdana" w:eastAsia="Century Gothic" w:hAnsi="Verdana" w:cs="Century Gothic"/>
          <w:sz w:val="20"/>
          <w:szCs w:val="20"/>
          <w:lang w:val="es-ES"/>
        </w:rPr>
        <w:t xml:space="preserve">¿La manifestación general contenida en muchos objetos sociales de SAS (“y cualquier otra actividad lícita de comercio” o “podrá celebrar contratos civiles y mercantiles en todas sus manifestaciones y ejecutar todos los actos relacionados directa o indirectamente con los fines que se propone desarrollar” o “actividades conexas y complementarias”) es válida a efectos de aplicar lo establecido en el artículo 5 que especifica que puede desarrollar cualquier actividad lícita? que la sociedad puede ejecutar una actividad contractual específica?, </w:t>
      </w:r>
    </w:p>
    <w:p w14:paraId="23747CB0"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p>
    <w:p w14:paraId="46E025A2" w14:textId="77777777" w:rsidR="00A30A1D" w:rsidRPr="00D600FA" w:rsidRDefault="00A30A1D" w:rsidP="00A30A1D">
      <w:pPr>
        <w:spacing w:after="0" w:line="240" w:lineRule="auto"/>
        <w:ind w:left="709" w:right="709"/>
        <w:jc w:val="both"/>
        <w:rPr>
          <w:rFonts w:ascii="Verdana" w:eastAsia="Century Gothic" w:hAnsi="Verdana" w:cs="Century Gothic"/>
          <w:sz w:val="20"/>
          <w:szCs w:val="20"/>
          <w:lang w:val="es-ES"/>
        </w:rPr>
      </w:pPr>
      <w:r w:rsidRPr="00D600FA">
        <w:rPr>
          <w:rFonts w:ascii="Verdana" w:eastAsia="Century Gothic" w:hAnsi="Verdana" w:cs="Century Gothic"/>
          <w:sz w:val="20"/>
          <w:szCs w:val="20"/>
          <w:lang w:val="es-ES"/>
        </w:rPr>
        <w:t>¿Es procedente que una entidad estatal descarte una propuesta con fundamento exclusivo en la interpretación y limitación del objeto social siendo SAS?”</w:t>
      </w:r>
      <w:bookmarkEnd w:id="0"/>
      <w:r w:rsidRPr="00D600FA">
        <w:rPr>
          <w:rFonts w:ascii="Verdana" w:eastAsia="Century Gothic" w:hAnsi="Verdana" w:cs="Century Gothic"/>
          <w:sz w:val="20"/>
          <w:szCs w:val="20"/>
          <w:lang w:val="es-ES"/>
        </w:rPr>
        <w:t>.</w:t>
      </w:r>
    </w:p>
    <w:p w14:paraId="20108C73" w14:textId="77777777" w:rsidR="00A30A1D" w:rsidRPr="00372D18" w:rsidRDefault="00A30A1D" w:rsidP="00D600F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5E8CE07" w14:textId="15C88ED8" w:rsidR="00A30A1D" w:rsidRPr="00372D18" w:rsidRDefault="00A30A1D" w:rsidP="00A30A1D">
      <w:pPr>
        <w:spacing w:after="120" w:line="276" w:lineRule="auto"/>
        <w:ind w:firstLine="709"/>
        <w:jc w:val="both"/>
        <w:rPr>
          <w:rFonts w:ascii="Verdana" w:eastAsia="Calibri" w:hAnsi="Verdana" w:cs="Arial"/>
          <w:szCs w:val="24"/>
          <w:lang w:val="es-ES_tradnl" w:eastAsia="es-ES_tradnl"/>
        </w:rPr>
      </w:pPr>
      <w:r w:rsidRPr="00372D1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6E48EE">
        <w:rPr>
          <w:rFonts w:ascii="Verdana" w:eastAsia="Calibri" w:hAnsi="Verdana" w:cs="Arial"/>
          <w:lang w:val="es-ES" w:eastAsia="es-ES"/>
        </w:rPr>
        <w:t xml:space="preserve">la Agencia Nacional de Contratación Pública – </w:t>
      </w:r>
      <w:r w:rsidRPr="00372D18">
        <w:rPr>
          <w:rFonts w:ascii="Verdana" w:eastAsia="Calibri" w:hAnsi="Verdana" w:cs="Arial"/>
          <w:lang w:val="es-ES" w:eastAsia="es-ES"/>
        </w:rPr>
        <w:t>Colombia</w:t>
      </w:r>
      <w:r w:rsidR="006E48EE">
        <w:rPr>
          <w:rFonts w:ascii="Verdana" w:eastAsia="Calibri" w:hAnsi="Verdana" w:cs="Arial"/>
          <w:lang w:val="es-ES" w:eastAsia="es-ES"/>
        </w:rPr>
        <w:t xml:space="preserve"> </w:t>
      </w:r>
      <w:r w:rsidRPr="00372D18">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72D18">
        <w:rPr>
          <w:rFonts w:ascii="Verdana" w:eastAsia="Calibri" w:hAnsi="Verdana" w:cs="Arial"/>
          <w:szCs w:val="24"/>
          <w:lang w:val="es-ES_tradnl" w:eastAsia="es-ES_tradnl"/>
        </w:rPr>
        <w:tab/>
      </w:r>
    </w:p>
    <w:p w14:paraId="3F34A980" w14:textId="77777777" w:rsidR="00A30A1D" w:rsidRPr="00372D18" w:rsidRDefault="00A30A1D" w:rsidP="00A30A1D">
      <w:pPr>
        <w:spacing w:after="0" w:line="276" w:lineRule="auto"/>
        <w:ind w:firstLine="709"/>
        <w:jc w:val="both"/>
        <w:rPr>
          <w:rFonts w:ascii="Verdana" w:eastAsia="Calibri" w:hAnsi="Verdana" w:cs="Arial"/>
          <w:lang w:val="es-ES" w:eastAsia="es-ES"/>
        </w:rPr>
      </w:pPr>
      <w:r w:rsidRPr="00372D1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2576DDD" w14:textId="77777777" w:rsidR="00A30A1D" w:rsidRPr="00372D18" w:rsidRDefault="00A30A1D" w:rsidP="00A30A1D">
      <w:pPr>
        <w:spacing w:after="0" w:line="276" w:lineRule="auto"/>
        <w:ind w:firstLine="709"/>
        <w:jc w:val="both"/>
        <w:rPr>
          <w:rFonts w:ascii="Verdana" w:eastAsia="Calibri" w:hAnsi="Verdana" w:cs="Arial"/>
          <w:lang w:val="es-ES" w:eastAsia="es-ES"/>
        </w:rPr>
      </w:pPr>
    </w:p>
    <w:p w14:paraId="4F1E935F" w14:textId="77777777" w:rsidR="00A30A1D" w:rsidRPr="00372D18" w:rsidRDefault="00A30A1D" w:rsidP="00A30A1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72D18">
        <w:rPr>
          <w:rFonts w:ascii="Verdana" w:eastAsia="Century Gothic" w:hAnsi="Verdana" w:cs="Century Gothic"/>
          <w:b/>
          <w:bCs/>
        </w:rPr>
        <w:t>Problema planteado:</w:t>
      </w:r>
    </w:p>
    <w:p w14:paraId="6308866A" w14:textId="77777777" w:rsidR="00A30A1D" w:rsidRPr="00372D18" w:rsidRDefault="00A30A1D" w:rsidP="00A30A1D">
      <w:pPr>
        <w:tabs>
          <w:tab w:val="left" w:pos="426"/>
        </w:tabs>
        <w:spacing w:after="0" w:line="276" w:lineRule="auto"/>
        <w:jc w:val="both"/>
        <w:rPr>
          <w:rFonts w:ascii="Verdana" w:eastAsia="Century Gothic" w:hAnsi="Verdana" w:cs="Century Gothic"/>
          <w:lang w:val="es-ES"/>
        </w:rPr>
      </w:pPr>
    </w:p>
    <w:p w14:paraId="591987B8" w14:textId="6C9662F3" w:rsidR="00A30A1D" w:rsidRPr="00372D18" w:rsidRDefault="00A30A1D" w:rsidP="00A30A1D">
      <w:pPr>
        <w:spacing w:after="0" w:line="276" w:lineRule="auto"/>
        <w:jc w:val="both"/>
        <w:rPr>
          <w:rFonts w:ascii="Verdana" w:eastAsia="Century Gothic" w:hAnsi="Verdana" w:cs="Century Gothic"/>
        </w:rPr>
      </w:pPr>
      <w:r w:rsidRPr="00372D18">
        <w:rPr>
          <w:rFonts w:ascii="Verdana" w:eastAsia="Century Gothic" w:hAnsi="Verdana" w:cs="Century Gothic"/>
        </w:rPr>
        <w:t xml:space="preserve">De acuerdo con el contenido de su solicitud, esta Agencia resolverá el siguiente problema jurídico: ¿Debe entenderse que una sociedad por acciones simplificada </w:t>
      </w:r>
      <w:r w:rsidR="000E2E28">
        <w:rPr>
          <w:rFonts w:ascii="Verdana" w:eastAsia="Century Gothic" w:hAnsi="Verdana" w:cs="Century Gothic"/>
        </w:rPr>
        <w:t xml:space="preserve">– en adelante </w:t>
      </w:r>
      <w:r w:rsidRPr="00372D18">
        <w:rPr>
          <w:rFonts w:ascii="Verdana" w:eastAsia="Century Gothic" w:hAnsi="Verdana" w:cs="Century Gothic"/>
        </w:rPr>
        <w:t xml:space="preserve">SAS </w:t>
      </w:r>
      <w:r w:rsidR="000E2E28">
        <w:rPr>
          <w:rFonts w:ascii="Verdana" w:eastAsia="Century Gothic" w:hAnsi="Verdana" w:cs="Century Gothic"/>
        </w:rPr>
        <w:t xml:space="preserve">– </w:t>
      </w:r>
      <w:r w:rsidRPr="00372D18">
        <w:rPr>
          <w:rFonts w:ascii="Verdana" w:eastAsia="Century Gothic" w:hAnsi="Verdana" w:cs="Century Gothic"/>
        </w:rPr>
        <w:t>puede</w:t>
      </w:r>
      <w:r w:rsidR="000E2E28">
        <w:rPr>
          <w:rFonts w:ascii="Verdana" w:eastAsia="Century Gothic" w:hAnsi="Verdana" w:cs="Century Gothic"/>
        </w:rPr>
        <w:t xml:space="preserve"> </w:t>
      </w:r>
      <w:r w:rsidRPr="00372D18">
        <w:rPr>
          <w:rFonts w:ascii="Verdana" w:eastAsia="Century Gothic" w:hAnsi="Verdana" w:cs="Century Gothic"/>
        </w:rPr>
        <w:t xml:space="preserve">ejecutar cualquier actividad lícita y que las actividades previstas en su objeto social no constituyen un límite estricto a su capacidad jurídica? En ese contexto, ¿es exigible, conforme al artículo 5, numeral </w:t>
      </w:r>
      <w:r w:rsidRPr="00372D18">
        <w:rPr>
          <w:rFonts w:ascii="Verdana" w:eastAsia="Century Gothic" w:hAnsi="Verdana" w:cs="Century Gothic"/>
        </w:rPr>
        <w:lastRenderedPageBreak/>
        <w:t xml:space="preserve">5, de la Ley 1258 de 2008, que el objeto social contenga de forma expresa y literal cada actividad del objeto contractual, o son válidas cláusulas generales como “cualquier actividad lícita de comercio” o “actividades conexas y complementarias” para acreditar dicha capacidad? Finalmente, ¿puede una </w:t>
      </w:r>
      <w:r w:rsidR="006E1AE2" w:rsidRPr="00372D18">
        <w:rPr>
          <w:rFonts w:ascii="Verdana" w:eastAsia="Century Gothic" w:hAnsi="Verdana" w:cs="Century Gothic"/>
        </w:rPr>
        <w:t>Entidad Estatal</w:t>
      </w:r>
      <w:r w:rsidRPr="00372D18">
        <w:rPr>
          <w:rFonts w:ascii="Verdana" w:eastAsia="Century Gothic" w:hAnsi="Verdana" w:cs="Century Gothic"/>
        </w:rPr>
        <w:t xml:space="preserve"> rechazar una oferta de una SAS con fundamento exclusivo en la interpretación restrictiva de su objeto social? </w:t>
      </w:r>
    </w:p>
    <w:p w14:paraId="4378774F" w14:textId="77777777" w:rsidR="00A30A1D" w:rsidRPr="00372D18" w:rsidRDefault="00A30A1D" w:rsidP="00A30A1D">
      <w:pPr>
        <w:spacing w:after="0" w:line="276" w:lineRule="auto"/>
        <w:jc w:val="both"/>
        <w:rPr>
          <w:rFonts w:ascii="Verdana" w:eastAsia="Calibri" w:hAnsi="Verdana" w:cs="Arial"/>
          <w:lang w:val="es-ES"/>
        </w:rPr>
      </w:pPr>
    </w:p>
    <w:p w14:paraId="7F85E6E4" w14:textId="77777777" w:rsidR="00A30A1D" w:rsidRPr="00372D18" w:rsidRDefault="00A30A1D" w:rsidP="00A30A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72D18">
        <w:rPr>
          <w:rFonts w:ascii="Verdana" w:eastAsia="Century Gothic" w:hAnsi="Verdana" w:cs="Century Gothic"/>
          <w:b/>
          <w:bCs/>
        </w:rPr>
        <w:t>Respuesta:</w:t>
      </w:r>
    </w:p>
    <w:p w14:paraId="4EF7A6D3" w14:textId="77777777" w:rsidR="00A30A1D" w:rsidRPr="00372D18" w:rsidRDefault="00A30A1D" w:rsidP="00A30A1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0A1D" w:rsidRPr="00372D18" w14:paraId="4A7BEB08" w14:textId="77777777" w:rsidTr="00260794">
        <w:tc>
          <w:tcPr>
            <w:tcW w:w="8828" w:type="dxa"/>
          </w:tcPr>
          <w:p w14:paraId="0DC7B902" w14:textId="7C1885A5" w:rsidR="00A30A1D" w:rsidRPr="00372D18" w:rsidRDefault="00A30A1D" w:rsidP="00D600FA">
            <w:pPr>
              <w:spacing w:after="120" w:line="276" w:lineRule="auto"/>
              <w:jc w:val="both"/>
              <w:rPr>
                <w:rFonts w:ascii="Verdana" w:eastAsia="Calibri" w:hAnsi="Verdana" w:cs="Arial"/>
              </w:rPr>
            </w:pPr>
            <w:r w:rsidRPr="00372D18">
              <w:rPr>
                <w:rFonts w:ascii="Verdana" w:eastAsia="Calibri" w:hAnsi="Verdana" w:cs="Arial"/>
              </w:rPr>
              <w:t xml:space="preserve">De acuerdo con la Ley 1258 de 2008, artículo 5, numeral 5, el documento de constitución de una </w:t>
            </w:r>
            <w:r w:rsidR="009E6EE5" w:rsidRPr="00372D18">
              <w:rPr>
                <w:rFonts w:ascii="Verdana" w:eastAsia="Calibri" w:hAnsi="Verdana" w:cs="Arial"/>
              </w:rPr>
              <w:t>Sociedad</w:t>
            </w:r>
            <w:r w:rsidRPr="00372D18">
              <w:rPr>
                <w:rFonts w:ascii="Verdana" w:eastAsia="Calibri" w:hAnsi="Verdana" w:cs="Arial"/>
              </w:rPr>
              <w:t xml:space="preserve"> por </w:t>
            </w:r>
            <w:r w:rsidR="009E6EE5" w:rsidRPr="00372D18">
              <w:rPr>
                <w:rFonts w:ascii="Verdana" w:eastAsia="Calibri" w:hAnsi="Verdana" w:cs="Arial"/>
              </w:rPr>
              <w:t>Acciones Simplificada</w:t>
            </w:r>
            <w:r w:rsidRPr="00372D18">
              <w:rPr>
                <w:rFonts w:ascii="Verdana" w:eastAsia="Calibri" w:hAnsi="Verdana" w:cs="Arial"/>
              </w:rPr>
              <w:t xml:space="preserve"> (SAS) debe contener una enunciación clara y completa de sus actividades principales, a menos que se exprese que la sociedad podrá realizar cualquier actividad comercial o civil lícita, o que nada se indique al respecto, en cuyo caso la ley presume que podrá ejecutar cualquier actividad lícita. </w:t>
            </w:r>
          </w:p>
          <w:p w14:paraId="29B9F77C" w14:textId="18C8BEB7" w:rsidR="00A30A1D" w:rsidRPr="00372D18" w:rsidRDefault="00A30A1D" w:rsidP="00D600FA">
            <w:pPr>
              <w:spacing w:after="120" w:line="276" w:lineRule="auto"/>
              <w:ind w:firstLine="709"/>
              <w:jc w:val="both"/>
              <w:rPr>
                <w:rFonts w:ascii="Verdana" w:eastAsia="Calibri" w:hAnsi="Verdana" w:cs="Arial"/>
              </w:rPr>
            </w:pPr>
            <w:r w:rsidRPr="00372D18">
              <w:rPr>
                <w:rFonts w:ascii="Verdana" w:eastAsia="Calibri" w:hAnsi="Verdana" w:cs="Arial"/>
              </w:rPr>
              <w:t xml:space="preserve">Así, cuando el objeto social de la SAS es indeterminado, ya sea porque incluye la cláusula de “cualquier actividad lícita” o porque guarda silencio, la sociedad cuenta con capacidad jurídica para desarrollar cualquier actividad contractual lícita, sin que las actividades enumeradas en el objeto se interpreten como un límite absoluto. En cambio, si el objeto social es determinado, esto es, si se señalan de forma precisa las actividades a desarrollar sin incluir la cláusula de amplitud, la capacidad jurídica de la sociedad se restringe a dichas actividades y a las conexas, de modo que la </w:t>
            </w:r>
            <w:r w:rsidR="006E1AE2" w:rsidRPr="00372D18">
              <w:rPr>
                <w:rFonts w:ascii="Verdana" w:eastAsia="Calibri" w:hAnsi="Verdana" w:cs="Arial"/>
              </w:rPr>
              <w:t>Entidad Estatal</w:t>
            </w:r>
            <w:r w:rsidRPr="00372D18">
              <w:rPr>
                <w:rFonts w:ascii="Verdana" w:eastAsia="Calibri" w:hAnsi="Verdana" w:cs="Arial"/>
              </w:rPr>
              <w:t xml:space="preserve"> podría rechazar la oferta si el objeto contractual no guarda relación con ellas. </w:t>
            </w:r>
          </w:p>
          <w:p w14:paraId="76F29F25" w14:textId="1BA33D87" w:rsidR="00A30A1D" w:rsidRPr="00372D18" w:rsidRDefault="00A30A1D" w:rsidP="00D600FA">
            <w:pPr>
              <w:spacing w:after="120" w:line="276" w:lineRule="auto"/>
              <w:ind w:firstLine="709"/>
              <w:jc w:val="both"/>
              <w:rPr>
                <w:rFonts w:ascii="Verdana" w:eastAsia="Calibri" w:hAnsi="Verdana" w:cs="Arial"/>
              </w:rPr>
            </w:pPr>
            <w:r w:rsidRPr="00FB46C6">
              <w:rPr>
                <w:rFonts w:ascii="Verdana" w:eastAsia="Calibri" w:hAnsi="Verdana" w:cs="Arial"/>
              </w:rPr>
              <w:t xml:space="preserve">La normativa aplicable no exige de forma estricta que el objeto social incluya, de manera expresa y literal, cada una de las actividades que integran el objeto contractual. Lo relevante es que, a partir de su redacción, pueda establecerse que la sociedad está facultada para ejecutarlo, ya sea porque la actividad se encuentre prevista como principal, conexa o complementaria, o porque se trate de una SAS con objeto indeterminado. En este sentido, cláusulas de alcance general como “podrá realizar cualquier actividad lícita de comercio”, “podrá celebrar contratos civiles y mercantiles en todas sus manifestaciones” o “actividades conexas y complementarias” pueden ser suficientes para los efectos previstos en la Ley 1258 de 2008, siempre que otorguen la capacidad para participar en el proceso de contratación y se </w:t>
            </w:r>
            <w:r w:rsidRPr="00FB46C6">
              <w:rPr>
                <w:rFonts w:ascii="Verdana" w:eastAsia="Calibri" w:hAnsi="Verdana" w:cs="Arial"/>
              </w:rPr>
              <w:lastRenderedPageBreak/>
              <w:t>cumplan los demás requisitos habilitantes, tales como experiencia, capacidad financiera y organizacional.</w:t>
            </w:r>
          </w:p>
          <w:p w14:paraId="527AAEE6" w14:textId="73305BA9" w:rsidR="00A30A1D" w:rsidRPr="00372D18" w:rsidRDefault="00A30A1D" w:rsidP="00D600FA">
            <w:pPr>
              <w:spacing w:after="120" w:line="276" w:lineRule="auto"/>
              <w:ind w:firstLine="709"/>
              <w:jc w:val="both"/>
              <w:rPr>
                <w:rFonts w:ascii="Verdana" w:eastAsia="Calibri" w:hAnsi="Verdana" w:cs="Arial"/>
              </w:rPr>
            </w:pPr>
            <w:r w:rsidRPr="00372D18">
              <w:rPr>
                <w:rFonts w:ascii="Verdana" w:eastAsia="Calibri" w:hAnsi="Verdana" w:cs="Arial"/>
              </w:rPr>
              <w:t xml:space="preserve">Por tanto, no resulta procedente que una </w:t>
            </w:r>
            <w:r w:rsidR="006E1AE2" w:rsidRPr="00372D18">
              <w:rPr>
                <w:rFonts w:ascii="Verdana" w:eastAsia="Calibri" w:hAnsi="Verdana" w:cs="Arial"/>
              </w:rPr>
              <w:t>Entidad Estatal</w:t>
            </w:r>
            <w:r w:rsidRPr="00372D18">
              <w:rPr>
                <w:rFonts w:ascii="Verdana" w:eastAsia="Calibri" w:hAnsi="Verdana" w:cs="Arial"/>
              </w:rPr>
              <w:t xml:space="preserve"> descarte la propuesta de una SAS con objeto social indeterminado por supuesta falta de relación con el contrato, dado que la ley le reconoce capacidad para ejecutar cualquier actividad lícita. El rechazo por este motivo solo sería posible si el objeto social es determinado y no incluye la actividad o actividades conexas necesarias para el contrato, y siempre que la exigencia haya sido definida y justificada objetivamente en los estudios previos y en los pliegos de condiciones. En todo caso, la verificación de la experiencia es un requisito independiente de la capacidad jurídica, por lo que acreditar esta última no suple la obligación de demostrar la experiencia mínima exigida para el desarrollo del objeto contractual.</w:t>
            </w:r>
          </w:p>
          <w:p w14:paraId="273229D7" w14:textId="040BA6A1" w:rsidR="00A30A1D" w:rsidRPr="00372D18" w:rsidRDefault="00A30A1D" w:rsidP="00D600FA">
            <w:pPr>
              <w:spacing w:after="120" w:line="276" w:lineRule="auto"/>
              <w:ind w:firstLine="709"/>
              <w:jc w:val="both"/>
              <w:rPr>
                <w:rFonts w:ascii="Verdana" w:eastAsia="Calibri" w:hAnsi="Verdana" w:cs="Arial"/>
              </w:rPr>
            </w:pPr>
            <w:r w:rsidRPr="00372D18">
              <w:rPr>
                <w:rFonts w:ascii="Verdana" w:eastAsia="Calibri" w:hAnsi="Verdana" w:cs="Arial"/>
              </w:rPr>
              <w:t>Finalmente, cuando una SAS cuenta con un objeto social indeterminado, podría entenderse que dispone de capacidad para ejecutar cualquier actividad lícita, lo que llevaría a que, en tales casos, la falta de coincidencia específica entre su objeto social y el objeto contractual no sea, por sí sola, un motivo suficiente para descartar su propuesta. No obstante, si el objeto social es determinado y no incluye la actividad o actividades conexas necesarias para el contrato, la entidad podría valorar esa circunstancia como un aspecto relevante, especialmente cuando la exigencia se haya definido y justificado en los estudios previos y en los pliegos de condiciones. En cualquier caso, la acreditación de la capacidad jurídica es independiente de la experiencia, por lo que esta última debe verificarse de acuerdo con los requisitos establecidos para el desarrollo del objeto contractual.</w:t>
            </w:r>
          </w:p>
        </w:tc>
      </w:tr>
    </w:tbl>
    <w:p w14:paraId="78964E15" w14:textId="77777777" w:rsidR="00A30A1D" w:rsidRPr="00372D18" w:rsidRDefault="00A30A1D" w:rsidP="00A30A1D">
      <w:pPr>
        <w:tabs>
          <w:tab w:val="left" w:pos="142"/>
          <w:tab w:val="left" w:pos="284"/>
        </w:tabs>
        <w:spacing w:after="0" w:line="276" w:lineRule="auto"/>
        <w:jc w:val="both"/>
        <w:rPr>
          <w:rFonts w:ascii="Verdana" w:eastAsia="Century Gothic" w:hAnsi="Verdana" w:cs="Century Gothic"/>
          <w:b/>
          <w:bCs/>
          <w:lang w:val="es-ES"/>
        </w:rPr>
      </w:pPr>
    </w:p>
    <w:p w14:paraId="393E8499" w14:textId="77777777" w:rsidR="00A30A1D" w:rsidRPr="00372D18" w:rsidRDefault="00A30A1D" w:rsidP="00A30A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72D18">
        <w:rPr>
          <w:rFonts w:ascii="Verdana" w:eastAsia="Century Gothic" w:hAnsi="Verdana" w:cs="Century Gothic"/>
          <w:b/>
          <w:bCs/>
        </w:rPr>
        <w:t>Razones de la respuesta:</w:t>
      </w:r>
    </w:p>
    <w:p w14:paraId="2E71BCEC" w14:textId="77777777" w:rsidR="00A30A1D" w:rsidRPr="00372D18" w:rsidRDefault="00A30A1D" w:rsidP="00A30A1D">
      <w:pPr>
        <w:spacing w:after="0" w:line="276" w:lineRule="auto"/>
        <w:jc w:val="both"/>
        <w:rPr>
          <w:rFonts w:ascii="Verdana" w:eastAsia="Calibri" w:hAnsi="Verdana" w:cs="Arial"/>
          <w:lang w:val="es-ES"/>
        </w:rPr>
      </w:pPr>
    </w:p>
    <w:p w14:paraId="5C696D51" w14:textId="77777777" w:rsidR="00A30A1D" w:rsidRPr="00372D18" w:rsidRDefault="00A30A1D" w:rsidP="00A30A1D">
      <w:pPr>
        <w:spacing w:after="0" w:line="276" w:lineRule="auto"/>
        <w:jc w:val="both"/>
        <w:rPr>
          <w:rFonts w:ascii="Verdana" w:eastAsia="Calibri" w:hAnsi="Verdana" w:cs="Arial"/>
          <w:lang w:val="es-ES"/>
        </w:rPr>
      </w:pPr>
      <w:r w:rsidRPr="00372D18">
        <w:rPr>
          <w:rFonts w:ascii="Verdana" w:eastAsia="Calibri" w:hAnsi="Verdana" w:cs="Arial"/>
          <w:lang w:val="es-ES"/>
        </w:rPr>
        <w:t xml:space="preserve">Lo anterior se sustenta en las siguientes consideraciones: </w:t>
      </w:r>
    </w:p>
    <w:p w14:paraId="5393B67C" w14:textId="77777777" w:rsidR="00A30A1D" w:rsidRPr="00372D18" w:rsidRDefault="00A30A1D" w:rsidP="00A30A1D">
      <w:pPr>
        <w:spacing w:after="0" w:line="276" w:lineRule="auto"/>
        <w:jc w:val="both"/>
        <w:rPr>
          <w:rFonts w:ascii="Verdana" w:eastAsia="Calibri" w:hAnsi="Verdana" w:cs="Arial"/>
          <w:lang w:val="es-ES"/>
        </w:rPr>
      </w:pPr>
    </w:p>
    <w:p w14:paraId="64CC88C3" w14:textId="036516D5" w:rsidR="00A30A1D" w:rsidRPr="00372D18" w:rsidRDefault="00336E30" w:rsidP="00D600FA">
      <w:pPr>
        <w:tabs>
          <w:tab w:val="left" w:pos="426"/>
        </w:tabs>
        <w:spacing w:after="120" w:line="276" w:lineRule="auto"/>
        <w:jc w:val="both"/>
        <w:rPr>
          <w:rFonts w:ascii="Verdana" w:eastAsia="Calibri" w:hAnsi="Verdana" w:cs="Arial"/>
          <w:lang w:val="es-ES" w:eastAsia="es-ES"/>
        </w:rPr>
      </w:pPr>
      <w:r>
        <w:rPr>
          <w:rFonts w:ascii="Verdana" w:eastAsia="Calibri" w:hAnsi="Verdana" w:cs="Arial"/>
          <w:lang w:val="es-ES" w:eastAsia="es-ES"/>
        </w:rPr>
        <w:t xml:space="preserve">i) </w:t>
      </w:r>
      <w:r w:rsidR="00A30A1D" w:rsidRPr="68E2F5DD">
        <w:rPr>
          <w:rFonts w:ascii="Verdana" w:eastAsia="Calibri" w:hAnsi="Verdana" w:cs="Arial"/>
          <w:lang w:val="es-ES" w:eastAsia="es-ES"/>
        </w:rPr>
        <w:t>La capacidad jurídica es la aptitud que recae en los sujeto</w:t>
      </w:r>
      <w:r w:rsidR="0049297E">
        <w:rPr>
          <w:rFonts w:ascii="Verdana" w:eastAsia="Calibri" w:hAnsi="Verdana" w:cs="Arial"/>
          <w:lang w:val="es-ES" w:eastAsia="es-ES"/>
        </w:rPr>
        <w:t>s</w:t>
      </w:r>
      <w:r w:rsidR="00A30A1D" w:rsidRPr="68E2F5DD">
        <w:rPr>
          <w:rFonts w:ascii="Verdana" w:eastAsia="Calibri" w:hAnsi="Verdana" w:cs="Arial"/>
          <w:lang w:val="es-ES" w:eastAsia="es-ES"/>
        </w:rPr>
        <w:t xml:space="preserve"> activos o pasivos de las relaciones jurídicas</w:t>
      </w:r>
      <w:r w:rsidR="00A30A1D" w:rsidRPr="68E2F5DD">
        <w:rPr>
          <w:rFonts w:ascii="Verdana" w:eastAsia="Calibri" w:hAnsi="Verdana" w:cs="Arial"/>
          <w:vertAlign w:val="superscript"/>
          <w:lang w:val="es-ES" w:eastAsia="es-ES"/>
        </w:rPr>
        <w:footnoteReference w:id="2"/>
      </w:r>
      <w:r w:rsidR="00A30A1D" w:rsidRPr="68E2F5DD">
        <w:rPr>
          <w:rFonts w:ascii="Verdana" w:eastAsia="Calibri" w:hAnsi="Verdana" w:cs="Arial"/>
          <w:lang w:val="es-ES" w:eastAsia="es-ES"/>
        </w:rPr>
        <w:t xml:space="preserve">. Para efectos de las relaciones contractuales en las que uno de los extremos de la relación sea una Entidad Estatal, la capacidad </w:t>
      </w:r>
      <w:r w:rsidR="00A30A1D" w:rsidRPr="68E2F5DD">
        <w:rPr>
          <w:rFonts w:ascii="Verdana" w:eastAsia="Calibri" w:hAnsi="Verdana" w:cs="Arial"/>
          <w:lang w:val="es-ES" w:eastAsia="es-ES"/>
        </w:rPr>
        <w:lastRenderedPageBreak/>
        <w:t xml:space="preserve">jurídica es la facultad que tiene una persona natural o jurídica para celebrar contratos con una Entidad Estatal. En otras palabras, es i) la capacidad de obligarse a cumplir el objeto del contrato y </w:t>
      </w:r>
      <w:proofErr w:type="spellStart"/>
      <w:r w:rsidR="00A30A1D" w:rsidRPr="68E2F5DD">
        <w:rPr>
          <w:rFonts w:ascii="Verdana" w:eastAsia="Calibri" w:hAnsi="Verdana" w:cs="Arial"/>
          <w:lang w:val="es-ES" w:eastAsia="es-ES"/>
        </w:rPr>
        <w:t>ii</w:t>
      </w:r>
      <w:proofErr w:type="spellEnd"/>
      <w:r w:rsidR="00A30A1D" w:rsidRPr="68E2F5DD">
        <w:rPr>
          <w:rFonts w:ascii="Verdana" w:eastAsia="Calibri" w:hAnsi="Verdana" w:cs="Arial"/>
          <w:lang w:val="es-ES" w:eastAsia="es-ES"/>
        </w:rPr>
        <w:t>) de no estar incursa en inhabilidades o incompatibilidades que impidan la celebración del contrato.</w:t>
      </w:r>
    </w:p>
    <w:p w14:paraId="15A79941" w14:textId="1E4204C3" w:rsidR="00A30A1D" w:rsidRPr="00372D18" w:rsidRDefault="00A30A1D" w:rsidP="00D600FA">
      <w:pPr>
        <w:spacing w:after="120" w:line="276" w:lineRule="auto"/>
        <w:ind w:firstLine="709"/>
        <w:jc w:val="both"/>
        <w:rPr>
          <w:rFonts w:ascii="Verdana" w:eastAsia="Times New Roman" w:hAnsi="Verdana" w:cs="Arial"/>
          <w:lang w:eastAsia="es-ES_tradnl"/>
        </w:rPr>
      </w:pPr>
      <w:r w:rsidRPr="00372D18">
        <w:rPr>
          <w:rFonts w:ascii="Verdana" w:eastAsia="Calibri" w:hAnsi="Verdana" w:cs="Arial"/>
          <w:lang w:val="es-ES_tradnl" w:eastAsia="es-ES_tradnl"/>
        </w:rPr>
        <w:t xml:space="preserve">Para efectos de la aplicación del </w:t>
      </w:r>
      <w:r w:rsidR="00CE6765">
        <w:rPr>
          <w:rFonts w:ascii="Verdana" w:eastAsia="Calibri" w:hAnsi="Verdana" w:cs="Arial"/>
          <w:lang w:val="es-ES_tradnl" w:eastAsia="es-ES_tradnl"/>
        </w:rPr>
        <w:t>Estatuto General de Contratación de la Administración Pública – en adelante</w:t>
      </w:r>
      <w:r w:rsidRPr="00372D18">
        <w:rPr>
          <w:rFonts w:ascii="Verdana" w:eastAsia="Calibri" w:hAnsi="Verdana" w:cs="Arial"/>
          <w:lang w:val="es-ES_tradnl" w:eastAsia="es-ES_tradnl"/>
        </w:rPr>
        <w:t xml:space="preserve"> EGCAP</w:t>
      </w:r>
      <w:r w:rsidR="00CE6765">
        <w:rPr>
          <w:rFonts w:ascii="Verdana" w:eastAsia="Calibri" w:hAnsi="Verdana" w:cs="Arial"/>
          <w:lang w:val="es-ES_tradnl" w:eastAsia="es-ES_tradnl"/>
        </w:rPr>
        <w:t xml:space="preserve"> –</w:t>
      </w:r>
      <w:r w:rsidRPr="00372D18">
        <w:rPr>
          <w:rFonts w:ascii="Verdana" w:eastAsia="Calibri" w:hAnsi="Verdana" w:cs="Arial"/>
          <w:lang w:val="es-ES_tradnl" w:eastAsia="es-ES_tradnl"/>
        </w:rPr>
        <w:t>, la capacidad para contratar la tienen las personas consideradas legalmente capaces en las disposiciones vigentes</w:t>
      </w:r>
      <w:r w:rsidRPr="00372D18">
        <w:rPr>
          <w:rFonts w:ascii="Verdana" w:eastAsia="Calibri" w:hAnsi="Verdana" w:cs="Arial"/>
          <w:vertAlign w:val="superscript"/>
          <w:lang w:val="es-ES_tradnl" w:eastAsia="es-ES_tradnl"/>
        </w:rPr>
        <w:footnoteReference w:id="3"/>
      </w:r>
      <w:r w:rsidRPr="00372D18">
        <w:rPr>
          <w:rFonts w:ascii="Verdana" w:eastAsia="Times New Roman" w:hAnsi="Verdana" w:cs="Arial"/>
          <w:lang w:eastAsia="es-ES_tradnl"/>
        </w:rPr>
        <w:t>, así como otras formas asociativas. En efecto, el artículo 6 de la Ley 80 de 1993 establece que “</w:t>
      </w:r>
      <w:r>
        <w:rPr>
          <w:rFonts w:ascii="Verdana" w:eastAsia="Times New Roman" w:hAnsi="Verdana" w:cs="Arial"/>
          <w:lang w:eastAsia="es-ES_tradnl"/>
        </w:rPr>
        <w:t>P</w:t>
      </w:r>
      <w:r w:rsidRPr="00372D18">
        <w:rPr>
          <w:rFonts w:ascii="Verdana" w:eastAsia="Times New Roman" w:hAnsi="Verdana" w:cs="Arial"/>
          <w:lang w:eastAsia="es-ES_tradnl"/>
        </w:rPr>
        <w:t>ueden celebrar contratos con las entidades estatales las personas consideradas legalmente capaces en las disposiciones vigentes […]”, así como también dispone que podrán hacerlo “[…] los consorcios y uniones temporales”.</w:t>
      </w:r>
    </w:p>
    <w:p w14:paraId="59AF021E" w14:textId="77777777" w:rsidR="00A30A1D" w:rsidRPr="00372D18" w:rsidRDefault="00A30A1D" w:rsidP="00D600FA">
      <w:pPr>
        <w:spacing w:after="120" w:line="276" w:lineRule="auto"/>
        <w:ind w:firstLine="709"/>
        <w:jc w:val="both"/>
        <w:rPr>
          <w:rFonts w:ascii="Verdana" w:eastAsia="Calibri" w:hAnsi="Verdana" w:cs="Arial"/>
          <w:lang w:val="es-ES_tradnl" w:eastAsia="es-ES_tradnl"/>
        </w:rPr>
      </w:pPr>
      <w:r w:rsidRPr="00372D18">
        <w:rPr>
          <w:rFonts w:ascii="Verdana" w:eastAsia="Times New Roman" w:hAnsi="Verdana" w:cs="Arial"/>
          <w:lang w:eastAsia="es-ES_tradnl"/>
        </w:rPr>
        <w:t>En primer lugar, l</w:t>
      </w:r>
      <w:r w:rsidRPr="00372D18">
        <w:rPr>
          <w:rFonts w:ascii="Verdana" w:eastAsia="Calibri" w:hAnsi="Verdana" w:cs="Arial"/>
          <w:lang w:val="es-ES_tradnl" w:eastAsia="es-ES_tradnl"/>
        </w:rPr>
        <w:t>as personas naturales que tienen capacidad jurídica para contratar son los mayores de edad, a menos que por disposición expresa se encuentren limitados por decisión judicial, como la interdicción judicial, y que no estén incursas en inhabilidades, incompatibilidades o prohibiciones para contratar derivadas de la ley.</w:t>
      </w:r>
    </w:p>
    <w:p w14:paraId="29F118E2" w14:textId="65BD5F6A" w:rsidR="00A30A1D" w:rsidRPr="00372D18" w:rsidRDefault="00F121B8" w:rsidP="00D600FA">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En segundo lugar</w:t>
      </w:r>
      <w:r w:rsidR="00A30A1D">
        <w:rPr>
          <w:rFonts w:ascii="Verdana" w:eastAsia="Calibri" w:hAnsi="Verdana" w:cs="Arial"/>
          <w:lang w:val="es-ES_tradnl" w:eastAsia="es-ES_tradnl"/>
        </w:rPr>
        <w:t>,</w:t>
      </w:r>
      <w:r w:rsidR="00A30A1D" w:rsidRPr="00372D18">
        <w:rPr>
          <w:rFonts w:ascii="Verdana" w:eastAsia="Calibri" w:hAnsi="Verdana" w:cs="Arial"/>
          <w:lang w:val="es-ES_tradnl" w:eastAsia="es-ES_tradnl"/>
        </w:rPr>
        <w:t xml:space="preserve"> tratándose de personas jurídicas la capacidad jurídica hace referencia a la posibilidad que tienen para adelantar actividades en el marco de su objeto social, las facultades que le han sido otorgadas al representante legal y a la ausencia de inhabilidades, incompatibilidades o prohibiciones para contratar, derivadas de la ley.</w:t>
      </w:r>
    </w:p>
    <w:p w14:paraId="215463BB" w14:textId="77777777" w:rsidR="00A30A1D" w:rsidRDefault="00A30A1D" w:rsidP="00D600FA">
      <w:pPr>
        <w:spacing w:after="0" w:line="276" w:lineRule="auto"/>
        <w:ind w:firstLine="709"/>
        <w:contextualSpacing/>
        <w:jc w:val="both"/>
        <w:rPr>
          <w:rFonts w:ascii="Verdana" w:eastAsia="Calibri" w:hAnsi="Verdana" w:cs="Arial"/>
          <w:lang w:val="es-ES_tradnl" w:eastAsia="es-ES_tradnl"/>
        </w:rPr>
      </w:pPr>
      <w:r w:rsidRPr="00372D18">
        <w:rPr>
          <w:rFonts w:ascii="Verdana" w:eastAsia="Calibri" w:hAnsi="Verdana" w:cs="Arial"/>
          <w:lang w:val="es-ES_tradnl" w:eastAsia="es-ES_tradnl"/>
        </w:rPr>
        <w:t>Ahora bien, en el marco de los procesos de selección, las Entidades Estatales deben solicitar a los proponentes toda la información necesaria para conocer su idoneidad en la ejecución del contrato a celebrar, que le permita verificar su honestidad e integridad en el manejo de los recursos públicos que involucra la contratación estatal. El Consejo de Estado ha exhortado a las Entidades Estatales para conocer la calidad en la que actúa el proponente, así</w:t>
      </w:r>
      <w:r w:rsidRPr="00372D18">
        <w:rPr>
          <w:rFonts w:ascii="Verdana" w:eastAsia="Calibri" w:hAnsi="Verdana" w:cs="Arial"/>
          <w:vertAlign w:val="superscript"/>
          <w:lang w:val="es-ES_tradnl" w:eastAsia="es-ES_tradnl"/>
        </w:rPr>
        <w:footnoteReference w:id="4"/>
      </w:r>
      <w:r w:rsidRPr="00372D18">
        <w:rPr>
          <w:rFonts w:ascii="Verdana" w:eastAsia="Calibri" w:hAnsi="Verdana" w:cs="Arial"/>
          <w:lang w:val="es-ES_tradnl" w:eastAsia="es-ES_tradnl"/>
        </w:rPr>
        <w:t>:</w:t>
      </w:r>
    </w:p>
    <w:p w14:paraId="3D82B74E" w14:textId="77777777" w:rsidR="00A30A1D" w:rsidRPr="00372D18" w:rsidRDefault="00A30A1D" w:rsidP="00D600FA">
      <w:pPr>
        <w:spacing w:after="0" w:line="276" w:lineRule="auto"/>
        <w:ind w:firstLine="709"/>
        <w:contextualSpacing/>
        <w:jc w:val="both"/>
        <w:rPr>
          <w:rFonts w:ascii="Verdana" w:eastAsia="Calibri" w:hAnsi="Verdana" w:cs="Arial"/>
          <w:lang w:val="es-ES_tradnl" w:eastAsia="es-ES_tradnl"/>
        </w:rPr>
      </w:pPr>
    </w:p>
    <w:p w14:paraId="5ABEF1EB" w14:textId="77777777" w:rsidR="00A30A1D" w:rsidRPr="00372D18" w:rsidRDefault="00A30A1D" w:rsidP="00D600FA">
      <w:pPr>
        <w:widowControl w:val="0"/>
        <w:autoSpaceDE w:val="0"/>
        <w:autoSpaceDN w:val="0"/>
        <w:spacing w:after="0" w:line="240" w:lineRule="auto"/>
        <w:ind w:left="709" w:right="709"/>
        <w:contextualSpacing/>
        <w:jc w:val="both"/>
        <w:rPr>
          <w:rFonts w:ascii="Verdana" w:eastAsia="Arial" w:hAnsi="Verdana" w:cs="Arial"/>
          <w:sz w:val="20"/>
          <w:szCs w:val="20"/>
          <w:lang w:eastAsia="es-ES" w:bidi="es-ES"/>
        </w:rPr>
      </w:pPr>
      <w:r w:rsidRPr="00372D18">
        <w:rPr>
          <w:rFonts w:ascii="Verdana" w:eastAsia="Arial" w:hAnsi="Verdana" w:cs="Arial"/>
          <w:sz w:val="20"/>
          <w:szCs w:val="20"/>
          <w:lang w:eastAsia="es-ES" w:bidi="es-ES"/>
        </w:rPr>
        <w:t xml:space="preserve">“No duda la Sala en afirmar que la anterior disposición conlleva un deber calificado para las entidades estatales, cuyo presupuesto es la buena fe (y </w:t>
      </w:r>
      <w:r w:rsidRPr="00372D18">
        <w:rPr>
          <w:rFonts w:ascii="Verdana" w:eastAsia="Arial" w:hAnsi="Verdana" w:cs="Arial"/>
          <w:sz w:val="20"/>
          <w:szCs w:val="20"/>
          <w:lang w:eastAsia="es-ES" w:bidi="es-ES"/>
        </w:rPr>
        <w:lastRenderedPageBreak/>
        <w:t>como se verá, el principio de precaución),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w:t>
      </w:r>
      <w:r w:rsidRPr="00372D18">
        <w:rPr>
          <w:rFonts w:ascii="Verdana" w:eastAsia="Arial" w:hAnsi="Verdana" w:cs="Arial"/>
          <w:spacing w:val="-11"/>
          <w:sz w:val="20"/>
          <w:szCs w:val="20"/>
          <w:lang w:eastAsia="es-ES" w:bidi="es-ES"/>
        </w:rPr>
        <w:t xml:space="preserve"> </w:t>
      </w:r>
      <w:r w:rsidRPr="00372D18">
        <w:rPr>
          <w:rFonts w:ascii="Verdana" w:eastAsia="Arial" w:hAnsi="Verdana" w:cs="Arial"/>
          <w:sz w:val="20"/>
          <w:szCs w:val="20"/>
          <w:lang w:eastAsia="es-ES" w:bidi="es-ES"/>
        </w:rPr>
        <w:t>particular”.</w:t>
      </w:r>
    </w:p>
    <w:p w14:paraId="6A53A241" w14:textId="77777777" w:rsidR="00A30A1D" w:rsidRPr="00372D18" w:rsidRDefault="00A30A1D" w:rsidP="00A30A1D">
      <w:pPr>
        <w:widowControl w:val="0"/>
        <w:autoSpaceDE w:val="0"/>
        <w:autoSpaceDN w:val="0"/>
        <w:spacing w:line="276" w:lineRule="auto"/>
        <w:contextualSpacing/>
        <w:rPr>
          <w:rFonts w:ascii="Verdana" w:eastAsia="Arial" w:hAnsi="Verdana" w:cs="Arial"/>
          <w:lang w:eastAsia="es-ES" w:bidi="es-ES"/>
        </w:rPr>
      </w:pPr>
    </w:p>
    <w:p w14:paraId="686DF95E" w14:textId="3B0B6FF5" w:rsidR="00A30A1D" w:rsidRDefault="00A30A1D" w:rsidP="00D600FA">
      <w:pPr>
        <w:spacing w:after="120" w:line="276" w:lineRule="auto"/>
        <w:ind w:firstLine="709"/>
        <w:jc w:val="both"/>
        <w:rPr>
          <w:rFonts w:ascii="Verdana" w:eastAsia="Calibri" w:hAnsi="Verdana" w:cs="Arial"/>
          <w:lang w:val="es-ES" w:eastAsia="es-ES"/>
        </w:rPr>
      </w:pPr>
      <w:r w:rsidRPr="68E2F5DD">
        <w:rPr>
          <w:rFonts w:ascii="Verdana" w:eastAsia="Times New Roman" w:hAnsi="Verdana" w:cs="Arial"/>
          <w:color w:val="000000" w:themeColor="text1"/>
          <w:lang w:val="es-ES" w:eastAsia="es-ES"/>
        </w:rPr>
        <w:t xml:space="preserve">Es así como, de conformidad con lo planteado, se concluye que </w:t>
      </w:r>
      <w:r w:rsidRPr="68E2F5DD">
        <w:rPr>
          <w:rFonts w:ascii="Verdana" w:eastAsia="Calibri" w:hAnsi="Verdana" w:cs="Arial"/>
          <w:lang w:val="es-ES" w:eastAsia="es-ES"/>
        </w:rPr>
        <w:t xml:space="preserve">en el ordenamiento colombiano pueden celebrar contratos estatales las personas jurídicas que tengan dentro de su objeto social actividades relacionadas con el objeto a contratar. </w:t>
      </w:r>
    </w:p>
    <w:p w14:paraId="5E046D9A" w14:textId="40D2E651" w:rsidR="00A30A1D" w:rsidRPr="00810146" w:rsidRDefault="006E4E33" w:rsidP="00A30A1D">
      <w:pPr>
        <w:spacing w:after="120" w:line="276" w:lineRule="auto"/>
        <w:ind w:firstLine="708"/>
        <w:jc w:val="both"/>
        <w:rPr>
          <w:rFonts w:ascii="Verdana" w:eastAsia="Calibri" w:hAnsi="Verdana" w:cs="Arial"/>
          <w:lang w:val="es-ES_tradnl" w:eastAsia="es-ES_tradnl"/>
        </w:rPr>
      </w:pPr>
      <w:r>
        <w:rPr>
          <w:rFonts w:ascii="Verdana" w:eastAsia="Calibri" w:hAnsi="Verdana" w:cs="Arial"/>
          <w:bCs/>
          <w:lang w:val="es-ES_tradnl"/>
        </w:rPr>
        <w:t>Finalmente</w:t>
      </w:r>
      <w:r w:rsidR="00A30A1D" w:rsidRPr="0039494F">
        <w:rPr>
          <w:rFonts w:ascii="Verdana" w:eastAsia="Calibri" w:hAnsi="Verdana" w:cs="Arial"/>
          <w:bCs/>
          <w:lang w:val="es-ES_tradnl"/>
        </w:rPr>
        <w:t xml:space="preserve">, </w:t>
      </w:r>
      <w:r w:rsidR="00A30A1D">
        <w:rPr>
          <w:rFonts w:ascii="Verdana" w:eastAsia="Times New Roman" w:hAnsi="Verdana" w:cs="Arial"/>
          <w:color w:val="000000" w:themeColor="text1"/>
          <w:lang w:val="es-ES" w:eastAsia="es-ES"/>
        </w:rPr>
        <w:t>e</w:t>
      </w:r>
      <w:r w:rsidR="00A30A1D" w:rsidRPr="00C94107">
        <w:rPr>
          <w:rFonts w:ascii="Verdana" w:eastAsia="Times New Roman" w:hAnsi="Verdana" w:cs="Arial"/>
          <w:color w:val="000000" w:themeColor="text1"/>
          <w:lang w:val="es-ES" w:eastAsia="es-ES"/>
        </w:rPr>
        <w:t xml:space="preserve">n su calidad de comerciantes, los proponentes deben estar inscritos en el Registro Único Empresarial y Social – en adelante RUES– administrado por las cámaras de comercio y la Entidad deberá verificar que </w:t>
      </w:r>
      <w:r w:rsidR="00A30A1D" w:rsidRPr="00C94107">
        <w:rPr>
          <w:rFonts w:ascii="Verdana" w:eastAsia="Calibri" w:hAnsi="Verdana" w:cs="Arial"/>
          <w:lang w:val="es-ES" w:eastAsia="es-ES"/>
        </w:rPr>
        <w:t xml:space="preserve">las personas jurídicas tengan dentro de su objeto social actividades relacionadas con el objeto a contratar. </w:t>
      </w:r>
      <w:r w:rsidR="00A30A1D" w:rsidRPr="002D7321">
        <w:rPr>
          <w:rFonts w:ascii="Verdana" w:eastAsia="Calibri" w:hAnsi="Verdana" w:cs="Arial"/>
          <w:lang w:val="es-ES" w:eastAsia="es-ES"/>
        </w:rPr>
        <w:t>En</w:t>
      </w:r>
      <w:r w:rsidR="00A30A1D" w:rsidRPr="00810146">
        <w:rPr>
          <w:rFonts w:ascii="Verdana" w:eastAsia="Calibri" w:hAnsi="Verdana" w:cs="Arial"/>
          <w:lang w:val="es-ES_tradnl" w:eastAsia="es-ES_tradnl"/>
        </w:rPr>
        <w:t xml:space="preserve"> el </w:t>
      </w:r>
      <w:r w:rsidR="00A30A1D" w:rsidRPr="00810146">
        <w:rPr>
          <w:rFonts w:ascii="Verdana" w:eastAsia="Times New Roman" w:hAnsi="Verdana" w:cs="Arial"/>
          <w:color w:val="000000" w:themeColor="text1"/>
          <w:lang w:val="es-ES_tradnl" w:eastAsia="es-ES_tradnl"/>
        </w:rPr>
        <w:t xml:space="preserve">RUES se encuentra el listado de las actividades económicas que conforman por la empresa, según los códigos de la Clasificación Industrial Internacional Uniforme –CIIU–, en virtud de lo dispuesto en el artículo 11 de la Ley 590 de 2000 y el artículo 166 del Decreto Ley 019 de 2012. </w:t>
      </w:r>
    </w:p>
    <w:p w14:paraId="6AEDA0B5" w14:textId="75DA82DF" w:rsidR="00A30A1D" w:rsidRPr="00810146" w:rsidRDefault="00A30A1D" w:rsidP="00A30A1D">
      <w:pPr>
        <w:pBdr>
          <w:top w:val="nil"/>
          <w:left w:val="nil"/>
          <w:bottom w:val="nil"/>
          <w:right w:val="nil"/>
          <w:between w:val="nil"/>
        </w:pBdr>
        <w:spacing w:after="0" w:line="276" w:lineRule="auto"/>
        <w:ind w:firstLine="708"/>
        <w:jc w:val="both"/>
        <w:rPr>
          <w:rFonts w:ascii="Verdana" w:eastAsia="Calibri" w:hAnsi="Verdana" w:cs="Arial"/>
          <w:color w:val="000000" w:themeColor="text1"/>
        </w:rPr>
      </w:pPr>
      <w:r w:rsidRPr="00810146">
        <w:rPr>
          <w:rFonts w:ascii="Verdana" w:eastAsia="Calibri" w:hAnsi="Verdana" w:cs="Arial"/>
          <w:color w:val="000000" w:themeColor="text1"/>
        </w:rPr>
        <w:t>Sin embargo,</w:t>
      </w:r>
      <w:r w:rsidR="00EC55F4">
        <w:rPr>
          <w:rFonts w:ascii="Verdana" w:eastAsia="Calibri" w:hAnsi="Verdana" w:cs="Arial"/>
          <w:color w:val="000000" w:themeColor="text1"/>
        </w:rPr>
        <w:t xml:space="preserve"> como lo ha reiterado esta Agencia</w:t>
      </w:r>
      <w:r w:rsidRPr="00810146">
        <w:rPr>
          <w:rFonts w:ascii="Verdana" w:eastAsia="Calibri" w:hAnsi="Verdana" w:cs="Arial"/>
          <w:color w:val="000000" w:themeColor="text1"/>
        </w:rPr>
        <w:t xml:space="preserve">, ninguna de las normas citadas condiciona la capacidad de las </w:t>
      </w:r>
      <w:r w:rsidRPr="00810146">
        <w:rPr>
          <w:rFonts w:ascii="Verdana" w:eastAsia="Calibri" w:hAnsi="Verdana" w:cs="Arial"/>
          <w:i/>
          <w:iCs/>
          <w:color w:val="000000" w:themeColor="text1"/>
        </w:rPr>
        <w:t>personas jurídicas</w:t>
      </w:r>
      <w:r w:rsidRPr="00810146">
        <w:rPr>
          <w:rFonts w:ascii="Verdana" w:eastAsia="Calibri" w:hAnsi="Verdana" w:cs="Arial"/>
          <w:color w:val="000000" w:themeColor="text1"/>
        </w:rPr>
        <w:t xml:space="preserve"> a los códigos mencionados. La </w:t>
      </w:r>
      <w:r w:rsidRPr="00810146">
        <w:rPr>
          <w:rFonts w:ascii="Verdana" w:eastAsia="Times New Roman" w:hAnsi="Verdana" w:cs="Arial"/>
          <w:color w:val="000000" w:themeColor="text1"/>
          <w:lang w:val="es-ES_tradnl" w:eastAsia="es-ES_tradnl"/>
        </w:rPr>
        <w:t>CIIU</w:t>
      </w:r>
      <w:r w:rsidRPr="00810146">
        <w:rPr>
          <w:rFonts w:ascii="Verdana" w:eastAsia="Calibri" w:hAnsi="Verdana" w:cs="Arial"/>
          <w:color w:val="000000" w:themeColor="text1"/>
        </w:rPr>
        <w:t xml:space="preserve"> corresponde a un sistema estandarizado desarrollado por las Naciones Unidas para clasificar las actividades económicas en distintos sectores. Como explica el DANE, su objetivo es facilitar la recopilación, análisis y comparación de datos estadísticos a nivel nacional e internacional:</w:t>
      </w:r>
    </w:p>
    <w:p w14:paraId="393B31F2" w14:textId="77777777" w:rsidR="00A30A1D" w:rsidRPr="00810146" w:rsidRDefault="00A30A1D" w:rsidP="00A30A1D">
      <w:pPr>
        <w:pBdr>
          <w:top w:val="nil"/>
          <w:left w:val="nil"/>
          <w:bottom w:val="nil"/>
          <w:right w:val="nil"/>
          <w:between w:val="nil"/>
        </w:pBdr>
        <w:spacing w:after="0" w:line="276" w:lineRule="auto"/>
        <w:ind w:firstLine="708"/>
        <w:jc w:val="both"/>
        <w:rPr>
          <w:rFonts w:ascii="Verdana" w:eastAsia="Calibri" w:hAnsi="Verdana" w:cs="Arial"/>
          <w:color w:val="000000" w:themeColor="text1"/>
        </w:rPr>
      </w:pPr>
    </w:p>
    <w:p w14:paraId="2EF7E3DC" w14:textId="77777777" w:rsidR="00A30A1D" w:rsidRPr="003B233F" w:rsidRDefault="00A30A1D" w:rsidP="00A30A1D">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0"/>
          <w:szCs w:val="20"/>
        </w:rPr>
      </w:pPr>
      <w:r w:rsidRPr="00810146">
        <w:rPr>
          <w:rFonts w:ascii="Verdana" w:eastAsia="Calibri" w:hAnsi="Verdana" w:cs="Arial"/>
          <w:color w:val="000000" w:themeColor="text1"/>
          <w:sz w:val="21"/>
          <w:szCs w:val="21"/>
        </w:rPr>
        <w:t>“</w:t>
      </w:r>
      <w:r w:rsidRPr="003B233F">
        <w:rPr>
          <w:rFonts w:ascii="Verdana" w:eastAsia="Calibri" w:hAnsi="Verdana" w:cs="Arial"/>
          <w:color w:val="000000" w:themeColor="text1"/>
          <w:sz w:val="20"/>
          <w:szCs w:val="20"/>
        </w:rPr>
        <w:t xml:space="preserve">La CIIU tiene por finalidad establecer una clasificación uniforme de las actividades económicas productivas. Su propósito principal es ofrecer un conjunto de categorías de actividades económicas que se pueda utilizar para la reunión y presentación de estadísticas de acuerdo con esas actividades. Por consiguiente, la CIIU se propone presentar ese conjunto de categorías de actividades de tal modo que las entidades puedan clasificarse según la actividad económica que realizan. Las categorías de la CIIU se han definido vinculándolas, en la medida de lo posible, con la forma en que el proceso económico está estructurado en diferentes tipos </w:t>
      </w:r>
      <w:r w:rsidRPr="003B233F">
        <w:rPr>
          <w:rFonts w:ascii="Verdana" w:eastAsia="Calibri" w:hAnsi="Verdana" w:cs="Arial"/>
          <w:color w:val="000000" w:themeColor="text1"/>
          <w:sz w:val="20"/>
          <w:szCs w:val="20"/>
        </w:rPr>
        <w:lastRenderedPageBreak/>
        <w:t>de unidades estadísticas y la manera como se describe ese proceso en las estadísticas económicas”</w:t>
      </w:r>
      <w:r w:rsidRPr="003B233F">
        <w:rPr>
          <w:rStyle w:val="Refdenotaalpie"/>
          <w:rFonts w:ascii="Verdana" w:eastAsia="Calibri" w:hAnsi="Verdana" w:cs="Arial"/>
          <w:color w:val="000000" w:themeColor="text1"/>
          <w:sz w:val="20"/>
          <w:szCs w:val="20"/>
        </w:rPr>
        <w:footnoteReference w:id="5"/>
      </w:r>
      <w:r w:rsidRPr="003B233F">
        <w:rPr>
          <w:rFonts w:ascii="Verdana" w:eastAsia="Calibri" w:hAnsi="Verdana" w:cs="Arial"/>
          <w:color w:val="000000" w:themeColor="text1"/>
          <w:sz w:val="20"/>
          <w:szCs w:val="20"/>
        </w:rPr>
        <w:t xml:space="preserve">. </w:t>
      </w:r>
    </w:p>
    <w:p w14:paraId="76ED4BAE" w14:textId="77777777" w:rsidR="00A30A1D" w:rsidRPr="003B233F" w:rsidRDefault="00A30A1D" w:rsidP="00A30A1D">
      <w:pPr>
        <w:pBdr>
          <w:top w:val="nil"/>
          <w:left w:val="nil"/>
          <w:bottom w:val="nil"/>
          <w:right w:val="nil"/>
          <w:between w:val="nil"/>
        </w:pBdr>
        <w:spacing w:after="0" w:line="276" w:lineRule="auto"/>
        <w:jc w:val="both"/>
        <w:rPr>
          <w:rFonts w:ascii="Verdana" w:eastAsia="Calibri" w:hAnsi="Verdana" w:cs="Arial"/>
          <w:color w:val="000000" w:themeColor="text1"/>
          <w:sz w:val="20"/>
          <w:szCs w:val="20"/>
        </w:rPr>
      </w:pPr>
    </w:p>
    <w:p w14:paraId="087D4D79" w14:textId="77777777" w:rsidR="00A30A1D" w:rsidRPr="00810146" w:rsidRDefault="00A30A1D" w:rsidP="00A30A1D">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810146">
        <w:rPr>
          <w:rFonts w:ascii="Verdana" w:eastAsia="Calibri" w:hAnsi="Verdana" w:cs="Arial"/>
          <w:color w:val="000000" w:themeColor="text1"/>
        </w:rPr>
        <w:t xml:space="preserve">De esta manera, los códigos del </w:t>
      </w:r>
      <w:r w:rsidRPr="00810146">
        <w:rPr>
          <w:rFonts w:ascii="Verdana" w:eastAsia="Times New Roman" w:hAnsi="Verdana" w:cs="Arial"/>
          <w:color w:val="000000" w:themeColor="text1"/>
          <w:lang w:val="es-ES_tradnl" w:eastAsia="es-ES_tradnl"/>
        </w:rPr>
        <w:t>CIIU</w:t>
      </w:r>
      <w:r w:rsidRPr="00810146">
        <w:rPr>
          <w:rFonts w:ascii="Verdana" w:eastAsia="Calibri" w:hAnsi="Verdana" w:cs="Arial"/>
          <w:color w:val="000000" w:themeColor="text1"/>
        </w:rPr>
        <w:t xml:space="preserve"> tienen efectos declarativos, no constitutivos. Por ello, existe capacidad si el objeto del contrato está relacionado con el objeto social de la </w:t>
      </w:r>
      <w:r w:rsidRPr="00810146">
        <w:rPr>
          <w:rFonts w:ascii="Verdana" w:eastAsia="Calibri" w:hAnsi="Verdana" w:cs="Arial"/>
          <w:i/>
          <w:iCs/>
          <w:color w:val="000000" w:themeColor="text1"/>
        </w:rPr>
        <w:t>persona jurídica</w:t>
      </w:r>
      <w:r w:rsidRPr="00810146">
        <w:rPr>
          <w:rFonts w:ascii="Verdana" w:eastAsia="Calibri" w:hAnsi="Verdana" w:cs="Arial"/>
          <w:color w:val="000000" w:themeColor="text1"/>
        </w:rPr>
        <w:t xml:space="preserve">, y aquella se </w:t>
      </w:r>
      <w:r w:rsidRPr="002C6B47">
        <w:rPr>
          <w:rFonts w:ascii="Verdana" w:eastAsia="Calibri" w:hAnsi="Verdana" w:cs="Arial"/>
          <w:color w:val="000000" w:themeColor="text1"/>
        </w:rPr>
        <w:t>mantiene,</w:t>
      </w:r>
      <w:r w:rsidRPr="00810146">
        <w:rPr>
          <w:rFonts w:ascii="Verdana" w:eastAsia="Calibri" w:hAnsi="Verdana" w:cs="Arial"/>
          <w:color w:val="000000" w:themeColor="text1"/>
        </w:rPr>
        <w:t xml:space="preserve"> aunque la actividad económica no se haya recogido en la clasificación. De la misma forma, si el código registrado es ajeno al objeto social, dicha situación no hace que la empresa adquiera la capacidad para ejecutar esa actividad en particular. Además, en sociedades con objeto indeterminado –como las sociedades por acciones simplificadas– los códigos del </w:t>
      </w:r>
      <w:r w:rsidRPr="00810146">
        <w:rPr>
          <w:rFonts w:ascii="Verdana" w:eastAsia="Times New Roman" w:hAnsi="Verdana" w:cs="Arial"/>
          <w:color w:val="000000" w:themeColor="text1"/>
          <w:lang w:val="es-ES_tradnl" w:eastAsia="es-ES_tradnl"/>
        </w:rPr>
        <w:t xml:space="preserve">CIIU no restringen la capacidad de la </w:t>
      </w:r>
      <w:r w:rsidRPr="00810146">
        <w:rPr>
          <w:rFonts w:ascii="Verdana" w:eastAsia="Times New Roman" w:hAnsi="Verdana" w:cs="Arial"/>
          <w:i/>
          <w:iCs/>
          <w:color w:val="000000" w:themeColor="text1"/>
          <w:lang w:val="es-ES_tradnl" w:eastAsia="es-ES_tradnl"/>
        </w:rPr>
        <w:t>persona jurídica</w:t>
      </w:r>
      <w:r w:rsidRPr="00810146">
        <w:rPr>
          <w:rFonts w:ascii="Verdana" w:eastAsia="Times New Roman" w:hAnsi="Verdana" w:cs="Arial"/>
          <w:color w:val="000000" w:themeColor="text1"/>
          <w:lang w:val="es-ES_tradnl" w:eastAsia="es-ES_tradnl"/>
        </w:rPr>
        <w:t>, ya que –en las condiciones del</w:t>
      </w:r>
      <w:r w:rsidRPr="00810146">
        <w:rPr>
          <w:rFonts w:ascii="Verdana" w:eastAsia="Calibri" w:hAnsi="Verdana" w:cs="Arial"/>
          <w:color w:val="000000" w:themeColor="text1"/>
        </w:rPr>
        <w:t xml:space="preserve"> artículo 5.4 de la Ley 1258 de 2008– </w:t>
      </w:r>
      <w:r w:rsidRPr="00810146">
        <w:rPr>
          <w:rFonts w:ascii="Verdana" w:eastAsia="Times New Roman" w:hAnsi="Verdana" w:cs="Arial"/>
          <w:color w:val="000000" w:themeColor="text1"/>
          <w:lang w:val="es-ES_tradnl" w:eastAsia="es-ES_tradnl"/>
        </w:rPr>
        <w:t>pueden ejecutar cualquier actividad lícita.</w:t>
      </w:r>
      <w:r w:rsidRPr="00810146">
        <w:rPr>
          <w:rFonts w:ascii="Verdana" w:eastAsia="Calibri" w:hAnsi="Verdana" w:cs="Arial"/>
          <w:color w:val="000000" w:themeColor="text1"/>
        </w:rPr>
        <w:t xml:space="preserve"> </w:t>
      </w:r>
    </w:p>
    <w:p w14:paraId="4A11C6CA" w14:textId="77777777" w:rsidR="00A30A1D" w:rsidRPr="00C94107" w:rsidRDefault="00A30A1D" w:rsidP="00A30A1D">
      <w:pPr>
        <w:pBdr>
          <w:top w:val="nil"/>
          <w:left w:val="nil"/>
          <w:bottom w:val="nil"/>
          <w:right w:val="nil"/>
          <w:between w:val="nil"/>
        </w:pBdr>
        <w:spacing w:after="0" w:line="276" w:lineRule="auto"/>
        <w:ind w:firstLine="708"/>
        <w:jc w:val="both"/>
        <w:rPr>
          <w:rFonts w:ascii="Verdana" w:eastAsia="Times New Roman" w:hAnsi="Verdana" w:cs="Arial"/>
          <w:color w:val="000000" w:themeColor="text1"/>
          <w:lang w:val="es-ES_tradnl" w:eastAsia="es-ES_tradnl"/>
        </w:rPr>
      </w:pPr>
      <w:r w:rsidRPr="00810146">
        <w:rPr>
          <w:rFonts w:ascii="Verdana" w:eastAsia="Calibri" w:hAnsi="Verdana" w:cs="Arial"/>
          <w:color w:val="000000" w:themeColor="text1"/>
        </w:rPr>
        <w:t xml:space="preserve">Sin perjuicio de lo anterior, sumado a las implicaciones estadísticas de la </w:t>
      </w:r>
      <w:r w:rsidRPr="00810146">
        <w:rPr>
          <w:rFonts w:ascii="Verdana" w:eastAsia="Times New Roman" w:hAnsi="Verdana" w:cs="Arial"/>
          <w:color w:val="000000" w:themeColor="text1"/>
          <w:lang w:val="es-ES_tradnl" w:eastAsia="es-ES_tradnl"/>
        </w:rPr>
        <w:t>CIIU, los interesados deben registrar adecuadamente los códigos de sus actividades económicas en el RUES. Lo anterior teniendo en cuenta que son un parámetro para la DIAN en lo relativo al control y determinación de los impuestos y demás obligaciones tributarias, aduaneras y cambiarias.</w:t>
      </w:r>
    </w:p>
    <w:p w14:paraId="3CAB54D9" w14:textId="77777777" w:rsidR="004A1DB0" w:rsidRDefault="004A1DB0" w:rsidP="00D600FA">
      <w:pPr>
        <w:spacing w:after="0" w:line="276" w:lineRule="auto"/>
        <w:jc w:val="both"/>
        <w:rPr>
          <w:rFonts w:ascii="Verdana" w:hAnsi="Verdana" w:cs="Arial"/>
        </w:rPr>
      </w:pPr>
    </w:p>
    <w:p w14:paraId="27041730" w14:textId="5ECA7B60" w:rsidR="00A30A1D" w:rsidRPr="00372D18" w:rsidRDefault="004A1DB0" w:rsidP="00D600FA">
      <w:pPr>
        <w:spacing w:after="0" w:line="276" w:lineRule="auto"/>
        <w:jc w:val="both"/>
        <w:rPr>
          <w:rFonts w:ascii="Verdana" w:hAnsi="Verdana" w:cs="Arial"/>
        </w:rPr>
      </w:pPr>
      <w:proofErr w:type="spellStart"/>
      <w:r>
        <w:rPr>
          <w:rFonts w:ascii="Verdana" w:hAnsi="Verdana" w:cs="Arial"/>
        </w:rPr>
        <w:t>ii</w:t>
      </w:r>
      <w:proofErr w:type="spellEnd"/>
      <w:r>
        <w:rPr>
          <w:rFonts w:ascii="Verdana" w:hAnsi="Verdana" w:cs="Arial"/>
        </w:rPr>
        <w:t xml:space="preserve">) </w:t>
      </w:r>
      <w:r w:rsidR="00A30A1D">
        <w:rPr>
          <w:rFonts w:ascii="Verdana" w:hAnsi="Verdana" w:cs="Arial"/>
        </w:rPr>
        <w:t>Ahora</w:t>
      </w:r>
      <w:r w:rsidR="006E4E33">
        <w:rPr>
          <w:rFonts w:ascii="Verdana" w:hAnsi="Verdana" w:cs="Arial"/>
        </w:rPr>
        <w:t xml:space="preserve"> bien</w:t>
      </w:r>
      <w:r w:rsidR="00A30A1D">
        <w:rPr>
          <w:rFonts w:ascii="Verdana" w:hAnsi="Verdana" w:cs="Arial"/>
        </w:rPr>
        <w:t>, en cuanto a la capacidad jurídica de las Sociedades por Acciones Simplificadas conforme a su objeto social determinado o indeterminado, se debe precisar que, a</w:t>
      </w:r>
      <w:r w:rsidR="00A30A1D" w:rsidRPr="00372D18">
        <w:rPr>
          <w:rFonts w:ascii="Verdana" w:hAnsi="Verdana" w:cs="Arial"/>
        </w:rPr>
        <w:t xml:space="preserve"> partir de su aparición en el ordenamiento jurídico colombiano, por medio de la Ley 1258 de 2008, las Sociedades por Acciones Simplificadas, fueron definidas por la doctrina como una de las innovaciones más relevantes del derecho societario colombiano, por la posibilidad de conformación a través de un acto unipersonal, la limitación de responsabilidad por obligaciones sociales, la viabilidad de poder contar con un objeto indeterminado para desarrollar actividades lícitas, el término de duración indefinido, la posibilidad de renunciar al derecho de ser convocado a reuniones de la asamblea, entre otras tantas que hicieron de ellas uno de los modelos societarios más atractivos para la conformación empresarial</w:t>
      </w:r>
      <w:r w:rsidR="00A30A1D" w:rsidRPr="00372D18">
        <w:rPr>
          <w:rStyle w:val="Refdenotaalpie"/>
          <w:rFonts w:ascii="Verdana" w:hAnsi="Verdana" w:cs="Arial"/>
        </w:rPr>
        <w:footnoteReference w:id="6"/>
      </w:r>
      <w:r w:rsidR="00A30A1D" w:rsidRPr="00372D18">
        <w:rPr>
          <w:rFonts w:ascii="Verdana" w:hAnsi="Verdana" w:cs="Arial"/>
        </w:rPr>
        <w:t xml:space="preserve">. </w:t>
      </w:r>
    </w:p>
    <w:p w14:paraId="62FA642D" w14:textId="77777777" w:rsidR="00A30A1D" w:rsidRPr="00372D18" w:rsidRDefault="00A30A1D" w:rsidP="00D600FA">
      <w:pPr>
        <w:spacing w:before="120" w:after="0" w:line="276" w:lineRule="auto"/>
        <w:ind w:firstLine="708"/>
        <w:jc w:val="both"/>
        <w:rPr>
          <w:rFonts w:ascii="Verdana" w:hAnsi="Verdana" w:cs="Arial"/>
        </w:rPr>
      </w:pPr>
      <w:r w:rsidRPr="00372D18">
        <w:rPr>
          <w:rFonts w:ascii="Verdana" w:hAnsi="Verdana" w:cs="Arial"/>
        </w:rPr>
        <w:lastRenderedPageBreak/>
        <w:t>Ahora bien, en cuanto al objeto social, de acuerdo con el numeral 5° del artículo 5° de la ley 1258 de 2008, se estableció la posibilidad de fijar un objeto social indeterminado, teniendo en cuenta lo citado a continuación:</w:t>
      </w:r>
    </w:p>
    <w:p w14:paraId="14643F0C" w14:textId="77777777" w:rsidR="00594CEA" w:rsidRPr="00D600FA" w:rsidRDefault="00594CEA" w:rsidP="00D600FA">
      <w:pPr>
        <w:spacing w:after="0" w:line="276" w:lineRule="auto"/>
        <w:ind w:left="709" w:right="758"/>
        <w:jc w:val="both"/>
        <w:rPr>
          <w:rFonts w:ascii="Verdana" w:hAnsi="Verdana" w:cs="Arial"/>
          <w:iCs/>
        </w:rPr>
      </w:pPr>
    </w:p>
    <w:p w14:paraId="3AE20716" w14:textId="70F90929" w:rsidR="00A30A1D" w:rsidRPr="003B233F" w:rsidRDefault="00924A8F" w:rsidP="00D600FA">
      <w:pPr>
        <w:spacing w:after="0" w:line="240" w:lineRule="auto"/>
        <w:ind w:left="709" w:right="709"/>
        <w:jc w:val="both"/>
        <w:rPr>
          <w:rFonts w:ascii="Verdana" w:hAnsi="Verdana" w:cs="Arial"/>
          <w:iCs/>
          <w:sz w:val="20"/>
          <w:szCs w:val="20"/>
        </w:rPr>
      </w:pPr>
      <w:r>
        <w:rPr>
          <w:rFonts w:ascii="Verdana" w:hAnsi="Verdana" w:cs="Arial"/>
          <w:iCs/>
          <w:sz w:val="20"/>
          <w:szCs w:val="20"/>
        </w:rPr>
        <w:t>“</w:t>
      </w:r>
      <w:r w:rsidR="00A30A1D" w:rsidRPr="003B233F">
        <w:rPr>
          <w:rFonts w:ascii="Verdana" w:hAnsi="Verdana" w:cs="Arial"/>
          <w:iCs/>
          <w:sz w:val="20"/>
          <w:szCs w:val="20"/>
        </w:rPr>
        <w:t>Artículo 5o. Contenido del documento de constitución. La sociedad por acciones simplificada se creará mediante contrato o acto unilateral que conste en documento privado, inscrito en el Registro Mercantil de la Cámara de Comercio del lugar en que la sociedad establezca su domicilio principal, en el cual se expresará cuando menos lo siguiente:</w:t>
      </w:r>
    </w:p>
    <w:p w14:paraId="0C36B0AF" w14:textId="77777777" w:rsidR="00A30A1D" w:rsidRPr="003B233F" w:rsidRDefault="00A30A1D" w:rsidP="00D600FA">
      <w:pPr>
        <w:spacing w:after="0" w:line="240" w:lineRule="auto"/>
        <w:ind w:left="709" w:right="709"/>
        <w:jc w:val="both"/>
        <w:rPr>
          <w:rFonts w:ascii="Verdana" w:hAnsi="Verdana" w:cs="Arial"/>
          <w:iCs/>
          <w:sz w:val="20"/>
          <w:szCs w:val="20"/>
        </w:rPr>
      </w:pPr>
      <w:r w:rsidRPr="003B233F">
        <w:rPr>
          <w:rFonts w:ascii="Verdana" w:hAnsi="Verdana" w:cs="Arial"/>
          <w:iCs/>
          <w:sz w:val="20"/>
          <w:szCs w:val="20"/>
        </w:rPr>
        <w:t>[…]</w:t>
      </w:r>
    </w:p>
    <w:p w14:paraId="2924ED50" w14:textId="29B12213" w:rsidR="00A30A1D" w:rsidRPr="003B233F" w:rsidRDefault="00A30A1D" w:rsidP="00594CEA">
      <w:pPr>
        <w:spacing w:after="0" w:line="240" w:lineRule="auto"/>
        <w:ind w:left="709" w:right="709"/>
        <w:jc w:val="both"/>
        <w:rPr>
          <w:rFonts w:ascii="Verdana" w:hAnsi="Verdana" w:cs="Arial"/>
          <w:sz w:val="20"/>
          <w:szCs w:val="20"/>
        </w:rPr>
      </w:pPr>
      <w:r w:rsidRPr="003B233F">
        <w:rPr>
          <w:rFonts w:ascii="Verdana" w:hAnsi="Verdana" w:cs="Arial"/>
          <w:iCs/>
          <w:sz w:val="20"/>
          <w:szCs w:val="20"/>
        </w:rPr>
        <w:t xml:space="preserve">5o. Una enunciación clara y completa de las actividades principales, a menos que se exprese que la sociedad podrá realizar cualquier actividad comercial o civil, lícita. Si nada se expresa en el acto de constitución, se entenderá que la </w:t>
      </w:r>
      <w:r w:rsidRPr="003B233F">
        <w:rPr>
          <w:rFonts w:ascii="Verdana" w:hAnsi="Verdana" w:cs="Arial"/>
          <w:sz w:val="20"/>
          <w:szCs w:val="20"/>
        </w:rPr>
        <w:t>sociedad podrá realizar cualquier actividad lícita</w:t>
      </w:r>
      <w:r w:rsidR="00924A8F">
        <w:rPr>
          <w:rFonts w:ascii="Verdana" w:hAnsi="Verdana" w:cs="Arial"/>
          <w:sz w:val="20"/>
          <w:szCs w:val="20"/>
        </w:rPr>
        <w:t>”</w:t>
      </w:r>
      <w:r w:rsidRPr="003B233F">
        <w:rPr>
          <w:rFonts w:ascii="Verdana" w:hAnsi="Verdana" w:cs="Arial"/>
          <w:sz w:val="20"/>
          <w:szCs w:val="20"/>
        </w:rPr>
        <w:t xml:space="preserve">. </w:t>
      </w:r>
    </w:p>
    <w:p w14:paraId="5107A972" w14:textId="77777777" w:rsidR="00594CEA" w:rsidRPr="00D600FA" w:rsidRDefault="00594CEA" w:rsidP="00D600FA">
      <w:pPr>
        <w:spacing w:after="0" w:line="276" w:lineRule="auto"/>
        <w:ind w:left="709" w:right="709"/>
        <w:jc w:val="both"/>
        <w:rPr>
          <w:rFonts w:ascii="Verdana" w:hAnsi="Verdana" w:cs="Arial"/>
        </w:rPr>
      </w:pPr>
    </w:p>
    <w:p w14:paraId="08B0D156" w14:textId="77777777" w:rsidR="00A30A1D" w:rsidRPr="00372D18" w:rsidRDefault="00A30A1D" w:rsidP="00A30A1D">
      <w:pPr>
        <w:spacing w:line="276" w:lineRule="auto"/>
        <w:ind w:firstLine="708"/>
        <w:jc w:val="both"/>
        <w:rPr>
          <w:rFonts w:ascii="Verdana" w:hAnsi="Verdana" w:cs="Arial"/>
        </w:rPr>
      </w:pPr>
      <w:r w:rsidRPr="00372D18">
        <w:rPr>
          <w:rFonts w:ascii="Verdana" w:hAnsi="Verdana" w:cs="Arial"/>
        </w:rPr>
        <w:t>En contraste a lo desarrollado por el legislador en el año 2008, por regla general, según lo establecido en el artículo 99 del Código de Comercio, la capacidad de una sociedad se circunscribirá al desarrollo de la empresa o a la actividad prevista en su objeto. Esta capacidad, según la jurisprudencia del Consejo de Estado, se refleja en la idoneidad para ejercer sus derechos por sí misma, como una capacidad de obrar.</w:t>
      </w:r>
    </w:p>
    <w:p w14:paraId="025B775C" w14:textId="77777777" w:rsidR="00A30A1D" w:rsidRPr="00372D18" w:rsidRDefault="00A30A1D" w:rsidP="001B5AEF">
      <w:pPr>
        <w:spacing w:before="120" w:after="0" w:line="276" w:lineRule="auto"/>
        <w:ind w:firstLine="709"/>
        <w:jc w:val="both"/>
        <w:rPr>
          <w:rFonts w:ascii="Verdana" w:hAnsi="Verdana" w:cs="Arial"/>
        </w:rPr>
      </w:pPr>
      <w:r w:rsidRPr="00372D18">
        <w:rPr>
          <w:rFonts w:ascii="Verdana" w:hAnsi="Verdana" w:cs="Arial"/>
        </w:rPr>
        <w:t>Con la aparición de las Sociedades por Acciones Simplificadas, se da un giro sustancial a la regla general definida por el artículo 99 del Código de Comercio, debido a que se le otorga a sus asociados, la posibilidad de: definir su capacidad jurídica de forma autónoma, configurando su objeto social y actividades que desarrolla la compañía de forma discrecional, sin que sea necesario que exista una conexidad directa entre ellas o, por otro, facultar a la sociedad para desempeñar cualquier actividad de carácter lícito. Frente a lo anterior se refirió la Superintendencia de Sociedades en el Concepto 0673 de diciembre 30 de 2010, así:</w:t>
      </w:r>
    </w:p>
    <w:p w14:paraId="6A6C3288" w14:textId="77777777" w:rsidR="001B5AEF" w:rsidRPr="00372D18" w:rsidRDefault="001B5AEF" w:rsidP="00D600FA">
      <w:pPr>
        <w:spacing w:after="0" w:line="276" w:lineRule="auto"/>
        <w:ind w:firstLine="709"/>
        <w:jc w:val="both"/>
        <w:rPr>
          <w:rFonts w:ascii="Verdana" w:hAnsi="Verdana" w:cs="Arial"/>
        </w:rPr>
      </w:pPr>
    </w:p>
    <w:p w14:paraId="09FEB0DC" w14:textId="77777777" w:rsidR="00A30A1D" w:rsidRDefault="00A30A1D" w:rsidP="001B5AEF">
      <w:pPr>
        <w:spacing w:after="0" w:line="240" w:lineRule="auto"/>
        <w:ind w:left="709" w:right="709"/>
        <w:jc w:val="both"/>
        <w:rPr>
          <w:rFonts w:ascii="Verdana" w:hAnsi="Verdana" w:cs="Arial"/>
          <w:sz w:val="20"/>
          <w:szCs w:val="20"/>
        </w:rPr>
      </w:pPr>
      <w:r w:rsidRPr="00D600FA">
        <w:rPr>
          <w:rFonts w:ascii="Verdana" w:hAnsi="Verdana" w:cs="Arial"/>
          <w:sz w:val="20"/>
          <w:szCs w:val="20"/>
        </w:rPr>
        <w:t xml:space="preserve">De lo expuesto se desprende que es enteramente discrecional de los asociados acoger según su conveniencia y necesidad, un objeto social determinado o indeterminado. En el primer caso se deberán identificar de manera explícita el acto o los actos que constituyan la empresa, en el entendido que la capacidad de la sociedad, como las actuaciones del representante legal y los administradores se han de establecer igualmente en consideración a las actividades en él enunciadas, con sujeción a las reglas y las consecuencias que al efecto prevén las disposiciones consagradas el Código de Comercio, particularmente el artículo 110, ordinal 4º, en concordancia con el 99 </w:t>
      </w:r>
      <w:proofErr w:type="spellStart"/>
      <w:r w:rsidRPr="00D600FA">
        <w:rPr>
          <w:rFonts w:ascii="Verdana" w:hAnsi="Verdana" w:cs="Arial"/>
          <w:sz w:val="20"/>
          <w:szCs w:val="20"/>
        </w:rPr>
        <w:t>ibídem</w:t>
      </w:r>
      <w:proofErr w:type="spellEnd"/>
      <w:r w:rsidRPr="00D600FA">
        <w:rPr>
          <w:rFonts w:ascii="Verdana" w:hAnsi="Verdana" w:cs="Arial"/>
          <w:sz w:val="20"/>
          <w:szCs w:val="20"/>
        </w:rPr>
        <w:t xml:space="preserve">. En el segundo caso, se podrá </w:t>
      </w:r>
      <w:r w:rsidRPr="00D600FA">
        <w:rPr>
          <w:rFonts w:ascii="Verdana" w:hAnsi="Verdana" w:cs="Arial"/>
          <w:sz w:val="20"/>
          <w:szCs w:val="20"/>
        </w:rPr>
        <w:lastRenderedPageBreak/>
        <w:t>optar por un objeto indeterminado que bien identifique una o algunas de las actividades a las que especialmente se pretenda aplicar la empresa y, adicionalmente incluya las demás actividades licitas; o simplemente exprese que la sociedad podrá realizar cualquier actividad comercial o civil, lícita sin mencionar en particular ninguna, lo que igualmente se entenderá para todos los efectos cuando en el acto de constitución no se diga nada sobre ese aspecto y en estos casos la capacidad de la compañía será de todas formas ilimitada</w:t>
      </w:r>
      <w:r w:rsidRPr="00D600FA">
        <w:rPr>
          <w:rStyle w:val="Refdenotaalpie"/>
          <w:rFonts w:ascii="Verdana" w:hAnsi="Verdana" w:cs="Arial"/>
          <w:sz w:val="20"/>
          <w:szCs w:val="20"/>
        </w:rPr>
        <w:footnoteReference w:id="7"/>
      </w:r>
      <w:r w:rsidRPr="00D600FA">
        <w:rPr>
          <w:rFonts w:ascii="Verdana" w:hAnsi="Verdana" w:cs="Arial"/>
          <w:sz w:val="20"/>
          <w:szCs w:val="20"/>
        </w:rPr>
        <w:t xml:space="preserve">. </w:t>
      </w:r>
    </w:p>
    <w:p w14:paraId="2102609A" w14:textId="77777777" w:rsidR="001B5AEF" w:rsidRPr="00D600FA" w:rsidRDefault="001B5AEF" w:rsidP="00D600FA">
      <w:pPr>
        <w:spacing w:after="0" w:line="276" w:lineRule="auto"/>
        <w:ind w:left="709" w:right="709"/>
        <w:jc w:val="both"/>
        <w:rPr>
          <w:rFonts w:ascii="Verdana" w:hAnsi="Verdana" w:cs="Arial"/>
          <w:iCs/>
        </w:rPr>
      </w:pPr>
    </w:p>
    <w:p w14:paraId="0AD39064" w14:textId="77777777" w:rsidR="00A30A1D" w:rsidRPr="00372D18" w:rsidRDefault="00A30A1D" w:rsidP="00D600FA">
      <w:pPr>
        <w:spacing w:line="276" w:lineRule="auto"/>
        <w:ind w:firstLine="709"/>
        <w:jc w:val="both"/>
        <w:rPr>
          <w:rFonts w:ascii="Verdana" w:hAnsi="Verdana" w:cs="Arial"/>
        </w:rPr>
      </w:pPr>
      <w:r w:rsidRPr="00372D18">
        <w:rPr>
          <w:rFonts w:ascii="Verdana" w:hAnsi="Verdana" w:cs="Arial"/>
        </w:rPr>
        <w:t xml:space="preserve">De modo que, la Ley 1258 de 2008 suprimió la limitación para las Sociedades por Acciones Simplificadas, que contemplaba el Código de Comercio frente a la indeterminación del objeto social, pues estableció que el silencio de los constituyentes en el contrato o acto de constitución implicaba la indeterminación en el objeto social. Ahora bien, valga decir que dicha supresión no implica que bajo esta tipología societaria no se pueda determinar el objeto social de la misma, no obstante, en estos casos la capacidad jurídica de las Sociedades por Acciones Simplificadas estará limitada a las actividades enunciadas en su objeto social, de conformidad con lo prescrito por el artículo 99 y 110 Numeral 4 del Código de Comerio. </w:t>
      </w:r>
    </w:p>
    <w:p w14:paraId="7156F3BA" w14:textId="77777777" w:rsidR="00A30A1D" w:rsidRPr="00372D18" w:rsidRDefault="00A30A1D" w:rsidP="00D600FA">
      <w:pPr>
        <w:spacing w:before="120" w:after="0" w:line="276" w:lineRule="auto"/>
        <w:ind w:firstLine="709"/>
        <w:jc w:val="both"/>
        <w:rPr>
          <w:rFonts w:ascii="Verdana" w:hAnsi="Verdana" w:cs="Arial"/>
        </w:rPr>
      </w:pPr>
      <w:r w:rsidRPr="00372D18">
        <w:rPr>
          <w:rFonts w:ascii="Verdana" w:hAnsi="Verdana" w:cs="Arial"/>
        </w:rPr>
        <w:t xml:space="preserve">Óscar Humberto González Benjumea se refiere a la seguridad jurídica de contratar con este tipo de sociedades, entendiendo que puede ocurrir que la sociedad con la que se va a contratar se dedique a múltiples actos y que, en el certificado de existencia y representación legal, no se precise cuál es su especialidad. Asegura que un manejo adecuado de la permisión legislativa que caracteriza a estas sociedades abre espacios de contratación y evita que se vean inmersas en procesos de nulidad por falta de capacidad para contratar. Lo que en contraposición ocurre con los modelos societarios tradicionales contemplados en el Código de Comercio, pues deben acogerse imperativamente a lo dispuesto en el artículo 99 del mismo Código, so pena de verse inmersos en una demanda por nulidad, al ejecutar un acto fuera del objeto social. </w:t>
      </w:r>
    </w:p>
    <w:p w14:paraId="5E87357B" w14:textId="77777777" w:rsidR="008A03B9" w:rsidRDefault="008A03B9" w:rsidP="00D600FA">
      <w:pPr>
        <w:spacing w:after="0" w:line="276" w:lineRule="auto"/>
        <w:ind w:left="708" w:right="758"/>
        <w:jc w:val="both"/>
        <w:rPr>
          <w:rFonts w:ascii="Verdana" w:hAnsi="Verdana" w:cs="Arial"/>
          <w:iCs/>
          <w:sz w:val="21"/>
          <w:szCs w:val="21"/>
        </w:rPr>
      </w:pPr>
    </w:p>
    <w:p w14:paraId="2FD12C59" w14:textId="68D2DD7B" w:rsidR="00A30A1D" w:rsidRDefault="00C23989" w:rsidP="00C23989">
      <w:pPr>
        <w:spacing w:after="0" w:line="240" w:lineRule="auto"/>
        <w:ind w:left="708" w:right="709"/>
        <w:jc w:val="both"/>
        <w:rPr>
          <w:rFonts w:ascii="Verdana" w:hAnsi="Verdana" w:cs="Arial"/>
          <w:sz w:val="20"/>
          <w:szCs w:val="20"/>
        </w:rPr>
      </w:pPr>
      <w:r>
        <w:rPr>
          <w:rFonts w:ascii="Verdana" w:hAnsi="Verdana" w:cs="Arial"/>
          <w:iCs/>
          <w:sz w:val="20"/>
          <w:szCs w:val="20"/>
        </w:rPr>
        <w:t>“</w:t>
      </w:r>
      <w:r w:rsidR="00A30A1D" w:rsidRPr="00D600FA">
        <w:rPr>
          <w:rFonts w:ascii="Verdana" w:hAnsi="Verdana" w:cs="Arial"/>
          <w:sz w:val="20"/>
          <w:szCs w:val="20"/>
        </w:rPr>
        <w:t xml:space="preserve">Se pregunta, ¿será acaso lógico y pertinente contratar la producción de un bien o la prestación de un servicio con una sociedad en la cual se desconoce cuál es su actividad principal y especial?, ¿qué seguridad ofrece contratar la fabricación de este producto o la prestación de este servicio, del cual depende mi cadena de producción, con una sociedad que se dedica a múltiples actos y que, en el certificado de existencia y representación legal, no precisa cuál es su especialidad? […] Se recomienda en todos los </w:t>
      </w:r>
      <w:r w:rsidR="00A30A1D" w:rsidRPr="00D600FA">
        <w:rPr>
          <w:rFonts w:ascii="Verdana" w:hAnsi="Verdana" w:cs="Arial"/>
          <w:sz w:val="20"/>
          <w:szCs w:val="20"/>
        </w:rPr>
        <w:lastRenderedPageBreak/>
        <w:t xml:space="preserve">eventos indicar la actividad principal de la sociedad, a fin de brindar a los posibles clientes certeza sobre los bienes, productos o servicios ofrecidos. No obstante, se sugiere indicar que la sociedad podrá realizar, además, cualquier actividad comercial o civil lícita. Se sigue de lo anterior, que un manejo adecuado de tal permisión </w:t>
      </w:r>
      <w:proofErr w:type="gramStart"/>
      <w:r w:rsidR="00A30A1D" w:rsidRPr="00D600FA">
        <w:rPr>
          <w:rFonts w:ascii="Verdana" w:hAnsi="Verdana" w:cs="Arial"/>
          <w:sz w:val="20"/>
          <w:szCs w:val="20"/>
        </w:rPr>
        <w:t>legislativa,</w:t>
      </w:r>
      <w:proofErr w:type="gramEnd"/>
      <w:r w:rsidR="00A30A1D" w:rsidRPr="00D600FA">
        <w:rPr>
          <w:rFonts w:ascii="Verdana" w:hAnsi="Verdana" w:cs="Arial"/>
          <w:sz w:val="20"/>
          <w:szCs w:val="20"/>
        </w:rPr>
        <w:t xml:space="preserve"> abre los espacios de contratación de las sociedades y evita que la misma se vea inmersa en procesos de nulidad por falta de capacidad para contratar</w:t>
      </w:r>
      <w:r>
        <w:rPr>
          <w:rFonts w:ascii="Verdana" w:hAnsi="Verdana" w:cs="Arial"/>
          <w:iCs/>
          <w:sz w:val="20"/>
          <w:szCs w:val="20"/>
        </w:rPr>
        <w:t>”</w:t>
      </w:r>
      <w:r w:rsidR="00A30A1D" w:rsidRPr="00D600FA">
        <w:rPr>
          <w:rStyle w:val="Refdenotaalpie"/>
          <w:rFonts w:ascii="Verdana" w:hAnsi="Verdana" w:cs="Arial"/>
          <w:sz w:val="20"/>
          <w:szCs w:val="20"/>
        </w:rPr>
        <w:footnoteReference w:id="8"/>
      </w:r>
      <w:r w:rsidR="00A30A1D" w:rsidRPr="00D600FA">
        <w:rPr>
          <w:rFonts w:ascii="Verdana" w:hAnsi="Verdana" w:cs="Arial"/>
          <w:sz w:val="20"/>
          <w:szCs w:val="20"/>
        </w:rPr>
        <w:t>.</w:t>
      </w:r>
    </w:p>
    <w:p w14:paraId="2C38DF8E" w14:textId="77777777" w:rsidR="00C23989" w:rsidRPr="00D600FA" w:rsidRDefault="00C23989" w:rsidP="00D600FA">
      <w:pPr>
        <w:spacing w:after="0" w:line="276" w:lineRule="auto"/>
        <w:ind w:left="708" w:right="709"/>
        <w:jc w:val="both"/>
        <w:rPr>
          <w:rFonts w:ascii="Verdana" w:hAnsi="Verdana" w:cs="Arial"/>
          <w:iCs/>
          <w:sz w:val="20"/>
          <w:szCs w:val="20"/>
        </w:rPr>
      </w:pPr>
    </w:p>
    <w:p w14:paraId="069F15FF" w14:textId="77777777" w:rsidR="00A30A1D" w:rsidRPr="00372D18" w:rsidRDefault="00A30A1D" w:rsidP="00D600FA">
      <w:pPr>
        <w:spacing w:after="0" w:line="276" w:lineRule="auto"/>
        <w:ind w:firstLine="709"/>
        <w:jc w:val="both"/>
        <w:rPr>
          <w:rFonts w:ascii="Verdana" w:hAnsi="Verdana" w:cs="Arial"/>
        </w:rPr>
      </w:pPr>
      <w:r w:rsidRPr="00372D18">
        <w:rPr>
          <w:rFonts w:ascii="Verdana" w:hAnsi="Verdana" w:cs="Arial"/>
        </w:rPr>
        <w:t>En relación con la capacidad de las sociedades comerciales, se precisa citar al tratadista Néstor Humberto Martínez Neira:</w:t>
      </w:r>
    </w:p>
    <w:p w14:paraId="11406248" w14:textId="77777777" w:rsidR="004A1DB0" w:rsidRPr="00D600FA" w:rsidRDefault="004A1DB0" w:rsidP="00D600FA">
      <w:pPr>
        <w:spacing w:after="0" w:line="276" w:lineRule="auto"/>
        <w:ind w:left="709" w:right="758"/>
        <w:jc w:val="both"/>
        <w:rPr>
          <w:rFonts w:ascii="Verdana" w:hAnsi="Verdana" w:cs="Arial"/>
        </w:rPr>
      </w:pPr>
    </w:p>
    <w:p w14:paraId="201B8BF0" w14:textId="720BE096" w:rsidR="00A30A1D" w:rsidRDefault="004A1DB0" w:rsidP="00D600FA">
      <w:pPr>
        <w:spacing w:after="0" w:line="240" w:lineRule="auto"/>
        <w:ind w:left="709" w:right="709"/>
        <w:jc w:val="both"/>
        <w:rPr>
          <w:rFonts w:ascii="Verdana" w:hAnsi="Verdana" w:cs="Arial"/>
          <w:sz w:val="20"/>
          <w:szCs w:val="20"/>
        </w:rPr>
      </w:pPr>
      <w:r w:rsidRPr="00D600FA">
        <w:rPr>
          <w:rFonts w:ascii="Verdana" w:hAnsi="Verdana" w:cs="Arial"/>
          <w:sz w:val="20"/>
          <w:szCs w:val="20"/>
        </w:rPr>
        <w:t>“</w:t>
      </w:r>
      <w:r w:rsidR="00A30A1D" w:rsidRPr="00D600FA">
        <w:rPr>
          <w:rFonts w:ascii="Verdana" w:hAnsi="Verdana" w:cs="Arial"/>
          <w:sz w:val="20"/>
          <w:szCs w:val="20"/>
        </w:rPr>
        <w:t>Toda sociedad, por el hecho de existir, se beneficia del atributo de la capacidad de goce; por ende, puede ser titular de derecho y sujeto de obligaciones. Sin embargo, la capacidad legal de la sociedad se circunscribe al objeto social, como lo advierte el art. 99 del Código de Comercio. Es decir, la sociedad goza de capacidad jurídica para llevar adelante los actos propios de sus actividades principales o que constituyan actos conexos</w:t>
      </w:r>
      <w:r>
        <w:rPr>
          <w:rFonts w:ascii="Verdana" w:hAnsi="Verdana" w:cs="Arial"/>
          <w:iCs/>
          <w:sz w:val="20"/>
          <w:szCs w:val="20"/>
        </w:rPr>
        <w:t>”</w:t>
      </w:r>
      <w:r w:rsidR="00A30A1D" w:rsidRPr="00D600FA">
        <w:rPr>
          <w:rStyle w:val="Refdenotaalpie"/>
          <w:rFonts w:ascii="Verdana" w:hAnsi="Verdana" w:cs="Arial"/>
          <w:sz w:val="20"/>
          <w:szCs w:val="20"/>
        </w:rPr>
        <w:footnoteReference w:id="9"/>
      </w:r>
      <w:r w:rsidR="00A30A1D" w:rsidRPr="00D600FA">
        <w:rPr>
          <w:rFonts w:ascii="Verdana" w:hAnsi="Verdana" w:cs="Arial"/>
          <w:sz w:val="20"/>
          <w:szCs w:val="20"/>
        </w:rPr>
        <w:t>.</w:t>
      </w:r>
    </w:p>
    <w:p w14:paraId="43F4D43B" w14:textId="77777777" w:rsidR="004A1DB0" w:rsidRPr="00D600FA" w:rsidRDefault="004A1DB0" w:rsidP="00D600FA">
      <w:pPr>
        <w:spacing w:after="0" w:line="276" w:lineRule="auto"/>
        <w:ind w:left="709" w:right="758"/>
        <w:jc w:val="both"/>
        <w:rPr>
          <w:rFonts w:ascii="Verdana" w:hAnsi="Verdana" w:cs="Arial"/>
          <w:iCs/>
        </w:rPr>
      </w:pPr>
    </w:p>
    <w:p w14:paraId="5BD447C8" w14:textId="77777777" w:rsidR="00A30A1D" w:rsidRPr="00372D18" w:rsidRDefault="00A30A1D" w:rsidP="00D600FA">
      <w:pPr>
        <w:spacing w:after="120" w:line="276" w:lineRule="auto"/>
        <w:ind w:firstLine="709"/>
        <w:jc w:val="both"/>
        <w:rPr>
          <w:rFonts w:ascii="Verdana" w:hAnsi="Verdana" w:cs="Arial"/>
        </w:rPr>
      </w:pPr>
      <w:r w:rsidRPr="00372D18">
        <w:rPr>
          <w:rFonts w:ascii="Verdana" w:eastAsia="Calibri" w:hAnsi="Verdana" w:cs="Arial"/>
          <w:bCs/>
        </w:rPr>
        <w:t xml:space="preserve">Por las razones expuestas, que se originan en la amplitud del objeto y las actividades que pueden desarrollar las Sociedades por Acciones Simplificadas, al analizar su participación en un procedimiento de selección de contratistas, esta Subdirección considera, conforme a la interpretación del numeral 5º del artículo 5 de la Ley 1258 de 2008, que su capacidad contractual se encuentra estrechamente ligada al documento de constitución en los siguientes </w:t>
      </w:r>
      <w:r w:rsidRPr="00372D18">
        <w:rPr>
          <w:rFonts w:ascii="Verdana" w:hAnsi="Verdana" w:cs="Arial"/>
        </w:rPr>
        <w:t xml:space="preserve">términos: </w:t>
      </w:r>
    </w:p>
    <w:p w14:paraId="79D2BC70" w14:textId="77777777" w:rsidR="00A30A1D" w:rsidRPr="00372D18" w:rsidRDefault="00A30A1D" w:rsidP="00D600FA">
      <w:pPr>
        <w:pStyle w:val="Prrafodelista"/>
        <w:numPr>
          <w:ilvl w:val="0"/>
          <w:numId w:val="18"/>
        </w:numPr>
        <w:spacing w:after="120" w:line="276" w:lineRule="auto"/>
        <w:ind w:left="720"/>
        <w:jc w:val="both"/>
        <w:rPr>
          <w:rFonts w:ascii="Verdana" w:hAnsi="Verdana" w:cs="Arial"/>
        </w:rPr>
      </w:pPr>
      <w:r w:rsidRPr="00372D18">
        <w:rPr>
          <w:rFonts w:ascii="Verdana" w:hAnsi="Verdana" w:cs="Arial"/>
        </w:rPr>
        <w:t>Cuando el</w:t>
      </w:r>
      <w:r w:rsidRPr="00372D18">
        <w:rPr>
          <w:rFonts w:ascii="Verdana" w:eastAsia="Calibri" w:hAnsi="Verdana" w:cs="Arial"/>
          <w:bCs/>
        </w:rPr>
        <w:t xml:space="preserve"> proponente defina de forma clara, completa y precisa las actividades comerciales sobre las cuales versa su objeto, sin mencionar la posibilidad de realizar otro tipo de actividades de carácter lícito, solo tendrán capacidad para participar en procedimientos de selección y celebrar contratos cuyo objeto se relacione con las actividades definidas en su documento de </w:t>
      </w:r>
      <w:r w:rsidRPr="00372D18">
        <w:rPr>
          <w:rFonts w:ascii="Verdana" w:hAnsi="Verdana" w:cs="Arial"/>
        </w:rPr>
        <w:t xml:space="preserve">constitución, tal como sucede con otras sociedades comerciales. Ahora bien, sobre este punto vale resaltar que las Entidades Estatales deben verificar que el objeto social de las de las personas jurídicas les permite desarrollar el objeto del contrato, bien porque la </w:t>
      </w:r>
      <w:r w:rsidRPr="00372D18">
        <w:rPr>
          <w:rFonts w:ascii="Verdana" w:hAnsi="Verdana" w:cs="Arial"/>
        </w:rPr>
        <w:lastRenderedPageBreak/>
        <w:t>actividad está prevista como una actividad del objeto social principal o como una actividad conexa o porque al tratarse de una sociedad por acciones simplificada puede realizar actividades comerciales o civiles.</w:t>
      </w:r>
    </w:p>
    <w:p w14:paraId="24940D66" w14:textId="77777777" w:rsidR="00A30A1D" w:rsidRPr="00372D18" w:rsidRDefault="00A30A1D" w:rsidP="00D600FA">
      <w:pPr>
        <w:pStyle w:val="Prrafodelista"/>
        <w:numPr>
          <w:ilvl w:val="0"/>
          <w:numId w:val="18"/>
        </w:numPr>
        <w:spacing w:after="120" w:line="276" w:lineRule="auto"/>
        <w:ind w:left="720"/>
        <w:jc w:val="both"/>
        <w:rPr>
          <w:rFonts w:ascii="Verdana" w:eastAsia="Calibri" w:hAnsi="Verdana" w:cs="Arial"/>
          <w:bCs/>
        </w:rPr>
      </w:pPr>
      <w:r w:rsidRPr="00372D18">
        <w:rPr>
          <w:rFonts w:ascii="Verdana" w:hAnsi="Verdana" w:cs="Arial"/>
        </w:rPr>
        <w:t>Cuando</w:t>
      </w:r>
      <w:r w:rsidRPr="00372D18">
        <w:rPr>
          <w:rFonts w:ascii="Verdana" w:eastAsia="Calibri" w:hAnsi="Verdana" w:cs="Arial"/>
          <w:bCs/>
        </w:rPr>
        <w:t xml:space="preserve"> el proponente defina de forma clara y precisa las principales actividades comerciales sobre los cuales versa su objeto; pero además señale de forma expresa dentro del documento de constitución que, además de las señaladas, podrá realizar cualquier actividad lícita, su capacidad contractual será amplia y podrá participar en cualquier procedimiento de selección y celebrar cualquier contrato. </w:t>
      </w:r>
    </w:p>
    <w:p w14:paraId="5ED2CD82" w14:textId="77777777" w:rsidR="00A30A1D" w:rsidRPr="00372D18" w:rsidRDefault="00A30A1D" w:rsidP="00D600FA">
      <w:pPr>
        <w:pStyle w:val="Prrafodelista"/>
        <w:numPr>
          <w:ilvl w:val="0"/>
          <w:numId w:val="18"/>
        </w:numPr>
        <w:spacing w:after="120" w:line="276" w:lineRule="auto"/>
        <w:ind w:left="720"/>
        <w:jc w:val="both"/>
        <w:rPr>
          <w:rFonts w:ascii="Verdana" w:eastAsia="Calibri" w:hAnsi="Verdana" w:cs="Arial"/>
          <w:bCs/>
        </w:rPr>
      </w:pPr>
      <w:r w:rsidRPr="00372D18">
        <w:rPr>
          <w:rFonts w:ascii="Verdana" w:eastAsia="Calibri" w:hAnsi="Verdana" w:cs="Arial"/>
          <w:bCs/>
        </w:rPr>
        <w:t xml:space="preserve">Cuando nada de lo anterior se exprese en el acto de constitución, la entidad entenderá que la sociedad se encuentra facultada para realizar cualquier actividad lícita y podrá participar en cualquier procedimiento de selección y celebrar cualquier contrato. </w:t>
      </w:r>
    </w:p>
    <w:p w14:paraId="5822CAB1" w14:textId="77777777" w:rsidR="00A30A1D" w:rsidRPr="00372D18" w:rsidRDefault="00A30A1D" w:rsidP="00D600FA">
      <w:pPr>
        <w:spacing w:after="120" w:line="276" w:lineRule="auto"/>
        <w:ind w:firstLine="709"/>
        <w:jc w:val="both"/>
        <w:rPr>
          <w:rFonts w:ascii="Verdana" w:eastAsia="Calibri" w:hAnsi="Verdana" w:cs="Arial"/>
          <w:bCs/>
        </w:rPr>
      </w:pPr>
      <w:r w:rsidRPr="00372D18">
        <w:rPr>
          <w:rFonts w:ascii="Verdana" w:eastAsia="Calibri" w:hAnsi="Verdana" w:cs="Arial"/>
          <w:bCs/>
        </w:rPr>
        <w:t xml:space="preserve">Lo anterior únicamente obedece a la capacidad jurídica del proponente, debido a que existen otros elementos y requisitos habilitantes que podrá exigir la entidad y que tendrán que cumplir los oferentes. Con esto se hace referencia, entre otras cosas, a la experiencia, la cual, según como lo determine la entidad contratante en los pliegos de condiciones, debe relacionarse con el objeto a contratar. Lo anterior implica que contar con la capacidad jurídica, no presenta una conexidad directa con el cumplimiento del requisito de experiencia. </w:t>
      </w:r>
    </w:p>
    <w:p w14:paraId="49C6D9AB" w14:textId="77777777" w:rsidR="00A30A1D" w:rsidRPr="00372D18" w:rsidRDefault="00A30A1D" w:rsidP="00D600FA">
      <w:pPr>
        <w:spacing w:after="120" w:line="276" w:lineRule="auto"/>
        <w:ind w:firstLine="708"/>
        <w:jc w:val="both"/>
        <w:rPr>
          <w:rFonts w:ascii="Verdana" w:eastAsia="Calibri" w:hAnsi="Verdana" w:cs="Arial"/>
          <w:bCs/>
        </w:rPr>
      </w:pPr>
      <w:r w:rsidRPr="00372D18">
        <w:rPr>
          <w:rFonts w:ascii="Verdana" w:eastAsia="Calibri" w:hAnsi="Verdana" w:cs="Arial"/>
          <w:bCs/>
        </w:rPr>
        <w:t>Para prever esta situación en la que un proponente pueda desarrollar cualquier tipo de actividad lícita, conforme a la autorización legal para las Sociedades por Acciones Simplificadas, la entidad contratante debe exigir de forma objetiva, dentro de sus análisis de planeación del proceso de contratación, la experiencia mínima con la que deben contar los proponentes para desarrollar el objeto a contratar de forma satisfactoria.</w:t>
      </w:r>
    </w:p>
    <w:p w14:paraId="6C994824" w14:textId="342AC5A9" w:rsidR="00A30A1D" w:rsidRPr="00372D18" w:rsidRDefault="00A30A1D" w:rsidP="00D600FA">
      <w:pPr>
        <w:spacing w:after="120" w:line="276" w:lineRule="auto"/>
        <w:ind w:right="49" w:firstLine="708"/>
        <w:jc w:val="both"/>
        <w:rPr>
          <w:rFonts w:ascii="Verdana" w:hAnsi="Verdana" w:cs="Arial"/>
        </w:rPr>
      </w:pPr>
      <w:r>
        <w:rPr>
          <w:rFonts w:ascii="Verdana" w:eastAsia="Times New Roman" w:hAnsi="Verdana" w:cs="Arial"/>
          <w:lang w:eastAsia="es-ES_tradnl"/>
        </w:rPr>
        <w:t xml:space="preserve">Conforme a lo indicado, y atendiendo al problema jurídico planteado, </w:t>
      </w:r>
      <w:r w:rsidRPr="00372D18">
        <w:rPr>
          <w:rFonts w:ascii="Verdana" w:hAnsi="Verdana" w:cs="Arial"/>
        </w:rPr>
        <w:t>si durante la etapa de verificación de ofertas se advierte que la persona jurídica organizada en forma de SAS especifica en su objeto social las actividades principales que puede realizar, sin agregar que se encuentre posibilitada para ejecutar cualquier otra actividad lícita, ¿Es posible determinar que si su objeto social no guarda relación con el objeto del proceso contractual, se concluya que la misma no se encuentra habilitada? o en su defecto, ¿siempre debe considerarse que la persona jurídica organizada y constituida como una "SAS" se encuentra habilitada para realizar cualquier actividad lícita en Colombia, sin importar lo que determine en su objeto social?” (sic)</w:t>
      </w:r>
    </w:p>
    <w:p w14:paraId="4F7170CF" w14:textId="77777777" w:rsidR="00A30A1D" w:rsidRPr="00372D18" w:rsidRDefault="00A30A1D" w:rsidP="00D600FA">
      <w:pPr>
        <w:spacing w:after="120" w:line="276" w:lineRule="auto"/>
        <w:ind w:firstLine="708"/>
        <w:jc w:val="both"/>
        <w:rPr>
          <w:rFonts w:ascii="Verdana" w:eastAsia="Calibri" w:hAnsi="Verdana" w:cs="Arial"/>
          <w:lang w:val="es-ES_tradnl" w:eastAsia="es-ES_tradnl"/>
        </w:rPr>
      </w:pPr>
      <w:r w:rsidRPr="00372D18">
        <w:rPr>
          <w:rFonts w:ascii="Verdana" w:hAnsi="Verdana" w:cs="Arial"/>
        </w:rPr>
        <w:lastRenderedPageBreak/>
        <w:t>L</w:t>
      </w:r>
      <w:r w:rsidRPr="00372D18">
        <w:rPr>
          <w:rFonts w:ascii="Verdana" w:eastAsia="Calibri" w:hAnsi="Verdana" w:cs="Arial"/>
          <w:lang w:val="es-ES_tradnl" w:eastAsia="es-ES_tradnl"/>
        </w:rPr>
        <w:t>a capacidad jurídica de las personas jurídicas hace referencia a la posibilidad que tienen para adelantar actividades en el marco de su objeto social, las facultades que le han sido otorgadas al representante legal y a la ausencia de inhabilidades, incompatibilidades o prohibiciones para contratar, derivadas de la ley.</w:t>
      </w:r>
    </w:p>
    <w:p w14:paraId="4E01860C" w14:textId="77777777" w:rsidR="00A30A1D" w:rsidRPr="00372D18" w:rsidRDefault="00A30A1D" w:rsidP="00D600FA">
      <w:pPr>
        <w:spacing w:after="120" w:line="276" w:lineRule="auto"/>
        <w:ind w:firstLine="708"/>
        <w:jc w:val="both"/>
        <w:rPr>
          <w:rFonts w:ascii="Verdana" w:hAnsi="Verdana" w:cs="Arial"/>
        </w:rPr>
      </w:pPr>
      <w:r w:rsidRPr="00372D18">
        <w:rPr>
          <w:rFonts w:ascii="Verdana" w:eastAsia="Calibri" w:hAnsi="Verdana" w:cs="Arial"/>
          <w:lang w:val="es-ES_tradnl" w:eastAsia="es-ES_tradnl"/>
        </w:rPr>
        <w:t>En ese sentido,</w:t>
      </w:r>
      <w:r w:rsidRPr="00372D18">
        <w:rPr>
          <w:rFonts w:ascii="Verdana" w:hAnsi="Verdana" w:cs="Arial"/>
        </w:rPr>
        <w:t xml:space="preserve"> cuando el</w:t>
      </w:r>
      <w:r w:rsidRPr="00372D18">
        <w:rPr>
          <w:rFonts w:ascii="Verdana" w:eastAsia="Calibri" w:hAnsi="Verdana" w:cs="Arial"/>
          <w:bCs/>
        </w:rPr>
        <w:t xml:space="preserve"> proponente defina de forma clara, completa y precisa las actividades comerciales sobre las cuales versa su objeto, sin mencionar la posibilidad de realizar otro tipo de actividades de carácter lícito, solo tendrán capacidad para participar en procedimientos de selección y celebrar contratos cuyo objeto se relacione con las actividades definidas en su documento de </w:t>
      </w:r>
      <w:r w:rsidRPr="00372D18">
        <w:rPr>
          <w:rFonts w:ascii="Verdana" w:hAnsi="Verdana" w:cs="Arial"/>
        </w:rPr>
        <w:t>constitución, tal como sucede con otras sociedades comerciales. Ahora bien, vale precisar que las Entidades Estatales deben verificar que el objeto social de las de las personas jurídicas les permite desarrollar el objeto del contrato, bien porque la actividad está prevista como una actividad del objeto social principal o como una actividad conexa o porque al tratarse de una sociedad por acciones simplificada puede realizar actividades comerciales o civiles.</w:t>
      </w:r>
    </w:p>
    <w:p w14:paraId="2B8053D3" w14:textId="77777777" w:rsidR="00A30A1D" w:rsidRPr="00372D18" w:rsidRDefault="00A30A1D" w:rsidP="00D600FA">
      <w:pPr>
        <w:spacing w:after="120" w:line="276" w:lineRule="auto"/>
        <w:ind w:firstLine="708"/>
        <w:jc w:val="both"/>
        <w:rPr>
          <w:rFonts w:ascii="Verdana" w:eastAsia="Calibri" w:hAnsi="Verdana" w:cs="Arial"/>
          <w:bCs/>
        </w:rPr>
      </w:pPr>
      <w:r w:rsidRPr="00372D18">
        <w:rPr>
          <w:rFonts w:ascii="Verdana" w:hAnsi="Verdana" w:cs="Arial"/>
        </w:rPr>
        <w:t>Cuando</w:t>
      </w:r>
      <w:r w:rsidRPr="00372D18">
        <w:rPr>
          <w:rFonts w:ascii="Verdana" w:eastAsia="Calibri" w:hAnsi="Verdana" w:cs="Arial"/>
          <w:bCs/>
        </w:rPr>
        <w:t xml:space="preserve"> el proponente defina de forma clara y precisa las principales actividades comerciales sobre los cuales versa su objeto; pero además señale de forma expresa dentro del documento de constitución que, además de las señaladas, podrá realizar cualquier actividad lícita, su capacidad contractual será amplia y podrá participar en cualquier procedimiento de selección y celebrar cualquier contrato. </w:t>
      </w:r>
    </w:p>
    <w:p w14:paraId="751C9AD8" w14:textId="77777777" w:rsidR="00A30A1D" w:rsidRPr="00372D18" w:rsidRDefault="00A30A1D" w:rsidP="00D600FA">
      <w:pPr>
        <w:spacing w:after="120" w:line="276" w:lineRule="auto"/>
        <w:ind w:firstLine="708"/>
        <w:jc w:val="both"/>
        <w:rPr>
          <w:rFonts w:ascii="Verdana" w:eastAsia="Calibri" w:hAnsi="Verdana" w:cs="Arial"/>
          <w:bCs/>
        </w:rPr>
      </w:pPr>
      <w:r w:rsidRPr="00372D18">
        <w:rPr>
          <w:rFonts w:ascii="Verdana" w:eastAsia="Calibri" w:hAnsi="Verdana" w:cs="Arial"/>
          <w:bCs/>
        </w:rPr>
        <w:t>Cuando nada de lo anterior se exprese en el acto de constitución, la entidad entenderá que la sociedad se encuentra facultada para realizar cualquier actividad lícita y podrá participar en cualquier procedimiento de selección y celebrar cualquier contrato.</w:t>
      </w:r>
    </w:p>
    <w:p w14:paraId="656D3E76" w14:textId="57B11AA9" w:rsidR="00A30A1D" w:rsidRPr="00372D18" w:rsidRDefault="00A30A1D" w:rsidP="00D600FA">
      <w:pPr>
        <w:spacing w:after="120" w:line="276" w:lineRule="auto"/>
        <w:ind w:firstLine="708"/>
        <w:jc w:val="both"/>
        <w:rPr>
          <w:rFonts w:ascii="Verdana" w:eastAsia="Calibri" w:hAnsi="Verdana" w:cs="Arial"/>
        </w:rPr>
      </w:pPr>
      <w:r w:rsidRPr="00372D18">
        <w:rPr>
          <w:rFonts w:ascii="Verdana" w:eastAsia="Calibri" w:hAnsi="Verdana" w:cs="Arial"/>
          <w:bCs/>
        </w:rPr>
        <w:t xml:space="preserve">En consonancia con lo previamente esgrimido, </w:t>
      </w:r>
      <w:r w:rsidRPr="00372D18">
        <w:rPr>
          <w:rFonts w:ascii="Verdana" w:eastAsia="Calibri" w:hAnsi="Verdana" w:cs="Arial"/>
        </w:rPr>
        <w:t>es posible que una Sociedad por Acciones Simplificadas participe en un proceso de contratación sin que dentro de su objeto social se encuentren actividades relacionadas directamente con el objeto a contratar; siempre y cuando dentro del documento de constitución se señale de forma expresa la capacidad de realizar cualquier tipo de actividad lícita o se opte por guardar silencio frente a sus actividades en el acta de constitución, vacío que suple la ley al prescribir que pueden desarrollar cualquier actividad lícita. Si</w:t>
      </w:r>
      <w:r>
        <w:rPr>
          <w:rFonts w:ascii="Verdana" w:eastAsia="Calibri" w:hAnsi="Verdana" w:cs="Arial"/>
        </w:rPr>
        <w:t>,</w:t>
      </w:r>
      <w:r w:rsidRPr="00372D18">
        <w:rPr>
          <w:rFonts w:ascii="Verdana" w:eastAsia="Calibri" w:hAnsi="Verdana" w:cs="Arial"/>
        </w:rPr>
        <w:t xml:space="preserve"> por el contrario, el proponente define de forma clara y completa sus actividades principales, sin que medie alguna de las circunstancias mencionadas anteriormente, su capacidad se circunscribe a </w:t>
      </w:r>
      <w:r w:rsidRPr="00372D18">
        <w:rPr>
          <w:rFonts w:ascii="Verdana" w:eastAsia="Calibri" w:hAnsi="Verdana" w:cs="Arial"/>
        </w:rPr>
        <w:lastRenderedPageBreak/>
        <w:t xml:space="preserve">aquellos procedimientos de selección y contratos que tengan relación con las actividades señaladas en su objeto social. Sin perjuicio de lo anterior, es deber de la </w:t>
      </w:r>
      <w:r w:rsidR="006E1AE2" w:rsidRPr="00372D18">
        <w:rPr>
          <w:rFonts w:ascii="Verdana" w:eastAsia="Calibri" w:hAnsi="Verdana" w:cs="Arial"/>
        </w:rPr>
        <w:t>Entidad Estatal</w:t>
      </w:r>
      <w:r w:rsidRPr="00372D18">
        <w:rPr>
          <w:rFonts w:ascii="Verdana" w:eastAsia="Calibri" w:hAnsi="Verdana" w:cs="Arial"/>
        </w:rPr>
        <w:t xml:space="preserve">, conforme a los estudios previos del proceso de contratación, exigir y verificar la experiencia del proponente y su relación con el objeto a contratar. </w:t>
      </w:r>
    </w:p>
    <w:p w14:paraId="0530011A" w14:textId="77777777" w:rsidR="001353E5" w:rsidRPr="001353E5" w:rsidRDefault="001353E5" w:rsidP="00D600FA">
      <w:pPr>
        <w:spacing w:after="120" w:line="276" w:lineRule="auto"/>
        <w:ind w:firstLine="708"/>
        <w:jc w:val="both"/>
        <w:rPr>
          <w:rFonts w:ascii="Verdana" w:eastAsia="Calibri" w:hAnsi="Verdana" w:cs="Arial"/>
        </w:rPr>
      </w:pPr>
      <w:r w:rsidRPr="001353E5">
        <w:rPr>
          <w:rFonts w:ascii="Verdana" w:eastAsia="Calibri" w:hAnsi="Verdana" w:cs="Arial"/>
          <w:bC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DA6F613" w14:textId="77777777" w:rsidR="001353E5" w:rsidRPr="001353E5" w:rsidRDefault="001353E5" w:rsidP="001353E5">
      <w:pPr>
        <w:spacing w:after="0" w:line="276" w:lineRule="auto"/>
        <w:ind w:firstLine="708"/>
        <w:jc w:val="both"/>
        <w:rPr>
          <w:rFonts w:ascii="Verdana" w:eastAsia="Calibri" w:hAnsi="Verdana" w:cs="Arial"/>
          <w:bCs/>
        </w:rPr>
      </w:pPr>
      <w:r w:rsidRPr="001353E5">
        <w:rPr>
          <w:rFonts w:ascii="Verdana" w:eastAsia="Calibri" w:hAnsi="Verdana" w:cs="Arial"/>
          <w:bC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B022796" w14:textId="77777777" w:rsidR="00A30A1D" w:rsidRPr="00372D18" w:rsidRDefault="00A30A1D" w:rsidP="00A30A1D">
      <w:pPr>
        <w:widowControl w:val="0"/>
        <w:autoSpaceDE w:val="0"/>
        <w:autoSpaceDN w:val="0"/>
        <w:spacing w:after="0" w:line="276" w:lineRule="auto"/>
        <w:jc w:val="both"/>
        <w:rPr>
          <w:rFonts w:ascii="Verdana" w:hAnsi="Verdana" w:cs="Arial"/>
        </w:rPr>
      </w:pPr>
    </w:p>
    <w:p w14:paraId="0CB55C7E" w14:textId="77777777" w:rsidR="00A30A1D" w:rsidRPr="00372D18" w:rsidRDefault="00A30A1D" w:rsidP="00A30A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72D18">
        <w:rPr>
          <w:rFonts w:ascii="Verdana" w:eastAsia="Century Gothic" w:hAnsi="Verdana" w:cs="Century Gothic"/>
          <w:b/>
          <w:bCs/>
        </w:rPr>
        <w:t>Referencias normativas, jurisprudenciales y otras fuentes:</w:t>
      </w:r>
    </w:p>
    <w:p w14:paraId="24AA0DB0" w14:textId="77777777" w:rsidR="00A30A1D" w:rsidRPr="00372D18" w:rsidRDefault="00A30A1D" w:rsidP="00A30A1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30A1D" w:rsidRPr="00372D18" w14:paraId="5725C122" w14:textId="77777777" w:rsidTr="00260794">
        <w:trPr>
          <w:trHeight w:val="870"/>
        </w:trPr>
        <w:tc>
          <w:tcPr>
            <w:tcW w:w="8647" w:type="dxa"/>
          </w:tcPr>
          <w:p w14:paraId="2ADBF075" w14:textId="3D082DD8" w:rsidR="00A30A1D" w:rsidRPr="00372D18" w:rsidRDefault="00A30A1D" w:rsidP="00D600FA">
            <w:pPr>
              <w:pStyle w:val="Prrafodelista"/>
              <w:widowControl w:val="0"/>
              <w:numPr>
                <w:ilvl w:val="0"/>
                <w:numId w:val="17"/>
              </w:numPr>
              <w:autoSpaceDE w:val="0"/>
              <w:autoSpaceDN w:val="0"/>
              <w:spacing w:line="276" w:lineRule="auto"/>
              <w:jc w:val="both"/>
              <w:rPr>
                <w:rFonts w:ascii="Verdana" w:hAnsi="Verdana" w:cs="Arial"/>
              </w:rPr>
            </w:pPr>
            <w:r w:rsidRPr="00372D18">
              <w:rPr>
                <w:rFonts w:ascii="Verdana" w:hAnsi="Verdana" w:cs="Arial"/>
              </w:rPr>
              <w:t>Ley 80 de 1993</w:t>
            </w:r>
            <w:r w:rsidR="00186A91">
              <w:rPr>
                <w:rFonts w:ascii="Verdana" w:hAnsi="Verdana" w:cs="Arial"/>
              </w:rPr>
              <w:t xml:space="preserve">, artículo 6. </w:t>
            </w:r>
            <w:r w:rsidRPr="00372D18">
              <w:rPr>
                <w:rFonts w:ascii="Verdana" w:hAnsi="Verdana" w:cs="Arial"/>
              </w:rPr>
              <w:t xml:space="preserve"> </w:t>
            </w:r>
          </w:p>
          <w:p w14:paraId="52A471F9" w14:textId="7DD37F52" w:rsidR="00A30A1D" w:rsidRPr="00372D18" w:rsidRDefault="00A30A1D" w:rsidP="00D600FA">
            <w:pPr>
              <w:pStyle w:val="Prrafodelista"/>
              <w:widowControl w:val="0"/>
              <w:numPr>
                <w:ilvl w:val="0"/>
                <w:numId w:val="17"/>
              </w:numPr>
              <w:autoSpaceDE w:val="0"/>
              <w:autoSpaceDN w:val="0"/>
              <w:spacing w:line="276" w:lineRule="auto"/>
              <w:jc w:val="both"/>
              <w:rPr>
                <w:rFonts w:ascii="Verdana" w:hAnsi="Verdana" w:cs="Arial"/>
              </w:rPr>
            </w:pPr>
            <w:r w:rsidRPr="00372D18">
              <w:rPr>
                <w:rFonts w:ascii="Verdana" w:hAnsi="Verdana" w:cs="Arial"/>
              </w:rPr>
              <w:t>Ley 1474 de 2011</w:t>
            </w:r>
            <w:r w:rsidR="00186A91">
              <w:rPr>
                <w:rFonts w:ascii="Verdana" w:hAnsi="Verdana" w:cs="Arial"/>
              </w:rPr>
              <w:t xml:space="preserve">, </w:t>
            </w:r>
            <w:r w:rsidRPr="00372D18">
              <w:rPr>
                <w:rFonts w:ascii="Verdana" w:hAnsi="Verdana" w:cs="Arial"/>
              </w:rPr>
              <w:t>artículo 94.</w:t>
            </w:r>
          </w:p>
          <w:p w14:paraId="33797FBA" w14:textId="77777777" w:rsidR="00A30A1D" w:rsidRPr="0061357D" w:rsidRDefault="00A30A1D" w:rsidP="00D600FA">
            <w:pPr>
              <w:pStyle w:val="Prrafodelista"/>
              <w:widowControl w:val="0"/>
              <w:numPr>
                <w:ilvl w:val="0"/>
                <w:numId w:val="17"/>
              </w:numPr>
              <w:autoSpaceDE w:val="0"/>
              <w:autoSpaceDN w:val="0"/>
              <w:spacing w:line="276" w:lineRule="auto"/>
              <w:jc w:val="both"/>
              <w:rPr>
                <w:rFonts w:ascii="Verdana" w:hAnsi="Verdana" w:cs="Arial"/>
              </w:rPr>
            </w:pPr>
            <w:r w:rsidRPr="00FD5BAB">
              <w:rPr>
                <w:rFonts w:ascii="Verdana" w:hAnsi="Verdana"/>
              </w:rPr>
              <w:t>Departamento Administrativo Nacional de Estadística</w:t>
            </w:r>
            <w:r w:rsidRPr="00810146">
              <w:rPr>
                <w:rFonts w:ascii="Verdana" w:hAnsi="Verdana"/>
              </w:rPr>
              <w:t xml:space="preserve">. Clasificación Industrial Internacional Uniforme de todas las actividades económicas. Revisión 4 Adaptada para Colombia. 2022. </w:t>
            </w:r>
            <w:r w:rsidRPr="00541CFA">
              <w:rPr>
                <w:rFonts w:ascii="Verdana" w:eastAsia="Calibri" w:hAnsi="Verdana" w:cs="Arial"/>
                <w:lang w:eastAsia="es-MX"/>
              </w:rPr>
              <w:t xml:space="preserve">Disponible en: </w:t>
            </w:r>
            <w:hyperlink r:id="rId13" w:history="1">
              <w:r w:rsidRPr="00810146">
                <w:rPr>
                  <w:rStyle w:val="Hipervnculo"/>
                  <w:rFonts w:ascii="Verdana" w:hAnsi="Verdana"/>
                </w:rPr>
                <w:t>https://www.dane.gov.co/files/sen/nomenclatura/ciiu/CIIU_Rev_4_AC2022.pdf</w:t>
              </w:r>
            </w:hyperlink>
            <w:r>
              <w:rPr>
                <w:rStyle w:val="Hipervnculo"/>
                <w:rFonts w:ascii="Verdana" w:hAnsi="Verdana"/>
              </w:rPr>
              <w:t>.</w:t>
            </w:r>
          </w:p>
        </w:tc>
      </w:tr>
    </w:tbl>
    <w:p w14:paraId="5E6F28E4" w14:textId="77777777" w:rsidR="00A30A1D" w:rsidRPr="00372D18" w:rsidRDefault="00A30A1D" w:rsidP="00A30A1D">
      <w:pPr>
        <w:widowControl w:val="0"/>
        <w:autoSpaceDE w:val="0"/>
        <w:autoSpaceDN w:val="0"/>
        <w:spacing w:after="0" w:line="276" w:lineRule="auto"/>
        <w:jc w:val="both"/>
        <w:rPr>
          <w:rFonts w:ascii="Verdana" w:hAnsi="Verdana" w:cs="Arial"/>
        </w:rPr>
      </w:pPr>
    </w:p>
    <w:p w14:paraId="6980901D" w14:textId="77777777" w:rsidR="00A30A1D" w:rsidRPr="00372D18" w:rsidRDefault="00A30A1D" w:rsidP="00A30A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72D18">
        <w:rPr>
          <w:rFonts w:ascii="Verdana" w:eastAsia="Century Gothic" w:hAnsi="Verdana" w:cs="Century Gothic"/>
          <w:b/>
          <w:bCs/>
        </w:rPr>
        <w:t>Doctrina de la Agencia Nacional de Contratación Pública:</w:t>
      </w:r>
    </w:p>
    <w:p w14:paraId="042587D9" w14:textId="77777777" w:rsidR="00A30A1D" w:rsidRPr="00372D18" w:rsidRDefault="00A30A1D" w:rsidP="00A30A1D">
      <w:pPr>
        <w:widowControl w:val="0"/>
        <w:autoSpaceDE w:val="0"/>
        <w:autoSpaceDN w:val="0"/>
        <w:spacing w:after="0" w:line="276" w:lineRule="auto"/>
        <w:jc w:val="both"/>
        <w:rPr>
          <w:rFonts w:ascii="Verdana" w:hAnsi="Verdana" w:cs="Arial"/>
        </w:rPr>
      </w:pPr>
    </w:p>
    <w:p w14:paraId="2ED9451C" w14:textId="4A893037" w:rsidR="00A30A1D" w:rsidRPr="00FE5A24" w:rsidRDefault="00A30A1D" w:rsidP="00A30A1D">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0E7148">
        <w:rPr>
          <w:rFonts w:ascii="Verdana" w:eastAsia="Calibri" w:hAnsi="Verdana" w:cs="Arial"/>
          <w:color w:val="000000" w:themeColor="text1"/>
          <w:lang w:eastAsia="es-ES_tradnl"/>
        </w:rPr>
        <w:t xml:space="preserve">La Agencia Nacional de Contratación Pública – Colombia Compra Eficiente </w:t>
      </w:r>
      <w:r>
        <w:rPr>
          <w:rFonts w:ascii="Verdana" w:eastAsia="Arial" w:hAnsi="Verdana" w:cs="Arial"/>
          <w:lang w:val="es-MX" w:eastAsia="es-ES_tradnl"/>
        </w:rPr>
        <w:t xml:space="preserve">se ha referido a la determinación de los requisitos habilitantes y la capacidad jurídica en </w:t>
      </w:r>
      <w:r w:rsidRPr="009643AE">
        <w:rPr>
          <w:rFonts w:ascii="Verdana" w:eastAsia="Arial" w:hAnsi="Verdana" w:cs="Arial"/>
          <w:lang w:val="es-MX" w:eastAsia="es-ES_tradnl"/>
        </w:rPr>
        <w:t xml:space="preserve">los conceptos C-120 del 3 de marzo de 2020, C-204 del 31 de marzo de 2020, C-099 del 6 de abril  de 2020, C-195 del 13 de abril de 2020, C-013 del 17 de abril de 2020, C-330 del 27 de mayo de 2020 y C-396 de 16 de julio </w:t>
      </w:r>
      <w:r w:rsidRPr="009643AE">
        <w:rPr>
          <w:rFonts w:ascii="Verdana" w:hAnsi="Verdana" w:cs="Arial"/>
          <w:shd w:val="clear" w:color="auto" w:fill="FFFFFF"/>
          <w:lang w:val="es-ES"/>
        </w:rPr>
        <w:t xml:space="preserve">de 2020, C-142 del 30 de marzo de 2022,  C-337 de 18de agosto de 2023,Concepto C-483 del 26 de septiembre de 2024, Concepto C- 662 de 2024 del 29 de enero de 2025, C –043 del 28 </w:t>
      </w:r>
      <w:r w:rsidR="00FB655C" w:rsidRPr="002C0EED">
        <w:rPr>
          <w:rFonts w:ascii="Verdana" w:hAnsi="Verdana" w:cs="Arial"/>
          <w:shd w:val="clear" w:color="auto" w:fill="FFFFFF"/>
          <w:lang w:val="es-ES"/>
        </w:rPr>
        <w:t>de</w:t>
      </w:r>
      <w:r w:rsidRPr="009643AE">
        <w:rPr>
          <w:rFonts w:ascii="Verdana" w:hAnsi="Verdana" w:cs="Arial"/>
          <w:shd w:val="clear" w:color="auto" w:fill="FFFFFF"/>
          <w:lang w:val="es-ES"/>
        </w:rPr>
        <w:t xml:space="preserve"> febrero de 2025, Concepto C- 116 del 1 de marzo de 2025</w:t>
      </w:r>
      <w:r>
        <w:rPr>
          <w:rFonts w:ascii="Verdana" w:hAnsi="Verdana" w:cs="Arial"/>
          <w:shd w:val="clear" w:color="auto" w:fill="FFFFFF"/>
          <w:lang w:val="es-ES"/>
        </w:rPr>
        <w:t>, C-296 de 2025</w:t>
      </w:r>
      <w:r w:rsidRPr="009643AE">
        <w:rPr>
          <w:rFonts w:ascii="Verdana" w:hAnsi="Verdana" w:cs="Arial"/>
          <w:shd w:val="clear" w:color="auto" w:fill="FFFFFF"/>
          <w:lang w:val="es-ES"/>
        </w:rPr>
        <w:t xml:space="preserve">, </w:t>
      </w:r>
      <w:r w:rsidRPr="00FB34BB">
        <w:rPr>
          <w:rFonts w:ascii="Verdana" w:hAnsi="Verdana" w:cs="Arial"/>
          <w:shd w:val="clear" w:color="auto" w:fill="FFFFFF"/>
          <w:lang w:val="es-ES"/>
        </w:rPr>
        <w:t>entre otros. Estos se encuentran disponibles para consulta en el Sistema de relatoría de la Agencia, al cual puede accederse a través del siguiente enlace:</w:t>
      </w:r>
      <w:r w:rsidRPr="00C94107">
        <w:rPr>
          <w:rFonts w:ascii="Verdana" w:hAnsi="Verdana"/>
          <w:lang w:val="es-ES"/>
        </w:rPr>
        <w:t xml:space="preserve"> </w:t>
      </w:r>
      <w:hyperlink r:id="rId14" w:history="1">
        <w:r w:rsidRPr="00401F64">
          <w:rPr>
            <w:rStyle w:val="Hipervnculo"/>
            <w:rFonts w:ascii="Verdana" w:hAnsi="Verdana" w:cs="Arial"/>
            <w:shd w:val="clear" w:color="auto" w:fill="FFFFFF"/>
          </w:rPr>
          <w:t>https://relatoria.colombiacompra.gov.co/busqueda/conceptos</w:t>
        </w:r>
      </w:hyperlink>
      <w:r w:rsidRPr="00C94107">
        <w:rPr>
          <w:rStyle w:val="Hipervnculo"/>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603CFC44" w14:textId="77777777" w:rsidR="00A30A1D" w:rsidRPr="00372D18" w:rsidRDefault="00A30A1D" w:rsidP="00A30A1D">
      <w:pPr>
        <w:widowControl w:val="0"/>
        <w:autoSpaceDE w:val="0"/>
        <w:autoSpaceDN w:val="0"/>
        <w:spacing w:after="0" w:line="276" w:lineRule="auto"/>
        <w:jc w:val="both"/>
        <w:rPr>
          <w:rStyle w:val="normaltextrun"/>
          <w:rFonts w:ascii="Verdana" w:hAnsi="Verdana" w:cs="Arial"/>
          <w:shd w:val="clear" w:color="auto" w:fill="FFFFFF"/>
          <w:lang w:val="es-ES"/>
        </w:rPr>
      </w:pPr>
    </w:p>
    <w:p w14:paraId="1EA6A648" w14:textId="77777777" w:rsidR="00A30A1D" w:rsidRPr="00372D18" w:rsidRDefault="00A30A1D" w:rsidP="00A30A1D">
      <w:pPr>
        <w:widowControl w:val="0"/>
        <w:autoSpaceDE w:val="0"/>
        <w:autoSpaceDN w:val="0"/>
        <w:spacing w:after="0" w:line="276" w:lineRule="auto"/>
        <w:jc w:val="both"/>
        <w:rPr>
          <w:rStyle w:val="normaltextrun"/>
          <w:rFonts w:ascii="Verdana" w:hAnsi="Verdana" w:cs="Arial"/>
          <w:shd w:val="clear" w:color="auto" w:fill="FFFFFF"/>
          <w:lang w:val="es-ES"/>
        </w:rPr>
      </w:pPr>
      <w:r w:rsidRPr="00372D18">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5" w:history="1">
        <w:r w:rsidRPr="00372D18">
          <w:rPr>
            <w:rStyle w:val="Hipervnculo"/>
            <w:rFonts w:ascii="Verdana" w:hAnsi="Verdana" w:cs="Arial"/>
            <w:shd w:val="clear" w:color="auto" w:fill="FFFFFF"/>
            <w:lang w:val="es-ES"/>
          </w:rPr>
          <w:t>https://www.colombiacompra.gov.co/sala-de-prensa/boletin-digital</w:t>
        </w:r>
      </w:hyperlink>
      <w:r w:rsidRPr="00372D18">
        <w:rPr>
          <w:rStyle w:val="normaltextrun"/>
          <w:rFonts w:ascii="Verdana" w:hAnsi="Verdana" w:cs="Arial"/>
          <w:shd w:val="clear" w:color="auto" w:fill="FFFFFF"/>
          <w:lang w:val="es-ES"/>
        </w:rPr>
        <w:t xml:space="preserve">      </w:t>
      </w:r>
    </w:p>
    <w:p w14:paraId="7A45C902" w14:textId="77777777" w:rsidR="00A30A1D" w:rsidRPr="00372D18" w:rsidRDefault="00A30A1D" w:rsidP="00A30A1D">
      <w:pPr>
        <w:spacing w:after="0" w:line="240" w:lineRule="auto"/>
        <w:jc w:val="both"/>
        <w:rPr>
          <w:rFonts w:ascii="Verdana" w:hAnsi="Verdana"/>
        </w:rPr>
      </w:pPr>
      <w:r w:rsidRPr="00372D18">
        <w:rPr>
          <w:rFonts w:ascii="Verdana" w:hAnsi="Verdana"/>
        </w:rPr>
        <w:t xml:space="preserve">Por último, lo invitamos a seguirnos en las redes sociales en las cuales se difunde información institucional: </w:t>
      </w:r>
    </w:p>
    <w:p w14:paraId="623D3C0C" w14:textId="77777777" w:rsidR="00A30A1D" w:rsidRPr="00372D18" w:rsidRDefault="00A30A1D" w:rsidP="00A30A1D">
      <w:pPr>
        <w:spacing w:after="0" w:line="240" w:lineRule="auto"/>
        <w:jc w:val="both"/>
        <w:rPr>
          <w:rFonts w:ascii="Verdana" w:hAnsi="Verdana"/>
        </w:rPr>
      </w:pPr>
    </w:p>
    <w:p w14:paraId="62358EF8" w14:textId="77777777" w:rsidR="00A30A1D" w:rsidRPr="00372D18" w:rsidRDefault="00A30A1D" w:rsidP="00A30A1D">
      <w:pPr>
        <w:spacing w:after="0" w:line="240" w:lineRule="auto"/>
        <w:jc w:val="both"/>
        <w:rPr>
          <w:rFonts w:ascii="Verdana" w:hAnsi="Verdana"/>
        </w:rPr>
      </w:pPr>
      <w:r w:rsidRPr="00372D18">
        <w:rPr>
          <w:rFonts w:ascii="Verdana" w:hAnsi="Verdana"/>
        </w:rPr>
        <w:t xml:space="preserve">Twitter: </w:t>
      </w:r>
      <w:r w:rsidRPr="00372D18">
        <w:rPr>
          <w:rStyle w:val="Hipervnculo"/>
          <w:rFonts w:ascii="Verdana" w:hAnsi="Verdana"/>
        </w:rPr>
        <w:t>@colombiacompra</w:t>
      </w:r>
      <w:r w:rsidRPr="00372D18">
        <w:rPr>
          <w:rFonts w:ascii="Verdana" w:hAnsi="Verdana"/>
        </w:rPr>
        <w:t xml:space="preserve"> </w:t>
      </w:r>
    </w:p>
    <w:p w14:paraId="3BBAAE8A" w14:textId="77777777" w:rsidR="00A30A1D" w:rsidRPr="00372D18" w:rsidRDefault="00A30A1D" w:rsidP="00A30A1D">
      <w:pPr>
        <w:spacing w:after="0" w:line="240" w:lineRule="auto"/>
        <w:jc w:val="both"/>
        <w:rPr>
          <w:rFonts w:ascii="Verdana" w:hAnsi="Verdana"/>
        </w:rPr>
      </w:pPr>
      <w:r w:rsidRPr="00372D18">
        <w:rPr>
          <w:rFonts w:ascii="Verdana" w:hAnsi="Verdana"/>
        </w:rPr>
        <w:t xml:space="preserve">Facebook: </w:t>
      </w:r>
      <w:proofErr w:type="spellStart"/>
      <w:r w:rsidRPr="00372D18">
        <w:rPr>
          <w:rStyle w:val="Hipervnculo"/>
          <w:rFonts w:ascii="Verdana" w:hAnsi="Verdana"/>
        </w:rPr>
        <w:t>ColombiaCompraEficiente</w:t>
      </w:r>
      <w:proofErr w:type="spellEnd"/>
    </w:p>
    <w:p w14:paraId="03C6B3EF" w14:textId="77777777" w:rsidR="00A30A1D" w:rsidRPr="00372D18" w:rsidRDefault="00A30A1D" w:rsidP="00A30A1D">
      <w:pPr>
        <w:spacing w:after="0" w:line="240" w:lineRule="auto"/>
        <w:jc w:val="both"/>
        <w:rPr>
          <w:rFonts w:ascii="Verdana" w:hAnsi="Verdana"/>
        </w:rPr>
      </w:pPr>
      <w:r w:rsidRPr="00372D18">
        <w:rPr>
          <w:rFonts w:ascii="Verdana" w:hAnsi="Verdana"/>
        </w:rPr>
        <w:t xml:space="preserve">LinkedIn: </w:t>
      </w:r>
      <w:r w:rsidRPr="00372D18">
        <w:rPr>
          <w:rStyle w:val="Hipervnculo"/>
          <w:rFonts w:ascii="Verdana" w:hAnsi="Verdana"/>
        </w:rPr>
        <w:t>Agencia Nacional de Contratación Pública - Colombia Compra Eficiente</w:t>
      </w:r>
      <w:r w:rsidRPr="00372D18">
        <w:rPr>
          <w:rFonts w:ascii="Verdana" w:hAnsi="Verdana"/>
        </w:rPr>
        <w:t xml:space="preserve"> Instagram: </w:t>
      </w:r>
      <w:r w:rsidRPr="00372D18">
        <w:rPr>
          <w:rStyle w:val="Hipervnculo"/>
          <w:rFonts w:ascii="Verdana" w:hAnsi="Verdana"/>
        </w:rPr>
        <w:t>@colombiacompraeficiente_cce</w:t>
      </w:r>
    </w:p>
    <w:p w14:paraId="78F19C75" w14:textId="77777777" w:rsidR="00A30A1D" w:rsidRPr="00372D18" w:rsidRDefault="00A30A1D" w:rsidP="00A30A1D">
      <w:pPr>
        <w:widowControl w:val="0"/>
        <w:autoSpaceDE w:val="0"/>
        <w:autoSpaceDN w:val="0"/>
        <w:spacing w:after="0" w:line="276" w:lineRule="auto"/>
        <w:jc w:val="both"/>
        <w:rPr>
          <w:rFonts w:ascii="Verdana" w:hAnsi="Verdana" w:cs="Arial"/>
        </w:rPr>
      </w:pPr>
    </w:p>
    <w:p w14:paraId="680C1D07" w14:textId="77777777" w:rsidR="00A30A1D" w:rsidRPr="00372D18" w:rsidRDefault="00A30A1D" w:rsidP="00A30A1D">
      <w:pPr>
        <w:widowControl w:val="0"/>
        <w:autoSpaceDE w:val="0"/>
        <w:autoSpaceDN w:val="0"/>
        <w:spacing w:after="0" w:line="276" w:lineRule="auto"/>
        <w:jc w:val="both"/>
        <w:rPr>
          <w:rFonts w:ascii="Verdana" w:hAnsi="Verdana" w:cs="Arial"/>
          <w:lang w:val="es-ES_tradnl"/>
        </w:rPr>
      </w:pPr>
      <w:r w:rsidRPr="00372D18">
        <w:rPr>
          <w:rFonts w:ascii="Verdana" w:hAnsi="Verdana" w:cs="Arial"/>
        </w:rPr>
        <w:t xml:space="preserve">Este concepto tiene el alcance previsto en el artículo 28 del Código de Procedimiento Administrativo y de lo Contencioso Administrativo </w:t>
      </w:r>
      <w:r w:rsidRPr="00372D18">
        <w:rPr>
          <w:rFonts w:ascii="Verdana" w:hAnsi="Verdana" w:cs="Arial"/>
          <w:lang w:val="es-ES_tradnl"/>
        </w:rPr>
        <w:t>y las expresiones aquí utilizadas con mayúscula inicial deben ser entendidas con el significado que les otorga el artículo 2.2.1.1.1.3.1. del Decreto 1082 de 2015.</w:t>
      </w:r>
    </w:p>
    <w:p w14:paraId="33C27E5E" w14:textId="77777777" w:rsidR="00A30A1D" w:rsidRPr="00372D18" w:rsidRDefault="00A30A1D" w:rsidP="00A30A1D">
      <w:pPr>
        <w:widowControl w:val="0"/>
        <w:autoSpaceDE w:val="0"/>
        <w:autoSpaceDN w:val="0"/>
        <w:spacing w:after="0" w:line="276" w:lineRule="auto"/>
        <w:jc w:val="both"/>
        <w:rPr>
          <w:rFonts w:ascii="Verdana" w:hAnsi="Verdana" w:cs="Arial"/>
        </w:rPr>
      </w:pPr>
    </w:p>
    <w:p w14:paraId="4776BA68" w14:textId="77777777" w:rsidR="00A30A1D" w:rsidRPr="00372D18" w:rsidRDefault="00A30A1D" w:rsidP="00A30A1D">
      <w:pPr>
        <w:spacing w:after="0" w:line="240" w:lineRule="auto"/>
        <w:rPr>
          <w:rFonts w:ascii="Verdana" w:hAnsi="Verdana" w:cs="Arial"/>
          <w:lang w:eastAsia="es-CO"/>
        </w:rPr>
      </w:pPr>
      <w:r w:rsidRPr="00372D18">
        <w:rPr>
          <w:rFonts w:ascii="Verdana" w:eastAsia="Times New Roman" w:hAnsi="Verdana" w:cs="Arial"/>
          <w:lang w:eastAsia="es-CO"/>
        </w:rPr>
        <w:t>Atentamente,</w:t>
      </w:r>
      <w:r w:rsidRPr="00372D18">
        <w:rPr>
          <w:rFonts w:ascii="Verdana" w:hAnsi="Verdana" w:cs="Arial"/>
          <w:lang w:eastAsia="es-CO"/>
        </w:rPr>
        <w:t xml:space="preserve"> </w:t>
      </w:r>
    </w:p>
    <w:p w14:paraId="30DA14F4" w14:textId="03D25E9D" w:rsidR="00A30A1D" w:rsidRPr="00372D18" w:rsidRDefault="00E961DC" w:rsidP="00A30A1D">
      <w:pPr>
        <w:spacing w:line="276" w:lineRule="auto"/>
        <w:jc w:val="center"/>
        <w:rPr>
          <w:rFonts w:ascii="Verdana" w:hAnsi="Verdana" w:cs="Arial"/>
          <w:lang w:val="es-ES_tradnl" w:eastAsia="es-CO"/>
        </w:rPr>
      </w:pPr>
      <w:r>
        <w:rPr>
          <w:rFonts w:ascii="Verdana" w:hAnsi="Verdana" w:cs="Arial"/>
          <w:noProof/>
          <w:lang w:val="es-ES_tradnl" w:eastAsia="es-CO"/>
        </w:rPr>
        <w:lastRenderedPageBreak/>
        <w:drawing>
          <wp:inline distT="0" distB="0" distL="0" distR="0" wp14:anchorId="388471F8" wp14:editId="27E6677C">
            <wp:extent cx="3639058" cy="1343212"/>
            <wp:effectExtent l="0" t="0" r="0" b="0"/>
            <wp:docPr id="2060432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32293"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30A1D" w:rsidRPr="00372D18" w14:paraId="526FA7B5" w14:textId="77777777" w:rsidTr="00260794">
        <w:trPr>
          <w:trHeight w:val="315"/>
        </w:trPr>
        <w:tc>
          <w:tcPr>
            <w:tcW w:w="893" w:type="dxa"/>
            <w:vAlign w:val="center"/>
            <w:hideMark/>
          </w:tcPr>
          <w:p w14:paraId="3962A111" w14:textId="77777777" w:rsidR="00A30A1D" w:rsidRPr="00372D18" w:rsidRDefault="00A30A1D" w:rsidP="00260794">
            <w:pPr>
              <w:contextualSpacing/>
              <w:rPr>
                <w:rFonts w:ascii="Verdana" w:hAnsi="Verdana" w:cs="Arial"/>
                <w:sz w:val="16"/>
                <w:szCs w:val="16"/>
                <w:lang w:val="es-ES" w:eastAsia="es-ES"/>
              </w:rPr>
            </w:pPr>
            <w:r w:rsidRPr="00372D1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C9ED82" w14:textId="77777777" w:rsidR="00A30A1D" w:rsidRPr="00372D18" w:rsidRDefault="00A30A1D" w:rsidP="00260794">
            <w:pPr>
              <w:contextualSpacing/>
              <w:rPr>
                <w:rFonts w:ascii="Verdana" w:eastAsia="Arial" w:hAnsi="Verdana" w:cs="Arial"/>
                <w:sz w:val="16"/>
                <w:szCs w:val="16"/>
              </w:rPr>
            </w:pPr>
            <w:proofErr w:type="gramStart"/>
            <w:r w:rsidRPr="00372D18">
              <w:rPr>
                <w:rFonts w:ascii="Verdana" w:eastAsia="Arial" w:hAnsi="Verdana" w:cs="Arial"/>
                <w:sz w:val="16"/>
                <w:szCs w:val="16"/>
              </w:rPr>
              <w:t>Gloria  Elizabeth</w:t>
            </w:r>
            <w:proofErr w:type="gramEnd"/>
            <w:r w:rsidRPr="00372D18">
              <w:rPr>
                <w:rFonts w:ascii="Verdana" w:eastAsia="Arial" w:hAnsi="Verdana" w:cs="Arial"/>
                <w:sz w:val="16"/>
                <w:szCs w:val="16"/>
              </w:rPr>
              <w:t xml:space="preserve"> Arango Builes</w:t>
            </w:r>
          </w:p>
          <w:p w14:paraId="38A95005" w14:textId="77777777" w:rsidR="00A30A1D" w:rsidRPr="00372D18" w:rsidRDefault="00A30A1D" w:rsidP="00260794">
            <w:pPr>
              <w:contextualSpacing/>
              <w:rPr>
                <w:rFonts w:ascii="Verdana" w:eastAsia="Arial" w:hAnsi="Verdana" w:cs="Arial"/>
                <w:sz w:val="16"/>
                <w:szCs w:val="16"/>
              </w:rPr>
            </w:pPr>
            <w:r w:rsidRPr="00372D18">
              <w:rPr>
                <w:rStyle w:val="normaltextrun"/>
                <w:rFonts w:ascii="Verdana" w:eastAsia="Arial" w:hAnsi="Verdana" w:cs="Arial"/>
                <w:sz w:val="16"/>
                <w:szCs w:val="16"/>
              </w:rPr>
              <w:t>Contratista de la Subdirección de Gestión Contractual</w:t>
            </w:r>
          </w:p>
        </w:tc>
      </w:tr>
      <w:tr w:rsidR="00A30A1D" w:rsidRPr="00372D18" w14:paraId="776A8942" w14:textId="77777777" w:rsidTr="00260794">
        <w:trPr>
          <w:trHeight w:val="330"/>
        </w:trPr>
        <w:tc>
          <w:tcPr>
            <w:tcW w:w="893" w:type="dxa"/>
            <w:vAlign w:val="center"/>
            <w:hideMark/>
          </w:tcPr>
          <w:p w14:paraId="2081A711" w14:textId="77777777" w:rsidR="00A30A1D" w:rsidRPr="00372D18" w:rsidRDefault="00A30A1D" w:rsidP="00260794">
            <w:pPr>
              <w:contextualSpacing/>
              <w:rPr>
                <w:rFonts w:ascii="Verdana" w:hAnsi="Verdana" w:cs="Arial"/>
                <w:sz w:val="16"/>
                <w:szCs w:val="16"/>
                <w:lang w:val="es-ES" w:eastAsia="es-ES"/>
              </w:rPr>
            </w:pPr>
            <w:r w:rsidRPr="00372D1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F308A0" w14:textId="77777777" w:rsidR="00A30A1D" w:rsidRPr="00372D18" w:rsidRDefault="00A30A1D" w:rsidP="00260794">
            <w:pPr>
              <w:pStyle w:val="paragraph"/>
              <w:spacing w:before="0" w:beforeAutospacing="0" w:after="0" w:afterAutospacing="0"/>
              <w:contextualSpacing/>
              <w:textAlignment w:val="baseline"/>
              <w:rPr>
                <w:rFonts w:ascii="Verdana" w:hAnsi="Verdana" w:cs="Segoe UI"/>
                <w:sz w:val="16"/>
                <w:szCs w:val="16"/>
              </w:rPr>
            </w:pPr>
            <w:r w:rsidRPr="00372D18">
              <w:rPr>
                <w:rFonts w:ascii="Verdana" w:hAnsi="Verdana" w:cs="Segoe UI"/>
                <w:sz w:val="16"/>
                <w:szCs w:val="16"/>
              </w:rPr>
              <w:t>Diana Luc</w:t>
            </w:r>
            <w:r>
              <w:rPr>
                <w:rFonts w:ascii="Verdana" w:hAnsi="Verdana" w:cs="Segoe UI"/>
                <w:sz w:val="16"/>
                <w:szCs w:val="16"/>
              </w:rPr>
              <w:t>ía</w:t>
            </w:r>
            <w:r w:rsidRPr="00372D18">
              <w:rPr>
                <w:rFonts w:ascii="Verdana" w:hAnsi="Verdana" w:cs="Segoe UI"/>
                <w:sz w:val="16"/>
                <w:szCs w:val="16"/>
              </w:rPr>
              <w:t xml:space="preserve"> Saavedra</w:t>
            </w:r>
          </w:p>
          <w:p w14:paraId="0E9EA69D" w14:textId="77777777" w:rsidR="00A30A1D" w:rsidRPr="00372D18" w:rsidRDefault="00A30A1D" w:rsidP="00260794">
            <w:pPr>
              <w:pStyle w:val="paragraph"/>
              <w:spacing w:before="0" w:beforeAutospacing="0" w:after="0" w:afterAutospacing="0"/>
              <w:contextualSpacing/>
              <w:textAlignment w:val="baseline"/>
              <w:rPr>
                <w:rFonts w:ascii="Verdana" w:hAnsi="Verdana" w:cs="Segoe UI"/>
                <w:sz w:val="16"/>
                <w:szCs w:val="16"/>
              </w:rPr>
            </w:pPr>
            <w:r w:rsidRPr="00372D18">
              <w:rPr>
                <w:rStyle w:val="normaltextrun"/>
                <w:rFonts w:ascii="Verdana" w:hAnsi="Verdana" w:cs="Arial"/>
                <w:sz w:val="16"/>
                <w:szCs w:val="16"/>
                <w:lang w:val="es-ES"/>
              </w:rPr>
              <w:t>Contratista de la Subdirección de Gestión Contractual</w:t>
            </w:r>
            <w:r w:rsidRPr="00372D18">
              <w:rPr>
                <w:rStyle w:val="eop"/>
                <w:rFonts w:ascii="Verdana" w:hAnsi="Verdana" w:cs="Arial"/>
                <w:sz w:val="16"/>
                <w:szCs w:val="16"/>
              </w:rPr>
              <w:t> </w:t>
            </w:r>
          </w:p>
        </w:tc>
      </w:tr>
      <w:tr w:rsidR="00A30A1D" w:rsidRPr="00372D18" w14:paraId="5762E07C" w14:textId="77777777" w:rsidTr="00260794">
        <w:trPr>
          <w:trHeight w:val="300"/>
        </w:trPr>
        <w:tc>
          <w:tcPr>
            <w:tcW w:w="893" w:type="dxa"/>
            <w:vAlign w:val="center"/>
          </w:tcPr>
          <w:p w14:paraId="4D2099F8" w14:textId="77777777" w:rsidR="00A30A1D" w:rsidRPr="00372D18" w:rsidRDefault="00A30A1D" w:rsidP="00260794">
            <w:pPr>
              <w:contextualSpacing/>
              <w:rPr>
                <w:rFonts w:ascii="Verdana" w:hAnsi="Verdana" w:cs="Arial"/>
                <w:sz w:val="16"/>
                <w:szCs w:val="16"/>
                <w:lang w:val="es-ES" w:eastAsia="es-ES"/>
              </w:rPr>
            </w:pPr>
            <w:r w:rsidRPr="00372D1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BF95A2" w14:textId="77777777" w:rsidR="00A30A1D" w:rsidRPr="00372D18" w:rsidRDefault="00A30A1D" w:rsidP="00260794">
            <w:pPr>
              <w:contextualSpacing/>
              <w:rPr>
                <w:rFonts w:ascii="Verdana" w:eastAsia="Calibri" w:hAnsi="Verdana" w:cs="Arial"/>
                <w:sz w:val="16"/>
                <w:szCs w:val="16"/>
                <w:lang w:val="pt-BR" w:eastAsia="es-ES"/>
              </w:rPr>
            </w:pPr>
            <w:r w:rsidRPr="00372D18">
              <w:rPr>
                <w:rFonts w:ascii="Verdana" w:eastAsia="Calibri" w:hAnsi="Verdana" w:cs="Arial"/>
                <w:sz w:val="16"/>
                <w:szCs w:val="16"/>
                <w:lang w:val="pt-BR" w:eastAsia="es-ES"/>
              </w:rPr>
              <w:t xml:space="preserve">Carolina Quintero </w:t>
            </w:r>
            <w:proofErr w:type="spellStart"/>
            <w:r w:rsidRPr="00372D18">
              <w:rPr>
                <w:rFonts w:ascii="Verdana" w:eastAsia="Calibri" w:hAnsi="Verdana" w:cs="Arial"/>
                <w:sz w:val="16"/>
                <w:szCs w:val="16"/>
                <w:lang w:val="pt-BR" w:eastAsia="es-ES"/>
              </w:rPr>
              <w:t>Gacharná</w:t>
            </w:r>
            <w:proofErr w:type="spellEnd"/>
          </w:p>
          <w:p w14:paraId="2EDC6030" w14:textId="77777777" w:rsidR="00A30A1D" w:rsidRPr="00372D18" w:rsidRDefault="00A30A1D" w:rsidP="00260794">
            <w:pPr>
              <w:contextualSpacing/>
              <w:rPr>
                <w:rFonts w:ascii="Verdana" w:eastAsia="Calibri" w:hAnsi="Verdana" w:cs="Arial"/>
                <w:sz w:val="16"/>
                <w:szCs w:val="16"/>
                <w:lang w:val="pt-BR" w:eastAsia="es-ES"/>
              </w:rPr>
            </w:pPr>
            <w:r w:rsidRPr="00372D18">
              <w:rPr>
                <w:rFonts w:ascii="Verdana" w:eastAsia="Calibri" w:hAnsi="Verdana" w:cs="Arial"/>
                <w:sz w:val="16"/>
                <w:szCs w:val="16"/>
                <w:lang w:eastAsia="es-ES"/>
              </w:rPr>
              <w:t>Subdirectora</w:t>
            </w:r>
            <w:r w:rsidRPr="00372D18">
              <w:rPr>
                <w:rFonts w:ascii="Verdana" w:eastAsia="Calibri" w:hAnsi="Verdana" w:cs="Arial"/>
                <w:sz w:val="16"/>
                <w:szCs w:val="16"/>
                <w:lang w:val="pt-BR" w:eastAsia="es-ES"/>
              </w:rPr>
              <w:t xml:space="preserve"> de Gestión </w:t>
            </w:r>
            <w:proofErr w:type="spellStart"/>
            <w:r w:rsidRPr="00372D18">
              <w:rPr>
                <w:rFonts w:ascii="Verdana" w:eastAsia="Calibri" w:hAnsi="Verdana" w:cs="Arial"/>
                <w:sz w:val="16"/>
                <w:szCs w:val="16"/>
                <w:lang w:val="pt-BR" w:eastAsia="es-ES"/>
              </w:rPr>
              <w:t>Contractual</w:t>
            </w:r>
            <w:proofErr w:type="spellEnd"/>
            <w:r w:rsidRPr="00372D18">
              <w:rPr>
                <w:rFonts w:ascii="Verdana" w:eastAsia="Calibri" w:hAnsi="Verdana" w:cs="Arial"/>
                <w:sz w:val="16"/>
                <w:szCs w:val="16"/>
                <w:lang w:val="pt-BR" w:eastAsia="es-ES"/>
              </w:rPr>
              <w:t xml:space="preserve"> ANCP – CCE</w:t>
            </w:r>
          </w:p>
        </w:tc>
      </w:tr>
    </w:tbl>
    <w:p w14:paraId="074AE717" w14:textId="77777777" w:rsidR="00A30A1D" w:rsidRPr="00372D18" w:rsidRDefault="00A30A1D" w:rsidP="00A30A1D">
      <w:pPr>
        <w:spacing w:after="0" w:line="240" w:lineRule="auto"/>
        <w:rPr>
          <w:rFonts w:ascii="Verdana" w:eastAsia="Times New Roman" w:hAnsi="Verdana" w:cs="Arial"/>
          <w:sz w:val="24"/>
          <w:szCs w:val="24"/>
          <w:lang w:eastAsia="es-ES"/>
        </w:rPr>
      </w:pPr>
    </w:p>
    <w:p w14:paraId="5F90225D" w14:textId="77777777" w:rsidR="00A30A1D" w:rsidRPr="00372D18" w:rsidRDefault="00A30A1D" w:rsidP="00A30A1D">
      <w:pPr>
        <w:rPr>
          <w:rFonts w:ascii="Verdana" w:hAnsi="Verdana"/>
        </w:rPr>
      </w:pPr>
    </w:p>
    <w:p w14:paraId="3900974D" w14:textId="77777777" w:rsidR="003D5B0D" w:rsidRPr="00327BD2" w:rsidRDefault="003D5B0D" w:rsidP="00327BD2"/>
    <w:sectPr w:rsidR="003D5B0D" w:rsidRPr="00327BD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31179" w14:textId="77777777" w:rsidR="006D33FF" w:rsidRDefault="006D33FF" w:rsidP="004A1847">
      <w:pPr>
        <w:spacing w:after="0" w:line="240" w:lineRule="auto"/>
      </w:pPr>
      <w:r>
        <w:separator/>
      </w:r>
    </w:p>
  </w:endnote>
  <w:endnote w:type="continuationSeparator" w:id="0">
    <w:p w14:paraId="04EE939E" w14:textId="77777777" w:rsidR="006D33FF" w:rsidRDefault="006D33FF" w:rsidP="004A1847">
      <w:pPr>
        <w:spacing w:after="0" w:line="240" w:lineRule="auto"/>
      </w:pPr>
      <w:r>
        <w:continuationSeparator/>
      </w:r>
    </w:p>
  </w:endnote>
  <w:endnote w:type="continuationNotice" w:id="1">
    <w:p w14:paraId="0CEAE923" w14:textId="77777777" w:rsidR="006D33FF" w:rsidRDefault="006D33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9344" w14:textId="77777777" w:rsidR="006D33FF" w:rsidRDefault="006D33FF" w:rsidP="004A1847">
      <w:pPr>
        <w:spacing w:after="0" w:line="240" w:lineRule="auto"/>
      </w:pPr>
      <w:r>
        <w:separator/>
      </w:r>
    </w:p>
  </w:footnote>
  <w:footnote w:type="continuationSeparator" w:id="0">
    <w:p w14:paraId="5EE7203C" w14:textId="77777777" w:rsidR="006D33FF" w:rsidRDefault="006D33FF" w:rsidP="004A1847">
      <w:pPr>
        <w:spacing w:after="0" w:line="240" w:lineRule="auto"/>
      </w:pPr>
      <w:r>
        <w:continuationSeparator/>
      </w:r>
    </w:p>
  </w:footnote>
  <w:footnote w:type="continuationNotice" w:id="1">
    <w:p w14:paraId="35A09F31" w14:textId="77777777" w:rsidR="006D33FF" w:rsidRDefault="006D33FF">
      <w:pPr>
        <w:spacing w:after="0" w:line="240" w:lineRule="auto"/>
      </w:pPr>
    </w:p>
  </w:footnote>
  <w:footnote w:id="2">
    <w:p w14:paraId="20744736" w14:textId="77777777" w:rsidR="00A30A1D" w:rsidRPr="00372D18" w:rsidRDefault="00A30A1D" w:rsidP="00D600FA">
      <w:pPr>
        <w:pStyle w:val="Textonotapie"/>
        <w:ind w:firstLine="709"/>
        <w:jc w:val="both"/>
        <w:rPr>
          <w:rFonts w:ascii="Verdana" w:hAnsi="Verdana" w:cs="Arial"/>
          <w:color w:val="000000" w:themeColor="text1"/>
          <w:sz w:val="16"/>
          <w:szCs w:val="16"/>
        </w:rPr>
      </w:pPr>
      <w:r w:rsidRPr="00D600FA">
        <w:rPr>
          <w:rStyle w:val="Refdenotaalpie"/>
          <w:rFonts w:ascii="Verdana" w:hAnsi="Verdana" w:cs="Arial"/>
          <w:color w:val="000000" w:themeColor="text1"/>
          <w:sz w:val="16"/>
          <w:szCs w:val="16"/>
        </w:rPr>
        <w:footnoteRef/>
      </w:r>
      <w:r w:rsidRPr="00D600FA">
        <w:rPr>
          <w:rFonts w:ascii="Verdana" w:hAnsi="Verdana" w:cs="Arial"/>
          <w:color w:val="000000" w:themeColor="text1"/>
          <w:sz w:val="16"/>
          <w:szCs w:val="16"/>
        </w:rPr>
        <w:t xml:space="preserve"> </w:t>
      </w:r>
      <w:r w:rsidRPr="00372D18">
        <w:rPr>
          <w:rFonts w:ascii="Verdana" w:hAnsi="Verdana" w:cs="Arial"/>
          <w:color w:val="000000" w:themeColor="text1"/>
          <w:sz w:val="16"/>
          <w:szCs w:val="16"/>
        </w:rPr>
        <w:t xml:space="preserve">Corte Constitucional. Sala Plena. Sentencia C 178 de 29 de abril de 1996. Magistrado Ponente: Antonio Barrera Carbonell. Expediente No. D-974. </w:t>
      </w:r>
    </w:p>
    <w:p w14:paraId="27DC9BF0" w14:textId="77777777" w:rsidR="00A30A1D" w:rsidRPr="00372D18" w:rsidRDefault="00A30A1D" w:rsidP="00D600FA">
      <w:pPr>
        <w:pStyle w:val="Textonotapie"/>
        <w:ind w:firstLine="709"/>
        <w:jc w:val="both"/>
        <w:rPr>
          <w:rFonts w:ascii="Verdana" w:hAnsi="Verdana" w:cs="Arial"/>
          <w:color w:val="000000" w:themeColor="text1"/>
          <w:sz w:val="16"/>
          <w:szCs w:val="16"/>
          <w:lang w:val="es-CO"/>
        </w:rPr>
      </w:pPr>
    </w:p>
  </w:footnote>
  <w:footnote w:id="3">
    <w:p w14:paraId="55571E4D" w14:textId="77777777" w:rsidR="00A30A1D" w:rsidRPr="00372D18" w:rsidRDefault="00A30A1D" w:rsidP="00D600FA">
      <w:pPr>
        <w:spacing w:after="0" w:line="240" w:lineRule="auto"/>
        <w:ind w:firstLine="709"/>
        <w:jc w:val="both"/>
        <w:rPr>
          <w:rFonts w:ascii="Verdana" w:hAnsi="Verdana" w:cs="Arial"/>
          <w:color w:val="000000" w:themeColor="text1"/>
          <w:sz w:val="16"/>
          <w:szCs w:val="16"/>
        </w:rPr>
      </w:pPr>
      <w:r w:rsidRPr="00372D18">
        <w:rPr>
          <w:rStyle w:val="Refdenotaalpie"/>
          <w:rFonts w:ascii="Verdana" w:hAnsi="Verdana" w:cs="Arial"/>
          <w:color w:val="000000" w:themeColor="text1"/>
          <w:sz w:val="16"/>
          <w:szCs w:val="16"/>
        </w:rPr>
        <w:footnoteRef/>
      </w:r>
      <w:r w:rsidRPr="00372D18">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14:paraId="0A326131" w14:textId="77777777" w:rsidR="00A30A1D" w:rsidRPr="00372D18" w:rsidRDefault="00A30A1D" w:rsidP="00D600FA">
      <w:pPr>
        <w:pStyle w:val="Textonotapie"/>
        <w:ind w:firstLine="709"/>
        <w:jc w:val="both"/>
        <w:rPr>
          <w:rFonts w:ascii="Verdana" w:hAnsi="Verdana" w:cs="Arial"/>
          <w:color w:val="000000" w:themeColor="text1"/>
          <w:sz w:val="16"/>
          <w:szCs w:val="16"/>
        </w:rPr>
      </w:pPr>
    </w:p>
  </w:footnote>
  <w:footnote w:id="4">
    <w:p w14:paraId="49C759E2" w14:textId="77777777" w:rsidR="00A30A1D" w:rsidRPr="00372D18" w:rsidRDefault="00A30A1D" w:rsidP="00D600FA">
      <w:pPr>
        <w:pStyle w:val="Textonotapie"/>
        <w:ind w:firstLine="709"/>
        <w:jc w:val="both"/>
        <w:rPr>
          <w:rFonts w:ascii="Verdana" w:hAnsi="Verdana" w:cs="Arial"/>
          <w:color w:val="000000" w:themeColor="text1"/>
          <w:sz w:val="16"/>
          <w:szCs w:val="16"/>
        </w:rPr>
      </w:pPr>
      <w:r w:rsidRPr="00D600FA">
        <w:rPr>
          <w:rStyle w:val="Refdenotaalpie"/>
          <w:rFonts w:ascii="Verdana" w:hAnsi="Verdana" w:cs="Arial"/>
          <w:color w:val="000000" w:themeColor="text1"/>
          <w:sz w:val="16"/>
          <w:szCs w:val="16"/>
        </w:rPr>
        <w:footnoteRef/>
      </w:r>
      <w:r w:rsidRPr="00D600FA">
        <w:rPr>
          <w:rFonts w:ascii="Verdana" w:hAnsi="Verdana" w:cs="Arial"/>
          <w:color w:val="000000" w:themeColor="text1"/>
          <w:sz w:val="16"/>
          <w:szCs w:val="16"/>
        </w:rPr>
        <w:t xml:space="preserve"> </w:t>
      </w:r>
      <w:r w:rsidRPr="00372D18">
        <w:rPr>
          <w:rFonts w:ascii="Verdana" w:hAnsi="Verdana" w:cs="Arial"/>
          <w:color w:val="000000" w:themeColor="text1"/>
          <w:sz w:val="16"/>
          <w:szCs w:val="16"/>
        </w:rPr>
        <w:t>Consejo de Estado. Sala de Consulta y Servicio Civil. Consejero Ponente: Álvaro Namén Vargas. Bogotá, 10 de agosto de 2015. Radicación número: 11001-03-06-000-2015-00118-00(2.260).</w:t>
      </w:r>
    </w:p>
    <w:p w14:paraId="7FD01F12" w14:textId="77777777" w:rsidR="00A30A1D" w:rsidRPr="00372D18" w:rsidRDefault="00A30A1D" w:rsidP="00D600FA">
      <w:pPr>
        <w:pStyle w:val="Textonotapie"/>
        <w:ind w:firstLine="709"/>
        <w:jc w:val="both"/>
        <w:rPr>
          <w:rFonts w:ascii="Verdana" w:hAnsi="Verdana" w:cs="Arial"/>
          <w:color w:val="000000" w:themeColor="text1"/>
          <w:sz w:val="16"/>
          <w:szCs w:val="16"/>
          <w:lang w:val="es-CO"/>
        </w:rPr>
      </w:pPr>
    </w:p>
  </w:footnote>
  <w:footnote w:id="5">
    <w:p w14:paraId="463F4A38" w14:textId="77777777" w:rsidR="00A30A1D" w:rsidRDefault="00A30A1D" w:rsidP="00574E51">
      <w:pPr>
        <w:pStyle w:val="Textonotapie"/>
        <w:ind w:firstLine="709"/>
        <w:jc w:val="both"/>
        <w:rPr>
          <w:rFonts w:ascii="Verdana" w:hAnsi="Verdana"/>
          <w:sz w:val="16"/>
          <w:szCs w:val="16"/>
        </w:rPr>
      </w:pPr>
      <w:r w:rsidRPr="00B076AE">
        <w:rPr>
          <w:rStyle w:val="Refdenotaalpie"/>
          <w:rFonts w:ascii="Verdana" w:hAnsi="Verdana"/>
          <w:sz w:val="16"/>
          <w:szCs w:val="16"/>
        </w:rPr>
        <w:footnoteRef/>
      </w:r>
      <w:r w:rsidRPr="00B076AE">
        <w:rPr>
          <w:rFonts w:ascii="Verdana" w:hAnsi="Verdana"/>
          <w:sz w:val="16"/>
          <w:szCs w:val="16"/>
        </w:rPr>
        <w:t xml:space="preserve"> DEPARTAMENTO ADMINISTRATIVO NACIONAL DE ESTADÍSTICA. Clasificación Industrial Internacional Uniforme de todas las actividades económicas. Revisión 4 Adaptada para Colombia. 2022. Consultado el 19 de marzo de 2025 en la página web </w:t>
      </w:r>
      <w:hyperlink r:id="rId1" w:history="1">
        <w:r w:rsidRPr="00B076AE">
          <w:rPr>
            <w:rStyle w:val="Hipervnculo"/>
            <w:rFonts w:ascii="Verdana" w:hAnsi="Verdana"/>
            <w:sz w:val="16"/>
            <w:szCs w:val="16"/>
          </w:rPr>
          <w:t>https://www.dane.gov.co/files/sen/nomenclatura/ciiu/CIIU_Rev_4_AC2022.pdf</w:t>
        </w:r>
      </w:hyperlink>
      <w:r w:rsidRPr="00B076AE">
        <w:rPr>
          <w:rFonts w:ascii="Verdana" w:hAnsi="Verdana"/>
          <w:sz w:val="16"/>
          <w:szCs w:val="16"/>
        </w:rPr>
        <w:t xml:space="preserve">. </w:t>
      </w:r>
    </w:p>
    <w:p w14:paraId="377A2728" w14:textId="77777777" w:rsidR="00A30A1D" w:rsidRPr="00B076AE" w:rsidRDefault="00A30A1D" w:rsidP="00D300D6">
      <w:pPr>
        <w:pStyle w:val="Textonotapie"/>
        <w:ind w:firstLine="709"/>
        <w:jc w:val="both"/>
        <w:rPr>
          <w:rFonts w:ascii="Verdana" w:hAnsi="Verdana"/>
          <w:sz w:val="16"/>
          <w:szCs w:val="16"/>
        </w:rPr>
      </w:pPr>
    </w:p>
  </w:footnote>
  <w:footnote w:id="6">
    <w:p w14:paraId="050F1B51" w14:textId="41655C40" w:rsidR="00A30A1D" w:rsidRDefault="00A30A1D" w:rsidP="00574E51">
      <w:pPr>
        <w:pStyle w:val="Textonotapie"/>
        <w:ind w:firstLine="709"/>
        <w:jc w:val="both"/>
        <w:rPr>
          <w:rFonts w:ascii="Verdana" w:hAnsi="Verdana" w:cs="Arial"/>
          <w:sz w:val="16"/>
          <w:szCs w:val="16"/>
        </w:rPr>
      </w:pPr>
      <w:r w:rsidRPr="001B1DCF">
        <w:rPr>
          <w:rStyle w:val="Refdenotaalpie"/>
          <w:rFonts w:ascii="Verdana" w:hAnsi="Verdana"/>
          <w:sz w:val="16"/>
          <w:szCs w:val="16"/>
        </w:rPr>
        <w:footnoteRef/>
      </w:r>
      <w:r w:rsidRPr="001B1DCF">
        <w:rPr>
          <w:rFonts w:ascii="Verdana" w:hAnsi="Verdana"/>
          <w:sz w:val="16"/>
          <w:szCs w:val="16"/>
        </w:rPr>
        <w:t xml:space="preserve"> </w:t>
      </w:r>
      <w:r w:rsidRPr="001B1DCF">
        <w:rPr>
          <w:rFonts w:ascii="Verdana" w:hAnsi="Verdana" w:cs="Arial"/>
          <w:sz w:val="16"/>
          <w:szCs w:val="16"/>
        </w:rPr>
        <w:t xml:space="preserve">Reyes, F. (2013). La sociedad por acciones simplificada SAS. (3a. ed.) Legis. </w:t>
      </w:r>
      <w:r w:rsidRPr="006463CA">
        <w:rPr>
          <w:rFonts w:ascii="Verdana" w:hAnsi="Verdana" w:cs="Arial"/>
          <w:sz w:val="16"/>
          <w:szCs w:val="16"/>
        </w:rPr>
        <w:t xml:space="preserve">Recuperado de </w:t>
      </w:r>
      <w:hyperlink r:id="rId2" w:history="1">
        <w:r w:rsidR="00574E51" w:rsidRPr="00844856">
          <w:rPr>
            <w:rStyle w:val="Hipervnculo"/>
            <w:rFonts w:ascii="Verdana" w:hAnsi="Verdana" w:cs="Arial"/>
            <w:sz w:val="16"/>
            <w:szCs w:val="16"/>
          </w:rPr>
          <w:t>https://www.ebooks7-24.com:443/?il=1891&amp;pg=125</w:t>
        </w:r>
      </w:hyperlink>
    </w:p>
    <w:p w14:paraId="02E19427" w14:textId="58E9757C" w:rsidR="00A30A1D" w:rsidRPr="006463CA" w:rsidRDefault="00A30A1D" w:rsidP="00A30A1D">
      <w:pPr>
        <w:pStyle w:val="Textonotapie"/>
        <w:ind w:firstLine="709"/>
        <w:jc w:val="both"/>
        <w:rPr>
          <w:rFonts w:ascii="Verdana" w:hAnsi="Verdana"/>
          <w:sz w:val="16"/>
          <w:szCs w:val="16"/>
        </w:rPr>
      </w:pPr>
    </w:p>
  </w:footnote>
  <w:footnote w:id="7">
    <w:p w14:paraId="2F97A527" w14:textId="7BB5DDDE" w:rsidR="00A30A1D" w:rsidRDefault="00A30A1D" w:rsidP="00574E51">
      <w:pPr>
        <w:pStyle w:val="Textonotapie"/>
        <w:ind w:firstLine="709"/>
        <w:jc w:val="both"/>
        <w:rPr>
          <w:rFonts w:ascii="Verdana" w:hAnsi="Verdana" w:cs="Arial"/>
          <w:sz w:val="16"/>
          <w:szCs w:val="16"/>
        </w:rPr>
      </w:pPr>
      <w:r w:rsidRPr="001B1DCF">
        <w:rPr>
          <w:rStyle w:val="Refdenotaalpie"/>
          <w:rFonts w:ascii="Verdana" w:hAnsi="Verdana"/>
          <w:sz w:val="16"/>
          <w:szCs w:val="16"/>
        </w:rPr>
        <w:footnoteRef/>
      </w:r>
      <w:r w:rsidRPr="001B1DCF">
        <w:rPr>
          <w:rFonts w:ascii="Verdana" w:hAnsi="Verdana"/>
          <w:sz w:val="16"/>
          <w:szCs w:val="16"/>
        </w:rPr>
        <w:t xml:space="preserve"> </w:t>
      </w:r>
      <w:r w:rsidRPr="001B1DCF">
        <w:rPr>
          <w:rFonts w:ascii="Verdana" w:hAnsi="Verdana" w:cs="Arial"/>
          <w:sz w:val="16"/>
          <w:szCs w:val="16"/>
        </w:rPr>
        <w:t>Superintendencia de Sociedades. Concepto 0673, diciembre 30 de 2010</w:t>
      </w:r>
      <w:r w:rsidR="00574E51">
        <w:rPr>
          <w:rFonts w:ascii="Verdana" w:hAnsi="Verdana" w:cs="Arial"/>
          <w:sz w:val="16"/>
          <w:szCs w:val="16"/>
        </w:rPr>
        <w:t xml:space="preserve">. </w:t>
      </w:r>
    </w:p>
    <w:p w14:paraId="28DC832C" w14:textId="77777777" w:rsidR="00A30A1D" w:rsidRPr="001B1DCF" w:rsidRDefault="00A30A1D" w:rsidP="00A30A1D">
      <w:pPr>
        <w:pStyle w:val="Textonotapie"/>
        <w:ind w:firstLine="709"/>
        <w:jc w:val="both"/>
        <w:rPr>
          <w:rFonts w:ascii="Verdana" w:hAnsi="Verdana" w:cs="Arial"/>
          <w:sz w:val="16"/>
          <w:szCs w:val="16"/>
        </w:rPr>
      </w:pPr>
    </w:p>
  </w:footnote>
  <w:footnote w:id="8">
    <w:p w14:paraId="67A7A1E2" w14:textId="7A709FBA" w:rsidR="00A30A1D" w:rsidRDefault="00A30A1D" w:rsidP="00574E51">
      <w:pPr>
        <w:pStyle w:val="Textonotapie"/>
        <w:ind w:firstLine="709"/>
        <w:jc w:val="both"/>
        <w:rPr>
          <w:rFonts w:ascii="Verdana" w:hAnsi="Verdana" w:cs="Arial"/>
          <w:sz w:val="16"/>
          <w:szCs w:val="16"/>
        </w:rPr>
      </w:pPr>
      <w:r w:rsidRPr="001B1DCF">
        <w:rPr>
          <w:rStyle w:val="Refdenotaalpie"/>
          <w:rFonts w:ascii="Verdana" w:hAnsi="Verdana" w:cs="Arial"/>
          <w:sz w:val="16"/>
          <w:szCs w:val="16"/>
        </w:rPr>
        <w:footnoteRef/>
      </w:r>
      <w:r w:rsidRPr="001B1DCF">
        <w:rPr>
          <w:rFonts w:ascii="Verdana" w:hAnsi="Verdana" w:cs="Arial"/>
          <w:sz w:val="16"/>
          <w:szCs w:val="16"/>
        </w:rPr>
        <w:t xml:space="preserve"> GONZÁLEZ BENJUMEA, Óscar Humberto. Sociedad por Acciones Simplificada Innovaciones legislativas, doctrinales y desarrollo jurisprudencial. Editorial Unaula, Medellín, 1ª. Edición, 2012, p. 48</w:t>
      </w:r>
      <w:r w:rsidR="00574E51">
        <w:rPr>
          <w:rFonts w:ascii="Verdana" w:hAnsi="Verdana" w:cs="Arial"/>
          <w:sz w:val="16"/>
          <w:szCs w:val="16"/>
        </w:rPr>
        <w:t xml:space="preserve">. </w:t>
      </w:r>
    </w:p>
    <w:p w14:paraId="7D14BD25" w14:textId="77777777" w:rsidR="00A30A1D" w:rsidRPr="001B1DCF" w:rsidRDefault="00A30A1D" w:rsidP="00A30A1D">
      <w:pPr>
        <w:pStyle w:val="Textonotapie"/>
        <w:ind w:firstLine="709"/>
        <w:jc w:val="both"/>
        <w:rPr>
          <w:rFonts w:ascii="Verdana" w:hAnsi="Verdana" w:cs="Arial"/>
          <w:sz w:val="16"/>
          <w:szCs w:val="16"/>
        </w:rPr>
      </w:pPr>
    </w:p>
  </w:footnote>
  <w:footnote w:id="9">
    <w:p w14:paraId="24FA3757" w14:textId="09C5F2C0" w:rsidR="00A30A1D" w:rsidRDefault="00A30A1D" w:rsidP="00574E51">
      <w:pPr>
        <w:pStyle w:val="Textonotapie"/>
        <w:ind w:firstLine="709"/>
        <w:jc w:val="both"/>
        <w:rPr>
          <w:rFonts w:ascii="Verdana" w:hAnsi="Verdana" w:cs="Arial"/>
          <w:sz w:val="16"/>
          <w:szCs w:val="16"/>
        </w:rPr>
      </w:pPr>
      <w:r w:rsidRPr="001B1DCF">
        <w:rPr>
          <w:rStyle w:val="Refdenotaalpie"/>
          <w:rFonts w:ascii="Verdana" w:hAnsi="Verdana"/>
          <w:sz w:val="16"/>
          <w:szCs w:val="16"/>
        </w:rPr>
        <w:footnoteRef/>
      </w:r>
      <w:r w:rsidRPr="001B1DCF">
        <w:rPr>
          <w:rFonts w:ascii="Verdana" w:hAnsi="Verdana"/>
          <w:sz w:val="16"/>
          <w:szCs w:val="16"/>
        </w:rPr>
        <w:t xml:space="preserve"> </w:t>
      </w:r>
      <w:r w:rsidRPr="001B1DCF">
        <w:rPr>
          <w:rFonts w:ascii="Verdana" w:hAnsi="Verdana" w:cs="Arial"/>
          <w:sz w:val="16"/>
          <w:szCs w:val="16"/>
        </w:rPr>
        <w:t>MARTÍNEZ NEIRA, Néstor Humberto. Cátedra de Derecho Contractual Societario, regulación comercial y bursátil de los actos y contratos societarios. Editorial Abeledo Perrot, Buenos Aires, 1ª. Edición, 2010, p. 153</w:t>
      </w:r>
      <w:r w:rsidR="00574E51">
        <w:rPr>
          <w:rFonts w:ascii="Verdana" w:hAnsi="Verdana" w:cs="Arial"/>
          <w:sz w:val="16"/>
          <w:szCs w:val="16"/>
        </w:rPr>
        <w:t>.</w:t>
      </w:r>
    </w:p>
    <w:p w14:paraId="1D78BD38" w14:textId="77777777" w:rsidR="00A30A1D" w:rsidRPr="001B1DCF" w:rsidRDefault="00A30A1D" w:rsidP="00A30A1D">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4BE58A7"/>
    <w:multiLevelType w:val="hybridMultilevel"/>
    <w:tmpl w:val="E0EEB9AE"/>
    <w:lvl w:ilvl="0" w:tplc="4F1A1D9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2079870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61F"/>
    <w:rsid w:val="00061B2A"/>
    <w:rsid w:val="00082362"/>
    <w:rsid w:val="000A683E"/>
    <w:rsid w:val="000B19B9"/>
    <w:rsid w:val="000D0334"/>
    <w:rsid w:val="000E2E28"/>
    <w:rsid w:val="000F6486"/>
    <w:rsid w:val="00125105"/>
    <w:rsid w:val="00127233"/>
    <w:rsid w:val="001353E5"/>
    <w:rsid w:val="001511A0"/>
    <w:rsid w:val="00177ADE"/>
    <w:rsid w:val="00186A91"/>
    <w:rsid w:val="001A09FC"/>
    <w:rsid w:val="001A7E7C"/>
    <w:rsid w:val="001B5AEF"/>
    <w:rsid w:val="001E4177"/>
    <w:rsid w:val="001F7DC6"/>
    <w:rsid w:val="002421BB"/>
    <w:rsid w:val="002551D3"/>
    <w:rsid w:val="0025796E"/>
    <w:rsid w:val="002707A2"/>
    <w:rsid w:val="002951A0"/>
    <w:rsid w:val="002962BC"/>
    <w:rsid w:val="002A093D"/>
    <w:rsid w:val="002A0DD0"/>
    <w:rsid w:val="002A49AC"/>
    <w:rsid w:val="002A64FD"/>
    <w:rsid w:val="002C0EED"/>
    <w:rsid w:val="002C7A84"/>
    <w:rsid w:val="002E4FD9"/>
    <w:rsid w:val="00322A85"/>
    <w:rsid w:val="00324168"/>
    <w:rsid w:val="00327BD2"/>
    <w:rsid w:val="00336E30"/>
    <w:rsid w:val="003448F4"/>
    <w:rsid w:val="00372B86"/>
    <w:rsid w:val="00374F5E"/>
    <w:rsid w:val="00377E3E"/>
    <w:rsid w:val="00382253"/>
    <w:rsid w:val="003A779E"/>
    <w:rsid w:val="003D0F4D"/>
    <w:rsid w:val="003D5B0D"/>
    <w:rsid w:val="003E0499"/>
    <w:rsid w:val="003F3941"/>
    <w:rsid w:val="00406575"/>
    <w:rsid w:val="00414C74"/>
    <w:rsid w:val="0042722E"/>
    <w:rsid w:val="0044528D"/>
    <w:rsid w:val="004552C5"/>
    <w:rsid w:val="00474962"/>
    <w:rsid w:val="00487121"/>
    <w:rsid w:val="0049297E"/>
    <w:rsid w:val="004A1847"/>
    <w:rsid w:val="004A1DB0"/>
    <w:rsid w:val="004A305D"/>
    <w:rsid w:val="004F21C4"/>
    <w:rsid w:val="004F685F"/>
    <w:rsid w:val="005105AE"/>
    <w:rsid w:val="005566E8"/>
    <w:rsid w:val="00574867"/>
    <w:rsid w:val="00574E51"/>
    <w:rsid w:val="00591460"/>
    <w:rsid w:val="00594CEA"/>
    <w:rsid w:val="005B3816"/>
    <w:rsid w:val="005C3777"/>
    <w:rsid w:val="005C5CDC"/>
    <w:rsid w:val="005D476C"/>
    <w:rsid w:val="00616260"/>
    <w:rsid w:val="006219F8"/>
    <w:rsid w:val="00623A64"/>
    <w:rsid w:val="00623B55"/>
    <w:rsid w:val="006463CA"/>
    <w:rsid w:val="00665D70"/>
    <w:rsid w:val="00666D05"/>
    <w:rsid w:val="006900D9"/>
    <w:rsid w:val="006D33FF"/>
    <w:rsid w:val="006E1AE2"/>
    <w:rsid w:val="006E479B"/>
    <w:rsid w:val="006E48EE"/>
    <w:rsid w:val="006E4E33"/>
    <w:rsid w:val="00703BFB"/>
    <w:rsid w:val="00706C16"/>
    <w:rsid w:val="00745216"/>
    <w:rsid w:val="00756841"/>
    <w:rsid w:val="007649AB"/>
    <w:rsid w:val="00771D0C"/>
    <w:rsid w:val="007777CB"/>
    <w:rsid w:val="007833AC"/>
    <w:rsid w:val="00794DFC"/>
    <w:rsid w:val="007B268C"/>
    <w:rsid w:val="007B7171"/>
    <w:rsid w:val="007C0C0F"/>
    <w:rsid w:val="007C3DC2"/>
    <w:rsid w:val="007E5497"/>
    <w:rsid w:val="00806F5F"/>
    <w:rsid w:val="00820278"/>
    <w:rsid w:val="00867F95"/>
    <w:rsid w:val="008843B6"/>
    <w:rsid w:val="00891928"/>
    <w:rsid w:val="008A03B9"/>
    <w:rsid w:val="008A446D"/>
    <w:rsid w:val="008B4F80"/>
    <w:rsid w:val="008D180B"/>
    <w:rsid w:val="008F0EA7"/>
    <w:rsid w:val="00923EEF"/>
    <w:rsid w:val="00923F2C"/>
    <w:rsid w:val="00924A8F"/>
    <w:rsid w:val="009419F9"/>
    <w:rsid w:val="009533E8"/>
    <w:rsid w:val="00955F84"/>
    <w:rsid w:val="0095685E"/>
    <w:rsid w:val="00961B09"/>
    <w:rsid w:val="00965334"/>
    <w:rsid w:val="0097093E"/>
    <w:rsid w:val="00986AC5"/>
    <w:rsid w:val="009A0DFA"/>
    <w:rsid w:val="009B2D26"/>
    <w:rsid w:val="009C35A4"/>
    <w:rsid w:val="009C49B1"/>
    <w:rsid w:val="009C71FA"/>
    <w:rsid w:val="009C72E7"/>
    <w:rsid w:val="009D3058"/>
    <w:rsid w:val="009E6EE5"/>
    <w:rsid w:val="009F2AA5"/>
    <w:rsid w:val="009F3A13"/>
    <w:rsid w:val="00A122D3"/>
    <w:rsid w:val="00A12AA9"/>
    <w:rsid w:val="00A17F13"/>
    <w:rsid w:val="00A20739"/>
    <w:rsid w:val="00A30A1D"/>
    <w:rsid w:val="00A33C78"/>
    <w:rsid w:val="00A35BFE"/>
    <w:rsid w:val="00A92D51"/>
    <w:rsid w:val="00AB0ADB"/>
    <w:rsid w:val="00B01B1A"/>
    <w:rsid w:val="00B2775B"/>
    <w:rsid w:val="00B66319"/>
    <w:rsid w:val="00B72CD3"/>
    <w:rsid w:val="00B72FFF"/>
    <w:rsid w:val="00BC3D36"/>
    <w:rsid w:val="00BD7F72"/>
    <w:rsid w:val="00BF3B40"/>
    <w:rsid w:val="00C04FB3"/>
    <w:rsid w:val="00C23989"/>
    <w:rsid w:val="00C330EB"/>
    <w:rsid w:val="00C41061"/>
    <w:rsid w:val="00C754BE"/>
    <w:rsid w:val="00C76B1C"/>
    <w:rsid w:val="00C8341C"/>
    <w:rsid w:val="00CB6357"/>
    <w:rsid w:val="00CC1B26"/>
    <w:rsid w:val="00CE6765"/>
    <w:rsid w:val="00CF3441"/>
    <w:rsid w:val="00D300D6"/>
    <w:rsid w:val="00D423A2"/>
    <w:rsid w:val="00D42680"/>
    <w:rsid w:val="00D520D8"/>
    <w:rsid w:val="00D600FA"/>
    <w:rsid w:val="00D63AC2"/>
    <w:rsid w:val="00D66E3D"/>
    <w:rsid w:val="00D7383B"/>
    <w:rsid w:val="00D758B4"/>
    <w:rsid w:val="00D943C3"/>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93E64"/>
    <w:rsid w:val="00E961DC"/>
    <w:rsid w:val="00EA0E3D"/>
    <w:rsid w:val="00EC38A7"/>
    <w:rsid w:val="00EC55F4"/>
    <w:rsid w:val="00ED297F"/>
    <w:rsid w:val="00ED7384"/>
    <w:rsid w:val="00EE1AA8"/>
    <w:rsid w:val="00F121B8"/>
    <w:rsid w:val="00F31EDC"/>
    <w:rsid w:val="00F462B3"/>
    <w:rsid w:val="00F5664F"/>
    <w:rsid w:val="00F666C4"/>
    <w:rsid w:val="00F76AFC"/>
    <w:rsid w:val="00FA47C0"/>
    <w:rsid w:val="00FB5DD1"/>
    <w:rsid w:val="00FB655C"/>
    <w:rsid w:val="00FC2B5D"/>
    <w:rsid w:val="00FD0D20"/>
    <w:rsid w:val="00FF1449"/>
    <w:rsid w:val="165E9519"/>
    <w:rsid w:val="382536D9"/>
    <w:rsid w:val="68E2F5DD"/>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0A1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0A1D"/>
    <w:rPr>
      <w:rFonts w:ascii="Geomanist Light" w:hAnsi="Geomanist Light"/>
      <w:lang w:val="es-ES"/>
    </w:rPr>
  </w:style>
  <w:style w:type="character" w:styleId="Refdecomentario">
    <w:name w:val="annotation reference"/>
    <w:basedOn w:val="Fuentedeprrafopredeter"/>
    <w:uiPriority w:val="99"/>
    <w:semiHidden/>
    <w:unhideWhenUsed/>
    <w:rsid w:val="00D300D6"/>
    <w:rPr>
      <w:sz w:val="16"/>
      <w:szCs w:val="16"/>
    </w:rPr>
  </w:style>
  <w:style w:type="paragraph" w:styleId="Textocomentario">
    <w:name w:val="annotation text"/>
    <w:basedOn w:val="Normal"/>
    <w:link w:val="TextocomentarioCar"/>
    <w:uiPriority w:val="99"/>
    <w:unhideWhenUsed/>
    <w:rsid w:val="00D300D6"/>
    <w:pPr>
      <w:spacing w:line="240" w:lineRule="auto"/>
    </w:pPr>
    <w:rPr>
      <w:sz w:val="20"/>
      <w:szCs w:val="20"/>
    </w:rPr>
  </w:style>
  <w:style w:type="character" w:customStyle="1" w:styleId="TextocomentarioCar">
    <w:name w:val="Texto comentario Car"/>
    <w:basedOn w:val="Fuentedeprrafopredeter"/>
    <w:link w:val="Textocomentario"/>
    <w:uiPriority w:val="99"/>
    <w:rsid w:val="00D300D6"/>
    <w:rPr>
      <w:sz w:val="20"/>
      <w:szCs w:val="20"/>
    </w:rPr>
  </w:style>
  <w:style w:type="paragraph" w:styleId="Asuntodelcomentario">
    <w:name w:val="annotation subject"/>
    <w:basedOn w:val="Textocomentario"/>
    <w:next w:val="Textocomentario"/>
    <w:link w:val="AsuntodelcomentarioCar"/>
    <w:uiPriority w:val="99"/>
    <w:semiHidden/>
    <w:unhideWhenUsed/>
    <w:rsid w:val="00D300D6"/>
    <w:rPr>
      <w:b/>
      <w:bCs/>
    </w:rPr>
  </w:style>
  <w:style w:type="character" w:customStyle="1" w:styleId="AsuntodelcomentarioCar">
    <w:name w:val="Asunto del comentario Car"/>
    <w:basedOn w:val="TextocomentarioCar"/>
    <w:link w:val="Asuntodelcomentario"/>
    <w:uiPriority w:val="99"/>
    <w:semiHidden/>
    <w:rsid w:val="00D300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ne.gov.co/files/sen/nomenclatura/ciiu/CIIU_Rev_4_AC2022.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sorelacionespublicas@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books7-24.com:443/?il=1891&amp;pg=125" TargetMode="External"/><Relationship Id="rId1" Type="http://schemas.openxmlformats.org/officeDocument/2006/relationships/hyperlink" Target="https://www.dane.gov.co/files/sen/nomenclatura/ciiu/CIIU_Rev_4_AC20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d85dbaf-23eb-4e57-a637-93dcacc8b1a1"/>
    <ds:schemaRef ds:uri="http://schemas.openxmlformats.org/package/2006/metadata/core-properties"/>
    <ds:schemaRef ds:uri="a6cb9e4b-f1d1-4245-83ec-6cad768d538a"/>
    <ds:schemaRef ds:uri="http://www.w3.org/XML/1998/namespace"/>
  </ds:schemaRefs>
</ds:datastoreItem>
</file>

<file path=customXml/itemProps2.xml><?xml version="1.0" encoding="utf-8"?>
<ds:datastoreItem xmlns:ds="http://schemas.openxmlformats.org/officeDocument/2006/customXml" ds:itemID="{33056DD1-2579-41EC-BF05-EE938F37E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7F954-9300-4741-A8C4-1FFA48853404}">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5442</Words>
  <Characters>29937</Characters>
  <Application>Microsoft Office Word</Application>
  <DocSecurity>0</DocSecurity>
  <Lines>249</Lines>
  <Paragraphs>70</Paragraphs>
  <ScaleCrop>false</ScaleCrop>
  <Company/>
  <LinksUpToDate>false</LinksUpToDate>
  <CharactersWithSpaces>35309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2025-08-20T13:53:00Z</dcterms:created>
  <dcterms:modified xsi:type="dcterms:W3CDTF">2025-08-20T13:53:00Z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