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4E15D" w14:textId="50967192" w:rsidR="003D620E" w:rsidRPr="003D620E" w:rsidRDefault="003D620E" w:rsidP="006F7BA8">
      <w:pPr>
        <w:spacing w:after="0" w:line="240" w:lineRule="auto"/>
        <w:rPr>
          <w:rFonts w:ascii="Verdana" w:hAnsi="Verdana" w:cs="Arial"/>
          <w:b/>
          <w:bCs/>
          <w:lang w:val="es-ES" w:eastAsia="es-ES"/>
        </w:rPr>
      </w:pPr>
      <w:r w:rsidRPr="003D620E">
        <w:rPr>
          <w:rFonts w:ascii="Verdana" w:hAnsi="Verdana" w:cs="Arial"/>
          <w:b/>
          <w:bCs/>
          <w:lang w:val="es-ES" w:eastAsia="es-ES"/>
        </w:rPr>
        <w:t>SUBSANABILIDAD – Aplicación – Regla general – Excepciones</w:t>
      </w:r>
    </w:p>
    <w:p w14:paraId="437E2539" w14:textId="77777777" w:rsidR="003D620E" w:rsidRDefault="003D620E" w:rsidP="006F7BA8">
      <w:pPr>
        <w:spacing w:after="0" w:line="240" w:lineRule="auto"/>
        <w:rPr>
          <w:rFonts w:ascii="Verdana" w:hAnsi="Verdana" w:cs="Arial"/>
          <w:lang w:val="es-ES" w:eastAsia="es-ES"/>
        </w:rPr>
      </w:pPr>
    </w:p>
    <w:p w14:paraId="4B04B56D" w14:textId="77777777" w:rsidR="003D620E" w:rsidRDefault="003D620E" w:rsidP="003D620E">
      <w:pPr>
        <w:spacing w:after="120" w:line="276" w:lineRule="auto"/>
        <w:jc w:val="both"/>
        <w:rPr>
          <w:rFonts w:ascii="Verdana" w:eastAsia="Times New Roman" w:hAnsi="Verdana" w:cs="Arial"/>
          <w:lang w:val="es-ES_tradnl" w:eastAsia="es-ES_tradnl"/>
        </w:rPr>
      </w:pPr>
      <w:r w:rsidRPr="00B10A68">
        <w:rPr>
          <w:rFonts w:ascii="Verdana" w:eastAsia="Calibri" w:hAnsi="Verdana" w:cs="Arial"/>
          <w:noProof/>
          <w:lang w:val="es-ES_tradnl"/>
        </w:rPr>
        <w:t>L</w:t>
      </w:r>
      <w:r w:rsidRPr="00B10A68">
        <w:rPr>
          <w:rFonts w:ascii="Verdana" w:eastAsia="Times New Roman" w:hAnsi="Verdana" w:cs="Arial"/>
        </w:rPr>
        <w:t xml:space="preserve">a regla de la </w:t>
      </w:r>
      <w:proofErr w:type="spellStart"/>
      <w:r w:rsidRPr="00B10A68">
        <w:rPr>
          <w:rFonts w:ascii="Verdana" w:eastAsia="Times New Roman" w:hAnsi="Verdana" w:cs="Arial"/>
        </w:rPr>
        <w:t>subsanabilidad</w:t>
      </w:r>
      <w:proofErr w:type="spellEnd"/>
      <w:r w:rsidRPr="00B10A68">
        <w:rPr>
          <w:rFonts w:ascii="Verdana" w:eastAsia="Times New Roman" w:hAnsi="Verdana" w:cs="Arial"/>
        </w:rPr>
        <w:t xml:space="preserve"> de las ofertas en los procedimientos de selección</w:t>
      </w:r>
      <w:r w:rsidRPr="00B10A68">
        <w:rPr>
          <w:rFonts w:ascii="Verdana" w:eastAsia="Times New Roman" w:hAnsi="Verdana" w:cs="Arial"/>
          <w:b/>
          <w:bCs/>
        </w:rPr>
        <w:t xml:space="preserve"> </w:t>
      </w:r>
      <w:r w:rsidRPr="00B10A68">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58D630A2" w14:textId="2CFEEE32" w:rsidR="003D620E" w:rsidRPr="003D620E" w:rsidRDefault="003D620E" w:rsidP="003D620E">
      <w:pPr>
        <w:spacing w:after="120" w:line="276" w:lineRule="auto"/>
        <w:jc w:val="both"/>
        <w:rPr>
          <w:rFonts w:ascii="Verdana" w:eastAsia="Times New Roman" w:hAnsi="Verdana" w:cs="Arial"/>
          <w:lang w:val="es-ES_tradnl" w:eastAsia="es-ES_tradnl"/>
        </w:rPr>
      </w:pPr>
      <w:r w:rsidRPr="003D620E">
        <w:rPr>
          <w:rFonts w:ascii="Verdana" w:eastAsia="Calibri" w:hAnsi="Verdana" w:cs="Arial"/>
          <w:noProof/>
          <w:lang w:val="es-ES_tradnl"/>
        </w:rPr>
        <w:t xml:space="preserve">La posibilidad de enmendar, corregir o subsanar los errores en los que se incurre en los documentos contentivos de la oferta es un tema que ha tenido diferentes momentos o etapas en el ordenamiento jurídico colombiano, momentos que se han expuesto de manera detallada en conceptos como el C-285 del 20 de mayo de 2022 o el C-447 del 19 de septiembre de 2024 los cuales, en el evento en que tenga interés, podrá consultar en los enlaces de la nota al pie. Sin embargo, a continuación, se hará referencia particularmente al último momento, que refleja la postura vigente en torno a la subsanabilidad. </w:t>
      </w:r>
    </w:p>
    <w:p w14:paraId="1B428111" w14:textId="615E250B" w:rsidR="003D620E" w:rsidRDefault="003D620E" w:rsidP="003D620E">
      <w:pPr>
        <w:spacing w:after="120" w:line="276" w:lineRule="auto"/>
        <w:jc w:val="both"/>
        <w:rPr>
          <w:rFonts w:ascii="Verdana" w:hAnsi="Verdana" w:cs="Arial"/>
          <w:b/>
          <w:bCs/>
          <w:lang w:val="es-ES" w:eastAsia="es-ES"/>
        </w:rPr>
      </w:pPr>
      <w:r w:rsidRPr="003D620E">
        <w:rPr>
          <w:rFonts w:ascii="Verdana" w:hAnsi="Verdana" w:cs="Arial"/>
          <w:b/>
          <w:bCs/>
          <w:lang w:val="es-ES" w:eastAsia="es-ES"/>
        </w:rPr>
        <w:t>SUBSANABILIDAD – Ley 1882 de 2018</w:t>
      </w:r>
    </w:p>
    <w:p w14:paraId="7271FD3C" w14:textId="69CCFEDA" w:rsidR="003D620E" w:rsidRDefault="003D620E" w:rsidP="003D620E">
      <w:pPr>
        <w:spacing w:after="120" w:line="276" w:lineRule="auto"/>
        <w:jc w:val="both"/>
        <w:rPr>
          <w:rFonts w:ascii="Verdana" w:hAnsi="Verdana" w:cs="Arial"/>
        </w:rPr>
      </w:pPr>
      <w:r>
        <w:rPr>
          <w:rFonts w:ascii="Verdana" w:hAnsi="Verdana" w:cs="Arial"/>
          <w:lang w:val="es-ES"/>
        </w:rPr>
        <w:t xml:space="preserve">[…] es pertinente indicar que </w:t>
      </w:r>
      <w:r w:rsidRPr="00534481">
        <w:rPr>
          <w:rFonts w:ascii="Verdana" w:hAnsi="Verdana" w:cs="Arial"/>
        </w:rPr>
        <w:t xml:space="preserve">la </w:t>
      </w:r>
      <w:proofErr w:type="spellStart"/>
      <w:r w:rsidRPr="00534481">
        <w:rPr>
          <w:rFonts w:ascii="Verdana" w:hAnsi="Verdana" w:cs="Arial"/>
        </w:rPr>
        <w:t>subsanabilidad</w:t>
      </w:r>
      <w:proofErr w:type="spellEnd"/>
      <w:r w:rsidRPr="00534481">
        <w:rPr>
          <w:rFonts w:ascii="Verdana" w:hAnsi="Verdana" w:cs="Arial"/>
        </w:rPr>
        <w:t xml:space="preserve"> de las ofertas </w:t>
      </w:r>
      <w:r w:rsidRPr="000D3A73">
        <w:rPr>
          <w:rFonts w:ascii="Verdana" w:eastAsia="Century Gothic" w:hAnsi="Verdana" w:cs="Century Gothic"/>
          <w:bCs/>
        </w:rPr>
        <w:t xml:space="preserve">es un mecanismo previsto en los procedimientos regulados por el </w:t>
      </w:r>
      <w:r>
        <w:rPr>
          <w:rFonts w:ascii="Verdana" w:eastAsia="Century Gothic" w:hAnsi="Verdana" w:cs="Century Gothic"/>
          <w:bCs/>
        </w:rPr>
        <w:t>Estatuto General de Contratación de la Administración Pública,</w:t>
      </w:r>
      <w:r w:rsidRPr="000D3A73">
        <w:rPr>
          <w:rFonts w:ascii="Verdana" w:eastAsia="Century Gothic" w:hAnsi="Verdana" w:cs="Century Gothic"/>
          <w:bCs/>
        </w:rPr>
        <w:t xml:space="preserve"> previst</w:t>
      </w:r>
      <w:r>
        <w:rPr>
          <w:rFonts w:ascii="Verdana" w:eastAsia="Century Gothic" w:hAnsi="Verdana" w:cs="Century Gothic"/>
          <w:bCs/>
        </w:rPr>
        <w:t>o</w:t>
      </w:r>
      <w:r w:rsidRPr="000D3A73">
        <w:rPr>
          <w:rFonts w:ascii="Verdana" w:eastAsia="Century Gothic" w:hAnsi="Verdana" w:cs="Century Gothic"/>
          <w:bCs/>
        </w:rPr>
        <w:t xml:space="preserve"> en los parágrafos 1 al 4 del artículo 5 de la Ley 1150 de 2007, modificado por la Ley 1882 de 2018, que permite que los proponentes puedan enmendar, corregir o modificar los errores en los documentos de la oferta respecto a los requisitos habilitantes</w:t>
      </w:r>
      <w:r>
        <w:rPr>
          <w:rFonts w:ascii="Verdana" w:eastAsia="Century Gothic" w:hAnsi="Verdana" w:cs="Century Gothic"/>
          <w:bCs/>
        </w:rPr>
        <w:t xml:space="preserve"> o aquellos que no son necesarios para la comparación de las ofertas</w:t>
      </w:r>
      <w:r w:rsidRPr="000D3A73">
        <w:rPr>
          <w:rFonts w:ascii="Verdana" w:eastAsia="Century Gothic" w:hAnsi="Verdana" w:cs="Century Gothic"/>
          <w:bCs/>
        </w:rPr>
        <w:t>. En ese orden de ideas, conforme a la norma señalada</w:t>
      </w:r>
      <w:r>
        <w:rPr>
          <w:rFonts w:ascii="Verdana" w:eastAsia="Century Gothic" w:hAnsi="Verdana" w:cs="Century Gothic"/>
          <w:bCs/>
        </w:rPr>
        <w:t>,</w:t>
      </w:r>
      <w:r w:rsidRPr="000D3A73">
        <w:rPr>
          <w:rFonts w:ascii="Verdana" w:eastAsia="Century Gothic" w:hAnsi="Verdana" w:cs="Century Gothic"/>
          <w:bCs/>
        </w:rPr>
        <w:t xml:space="preserve"> los requisitos habilitantes dentro de los procesos de contratación</w:t>
      </w:r>
      <w:r>
        <w:rPr>
          <w:rFonts w:ascii="Verdana" w:eastAsia="Century Gothic" w:hAnsi="Verdana" w:cs="Century Gothic"/>
          <w:bCs/>
        </w:rPr>
        <w:t>,</w:t>
      </w:r>
      <w:r w:rsidRPr="000D3A73">
        <w:rPr>
          <w:rFonts w:ascii="Verdana" w:eastAsia="Century Gothic" w:hAnsi="Verdana" w:cs="Century Gothic"/>
          <w:bCs/>
        </w:rPr>
        <w:t xml:space="preserve"> como regla general</w:t>
      </w:r>
      <w:r>
        <w:rPr>
          <w:rFonts w:ascii="Verdana" w:eastAsia="Century Gothic" w:hAnsi="Verdana" w:cs="Century Gothic"/>
          <w:bCs/>
        </w:rPr>
        <w:t>,</w:t>
      </w:r>
      <w:r w:rsidRPr="000D3A73">
        <w:rPr>
          <w:rFonts w:ascii="Verdana" w:eastAsia="Century Gothic" w:hAnsi="Verdana" w:cs="Century Gothic"/>
          <w:bCs/>
        </w:rPr>
        <w:t xml:space="preserve"> son subsanable</w:t>
      </w:r>
      <w:r>
        <w:rPr>
          <w:rFonts w:ascii="Verdana" w:eastAsia="Century Gothic" w:hAnsi="Verdana" w:cs="Century Gothic"/>
          <w:bCs/>
        </w:rPr>
        <w:t>s</w:t>
      </w:r>
      <w:r w:rsidRPr="000D3A73">
        <w:rPr>
          <w:rFonts w:ascii="Verdana" w:eastAsia="Century Gothic" w:hAnsi="Verdana" w:cs="Century Gothic"/>
          <w:bCs/>
        </w:rPr>
        <w:t xml:space="preserve"> siempre y cuando estos no afecten la asignación de puntaje</w:t>
      </w:r>
      <w:r>
        <w:rPr>
          <w:rFonts w:ascii="Verdana" w:eastAsia="Century Gothic" w:hAnsi="Verdana" w:cs="Century Gothic"/>
          <w:bCs/>
        </w:rPr>
        <w:t>.</w:t>
      </w:r>
      <w:r>
        <w:rPr>
          <w:rFonts w:ascii="Verdana" w:hAnsi="Verdana" w:cs="Arial"/>
        </w:rPr>
        <w:t xml:space="preserve"> L</w:t>
      </w:r>
      <w:r w:rsidRPr="00534481">
        <w:rPr>
          <w:rFonts w:ascii="Verdana" w:hAnsi="Verdana" w:cs="Arial"/>
        </w:rPr>
        <w:t>a facultad de subsanar las ofertas tiene como finalidad asegurar que prevalezca el fondo sobre la forma dentro de los procesos de contratación</w:t>
      </w:r>
      <w:r>
        <w:rPr>
          <w:rFonts w:ascii="Verdana" w:hAnsi="Verdana" w:cs="Arial"/>
        </w:rPr>
        <w:t xml:space="preserve"> </w:t>
      </w:r>
      <w:r w:rsidRPr="00534481">
        <w:rPr>
          <w:rFonts w:ascii="Verdana" w:hAnsi="Verdana" w:cs="Arial"/>
        </w:rPr>
        <w:t>fortaleciendo la competencia real en los procedimientos de selección</w:t>
      </w:r>
      <w:r>
        <w:rPr>
          <w:rFonts w:ascii="Verdana" w:hAnsi="Verdana" w:cs="Arial"/>
        </w:rPr>
        <w:t>.</w:t>
      </w:r>
    </w:p>
    <w:p w14:paraId="28AEF37C" w14:textId="5ABFAE9E" w:rsidR="003D620E" w:rsidRDefault="003D620E" w:rsidP="003D620E">
      <w:pPr>
        <w:spacing w:after="120" w:line="276" w:lineRule="auto"/>
        <w:jc w:val="both"/>
        <w:rPr>
          <w:rFonts w:ascii="Verdana" w:hAnsi="Verdana" w:cs="Arial"/>
          <w:b/>
          <w:bCs/>
          <w:lang w:val="es-ES" w:eastAsia="es-ES"/>
        </w:rPr>
      </w:pPr>
      <w:r w:rsidRPr="003D620E">
        <w:rPr>
          <w:rFonts w:ascii="Verdana" w:hAnsi="Verdana" w:cs="Arial"/>
          <w:b/>
          <w:bCs/>
          <w:lang w:val="es-ES" w:eastAsia="es-ES"/>
        </w:rPr>
        <w:t>SUBSANABILIDAD Y ACLARACIÓN DE LA OFERTA – Diferencias</w:t>
      </w:r>
    </w:p>
    <w:p w14:paraId="0537711C" w14:textId="25AB79B3" w:rsidR="003D620E" w:rsidRDefault="003D620E" w:rsidP="003D620E">
      <w:pPr>
        <w:spacing w:after="120" w:line="276" w:lineRule="auto"/>
        <w:jc w:val="both"/>
        <w:rPr>
          <w:rFonts w:ascii="Verdana" w:hAnsi="Verdana" w:cs="Arial"/>
          <w:lang w:val="es-ES"/>
        </w:rPr>
      </w:pPr>
      <w:r>
        <w:rPr>
          <w:rFonts w:ascii="Verdana" w:hAnsi="Verdana" w:cs="Arial"/>
          <w:lang w:val="es-ES"/>
        </w:rPr>
        <w:t>[…] Ahora bien</w:t>
      </w:r>
      <w:r w:rsidRPr="00B10A68">
        <w:rPr>
          <w:rFonts w:ascii="Verdana" w:hAnsi="Verdana" w:cs="Arial"/>
          <w:lang w:val="es-ES"/>
        </w:rPr>
        <w:t xml:space="preserve">, </w:t>
      </w:r>
      <w:r>
        <w:rPr>
          <w:rFonts w:ascii="Verdana" w:hAnsi="Verdana" w:cs="Arial"/>
          <w:lang w:val="es-ES"/>
        </w:rPr>
        <w:t xml:space="preserve">en torno a aclaraciones de la propuesta, </w:t>
      </w:r>
      <w:r w:rsidRPr="00B10A68">
        <w:rPr>
          <w:rFonts w:ascii="Verdana" w:hAnsi="Verdana" w:cs="Arial"/>
          <w:lang w:val="es-ES"/>
        </w:rPr>
        <w:t>se recomienda requerir al proponente con el fin de que presente las aclaraciones que sean pertinentes</w:t>
      </w:r>
      <w:r>
        <w:rPr>
          <w:rFonts w:ascii="Verdana" w:hAnsi="Verdana" w:cs="Arial"/>
          <w:lang w:val="es-ES"/>
        </w:rPr>
        <w:t>,</w:t>
      </w:r>
      <w:r w:rsidRPr="00B10A68">
        <w:rPr>
          <w:rFonts w:ascii="Verdana" w:hAnsi="Verdana" w:cs="Arial"/>
          <w:lang w:val="es-ES"/>
        </w:rPr>
        <w:t xml:space="preserve"> atendiendo los postulados previstos en el numeral 7 del artículo 30 de la Ley 80 </w:t>
      </w:r>
      <w:r w:rsidRPr="00B10A68">
        <w:rPr>
          <w:rFonts w:ascii="Verdana" w:hAnsi="Verdana" w:cs="Arial"/>
          <w:lang w:val="es-ES"/>
        </w:rPr>
        <w:lastRenderedPageBreak/>
        <w:t xml:space="preserve">de 1993, esto con el fin de verificar si </w:t>
      </w:r>
      <w:r>
        <w:rPr>
          <w:rFonts w:ascii="Verdana" w:hAnsi="Verdana" w:cs="Arial"/>
          <w:lang w:val="es-ES"/>
        </w:rPr>
        <w:t>el requerimiento es sujeto de aclaración por parte del proponente</w:t>
      </w:r>
      <w:r w:rsidRPr="00B10A68">
        <w:rPr>
          <w:rFonts w:ascii="Verdana" w:hAnsi="Verdana" w:cs="Arial"/>
          <w:lang w:val="es-ES"/>
        </w:rPr>
        <w:t>, evento en el cual y previo análisis de la entidad contratante, considere sí es procedente aclararlo</w:t>
      </w:r>
      <w:r>
        <w:rPr>
          <w:rFonts w:ascii="Verdana" w:hAnsi="Verdana" w:cs="Arial"/>
          <w:lang w:val="es-ES"/>
        </w:rPr>
        <w:t xml:space="preserve">. </w:t>
      </w:r>
    </w:p>
    <w:p w14:paraId="3AFAECA7" w14:textId="77777777" w:rsidR="003D620E" w:rsidRDefault="003D620E" w:rsidP="003D620E">
      <w:pPr>
        <w:spacing w:after="120" w:line="276" w:lineRule="auto"/>
        <w:jc w:val="both"/>
        <w:rPr>
          <w:rFonts w:ascii="Verdana" w:eastAsia="Arial" w:hAnsi="Verdana" w:cs="Arial"/>
          <w:color w:val="000000" w:themeColor="text1"/>
        </w:rPr>
      </w:pPr>
      <w:r w:rsidRPr="001F31B5">
        <w:rPr>
          <w:rFonts w:ascii="Verdana" w:eastAsia="Arial" w:hAnsi="Verdana" w:cs="Arial"/>
          <w:color w:val="000000" w:themeColor="text1"/>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w:t>
      </w:r>
    </w:p>
    <w:p w14:paraId="4755A653" w14:textId="77777777" w:rsidR="003D620E" w:rsidRDefault="003D620E" w:rsidP="003D620E">
      <w:pPr>
        <w:spacing w:before="120" w:after="120" w:line="276" w:lineRule="auto"/>
        <w:jc w:val="both"/>
        <w:rPr>
          <w:rFonts w:ascii="Verdana" w:eastAsia="Arial" w:hAnsi="Verdana" w:cs="Arial"/>
          <w:color w:val="000000" w:themeColor="text1"/>
        </w:rPr>
      </w:pPr>
      <w:r w:rsidRPr="00DF76A2">
        <w:rPr>
          <w:rFonts w:ascii="Verdana" w:eastAsia="Arial" w:hAnsi="Verdana" w:cs="Arial"/>
          <w:color w:val="000000" w:themeColor="text1"/>
        </w:rPr>
        <w:t>En consecuencia, la subsanación de</w:t>
      </w:r>
      <w:r>
        <w:rPr>
          <w:rFonts w:ascii="Verdana" w:eastAsia="Arial" w:hAnsi="Verdana" w:cs="Arial"/>
          <w:color w:val="000000" w:themeColor="text1"/>
        </w:rPr>
        <w:t xml:space="preserve"> </w:t>
      </w:r>
      <w:r w:rsidRPr="00DF76A2">
        <w:rPr>
          <w:rFonts w:ascii="Verdana" w:eastAsia="Arial" w:hAnsi="Verdana" w:cs="Arial"/>
          <w:color w:val="000000" w:themeColor="text1"/>
        </w:rPr>
        <w:t>l</w:t>
      </w:r>
      <w:r>
        <w:rPr>
          <w:rFonts w:ascii="Verdana" w:eastAsia="Arial" w:hAnsi="Verdana" w:cs="Arial"/>
          <w:color w:val="000000" w:themeColor="text1"/>
        </w:rPr>
        <w:t>os documentos que no se entregaron con la oferta</w:t>
      </w:r>
      <w:r w:rsidRPr="00DF76A2">
        <w:rPr>
          <w:rFonts w:ascii="Verdana" w:eastAsia="Arial" w:hAnsi="Verdana" w:cs="Arial"/>
          <w:color w:val="000000" w:themeColor="text1"/>
        </w:rPr>
        <w:t xml:space="preserve"> es jurídicamente procedente siempre que el defecto u omisión no afecte la asignación de puntaje ni la comparación de las ofertas; y que la documentación que pruebe el cumplimiento del requisito sea solicitada por la entidad y entregada por el proponente dentro del plazo máximo previsto por la ley, esto es, hasta el término de traslado del informe de evaluación correspondiente</w:t>
      </w:r>
      <w:r>
        <w:rPr>
          <w:rFonts w:ascii="Verdana" w:eastAsia="Arial" w:hAnsi="Verdana" w:cs="Arial"/>
          <w:color w:val="000000" w:themeColor="text1"/>
        </w:rPr>
        <w:t xml:space="preserve"> a cada modalidad</w:t>
      </w:r>
      <w:r w:rsidRPr="00DF76A2">
        <w:rPr>
          <w:rFonts w:ascii="Verdana" w:eastAsia="Arial" w:hAnsi="Verdana" w:cs="Arial"/>
          <w:color w:val="000000" w:themeColor="text1"/>
        </w:rPr>
        <w:t>, en observancia de lo dispuesto en el artículo 5 de la Ley 1150 de 2007, modificado por la Ley 1882 de 2018, y la reglamentación aplicable.</w:t>
      </w:r>
    </w:p>
    <w:p w14:paraId="4CEA0152" w14:textId="48418CD7" w:rsidR="003D620E" w:rsidRPr="003D620E" w:rsidRDefault="003D620E" w:rsidP="003D620E">
      <w:pPr>
        <w:spacing w:before="120" w:after="120" w:line="276" w:lineRule="auto"/>
        <w:jc w:val="both"/>
        <w:rPr>
          <w:rFonts w:ascii="Verdana" w:eastAsia="Arial" w:hAnsi="Verdana" w:cs="Arial"/>
          <w:b/>
          <w:bCs/>
          <w:color w:val="000000" w:themeColor="text1"/>
        </w:rPr>
      </w:pPr>
      <w:r w:rsidRPr="003D620E">
        <w:rPr>
          <w:rFonts w:ascii="Verdana" w:hAnsi="Verdana" w:cs="Arial"/>
          <w:b/>
          <w:bCs/>
          <w:lang w:val="es-ES" w:eastAsia="es-ES"/>
        </w:rPr>
        <w:t>CAUSALES DE RECHAZO DE LAS OFERTAS – Origen – Límites en su configuración</w:t>
      </w:r>
    </w:p>
    <w:p w14:paraId="59DCC326" w14:textId="6FC62489" w:rsidR="003D620E" w:rsidRDefault="003D620E" w:rsidP="003D620E">
      <w:pPr>
        <w:spacing w:after="120" w:line="276" w:lineRule="auto"/>
        <w:jc w:val="both"/>
        <w:rPr>
          <w:rFonts w:ascii="Verdana" w:hAnsi="Verdana" w:cs="Arial"/>
        </w:rPr>
      </w:pPr>
      <w:r>
        <w:rPr>
          <w:rFonts w:ascii="Verdana" w:hAnsi="Verdana" w:cs="Arial"/>
          <w:lang w:val="es-ES"/>
        </w:rPr>
        <w:t xml:space="preserve">[…] </w:t>
      </w:r>
      <w:r w:rsidRPr="00B10A68">
        <w:rPr>
          <w:rFonts w:ascii="Verdana" w:hAnsi="Verdana" w:cs="Arial"/>
          <w:lang w:val="es-ES"/>
        </w:rPr>
        <w:t xml:space="preserve">Además, </w:t>
      </w:r>
      <w:r>
        <w:rPr>
          <w:rFonts w:ascii="Verdana" w:hAnsi="Verdana" w:cs="Arial"/>
          <w:lang w:val="es-ES"/>
        </w:rPr>
        <w:t xml:space="preserve">la falta de documentos </w:t>
      </w:r>
      <w:r w:rsidRPr="00B10A68">
        <w:rPr>
          <w:rFonts w:ascii="Verdana" w:hAnsi="Verdana" w:cs="Arial"/>
          <w:lang w:val="es-ES"/>
        </w:rPr>
        <w:t xml:space="preserve">puede ser materia de estipulación de causales de rechazo en los pliegos de condiciones, pero teniendo en cuenta que </w:t>
      </w:r>
      <w:r w:rsidRPr="00B10A68">
        <w:rPr>
          <w:rFonts w:ascii="Verdana" w:eastAsia="Arial" w:hAnsi="Verdana" w:cs="Arial"/>
        </w:rPr>
        <w:t>las entidades no podrán establecer causales de rechazo referentes a meros requisitos formales o rechazar las ofertas por esa razón</w:t>
      </w:r>
      <w:r w:rsidRPr="00B10A68">
        <w:rPr>
          <w:rFonts w:ascii="Verdana" w:hAnsi="Verdana" w:cs="Arial"/>
          <w:lang w:val="es-ES"/>
        </w:rPr>
        <w:t xml:space="preserve">. No </w:t>
      </w:r>
      <w:proofErr w:type="gramStart"/>
      <w:r w:rsidRPr="00B10A68">
        <w:rPr>
          <w:rFonts w:ascii="Verdana" w:hAnsi="Verdana" w:cs="Arial"/>
          <w:lang w:val="es-ES"/>
        </w:rPr>
        <w:t>obstante</w:t>
      </w:r>
      <w:proofErr w:type="gramEnd"/>
      <w:r w:rsidRPr="00B10A68">
        <w:rPr>
          <w:rFonts w:ascii="Verdana" w:hAnsi="Verdana" w:cs="Arial"/>
          <w:lang w:val="es-ES"/>
        </w:rPr>
        <w:t xml:space="preserve"> lo anterior y conforme al análisis que efectué cada entidad, </w:t>
      </w:r>
      <w:r w:rsidRPr="00B10A68">
        <w:rPr>
          <w:rFonts w:ascii="Verdana" w:hAnsi="Verdana" w:cs="Arial"/>
        </w:rPr>
        <w:t xml:space="preserve">debe advertirse que es la entidad contratante, al momento de adelantar su actividad contractual, quien debe determinar lo correspondiente a </w:t>
      </w:r>
      <w:r>
        <w:rPr>
          <w:rFonts w:ascii="Verdana" w:hAnsi="Verdana" w:cs="Arial"/>
        </w:rPr>
        <w:t>cada</w:t>
      </w:r>
      <w:r w:rsidRPr="00B10A68">
        <w:rPr>
          <w:rFonts w:ascii="Verdana" w:hAnsi="Verdana" w:cs="Arial"/>
        </w:rPr>
        <w:t xml:space="preserve"> situación. Dado esto, y en atención al alcance la función consultiva atribuida a esta Agencia, lo aquí mencionado no constituye un juicio de valor sobre un proceso contractual particular.</w:t>
      </w:r>
    </w:p>
    <w:p w14:paraId="1B6C0E5D" w14:textId="1B6FBB4A" w:rsidR="003D620E" w:rsidRDefault="003D620E" w:rsidP="003D620E">
      <w:pPr>
        <w:spacing w:after="120" w:line="276" w:lineRule="auto"/>
        <w:jc w:val="both"/>
        <w:rPr>
          <w:rFonts w:ascii="Verdana" w:hAnsi="Verdana" w:cs="Arial"/>
          <w:b/>
          <w:bCs/>
          <w:lang w:val="es-ES" w:eastAsia="es-ES"/>
        </w:rPr>
      </w:pPr>
      <w:r w:rsidRPr="003D620E">
        <w:rPr>
          <w:rFonts w:ascii="Verdana" w:hAnsi="Verdana" w:cs="Arial"/>
          <w:b/>
          <w:bCs/>
          <w:lang w:val="es-ES" w:eastAsia="es-ES"/>
        </w:rPr>
        <w:t>CAUSALES DE RECHAZO – Procedencia</w:t>
      </w:r>
    </w:p>
    <w:p w14:paraId="5EE6719F" w14:textId="42400042" w:rsidR="003D620E" w:rsidRPr="00B10A68" w:rsidRDefault="003D620E" w:rsidP="003D620E">
      <w:pPr>
        <w:widowControl w:val="0"/>
        <w:spacing w:after="120" w:line="254" w:lineRule="auto"/>
        <w:jc w:val="both"/>
        <w:rPr>
          <w:rFonts w:ascii="Verdana" w:eastAsia="Arial" w:hAnsi="Verdana" w:cs="Arial"/>
        </w:rPr>
      </w:pPr>
      <w:r>
        <w:rPr>
          <w:rFonts w:ascii="Verdana" w:eastAsia="Arial" w:hAnsi="Verdana" w:cs="Arial"/>
        </w:rPr>
        <w:t xml:space="preserve">[…] </w:t>
      </w:r>
      <w:r w:rsidRPr="00B10A68">
        <w:rPr>
          <w:rFonts w:ascii="Verdana" w:eastAsia="Arial" w:hAnsi="Verdana" w:cs="Arial"/>
        </w:rPr>
        <w:t xml:space="preserve">De acuerdo con la jurisprudencia citada, existen dos casos en los que procede el rechazo de la oferta: i) que se configure alguna de las causales de rechazo originadas en la ley o el reglamento y </w:t>
      </w:r>
      <w:proofErr w:type="spellStart"/>
      <w:r w:rsidRPr="00B10A68">
        <w:rPr>
          <w:rFonts w:ascii="Verdana" w:eastAsia="Arial" w:hAnsi="Verdana" w:cs="Arial"/>
        </w:rPr>
        <w:t>ii</w:t>
      </w:r>
      <w:proofErr w:type="spellEnd"/>
      <w:r w:rsidRPr="00B10A68">
        <w:rPr>
          <w:rFonts w:ascii="Verdana" w:eastAsia="Arial" w:hAnsi="Verdana" w:cs="Arial"/>
        </w:rPr>
        <w:t>) que se materialicen las establecidas en el pliego de condiciones</w:t>
      </w:r>
      <w:r>
        <w:rPr>
          <w:rFonts w:ascii="Verdana" w:eastAsia="Arial" w:hAnsi="Verdana" w:cs="Arial"/>
        </w:rPr>
        <w:t xml:space="preserve"> o documentos equivalentes</w:t>
      </w:r>
      <w:r w:rsidRPr="00B10A68">
        <w:rPr>
          <w:rFonts w:ascii="Verdana" w:eastAsia="Arial" w:hAnsi="Verdana" w:cs="Arial"/>
        </w:rPr>
        <w:t xml:space="preserve">. En tal sentido, las causales de rechazo de la oferta serán las consagradas en la ley o </w:t>
      </w:r>
      <w:r w:rsidRPr="00B10A68">
        <w:rPr>
          <w:rFonts w:ascii="Verdana" w:eastAsia="Arial" w:hAnsi="Verdana" w:cs="Arial"/>
        </w:rPr>
        <w:lastRenderedPageBreak/>
        <w:t xml:space="preserve">el reglamento producto de su aplicación, así como las definidas por las entidades en el respectivo pliego de condiciones. </w:t>
      </w:r>
    </w:p>
    <w:p w14:paraId="49A1BF52" w14:textId="2C56CC51" w:rsidR="003D620E" w:rsidRPr="00B10A68" w:rsidRDefault="003D620E" w:rsidP="003D620E">
      <w:pPr>
        <w:spacing w:after="120" w:line="254" w:lineRule="auto"/>
        <w:jc w:val="both"/>
        <w:rPr>
          <w:rFonts w:ascii="Verdana" w:eastAsia="Arial" w:hAnsi="Verdana" w:cs="Arial"/>
        </w:rPr>
      </w:pPr>
      <w:r w:rsidRPr="00B10A68">
        <w:rPr>
          <w:rFonts w:ascii="Verdana" w:eastAsia="Arial" w:hAnsi="Verdana" w:cs="Arial"/>
        </w:rPr>
        <w:t xml:space="preserve">En tales términos, la facultad de las Entidades Estatales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0776E0AE" w14:textId="2846F680" w:rsidR="003D620E" w:rsidRPr="003D620E" w:rsidRDefault="003D620E" w:rsidP="003D620E">
      <w:pPr>
        <w:spacing w:after="120" w:line="276" w:lineRule="auto"/>
        <w:jc w:val="both"/>
        <w:rPr>
          <w:rFonts w:ascii="Verdana" w:eastAsia="Calibri" w:hAnsi="Verdana" w:cs="Arial"/>
          <w:b/>
          <w:bCs/>
          <w:noProof/>
        </w:rPr>
      </w:pPr>
    </w:p>
    <w:p w14:paraId="6894E21E" w14:textId="77777777" w:rsidR="003D620E" w:rsidRDefault="003D620E" w:rsidP="003D620E">
      <w:pPr>
        <w:spacing w:after="0" w:line="240" w:lineRule="auto"/>
        <w:jc w:val="both"/>
        <w:rPr>
          <w:rFonts w:ascii="Verdana" w:eastAsia="Geomanist Light" w:hAnsi="Verdana" w:cs="Arial"/>
          <w:color w:val="000000" w:themeColor="text1"/>
          <w:lang w:val="es-MX"/>
        </w:rPr>
      </w:pPr>
    </w:p>
    <w:p w14:paraId="3E3C5CC0" w14:textId="77777777" w:rsidR="003D620E" w:rsidRDefault="003D620E" w:rsidP="003D620E">
      <w:pPr>
        <w:spacing w:after="0" w:line="240" w:lineRule="auto"/>
        <w:jc w:val="both"/>
        <w:rPr>
          <w:rFonts w:ascii="Verdana" w:eastAsia="Geomanist Light" w:hAnsi="Verdana" w:cs="Arial"/>
          <w:color w:val="000000" w:themeColor="text1"/>
          <w:lang w:val="es-MX"/>
        </w:rPr>
      </w:pPr>
    </w:p>
    <w:p w14:paraId="385D4F54"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07CC0FF" w14:textId="77777777" w:rsidR="003D620E" w:rsidRDefault="003D620E" w:rsidP="003D620E">
      <w:pPr>
        <w:spacing w:after="0" w:line="240" w:lineRule="auto"/>
        <w:jc w:val="both"/>
        <w:rPr>
          <w:rFonts w:ascii="Verdana" w:eastAsia="Geomanist Light" w:hAnsi="Verdana" w:cs="Arial"/>
          <w:color w:val="000000" w:themeColor="text1"/>
          <w:lang w:val="es-MX"/>
        </w:rPr>
      </w:pPr>
    </w:p>
    <w:p w14:paraId="1D2BE515"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40685AF"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0047C78"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1450262"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942A18D"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7B70565"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79883BA" w14:textId="77777777" w:rsidR="003D620E" w:rsidRDefault="003D620E" w:rsidP="003D620E">
      <w:pPr>
        <w:spacing w:after="0" w:line="240" w:lineRule="auto"/>
        <w:jc w:val="both"/>
        <w:rPr>
          <w:rFonts w:ascii="Verdana" w:eastAsia="Geomanist Light" w:hAnsi="Verdana" w:cs="Arial"/>
          <w:color w:val="000000" w:themeColor="text1"/>
          <w:lang w:val="es-MX"/>
        </w:rPr>
      </w:pPr>
    </w:p>
    <w:p w14:paraId="238B3E86"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AB9A6B8" w14:textId="77777777" w:rsidR="003D620E" w:rsidRDefault="003D620E" w:rsidP="003D620E">
      <w:pPr>
        <w:spacing w:after="0" w:line="240" w:lineRule="auto"/>
        <w:jc w:val="both"/>
        <w:rPr>
          <w:rFonts w:ascii="Verdana" w:eastAsia="Geomanist Light" w:hAnsi="Verdana" w:cs="Arial"/>
          <w:color w:val="000000" w:themeColor="text1"/>
          <w:lang w:val="es-MX"/>
        </w:rPr>
      </w:pPr>
    </w:p>
    <w:p w14:paraId="1096C193"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042A468" w14:textId="77777777" w:rsidR="003D620E" w:rsidRDefault="003D620E" w:rsidP="003D620E">
      <w:pPr>
        <w:spacing w:after="0" w:line="240" w:lineRule="auto"/>
        <w:jc w:val="both"/>
        <w:rPr>
          <w:rFonts w:ascii="Verdana" w:eastAsia="Geomanist Light" w:hAnsi="Verdana" w:cs="Arial"/>
          <w:color w:val="000000" w:themeColor="text1"/>
          <w:lang w:val="es-MX"/>
        </w:rPr>
      </w:pPr>
    </w:p>
    <w:p w14:paraId="660851FF"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2A808BD"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27E9824" w14:textId="77777777" w:rsidR="003D620E" w:rsidRDefault="003D620E" w:rsidP="003D620E">
      <w:pPr>
        <w:spacing w:after="0" w:line="240" w:lineRule="auto"/>
        <w:jc w:val="both"/>
        <w:rPr>
          <w:rFonts w:ascii="Verdana" w:eastAsia="Geomanist Light" w:hAnsi="Verdana" w:cs="Arial"/>
          <w:color w:val="000000" w:themeColor="text1"/>
          <w:lang w:val="es-MX"/>
        </w:rPr>
      </w:pPr>
    </w:p>
    <w:p w14:paraId="6F5EC51B"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8C6F188"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6FF9696" w14:textId="77777777" w:rsidR="003D620E" w:rsidRDefault="003D620E" w:rsidP="003D620E">
      <w:pPr>
        <w:spacing w:after="0" w:line="240" w:lineRule="auto"/>
        <w:jc w:val="both"/>
        <w:rPr>
          <w:rFonts w:ascii="Verdana" w:eastAsia="Geomanist Light" w:hAnsi="Verdana" w:cs="Arial"/>
          <w:color w:val="000000" w:themeColor="text1"/>
          <w:lang w:val="es-MX"/>
        </w:rPr>
      </w:pPr>
    </w:p>
    <w:p w14:paraId="0FB239FA"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D8B4D07"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03639BA"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BFD3B39"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49F96E5" w14:textId="77777777" w:rsidR="003D620E" w:rsidRDefault="003D620E" w:rsidP="003D620E">
      <w:pPr>
        <w:spacing w:after="0" w:line="240" w:lineRule="auto"/>
        <w:jc w:val="both"/>
        <w:rPr>
          <w:rFonts w:ascii="Verdana" w:eastAsia="Geomanist Light" w:hAnsi="Verdana" w:cs="Arial"/>
          <w:color w:val="000000" w:themeColor="text1"/>
          <w:lang w:val="es-MX"/>
        </w:rPr>
      </w:pPr>
    </w:p>
    <w:p w14:paraId="4A77B43D" w14:textId="77777777" w:rsidR="003D620E" w:rsidRDefault="003D620E" w:rsidP="003D620E">
      <w:pPr>
        <w:spacing w:after="0" w:line="240" w:lineRule="auto"/>
        <w:jc w:val="both"/>
        <w:rPr>
          <w:rFonts w:ascii="Verdana" w:eastAsia="Geomanist Light" w:hAnsi="Verdana" w:cs="Arial"/>
          <w:color w:val="000000" w:themeColor="text1"/>
          <w:lang w:val="es-MX"/>
        </w:rPr>
      </w:pPr>
    </w:p>
    <w:p w14:paraId="5B227A36" w14:textId="77777777" w:rsidR="003D620E" w:rsidRDefault="003D620E" w:rsidP="003D620E">
      <w:pPr>
        <w:spacing w:after="0" w:line="240" w:lineRule="auto"/>
        <w:jc w:val="both"/>
        <w:rPr>
          <w:rFonts w:ascii="Verdana" w:eastAsia="Geomanist Light" w:hAnsi="Verdana" w:cs="Arial"/>
          <w:color w:val="000000" w:themeColor="text1"/>
          <w:lang w:val="es-MX"/>
        </w:rPr>
      </w:pPr>
    </w:p>
    <w:p w14:paraId="187250D9" w14:textId="77777777" w:rsidR="003D620E" w:rsidRDefault="003D620E" w:rsidP="003D620E">
      <w:pPr>
        <w:spacing w:after="0" w:line="240" w:lineRule="auto"/>
        <w:jc w:val="both"/>
        <w:rPr>
          <w:rFonts w:ascii="Verdana" w:eastAsia="Geomanist Light" w:hAnsi="Verdana" w:cs="Arial"/>
          <w:color w:val="000000" w:themeColor="text1"/>
          <w:lang w:val="es-MX"/>
        </w:rPr>
      </w:pPr>
    </w:p>
    <w:p w14:paraId="786A4793" w14:textId="77777777" w:rsidR="003D620E" w:rsidRDefault="003D620E" w:rsidP="003D620E">
      <w:pPr>
        <w:spacing w:after="0" w:line="240" w:lineRule="auto"/>
        <w:jc w:val="both"/>
        <w:rPr>
          <w:rFonts w:ascii="Verdana" w:eastAsia="Geomanist Light" w:hAnsi="Verdana" w:cs="Arial"/>
          <w:color w:val="000000" w:themeColor="text1"/>
          <w:lang w:val="es-MX"/>
        </w:rPr>
      </w:pPr>
    </w:p>
    <w:p w14:paraId="11350BFC" w14:textId="14168A1B" w:rsidR="006F7BA8" w:rsidRPr="00E26956" w:rsidRDefault="006F7BA8" w:rsidP="003D620E">
      <w:pPr>
        <w:spacing w:after="0" w:line="240" w:lineRule="auto"/>
        <w:jc w:val="both"/>
        <w:rPr>
          <w:rFonts w:ascii="Verdana" w:eastAsia="Geomanist Light" w:hAnsi="Verdana" w:cs="Arial"/>
          <w:color w:val="201F1E"/>
          <w:lang w:val="pt-PT"/>
        </w:rPr>
      </w:pPr>
      <w:r w:rsidRPr="00E26956">
        <w:rPr>
          <w:rFonts w:ascii="Verdana" w:eastAsia="Geomanist Light" w:hAnsi="Verdana" w:cs="Arial"/>
          <w:color w:val="000000" w:themeColor="text1"/>
          <w:lang w:val="pt-PT"/>
        </w:rPr>
        <w:lastRenderedPageBreak/>
        <w:t>Bogotá D.C., </w:t>
      </w:r>
      <w:r w:rsidR="00E26956" w:rsidRPr="00E26956">
        <w:rPr>
          <w:rFonts w:ascii="Verdana" w:eastAsia="Geomanist Light" w:hAnsi="Verdana" w:cs="Arial"/>
          <w:color w:val="201F1E"/>
          <w:lang w:val="pt-PT"/>
        </w:rPr>
        <w:t>19</w:t>
      </w:r>
      <w:r w:rsidRPr="00E26956">
        <w:rPr>
          <w:rFonts w:ascii="Verdana" w:eastAsia="Geomanist Light" w:hAnsi="Verdana" w:cs="Arial"/>
          <w:color w:val="201F1E"/>
          <w:lang w:val="pt-PT"/>
        </w:rPr>
        <w:t xml:space="preserve"> de </w:t>
      </w:r>
      <w:r w:rsidR="00E26956" w:rsidRPr="00E26956">
        <w:rPr>
          <w:rFonts w:ascii="Verdana" w:eastAsia="Geomanist Light" w:hAnsi="Verdana" w:cs="Arial"/>
          <w:color w:val="201F1E"/>
          <w:lang w:val="pt-PT"/>
        </w:rPr>
        <w:t>agosto</w:t>
      </w:r>
      <w:r w:rsidRPr="00E26956">
        <w:rPr>
          <w:rFonts w:ascii="Verdana" w:eastAsia="Geomanist Light" w:hAnsi="Verdana" w:cs="Arial"/>
          <w:color w:val="201F1E"/>
          <w:lang w:val="pt-PT"/>
        </w:rPr>
        <w:t xml:space="preserve"> de </w:t>
      </w:r>
      <w:r w:rsidR="00E26956" w:rsidRPr="00E26956">
        <w:rPr>
          <w:rFonts w:ascii="Verdana" w:eastAsia="Geomanist Light" w:hAnsi="Verdana" w:cs="Arial"/>
          <w:color w:val="201F1E"/>
          <w:lang w:val="pt-PT"/>
        </w:rPr>
        <w:t>2</w:t>
      </w:r>
      <w:r w:rsidR="00E26956">
        <w:rPr>
          <w:rFonts w:ascii="Verdana" w:eastAsia="Geomanist Light" w:hAnsi="Verdana" w:cs="Arial"/>
          <w:color w:val="201F1E"/>
          <w:lang w:val="pt-PT"/>
        </w:rPr>
        <w:t>025</w:t>
      </w:r>
    </w:p>
    <w:p w14:paraId="3B196A7C" w14:textId="77777777" w:rsidR="006F7BA8" w:rsidRPr="00E26956" w:rsidRDefault="006F7BA8" w:rsidP="006F7BA8">
      <w:pPr>
        <w:spacing w:after="0" w:line="240" w:lineRule="auto"/>
        <w:rPr>
          <w:rFonts w:ascii="Verdana" w:eastAsia="Geomanist Light" w:hAnsi="Verdana" w:cs="Arial"/>
          <w:lang w:val="pt-PT"/>
        </w:rPr>
      </w:pPr>
    </w:p>
    <w:p w14:paraId="5916E9C4" w14:textId="2587B01F" w:rsidR="006F7BA8" w:rsidRPr="00B10A68" w:rsidRDefault="00E26956" w:rsidP="00E26956">
      <w:pPr>
        <w:spacing w:after="0" w:line="240" w:lineRule="auto"/>
        <w:ind w:left="5664"/>
        <w:jc w:val="both"/>
        <w:rPr>
          <w:rFonts w:ascii="Verdana" w:eastAsia="Calibri" w:hAnsi="Verdana" w:cs="Arial"/>
          <w:lang w:val="es-ES"/>
        </w:rPr>
      </w:pPr>
      <w:r w:rsidRPr="00E26956">
        <w:rPr>
          <w:rFonts w:ascii="Verdana" w:eastAsia="Calibri" w:hAnsi="Verdana" w:cs="Arial"/>
          <w:noProof/>
          <w:lang w:val="es-ES"/>
        </w:rPr>
        <w:drawing>
          <wp:inline distT="0" distB="0" distL="0" distR="0" wp14:anchorId="617C6236" wp14:editId="7BD0A05C">
            <wp:extent cx="2467319" cy="638264"/>
            <wp:effectExtent l="0" t="0" r="9525" b="9525"/>
            <wp:docPr id="19634512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3451238" name=""/>
                    <pic:cNvPicPr/>
                  </pic:nvPicPr>
                  <pic:blipFill>
                    <a:blip r:embed="rId11"/>
                    <a:stretch>
                      <a:fillRect/>
                    </a:stretch>
                  </pic:blipFill>
                  <pic:spPr>
                    <a:xfrm>
                      <a:off x="0" y="0"/>
                      <a:ext cx="2467319" cy="638264"/>
                    </a:xfrm>
                    <a:prstGeom prst="rect">
                      <a:avLst/>
                    </a:prstGeom>
                  </pic:spPr>
                </pic:pic>
              </a:graphicData>
            </a:graphic>
          </wp:inline>
        </w:drawing>
      </w:r>
    </w:p>
    <w:p w14:paraId="5F12F26C" w14:textId="77777777" w:rsidR="006F7BA8" w:rsidRPr="00B10A68" w:rsidRDefault="006F7BA8" w:rsidP="006F7BA8">
      <w:pPr>
        <w:spacing w:after="0" w:line="240" w:lineRule="auto"/>
        <w:jc w:val="both"/>
        <w:rPr>
          <w:rFonts w:ascii="Verdana" w:eastAsia="Calibri" w:hAnsi="Verdana" w:cs="Arial"/>
          <w:lang w:val="es-ES" w:eastAsia="es-ES"/>
        </w:rPr>
      </w:pPr>
      <w:r w:rsidRPr="00B10A68">
        <w:rPr>
          <w:rFonts w:ascii="Verdana" w:eastAsia="Calibri" w:hAnsi="Verdana" w:cs="Arial"/>
          <w:lang w:val="es-ES" w:eastAsia="es-ES"/>
        </w:rPr>
        <w:t>Señor</w:t>
      </w:r>
    </w:p>
    <w:p w14:paraId="74EAFA7D" w14:textId="77777777" w:rsidR="006F7BA8" w:rsidRPr="00E8380C" w:rsidRDefault="006F7BA8" w:rsidP="006F7BA8">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Fernando José Gutiérrez Ibáñez</w:t>
      </w:r>
    </w:p>
    <w:p w14:paraId="759884C5" w14:textId="77777777" w:rsidR="006F7BA8" w:rsidRPr="00E8380C" w:rsidRDefault="006F7BA8" w:rsidP="006F7BA8">
      <w:pPr>
        <w:spacing w:after="0" w:line="240" w:lineRule="auto"/>
        <w:rPr>
          <w:rFonts w:ascii="Verdana" w:eastAsia="Calibri" w:hAnsi="Verdana" w:cs="Times New Roman"/>
        </w:rPr>
      </w:pPr>
      <w:hyperlink r:id="rId12" w:history="1">
        <w:r w:rsidRPr="00E8380C">
          <w:rPr>
            <w:rStyle w:val="Hipervnculo"/>
            <w:rFonts w:ascii="Verdana" w:hAnsi="Verdana"/>
          </w:rPr>
          <w:t>Fernandog213@hotmail.com</w:t>
        </w:r>
      </w:hyperlink>
      <w:r w:rsidRPr="00E8380C">
        <w:rPr>
          <w:rFonts w:ascii="Verdana" w:hAnsi="Verdana"/>
        </w:rPr>
        <w:t xml:space="preserve">; </w:t>
      </w:r>
    </w:p>
    <w:p w14:paraId="772A610A" w14:textId="77777777" w:rsidR="006F7BA8" w:rsidRPr="00B10A68" w:rsidRDefault="006F7BA8" w:rsidP="006F7BA8">
      <w:pPr>
        <w:spacing w:after="0" w:line="240" w:lineRule="auto"/>
        <w:rPr>
          <w:rFonts w:ascii="Verdana" w:eastAsia="Calibri" w:hAnsi="Verdana" w:cs="Arial"/>
          <w:b/>
          <w:bCs/>
          <w:lang w:val="es-ES" w:eastAsia="es-ES"/>
        </w:rPr>
      </w:pPr>
      <w:r>
        <w:rPr>
          <w:rFonts w:ascii="Verdana" w:eastAsia="Calibri" w:hAnsi="Verdana" w:cs="Arial"/>
          <w:lang w:val="es-ES" w:eastAsia="es-ES"/>
        </w:rPr>
        <w:t>Valledupar, Cesar</w:t>
      </w:r>
    </w:p>
    <w:p w14:paraId="2FD9B6FE" w14:textId="77777777" w:rsidR="006F7BA8" w:rsidRPr="00B10A68" w:rsidRDefault="006F7BA8" w:rsidP="006F7BA8">
      <w:pPr>
        <w:spacing w:after="0" w:line="240" w:lineRule="auto"/>
        <w:rPr>
          <w:rFonts w:ascii="Verdana" w:eastAsia="Calibri" w:hAnsi="Verdana" w:cs="Arial"/>
          <w:b/>
          <w:bCs/>
          <w:lang w:val="es-ES_tradnl" w:eastAsia="es-ES_tradnl"/>
        </w:rPr>
      </w:pPr>
    </w:p>
    <w:p w14:paraId="4E4DF993" w14:textId="77777777" w:rsidR="006F7BA8" w:rsidRPr="00B10A68" w:rsidRDefault="006F7BA8" w:rsidP="006F7BA8">
      <w:pPr>
        <w:spacing w:after="0" w:line="240" w:lineRule="auto"/>
        <w:rPr>
          <w:rFonts w:ascii="Verdana" w:eastAsia="Calibri" w:hAnsi="Verdana" w:cs="Arial"/>
          <w:b/>
          <w:bCs/>
          <w:lang w:val="es-ES_tradnl" w:eastAsia="es-ES_tradnl"/>
        </w:rPr>
      </w:pPr>
    </w:p>
    <w:tbl>
      <w:tblPr>
        <w:tblStyle w:val="Tablaconcuadrcula1"/>
        <w:tblW w:w="878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6F7BA8" w:rsidRPr="00B10A68" w14:paraId="601C44D4" w14:textId="77777777" w:rsidTr="00F84699">
        <w:trPr>
          <w:trHeight w:val="222"/>
        </w:trPr>
        <w:tc>
          <w:tcPr>
            <w:tcW w:w="2689" w:type="dxa"/>
          </w:tcPr>
          <w:p w14:paraId="206C6B4C" w14:textId="77777777" w:rsidR="006F7BA8" w:rsidRPr="00B10A68" w:rsidRDefault="006F7BA8" w:rsidP="000465B7">
            <w:pPr>
              <w:jc w:val="both"/>
              <w:rPr>
                <w:rFonts w:ascii="Verdana" w:hAnsi="Verdana" w:cs="Arial"/>
                <w:b/>
                <w:bCs/>
                <w:lang w:val="es-ES_tradnl" w:eastAsia="es-ES_tradnl"/>
              </w:rPr>
            </w:pPr>
          </w:p>
        </w:tc>
        <w:tc>
          <w:tcPr>
            <w:tcW w:w="6100" w:type="dxa"/>
            <w:hideMark/>
          </w:tcPr>
          <w:p w14:paraId="051A389B" w14:textId="77777777" w:rsidR="006F7BA8" w:rsidRDefault="006F7BA8" w:rsidP="000465B7">
            <w:pPr>
              <w:jc w:val="both"/>
              <w:rPr>
                <w:rFonts w:ascii="Verdana" w:hAnsi="Verdana" w:cs="Arial"/>
                <w:b/>
                <w:bCs/>
                <w:lang w:val="es-ES" w:eastAsia="es-ES"/>
              </w:rPr>
            </w:pPr>
            <w:r w:rsidRPr="00B10A68">
              <w:rPr>
                <w:rFonts w:ascii="Verdana" w:hAnsi="Verdana" w:cs="Arial"/>
                <w:b/>
                <w:bCs/>
                <w:lang w:val="es-ES" w:eastAsia="es-ES"/>
              </w:rPr>
              <w:t xml:space="preserve">Concepto C- </w:t>
            </w:r>
            <w:r>
              <w:rPr>
                <w:rFonts w:ascii="Verdana" w:hAnsi="Verdana" w:cs="Arial"/>
                <w:b/>
                <w:bCs/>
                <w:lang w:val="es-ES" w:eastAsia="es-ES"/>
              </w:rPr>
              <w:t>92</w:t>
            </w:r>
            <w:r w:rsidRPr="00B10A68">
              <w:rPr>
                <w:rFonts w:ascii="Verdana" w:hAnsi="Verdana" w:cs="Arial"/>
                <w:b/>
                <w:bCs/>
                <w:lang w:val="es-ES" w:eastAsia="es-ES"/>
              </w:rPr>
              <w:t>7 de 2025</w:t>
            </w:r>
          </w:p>
          <w:p w14:paraId="7A5D15DA" w14:textId="77777777" w:rsidR="006F7BA8" w:rsidRPr="00B10A68" w:rsidRDefault="006F7BA8" w:rsidP="000465B7">
            <w:pPr>
              <w:jc w:val="both"/>
              <w:rPr>
                <w:rFonts w:ascii="Verdana" w:hAnsi="Verdana" w:cs="Arial"/>
                <w:b/>
                <w:bCs/>
                <w:lang w:val="es-ES" w:eastAsia="es-ES"/>
              </w:rPr>
            </w:pPr>
          </w:p>
        </w:tc>
      </w:tr>
      <w:tr w:rsidR="006F7BA8" w:rsidRPr="008F4EC5" w14:paraId="21ED98E5" w14:textId="77777777" w:rsidTr="000465B7">
        <w:trPr>
          <w:trHeight w:val="884"/>
        </w:trPr>
        <w:tc>
          <w:tcPr>
            <w:tcW w:w="2689" w:type="dxa"/>
            <w:hideMark/>
          </w:tcPr>
          <w:p w14:paraId="378963F0" w14:textId="77777777" w:rsidR="006F7BA8" w:rsidRPr="00B10A68" w:rsidRDefault="006F7BA8" w:rsidP="000465B7">
            <w:pPr>
              <w:jc w:val="both"/>
              <w:rPr>
                <w:rFonts w:ascii="Verdana" w:hAnsi="Verdana" w:cs="Arial"/>
                <w:lang w:val="es-ES_tradnl" w:eastAsia="es-ES_tradnl"/>
              </w:rPr>
            </w:pPr>
            <w:r w:rsidRPr="00B10A68">
              <w:rPr>
                <w:rFonts w:ascii="Verdana" w:hAnsi="Verdana" w:cs="Arial"/>
                <w:b/>
                <w:lang w:val="es-ES_tradnl" w:eastAsia="es-ES_tradnl"/>
              </w:rPr>
              <w:t>Temas:</w:t>
            </w:r>
            <w:r w:rsidRPr="00B10A68">
              <w:rPr>
                <w:rFonts w:ascii="Verdana" w:hAnsi="Verdana" w:cs="Arial"/>
                <w:lang w:val="es-ES_tradnl" w:eastAsia="es-ES_tradnl"/>
              </w:rPr>
              <w:t xml:space="preserve">                   </w:t>
            </w:r>
          </w:p>
        </w:tc>
        <w:tc>
          <w:tcPr>
            <w:tcW w:w="6100" w:type="dxa"/>
            <w:hideMark/>
          </w:tcPr>
          <w:p w14:paraId="2CCBCFBF" w14:textId="77777777" w:rsidR="006F7BA8" w:rsidRPr="008F4EC5" w:rsidRDefault="006F7BA8" w:rsidP="000465B7">
            <w:pPr>
              <w:jc w:val="both"/>
              <w:rPr>
                <w:rFonts w:ascii="Verdana" w:hAnsi="Verdana" w:cs="Arial"/>
                <w:lang w:val="es-ES" w:eastAsia="es-ES"/>
              </w:rPr>
            </w:pPr>
            <w:r w:rsidRPr="008F4EC5">
              <w:rPr>
                <w:rFonts w:ascii="Verdana" w:hAnsi="Verdana" w:cs="Arial"/>
                <w:lang w:val="es-ES" w:eastAsia="es-ES"/>
              </w:rPr>
              <w:t>SUBSANABILIDAD – Aplicación – Regla general – Excepciones / SUBSANABILIDAD – Ley 1882 de 2018 / SUBSANABILIDAD Y ACLARACIÓN DE LA OFERTA – Diferencias / PREVALENCIA DEL DERECHO SUSTANCIAL – Principio constitucional / CAUSALES DE RECHAZO DE LAS OFERTAS – Origen – Límites en su configuración / CAUSALES DE RECHAZO – Procedencia</w:t>
            </w:r>
          </w:p>
        </w:tc>
      </w:tr>
      <w:tr w:rsidR="00F727AF" w:rsidRPr="008F4EC5" w14:paraId="77268B87" w14:textId="77777777" w:rsidTr="006A332C">
        <w:trPr>
          <w:trHeight w:val="80"/>
        </w:trPr>
        <w:tc>
          <w:tcPr>
            <w:tcW w:w="2689" w:type="dxa"/>
          </w:tcPr>
          <w:p w14:paraId="1668F0C9" w14:textId="77777777" w:rsidR="00F727AF" w:rsidRPr="00B10A68" w:rsidRDefault="00F727AF" w:rsidP="000465B7">
            <w:pPr>
              <w:jc w:val="both"/>
              <w:rPr>
                <w:rFonts w:ascii="Verdana" w:hAnsi="Verdana" w:cs="Arial"/>
                <w:b/>
                <w:lang w:val="es-ES_tradnl" w:eastAsia="es-ES_tradnl"/>
              </w:rPr>
            </w:pPr>
          </w:p>
        </w:tc>
        <w:tc>
          <w:tcPr>
            <w:tcW w:w="6100" w:type="dxa"/>
          </w:tcPr>
          <w:p w14:paraId="52EA074A" w14:textId="77777777" w:rsidR="00F727AF" w:rsidRPr="008F4EC5" w:rsidRDefault="00F727AF" w:rsidP="000465B7">
            <w:pPr>
              <w:jc w:val="both"/>
              <w:rPr>
                <w:rFonts w:ascii="Verdana" w:hAnsi="Verdana" w:cs="Arial"/>
                <w:lang w:val="es-ES" w:eastAsia="es-ES"/>
              </w:rPr>
            </w:pPr>
          </w:p>
        </w:tc>
      </w:tr>
      <w:tr w:rsidR="006F7BA8" w:rsidRPr="00B10A68" w14:paraId="0744146C" w14:textId="77777777" w:rsidTr="000465B7">
        <w:tc>
          <w:tcPr>
            <w:tcW w:w="2689" w:type="dxa"/>
            <w:hideMark/>
          </w:tcPr>
          <w:p w14:paraId="330F601C" w14:textId="77777777" w:rsidR="006F7BA8" w:rsidRPr="00B10A68" w:rsidRDefault="006F7BA8" w:rsidP="000465B7">
            <w:pPr>
              <w:jc w:val="both"/>
              <w:rPr>
                <w:rFonts w:ascii="Verdana" w:hAnsi="Verdana" w:cs="Arial"/>
                <w:b/>
                <w:lang w:val="es-ES_tradnl" w:eastAsia="es-ES_tradnl"/>
              </w:rPr>
            </w:pPr>
            <w:r w:rsidRPr="00B10A68">
              <w:rPr>
                <w:rFonts w:ascii="Verdana" w:hAnsi="Verdana" w:cs="Arial"/>
                <w:b/>
                <w:lang w:val="es-ES_tradnl" w:eastAsia="es-ES_tradnl"/>
              </w:rPr>
              <w:t>Radicación:</w:t>
            </w:r>
            <w:r w:rsidRPr="00B10A68">
              <w:rPr>
                <w:rFonts w:ascii="Verdana" w:hAnsi="Verdana" w:cs="Arial"/>
                <w:lang w:val="es-ES_tradnl" w:eastAsia="es-ES_tradnl"/>
              </w:rPr>
              <w:t xml:space="preserve">               </w:t>
            </w:r>
          </w:p>
        </w:tc>
        <w:tc>
          <w:tcPr>
            <w:tcW w:w="6100" w:type="dxa"/>
            <w:hideMark/>
          </w:tcPr>
          <w:p w14:paraId="6FE6E09F" w14:textId="77777777" w:rsidR="006F7BA8" w:rsidRPr="00B10A68" w:rsidRDefault="006F7BA8" w:rsidP="000465B7">
            <w:pPr>
              <w:jc w:val="both"/>
              <w:rPr>
                <w:rFonts w:ascii="Verdana" w:hAnsi="Verdana" w:cs="Arial"/>
                <w:lang w:val="es-ES_tradnl" w:eastAsia="es-ES_tradnl"/>
              </w:rPr>
            </w:pPr>
            <w:r w:rsidRPr="00B10A68">
              <w:rPr>
                <w:rFonts w:ascii="Verdana" w:hAnsi="Verdana" w:cs="Arial"/>
                <w:lang w:val="es-ES_tradnl" w:eastAsia="es-ES_tradnl"/>
              </w:rPr>
              <w:t xml:space="preserve">Respuesta a consulta con radicado No. </w:t>
            </w:r>
            <w:r w:rsidRPr="00E8380C">
              <w:rPr>
                <w:rFonts w:ascii="Verdana" w:hAnsi="Verdana" w:cs="Arial"/>
                <w:lang w:val="es-ES_tradnl" w:eastAsia="es-ES_tradnl"/>
              </w:rPr>
              <w:t>1_2025_07_13_007078</w:t>
            </w:r>
          </w:p>
        </w:tc>
      </w:tr>
    </w:tbl>
    <w:p w14:paraId="59D032FF" w14:textId="77777777" w:rsidR="006F7BA8" w:rsidRPr="00B10A68" w:rsidRDefault="006F7BA8" w:rsidP="006F7BA8">
      <w:pPr>
        <w:spacing w:after="0" w:line="240" w:lineRule="auto"/>
        <w:jc w:val="both"/>
        <w:rPr>
          <w:rFonts w:ascii="Verdana" w:eastAsia="Calibri" w:hAnsi="Verdana" w:cs="Arial"/>
          <w:lang w:val="es-ES_tradnl" w:eastAsia="es-ES_tradnl"/>
        </w:rPr>
      </w:pPr>
    </w:p>
    <w:p w14:paraId="23415095" w14:textId="77777777" w:rsidR="006F7BA8" w:rsidRPr="00B10A68" w:rsidRDefault="006F7BA8" w:rsidP="006F7BA8">
      <w:pPr>
        <w:spacing w:after="0" w:line="240" w:lineRule="auto"/>
        <w:jc w:val="both"/>
        <w:rPr>
          <w:rFonts w:ascii="Verdana" w:eastAsia="Calibri" w:hAnsi="Verdana" w:cs="Arial"/>
          <w:lang w:val="es-ES_tradnl" w:eastAsia="es-ES_tradnl"/>
        </w:rPr>
      </w:pPr>
    </w:p>
    <w:p w14:paraId="1BBD25D8" w14:textId="77777777" w:rsidR="006F7BA8" w:rsidRPr="00B10A68" w:rsidRDefault="006F7BA8" w:rsidP="006F7BA8">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Estimado señor G</w:t>
      </w:r>
      <w:r>
        <w:rPr>
          <w:rFonts w:ascii="Verdana" w:eastAsia="Calibri" w:hAnsi="Verdana" w:cs="Arial"/>
          <w:lang w:val="es-ES" w:eastAsia="es-ES"/>
        </w:rPr>
        <w:t>utiérrez</w:t>
      </w:r>
      <w:r w:rsidRPr="00B10A68">
        <w:rPr>
          <w:rFonts w:ascii="Verdana" w:eastAsia="Calibri" w:hAnsi="Verdana" w:cs="Arial"/>
          <w:lang w:val="es-ES" w:eastAsia="es-ES"/>
        </w:rPr>
        <w:t xml:space="preserve">: </w:t>
      </w:r>
    </w:p>
    <w:p w14:paraId="42618E69" w14:textId="77777777" w:rsidR="006F7BA8" w:rsidRPr="00B10A68" w:rsidRDefault="006F7BA8" w:rsidP="006F7BA8">
      <w:pPr>
        <w:tabs>
          <w:tab w:val="left" w:pos="3768"/>
        </w:tabs>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ab/>
      </w:r>
    </w:p>
    <w:p w14:paraId="33A11BCD" w14:textId="77777777" w:rsidR="006F7BA8" w:rsidRPr="00B10A68" w:rsidRDefault="006F7BA8" w:rsidP="006F7BA8">
      <w:pPr>
        <w:spacing w:after="0" w:line="276" w:lineRule="auto"/>
        <w:jc w:val="both"/>
        <w:rPr>
          <w:rFonts w:ascii="Verdana" w:eastAsia="Calibri" w:hAnsi="Verdana" w:cs="Arial"/>
          <w:lang w:val="es-ES" w:eastAsia="es-ES"/>
        </w:rPr>
      </w:pPr>
      <w:r w:rsidRPr="00B10A68">
        <w:rPr>
          <w:rFonts w:ascii="Verdana" w:eastAsia="Calibri" w:hAnsi="Verdana" w:cs="Arial"/>
          <w:lang w:val="es-ES" w:eastAsia="es-ES"/>
        </w:rPr>
        <w:t>En ejercicio de la competencia otorgada por los artículos 3, numeral 5º, y 11, numeral 8º, del Decreto Ley 4170 de 2011,</w:t>
      </w:r>
      <w:r w:rsidRPr="00B10A68">
        <w:rPr>
          <w:rFonts w:ascii="Verdana" w:eastAsia="Arial MT" w:hAnsi="Verdana" w:cs="Arial MT"/>
          <w:lang w:val="es-ES" w:eastAsia="es-ES"/>
        </w:rPr>
        <w:t xml:space="preserve"> </w:t>
      </w:r>
      <w:r w:rsidRPr="00B10A68">
        <w:rPr>
          <w:rFonts w:ascii="Verdana" w:eastAsia="Calibri" w:hAnsi="Verdana" w:cs="Arial"/>
        </w:rPr>
        <w:t xml:space="preserve">así como lo establecido en el artículo 4 de la Resolución 1707 de 2018 expedida por esta Entidad, </w:t>
      </w:r>
      <w:r w:rsidRPr="00B10A68">
        <w:rPr>
          <w:rFonts w:ascii="Verdana" w:eastAsia="Calibri" w:hAnsi="Verdana" w:cs="Arial"/>
          <w:lang w:val="es-ES" w:eastAsia="es-ES"/>
        </w:rPr>
        <w:t xml:space="preserve">la Agencia Nacional de Contratación Pública – Colombia Compra Eficiente– responde su solicitud de consulta de fecha </w:t>
      </w:r>
      <w:r>
        <w:rPr>
          <w:rFonts w:ascii="Verdana" w:eastAsia="Calibri" w:hAnsi="Verdana" w:cs="Arial"/>
          <w:lang w:val="es-ES" w:eastAsia="es-ES"/>
        </w:rPr>
        <w:t>13</w:t>
      </w:r>
      <w:r w:rsidRPr="00B10A68">
        <w:rPr>
          <w:rFonts w:ascii="Verdana" w:eastAsia="Calibri" w:hAnsi="Verdana" w:cs="Arial"/>
          <w:lang w:val="es-ES" w:eastAsia="es-ES"/>
        </w:rPr>
        <w:t xml:space="preserve"> de </w:t>
      </w:r>
      <w:r>
        <w:rPr>
          <w:rFonts w:ascii="Verdana" w:eastAsia="Calibri" w:hAnsi="Verdana" w:cs="Arial"/>
          <w:lang w:val="es-ES" w:eastAsia="es-ES"/>
        </w:rPr>
        <w:t>julio</w:t>
      </w:r>
      <w:r w:rsidRPr="00B10A68">
        <w:rPr>
          <w:rFonts w:ascii="Verdana" w:eastAsia="Calibri" w:hAnsi="Verdana" w:cs="Arial"/>
          <w:lang w:val="es-ES" w:eastAsia="es-ES"/>
        </w:rPr>
        <w:t xml:space="preserve"> de 2025, en la cual manifiesta lo siguiente: </w:t>
      </w:r>
    </w:p>
    <w:p w14:paraId="46B45027" w14:textId="77777777" w:rsidR="006F7BA8" w:rsidRPr="00B10A68" w:rsidRDefault="006F7BA8" w:rsidP="006F7BA8">
      <w:pPr>
        <w:tabs>
          <w:tab w:val="left" w:pos="142"/>
          <w:tab w:val="left" w:pos="284"/>
        </w:tabs>
        <w:spacing w:line="276" w:lineRule="auto"/>
        <w:contextualSpacing/>
        <w:jc w:val="both"/>
        <w:rPr>
          <w:rFonts w:ascii="Verdana" w:eastAsia="Century Gothic" w:hAnsi="Verdana" w:cs="Century Gothic"/>
          <w:b/>
          <w:bCs/>
          <w:lang w:val="es-ES"/>
        </w:rPr>
      </w:pPr>
    </w:p>
    <w:p w14:paraId="0E73C95A" w14:textId="77777777" w:rsidR="006F7BA8" w:rsidRPr="00E8380C" w:rsidRDefault="006F7BA8" w:rsidP="006F7BA8">
      <w:pPr>
        <w:spacing w:after="0" w:line="240" w:lineRule="auto"/>
        <w:ind w:left="709" w:right="709"/>
        <w:jc w:val="both"/>
        <w:rPr>
          <w:rFonts w:ascii="Verdana" w:eastAsia="Century Gothic" w:hAnsi="Verdana" w:cs="Century Gothic"/>
          <w:sz w:val="20"/>
          <w:szCs w:val="20"/>
        </w:rPr>
      </w:pPr>
      <w:bookmarkStart w:id="0" w:name="_Hlk95313578"/>
      <w:r w:rsidRPr="00B10A68">
        <w:rPr>
          <w:rFonts w:ascii="Verdana" w:eastAsia="Century Gothic" w:hAnsi="Verdana" w:cs="Century Gothic"/>
          <w:sz w:val="20"/>
          <w:szCs w:val="20"/>
          <w:lang w:val="es-ES"/>
        </w:rPr>
        <w:t>“</w:t>
      </w:r>
      <w:r>
        <w:rPr>
          <w:rFonts w:ascii="Verdana" w:eastAsia="Century Gothic" w:hAnsi="Verdana" w:cs="Century Gothic"/>
          <w:sz w:val="20"/>
          <w:szCs w:val="20"/>
          <w:lang w:val="es-ES"/>
        </w:rPr>
        <w:t xml:space="preserve">[…] </w:t>
      </w:r>
      <w:r w:rsidRPr="00E8380C">
        <w:rPr>
          <w:rFonts w:ascii="Verdana" w:eastAsia="Century Gothic" w:hAnsi="Verdana" w:cs="Century Gothic"/>
          <w:sz w:val="20"/>
          <w:szCs w:val="20"/>
        </w:rPr>
        <w:t>un concepto si en</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 xml:space="preserve">un proceso de </w:t>
      </w:r>
      <w:proofErr w:type="spellStart"/>
      <w:r w:rsidRPr="00E8380C">
        <w:rPr>
          <w:rFonts w:ascii="Verdana" w:eastAsia="Century Gothic" w:hAnsi="Verdana" w:cs="Century Gothic"/>
          <w:sz w:val="20"/>
          <w:szCs w:val="20"/>
        </w:rPr>
        <w:t>contratacion</w:t>
      </w:r>
      <w:proofErr w:type="spellEnd"/>
      <w:r w:rsidRPr="00E8380C">
        <w:rPr>
          <w:rFonts w:ascii="Verdana" w:eastAsia="Century Gothic" w:hAnsi="Verdana" w:cs="Century Gothic"/>
          <w:sz w:val="20"/>
          <w:szCs w:val="20"/>
        </w:rPr>
        <w:t xml:space="preserve"> al momento de presentar su propuesta</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 xml:space="preserve">no incorporaron </w:t>
      </w:r>
      <w:proofErr w:type="gramStart"/>
      <w:r w:rsidRPr="00E8380C">
        <w:rPr>
          <w:rFonts w:ascii="Verdana" w:eastAsia="Century Gothic" w:hAnsi="Verdana" w:cs="Century Gothic"/>
          <w:sz w:val="20"/>
          <w:szCs w:val="20"/>
        </w:rPr>
        <w:t>e</w:t>
      </w:r>
      <w:proofErr w:type="gramEnd"/>
      <w:r w:rsidRPr="00E8380C">
        <w:rPr>
          <w:rFonts w:ascii="Verdana" w:eastAsia="Century Gothic" w:hAnsi="Verdana" w:cs="Century Gothic"/>
          <w:sz w:val="20"/>
          <w:szCs w:val="20"/>
        </w:rPr>
        <w:t xml:space="preserve"> esta </w:t>
      </w:r>
      <w:proofErr w:type="spellStart"/>
      <w:r w:rsidRPr="00E8380C">
        <w:rPr>
          <w:rFonts w:ascii="Verdana" w:eastAsia="Century Gothic" w:hAnsi="Verdana" w:cs="Century Gothic"/>
          <w:sz w:val="20"/>
          <w:szCs w:val="20"/>
        </w:rPr>
        <w:t>ningun</w:t>
      </w:r>
      <w:proofErr w:type="spellEnd"/>
      <w:r w:rsidRPr="00E8380C">
        <w:rPr>
          <w:rFonts w:ascii="Verdana" w:eastAsia="Century Gothic" w:hAnsi="Verdana" w:cs="Century Gothic"/>
          <w:sz w:val="20"/>
          <w:szCs w:val="20"/>
        </w:rPr>
        <w:t xml:space="preserve"> documento como por ejemplo de la experiencia ni</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los formatos correspondientes, si en el traslado del informe los presenta siendo que</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 xml:space="preserve">inicialmente no los </w:t>
      </w:r>
      <w:proofErr w:type="spellStart"/>
      <w:r w:rsidRPr="00E8380C">
        <w:rPr>
          <w:rFonts w:ascii="Verdana" w:eastAsia="Century Gothic" w:hAnsi="Verdana" w:cs="Century Gothic"/>
          <w:sz w:val="20"/>
          <w:szCs w:val="20"/>
        </w:rPr>
        <w:t>habia</w:t>
      </w:r>
      <w:proofErr w:type="spellEnd"/>
      <w:r w:rsidRPr="00E8380C">
        <w:rPr>
          <w:rFonts w:ascii="Verdana" w:eastAsia="Century Gothic" w:hAnsi="Verdana" w:cs="Century Gothic"/>
          <w:sz w:val="20"/>
          <w:szCs w:val="20"/>
        </w:rPr>
        <w:t xml:space="preserve"> presentado, </w:t>
      </w:r>
      <w:proofErr w:type="spellStart"/>
      <w:r w:rsidRPr="00E8380C">
        <w:rPr>
          <w:rFonts w:ascii="Verdana" w:eastAsia="Century Gothic" w:hAnsi="Verdana" w:cs="Century Gothic"/>
          <w:sz w:val="20"/>
          <w:szCs w:val="20"/>
        </w:rPr>
        <w:t>estariamos</w:t>
      </w:r>
      <w:proofErr w:type="spellEnd"/>
      <w:r w:rsidRPr="00E8380C">
        <w:rPr>
          <w:rFonts w:ascii="Verdana" w:eastAsia="Century Gothic" w:hAnsi="Verdana" w:cs="Century Gothic"/>
          <w:sz w:val="20"/>
          <w:szCs w:val="20"/>
        </w:rPr>
        <w:t xml:space="preserve"> ante un mejoramiento de</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 xml:space="preserve">propuesta? </w:t>
      </w:r>
      <w:proofErr w:type="gramStart"/>
      <w:r w:rsidRPr="00E8380C">
        <w:rPr>
          <w:rFonts w:ascii="Verdana" w:eastAsia="Century Gothic" w:hAnsi="Verdana" w:cs="Century Gothic"/>
          <w:sz w:val="20"/>
          <w:szCs w:val="20"/>
        </w:rPr>
        <w:t xml:space="preserve">es de aclarar que las </w:t>
      </w:r>
      <w:proofErr w:type="spellStart"/>
      <w:r w:rsidRPr="00E8380C">
        <w:rPr>
          <w:rFonts w:ascii="Verdana" w:eastAsia="Century Gothic" w:hAnsi="Verdana" w:cs="Century Gothic"/>
          <w:sz w:val="20"/>
          <w:szCs w:val="20"/>
        </w:rPr>
        <w:t>subsanabilidades</w:t>
      </w:r>
      <w:proofErr w:type="spellEnd"/>
      <w:r w:rsidRPr="00E8380C">
        <w:rPr>
          <w:rFonts w:ascii="Verdana" w:eastAsia="Century Gothic" w:hAnsi="Verdana" w:cs="Century Gothic"/>
          <w:sz w:val="20"/>
          <w:szCs w:val="20"/>
        </w:rPr>
        <w:t xml:space="preserve"> y aclaraciones es respecto a</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los</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documentos presentados y sino los presento inicialmente estaría inmersa en un</w:t>
      </w:r>
      <w:r>
        <w:rPr>
          <w:rFonts w:ascii="Verdana" w:eastAsia="Century Gothic" w:hAnsi="Verdana" w:cs="Century Gothic"/>
          <w:sz w:val="20"/>
          <w:szCs w:val="20"/>
        </w:rPr>
        <w:t xml:space="preserve"> </w:t>
      </w:r>
      <w:r w:rsidRPr="00E8380C">
        <w:rPr>
          <w:rFonts w:ascii="Verdana" w:eastAsia="Century Gothic" w:hAnsi="Verdana" w:cs="Century Gothic"/>
          <w:sz w:val="20"/>
          <w:szCs w:val="20"/>
        </w:rPr>
        <w:t>mejoramiento?</w:t>
      </w:r>
      <w:proofErr w:type="gramEnd"/>
      <w:r>
        <w:rPr>
          <w:rFonts w:ascii="Verdana" w:eastAsia="Century Gothic" w:hAnsi="Verdana" w:cs="Century Gothic"/>
          <w:sz w:val="20"/>
          <w:szCs w:val="20"/>
        </w:rPr>
        <w:t xml:space="preserve"> (SIC)</w:t>
      </w:r>
      <w:r w:rsidRPr="00B10A68">
        <w:rPr>
          <w:rFonts w:ascii="Verdana" w:eastAsia="Century Gothic" w:hAnsi="Verdana" w:cs="Century Gothic"/>
          <w:sz w:val="20"/>
          <w:szCs w:val="20"/>
          <w:lang w:val="es-ES"/>
        </w:rPr>
        <w:t>.”</w:t>
      </w:r>
      <w:bookmarkEnd w:id="0"/>
      <w:r w:rsidRPr="00B10A68">
        <w:rPr>
          <w:rFonts w:ascii="Verdana" w:eastAsia="Century Gothic" w:hAnsi="Verdana" w:cs="Century Gothic"/>
          <w:sz w:val="20"/>
          <w:szCs w:val="20"/>
          <w:lang w:val="es-ES"/>
        </w:rPr>
        <w:t>.</w:t>
      </w:r>
    </w:p>
    <w:p w14:paraId="0B004BBA" w14:textId="77777777" w:rsidR="006F7BA8" w:rsidRPr="00B10A68" w:rsidRDefault="006F7BA8" w:rsidP="006F7BA8">
      <w:pPr>
        <w:tabs>
          <w:tab w:val="left" w:pos="142"/>
          <w:tab w:val="left" w:pos="284"/>
        </w:tabs>
        <w:spacing w:line="276" w:lineRule="auto"/>
        <w:contextualSpacing/>
        <w:jc w:val="both"/>
        <w:rPr>
          <w:rFonts w:ascii="Verdana" w:eastAsia="Century Gothic" w:hAnsi="Verdana" w:cs="Century Gothic"/>
          <w:b/>
          <w:bCs/>
          <w:lang w:val="es-ES"/>
        </w:rPr>
      </w:pPr>
    </w:p>
    <w:p w14:paraId="2565E3BB" w14:textId="77777777" w:rsidR="006F7BA8" w:rsidRPr="00B10A68" w:rsidRDefault="006F7BA8" w:rsidP="006F7BA8">
      <w:pPr>
        <w:spacing w:after="120" w:line="276" w:lineRule="auto"/>
        <w:ind w:firstLine="709"/>
        <w:jc w:val="both"/>
        <w:rPr>
          <w:rFonts w:ascii="Verdana" w:eastAsia="Calibri" w:hAnsi="Verdana" w:cs="Arial"/>
          <w:szCs w:val="24"/>
          <w:lang w:val="es-ES_tradnl" w:eastAsia="es-ES_tradnl"/>
        </w:rPr>
      </w:pPr>
      <w:r w:rsidRPr="00B10A68">
        <w:rPr>
          <w:rFonts w:ascii="Verdana" w:eastAsia="Calibri" w:hAnsi="Verdana" w:cs="Arial"/>
          <w:lang w:val="es-ES" w:eastAsia="es-ES"/>
        </w:rPr>
        <w:lastRenderedPageBreak/>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B10A68">
        <w:rPr>
          <w:rFonts w:ascii="Verdana" w:eastAsia="Calibri" w:hAnsi="Verdana" w:cs="Arial"/>
          <w:szCs w:val="24"/>
          <w:lang w:val="es-ES_tradnl" w:eastAsia="es-ES_tradnl"/>
        </w:rPr>
        <w:tab/>
      </w:r>
    </w:p>
    <w:p w14:paraId="50DE4982" w14:textId="77777777" w:rsidR="006F7BA8" w:rsidRPr="00B10A68" w:rsidRDefault="006F7BA8" w:rsidP="006F7BA8">
      <w:pPr>
        <w:spacing w:after="0" w:line="276" w:lineRule="auto"/>
        <w:ind w:firstLine="709"/>
        <w:jc w:val="both"/>
        <w:rPr>
          <w:rFonts w:ascii="Verdana" w:eastAsia="Calibri" w:hAnsi="Verdana" w:cs="Arial"/>
          <w:lang w:val="es-ES" w:eastAsia="es-ES"/>
        </w:rPr>
      </w:pPr>
      <w:r w:rsidRPr="00B10A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(los) problema(s) jurídico(s) de su consulta. </w:t>
      </w:r>
    </w:p>
    <w:p w14:paraId="7AB6F27D" w14:textId="77777777" w:rsidR="006F7BA8" w:rsidRPr="00B10A68" w:rsidRDefault="006F7BA8" w:rsidP="006F7BA8">
      <w:pPr>
        <w:spacing w:after="0" w:line="276" w:lineRule="auto"/>
        <w:ind w:firstLine="709"/>
        <w:jc w:val="both"/>
        <w:rPr>
          <w:rFonts w:ascii="Verdana" w:eastAsia="Calibri" w:hAnsi="Verdana" w:cs="Arial"/>
          <w:lang w:val="es-ES" w:eastAsia="es-ES"/>
        </w:rPr>
      </w:pPr>
    </w:p>
    <w:p w14:paraId="5781A5B0" w14:textId="77777777" w:rsidR="006F7BA8" w:rsidRPr="00B10A68" w:rsidRDefault="006F7BA8" w:rsidP="006F7BA8">
      <w:pPr>
        <w:numPr>
          <w:ilvl w:val="0"/>
          <w:numId w:val="17"/>
        </w:numPr>
        <w:tabs>
          <w:tab w:val="left" w:pos="142"/>
          <w:tab w:val="left" w:pos="284"/>
        </w:tabs>
        <w:spacing w:after="0" w:line="276" w:lineRule="auto"/>
        <w:ind w:left="0" w:firstLine="0"/>
        <w:contextualSpacing/>
        <w:jc w:val="both"/>
        <w:rPr>
          <w:rFonts w:ascii="Verdana" w:eastAsia="Century Gothic" w:hAnsi="Verdana" w:cs="Century Gothic"/>
          <w:b/>
          <w:bCs/>
          <w:lang w:val="es-ES"/>
        </w:rPr>
      </w:pPr>
      <w:r w:rsidRPr="00B10A68">
        <w:rPr>
          <w:rFonts w:ascii="Verdana" w:eastAsia="Century Gothic" w:hAnsi="Verdana" w:cs="Century Gothic"/>
          <w:b/>
          <w:bCs/>
          <w:lang w:val="es-ES"/>
        </w:rPr>
        <w:t>Problema planteado:</w:t>
      </w:r>
    </w:p>
    <w:p w14:paraId="23BE2994" w14:textId="77777777" w:rsidR="006F7BA8" w:rsidRPr="00B10A68" w:rsidRDefault="006F7BA8" w:rsidP="006F7BA8">
      <w:pPr>
        <w:tabs>
          <w:tab w:val="left" w:pos="426"/>
        </w:tabs>
        <w:spacing w:after="0" w:line="276" w:lineRule="auto"/>
        <w:jc w:val="both"/>
        <w:rPr>
          <w:rFonts w:ascii="Verdana" w:eastAsia="Century Gothic" w:hAnsi="Verdana" w:cs="Century Gothic"/>
          <w:lang w:val="es-ES"/>
        </w:rPr>
      </w:pPr>
    </w:p>
    <w:p w14:paraId="514DE809" w14:textId="333121E3" w:rsidR="006F7BA8" w:rsidRPr="00B10A68" w:rsidRDefault="006F7BA8" w:rsidP="006F7BA8">
      <w:pPr>
        <w:spacing w:after="0" w:line="276" w:lineRule="auto"/>
        <w:jc w:val="both"/>
        <w:rPr>
          <w:rFonts w:ascii="Verdana" w:eastAsia="Century Gothic" w:hAnsi="Verdana" w:cs="Century Gothic"/>
        </w:rPr>
      </w:pPr>
      <w:r w:rsidRPr="00B10A68">
        <w:rPr>
          <w:rFonts w:ascii="Verdana" w:eastAsia="Century Gothic" w:hAnsi="Verdana" w:cs="Century Gothic"/>
        </w:rPr>
        <w:t>De acuerdo con el contenido de su solicitud, esta Agencia resolverá el siguiente problema jurídico:</w:t>
      </w:r>
      <w:r>
        <w:rPr>
          <w:rFonts w:ascii="Verdana" w:eastAsia="Century Gothic" w:hAnsi="Verdana" w:cs="Century Gothic"/>
        </w:rPr>
        <w:t xml:space="preserve"> </w:t>
      </w:r>
      <w:r>
        <w:rPr>
          <w:rFonts w:ascii="Verdana" w:eastAsia="Calibri" w:hAnsi="Verdana" w:cs="Arial"/>
          <w:lang w:eastAsia="es-ES"/>
        </w:rPr>
        <w:t xml:space="preserve">¿Cómo debe aplicarse </w:t>
      </w:r>
      <w:r w:rsidRPr="00F814ED">
        <w:rPr>
          <w:rFonts w:ascii="Verdana" w:eastAsia="Calibri" w:hAnsi="Verdana" w:cs="Arial"/>
          <w:lang w:eastAsia="es-ES"/>
        </w:rPr>
        <w:t xml:space="preserve">la regla de </w:t>
      </w:r>
      <w:proofErr w:type="spellStart"/>
      <w:r w:rsidRPr="00F814ED">
        <w:rPr>
          <w:rFonts w:ascii="Verdana" w:eastAsia="Calibri" w:hAnsi="Verdana" w:cs="Arial"/>
          <w:lang w:eastAsia="es-ES"/>
        </w:rPr>
        <w:t>subsanabilidad</w:t>
      </w:r>
      <w:proofErr w:type="spellEnd"/>
      <w:r w:rsidRPr="00F814ED">
        <w:rPr>
          <w:rFonts w:ascii="Verdana" w:eastAsia="Calibri" w:hAnsi="Verdana" w:cs="Arial"/>
          <w:lang w:eastAsia="es-ES"/>
        </w:rPr>
        <w:t xml:space="preserve"> </w:t>
      </w:r>
      <w:r w:rsidR="008302FB">
        <w:rPr>
          <w:rFonts w:ascii="Verdana" w:eastAsia="Calibri" w:hAnsi="Verdana" w:cs="Arial"/>
          <w:lang w:eastAsia="es-ES"/>
        </w:rPr>
        <w:t xml:space="preserve">y la aclaración de las ofertas </w:t>
      </w:r>
      <w:r>
        <w:rPr>
          <w:rFonts w:ascii="Verdana" w:eastAsia="Calibri" w:hAnsi="Verdana" w:cs="Arial"/>
          <w:lang w:eastAsia="es-ES"/>
        </w:rPr>
        <w:t xml:space="preserve">frente </w:t>
      </w:r>
      <w:r w:rsidRPr="00F814ED">
        <w:rPr>
          <w:rFonts w:ascii="Verdana" w:eastAsia="Calibri" w:hAnsi="Verdana" w:cs="Arial"/>
          <w:lang w:eastAsia="es-ES"/>
        </w:rPr>
        <w:t xml:space="preserve">a </w:t>
      </w:r>
      <w:r w:rsidR="00D31EB0">
        <w:rPr>
          <w:rFonts w:ascii="Verdana" w:eastAsia="Calibri" w:hAnsi="Verdana" w:cs="Arial"/>
          <w:lang w:eastAsia="es-ES"/>
        </w:rPr>
        <w:t>los</w:t>
      </w:r>
      <w:r w:rsidRPr="00F814ED">
        <w:rPr>
          <w:rFonts w:ascii="Verdana" w:eastAsia="Calibri" w:hAnsi="Verdana" w:cs="Arial"/>
          <w:lang w:eastAsia="es-ES"/>
        </w:rPr>
        <w:t xml:space="preserve"> requerimientos </w:t>
      </w:r>
      <w:r w:rsidR="00D31EB0">
        <w:rPr>
          <w:rFonts w:ascii="Verdana" w:eastAsia="Calibri" w:hAnsi="Verdana" w:cs="Arial"/>
          <w:lang w:eastAsia="es-ES"/>
        </w:rPr>
        <w:t>realizados por la Entidad Estatal</w:t>
      </w:r>
      <w:r>
        <w:rPr>
          <w:rFonts w:ascii="Verdana" w:eastAsia="Century Gothic" w:hAnsi="Verdana" w:cs="Century Gothic"/>
        </w:rPr>
        <w:t xml:space="preserve"> dentro de </w:t>
      </w:r>
      <w:r w:rsidR="00D31EB0">
        <w:rPr>
          <w:rFonts w:ascii="Verdana" w:eastAsia="Century Gothic" w:hAnsi="Verdana" w:cs="Century Gothic"/>
        </w:rPr>
        <w:t>un P</w:t>
      </w:r>
      <w:r>
        <w:rPr>
          <w:rFonts w:ascii="Verdana" w:eastAsia="Century Gothic" w:hAnsi="Verdana" w:cs="Century Gothic"/>
        </w:rPr>
        <w:t xml:space="preserve">roceso de </w:t>
      </w:r>
      <w:r w:rsidR="00D31EB0">
        <w:rPr>
          <w:rFonts w:ascii="Verdana" w:eastAsia="Century Gothic" w:hAnsi="Verdana" w:cs="Century Gothic"/>
        </w:rPr>
        <w:t>Contratación</w:t>
      </w:r>
      <w:r w:rsidRPr="00B10A68">
        <w:rPr>
          <w:rFonts w:ascii="Verdana" w:eastAsia="Century Gothic" w:hAnsi="Verdana" w:cs="Century Gothic"/>
        </w:rPr>
        <w:t>?</w:t>
      </w:r>
    </w:p>
    <w:p w14:paraId="34CB6FDF" w14:textId="77777777" w:rsidR="006F7BA8" w:rsidRPr="00B10A68" w:rsidRDefault="006F7BA8" w:rsidP="006F7BA8">
      <w:pPr>
        <w:spacing w:after="0" w:line="276" w:lineRule="auto"/>
        <w:jc w:val="both"/>
        <w:rPr>
          <w:rFonts w:ascii="Verdana" w:eastAsia="Calibri" w:hAnsi="Verdana" w:cs="Arial"/>
          <w:lang w:val="es-ES"/>
        </w:rPr>
      </w:pPr>
    </w:p>
    <w:p w14:paraId="7B8F863D" w14:textId="77777777" w:rsidR="006F7BA8" w:rsidRPr="00B10A68" w:rsidRDefault="006F7BA8" w:rsidP="006F7BA8">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Respuesta:</w:t>
      </w:r>
    </w:p>
    <w:p w14:paraId="4C1DD642" w14:textId="77777777" w:rsidR="006F7BA8" w:rsidRPr="00B10A68" w:rsidRDefault="006F7BA8" w:rsidP="006F7BA8">
      <w:pPr>
        <w:tabs>
          <w:tab w:val="left" w:pos="142"/>
          <w:tab w:val="left" w:pos="284"/>
        </w:tabs>
        <w:spacing w:after="0" w:line="276" w:lineRule="auto"/>
        <w:jc w:val="both"/>
        <w:rPr>
          <w:rFonts w:ascii="Verdana" w:eastAsia="Century Gothic" w:hAnsi="Verdana" w:cs="Century Gothic"/>
          <w:b/>
          <w:bCs/>
          <w:lang w:val="es-ES"/>
        </w:rPr>
      </w:pPr>
    </w:p>
    <w:tbl>
      <w:tblPr>
        <w:tblStyle w:val="Tablaconcuadrcula1"/>
        <w:tblW w:w="0" w:type="auto"/>
        <w:tblInd w:w="0"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6F7BA8" w:rsidRPr="00B10A68" w14:paraId="600EBAC6" w14:textId="77777777" w:rsidTr="000465B7">
        <w:tc>
          <w:tcPr>
            <w:tcW w:w="8828" w:type="dxa"/>
            <w:tcBorders>
              <w:top w:val="dotted" w:sz="4" w:space="0" w:color="auto"/>
              <w:left w:val="dotted" w:sz="4" w:space="0" w:color="auto"/>
              <w:bottom w:val="dotted" w:sz="4" w:space="0" w:color="auto"/>
              <w:right w:val="dotted" w:sz="4" w:space="0" w:color="auto"/>
            </w:tcBorders>
          </w:tcPr>
          <w:p w14:paraId="2BD2AE34" w14:textId="43013EAC" w:rsidR="00AA58A9" w:rsidRDefault="006F7BA8" w:rsidP="00FA767E">
            <w:pPr>
              <w:spacing w:after="120" w:line="276" w:lineRule="auto"/>
              <w:jc w:val="both"/>
              <w:rPr>
                <w:rFonts w:ascii="Verdana" w:hAnsi="Verdana" w:cs="Arial"/>
              </w:rPr>
            </w:pPr>
            <w:r>
              <w:rPr>
                <w:rFonts w:ascii="Verdana" w:hAnsi="Verdana" w:cs="Arial"/>
                <w:lang w:val="es-ES"/>
              </w:rPr>
              <w:t>De manera preliminar</w:t>
            </w:r>
            <w:r w:rsidR="003A0C85">
              <w:rPr>
                <w:rFonts w:ascii="Verdana" w:hAnsi="Verdana" w:cs="Arial"/>
                <w:lang w:val="es-ES"/>
              </w:rPr>
              <w:t>,</w:t>
            </w:r>
            <w:r>
              <w:rPr>
                <w:rFonts w:ascii="Verdana" w:hAnsi="Verdana" w:cs="Arial"/>
                <w:lang w:val="es-ES"/>
              </w:rPr>
              <w:t xml:space="preserve"> es pertinente indicar que </w:t>
            </w:r>
            <w:r w:rsidRPr="00534481">
              <w:rPr>
                <w:rFonts w:ascii="Verdana" w:hAnsi="Verdana" w:cs="Arial"/>
              </w:rPr>
              <w:t xml:space="preserve">la </w:t>
            </w:r>
            <w:proofErr w:type="spellStart"/>
            <w:r w:rsidRPr="00534481">
              <w:rPr>
                <w:rFonts w:ascii="Verdana" w:hAnsi="Verdana" w:cs="Arial"/>
              </w:rPr>
              <w:t>subsanabilidad</w:t>
            </w:r>
            <w:proofErr w:type="spellEnd"/>
            <w:r w:rsidRPr="00534481">
              <w:rPr>
                <w:rFonts w:ascii="Verdana" w:hAnsi="Verdana" w:cs="Arial"/>
              </w:rPr>
              <w:t xml:space="preserve"> de las ofertas </w:t>
            </w:r>
            <w:r w:rsidR="00AA58A9" w:rsidRPr="000D3A73">
              <w:rPr>
                <w:rFonts w:ascii="Verdana" w:eastAsia="Century Gothic" w:hAnsi="Verdana" w:cs="Century Gothic"/>
                <w:bCs/>
              </w:rPr>
              <w:t xml:space="preserve">es un mecanismo previsto en los procedimientos regulados por el </w:t>
            </w:r>
            <w:r w:rsidR="00AA58A9">
              <w:rPr>
                <w:rFonts w:ascii="Verdana" w:eastAsia="Century Gothic" w:hAnsi="Verdana" w:cs="Century Gothic"/>
                <w:bCs/>
              </w:rPr>
              <w:t>E</w:t>
            </w:r>
            <w:r w:rsidR="00E65F39">
              <w:rPr>
                <w:rFonts w:ascii="Verdana" w:eastAsia="Century Gothic" w:hAnsi="Verdana" w:cs="Century Gothic"/>
                <w:bCs/>
              </w:rPr>
              <w:t xml:space="preserve">statuto </w:t>
            </w:r>
            <w:r w:rsidR="00AA58A9">
              <w:rPr>
                <w:rFonts w:ascii="Verdana" w:eastAsia="Century Gothic" w:hAnsi="Verdana" w:cs="Century Gothic"/>
                <w:bCs/>
              </w:rPr>
              <w:t>G</w:t>
            </w:r>
            <w:r w:rsidR="00E65F39">
              <w:rPr>
                <w:rFonts w:ascii="Verdana" w:eastAsia="Century Gothic" w:hAnsi="Verdana" w:cs="Century Gothic"/>
                <w:bCs/>
              </w:rPr>
              <w:t xml:space="preserve">eneral de </w:t>
            </w:r>
            <w:r w:rsidR="00AA58A9">
              <w:rPr>
                <w:rFonts w:ascii="Verdana" w:eastAsia="Century Gothic" w:hAnsi="Verdana" w:cs="Century Gothic"/>
                <w:bCs/>
              </w:rPr>
              <w:t>C</w:t>
            </w:r>
            <w:r w:rsidR="00E65F39">
              <w:rPr>
                <w:rFonts w:ascii="Verdana" w:eastAsia="Century Gothic" w:hAnsi="Verdana" w:cs="Century Gothic"/>
                <w:bCs/>
              </w:rPr>
              <w:t xml:space="preserve">ontratación de la </w:t>
            </w:r>
            <w:r w:rsidR="00AA58A9">
              <w:rPr>
                <w:rFonts w:ascii="Verdana" w:eastAsia="Century Gothic" w:hAnsi="Verdana" w:cs="Century Gothic"/>
                <w:bCs/>
              </w:rPr>
              <w:t>A</w:t>
            </w:r>
            <w:r w:rsidR="00E65F39">
              <w:rPr>
                <w:rFonts w:ascii="Verdana" w:eastAsia="Century Gothic" w:hAnsi="Verdana" w:cs="Century Gothic"/>
                <w:bCs/>
              </w:rPr>
              <w:t xml:space="preserve">dministración </w:t>
            </w:r>
            <w:r w:rsidR="00AA58A9">
              <w:rPr>
                <w:rFonts w:ascii="Verdana" w:eastAsia="Century Gothic" w:hAnsi="Verdana" w:cs="Century Gothic"/>
                <w:bCs/>
              </w:rPr>
              <w:t>P</w:t>
            </w:r>
            <w:r w:rsidR="00E65F39">
              <w:rPr>
                <w:rFonts w:ascii="Verdana" w:eastAsia="Century Gothic" w:hAnsi="Verdana" w:cs="Century Gothic"/>
                <w:bCs/>
              </w:rPr>
              <w:t>ública</w:t>
            </w:r>
            <w:r w:rsidR="00AA58A9">
              <w:rPr>
                <w:rFonts w:ascii="Verdana" w:eastAsia="Century Gothic" w:hAnsi="Verdana" w:cs="Century Gothic"/>
                <w:bCs/>
              </w:rPr>
              <w:t>,</w:t>
            </w:r>
            <w:r w:rsidR="00AA58A9" w:rsidRPr="000D3A73">
              <w:rPr>
                <w:rFonts w:ascii="Verdana" w:eastAsia="Century Gothic" w:hAnsi="Verdana" w:cs="Century Gothic"/>
                <w:bCs/>
              </w:rPr>
              <w:t xml:space="preserve"> previst</w:t>
            </w:r>
            <w:r w:rsidR="00AA58A9">
              <w:rPr>
                <w:rFonts w:ascii="Verdana" w:eastAsia="Century Gothic" w:hAnsi="Verdana" w:cs="Century Gothic"/>
                <w:bCs/>
              </w:rPr>
              <w:t>o</w:t>
            </w:r>
            <w:r w:rsidR="00AA58A9" w:rsidRPr="000D3A73">
              <w:rPr>
                <w:rFonts w:ascii="Verdana" w:eastAsia="Century Gothic" w:hAnsi="Verdana" w:cs="Century Gothic"/>
                <w:bCs/>
              </w:rPr>
              <w:t xml:space="preserve"> en los parágrafos 1 al 4 del artículo 5 de la Ley 1150 de 2007, modificado por la Ley 1882 de 2018, que permite que los proponentes puedan enmendar, corregir o modificar los errores en los documentos de la oferta respecto a los requisitos habilitantes</w:t>
            </w:r>
            <w:r w:rsidR="00AA58A9">
              <w:rPr>
                <w:rFonts w:ascii="Verdana" w:eastAsia="Century Gothic" w:hAnsi="Verdana" w:cs="Century Gothic"/>
                <w:bCs/>
              </w:rPr>
              <w:t xml:space="preserve"> o aquellos que no son necesarios para la comparación de las ofertas</w:t>
            </w:r>
            <w:r w:rsidR="00AA58A9" w:rsidRPr="000D3A73">
              <w:rPr>
                <w:rFonts w:ascii="Verdana" w:eastAsia="Century Gothic" w:hAnsi="Verdana" w:cs="Century Gothic"/>
                <w:bCs/>
              </w:rPr>
              <w:t>. En ese orden de ideas, conforme a la norma señalada</w:t>
            </w:r>
            <w:r w:rsidR="00AA58A9">
              <w:rPr>
                <w:rFonts w:ascii="Verdana" w:eastAsia="Century Gothic" w:hAnsi="Verdana" w:cs="Century Gothic"/>
                <w:bCs/>
              </w:rPr>
              <w:t>,</w:t>
            </w:r>
            <w:r w:rsidR="00AA58A9" w:rsidRPr="000D3A73">
              <w:rPr>
                <w:rFonts w:ascii="Verdana" w:eastAsia="Century Gothic" w:hAnsi="Verdana" w:cs="Century Gothic"/>
                <w:bCs/>
              </w:rPr>
              <w:t xml:space="preserve"> los requisitos habilitantes dentro de los procesos de contratación</w:t>
            </w:r>
            <w:r w:rsidR="00AA58A9">
              <w:rPr>
                <w:rFonts w:ascii="Verdana" w:eastAsia="Century Gothic" w:hAnsi="Verdana" w:cs="Century Gothic"/>
                <w:bCs/>
              </w:rPr>
              <w:t>,</w:t>
            </w:r>
            <w:r w:rsidR="00AA58A9" w:rsidRPr="000D3A73">
              <w:rPr>
                <w:rFonts w:ascii="Verdana" w:eastAsia="Century Gothic" w:hAnsi="Verdana" w:cs="Century Gothic"/>
                <w:bCs/>
              </w:rPr>
              <w:t xml:space="preserve"> como regla general</w:t>
            </w:r>
            <w:r w:rsidR="00AA58A9">
              <w:rPr>
                <w:rFonts w:ascii="Verdana" w:eastAsia="Century Gothic" w:hAnsi="Verdana" w:cs="Century Gothic"/>
                <w:bCs/>
              </w:rPr>
              <w:t>,</w:t>
            </w:r>
            <w:r w:rsidR="00AA58A9" w:rsidRPr="000D3A73">
              <w:rPr>
                <w:rFonts w:ascii="Verdana" w:eastAsia="Century Gothic" w:hAnsi="Verdana" w:cs="Century Gothic"/>
                <w:bCs/>
              </w:rPr>
              <w:t xml:space="preserve"> son </w:t>
            </w:r>
            <w:r w:rsidR="00AA58A9" w:rsidRPr="000D3A73">
              <w:rPr>
                <w:rFonts w:ascii="Verdana" w:eastAsia="Century Gothic" w:hAnsi="Verdana" w:cs="Century Gothic"/>
                <w:bCs/>
              </w:rPr>
              <w:lastRenderedPageBreak/>
              <w:t>subsanable</w:t>
            </w:r>
            <w:r w:rsidR="00AA58A9">
              <w:rPr>
                <w:rFonts w:ascii="Verdana" w:eastAsia="Century Gothic" w:hAnsi="Verdana" w:cs="Century Gothic"/>
                <w:bCs/>
              </w:rPr>
              <w:t>s</w:t>
            </w:r>
            <w:r w:rsidR="00AA58A9" w:rsidRPr="000D3A73">
              <w:rPr>
                <w:rFonts w:ascii="Verdana" w:eastAsia="Century Gothic" w:hAnsi="Verdana" w:cs="Century Gothic"/>
                <w:bCs/>
              </w:rPr>
              <w:t xml:space="preserve"> siempre y cuando estos no afecten la asignación de puntaje</w:t>
            </w:r>
            <w:r w:rsidR="00AA58A9">
              <w:rPr>
                <w:rFonts w:ascii="Verdana" w:eastAsia="Century Gothic" w:hAnsi="Verdana" w:cs="Century Gothic"/>
                <w:bCs/>
              </w:rPr>
              <w:t>.</w:t>
            </w:r>
            <w:r>
              <w:rPr>
                <w:rFonts w:ascii="Verdana" w:hAnsi="Verdana" w:cs="Arial"/>
              </w:rPr>
              <w:t xml:space="preserve"> </w:t>
            </w:r>
            <w:r w:rsidR="00AA58A9">
              <w:rPr>
                <w:rFonts w:ascii="Verdana" w:hAnsi="Verdana" w:cs="Arial"/>
              </w:rPr>
              <w:t>L</w:t>
            </w:r>
            <w:r w:rsidRPr="00534481">
              <w:rPr>
                <w:rFonts w:ascii="Verdana" w:hAnsi="Verdana" w:cs="Arial"/>
              </w:rPr>
              <w:t>a facultad de subsanar las ofertas tiene como finalidad asegurar que prevalezca el fondo sobre la forma dentro de los procesos de contratación</w:t>
            </w:r>
            <w:r>
              <w:rPr>
                <w:rFonts w:ascii="Verdana" w:hAnsi="Verdana" w:cs="Arial"/>
              </w:rPr>
              <w:t xml:space="preserve"> </w:t>
            </w:r>
            <w:r w:rsidRPr="00534481">
              <w:rPr>
                <w:rFonts w:ascii="Verdana" w:hAnsi="Verdana" w:cs="Arial"/>
              </w:rPr>
              <w:t>fortaleciendo la competencia real en los procedimientos de selección</w:t>
            </w:r>
            <w:r>
              <w:rPr>
                <w:rFonts w:ascii="Verdana" w:hAnsi="Verdana" w:cs="Arial"/>
              </w:rPr>
              <w:t>.</w:t>
            </w:r>
          </w:p>
          <w:p w14:paraId="7788B3D9" w14:textId="7710CA0F" w:rsidR="006F7BA8" w:rsidRDefault="006F7BA8" w:rsidP="00546811">
            <w:pPr>
              <w:spacing w:after="120" w:line="276" w:lineRule="auto"/>
              <w:ind w:firstLine="709"/>
              <w:jc w:val="both"/>
              <w:rPr>
                <w:rFonts w:ascii="Verdana" w:hAnsi="Verdana" w:cs="Arial"/>
                <w:lang w:val="es-ES"/>
              </w:rPr>
            </w:pPr>
            <w:r>
              <w:rPr>
                <w:rFonts w:ascii="Verdana" w:hAnsi="Verdana" w:cs="Arial"/>
                <w:lang w:val="es-ES"/>
              </w:rPr>
              <w:t>Ahora bien</w:t>
            </w:r>
            <w:r w:rsidRPr="00B10A68">
              <w:rPr>
                <w:rFonts w:ascii="Verdana" w:hAnsi="Verdana" w:cs="Arial"/>
                <w:lang w:val="es-ES"/>
              </w:rPr>
              <w:t xml:space="preserve">, </w:t>
            </w:r>
            <w:r>
              <w:rPr>
                <w:rFonts w:ascii="Verdana" w:hAnsi="Verdana" w:cs="Arial"/>
                <w:lang w:val="es-ES"/>
              </w:rPr>
              <w:t xml:space="preserve">en torno a aclaraciones de la propuesta, </w:t>
            </w:r>
            <w:r w:rsidRPr="00B10A68">
              <w:rPr>
                <w:rFonts w:ascii="Verdana" w:hAnsi="Verdana" w:cs="Arial"/>
                <w:lang w:val="es-ES"/>
              </w:rPr>
              <w:t>se recomienda requerir al proponente con el fin de que presente las aclaraciones que sean pertinentes</w:t>
            </w:r>
            <w:r w:rsidR="00EB71B5">
              <w:rPr>
                <w:rFonts w:ascii="Verdana" w:hAnsi="Verdana" w:cs="Arial"/>
                <w:lang w:val="es-ES"/>
              </w:rPr>
              <w:t>,</w:t>
            </w:r>
            <w:r w:rsidRPr="00B10A68">
              <w:rPr>
                <w:rFonts w:ascii="Verdana" w:hAnsi="Verdana" w:cs="Arial"/>
                <w:lang w:val="es-ES"/>
              </w:rPr>
              <w:t xml:space="preserve"> atendiendo los postulados previstos en el numeral 7 del artículo 30 de la Ley 80 de 1993, esto con el fin de verificar si </w:t>
            </w:r>
            <w:r>
              <w:rPr>
                <w:rFonts w:ascii="Verdana" w:hAnsi="Verdana" w:cs="Arial"/>
                <w:lang w:val="es-ES"/>
              </w:rPr>
              <w:t>el requerimiento es sujeto de aclaración por parte del proponente</w:t>
            </w:r>
            <w:r w:rsidRPr="00B10A68">
              <w:rPr>
                <w:rFonts w:ascii="Verdana" w:hAnsi="Verdana" w:cs="Arial"/>
                <w:lang w:val="es-ES"/>
              </w:rPr>
              <w:t>, evento en el cual y previo análisis de la entidad contratante, considere sí es procedente aclararlo</w:t>
            </w:r>
            <w:r>
              <w:rPr>
                <w:rFonts w:ascii="Verdana" w:hAnsi="Verdana" w:cs="Arial"/>
                <w:lang w:val="es-ES"/>
              </w:rPr>
              <w:t xml:space="preserve">. </w:t>
            </w:r>
          </w:p>
          <w:p w14:paraId="2D60D847" w14:textId="77777777" w:rsidR="0069409D" w:rsidRDefault="0069409D" w:rsidP="0069409D">
            <w:pPr>
              <w:spacing w:after="120" w:line="276" w:lineRule="auto"/>
              <w:ind w:firstLine="709"/>
              <w:jc w:val="both"/>
              <w:rPr>
                <w:rFonts w:ascii="Verdana" w:eastAsia="Arial" w:hAnsi="Verdana" w:cs="Arial"/>
                <w:color w:val="000000" w:themeColor="text1"/>
              </w:rPr>
            </w:pPr>
            <w:r w:rsidRPr="001F31B5">
              <w:rPr>
                <w:rFonts w:ascii="Verdana" w:eastAsia="Arial" w:hAnsi="Verdana" w:cs="Arial"/>
                <w:color w:val="000000" w:themeColor="text1"/>
              </w:rPr>
              <w:t xml:space="preserve">Visto lo anterior, una vez verificada la ausencia de requisitos y/o documentos de la oferta, para efectos de saber si se pueden subsanar, la Administración se debe preguntar, en primer lugar, si lo que hace falta es un documento que afecte la asignación de puntaje o no y, en segundo lugar, si el cumplimiento del requisito constituye una circunstancia ocurrida con anterioridad o con posterioridad al cierre del proceso. </w:t>
            </w:r>
          </w:p>
          <w:p w14:paraId="7755DFAD" w14:textId="3A63FAF6" w:rsidR="0069409D" w:rsidRPr="00DF76A2" w:rsidRDefault="0069409D" w:rsidP="006A332C">
            <w:pPr>
              <w:spacing w:before="120" w:after="120" w:line="276" w:lineRule="auto"/>
              <w:ind w:firstLine="709"/>
              <w:jc w:val="both"/>
              <w:rPr>
                <w:rFonts w:ascii="Verdana" w:eastAsia="Arial" w:hAnsi="Verdana" w:cs="Arial"/>
                <w:color w:val="000000" w:themeColor="text1"/>
              </w:rPr>
            </w:pPr>
            <w:r w:rsidRPr="00DF76A2">
              <w:rPr>
                <w:rFonts w:ascii="Verdana" w:eastAsia="Arial" w:hAnsi="Verdana" w:cs="Arial"/>
                <w:color w:val="000000" w:themeColor="text1"/>
              </w:rPr>
              <w:t>En consecuencia, la subsanación de</w:t>
            </w:r>
            <w:r>
              <w:rPr>
                <w:rFonts w:ascii="Verdana" w:eastAsia="Arial" w:hAnsi="Verdana" w:cs="Arial"/>
                <w:color w:val="000000" w:themeColor="text1"/>
              </w:rPr>
              <w:t xml:space="preserve"> </w:t>
            </w:r>
            <w:r w:rsidRPr="00DF76A2">
              <w:rPr>
                <w:rFonts w:ascii="Verdana" w:eastAsia="Arial" w:hAnsi="Verdana" w:cs="Arial"/>
                <w:color w:val="000000" w:themeColor="text1"/>
              </w:rPr>
              <w:t>l</w:t>
            </w:r>
            <w:r>
              <w:rPr>
                <w:rFonts w:ascii="Verdana" w:eastAsia="Arial" w:hAnsi="Verdana" w:cs="Arial"/>
                <w:color w:val="000000" w:themeColor="text1"/>
              </w:rPr>
              <w:t>os documentos que no se entregaron con la oferta</w:t>
            </w:r>
            <w:r w:rsidRPr="00DF76A2">
              <w:rPr>
                <w:rFonts w:ascii="Verdana" w:eastAsia="Arial" w:hAnsi="Verdana" w:cs="Arial"/>
                <w:color w:val="000000" w:themeColor="text1"/>
              </w:rPr>
              <w:t xml:space="preserve"> es jurídicamente procedente siempre que el defecto u omisión no afecte la asignación de puntaje ni la comparación de las ofertas; y que la documentación que pruebe el cumplimiento del requisito sea solicitada por la entidad y entregada por el proponente dentro del plazo máximo previsto por la ley, esto es, hasta el término de traslado del informe de evaluación correspondiente</w:t>
            </w:r>
            <w:r w:rsidR="0068751C">
              <w:rPr>
                <w:rFonts w:ascii="Verdana" w:eastAsia="Arial" w:hAnsi="Verdana" w:cs="Arial"/>
                <w:color w:val="000000" w:themeColor="text1"/>
              </w:rPr>
              <w:t xml:space="preserve"> a cada modalidad</w:t>
            </w:r>
            <w:r w:rsidRPr="00DF76A2">
              <w:rPr>
                <w:rFonts w:ascii="Verdana" w:eastAsia="Arial" w:hAnsi="Verdana" w:cs="Arial"/>
                <w:color w:val="000000" w:themeColor="text1"/>
              </w:rPr>
              <w:t>, en observancia de lo dispuesto en el artículo 5 de la Ley 1150 de 2007, modificado por la Ley 1882 de 2018, y la reglamentación aplicable.</w:t>
            </w:r>
          </w:p>
          <w:p w14:paraId="0F106F9C" w14:textId="77777777" w:rsidR="006F7BA8" w:rsidRPr="00B10A68" w:rsidRDefault="006F7BA8" w:rsidP="006A332C">
            <w:pPr>
              <w:spacing w:after="120" w:line="276" w:lineRule="auto"/>
              <w:ind w:firstLine="709"/>
              <w:jc w:val="both"/>
              <w:rPr>
                <w:rFonts w:ascii="Verdana" w:hAnsi="Verdana" w:cs="Arial"/>
                <w:lang w:val="es-ES"/>
              </w:rPr>
            </w:pPr>
            <w:r>
              <w:rPr>
                <w:rFonts w:ascii="Verdana" w:hAnsi="Verdana" w:cs="Arial"/>
                <w:lang w:val="es-ES"/>
              </w:rPr>
              <w:t xml:space="preserve">Por ejemplo, </w:t>
            </w:r>
            <w:r w:rsidRPr="00B10A68">
              <w:rPr>
                <w:rFonts w:ascii="Verdana" w:hAnsi="Verdana" w:cs="Arial"/>
                <w:lang w:val="es-ES"/>
              </w:rPr>
              <w:t>la oferta económica es un criterio ponderable y se le asigna un puntaje, por lo que no es susceptible de subsanación. Sin embargo, se pueden realizar aclaraciones sobre aspectos meramente formales, pero no sobre requisitos esenciales del pliego de condiciones ni sobre factores calificables, como es el componente económico.</w:t>
            </w:r>
          </w:p>
          <w:p w14:paraId="1A110231" w14:textId="77777777" w:rsidR="006F7BA8" w:rsidRPr="00B10A68" w:rsidRDefault="006F7BA8" w:rsidP="006A332C">
            <w:pPr>
              <w:spacing w:after="120" w:line="276" w:lineRule="auto"/>
              <w:ind w:firstLine="709"/>
              <w:jc w:val="both"/>
              <w:rPr>
                <w:rFonts w:ascii="Verdana" w:hAnsi="Verdana" w:cs="Arial"/>
              </w:rPr>
            </w:pPr>
            <w:r w:rsidRPr="00B10A68">
              <w:rPr>
                <w:rFonts w:ascii="Verdana" w:eastAsia="Batang" w:hAnsi="Verdana" w:cs="Arial"/>
              </w:rPr>
              <w:t>Igualmente,</w:t>
            </w:r>
            <w:r>
              <w:rPr>
                <w:rFonts w:ascii="Verdana" w:eastAsia="Batang" w:hAnsi="Verdana" w:cs="Arial"/>
              </w:rPr>
              <w:t xml:space="preserve"> en el ámbito de las reglas de </w:t>
            </w:r>
            <w:proofErr w:type="spellStart"/>
            <w:r>
              <w:rPr>
                <w:rFonts w:ascii="Verdana" w:eastAsia="Batang" w:hAnsi="Verdana" w:cs="Arial"/>
              </w:rPr>
              <w:t>subsanabilidad</w:t>
            </w:r>
            <w:proofErr w:type="spellEnd"/>
            <w:r>
              <w:rPr>
                <w:rFonts w:ascii="Verdana" w:eastAsia="Batang" w:hAnsi="Verdana" w:cs="Arial"/>
              </w:rPr>
              <w:t>,</w:t>
            </w:r>
            <w:r w:rsidRPr="00B10A68">
              <w:rPr>
                <w:rFonts w:ascii="Verdana" w:eastAsia="Batang" w:hAnsi="Verdana" w:cs="Arial"/>
              </w:rPr>
              <w:t xml:space="preserve"> es importante traer a colación </w:t>
            </w:r>
            <w:r w:rsidRPr="00B10A68">
              <w:rPr>
                <w:rFonts w:ascii="Verdana" w:hAnsi="Verdana" w:cs="Arial"/>
              </w:rPr>
              <w:t xml:space="preserve">el principio constitucional de prevalencia del derecho sustancial sobre las formas. Al respecto, la Corte Constitucional ha señalado que “[…] por disposición del artículo 228 Superior, las formas no deben convertirse en un obstáculo para la efectividad del derecho sustancial, sino </w:t>
            </w:r>
            <w:r w:rsidRPr="00B10A68">
              <w:rPr>
                <w:rFonts w:ascii="Verdana" w:hAnsi="Verdana" w:cs="Arial"/>
              </w:rPr>
              <w:lastRenderedPageBreak/>
              <w:t>que deben propender por su realización. Es decir, que las normas procesales son un medio para lograr la efectividad de los derechos subjetivos y no fines en sí mismas”</w:t>
            </w:r>
            <w:r w:rsidRPr="00B10A68">
              <w:rPr>
                <w:rFonts w:ascii="Verdana" w:hAnsi="Verdana" w:cs="Arial"/>
                <w:vertAlign w:val="superscript"/>
              </w:rPr>
              <w:footnoteReference w:id="1"/>
            </w:r>
            <w:r w:rsidRPr="00B10A68">
              <w:rPr>
                <w:rFonts w:ascii="Verdana" w:hAnsi="Verdana" w:cs="Arial"/>
              </w:rPr>
              <w:t>. Ese fue el sentido que inspiró la Sentencia C-029 de 1995, mediante la cual la Corte Constitucional declaró exequible el artículo 4º del Código de Procedimiento Civil, argumentando, además, que el artículo 228 de la Constitución reconoce que “prevalecerá el derecho sustancial”, con lo que también está reconociendo, según el tribunal constitucional, que el fin de los procedimientos es la realización de los derechos consagrados en abstracto por el derecho objetivo.</w:t>
            </w:r>
          </w:p>
          <w:p w14:paraId="7356B29A" w14:textId="63499B75" w:rsidR="006F7BA8" w:rsidRPr="00B10A68" w:rsidRDefault="006F7BA8" w:rsidP="006A332C">
            <w:pPr>
              <w:spacing w:after="120" w:line="276" w:lineRule="auto"/>
              <w:ind w:firstLine="709"/>
              <w:jc w:val="both"/>
              <w:rPr>
                <w:rFonts w:ascii="Verdana" w:hAnsi="Verdana" w:cs="Arial"/>
                <w:lang w:val="es-ES"/>
              </w:rPr>
            </w:pPr>
            <w:r w:rsidRPr="00B10A68">
              <w:rPr>
                <w:rFonts w:ascii="Verdana" w:hAnsi="Verdana" w:cs="Arial"/>
                <w:lang w:val="es-ES"/>
              </w:rPr>
              <w:t xml:space="preserve">Además, </w:t>
            </w:r>
            <w:r w:rsidR="00E1597E">
              <w:rPr>
                <w:rFonts w:ascii="Verdana" w:hAnsi="Verdana" w:cs="Arial"/>
                <w:lang w:val="es-ES"/>
              </w:rPr>
              <w:t xml:space="preserve">la falta de documentos </w:t>
            </w:r>
            <w:r w:rsidRPr="00B10A68">
              <w:rPr>
                <w:rFonts w:ascii="Verdana" w:hAnsi="Verdana" w:cs="Arial"/>
                <w:lang w:val="es-ES"/>
              </w:rPr>
              <w:t xml:space="preserve">puede ser materia de estipulación de causales de rechazo en los pliegos de condiciones, pero teniendo en cuenta que </w:t>
            </w:r>
            <w:r w:rsidRPr="00B10A68">
              <w:rPr>
                <w:rFonts w:ascii="Verdana" w:eastAsia="Arial" w:hAnsi="Verdana" w:cs="Arial"/>
              </w:rPr>
              <w:t>las entidades no podrán establecer causales de rechazo referentes a meros requisitos formales o rechazar las ofertas por esa razón</w:t>
            </w:r>
            <w:r w:rsidRPr="00B10A68">
              <w:rPr>
                <w:rFonts w:ascii="Verdana" w:hAnsi="Verdana" w:cs="Arial"/>
                <w:lang w:val="es-ES"/>
              </w:rPr>
              <w:t xml:space="preserve">. No </w:t>
            </w:r>
            <w:proofErr w:type="gramStart"/>
            <w:r w:rsidRPr="00B10A68">
              <w:rPr>
                <w:rFonts w:ascii="Verdana" w:hAnsi="Verdana" w:cs="Arial"/>
                <w:lang w:val="es-ES"/>
              </w:rPr>
              <w:t>obstante</w:t>
            </w:r>
            <w:proofErr w:type="gramEnd"/>
            <w:r w:rsidRPr="00B10A68">
              <w:rPr>
                <w:rFonts w:ascii="Verdana" w:hAnsi="Verdana" w:cs="Arial"/>
                <w:lang w:val="es-ES"/>
              </w:rPr>
              <w:t xml:space="preserve"> lo anterior y conforme al análisis que efectué cada entidad, </w:t>
            </w:r>
            <w:r w:rsidRPr="00B10A68">
              <w:rPr>
                <w:rFonts w:ascii="Verdana" w:hAnsi="Verdana" w:cs="Arial"/>
              </w:rPr>
              <w:t xml:space="preserve">debe advertirse que es la entidad contratante, al momento de adelantar su actividad contractual, quien debe determinar lo correspondiente a </w:t>
            </w:r>
            <w:r w:rsidR="00117701">
              <w:rPr>
                <w:rFonts w:ascii="Verdana" w:hAnsi="Verdana" w:cs="Arial"/>
              </w:rPr>
              <w:t>cada</w:t>
            </w:r>
            <w:r w:rsidR="00117701" w:rsidRPr="00B10A68">
              <w:rPr>
                <w:rFonts w:ascii="Verdana" w:hAnsi="Verdana" w:cs="Arial"/>
              </w:rPr>
              <w:t xml:space="preserve"> </w:t>
            </w:r>
            <w:r w:rsidRPr="00B10A68">
              <w:rPr>
                <w:rFonts w:ascii="Verdana" w:hAnsi="Verdana" w:cs="Arial"/>
              </w:rPr>
              <w:t>situación. Dado esto, y en atención al alcance la función consultiva atribuida a esta Agencia, lo aquí mencionado no constituye un juicio de valor sobre un proceso contractual particular.</w:t>
            </w:r>
          </w:p>
        </w:tc>
      </w:tr>
    </w:tbl>
    <w:p w14:paraId="30202F73" w14:textId="77777777" w:rsidR="006F7BA8" w:rsidRPr="00B10A68" w:rsidRDefault="006F7BA8" w:rsidP="006F7BA8">
      <w:pPr>
        <w:tabs>
          <w:tab w:val="left" w:pos="142"/>
          <w:tab w:val="left" w:pos="284"/>
        </w:tabs>
        <w:spacing w:after="0" w:line="276" w:lineRule="auto"/>
        <w:jc w:val="both"/>
        <w:rPr>
          <w:rFonts w:ascii="Verdana" w:eastAsia="Century Gothic" w:hAnsi="Verdana" w:cs="Century Gothic"/>
          <w:b/>
          <w:bCs/>
          <w:lang w:val="es-ES"/>
        </w:rPr>
      </w:pPr>
    </w:p>
    <w:p w14:paraId="5DC9095F" w14:textId="77777777" w:rsidR="006F7BA8" w:rsidRPr="00B10A68" w:rsidRDefault="006F7BA8" w:rsidP="006F7BA8">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Razones de las respuestas:</w:t>
      </w:r>
    </w:p>
    <w:p w14:paraId="04795D01" w14:textId="77777777" w:rsidR="006F7BA8" w:rsidRPr="00B10A68" w:rsidRDefault="006F7BA8" w:rsidP="006F7BA8">
      <w:pPr>
        <w:spacing w:after="0" w:line="276" w:lineRule="auto"/>
        <w:jc w:val="both"/>
        <w:rPr>
          <w:rFonts w:ascii="Verdana" w:eastAsia="Calibri" w:hAnsi="Verdana" w:cs="Arial"/>
          <w:lang w:val="es-ES"/>
        </w:rPr>
      </w:pPr>
    </w:p>
    <w:p w14:paraId="3EF19A86" w14:textId="77777777" w:rsidR="006F7BA8" w:rsidRPr="00B10A68" w:rsidRDefault="006F7BA8" w:rsidP="006F7BA8">
      <w:pPr>
        <w:spacing w:after="0" w:line="276" w:lineRule="auto"/>
        <w:jc w:val="both"/>
        <w:rPr>
          <w:rFonts w:ascii="Verdana" w:eastAsia="Calibri" w:hAnsi="Verdana" w:cs="Arial"/>
          <w:lang w:val="es-ES"/>
        </w:rPr>
      </w:pPr>
      <w:r w:rsidRPr="00B10A68">
        <w:rPr>
          <w:rFonts w:ascii="Verdana" w:eastAsia="Calibri" w:hAnsi="Verdana" w:cs="Arial"/>
          <w:lang w:val="es-ES"/>
        </w:rPr>
        <w:t xml:space="preserve">Lo anterior se sustenta en las siguientes consideraciones: </w:t>
      </w:r>
    </w:p>
    <w:p w14:paraId="55C1D222" w14:textId="77777777" w:rsidR="006F7BA8" w:rsidRPr="00B10A68" w:rsidRDefault="006F7BA8" w:rsidP="006F7BA8">
      <w:pPr>
        <w:widowControl w:val="0"/>
        <w:autoSpaceDE w:val="0"/>
        <w:autoSpaceDN w:val="0"/>
        <w:spacing w:after="0" w:line="276" w:lineRule="auto"/>
        <w:jc w:val="both"/>
        <w:rPr>
          <w:rFonts w:ascii="Verdana" w:eastAsia="Calibri" w:hAnsi="Verdana" w:cs="Arial"/>
          <w:lang w:val="es-ES"/>
        </w:rPr>
      </w:pPr>
    </w:p>
    <w:p w14:paraId="07A738D3" w14:textId="77777777" w:rsidR="006F7BA8" w:rsidRPr="00B10A68" w:rsidRDefault="006F7BA8" w:rsidP="006F7BA8">
      <w:pPr>
        <w:spacing w:after="120" w:line="276" w:lineRule="auto"/>
        <w:jc w:val="both"/>
        <w:rPr>
          <w:rFonts w:ascii="Verdana" w:eastAsia="Times New Roman" w:hAnsi="Verdana" w:cs="Arial"/>
          <w:lang w:val="es-ES_tradnl" w:eastAsia="es-ES_tradnl"/>
        </w:rPr>
      </w:pPr>
      <w:r w:rsidRPr="00B10A68">
        <w:rPr>
          <w:rFonts w:ascii="Verdana" w:eastAsia="Calibri" w:hAnsi="Verdana" w:cs="Arial"/>
          <w:noProof/>
          <w:lang w:val="es-ES_tradnl"/>
        </w:rPr>
        <w:t>L</w:t>
      </w:r>
      <w:r w:rsidRPr="00B10A68">
        <w:rPr>
          <w:rFonts w:ascii="Verdana" w:eastAsia="Times New Roman" w:hAnsi="Verdana" w:cs="Arial"/>
        </w:rPr>
        <w:t xml:space="preserve">a regla de la </w:t>
      </w:r>
      <w:proofErr w:type="spellStart"/>
      <w:r w:rsidRPr="00B10A68">
        <w:rPr>
          <w:rFonts w:ascii="Verdana" w:eastAsia="Times New Roman" w:hAnsi="Verdana" w:cs="Arial"/>
        </w:rPr>
        <w:t>subsanabilidad</w:t>
      </w:r>
      <w:proofErr w:type="spellEnd"/>
      <w:r w:rsidRPr="00B10A68">
        <w:rPr>
          <w:rFonts w:ascii="Verdana" w:eastAsia="Times New Roman" w:hAnsi="Verdana" w:cs="Arial"/>
        </w:rPr>
        <w:t xml:space="preserve"> de las ofertas en los procedimientos de selección</w:t>
      </w:r>
      <w:r w:rsidRPr="00B10A68">
        <w:rPr>
          <w:rFonts w:ascii="Verdana" w:eastAsia="Times New Roman" w:hAnsi="Verdana" w:cs="Arial"/>
          <w:b/>
          <w:bCs/>
        </w:rPr>
        <w:t xml:space="preserve"> </w:t>
      </w:r>
      <w:r w:rsidRPr="00B10A68">
        <w:rPr>
          <w:rFonts w:ascii="Verdana" w:eastAsia="Times New Roman" w:hAnsi="Verdana" w:cs="Arial"/>
          <w:lang w:val="es-ES_tradnl" w:eastAsia="es-ES_tradnl"/>
        </w:rPr>
        <w:t>indica que, por regla general, la falta de entrega y los defectos en la acreditación de los requisitos habilitantes son aspectos subsanables. La excepción a esta regla se encuentra en la prohibición de permitir que se subsanen aspectos que otorgan puntaje, de valer la acreditación de circunstancias ocurridas con posterioridad al cierre del proceso y de permitir la entrega de la garantía de seriedad de la oferta que no fue aportada con la propuesta.</w:t>
      </w:r>
    </w:p>
    <w:p w14:paraId="353B9B4B" w14:textId="77777777" w:rsidR="006F7BA8" w:rsidRPr="00B10A68" w:rsidRDefault="006F7BA8" w:rsidP="006F7BA8">
      <w:pPr>
        <w:spacing w:after="120" w:line="276" w:lineRule="auto"/>
        <w:ind w:firstLine="708"/>
        <w:jc w:val="both"/>
        <w:rPr>
          <w:rFonts w:ascii="Verdana" w:eastAsia="Times New Roman" w:hAnsi="Verdana" w:cs="Arial"/>
          <w:lang w:val="es-ES" w:eastAsia="es-ES"/>
        </w:rPr>
      </w:pPr>
      <w:r w:rsidRPr="00B10A68">
        <w:rPr>
          <w:rFonts w:ascii="Verdana" w:eastAsia="Times New Roman" w:hAnsi="Verdana" w:cs="Arial"/>
          <w:lang w:val="es-ES_tradnl" w:eastAsia="es-ES_tradnl"/>
        </w:rPr>
        <w:t xml:space="preserve">La posibilidad de enmendar, corregir o subsanar los errores en los que se incurre en los documentos contentivos de la oferta es un tema que ha tenido diferentes momentos o etapas en el ordenamiento jurídico colombiano, </w:t>
      </w:r>
      <w:r w:rsidRPr="00B10A68">
        <w:rPr>
          <w:rFonts w:ascii="Verdana" w:eastAsia="Times New Roman" w:hAnsi="Verdana" w:cs="Arial"/>
          <w:lang w:val="es-ES_tradnl" w:eastAsia="es-ES_tradnl"/>
        </w:rPr>
        <w:lastRenderedPageBreak/>
        <w:t>momentos que se han expuesto de manera detallada en conceptos como el C-285 del 20 de mayo de 2022</w:t>
      </w:r>
      <w:r w:rsidRPr="00B10A68">
        <w:rPr>
          <w:rFonts w:ascii="Verdana" w:eastAsia="Times New Roman" w:hAnsi="Verdana" w:cs="Arial"/>
          <w:vertAlign w:val="superscript"/>
          <w:lang w:val="es-ES_tradnl" w:eastAsia="es-ES_tradnl"/>
        </w:rPr>
        <w:footnoteReference w:id="2"/>
      </w:r>
      <w:r w:rsidRPr="00B10A68">
        <w:rPr>
          <w:rFonts w:ascii="Verdana" w:eastAsia="Times New Roman" w:hAnsi="Verdana" w:cs="Arial"/>
          <w:lang w:val="es-ES_tradnl" w:eastAsia="es-ES_tradnl"/>
        </w:rPr>
        <w:t xml:space="preserve"> o el C-447 del 19 de septiembre de 2024</w:t>
      </w:r>
      <w:r w:rsidRPr="00B10A68">
        <w:rPr>
          <w:rFonts w:ascii="Verdana" w:eastAsia="Times New Roman" w:hAnsi="Verdana" w:cs="Arial"/>
          <w:vertAlign w:val="superscript"/>
          <w:lang w:val="es-ES_tradnl" w:eastAsia="es-ES_tradnl"/>
        </w:rPr>
        <w:footnoteReference w:id="3"/>
      </w:r>
      <w:r w:rsidRPr="00B10A68">
        <w:rPr>
          <w:rFonts w:ascii="Verdana" w:eastAsia="Times New Roman" w:hAnsi="Verdana" w:cs="Arial"/>
          <w:lang w:val="es-ES_tradnl" w:eastAsia="es-ES_tradnl"/>
        </w:rPr>
        <w:t xml:space="preserve"> los cuales, en el evento en que tenga interés, podrá consultar en los enlaces de la nota al pie. Sin embargo</w:t>
      </w:r>
      <w:r w:rsidRPr="00B10A68">
        <w:rPr>
          <w:rFonts w:ascii="Verdana" w:eastAsia="Times New Roman" w:hAnsi="Verdana" w:cs="Arial"/>
          <w:lang w:val="es-ES" w:eastAsia="es-ES"/>
        </w:rPr>
        <w:t xml:space="preserve">, a continuación, se hará referencia particularmente al último momento, que refleja la postura vigente en torno a la </w:t>
      </w:r>
      <w:proofErr w:type="spellStart"/>
      <w:r w:rsidRPr="00B10A68">
        <w:rPr>
          <w:rFonts w:ascii="Verdana" w:eastAsia="Times New Roman" w:hAnsi="Verdana" w:cs="Arial"/>
          <w:lang w:val="es-ES" w:eastAsia="es-ES"/>
        </w:rPr>
        <w:t>subsanabilidad</w:t>
      </w:r>
      <w:proofErr w:type="spellEnd"/>
      <w:r w:rsidRPr="00B10A68">
        <w:rPr>
          <w:rFonts w:ascii="Verdana" w:eastAsia="Times New Roman" w:hAnsi="Verdana" w:cs="Arial"/>
          <w:lang w:val="es-ES" w:eastAsia="es-ES"/>
        </w:rPr>
        <w:t>:</w:t>
      </w:r>
    </w:p>
    <w:p w14:paraId="4AC15F44" w14:textId="77777777" w:rsidR="006F7BA8" w:rsidRPr="00B10A68" w:rsidRDefault="006F7BA8" w:rsidP="006F7BA8">
      <w:pPr>
        <w:tabs>
          <w:tab w:val="left" w:pos="284"/>
        </w:tabs>
        <w:spacing w:after="0" w:line="276" w:lineRule="auto"/>
        <w:ind w:firstLine="709"/>
        <w:jc w:val="both"/>
        <w:rPr>
          <w:rFonts w:ascii="Verdana" w:eastAsia="Times New Roman" w:hAnsi="Verdana" w:cs="Arial"/>
          <w:lang w:val="es-ES_tradnl" w:eastAsia="es-CO"/>
        </w:rPr>
      </w:pPr>
      <w:r w:rsidRPr="00B10A68">
        <w:rPr>
          <w:rFonts w:ascii="Verdana" w:eastAsia="Times New Roman" w:hAnsi="Verdana" w:cs="Arial"/>
          <w:lang w:val="es-ES_tradnl" w:eastAsia="es-ES_tradnl"/>
        </w:rPr>
        <w:t xml:space="preserve">La expedición de la Ley </w:t>
      </w:r>
      <w:r w:rsidRPr="00B10A68">
        <w:rPr>
          <w:rFonts w:ascii="Verdana" w:eastAsia="Times New Roman" w:hAnsi="Verdana" w:cs="Arial"/>
          <w:lang w:val="es-ES_tradnl" w:eastAsia="es-CO"/>
        </w:rPr>
        <w:t xml:space="preserve">1882 de 2018 tuvo por finalidad la de introducir cambios y ajustes para fortalecer la contratación pública. En ese orden, mediante su artículo 5 modificó el parágrafo 1º y adicionó algunos otros, entre ellos el 3° y 4° del artículo 5 de la Ley 1150 de 2007, en los siguientes términos: </w:t>
      </w:r>
    </w:p>
    <w:p w14:paraId="7770976E" w14:textId="77777777" w:rsidR="006F7BA8" w:rsidRPr="00B10A68" w:rsidRDefault="006F7BA8" w:rsidP="006F7BA8">
      <w:pPr>
        <w:spacing w:after="0" w:line="276" w:lineRule="auto"/>
        <w:ind w:left="709" w:right="709"/>
        <w:jc w:val="both"/>
        <w:rPr>
          <w:rFonts w:ascii="Verdana" w:eastAsia="Times New Roman" w:hAnsi="Verdana" w:cs="Arial"/>
          <w:lang w:val="es-ES_tradnl" w:eastAsia="es-CO"/>
        </w:rPr>
      </w:pPr>
    </w:p>
    <w:p w14:paraId="356E4E19" w14:textId="77777777" w:rsidR="006F7BA8" w:rsidRPr="00B10A68" w:rsidRDefault="006F7BA8" w:rsidP="006F7BA8">
      <w:pPr>
        <w:spacing w:after="0" w:line="240" w:lineRule="auto"/>
        <w:ind w:left="709" w:right="709"/>
        <w:jc w:val="both"/>
        <w:rPr>
          <w:rFonts w:ascii="Verdana" w:eastAsia="Times New Roman" w:hAnsi="Verdana" w:cs="Arial"/>
          <w:sz w:val="20"/>
          <w:szCs w:val="20"/>
          <w:lang w:val="es-ES_tradnl" w:eastAsia="es-CO"/>
        </w:rPr>
      </w:pPr>
      <w:r w:rsidRPr="00B10A68">
        <w:rPr>
          <w:rFonts w:ascii="Verdana" w:eastAsia="Times New Roman" w:hAnsi="Verdana" w:cs="Arial"/>
          <w:sz w:val="20"/>
          <w:szCs w:val="20"/>
          <w:lang w:val="es-ES_tradnl" w:eastAsia="es-CO"/>
        </w:rPr>
        <w:t xml:space="preserve">“Artículo 5°. De la selección objetiva. </w:t>
      </w:r>
    </w:p>
    <w:p w14:paraId="63B6E7BA" w14:textId="77777777" w:rsidR="006F7BA8" w:rsidRPr="00B10A68" w:rsidRDefault="006F7BA8" w:rsidP="006F7BA8">
      <w:pPr>
        <w:spacing w:after="0" w:line="240" w:lineRule="auto"/>
        <w:ind w:left="709" w:right="709"/>
        <w:jc w:val="both"/>
        <w:textAlignment w:val="baseline"/>
        <w:rPr>
          <w:rFonts w:ascii="Verdana" w:eastAsia="Times New Roman" w:hAnsi="Verdana" w:cs="Arial"/>
          <w:color w:val="000000"/>
          <w:sz w:val="20"/>
          <w:szCs w:val="20"/>
          <w:lang w:val="es-ES" w:eastAsia="es-ES_tradnl"/>
        </w:rPr>
      </w:pPr>
    </w:p>
    <w:p w14:paraId="7AE4B1D1"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 xml:space="preserve">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B10A68">
        <w:rPr>
          <w:rFonts w:ascii="Verdana" w:eastAsia="Times New Roman" w:hAnsi="Verdana" w:cs="Arial"/>
          <w:color w:val="000000"/>
          <w:sz w:val="20"/>
          <w:szCs w:val="20"/>
          <w:lang w:val="es-ES" w:eastAsia="es-ES_tradnl"/>
        </w:rPr>
        <w:t>equivalentes,</w:t>
      </w:r>
      <w:proofErr w:type="gramEnd"/>
      <w:r w:rsidRPr="00B10A68">
        <w:rPr>
          <w:rFonts w:ascii="Verdana" w:eastAsia="Times New Roman" w:hAnsi="Verdana" w:cs="Arial"/>
          <w:color w:val="000000"/>
          <w:sz w:val="20"/>
          <w:szCs w:val="20"/>
          <w:lang w:val="es-ES" w:eastAsia="es-ES_tradnl"/>
        </w:rPr>
        <w:t xml:space="preserve"> tendrán en cuenta los siguientes criterios:</w:t>
      </w:r>
      <w:r w:rsidRPr="00B10A68">
        <w:rPr>
          <w:rFonts w:ascii="Verdana" w:eastAsia="Arial" w:hAnsi="Verdana" w:cs="Times New Roman"/>
          <w:color w:val="000000"/>
          <w:sz w:val="20"/>
          <w:szCs w:val="20"/>
          <w:lang w:eastAsia="es-ES_tradnl"/>
        </w:rPr>
        <w:t> </w:t>
      </w:r>
    </w:p>
    <w:p w14:paraId="3286AAAB"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734E32D1"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w:t>
      </w:r>
    </w:p>
    <w:p w14:paraId="1A006DD2"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1D81C85D"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u w:val="single"/>
          <w:lang w:val="es-ES" w:eastAsia="es-ES_tradnl"/>
        </w:rPr>
        <w:t xml:space="preserve">PARÁGRAFO 1o. &lt;Parágrafo modificado por el artículo 5 de la Ley 1882 de 2018. El nuevo texto es el siguiente:&gt;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proofErr w:type="gramStart"/>
      <w:r w:rsidRPr="00B10A68">
        <w:rPr>
          <w:rFonts w:ascii="Verdana" w:eastAsia="Times New Roman" w:hAnsi="Verdana" w:cs="Arial"/>
          <w:color w:val="000000"/>
          <w:sz w:val="20"/>
          <w:szCs w:val="20"/>
          <w:u w:val="single"/>
          <w:lang w:val="es-ES" w:eastAsia="es-ES_tradnl"/>
        </w:rPr>
        <w:t>puntaje,</w:t>
      </w:r>
      <w:proofErr w:type="gramEnd"/>
      <w:r w:rsidRPr="00B10A68">
        <w:rPr>
          <w:rFonts w:ascii="Verdana" w:eastAsia="Times New Roman" w:hAnsi="Verdana" w:cs="Arial"/>
          <w:color w:val="000000"/>
          <w:sz w:val="20"/>
          <w:szCs w:val="20"/>
          <w:u w:val="single"/>
          <w:lang w:val="es-ES" w:eastAsia="es-ES_tradnl"/>
        </w:rPr>
        <w:t xml:space="preserve"> deberán ser solicitados por las entidades estatales y deberán ser entregados por los proponentes hasta el término de traslado del informe de evaluación que corresponda a cada modalidad de selección</w:t>
      </w:r>
      <w:r w:rsidRPr="00B10A68">
        <w:rPr>
          <w:rFonts w:ascii="Verdana" w:eastAsia="Times New Roman" w:hAnsi="Verdana" w:cs="Arial"/>
          <w:color w:val="000000"/>
          <w:sz w:val="20"/>
          <w:szCs w:val="20"/>
          <w:lang w:val="es-ES" w:eastAsia="es-ES_tradnl"/>
        </w:rPr>
        <w:t xml:space="preserve">, salvo lo dispuesto para el proceso de Mínima cuantía y para el proceso de selección a través del sistema de subasta. </w:t>
      </w:r>
      <w:r w:rsidRPr="00B10A68">
        <w:rPr>
          <w:rFonts w:ascii="Verdana" w:eastAsia="Times New Roman" w:hAnsi="Verdana" w:cs="Arial"/>
          <w:color w:val="000000"/>
          <w:sz w:val="20"/>
          <w:szCs w:val="20"/>
          <w:u w:val="single"/>
          <w:lang w:val="es-ES" w:eastAsia="es-ES_tradnl"/>
        </w:rPr>
        <w:t>Serán rechazadas las ofertas de aquellos proponentes que no suministren la información y la documentación solicitada por la entidad estatal hasta el plazo anteriormente señalado.</w:t>
      </w:r>
      <w:r w:rsidRPr="00B10A68">
        <w:rPr>
          <w:rFonts w:ascii="Verdana" w:eastAsia="Arial" w:hAnsi="Verdana" w:cs="Times New Roman"/>
          <w:color w:val="000000"/>
          <w:sz w:val="20"/>
          <w:szCs w:val="20"/>
          <w:u w:val="single"/>
          <w:lang w:eastAsia="es-ES_tradnl"/>
        </w:rPr>
        <w:t> </w:t>
      </w:r>
    </w:p>
    <w:p w14:paraId="16F05EAC"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1E6C9985"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u w:val="single"/>
          <w:lang w:val="es-ES" w:eastAsia="es-ES_tradnl"/>
        </w:rPr>
        <w:t>Durante el término otorgado para subsanar las ofertas, los proponentes no podrán acreditar circunstancias ocurridas con posterioridad al cierre del proceso.</w:t>
      </w:r>
      <w:r w:rsidRPr="00B10A68">
        <w:rPr>
          <w:rFonts w:ascii="Verdana" w:eastAsia="Arial" w:hAnsi="Verdana" w:cs="Times New Roman"/>
          <w:color w:val="000000"/>
          <w:sz w:val="20"/>
          <w:szCs w:val="20"/>
          <w:lang w:eastAsia="es-ES_tradnl"/>
        </w:rPr>
        <w:t> </w:t>
      </w:r>
    </w:p>
    <w:p w14:paraId="474A3D29"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lastRenderedPageBreak/>
        <w:t> </w:t>
      </w:r>
    </w:p>
    <w:p w14:paraId="0619306E"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PARÁGRAFO 2o. Las certificaciones de sistemas de gestión de calidad no serán objeto de calificación, ni podrán establecerse como documento habilitante para participar en licitaciones o concursos.</w:t>
      </w:r>
      <w:r w:rsidRPr="00B10A68">
        <w:rPr>
          <w:rFonts w:ascii="Verdana" w:eastAsia="Arial" w:hAnsi="Verdana" w:cs="Times New Roman"/>
          <w:color w:val="000000"/>
          <w:sz w:val="20"/>
          <w:szCs w:val="20"/>
          <w:lang w:eastAsia="es-ES_tradnl"/>
        </w:rPr>
        <w:t> </w:t>
      </w:r>
    </w:p>
    <w:p w14:paraId="0F6399F8"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7B1686CC"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u w:val="single"/>
          <w:lang w:eastAsia="es-ES_tradnl"/>
        </w:rPr>
      </w:pPr>
      <w:r w:rsidRPr="00B10A68">
        <w:rPr>
          <w:rFonts w:ascii="Verdana" w:eastAsia="Times New Roman" w:hAnsi="Verdana" w:cs="Arial"/>
          <w:color w:val="000000"/>
          <w:sz w:val="20"/>
          <w:szCs w:val="20"/>
          <w:u w:val="single"/>
          <w:lang w:val="es-ES" w:eastAsia="es-ES_tradnl"/>
        </w:rPr>
        <w:t xml:space="preserve">PARÁGRAFO 3o. &lt;Parágrafo adicionado por el artículo 5 de la Ley 1882 de 2018. El nuevo texto es el siguiente:&gt; La no entrega de la garantía de seriedad junto con la propuesta no será subsanable y será causal de rechazo de </w:t>
      </w:r>
      <w:proofErr w:type="gramStart"/>
      <w:r w:rsidRPr="00B10A68">
        <w:rPr>
          <w:rFonts w:ascii="Verdana" w:eastAsia="Times New Roman" w:hAnsi="Verdana" w:cs="Arial"/>
          <w:color w:val="000000"/>
          <w:sz w:val="20"/>
          <w:szCs w:val="20"/>
          <w:u w:val="single"/>
          <w:lang w:val="es-ES" w:eastAsia="es-ES_tradnl"/>
        </w:rPr>
        <w:t>la misma</w:t>
      </w:r>
      <w:proofErr w:type="gramEnd"/>
      <w:r w:rsidRPr="00B10A68">
        <w:rPr>
          <w:rFonts w:ascii="Verdana" w:eastAsia="Times New Roman" w:hAnsi="Verdana" w:cs="Arial"/>
          <w:color w:val="000000"/>
          <w:sz w:val="20"/>
          <w:szCs w:val="20"/>
          <w:u w:val="single"/>
          <w:lang w:val="es-ES" w:eastAsia="es-ES_tradnl"/>
        </w:rPr>
        <w:t>.</w:t>
      </w:r>
      <w:r w:rsidRPr="00B10A68">
        <w:rPr>
          <w:rFonts w:ascii="Verdana" w:eastAsia="Arial" w:hAnsi="Verdana" w:cs="Times New Roman"/>
          <w:color w:val="000000"/>
          <w:sz w:val="20"/>
          <w:szCs w:val="20"/>
          <w:u w:val="single"/>
          <w:lang w:eastAsia="es-ES_tradnl"/>
        </w:rPr>
        <w:t> </w:t>
      </w:r>
    </w:p>
    <w:p w14:paraId="2A3E39CB"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303BF9FD"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PARÁGRAFO 4o. &lt;Parágrafo adicionado por el artículo 5 de la Ley 1882 de 2018. El nuevo texto es el siguiente:&gt; En aquellos procesos de selección en los que se utilice el mecanismo de subasta, los documentos referentes a la futura contratación o al proponente, no necesarios para la comparación de las propuestas, deberán ser solicitados hasta el momento previo a su realización.</w:t>
      </w:r>
      <w:r w:rsidRPr="00B10A68">
        <w:rPr>
          <w:rFonts w:ascii="Verdana" w:eastAsia="Arial" w:hAnsi="Verdana" w:cs="Times New Roman"/>
          <w:color w:val="000000"/>
          <w:sz w:val="20"/>
          <w:szCs w:val="20"/>
          <w:lang w:eastAsia="es-ES_tradnl"/>
        </w:rPr>
        <w:t> </w:t>
      </w:r>
    </w:p>
    <w:p w14:paraId="07F21F34"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Arial" w:hAnsi="Verdana" w:cs="Times New Roman"/>
          <w:color w:val="000000"/>
          <w:sz w:val="20"/>
          <w:szCs w:val="20"/>
          <w:lang w:eastAsia="es-ES_tradnl"/>
        </w:rPr>
        <w:t> </w:t>
      </w:r>
    </w:p>
    <w:p w14:paraId="6EA3BB85" w14:textId="77777777" w:rsidR="006F7BA8" w:rsidRPr="00B10A68" w:rsidRDefault="006F7BA8" w:rsidP="006F7BA8">
      <w:pPr>
        <w:spacing w:after="0" w:line="240" w:lineRule="auto"/>
        <w:ind w:left="709" w:right="709"/>
        <w:jc w:val="both"/>
        <w:textAlignment w:val="baseline"/>
        <w:rPr>
          <w:rFonts w:ascii="Verdana" w:eastAsia="Times New Roman" w:hAnsi="Verdana" w:cs="Segoe UI"/>
          <w:sz w:val="20"/>
          <w:szCs w:val="20"/>
          <w:lang w:eastAsia="es-ES_tradnl"/>
        </w:rPr>
      </w:pPr>
      <w:r w:rsidRPr="00B10A68">
        <w:rPr>
          <w:rFonts w:ascii="Verdana" w:eastAsia="Times New Roman" w:hAnsi="Verdana" w:cs="Arial"/>
          <w:color w:val="000000"/>
          <w:sz w:val="20"/>
          <w:szCs w:val="20"/>
          <w:lang w:val="es-ES" w:eastAsia="es-ES_tradnl"/>
        </w:rPr>
        <w:t>PARÁGRAFO 5o. &lt;Parágrafo adicionado por el artículo 5 de la Ley 1882 de 2018. El nuevo texto es el siguiente:&gt; En los procesos de contratación, las entidades estatales deberán aceptar la experiencia adquirida por los proponentes a través de la ejecución de contratos con particulares”. [Subrayado por fuera de texto original]</w:t>
      </w:r>
    </w:p>
    <w:p w14:paraId="1A5DCEE9" w14:textId="77777777" w:rsidR="006F7BA8" w:rsidRPr="00B10A68" w:rsidRDefault="006F7BA8" w:rsidP="006F7BA8">
      <w:pPr>
        <w:spacing w:after="0" w:line="276" w:lineRule="auto"/>
        <w:ind w:left="709" w:right="709"/>
        <w:jc w:val="both"/>
        <w:rPr>
          <w:rFonts w:ascii="Verdana" w:eastAsia="Times New Roman" w:hAnsi="Verdana" w:cs="Arial"/>
          <w:lang w:eastAsia="es-CO"/>
        </w:rPr>
      </w:pPr>
    </w:p>
    <w:p w14:paraId="1BD78236"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Como puede observarse, la Ley 1882 de 2018: i) mantiene el criterio de la Ley 80 de 1993, relativo a que todo lo que no sea necesario para la comparación de propuestas no es título suficiente para su rechazo;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xml:space="preserve">) mantiene el criterio aclaratorio de la Ley 1150 de 2007, según el cual todo lo que no afecte la asignación de puntaje puede subsanarse; 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xml:space="preserve">) introduce modificaciones en relación con algunos aspectos que se analizarán a continuación. </w:t>
      </w:r>
    </w:p>
    <w:p w14:paraId="35AB029F" w14:textId="77777777" w:rsidR="006F7BA8" w:rsidRPr="00B10A68" w:rsidRDefault="006F7BA8" w:rsidP="006F7BA8">
      <w:pPr>
        <w:spacing w:after="120" w:line="276" w:lineRule="auto"/>
        <w:ind w:right="51" w:firstLine="709"/>
        <w:jc w:val="both"/>
        <w:rPr>
          <w:rFonts w:ascii="Verdana" w:eastAsia="Times New Roman" w:hAnsi="Verdana" w:cs="Arial"/>
          <w:lang w:val="es-ES_tradnl" w:eastAsia="es-ES_tradnl"/>
        </w:rPr>
      </w:pPr>
      <w:r w:rsidRPr="00B10A68">
        <w:rPr>
          <w:rFonts w:ascii="Verdana" w:eastAsia="Times New Roman" w:hAnsi="Verdana" w:cs="Arial"/>
          <w:i/>
          <w:iCs/>
          <w:lang w:val="es-ES_tradnl" w:eastAsia="es-ES_tradnl"/>
        </w:rPr>
        <w:t xml:space="preserve">La primera modificación </w:t>
      </w:r>
      <w:r w:rsidRPr="00B10A68">
        <w:rPr>
          <w:rFonts w:ascii="Verdana" w:eastAsia="Times New Roman" w:hAnsi="Verdana" w:cs="Arial"/>
          <w:lang w:val="es-ES_tradnl" w:eastAsia="es-ES_tradnl"/>
        </w:rPr>
        <w:t>está relacionada con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límite anterior no aplica para los procesos de mínima cuantía y para el proceso de selección a través del sistema de subasta</w:t>
      </w:r>
      <w:r w:rsidRPr="00B10A68">
        <w:rPr>
          <w:rFonts w:ascii="Verdana" w:eastAsia="Times New Roman" w:hAnsi="Verdana" w:cs="Arial"/>
          <w:vertAlign w:val="superscript"/>
          <w:lang w:val="es-ES_tradnl" w:eastAsia="es-ES_tradnl"/>
        </w:rPr>
        <w:footnoteReference w:id="4"/>
      </w:r>
      <w:r w:rsidRPr="00B10A68">
        <w:rPr>
          <w:rFonts w:ascii="Verdana" w:eastAsia="Times New Roman" w:hAnsi="Verdana" w:cs="Arial"/>
          <w:lang w:val="es-ES_tradnl" w:eastAsia="es-ES_tradnl"/>
        </w:rPr>
        <w:t>.</w:t>
      </w:r>
    </w:p>
    <w:p w14:paraId="7C905FA8"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lastRenderedPageBreak/>
        <w:t>Frente a la regla general aplicable a los demás procesos de selección, la norma fijó un límite final para que la Administración y los oferentes subsanen los requisitos o documentos que puedan y deban ser subsanados. No obstante, lo anterior, nada impide, y la norma no lo hace, que la Administración requiera al proponente antes de publicar el informe de evaluación. En efecto, la redacción de la norma permite que la Administración solicite a los oferentes subsanar y que estos lo hagan hasta antes del término del traslado del informe de evaluación: “</w:t>
      </w:r>
      <w:r w:rsidRPr="00B10A68">
        <w:rPr>
          <w:rFonts w:ascii="Verdana" w:eastAsia="Times New Roman" w:hAnsi="Verdana" w:cs="Arial"/>
          <w:i/>
          <w:iCs/>
          <w:lang w:val="es-ES" w:eastAsia="es-ES"/>
        </w:rPr>
        <w:t>deberán ser solicitados por las entidades estatales y deberán ser entregados por los proponentes hasta el término de traslado del informe de evaluación que corresponda a cada modalidad de selección”.</w:t>
      </w:r>
      <w:r w:rsidRPr="00B10A68">
        <w:rPr>
          <w:rFonts w:ascii="Verdana" w:eastAsia="Times New Roman" w:hAnsi="Verdana" w:cs="Arial"/>
          <w:lang w:val="es-ES" w:eastAsia="es-ES"/>
        </w:rPr>
        <w:t xml:space="preserve"> </w:t>
      </w:r>
    </w:p>
    <w:p w14:paraId="49B29E53"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Sin perjuicio de lo expuesto, de la lectura de este aparte podrían, en la práctica, darse dos interpretaciones que dan lugar a dos formas de proceder en los procesos de selección, en lo que a la </w:t>
      </w:r>
      <w:proofErr w:type="spellStart"/>
      <w:r w:rsidRPr="00B10A68">
        <w:rPr>
          <w:rFonts w:ascii="Verdana" w:eastAsia="Times New Roman" w:hAnsi="Verdana" w:cs="Arial"/>
          <w:lang w:val="es-ES" w:eastAsia="es-ES"/>
        </w:rPr>
        <w:t>subsanabilidad</w:t>
      </w:r>
      <w:proofErr w:type="spellEnd"/>
      <w:r w:rsidRPr="00B10A68">
        <w:rPr>
          <w:rFonts w:ascii="Verdana" w:eastAsia="Times New Roman" w:hAnsi="Verdana" w:cs="Arial"/>
          <w:lang w:val="es-ES" w:eastAsia="es-ES"/>
        </w:rPr>
        <w:t xml:space="preserve"> de las ofertas se refiere. </w:t>
      </w:r>
      <w:r w:rsidRPr="00B10A68">
        <w:rPr>
          <w:rFonts w:ascii="Verdana" w:eastAsia="Times New Roman" w:hAnsi="Verdana" w:cs="Arial"/>
          <w:i/>
          <w:iCs/>
          <w:lang w:val="es-ES" w:eastAsia="es-ES"/>
        </w:rPr>
        <w:t>Primera</w:t>
      </w:r>
      <w:r w:rsidRPr="00B10A68">
        <w:rPr>
          <w:rFonts w:ascii="Verdana" w:eastAsia="Times New Roman" w:hAnsi="Verdana" w:cs="Arial"/>
          <w:lang w:val="es-ES" w:eastAsia="es-ES"/>
        </w:rPr>
        <w:t xml:space="preserve">, que la posibilidad para subsanar de los oferentes es el término del traslado del informe de evaluación, ya que es en este documento donde la Administración consigna los requisitos o documentos omitidos que los oferentes deben subsanar, so pena de rechazo. </w:t>
      </w:r>
      <w:r w:rsidRPr="00B10A68">
        <w:rPr>
          <w:rFonts w:ascii="Verdana" w:eastAsia="Times New Roman" w:hAnsi="Verdana" w:cs="Arial"/>
          <w:i/>
          <w:iCs/>
          <w:lang w:val="es-ES" w:eastAsia="es-ES"/>
        </w:rPr>
        <w:t>Segunda</w:t>
      </w:r>
      <w:r w:rsidRPr="00B10A68">
        <w:rPr>
          <w:rFonts w:ascii="Verdana" w:eastAsia="Times New Roman" w:hAnsi="Verdana" w:cs="Arial"/>
          <w:lang w:val="es-ES" w:eastAsia="es-ES"/>
        </w:rPr>
        <w:t xml:space="preserve">, que el término del traslado del informe de evaluación es el </w:t>
      </w:r>
      <w:r w:rsidRPr="00B10A68">
        <w:rPr>
          <w:rFonts w:ascii="Verdana" w:eastAsia="Times New Roman" w:hAnsi="Verdana" w:cs="Arial"/>
          <w:i/>
          <w:lang w:val="es-ES" w:eastAsia="es-ES"/>
        </w:rPr>
        <w:t>límite</w:t>
      </w:r>
      <w:r w:rsidRPr="00B10A68">
        <w:rPr>
          <w:rFonts w:ascii="Verdana" w:eastAsia="Times New Roman" w:hAnsi="Verdana" w:cs="Arial"/>
          <w:lang w:val="es-ES" w:eastAsia="es-ES"/>
        </w:rPr>
        <w:t xml:space="preserve"> para la subsanación de ofertas, pero no el único momento para hacerlo. </w:t>
      </w:r>
    </w:p>
    <w:p w14:paraId="6470BE60" w14:textId="77777777" w:rsidR="006F7BA8" w:rsidRPr="00B10A68" w:rsidRDefault="006F7BA8" w:rsidP="006F7BA8">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  </w:t>
      </w:r>
    </w:p>
    <w:p w14:paraId="54445C1D" w14:textId="77777777" w:rsidR="006F7BA8" w:rsidRPr="00B10A68" w:rsidRDefault="006F7BA8" w:rsidP="006F7BA8">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La segunda interpretación permitiría que la Administración requiera al oferente durante el proceso de evaluación de las propuestas, tan pronto advierta que hace falta un documento o requisito que se puede subsanar. En este caso, el proceso de subsanación se podría realizar con anterioridad a la publicación del informe de evaluación, de manera que, una vez se publique el informe ya se encuentren subsanadas las propuestas, sin perjuicio del término límite que concedió la ley.</w:t>
      </w:r>
    </w:p>
    <w:p w14:paraId="5D8EAC4F"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La modificación introducida por el artículo 5 de la Ley 1882 de 2018, si bien pudo significar, en la práctica de los procesos de selección, que el informe de evaluación fuera la oportunidad de la Administración para requerir al proponente para que subsane la oferta, y el término del traslado la oportunidad para hacerlo, lo cierto es que no impide que esto se realice con anterioridad a la </w:t>
      </w:r>
      <w:r w:rsidRPr="00B10A68">
        <w:rPr>
          <w:rFonts w:ascii="Verdana" w:eastAsia="Times New Roman" w:hAnsi="Verdana" w:cs="Arial"/>
          <w:lang w:val="es-ES" w:eastAsia="es-ES"/>
        </w:rPr>
        <w:lastRenderedPageBreak/>
        <w:t>publicación del informe. Inclusive, es más adecuado y conveniente que la subsanación de las ofertas se intente con anterioridad, de forma que, una vez la Administración advierta el defecto, le solicite directamente al oferente que subsane. Esta interpretación es más consistente con los principios de economía, transparencia y selección objetiva. Lo anterior, se aclara, sin desconocer el límite que establece la norma para que los oferentes, sin perjuicio de que lo hagan antes, cuenten hasta el término de traslado del informe de evaluación con la posibilidad de presentar la información solicitada.</w:t>
      </w:r>
    </w:p>
    <w:p w14:paraId="4575427E" w14:textId="77777777" w:rsidR="006F7BA8" w:rsidRPr="00B10A68" w:rsidRDefault="006F7BA8" w:rsidP="006F7BA8">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El </w:t>
      </w:r>
      <w:r w:rsidRPr="00B10A68">
        <w:rPr>
          <w:rFonts w:ascii="Verdana" w:eastAsia="Times New Roman" w:hAnsi="Verdana" w:cs="Arial"/>
          <w:i/>
          <w:iCs/>
          <w:lang w:val="es-ES_tradnl" w:eastAsia="es-ES_tradnl"/>
        </w:rPr>
        <w:t>segundo cambio</w:t>
      </w:r>
      <w:r w:rsidRPr="00B10A68">
        <w:rPr>
          <w:rFonts w:ascii="Verdana" w:eastAsia="Times New Roman" w:hAnsi="Verdana" w:cs="Arial"/>
          <w:lang w:val="es-ES_tradnl" w:eastAsia="es-ES_tradnl"/>
        </w:rPr>
        <w:t xml:space="preserve"> importante de la Ley 1882 de 2018 fue la introducción de un criterio material, directamente relacionado con los aspectos subsanables: </w:t>
      </w:r>
      <w:r w:rsidRPr="00B10A68">
        <w:rPr>
          <w:rFonts w:ascii="Verdana" w:eastAsia="Times New Roman" w:hAnsi="Verdana" w:cs="Arial"/>
          <w:i/>
          <w:iCs/>
          <w:lang w:val="es-ES_tradnl" w:eastAsia="es-ES_tradnl"/>
        </w:rPr>
        <w:t>“los proponentes no podrán acreditar circunstancias ocurridas con posterioridad al cierre del proceso”.</w:t>
      </w:r>
      <w:r w:rsidRPr="00B10A68">
        <w:rPr>
          <w:rFonts w:ascii="Verdana" w:eastAsia="Times New Roman" w:hAnsi="Verdana" w:cs="Arial"/>
          <w:lang w:val="es-ES_tradnl" w:eastAsia="es-ES_tradnl"/>
        </w:rPr>
        <w:t xml:space="preserve"> Lo anterior ofrece dos aspectos que merecen clarificación; primero, qué debe entenderse por circunstancias ocurridas con posterioridad; y segundo, qué es el cierre del proceso. </w:t>
      </w:r>
    </w:p>
    <w:p w14:paraId="3E84B5EA"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La Sala de Consulta y Servicio Civil del Consejo de Estado ya había tenido la oportunidad de precisar estas expresiones, a propósito de un concepto en el que se refirió al artículo 10 del derogado Decreto 2474 de 2008, que había determinado que en ningún caso la entidad podía permitir que se acreditaran circunstancias ocurridas con posterioridad al cierre del proceso. En esa ocasión, el Consejo de Estado precisó que, por cierre del proceso debe entenderse el vencimiento del plazo para la presentación de las ofertas y que lo subsanable son las circunstancias que ocurrieron con anterioridad a esa fecha</w:t>
      </w:r>
      <w:r w:rsidRPr="00B10A68">
        <w:rPr>
          <w:rFonts w:ascii="Verdana" w:eastAsia="Times New Roman" w:hAnsi="Verdana" w:cs="Arial"/>
          <w:vertAlign w:val="superscript"/>
          <w:lang w:val="es-ES" w:eastAsia="es-ES"/>
        </w:rPr>
        <w:footnoteReference w:id="5"/>
      </w:r>
      <w:r w:rsidRPr="00B10A68">
        <w:rPr>
          <w:rFonts w:ascii="Verdana" w:eastAsia="Times New Roman" w:hAnsi="Verdana" w:cs="Arial"/>
          <w:lang w:val="es-ES" w:eastAsia="es-ES"/>
        </w:rPr>
        <w:t>.</w:t>
      </w:r>
    </w:p>
    <w:p w14:paraId="04439932" w14:textId="77777777" w:rsidR="006F7BA8" w:rsidRPr="00B10A68" w:rsidRDefault="006F7BA8" w:rsidP="006F7BA8">
      <w:pPr>
        <w:spacing w:after="120" w:line="276" w:lineRule="auto"/>
        <w:ind w:firstLine="709"/>
        <w:jc w:val="both"/>
        <w:rPr>
          <w:rFonts w:ascii="Verdana" w:eastAsia="Times New Roman" w:hAnsi="Verdana" w:cs="Arial"/>
          <w:lang w:val="es-ES_tradnl" w:eastAsia="es-ES_tradnl"/>
        </w:rPr>
      </w:pPr>
      <w:r w:rsidRPr="00B10A68">
        <w:rPr>
          <w:rFonts w:ascii="Verdana" w:eastAsia="Times New Roman" w:hAnsi="Verdana" w:cs="Arial"/>
          <w:lang w:val="es-ES_tradnl" w:eastAsia="es-ES_tradnl"/>
        </w:rPr>
        <w:t xml:space="preserve">De conformidad con el artículo 5 de la Ley 1882 de 2018, lo subsanable es la prueba de todas las circunstancias ocurridas antes del vencimiento del </w:t>
      </w:r>
      <w:r w:rsidRPr="00B10A68">
        <w:rPr>
          <w:rFonts w:ascii="Verdana" w:eastAsia="Times New Roman" w:hAnsi="Verdana" w:cs="Arial"/>
          <w:lang w:val="es-ES_tradnl" w:eastAsia="es-ES_tradnl"/>
        </w:rPr>
        <w:lastRenderedPageBreak/>
        <w:t xml:space="preserve">término para presentar las ofertas, ello es lo que implica la prohibición de acreditar circunstancias ocurridas con posterioridad al “cierre del proceso”. Lo anterior evita, por ejemplo, que se presenten oferentes que no cumplían con los requisitos para participar al momento de presentar las ofertas, y pretendan cumplirlos durante el proceso de selección o, inclusive, que se puedan variar condiciones de la oferta una vez presentada. </w:t>
      </w:r>
    </w:p>
    <w:p w14:paraId="3058B5B5"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Un mejor entendimiento del significado de la expresión </w:t>
      </w:r>
      <w:r w:rsidRPr="00B10A68">
        <w:rPr>
          <w:rFonts w:ascii="Verdana" w:eastAsia="Times New Roman" w:hAnsi="Verdana" w:cs="Arial"/>
          <w:i/>
          <w:lang w:val="es-ES" w:eastAsia="es-ES"/>
        </w:rPr>
        <w:t>“circunstancias ocurridas con posterioridad al cierre del proceso”</w:t>
      </w:r>
      <w:r w:rsidRPr="00B10A68">
        <w:rPr>
          <w:rFonts w:ascii="Verdana" w:eastAsia="Times New Roman" w:hAnsi="Verdana" w:cs="Arial"/>
          <w:lang w:val="es-ES" w:eastAsia="es-ES"/>
        </w:rPr>
        <w:t xml:space="preserve"> implica distinguir entre la prueba de un hecho y el hecho mismo. En el caso de la </w:t>
      </w:r>
      <w:proofErr w:type="spellStart"/>
      <w:r w:rsidRPr="00B10A68">
        <w:rPr>
          <w:rFonts w:ascii="Verdana" w:eastAsia="Times New Roman" w:hAnsi="Verdana" w:cs="Arial"/>
          <w:lang w:val="es-ES" w:eastAsia="es-ES"/>
        </w:rPr>
        <w:t>subsanabilidad</w:t>
      </w:r>
      <w:proofErr w:type="spellEnd"/>
      <w:r w:rsidRPr="00B10A68">
        <w:rPr>
          <w:rFonts w:ascii="Verdana" w:eastAsia="Times New Roman" w:hAnsi="Verdana" w:cs="Arial"/>
          <w:lang w:val="es-ES" w:eastAsia="es-ES"/>
        </w:rPr>
        <w:t xml:space="preserve"> de las ofertas, una cosa es el requisito habilitante o el elemento de la propuesta y otra su prueba. Lo que prohíbe la norma es que se subsanen requisitos que no estaban materialmente cumplidos al momento de presentación de la oferta, o en palabras de la ley, que se acrediten hechos que ocurrieron después del cierre del proceso</w:t>
      </w:r>
      <w:r w:rsidRPr="00B10A68">
        <w:rPr>
          <w:rFonts w:ascii="Verdana" w:eastAsia="Times New Roman" w:hAnsi="Verdana" w:cs="Arial"/>
          <w:vertAlign w:val="superscript"/>
          <w:lang w:val="es-ES" w:eastAsia="es-ES"/>
        </w:rPr>
        <w:footnoteReference w:id="6"/>
      </w:r>
      <w:r w:rsidRPr="00B10A68">
        <w:rPr>
          <w:rFonts w:ascii="Verdana" w:eastAsia="Times New Roman" w:hAnsi="Verdana" w:cs="Arial"/>
          <w:lang w:val="es-ES" w:eastAsia="es-ES"/>
        </w:rPr>
        <w:t xml:space="preserve">. </w:t>
      </w:r>
    </w:p>
    <w:p w14:paraId="563FB07A" w14:textId="77777777" w:rsidR="006F7BA8" w:rsidRPr="00B10A68" w:rsidRDefault="006F7BA8" w:rsidP="006F7BA8">
      <w:pPr>
        <w:spacing w:after="120" w:line="276" w:lineRule="auto"/>
        <w:ind w:firstLine="709"/>
        <w:jc w:val="both"/>
        <w:rPr>
          <w:rFonts w:ascii="Verdana" w:eastAsia="Times New Roman" w:hAnsi="Verdana" w:cs="Arial"/>
          <w:lang w:val="es-ES" w:eastAsia="es-ES"/>
        </w:rPr>
      </w:pPr>
      <w:r w:rsidRPr="00B10A68">
        <w:rPr>
          <w:rFonts w:ascii="Verdana" w:eastAsia="Times New Roman" w:hAnsi="Verdana" w:cs="Arial"/>
          <w:lang w:val="es-ES" w:eastAsia="es-ES"/>
        </w:rPr>
        <w:t xml:space="preserve">Por ejemplo: i) si un oferente olvidó adjuntar con su propuesta el certificado que da cuenta de su inscripción en el RUP, el requisito será subsanable siempre que la prueba allegada demuestre que el hecho, esto es, la inscripción en el registro, ocurrió con anterioridad al cierre del proceso, estando está en firme para dicho momento; </w:t>
      </w:r>
      <w:proofErr w:type="spellStart"/>
      <w:r w:rsidRPr="00B10A68">
        <w:rPr>
          <w:rFonts w:ascii="Verdana" w:eastAsia="Times New Roman" w:hAnsi="Verdana" w:cs="Arial"/>
          <w:lang w:val="es-ES" w:eastAsia="es-ES"/>
        </w:rPr>
        <w:t>ii</w:t>
      </w:r>
      <w:proofErr w:type="spellEnd"/>
      <w:r w:rsidRPr="00B10A68">
        <w:rPr>
          <w:rFonts w:ascii="Verdana" w:eastAsia="Times New Roman" w:hAnsi="Verdana" w:cs="Arial"/>
          <w:lang w:val="es-ES" w:eastAsia="es-ES"/>
        </w:rPr>
        <w:t>)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término para ofertar</w:t>
      </w:r>
      <w:r w:rsidRPr="00B10A68">
        <w:rPr>
          <w:rFonts w:ascii="Verdana" w:eastAsia="Times New Roman" w:hAnsi="Verdana" w:cs="Arial"/>
          <w:vertAlign w:val="superscript"/>
          <w:lang w:val="es-ES" w:eastAsia="es-ES"/>
        </w:rPr>
        <w:footnoteReference w:id="7"/>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iii</w:t>
      </w:r>
      <w:proofErr w:type="spellEnd"/>
      <w:r w:rsidRPr="00B10A68">
        <w:rPr>
          <w:rFonts w:ascii="Verdana" w:eastAsia="Times New Roman" w:hAnsi="Verdana" w:cs="Arial"/>
          <w:lang w:val="es-ES" w:eastAsia="es-ES"/>
        </w:rPr>
        <w:t xml:space="preserve">) si un oferente no anexó el Certificado </w:t>
      </w:r>
      <w:r w:rsidRPr="00B10A68">
        <w:rPr>
          <w:rFonts w:ascii="Verdana" w:eastAsia="Times New Roman" w:hAnsi="Verdana" w:cs="Arial"/>
          <w:lang w:val="es-ES" w:eastAsia="es-ES"/>
        </w:rPr>
        <w:lastRenderedPageBreak/>
        <w:t>de existencia y representación legal, el documento aportado con posterioridad debe dar cuenta de que la sociedad existía antes del cierre del proceso</w:t>
      </w:r>
      <w:r w:rsidRPr="00B10A68">
        <w:rPr>
          <w:rFonts w:ascii="Verdana" w:eastAsia="Times New Roman" w:hAnsi="Verdana" w:cs="Arial"/>
          <w:vertAlign w:val="superscript"/>
          <w:lang w:val="es-ES" w:eastAsia="es-ES"/>
        </w:rPr>
        <w:footnoteReference w:id="8"/>
      </w:r>
      <w:r w:rsidRPr="00B10A68">
        <w:rPr>
          <w:rFonts w:ascii="Verdana" w:eastAsia="Times New Roman" w:hAnsi="Verdana" w:cs="Arial"/>
          <w:lang w:val="es-ES" w:eastAsia="es-ES"/>
        </w:rPr>
        <w:t xml:space="preserve">; </w:t>
      </w:r>
      <w:proofErr w:type="spellStart"/>
      <w:r w:rsidRPr="00B10A68">
        <w:rPr>
          <w:rFonts w:ascii="Verdana" w:eastAsia="Times New Roman" w:hAnsi="Verdana" w:cs="Arial"/>
          <w:lang w:val="es-ES" w:eastAsia="es-ES"/>
        </w:rPr>
        <w:t>iv</w:t>
      </w:r>
      <w:proofErr w:type="spellEnd"/>
      <w:r w:rsidRPr="00B10A68">
        <w:rPr>
          <w:rFonts w:ascii="Verdana" w:eastAsia="Times New Roman" w:hAnsi="Verdana" w:cs="Arial"/>
          <w:lang w:val="es-ES" w:eastAsia="es-ES"/>
        </w:rPr>
        <w:t xml:space="preserve">) si un oferente olvidó adjuntar un certificado que demuestra un título universitario, el documento, aunque tenga fecha posterior al cierre del proceso, debe acreditar que el título académico se obtuvo con anterioridad al cierre del proceso; v) si un oferente no allegó un certificado de experiencia, el documento que subsana –sin importar que tenga fecha posterior– debe demostrar que la experiencia que se pretende hacer valer se obtuvo antes de vencerse el término para presentar ofertas y vi) si el oferente olvidó firmar la propuesta o presentar una copia de ella, puede subsanar sin que con ello se entienda que acreditó una circunstancia ocurrida con posterioridad al cierre del proceso. </w:t>
      </w:r>
    </w:p>
    <w:p w14:paraId="64621C59" w14:textId="77777777" w:rsidR="006F7BA8" w:rsidRPr="00B10A68" w:rsidRDefault="006F7BA8" w:rsidP="006F7BA8">
      <w:pPr>
        <w:spacing w:after="120" w:line="276" w:lineRule="auto"/>
        <w:ind w:firstLine="709"/>
        <w:jc w:val="both"/>
        <w:rPr>
          <w:rFonts w:ascii="Verdana" w:eastAsia="Times New Roman" w:hAnsi="Verdana" w:cs="Arial"/>
          <w:i/>
          <w:lang w:val="es-ES" w:eastAsia="es-ES"/>
        </w:rPr>
      </w:pPr>
      <w:r w:rsidRPr="00B10A68">
        <w:rPr>
          <w:rFonts w:ascii="Verdana" w:eastAsia="Times New Roman" w:hAnsi="Verdana" w:cs="Arial"/>
          <w:lang w:val="es-ES" w:eastAsia="es-ES"/>
        </w:rPr>
        <w:t xml:space="preserve">Lo anterior quiere decir que no es la prueba –usualmente un documento– lo que debe ser anterior al cierre del proceso, sino el hecho que ella acredita. Es decir, ante la solicitud de la Administración de subsanar determinado requisito, el documento podría estar fechado con posterioridad al vencimiento del término para recibir propuestas, siempre y cuando el hecho que acredite haya ocurrido antes, esto es, que no sea una circunstancia ocurrida con posterioridad al cierre del proceso. Es por esto </w:t>
      </w:r>
      <w:proofErr w:type="gramStart"/>
      <w:r w:rsidRPr="00B10A68">
        <w:rPr>
          <w:rFonts w:ascii="Verdana" w:eastAsia="Times New Roman" w:hAnsi="Verdana" w:cs="Arial"/>
          <w:lang w:val="es-ES" w:eastAsia="es-ES"/>
        </w:rPr>
        <w:t>que</w:t>
      </w:r>
      <w:proofErr w:type="gramEnd"/>
      <w:r w:rsidRPr="00B10A68">
        <w:rPr>
          <w:rFonts w:ascii="Verdana" w:eastAsia="Times New Roman" w:hAnsi="Verdana" w:cs="Arial"/>
          <w:lang w:val="es-ES" w:eastAsia="es-ES"/>
        </w:rPr>
        <w:t xml:space="preserve"> el Consejo de Estado sostiene </w:t>
      </w:r>
      <w:proofErr w:type="gramStart"/>
      <w:r w:rsidRPr="00B10A68">
        <w:rPr>
          <w:rFonts w:ascii="Verdana" w:eastAsia="Times New Roman" w:hAnsi="Verdana" w:cs="Arial"/>
          <w:lang w:val="es-ES" w:eastAsia="es-ES"/>
        </w:rPr>
        <w:t>que ”lo</w:t>
      </w:r>
      <w:proofErr w:type="gramEnd"/>
      <w:r w:rsidRPr="00B10A68">
        <w:rPr>
          <w:rFonts w:ascii="Verdana" w:eastAsia="Times New Roman" w:hAnsi="Verdana" w:cs="Arial"/>
          <w:lang w:val="es-ES" w:eastAsia="es-ES"/>
        </w:rPr>
        <w:t xml:space="preserve"> que se subsana es la prueba y no la condición habilitante o un elemento de la propuesta [...] lo que se puede remediar es la prueba y no el requisito: La posibilidad debe recaer exclusivamente sobre circunstancias acaecidas antes del cierre del respectivo proceso, esto es, del vencimiento del plazo para presentar ofertas”</w:t>
      </w:r>
      <w:r w:rsidRPr="00B10A68">
        <w:rPr>
          <w:rFonts w:ascii="Verdana" w:eastAsia="Times New Roman" w:hAnsi="Verdana" w:cs="Arial"/>
          <w:vertAlign w:val="superscript"/>
          <w:lang w:val="es-ES" w:eastAsia="es-ES"/>
        </w:rPr>
        <w:footnoteReference w:id="9"/>
      </w:r>
      <w:r w:rsidRPr="00B10A68">
        <w:rPr>
          <w:rFonts w:ascii="Verdana" w:eastAsia="Times New Roman" w:hAnsi="Verdana" w:cs="Arial"/>
          <w:lang w:val="es-ES" w:eastAsia="es-ES"/>
        </w:rPr>
        <w:t>.</w:t>
      </w:r>
    </w:p>
    <w:p w14:paraId="22E66EFB" w14:textId="77777777" w:rsidR="006F7BA8" w:rsidRPr="00B10A68" w:rsidRDefault="006F7BA8" w:rsidP="006F7BA8">
      <w:pPr>
        <w:spacing w:after="120" w:line="276" w:lineRule="auto"/>
        <w:ind w:firstLine="709"/>
        <w:jc w:val="both"/>
        <w:rPr>
          <w:rFonts w:ascii="Verdana" w:eastAsia="Calibri" w:hAnsi="Verdana" w:cs="Times New Roman"/>
          <w:color w:val="000000"/>
        </w:rPr>
      </w:pPr>
      <w:r w:rsidRPr="00B10A68">
        <w:rPr>
          <w:rFonts w:ascii="Verdana" w:eastAsia="Times New Roman" w:hAnsi="Verdana" w:cs="Arial"/>
          <w:iCs/>
          <w:lang w:val="es-ES" w:eastAsia="es-ES"/>
        </w:rPr>
        <w:t>Ahora bien,</w:t>
      </w:r>
      <w:r w:rsidRPr="00B10A68">
        <w:rPr>
          <w:rFonts w:ascii="Verdana" w:eastAsia="Times New Roman" w:hAnsi="Verdana" w:cs="Arial"/>
          <w:i/>
          <w:lang w:val="es-ES" w:eastAsia="es-ES"/>
        </w:rPr>
        <w:t xml:space="preserve"> e</w:t>
      </w:r>
      <w:r w:rsidRPr="00B10A68">
        <w:rPr>
          <w:rFonts w:ascii="Verdana" w:eastAsia="Calibri" w:hAnsi="Verdana" w:cs="Arial"/>
          <w:color w:val="000000"/>
          <w:lang w:val="es-ES"/>
        </w:rPr>
        <w:t xml:space="preserve">l parágrafo 3 del artículo 5 de la Ley 1882 de 2018 determinó, de manera expresa, que “la no entrega de la garantía de seriedad junto con la propuesta no será subsanable y será causal de rechazo de </w:t>
      </w:r>
      <w:proofErr w:type="gramStart"/>
      <w:r w:rsidRPr="00B10A68">
        <w:rPr>
          <w:rFonts w:ascii="Verdana" w:eastAsia="Calibri" w:hAnsi="Verdana" w:cs="Arial"/>
          <w:color w:val="000000"/>
          <w:lang w:val="es-ES"/>
        </w:rPr>
        <w:t>la misma</w:t>
      </w:r>
      <w:proofErr w:type="gramEnd"/>
      <w:r w:rsidRPr="00B10A68">
        <w:rPr>
          <w:rFonts w:ascii="Verdana" w:eastAsia="Calibri" w:hAnsi="Verdana" w:cs="Arial"/>
          <w:color w:val="000000"/>
          <w:lang w:val="es-ES"/>
        </w:rPr>
        <w:t>”, dejando claro que se trata de un documento de obligatoria presentación junto con la propuesta y que materializa los principios de seriedad e irrevocabilidad de la oferta.</w:t>
      </w:r>
      <w:r w:rsidRPr="00B10A68">
        <w:rPr>
          <w:rFonts w:ascii="Verdana" w:eastAsia="Calibri" w:hAnsi="Verdana" w:cs="Times New Roman"/>
          <w:color w:val="000000"/>
        </w:rPr>
        <w:t> </w:t>
      </w:r>
    </w:p>
    <w:p w14:paraId="7D3C5531" w14:textId="77777777" w:rsidR="006F7BA8" w:rsidRPr="00B10A68" w:rsidRDefault="006F7BA8" w:rsidP="006F7BA8">
      <w:pPr>
        <w:spacing w:after="120" w:line="276" w:lineRule="auto"/>
        <w:ind w:firstLine="709"/>
        <w:jc w:val="both"/>
        <w:rPr>
          <w:rFonts w:ascii="Verdana" w:eastAsia="Calibri" w:hAnsi="Verdana" w:cs="Times New Roman"/>
          <w:color w:val="000000"/>
        </w:rPr>
      </w:pPr>
      <w:r w:rsidRPr="00B10A68">
        <w:rPr>
          <w:rFonts w:ascii="Verdana" w:eastAsia="Calibri" w:hAnsi="Verdana" w:cs="Times New Roman"/>
          <w:color w:val="000000"/>
        </w:rPr>
        <w:t xml:space="preserve">En línea con lo anterior, una vez verificada la ausencia de requisitos y/o documentos de la oferta, para efectos de saber si se pueden subsanar, la entidad contratante debe preguntarse, en primer lugar, si lo que hace falta es un </w:t>
      </w:r>
      <w:r w:rsidRPr="00B10A68">
        <w:rPr>
          <w:rFonts w:ascii="Verdana" w:eastAsia="Calibri" w:hAnsi="Verdana" w:cs="Times New Roman"/>
          <w:color w:val="000000"/>
        </w:rPr>
        <w:lastRenderedPageBreak/>
        <w:t>documento que afecte la asignación de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afecte la asignación de puntaje y la respuesta al segundo interrogante debe dar cuenta de que lo omitido sea la prueba de una circunstancia o hecho que ocurrió con anterioridad al cierre del proceso.</w:t>
      </w:r>
    </w:p>
    <w:p w14:paraId="0E9D39FB" w14:textId="77777777" w:rsidR="006F7BA8" w:rsidRPr="00B10A68" w:rsidRDefault="006F7BA8" w:rsidP="006F7BA8">
      <w:pPr>
        <w:spacing w:after="120" w:line="276" w:lineRule="auto"/>
        <w:ind w:firstLine="709"/>
        <w:jc w:val="both"/>
        <w:rPr>
          <w:rFonts w:ascii="Verdana" w:eastAsia="Calibri" w:hAnsi="Verdana" w:cs="Times New Roman"/>
          <w:color w:val="000000"/>
        </w:rPr>
      </w:pPr>
      <w:r w:rsidRPr="00B10A68">
        <w:rPr>
          <w:rFonts w:ascii="Verdana" w:eastAsia="Calibri" w:hAnsi="Verdana" w:cs="Times New Roman"/>
          <w:color w:val="000000"/>
        </w:rPr>
        <w:t>Ahora bien, teniendo en cuenta el objeto bajo consulta, se hace necesario que esta Agencia se manifieste sobre la diferencia entre la regla sobre subsanación de ofertas en los procesos de selección antes explicada, y la aclaración de las ofertas, cuestiones que resultan ser distintas, pese a que ambas puedan contener considerandos como elementos propios del principio de selección objetiva. Así, es aras de que la Entidad Estatal al momento de evaluar las ofertas recibidas y, con el fin de comprender integralmente cada documento contenido en la oferta, podrá acudir a la facultad que le otorga expresamente el numeral 7 del artículo 30 de la Ley 80 de 1993. Dicha norma señala que entre los componentes que deberá contener el pliego de condiciones incluye al “plazo razonable dentro del cual la entidad deberá elaborar los estudios técnicos, económicos y jurídicos necesarios para la evaluación de las propuestas y para solicitar a los proponentes las aclaraciones y explicaciones que se estimen indispensables”.</w:t>
      </w:r>
    </w:p>
    <w:p w14:paraId="40C60B5B" w14:textId="77777777" w:rsidR="006F7BA8" w:rsidRPr="00B10A68" w:rsidRDefault="006F7BA8" w:rsidP="006F7BA8">
      <w:pPr>
        <w:spacing w:after="120" w:line="276" w:lineRule="auto"/>
        <w:ind w:firstLine="708"/>
        <w:jc w:val="both"/>
        <w:rPr>
          <w:rFonts w:ascii="Verdana" w:eastAsia="Calibri" w:hAnsi="Verdana" w:cs="Times New Roman"/>
          <w:bCs/>
          <w:color w:val="000000"/>
          <w:lang w:val="es-ES"/>
        </w:rPr>
      </w:pPr>
      <w:r w:rsidRPr="00B10A68">
        <w:rPr>
          <w:rFonts w:ascii="Verdana" w:eastAsia="Calibri" w:hAnsi="Verdana" w:cs="Times New Roman"/>
          <w:color w:val="000000"/>
          <w:lang w:val="es-ES_tradnl"/>
        </w:rPr>
        <w:t xml:space="preserve">Dicha facultad, a su vez se establece entre otras, en el artículo </w:t>
      </w:r>
      <w:r w:rsidRPr="00B10A68">
        <w:rPr>
          <w:rFonts w:ascii="Verdana" w:eastAsia="Calibri" w:hAnsi="Verdana" w:cs="Times New Roman"/>
          <w:bCs/>
          <w:color w:val="000000"/>
          <w:lang w:val="es-ES"/>
        </w:rPr>
        <w:t>2.2.1.1.2.2.4. del Decreto 1082 de 2015, referido a las explicaciones que la Entidad Estatal deberá solicitar al oferente cuando advierta que su oferta contiene un precio artificialmente bajo. En similar sentido, el numeral 3 del artículo 2.2.1.2.1.3.12 incluye el deber de aclaración, en cabeza del organismo asesor dentro del concurso de arquitectura o la posibilidad con la que cuenta la Entidad Estatal para solicitar aclaraciones al originador del proyecto al tratarse de asociaciones público-privadas de iniciativa privada. Todas estas normas contienen ejemplos de aplicación del principio de selección objetiva, pues pretenden que la entidad u organismo que evaluará las respectiva oferta o iniciativa, según el caso, cuente con el conocimiento e información veraz y suficiente para tomar una decisión acertada.</w:t>
      </w:r>
    </w:p>
    <w:p w14:paraId="08AE6C3E" w14:textId="77777777" w:rsidR="006F7BA8" w:rsidRPr="00B10A68" w:rsidRDefault="006F7BA8" w:rsidP="006F7BA8">
      <w:pPr>
        <w:spacing w:after="120" w:line="276" w:lineRule="auto"/>
        <w:ind w:firstLine="708"/>
        <w:jc w:val="both"/>
        <w:rPr>
          <w:rFonts w:ascii="Verdana" w:eastAsia="Calibri" w:hAnsi="Verdana" w:cs="Times New Roman"/>
          <w:color w:val="000000"/>
          <w:lang w:val="es-ES_tradnl"/>
        </w:rPr>
      </w:pPr>
      <w:r w:rsidRPr="00B10A68">
        <w:rPr>
          <w:rFonts w:ascii="Verdana" w:eastAsia="Calibri" w:hAnsi="Verdana" w:cs="Times New Roman"/>
          <w:bCs/>
          <w:color w:val="000000"/>
          <w:lang w:val="es-ES"/>
        </w:rPr>
        <w:t xml:space="preserve">En ese sentido, la facultad de solicitar aclaraciones en cabeza de la entidad contratante, establecida principal y genéricamente en el artículo 30 de la Ley 80 </w:t>
      </w:r>
      <w:r w:rsidRPr="00B10A68">
        <w:rPr>
          <w:rFonts w:ascii="Verdana" w:eastAsia="Calibri" w:hAnsi="Verdana" w:cs="Times New Roman"/>
          <w:bCs/>
          <w:color w:val="000000"/>
          <w:lang w:val="es-ES"/>
        </w:rPr>
        <w:lastRenderedPageBreak/>
        <w:t>de 1993, debe comprenderse bajo el entendido que el oferente cuya oferta requiera ser aclarada, no podrá, so pena de proceder de conformidad con el requerimiento de la Entidad Estatal, realizar modificaciones que impliquen una mejora o alteración sustancial de la oferta, tal y como ha sido expresado por el Consejo de Estado.</w:t>
      </w:r>
    </w:p>
    <w:p w14:paraId="267B3342" w14:textId="77777777" w:rsidR="006F7BA8" w:rsidRPr="00B10A68" w:rsidRDefault="006F7BA8" w:rsidP="006F7BA8">
      <w:pPr>
        <w:spacing w:after="120" w:line="276" w:lineRule="auto"/>
        <w:ind w:firstLine="708"/>
        <w:jc w:val="both"/>
        <w:rPr>
          <w:rFonts w:ascii="Verdana" w:eastAsia="Calibri" w:hAnsi="Verdana" w:cs="Times New Roman"/>
          <w:color w:val="000000"/>
          <w:lang w:val="es-ES_tradnl"/>
        </w:rPr>
      </w:pPr>
      <w:r w:rsidRPr="00B10A68">
        <w:rPr>
          <w:rFonts w:ascii="Verdana" w:eastAsia="Calibri" w:hAnsi="Verdana" w:cs="Times New Roman"/>
          <w:color w:val="000000"/>
          <w:lang w:val="es-ES_tradnl"/>
        </w:rPr>
        <w:t xml:space="preserve">Sin embargo, lo anterior no impide que se puedan realizar aclaraciones a las propuestas, bien sea porque la Entidad Estatal las solicite en la evaluación de las mismas, o porque las realicen los oferentes en la etapa dispuesta para las observaciones a los informes de evaluación; pero, siempre y cuando versen sobre aspectos meramente formales o adjetivos o que en todo caso, no impliquen una variación o corrección del fondo de la propuestas a favor de quien las presenta y en detrimento de la posición de los demás proponentes en la evaluación, es decir, que con las mismas no se altere de manera sustancial la información inicialmente suministrada y la situación de los oferentes en el Proceso de Contratación. </w:t>
      </w:r>
    </w:p>
    <w:p w14:paraId="5F6A2F4F" w14:textId="77777777" w:rsidR="006F7BA8" w:rsidRPr="00B10A68" w:rsidRDefault="006F7BA8" w:rsidP="006F7BA8">
      <w:pPr>
        <w:spacing w:after="120" w:line="276" w:lineRule="auto"/>
        <w:ind w:firstLine="708"/>
        <w:jc w:val="both"/>
        <w:rPr>
          <w:rFonts w:ascii="Verdana" w:eastAsia="Calibri" w:hAnsi="Verdana" w:cs="Times New Roman"/>
          <w:color w:val="000000"/>
          <w:lang w:val="es-ES"/>
        </w:rPr>
      </w:pPr>
      <w:r w:rsidRPr="04EA4659">
        <w:rPr>
          <w:rFonts w:ascii="Verdana" w:eastAsia="Calibri" w:hAnsi="Verdana" w:cs="Times New Roman"/>
          <w:color w:val="000000" w:themeColor="text1"/>
          <w:lang w:val="es-ES"/>
        </w:rPr>
        <w:t>Así pues, como es posible que por vía aclaratoria los proponentes intenten modificar o mejorar sus ofertas, debe distinguirse entre las simples aclaraciones de las propuestas y las modificaciones a estas. Las primeras son los medios para que se pueda hacer perceptible, manifiesto, explícito o inteligible algún aspecto confuso de la propuesta, sin que ello implique una complementación, adición, modificación o mejora de dicho aspecto, que es, precisamente, en lo que consisten las segundas.</w:t>
      </w:r>
    </w:p>
    <w:p w14:paraId="07A5DCB8" w14:textId="77777777" w:rsidR="006F7BA8" w:rsidRDefault="006F7BA8" w:rsidP="00B81766">
      <w:pPr>
        <w:spacing w:after="0" w:line="276" w:lineRule="auto"/>
        <w:ind w:firstLine="709"/>
        <w:jc w:val="both"/>
        <w:rPr>
          <w:rFonts w:ascii="Verdana" w:eastAsia="Calibri" w:hAnsi="Verdana" w:cs="Times New Roman"/>
          <w:color w:val="000000" w:themeColor="text1"/>
          <w:lang w:val="es-ES"/>
        </w:rPr>
      </w:pPr>
      <w:r w:rsidRPr="04EA4659">
        <w:rPr>
          <w:rFonts w:ascii="Verdana" w:eastAsia="Calibri" w:hAnsi="Verdana" w:cs="Times New Roman"/>
          <w:color w:val="000000" w:themeColor="text1"/>
          <w:lang w:val="es-ES"/>
        </w:rPr>
        <w:t xml:space="preserve">La solicitud de aclaraciones permite que las Entidad Estatales requieran a los proponentes para esclarecer aspectos de sus propuestas que, en principio, resultan confusos para efectos de evaluación, diferenciándose de la </w:t>
      </w:r>
      <w:proofErr w:type="spellStart"/>
      <w:r w:rsidRPr="04EA4659">
        <w:rPr>
          <w:rFonts w:ascii="Verdana" w:eastAsia="Calibri" w:hAnsi="Verdana" w:cs="Times New Roman"/>
          <w:color w:val="000000" w:themeColor="text1"/>
          <w:lang w:val="es-ES"/>
        </w:rPr>
        <w:t>subsanabilidad</w:t>
      </w:r>
      <w:proofErr w:type="spellEnd"/>
      <w:r w:rsidRPr="04EA4659">
        <w:rPr>
          <w:rFonts w:ascii="Verdana" w:eastAsia="Calibri" w:hAnsi="Verdana" w:cs="Times New Roman"/>
          <w:color w:val="000000" w:themeColor="text1"/>
          <w:lang w:val="es-ES"/>
        </w:rPr>
        <w:t>, pues no parte del supuesto de la ausencia de requisitos de la oferta sino de la existencia de dudas sobre esta, cuya explicación se requiere para su evaluación. Esta diferencia es importante, pues es posible aclarar los requisitos que asignan puntaje, tal y como lo ha señalado la jurisprudencia del Consejo de Estado en los siguientes términos:</w:t>
      </w:r>
    </w:p>
    <w:p w14:paraId="4D65D639" w14:textId="77777777" w:rsidR="00B81766" w:rsidRPr="00B10A68" w:rsidRDefault="00B81766" w:rsidP="006A332C">
      <w:pPr>
        <w:spacing w:after="0" w:line="276" w:lineRule="auto"/>
        <w:ind w:firstLine="709"/>
        <w:jc w:val="both"/>
        <w:rPr>
          <w:rFonts w:ascii="Verdana" w:eastAsia="Calibri" w:hAnsi="Verdana" w:cs="Times New Roman"/>
          <w:color w:val="000000"/>
          <w:lang w:val="es-ES"/>
        </w:rPr>
      </w:pPr>
    </w:p>
    <w:p w14:paraId="01112B5B" w14:textId="77777777" w:rsidR="006F7BA8" w:rsidRPr="006A332C" w:rsidRDefault="006F7BA8" w:rsidP="006F7BA8">
      <w:pPr>
        <w:spacing w:after="0" w:line="240" w:lineRule="auto"/>
        <w:ind w:left="709" w:right="709"/>
        <w:jc w:val="both"/>
        <w:textAlignment w:val="baseline"/>
        <w:rPr>
          <w:rFonts w:ascii="Verdana" w:eastAsia="Calibri" w:hAnsi="Verdana" w:cs="Times New Roman"/>
          <w:color w:val="000000"/>
          <w:sz w:val="20"/>
          <w:szCs w:val="20"/>
          <w:lang w:val="es-ES"/>
        </w:rPr>
      </w:pPr>
      <w:r w:rsidRPr="006A332C">
        <w:rPr>
          <w:rFonts w:ascii="Verdana" w:eastAsia="Calibri" w:hAnsi="Verdana" w:cs="Times New Roman"/>
          <w:color w:val="000000"/>
          <w:sz w:val="20"/>
          <w:szCs w:val="20"/>
          <w:lang w:val="es-ES"/>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6A332C">
        <w:rPr>
          <w:rFonts w:ascii="Verdana" w:eastAsia="Calibri" w:hAnsi="Verdana" w:cs="Times New Roman"/>
          <w:color w:val="000000"/>
          <w:sz w:val="20"/>
          <w:szCs w:val="20"/>
          <w:lang w:val="es-ES"/>
        </w:rPr>
        <w:t>subsanabilidad</w:t>
      </w:r>
      <w:proofErr w:type="spellEnd"/>
      <w:r w:rsidRPr="006A332C">
        <w:rPr>
          <w:rFonts w:ascii="Verdana" w:eastAsia="Calibri" w:hAnsi="Verdana" w:cs="Times New Roman"/>
          <w:color w:val="000000"/>
          <w:sz w:val="20"/>
          <w:szCs w:val="20"/>
          <w:lang w:val="es-ES"/>
        </w:rPr>
        <w:t xml:space="preserve"> -, pues no parte del supuesto de la ausencia de requisitos de la oferta -los que hay que </w:t>
      </w:r>
      <w:r w:rsidRPr="006A332C">
        <w:rPr>
          <w:rFonts w:ascii="Verdana" w:eastAsia="Calibri" w:hAnsi="Verdana" w:cs="Times New Roman"/>
          <w:color w:val="000000"/>
          <w:sz w:val="20"/>
          <w:szCs w:val="20"/>
          <w:lang w:val="es-ES"/>
        </w:rPr>
        <w:lastRenderedPageBreak/>
        <w:t>subsanar-, sino de la presencia de inconsistencias o falta de claridad en la oferta, […].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r w:rsidRPr="006A332C">
        <w:rPr>
          <w:rFonts w:ascii="Verdana" w:eastAsia="Calibri" w:hAnsi="Verdana" w:cs="Times New Roman"/>
          <w:color w:val="000000"/>
          <w:sz w:val="20"/>
          <w:szCs w:val="20"/>
          <w:vertAlign w:val="superscript"/>
          <w:lang w:val="es-ES"/>
        </w:rPr>
        <w:footnoteReference w:id="10"/>
      </w:r>
      <w:r w:rsidRPr="006A332C">
        <w:rPr>
          <w:rFonts w:ascii="Verdana" w:eastAsia="Calibri" w:hAnsi="Verdana" w:cs="Times New Roman"/>
          <w:color w:val="000000"/>
          <w:sz w:val="20"/>
          <w:szCs w:val="20"/>
          <w:lang w:val="es-ES"/>
        </w:rPr>
        <w:t>.</w:t>
      </w:r>
    </w:p>
    <w:p w14:paraId="0AB8F17E" w14:textId="77777777" w:rsidR="006F7BA8" w:rsidRPr="00B10A68" w:rsidRDefault="006F7BA8" w:rsidP="006A332C">
      <w:pPr>
        <w:spacing w:after="0" w:line="276" w:lineRule="auto"/>
        <w:ind w:firstLine="709"/>
        <w:jc w:val="both"/>
        <w:rPr>
          <w:rFonts w:ascii="Verdana" w:eastAsia="Calibri" w:hAnsi="Verdana" w:cs="Times New Roman"/>
          <w:bCs/>
          <w:color w:val="000000"/>
          <w:lang w:val="es-ES"/>
        </w:rPr>
      </w:pPr>
    </w:p>
    <w:p w14:paraId="7415216C" w14:textId="77777777" w:rsidR="006F7BA8" w:rsidRPr="00B10A68" w:rsidRDefault="006F7BA8" w:rsidP="006F7BA8">
      <w:pPr>
        <w:spacing w:after="120" w:line="276" w:lineRule="auto"/>
        <w:ind w:firstLine="708"/>
        <w:jc w:val="both"/>
        <w:rPr>
          <w:rFonts w:ascii="Verdana" w:eastAsia="Calibri" w:hAnsi="Verdana" w:cs="Times New Roman"/>
          <w:bCs/>
          <w:color w:val="000000"/>
          <w:lang w:val="es-ES"/>
        </w:rPr>
      </w:pPr>
      <w:r w:rsidRPr="00B10A68">
        <w:rPr>
          <w:rFonts w:ascii="Verdana" w:eastAsia="Calibri" w:hAnsi="Verdana" w:cs="Times New Roman"/>
          <w:bCs/>
          <w:color w:val="000000"/>
          <w:lang w:val="es-ES"/>
        </w:rPr>
        <w:t>De esta forma, así como lo expresó el Alto Tribunal Administrativo, aclarar una oferta no puede implicar su alteración sustancial o mejoría de sus componentes, sino limitarse a disipar lo que resulta borroso u otorgar claridad a lo que oscuro o intangible. En este punto, se concluye, es plausible la diferencia entre aclarar y subsanar una oferta, siendo este último una institución que procura porque el oferente presente, dentro del plazo y bajo las condiciones dadas por la norma aplicable, los documentos que acrediten el cumplimiento de los requisitos exigidos como habilitantes para participar en el respectivo procedimiento de selección, mientras que la aclaración por su parte, permite el mejor entendimiento de los elementos de la oferta, sean o no subsanables, para la correcta verificación y evaluación de estos por parte de la Entidad Estatal.</w:t>
      </w:r>
    </w:p>
    <w:p w14:paraId="69B02FD8" w14:textId="77777777" w:rsidR="006F7BA8" w:rsidRPr="00B10A68" w:rsidRDefault="006F7BA8" w:rsidP="006F7BA8">
      <w:pPr>
        <w:spacing w:after="120" w:line="276" w:lineRule="auto"/>
        <w:ind w:firstLine="708"/>
        <w:jc w:val="both"/>
        <w:rPr>
          <w:rFonts w:ascii="Verdana" w:eastAsia="Calibri" w:hAnsi="Verdana" w:cs="Times New Roman"/>
          <w:color w:val="000000"/>
          <w:lang w:val="es-ES_tradnl"/>
        </w:rPr>
      </w:pPr>
      <w:r w:rsidRPr="00B10A68">
        <w:rPr>
          <w:rFonts w:ascii="Verdana" w:eastAsia="Calibri" w:hAnsi="Verdana" w:cs="Times New Roman"/>
          <w:color w:val="000000"/>
          <w:lang w:val="es-ES_tradnl"/>
        </w:rPr>
        <w:t>De acuerdo con lo dispuesto en el numeral 7 del artículo 30 de la Ley 80 de 1993, la aclaración de las propuestas se realiza durante la evaluación de estas, pues es necesario esclarecer los aspectos dudosos de las ofertas antes de la adjudicación</w:t>
      </w:r>
      <w:r w:rsidRPr="00B10A68">
        <w:rPr>
          <w:rFonts w:ascii="Verdana" w:eastAsia="Calibri" w:hAnsi="Verdana" w:cs="Times New Roman"/>
          <w:color w:val="000000"/>
          <w:vertAlign w:val="superscript"/>
          <w:lang w:val="es-ES"/>
        </w:rPr>
        <w:footnoteReference w:id="11"/>
      </w:r>
      <w:r w:rsidRPr="00B10A68">
        <w:rPr>
          <w:rFonts w:ascii="Verdana" w:eastAsia="Calibri" w:hAnsi="Verdana" w:cs="Times New Roman"/>
          <w:bCs/>
          <w:color w:val="000000"/>
          <w:lang w:val="es-ES"/>
        </w:rPr>
        <w:t xml:space="preserve">. De ahí que, la jurisprudencia explica a su vez que “[…] el proponente debe acogerse al tiempo que le otorga la administración para subsanar o aclarar la oferta, lapso que la entidad no puede extender más allá de </w:t>
      </w:r>
      <w:r w:rsidRPr="00B10A68">
        <w:rPr>
          <w:rFonts w:ascii="Verdana" w:eastAsia="Calibri" w:hAnsi="Verdana" w:cs="Times New Roman"/>
          <w:bCs/>
          <w:color w:val="000000"/>
          <w:lang w:val="es-ES"/>
        </w:rPr>
        <w:lastRenderedPageBreak/>
        <w:t>la adjudicación […]”</w:t>
      </w:r>
      <w:r w:rsidRPr="00B10A68">
        <w:rPr>
          <w:rFonts w:ascii="Verdana" w:eastAsia="Calibri" w:hAnsi="Verdana" w:cs="Times New Roman"/>
          <w:bCs/>
          <w:color w:val="000000"/>
          <w:vertAlign w:val="superscript"/>
          <w:lang w:val="es-ES"/>
        </w:rPr>
        <w:footnoteReference w:id="12"/>
      </w:r>
      <w:r w:rsidRPr="00B10A68">
        <w:rPr>
          <w:rFonts w:ascii="Verdana" w:eastAsia="Calibri" w:hAnsi="Verdana" w:cs="Times New Roman"/>
          <w:bCs/>
          <w:color w:val="000000"/>
          <w:lang w:val="es-ES"/>
        </w:rPr>
        <w:t>. De esta manera, “lo ideal en un proceso de selección es que las aclaraciones y explicaciones se anticipen y soliciten durante la etapa de evaluación, lo más pronto posible, es decir, antes de que la entidad elabore el informe respectivo, de tal manera que las tenga en cuenta para producir este acto administrativo”</w:t>
      </w:r>
      <w:r w:rsidRPr="00B10A68">
        <w:rPr>
          <w:rFonts w:ascii="Verdana" w:eastAsia="Calibri" w:hAnsi="Verdana" w:cs="Times New Roman"/>
          <w:bCs/>
          <w:color w:val="000000"/>
          <w:vertAlign w:val="superscript"/>
          <w:lang w:val="es-ES"/>
        </w:rPr>
        <w:t xml:space="preserve"> </w:t>
      </w:r>
      <w:r w:rsidRPr="00B10A68">
        <w:rPr>
          <w:rFonts w:ascii="Verdana" w:eastAsia="Calibri" w:hAnsi="Verdana" w:cs="Times New Roman"/>
          <w:bCs/>
          <w:color w:val="000000"/>
          <w:vertAlign w:val="superscript"/>
          <w:lang w:val="es-ES"/>
        </w:rPr>
        <w:footnoteReference w:id="13"/>
      </w:r>
      <w:r w:rsidRPr="00B10A68">
        <w:rPr>
          <w:rFonts w:ascii="Verdana" w:eastAsia="Calibri" w:hAnsi="Verdana" w:cs="Times New Roman"/>
          <w:bCs/>
          <w:color w:val="000000"/>
          <w:vertAlign w:val="superscript"/>
          <w:lang w:val="es-ES"/>
        </w:rPr>
        <w:t>.</w:t>
      </w:r>
    </w:p>
    <w:p w14:paraId="27286097" w14:textId="77777777" w:rsidR="006F7BA8" w:rsidRPr="00B10A68" w:rsidRDefault="006F7BA8" w:rsidP="006F7BA8">
      <w:pPr>
        <w:spacing w:after="120" w:line="276" w:lineRule="auto"/>
        <w:ind w:firstLine="607"/>
        <w:jc w:val="both"/>
        <w:rPr>
          <w:rFonts w:ascii="Verdana" w:eastAsia="Calibri" w:hAnsi="Verdana" w:cs="Times New Roman"/>
          <w:color w:val="000000"/>
        </w:rPr>
      </w:pPr>
      <w:r w:rsidRPr="00B10A68">
        <w:rPr>
          <w:rFonts w:ascii="Verdana" w:eastAsia="Calibri" w:hAnsi="Verdana" w:cs="Times New Roman"/>
          <w:color w:val="000000"/>
          <w:lang w:val="es-ES_tradnl"/>
        </w:rPr>
        <w:t xml:space="preserve">En ese contexto, considerando la diferencia entre aclarar y subsanar en el evento en que la Entidad Estatal, con ocasión de la elaboración del informe de evaluación de las propuestas o de las observaciones presentadas por los proponentes a este, identifique en una propuesta aspectos que no sean claros o generen dudas, podrá requerir al proponente para que haga la aclaración correspondiente. De ahí que, habida consideración del principio de prevalencia de lo sustancial sobre lo formal, podrán aclararse aspectos puramente formales de las propuestas, inclusive aquellos que otorgan puntaje, siempre y cuando ese hecho no conlleve una adición, modificación o mejora sustancial de la oferta. </w:t>
      </w:r>
    </w:p>
    <w:p w14:paraId="530E42A4" w14:textId="68A470D1" w:rsidR="006F7BA8" w:rsidRPr="00B10A68" w:rsidRDefault="006F7BA8" w:rsidP="006F7BA8">
      <w:pPr>
        <w:widowControl w:val="0"/>
        <w:spacing w:after="120" w:line="254" w:lineRule="auto"/>
        <w:ind w:firstLine="607"/>
        <w:jc w:val="both"/>
        <w:rPr>
          <w:rFonts w:ascii="Verdana" w:eastAsia="Arial" w:hAnsi="Verdana" w:cs="Arial"/>
        </w:rPr>
      </w:pPr>
      <w:r w:rsidRPr="00B10A68">
        <w:rPr>
          <w:rFonts w:ascii="Verdana" w:eastAsia="Arial" w:hAnsi="Verdana" w:cs="Arial"/>
        </w:rPr>
        <w:t>Por último, el rechazo de las ofertas y los eventos en los que proceden han sido asuntos de los que se ha ocupado la legislación nacional en materia de contratación pública, por lo que “la competencia de las entidades estales para establecer eventos de exclusión de propuestas es de carácter residual y restringido”</w:t>
      </w:r>
      <w:r w:rsidRPr="00B10A68">
        <w:rPr>
          <w:rFonts w:ascii="Verdana" w:eastAsia="Arial" w:hAnsi="Verdana" w:cs="Arial"/>
          <w:vertAlign w:val="superscript"/>
        </w:rPr>
        <w:footnoteReference w:id="14"/>
      </w:r>
      <w:r w:rsidRPr="00B10A68">
        <w:rPr>
          <w:rFonts w:ascii="Verdana" w:eastAsia="Arial" w:hAnsi="Verdana" w:cs="Arial"/>
        </w:rPr>
        <w:t xml:space="preserve">. En ese sentido, si bien las </w:t>
      </w:r>
      <w:r w:rsidR="00BB226C" w:rsidRPr="00B10A68">
        <w:rPr>
          <w:rFonts w:ascii="Verdana" w:eastAsia="Arial" w:hAnsi="Verdana" w:cs="Arial"/>
        </w:rPr>
        <w:t>Entidades Estatales</w:t>
      </w:r>
      <w:r w:rsidRPr="00B10A68">
        <w:rPr>
          <w:rFonts w:ascii="Verdana" w:eastAsia="Arial" w:hAnsi="Verdana" w:cs="Arial"/>
        </w:rPr>
        <w:t>, en ejercicio de la discrecionalidad que les corresponde en la configuración de los pliegos de condiciones, tienen competencia para determinar los requisitos que deben cumplir los proponentes para la presentación de ofertas</w:t>
      </w:r>
      <w:r w:rsidRPr="00B10A68">
        <w:rPr>
          <w:rFonts w:ascii="Verdana" w:eastAsia="Arial" w:hAnsi="Verdana" w:cs="Arial"/>
          <w:vertAlign w:val="superscript"/>
        </w:rPr>
        <w:footnoteReference w:id="15"/>
      </w:r>
      <w:r w:rsidRPr="00B10A68">
        <w:rPr>
          <w:rFonts w:ascii="Verdana" w:eastAsia="Arial" w:hAnsi="Verdana" w:cs="Arial"/>
        </w:rPr>
        <w:t xml:space="preserve"> y regular los eventos en los que procede su rechazo</w:t>
      </w:r>
      <w:r w:rsidRPr="00B10A68">
        <w:rPr>
          <w:rFonts w:ascii="Verdana" w:eastAsia="Arial" w:hAnsi="Verdana" w:cs="Arial"/>
          <w:vertAlign w:val="superscript"/>
        </w:rPr>
        <w:footnoteReference w:id="16"/>
      </w:r>
      <w:r w:rsidRPr="00B10A68">
        <w:rPr>
          <w:rFonts w:ascii="Verdana" w:eastAsia="Arial" w:hAnsi="Verdana" w:cs="Arial"/>
        </w:rPr>
        <w:t xml:space="preserve">, el ejercicio de tales facultades encuentra ciertos límites en la ley y el reglamento, así como en los principios de razonabilidad y </w:t>
      </w:r>
      <w:r w:rsidRPr="00B10A68">
        <w:rPr>
          <w:rFonts w:ascii="Verdana" w:eastAsia="Arial" w:hAnsi="Verdana" w:cs="Arial"/>
        </w:rPr>
        <w:lastRenderedPageBreak/>
        <w:t xml:space="preserve">proporcionalidad.  </w:t>
      </w:r>
    </w:p>
    <w:p w14:paraId="651F79D9" w14:textId="77777777" w:rsidR="006F7BA8" w:rsidRPr="00B10A68" w:rsidRDefault="006F7BA8" w:rsidP="006F7BA8">
      <w:pPr>
        <w:widowControl w:val="0"/>
        <w:spacing w:after="120" w:line="254" w:lineRule="auto"/>
        <w:ind w:firstLine="607"/>
        <w:jc w:val="both"/>
        <w:rPr>
          <w:rFonts w:ascii="Verdana" w:eastAsia="Arial" w:hAnsi="Verdana" w:cs="Arial"/>
        </w:rPr>
      </w:pPr>
      <w:r w:rsidRPr="00B10A68">
        <w:rPr>
          <w:rFonts w:ascii="Verdana" w:eastAsia="Arial" w:hAnsi="Verdana" w:cs="Arial"/>
        </w:rPr>
        <w:t xml:space="preserve">En ese entendido, uno de los límites a la facultad para establecer causales de rechazo, se encuentra en la regla de </w:t>
      </w:r>
      <w:proofErr w:type="spellStart"/>
      <w:r w:rsidRPr="00B10A68">
        <w:rPr>
          <w:rFonts w:ascii="Verdana" w:eastAsia="Arial" w:hAnsi="Verdana" w:cs="Arial"/>
        </w:rPr>
        <w:t>subsanabilidad</w:t>
      </w:r>
      <w:proofErr w:type="spellEnd"/>
      <w:r w:rsidRPr="00B10A68">
        <w:rPr>
          <w:rFonts w:ascii="Verdana" w:eastAsia="Arial" w:hAnsi="Verdana" w:cs="Arial"/>
        </w:rPr>
        <w:t xml:space="preserve"> del parágrafo 1 del artículo 5 de la Ley 1150 de 2007, según la cual “La ausencia de requisitos o la falta de documentos referentes a la futura contratación o al proponente, no necesarios para la comparación de las propuestas no servirán de título suficiente para el rechazo de los ofrecimientos hechos”, por lo que las entidades no podrán establecer causales de rechazo referentes a meros requisitos formales o rechazar las ofertas por esa razón. </w:t>
      </w:r>
    </w:p>
    <w:p w14:paraId="039265BC" w14:textId="77777777" w:rsidR="006F7BA8" w:rsidRPr="00B10A68" w:rsidRDefault="006F7BA8" w:rsidP="006F7BA8">
      <w:pPr>
        <w:widowControl w:val="0"/>
        <w:spacing w:after="0" w:line="254" w:lineRule="auto"/>
        <w:ind w:firstLine="708"/>
        <w:jc w:val="both"/>
        <w:rPr>
          <w:rFonts w:ascii="Verdana" w:eastAsia="Arial" w:hAnsi="Verdana" w:cs="Arial"/>
        </w:rPr>
      </w:pPr>
      <w:r w:rsidRPr="00B10A68">
        <w:rPr>
          <w:rFonts w:ascii="Verdana" w:eastAsia="Arial" w:hAnsi="Verdana" w:cs="Arial"/>
        </w:rPr>
        <w:t>De esta manera, la jurisprudencia del Consejo de Estado ha determinado que las causales de rechazo pueden o no estar establecidas en el pliego de condiciones, sin perjuicio de que sean aplicables al proceso contractual las establecidas directamente en la ley. Así se estableció en la sentencia del 27 de abril de 2011, en los siguientes términos:</w:t>
      </w:r>
    </w:p>
    <w:p w14:paraId="22557FFE" w14:textId="77777777" w:rsidR="006F7BA8" w:rsidRPr="00B10A68" w:rsidRDefault="006F7BA8" w:rsidP="006F7BA8">
      <w:pPr>
        <w:widowControl w:val="0"/>
        <w:spacing w:after="0" w:line="254" w:lineRule="auto"/>
        <w:ind w:firstLine="708"/>
        <w:jc w:val="both"/>
        <w:rPr>
          <w:rFonts w:ascii="Verdana" w:eastAsia="Arial" w:hAnsi="Verdana" w:cs="Arial"/>
        </w:rPr>
      </w:pPr>
    </w:p>
    <w:p w14:paraId="451BEA92" w14:textId="77777777" w:rsidR="006F7BA8" w:rsidRPr="006A332C" w:rsidRDefault="006F7BA8" w:rsidP="006A332C">
      <w:pPr>
        <w:widowControl w:val="0"/>
        <w:spacing w:after="0" w:line="240" w:lineRule="auto"/>
        <w:ind w:left="709" w:right="709"/>
        <w:jc w:val="both"/>
        <w:rPr>
          <w:rFonts w:ascii="Verdana" w:eastAsia="Arial" w:hAnsi="Verdana" w:cs="Arial"/>
          <w:sz w:val="20"/>
          <w:szCs w:val="20"/>
        </w:rPr>
      </w:pPr>
      <w:r w:rsidRPr="006A332C">
        <w:rPr>
          <w:rFonts w:ascii="Verdana" w:eastAsia="Arial" w:hAnsi="Verdana" w:cs="Arial"/>
          <w:sz w:val="20"/>
          <w:szCs w:val="20"/>
        </w:rPr>
        <w:t>“En efecto, la Administración puede rechazar o descalificar los ofrecimientos hechos por causales previstas en la ley; hipótesis bajo la cual, la entidad pública licitante se limita a dar por comprobado el hecho que justifica la exclusión y así lo declarará apoyada en normas legales o reglamentarias de carácter general.</w:t>
      </w:r>
    </w:p>
    <w:p w14:paraId="5B02BED3" w14:textId="77777777" w:rsidR="006F7BA8" w:rsidRPr="006A332C" w:rsidRDefault="006F7BA8" w:rsidP="006A332C">
      <w:pPr>
        <w:widowControl w:val="0"/>
        <w:spacing w:after="0" w:line="240" w:lineRule="auto"/>
        <w:ind w:left="709" w:right="709"/>
        <w:jc w:val="both"/>
        <w:rPr>
          <w:rFonts w:ascii="Verdana" w:eastAsia="Arial" w:hAnsi="Verdana" w:cs="Arial"/>
          <w:sz w:val="20"/>
          <w:szCs w:val="20"/>
        </w:rPr>
      </w:pPr>
      <w:r w:rsidRPr="006A332C">
        <w:rPr>
          <w:rFonts w:ascii="Verdana" w:eastAsia="Arial" w:hAnsi="Verdana" w:cs="Arial"/>
          <w:sz w:val="20"/>
          <w:szCs w:val="20"/>
        </w:rPr>
        <w:t>En esta línea de pensamiento, resulta claro que el rechazo o la descalificación de ofertas no puede depender de la libre discrecionalidad de la Administración, en la medida en que el oferente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o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135F920D" w14:textId="77777777" w:rsidR="006F7BA8" w:rsidRPr="006A332C" w:rsidRDefault="006F7BA8" w:rsidP="006A332C">
      <w:pPr>
        <w:widowControl w:val="0"/>
        <w:spacing w:after="0" w:line="240" w:lineRule="auto"/>
        <w:ind w:left="709" w:right="709"/>
        <w:jc w:val="both"/>
        <w:rPr>
          <w:rFonts w:ascii="Verdana" w:eastAsia="Arial" w:hAnsi="Verdana" w:cs="Arial"/>
          <w:sz w:val="20"/>
          <w:szCs w:val="20"/>
        </w:rPr>
      </w:pPr>
      <w:r w:rsidRPr="006A332C">
        <w:rPr>
          <w:rFonts w:ascii="Verdana" w:eastAsia="Arial" w:hAnsi="Verdana" w:cs="Arial"/>
          <w:sz w:val="20"/>
          <w:szCs w:val="20"/>
        </w:rPr>
        <w:t>[…]</w:t>
      </w:r>
    </w:p>
    <w:p w14:paraId="5472B7B1" w14:textId="77777777" w:rsidR="006F7BA8" w:rsidRPr="006A332C" w:rsidRDefault="006F7BA8" w:rsidP="006F7BA8">
      <w:pPr>
        <w:widowControl w:val="0"/>
        <w:spacing w:after="0" w:line="240" w:lineRule="auto"/>
        <w:ind w:left="709" w:right="709"/>
        <w:jc w:val="both"/>
        <w:rPr>
          <w:rFonts w:ascii="Verdana" w:eastAsia="Arial" w:hAnsi="Verdana" w:cs="Arial"/>
          <w:sz w:val="20"/>
          <w:szCs w:val="20"/>
        </w:rPr>
      </w:pPr>
      <w:r w:rsidRPr="006A332C">
        <w:rPr>
          <w:rFonts w:ascii="Verdana" w:eastAsia="Arial" w:hAnsi="Verdana" w:cs="Arial"/>
          <w:sz w:val="20"/>
          <w:szCs w:val="20"/>
        </w:rPr>
        <w:t xml:space="preserve">Quiere con esto destacar la Sala que las causales de rechazo de las propuestas pueden ser legales y por lo mismo generan el efecto del descarte o exclusión de la oferta </w:t>
      </w:r>
      <w:proofErr w:type="spellStart"/>
      <w:r w:rsidRPr="006A332C">
        <w:rPr>
          <w:rFonts w:ascii="Verdana" w:eastAsia="Arial" w:hAnsi="Verdana" w:cs="Arial"/>
          <w:i/>
          <w:sz w:val="20"/>
          <w:szCs w:val="20"/>
        </w:rPr>
        <w:t>ope</w:t>
      </w:r>
      <w:proofErr w:type="spellEnd"/>
      <w:r w:rsidRPr="006A332C">
        <w:rPr>
          <w:rFonts w:ascii="Verdana" w:eastAsia="Arial" w:hAnsi="Verdana" w:cs="Arial"/>
          <w:i/>
          <w:sz w:val="20"/>
          <w:szCs w:val="20"/>
        </w:rPr>
        <w:t xml:space="preserve"> </w:t>
      </w:r>
      <w:proofErr w:type="spellStart"/>
      <w:r w:rsidRPr="006A332C">
        <w:rPr>
          <w:rFonts w:ascii="Verdana" w:eastAsia="Arial" w:hAnsi="Verdana" w:cs="Arial"/>
          <w:i/>
          <w:sz w:val="20"/>
          <w:szCs w:val="20"/>
        </w:rPr>
        <w:t>legis</w:t>
      </w:r>
      <w:proofErr w:type="spellEnd"/>
      <w:r w:rsidRPr="006A332C">
        <w:rPr>
          <w:rFonts w:ascii="Verdana" w:eastAsia="Arial" w:hAnsi="Verdana" w:cs="Arial"/>
          <w:sz w:val="20"/>
          <w:szCs w:val="20"/>
        </w:rPr>
        <w:t xml:space="preserve">,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w:t>
      </w:r>
      <w:r w:rsidRPr="006A332C">
        <w:rPr>
          <w:rFonts w:ascii="Verdana" w:eastAsia="Arial" w:hAnsi="Verdana" w:cs="Arial"/>
          <w:sz w:val="20"/>
          <w:szCs w:val="20"/>
        </w:rPr>
        <w:lastRenderedPageBreak/>
        <w:t>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r w:rsidRPr="006A332C">
        <w:rPr>
          <w:rFonts w:ascii="Verdana" w:eastAsia="Arial" w:hAnsi="Verdana" w:cs="Arial"/>
          <w:sz w:val="20"/>
          <w:szCs w:val="20"/>
          <w:vertAlign w:val="superscript"/>
        </w:rPr>
        <w:footnoteReference w:id="17"/>
      </w:r>
      <w:r w:rsidRPr="006A332C">
        <w:rPr>
          <w:rFonts w:ascii="Verdana" w:eastAsia="Arial" w:hAnsi="Verdana" w:cs="Arial"/>
          <w:sz w:val="20"/>
          <w:szCs w:val="20"/>
        </w:rPr>
        <w:t>”.</w:t>
      </w:r>
    </w:p>
    <w:p w14:paraId="4FFDD944" w14:textId="77777777" w:rsidR="006F7BA8" w:rsidRPr="00B10A68" w:rsidRDefault="006F7BA8" w:rsidP="006F7BA8">
      <w:pPr>
        <w:widowControl w:val="0"/>
        <w:spacing w:after="0" w:line="240" w:lineRule="auto"/>
        <w:ind w:left="709" w:right="709"/>
        <w:jc w:val="both"/>
        <w:rPr>
          <w:rFonts w:ascii="Verdana" w:eastAsia="Arial" w:hAnsi="Verdana" w:cs="Arial"/>
          <w:sz w:val="21"/>
          <w:szCs w:val="21"/>
        </w:rPr>
      </w:pPr>
    </w:p>
    <w:p w14:paraId="5884E8FB" w14:textId="0BC06533" w:rsidR="006F7BA8" w:rsidRPr="00B10A68" w:rsidRDefault="006F7BA8" w:rsidP="006F7BA8">
      <w:pPr>
        <w:widowControl w:val="0"/>
        <w:spacing w:after="120" w:line="254" w:lineRule="auto"/>
        <w:ind w:firstLine="708"/>
        <w:jc w:val="both"/>
        <w:rPr>
          <w:rFonts w:ascii="Verdana" w:eastAsia="Arial" w:hAnsi="Verdana" w:cs="Arial"/>
        </w:rPr>
      </w:pPr>
      <w:r w:rsidRPr="00B10A68">
        <w:rPr>
          <w:rFonts w:ascii="Verdana" w:eastAsia="Arial" w:hAnsi="Verdana" w:cs="Arial"/>
        </w:rPr>
        <w:t xml:space="preserve">De acuerdo con la jurisprudencia citada, existen dos casos en los que procede el rechazo de la oferta: i) que se configure alguna de las causales de rechazo originadas en la ley o el reglamento y </w:t>
      </w:r>
      <w:proofErr w:type="spellStart"/>
      <w:r w:rsidRPr="00B10A68">
        <w:rPr>
          <w:rFonts w:ascii="Verdana" w:eastAsia="Arial" w:hAnsi="Verdana" w:cs="Arial"/>
        </w:rPr>
        <w:t>ii</w:t>
      </w:r>
      <w:proofErr w:type="spellEnd"/>
      <w:r w:rsidRPr="00B10A68">
        <w:rPr>
          <w:rFonts w:ascii="Verdana" w:eastAsia="Arial" w:hAnsi="Verdana" w:cs="Arial"/>
        </w:rPr>
        <w:t>) que se materialicen las establecidas en el pliego de condiciones</w:t>
      </w:r>
      <w:r w:rsidR="00EB7E22">
        <w:rPr>
          <w:rFonts w:ascii="Verdana" w:eastAsia="Arial" w:hAnsi="Verdana" w:cs="Arial"/>
        </w:rPr>
        <w:t xml:space="preserve"> o documentos equivalentes</w:t>
      </w:r>
      <w:r w:rsidRPr="00B10A68">
        <w:rPr>
          <w:rFonts w:ascii="Verdana" w:eastAsia="Arial" w:hAnsi="Verdana" w:cs="Arial"/>
        </w:rPr>
        <w:t xml:space="preserve">. En tal sentido, las causales de rechazo de la oferta serán las consagradas en la ley o el reglamento producto de su aplicación, así como las definidas por las entidades en el respectivo pliego de condiciones. </w:t>
      </w:r>
    </w:p>
    <w:p w14:paraId="7DEAD8DF" w14:textId="3E3E6B90" w:rsidR="006F7BA8" w:rsidRPr="00B10A68" w:rsidRDefault="006F7BA8" w:rsidP="006F7BA8">
      <w:pPr>
        <w:spacing w:after="120" w:line="254" w:lineRule="auto"/>
        <w:jc w:val="both"/>
        <w:rPr>
          <w:rFonts w:ascii="Verdana" w:eastAsia="Arial" w:hAnsi="Verdana" w:cs="Arial"/>
        </w:rPr>
      </w:pPr>
      <w:r w:rsidRPr="00B10A68">
        <w:rPr>
          <w:rFonts w:ascii="Verdana" w:eastAsia="Arial" w:hAnsi="Verdana" w:cs="Arial"/>
        </w:rPr>
        <w:tab/>
        <w:t xml:space="preserve">En tales términos, la facultad de las </w:t>
      </w:r>
      <w:r w:rsidR="00EB7E22" w:rsidRPr="00B10A68">
        <w:rPr>
          <w:rFonts w:ascii="Verdana" w:eastAsia="Arial" w:hAnsi="Verdana" w:cs="Arial"/>
        </w:rPr>
        <w:t>Entidades Estatales</w:t>
      </w:r>
      <w:r w:rsidRPr="00B10A68">
        <w:rPr>
          <w:rFonts w:ascii="Verdana" w:eastAsia="Arial" w:hAnsi="Verdana" w:cs="Arial"/>
        </w:rPr>
        <w:t xml:space="preserve"> para incluir en los pliegos de condiciones causales de rechazo de las ofertas, no es una facultad absoluta, en la medida que se encuentra limitada por lo dispuesto en ley, al igual que por los principios de razonabilidad y proporcionalidad, los cuales exigen que las causales de rechazo que sean establecidas por la entidad, además de no contrariar el ordenamiento jurídico, no versen sobre aspectos meramente formales sin relevancia para el transcurso del proceso de selección o el perfeccionamiento del contrato. </w:t>
      </w:r>
    </w:p>
    <w:p w14:paraId="358ECE3C"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p w14:paraId="428AAAF0" w14:textId="77777777" w:rsidR="006F7BA8" w:rsidRPr="00B10A68" w:rsidRDefault="006F7BA8" w:rsidP="006F7BA8">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Referencias normativas, jurisprudenciales y otras fuentes:</w:t>
      </w:r>
    </w:p>
    <w:p w14:paraId="5CCC9C8A"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6F7BA8" w:rsidRPr="00B10A68" w14:paraId="06EB6B83" w14:textId="77777777" w:rsidTr="000465B7">
        <w:trPr>
          <w:trHeight w:val="870"/>
        </w:trPr>
        <w:tc>
          <w:tcPr>
            <w:tcW w:w="8647" w:type="dxa"/>
            <w:tcBorders>
              <w:top w:val="dotted" w:sz="4" w:space="0" w:color="auto"/>
              <w:left w:val="dotted" w:sz="4" w:space="0" w:color="auto"/>
              <w:bottom w:val="dotted" w:sz="4" w:space="0" w:color="auto"/>
              <w:right w:val="dotted" w:sz="4" w:space="0" w:color="auto"/>
            </w:tcBorders>
            <w:hideMark/>
          </w:tcPr>
          <w:p w14:paraId="309E54CB" w14:textId="77777777" w:rsidR="006F7BA8" w:rsidRPr="00B10A68" w:rsidRDefault="006F7BA8" w:rsidP="006A332C">
            <w:pPr>
              <w:numPr>
                <w:ilvl w:val="0"/>
                <w:numId w:val="16"/>
              </w:numPr>
              <w:spacing w:line="276" w:lineRule="auto"/>
              <w:ind w:left="714" w:hanging="357"/>
              <w:jc w:val="both"/>
              <w:rPr>
                <w:rFonts w:ascii="Verdana" w:hAnsi="Verdana" w:cs="Arial"/>
                <w:color w:val="000000"/>
                <w:lang w:eastAsia="es-ES"/>
              </w:rPr>
            </w:pPr>
            <w:r w:rsidRPr="00B10A68">
              <w:rPr>
                <w:rFonts w:ascii="Verdana" w:hAnsi="Verdana" w:cs="Arial"/>
                <w:color w:val="000000"/>
                <w:lang w:val="es-ES_tradnl"/>
              </w:rPr>
              <w:t>Ley 80 de 1993, artículos 24.5 literal b) y 30.8</w:t>
            </w:r>
          </w:p>
          <w:p w14:paraId="4527B07C" w14:textId="77777777" w:rsidR="006F7BA8" w:rsidRPr="00B10A68" w:rsidRDefault="006F7BA8" w:rsidP="006A332C">
            <w:pPr>
              <w:numPr>
                <w:ilvl w:val="0"/>
                <w:numId w:val="16"/>
              </w:numPr>
              <w:spacing w:line="276" w:lineRule="auto"/>
              <w:ind w:left="714" w:hanging="357"/>
              <w:jc w:val="both"/>
              <w:rPr>
                <w:rFonts w:ascii="Verdana" w:hAnsi="Verdana" w:cs="Arial"/>
                <w:color w:val="000000"/>
                <w:lang w:eastAsia="es-ES"/>
              </w:rPr>
            </w:pPr>
            <w:r w:rsidRPr="00B10A68">
              <w:rPr>
                <w:rFonts w:ascii="Verdana" w:hAnsi="Verdana" w:cs="Arial"/>
                <w:color w:val="000000"/>
                <w:lang w:eastAsia="es-ES"/>
              </w:rPr>
              <w:t xml:space="preserve">Ley 1150 de 2007, </w:t>
            </w:r>
            <w:r w:rsidRPr="00B10A68">
              <w:rPr>
                <w:rFonts w:ascii="Verdana" w:hAnsi="Verdana" w:cs="Arial"/>
                <w:color w:val="000000" w:themeColor="text1"/>
              </w:rPr>
              <w:t>artículo 5, parágrafo 1, 3 y 4 y 6.</w:t>
            </w:r>
          </w:p>
          <w:p w14:paraId="6756FB77" w14:textId="77777777" w:rsidR="00062235" w:rsidRPr="00C032A8" w:rsidRDefault="00062235"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color w:val="000000"/>
              </w:rPr>
              <w:t>Ley 1882 de 2018 artículo 5.</w:t>
            </w:r>
          </w:p>
          <w:p w14:paraId="1EAA5C7E" w14:textId="77777777" w:rsidR="006F7BA8" w:rsidRPr="00B10A68" w:rsidRDefault="006F7BA8" w:rsidP="006A332C">
            <w:pPr>
              <w:numPr>
                <w:ilvl w:val="0"/>
                <w:numId w:val="16"/>
              </w:numPr>
              <w:spacing w:line="276" w:lineRule="auto"/>
              <w:ind w:left="714" w:hanging="357"/>
              <w:jc w:val="both"/>
              <w:rPr>
                <w:rFonts w:ascii="Verdana" w:hAnsi="Verdana" w:cs="Arial"/>
                <w:color w:val="000000"/>
                <w:lang w:eastAsia="es-ES"/>
              </w:rPr>
            </w:pPr>
            <w:r w:rsidRPr="00B10A68">
              <w:rPr>
                <w:rFonts w:ascii="Verdana" w:hAnsi="Verdana" w:cs="Arial"/>
                <w:color w:val="000000"/>
                <w:lang w:eastAsia="es-ES"/>
              </w:rPr>
              <w:t>Decreto 1082 de 2015, artículo 2.2.1.1.2.1.3. numeral 6</w:t>
            </w:r>
          </w:p>
          <w:p w14:paraId="50D78523" w14:textId="77777777" w:rsidR="00D60606" w:rsidRPr="00C032A8" w:rsidRDefault="00D60606" w:rsidP="006A332C">
            <w:pPr>
              <w:widowControl w:val="0"/>
              <w:numPr>
                <w:ilvl w:val="0"/>
                <w:numId w:val="16"/>
              </w:numPr>
              <w:autoSpaceDE w:val="0"/>
              <w:autoSpaceDN w:val="0"/>
              <w:spacing w:line="276" w:lineRule="auto"/>
              <w:ind w:left="714" w:hanging="357"/>
              <w:jc w:val="both"/>
              <w:rPr>
                <w:rFonts w:ascii="Verdana" w:hAnsi="Verdana" w:cs="Arial"/>
                <w:lang w:val="es-ES"/>
              </w:rPr>
            </w:pPr>
            <w:r w:rsidRPr="00C032A8">
              <w:rPr>
                <w:rFonts w:ascii="Verdana" w:hAnsi="Verdana" w:cs="Arial"/>
                <w:lang w:val="pt-PT"/>
              </w:rPr>
              <w:t xml:space="preserve">Corte Constitucional. Sentencia C-128 de 2003. </w:t>
            </w:r>
            <w:r w:rsidRPr="00C032A8">
              <w:rPr>
                <w:rFonts w:ascii="Verdana" w:hAnsi="Verdana" w:cs="Arial"/>
                <w:lang w:val="es-ES"/>
              </w:rPr>
              <w:t>M.P. Álvaro Tafur Galvis.</w:t>
            </w:r>
          </w:p>
          <w:p w14:paraId="2336679B" w14:textId="77777777" w:rsidR="006F7BA8" w:rsidRPr="00B10A68" w:rsidRDefault="006F7BA8" w:rsidP="006A332C">
            <w:pPr>
              <w:widowControl w:val="0"/>
              <w:numPr>
                <w:ilvl w:val="0"/>
                <w:numId w:val="16"/>
              </w:numPr>
              <w:tabs>
                <w:tab w:val="left" w:pos="8419"/>
              </w:tabs>
              <w:autoSpaceDE w:val="0"/>
              <w:autoSpaceDN w:val="0"/>
              <w:spacing w:line="276" w:lineRule="auto"/>
              <w:ind w:left="714" w:hanging="357"/>
              <w:jc w:val="both"/>
              <w:rPr>
                <w:rFonts w:ascii="Verdana" w:hAnsi="Verdana" w:cs="Arial"/>
                <w:lang w:val="pt-BR"/>
              </w:rPr>
            </w:pPr>
            <w:r w:rsidRPr="00B10A68">
              <w:rPr>
                <w:rFonts w:ascii="Verdana" w:hAnsi="Verdana" w:cs="Arial"/>
                <w:lang w:val="pt-BR"/>
              </w:rPr>
              <w:t xml:space="preserve">Corte Constitucional. Sentencia C-569 de 2004. M.P. Rodrigo </w:t>
            </w:r>
            <w:proofErr w:type="spellStart"/>
            <w:r w:rsidRPr="00B10A68">
              <w:rPr>
                <w:rFonts w:ascii="Verdana" w:hAnsi="Verdana" w:cs="Arial"/>
                <w:lang w:val="pt-BR"/>
              </w:rPr>
              <w:t>Uprimny</w:t>
            </w:r>
            <w:proofErr w:type="spellEnd"/>
            <w:r w:rsidRPr="00B10A68">
              <w:rPr>
                <w:rFonts w:ascii="Verdana" w:hAnsi="Verdana" w:cs="Arial"/>
                <w:lang w:val="pt-BR"/>
              </w:rPr>
              <w:t xml:space="preserve"> Yepes.</w:t>
            </w:r>
          </w:p>
          <w:p w14:paraId="775E2F36" w14:textId="77777777" w:rsidR="006F7BA8" w:rsidRPr="00B10A68" w:rsidRDefault="006F7BA8" w:rsidP="006A332C">
            <w:pPr>
              <w:widowControl w:val="0"/>
              <w:numPr>
                <w:ilvl w:val="0"/>
                <w:numId w:val="16"/>
              </w:numPr>
              <w:tabs>
                <w:tab w:val="left" w:pos="8419"/>
              </w:tabs>
              <w:autoSpaceDE w:val="0"/>
              <w:autoSpaceDN w:val="0"/>
              <w:spacing w:line="276" w:lineRule="auto"/>
              <w:ind w:left="714" w:hanging="357"/>
              <w:jc w:val="both"/>
              <w:rPr>
                <w:rFonts w:ascii="Verdana" w:hAnsi="Verdana" w:cs="Arial"/>
                <w:lang w:val="es-ES"/>
              </w:rPr>
            </w:pPr>
            <w:r w:rsidRPr="00B10A68">
              <w:rPr>
                <w:rFonts w:ascii="Verdana" w:hAnsi="Verdana" w:cs="Arial"/>
                <w:lang w:val="es-ES"/>
              </w:rPr>
              <w:t>Consejo de Estado. Sección Tercera. Providencias del 11 de diciembre de 2002, dictada dentro del expediente AG-1683, y del 18 de octubre de 2001, proferida dentro del plenario AG-021.</w:t>
            </w:r>
          </w:p>
          <w:p w14:paraId="4A05AF53" w14:textId="3968D895" w:rsidR="006F7BA8" w:rsidRPr="00B10A68" w:rsidRDefault="006F7BA8" w:rsidP="006A332C">
            <w:pPr>
              <w:numPr>
                <w:ilvl w:val="0"/>
                <w:numId w:val="16"/>
              </w:numPr>
              <w:spacing w:line="276" w:lineRule="auto"/>
              <w:ind w:left="714" w:hanging="357"/>
              <w:jc w:val="both"/>
              <w:rPr>
                <w:rFonts w:ascii="Verdana" w:hAnsi="Verdana" w:cs="Arial"/>
                <w:shd w:val="clear" w:color="auto" w:fill="FFFFFF"/>
              </w:rPr>
            </w:pPr>
            <w:r w:rsidRPr="00B10A68">
              <w:rPr>
                <w:rFonts w:ascii="Verdana" w:hAnsi="Verdana" w:cs="Arial"/>
                <w:shd w:val="clear" w:color="auto" w:fill="FFFFFF"/>
              </w:rPr>
              <w:lastRenderedPageBreak/>
              <w:t>Consejo de Estado. Sala de Consulta y Servicio Civil. Concepto del 6 de noviembre de 2008. Expediente: 1927. Consejero Ponente: William Zambrano Cetina</w:t>
            </w:r>
            <w:r w:rsidR="00D60606" w:rsidRPr="00C032A8">
              <w:rPr>
                <w:rFonts w:ascii="Verdana" w:hAnsi="Verdana" w:cs="Arial"/>
                <w:shd w:val="clear" w:color="auto" w:fill="FFFFFF"/>
              </w:rPr>
              <w:t>.</w:t>
            </w:r>
          </w:p>
          <w:p w14:paraId="489BC97B" w14:textId="457B7355" w:rsidR="00D60606" w:rsidRPr="00C032A8" w:rsidRDefault="00D60606"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shd w:val="clear" w:color="auto" w:fill="FFFFFF"/>
              </w:rPr>
              <w:t>Consejo de Estado. Sala de Consulta y Servicio Civil. Concepto del 20 de mayo de 2010. Expediente: 1992. Consejero Ponente: Enrique José Arboleda Perdomo.</w:t>
            </w:r>
          </w:p>
          <w:p w14:paraId="3FDD2004" w14:textId="77777777" w:rsidR="00D60606" w:rsidRPr="00C032A8" w:rsidRDefault="00D60606"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shd w:val="clear" w:color="auto" w:fill="FFFFFF"/>
              </w:rPr>
              <w:t xml:space="preserve">Consejo de Estado. Sección Tercera, Subsección C. Sentencia del 26 de febrero de 2011. C.P. Jaime Orlando Santofimio. Rad. 36.408. </w:t>
            </w:r>
          </w:p>
          <w:p w14:paraId="0A90077C" w14:textId="6E97990C" w:rsidR="00D60606" w:rsidRPr="00C032A8" w:rsidRDefault="00D60606"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shd w:val="clear" w:color="auto" w:fill="FFFFFF"/>
              </w:rPr>
              <w:t>Consejo de Estado. Sección Tercera Subsección B. Sentencia del 27 de abril de 2011. Expediente No. 18.293. C.P. Ponente: Ruth Stella Correa Palacio.</w:t>
            </w:r>
          </w:p>
          <w:p w14:paraId="5723D99E" w14:textId="6AC30313" w:rsidR="006F7BA8" w:rsidRPr="00B10A68" w:rsidRDefault="00D60606"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shd w:val="clear" w:color="auto" w:fill="FFFFFF"/>
              </w:rPr>
              <w:t>Consejo de Estado</w:t>
            </w:r>
            <w:r w:rsidR="006F7BA8" w:rsidRPr="00B10A68">
              <w:rPr>
                <w:rFonts w:ascii="Verdana" w:hAnsi="Verdana" w:cs="Arial"/>
                <w:shd w:val="clear" w:color="auto" w:fill="FFFFFF"/>
              </w:rPr>
              <w:t>, Sección Tercera, Subsección C. Sentencia del 26 de febrero de 2014. C.P. Enrique Gil Botero. Rad. 25.804.</w:t>
            </w:r>
          </w:p>
          <w:p w14:paraId="6413CDE6" w14:textId="77777777" w:rsidR="00D60606" w:rsidRPr="00C032A8" w:rsidRDefault="00D60606" w:rsidP="006A332C">
            <w:pPr>
              <w:widowControl w:val="0"/>
              <w:numPr>
                <w:ilvl w:val="0"/>
                <w:numId w:val="16"/>
              </w:numPr>
              <w:tabs>
                <w:tab w:val="left" w:pos="8419"/>
              </w:tabs>
              <w:autoSpaceDE w:val="0"/>
              <w:autoSpaceDN w:val="0"/>
              <w:spacing w:line="276" w:lineRule="auto"/>
              <w:ind w:left="714" w:hanging="357"/>
              <w:jc w:val="both"/>
              <w:rPr>
                <w:rFonts w:ascii="Verdana" w:hAnsi="Verdana" w:cs="Arial"/>
                <w:lang w:val="es-ES"/>
              </w:rPr>
            </w:pPr>
            <w:r w:rsidRPr="00C032A8">
              <w:rPr>
                <w:rFonts w:ascii="Verdana" w:hAnsi="Verdana" w:cs="Arial"/>
                <w:lang w:val="es-ES"/>
              </w:rPr>
              <w:t xml:space="preserve">Consejo de Estado. Sección Tercera. Subsección C. Sentencia del 12 de noviembre de 2014. </w:t>
            </w:r>
            <w:proofErr w:type="spellStart"/>
            <w:r w:rsidRPr="00C032A8">
              <w:rPr>
                <w:rFonts w:ascii="Verdana" w:hAnsi="Verdana" w:cs="Arial"/>
                <w:lang w:val="es-ES"/>
              </w:rPr>
              <w:t>Exp</w:t>
            </w:r>
            <w:proofErr w:type="spellEnd"/>
            <w:r w:rsidRPr="00C032A8">
              <w:rPr>
                <w:rFonts w:ascii="Verdana" w:hAnsi="Verdana" w:cs="Arial"/>
                <w:lang w:val="es-ES"/>
              </w:rPr>
              <w:t>. 27.986. C.P. Enrique Gil Botero.</w:t>
            </w:r>
          </w:p>
          <w:p w14:paraId="0776E371" w14:textId="670F0097" w:rsidR="006F7BA8" w:rsidRPr="00B10A68" w:rsidRDefault="000E3673" w:rsidP="006A332C">
            <w:pPr>
              <w:numPr>
                <w:ilvl w:val="0"/>
                <w:numId w:val="16"/>
              </w:numPr>
              <w:spacing w:line="276" w:lineRule="auto"/>
              <w:ind w:left="714" w:hanging="357"/>
              <w:jc w:val="both"/>
              <w:rPr>
                <w:rFonts w:ascii="Verdana" w:hAnsi="Verdana" w:cs="Arial"/>
                <w:shd w:val="clear" w:color="auto" w:fill="FFFFFF"/>
              </w:rPr>
            </w:pPr>
            <w:r w:rsidRPr="00C032A8">
              <w:rPr>
                <w:rFonts w:ascii="Verdana" w:hAnsi="Verdana" w:cs="Arial"/>
                <w:shd w:val="clear" w:color="auto" w:fill="FFFFFF"/>
              </w:rPr>
              <w:t xml:space="preserve">Agencia Nacional de Contratación Pública – Colombia Compra Eficiente. </w:t>
            </w:r>
            <w:r w:rsidR="006F7BA8" w:rsidRPr="00B10A68">
              <w:rPr>
                <w:rFonts w:ascii="Verdana" w:hAnsi="Verdana" w:cs="Arial"/>
                <w:shd w:val="clear" w:color="auto" w:fill="FFFFFF"/>
              </w:rPr>
              <w:t>Circular Externa Única</w:t>
            </w:r>
            <w:r w:rsidRPr="00C032A8">
              <w:rPr>
                <w:rFonts w:ascii="Verdana" w:hAnsi="Verdana" w:cs="Arial"/>
                <w:shd w:val="clear" w:color="auto" w:fill="FFFFFF"/>
              </w:rPr>
              <w:t xml:space="preserve">. </w:t>
            </w:r>
          </w:p>
          <w:p w14:paraId="6732362C" w14:textId="77777777" w:rsidR="006F7BA8" w:rsidRPr="00B10A68" w:rsidRDefault="006F7BA8" w:rsidP="006A332C">
            <w:pPr>
              <w:widowControl w:val="0"/>
              <w:numPr>
                <w:ilvl w:val="0"/>
                <w:numId w:val="16"/>
              </w:numPr>
              <w:autoSpaceDE w:val="0"/>
              <w:autoSpaceDN w:val="0"/>
              <w:spacing w:line="276" w:lineRule="auto"/>
              <w:ind w:left="714" w:hanging="357"/>
              <w:jc w:val="both"/>
              <w:rPr>
                <w:rFonts w:ascii="Verdana" w:hAnsi="Verdana" w:cs="Arial"/>
              </w:rPr>
            </w:pPr>
            <w:r w:rsidRPr="00B10A68">
              <w:rPr>
                <w:rFonts w:ascii="Verdana" w:hAnsi="Verdana" w:cs="Arial"/>
                <w:shd w:val="clear" w:color="auto" w:fill="FFFFFF"/>
              </w:rPr>
              <w:t>RODRÍGUEZ TAMAYO, Mauricio Fernando. Evaluación y rechazo de ofertas en la Ley 80 de 1993. Medellín: Librería Jurídica Sánchez, 2016. p. 190.</w:t>
            </w:r>
          </w:p>
          <w:p w14:paraId="67A12198" w14:textId="77777777" w:rsidR="00C032A8" w:rsidRPr="00C032A8" w:rsidRDefault="006F7BA8" w:rsidP="006A332C">
            <w:pPr>
              <w:widowControl w:val="0"/>
              <w:numPr>
                <w:ilvl w:val="0"/>
                <w:numId w:val="16"/>
              </w:numPr>
              <w:tabs>
                <w:tab w:val="left" w:pos="8419"/>
              </w:tabs>
              <w:autoSpaceDE w:val="0"/>
              <w:autoSpaceDN w:val="0"/>
              <w:spacing w:line="276" w:lineRule="auto"/>
              <w:ind w:left="714" w:hanging="357"/>
              <w:jc w:val="both"/>
              <w:rPr>
                <w:rFonts w:ascii="Verdana" w:hAnsi="Verdana" w:cs="Arial"/>
                <w:lang w:val="es-ES"/>
              </w:rPr>
            </w:pPr>
            <w:r w:rsidRPr="00B10A68">
              <w:rPr>
                <w:rFonts w:ascii="Verdana" w:hAnsi="Verdana" w:cs="Arial"/>
              </w:rPr>
              <w:t>DÁVILA VINUEZA, Luis Guillermo. Régimen jurídico de la contratación estatal. Tercera edición, Bogotá: Legis, 2016.</w:t>
            </w:r>
            <w:r w:rsidR="00C032A8" w:rsidRPr="00C032A8">
              <w:rPr>
                <w:rFonts w:ascii="Verdana" w:hAnsi="Verdana" w:cs="Arial"/>
                <w:lang w:val="es-ES"/>
              </w:rPr>
              <w:t xml:space="preserve"> </w:t>
            </w:r>
          </w:p>
          <w:p w14:paraId="3A4F1528" w14:textId="7D9B28F8" w:rsidR="006F7BA8" w:rsidRPr="006A332C" w:rsidRDefault="00C032A8" w:rsidP="006A332C">
            <w:pPr>
              <w:widowControl w:val="0"/>
              <w:numPr>
                <w:ilvl w:val="0"/>
                <w:numId w:val="16"/>
              </w:numPr>
              <w:tabs>
                <w:tab w:val="left" w:pos="8419"/>
              </w:tabs>
              <w:autoSpaceDE w:val="0"/>
              <w:autoSpaceDN w:val="0"/>
              <w:spacing w:line="276" w:lineRule="auto"/>
              <w:ind w:left="714" w:hanging="357"/>
              <w:jc w:val="both"/>
              <w:rPr>
                <w:rFonts w:ascii="Verdana" w:hAnsi="Verdana" w:cs="Arial"/>
                <w:lang w:val="es-ES"/>
              </w:rPr>
            </w:pPr>
            <w:r w:rsidRPr="00C032A8">
              <w:rPr>
                <w:rFonts w:ascii="Verdana" w:hAnsi="Verdana" w:cs="Arial"/>
                <w:lang w:val="es-ES"/>
              </w:rPr>
              <w:t>EXPÓSITO VELEZ, Juan C., El deber de selección objetiva, en: Del contrato estatal a los sistemas de compras públicas, por COVILLA MARTINEZ Juan C. y LOZANO VILLEGAS Germán (Eds.). Universidad Externado de Colombia, Bogotá, 2019.</w:t>
            </w:r>
          </w:p>
        </w:tc>
      </w:tr>
    </w:tbl>
    <w:p w14:paraId="10883B1D"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p w14:paraId="555075B1" w14:textId="77777777" w:rsidR="006F7BA8" w:rsidRPr="00B10A68" w:rsidRDefault="006F7BA8" w:rsidP="006F7BA8">
      <w:pPr>
        <w:numPr>
          <w:ilvl w:val="0"/>
          <w:numId w:val="17"/>
        </w:numPr>
        <w:tabs>
          <w:tab w:val="left" w:pos="142"/>
          <w:tab w:val="left" w:pos="284"/>
        </w:tabs>
        <w:spacing w:after="0" w:line="276" w:lineRule="auto"/>
        <w:ind w:left="0" w:firstLine="0"/>
        <w:jc w:val="both"/>
        <w:rPr>
          <w:rFonts w:ascii="Verdana" w:eastAsia="Century Gothic" w:hAnsi="Verdana" w:cs="Century Gothic"/>
          <w:b/>
          <w:bCs/>
          <w:lang w:val="es-ES"/>
        </w:rPr>
      </w:pPr>
      <w:r w:rsidRPr="00B10A68">
        <w:rPr>
          <w:rFonts w:ascii="Verdana" w:eastAsia="Century Gothic" w:hAnsi="Verdana" w:cs="Century Gothic"/>
          <w:b/>
          <w:bCs/>
          <w:lang w:val="es-ES"/>
        </w:rPr>
        <w:t>Doctrina de la Agencia Nacional de Contratación Pública:</w:t>
      </w:r>
    </w:p>
    <w:p w14:paraId="0ABFDCF3"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p w14:paraId="7D8BFAFD" w14:textId="33883855" w:rsidR="006F7BA8" w:rsidRPr="00B10A68" w:rsidRDefault="006F7BA8" w:rsidP="006F7BA8">
      <w:pPr>
        <w:widowControl w:val="0"/>
        <w:autoSpaceDE w:val="0"/>
        <w:autoSpaceDN w:val="0"/>
        <w:spacing w:after="0" w:line="276" w:lineRule="auto"/>
        <w:jc w:val="both"/>
        <w:rPr>
          <w:rFonts w:ascii="Verdana" w:eastAsia="Calibri" w:hAnsi="Verdana" w:cs="Arial"/>
          <w:shd w:val="clear" w:color="auto" w:fill="FFFFFF"/>
          <w:lang w:val="es-ES"/>
        </w:rPr>
      </w:pPr>
      <w:r w:rsidRPr="00B10A68">
        <w:rPr>
          <w:rFonts w:ascii="Verdana" w:eastAsia="Calibri" w:hAnsi="Verdana" w:cs="Arial"/>
          <w:shd w:val="clear" w:color="auto" w:fill="FFFFFF"/>
          <w:lang w:val="es-ES"/>
        </w:rPr>
        <w:t xml:space="preserve">Sobre la regla de </w:t>
      </w:r>
      <w:proofErr w:type="spellStart"/>
      <w:r w:rsidRPr="00B10A68">
        <w:rPr>
          <w:rFonts w:ascii="Verdana" w:eastAsia="Calibri" w:hAnsi="Verdana" w:cs="Arial"/>
          <w:shd w:val="clear" w:color="auto" w:fill="FFFFFF"/>
          <w:lang w:val="es-ES"/>
        </w:rPr>
        <w:t>subsanabilidad</w:t>
      </w:r>
      <w:proofErr w:type="spellEnd"/>
      <w:r w:rsidRPr="00B10A68">
        <w:rPr>
          <w:rFonts w:ascii="Verdana" w:eastAsia="Calibri" w:hAnsi="Verdana" w:cs="Arial"/>
          <w:shd w:val="clear" w:color="auto" w:fill="FFFFFF"/>
          <w:lang w:val="es-ES"/>
        </w:rPr>
        <w:t xml:space="preserve"> en los procesos de selección y la aclaración de la oferta económica, se pronunció esta Subdirección en los conceptos 4201913000007643 del 26 de diciembre de 2019, C-343 del 17 de junio de 2020, C-518 del 9 de septiembre de 2020, C-285 del 20 de mayo de 2022, C-614 del 5 de octubre de 2022, C-882 del 21 de diciembre de 2022, C-172 del 6 de junio de 2023, C-354 del 30 de agosto de 2024, C-447 del 19 de septiembre de 2024 y C-1009 del 30 de enero de 2025. Es</w:t>
      </w:r>
      <w:r w:rsidRPr="00B10A68">
        <w:rPr>
          <w:rFonts w:ascii="Verdana" w:eastAsia="Calibri" w:hAnsi="Verdana" w:cs="Times New Roman"/>
        </w:rPr>
        <w:t xml:space="preserve">tos y otros conceptos se encuentran disponibles para consulta en el Sistema de relatoría de la Agencia, </w:t>
      </w:r>
      <w:r w:rsidRPr="00B10A68">
        <w:rPr>
          <w:rFonts w:ascii="Verdana" w:eastAsia="Calibri" w:hAnsi="Verdana" w:cs="Times New Roman"/>
        </w:rPr>
        <w:lastRenderedPageBreak/>
        <w:t>al cual se puede acceder a través del siguiente enlace:</w:t>
      </w:r>
      <w:r w:rsidRPr="00B10A68">
        <w:rPr>
          <w:rFonts w:ascii="Verdana" w:eastAsia="Calibri" w:hAnsi="Verdana" w:cs="Arial"/>
          <w:shd w:val="clear" w:color="auto" w:fill="FFFFFF"/>
          <w:lang w:val="es-ES"/>
        </w:rPr>
        <w:t xml:space="preserve"> </w:t>
      </w:r>
      <w:hyperlink r:id="rId13" w:history="1">
        <w:r w:rsidRPr="00B10A68">
          <w:rPr>
            <w:rFonts w:ascii="Verdana" w:eastAsia="Calibri" w:hAnsi="Verdana" w:cs="Arial"/>
            <w:u w:val="single"/>
            <w:shd w:val="clear" w:color="auto" w:fill="FFFFFF"/>
            <w:lang w:val="es-ES"/>
          </w:rPr>
          <w:t>https://relatoria.colombiacompra.gov.co/busqueda/conceptos</w:t>
        </w:r>
      </w:hyperlink>
      <w:r w:rsidR="00C032A8">
        <w:t xml:space="preserve"> </w:t>
      </w:r>
    </w:p>
    <w:p w14:paraId="7E28BC42" w14:textId="77777777" w:rsidR="006F7BA8" w:rsidRPr="00B10A68" w:rsidRDefault="006F7BA8" w:rsidP="006F7BA8">
      <w:pPr>
        <w:widowControl w:val="0"/>
        <w:autoSpaceDE w:val="0"/>
        <w:autoSpaceDN w:val="0"/>
        <w:spacing w:after="0" w:line="276" w:lineRule="auto"/>
        <w:jc w:val="both"/>
        <w:rPr>
          <w:rFonts w:ascii="Verdana" w:eastAsia="Calibri" w:hAnsi="Verdana" w:cs="Arial"/>
          <w:shd w:val="clear" w:color="auto" w:fill="FFFFFF"/>
          <w:lang w:val="es-ES"/>
        </w:rPr>
      </w:pPr>
    </w:p>
    <w:p w14:paraId="7BCB3605" w14:textId="77777777" w:rsidR="006F7BA8" w:rsidRPr="00B10A68" w:rsidRDefault="006F7BA8" w:rsidP="006F7BA8">
      <w:pPr>
        <w:spacing w:after="0" w:line="276" w:lineRule="auto"/>
        <w:jc w:val="both"/>
        <w:rPr>
          <w:rFonts w:ascii="Verdana" w:eastAsia="Calibri" w:hAnsi="Verdana" w:cs="Arial"/>
          <w:shd w:val="clear" w:color="auto" w:fill="FFFFFF"/>
        </w:rPr>
      </w:pPr>
      <w:r w:rsidRPr="00B10A68">
        <w:rPr>
          <w:rFonts w:ascii="Verdana" w:eastAsia="Calibri" w:hAnsi="Verdana" w:cs="Arial"/>
          <w:shd w:val="clear" w:color="auto" w:fill="FFFFFF"/>
        </w:rPr>
        <w:t>Te informamos que ya se encuentra disponible la </w:t>
      </w:r>
      <w:r w:rsidRPr="00B10A68">
        <w:rPr>
          <w:rFonts w:ascii="Verdana" w:eastAsia="Calibri" w:hAnsi="Verdana" w:cs="Arial"/>
          <w:b/>
          <w:bCs/>
          <w:shd w:val="clear" w:color="auto" w:fill="FFFFFF"/>
        </w:rPr>
        <w:t>Cartilla para incentivar y fortalecer el acceso a las compras y contratación pública de los pueblos y comunidades étnicas en Colombia.</w:t>
      </w:r>
      <w:r w:rsidRPr="00B10A68">
        <w:rPr>
          <w:rFonts w:ascii="Verdana" w:eastAsia="Calibri" w:hAnsi="Verdana" w:cs="Arial"/>
          <w:shd w:val="clear" w:color="auto" w:fill="FFFFFF"/>
        </w:rPr>
        <w:t> Esta cartilla es una apuesta de la Agencia Nacional de Contratación Pública – Colombia Compra Eficiente, para incentivar la participación de los pueblos y comunidades étnicas en las compras y contratación pública, mediante el desarrollo de los principios de igualdad, equidad e inclusión social. Puede consultar la versión actualizada en el siguiente enlace: </w:t>
      </w:r>
      <w:hyperlink r:id="rId14" w:tgtFrame="_blank" w:tooltip="Dirección URL original: https://www.colombiacompra.gov.co/manuales-guias-y-pliegos-tipo/manuales-y-guias/cartilla-para-incentivar-y-fortalecer-el-acceso-las. Haga clic o pulse si confía en este vínculo." w:history="1">
        <w:r w:rsidRPr="00B10A68">
          <w:rPr>
            <w:rFonts w:ascii="Verdana" w:eastAsia="Calibri" w:hAnsi="Verdana" w:cs="Arial"/>
            <w:color w:val="0563C1" w:themeColor="hyperlink"/>
            <w:u w:val="single"/>
            <w:shd w:val="clear" w:color="auto" w:fill="FFFFFF"/>
          </w:rPr>
          <w:t>Cartilla para incentivar y fortalecer el acceso a las compras y contratación pública de los pueblos y comunidades étnicas en Colombia | Colombia Compra Eficiente | Agencia Nacional de Contratación Pública</w:t>
        </w:r>
      </w:hyperlink>
    </w:p>
    <w:p w14:paraId="3DE45C5F" w14:textId="77777777" w:rsidR="006F7BA8" w:rsidRPr="00B10A68" w:rsidRDefault="006F7BA8" w:rsidP="006F7BA8">
      <w:pPr>
        <w:spacing w:after="0" w:line="276" w:lineRule="auto"/>
        <w:jc w:val="both"/>
        <w:rPr>
          <w:rFonts w:ascii="Verdana" w:eastAsia="Calibri" w:hAnsi="Verdana" w:cs="Arial"/>
          <w:shd w:val="clear" w:color="auto" w:fill="FFFFFF"/>
        </w:rPr>
      </w:pPr>
    </w:p>
    <w:p w14:paraId="7CB87A68" w14:textId="77777777" w:rsidR="006F7BA8" w:rsidRPr="00B10A68" w:rsidRDefault="006F7BA8" w:rsidP="006F7BA8">
      <w:pPr>
        <w:spacing w:after="0" w:line="276" w:lineRule="auto"/>
        <w:jc w:val="both"/>
        <w:rPr>
          <w:rFonts w:ascii="Verdana" w:eastAsia="Calibri" w:hAnsi="Verdana" w:cs="Arial"/>
          <w:shd w:val="clear" w:color="auto" w:fill="FFFFFF"/>
        </w:rPr>
      </w:pPr>
      <w:r w:rsidRPr="00B10A68">
        <w:rPr>
          <w:rFonts w:ascii="Verdana" w:eastAsia="Calibri" w:hAnsi="Verdana" w:cs="Arial"/>
          <w:shd w:val="clear" w:color="auto" w:fill="FFFFFF"/>
        </w:rPr>
        <w:t>De otra parte, te informamos que, con el objetivo de garantizar un conocimiento adecuado de las </w:t>
      </w:r>
      <w:r w:rsidRPr="00B10A68">
        <w:rPr>
          <w:rFonts w:ascii="Verdana" w:eastAsia="Calibri" w:hAnsi="Verdana" w:cs="Arial"/>
          <w:b/>
          <w:bCs/>
          <w:shd w:val="clear" w:color="auto" w:fill="FFFFFF"/>
        </w:rPr>
        <w:t>modificaciones y/o actualizaciones realizadas a los Documentos Tipo</w:t>
      </w:r>
      <w:r w:rsidRPr="00B10A68">
        <w:rPr>
          <w:rFonts w:ascii="Verdana" w:eastAsia="Calibri" w:hAnsi="Verdana" w:cs="Arial"/>
          <w:shd w:val="clear" w:color="auto" w:fill="FFFFFF"/>
        </w:rPr>
        <w:t>, hemos programado una serie de </w:t>
      </w:r>
      <w:r w:rsidRPr="00B10A68">
        <w:rPr>
          <w:rFonts w:ascii="Verdana" w:eastAsia="Calibri" w:hAnsi="Verdana" w:cs="Arial"/>
          <w:b/>
          <w:bCs/>
          <w:shd w:val="clear" w:color="auto" w:fill="FFFFFF"/>
        </w:rPr>
        <w:t>capacitaciones </w:t>
      </w:r>
      <w:r w:rsidRPr="00B10A68">
        <w:rPr>
          <w:rFonts w:ascii="Verdana" w:eastAsia="Calibri" w:hAnsi="Verdana" w:cs="Arial"/>
          <w:shd w:val="clear" w:color="auto" w:fill="FFFFFF"/>
        </w:rPr>
        <w:t>dirigidas a todos los actores involucrados en los procesos de selección. Podrás conocer la programación y realizar tu inscripción a estas capacitaciones a través del siguiente enlace: </w:t>
      </w:r>
      <w:hyperlink r:id="rId15" w:tgtFrame="_blank" w:tooltip="Dirección URL original: https://www.colombiacompra.gov.co/ciudadanos/calendario. Haga clic o pulse si confía en este vínculo." w:history="1">
        <w:r w:rsidRPr="00B10A68">
          <w:rPr>
            <w:rFonts w:ascii="Verdana" w:eastAsia="Calibri" w:hAnsi="Verdana" w:cs="Arial"/>
            <w:color w:val="0563C1" w:themeColor="hyperlink"/>
            <w:u w:val="single"/>
            <w:shd w:val="clear" w:color="auto" w:fill="FFFFFF"/>
          </w:rPr>
          <w:t>Calendario | Colombia Compra Eficiente | Agencia Nacional de Contratación Pública</w:t>
        </w:r>
      </w:hyperlink>
    </w:p>
    <w:p w14:paraId="4C3CD613" w14:textId="77777777" w:rsidR="006F7BA8" w:rsidRPr="00B10A68" w:rsidRDefault="006F7BA8" w:rsidP="006F7BA8">
      <w:pPr>
        <w:spacing w:after="0" w:line="276" w:lineRule="auto"/>
        <w:jc w:val="both"/>
        <w:rPr>
          <w:rFonts w:ascii="Verdana" w:eastAsia="Calibri" w:hAnsi="Verdana" w:cs="Arial"/>
          <w:shd w:val="clear" w:color="auto" w:fill="FFFFFF"/>
        </w:rPr>
      </w:pPr>
    </w:p>
    <w:p w14:paraId="54ED7F20" w14:textId="77777777" w:rsidR="006F7BA8" w:rsidRPr="00B10A68" w:rsidRDefault="006F7BA8" w:rsidP="006F7BA8">
      <w:pPr>
        <w:spacing w:after="0" w:line="276" w:lineRule="auto"/>
        <w:jc w:val="both"/>
        <w:rPr>
          <w:rFonts w:ascii="Verdana" w:eastAsia="Calibri" w:hAnsi="Verdana" w:cs="Arial"/>
          <w:shd w:val="clear" w:color="auto" w:fill="FFFFFF"/>
        </w:rPr>
      </w:pPr>
      <w:r w:rsidRPr="00B10A68">
        <w:rPr>
          <w:rFonts w:ascii="Verdana" w:eastAsia="Calibri" w:hAnsi="Verdana" w:cs="Arial"/>
          <w:shd w:val="clear" w:color="auto" w:fill="FFFFFF"/>
        </w:rPr>
        <w:t>También, te contamos que ya publicamos </w:t>
      </w:r>
      <w:r w:rsidRPr="00B10A68">
        <w:rPr>
          <w:rFonts w:ascii="Verdana" w:eastAsia="Calibri" w:hAnsi="Verdana" w:cs="Arial"/>
          <w:b/>
          <w:bCs/>
          <w:shd w:val="clear" w:color="auto" w:fill="FFFFFF"/>
        </w:rPr>
        <w:t>la nueva Guía de Contratación Pública Sostenible y Socialmente Responsable</w:t>
      </w:r>
      <w:r w:rsidRPr="00B10A68">
        <w:rPr>
          <w:rFonts w:ascii="Verdana" w:eastAsia="Calibri" w:hAnsi="Verdana" w:cs="Arial"/>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B10A68">
          <w:rPr>
            <w:rFonts w:ascii="Verdana" w:eastAsia="Calibri"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3632E1DE" w14:textId="77777777" w:rsidR="006F7BA8" w:rsidRPr="00B10A68" w:rsidRDefault="006F7BA8" w:rsidP="006F7BA8">
      <w:pPr>
        <w:spacing w:after="0" w:line="276" w:lineRule="auto"/>
        <w:jc w:val="both"/>
        <w:rPr>
          <w:rFonts w:ascii="Verdana" w:eastAsia="Calibri" w:hAnsi="Verdana" w:cs="Times New Roman"/>
        </w:rPr>
      </w:pPr>
    </w:p>
    <w:p w14:paraId="590FC30F" w14:textId="77777777" w:rsidR="006F7BA8" w:rsidRPr="00B10A68" w:rsidRDefault="006F7BA8" w:rsidP="006F7BA8">
      <w:pPr>
        <w:spacing w:after="0" w:line="276" w:lineRule="auto"/>
        <w:jc w:val="both"/>
        <w:rPr>
          <w:rFonts w:ascii="Verdana" w:eastAsia="Calibri" w:hAnsi="Verdana" w:cs="Times New Roman"/>
        </w:rPr>
      </w:pPr>
      <w:r w:rsidRPr="00B10A68">
        <w:rPr>
          <w:rFonts w:ascii="Verdana" w:eastAsia="Calibri" w:hAnsi="Verdana" w:cs="Times New Roman"/>
        </w:rPr>
        <w:t xml:space="preserve">Por último, lo invitamos a seguirnos en las redes sociales en las cuales se difunde información institucional: </w:t>
      </w:r>
    </w:p>
    <w:p w14:paraId="4CBB063E" w14:textId="77777777" w:rsidR="006F7BA8" w:rsidRPr="00B10A68" w:rsidRDefault="006F7BA8" w:rsidP="006F7BA8">
      <w:pPr>
        <w:spacing w:after="0" w:line="276" w:lineRule="auto"/>
        <w:jc w:val="both"/>
        <w:rPr>
          <w:rFonts w:ascii="Verdana" w:eastAsia="Calibri" w:hAnsi="Verdana" w:cs="Times New Roman"/>
        </w:rPr>
      </w:pPr>
    </w:p>
    <w:p w14:paraId="3DEB52AA" w14:textId="77777777" w:rsidR="006F7BA8" w:rsidRPr="00B10A68" w:rsidRDefault="006F7BA8" w:rsidP="006F7BA8">
      <w:pPr>
        <w:spacing w:after="0" w:line="276" w:lineRule="auto"/>
        <w:jc w:val="both"/>
        <w:rPr>
          <w:rFonts w:ascii="Verdana" w:eastAsia="Calibri" w:hAnsi="Verdana" w:cs="Times New Roman"/>
        </w:rPr>
      </w:pPr>
      <w:r w:rsidRPr="00B10A68">
        <w:rPr>
          <w:rFonts w:ascii="Verdana" w:eastAsia="Calibri" w:hAnsi="Verdana" w:cs="Times New Roman"/>
        </w:rPr>
        <w:t xml:space="preserve">Twitter: </w:t>
      </w:r>
      <w:r w:rsidRPr="00B10A68">
        <w:rPr>
          <w:rFonts w:ascii="Verdana" w:eastAsia="Calibri" w:hAnsi="Verdana" w:cs="Times New Roman"/>
          <w:u w:val="single"/>
        </w:rPr>
        <w:t>@colombiacompra</w:t>
      </w:r>
      <w:r w:rsidRPr="00B10A68">
        <w:rPr>
          <w:rFonts w:ascii="Verdana" w:eastAsia="Calibri" w:hAnsi="Verdana" w:cs="Times New Roman"/>
        </w:rPr>
        <w:t xml:space="preserve"> </w:t>
      </w:r>
    </w:p>
    <w:p w14:paraId="07CF0AF2" w14:textId="77777777" w:rsidR="006F7BA8" w:rsidRPr="00B10A68" w:rsidRDefault="006F7BA8" w:rsidP="006F7BA8">
      <w:pPr>
        <w:spacing w:after="0" w:line="276" w:lineRule="auto"/>
        <w:jc w:val="both"/>
        <w:rPr>
          <w:rFonts w:ascii="Verdana" w:eastAsia="Calibri" w:hAnsi="Verdana" w:cs="Times New Roman"/>
        </w:rPr>
      </w:pPr>
      <w:r w:rsidRPr="00B10A68">
        <w:rPr>
          <w:rFonts w:ascii="Verdana" w:eastAsia="Calibri" w:hAnsi="Verdana" w:cs="Times New Roman"/>
        </w:rPr>
        <w:t xml:space="preserve">Facebook: </w:t>
      </w:r>
      <w:proofErr w:type="spellStart"/>
      <w:r w:rsidRPr="00B10A68">
        <w:rPr>
          <w:rFonts w:ascii="Verdana" w:eastAsia="Calibri" w:hAnsi="Verdana" w:cs="Times New Roman"/>
          <w:u w:val="single"/>
        </w:rPr>
        <w:t>ColombiaCompraEficiente</w:t>
      </w:r>
      <w:proofErr w:type="spellEnd"/>
    </w:p>
    <w:p w14:paraId="2CE38875" w14:textId="77777777" w:rsidR="006F7BA8" w:rsidRPr="00B10A68" w:rsidRDefault="006F7BA8" w:rsidP="006F7BA8">
      <w:pPr>
        <w:spacing w:after="0" w:line="276" w:lineRule="auto"/>
        <w:jc w:val="both"/>
        <w:rPr>
          <w:rFonts w:ascii="Verdana" w:eastAsia="Calibri" w:hAnsi="Verdana" w:cs="Times New Roman"/>
        </w:rPr>
      </w:pPr>
      <w:r w:rsidRPr="00B10A68">
        <w:rPr>
          <w:rFonts w:ascii="Verdana" w:eastAsia="Calibri" w:hAnsi="Verdana" w:cs="Times New Roman"/>
        </w:rPr>
        <w:lastRenderedPageBreak/>
        <w:t xml:space="preserve">LinkedIn: </w:t>
      </w:r>
      <w:r w:rsidRPr="00B10A68">
        <w:rPr>
          <w:rFonts w:ascii="Verdana" w:eastAsia="Calibri" w:hAnsi="Verdana" w:cs="Times New Roman"/>
          <w:u w:val="single"/>
        </w:rPr>
        <w:t>Agencia Nacional de Contratación Pública - Colombia Compra Eficiente</w:t>
      </w:r>
      <w:r w:rsidRPr="00B10A68">
        <w:rPr>
          <w:rFonts w:ascii="Verdana" w:eastAsia="Calibri" w:hAnsi="Verdana" w:cs="Times New Roman"/>
        </w:rPr>
        <w:t xml:space="preserve"> Instagram: </w:t>
      </w:r>
      <w:r w:rsidRPr="00B10A68">
        <w:rPr>
          <w:rFonts w:ascii="Verdana" w:eastAsia="Calibri" w:hAnsi="Verdana" w:cs="Times New Roman"/>
          <w:u w:val="single"/>
        </w:rPr>
        <w:t>@colombiacompraeficiente_cce</w:t>
      </w:r>
    </w:p>
    <w:p w14:paraId="2FF6C03B"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p w14:paraId="2839551A" w14:textId="77777777" w:rsidR="006F7BA8" w:rsidRPr="00B10A68" w:rsidRDefault="006F7BA8" w:rsidP="006F7BA8">
      <w:pPr>
        <w:widowControl w:val="0"/>
        <w:autoSpaceDE w:val="0"/>
        <w:autoSpaceDN w:val="0"/>
        <w:spacing w:after="0" w:line="276" w:lineRule="auto"/>
        <w:jc w:val="both"/>
        <w:rPr>
          <w:rFonts w:ascii="Verdana" w:eastAsia="Calibri" w:hAnsi="Verdana" w:cs="Arial"/>
          <w:lang w:val="es-ES_tradnl"/>
        </w:rPr>
      </w:pPr>
      <w:r w:rsidRPr="00B10A68">
        <w:rPr>
          <w:rFonts w:ascii="Verdana" w:eastAsia="Calibri" w:hAnsi="Verdana" w:cs="Arial"/>
        </w:rPr>
        <w:t xml:space="preserve">Este concepto tiene el alcance previsto en el artículo 28 del Código de Procedimiento Administrativo y de lo Contencioso Administrativo </w:t>
      </w:r>
      <w:r w:rsidRPr="00B10A68">
        <w:rPr>
          <w:rFonts w:ascii="Verdana" w:eastAsia="Calibri" w:hAnsi="Verdana" w:cs="Arial"/>
          <w:lang w:val="es-ES_tradnl"/>
        </w:rPr>
        <w:t>y las expresiones aquí utilizadas con mayúscula inicial deben ser entendidas con el significado que les otorga el artículo 2.2.1.1.1.3.1. del Decreto 1082 de 2015.</w:t>
      </w:r>
    </w:p>
    <w:p w14:paraId="3A828CBB" w14:textId="77777777" w:rsidR="006F7BA8" w:rsidRPr="00B10A68" w:rsidRDefault="006F7BA8" w:rsidP="006F7BA8">
      <w:pPr>
        <w:widowControl w:val="0"/>
        <w:autoSpaceDE w:val="0"/>
        <w:autoSpaceDN w:val="0"/>
        <w:spacing w:after="0" w:line="276" w:lineRule="auto"/>
        <w:jc w:val="both"/>
        <w:rPr>
          <w:rFonts w:ascii="Verdana" w:eastAsia="Calibri" w:hAnsi="Verdana" w:cs="Arial"/>
        </w:rPr>
      </w:pPr>
    </w:p>
    <w:p w14:paraId="3D5DA3F2" w14:textId="77777777" w:rsidR="006F7BA8" w:rsidRPr="00B10A68" w:rsidRDefault="006F7BA8" w:rsidP="006F7BA8">
      <w:pPr>
        <w:spacing w:after="0" w:line="240" w:lineRule="auto"/>
        <w:rPr>
          <w:rFonts w:ascii="Verdana" w:eastAsia="Calibri" w:hAnsi="Verdana" w:cs="Arial"/>
          <w:lang w:eastAsia="es-CO"/>
        </w:rPr>
      </w:pPr>
      <w:r w:rsidRPr="00B10A68">
        <w:rPr>
          <w:rFonts w:ascii="Verdana" w:eastAsia="Times New Roman" w:hAnsi="Verdana" w:cs="Arial"/>
          <w:lang w:eastAsia="es-CO"/>
        </w:rPr>
        <w:t>Atentamente,</w:t>
      </w:r>
      <w:r w:rsidRPr="00B10A68">
        <w:rPr>
          <w:rFonts w:ascii="Verdana" w:eastAsia="Calibri" w:hAnsi="Verdana" w:cs="Arial"/>
          <w:lang w:eastAsia="es-CO"/>
        </w:rPr>
        <w:t xml:space="preserve"> </w:t>
      </w:r>
    </w:p>
    <w:p w14:paraId="4C6755BA" w14:textId="77777777" w:rsidR="006F7BA8" w:rsidRDefault="006F7BA8" w:rsidP="006F7BA8">
      <w:pPr>
        <w:spacing w:line="276" w:lineRule="auto"/>
        <w:jc w:val="center"/>
        <w:rPr>
          <w:rFonts w:ascii="Verdana" w:eastAsia="Calibri" w:hAnsi="Verdana" w:cs="Arial"/>
          <w:lang w:val="es-ES_tradnl" w:eastAsia="es-CO"/>
        </w:rPr>
      </w:pPr>
    </w:p>
    <w:p w14:paraId="3350A01B" w14:textId="7BE9BF5F" w:rsidR="006F7BA8" w:rsidRPr="00B10A68" w:rsidRDefault="008918F3" w:rsidP="006F7BA8">
      <w:pPr>
        <w:spacing w:line="276" w:lineRule="auto"/>
        <w:jc w:val="center"/>
        <w:rPr>
          <w:rFonts w:ascii="Verdana" w:eastAsia="Calibri" w:hAnsi="Verdana" w:cs="Arial"/>
          <w:lang w:val="es-ES_tradnl" w:eastAsia="es-CO"/>
        </w:rPr>
      </w:pPr>
      <w:r w:rsidRPr="002C3AD6">
        <w:rPr>
          <w:rFonts w:ascii="Century Gothic" w:hAnsi="Century Gothic"/>
          <w:noProof/>
        </w:rPr>
        <w:drawing>
          <wp:inline distT="0" distB="0" distL="0" distR="0" wp14:anchorId="515F98BF" wp14:editId="5B73AD54">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7"/>
                    <a:stretch>
                      <a:fillRect/>
                    </a:stretch>
                  </pic:blipFill>
                  <pic:spPr>
                    <a:xfrm>
                      <a:off x="0" y="0"/>
                      <a:ext cx="3772426" cy="1400370"/>
                    </a:xfrm>
                    <a:prstGeom prst="rect">
                      <a:avLst/>
                    </a:prstGeom>
                  </pic:spPr>
                </pic:pic>
              </a:graphicData>
            </a:graphic>
          </wp:inline>
        </w:drawing>
      </w:r>
    </w:p>
    <w:tbl>
      <w:tblPr>
        <w:tblStyle w:val="Tablaconcuadrcula1"/>
        <w:tblW w:w="6521"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6F7BA8" w:rsidRPr="00B10A68" w14:paraId="44A28D77" w14:textId="77777777" w:rsidTr="000465B7">
        <w:trPr>
          <w:trHeight w:val="315"/>
        </w:trPr>
        <w:tc>
          <w:tcPr>
            <w:tcW w:w="893" w:type="dxa"/>
            <w:vAlign w:val="center"/>
            <w:hideMark/>
          </w:tcPr>
          <w:p w14:paraId="371AF5FD" w14:textId="77777777" w:rsidR="006F7BA8" w:rsidRPr="00B10A68" w:rsidRDefault="006F7BA8" w:rsidP="000465B7">
            <w:pPr>
              <w:rPr>
                <w:rFonts w:ascii="Verdana" w:hAnsi="Verdana" w:cs="Arial"/>
                <w:sz w:val="16"/>
                <w:szCs w:val="16"/>
                <w:lang w:val="es-ES" w:eastAsia="es-ES"/>
              </w:rPr>
            </w:pPr>
            <w:r w:rsidRPr="00B10A68">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05BBE02" w14:textId="77777777" w:rsidR="006F7BA8" w:rsidRPr="00B10A68" w:rsidRDefault="006F7BA8" w:rsidP="000465B7">
            <w:r>
              <w:rPr>
                <w:rFonts w:ascii="Verdana" w:hAnsi="Verdana"/>
                <w:sz w:val="16"/>
                <w:szCs w:val="16"/>
              </w:rPr>
              <w:t xml:space="preserve">Richard Andrés Montenegro </w:t>
            </w:r>
            <w:proofErr w:type="spellStart"/>
            <w:r>
              <w:rPr>
                <w:rFonts w:ascii="Verdana" w:hAnsi="Verdana"/>
                <w:sz w:val="16"/>
                <w:szCs w:val="16"/>
              </w:rPr>
              <w:t>Siefken</w:t>
            </w:r>
            <w:proofErr w:type="spellEnd"/>
          </w:p>
          <w:p w14:paraId="7A95170F" w14:textId="77777777" w:rsidR="006F7BA8" w:rsidRPr="00B10A68" w:rsidRDefault="006F7BA8" w:rsidP="000465B7">
            <w:pPr>
              <w:rPr>
                <w:rFonts w:ascii="Verdana" w:eastAsia="Arial" w:hAnsi="Verdana" w:cs="Arial"/>
                <w:sz w:val="16"/>
                <w:szCs w:val="16"/>
              </w:rPr>
            </w:pPr>
            <w:r>
              <w:rPr>
                <w:rFonts w:ascii="Verdana" w:eastAsia="Arial" w:hAnsi="Verdana" w:cs="Arial"/>
                <w:sz w:val="16"/>
                <w:szCs w:val="16"/>
              </w:rPr>
              <w:t xml:space="preserve">Contratista </w:t>
            </w:r>
            <w:r w:rsidRPr="00B10A68">
              <w:rPr>
                <w:rFonts w:ascii="Verdana" w:eastAsia="Arial" w:hAnsi="Verdana" w:cs="Arial"/>
                <w:sz w:val="16"/>
                <w:szCs w:val="16"/>
              </w:rPr>
              <w:t>de la Subdirección de Gestión Contractual</w:t>
            </w:r>
          </w:p>
        </w:tc>
      </w:tr>
      <w:tr w:rsidR="006F7BA8" w:rsidRPr="00B10A68" w14:paraId="5A66014C" w14:textId="77777777" w:rsidTr="000465B7">
        <w:trPr>
          <w:trHeight w:val="330"/>
        </w:trPr>
        <w:tc>
          <w:tcPr>
            <w:tcW w:w="893" w:type="dxa"/>
            <w:vAlign w:val="center"/>
            <w:hideMark/>
          </w:tcPr>
          <w:p w14:paraId="2B19E12D" w14:textId="77777777" w:rsidR="006F7BA8" w:rsidRPr="00B10A68" w:rsidRDefault="006F7BA8" w:rsidP="000465B7">
            <w:pPr>
              <w:rPr>
                <w:rFonts w:ascii="Verdana" w:hAnsi="Verdana" w:cs="Arial"/>
                <w:sz w:val="16"/>
                <w:szCs w:val="16"/>
                <w:lang w:val="es-ES" w:eastAsia="es-ES"/>
              </w:rPr>
            </w:pPr>
            <w:r w:rsidRPr="00B10A68">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AE0581D" w14:textId="77777777" w:rsidR="006F7BA8" w:rsidRPr="00B10A68" w:rsidRDefault="006F7BA8" w:rsidP="000465B7">
            <w:pPr>
              <w:textAlignment w:val="baseline"/>
              <w:rPr>
                <w:rFonts w:ascii="Verdana" w:eastAsia="Times New Roman" w:hAnsi="Verdana" w:cs="Segoe UI"/>
                <w:sz w:val="16"/>
                <w:szCs w:val="16"/>
                <w:lang w:eastAsia="es-ES_tradnl"/>
              </w:rPr>
            </w:pPr>
            <w:r>
              <w:rPr>
                <w:rFonts w:ascii="Verdana" w:eastAsia="Times New Roman" w:hAnsi="Verdana" w:cs="Arial"/>
                <w:sz w:val="16"/>
                <w:szCs w:val="16"/>
                <w:lang w:val="es-ES" w:eastAsia="es-ES_tradnl"/>
              </w:rPr>
              <w:t>Diana Lucia Saavedra Castañeda</w:t>
            </w:r>
          </w:p>
          <w:p w14:paraId="2BA0FF11" w14:textId="77777777" w:rsidR="006F7BA8" w:rsidRPr="00B10A68" w:rsidRDefault="006F7BA8" w:rsidP="000465B7">
            <w:pPr>
              <w:textAlignment w:val="baseline"/>
              <w:rPr>
                <w:rFonts w:ascii="Verdana" w:eastAsia="Times New Roman" w:hAnsi="Verdana" w:cs="Segoe UI"/>
                <w:sz w:val="16"/>
                <w:szCs w:val="16"/>
                <w:lang w:eastAsia="es-ES_tradnl"/>
              </w:rPr>
            </w:pPr>
            <w:r w:rsidRPr="00B10A68">
              <w:rPr>
                <w:rFonts w:ascii="Verdana" w:eastAsia="Times New Roman" w:hAnsi="Verdana" w:cs="Arial"/>
                <w:sz w:val="16"/>
                <w:szCs w:val="16"/>
                <w:lang w:val="es-ES" w:eastAsia="es-ES_tradnl"/>
              </w:rPr>
              <w:t>Contratista de la Subdirección de Gestión Contractual</w:t>
            </w:r>
            <w:r w:rsidRPr="00B10A68">
              <w:rPr>
                <w:rFonts w:ascii="Verdana" w:eastAsia="Times New Roman" w:hAnsi="Verdana" w:cs="Arial"/>
                <w:sz w:val="16"/>
                <w:szCs w:val="16"/>
                <w:lang w:eastAsia="es-ES_tradnl"/>
              </w:rPr>
              <w:t> </w:t>
            </w:r>
          </w:p>
        </w:tc>
      </w:tr>
      <w:tr w:rsidR="006F7BA8" w:rsidRPr="00B10A68" w14:paraId="530B9FF5" w14:textId="77777777" w:rsidTr="000465B7">
        <w:trPr>
          <w:trHeight w:val="300"/>
        </w:trPr>
        <w:tc>
          <w:tcPr>
            <w:tcW w:w="893" w:type="dxa"/>
            <w:vAlign w:val="center"/>
            <w:hideMark/>
          </w:tcPr>
          <w:p w14:paraId="164C9D73" w14:textId="77777777" w:rsidR="006F7BA8" w:rsidRPr="00B10A68" w:rsidRDefault="006F7BA8" w:rsidP="000465B7">
            <w:pPr>
              <w:rPr>
                <w:rFonts w:ascii="Verdana" w:hAnsi="Verdana" w:cs="Arial"/>
                <w:sz w:val="16"/>
                <w:szCs w:val="16"/>
                <w:lang w:val="es-ES" w:eastAsia="es-ES"/>
              </w:rPr>
            </w:pPr>
            <w:r w:rsidRPr="00B10A68">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440FA47" w14:textId="77777777" w:rsidR="006F7BA8" w:rsidRPr="00B10A68" w:rsidRDefault="006F7BA8" w:rsidP="000465B7">
            <w:pPr>
              <w:rPr>
                <w:rFonts w:ascii="Verdana" w:hAnsi="Verdana" w:cs="Arial"/>
                <w:sz w:val="16"/>
                <w:szCs w:val="16"/>
                <w:lang w:val="pt-BR" w:eastAsia="es-ES"/>
              </w:rPr>
            </w:pPr>
            <w:r>
              <w:rPr>
                <w:rFonts w:ascii="Verdana" w:hAnsi="Verdana" w:cs="Arial"/>
                <w:sz w:val="16"/>
                <w:szCs w:val="16"/>
                <w:lang w:val="pt-BR" w:eastAsia="es-ES"/>
              </w:rPr>
              <w:t xml:space="preserve">Carolina Quintero </w:t>
            </w:r>
            <w:proofErr w:type="spellStart"/>
            <w:r>
              <w:rPr>
                <w:rFonts w:ascii="Verdana" w:hAnsi="Verdana" w:cs="Arial"/>
                <w:sz w:val="16"/>
                <w:szCs w:val="16"/>
                <w:lang w:val="pt-BR" w:eastAsia="es-ES"/>
              </w:rPr>
              <w:t>Gacharná</w:t>
            </w:r>
            <w:proofErr w:type="spellEnd"/>
          </w:p>
          <w:p w14:paraId="1BCE43CC" w14:textId="77777777" w:rsidR="006F7BA8" w:rsidRPr="00B10A68" w:rsidRDefault="006F7BA8" w:rsidP="000465B7">
            <w:pPr>
              <w:rPr>
                <w:rFonts w:ascii="Verdana" w:hAnsi="Verdana" w:cs="Arial"/>
                <w:sz w:val="16"/>
                <w:szCs w:val="16"/>
                <w:lang w:val="pt-BR" w:eastAsia="es-ES"/>
              </w:rPr>
            </w:pPr>
            <w:r w:rsidRPr="00B10A68">
              <w:rPr>
                <w:rFonts w:ascii="Verdana" w:hAnsi="Verdana" w:cs="Arial"/>
                <w:sz w:val="16"/>
                <w:szCs w:val="16"/>
                <w:lang w:eastAsia="es-ES"/>
              </w:rPr>
              <w:t>Subdirectora</w:t>
            </w:r>
            <w:r w:rsidRPr="00B10A68">
              <w:rPr>
                <w:rFonts w:ascii="Verdana" w:hAnsi="Verdana" w:cs="Arial"/>
                <w:sz w:val="16"/>
                <w:szCs w:val="16"/>
                <w:lang w:val="pt-BR" w:eastAsia="es-ES"/>
              </w:rPr>
              <w:t xml:space="preserve"> de Gestión Contratual ANCP – CCE</w:t>
            </w:r>
            <w:r>
              <w:rPr>
                <w:rFonts w:ascii="Verdana" w:hAnsi="Verdana" w:cs="Arial"/>
                <w:sz w:val="16"/>
                <w:szCs w:val="16"/>
                <w:lang w:val="pt-BR" w:eastAsia="es-ES"/>
              </w:rPr>
              <w:t xml:space="preserve"> </w:t>
            </w:r>
          </w:p>
        </w:tc>
      </w:tr>
    </w:tbl>
    <w:p w14:paraId="00045259" w14:textId="77777777" w:rsidR="006F7BA8" w:rsidRPr="00B10A68" w:rsidRDefault="006F7BA8" w:rsidP="006F7BA8">
      <w:pPr>
        <w:spacing w:after="0" w:line="240" w:lineRule="auto"/>
        <w:rPr>
          <w:rFonts w:ascii="Verdana" w:eastAsia="Times New Roman" w:hAnsi="Verdana" w:cs="Arial"/>
          <w:sz w:val="24"/>
          <w:szCs w:val="24"/>
          <w:lang w:eastAsia="es-ES"/>
        </w:rPr>
      </w:pPr>
    </w:p>
    <w:p w14:paraId="40D7D9BA" w14:textId="77777777" w:rsidR="006F7BA8" w:rsidRPr="00B10A68" w:rsidRDefault="006F7BA8" w:rsidP="006F7BA8">
      <w:pPr>
        <w:spacing w:line="254" w:lineRule="auto"/>
        <w:rPr>
          <w:rFonts w:ascii="Calibri" w:eastAsia="Calibri" w:hAnsi="Calibri" w:cs="Times New Roman"/>
        </w:rPr>
      </w:pPr>
    </w:p>
    <w:p w14:paraId="33C893A8" w14:textId="77777777" w:rsidR="006F7BA8" w:rsidRPr="00B10A68" w:rsidRDefault="006F7BA8" w:rsidP="006F7BA8">
      <w:pPr>
        <w:spacing w:line="254" w:lineRule="auto"/>
        <w:rPr>
          <w:rFonts w:ascii="Calibri" w:eastAsia="Calibri" w:hAnsi="Calibri" w:cs="Times New Roman"/>
        </w:rPr>
      </w:pPr>
    </w:p>
    <w:p w14:paraId="30D568A0" w14:textId="77777777" w:rsidR="006F7BA8" w:rsidRPr="00B10A68" w:rsidRDefault="006F7BA8" w:rsidP="006F7BA8">
      <w:pPr>
        <w:spacing w:line="256" w:lineRule="auto"/>
        <w:rPr>
          <w:rFonts w:ascii="Calibri" w:eastAsia="Calibri" w:hAnsi="Calibri" w:cs="Times New Roman"/>
        </w:rPr>
      </w:pPr>
    </w:p>
    <w:p w14:paraId="061B9EBD" w14:textId="77777777" w:rsidR="006F7BA8" w:rsidRPr="00B10A68" w:rsidRDefault="006F7BA8" w:rsidP="006F7BA8"/>
    <w:p w14:paraId="3900974D" w14:textId="77777777" w:rsidR="003D5B0D" w:rsidRPr="00632B93" w:rsidRDefault="003D5B0D" w:rsidP="00632B93"/>
    <w:sectPr w:rsidR="003D5B0D" w:rsidRPr="00632B93"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91177" w14:textId="77777777" w:rsidR="00754B15" w:rsidRDefault="00754B15" w:rsidP="004A1847">
      <w:pPr>
        <w:spacing w:after="0" w:line="240" w:lineRule="auto"/>
      </w:pPr>
      <w:r>
        <w:separator/>
      </w:r>
    </w:p>
  </w:endnote>
  <w:endnote w:type="continuationSeparator" w:id="0">
    <w:p w14:paraId="0D9FCA48" w14:textId="77777777" w:rsidR="00754B15" w:rsidRDefault="00754B1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F95A6" w14:textId="77777777" w:rsidR="00754B15" w:rsidRDefault="00754B15" w:rsidP="004A1847">
      <w:pPr>
        <w:spacing w:after="0" w:line="240" w:lineRule="auto"/>
      </w:pPr>
      <w:r>
        <w:separator/>
      </w:r>
    </w:p>
  </w:footnote>
  <w:footnote w:type="continuationSeparator" w:id="0">
    <w:p w14:paraId="21DF6996" w14:textId="77777777" w:rsidR="00754B15" w:rsidRDefault="00754B15" w:rsidP="004A1847">
      <w:pPr>
        <w:spacing w:after="0" w:line="240" w:lineRule="auto"/>
      </w:pPr>
      <w:r>
        <w:continuationSeparator/>
      </w:r>
    </w:p>
  </w:footnote>
  <w:footnote w:id="1">
    <w:p w14:paraId="212CD714" w14:textId="092B8ABE" w:rsidR="006F7BA8" w:rsidRDefault="006F7BA8" w:rsidP="006F7BA8">
      <w:pPr>
        <w:pStyle w:val="Textonotapie"/>
        <w:ind w:left="720"/>
        <w:jc w:val="both"/>
        <w:rPr>
          <w:rFonts w:ascii="Verdana" w:hAnsi="Verdana"/>
          <w:sz w:val="16"/>
          <w:szCs w:val="16"/>
          <w:lang w:val="es-ES"/>
        </w:rPr>
      </w:pPr>
      <w:r>
        <w:rPr>
          <w:rStyle w:val="Refdenotaalpie"/>
          <w:rFonts w:ascii="Verdana" w:hAnsi="Verdana"/>
          <w:sz w:val="16"/>
          <w:szCs w:val="16"/>
        </w:rPr>
        <w:footnoteRef/>
      </w:r>
      <w:r w:rsidRPr="00E8380C">
        <w:rPr>
          <w:rFonts w:ascii="Verdana" w:hAnsi="Verdana"/>
          <w:sz w:val="16"/>
          <w:szCs w:val="16"/>
          <w:lang w:val="pt-PT"/>
        </w:rPr>
        <w:t xml:space="preserve"> </w:t>
      </w:r>
      <w:r w:rsidR="00E8488B" w:rsidRPr="00E8380C">
        <w:rPr>
          <w:rFonts w:ascii="Verdana" w:hAnsi="Verdana"/>
          <w:sz w:val="16"/>
          <w:szCs w:val="16"/>
          <w:lang w:val="pt-PT"/>
        </w:rPr>
        <w:t>Corte Constitucional</w:t>
      </w:r>
      <w:r w:rsidRPr="00E8380C">
        <w:rPr>
          <w:rFonts w:ascii="Verdana" w:hAnsi="Verdana"/>
          <w:sz w:val="16"/>
          <w:szCs w:val="16"/>
          <w:lang w:val="pt-PT"/>
        </w:rPr>
        <w:t xml:space="preserve">. Sentencia C-128 de 2003. </w:t>
      </w:r>
      <w:r>
        <w:rPr>
          <w:rFonts w:ascii="Verdana" w:hAnsi="Verdana"/>
          <w:sz w:val="16"/>
          <w:szCs w:val="16"/>
          <w:lang w:val="es-ES"/>
        </w:rPr>
        <w:t>M.P. Álvaro Tafur Galvis.</w:t>
      </w:r>
    </w:p>
    <w:p w14:paraId="5043E4BE" w14:textId="77777777" w:rsidR="006F7BA8" w:rsidRDefault="006F7BA8" w:rsidP="006F7BA8">
      <w:pPr>
        <w:pStyle w:val="Textonotapie"/>
        <w:jc w:val="both"/>
        <w:rPr>
          <w:rFonts w:ascii="Verdana" w:hAnsi="Verdana"/>
          <w:sz w:val="16"/>
          <w:szCs w:val="16"/>
        </w:rPr>
      </w:pPr>
    </w:p>
  </w:footnote>
  <w:footnote w:id="2">
    <w:p w14:paraId="57AB3BFE" w14:textId="77777777" w:rsidR="006F7BA8" w:rsidRDefault="006F7BA8" w:rsidP="006F7BA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C-285 del 20 de mayo de 2022. Consultar en: </w:t>
      </w:r>
      <w:hyperlink r:id="rId1" w:history="1">
        <w:r>
          <w:rPr>
            <w:rStyle w:val="Hipervnculo"/>
            <w:rFonts w:ascii="Verdana" w:hAnsi="Verdana"/>
            <w:sz w:val="16"/>
            <w:szCs w:val="16"/>
          </w:rPr>
          <w:t>https://relatoria.colombiacompra.gov.co/conceptos/c-285-de-2022/</w:t>
        </w:r>
      </w:hyperlink>
    </w:p>
    <w:p w14:paraId="5F29597C" w14:textId="77777777" w:rsidR="006F7BA8" w:rsidRDefault="006F7BA8" w:rsidP="006F7BA8">
      <w:pPr>
        <w:pStyle w:val="Textonotapie"/>
        <w:ind w:firstLine="708"/>
        <w:jc w:val="both"/>
        <w:rPr>
          <w:rFonts w:ascii="Verdana" w:hAnsi="Verdana"/>
          <w:sz w:val="16"/>
          <w:szCs w:val="16"/>
          <w:lang w:val="es-CO"/>
        </w:rPr>
      </w:pPr>
      <w:r>
        <w:rPr>
          <w:rFonts w:ascii="Verdana" w:hAnsi="Verdana"/>
          <w:sz w:val="16"/>
          <w:szCs w:val="16"/>
        </w:rPr>
        <w:t xml:space="preserve"> </w:t>
      </w:r>
    </w:p>
  </w:footnote>
  <w:footnote w:id="3">
    <w:p w14:paraId="505ADE8F" w14:textId="77777777" w:rsidR="006F7BA8" w:rsidRDefault="006F7BA8" w:rsidP="006F7BA8">
      <w:pPr>
        <w:pStyle w:val="Textonotapie"/>
        <w:ind w:firstLine="708"/>
        <w:jc w:val="both"/>
        <w:rPr>
          <w:rFonts w:ascii="Verdana" w:hAnsi="Verdana"/>
          <w:sz w:val="16"/>
          <w:szCs w:val="16"/>
        </w:rPr>
      </w:pPr>
      <w:r>
        <w:rPr>
          <w:rStyle w:val="Refdenotaalpie"/>
          <w:rFonts w:ascii="Verdana" w:hAnsi="Verdana"/>
          <w:sz w:val="16"/>
          <w:szCs w:val="16"/>
        </w:rPr>
        <w:footnoteRef/>
      </w:r>
      <w:r>
        <w:rPr>
          <w:rFonts w:ascii="Verdana" w:hAnsi="Verdana"/>
          <w:sz w:val="16"/>
          <w:szCs w:val="16"/>
        </w:rPr>
        <w:t xml:space="preserve"> Agencia Nacional de Contratación Pública – Colombia Compra Eficiente. Concepto C-447 del 19 de septiembre de 2024. Consultar en: </w:t>
      </w:r>
      <w:hyperlink r:id="rId2" w:history="1">
        <w:r>
          <w:rPr>
            <w:rStyle w:val="Hipervnculo"/>
            <w:rFonts w:ascii="Verdana" w:hAnsi="Verdana"/>
            <w:sz w:val="16"/>
            <w:szCs w:val="16"/>
          </w:rPr>
          <w:t>https://relatoria.colombiacompra.gov.co/conceptos/c-447-de-2024/</w:t>
        </w:r>
      </w:hyperlink>
      <w:r>
        <w:rPr>
          <w:rFonts w:ascii="Verdana" w:hAnsi="Verdana"/>
          <w:sz w:val="16"/>
          <w:szCs w:val="16"/>
        </w:rPr>
        <w:t xml:space="preserve"> </w:t>
      </w:r>
    </w:p>
    <w:p w14:paraId="4918FF19" w14:textId="77777777" w:rsidR="006F7BA8" w:rsidRDefault="006F7BA8" w:rsidP="006F7BA8">
      <w:pPr>
        <w:pStyle w:val="Textonotapie"/>
        <w:jc w:val="both"/>
        <w:rPr>
          <w:rFonts w:ascii="Verdana" w:hAnsi="Verdana"/>
          <w:sz w:val="16"/>
          <w:szCs w:val="16"/>
        </w:rPr>
      </w:pPr>
    </w:p>
  </w:footnote>
  <w:footnote w:id="4">
    <w:p w14:paraId="5EFF322E" w14:textId="77777777" w:rsidR="006F7BA8" w:rsidRDefault="006F7BA8" w:rsidP="006F7BA8">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Style w:val="Refdenotaalpie"/>
          <w:rFonts w:ascii="Verdana" w:hAnsi="Verdana" w:cs="Arial"/>
          <w:color w:val="000000"/>
          <w:sz w:val="16"/>
          <w:szCs w:val="16"/>
        </w:rPr>
        <w:t xml:space="preserve"> </w:t>
      </w:r>
      <w:r>
        <w:rPr>
          <w:rFonts w:ascii="Verdana" w:hAnsi="Verdana"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p w14:paraId="7F34EF37" w14:textId="77777777" w:rsidR="006F7BA8" w:rsidRDefault="006F7BA8" w:rsidP="006F7BA8">
      <w:pPr>
        <w:pStyle w:val="Textonotapie"/>
        <w:ind w:firstLine="709"/>
        <w:jc w:val="both"/>
        <w:rPr>
          <w:rFonts w:ascii="Verdana" w:hAnsi="Verdana" w:cs="Arial"/>
          <w:color w:val="000000"/>
          <w:sz w:val="16"/>
          <w:szCs w:val="16"/>
        </w:rPr>
      </w:pPr>
    </w:p>
  </w:footnote>
  <w:footnote w:id="5">
    <w:p w14:paraId="2CCA0F63" w14:textId="77777777" w:rsidR="006F7BA8" w:rsidRDefault="006F7BA8" w:rsidP="006F7BA8">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Sin embargo, debe tenerse en cuenta que la última norma en cita -Decreto 2474 de 2008, aparte subrayado-, establece un límite a la </w:t>
      </w:r>
      <w:proofErr w:type="spellStart"/>
      <w:r>
        <w:rPr>
          <w:rFonts w:ascii="Verdana" w:hAnsi="Verdana" w:cs="Arial"/>
          <w:color w:val="000000"/>
          <w:sz w:val="16"/>
          <w:szCs w:val="16"/>
        </w:rPr>
        <w:t>subsanabilidad</w:t>
      </w:r>
      <w:proofErr w:type="spellEnd"/>
      <w:r>
        <w:rPr>
          <w:rFonts w:ascii="Verdana" w:hAnsi="Verdana" w:cs="Arial"/>
          <w:color w:val="000000"/>
          <w:sz w:val="16"/>
          <w:szCs w:val="16"/>
        </w:rPr>
        <w:t>, puesto que en cualquier caso debe referirse o recaer sobre circunstancias ocurridas antes del cierre del respectivo proceso, esto es, del vencimiento del plazo para presentar ofertas.</w:t>
      </w:r>
    </w:p>
    <w:p w14:paraId="5EBD0CEC" w14:textId="77777777" w:rsidR="006F7BA8" w:rsidRDefault="006F7BA8" w:rsidP="006F7BA8">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Pr>
          <w:rFonts w:ascii="Verdana" w:hAnsi="Verdana" w:cs="Arial"/>
          <w:color w:val="000000"/>
          <w:sz w:val="16"/>
          <w:szCs w:val="16"/>
        </w:rPr>
        <w:t>la misma</w:t>
      </w:r>
      <w:proofErr w:type="gramEnd"/>
      <w:r>
        <w:rPr>
          <w:rFonts w:ascii="Verdana" w:hAnsi="Verdana" w:cs="Arial"/>
          <w:color w:val="000000"/>
          <w:sz w:val="16"/>
          <w:szCs w:val="16"/>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Pr>
          <w:rFonts w:ascii="Verdana" w:hAnsi="Verdana" w:cs="Arial"/>
          <w:color w:val="000000"/>
          <w:sz w:val="16"/>
          <w:szCs w:val="16"/>
        </w:rPr>
        <w:t>del mismo</w:t>
      </w:r>
      <w:proofErr w:type="gramEnd"/>
      <w:r>
        <w:rPr>
          <w:rFonts w:ascii="Verdana" w:hAnsi="Verdana" w:cs="Arial"/>
          <w:color w:val="000000"/>
          <w:sz w:val="16"/>
          <w:szCs w:val="16"/>
        </w:rPr>
        <w:t xml:space="preserve"> o lo actualice, pero no para que se constituya la sociedad con posterioridad al cierre del proceso, pues si ello no se había hecho, significa simplemente que el oferente no tenía la condición para participar. (Consejo de Estado. Sala de Consulta y Servicio Civil. Concepto del 6 de noviembre de 2008. Expediente: 1927. Consejero Ponente: William Zambrano Cetina).</w:t>
      </w:r>
    </w:p>
    <w:p w14:paraId="15A5B046" w14:textId="77777777" w:rsidR="006F7BA8" w:rsidRDefault="006F7BA8" w:rsidP="006F7BA8">
      <w:pPr>
        <w:pStyle w:val="Textonotapie"/>
        <w:ind w:firstLine="709"/>
        <w:jc w:val="both"/>
        <w:rPr>
          <w:rFonts w:ascii="Verdana" w:hAnsi="Verdana" w:cs="Arial"/>
          <w:color w:val="000000"/>
          <w:sz w:val="16"/>
          <w:szCs w:val="16"/>
        </w:rPr>
      </w:pPr>
    </w:p>
  </w:footnote>
  <w:footnote w:id="6">
    <w:p w14:paraId="10682E8C" w14:textId="77777777" w:rsidR="006F7BA8" w:rsidRDefault="006F7BA8" w:rsidP="006F7BA8">
      <w:pPr>
        <w:pStyle w:val="Textonotapie"/>
        <w:ind w:firstLine="709"/>
        <w:jc w:val="both"/>
        <w:rPr>
          <w:rFonts w:ascii="Verdana" w:hAnsi="Verdana" w:cs="Arial"/>
          <w:color w:val="000000"/>
          <w:sz w:val="16"/>
          <w:szCs w:val="16"/>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color w:val="000000"/>
          <w:sz w:val="16"/>
          <w:szCs w:val="16"/>
        </w:rPr>
        <w:t xml:space="preserve">En armonía con lo anterior, actualmente la Circular Externa Única de Colombia Compra Eficiente señala lo siguiente: “De otro lado, cabe destacar que, de conformidad con el artículo 5 de la Ley 1882 de 2018, durante el término otorgado para subsanar, los proponentes no podrán acreditar circunstancias ocurridas luego del cierre del proceso. De esta manera, es subsanable la prueba de todas las circunstancias ocurridas antes del vencimiento del término para presentar las ofertas, por lo que no se podrán acreditar circunstancias ocurridas con posterioridad a dicho momento. </w:t>
      </w:r>
    </w:p>
    <w:p w14:paraId="07CE5E6B" w14:textId="77777777" w:rsidR="006F7BA8" w:rsidRDefault="006F7BA8" w:rsidP="006F7BA8">
      <w:pPr>
        <w:pStyle w:val="Textonotapie"/>
        <w:ind w:firstLine="709"/>
        <w:jc w:val="both"/>
        <w:rPr>
          <w:rFonts w:ascii="Verdana" w:hAnsi="Verdana" w:cs="Arial"/>
          <w:color w:val="000000"/>
          <w:sz w:val="16"/>
          <w:szCs w:val="16"/>
        </w:rPr>
      </w:pPr>
      <w:r>
        <w:rPr>
          <w:rFonts w:ascii="Verdana" w:hAnsi="Verdana" w:cs="Arial"/>
          <w:color w:val="000000"/>
          <w:sz w:val="16"/>
          <w:szCs w:val="16"/>
        </w:rPr>
        <w:t xml:space="preserve">Lo anterior quiere decir que no es la prueba lo que debe ser anterior al cierre del proceso, sino el hecho que esta acredita. En ese sentido, ante la solicitud de la Administración de subsanar un requisito, el documento podría estar fechado con posterioridad al vencimiento del término para recibir propuestas, con la condición de que el hecho que acredite haya ocurrido antes, esto es, que no sea una circunstancia ocurrida con posterioridad al cierre del proceso. Un mejor entendimiento del significado de la expresión «circunstancias ocurridas con posterioridad al cierre del proceso» implica distinguir entre la prueba de un hecho y el hecho mismo. En el caso de la </w:t>
      </w:r>
      <w:proofErr w:type="spellStart"/>
      <w:r>
        <w:rPr>
          <w:rFonts w:ascii="Verdana" w:hAnsi="Verdana" w:cs="Arial"/>
          <w:color w:val="000000"/>
          <w:sz w:val="16"/>
          <w:szCs w:val="16"/>
        </w:rPr>
        <w:t>subsanabilidad</w:t>
      </w:r>
      <w:proofErr w:type="spellEnd"/>
      <w:r>
        <w:rPr>
          <w:rFonts w:ascii="Verdana" w:hAnsi="Verdana" w:cs="Arial"/>
          <w:color w:val="000000"/>
          <w:sz w:val="16"/>
          <w:szCs w:val="16"/>
        </w:rPr>
        <w:t xml:space="preserve"> de las ofertas, una cosa es el requisito habilitante o el elemento de la propuesta que permite cumplir determinada exigencia del pliego de condiciones –o documento equivalente– y otra su prueba. Lo que prohíbe la norma es que se subsanen requisitos que no estaban materialmente cumplidos al momento del cierre del proceso”. Disponible en: </w:t>
      </w:r>
      <w:hyperlink r:id="rId3" w:history="1">
        <w:r>
          <w:rPr>
            <w:rStyle w:val="Hipervnculo"/>
            <w:rFonts w:ascii="Verdana" w:hAnsi="Verdana" w:cs="Arial"/>
            <w:sz w:val="16"/>
            <w:szCs w:val="16"/>
          </w:rPr>
          <w:t>https://www.colombiacompra.gov.co/circulares?page=2</w:t>
        </w:r>
      </w:hyperlink>
      <w:r>
        <w:rPr>
          <w:rStyle w:val="Hipervnculo"/>
          <w:rFonts w:ascii="Verdana" w:hAnsi="Verdana" w:cs="Arial"/>
          <w:color w:val="000000"/>
          <w:sz w:val="16"/>
          <w:szCs w:val="16"/>
        </w:rPr>
        <w:t xml:space="preserve"> </w:t>
      </w:r>
    </w:p>
    <w:p w14:paraId="1308F322" w14:textId="77777777" w:rsidR="006F7BA8" w:rsidRDefault="006F7BA8" w:rsidP="006F7BA8">
      <w:pPr>
        <w:pStyle w:val="Textonotapie"/>
        <w:ind w:firstLine="709"/>
        <w:jc w:val="both"/>
        <w:rPr>
          <w:rFonts w:ascii="Verdana" w:hAnsi="Verdana" w:cs="Arial"/>
          <w:color w:val="000000"/>
          <w:sz w:val="16"/>
          <w:szCs w:val="16"/>
        </w:rPr>
      </w:pPr>
    </w:p>
  </w:footnote>
  <w:footnote w:id="7">
    <w:p w14:paraId="59642509" w14:textId="77777777" w:rsidR="006F7BA8" w:rsidRDefault="006F7BA8" w:rsidP="006F7BA8">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2011. C.P. Jaime Orlando Santofimio. Rad. 36.408. </w:t>
      </w:r>
    </w:p>
  </w:footnote>
  <w:footnote w:id="8">
    <w:p w14:paraId="71EDA142" w14:textId="77777777" w:rsidR="006F7BA8" w:rsidRDefault="006F7BA8" w:rsidP="006F7BA8">
      <w:pPr>
        <w:pStyle w:val="Textonotapie"/>
        <w:ind w:firstLine="709"/>
        <w:jc w:val="both"/>
        <w:rPr>
          <w:rFonts w:ascii="Verdana" w:hAnsi="Verdana" w:cs="Arial"/>
          <w:color w:val="000000"/>
          <w:sz w:val="16"/>
          <w:szCs w:val="16"/>
        </w:rPr>
      </w:pPr>
    </w:p>
    <w:p w14:paraId="44505CC2" w14:textId="77777777" w:rsidR="006F7BA8" w:rsidRDefault="006F7BA8" w:rsidP="006F7BA8">
      <w:pPr>
        <w:pStyle w:val="Textonotapie"/>
        <w:ind w:firstLine="709"/>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Ver CONSEJO DE ESTADO, Sección Tercera, Subsección C. Sentencia del 26 de febrero de 2014. C.P. Enrique Gil Botero. Rad. 25.804. </w:t>
      </w:r>
    </w:p>
    <w:p w14:paraId="5A035B03" w14:textId="77777777" w:rsidR="006F7BA8" w:rsidRDefault="006F7BA8" w:rsidP="006F7BA8">
      <w:pPr>
        <w:pStyle w:val="Textonotapie"/>
        <w:ind w:firstLine="709"/>
        <w:jc w:val="both"/>
        <w:rPr>
          <w:rFonts w:ascii="Verdana" w:hAnsi="Verdana" w:cs="Arial"/>
          <w:color w:val="000000"/>
          <w:sz w:val="16"/>
          <w:szCs w:val="16"/>
        </w:rPr>
      </w:pPr>
    </w:p>
  </w:footnote>
  <w:footnote w:id="9">
    <w:p w14:paraId="4DC76871" w14:textId="77777777" w:rsidR="006F7BA8" w:rsidRDefault="006F7BA8" w:rsidP="006F7BA8">
      <w:pPr>
        <w:pStyle w:val="Textonotapie"/>
        <w:ind w:firstLine="708"/>
        <w:jc w:val="both"/>
        <w:rPr>
          <w:rFonts w:ascii="Verdana" w:hAnsi="Verdana" w:cs="Arial"/>
          <w:color w:val="000000"/>
          <w:sz w:val="16"/>
          <w:szCs w:val="16"/>
        </w:rPr>
      </w:pPr>
      <w:r>
        <w:rPr>
          <w:rStyle w:val="Refdenotaalpie"/>
          <w:rFonts w:ascii="Verdana" w:hAnsi="Verdana" w:cs="Arial"/>
          <w:color w:val="000000"/>
          <w:sz w:val="16"/>
          <w:szCs w:val="16"/>
        </w:rPr>
        <w:footnoteRef/>
      </w:r>
      <w:r>
        <w:rPr>
          <w:rFonts w:ascii="Verdana" w:hAnsi="Verdana" w:cs="Arial"/>
          <w:color w:val="000000"/>
          <w:sz w:val="16"/>
          <w:szCs w:val="16"/>
        </w:rPr>
        <w:t xml:space="preserve"> CONSEJO DE ESTADO. Sala de Consulta y Servicio Civil. Concepto del 20 de mayo de 2010. Expediente: 1992. Consejero Ponente: Enrique José Arboleda Perdomo.</w:t>
      </w:r>
    </w:p>
    <w:p w14:paraId="75FE9588" w14:textId="77777777" w:rsidR="006F7BA8" w:rsidRDefault="006F7BA8" w:rsidP="006F7BA8">
      <w:pPr>
        <w:pStyle w:val="Textonotapie"/>
        <w:ind w:firstLine="708"/>
        <w:jc w:val="both"/>
        <w:rPr>
          <w:rFonts w:ascii="Verdana" w:hAnsi="Verdana" w:cs="Arial"/>
          <w:color w:val="000000"/>
          <w:sz w:val="16"/>
          <w:szCs w:val="16"/>
        </w:rPr>
      </w:pPr>
    </w:p>
  </w:footnote>
  <w:footnote w:id="10">
    <w:p w14:paraId="42BB847B" w14:textId="77777777" w:rsidR="006F7BA8" w:rsidRDefault="006F7BA8" w:rsidP="006F7BA8">
      <w:pPr>
        <w:spacing w:after="0" w:line="240" w:lineRule="auto"/>
        <w:ind w:firstLine="709"/>
        <w:jc w:val="both"/>
        <w:rPr>
          <w:rFonts w:ascii="Verdana" w:eastAsia="Arial" w:hAnsi="Verdana" w:cs="Arial"/>
          <w:color w:val="000000"/>
          <w:sz w:val="16"/>
          <w:szCs w:val="16"/>
        </w:rPr>
      </w:pPr>
      <w:r>
        <w:rPr>
          <w:rFonts w:ascii="Verdana" w:hAnsi="Verdana" w:cs="Arial"/>
          <w:sz w:val="16"/>
          <w:szCs w:val="16"/>
          <w:vertAlign w:val="superscript"/>
        </w:rPr>
        <w:footnoteRef/>
      </w:r>
      <w:r>
        <w:rPr>
          <w:rFonts w:ascii="Verdana" w:eastAsia="Arial" w:hAnsi="Verdana" w:cs="Arial"/>
          <w:color w:val="000000"/>
          <w:sz w:val="16"/>
          <w:szCs w:val="16"/>
        </w:rPr>
        <w:t xml:space="preserve"> CONSEJO DE ESTADO. Sección Tercera. Subsección C. Sentencia del 12 de noviembre de 2014. </w:t>
      </w:r>
      <w:proofErr w:type="spellStart"/>
      <w:r>
        <w:rPr>
          <w:rFonts w:ascii="Verdana" w:eastAsia="Arial" w:hAnsi="Verdana" w:cs="Arial"/>
          <w:color w:val="000000"/>
          <w:sz w:val="16"/>
          <w:szCs w:val="16"/>
        </w:rPr>
        <w:t>Exp</w:t>
      </w:r>
      <w:proofErr w:type="spellEnd"/>
      <w:r>
        <w:rPr>
          <w:rFonts w:ascii="Verdana" w:eastAsia="Arial" w:hAnsi="Verdana" w:cs="Arial"/>
          <w:color w:val="000000"/>
          <w:sz w:val="16"/>
          <w:szCs w:val="16"/>
        </w:rPr>
        <w:t>. 27.986. C.P. Enrique Gil Botero.</w:t>
      </w:r>
    </w:p>
    <w:p w14:paraId="2ED6491D" w14:textId="77777777" w:rsidR="006F7BA8" w:rsidRDefault="006F7BA8" w:rsidP="006F7BA8">
      <w:pPr>
        <w:spacing w:after="0" w:line="240" w:lineRule="auto"/>
        <w:ind w:firstLine="709"/>
        <w:jc w:val="both"/>
        <w:rPr>
          <w:rFonts w:ascii="Verdana" w:eastAsia="Arial" w:hAnsi="Verdana" w:cs="Arial"/>
          <w:color w:val="000000"/>
          <w:sz w:val="16"/>
          <w:szCs w:val="16"/>
        </w:rPr>
      </w:pPr>
    </w:p>
  </w:footnote>
  <w:footnote w:id="11">
    <w:p w14:paraId="6DBF9C9F" w14:textId="77777777" w:rsidR="006F7BA8" w:rsidRDefault="006F7BA8" w:rsidP="006F7BA8">
      <w:pPr>
        <w:pStyle w:val="Textonotapie"/>
        <w:ind w:firstLine="709"/>
        <w:jc w:val="both"/>
        <w:rPr>
          <w:rFonts w:ascii="Verdana" w:eastAsia="Calibri" w:hAnsi="Verdana" w:cs="Arial"/>
          <w:sz w:val="16"/>
          <w:szCs w:val="16"/>
          <w:lang w:val="es-CO"/>
        </w:rPr>
      </w:pPr>
      <w:r>
        <w:rPr>
          <w:rStyle w:val="Refdenotaalpie"/>
          <w:rFonts w:ascii="Verdana" w:hAnsi="Verdana" w:cs="Arial"/>
          <w:sz w:val="16"/>
          <w:szCs w:val="16"/>
        </w:rPr>
        <w:footnoteRef/>
      </w:r>
      <w:r>
        <w:rPr>
          <w:rFonts w:ascii="Verdana" w:hAnsi="Verdana" w:cs="Arial"/>
          <w:sz w:val="16"/>
          <w:szCs w:val="16"/>
        </w:rPr>
        <w:t xml:space="preserve"> </w:t>
      </w:r>
      <w:r>
        <w:rPr>
          <w:rFonts w:ascii="Verdana" w:hAnsi="Verdana" w:cs="Arial"/>
          <w:bCs/>
          <w:sz w:val="16"/>
          <w:szCs w:val="16"/>
        </w:rPr>
        <w:t xml:space="preserve">En todo caso, conforme al parágrafo 3 del artículo 30 del Estatuto General de Contratación de la Administración pública, es necesario tener en cuenta que para los procesos de licitación para los contratistas de obra pública la oferta debe entregarse en dos sobres. El sobre numero 2 contiene la propuesta económica, y la norma dispone “[…] se mantendrá cerrado hasta la audiencia efectiva de adjudicación, momento en el cual se podrán hacer observaciones al informe de evaluación, las cuales se decidirán en la misma. Durante esta audiencia se dará apertura al sobre, se evaluará la oferta económica a través del mecanismo escogido mediante el método aleatorio que se establezca en los pliegos de condiciones, corriendo traslado a los proponentes habilitados en la misma diligencia solo para la revisión del aspecto económico y se establecerá el orden de elegibilidad”.  </w:t>
      </w:r>
    </w:p>
  </w:footnote>
  <w:footnote w:id="12">
    <w:p w14:paraId="6AE87DB7" w14:textId="77777777" w:rsidR="006F7BA8" w:rsidRDefault="006F7BA8" w:rsidP="006F7BA8">
      <w:pPr>
        <w:spacing w:after="0" w:line="240" w:lineRule="auto"/>
        <w:ind w:firstLine="709"/>
        <w:jc w:val="both"/>
        <w:rPr>
          <w:rFonts w:ascii="Verdana" w:hAnsi="Verdana" w:cs="Arial"/>
          <w:color w:val="000000"/>
          <w:sz w:val="16"/>
          <w:szCs w:val="16"/>
        </w:rPr>
      </w:pPr>
    </w:p>
    <w:p w14:paraId="742BBC5B" w14:textId="77777777" w:rsidR="006F7BA8" w:rsidRPr="00E8380C" w:rsidRDefault="006F7BA8" w:rsidP="006F7BA8">
      <w:pPr>
        <w:spacing w:after="0" w:line="240" w:lineRule="auto"/>
        <w:ind w:firstLine="709"/>
        <w:jc w:val="both"/>
        <w:rPr>
          <w:rFonts w:ascii="Verdana" w:eastAsia="Arial" w:hAnsi="Verdana" w:cs="Arial"/>
          <w:i/>
          <w:color w:val="000000"/>
          <w:sz w:val="16"/>
          <w:szCs w:val="16"/>
          <w:lang w:val="pt-PT"/>
        </w:rPr>
      </w:pPr>
      <w:r>
        <w:rPr>
          <w:rFonts w:ascii="Verdana" w:hAnsi="Verdana" w:cs="Arial"/>
          <w:sz w:val="16"/>
          <w:szCs w:val="16"/>
          <w:vertAlign w:val="superscript"/>
        </w:rPr>
        <w:footnoteRef/>
      </w:r>
      <w:r w:rsidRPr="00E8380C">
        <w:rPr>
          <w:rFonts w:ascii="Verdana" w:hAnsi="Verdana" w:cs="Arial"/>
          <w:color w:val="000000"/>
          <w:sz w:val="16"/>
          <w:szCs w:val="16"/>
          <w:lang w:val="pt-PT"/>
        </w:rPr>
        <w:t xml:space="preserve"> </w:t>
      </w:r>
      <w:r w:rsidRPr="00E8380C">
        <w:rPr>
          <w:rFonts w:ascii="Verdana" w:eastAsia="Arial" w:hAnsi="Verdana" w:cs="Arial"/>
          <w:color w:val="000000"/>
          <w:sz w:val="16"/>
          <w:szCs w:val="16"/>
          <w:lang w:val="pt-PT"/>
        </w:rPr>
        <w:t>Ibídem</w:t>
      </w:r>
      <w:r w:rsidRPr="00E8380C">
        <w:rPr>
          <w:rFonts w:ascii="Verdana" w:eastAsia="Arial" w:hAnsi="Verdana" w:cs="Arial"/>
          <w:i/>
          <w:color w:val="000000"/>
          <w:sz w:val="16"/>
          <w:szCs w:val="16"/>
          <w:lang w:val="pt-PT"/>
        </w:rPr>
        <w:t>.</w:t>
      </w:r>
    </w:p>
    <w:p w14:paraId="4CE5D808" w14:textId="77777777" w:rsidR="006F7BA8" w:rsidRPr="00E8380C" w:rsidRDefault="006F7BA8" w:rsidP="006F7BA8">
      <w:pPr>
        <w:spacing w:after="0" w:line="240" w:lineRule="auto"/>
        <w:ind w:firstLine="709"/>
        <w:jc w:val="both"/>
        <w:rPr>
          <w:rFonts w:ascii="Verdana" w:eastAsia="Calibri" w:hAnsi="Verdana" w:cs="Arial"/>
          <w:color w:val="000000"/>
          <w:sz w:val="16"/>
          <w:szCs w:val="16"/>
          <w:lang w:val="pt-PT"/>
        </w:rPr>
      </w:pPr>
    </w:p>
  </w:footnote>
  <w:footnote w:id="13">
    <w:p w14:paraId="289D972E" w14:textId="77777777" w:rsidR="006F7BA8" w:rsidRPr="00E8380C" w:rsidRDefault="006F7BA8" w:rsidP="006F7BA8">
      <w:pPr>
        <w:spacing w:after="0" w:line="240" w:lineRule="auto"/>
        <w:ind w:firstLine="709"/>
        <w:jc w:val="both"/>
        <w:rPr>
          <w:rFonts w:ascii="Verdana" w:hAnsi="Verdana" w:cs="Arial"/>
          <w:color w:val="000000"/>
          <w:sz w:val="16"/>
          <w:szCs w:val="16"/>
          <w:lang w:val="pt-PT"/>
        </w:rPr>
      </w:pPr>
      <w:r>
        <w:rPr>
          <w:rFonts w:ascii="Verdana" w:hAnsi="Verdana" w:cs="Arial"/>
          <w:sz w:val="16"/>
          <w:szCs w:val="16"/>
          <w:vertAlign w:val="superscript"/>
        </w:rPr>
        <w:footnoteRef/>
      </w:r>
      <w:r w:rsidRPr="00E8380C">
        <w:rPr>
          <w:rFonts w:ascii="Verdana" w:hAnsi="Verdana" w:cs="Arial"/>
          <w:color w:val="000000"/>
          <w:sz w:val="16"/>
          <w:szCs w:val="16"/>
          <w:lang w:val="pt-PT"/>
        </w:rPr>
        <w:t xml:space="preserve"> </w:t>
      </w:r>
      <w:r w:rsidRPr="00E8380C">
        <w:rPr>
          <w:rFonts w:ascii="Verdana" w:hAnsi="Verdana" w:cs="Arial"/>
          <w:color w:val="000000"/>
          <w:sz w:val="16"/>
          <w:szCs w:val="16"/>
          <w:lang w:val="pt-PT"/>
        </w:rPr>
        <w:t>Ibídem</w:t>
      </w:r>
    </w:p>
    <w:p w14:paraId="40BD853F" w14:textId="77777777" w:rsidR="006F7BA8" w:rsidRPr="00E8380C" w:rsidRDefault="006F7BA8" w:rsidP="006F7BA8">
      <w:pPr>
        <w:spacing w:after="0" w:line="240" w:lineRule="auto"/>
        <w:ind w:firstLine="709"/>
        <w:jc w:val="both"/>
        <w:rPr>
          <w:rFonts w:ascii="Verdana" w:hAnsi="Verdana" w:cs="Arial"/>
          <w:color w:val="000000"/>
          <w:sz w:val="16"/>
          <w:szCs w:val="16"/>
          <w:lang w:val="pt-PT"/>
        </w:rPr>
      </w:pPr>
    </w:p>
  </w:footnote>
  <w:footnote w:id="14">
    <w:p w14:paraId="41AD8AF1"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hAnsi="Verdana" w:cs="Arial"/>
          <w:color w:val="000000" w:themeColor="text1"/>
          <w:sz w:val="16"/>
          <w:szCs w:val="16"/>
          <w:vertAlign w:val="superscript"/>
        </w:rPr>
        <w:footnoteRef/>
      </w:r>
      <w:r w:rsidRPr="00E8380C">
        <w:rPr>
          <w:rFonts w:ascii="Verdana" w:eastAsia="Arial" w:hAnsi="Verdana" w:cs="Arial"/>
          <w:color w:val="000000" w:themeColor="text1"/>
          <w:sz w:val="16"/>
          <w:szCs w:val="16"/>
          <w:lang w:val="pt-PT"/>
        </w:rPr>
        <w:t xml:space="preserve">  </w:t>
      </w:r>
      <w:r w:rsidRPr="00E8380C">
        <w:rPr>
          <w:rFonts w:ascii="Verdana" w:eastAsia="Arial" w:hAnsi="Verdana" w:cs="Arial"/>
          <w:color w:val="000000" w:themeColor="text1"/>
          <w:sz w:val="16"/>
          <w:szCs w:val="16"/>
          <w:lang w:val="pt-PT"/>
        </w:rPr>
        <w:t xml:space="preserve">RODRÍGUEZ </w:t>
      </w:r>
      <w:r w:rsidRPr="00E8380C">
        <w:rPr>
          <w:rFonts w:ascii="Verdana" w:eastAsia="Arial" w:hAnsi="Verdana" w:cs="Arial"/>
          <w:color w:val="000000" w:themeColor="text1"/>
          <w:sz w:val="16"/>
          <w:szCs w:val="16"/>
          <w:lang w:val="pt-PT"/>
        </w:rPr>
        <w:t xml:space="preserve">TAMAYO, Mauricio Fernando. </w:t>
      </w:r>
      <w:r>
        <w:rPr>
          <w:rFonts w:ascii="Verdana" w:eastAsia="Arial" w:hAnsi="Verdana" w:cs="Arial"/>
          <w:color w:val="000000" w:themeColor="text1"/>
          <w:sz w:val="16"/>
          <w:szCs w:val="16"/>
        </w:rPr>
        <w:t xml:space="preserve">Evaluación y rechazo de ofertas en la Ley 80 de 1993. Medellín: Librería Jurídica Sánchez, 2016. p. 190. </w:t>
      </w:r>
    </w:p>
    <w:p w14:paraId="39B81D36"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p>
  </w:footnote>
  <w:footnote w:id="15">
    <w:p w14:paraId="67457C67"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hAnsi="Verdana" w:cs="Arial"/>
          <w:color w:val="000000" w:themeColor="text1"/>
          <w:sz w:val="16"/>
          <w:szCs w:val="16"/>
          <w:vertAlign w:val="superscript"/>
        </w:rPr>
        <w:footnoteRef/>
      </w:r>
      <w:r>
        <w:rPr>
          <w:rFonts w:ascii="Verdana" w:eastAsia="Arial" w:hAnsi="Verdana" w:cs="Arial"/>
          <w:color w:val="000000" w:themeColor="text1"/>
          <w:sz w:val="16"/>
          <w:szCs w:val="16"/>
        </w:rPr>
        <w:t xml:space="preserve">  Ley 80 de 1993 “</w:t>
      </w:r>
      <w:r>
        <w:rPr>
          <w:rFonts w:ascii="Verdana" w:eastAsia="Arial" w:hAnsi="Verdana" w:cs="Arial"/>
          <w:bCs/>
          <w:color w:val="000000" w:themeColor="text1"/>
          <w:sz w:val="16"/>
          <w:szCs w:val="16"/>
        </w:rPr>
        <w:t>Articulo 24. Del principio de transparencia. </w:t>
      </w:r>
      <w:r>
        <w:rPr>
          <w:rFonts w:ascii="Verdana" w:eastAsia="Arial" w:hAnsi="Verdana" w:cs="Arial"/>
          <w:color w:val="000000" w:themeColor="text1"/>
          <w:sz w:val="16"/>
          <w:szCs w:val="16"/>
        </w:rPr>
        <w:t xml:space="preserve">En virtud de este principio: </w:t>
      </w:r>
    </w:p>
    <w:p w14:paraId="6FC268D0"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w:t>
      </w:r>
    </w:p>
    <w:p w14:paraId="103BD4E6"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5o. En los pliegos de condiciones:</w:t>
      </w:r>
    </w:p>
    <w:p w14:paraId="62632D3B"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w:t>
      </w:r>
    </w:p>
    <w:p w14:paraId="11CB1AAF"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b) Se definirán reglas objetivas, justas, claras y completas que permitan la confección de ofrecimientos de la misma índole, aseguren una escogencia objetiva y eviten la declaratoria de desierta de la licitación […]”.</w:t>
      </w:r>
    </w:p>
    <w:p w14:paraId="37CB74C8"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p>
  </w:footnote>
  <w:footnote w:id="16">
    <w:p w14:paraId="134BE1E5"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hAnsi="Verdana" w:cs="Arial"/>
          <w:color w:val="000000" w:themeColor="text1"/>
          <w:sz w:val="16"/>
          <w:szCs w:val="16"/>
          <w:vertAlign w:val="superscript"/>
        </w:rPr>
        <w:footnoteRef/>
      </w:r>
      <w:r>
        <w:rPr>
          <w:rFonts w:ascii="Verdana" w:eastAsia="Arial" w:hAnsi="Verdana" w:cs="Arial"/>
          <w:color w:val="000000" w:themeColor="text1"/>
          <w:sz w:val="16"/>
          <w:szCs w:val="16"/>
        </w:rPr>
        <w:t xml:space="preserve"> Decreto 1082 de 2015 “Artículo 2.2.1.1.2.1.3. Pliegos de condiciones. Los pliegos de condiciones deben contener por lo menos la siguiente información</w:t>
      </w:r>
    </w:p>
    <w:p w14:paraId="6125BB5F"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w:t>
      </w:r>
    </w:p>
    <w:p w14:paraId="7F9219A7"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eastAsia="Arial" w:hAnsi="Verdana" w:cs="Arial"/>
          <w:color w:val="000000" w:themeColor="text1"/>
          <w:sz w:val="16"/>
          <w:szCs w:val="16"/>
        </w:rPr>
        <w:t>6. Las causas que dan lugar a rechazar una oferta […]”</w:t>
      </w:r>
    </w:p>
  </w:footnote>
  <w:footnote w:id="17">
    <w:p w14:paraId="22EF1C52"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r>
        <w:rPr>
          <w:rFonts w:ascii="Verdana" w:hAnsi="Verdana" w:cs="Arial"/>
          <w:color w:val="000000" w:themeColor="text1"/>
          <w:sz w:val="16"/>
          <w:szCs w:val="16"/>
          <w:vertAlign w:val="superscript"/>
        </w:rPr>
        <w:footnoteRef/>
      </w:r>
      <w:r>
        <w:rPr>
          <w:rFonts w:ascii="Verdana" w:eastAsia="Arial" w:hAnsi="Verdana" w:cs="Arial"/>
          <w:color w:val="000000" w:themeColor="text1"/>
          <w:sz w:val="16"/>
          <w:szCs w:val="16"/>
        </w:rPr>
        <w:t xml:space="preserve"> CONSEJO DE ESTADO. Sección Tercera Subsección B. Sentencia del 27 de abril de 2011. Expediente No. 18.293. C.P. Ponente: Ruth Stella Correa Palacio. </w:t>
      </w:r>
    </w:p>
    <w:p w14:paraId="4A1E4AFB" w14:textId="77777777" w:rsidR="006F7BA8" w:rsidRDefault="006F7BA8" w:rsidP="006F7BA8">
      <w:pPr>
        <w:spacing w:after="0" w:line="240" w:lineRule="auto"/>
        <w:ind w:firstLine="709"/>
        <w:jc w:val="both"/>
        <w:rPr>
          <w:rFonts w:ascii="Verdana" w:eastAsia="Arial" w:hAnsi="Verdana" w:cs="Arial"/>
          <w:color w:val="000000" w:themeColor="text1"/>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998508393">
    <w:abstractNumId w:val="9"/>
  </w:num>
  <w:num w:numId="17" w16cid:durableId="81830042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62235"/>
    <w:rsid w:val="00082362"/>
    <w:rsid w:val="00091451"/>
    <w:rsid w:val="000A683E"/>
    <w:rsid w:val="000B19B9"/>
    <w:rsid w:val="000D0334"/>
    <w:rsid w:val="000E3673"/>
    <w:rsid w:val="000F6486"/>
    <w:rsid w:val="00117701"/>
    <w:rsid w:val="00125105"/>
    <w:rsid w:val="00127233"/>
    <w:rsid w:val="001511A0"/>
    <w:rsid w:val="001A09CC"/>
    <w:rsid w:val="001E4177"/>
    <w:rsid w:val="001F7B96"/>
    <w:rsid w:val="001F7DC6"/>
    <w:rsid w:val="00230746"/>
    <w:rsid w:val="002421BB"/>
    <w:rsid w:val="0025796E"/>
    <w:rsid w:val="002707A2"/>
    <w:rsid w:val="0027631B"/>
    <w:rsid w:val="002951A0"/>
    <w:rsid w:val="002962BC"/>
    <w:rsid w:val="002A093D"/>
    <w:rsid w:val="002A0DD0"/>
    <w:rsid w:val="002A49AC"/>
    <w:rsid w:val="002A64FD"/>
    <w:rsid w:val="002B4815"/>
    <w:rsid w:val="002C7A84"/>
    <w:rsid w:val="002E4FD9"/>
    <w:rsid w:val="00322A85"/>
    <w:rsid w:val="00324168"/>
    <w:rsid w:val="003448F4"/>
    <w:rsid w:val="00374F5E"/>
    <w:rsid w:val="00377E3E"/>
    <w:rsid w:val="003A0C85"/>
    <w:rsid w:val="003A779E"/>
    <w:rsid w:val="003D0F4D"/>
    <w:rsid w:val="003D1798"/>
    <w:rsid w:val="003D5B0D"/>
    <w:rsid w:val="003D620E"/>
    <w:rsid w:val="003E0499"/>
    <w:rsid w:val="003F3941"/>
    <w:rsid w:val="00406575"/>
    <w:rsid w:val="00414C74"/>
    <w:rsid w:val="0042722E"/>
    <w:rsid w:val="0044528D"/>
    <w:rsid w:val="00486817"/>
    <w:rsid w:val="004A1847"/>
    <w:rsid w:val="004A305D"/>
    <w:rsid w:val="004F21C4"/>
    <w:rsid w:val="004F685F"/>
    <w:rsid w:val="005120C4"/>
    <w:rsid w:val="00534BCD"/>
    <w:rsid w:val="00546811"/>
    <w:rsid w:val="005566E8"/>
    <w:rsid w:val="00571592"/>
    <w:rsid w:val="00574867"/>
    <w:rsid w:val="00591460"/>
    <w:rsid w:val="005B3816"/>
    <w:rsid w:val="005C3777"/>
    <w:rsid w:val="005C5CDC"/>
    <w:rsid w:val="005D476C"/>
    <w:rsid w:val="006219F8"/>
    <w:rsid w:val="00632B93"/>
    <w:rsid w:val="00665D70"/>
    <w:rsid w:val="006824CD"/>
    <w:rsid w:val="0068751C"/>
    <w:rsid w:val="006900D9"/>
    <w:rsid w:val="0069409D"/>
    <w:rsid w:val="006A332C"/>
    <w:rsid w:val="006F7BA8"/>
    <w:rsid w:val="00706C16"/>
    <w:rsid w:val="00731F88"/>
    <w:rsid w:val="00754B15"/>
    <w:rsid w:val="00756841"/>
    <w:rsid w:val="007649AB"/>
    <w:rsid w:val="00771D0C"/>
    <w:rsid w:val="007833AC"/>
    <w:rsid w:val="007B268C"/>
    <w:rsid w:val="007B7171"/>
    <w:rsid w:val="007C0C0F"/>
    <w:rsid w:val="007C3DC2"/>
    <w:rsid w:val="007E5497"/>
    <w:rsid w:val="00801495"/>
    <w:rsid w:val="00806F5F"/>
    <w:rsid w:val="00820278"/>
    <w:rsid w:val="008302FB"/>
    <w:rsid w:val="00867F95"/>
    <w:rsid w:val="008843B6"/>
    <w:rsid w:val="008918F3"/>
    <w:rsid w:val="00891928"/>
    <w:rsid w:val="008A446D"/>
    <w:rsid w:val="008D180B"/>
    <w:rsid w:val="008F0EA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A58A9"/>
    <w:rsid w:val="00AB0ADB"/>
    <w:rsid w:val="00B01B1A"/>
    <w:rsid w:val="00B66319"/>
    <w:rsid w:val="00B72CD3"/>
    <w:rsid w:val="00B72FFF"/>
    <w:rsid w:val="00B81766"/>
    <w:rsid w:val="00BB226C"/>
    <w:rsid w:val="00BC3D36"/>
    <w:rsid w:val="00BD7F72"/>
    <w:rsid w:val="00C032A8"/>
    <w:rsid w:val="00C04FB3"/>
    <w:rsid w:val="00C330EB"/>
    <w:rsid w:val="00C41061"/>
    <w:rsid w:val="00C754BE"/>
    <w:rsid w:val="00C76B1C"/>
    <w:rsid w:val="00CB6357"/>
    <w:rsid w:val="00CC1B26"/>
    <w:rsid w:val="00D1704A"/>
    <w:rsid w:val="00D31EB0"/>
    <w:rsid w:val="00D423A2"/>
    <w:rsid w:val="00D520D8"/>
    <w:rsid w:val="00D60606"/>
    <w:rsid w:val="00D63AC2"/>
    <w:rsid w:val="00D7383B"/>
    <w:rsid w:val="00DA231B"/>
    <w:rsid w:val="00DC39FC"/>
    <w:rsid w:val="00DF2239"/>
    <w:rsid w:val="00DF24D0"/>
    <w:rsid w:val="00DF5254"/>
    <w:rsid w:val="00E1597E"/>
    <w:rsid w:val="00E16408"/>
    <w:rsid w:val="00E20894"/>
    <w:rsid w:val="00E245AB"/>
    <w:rsid w:val="00E26956"/>
    <w:rsid w:val="00E2764C"/>
    <w:rsid w:val="00E27F2E"/>
    <w:rsid w:val="00E374BD"/>
    <w:rsid w:val="00E50AFE"/>
    <w:rsid w:val="00E65F39"/>
    <w:rsid w:val="00E75C92"/>
    <w:rsid w:val="00E771DC"/>
    <w:rsid w:val="00E8488B"/>
    <w:rsid w:val="00E8772A"/>
    <w:rsid w:val="00E90F6B"/>
    <w:rsid w:val="00E92C27"/>
    <w:rsid w:val="00EA0E3D"/>
    <w:rsid w:val="00EB71B5"/>
    <w:rsid w:val="00EB7E22"/>
    <w:rsid w:val="00EC38A7"/>
    <w:rsid w:val="00ED7384"/>
    <w:rsid w:val="00EE1AA8"/>
    <w:rsid w:val="00F01588"/>
    <w:rsid w:val="00F31EDC"/>
    <w:rsid w:val="00F462B3"/>
    <w:rsid w:val="00F5664F"/>
    <w:rsid w:val="00F666C4"/>
    <w:rsid w:val="00F727AF"/>
    <w:rsid w:val="00F76AFC"/>
    <w:rsid w:val="00F84699"/>
    <w:rsid w:val="00FA47C0"/>
    <w:rsid w:val="00FA767E"/>
    <w:rsid w:val="00FB5DD1"/>
    <w:rsid w:val="00FC2B5D"/>
    <w:rsid w:val="00FF1449"/>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6F7BA8"/>
    <w:pPr>
      <w:spacing w:line="240" w:lineRule="exact"/>
    </w:pPr>
    <w:rPr>
      <w:vertAlign w:val="superscript"/>
    </w:rPr>
  </w:style>
  <w:style w:type="table" w:customStyle="1" w:styleId="Tablaconcuadrcula1">
    <w:name w:val="Tabla con cuadrícula1"/>
    <w:basedOn w:val="Tablanormal"/>
    <w:uiPriority w:val="39"/>
    <w:qFormat/>
    <w:rsid w:val="006F7BA8"/>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D1798"/>
    <w:rPr>
      <w:rFonts w:ascii="Geomanist Light" w:hAnsi="Geomanist Light"/>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Fernandog213@hotmail.com" TargetMode="External"/><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ximena.rios%40colombiacompra.gov.co%7Ceb0fd05604104aa4d3bc08dd4c4ad35e%7C7b09041e245149d08cb179d5e3d8c1be%7C0%7C0%7C638750606446862549%7CUnknown%7CTWFpbGZsb3d8eyJFbXB0eU1hcGkiOnRydWUsIlYiOiIwLjAuMDAwMCIsIlAiOiJXaW4zMiIsIkFOIjoiTWFpbCIsIldUIjoyfQ%3D%3D%7C0%7C%7C%7C&amp;sdata=sCdDQff%2B7cq%2Bu3mPTlvG1b%2FR1UY0wqU0fcHRpDbcUW4%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iudadanos%2Fcalendario&amp;data=05%7C02%7Cximena.rios%40colombiacompra.gov.co%7Ceb0fd05604104aa4d3bc08dd4c4ad35e%7C7b09041e245149d08cb179d5e3d8c1be%7C0%7C0%7C638750606446844510%7CUnknown%7CTWFpbGZsb3d8eyJFbXB0eU1hcGkiOnRydWUsIlYiOiIwLjAuMDAwMCIsIlAiOiJXaW4zMiIsIkFOIjoiTWFpbCIsIldUIjoyfQ%3D%3D%7C0%7C%7C%7C&amp;sdata=LZuyZSEh%2FpbQDy0o0xmRCkZYCN0vaW%2FGkYkUsWy3v18%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manuales-guias-y-pliegos-tipo%2Fmanuales-y-guias%2Fcartilla-para-incentivar-y-fortalecer-el-acceso-las&amp;data=05%7C02%7Cximena.rios%40colombiacompra.gov.co%7Ceb0fd05604104aa4d3bc08dd4c4ad35e%7C7b09041e245149d08cb179d5e3d8c1be%7C0%7C0%7C638750606446821386%7CUnknown%7CTWFpbGZsb3d8eyJFbXB0eU1hcGkiOnRydWUsIlYiOiIwLjAuMDAwMCIsIlAiOiJXaW4zMiIsIkFOIjoiTWFpbCIsIldUIjoyfQ%3D%3D%7C0%7C%7C%7C&amp;sdata=W%2Fk14yMQuRl%2BxOXtgXkYqvRvU0sNxDeKufexVKwz2Jw%3D&amp;reserved=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irculares?page=2" TargetMode="External"/><Relationship Id="rId2" Type="http://schemas.openxmlformats.org/officeDocument/2006/relationships/hyperlink" Target="https://relatoria.colombiacompra.gov.co/conceptos/c-447-de-2024/" TargetMode="External"/><Relationship Id="rId1" Type="http://schemas.openxmlformats.org/officeDocument/2006/relationships/hyperlink" Target="https://relatoria.colombiacompra.gov.co/conceptos/c-285-de-2022/"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8ae15d26-076e-464e-81a7-6f76a0fb3917"/>
    <ds:schemaRef ds:uri="d3b1a209-6428-47ff-99e7-c80af9907737"/>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5C040DEC-E26E-4778-B9A3-6B531F04D281}">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C09CFCC5-5D7D-4633-9DBB-01A0DFAB7B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22</Pages>
  <Words>7404</Words>
  <Characters>40726</Characters>
  <Application>Microsoft Office Word</Application>
  <DocSecurity>0</DocSecurity>
  <Lines>339</Lines>
  <Paragraphs>96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Richard Andrés Montenegro Siefken</cp:lastModifiedBy>
  <cp:revision>2</cp:revision>
  <cp:lastPrinted>2023-01-10T21:18:00Z</cp:lastPrinted>
  <dcterms:created xsi:type="dcterms:W3CDTF">2025-08-21T22:35:00Z</dcterms:created>
  <dcterms:modified xsi:type="dcterms:W3CDTF">2025-08-21T22:35:00Z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