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47151" w14:textId="77777777" w:rsidR="00667EC1" w:rsidRPr="00D20014" w:rsidRDefault="00667EC1" w:rsidP="00667EC1">
      <w:pPr>
        <w:spacing w:after="0" w:line="240" w:lineRule="auto"/>
        <w:jc w:val="both"/>
        <w:rPr>
          <w:rFonts w:ascii="Verdana" w:eastAsia="Times New Roman" w:hAnsi="Verdana" w:cs="Arial"/>
          <w:b/>
          <w:bCs/>
          <w:lang w:eastAsia="es-ES_tradnl"/>
        </w:rPr>
      </w:pPr>
      <w:bookmarkStart w:id="0" w:name="_Hlk143780582"/>
      <w:r w:rsidRPr="00D20014">
        <w:rPr>
          <w:rFonts w:ascii="Verdana" w:eastAsia="Times New Roman" w:hAnsi="Verdana" w:cs="Arial"/>
          <w:b/>
          <w:bCs/>
          <w:lang w:eastAsia="es-ES_tradnl"/>
        </w:rPr>
        <w:t xml:space="preserve">DOCUMENTOS TIPO – Fundamento normativo – Obligatoriedad – Ámbito de aplicación – Entidades sometidas  </w:t>
      </w:r>
    </w:p>
    <w:p w14:paraId="42EC08C4" w14:textId="77777777" w:rsidR="00667EC1" w:rsidRPr="00D20014" w:rsidRDefault="00667EC1" w:rsidP="00667EC1">
      <w:pPr>
        <w:spacing w:after="0" w:line="240" w:lineRule="auto"/>
        <w:jc w:val="both"/>
        <w:rPr>
          <w:rFonts w:ascii="Verdana" w:eastAsia="Times New Roman" w:hAnsi="Verdana" w:cs="Arial"/>
          <w:b/>
          <w:bCs/>
          <w:sz w:val="20"/>
          <w:szCs w:val="20"/>
          <w:lang w:eastAsia="es-ES_tradnl"/>
        </w:rPr>
      </w:pPr>
    </w:p>
    <w:p w14:paraId="741926F5" w14:textId="77777777" w:rsidR="00667EC1" w:rsidRPr="00D20014" w:rsidRDefault="00667EC1" w:rsidP="00667EC1">
      <w:pPr>
        <w:spacing w:after="0" w:line="240" w:lineRule="auto"/>
        <w:jc w:val="both"/>
        <w:rPr>
          <w:rFonts w:ascii="Verdana" w:eastAsia="Calibri" w:hAnsi="Verdana" w:cs="Arial"/>
          <w:sz w:val="20"/>
          <w:szCs w:val="20"/>
          <w:lang w:val="es-ES_tradnl" w:eastAsia="es-ES"/>
        </w:rPr>
      </w:pPr>
      <w:r w:rsidRPr="00D20014">
        <w:rPr>
          <w:rFonts w:ascii="Verdana" w:eastAsia="Calibri" w:hAnsi="Verdana"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D20014">
        <w:rPr>
          <w:rFonts w:ascii="Verdana" w:eastAsia="Calibri" w:hAnsi="Verdana" w:cs="Arial"/>
          <w:bCs/>
          <w:sz w:val="20"/>
          <w:szCs w:val="20"/>
          <w:lang w:val="es-ES_tradnl" w:eastAsia="es-ES_tradnl"/>
        </w:rPr>
        <w:t>EGCAP</w:t>
      </w:r>
      <w:r w:rsidRPr="00D20014">
        <w:rPr>
          <w:rFonts w:ascii="Verdana" w:eastAsia="Calibri" w:hAnsi="Verdana" w:cs="Arial"/>
          <w:sz w:val="20"/>
          <w:szCs w:val="20"/>
          <w:lang w:val="es-ES_tradnl" w:eastAsia="es-ES"/>
        </w:rPr>
        <w:t xml:space="preserve">, se atribuyó a la </w:t>
      </w:r>
      <w:r w:rsidRPr="00D20014">
        <w:rPr>
          <w:rFonts w:ascii="Verdana" w:eastAsia="Calibri" w:hAnsi="Verdana" w:cs="Arial"/>
          <w:sz w:val="20"/>
          <w:szCs w:val="20"/>
          <w:lang w:val="es-ES_tradnl" w:eastAsia="es-ES_tradnl"/>
        </w:rPr>
        <w:t xml:space="preserve">Agencia Nacional de Contratación Pública – Colombia Compra Eficiente la competencia para su expedición. </w:t>
      </w:r>
    </w:p>
    <w:p w14:paraId="03F88A75" w14:textId="77777777" w:rsidR="00667EC1" w:rsidRPr="00D20014" w:rsidRDefault="00667EC1" w:rsidP="00667EC1">
      <w:pPr>
        <w:spacing w:after="0" w:line="240" w:lineRule="auto"/>
        <w:jc w:val="both"/>
        <w:rPr>
          <w:rFonts w:ascii="Verdana" w:eastAsia="Calibri" w:hAnsi="Verdana" w:cs="Arial"/>
          <w:sz w:val="20"/>
          <w:szCs w:val="20"/>
          <w:lang w:val="es-ES_tradnl" w:eastAsia="es-ES"/>
        </w:rPr>
      </w:pPr>
    </w:p>
    <w:p w14:paraId="70E44AF2" w14:textId="77777777" w:rsidR="00667EC1" w:rsidRPr="00D20014" w:rsidRDefault="00667EC1" w:rsidP="00667EC1">
      <w:pPr>
        <w:spacing w:after="0" w:line="240" w:lineRule="auto"/>
        <w:jc w:val="both"/>
        <w:rPr>
          <w:rFonts w:ascii="Verdana" w:eastAsia="Calibri" w:hAnsi="Verdana" w:cs="Arial"/>
          <w:sz w:val="20"/>
          <w:szCs w:val="20"/>
        </w:rPr>
      </w:pPr>
      <w:r w:rsidRPr="00D20014">
        <w:rPr>
          <w:rFonts w:ascii="Verdana" w:eastAsia="Calibri" w:hAnsi="Verdana" w:cs="Arial"/>
          <w:sz w:val="20"/>
          <w:szCs w:val="20"/>
          <w:lang w:eastAsia="es-ES_tradnl"/>
        </w:rPr>
        <w:t xml:space="preserve">De acuerdo con lo expuesto, </w:t>
      </w:r>
      <w:r w:rsidRPr="00D20014">
        <w:rPr>
          <w:rFonts w:ascii="Verdana" w:eastAsia="Calibri" w:hAnsi="Verdana" w:cs="Arial"/>
          <w:sz w:val="20"/>
          <w:szCs w:val="20"/>
          <w:bdr w:val="none" w:sz="0" w:space="0" w:color="auto" w:frame="1"/>
          <w:lang w:eastAsia="es-ES_tradnl"/>
        </w:rPr>
        <w:t xml:space="preserve">los Documentos Tipo adoptados son obligatorios para las Entidades Estatales regidas por el </w:t>
      </w:r>
      <w:r w:rsidRPr="00D20014">
        <w:rPr>
          <w:rFonts w:ascii="Verdana" w:eastAsia="Calibri" w:hAnsi="Verdana" w:cs="Arial"/>
          <w:bCs/>
          <w:sz w:val="20"/>
          <w:szCs w:val="20"/>
          <w:lang w:val="es-ES_tradnl" w:eastAsia="es-ES_tradnl"/>
        </w:rPr>
        <w:t>EGCAP</w:t>
      </w:r>
      <w:r w:rsidRPr="00D20014">
        <w:rPr>
          <w:rFonts w:ascii="Verdana" w:eastAsia="Calibri" w:hAnsi="Verdana"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D20014">
        <w:rPr>
          <w:rFonts w:ascii="Verdana" w:eastAsia="Calibri" w:hAnsi="Verdana" w:cs="Arial"/>
          <w:sz w:val="20"/>
          <w:szCs w:val="20"/>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14:paraId="011C18B5" w14:textId="77777777" w:rsidR="00667EC1" w:rsidRPr="00D20014" w:rsidRDefault="00667EC1" w:rsidP="00667EC1">
      <w:pPr>
        <w:spacing w:after="0" w:line="240" w:lineRule="auto"/>
        <w:jc w:val="both"/>
        <w:rPr>
          <w:rFonts w:ascii="Verdana" w:eastAsia="Times New Roman" w:hAnsi="Verdana" w:cs="Arial"/>
          <w:b/>
          <w:bCs/>
          <w:lang w:eastAsia="es-ES_tradnl"/>
        </w:rPr>
      </w:pPr>
    </w:p>
    <w:p w14:paraId="2DEC95B9" w14:textId="77777777" w:rsidR="00667EC1" w:rsidRPr="00D20014" w:rsidRDefault="00667EC1" w:rsidP="00667EC1">
      <w:pPr>
        <w:spacing w:after="0" w:line="240" w:lineRule="auto"/>
        <w:jc w:val="both"/>
        <w:rPr>
          <w:rFonts w:ascii="Verdana" w:eastAsia="Calibri" w:hAnsi="Verdana" w:cs="Arial"/>
          <w:b/>
          <w:color w:val="000000"/>
          <w:szCs w:val="24"/>
          <w:lang w:val="es-ES_tradnl" w:eastAsia="es-ES_tradnl"/>
        </w:rPr>
      </w:pPr>
      <w:r w:rsidRPr="00D20014">
        <w:rPr>
          <w:rFonts w:ascii="Verdana" w:eastAsia="Calibri" w:hAnsi="Verdana" w:cs="Arial"/>
          <w:b/>
          <w:color w:val="000000"/>
          <w:szCs w:val="24"/>
          <w:lang w:val="es-ES_tradnl" w:eastAsia="es-ES_tradnl"/>
        </w:rPr>
        <w:t>LEY 2195 DE 2022 – Artículo 56 – Personas jurídicas de derecho privado – Documentos tipo – Estatuto General de Contratación de la Administración Pública</w:t>
      </w:r>
    </w:p>
    <w:p w14:paraId="68389600" w14:textId="77777777" w:rsidR="00667EC1" w:rsidRPr="00D20014" w:rsidRDefault="00667EC1" w:rsidP="00667EC1">
      <w:pPr>
        <w:spacing w:after="0" w:line="240" w:lineRule="auto"/>
        <w:jc w:val="both"/>
        <w:rPr>
          <w:rFonts w:ascii="Verdana" w:eastAsia="Calibri" w:hAnsi="Verdana" w:cs="Arial"/>
          <w:b/>
          <w:color w:val="000000"/>
          <w:szCs w:val="24"/>
          <w:lang w:val="es-ES_tradnl" w:eastAsia="es-ES_tradnl"/>
        </w:rPr>
      </w:pPr>
    </w:p>
    <w:p w14:paraId="5DDF6164" w14:textId="77777777" w:rsidR="00667EC1" w:rsidRPr="00CE1CFD" w:rsidRDefault="00667EC1" w:rsidP="00667EC1">
      <w:pPr>
        <w:spacing w:after="0" w:line="240" w:lineRule="auto"/>
        <w:jc w:val="both"/>
        <w:rPr>
          <w:rFonts w:ascii="Verdana" w:eastAsia="Times New Roman" w:hAnsi="Verdana" w:cs="Arial"/>
          <w:noProof/>
          <w:color w:val="000000"/>
          <w:sz w:val="20"/>
          <w:szCs w:val="20"/>
          <w:lang w:val="es-ES_tradnl" w:eastAsia="es-ES_tradnl"/>
        </w:rPr>
      </w:pPr>
      <w:r w:rsidRPr="00CE1CFD">
        <w:rPr>
          <w:rFonts w:ascii="Verdana" w:eastAsia="Calibri" w:hAnsi="Verdana" w:cs="Arial"/>
          <w:sz w:val="20"/>
          <w:szCs w:val="20"/>
          <w:lang w:val="es-ES_tradnl" w:eastAsia="es-ES"/>
        </w:rPr>
        <w:t xml:space="preserve">[…] </w:t>
      </w:r>
      <w:r w:rsidRPr="00CE1CFD">
        <w:rPr>
          <w:rFonts w:ascii="Verdana" w:eastAsia="Times New Roman" w:hAnsi="Verdana" w:cs="Arial"/>
          <w:noProof/>
          <w:color w:val="000000"/>
          <w:sz w:val="20"/>
          <w:szCs w:val="20"/>
          <w:lang w:val="es-ES_tradnl" w:eastAsia="es-ES_tradnl"/>
        </w:rPr>
        <w:t>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5DA82453" w14:textId="77777777" w:rsidR="00667EC1" w:rsidRPr="00D20014" w:rsidRDefault="00667EC1" w:rsidP="00667EC1">
      <w:pPr>
        <w:spacing w:after="0" w:line="276" w:lineRule="auto"/>
        <w:jc w:val="both"/>
        <w:rPr>
          <w:rFonts w:ascii="Verdana" w:eastAsia="Times New Roman" w:hAnsi="Verdana" w:cs="Arial"/>
          <w:noProof/>
          <w:color w:val="000000"/>
          <w:szCs w:val="24"/>
          <w:lang w:val="es-ES_tradnl" w:eastAsia="es-ES_tradnl"/>
        </w:rPr>
      </w:pPr>
    </w:p>
    <w:p w14:paraId="16866CAE" w14:textId="77777777" w:rsidR="00667EC1" w:rsidRPr="00D20014" w:rsidRDefault="00667EC1" w:rsidP="00667EC1">
      <w:pPr>
        <w:tabs>
          <w:tab w:val="left" w:pos="0"/>
        </w:tabs>
        <w:spacing w:after="0" w:line="276" w:lineRule="auto"/>
        <w:jc w:val="both"/>
        <w:rPr>
          <w:rFonts w:ascii="Verdana" w:eastAsia="Calibri" w:hAnsi="Verdana" w:cs="Arial"/>
          <w:b/>
          <w:color w:val="000000"/>
          <w:szCs w:val="24"/>
          <w:lang w:val="es-ES_tradnl" w:eastAsia="es-ES_tradnl"/>
        </w:rPr>
      </w:pPr>
      <w:r w:rsidRPr="00D20014">
        <w:rPr>
          <w:rFonts w:ascii="Verdana" w:eastAsia="Calibri" w:hAnsi="Verdana" w:cs="Arial"/>
          <w:b/>
          <w:color w:val="000000"/>
          <w:szCs w:val="24"/>
          <w:lang w:val="es-ES_tradnl" w:eastAsia="es-ES_tradnl"/>
        </w:rPr>
        <w:t xml:space="preserve">LEY 2195 DE 2022 – Artículo 56 – Parágrafo – </w:t>
      </w:r>
      <w:r>
        <w:rPr>
          <w:rFonts w:ascii="Verdana" w:eastAsia="Calibri" w:hAnsi="Verdana" w:cs="Arial"/>
          <w:b/>
          <w:color w:val="000000"/>
          <w:szCs w:val="24"/>
          <w:lang w:val="es-ES_tradnl" w:eastAsia="es-ES_tradnl"/>
        </w:rPr>
        <w:t>Alcance</w:t>
      </w:r>
      <w:r w:rsidRPr="00D20014">
        <w:rPr>
          <w:rFonts w:ascii="Verdana" w:eastAsia="Calibri" w:hAnsi="Verdana" w:cs="Arial"/>
          <w:b/>
          <w:color w:val="000000"/>
          <w:szCs w:val="24"/>
          <w:lang w:val="es-ES_tradnl" w:eastAsia="es-ES_tradnl"/>
        </w:rPr>
        <w:t xml:space="preserve"> </w:t>
      </w:r>
    </w:p>
    <w:p w14:paraId="3E041199" w14:textId="77777777" w:rsidR="00667EC1" w:rsidRDefault="00667EC1" w:rsidP="00667EC1">
      <w:pPr>
        <w:tabs>
          <w:tab w:val="left" w:pos="0"/>
        </w:tabs>
        <w:spacing w:after="0" w:line="240" w:lineRule="auto"/>
        <w:jc w:val="both"/>
        <w:rPr>
          <w:rFonts w:ascii="Arial" w:eastAsia="Times New Roman" w:hAnsi="Arial" w:cs="Arial"/>
          <w:noProof/>
          <w:color w:val="000000"/>
          <w:szCs w:val="24"/>
          <w:lang w:val="es-ES_tradnl" w:eastAsia="es-ES_tradnl"/>
        </w:rPr>
      </w:pPr>
    </w:p>
    <w:p w14:paraId="3D23F1E0" w14:textId="77777777" w:rsidR="00667EC1" w:rsidRPr="00CE1CFD" w:rsidRDefault="00667EC1" w:rsidP="00667EC1">
      <w:pPr>
        <w:tabs>
          <w:tab w:val="left" w:pos="0"/>
        </w:tabs>
        <w:spacing w:after="0" w:line="240" w:lineRule="auto"/>
        <w:jc w:val="both"/>
        <w:rPr>
          <w:rFonts w:ascii="Arial" w:eastAsia="Calibri" w:hAnsi="Arial" w:cs="Arial"/>
          <w:bCs/>
          <w:sz w:val="20"/>
          <w:szCs w:val="20"/>
          <w:lang w:val="es-ES_tradnl"/>
        </w:rPr>
      </w:pPr>
      <w:r w:rsidRPr="00CE1CFD">
        <w:rPr>
          <w:rFonts w:ascii="Verdana" w:hAnsi="Verdana" w:cs="Arial"/>
          <w:color w:val="000000" w:themeColor="text1"/>
          <w:sz w:val="20"/>
          <w:szCs w:val="20"/>
        </w:rPr>
        <w:t xml:space="preserve">En este contexto, </w:t>
      </w:r>
      <w:r w:rsidRPr="00CE1CFD">
        <w:rPr>
          <w:rFonts w:ascii="Verdana" w:eastAsia="Calibri" w:hAnsi="Verdana" w:cs="Arial"/>
          <w:bCs/>
          <w:sz w:val="20"/>
          <w:szCs w:val="20"/>
          <w:lang w:val="es-ES_tradnl" w:eastAsia="es-ES_tradnl"/>
        </w:rPr>
        <w:t>de la lectura conjunta de los incisos primero y segundo</w:t>
      </w:r>
      <w:r w:rsidRPr="00CE1CFD">
        <w:rPr>
          <w:rFonts w:ascii="Verdana" w:eastAsia="Calibri" w:hAnsi="Verdana" w:cs="Arial"/>
          <w:bCs/>
          <w:sz w:val="20"/>
          <w:szCs w:val="20"/>
          <w:lang w:eastAsia="es-ES_tradnl"/>
        </w:rPr>
        <w:t xml:space="preserve"> del artículo 56 de la Ley 2195 de 2022,</w:t>
      </w:r>
      <w:r w:rsidRPr="00CE1CFD">
        <w:rPr>
          <w:rFonts w:ascii="Verdana" w:eastAsia="Calibri" w:hAnsi="Verdana" w:cs="Arial"/>
          <w:bCs/>
          <w:sz w:val="20"/>
          <w:szCs w:val="20"/>
          <w:lang w:val="es-ES_tradnl" w:eastAsia="es-ES_tradnl"/>
        </w:rPr>
        <w:t xml:space="preserve"> se desprende que </w:t>
      </w:r>
      <w:r w:rsidRPr="00CE1CFD">
        <w:rPr>
          <w:rFonts w:ascii="Verdana" w:eastAsia="Calibri" w:hAnsi="Verdana" w:cs="Arial"/>
          <w:bCs/>
          <w:sz w:val="20"/>
          <w:szCs w:val="20"/>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CE1CFD">
        <w:rPr>
          <w:rFonts w:ascii="Arial" w:eastAsia="Calibri" w:hAnsi="Arial" w:cs="Arial"/>
          <w:bCs/>
          <w:sz w:val="20"/>
          <w:szCs w:val="20"/>
          <w:lang w:val="es-ES_tradnl"/>
        </w:rPr>
        <w:t xml:space="preserve"> </w:t>
      </w:r>
      <w:r w:rsidRPr="00CE1CFD">
        <w:rPr>
          <w:rFonts w:ascii="Verdana" w:eastAsia="Calibri" w:hAnsi="Verdana" w:cs="Arial"/>
          <w:bCs/>
          <w:sz w:val="20"/>
          <w:szCs w:val="20"/>
          <w:lang w:val="es-ES_tradnl"/>
        </w:rPr>
        <w:t xml:space="preserve">siempre que exista documento tipo aplicable al objeto contractual que se planea contratar. Esto </w:t>
      </w:r>
      <w:r w:rsidRPr="00CE1CFD">
        <w:rPr>
          <w:rFonts w:ascii="Verdana" w:eastAsia="Calibri" w:hAnsi="Verdana" w:cs="Arial"/>
          <w:bCs/>
          <w:sz w:val="20"/>
          <w:szCs w:val="20"/>
          <w:lang w:val="es-ES_tradnl"/>
        </w:rPr>
        <w:lastRenderedPageBreak/>
        <w:t xml:space="preserve">significa que los contratos no relacionados con los contratos y convenios adquiridos con la entidad sometida al EGCAP no tendrían que aplicar los documentos tipo, salvo que quieran hacerlo como una buena práctica de contratación. </w:t>
      </w:r>
    </w:p>
    <w:p w14:paraId="2702E94E" w14:textId="77777777" w:rsidR="00667EC1" w:rsidRDefault="00667EC1" w:rsidP="00667EC1">
      <w:pPr>
        <w:tabs>
          <w:tab w:val="left" w:pos="0"/>
        </w:tabs>
        <w:spacing w:after="0" w:line="240" w:lineRule="auto"/>
        <w:jc w:val="both"/>
        <w:rPr>
          <w:rFonts w:ascii="Verdana" w:eastAsia="Calibri" w:hAnsi="Verdana" w:cs="Arial"/>
          <w:bCs/>
          <w:sz w:val="20"/>
          <w:szCs w:val="20"/>
          <w:lang w:val="es-ES_tradnl" w:eastAsia="es-ES_tradnl"/>
        </w:rPr>
      </w:pPr>
    </w:p>
    <w:p w14:paraId="35BD2164" w14:textId="77777777" w:rsidR="00667EC1" w:rsidRPr="00CE1CFD" w:rsidRDefault="00667EC1" w:rsidP="00667EC1">
      <w:pPr>
        <w:tabs>
          <w:tab w:val="left" w:pos="0"/>
        </w:tabs>
        <w:spacing w:after="0" w:line="240" w:lineRule="auto"/>
        <w:jc w:val="both"/>
        <w:rPr>
          <w:rFonts w:ascii="Verdana" w:eastAsia="Calibri" w:hAnsi="Verdana" w:cs="Arial"/>
          <w:bCs/>
          <w:color w:val="000000"/>
          <w:sz w:val="20"/>
          <w:szCs w:val="20"/>
          <w:lang w:val="es-ES_tradnl" w:eastAsia="es-ES_tradnl"/>
        </w:rPr>
      </w:pPr>
      <w:r w:rsidRPr="00CE1CFD">
        <w:rPr>
          <w:rFonts w:ascii="Verdana" w:eastAsia="Calibri" w:hAnsi="Verdana" w:cs="Arial"/>
          <w:bCs/>
          <w:sz w:val="20"/>
          <w:szCs w:val="20"/>
          <w:lang w:val="es-ES_tradnl" w:eastAsia="es-ES_tradnl"/>
        </w:rPr>
        <w:t>Sin perjuicio de lo anterior</w:t>
      </w:r>
      <w:r w:rsidRPr="00CE1CFD">
        <w:rPr>
          <w:rFonts w:ascii="Verdana" w:eastAsia="Times New Roman" w:hAnsi="Verdana" w:cs="Arial"/>
          <w:sz w:val="20"/>
          <w:szCs w:val="20"/>
          <w:lang w:eastAsia="es-ES_tradnl"/>
        </w:rPr>
        <w:t xml:space="preserve">, </w:t>
      </w:r>
      <w:r w:rsidRPr="00CE1CFD">
        <w:rPr>
          <w:rFonts w:ascii="Verdana" w:eastAsia="Calibri" w:hAnsi="Verdana" w:cs="Arial"/>
          <w:bCs/>
          <w:sz w:val="20"/>
          <w:szCs w:val="20"/>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CE1CFD">
        <w:rPr>
          <w:rFonts w:ascii="Verdana" w:eastAsia="Calibri" w:hAnsi="Verdana" w:cs="Arial"/>
          <w:bCs/>
          <w:i/>
          <w:iCs/>
          <w:sz w:val="20"/>
          <w:szCs w:val="20"/>
          <w:lang w:val="es-ES_tradnl" w:eastAsia="es-ES_tradnl"/>
        </w:rPr>
        <w:t>giro ordinario</w:t>
      </w:r>
      <w:r w:rsidRPr="00CE1CFD">
        <w:rPr>
          <w:rFonts w:ascii="Verdana" w:eastAsia="Calibri" w:hAnsi="Verdana" w:cs="Arial"/>
          <w:bCs/>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CE1CFD">
        <w:rPr>
          <w:rFonts w:ascii="Verdana" w:eastAsia="Calibri" w:hAnsi="Verdana" w:cs="Arial"/>
          <w:bCs/>
          <w:sz w:val="20"/>
          <w:szCs w:val="20"/>
          <w:lang w:val="es-ES_tradnl" w:eastAsia="es-ES_tradnl"/>
        </w:rPr>
        <w:t>ii</w:t>
      </w:r>
      <w:proofErr w:type="spellEnd"/>
      <w:r w:rsidRPr="00CE1CFD">
        <w:rPr>
          <w:rFonts w:ascii="Verdana" w:eastAsia="Calibri" w:hAnsi="Verdana" w:cs="Arial"/>
          <w:bCs/>
          <w:sz w:val="20"/>
          <w:szCs w:val="20"/>
          <w:lang w:val="es-ES_tradnl" w:eastAsia="es-ES_tradnl"/>
        </w:rPr>
        <w:t xml:space="preserve">) las </w:t>
      </w:r>
      <w:r w:rsidRPr="00CE1CFD">
        <w:rPr>
          <w:rFonts w:ascii="Verdana" w:eastAsia="Calibri" w:hAnsi="Verdana" w:cs="Arial"/>
          <w:bCs/>
          <w:i/>
          <w:iCs/>
          <w:sz w:val="20"/>
          <w:szCs w:val="20"/>
          <w:lang w:val="es-ES_tradnl" w:eastAsia="es-ES_tradnl"/>
        </w:rPr>
        <w:t>empresas sociales del Estado</w:t>
      </w:r>
      <w:r w:rsidRPr="00CE1CFD">
        <w:rPr>
          <w:rFonts w:ascii="Verdana" w:eastAsia="Calibri" w:hAnsi="Verdana" w:cs="Arial"/>
          <w:bCs/>
          <w:sz w:val="20"/>
          <w:szCs w:val="20"/>
          <w:lang w:val="es-ES_tradnl" w:eastAsia="es-ES_tradnl"/>
        </w:rPr>
        <w:t xml:space="preserve">, </w:t>
      </w:r>
      <w:proofErr w:type="spellStart"/>
      <w:r w:rsidRPr="00CE1CFD">
        <w:rPr>
          <w:rFonts w:ascii="Verdana" w:eastAsia="Calibri" w:hAnsi="Verdana" w:cs="Arial"/>
          <w:bCs/>
          <w:sz w:val="20"/>
          <w:szCs w:val="20"/>
          <w:lang w:val="es-ES_tradnl" w:eastAsia="es-ES_tradnl"/>
        </w:rPr>
        <w:t>iii</w:t>
      </w:r>
      <w:proofErr w:type="spellEnd"/>
      <w:r w:rsidRPr="00CE1CFD">
        <w:rPr>
          <w:rFonts w:ascii="Verdana" w:eastAsia="Calibri" w:hAnsi="Verdana" w:cs="Arial"/>
          <w:bCs/>
          <w:sz w:val="20"/>
          <w:szCs w:val="20"/>
          <w:lang w:val="es-ES_tradnl" w:eastAsia="es-ES_tradnl"/>
        </w:rPr>
        <w:t xml:space="preserve">) las sociedades de economía mixta y </w:t>
      </w:r>
      <w:proofErr w:type="spellStart"/>
      <w:r w:rsidRPr="00CE1CFD">
        <w:rPr>
          <w:rFonts w:ascii="Verdana" w:eastAsia="Calibri" w:hAnsi="Verdana" w:cs="Arial"/>
          <w:bCs/>
          <w:sz w:val="20"/>
          <w:szCs w:val="20"/>
          <w:lang w:val="es-ES_tradnl" w:eastAsia="es-ES_tradnl"/>
        </w:rPr>
        <w:t>iv</w:t>
      </w:r>
      <w:proofErr w:type="spellEnd"/>
      <w:r w:rsidRPr="00CE1CFD">
        <w:rPr>
          <w:rFonts w:ascii="Verdana" w:eastAsia="Calibri" w:hAnsi="Verdana" w:cs="Arial"/>
          <w:bCs/>
          <w:sz w:val="20"/>
          <w:szCs w:val="20"/>
          <w:lang w:val="es-ES_tradnl" w:eastAsia="es-ES_tradnl"/>
        </w:rPr>
        <w:t xml:space="preserve">) las empresas industriales y comerciales del Estado, únicamente, en la contratación relacionada con el </w:t>
      </w:r>
      <w:r w:rsidRPr="00CE1CFD">
        <w:rPr>
          <w:rFonts w:ascii="Verdana" w:eastAsia="Calibri" w:hAnsi="Verdana" w:cs="Arial"/>
          <w:bCs/>
          <w:i/>
          <w:iCs/>
          <w:sz w:val="20"/>
          <w:szCs w:val="20"/>
          <w:lang w:val="es-ES_tradnl" w:eastAsia="es-ES_tradnl"/>
        </w:rPr>
        <w:t>giro ordinario.</w:t>
      </w:r>
      <w:r w:rsidRPr="00CE1CFD">
        <w:rPr>
          <w:rFonts w:ascii="Verdana" w:eastAsia="Calibri" w:hAnsi="Verdana" w:cs="Arial"/>
          <w:bCs/>
          <w:sz w:val="20"/>
          <w:szCs w:val="20"/>
          <w:lang w:val="es-ES_tradnl" w:eastAsia="es-ES_tradnl"/>
        </w:rPr>
        <w:t xml:space="preserve"> Esto significa que, en la contratación asociada a su </w:t>
      </w:r>
      <w:r w:rsidRPr="00CE1CFD">
        <w:rPr>
          <w:rFonts w:ascii="Verdana" w:eastAsia="Calibri" w:hAnsi="Verdana" w:cs="Arial"/>
          <w:bCs/>
          <w:i/>
          <w:iCs/>
          <w:sz w:val="20"/>
          <w:szCs w:val="20"/>
          <w:lang w:val="es-ES_tradnl" w:eastAsia="es-ES_tradnl"/>
        </w:rPr>
        <w:t xml:space="preserve">giro ordinario, </w:t>
      </w:r>
      <w:r w:rsidRPr="00CE1CFD">
        <w:rPr>
          <w:rFonts w:ascii="Verdana" w:eastAsia="Calibri" w:hAnsi="Verdana" w:cs="Arial"/>
          <w:bCs/>
          <w:sz w:val="20"/>
          <w:szCs w:val="20"/>
          <w:lang w:val="es-ES_tradnl" w:eastAsia="es-ES_tradnl"/>
        </w:rPr>
        <w:t>estos tipos de entidades no tendrían que aplicar, de manera obligatoria, los Documentos Tipo, ni tampoco el EGCAP.</w:t>
      </w:r>
      <w:r w:rsidRPr="00CE1CFD">
        <w:rPr>
          <w:rFonts w:ascii="Verdana" w:eastAsia="Times New Roman" w:hAnsi="Verdana" w:cs="Arial"/>
          <w:sz w:val="20"/>
          <w:szCs w:val="20"/>
          <w:lang w:eastAsia="es-ES_tradnl"/>
        </w:rPr>
        <w:t xml:space="preserve"> </w:t>
      </w:r>
      <w:r w:rsidRPr="00CE1CFD">
        <w:rPr>
          <w:rFonts w:ascii="Verdana" w:eastAsia="Calibri" w:hAnsi="Verdana" w:cs="Arial"/>
          <w:bCs/>
          <w:sz w:val="20"/>
          <w:szCs w:val="20"/>
          <w:lang w:val="es-ES_tradnl" w:eastAsia="es-ES_tradnl"/>
        </w:rPr>
        <w:t>En este caso, la norma se limita a fomentar la implementación de Documentos Tipo a modo de buena práctica contractual, en los casos en los que se estime conveniente.</w:t>
      </w:r>
      <w:r w:rsidRPr="00CE1CFD">
        <w:rPr>
          <w:rFonts w:ascii="Verdana" w:eastAsia="Calibri" w:hAnsi="Verdana" w:cs="Arial"/>
          <w:bCs/>
          <w:color w:val="000000"/>
          <w:sz w:val="20"/>
          <w:szCs w:val="20"/>
          <w:lang w:val="es-ES_tradnl" w:eastAsia="es-ES_tradnl"/>
        </w:rPr>
        <w:t xml:space="preserve"> </w:t>
      </w:r>
    </w:p>
    <w:p w14:paraId="33B6BAD1" w14:textId="77777777" w:rsidR="00667EC1" w:rsidRPr="00D20014" w:rsidRDefault="00667EC1" w:rsidP="00667EC1">
      <w:pPr>
        <w:spacing w:after="0" w:line="276" w:lineRule="auto"/>
        <w:jc w:val="both"/>
        <w:rPr>
          <w:rFonts w:ascii="Arial" w:eastAsia="Times New Roman" w:hAnsi="Arial" w:cs="Arial"/>
          <w:noProof/>
          <w:color w:val="000000"/>
          <w:szCs w:val="24"/>
          <w:lang w:val="es-ES_tradnl" w:eastAsia="es-ES_tradnl"/>
        </w:rPr>
      </w:pPr>
    </w:p>
    <w:p w14:paraId="44A2B41E" w14:textId="3C52673C" w:rsidR="00667EC1" w:rsidRPr="00667EC1" w:rsidRDefault="00667EC1" w:rsidP="00040C96">
      <w:pPr>
        <w:spacing w:after="0" w:line="240" w:lineRule="auto"/>
        <w:rPr>
          <w:rFonts w:ascii="Verdana" w:eastAsia="Calibri" w:hAnsi="Verdana" w:cs="Arial"/>
          <w:b/>
          <w:bCs/>
          <w:color w:val="000000"/>
          <w:szCs w:val="24"/>
          <w:lang w:val="es-ES_tradnl" w:eastAsia="es-ES_tradnl"/>
        </w:rPr>
      </w:pPr>
      <w:r w:rsidRPr="00667EC1">
        <w:rPr>
          <w:rFonts w:ascii="Verdana" w:eastAsia="Calibri" w:hAnsi="Verdana" w:cs="Arial"/>
          <w:b/>
          <w:bCs/>
          <w:color w:val="000000"/>
          <w:szCs w:val="24"/>
          <w:lang w:val="es-ES_tradnl" w:eastAsia="es-ES_tradnl"/>
        </w:rPr>
        <w:t>ADMINISTRACIÓN DELEGADA – Aplicación</w:t>
      </w:r>
    </w:p>
    <w:p w14:paraId="38D3BA62" w14:textId="77777777" w:rsidR="00667EC1" w:rsidRDefault="00667EC1" w:rsidP="00040C96">
      <w:pPr>
        <w:spacing w:after="0" w:line="240" w:lineRule="auto"/>
        <w:rPr>
          <w:rFonts w:ascii="Verdana" w:eastAsia="Calibri" w:hAnsi="Verdana" w:cs="Arial"/>
          <w:b/>
          <w:bCs/>
          <w:color w:val="000000"/>
          <w:szCs w:val="24"/>
          <w:lang w:val="es-ES_tradnl" w:eastAsia="es-ES_tradnl"/>
        </w:rPr>
      </w:pPr>
    </w:p>
    <w:p w14:paraId="76724D0F" w14:textId="379371CF" w:rsidR="00B91F1A" w:rsidRPr="00B91F1A" w:rsidRDefault="00B91F1A" w:rsidP="00B91F1A">
      <w:pPr>
        <w:tabs>
          <w:tab w:val="left" w:pos="0"/>
        </w:tabs>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C</w:t>
      </w:r>
      <w:r w:rsidRPr="00B91F1A">
        <w:rPr>
          <w:rFonts w:ascii="Verdana" w:hAnsi="Verdana" w:cs="Arial"/>
          <w:color w:val="000000" w:themeColor="text1"/>
          <w:sz w:val="20"/>
          <w:szCs w:val="20"/>
          <w:lang w:val="es-ES"/>
        </w:rPr>
        <w:t xml:space="preserve">on fundamento en </w:t>
      </w:r>
      <w:r w:rsidRPr="00962B5A">
        <w:rPr>
          <w:rFonts w:ascii="Verdana" w:hAnsi="Verdana" w:cs="Arial"/>
          <w:color w:val="000000" w:themeColor="text1"/>
          <w:sz w:val="20"/>
          <w:szCs w:val="20"/>
          <w:lang w:val="es-ES"/>
        </w:rPr>
        <w:t>el principio de autonomía de la voluntad de las partes, reconocido en los artículos 13, 32 y 40 de la Ley 80 de 1993, así como en el artículo 1602 del Código Civil, es viable que las Entidades Estatales celebren contratos</w:t>
      </w:r>
      <w:r w:rsidRPr="00B91F1A">
        <w:rPr>
          <w:rFonts w:ascii="Verdana" w:hAnsi="Verdana" w:cs="Arial"/>
          <w:color w:val="000000" w:themeColor="text1"/>
          <w:sz w:val="20"/>
          <w:szCs w:val="20"/>
          <w:lang w:val="es-ES"/>
        </w:rPr>
        <w:t xml:space="preserve"> </w:t>
      </w:r>
      <w:r w:rsidRPr="00962B5A">
        <w:rPr>
          <w:rFonts w:ascii="Verdana" w:hAnsi="Verdana" w:cs="Arial"/>
          <w:color w:val="000000" w:themeColor="text1"/>
          <w:sz w:val="20"/>
          <w:szCs w:val="20"/>
          <w:lang w:val="es-ES"/>
        </w:rPr>
        <w:t xml:space="preserve">en los que se pacte la administración delegada de los recursos, como forma de administración o modalidad de pago, incluso con o sin representación. </w:t>
      </w:r>
      <w:r w:rsidRPr="00B91F1A">
        <w:rPr>
          <w:rFonts w:ascii="Verdana" w:hAnsi="Verdana" w:cs="Arial"/>
          <w:color w:val="000000" w:themeColor="text1"/>
          <w:sz w:val="20"/>
          <w:szCs w:val="20"/>
          <w:lang w:val="es-ES"/>
        </w:rPr>
        <w:t>De</w:t>
      </w:r>
      <w:r w:rsidRPr="00962B5A">
        <w:rPr>
          <w:rFonts w:ascii="Verdana" w:hAnsi="Verdana" w:cs="Arial"/>
          <w:color w:val="000000" w:themeColor="text1"/>
          <w:sz w:val="20"/>
          <w:szCs w:val="20"/>
          <w:lang w:val="es-ES"/>
        </w:rPr>
        <w:t xml:space="preserve"> acuerdo con </w:t>
      </w:r>
      <w:r w:rsidRPr="00B91F1A">
        <w:rPr>
          <w:rFonts w:ascii="Verdana" w:hAnsi="Verdana" w:cs="Arial"/>
          <w:color w:val="000000" w:themeColor="text1"/>
          <w:sz w:val="20"/>
          <w:szCs w:val="20"/>
          <w:lang w:val="es-ES"/>
        </w:rPr>
        <w:t>ello</w:t>
      </w:r>
      <w:r w:rsidRPr="00962B5A">
        <w:rPr>
          <w:rFonts w:ascii="Verdana" w:hAnsi="Verdana" w:cs="Arial"/>
          <w:color w:val="000000" w:themeColor="text1"/>
          <w:sz w:val="20"/>
          <w:szCs w:val="20"/>
          <w:lang w:val="es-ES"/>
        </w:rPr>
        <w:t xml:space="preserve">, si la </w:t>
      </w:r>
      <w:r w:rsidRPr="00B91F1A">
        <w:rPr>
          <w:rFonts w:ascii="Verdana" w:hAnsi="Verdana" w:cs="Arial"/>
          <w:color w:val="000000" w:themeColor="text1"/>
          <w:sz w:val="20"/>
          <w:szCs w:val="20"/>
          <w:lang w:val="es-ES"/>
        </w:rPr>
        <w:t>e</w:t>
      </w:r>
      <w:r w:rsidRPr="00962B5A">
        <w:rPr>
          <w:rFonts w:ascii="Verdana" w:hAnsi="Verdana" w:cs="Arial"/>
          <w:color w:val="000000" w:themeColor="text1"/>
          <w:sz w:val="20"/>
          <w:szCs w:val="20"/>
          <w:lang w:val="es-ES"/>
        </w:rPr>
        <w:t xml:space="preserve">ntidad </w:t>
      </w:r>
      <w:r w:rsidRPr="00B91F1A">
        <w:rPr>
          <w:rFonts w:ascii="Verdana" w:hAnsi="Verdana" w:cs="Arial"/>
          <w:color w:val="000000" w:themeColor="text1"/>
          <w:sz w:val="20"/>
          <w:szCs w:val="20"/>
          <w:lang w:val="es-ES"/>
        </w:rPr>
        <w:t>e</w:t>
      </w:r>
      <w:r w:rsidRPr="00962B5A">
        <w:rPr>
          <w:rFonts w:ascii="Verdana" w:hAnsi="Verdana" w:cs="Arial"/>
          <w:color w:val="000000" w:themeColor="text1"/>
          <w:sz w:val="20"/>
          <w:szCs w:val="20"/>
          <w:lang w:val="es-ES"/>
        </w:rPr>
        <w:t>statal requiere contratar con otra entidad pública, podrá celebrar un contrato interadministrativo, en el que se puede incluir la administración delegada, bien como forma de mandato o como modalidad de administración de los recursos de inversión de una obra o proyecto y de pago también de los honorarios. En todo caso, para la celebración de los contratos interadministrativos es indispensable que la entidad ejecutora cuente con un objeto que, de acuerdo con la ley o el reglamento, sea idóneo para la ejecución de la actividad contratada, y que la administración delegada este definida o concertada en la ejecución de un objeto contractual específico, ya sea enmarcado en la ejecución de proyecto u obra.</w:t>
      </w:r>
    </w:p>
    <w:p w14:paraId="5D0C3000" w14:textId="77777777" w:rsidR="00B91F1A" w:rsidRDefault="00B91F1A" w:rsidP="00B91F1A">
      <w:pPr>
        <w:tabs>
          <w:tab w:val="left" w:pos="0"/>
        </w:tabs>
        <w:spacing w:after="0" w:line="240" w:lineRule="auto"/>
        <w:jc w:val="both"/>
        <w:rPr>
          <w:rFonts w:ascii="Verdana" w:hAnsi="Verdana" w:cs="Arial"/>
          <w:color w:val="000000" w:themeColor="text1"/>
          <w:sz w:val="20"/>
          <w:szCs w:val="20"/>
          <w:lang w:val="es-ES"/>
        </w:rPr>
      </w:pPr>
    </w:p>
    <w:p w14:paraId="1A0335CF" w14:textId="59564119" w:rsidR="00B91F1A" w:rsidRPr="00962B5A" w:rsidRDefault="00B91F1A" w:rsidP="00B91F1A">
      <w:pPr>
        <w:tabs>
          <w:tab w:val="left" w:pos="0"/>
        </w:tabs>
        <w:spacing w:after="0" w:line="240" w:lineRule="auto"/>
        <w:jc w:val="both"/>
        <w:rPr>
          <w:rFonts w:ascii="Verdana" w:hAnsi="Verdana" w:cs="Arial"/>
          <w:color w:val="000000" w:themeColor="text1"/>
          <w:sz w:val="20"/>
          <w:szCs w:val="20"/>
          <w:lang w:val="es-ES"/>
        </w:rPr>
      </w:pPr>
      <w:r w:rsidRPr="00B91F1A">
        <w:rPr>
          <w:rFonts w:ascii="Verdana" w:hAnsi="Verdana" w:cs="Arial"/>
          <w:color w:val="000000" w:themeColor="text1"/>
          <w:sz w:val="20"/>
          <w:szCs w:val="20"/>
          <w:lang w:val="es-ES"/>
        </w:rPr>
        <w:t xml:space="preserve">Por ello, aunque la relación contractual entre la entidad municipal y la EICE incluya </w:t>
      </w:r>
      <w:r w:rsidRPr="00B91F1A">
        <w:rPr>
          <w:rFonts w:ascii="Verdana" w:hAnsi="Verdana" w:cs="Arial"/>
          <w:color w:val="000000" w:themeColor="text1"/>
          <w:sz w:val="20"/>
          <w:szCs w:val="20"/>
          <w:lang w:val="es-ES_tradnl"/>
        </w:rPr>
        <w:t xml:space="preserve">la administración delegada, esto </w:t>
      </w:r>
      <w:r w:rsidRPr="00B91F1A">
        <w:rPr>
          <w:rFonts w:ascii="Verdana" w:eastAsia="Arial" w:hAnsi="Verdana" w:cs="Arial"/>
          <w:bCs/>
          <w:sz w:val="20"/>
          <w:szCs w:val="20"/>
          <w:lang w:eastAsia="es-ES" w:bidi="es-ES"/>
        </w:rPr>
        <w:t xml:space="preserve">no lo extrae de la naturaleza intrínseca de los convenios o contratos celebrados entre las entidades públicas, pues, como se explicó, estos </w:t>
      </w:r>
      <w:r w:rsidRPr="00B91F1A">
        <w:rPr>
          <w:rFonts w:ascii="Verdana" w:eastAsia="Arial" w:hAnsi="Verdana" w:cs="Arial"/>
          <w:sz w:val="20"/>
          <w:szCs w:val="20"/>
          <w:lang w:val="es-ES" w:eastAsia="es-ES" w:bidi="es-ES"/>
        </w:rPr>
        <w:t>están determinados por un criterio orgánico, en el que los extremos de la relación contractual sean entidades</w:t>
      </w:r>
      <w:r w:rsidRPr="00B91F1A">
        <w:rPr>
          <w:rFonts w:ascii="Verdana" w:eastAsia="Arial" w:hAnsi="Verdana" w:cs="Arial"/>
          <w:spacing w:val="-6"/>
          <w:sz w:val="20"/>
          <w:szCs w:val="20"/>
          <w:lang w:val="es-ES" w:eastAsia="es-ES" w:bidi="es-ES"/>
        </w:rPr>
        <w:t xml:space="preserve"> </w:t>
      </w:r>
      <w:r w:rsidRPr="00B91F1A">
        <w:rPr>
          <w:rFonts w:ascii="Verdana" w:eastAsia="Arial" w:hAnsi="Verdana" w:cs="Arial"/>
          <w:sz w:val="20"/>
          <w:szCs w:val="20"/>
          <w:lang w:val="es-ES" w:eastAsia="es-ES" w:bidi="es-ES"/>
        </w:rPr>
        <w:t xml:space="preserve">estatales, por lo que corresponden a contratos interadministrativos. </w:t>
      </w:r>
    </w:p>
    <w:p w14:paraId="3C3F0958" w14:textId="77777777" w:rsidR="00B91F1A" w:rsidRDefault="00B91F1A" w:rsidP="00B91F1A">
      <w:pPr>
        <w:tabs>
          <w:tab w:val="left" w:pos="0"/>
        </w:tabs>
        <w:spacing w:after="0" w:line="240" w:lineRule="auto"/>
        <w:jc w:val="both"/>
        <w:rPr>
          <w:rFonts w:ascii="Verdana" w:hAnsi="Verdana" w:cs="Arial"/>
          <w:color w:val="000000" w:themeColor="text1"/>
          <w:sz w:val="20"/>
          <w:szCs w:val="20"/>
          <w:lang w:val="es-ES_tradnl"/>
        </w:rPr>
      </w:pPr>
    </w:p>
    <w:p w14:paraId="0833F555" w14:textId="014B2E62" w:rsidR="00B91F1A" w:rsidRPr="00B91F1A" w:rsidRDefault="00B91F1A" w:rsidP="00B91F1A">
      <w:pPr>
        <w:tabs>
          <w:tab w:val="left" w:pos="0"/>
        </w:tabs>
        <w:spacing w:after="0" w:line="240" w:lineRule="auto"/>
        <w:jc w:val="both"/>
        <w:rPr>
          <w:rFonts w:ascii="Verdana" w:hAnsi="Verdana" w:cs="Arial"/>
          <w:color w:val="000000" w:themeColor="text1"/>
          <w:sz w:val="20"/>
          <w:szCs w:val="20"/>
          <w:lang w:val="es-ES_tradnl"/>
        </w:rPr>
      </w:pPr>
      <w:r w:rsidRPr="00B91F1A">
        <w:rPr>
          <w:rFonts w:ascii="Verdana" w:hAnsi="Verdana" w:cs="Arial"/>
          <w:color w:val="000000" w:themeColor="text1"/>
          <w:sz w:val="20"/>
          <w:szCs w:val="20"/>
          <w:lang w:val="es-ES_tradnl"/>
        </w:rPr>
        <w:t xml:space="preserve">En este sentido, al tratarse de contratos interadministrativos les resulta aplicable lo dispuesto en el artículo 56 de la Ley 2195 de 2022, cuando EICE les aplique un régimen contratación especial o de derecho privado. Lo anterior significa que </w:t>
      </w:r>
      <w:r w:rsidRPr="00B91F1A">
        <w:rPr>
          <w:rFonts w:ascii="Verdana" w:eastAsia="Calibri" w:hAnsi="Verdana" w:cs="Arial"/>
          <w:bCs/>
          <w:sz w:val="20"/>
          <w:szCs w:val="20"/>
          <w:lang w:eastAsia="es-ES_tradnl"/>
        </w:rPr>
        <w:t xml:space="preserve">si se celebra un contrato interadministrativo de administración delegada entre una entidad sometida al EGCAP y una Empresa Industrial y Comercial del Estado con régimen especial, del cual se derive la ejecución de objetos contractuales incluidos dentro del ámbito de aplicación de los documentos tipo, su celebración deberá realizarse haciendo uso obligatorio de </w:t>
      </w:r>
      <w:r w:rsidRPr="00B91F1A">
        <w:rPr>
          <w:rFonts w:ascii="Verdana" w:eastAsia="Calibri" w:hAnsi="Verdana" w:cs="Arial"/>
          <w:bCs/>
          <w:sz w:val="20"/>
          <w:szCs w:val="20"/>
          <w:lang w:eastAsia="es-ES_tradnl"/>
        </w:rPr>
        <w:lastRenderedPageBreak/>
        <w:t>dichos documentos</w:t>
      </w:r>
      <w:r w:rsidRPr="00B91F1A">
        <w:rPr>
          <w:rFonts w:ascii="Verdana" w:eastAsia="Calibri" w:hAnsi="Verdana" w:cs="Arial"/>
          <w:bCs/>
          <w:sz w:val="20"/>
          <w:szCs w:val="20"/>
          <w:lang w:val="es-ES_tradnl"/>
        </w:rPr>
        <w:t xml:space="preserve"> siempre que exista documentos tipo aplicables al objeto contractual que se planea contratar.</w:t>
      </w:r>
    </w:p>
    <w:p w14:paraId="0A00A924" w14:textId="77777777" w:rsidR="00667EC1" w:rsidRPr="00667EC1" w:rsidRDefault="00667EC1" w:rsidP="00040C96">
      <w:pPr>
        <w:spacing w:after="0" w:line="240" w:lineRule="auto"/>
        <w:rPr>
          <w:rFonts w:ascii="Verdana" w:eastAsia="Calibri" w:hAnsi="Verdana" w:cs="Arial"/>
          <w:b/>
          <w:bCs/>
          <w:color w:val="000000"/>
          <w:szCs w:val="24"/>
          <w:lang w:val="es-ES_tradnl" w:eastAsia="es-ES_tradnl"/>
        </w:rPr>
      </w:pPr>
    </w:p>
    <w:p w14:paraId="4608C017" w14:textId="77777777" w:rsidR="00B91F1A" w:rsidRDefault="00B91F1A" w:rsidP="00040C96">
      <w:pPr>
        <w:spacing w:after="0" w:line="240" w:lineRule="auto"/>
        <w:rPr>
          <w:rFonts w:ascii="Verdana" w:eastAsia="Geomanist Light" w:hAnsi="Verdana" w:cs="Arial"/>
          <w:color w:val="000000" w:themeColor="text1"/>
        </w:rPr>
      </w:pPr>
    </w:p>
    <w:p w14:paraId="0E98E3D2" w14:textId="77777777" w:rsidR="00B91F1A" w:rsidRDefault="00B91F1A" w:rsidP="00040C96">
      <w:pPr>
        <w:spacing w:after="0" w:line="240" w:lineRule="auto"/>
        <w:rPr>
          <w:rFonts w:ascii="Verdana" w:eastAsia="Geomanist Light" w:hAnsi="Verdana" w:cs="Arial"/>
          <w:color w:val="000000" w:themeColor="text1"/>
        </w:rPr>
      </w:pPr>
    </w:p>
    <w:p w14:paraId="3D1BF526" w14:textId="77777777" w:rsidR="00B91F1A" w:rsidRDefault="00B91F1A" w:rsidP="00040C96">
      <w:pPr>
        <w:spacing w:after="0" w:line="240" w:lineRule="auto"/>
        <w:rPr>
          <w:rFonts w:ascii="Verdana" w:eastAsia="Geomanist Light" w:hAnsi="Verdana" w:cs="Arial"/>
          <w:color w:val="000000" w:themeColor="text1"/>
        </w:rPr>
      </w:pPr>
    </w:p>
    <w:p w14:paraId="1B022B7F" w14:textId="77777777" w:rsidR="00B91F1A" w:rsidRDefault="00B91F1A" w:rsidP="00040C96">
      <w:pPr>
        <w:spacing w:after="0" w:line="240" w:lineRule="auto"/>
        <w:rPr>
          <w:rFonts w:ascii="Verdana" w:eastAsia="Geomanist Light" w:hAnsi="Verdana" w:cs="Arial"/>
          <w:color w:val="000000" w:themeColor="text1"/>
        </w:rPr>
      </w:pPr>
    </w:p>
    <w:p w14:paraId="10167CBE" w14:textId="77777777" w:rsidR="00B91F1A" w:rsidRDefault="00B91F1A" w:rsidP="00040C96">
      <w:pPr>
        <w:spacing w:after="0" w:line="240" w:lineRule="auto"/>
        <w:rPr>
          <w:rFonts w:ascii="Verdana" w:eastAsia="Geomanist Light" w:hAnsi="Verdana" w:cs="Arial"/>
          <w:color w:val="000000" w:themeColor="text1"/>
        </w:rPr>
      </w:pPr>
    </w:p>
    <w:p w14:paraId="57097E90" w14:textId="77777777" w:rsidR="00B91F1A" w:rsidRDefault="00B91F1A" w:rsidP="00040C96">
      <w:pPr>
        <w:spacing w:after="0" w:line="240" w:lineRule="auto"/>
        <w:rPr>
          <w:rFonts w:ascii="Verdana" w:eastAsia="Geomanist Light" w:hAnsi="Verdana" w:cs="Arial"/>
          <w:color w:val="000000" w:themeColor="text1"/>
        </w:rPr>
      </w:pPr>
    </w:p>
    <w:p w14:paraId="71845E3F" w14:textId="77777777" w:rsidR="00B91F1A" w:rsidRDefault="00B91F1A" w:rsidP="00040C96">
      <w:pPr>
        <w:spacing w:after="0" w:line="240" w:lineRule="auto"/>
        <w:rPr>
          <w:rFonts w:ascii="Verdana" w:eastAsia="Geomanist Light" w:hAnsi="Verdana" w:cs="Arial"/>
          <w:color w:val="000000" w:themeColor="text1"/>
        </w:rPr>
      </w:pPr>
    </w:p>
    <w:p w14:paraId="4032030E" w14:textId="77777777" w:rsidR="00B91F1A" w:rsidRDefault="00B91F1A" w:rsidP="00040C96">
      <w:pPr>
        <w:spacing w:after="0" w:line="240" w:lineRule="auto"/>
        <w:rPr>
          <w:rFonts w:ascii="Verdana" w:eastAsia="Geomanist Light" w:hAnsi="Verdana" w:cs="Arial"/>
          <w:color w:val="000000" w:themeColor="text1"/>
        </w:rPr>
      </w:pPr>
    </w:p>
    <w:p w14:paraId="38395871" w14:textId="77777777" w:rsidR="00B91F1A" w:rsidRDefault="00B91F1A" w:rsidP="00040C96">
      <w:pPr>
        <w:spacing w:after="0" w:line="240" w:lineRule="auto"/>
        <w:rPr>
          <w:rFonts w:ascii="Verdana" w:eastAsia="Geomanist Light" w:hAnsi="Verdana" w:cs="Arial"/>
          <w:color w:val="000000" w:themeColor="text1"/>
        </w:rPr>
      </w:pPr>
    </w:p>
    <w:p w14:paraId="03FF38E2" w14:textId="77777777" w:rsidR="00B91F1A" w:rsidRDefault="00B91F1A" w:rsidP="00040C96">
      <w:pPr>
        <w:spacing w:after="0" w:line="240" w:lineRule="auto"/>
        <w:rPr>
          <w:rFonts w:ascii="Verdana" w:eastAsia="Geomanist Light" w:hAnsi="Verdana" w:cs="Arial"/>
          <w:color w:val="000000" w:themeColor="text1"/>
        </w:rPr>
      </w:pPr>
    </w:p>
    <w:p w14:paraId="3C31E5BB" w14:textId="77777777" w:rsidR="00B91F1A" w:rsidRDefault="00B91F1A" w:rsidP="00040C96">
      <w:pPr>
        <w:spacing w:after="0" w:line="240" w:lineRule="auto"/>
        <w:rPr>
          <w:rFonts w:ascii="Verdana" w:eastAsia="Geomanist Light" w:hAnsi="Verdana" w:cs="Arial"/>
          <w:color w:val="000000" w:themeColor="text1"/>
        </w:rPr>
      </w:pPr>
    </w:p>
    <w:p w14:paraId="7EB74976" w14:textId="77777777" w:rsidR="00B91F1A" w:rsidRDefault="00B91F1A" w:rsidP="00040C96">
      <w:pPr>
        <w:spacing w:after="0" w:line="240" w:lineRule="auto"/>
        <w:rPr>
          <w:rFonts w:ascii="Verdana" w:eastAsia="Geomanist Light" w:hAnsi="Verdana" w:cs="Arial"/>
          <w:color w:val="000000" w:themeColor="text1"/>
        </w:rPr>
      </w:pPr>
    </w:p>
    <w:p w14:paraId="46674608" w14:textId="77777777" w:rsidR="00B91F1A" w:rsidRDefault="00B91F1A" w:rsidP="00040C96">
      <w:pPr>
        <w:spacing w:after="0" w:line="240" w:lineRule="auto"/>
        <w:rPr>
          <w:rFonts w:ascii="Verdana" w:eastAsia="Geomanist Light" w:hAnsi="Verdana" w:cs="Arial"/>
          <w:color w:val="000000" w:themeColor="text1"/>
        </w:rPr>
      </w:pPr>
    </w:p>
    <w:p w14:paraId="441AAB35" w14:textId="77777777" w:rsidR="00B91F1A" w:rsidRDefault="00B91F1A" w:rsidP="00040C96">
      <w:pPr>
        <w:spacing w:after="0" w:line="240" w:lineRule="auto"/>
        <w:rPr>
          <w:rFonts w:ascii="Verdana" w:eastAsia="Geomanist Light" w:hAnsi="Verdana" w:cs="Arial"/>
          <w:color w:val="000000" w:themeColor="text1"/>
        </w:rPr>
      </w:pPr>
    </w:p>
    <w:p w14:paraId="4488338F" w14:textId="77777777" w:rsidR="00B91F1A" w:rsidRDefault="00B91F1A" w:rsidP="00040C96">
      <w:pPr>
        <w:spacing w:after="0" w:line="240" w:lineRule="auto"/>
        <w:rPr>
          <w:rFonts w:ascii="Verdana" w:eastAsia="Geomanist Light" w:hAnsi="Verdana" w:cs="Arial"/>
          <w:color w:val="000000" w:themeColor="text1"/>
        </w:rPr>
      </w:pPr>
    </w:p>
    <w:p w14:paraId="77C86127" w14:textId="77777777" w:rsidR="00B91F1A" w:rsidRDefault="00B91F1A" w:rsidP="00040C96">
      <w:pPr>
        <w:spacing w:after="0" w:line="240" w:lineRule="auto"/>
        <w:rPr>
          <w:rFonts w:ascii="Verdana" w:eastAsia="Geomanist Light" w:hAnsi="Verdana" w:cs="Arial"/>
          <w:color w:val="000000" w:themeColor="text1"/>
        </w:rPr>
      </w:pPr>
    </w:p>
    <w:p w14:paraId="188FE847" w14:textId="77777777" w:rsidR="00B91F1A" w:rsidRDefault="00B91F1A" w:rsidP="00040C96">
      <w:pPr>
        <w:spacing w:after="0" w:line="240" w:lineRule="auto"/>
        <w:rPr>
          <w:rFonts w:ascii="Verdana" w:eastAsia="Geomanist Light" w:hAnsi="Verdana" w:cs="Arial"/>
          <w:color w:val="000000" w:themeColor="text1"/>
        </w:rPr>
      </w:pPr>
    </w:p>
    <w:p w14:paraId="0AE0334D" w14:textId="77777777" w:rsidR="00B91F1A" w:rsidRDefault="00B91F1A" w:rsidP="00040C96">
      <w:pPr>
        <w:spacing w:after="0" w:line="240" w:lineRule="auto"/>
        <w:rPr>
          <w:rFonts w:ascii="Verdana" w:eastAsia="Geomanist Light" w:hAnsi="Verdana" w:cs="Arial"/>
          <w:color w:val="000000" w:themeColor="text1"/>
        </w:rPr>
      </w:pPr>
    </w:p>
    <w:p w14:paraId="26DA7646" w14:textId="77777777" w:rsidR="00B91F1A" w:rsidRDefault="00B91F1A" w:rsidP="00040C96">
      <w:pPr>
        <w:spacing w:after="0" w:line="240" w:lineRule="auto"/>
        <w:rPr>
          <w:rFonts w:ascii="Verdana" w:eastAsia="Geomanist Light" w:hAnsi="Verdana" w:cs="Arial"/>
          <w:color w:val="000000" w:themeColor="text1"/>
        </w:rPr>
      </w:pPr>
    </w:p>
    <w:p w14:paraId="3A017934" w14:textId="77777777" w:rsidR="00B91F1A" w:rsidRDefault="00B91F1A" w:rsidP="00040C96">
      <w:pPr>
        <w:spacing w:after="0" w:line="240" w:lineRule="auto"/>
        <w:rPr>
          <w:rFonts w:ascii="Verdana" w:eastAsia="Geomanist Light" w:hAnsi="Verdana" w:cs="Arial"/>
          <w:color w:val="000000" w:themeColor="text1"/>
        </w:rPr>
      </w:pPr>
    </w:p>
    <w:p w14:paraId="671C3388" w14:textId="77777777" w:rsidR="00B91F1A" w:rsidRDefault="00B91F1A" w:rsidP="00040C96">
      <w:pPr>
        <w:spacing w:after="0" w:line="240" w:lineRule="auto"/>
        <w:rPr>
          <w:rFonts w:ascii="Verdana" w:eastAsia="Geomanist Light" w:hAnsi="Verdana" w:cs="Arial"/>
          <w:color w:val="000000" w:themeColor="text1"/>
        </w:rPr>
      </w:pPr>
    </w:p>
    <w:p w14:paraId="3A900738" w14:textId="77777777" w:rsidR="00B91F1A" w:rsidRDefault="00B91F1A" w:rsidP="00040C96">
      <w:pPr>
        <w:spacing w:after="0" w:line="240" w:lineRule="auto"/>
        <w:rPr>
          <w:rFonts w:ascii="Verdana" w:eastAsia="Geomanist Light" w:hAnsi="Verdana" w:cs="Arial"/>
          <w:color w:val="000000" w:themeColor="text1"/>
        </w:rPr>
      </w:pPr>
    </w:p>
    <w:p w14:paraId="23C3F04A" w14:textId="77777777" w:rsidR="00B91F1A" w:rsidRDefault="00B91F1A" w:rsidP="00040C96">
      <w:pPr>
        <w:spacing w:after="0" w:line="240" w:lineRule="auto"/>
        <w:rPr>
          <w:rFonts w:ascii="Verdana" w:eastAsia="Geomanist Light" w:hAnsi="Verdana" w:cs="Arial"/>
          <w:color w:val="000000" w:themeColor="text1"/>
        </w:rPr>
      </w:pPr>
    </w:p>
    <w:p w14:paraId="4A8E2CE4" w14:textId="77777777" w:rsidR="00B91F1A" w:rsidRDefault="00B91F1A" w:rsidP="00040C96">
      <w:pPr>
        <w:spacing w:after="0" w:line="240" w:lineRule="auto"/>
        <w:rPr>
          <w:rFonts w:ascii="Verdana" w:eastAsia="Geomanist Light" w:hAnsi="Verdana" w:cs="Arial"/>
          <w:color w:val="000000" w:themeColor="text1"/>
        </w:rPr>
      </w:pPr>
    </w:p>
    <w:p w14:paraId="4B5101E3" w14:textId="77777777" w:rsidR="00B91F1A" w:rsidRDefault="00B91F1A" w:rsidP="00040C96">
      <w:pPr>
        <w:spacing w:after="0" w:line="240" w:lineRule="auto"/>
        <w:rPr>
          <w:rFonts w:ascii="Verdana" w:eastAsia="Geomanist Light" w:hAnsi="Verdana" w:cs="Arial"/>
          <w:color w:val="000000" w:themeColor="text1"/>
        </w:rPr>
      </w:pPr>
    </w:p>
    <w:p w14:paraId="1E1F5FE2" w14:textId="77777777" w:rsidR="00B91F1A" w:rsidRDefault="00B91F1A" w:rsidP="00040C96">
      <w:pPr>
        <w:spacing w:after="0" w:line="240" w:lineRule="auto"/>
        <w:rPr>
          <w:rFonts w:ascii="Verdana" w:eastAsia="Geomanist Light" w:hAnsi="Verdana" w:cs="Arial"/>
          <w:color w:val="000000" w:themeColor="text1"/>
        </w:rPr>
      </w:pPr>
    </w:p>
    <w:p w14:paraId="17522CAE" w14:textId="77777777" w:rsidR="00B91F1A" w:rsidRDefault="00B91F1A" w:rsidP="00040C96">
      <w:pPr>
        <w:spacing w:after="0" w:line="240" w:lineRule="auto"/>
        <w:rPr>
          <w:rFonts w:ascii="Verdana" w:eastAsia="Geomanist Light" w:hAnsi="Verdana" w:cs="Arial"/>
          <w:color w:val="000000" w:themeColor="text1"/>
        </w:rPr>
      </w:pPr>
    </w:p>
    <w:p w14:paraId="081A662E" w14:textId="77777777" w:rsidR="00B91F1A" w:rsidRDefault="00B91F1A" w:rsidP="00040C96">
      <w:pPr>
        <w:spacing w:after="0" w:line="240" w:lineRule="auto"/>
        <w:rPr>
          <w:rFonts w:ascii="Verdana" w:eastAsia="Geomanist Light" w:hAnsi="Verdana" w:cs="Arial"/>
          <w:color w:val="000000" w:themeColor="text1"/>
        </w:rPr>
      </w:pPr>
    </w:p>
    <w:p w14:paraId="5087B18E" w14:textId="77777777" w:rsidR="00B91F1A" w:rsidRDefault="00B91F1A" w:rsidP="00040C96">
      <w:pPr>
        <w:spacing w:after="0" w:line="240" w:lineRule="auto"/>
        <w:rPr>
          <w:rFonts w:ascii="Verdana" w:eastAsia="Geomanist Light" w:hAnsi="Verdana" w:cs="Arial"/>
          <w:color w:val="000000" w:themeColor="text1"/>
        </w:rPr>
      </w:pPr>
    </w:p>
    <w:p w14:paraId="7D5E2BC0" w14:textId="77777777" w:rsidR="00B91F1A" w:rsidRDefault="00B91F1A" w:rsidP="00040C96">
      <w:pPr>
        <w:spacing w:after="0" w:line="240" w:lineRule="auto"/>
        <w:rPr>
          <w:rFonts w:ascii="Verdana" w:eastAsia="Geomanist Light" w:hAnsi="Verdana" w:cs="Arial"/>
          <w:color w:val="000000" w:themeColor="text1"/>
        </w:rPr>
      </w:pPr>
    </w:p>
    <w:p w14:paraId="366780A2" w14:textId="77777777" w:rsidR="00B91F1A" w:rsidRDefault="00B91F1A" w:rsidP="00040C96">
      <w:pPr>
        <w:spacing w:after="0" w:line="240" w:lineRule="auto"/>
        <w:rPr>
          <w:rFonts w:ascii="Verdana" w:eastAsia="Geomanist Light" w:hAnsi="Verdana" w:cs="Arial"/>
          <w:color w:val="000000" w:themeColor="text1"/>
        </w:rPr>
      </w:pPr>
    </w:p>
    <w:p w14:paraId="1B8C1373" w14:textId="77777777" w:rsidR="00B91F1A" w:rsidRDefault="00B91F1A" w:rsidP="00040C96">
      <w:pPr>
        <w:spacing w:after="0" w:line="240" w:lineRule="auto"/>
        <w:rPr>
          <w:rFonts w:ascii="Verdana" w:eastAsia="Geomanist Light" w:hAnsi="Verdana" w:cs="Arial"/>
          <w:color w:val="000000" w:themeColor="text1"/>
        </w:rPr>
      </w:pPr>
    </w:p>
    <w:p w14:paraId="1FC29E28" w14:textId="77777777" w:rsidR="00B91F1A" w:rsidRDefault="00B91F1A" w:rsidP="00040C96">
      <w:pPr>
        <w:spacing w:after="0" w:line="240" w:lineRule="auto"/>
        <w:rPr>
          <w:rFonts w:ascii="Verdana" w:eastAsia="Geomanist Light" w:hAnsi="Verdana" w:cs="Arial"/>
          <w:color w:val="000000" w:themeColor="text1"/>
        </w:rPr>
      </w:pPr>
    </w:p>
    <w:p w14:paraId="3A21DA98" w14:textId="77777777" w:rsidR="00B91F1A" w:rsidRDefault="00B91F1A" w:rsidP="00040C96">
      <w:pPr>
        <w:spacing w:after="0" w:line="240" w:lineRule="auto"/>
        <w:rPr>
          <w:rFonts w:ascii="Verdana" w:eastAsia="Geomanist Light" w:hAnsi="Verdana" w:cs="Arial"/>
          <w:color w:val="000000" w:themeColor="text1"/>
        </w:rPr>
      </w:pPr>
    </w:p>
    <w:p w14:paraId="08CE9F3D" w14:textId="77777777" w:rsidR="00B91F1A" w:rsidRDefault="00B91F1A" w:rsidP="00040C96">
      <w:pPr>
        <w:spacing w:after="0" w:line="240" w:lineRule="auto"/>
        <w:rPr>
          <w:rFonts w:ascii="Verdana" w:eastAsia="Geomanist Light" w:hAnsi="Verdana" w:cs="Arial"/>
          <w:color w:val="000000" w:themeColor="text1"/>
        </w:rPr>
      </w:pPr>
    </w:p>
    <w:p w14:paraId="4603D7BE" w14:textId="77777777" w:rsidR="00B91F1A" w:rsidRDefault="00B91F1A" w:rsidP="00040C96">
      <w:pPr>
        <w:spacing w:after="0" w:line="240" w:lineRule="auto"/>
        <w:rPr>
          <w:rFonts w:ascii="Verdana" w:eastAsia="Geomanist Light" w:hAnsi="Verdana" w:cs="Arial"/>
          <w:color w:val="000000" w:themeColor="text1"/>
        </w:rPr>
      </w:pPr>
    </w:p>
    <w:p w14:paraId="4D065C9F" w14:textId="77777777" w:rsidR="00465DA2" w:rsidRDefault="00465DA2" w:rsidP="00976832">
      <w:pPr>
        <w:spacing w:after="0" w:line="240" w:lineRule="auto"/>
        <w:rPr>
          <w:rFonts w:ascii="Verdana" w:eastAsia="Geomanist Light" w:hAnsi="Verdana" w:cs="Arial"/>
          <w:color w:val="000000" w:themeColor="text1"/>
        </w:rPr>
      </w:pPr>
    </w:p>
    <w:p w14:paraId="1D0C2631" w14:textId="77777777" w:rsidR="00B02E73" w:rsidRDefault="00B02E73" w:rsidP="00976832">
      <w:pPr>
        <w:spacing w:after="0" w:line="240" w:lineRule="auto"/>
        <w:rPr>
          <w:rFonts w:ascii="Verdana" w:eastAsia="Geomanist Light" w:hAnsi="Verdana" w:cs="Arial"/>
          <w:color w:val="000000" w:themeColor="text1"/>
        </w:rPr>
      </w:pPr>
    </w:p>
    <w:p w14:paraId="0AF291F8" w14:textId="77777777" w:rsidR="00B02E73" w:rsidRDefault="00B02E73" w:rsidP="00976832">
      <w:pPr>
        <w:spacing w:after="0" w:line="240" w:lineRule="auto"/>
        <w:rPr>
          <w:rFonts w:ascii="Verdana" w:eastAsia="Geomanist Light" w:hAnsi="Verdana" w:cs="Arial"/>
          <w:color w:val="000000" w:themeColor="text1"/>
        </w:rPr>
      </w:pPr>
    </w:p>
    <w:p w14:paraId="40D0C63A" w14:textId="77777777" w:rsidR="00B02E73" w:rsidRDefault="00B02E73" w:rsidP="00976832">
      <w:pPr>
        <w:spacing w:after="0" w:line="240" w:lineRule="auto"/>
        <w:rPr>
          <w:rFonts w:ascii="Verdana" w:eastAsia="Geomanist Light" w:hAnsi="Verdana" w:cs="Arial"/>
          <w:color w:val="000000" w:themeColor="text1"/>
        </w:rPr>
      </w:pPr>
    </w:p>
    <w:p w14:paraId="6653B00E" w14:textId="16D692F7" w:rsidR="00976832" w:rsidRPr="0097735F" w:rsidRDefault="00976832" w:rsidP="00976832">
      <w:pPr>
        <w:spacing w:after="0" w:line="240" w:lineRule="auto"/>
        <w:rPr>
          <w:rFonts w:ascii="Verdana" w:eastAsia="Geomanist Light" w:hAnsi="Verdana" w:cs="Arial"/>
          <w:color w:val="201F1E"/>
        </w:rPr>
      </w:pPr>
      <w:r w:rsidRPr="0097735F">
        <w:rPr>
          <w:rFonts w:ascii="Verdana" w:eastAsia="Geomanist Light" w:hAnsi="Verdana" w:cs="Arial"/>
          <w:color w:val="000000" w:themeColor="text1"/>
        </w:rPr>
        <w:lastRenderedPageBreak/>
        <w:t>Bogotá D.C., </w:t>
      </w:r>
      <w:r w:rsidR="00465DA2">
        <w:rPr>
          <w:rFonts w:ascii="Verdana" w:eastAsia="Geomanist Light" w:hAnsi="Verdana" w:cs="Arial"/>
          <w:color w:val="201F1E"/>
        </w:rPr>
        <w:t>19 de agosto de 2025</w:t>
      </w:r>
    </w:p>
    <w:p w14:paraId="3395E7B9" w14:textId="52257A67" w:rsidR="00976832" w:rsidRDefault="00976832" w:rsidP="00976832">
      <w:pPr>
        <w:spacing w:after="0" w:line="240" w:lineRule="auto"/>
        <w:rPr>
          <w:rFonts w:ascii="Verdana" w:eastAsia="Geomanist Light" w:hAnsi="Verdana" w:cs="Arial"/>
          <w:lang w:val="es-MX"/>
        </w:rPr>
      </w:pPr>
    </w:p>
    <w:p w14:paraId="18E7677F" w14:textId="4401041D" w:rsidR="00976832" w:rsidRPr="00D20014" w:rsidRDefault="00D33FF3" w:rsidP="00465DA2">
      <w:pPr>
        <w:spacing w:after="0" w:line="276" w:lineRule="auto"/>
        <w:jc w:val="right"/>
        <w:rPr>
          <w:rFonts w:ascii="Arial" w:eastAsia="Times New Roman" w:hAnsi="Arial" w:cs="Arial"/>
          <w:noProof/>
          <w:color w:val="000000"/>
          <w:szCs w:val="24"/>
          <w:lang w:val="es-ES_tradnl" w:eastAsia="es-ES_tradnl"/>
        </w:rPr>
      </w:pPr>
      <w:r w:rsidRPr="00465DA2">
        <w:rPr>
          <w:rFonts w:ascii="Arial" w:eastAsia="Times New Roman" w:hAnsi="Arial" w:cs="Arial"/>
          <w:noProof/>
          <w:color w:val="000000"/>
          <w:szCs w:val="24"/>
          <w:lang w:val="es-ES_tradnl" w:eastAsia="es-ES_tradnl"/>
        </w:rPr>
        <w:drawing>
          <wp:anchor distT="0" distB="0" distL="114300" distR="114300" simplePos="0" relativeHeight="251660288" behindDoc="0" locked="0" layoutInCell="1" allowOverlap="1" wp14:anchorId="73496DB0" wp14:editId="5FF77E21">
            <wp:simplePos x="0" y="0"/>
            <wp:positionH relativeFrom="margin">
              <wp:align>right</wp:align>
            </wp:positionH>
            <wp:positionV relativeFrom="paragraph">
              <wp:posOffset>72390</wp:posOffset>
            </wp:positionV>
            <wp:extent cx="2734945" cy="841375"/>
            <wp:effectExtent l="0" t="0" r="8255" b="0"/>
            <wp:wrapSquare wrapText="bothSides"/>
            <wp:docPr id="13480383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4945" cy="841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58AB75" w14:textId="2B039893" w:rsidR="00465DA2" w:rsidRDefault="00465DA2" w:rsidP="00976832">
      <w:pPr>
        <w:spacing w:after="0" w:line="240" w:lineRule="auto"/>
        <w:rPr>
          <w:rFonts w:ascii="Verdana" w:eastAsia="Calibri" w:hAnsi="Verdana" w:cs="Arial"/>
          <w:lang w:val="es-ES" w:eastAsia="es-ES"/>
        </w:rPr>
      </w:pPr>
    </w:p>
    <w:p w14:paraId="007A2AF6" w14:textId="168F5FBE" w:rsidR="00976832" w:rsidRPr="00983598" w:rsidRDefault="00976832" w:rsidP="00976832">
      <w:pPr>
        <w:spacing w:after="0" w:line="240" w:lineRule="auto"/>
        <w:rPr>
          <w:rFonts w:ascii="Verdana" w:eastAsia="Calibri" w:hAnsi="Verdana" w:cs="Arial"/>
          <w:lang w:val="es-ES" w:eastAsia="es-ES"/>
        </w:rPr>
      </w:pPr>
      <w:r w:rsidRPr="00D20014">
        <w:rPr>
          <w:rFonts w:ascii="Verdana" w:eastAsia="Calibri" w:hAnsi="Verdana" w:cs="Arial"/>
          <w:lang w:val="es-ES" w:eastAsia="es-ES"/>
        </w:rPr>
        <w:t>Señor</w:t>
      </w:r>
      <w:r>
        <w:rPr>
          <w:rFonts w:ascii="Verdana" w:eastAsia="Calibri" w:hAnsi="Verdana" w:cs="Arial"/>
          <w:lang w:val="es-ES" w:eastAsia="es-ES"/>
        </w:rPr>
        <w:t xml:space="preserve"> </w:t>
      </w:r>
    </w:p>
    <w:p w14:paraId="69CEDF34" w14:textId="77777777" w:rsidR="00976832" w:rsidRPr="00D20014" w:rsidRDefault="00976832" w:rsidP="00976832">
      <w:pPr>
        <w:spacing w:after="0" w:line="240" w:lineRule="auto"/>
        <w:rPr>
          <w:rFonts w:ascii="Verdana" w:eastAsia="Calibri" w:hAnsi="Verdana" w:cs="Arial"/>
          <w:b/>
          <w:bCs/>
          <w:lang w:eastAsia="es-ES_tradnl"/>
        </w:rPr>
      </w:pPr>
      <w:r>
        <w:rPr>
          <w:rFonts w:ascii="Verdana" w:eastAsia="Calibri" w:hAnsi="Verdana" w:cs="Arial"/>
          <w:b/>
          <w:bCs/>
          <w:lang w:eastAsia="es-ES_tradnl"/>
        </w:rPr>
        <w:t xml:space="preserve">Fernando José Gutiérrez Ibáñez  </w:t>
      </w:r>
    </w:p>
    <w:p w14:paraId="4055C4CE" w14:textId="77777777" w:rsidR="00976832" w:rsidRPr="004B3251" w:rsidRDefault="00976832" w:rsidP="00976832">
      <w:pPr>
        <w:spacing w:after="0" w:line="240" w:lineRule="auto"/>
        <w:rPr>
          <w:rFonts w:ascii="Verdana" w:hAnsi="Verdana"/>
        </w:rPr>
      </w:pPr>
      <w:hyperlink r:id="rId12" w:history="1">
        <w:r w:rsidRPr="000F4289">
          <w:rPr>
            <w:rStyle w:val="Hipervnculo"/>
            <w:rFonts w:ascii="Verdana" w:hAnsi="Verdana"/>
          </w:rPr>
          <w:t>fernandog213@hotmail.com</w:t>
        </w:r>
      </w:hyperlink>
      <w:r>
        <w:rPr>
          <w:rFonts w:ascii="Verdana" w:hAnsi="Verdana"/>
        </w:rPr>
        <w:t xml:space="preserve"> </w:t>
      </w:r>
    </w:p>
    <w:p w14:paraId="356BDBE4" w14:textId="77777777" w:rsidR="00976832" w:rsidRPr="00D20014" w:rsidRDefault="00976832" w:rsidP="00976832">
      <w:pPr>
        <w:spacing w:after="0" w:line="240" w:lineRule="auto"/>
        <w:rPr>
          <w:rFonts w:ascii="Verdana" w:eastAsia="Calibri" w:hAnsi="Verdana" w:cs="Arial"/>
          <w:b/>
          <w:bCs/>
          <w:lang w:val="es-ES" w:eastAsia="es-ES"/>
        </w:rPr>
      </w:pPr>
      <w:r>
        <w:rPr>
          <w:rFonts w:ascii="Verdana" w:eastAsia="Calibri" w:hAnsi="Verdana" w:cs="Arial"/>
          <w:lang w:val="es-ES" w:eastAsia="es-ES"/>
        </w:rPr>
        <w:t xml:space="preserve">Valledupar, Cesar </w:t>
      </w:r>
      <w:r w:rsidRPr="00D20014">
        <w:rPr>
          <w:rFonts w:ascii="Verdana" w:eastAsia="Calibri" w:hAnsi="Verdana" w:cs="Arial"/>
          <w:lang w:val="es-ES" w:eastAsia="es-ES"/>
        </w:rPr>
        <w:t xml:space="preserve"> </w:t>
      </w:r>
    </w:p>
    <w:p w14:paraId="05DF977E" w14:textId="77777777" w:rsidR="00976832" w:rsidRPr="00D20014" w:rsidRDefault="00976832" w:rsidP="0097683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976832" w:rsidRPr="00D20014" w14:paraId="05309233" w14:textId="77777777" w:rsidTr="00B127C4">
        <w:trPr>
          <w:trHeight w:val="229"/>
        </w:trPr>
        <w:tc>
          <w:tcPr>
            <w:tcW w:w="2410" w:type="dxa"/>
          </w:tcPr>
          <w:p w14:paraId="6DC37232" w14:textId="77777777" w:rsidR="00976832" w:rsidRPr="00D20014" w:rsidRDefault="00976832" w:rsidP="00B127C4">
            <w:pPr>
              <w:jc w:val="both"/>
              <w:rPr>
                <w:rFonts w:ascii="Verdana" w:eastAsia="Calibri" w:hAnsi="Verdana" w:cs="Arial"/>
                <w:b/>
                <w:bCs/>
                <w:lang w:val="es-ES_tradnl" w:eastAsia="es-ES_tradnl"/>
              </w:rPr>
            </w:pPr>
          </w:p>
        </w:tc>
        <w:tc>
          <w:tcPr>
            <w:tcW w:w="6379" w:type="dxa"/>
          </w:tcPr>
          <w:p w14:paraId="7E00D58E" w14:textId="77777777" w:rsidR="00976832" w:rsidRPr="009C2CE9" w:rsidRDefault="00976832" w:rsidP="00B127C4">
            <w:pPr>
              <w:rPr>
                <w:rFonts w:ascii="Verdana" w:eastAsia="Calibri" w:hAnsi="Verdana" w:cs="Arial"/>
                <w:b/>
                <w:bCs/>
                <w:lang w:eastAsia="es-ES"/>
              </w:rPr>
            </w:pPr>
            <w:r>
              <w:rPr>
                <w:rFonts w:ascii="Verdana" w:eastAsia="Calibri" w:hAnsi="Verdana" w:cs="Arial"/>
                <w:b/>
                <w:bCs/>
                <w:lang w:eastAsia="es-ES"/>
              </w:rPr>
              <w:t xml:space="preserve">  </w:t>
            </w:r>
            <w:r w:rsidRPr="009C2CE9">
              <w:rPr>
                <w:rFonts w:ascii="Verdana" w:eastAsia="Calibri" w:hAnsi="Verdana" w:cs="Arial"/>
                <w:b/>
                <w:bCs/>
                <w:lang w:eastAsia="es-ES"/>
              </w:rPr>
              <w:t xml:space="preserve">Concepto C – </w:t>
            </w:r>
            <w:r>
              <w:rPr>
                <w:rFonts w:ascii="Verdana" w:eastAsia="Calibri" w:hAnsi="Verdana" w:cs="Arial"/>
                <w:b/>
                <w:bCs/>
                <w:lang w:eastAsia="es-ES"/>
              </w:rPr>
              <w:t>929</w:t>
            </w:r>
            <w:r w:rsidRPr="009C2CE9">
              <w:rPr>
                <w:rFonts w:ascii="Verdana" w:eastAsia="Calibri" w:hAnsi="Verdana" w:cs="Arial"/>
                <w:b/>
                <w:bCs/>
                <w:lang w:eastAsia="es-ES"/>
              </w:rPr>
              <w:t xml:space="preserve"> de 2025</w:t>
            </w:r>
          </w:p>
          <w:p w14:paraId="010DB049" w14:textId="77777777" w:rsidR="00976832" w:rsidRPr="00D20014" w:rsidRDefault="00976832" w:rsidP="00B127C4">
            <w:pPr>
              <w:jc w:val="both"/>
              <w:rPr>
                <w:rFonts w:ascii="Verdana" w:eastAsia="Calibri" w:hAnsi="Verdana" w:cs="Arial"/>
                <w:b/>
                <w:bCs/>
                <w:lang w:val="es-ES" w:eastAsia="es-ES"/>
              </w:rPr>
            </w:pPr>
          </w:p>
        </w:tc>
      </w:tr>
      <w:tr w:rsidR="00976832" w:rsidRPr="00D20014" w14:paraId="4928179C" w14:textId="77777777" w:rsidTr="00B127C4">
        <w:trPr>
          <w:trHeight w:val="884"/>
        </w:trPr>
        <w:tc>
          <w:tcPr>
            <w:tcW w:w="2410" w:type="dxa"/>
          </w:tcPr>
          <w:p w14:paraId="3365726A" w14:textId="77777777" w:rsidR="00976832" w:rsidRPr="00D20014" w:rsidRDefault="00976832" w:rsidP="00B127C4">
            <w:pPr>
              <w:jc w:val="both"/>
              <w:rPr>
                <w:rFonts w:ascii="Verdana" w:eastAsia="Calibri" w:hAnsi="Verdana" w:cs="Arial"/>
                <w:lang w:val="es-ES_tradnl" w:eastAsia="es-ES_tradnl"/>
              </w:rPr>
            </w:pPr>
            <w:r w:rsidRPr="00D20014">
              <w:rPr>
                <w:rFonts w:ascii="Verdana" w:eastAsia="Calibri" w:hAnsi="Verdana" w:cs="Arial"/>
                <w:b/>
                <w:lang w:val="es-ES_tradnl" w:eastAsia="es-ES_tradnl"/>
              </w:rPr>
              <w:t>Temas:</w:t>
            </w:r>
            <w:r w:rsidRPr="00D20014">
              <w:rPr>
                <w:rFonts w:ascii="Verdana" w:eastAsia="Calibri" w:hAnsi="Verdana" w:cs="Arial"/>
                <w:lang w:val="es-ES_tradnl" w:eastAsia="es-ES_tradnl"/>
              </w:rPr>
              <w:t xml:space="preserve">                   </w:t>
            </w:r>
          </w:p>
        </w:tc>
        <w:tc>
          <w:tcPr>
            <w:tcW w:w="6379" w:type="dxa"/>
          </w:tcPr>
          <w:p w14:paraId="057DE0DC" w14:textId="66F0FA28" w:rsidR="00976832" w:rsidRPr="00D33FF3" w:rsidRDefault="00976832" w:rsidP="00B127C4">
            <w:pPr>
              <w:spacing w:line="276" w:lineRule="auto"/>
              <w:jc w:val="both"/>
              <w:rPr>
                <w:rFonts w:ascii="Verdana" w:eastAsia="Calibri" w:hAnsi="Verdana" w:cs="Arial"/>
                <w:color w:val="000000"/>
                <w:szCs w:val="24"/>
                <w:lang w:val="es-ES_tradnl" w:eastAsia="es-ES_tradnl"/>
              </w:rPr>
            </w:pPr>
            <w:r w:rsidRPr="00D20014">
              <w:rPr>
                <w:rFonts w:ascii="Verdana" w:eastAsia="Times New Roman" w:hAnsi="Verdana" w:cs="Arial"/>
                <w:lang w:eastAsia="es-ES_tradnl"/>
              </w:rPr>
              <w:t xml:space="preserve">DOCUMENTOS TIPO – Fundamento normativo – Obligatoriedad – Ámbito de aplicación – Entidades sometidas </w:t>
            </w:r>
            <w:r w:rsidRPr="00D20014">
              <w:rPr>
                <w:rFonts w:ascii="Verdana" w:eastAsia="Calibri" w:hAnsi="Verdana" w:cs="Arial"/>
                <w:color w:val="000000"/>
                <w:szCs w:val="24"/>
                <w:lang w:val="es-ES_tradnl" w:eastAsia="es-ES_tradnl"/>
              </w:rPr>
              <w:t xml:space="preserve">/ LEY 2195 DE 2022 – Artículo 56 – Personas jurídicas de derecho privado – Documentos tipo – Estatuto General de Contratación de la Administración Pública / LEY 2195 DE 2022 – Artículo 56 – Parágrafo – </w:t>
            </w:r>
            <w:r>
              <w:rPr>
                <w:rFonts w:ascii="Verdana" w:eastAsia="Calibri" w:hAnsi="Verdana" w:cs="Arial"/>
                <w:color w:val="000000"/>
                <w:szCs w:val="24"/>
                <w:lang w:val="es-ES_tradnl" w:eastAsia="es-ES_tradnl"/>
              </w:rPr>
              <w:t xml:space="preserve">Alcance </w:t>
            </w:r>
            <w:r w:rsidRPr="00D20014">
              <w:rPr>
                <w:rFonts w:ascii="Verdana" w:eastAsia="Calibri" w:hAnsi="Verdana" w:cs="Arial"/>
                <w:color w:val="000000"/>
                <w:szCs w:val="24"/>
                <w:lang w:val="es-ES_tradnl" w:eastAsia="es-ES_tradnl"/>
              </w:rPr>
              <w:t xml:space="preserve">/ </w:t>
            </w:r>
            <w:r>
              <w:rPr>
                <w:rFonts w:ascii="Verdana" w:eastAsia="Calibri" w:hAnsi="Verdana" w:cs="Arial"/>
                <w:color w:val="000000"/>
                <w:szCs w:val="24"/>
                <w:lang w:val="es-ES_tradnl" w:eastAsia="es-ES_tradnl"/>
              </w:rPr>
              <w:t xml:space="preserve">ADMINISTRACIÓN DELEGADA </w:t>
            </w:r>
            <w:r w:rsidRPr="00D20014">
              <w:rPr>
                <w:rFonts w:ascii="Verdana" w:eastAsia="Calibri" w:hAnsi="Verdana" w:cs="Arial"/>
                <w:color w:val="000000"/>
                <w:szCs w:val="24"/>
                <w:lang w:val="es-ES_tradnl" w:eastAsia="es-ES_tradnl"/>
              </w:rPr>
              <w:t>–</w:t>
            </w:r>
            <w:r>
              <w:rPr>
                <w:rFonts w:ascii="Verdana" w:eastAsia="Calibri" w:hAnsi="Verdana" w:cs="Arial"/>
                <w:color w:val="000000"/>
                <w:szCs w:val="24"/>
                <w:lang w:val="es-ES_tradnl" w:eastAsia="es-ES_tradnl"/>
              </w:rPr>
              <w:t xml:space="preserve"> Aplicación </w:t>
            </w:r>
          </w:p>
        </w:tc>
      </w:tr>
      <w:tr w:rsidR="00976832" w:rsidRPr="00D20014" w14:paraId="538635A4" w14:textId="77777777" w:rsidTr="00B127C4">
        <w:tc>
          <w:tcPr>
            <w:tcW w:w="2410" w:type="dxa"/>
          </w:tcPr>
          <w:p w14:paraId="221EA4A6" w14:textId="77777777" w:rsidR="00976832" w:rsidRPr="00D20014" w:rsidRDefault="00976832" w:rsidP="00B127C4">
            <w:pPr>
              <w:jc w:val="both"/>
              <w:rPr>
                <w:rFonts w:ascii="Verdana" w:eastAsia="Calibri" w:hAnsi="Verdana" w:cs="Arial"/>
                <w:b/>
                <w:lang w:val="es-ES_tradnl" w:eastAsia="es-ES_tradnl"/>
              </w:rPr>
            </w:pPr>
            <w:r w:rsidRPr="00D20014">
              <w:rPr>
                <w:rFonts w:ascii="Verdana" w:eastAsia="Calibri" w:hAnsi="Verdana" w:cs="Arial"/>
                <w:b/>
                <w:lang w:val="es-ES_tradnl" w:eastAsia="es-ES_tradnl"/>
              </w:rPr>
              <w:t>Radicación:</w:t>
            </w:r>
            <w:r w:rsidRPr="00D20014">
              <w:rPr>
                <w:rFonts w:ascii="Verdana" w:eastAsia="Calibri" w:hAnsi="Verdana" w:cs="Arial"/>
                <w:lang w:val="es-ES_tradnl" w:eastAsia="es-ES_tradnl"/>
              </w:rPr>
              <w:t xml:space="preserve">               </w:t>
            </w:r>
          </w:p>
        </w:tc>
        <w:tc>
          <w:tcPr>
            <w:tcW w:w="6379" w:type="dxa"/>
          </w:tcPr>
          <w:p w14:paraId="0C9F3A24" w14:textId="77777777" w:rsidR="00976832" w:rsidRPr="00D20014" w:rsidRDefault="00976832" w:rsidP="00B127C4">
            <w:pPr>
              <w:ind w:left="-2" w:firstLine="2"/>
              <w:jc w:val="both"/>
              <w:rPr>
                <w:rFonts w:ascii="Verdana" w:eastAsia="Calibri" w:hAnsi="Verdana" w:cs="Arial"/>
                <w:lang w:val="es-ES_tradnl" w:eastAsia="es-ES_tradnl"/>
              </w:rPr>
            </w:pPr>
            <w:r w:rsidRPr="00D20014">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D20014">
              <w:rPr>
                <w:rFonts w:ascii="Verdana" w:eastAsia="Calibri" w:hAnsi="Verdana" w:cs="Arial"/>
                <w:lang w:val="es-ES_tradnl" w:eastAsia="es-ES_tradnl"/>
              </w:rPr>
              <w:t xml:space="preserve">consulta con radicado </w:t>
            </w:r>
            <w:r>
              <w:rPr>
                <w:rFonts w:ascii="Verdana" w:eastAsia="Calibri" w:hAnsi="Verdana" w:cs="Arial"/>
                <w:lang w:val="es-ES_tradnl" w:eastAsia="es-ES_tradnl"/>
              </w:rPr>
              <w:t xml:space="preserve">No. </w:t>
            </w:r>
            <w:r w:rsidRPr="00D56B3A">
              <w:rPr>
                <w:rFonts w:ascii="Verdana" w:eastAsia="Calibri" w:hAnsi="Verdana" w:cs="Arial"/>
                <w:lang w:val="es-ES_tradnl" w:eastAsia="es-ES_tradnl"/>
              </w:rPr>
              <w:t>1_2025_07_13_007080</w:t>
            </w:r>
          </w:p>
        </w:tc>
      </w:tr>
    </w:tbl>
    <w:p w14:paraId="5EC4C81E" w14:textId="77777777" w:rsidR="00976832" w:rsidRPr="00D20014" w:rsidRDefault="00976832" w:rsidP="00976832">
      <w:pPr>
        <w:spacing w:after="0" w:line="240" w:lineRule="auto"/>
        <w:jc w:val="both"/>
        <w:rPr>
          <w:rFonts w:ascii="Verdana" w:eastAsia="Calibri" w:hAnsi="Verdana" w:cs="Arial"/>
          <w:lang w:val="es-ES_tradnl" w:eastAsia="es-ES_tradnl"/>
        </w:rPr>
      </w:pPr>
    </w:p>
    <w:p w14:paraId="3E3E042F" w14:textId="77777777" w:rsidR="00976832" w:rsidRDefault="00976832" w:rsidP="00976832">
      <w:pPr>
        <w:spacing w:after="0" w:line="276" w:lineRule="auto"/>
        <w:jc w:val="both"/>
        <w:rPr>
          <w:rFonts w:ascii="Verdana" w:eastAsia="Calibri" w:hAnsi="Verdana" w:cs="Arial"/>
          <w:lang w:val="es-ES" w:eastAsia="es-ES"/>
        </w:rPr>
      </w:pPr>
    </w:p>
    <w:p w14:paraId="6C335E61" w14:textId="77777777" w:rsidR="00976832" w:rsidRPr="00D20014" w:rsidRDefault="00976832" w:rsidP="00976832">
      <w:pPr>
        <w:spacing w:after="0" w:line="276" w:lineRule="auto"/>
        <w:jc w:val="both"/>
        <w:rPr>
          <w:rFonts w:ascii="Verdana" w:eastAsia="Calibri" w:hAnsi="Verdana" w:cs="Arial"/>
          <w:lang w:val="es-ES" w:eastAsia="es-ES"/>
        </w:rPr>
      </w:pPr>
      <w:r w:rsidRPr="00D20014">
        <w:rPr>
          <w:rFonts w:ascii="Verdana" w:eastAsia="Calibri" w:hAnsi="Verdana" w:cs="Arial"/>
          <w:lang w:val="es-ES" w:eastAsia="es-ES"/>
        </w:rPr>
        <w:t>Estimado señor</w:t>
      </w:r>
      <w:r>
        <w:rPr>
          <w:rFonts w:ascii="Verdana" w:eastAsia="Calibri" w:hAnsi="Verdana" w:cs="Arial"/>
          <w:lang w:val="es-ES" w:eastAsia="es-ES"/>
        </w:rPr>
        <w:t xml:space="preserve"> Gutiérrez Ibáñez</w:t>
      </w:r>
      <w:r w:rsidRPr="00D20014">
        <w:rPr>
          <w:rFonts w:ascii="Verdana" w:eastAsia="Calibri" w:hAnsi="Verdana" w:cs="Arial"/>
          <w:lang w:val="es-ES" w:eastAsia="es-ES"/>
        </w:rPr>
        <w:t xml:space="preserve">: </w:t>
      </w:r>
    </w:p>
    <w:p w14:paraId="09B8B13E" w14:textId="77777777" w:rsidR="00976832" w:rsidRPr="00D20014" w:rsidRDefault="00976832" w:rsidP="00976832">
      <w:pPr>
        <w:tabs>
          <w:tab w:val="left" w:pos="3768"/>
        </w:tabs>
        <w:spacing w:after="0" w:line="276" w:lineRule="auto"/>
        <w:jc w:val="both"/>
        <w:rPr>
          <w:rFonts w:ascii="Verdana" w:eastAsia="Calibri" w:hAnsi="Verdana" w:cs="Arial"/>
          <w:lang w:val="es-ES" w:eastAsia="es-ES"/>
        </w:rPr>
      </w:pPr>
      <w:r w:rsidRPr="00D20014">
        <w:rPr>
          <w:rFonts w:ascii="Verdana" w:eastAsia="Calibri" w:hAnsi="Verdana" w:cs="Arial"/>
          <w:lang w:val="es-ES" w:eastAsia="es-ES"/>
        </w:rPr>
        <w:tab/>
      </w:r>
    </w:p>
    <w:p w14:paraId="0D7450B2" w14:textId="77777777" w:rsidR="00976832" w:rsidRPr="00D20014" w:rsidRDefault="00976832" w:rsidP="00976832">
      <w:pPr>
        <w:spacing w:after="0" w:line="276" w:lineRule="auto"/>
        <w:jc w:val="both"/>
        <w:rPr>
          <w:rFonts w:ascii="Verdana" w:eastAsia="Calibri" w:hAnsi="Verdana" w:cs="Arial"/>
          <w:lang w:val="es-ES" w:eastAsia="es-ES"/>
        </w:rPr>
      </w:pPr>
      <w:r w:rsidRPr="00D20014">
        <w:rPr>
          <w:rFonts w:ascii="Verdana" w:eastAsia="Calibri" w:hAnsi="Verdana" w:cs="Arial"/>
          <w:lang w:val="es-ES" w:eastAsia="es-ES"/>
        </w:rPr>
        <w:t>En ejercicio de la competencia otorgada por los artículos 3, numeral 5º, y 11, numeral 8º, del Decreto Ley 4170 de 2011,</w:t>
      </w:r>
      <w:r w:rsidRPr="00D20014">
        <w:rPr>
          <w:rFonts w:ascii="Verdana" w:eastAsia="Arial MT" w:hAnsi="Verdana" w:cs="Arial MT"/>
          <w:lang w:val="es-ES" w:eastAsia="es-ES"/>
        </w:rPr>
        <w:t xml:space="preserve"> </w:t>
      </w:r>
      <w:r w:rsidRPr="00D20014">
        <w:rPr>
          <w:rFonts w:ascii="Verdana" w:eastAsia="Aptos" w:hAnsi="Verdana" w:cs="Arial"/>
        </w:rPr>
        <w:t xml:space="preserve">así como lo establecido en el artículo 4 de la Resolución 1707 de 2018 expedida por esta Entidad, </w:t>
      </w:r>
      <w:r w:rsidRPr="00D20014">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13 de julio de </w:t>
      </w:r>
      <w:r w:rsidRPr="00D20014">
        <w:rPr>
          <w:rFonts w:ascii="Verdana" w:eastAsia="Calibri" w:hAnsi="Verdana" w:cs="Arial"/>
          <w:lang w:val="es-ES" w:eastAsia="es-ES"/>
        </w:rPr>
        <w:t>2025, en la</w:t>
      </w:r>
      <w:r>
        <w:rPr>
          <w:rFonts w:ascii="Verdana" w:eastAsia="Calibri" w:hAnsi="Verdana" w:cs="Arial"/>
          <w:lang w:val="es-ES" w:eastAsia="es-ES"/>
        </w:rPr>
        <w:t xml:space="preserve"> que</w:t>
      </w:r>
      <w:r w:rsidRPr="00D20014">
        <w:rPr>
          <w:rFonts w:ascii="Verdana" w:eastAsia="Calibri" w:hAnsi="Verdana" w:cs="Arial"/>
          <w:lang w:val="es-ES" w:eastAsia="es-ES"/>
        </w:rPr>
        <w:t xml:space="preserve"> manifiesta lo siguiente: </w:t>
      </w:r>
    </w:p>
    <w:p w14:paraId="424886D8" w14:textId="77777777" w:rsidR="00976832" w:rsidRPr="00D20014" w:rsidRDefault="00976832" w:rsidP="00976832">
      <w:pPr>
        <w:tabs>
          <w:tab w:val="left" w:pos="142"/>
          <w:tab w:val="left" w:pos="284"/>
        </w:tabs>
        <w:spacing w:after="0" w:line="276" w:lineRule="auto"/>
        <w:jc w:val="both"/>
        <w:rPr>
          <w:rFonts w:ascii="Verdana" w:eastAsia="Century Gothic" w:hAnsi="Verdana" w:cs="Century Gothic"/>
          <w:b/>
          <w:bCs/>
        </w:rPr>
      </w:pPr>
    </w:p>
    <w:p w14:paraId="7369DF90" w14:textId="77777777" w:rsidR="00976832" w:rsidRDefault="00976832" w:rsidP="00976832">
      <w:pPr>
        <w:spacing w:after="0" w:line="240" w:lineRule="auto"/>
        <w:ind w:left="709" w:right="709"/>
        <w:jc w:val="both"/>
        <w:rPr>
          <w:rFonts w:ascii="Verdana" w:eastAsia="Century Gothic" w:hAnsi="Verdana" w:cs="Century Gothic"/>
          <w:sz w:val="20"/>
          <w:szCs w:val="20"/>
        </w:rPr>
      </w:pPr>
      <w:bookmarkStart w:id="1" w:name="_Hlk95313578"/>
      <w:r w:rsidRPr="00C563D0">
        <w:rPr>
          <w:rFonts w:ascii="Verdana" w:eastAsia="Century Gothic" w:hAnsi="Verdana" w:cs="Century Gothic"/>
          <w:sz w:val="20"/>
          <w:szCs w:val="20"/>
          <w:lang w:val="es-ES"/>
        </w:rPr>
        <w:t>“</w:t>
      </w:r>
      <w:bookmarkEnd w:id="1"/>
      <w:r w:rsidRPr="00D56B3A">
        <w:rPr>
          <w:rFonts w:ascii="Verdana" w:eastAsia="Century Gothic" w:hAnsi="Verdana" w:cs="Century Gothic"/>
          <w:sz w:val="20"/>
          <w:szCs w:val="20"/>
        </w:rPr>
        <w:t xml:space="preserve">solicito concepto si mediante contrato de administración delegada suscrito entre un municipio y una Empresa Industrial y Comercial del Estado se transfieren recursos para efectos de ejecutar una obra pública siendo estos del municipio, el proceso contractual se debería realizar bajo los parámetros de la ley 2195 de 2022 articulo 56, el cual exige la aplicabilidad de los pliegos tipo, publicación en el </w:t>
      </w:r>
      <w:proofErr w:type="spellStart"/>
      <w:r w:rsidRPr="00D56B3A">
        <w:rPr>
          <w:rFonts w:ascii="Verdana" w:eastAsia="Century Gothic" w:hAnsi="Verdana" w:cs="Century Gothic"/>
          <w:sz w:val="20"/>
          <w:szCs w:val="20"/>
        </w:rPr>
        <w:t>secop</w:t>
      </w:r>
      <w:proofErr w:type="spellEnd"/>
      <w:r w:rsidRPr="00D56B3A">
        <w:rPr>
          <w:rFonts w:ascii="Verdana" w:eastAsia="Century Gothic" w:hAnsi="Verdana" w:cs="Century Gothic"/>
          <w:sz w:val="20"/>
          <w:szCs w:val="20"/>
        </w:rPr>
        <w:t xml:space="preserve"> 2 y realizar el proceso de licitación </w:t>
      </w:r>
      <w:proofErr w:type="spellStart"/>
      <w:r w:rsidRPr="00D56B3A">
        <w:rPr>
          <w:rFonts w:ascii="Verdana" w:eastAsia="Century Gothic" w:hAnsi="Verdana" w:cs="Century Gothic"/>
          <w:sz w:val="20"/>
          <w:szCs w:val="20"/>
        </w:rPr>
        <w:t>publica</w:t>
      </w:r>
      <w:proofErr w:type="spellEnd"/>
      <w:r w:rsidRPr="00D56B3A">
        <w:rPr>
          <w:rFonts w:ascii="Verdana" w:eastAsia="Century Gothic" w:hAnsi="Verdana" w:cs="Century Gothic"/>
          <w:sz w:val="20"/>
          <w:szCs w:val="20"/>
        </w:rPr>
        <w:t xml:space="preserve"> bajo sus términos y procedimientos o esta empresa puede utilizar su manual de contratación, siendo que el recurso es de la otra entidad la cual esta cobijada bajo el régimen del decreto 1082 de 2015, y encaso tal el contrato de administración delegada estaría bajo el régimen</w:t>
      </w:r>
      <w:r>
        <w:rPr>
          <w:rFonts w:ascii="Verdana" w:eastAsia="Century Gothic" w:hAnsi="Verdana" w:cs="Century Gothic"/>
          <w:sz w:val="20"/>
          <w:szCs w:val="20"/>
        </w:rPr>
        <w:t xml:space="preserve"> </w:t>
      </w:r>
      <w:r w:rsidRPr="00D56B3A">
        <w:rPr>
          <w:rFonts w:ascii="Verdana" w:eastAsia="Century Gothic" w:hAnsi="Verdana" w:cs="Century Gothic"/>
          <w:sz w:val="20"/>
          <w:szCs w:val="20"/>
        </w:rPr>
        <w:t xml:space="preserve">de le ley 489 de 1998 lo cual obliga que a pesar de régimen </w:t>
      </w:r>
      <w:r w:rsidRPr="00D56B3A">
        <w:rPr>
          <w:rFonts w:ascii="Verdana" w:eastAsia="Century Gothic" w:hAnsi="Verdana" w:cs="Century Gothic"/>
          <w:sz w:val="20"/>
          <w:szCs w:val="20"/>
        </w:rPr>
        <w:lastRenderedPageBreak/>
        <w:t>especial tiene la obligación de la aplicación de los pliegos tipo y sus procesos y términos y procedimiento?</w:t>
      </w:r>
      <w:r>
        <w:rPr>
          <w:rFonts w:ascii="Verdana" w:eastAsia="Century Gothic" w:hAnsi="Verdana" w:cs="Century Gothic"/>
          <w:sz w:val="20"/>
          <w:szCs w:val="20"/>
        </w:rPr>
        <w:t>”</w:t>
      </w:r>
    </w:p>
    <w:p w14:paraId="3FB28203" w14:textId="77777777" w:rsidR="00976832" w:rsidRPr="00D20014" w:rsidRDefault="00976832" w:rsidP="00976832">
      <w:pPr>
        <w:spacing w:after="0" w:line="276" w:lineRule="auto"/>
        <w:ind w:left="709" w:right="709"/>
        <w:jc w:val="both"/>
        <w:rPr>
          <w:rFonts w:ascii="Verdana" w:eastAsia="Aptos" w:hAnsi="Verdana" w:cs="Arial"/>
          <w:sz w:val="20"/>
          <w:szCs w:val="20"/>
          <w:shd w:val="clear" w:color="auto" w:fill="FFFFFF"/>
        </w:rPr>
      </w:pPr>
    </w:p>
    <w:p w14:paraId="3E3279BE" w14:textId="77777777" w:rsidR="00976832" w:rsidRPr="00D20014" w:rsidRDefault="00976832" w:rsidP="00976832">
      <w:pPr>
        <w:spacing w:after="120" w:line="276" w:lineRule="auto"/>
        <w:jc w:val="both"/>
        <w:rPr>
          <w:rFonts w:ascii="Verdana" w:eastAsia="Calibri" w:hAnsi="Verdana" w:cs="Arial"/>
          <w:color w:val="000000"/>
          <w:lang w:val="es-ES_tradnl" w:eastAsia="es-ES_tradnl"/>
        </w:rPr>
      </w:pPr>
      <w:r w:rsidRPr="00D2001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20014">
        <w:rPr>
          <w:rFonts w:ascii="Verdana" w:eastAsia="Calibri" w:hAnsi="Verdana" w:cs="Arial"/>
          <w:color w:val="000000"/>
          <w:lang w:val="es-ES_tradnl" w:eastAsia="es-ES_tradnl"/>
        </w:rPr>
        <w:tab/>
      </w:r>
    </w:p>
    <w:p w14:paraId="317540E5" w14:textId="77777777" w:rsidR="00976832" w:rsidRPr="00D20014" w:rsidRDefault="00976832" w:rsidP="00976832">
      <w:pPr>
        <w:spacing w:after="0" w:line="276" w:lineRule="auto"/>
        <w:ind w:firstLine="709"/>
        <w:jc w:val="both"/>
        <w:rPr>
          <w:rFonts w:ascii="Verdana" w:eastAsia="Calibri" w:hAnsi="Verdana" w:cs="Arial"/>
          <w:lang w:val="es-ES" w:eastAsia="es-ES"/>
        </w:rPr>
      </w:pPr>
      <w:r w:rsidRPr="00D2001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7A4766FB" w14:textId="77777777" w:rsidR="00976832" w:rsidRPr="00D20014" w:rsidRDefault="00976832" w:rsidP="00976832">
      <w:pPr>
        <w:spacing w:after="0" w:line="276" w:lineRule="auto"/>
        <w:ind w:firstLine="709"/>
        <w:jc w:val="both"/>
        <w:rPr>
          <w:rFonts w:ascii="Verdana" w:eastAsia="Calibri" w:hAnsi="Verdana" w:cs="Arial"/>
          <w:lang w:val="es-ES" w:eastAsia="es-ES"/>
        </w:rPr>
      </w:pPr>
    </w:p>
    <w:p w14:paraId="2046AA90" w14:textId="77777777" w:rsidR="00976832" w:rsidRPr="00D20014" w:rsidRDefault="00976832" w:rsidP="00976832">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Problema planteado:</w:t>
      </w:r>
    </w:p>
    <w:p w14:paraId="520A280F" w14:textId="77777777" w:rsidR="00976832" w:rsidRPr="00D20014" w:rsidRDefault="00976832" w:rsidP="00976832">
      <w:pPr>
        <w:tabs>
          <w:tab w:val="left" w:pos="426"/>
        </w:tabs>
        <w:spacing w:after="0" w:line="276" w:lineRule="auto"/>
        <w:jc w:val="both"/>
        <w:rPr>
          <w:rFonts w:ascii="Verdana" w:eastAsia="Century Gothic" w:hAnsi="Verdana" w:cs="Century Gothic"/>
          <w:lang w:val="es-ES"/>
        </w:rPr>
      </w:pPr>
    </w:p>
    <w:p w14:paraId="6AAFA7CE" w14:textId="77777777" w:rsidR="00976832" w:rsidRPr="00D20014" w:rsidRDefault="00976832" w:rsidP="00976832">
      <w:pPr>
        <w:spacing w:after="0"/>
        <w:jc w:val="both"/>
        <w:rPr>
          <w:rFonts w:ascii="Verdana" w:eastAsia="Century Gothic" w:hAnsi="Verdana" w:cs="Century Gothic"/>
        </w:rPr>
      </w:pPr>
      <w:r w:rsidRPr="00D20014">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D20014">
        <w:rPr>
          <w:rFonts w:ascii="Verdana" w:eastAsia="Century Gothic" w:hAnsi="Verdana" w:cs="Century Gothic"/>
        </w:rPr>
        <w:t xml:space="preserve"> siguiente problema jurídico: ¿</w:t>
      </w:r>
      <w:r>
        <w:rPr>
          <w:rFonts w:ascii="Verdana" w:eastAsia="Century Gothic" w:hAnsi="Verdana" w:cs="Century Gothic"/>
        </w:rPr>
        <w:t xml:space="preserve">En virtud del artículo 56 de la Ley 2195 de 2022, se debe aplicar los documentos tipo cuando se celebre un contrato de administración delegada entre una entidad municipal y una Empresa Industrial y Comercial del Estado? </w:t>
      </w:r>
    </w:p>
    <w:p w14:paraId="6FC57A4D" w14:textId="77777777" w:rsidR="00976832" w:rsidRPr="00D20014" w:rsidRDefault="00976832" w:rsidP="00976832">
      <w:pPr>
        <w:spacing w:after="0" w:line="276" w:lineRule="auto"/>
        <w:jc w:val="both"/>
        <w:rPr>
          <w:rFonts w:ascii="Verdana" w:eastAsia="Calibri" w:hAnsi="Verdana" w:cs="Arial"/>
          <w:color w:val="7030A0"/>
          <w:lang w:val="es-ES"/>
        </w:rPr>
      </w:pPr>
    </w:p>
    <w:p w14:paraId="05F1CE78" w14:textId="77777777" w:rsidR="00976832" w:rsidRPr="00D20014" w:rsidRDefault="00976832" w:rsidP="00976832">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Respuesta:</w:t>
      </w:r>
    </w:p>
    <w:p w14:paraId="288A73B0" w14:textId="77777777" w:rsidR="00976832" w:rsidRPr="00D20014" w:rsidRDefault="00976832" w:rsidP="0097683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76832" w:rsidRPr="00D20014" w14:paraId="06E1BC61" w14:textId="77777777" w:rsidTr="00B127C4">
        <w:tc>
          <w:tcPr>
            <w:tcW w:w="8828" w:type="dxa"/>
          </w:tcPr>
          <w:p w14:paraId="6284F336" w14:textId="77777777" w:rsidR="00976832" w:rsidRDefault="00976832" w:rsidP="00B127C4">
            <w:pPr>
              <w:spacing w:before="120" w:line="276" w:lineRule="auto"/>
              <w:jc w:val="both"/>
              <w:rPr>
                <w:rFonts w:ascii="Verdana" w:eastAsia="Calibri" w:hAnsi="Verdana" w:cs="Arial"/>
                <w:lang w:val="es-ES"/>
              </w:rPr>
            </w:pPr>
            <w:r>
              <w:rPr>
                <w:rFonts w:ascii="Verdana" w:eastAsia="Calibri" w:hAnsi="Verdana" w:cs="Arial"/>
                <w:lang w:val="es-ES"/>
              </w:rPr>
              <w:t xml:space="preserve">De acuerdo con lo señalado en el concepto unificado C-870 del 13 de agosto de 2025, esta Agencia </w:t>
            </w:r>
            <w:r w:rsidRPr="00A83537">
              <w:rPr>
                <w:rFonts w:ascii="Verdana" w:eastAsia="Calibri" w:hAnsi="Verdana" w:cs="Arial"/>
                <w:lang w:eastAsia="es-ES"/>
              </w:rPr>
              <w:t>estim</w:t>
            </w:r>
            <w:r>
              <w:rPr>
                <w:rFonts w:ascii="Verdana" w:eastAsia="Calibri" w:hAnsi="Verdana" w:cs="Arial"/>
                <w:lang w:eastAsia="es-ES"/>
              </w:rPr>
              <w:t>ó</w:t>
            </w:r>
            <w:r w:rsidRPr="00A83537">
              <w:rPr>
                <w:rFonts w:ascii="Verdana" w:eastAsia="Calibri" w:hAnsi="Verdana" w:cs="Arial"/>
                <w:lang w:eastAsia="es-ES"/>
              </w:rPr>
              <w:t xml:space="preserve"> que la interpretación más adecuada de </w:t>
            </w:r>
            <w:r w:rsidRPr="0018056C">
              <w:rPr>
                <w:rFonts w:ascii="Verdana" w:eastAsia="Calibri" w:hAnsi="Verdana" w:cs="Arial"/>
                <w:lang w:val="es-ES"/>
              </w:rPr>
              <w:t>artículo 56 de la Ley 2195 de 2022</w:t>
            </w:r>
            <w:r w:rsidRPr="00A83537">
              <w:rPr>
                <w:rFonts w:ascii="Verdana" w:eastAsia="Calibri" w:hAnsi="Verdana" w:cs="Arial"/>
                <w:lang w:eastAsia="es-ES"/>
              </w:rPr>
              <w:t xml:space="preserve">, atendiendo a su tenor literal y al espíritu </w:t>
            </w:r>
            <w:r>
              <w:rPr>
                <w:rFonts w:ascii="Verdana" w:eastAsia="Calibri" w:hAnsi="Verdana" w:cs="Arial"/>
                <w:lang w:eastAsia="es-ES"/>
              </w:rPr>
              <w:t xml:space="preserve">de la misma corresponde a que </w:t>
            </w:r>
            <w:r w:rsidRPr="0018056C">
              <w:rPr>
                <w:rFonts w:ascii="Verdana" w:eastAsia="Calibri" w:hAnsi="Verdana" w:cs="Arial"/>
                <w:lang w:val="es-ES"/>
              </w:rPr>
              <w:t xml:space="preserve">la norma busca extender la aplicación obligatoria de </w:t>
            </w:r>
            <w:r w:rsidRPr="0018056C">
              <w:rPr>
                <w:rFonts w:ascii="Verdana" w:eastAsia="Calibri" w:hAnsi="Verdana" w:cs="Arial"/>
                <w:lang w:val="es-ES"/>
              </w:rPr>
              <w:lastRenderedPageBreak/>
              <w:t xml:space="preserve">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18056C">
              <w:rPr>
                <w:rFonts w:ascii="Verdana" w:eastAsia="Calibri" w:hAnsi="Verdana" w:cs="Arial"/>
                <w:lang w:val="es-ES"/>
              </w:rPr>
              <w:t>ii</w:t>
            </w:r>
            <w:proofErr w:type="spellEnd"/>
            <w:r w:rsidRPr="0018056C">
              <w:rPr>
                <w:rFonts w:ascii="Verdana" w:eastAsia="Calibri" w:hAnsi="Verdana" w:cs="Arial"/>
                <w:lang w:val="es-ES"/>
              </w:rPr>
              <w:t xml:space="preserve">) patrimonios autónomos o </w:t>
            </w:r>
            <w:proofErr w:type="spellStart"/>
            <w:r w:rsidRPr="0018056C">
              <w:rPr>
                <w:rFonts w:ascii="Verdana" w:eastAsia="Calibri" w:hAnsi="Verdana" w:cs="Arial"/>
                <w:lang w:val="es-ES"/>
              </w:rPr>
              <w:t>iii</w:t>
            </w:r>
            <w:proofErr w:type="spellEnd"/>
            <w:r w:rsidRPr="0018056C">
              <w:rPr>
                <w:rFonts w:ascii="Verdana" w:eastAsia="Calibri" w:hAnsi="Verdana" w:cs="Arial"/>
                <w:lang w:val="es-ES"/>
              </w:rPr>
              <w:t>)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r w:rsidRPr="00893489">
              <w:rPr>
                <w:rFonts w:ascii="Verdana" w:eastAsia="Calibri" w:hAnsi="Verdana" w:cs="Arial"/>
                <w:lang w:val="es-ES"/>
              </w:rPr>
              <w:t>.</w:t>
            </w:r>
          </w:p>
          <w:p w14:paraId="21735B60" w14:textId="77777777" w:rsidR="00976832" w:rsidRDefault="00976832" w:rsidP="00B127C4">
            <w:pPr>
              <w:spacing w:before="120" w:line="276" w:lineRule="auto"/>
              <w:ind w:firstLine="601"/>
              <w:jc w:val="both"/>
              <w:rPr>
                <w:rFonts w:ascii="Verdana" w:eastAsia="Aptos" w:hAnsi="Verdana" w:cs="Arial"/>
                <w:color w:val="000000"/>
                <w:shd w:val="clear" w:color="auto" w:fill="FFFFFF"/>
                <w:lang w:val="es-ES"/>
              </w:rPr>
            </w:pPr>
            <w:r>
              <w:rPr>
                <w:rFonts w:ascii="Verdana" w:eastAsia="Aptos" w:hAnsi="Verdana" w:cs="Arial"/>
                <w:color w:val="000000"/>
                <w:shd w:val="clear" w:color="auto" w:fill="FFFFFF"/>
                <w:lang w:val="es-ES"/>
              </w:rPr>
              <w:t>Así,</w:t>
            </w:r>
            <w:r w:rsidRPr="65879FAB">
              <w:rPr>
                <w:rFonts w:ascii="Verdana" w:eastAsia="Aptos" w:hAnsi="Verdana" w:cs="Arial"/>
                <w:color w:val="000000"/>
                <w:shd w:val="clear" w:color="auto" w:fill="FFFFFF"/>
                <w:lang w:val="es-ES"/>
              </w:rPr>
              <w:t xml:space="preserve"> </w:t>
            </w:r>
            <w:r w:rsidRPr="007D6E27">
              <w:rPr>
                <w:rFonts w:ascii="Verdana" w:eastAsia="Calibri" w:hAnsi="Verdana" w:cs="Arial"/>
                <w:bCs/>
                <w:lang w:val="es-ES_tradnl" w:eastAsia="es-ES_tradnl"/>
              </w:rPr>
              <w:t>de la lectura conjunta de los incisos primero y segundo</w:t>
            </w:r>
            <w:r w:rsidRPr="00202EAB">
              <w:rPr>
                <w:rFonts w:ascii="Verdana" w:eastAsia="Calibri" w:hAnsi="Verdana" w:cs="Arial"/>
                <w:bCs/>
                <w:lang w:eastAsia="es-ES_tradnl"/>
              </w:rPr>
              <w:t xml:space="preserve"> </w:t>
            </w:r>
            <w:r>
              <w:rPr>
                <w:rFonts w:ascii="Verdana" w:eastAsia="Calibri" w:hAnsi="Verdana" w:cs="Arial"/>
                <w:bCs/>
                <w:lang w:eastAsia="es-ES_tradnl"/>
              </w:rPr>
              <w:t>d</w:t>
            </w:r>
            <w:r w:rsidRPr="00202EAB">
              <w:rPr>
                <w:rFonts w:ascii="Verdana" w:eastAsia="Calibri" w:hAnsi="Verdana" w:cs="Arial"/>
                <w:bCs/>
                <w:lang w:eastAsia="es-ES_tradnl"/>
              </w:rPr>
              <w:t>el artículo 56 de la Ley 2195 de 2022,</w:t>
            </w:r>
            <w:r w:rsidRPr="007D6E27">
              <w:rPr>
                <w:rFonts w:ascii="Verdana" w:eastAsia="Calibri" w:hAnsi="Verdana" w:cs="Arial"/>
                <w:bCs/>
                <w:lang w:val="es-ES_tradnl" w:eastAsia="es-ES_tradnl"/>
              </w:rPr>
              <w:t xml:space="preserve"> se desprende que </w:t>
            </w:r>
            <w:r w:rsidRPr="00202EAB">
              <w:rPr>
                <w:rFonts w:ascii="Verdana" w:eastAsia="Calibri" w:hAnsi="Verdana" w:cs="Arial"/>
                <w:bCs/>
                <w:lang w:eastAsia="es-ES_tradnl"/>
              </w:rPr>
              <w:t>cuando se celebre un contrato</w:t>
            </w:r>
            <w:r>
              <w:rPr>
                <w:rFonts w:ascii="Verdana" w:eastAsia="Calibri" w:hAnsi="Verdana" w:cs="Arial"/>
                <w:bCs/>
                <w:lang w:eastAsia="es-ES_tradnl"/>
              </w:rPr>
              <w:t xml:space="preserve"> o </w:t>
            </w:r>
            <w:r w:rsidRPr="00202EAB">
              <w:rPr>
                <w:rFonts w:ascii="Verdana" w:eastAsia="Calibri" w:hAnsi="Verdana" w:cs="Arial"/>
                <w:bCs/>
                <w:lang w:eastAsia="es-ES_tradnl"/>
              </w:rPr>
              <w:t xml:space="preserve">convenio interadministrativo o </w:t>
            </w:r>
            <w:r>
              <w:rPr>
                <w:rFonts w:ascii="Verdana" w:eastAsia="Calibri" w:hAnsi="Verdana" w:cs="Arial"/>
                <w:bCs/>
                <w:lang w:eastAsia="es-ES_tradnl"/>
              </w:rPr>
              <w:t xml:space="preserve">de </w:t>
            </w:r>
            <w:r w:rsidRPr="00202EAB">
              <w:rPr>
                <w:rFonts w:ascii="Verdana" w:eastAsia="Calibri" w:hAnsi="Verdana" w:cs="Arial"/>
                <w:bCs/>
                <w:lang w:eastAsia="es-ES_tradnl"/>
              </w:rPr>
              <w:t>cualquier otr</w:t>
            </w:r>
            <w:r>
              <w:rPr>
                <w:rFonts w:ascii="Verdana" w:eastAsia="Calibri" w:hAnsi="Verdana" w:cs="Arial"/>
                <w:bCs/>
                <w:lang w:eastAsia="es-ES_tradnl"/>
              </w:rPr>
              <w:t>a índole entre una entidad sometida al EGCAP y los sujetos allí mencionados,</w:t>
            </w:r>
            <w:r w:rsidRPr="00202EAB">
              <w:rPr>
                <w:rFonts w:ascii="Verdana" w:eastAsia="Calibri" w:hAnsi="Verdana" w:cs="Arial"/>
                <w:bCs/>
                <w:lang w:eastAsia="es-ES_tradnl"/>
              </w:rPr>
              <w:t xml:space="preserve"> del cual se derive la ejecución de objetos contractuales incluidos dentro del ámbito de aplicación de los documentos tipo, su celebración deberá realizarse por parte del ejecutor o de quien tenga a su cargo el deber de materializar dicha contratación, haciendo uso obligatorio de dichos documentos</w:t>
            </w:r>
            <w:r w:rsidRPr="007C52C9">
              <w:rPr>
                <w:rFonts w:ascii="Arial" w:eastAsia="Calibri" w:hAnsi="Arial" w:cs="Arial"/>
                <w:bCs/>
                <w:lang w:val="es-ES_tradnl"/>
              </w:rPr>
              <w:t xml:space="preserve"> </w:t>
            </w:r>
            <w:r w:rsidRPr="007C52C9">
              <w:rPr>
                <w:rFonts w:ascii="Verdana" w:eastAsia="Calibri" w:hAnsi="Verdana" w:cs="Arial"/>
                <w:bCs/>
                <w:lang w:val="es-ES_tradnl"/>
              </w:rPr>
              <w:t xml:space="preserve">siempre que exista documento tipo aplicable al objeto contractual que se planea contratar. </w:t>
            </w:r>
          </w:p>
          <w:p w14:paraId="618535E8" w14:textId="77777777" w:rsidR="00976832" w:rsidRPr="004E7268" w:rsidRDefault="00976832" w:rsidP="00B127C4">
            <w:pPr>
              <w:spacing w:before="120" w:line="276" w:lineRule="auto"/>
              <w:ind w:firstLine="601"/>
              <w:jc w:val="both"/>
              <w:rPr>
                <w:rFonts w:ascii="Verdana" w:eastAsia="Calibri" w:hAnsi="Verdana" w:cs="Arial"/>
                <w:bCs/>
                <w:lang w:val="es-ES_tradnl"/>
              </w:rPr>
            </w:pPr>
            <w:r>
              <w:rPr>
                <w:rFonts w:ascii="Verdana" w:eastAsia="Calibri" w:hAnsi="Verdana" w:cs="Arial"/>
                <w:bCs/>
                <w:lang w:val="es-ES_tradnl"/>
              </w:rPr>
              <w:t>En este sentido, cuando</w:t>
            </w:r>
            <w:r>
              <w:rPr>
                <w:rFonts w:ascii="Verdana" w:eastAsia="Calibri" w:hAnsi="Verdana" w:cs="Arial"/>
                <w:bCs/>
                <w:lang w:eastAsia="es-ES_tradnl"/>
              </w:rPr>
              <w:t xml:space="preserve"> se</w:t>
            </w:r>
            <w:r w:rsidRPr="00202EAB">
              <w:rPr>
                <w:rFonts w:ascii="Verdana" w:eastAsia="Calibri" w:hAnsi="Verdana" w:cs="Arial"/>
                <w:bCs/>
                <w:lang w:eastAsia="es-ES_tradnl"/>
              </w:rPr>
              <w:t xml:space="preserve"> celebr</w:t>
            </w:r>
            <w:r>
              <w:rPr>
                <w:rFonts w:ascii="Verdana" w:eastAsia="Calibri" w:hAnsi="Verdana" w:cs="Arial"/>
                <w:bCs/>
                <w:lang w:eastAsia="es-ES_tradnl"/>
              </w:rPr>
              <w:t>a</w:t>
            </w:r>
            <w:r w:rsidRPr="00202EAB">
              <w:rPr>
                <w:rFonts w:ascii="Verdana" w:eastAsia="Calibri" w:hAnsi="Verdana" w:cs="Arial"/>
                <w:bCs/>
                <w:lang w:eastAsia="es-ES_tradnl"/>
              </w:rPr>
              <w:t xml:space="preserve"> un contrato</w:t>
            </w:r>
            <w:r>
              <w:rPr>
                <w:rFonts w:ascii="Verdana" w:eastAsia="Calibri" w:hAnsi="Verdana" w:cs="Arial"/>
                <w:bCs/>
                <w:lang w:eastAsia="es-ES_tradnl"/>
              </w:rPr>
              <w:t xml:space="preserve"> </w:t>
            </w:r>
            <w:r w:rsidRPr="00202EAB">
              <w:rPr>
                <w:rFonts w:ascii="Verdana" w:eastAsia="Calibri" w:hAnsi="Verdana" w:cs="Arial"/>
                <w:bCs/>
                <w:lang w:eastAsia="es-ES_tradnl"/>
              </w:rPr>
              <w:t xml:space="preserve">interadministrativo </w:t>
            </w:r>
            <w:r>
              <w:rPr>
                <w:rFonts w:ascii="Verdana" w:eastAsia="Calibri" w:hAnsi="Verdana" w:cs="Arial"/>
                <w:bCs/>
                <w:lang w:eastAsia="es-ES_tradnl"/>
              </w:rPr>
              <w:t xml:space="preserve">de administración delegada entre una entidad sometida al EGCAP y una empresa industrial y comercial del Estado – EICE - con régimen especial, </w:t>
            </w:r>
            <w:r w:rsidRPr="00202EAB">
              <w:rPr>
                <w:rFonts w:ascii="Verdana" w:eastAsia="Calibri" w:hAnsi="Verdana" w:cs="Arial"/>
                <w:bCs/>
                <w:lang w:eastAsia="es-ES_tradnl"/>
              </w:rPr>
              <w:t>del cual se derive la ejecución de objetos contractuales incluidos dentro del ámbito de aplicación de los documentos tipo, su celebración deberá realizarse haciendo uso obligatorio de dichos documentos</w:t>
            </w:r>
            <w:r w:rsidRPr="007C52C9">
              <w:rPr>
                <w:rFonts w:ascii="Arial" w:eastAsia="Calibri" w:hAnsi="Arial" w:cs="Arial"/>
                <w:bCs/>
                <w:lang w:val="es-ES_tradnl"/>
              </w:rPr>
              <w:t xml:space="preserve"> </w:t>
            </w:r>
            <w:r w:rsidRPr="007C52C9">
              <w:rPr>
                <w:rFonts w:ascii="Verdana" w:eastAsia="Calibri" w:hAnsi="Verdana" w:cs="Arial"/>
                <w:bCs/>
                <w:lang w:val="es-ES_tradnl"/>
              </w:rPr>
              <w:t>siempre que exista documento</w:t>
            </w:r>
            <w:r>
              <w:rPr>
                <w:rFonts w:ascii="Verdana" w:eastAsia="Calibri" w:hAnsi="Verdana" w:cs="Arial"/>
                <w:bCs/>
                <w:lang w:val="es-ES_tradnl"/>
              </w:rPr>
              <w:t>s</w:t>
            </w:r>
            <w:r w:rsidRPr="007C52C9">
              <w:rPr>
                <w:rFonts w:ascii="Verdana" w:eastAsia="Calibri" w:hAnsi="Verdana" w:cs="Arial"/>
                <w:bCs/>
                <w:lang w:val="es-ES_tradnl"/>
              </w:rPr>
              <w:t xml:space="preserve"> tipo aplicable</w:t>
            </w:r>
            <w:r>
              <w:rPr>
                <w:rFonts w:ascii="Verdana" w:eastAsia="Calibri" w:hAnsi="Verdana" w:cs="Arial"/>
                <w:bCs/>
                <w:lang w:val="es-ES_tradnl"/>
              </w:rPr>
              <w:t>s</w:t>
            </w:r>
            <w:r w:rsidRPr="007C52C9">
              <w:rPr>
                <w:rFonts w:ascii="Verdana" w:eastAsia="Calibri" w:hAnsi="Verdana" w:cs="Arial"/>
                <w:bCs/>
                <w:lang w:val="es-ES_tradnl"/>
              </w:rPr>
              <w:t xml:space="preserve"> al objeto contractual que se planea contratar.</w:t>
            </w:r>
            <w:r>
              <w:rPr>
                <w:rFonts w:ascii="Verdana" w:hAnsi="Verdana" w:cs="Arial"/>
                <w:color w:val="000000" w:themeColor="text1"/>
                <w:lang w:val="es-ES"/>
              </w:rPr>
              <w:t xml:space="preserve"> Lo anterior, teniendo en cuenta que aunque la relación contractual entre la entidad municipal y la EICE incluya </w:t>
            </w:r>
            <w:r w:rsidRPr="008C6240">
              <w:rPr>
                <w:rFonts w:ascii="Verdana" w:hAnsi="Verdana" w:cs="Arial"/>
                <w:color w:val="000000" w:themeColor="text1"/>
                <w:lang w:val="es-ES_tradnl"/>
              </w:rPr>
              <w:t>la administración delegada</w:t>
            </w:r>
            <w:r>
              <w:rPr>
                <w:rFonts w:ascii="Verdana" w:hAnsi="Verdana" w:cs="Arial"/>
                <w:color w:val="000000" w:themeColor="text1"/>
                <w:lang w:val="es-ES_tradnl"/>
              </w:rPr>
              <w:t xml:space="preserve">, esto </w:t>
            </w:r>
            <w:r w:rsidRPr="00557B65">
              <w:rPr>
                <w:rFonts w:ascii="Verdana" w:eastAsia="Arial" w:hAnsi="Verdana" w:cs="Arial"/>
                <w:bCs/>
                <w:lang w:eastAsia="es-ES" w:bidi="es-ES"/>
              </w:rPr>
              <w:t xml:space="preserve">no lo extrae de la naturaleza intrínseca de los convenios </w:t>
            </w:r>
            <w:r>
              <w:rPr>
                <w:rFonts w:ascii="Verdana" w:eastAsia="Arial" w:hAnsi="Verdana" w:cs="Arial"/>
                <w:bCs/>
                <w:lang w:eastAsia="es-ES" w:bidi="es-ES"/>
              </w:rPr>
              <w:t xml:space="preserve">o contratos </w:t>
            </w:r>
            <w:r w:rsidRPr="00557B65">
              <w:rPr>
                <w:rFonts w:ascii="Verdana" w:eastAsia="Arial" w:hAnsi="Verdana" w:cs="Arial"/>
                <w:bCs/>
                <w:lang w:eastAsia="es-ES" w:bidi="es-ES"/>
              </w:rPr>
              <w:t xml:space="preserve">celebrados entre las entidades públicas, pues, como se explicó, estos </w:t>
            </w:r>
            <w:r w:rsidRPr="00557B65">
              <w:rPr>
                <w:rFonts w:ascii="Verdana" w:eastAsia="Arial" w:hAnsi="Verdana" w:cs="Arial"/>
                <w:lang w:val="es-ES" w:eastAsia="es-ES" w:bidi="es-ES"/>
              </w:rPr>
              <w:t>están determinados por un criterio orgánico, en el que los extremos de la relación contractual sean entidades</w:t>
            </w:r>
            <w:r w:rsidRPr="00557B65">
              <w:rPr>
                <w:rFonts w:ascii="Verdana" w:eastAsia="Arial" w:hAnsi="Verdana" w:cs="Arial"/>
                <w:spacing w:val="-6"/>
                <w:lang w:val="es-ES" w:eastAsia="es-ES" w:bidi="es-ES"/>
              </w:rPr>
              <w:t xml:space="preserve"> </w:t>
            </w:r>
            <w:r w:rsidRPr="00557B65">
              <w:rPr>
                <w:rFonts w:ascii="Verdana" w:eastAsia="Arial" w:hAnsi="Verdana" w:cs="Arial"/>
                <w:lang w:val="es-ES" w:eastAsia="es-ES" w:bidi="es-ES"/>
              </w:rPr>
              <w:t>estatales</w:t>
            </w:r>
            <w:r>
              <w:rPr>
                <w:rFonts w:ascii="Verdana" w:eastAsia="Arial" w:hAnsi="Verdana" w:cs="Arial"/>
                <w:lang w:val="es-ES" w:eastAsia="es-ES" w:bidi="es-ES"/>
              </w:rPr>
              <w:t xml:space="preserve">, por lo que corresponden a contratos interadministrativos y por tanto, se encontrarían dentro del supuesto de hecho de la norma. </w:t>
            </w:r>
          </w:p>
          <w:p w14:paraId="4E7202C9" w14:textId="77777777" w:rsidR="00976832" w:rsidRPr="00353490" w:rsidRDefault="00976832" w:rsidP="00B127C4">
            <w:pPr>
              <w:spacing w:before="120" w:line="276" w:lineRule="auto"/>
              <w:ind w:firstLine="601"/>
              <w:jc w:val="both"/>
              <w:rPr>
                <w:rFonts w:ascii="Verdana" w:eastAsia="Aptos" w:hAnsi="Verdana" w:cs="Arial"/>
                <w:shd w:val="clear" w:color="auto" w:fill="FFFFFF"/>
              </w:rPr>
            </w:pPr>
            <w:r w:rsidRPr="00D20014">
              <w:rPr>
                <w:rFonts w:ascii="Verdana" w:eastAsia="Aptos" w:hAnsi="Verdana" w:cs="Arial"/>
                <w:shd w:val="clear" w:color="auto" w:fill="FFFFFF"/>
                <w:lang w:val="es-ES_tradnl"/>
              </w:rPr>
              <w:lastRenderedPageBreak/>
              <w:t xml:space="preserve">No obstante, </w:t>
            </w:r>
            <w:r>
              <w:rPr>
                <w:rFonts w:ascii="Verdana" w:eastAsia="Aptos" w:hAnsi="Verdana" w:cs="Arial"/>
                <w:shd w:val="clear" w:color="auto" w:fill="FFFFFF"/>
                <w:lang w:val="es-ES_tradnl"/>
              </w:rPr>
              <w:t>es importante tener en cuenta que</w:t>
            </w:r>
            <w:r w:rsidRPr="00D20014">
              <w:rPr>
                <w:rFonts w:ascii="Verdana" w:eastAsia="Aptos" w:hAnsi="Verdana" w:cs="Arial"/>
                <w:shd w:val="clear" w:color="auto" w:fill="FFFFFF"/>
              </w:rPr>
              <w:t xml:space="preserve"> tal como se </w:t>
            </w:r>
            <w:r>
              <w:rPr>
                <w:rFonts w:ascii="Verdana" w:eastAsia="Aptos" w:hAnsi="Verdana" w:cs="Arial"/>
                <w:shd w:val="clear" w:color="auto" w:fill="FFFFFF"/>
              </w:rPr>
              <w:t>establece</w:t>
            </w:r>
            <w:r w:rsidRPr="00D20014">
              <w:rPr>
                <w:rFonts w:ascii="Verdana" w:eastAsia="Aptos" w:hAnsi="Verdana" w:cs="Arial"/>
                <w:shd w:val="clear" w:color="auto" w:fill="FFFFFF"/>
              </w:rPr>
              <w:t xml:space="preserve"> en el parágrafo del artículo 56 de la Ley 2195 de 2022</w:t>
            </w:r>
            <w:r>
              <w:rPr>
                <w:rFonts w:ascii="Verdana" w:eastAsia="Aptos" w:hAnsi="Verdana" w:cs="Arial"/>
                <w:shd w:val="clear" w:color="auto" w:fill="FFFFFF"/>
              </w:rPr>
              <w:t>, se</w:t>
            </w:r>
            <w:r w:rsidRPr="00D20014">
              <w:rPr>
                <w:rFonts w:ascii="Verdana" w:eastAsia="Aptos" w:hAnsi="Verdana" w:cs="Arial"/>
                <w:shd w:val="clear" w:color="auto" w:fill="FFFFFF"/>
                <w:lang w:val="es-ES_tradnl"/>
              </w:rPr>
              <w:t xml:space="preserve"> encuentran exceptuadas de dicha obligación </w:t>
            </w:r>
            <w:r w:rsidRPr="00D20014">
              <w:rPr>
                <w:rFonts w:ascii="Verdana" w:eastAsia="Aptos" w:hAnsi="Verdana" w:cs="Arial"/>
                <w:shd w:val="clear" w:color="auto" w:fill="FFFFFF"/>
              </w:rPr>
              <w:t>las Instituciones de Educación Superior públicas, las empresas sociales del Estado, las sociedades de economía mixta y las empresas industriales y comerciales del Estado, únicamente en cuanto a la contratación de su g</w:t>
            </w:r>
            <w:r w:rsidRPr="006E4C8F">
              <w:rPr>
                <w:rFonts w:ascii="Verdana" w:eastAsia="Aptos" w:hAnsi="Verdana" w:cs="Arial"/>
                <w:i/>
                <w:iCs/>
                <w:shd w:val="clear" w:color="auto" w:fill="FFFFFF"/>
              </w:rPr>
              <w:t>iro ordinario</w:t>
            </w:r>
            <w:r>
              <w:rPr>
                <w:rFonts w:ascii="Verdana" w:eastAsia="Aptos" w:hAnsi="Verdana" w:cs="Arial"/>
                <w:i/>
                <w:iCs/>
                <w:shd w:val="clear" w:color="auto" w:fill="FFFFFF"/>
              </w:rPr>
              <w:t>.</w:t>
            </w:r>
            <w:r w:rsidRPr="00D20014">
              <w:rPr>
                <w:rFonts w:ascii="Verdana" w:eastAsia="Aptos" w:hAnsi="Verdana" w:cs="Arial"/>
                <w:shd w:val="clear" w:color="auto" w:fill="FFFFFF"/>
              </w:rPr>
              <w:t xml:space="preserve"> </w:t>
            </w:r>
            <w:r>
              <w:rPr>
                <w:rFonts w:ascii="Verdana" w:eastAsia="Calibri" w:hAnsi="Verdana" w:cs="Arial"/>
                <w:lang w:val="es-ES" w:eastAsia="es-ES"/>
              </w:rPr>
              <w:t>L</w:t>
            </w:r>
            <w:r w:rsidRPr="00D20014">
              <w:rPr>
                <w:rFonts w:ascii="Verdana" w:eastAsia="Calibri" w:hAnsi="Verdana" w:cs="Arial"/>
                <w:lang w:val="es-ES" w:eastAsia="es-ES"/>
              </w:rPr>
              <w:t>o dispuesto en el parágrafo del artículo 56 implica que</w:t>
            </w:r>
            <w:r>
              <w:rPr>
                <w:rFonts w:ascii="Verdana" w:eastAsia="Calibri" w:hAnsi="Verdana" w:cs="Arial"/>
                <w:lang w:val="es-ES" w:eastAsia="es-ES"/>
              </w:rPr>
              <w:t xml:space="preserve"> estas entidades</w:t>
            </w:r>
            <w:r w:rsidRPr="00D20014">
              <w:rPr>
                <w:rFonts w:ascii="Verdana" w:eastAsia="Calibri" w:hAnsi="Verdana" w:cs="Arial"/>
                <w:lang w:val="es-ES" w:eastAsia="es-ES"/>
              </w:rPr>
              <w:t xml:space="preserve">, no tendrán que implementar documentos tipo únicamente para la contratación relacionada con el </w:t>
            </w:r>
            <w:r w:rsidRPr="00D20014">
              <w:rPr>
                <w:rFonts w:ascii="Verdana" w:eastAsia="Calibri" w:hAnsi="Verdana" w:cs="Arial"/>
                <w:i/>
                <w:iCs/>
                <w:lang w:val="es-ES" w:eastAsia="es-ES"/>
              </w:rPr>
              <w:t xml:space="preserve">giro ordinario </w:t>
            </w:r>
            <w:r w:rsidRPr="00D20014">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w:t>
            </w:r>
          </w:p>
        </w:tc>
      </w:tr>
    </w:tbl>
    <w:p w14:paraId="1D04832C" w14:textId="77777777" w:rsidR="00976832" w:rsidRPr="00D20014" w:rsidRDefault="00976832" w:rsidP="00976832">
      <w:pPr>
        <w:tabs>
          <w:tab w:val="left" w:pos="142"/>
          <w:tab w:val="left" w:pos="284"/>
        </w:tabs>
        <w:spacing w:after="0" w:line="276" w:lineRule="auto"/>
        <w:jc w:val="both"/>
        <w:rPr>
          <w:rFonts w:ascii="Verdana" w:eastAsia="Century Gothic" w:hAnsi="Verdana" w:cs="Century Gothic"/>
          <w:b/>
          <w:bCs/>
          <w:lang w:val="es-ES"/>
        </w:rPr>
      </w:pPr>
    </w:p>
    <w:p w14:paraId="5128EFB9" w14:textId="77777777" w:rsidR="00976832" w:rsidRPr="00D20014" w:rsidRDefault="00976832" w:rsidP="00976832">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Razones de la respuesta:</w:t>
      </w:r>
    </w:p>
    <w:p w14:paraId="2A8163A6" w14:textId="77777777" w:rsidR="00976832" w:rsidRPr="00D20014" w:rsidRDefault="00976832" w:rsidP="00976832">
      <w:pPr>
        <w:spacing w:after="0" w:line="276" w:lineRule="auto"/>
        <w:jc w:val="both"/>
        <w:rPr>
          <w:rFonts w:ascii="Verdana" w:eastAsia="Calibri" w:hAnsi="Verdana" w:cs="Arial"/>
          <w:color w:val="7030A0"/>
          <w:lang w:val="es-ES"/>
        </w:rPr>
      </w:pPr>
    </w:p>
    <w:p w14:paraId="40D8B02B" w14:textId="77777777" w:rsidR="00976832" w:rsidRPr="00D20014" w:rsidRDefault="00976832" w:rsidP="00976832">
      <w:pPr>
        <w:spacing w:after="0" w:line="276" w:lineRule="auto"/>
        <w:jc w:val="both"/>
        <w:rPr>
          <w:rFonts w:ascii="Verdana" w:eastAsia="Calibri" w:hAnsi="Verdana" w:cs="Arial"/>
          <w:lang w:val="es-ES"/>
        </w:rPr>
      </w:pPr>
      <w:r w:rsidRPr="00D20014">
        <w:rPr>
          <w:rFonts w:ascii="Verdana" w:eastAsia="Calibri" w:hAnsi="Verdana" w:cs="Arial"/>
          <w:lang w:val="es-ES"/>
        </w:rPr>
        <w:t xml:space="preserve">Lo anterior se sustenta en las siguientes consideraciones: </w:t>
      </w:r>
    </w:p>
    <w:p w14:paraId="53EB4BCB" w14:textId="77777777" w:rsidR="00976832" w:rsidRDefault="00976832" w:rsidP="00976832">
      <w:pPr>
        <w:spacing w:after="0" w:line="276" w:lineRule="auto"/>
        <w:jc w:val="both"/>
        <w:rPr>
          <w:rFonts w:ascii="Verdana" w:eastAsia="Aptos" w:hAnsi="Verdana" w:cs="Arial"/>
          <w:lang w:val="es-ES"/>
        </w:rPr>
      </w:pPr>
      <w:bookmarkStart w:id="2" w:name="_Hlk113022941"/>
    </w:p>
    <w:p w14:paraId="04C7935A" w14:textId="77777777" w:rsidR="00976832" w:rsidRPr="001D0CEA" w:rsidRDefault="00976832" w:rsidP="00976832">
      <w:pPr>
        <w:spacing w:before="120" w:after="120" w:line="276" w:lineRule="auto"/>
        <w:jc w:val="both"/>
        <w:rPr>
          <w:rFonts w:ascii="Verdana" w:eastAsia="Calibri" w:hAnsi="Verdana" w:cs="Arial"/>
          <w:lang w:val="es-ES_tradnl" w:eastAsia="es-ES"/>
        </w:rPr>
      </w:pPr>
      <w:r w:rsidRPr="001D0CEA">
        <w:rPr>
          <w:rFonts w:ascii="Verdana" w:eastAsia="Calibri" w:hAnsi="Verdana" w:cs="Arial"/>
          <w:lang w:val="es-ES_tradnl" w:eastAsia="es-ES"/>
        </w:rPr>
        <w:t>i.</w:t>
      </w:r>
      <w:r>
        <w:rPr>
          <w:rFonts w:ascii="Verdana" w:eastAsia="Calibri" w:hAnsi="Verdana" w:cs="Arial"/>
          <w:lang w:val="es-ES_tradnl" w:eastAsia="es-ES"/>
        </w:rPr>
        <w:t xml:space="preserve"> </w:t>
      </w:r>
      <w:r w:rsidRPr="001D0CEA">
        <w:rPr>
          <w:rFonts w:ascii="Verdana" w:eastAsia="Calibri" w:hAnsi="Verdana" w:cs="Arial"/>
          <w:lang w:val="es-ES_tradnl" w:eastAsia="es-ES"/>
        </w:rPr>
        <w:t xml:space="preserve">La </w:t>
      </w:r>
      <w:bookmarkStart w:id="3" w:name="_Hlk176876754"/>
      <w:r w:rsidRPr="001D0CEA">
        <w:rPr>
          <w:rFonts w:ascii="Verdana" w:eastAsia="Calibri" w:hAnsi="Verdana" w:cs="Arial"/>
          <w:lang w:val="es-ES_tradnl" w:eastAsia="es-ES"/>
        </w:rPr>
        <w:t>Ley 2022 de 2020, modificó el contenido del parágrafo 7 del artículo 2 de la Ley 1150 de 2007, que había sido adicionado por la Ley 1882 de 2018</w:t>
      </w:r>
      <w:bookmarkEnd w:id="3"/>
      <w:r w:rsidRPr="00D20014">
        <w:rPr>
          <w:vertAlign w:val="superscript"/>
          <w:lang w:eastAsia="es-ES"/>
        </w:rPr>
        <w:footnoteReference w:id="1"/>
      </w:r>
      <w:r w:rsidRPr="001D0CEA">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1D0CEA">
        <w:rPr>
          <w:rFonts w:ascii="Verdana" w:eastAsia="Calibri" w:hAnsi="Verdana" w:cs="Arial"/>
          <w:bCs/>
          <w:lang w:val="es-ES_tradnl" w:eastAsia="es-ES_tradnl"/>
        </w:rPr>
        <w:t>EGCAP</w:t>
      </w:r>
      <w:r w:rsidRPr="001D0CEA">
        <w:rPr>
          <w:rFonts w:ascii="Verdana" w:eastAsia="Calibri" w:hAnsi="Verdana" w:cs="Arial"/>
          <w:lang w:val="es-ES_tradnl" w:eastAsia="es-ES"/>
        </w:rPr>
        <w:t xml:space="preserve">, se atribuyó a la </w:t>
      </w:r>
      <w:r w:rsidRPr="001D0CEA">
        <w:rPr>
          <w:rFonts w:ascii="Verdana" w:eastAsia="Calibri" w:hAnsi="Verdana" w:cs="Arial"/>
          <w:lang w:val="es-ES_tradnl" w:eastAsia="es-ES_tradnl"/>
        </w:rPr>
        <w:t xml:space="preserve">Agencia Nacional de Contratación Pública – Colombia Compra Eficiente la competencia para su expedición. </w:t>
      </w:r>
    </w:p>
    <w:p w14:paraId="776C86AF" w14:textId="77777777" w:rsidR="00976832" w:rsidRPr="00D20014" w:rsidRDefault="00976832" w:rsidP="00976832">
      <w:pPr>
        <w:spacing w:after="120" w:line="276" w:lineRule="auto"/>
        <w:ind w:firstLine="709"/>
        <w:jc w:val="both"/>
        <w:rPr>
          <w:rFonts w:ascii="Verdana" w:eastAsia="Aptos" w:hAnsi="Verdana" w:cs="Arial"/>
          <w:lang w:val="es-ES"/>
        </w:rPr>
      </w:pPr>
      <w:r w:rsidRPr="00D20014">
        <w:rPr>
          <w:rFonts w:ascii="Verdana" w:eastAsia="Aptos" w:hAnsi="Verdana" w:cs="Arial"/>
          <w:lang w:val="es-ES"/>
        </w:rPr>
        <w:lastRenderedPageBreak/>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 </w:t>
      </w:r>
    </w:p>
    <w:p w14:paraId="1977E11C" w14:textId="77777777" w:rsidR="00976832" w:rsidRPr="00D20014" w:rsidRDefault="00976832" w:rsidP="00976832">
      <w:pPr>
        <w:spacing w:after="120" w:line="276" w:lineRule="auto"/>
        <w:ind w:firstLine="708"/>
        <w:jc w:val="both"/>
        <w:rPr>
          <w:rFonts w:ascii="Verdana" w:eastAsia="Calibri" w:hAnsi="Verdana" w:cs="Arial"/>
        </w:rPr>
      </w:pPr>
      <w:bookmarkStart w:id="4" w:name="_Hlk176861190"/>
      <w:bookmarkStart w:id="5" w:name="_Hlk176877108"/>
      <w:bookmarkEnd w:id="2"/>
      <w:r w:rsidRPr="00D20014">
        <w:rPr>
          <w:rFonts w:ascii="Verdana" w:eastAsia="Calibri" w:hAnsi="Verdana" w:cs="Arial"/>
          <w:lang w:eastAsia="es-ES_tradnl"/>
        </w:rPr>
        <w:t xml:space="preserve">De acuerdo con lo expuesto, </w:t>
      </w:r>
      <w:r w:rsidRPr="00D20014">
        <w:rPr>
          <w:rFonts w:ascii="Verdana" w:eastAsia="Calibri" w:hAnsi="Verdana" w:cs="Arial"/>
          <w:bdr w:val="none" w:sz="0" w:space="0" w:color="auto" w:frame="1"/>
          <w:lang w:eastAsia="es-ES_tradnl"/>
        </w:rPr>
        <w:t xml:space="preserve">los Documentos Tipo adoptados son obligatorios para las Entidades Estatales regidas por el </w:t>
      </w:r>
      <w:r w:rsidRPr="00D20014">
        <w:rPr>
          <w:rFonts w:ascii="Verdana" w:eastAsia="Calibri" w:hAnsi="Verdana" w:cs="Arial"/>
          <w:bCs/>
          <w:lang w:val="es-ES_tradnl" w:eastAsia="es-ES_tradnl"/>
        </w:rPr>
        <w:t>EGCAP</w:t>
      </w:r>
      <w:r w:rsidRPr="00D20014">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D20014">
        <w:rPr>
          <w:rFonts w:ascii="Verdana" w:eastAsia="Calibri" w:hAnsi="Verdana" w:cs="Arial"/>
          <w:bdr w:val="none" w:sz="0" w:space="0" w:color="auto" w:frame="1"/>
          <w:vertAlign w:val="superscript"/>
          <w:lang w:eastAsia="es-ES_tradnl"/>
        </w:rPr>
        <w:footnoteReference w:id="2"/>
      </w:r>
      <w:r w:rsidRPr="00D20014">
        <w:rPr>
          <w:rFonts w:ascii="Verdana" w:eastAsia="Calibri" w:hAnsi="Verdana" w:cs="Arial"/>
          <w:bdr w:val="none" w:sz="0" w:space="0" w:color="auto" w:frame="1"/>
          <w:lang w:eastAsia="es-ES_tradnl"/>
        </w:rPr>
        <w:t xml:space="preserve">. </w:t>
      </w:r>
      <w:r w:rsidRPr="00D20014">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2703BAA0" w14:textId="77777777" w:rsidR="00976832" w:rsidRPr="00D20014" w:rsidRDefault="00976832" w:rsidP="00976832">
      <w:pPr>
        <w:spacing w:after="120" w:line="276" w:lineRule="auto"/>
        <w:ind w:firstLine="709"/>
        <w:jc w:val="both"/>
        <w:rPr>
          <w:rFonts w:ascii="Verdana" w:eastAsia="Calibri" w:hAnsi="Verdana" w:cs="Arial"/>
          <w:lang w:val="es-ES"/>
        </w:rPr>
      </w:pPr>
      <w:r w:rsidRPr="00D20014">
        <w:rPr>
          <w:rFonts w:ascii="Verdana" w:eastAsia="Calibri" w:hAnsi="Verdana" w:cs="Arial"/>
          <w:shd w:val="clear" w:color="auto" w:fill="FFFFFF"/>
          <w:lang w:val="es-ES"/>
        </w:rPr>
        <w:t xml:space="preserve">En ese orden, </w:t>
      </w:r>
      <w:r w:rsidRPr="00D20014">
        <w:rPr>
          <w:rFonts w:ascii="Verdana" w:eastAsia="Calibri" w:hAnsi="Verdana" w:cs="Arial"/>
          <w:lang w:val="es-ES"/>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551B6297" w14:textId="77777777" w:rsidR="00976832" w:rsidRPr="00D20014" w:rsidRDefault="00976832" w:rsidP="00976832">
      <w:pPr>
        <w:spacing w:after="120" w:line="276" w:lineRule="auto"/>
        <w:ind w:firstLine="709"/>
        <w:jc w:val="both"/>
        <w:rPr>
          <w:rFonts w:ascii="Verdana" w:eastAsia="Calibri" w:hAnsi="Verdana" w:cs="Arial"/>
          <w:lang w:val="es-ES_tradnl"/>
        </w:rPr>
      </w:pPr>
      <w:r w:rsidRPr="00D20014">
        <w:rPr>
          <w:rFonts w:ascii="Verdana" w:eastAsia="Calibri" w:hAnsi="Verdana" w:cs="Arial"/>
          <w:lang w:val="es-ES"/>
        </w:rPr>
        <w:lastRenderedPageBreak/>
        <w:t>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contempladas en cada una de dichas matrices de experiencia. En este sentido, la matriz de experiencia de cada uno de los Documentos Tipo, además de estandarizar este importante requisito en los procedimientos de selección, delimita o precisa el ámbito de aplicación de estos, por lo que aplicarán a las actividades establecidas en cada una de estas matrices</w:t>
      </w:r>
      <w:r w:rsidRPr="00D20014">
        <w:rPr>
          <w:rFonts w:ascii="Verdana" w:eastAsia="Calibri" w:hAnsi="Verdana" w:cs="Arial"/>
          <w:vertAlign w:val="superscript"/>
          <w:lang w:val="es-ES"/>
        </w:rPr>
        <w:footnoteReference w:id="3"/>
      </w:r>
      <w:r w:rsidRPr="00D20014">
        <w:rPr>
          <w:rFonts w:ascii="Verdana" w:eastAsia="Calibri" w:hAnsi="Verdana" w:cs="Arial"/>
          <w:lang w:val="es-ES"/>
        </w:rPr>
        <w:t>.</w:t>
      </w:r>
    </w:p>
    <w:p w14:paraId="16A22C3A" w14:textId="77777777" w:rsidR="00976832" w:rsidRPr="00D20014" w:rsidRDefault="00976832" w:rsidP="00976832">
      <w:pPr>
        <w:spacing w:after="120" w:line="276" w:lineRule="auto"/>
        <w:jc w:val="both"/>
        <w:rPr>
          <w:rFonts w:ascii="Verdana" w:eastAsia="Aptos" w:hAnsi="Verdana" w:cs="Arial"/>
          <w:lang w:val="es-ES"/>
        </w:rPr>
      </w:pPr>
      <w:r w:rsidRPr="00D20014">
        <w:rPr>
          <w:rFonts w:ascii="Verdana" w:eastAsia="Aptos" w:hAnsi="Verdana" w:cs="Arial"/>
          <w:lang w:val="es-ES"/>
        </w:rPr>
        <w:tab/>
      </w:r>
      <w:bookmarkStart w:id="6" w:name="_Hlk104104535"/>
      <w:r w:rsidRPr="00D20014">
        <w:rPr>
          <w:rFonts w:ascii="Verdana" w:eastAsia="Aptos" w:hAnsi="Verdana" w:cs="Arial"/>
          <w:lang w:val="es-ES"/>
        </w:rPr>
        <w:t xml:space="preserve">En conclusión, la definición de si a un Proceso de Contratación le aplican los Documentos Tipo radicará en si el contrato a ejecutar </w:t>
      </w:r>
      <w:proofErr w:type="gramStart"/>
      <w:r w:rsidRPr="00D20014">
        <w:rPr>
          <w:rFonts w:ascii="Verdana" w:eastAsia="Aptos" w:hAnsi="Verdana" w:cs="Arial"/>
          <w:lang w:val="es-ES"/>
        </w:rPr>
        <w:t>se enmarca dentro de</w:t>
      </w:r>
      <w:proofErr w:type="gramEnd"/>
      <w:r w:rsidRPr="00D20014">
        <w:rPr>
          <w:rFonts w:ascii="Verdana" w:eastAsia="Aptos" w:hAnsi="Verdana" w:cs="Arial"/>
          <w:lang w:val="es-ES"/>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6"/>
    </w:p>
    <w:p w14:paraId="668759BA" w14:textId="77777777" w:rsidR="00976832" w:rsidRPr="00D20014" w:rsidRDefault="00976832" w:rsidP="00976832">
      <w:pPr>
        <w:spacing w:after="120" w:line="276" w:lineRule="auto"/>
        <w:ind w:firstLine="708"/>
        <w:jc w:val="both"/>
        <w:rPr>
          <w:rFonts w:ascii="Verdana" w:eastAsia="Aptos" w:hAnsi="Verdana" w:cs="Arial"/>
          <w:lang w:val="es-ES"/>
        </w:rPr>
      </w:pPr>
      <w:r w:rsidRPr="00D20014">
        <w:rPr>
          <w:rFonts w:ascii="Verdana" w:eastAsia="Calibri" w:hAnsi="Verdana" w:cs="Arial"/>
          <w:bCs/>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718A184C" w14:textId="77777777" w:rsidR="00976832" w:rsidRPr="00D20014" w:rsidRDefault="00976832" w:rsidP="00976832">
      <w:pPr>
        <w:spacing w:after="120" w:line="276" w:lineRule="auto"/>
        <w:jc w:val="both"/>
        <w:rPr>
          <w:rFonts w:ascii="Verdana" w:eastAsia="Calibri" w:hAnsi="Verdana" w:cs="Arial"/>
          <w:lang w:val="es-ES" w:eastAsia="es-ES"/>
        </w:rPr>
      </w:pPr>
      <w:proofErr w:type="spellStart"/>
      <w:r>
        <w:rPr>
          <w:rFonts w:ascii="Verdana" w:eastAsia="Calibri" w:hAnsi="Verdana" w:cs="Arial"/>
          <w:lang w:val="es-ES" w:eastAsia="es-ES"/>
        </w:rPr>
        <w:t>ii</w:t>
      </w:r>
      <w:proofErr w:type="spellEnd"/>
      <w:r>
        <w:rPr>
          <w:rFonts w:ascii="Verdana" w:eastAsia="Calibri" w:hAnsi="Verdana" w:cs="Arial"/>
          <w:lang w:val="es-ES" w:eastAsia="es-ES"/>
        </w:rPr>
        <w:t xml:space="preserve">. </w:t>
      </w:r>
      <w:r w:rsidRPr="00D20014">
        <w:rPr>
          <w:rFonts w:ascii="Verdana" w:eastAsia="Calibri" w:hAnsi="Verdana" w:cs="Arial"/>
          <w:lang w:val="es-ES" w:eastAsia="es-ES"/>
        </w:rPr>
        <w:t xml:space="preserve">No obstante, este panorama </w:t>
      </w:r>
      <w:r>
        <w:rPr>
          <w:rFonts w:ascii="Verdana" w:eastAsia="Calibri" w:hAnsi="Verdana" w:cs="Arial"/>
          <w:lang w:val="es-ES" w:eastAsia="es-ES"/>
        </w:rPr>
        <w:t xml:space="preserve">varió </w:t>
      </w:r>
      <w:r w:rsidRPr="00D20014">
        <w:rPr>
          <w:rFonts w:ascii="Verdana" w:eastAsia="Calibri" w:hAnsi="Verdana" w:cs="Arial"/>
          <w:lang w:val="es-ES" w:eastAsia="es-ES"/>
        </w:rPr>
        <w:t xml:space="preserve">con la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w:t>
      </w:r>
      <w:r w:rsidRPr="00D20014">
        <w:rPr>
          <w:rFonts w:ascii="Verdana" w:eastAsia="Calibri" w:hAnsi="Verdana" w:cs="Arial"/>
          <w:lang w:val="es-ES" w:eastAsia="es-ES"/>
        </w:rPr>
        <w:lastRenderedPageBreak/>
        <w:t xml:space="preserve">articulación de las entidades del Estado y a recuperar los daños ocasionados por la corrupción, promoviendo la cultura de la legalidad e integridad. </w:t>
      </w:r>
    </w:p>
    <w:p w14:paraId="59D312BE" w14:textId="77777777" w:rsidR="00976832" w:rsidRPr="00D20014" w:rsidRDefault="00976832" w:rsidP="00976832">
      <w:pPr>
        <w:spacing w:after="0" w:line="276" w:lineRule="auto"/>
        <w:ind w:firstLine="708"/>
        <w:jc w:val="both"/>
        <w:rPr>
          <w:rFonts w:ascii="Verdana" w:eastAsia="Calibri" w:hAnsi="Verdana" w:cs="Arial"/>
          <w:bCs/>
          <w:lang w:val="es-ES_tradnl" w:eastAsia="es-ES_tradnl"/>
        </w:rPr>
      </w:pPr>
      <w:r w:rsidRPr="00D20014">
        <w:rPr>
          <w:rFonts w:ascii="Verdana" w:eastAsia="Calibri" w:hAnsi="Verdana" w:cs="Arial"/>
          <w:bCs/>
          <w:lang w:val="es-ES_tradnl" w:eastAsia="es-ES_tradnl"/>
        </w:rPr>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1182FC09" w14:textId="77777777" w:rsidR="00976832" w:rsidRPr="00D20014" w:rsidRDefault="00976832" w:rsidP="00976832">
      <w:pPr>
        <w:tabs>
          <w:tab w:val="left" w:pos="0"/>
        </w:tabs>
        <w:spacing w:after="0" w:line="276" w:lineRule="auto"/>
        <w:jc w:val="both"/>
        <w:rPr>
          <w:rFonts w:ascii="Arial" w:eastAsia="Calibri" w:hAnsi="Arial" w:cs="Arial"/>
          <w:bCs/>
          <w:szCs w:val="24"/>
          <w:lang w:val="es-ES_tradnl" w:eastAsia="es-ES_tradnl"/>
        </w:rPr>
      </w:pPr>
    </w:p>
    <w:p w14:paraId="690BA628" w14:textId="77777777" w:rsidR="00976832" w:rsidRPr="00FD7250" w:rsidRDefault="00976832" w:rsidP="00976832">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FD7250">
        <w:rPr>
          <w:rFonts w:ascii="Verdana" w:eastAsia="Times New Roman" w:hAnsi="Verdana"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7EF231E8" w14:textId="77777777" w:rsidR="00976832" w:rsidRPr="00FD7250" w:rsidRDefault="00976832" w:rsidP="00976832">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2C718845" w14:textId="77777777" w:rsidR="00976832" w:rsidRPr="00FD7250" w:rsidRDefault="00976832" w:rsidP="00976832">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FD7250">
        <w:rPr>
          <w:rFonts w:ascii="Verdana" w:eastAsia="Times New Roman" w:hAnsi="Verdana" w:cs="Arial"/>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1A8583A1" w14:textId="77777777" w:rsidR="00976832" w:rsidRPr="00FD7250" w:rsidRDefault="00976832" w:rsidP="00976832">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0F1772AF" w14:textId="77777777" w:rsidR="00976832" w:rsidRPr="00FD7250" w:rsidRDefault="00976832" w:rsidP="00976832">
      <w:pPr>
        <w:spacing w:after="0" w:line="240" w:lineRule="auto"/>
        <w:ind w:left="709" w:right="709"/>
        <w:jc w:val="both"/>
        <w:rPr>
          <w:rFonts w:ascii="Verdana" w:eastAsia="Calibri" w:hAnsi="Verdana" w:cs="Arial"/>
          <w:sz w:val="20"/>
          <w:szCs w:val="20"/>
          <w:lang w:val="es-ES" w:eastAsia="es-ES"/>
        </w:rPr>
      </w:pPr>
      <w:r w:rsidRPr="00FD7250">
        <w:rPr>
          <w:rFonts w:ascii="Verdana" w:eastAsia="Times New Roman" w:hAnsi="Verdana" w:cs="Arial"/>
          <w:sz w:val="20"/>
          <w:szCs w:val="20"/>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FD7250">
        <w:rPr>
          <w:rFonts w:ascii="Verdana" w:eastAsia="Times New Roman" w:hAnsi="Verdana" w:cs="Arial"/>
          <w:i/>
          <w:iCs/>
          <w:sz w:val="20"/>
          <w:szCs w:val="20"/>
          <w:lang w:val="es-ES" w:eastAsia="es-ES"/>
        </w:rPr>
        <w:t>giro ordinario</w:t>
      </w:r>
      <w:r w:rsidRPr="00FD7250">
        <w:rPr>
          <w:rFonts w:ascii="Verdana" w:eastAsia="Times New Roman" w:hAnsi="Verdana" w:cs="Arial"/>
          <w:sz w:val="20"/>
          <w:szCs w:val="20"/>
          <w:lang w:val="es-ES" w:eastAsia="es-ES"/>
        </w:rPr>
        <w:t>. En estos casos, en los manuales de contratación de estas entidades, se fomentará como buena práctica la aplicación de los pliegos tipo.</w:t>
      </w:r>
    </w:p>
    <w:p w14:paraId="11976A16" w14:textId="77777777" w:rsidR="00976832" w:rsidRPr="00D20014" w:rsidRDefault="00976832" w:rsidP="00976832">
      <w:pPr>
        <w:tabs>
          <w:tab w:val="left" w:pos="0"/>
        </w:tabs>
        <w:spacing w:after="0" w:line="276" w:lineRule="auto"/>
        <w:jc w:val="both"/>
        <w:rPr>
          <w:rFonts w:ascii="Arial" w:eastAsia="Calibri" w:hAnsi="Arial" w:cs="Arial"/>
          <w:bCs/>
          <w:szCs w:val="24"/>
          <w:lang w:val="es-ES_tradnl" w:eastAsia="es-ES_tradnl"/>
        </w:rPr>
      </w:pPr>
    </w:p>
    <w:p w14:paraId="78CD7E8B" w14:textId="77777777" w:rsidR="00976832" w:rsidRDefault="00976832" w:rsidP="00976832">
      <w:pPr>
        <w:tabs>
          <w:tab w:val="left" w:pos="0"/>
        </w:tabs>
        <w:spacing w:after="120" w:line="276" w:lineRule="auto"/>
        <w:jc w:val="both"/>
        <w:rPr>
          <w:rFonts w:ascii="Verdana" w:hAnsi="Verdana" w:cs="Arial"/>
          <w:color w:val="000000" w:themeColor="text1"/>
        </w:rPr>
      </w:pPr>
      <w:r w:rsidRPr="00D20014">
        <w:rPr>
          <w:rFonts w:ascii="Arial" w:eastAsia="Calibri" w:hAnsi="Arial" w:cs="Arial"/>
          <w:bCs/>
          <w:szCs w:val="24"/>
          <w:lang w:val="es-ES_tradnl" w:eastAsia="es-ES_tradnl"/>
        </w:rPr>
        <w:tab/>
      </w:r>
      <w:r w:rsidRPr="00D20014">
        <w:rPr>
          <w:rFonts w:ascii="Verdana" w:eastAsia="Calibri" w:hAnsi="Verdana" w:cs="Arial"/>
          <w:bCs/>
          <w:szCs w:val="24"/>
          <w:lang w:val="es-ES_tradnl" w:eastAsia="es-ES_tradnl"/>
        </w:rPr>
        <w:t xml:space="preserve">Las implicaciones de lo establecido en esta norma son variadas y se presentan en múltiples ámbitos de la actividad contractual de las entidades estatales, que como consecuencia de la entrada en vigor de la disposición en cita, ven alterado su régimen jurídico. </w:t>
      </w:r>
      <w:r>
        <w:rPr>
          <w:rFonts w:ascii="Verdana" w:hAnsi="Verdana" w:cs="Arial"/>
          <w:color w:val="000000" w:themeColor="text1"/>
        </w:rPr>
        <w:t xml:space="preserve">En tal sentido, de acuerdo con el concepto unificado C-870 del 13 de agosto de 2025, esta Subdirección determinó el alcance del artículo 56 de la Ley 2195 de 2022. </w:t>
      </w:r>
    </w:p>
    <w:p w14:paraId="7E7C8F4E" w14:textId="77777777" w:rsidR="00976832" w:rsidRPr="00B5229A" w:rsidRDefault="00976832" w:rsidP="00976832">
      <w:pPr>
        <w:spacing w:after="120" w:line="276" w:lineRule="auto"/>
        <w:ind w:firstLine="709"/>
        <w:jc w:val="both"/>
        <w:rPr>
          <w:rFonts w:ascii="Verdana" w:eastAsia="Calibri" w:hAnsi="Verdana" w:cs="Arial"/>
          <w:lang w:eastAsia="es-ES"/>
        </w:rPr>
      </w:pPr>
      <w:r>
        <w:rPr>
          <w:rFonts w:ascii="Verdana" w:eastAsia="Calibri" w:hAnsi="Verdana" w:cs="Arial"/>
          <w:lang w:val="es-ES" w:eastAsia="es-ES"/>
        </w:rPr>
        <w:t xml:space="preserve"> </w:t>
      </w:r>
      <w:r w:rsidRPr="00A83537">
        <w:rPr>
          <w:rFonts w:ascii="Verdana" w:eastAsia="Calibri" w:hAnsi="Verdana" w:cs="Arial"/>
          <w:lang w:eastAsia="es-ES"/>
        </w:rPr>
        <w:t>Para</w:t>
      </w:r>
      <w:r>
        <w:rPr>
          <w:rFonts w:ascii="Verdana" w:eastAsia="Calibri" w:hAnsi="Verdana" w:cs="Arial"/>
          <w:lang w:eastAsia="es-ES"/>
        </w:rPr>
        <w:t xml:space="preserve"> tales efectos</w:t>
      </w:r>
      <w:r w:rsidRPr="00A83537">
        <w:rPr>
          <w:rFonts w:ascii="Verdana" w:eastAsia="Calibri" w:hAnsi="Verdana" w:cs="Arial"/>
          <w:lang w:eastAsia="es-ES"/>
        </w:rPr>
        <w:t>, se estim</w:t>
      </w:r>
      <w:r>
        <w:rPr>
          <w:rFonts w:ascii="Verdana" w:eastAsia="Calibri" w:hAnsi="Verdana" w:cs="Arial"/>
          <w:lang w:eastAsia="es-ES"/>
        </w:rPr>
        <w:t>ó</w:t>
      </w:r>
      <w:r w:rsidRPr="00A83537">
        <w:rPr>
          <w:rFonts w:ascii="Verdana" w:eastAsia="Calibri" w:hAnsi="Verdana" w:cs="Arial"/>
          <w:lang w:eastAsia="es-ES"/>
        </w:rPr>
        <w:t xml:space="preserve"> que la interpretación más adecuada de la norma, atendiendo a su tenor literal y al espíritu </w:t>
      </w:r>
      <w:r>
        <w:rPr>
          <w:rFonts w:ascii="Verdana" w:eastAsia="Calibri" w:hAnsi="Verdana" w:cs="Arial"/>
          <w:lang w:eastAsia="es-ES"/>
        </w:rPr>
        <w:t>de la misma</w:t>
      </w:r>
      <w:r w:rsidRPr="00A83537">
        <w:rPr>
          <w:rFonts w:ascii="Verdana" w:eastAsia="Calibri" w:hAnsi="Verdana" w:cs="Arial"/>
          <w:lang w:eastAsia="es-ES"/>
        </w:rPr>
        <w:t xml:space="preserve">, se alinea con la tesis expuesta en el </w:t>
      </w:r>
      <w:r>
        <w:rPr>
          <w:rFonts w:ascii="Verdana" w:eastAsia="Calibri" w:hAnsi="Verdana" w:cs="Arial"/>
          <w:lang w:eastAsia="es-ES"/>
        </w:rPr>
        <w:t>c</w:t>
      </w:r>
      <w:r w:rsidRPr="00A83537">
        <w:rPr>
          <w:rFonts w:ascii="Verdana" w:eastAsia="Calibri" w:hAnsi="Verdana" w:cs="Arial"/>
          <w:lang w:eastAsia="es-ES"/>
        </w:rPr>
        <w:t>oncepto C-066 del 28 de enero de 2022</w:t>
      </w:r>
      <w:r>
        <w:rPr>
          <w:rFonts w:ascii="Verdana" w:eastAsia="Calibri" w:hAnsi="Verdana" w:cs="Arial"/>
          <w:lang w:eastAsia="es-ES"/>
        </w:rPr>
        <w:t xml:space="preserve"> </w:t>
      </w:r>
      <w:r w:rsidRPr="00FF2FD8">
        <w:rPr>
          <w:rFonts w:ascii="Verdana" w:hAnsi="Verdana"/>
        </w:rPr>
        <w:t xml:space="preserve">desarrollada y </w:t>
      </w:r>
      <w:r w:rsidRPr="00FF2FD8">
        <w:rPr>
          <w:rFonts w:ascii="Verdana" w:hAnsi="Verdana"/>
        </w:rPr>
        <w:lastRenderedPageBreak/>
        <w:t>complementada en los conceptos</w:t>
      </w:r>
      <w:r>
        <w:rPr>
          <w:rFonts w:ascii="Verdana" w:hAnsi="Verdana"/>
          <w:sz w:val="16"/>
          <w:szCs w:val="16"/>
        </w:rPr>
        <w:t xml:space="preserve"> </w:t>
      </w:r>
      <w:r w:rsidRPr="00393D3E">
        <w:rPr>
          <w:rFonts w:ascii="Verdana" w:hAnsi="Verdana"/>
        </w:rPr>
        <w:t>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w:t>
      </w:r>
      <w:r>
        <w:rPr>
          <w:rFonts w:ascii="Verdana" w:hAnsi="Verdana"/>
        </w:rPr>
        <w:t xml:space="preserve"> </w:t>
      </w:r>
      <w:r w:rsidRPr="00393D3E">
        <w:rPr>
          <w:rFonts w:ascii="Verdana" w:hAnsi="Verdana"/>
        </w:rPr>
        <w:t>2025.</w:t>
      </w:r>
    </w:p>
    <w:p w14:paraId="0B92AA6F" w14:textId="77777777" w:rsidR="00976832" w:rsidRPr="00D20014" w:rsidRDefault="00976832" w:rsidP="00976832">
      <w:pPr>
        <w:spacing w:after="120" w:line="276" w:lineRule="auto"/>
        <w:jc w:val="both"/>
        <w:rPr>
          <w:rFonts w:ascii="Verdana" w:eastAsia="Calibri" w:hAnsi="Verdana" w:cs="Arial"/>
          <w:lang w:val="es-ES"/>
        </w:rPr>
      </w:pPr>
      <w:r w:rsidRPr="00D20014">
        <w:rPr>
          <w:rFonts w:ascii="Arial" w:eastAsia="Calibri" w:hAnsi="Arial" w:cs="Arial"/>
          <w:bCs/>
          <w:lang w:val="es-ES_tradnl"/>
        </w:rPr>
        <w:tab/>
      </w:r>
      <w:bookmarkStart w:id="7" w:name="_Hlk99351345"/>
      <w:r w:rsidRPr="00D20014">
        <w:rPr>
          <w:rFonts w:ascii="Verdana" w:eastAsia="Calibri" w:hAnsi="Verdana" w:cs="Arial"/>
          <w:lang w:val="es-ES"/>
        </w:rPr>
        <w:t xml:space="preserve"> </w:t>
      </w:r>
      <w:r>
        <w:rPr>
          <w:rFonts w:ascii="Verdana" w:eastAsia="Calibri" w:hAnsi="Verdana" w:cs="Arial"/>
          <w:lang w:val="es-ES"/>
        </w:rPr>
        <w:t xml:space="preserve">De esta forma, </w:t>
      </w:r>
      <w:r w:rsidRPr="0018056C">
        <w:rPr>
          <w:rFonts w:ascii="Verdana" w:eastAsia="Calibri" w:hAnsi="Verdana" w:cs="Arial"/>
          <w:lang w:val="es-ES"/>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18056C">
        <w:rPr>
          <w:rFonts w:ascii="Verdana" w:eastAsia="Calibri" w:hAnsi="Verdana" w:cs="Arial"/>
          <w:lang w:val="es-ES"/>
        </w:rPr>
        <w:t>ii</w:t>
      </w:r>
      <w:proofErr w:type="spellEnd"/>
      <w:r w:rsidRPr="0018056C">
        <w:rPr>
          <w:rFonts w:ascii="Verdana" w:eastAsia="Calibri" w:hAnsi="Verdana" w:cs="Arial"/>
          <w:lang w:val="es-ES"/>
        </w:rPr>
        <w:t xml:space="preserve">) patrimonios autónomos o </w:t>
      </w:r>
      <w:proofErr w:type="spellStart"/>
      <w:r w:rsidRPr="0018056C">
        <w:rPr>
          <w:rFonts w:ascii="Verdana" w:eastAsia="Calibri" w:hAnsi="Verdana" w:cs="Arial"/>
          <w:lang w:val="es-ES"/>
        </w:rPr>
        <w:t>iii</w:t>
      </w:r>
      <w:proofErr w:type="spellEnd"/>
      <w:r w:rsidRPr="0018056C">
        <w:rPr>
          <w:rFonts w:ascii="Verdana" w:eastAsia="Calibri" w:hAnsi="Verdana" w:cs="Arial"/>
          <w:lang w:val="es-ES"/>
        </w:rPr>
        <w:t>)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r w:rsidRPr="00893489">
        <w:rPr>
          <w:rFonts w:ascii="Verdana" w:eastAsia="Calibri" w:hAnsi="Verdana" w:cs="Arial"/>
          <w:lang w:val="es-ES"/>
        </w:rPr>
        <w:t>.</w:t>
      </w:r>
    </w:p>
    <w:bookmarkEnd w:id="7"/>
    <w:p w14:paraId="14A12AFC" w14:textId="77777777" w:rsidR="00976832" w:rsidRPr="00D20014" w:rsidRDefault="00976832" w:rsidP="00976832">
      <w:pPr>
        <w:tabs>
          <w:tab w:val="left" w:pos="0"/>
        </w:tabs>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lang w:val="es-ES" w:eastAsia="es-ES"/>
        </w:rPr>
        <w:t xml:space="preserve"> Sin perjuicio de lo anterior, solo es posible comprender los efectos de lo dispuesto en el artículo 56 de la </w:t>
      </w:r>
      <w:bookmarkStart w:id="8" w:name="_Hlk205276572"/>
      <w:r w:rsidRPr="00D20014">
        <w:rPr>
          <w:rFonts w:ascii="Verdana" w:eastAsia="Calibri" w:hAnsi="Verdana" w:cs="Arial"/>
          <w:lang w:val="es-ES" w:eastAsia="es-ES"/>
        </w:rPr>
        <w:t>Ley 2195 de 202</w:t>
      </w:r>
      <w:r>
        <w:rPr>
          <w:rFonts w:ascii="Verdana" w:eastAsia="Calibri" w:hAnsi="Verdana" w:cs="Arial"/>
          <w:lang w:val="es-ES" w:eastAsia="es-ES"/>
        </w:rPr>
        <w:t>2</w:t>
      </w:r>
      <w:r w:rsidRPr="00D20014">
        <w:rPr>
          <w:rFonts w:ascii="Verdana" w:eastAsia="Calibri" w:hAnsi="Verdana" w:cs="Arial"/>
          <w:lang w:val="es-ES" w:eastAsia="es-ES"/>
        </w:rPr>
        <w:t xml:space="preserve"> </w:t>
      </w:r>
      <w:bookmarkEnd w:id="8"/>
      <w:r w:rsidRPr="00D20014">
        <w:rPr>
          <w:rFonts w:ascii="Verdana" w:eastAsia="Calibri" w:hAnsi="Verdana" w:cs="Arial"/>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05FAC40A" w14:textId="77777777" w:rsidR="00976832" w:rsidRPr="00D20014" w:rsidRDefault="00976832" w:rsidP="00976832">
      <w:pPr>
        <w:tabs>
          <w:tab w:val="left" w:pos="0"/>
        </w:tabs>
        <w:spacing w:after="120" w:line="276" w:lineRule="auto"/>
        <w:jc w:val="both"/>
        <w:rPr>
          <w:rFonts w:ascii="Verdana" w:eastAsia="Calibri" w:hAnsi="Verdana" w:cs="Arial"/>
          <w:lang w:val="es-ES" w:eastAsia="es-ES"/>
        </w:rPr>
      </w:pPr>
      <w:r w:rsidRPr="00D20014">
        <w:rPr>
          <w:rFonts w:ascii="Verdana" w:eastAsia="Calibri" w:hAnsi="Verdana" w:cs="Arial"/>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w:t>
      </w:r>
      <w:r w:rsidRPr="00D20014">
        <w:rPr>
          <w:rFonts w:ascii="Verdana" w:eastAsia="Calibri" w:hAnsi="Verdana" w:cs="Arial"/>
          <w:lang w:val="es-ES" w:eastAsia="es-ES"/>
        </w:rPr>
        <w:lastRenderedPageBreak/>
        <w:t xml:space="preserve">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D20014">
        <w:rPr>
          <w:rFonts w:ascii="Verdana" w:eastAsia="Calibri" w:hAnsi="Verdana" w:cs="Arial"/>
          <w:lang w:val="es-ES" w:eastAsia="es-ES"/>
        </w:rPr>
        <w:t>ejusdem</w:t>
      </w:r>
      <w:proofErr w:type="spellEnd"/>
      <w:r w:rsidRPr="00D20014">
        <w:rPr>
          <w:rFonts w:ascii="Verdana" w:eastAsia="Calibri" w:hAnsi="Verdana" w:cs="Arial"/>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003F79D8" w14:textId="77777777" w:rsidR="00976832" w:rsidRPr="00D20014" w:rsidRDefault="00976832" w:rsidP="00976832">
      <w:pPr>
        <w:tabs>
          <w:tab w:val="left" w:pos="0"/>
        </w:tabs>
        <w:spacing w:after="120" w:line="276" w:lineRule="auto"/>
        <w:jc w:val="both"/>
        <w:rPr>
          <w:rFonts w:ascii="Verdana" w:eastAsia="Calibri" w:hAnsi="Verdana" w:cs="Arial"/>
          <w:lang w:val="es-ES" w:eastAsia="es-ES"/>
        </w:rPr>
      </w:pPr>
      <w:r w:rsidRPr="00D20014">
        <w:rPr>
          <w:rFonts w:ascii="Arial" w:eastAsia="Calibri" w:hAnsi="Arial" w:cs="Arial"/>
          <w:bCs/>
          <w:color w:val="000000"/>
          <w:lang w:val="es-ES_tradnl"/>
        </w:rPr>
        <w:tab/>
      </w:r>
      <w:r w:rsidRPr="00D20014">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w:t>
      </w:r>
      <w:r>
        <w:rPr>
          <w:rFonts w:ascii="Verdana" w:eastAsia="Calibri" w:hAnsi="Verdana" w:cs="Arial"/>
          <w:lang w:val="es-ES" w:eastAsia="es-ES"/>
        </w:rPr>
        <w:t xml:space="preserve">jurídica </w:t>
      </w:r>
      <w:r w:rsidRPr="00D20014">
        <w:rPr>
          <w:rFonts w:ascii="Verdana" w:eastAsia="Calibri" w:hAnsi="Verdana" w:cs="Arial"/>
          <w:lang w:val="es-ES" w:eastAsia="es-ES"/>
        </w:rPr>
        <w:t>del proyecto ley</w:t>
      </w:r>
      <w:r>
        <w:rPr>
          <w:rFonts w:ascii="Verdana" w:eastAsia="Calibri" w:hAnsi="Verdana" w:cs="Arial"/>
          <w:lang w:val="es-ES" w:eastAsia="es-ES"/>
        </w:rPr>
        <w:t>, este</w:t>
      </w:r>
      <w:r w:rsidRPr="00D20014">
        <w:rPr>
          <w:rFonts w:ascii="Verdana" w:eastAsia="Calibri" w:hAnsi="Verdana" w:cs="Arial"/>
          <w:lang w:val="es-ES" w:eastAsia="es-ES"/>
        </w:rPr>
        <w:t xml:space="preserve">: </w:t>
      </w:r>
    </w:p>
    <w:p w14:paraId="1E320E84" w14:textId="77777777" w:rsidR="00976832" w:rsidRPr="00D20014" w:rsidRDefault="00976832" w:rsidP="00976832">
      <w:pPr>
        <w:tabs>
          <w:tab w:val="left" w:pos="0"/>
        </w:tabs>
        <w:spacing w:after="0" w:line="276" w:lineRule="auto"/>
        <w:jc w:val="both"/>
        <w:rPr>
          <w:rFonts w:ascii="Verdana" w:eastAsia="Calibri" w:hAnsi="Verdana" w:cs="Arial"/>
          <w:lang w:val="es-ES" w:eastAsia="es-ES"/>
        </w:rPr>
      </w:pPr>
    </w:p>
    <w:p w14:paraId="01639688" w14:textId="77777777" w:rsidR="00976832" w:rsidRPr="00D26C5E" w:rsidRDefault="00976832" w:rsidP="00976832">
      <w:pPr>
        <w:tabs>
          <w:tab w:val="left" w:pos="0"/>
        </w:tabs>
        <w:spacing w:after="0"/>
        <w:ind w:left="709" w:right="709"/>
        <w:jc w:val="both"/>
        <w:rPr>
          <w:rFonts w:ascii="Verdana" w:eastAsia="Calibri" w:hAnsi="Verdana" w:cs="Arial"/>
          <w:bCs/>
          <w:color w:val="000000"/>
          <w:sz w:val="20"/>
          <w:szCs w:val="20"/>
          <w:lang w:val="es-ES_tradnl"/>
        </w:rPr>
      </w:pPr>
      <w:r w:rsidRPr="00D26C5E">
        <w:rPr>
          <w:rFonts w:ascii="Verdana" w:eastAsia="Calibri" w:hAnsi="Verdana" w:cs="Arial"/>
          <w:bCs/>
          <w:color w:val="000000"/>
          <w:sz w:val="20"/>
          <w:szCs w:val="20"/>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D26C5E">
        <w:rPr>
          <w:rFonts w:ascii="Verdana" w:eastAsia="Calibri" w:hAnsi="Verdana" w:cs="Arial"/>
          <w:color w:val="000000"/>
          <w:sz w:val="20"/>
          <w:szCs w:val="20"/>
          <w:vertAlign w:val="superscript"/>
        </w:rPr>
        <w:footnoteReference w:id="4"/>
      </w:r>
      <w:r w:rsidRPr="00D26C5E">
        <w:rPr>
          <w:rFonts w:ascii="Verdana" w:eastAsia="Calibri" w:hAnsi="Verdana" w:cs="Arial"/>
          <w:bCs/>
          <w:color w:val="000000"/>
          <w:sz w:val="20"/>
          <w:szCs w:val="20"/>
          <w:lang w:val="es-ES_tradnl"/>
        </w:rPr>
        <w:t xml:space="preserve">. </w:t>
      </w:r>
    </w:p>
    <w:p w14:paraId="64928039" w14:textId="77777777" w:rsidR="00976832" w:rsidRPr="00D20014" w:rsidRDefault="00976832" w:rsidP="00976832">
      <w:pPr>
        <w:tabs>
          <w:tab w:val="left" w:pos="0"/>
        </w:tabs>
        <w:spacing w:after="0" w:line="276" w:lineRule="auto"/>
        <w:jc w:val="both"/>
        <w:rPr>
          <w:rFonts w:ascii="Arial" w:eastAsia="Calibri" w:hAnsi="Arial" w:cs="Arial"/>
          <w:bCs/>
          <w:color w:val="000000"/>
          <w:lang w:val="es-ES_tradnl"/>
        </w:rPr>
      </w:pPr>
      <w:r w:rsidRPr="00D20014">
        <w:rPr>
          <w:rFonts w:ascii="Arial" w:eastAsia="Calibri" w:hAnsi="Arial" w:cs="Arial"/>
          <w:bCs/>
          <w:color w:val="000000"/>
          <w:lang w:val="es-ES_tradnl"/>
        </w:rPr>
        <w:tab/>
        <w:t xml:space="preserve"> </w:t>
      </w:r>
    </w:p>
    <w:p w14:paraId="634DF9FA" w14:textId="77777777" w:rsidR="00976832" w:rsidRPr="00D20014" w:rsidRDefault="00976832" w:rsidP="00976832">
      <w:pPr>
        <w:spacing w:after="120" w:line="276" w:lineRule="auto"/>
        <w:jc w:val="both"/>
        <w:rPr>
          <w:rFonts w:ascii="Verdana" w:eastAsia="Calibri" w:hAnsi="Verdana" w:cs="Arial"/>
          <w:color w:val="000000"/>
          <w:lang w:val="es-ES"/>
        </w:rPr>
      </w:pPr>
      <w:r w:rsidRPr="00D20014">
        <w:rPr>
          <w:rFonts w:ascii="Arial" w:eastAsia="Calibri" w:hAnsi="Arial" w:cs="Arial"/>
          <w:bCs/>
          <w:color w:val="000000"/>
          <w:lang w:val="es-ES_tradnl"/>
        </w:rPr>
        <w:tab/>
      </w:r>
      <w:r w:rsidRPr="00D20014">
        <w:rPr>
          <w:rFonts w:ascii="Verdana" w:eastAsia="Calibri" w:hAnsi="Verdana" w:cs="Arial"/>
          <w:color w:val="000000"/>
          <w:lang w:val="es-ES"/>
        </w:rPr>
        <w:t xml:space="preserve">De lo anterior se </w:t>
      </w:r>
      <w:r>
        <w:rPr>
          <w:rFonts w:ascii="Verdana" w:eastAsia="Calibri" w:hAnsi="Verdana" w:cs="Arial"/>
          <w:color w:val="000000"/>
          <w:lang w:val="es-ES"/>
        </w:rPr>
        <w:t xml:space="preserve">evidencia </w:t>
      </w:r>
      <w:r w:rsidRPr="00D20014">
        <w:rPr>
          <w:rFonts w:ascii="Verdana" w:eastAsia="Calibri" w:hAnsi="Verdana" w:cs="Arial"/>
          <w:color w:val="000000"/>
          <w:lang w:val="es-ES"/>
        </w:rPr>
        <w:t xml:space="preserve">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w:t>
      </w:r>
      <w:r w:rsidRPr="00D20014">
        <w:rPr>
          <w:rFonts w:ascii="Verdana" w:eastAsia="Calibri" w:hAnsi="Verdana" w:cs="Arial"/>
          <w:color w:val="000000"/>
          <w:lang w:val="es-ES"/>
        </w:rPr>
        <w:lastRenderedPageBreak/>
        <w:t>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w:t>
      </w:r>
      <w:r>
        <w:rPr>
          <w:rFonts w:ascii="Verdana" w:eastAsia="Calibri" w:hAnsi="Verdana" w:cs="Arial"/>
          <w:color w:val="000000"/>
          <w:lang w:val="es-ES"/>
        </w:rPr>
        <w:t xml:space="preserve"> </w:t>
      </w:r>
      <w:r w:rsidRPr="00D20014">
        <w:rPr>
          <w:rFonts w:ascii="Verdana" w:eastAsia="Calibri" w:hAnsi="Verdana" w:cs="Arial"/>
          <w:color w:val="000000"/>
          <w:lang w:val="es-ES"/>
        </w:rPr>
        <w:t>o servicios, siempre que exista documento</w:t>
      </w:r>
      <w:r>
        <w:rPr>
          <w:rFonts w:ascii="Verdana" w:eastAsia="Calibri" w:hAnsi="Verdana" w:cs="Arial"/>
          <w:color w:val="000000"/>
          <w:lang w:val="es-ES"/>
        </w:rPr>
        <w:t>s</w:t>
      </w:r>
      <w:r w:rsidRPr="00D20014">
        <w:rPr>
          <w:rFonts w:ascii="Verdana" w:eastAsia="Calibri" w:hAnsi="Verdana" w:cs="Arial"/>
          <w:color w:val="000000"/>
          <w:lang w:val="es-ES"/>
        </w:rPr>
        <w:t xml:space="preserve"> tipo en el sector en el que se adelanta la contratación.  </w:t>
      </w:r>
    </w:p>
    <w:p w14:paraId="417BC702" w14:textId="77777777" w:rsidR="00976832" w:rsidRPr="00D20014" w:rsidRDefault="00976832" w:rsidP="00976832">
      <w:pPr>
        <w:spacing w:after="120" w:line="276" w:lineRule="auto"/>
        <w:ind w:firstLine="709"/>
        <w:jc w:val="both"/>
        <w:rPr>
          <w:rFonts w:ascii="Verdana" w:eastAsia="Calibri" w:hAnsi="Verdana" w:cs="Arial"/>
          <w:lang w:val="es-ES" w:eastAsia="es-ES"/>
        </w:rPr>
      </w:pPr>
      <w:r w:rsidRPr="00D20014">
        <w:rPr>
          <w:rFonts w:ascii="Verdana" w:eastAsia="Calibri" w:hAnsi="Verdana" w:cs="Arial"/>
          <w:lang w:val="es-ES" w:eastAsia="es-ES"/>
        </w:rPr>
        <w:t>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448E73BD" w14:textId="77777777" w:rsidR="00976832" w:rsidRPr="00D20014" w:rsidRDefault="00976832" w:rsidP="00976832">
      <w:pPr>
        <w:spacing w:after="120" w:line="276" w:lineRule="auto"/>
        <w:ind w:firstLine="709"/>
        <w:jc w:val="both"/>
        <w:rPr>
          <w:rFonts w:ascii="Verdana" w:eastAsia="Calibri" w:hAnsi="Verdana" w:cs="Arial"/>
          <w:lang w:val="es-ES" w:eastAsia="es-ES"/>
        </w:rPr>
      </w:pPr>
      <w:r w:rsidRPr="00D20014">
        <w:rPr>
          <w:rFonts w:ascii="Verdana" w:eastAsia="Calibri" w:hAnsi="Verdana" w:cs="Arial"/>
          <w:lang w:val="es-ES" w:eastAsia="es-ES"/>
        </w:rPr>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aplicados a lo dispuesto en esta última norma, se entendía que debía aplicarse el EGCAP y los Documentos Tipo. </w:t>
      </w:r>
    </w:p>
    <w:p w14:paraId="27FAF599" w14:textId="77777777" w:rsidR="00976832" w:rsidRPr="00D20014" w:rsidRDefault="00976832" w:rsidP="00976832">
      <w:pPr>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lang w:val="es-ES" w:eastAsia="es-ES"/>
        </w:rPr>
        <w:t xml:space="preserve">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w:t>
      </w:r>
      <w:r w:rsidRPr="00D20014">
        <w:rPr>
          <w:rFonts w:ascii="Verdana" w:eastAsia="Calibri" w:hAnsi="Verdana" w:cs="Arial"/>
          <w:lang w:val="es-ES" w:eastAsia="es-ES"/>
        </w:rPr>
        <w:lastRenderedPageBreak/>
        <w:t>contradicción, como se expuso en el numeral anterior, debe ser resuelta en favor del artículo 56 de la Ley 2195 de 2022.</w:t>
      </w:r>
    </w:p>
    <w:p w14:paraId="61ACC38D" w14:textId="77777777" w:rsidR="00976832" w:rsidRPr="00D20014" w:rsidRDefault="00976832" w:rsidP="00976832">
      <w:pPr>
        <w:tabs>
          <w:tab w:val="left" w:pos="0"/>
        </w:tabs>
        <w:spacing w:after="120" w:line="276" w:lineRule="auto"/>
        <w:jc w:val="both"/>
        <w:rPr>
          <w:rFonts w:ascii="Verdana" w:eastAsia="Calibri" w:hAnsi="Verdana" w:cs="Arial"/>
          <w:bCs/>
          <w:lang w:val="es-ES_tradnl" w:eastAsia="es-ES_tradnl"/>
        </w:rPr>
      </w:pPr>
      <w:r w:rsidRPr="00D20014">
        <w:rPr>
          <w:rFonts w:ascii="Verdana" w:eastAsia="Calibri" w:hAnsi="Verdana"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3BD6D150" w14:textId="77777777" w:rsidR="00976832" w:rsidRPr="00670F8B" w:rsidRDefault="00976832" w:rsidP="00976832">
      <w:pPr>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B12239">
        <w:rPr>
          <w:rFonts w:ascii="Verdana" w:eastAsia="Calibri" w:hAnsi="Verdana" w:cs="Arial"/>
          <w:bCs/>
          <w:highlight w:val="yellow"/>
          <w:lang w:val="es-ES_tradnl" w:eastAsia="es-ES_tradnl"/>
        </w:rPr>
        <w:t xml:space="preserve"> </w:t>
      </w:r>
    </w:p>
    <w:p w14:paraId="3B28C2C7" w14:textId="77777777" w:rsidR="00976832" w:rsidRDefault="00976832" w:rsidP="00976832">
      <w:pPr>
        <w:tabs>
          <w:tab w:val="left" w:pos="0"/>
        </w:tabs>
        <w:spacing w:after="120" w:line="276" w:lineRule="auto"/>
        <w:ind w:firstLine="709"/>
        <w:jc w:val="both"/>
        <w:rPr>
          <w:rFonts w:ascii="Verdana" w:eastAsia="Calibri" w:hAnsi="Verdana" w:cs="Arial"/>
          <w:bCs/>
          <w:lang w:val="es-ES_tradnl"/>
        </w:rPr>
      </w:pPr>
      <w:r w:rsidRPr="00B35DC3">
        <w:rPr>
          <w:rFonts w:ascii="Verdana" w:hAnsi="Verdana" w:cs="Arial"/>
          <w:color w:val="000000" w:themeColor="text1"/>
        </w:rPr>
        <w:t xml:space="preserve">En este contexto, </w:t>
      </w:r>
      <w:r w:rsidRPr="007D6E27">
        <w:rPr>
          <w:rFonts w:ascii="Verdana" w:eastAsia="Calibri" w:hAnsi="Verdana" w:cs="Arial"/>
          <w:bCs/>
          <w:lang w:val="es-ES_tradnl" w:eastAsia="es-ES_tradnl"/>
        </w:rPr>
        <w:t>de la lectura conjunta de los incisos primero y segundo</w:t>
      </w:r>
      <w:r w:rsidRPr="00202EAB">
        <w:rPr>
          <w:rFonts w:ascii="Verdana" w:eastAsia="Calibri" w:hAnsi="Verdana" w:cs="Arial"/>
          <w:bCs/>
          <w:lang w:eastAsia="es-ES_tradnl"/>
        </w:rPr>
        <w:t xml:space="preserve"> </w:t>
      </w:r>
      <w:r>
        <w:rPr>
          <w:rFonts w:ascii="Verdana" w:eastAsia="Calibri" w:hAnsi="Verdana" w:cs="Arial"/>
          <w:bCs/>
          <w:lang w:eastAsia="es-ES_tradnl"/>
        </w:rPr>
        <w:t>d</w:t>
      </w:r>
      <w:r w:rsidRPr="00202EAB">
        <w:rPr>
          <w:rFonts w:ascii="Verdana" w:eastAsia="Calibri" w:hAnsi="Verdana" w:cs="Arial"/>
          <w:bCs/>
          <w:lang w:eastAsia="es-ES_tradnl"/>
        </w:rPr>
        <w:t>el artículo 56 de la Ley 2195 de 2022,</w:t>
      </w:r>
      <w:r w:rsidRPr="007D6E27">
        <w:rPr>
          <w:rFonts w:ascii="Verdana" w:eastAsia="Calibri" w:hAnsi="Verdana" w:cs="Arial"/>
          <w:bCs/>
          <w:lang w:val="es-ES_tradnl" w:eastAsia="es-ES_tradnl"/>
        </w:rPr>
        <w:t xml:space="preserve"> se desprende que </w:t>
      </w:r>
      <w:r w:rsidRPr="00202EAB">
        <w:rPr>
          <w:rFonts w:ascii="Verdana" w:eastAsia="Calibri" w:hAnsi="Verdana" w:cs="Arial"/>
          <w:bCs/>
          <w:lang w:eastAsia="es-ES_tradnl"/>
        </w:rPr>
        <w:t>cuando se celebre un contrato</w:t>
      </w:r>
      <w:r>
        <w:rPr>
          <w:rFonts w:ascii="Verdana" w:eastAsia="Calibri" w:hAnsi="Verdana" w:cs="Arial"/>
          <w:bCs/>
          <w:lang w:eastAsia="es-ES_tradnl"/>
        </w:rPr>
        <w:t xml:space="preserve"> o </w:t>
      </w:r>
      <w:r w:rsidRPr="00202EAB">
        <w:rPr>
          <w:rFonts w:ascii="Verdana" w:eastAsia="Calibri" w:hAnsi="Verdana" w:cs="Arial"/>
          <w:bCs/>
          <w:lang w:eastAsia="es-ES_tradnl"/>
        </w:rPr>
        <w:t xml:space="preserve">convenio interadministrativo o </w:t>
      </w:r>
      <w:r>
        <w:rPr>
          <w:rFonts w:ascii="Verdana" w:eastAsia="Calibri" w:hAnsi="Verdana" w:cs="Arial"/>
          <w:bCs/>
          <w:lang w:eastAsia="es-ES_tradnl"/>
        </w:rPr>
        <w:t xml:space="preserve">de </w:t>
      </w:r>
      <w:r w:rsidRPr="00202EAB">
        <w:rPr>
          <w:rFonts w:ascii="Verdana" w:eastAsia="Calibri" w:hAnsi="Verdana" w:cs="Arial"/>
          <w:bCs/>
          <w:lang w:eastAsia="es-ES_tradnl"/>
        </w:rPr>
        <w:t>cualquier otr</w:t>
      </w:r>
      <w:r>
        <w:rPr>
          <w:rFonts w:ascii="Verdana" w:eastAsia="Calibri" w:hAnsi="Verdana" w:cs="Arial"/>
          <w:bCs/>
          <w:lang w:eastAsia="es-ES_tradnl"/>
        </w:rPr>
        <w:t>a índole entre una entidad sometida al EGCAP y los sujetos allí mencionados,</w:t>
      </w:r>
      <w:r w:rsidRPr="00202EAB">
        <w:rPr>
          <w:rFonts w:ascii="Verdana" w:eastAsia="Calibri" w:hAnsi="Verdana" w:cs="Arial"/>
          <w:bCs/>
          <w:lang w:eastAsia="es-ES_tradnl"/>
        </w:rPr>
        <w:t xml:space="preserve">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7C52C9">
        <w:rPr>
          <w:rFonts w:ascii="Arial" w:eastAsia="Calibri" w:hAnsi="Arial" w:cs="Arial"/>
          <w:bCs/>
          <w:lang w:val="es-ES_tradnl"/>
        </w:rPr>
        <w:t xml:space="preserve"> </w:t>
      </w:r>
      <w:r w:rsidRPr="007C52C9">
        <w:rPr>
          <w:rFonts w:ascii="Verdana" w:eastAsia="Calibri" w:hAnsi="Verdana" w:cs="Arial"/>
          <w:bCs/>
          <w:lang w:val="es-ES_tradnl"/>
        </w:rPr>
        <w:t xml:space="preserve">siempre que exista documento tipo aplicable al objeto contractual que se planea contratar. Esto significa que los contratos no relacionados con los contratos y convenios adquiridos con la </w:t>
      </w:r>
      <w:r w:rsidRPr="007C52C9">
        <w:rPr>
          <w:rFonts w:ascii="Verdana" w:eastAsia="Calibri" w:hAnsi="Verdana" w:cs="Arial"/>
          <w:bCs/>
          <w:lang w:val="es-ES_tradnl"/>
        </w:rPr>
        <w:lastRenderedPageBreak/>
        <w:t xml:space="preserve">entidad sometida al EGCAP no tendrían que aplicar los documentos tipo, salvo que quieran hacerlo como una buena práctica de contratación. </w:t>
      </w:r>
    </w:p>
    <w:p w14:paraId="25C52888" w14:textId="77777777" w:rsidR="00976832" w:rsidRPr="007A1217" w:rsidRDefault="00976832" w:rsidP="00976832">
      <w:pPr>
        <w:tabs>
          <w:tab w:val="left" w:pos="0"/>
        </w:tabs>
        <w:spacing w:after="120" w:line="276" w:lineRule="auto"/>
        <w:jc w:val="both"/>
        <w:rPr>
          <w:rFonts w:ascii="Verdana" w:eastAsia="Calibri" w:hAnsi="Verdana" w:cs="Arial"/>
          <w:bCs/>
          <w:lang w:val="es-ES_tradnl"/>
        </w:rPr>
      </w:pPr>
      <w:proofErr w:type="spellStart"/>
      <w:r>
        <w:rPr>
          <w:rFonts w:ascii="Verdana" w:eastAsia="Calibri" w:hAnsi="Verdana" w:cs="Arial"/>
          <w:bCs/>
          <w:lang w:val="es-ES_tradnl"/>
        </w:rPr>
        <w:t>iii</w:t>
      </w:r>
      <w:proofErr w:type="spellEnd"/>
      <w:r>
        <w:rPr>
          <w:rFonts w:ascii="Verdana" w:eastAsia="Calibri" w:hAnsi="Verdana" w:cs="Arial"/>
          <w:bCs/>
          <w:lang w:val="es-ES_tradnl"/>
        </w:rPr>
        <w:t xml:space="preserve">. Precisado el alcance e interpretación del artículo 56 de la Ley 2195 de 2022, para efectos de dar respuesta concreta al problema jurídico, es importante aclarar que </w:t>
      </w:r>
      <w:r w:rsidRPr="00823F19">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w:t>
      </w:r>
      <w:r>
        <w:rPr>
          <w:rFonts w:ascii="Verdana" w:eastAsia="Times New Roman" w:hAnsi="Verdana" w:cs="Arial"/>
          <w:color w:val="000000" w:themeColor="text1"/>
          <w:lang w:val="es-ES" w:eastAsia="es-CO"/>
        </w:rPr>
        <w:t>entidades públicas</w:t>
      </w:r>
      <w:r w:rsidRPr="00823F19">
        <w:rPr>
          <w:rFonts w:ascii="Verdana" w:eastAsia="Times New Roman" w:hAnsi="Verdana" w:cs="Arial"/>
          <w:color w:val="000000" w:themeColor="text1"/>
          <w:lang w:val="es-ES" w:eastAsia="es-CO"/>
        </w:rPr>
        <w:t xml:space="preserve">, </w:t>
      </w:r>
      <w:r>
        <w:rPr>
          <w:rFonts w:ascii="Verdana" w:eastAsia="Calibri" w:hAnsi="Verdana" w:cs="Arial"/>
          <w:lang w:eastAsia="es-ES"/>
        </w:rPr>
        <w:t xml:space="preserve">independientemente de </w:t>
      </w:r>
      <w:r w:rsidRPr="00823F19">
        <w:rPr>
          <w:rFonts w:ascii="Verdana" w:eastAsia="Calibri" w:hAnsi="Verdana" w:cs="Arial"/>
          <w:lang w:eastAsia="es-ES"/>
        </w:rPr>
        <w:t xml:space="preserve">las normas que regulan la relación contractual. </w:t>
      </w:r>
      <w:r>
        <w:rPr>
          <w:rFonts w:ascii="Verdana" w:eastAsia="Calibri" w:hAnsi="Verdana" w:cs="Arial"/>
          <w:lang w:eastAsia="es-ES"/>
        </w:rPr>
        <w:t>En este sentido, l</w:t>
      </w:r>
      <w:r w:rsidRPr="00917939">
        <w:rPr>
          <w:rFonts w:ascii="Verdana" w:eastAsia="Calibri" w:hAnsi="Verdana" w:cs="Arial"/>
          <w:lang w:eastAsia="es-ES"/>
        </w:rPr>
        <w:t>os convenios</w:t>
      </w:r>
      <w:r>
        <w:rPr>
          <w:rFonts w:ascii="Verdana" w:eastAsia="Calibri" w:hAnsi="Verdana" w:cs="Arial"/>
          <w:lang w:eastAsia="es-ES"/>
        </w:rPr>
        <w:t xml:space="preserve"> o contratos</w:t>
      </w:r>
      <w:r w:rsidRPr="00917939">
        <w:rPr>
          <w:rFonts w:ascii="Verdana" w:eastAsia="Calibri" w:hAnsi="Verdana" w:cs="Arial"/>
          <w:lang w:eastAsia="es-ES"/>
        </w:rPr>
        <w:t xml:space="preserve"> interadministrativos solo pueden ser celebrados entre entidades públicas, pues a éstas corresponde la realización de los fines y tareas que el legislador les ha asignado</w:t>
      </w:r>
      <w:r>
        <w:rPr>
          <w:rStyle w:val="Refdenotaalpie"/>
          <w:rFonts w:ascii="Verdana" w:eastAsia="Calibri" w:hAnsi="Verdana" w:cs="Arial"/>
          <w:lang w:eastAsia="es-ES"/>
        </w:rPr>
        <w:footnoteReference w:id="5"/>
      </w:r>
      <w:r>
        <w:rPr>
          <w:rFonts w:ascii="Verdana" w:eastAsia="Calibri" w:hAnsi="Verdana" w:cs="Arial"/>
          <w:lang w:eastAsia="es-ES"/>
        </w:rPr>
        <w:t>.</w:t>
      </w:r>
    </w:p>
    <w:p w14:paraId="17B0B3E3" w14:textId="77777777" w:rsidR="00976832" w:rsidRPr="00823F19" w:rsidRDefault="00976832" w:rsidP="00976832">
      <w:pPr>
        <w:spacing w:before="120" w:after="120" w:line="276" w:lineRule="auto"/>
        <w:ind w:firstLine="708"/>
        <w:jc w:val="both"/>
        <w:rPr>
          <w:rFonts w:ascii="Verdana" w:eastAsia="Calibri" w:hAnsi="Verdana" w:cs="Arial"/>
          <w:color w:val="000000" w:themeColor="text1"/>
          <w:lang w:val="es-ES"/>
        </w:rPr>
      </w:pPr>
      <w:r w:rsidRPr="008C6240">
        <w:rPr>
          <w:rFonts w:ascii="Verdana" w:hAnsi="Verdana" w:cs="Arial"/>
          <w:color w:val="000000" w:themeColor="text1"/>
          <w:lang w:val="es-ES_tradnl"/>
        </w:rPr>
        <w:t xml:space="preserve">De esta manera, </w:t>
      </w:r>
      <w:r w:rsidRPr="008C6240">
        <w:rPr>
          <w:rFonts w:ascii="Verdana" w:eastAsia="Calibri" w:hAnsi="Verdana" w:cs="Arial"/>
          <w:color w:val="000000" w:themeColor="text1"/>
          <w:lang w:val="es-ES_tradnl"/>
        </w:rPr>
        <w:t xml:space="preserve">las entidades municipales pueden contratar bajo la figura de un contrato interadministrativo con una </w:t>
      </w:r>
      <w:r>
        <w:rPr>
          <w:rFonts w:ascii="Verdana" w:eastAsia="Calibri" w:hAnsi="Verdana" w:cs="Arial"/>
          <w:color w:val="000000" w:themeColor="text1"/>
          <w:lang w:val="es-ES_tradnl"/>
        </w:rPr>
        <w:t>e</w:t>
      </w:r>
      <w:r w:rsidRPr="008C6240">
        <w:rPr>
          <w:rFonts w:ascii="Verdana" w:eastAsia="Calibri" w:hAnsi="Verdana" w:cs="Arial"/>
          <w:color w:val="000000" w:themeColor="text1"/>
          <w:lang w:val="es-ES_tradnl"/>
        </w:rPr>
        <w:t xml:space="preserve">mpresa </w:t>
      </w:r>
      <w:r>
        <w:rPr>
          <w:rFonts w:ascii="Verdana" w:eastAsia="Calibri" w:hAnsi="Verdana" w:cs="Arial"/>
          <w:color w:val="000000" w:themeColor="text1"/>
          <w:lang w:val="es-ES_tradnl"/>
        </w:rPr>
        <w:t>i</w:t>
      </w:r>
      <w:r w:rsidRPr="008C6240">
        <w:rPr>
          <w:rFonts w:ascii="Verdana" w:eastAsia="Calibri" w:hAnsi="Verdana" w:cs="Arial"/>
          <w:color w:val="000000" w:themeColor="text1"/>
          <w:lang w:val="es-ES_tradnl"/>
        </w:rPr>
        <w:t xml:space="preserve">ndustrial y </w:t>
      </w:r>
      <w:r>
        <w:rPr>
          <w:rFonts w:ascii="Verdana" w:eastAsia="Calibri" w:hAnsi="Verdana" w:cs="Arial"/>
          <w:color w:val="000000" w:themeColor="text1"/>
          <w:lang w:val="es-ES_tradnl"/>
        </w:rPr>
        <w:t>c</w:t>
      </w:r>
      <w:r w:rsidRPr="008C6240">
        <w:rPr>
          <w:rFonts w:ascii="Verdana" w:eastAsia="Calibri" w:hAnsi="Verdana" w:cs="Arial"/>
          <w:color w:val="000000" w:themeColor="text1"/>
          <w:lang w:val="es-ES_tradnl"/>
        </w:rPr>
        <w:t>omercial del Estado</w:t>
      </w:r>
      <w:r>
        <w:rPr>
          <w:rFonts w:ascii="Verdana" w:eastAsia="Calibri" w:hAnsi="Verdana" w:cs="Arial"/>
          <w:color w:val="000000" w:themeColor="text1"/>
          <w:lang w:val="es-ES_tradnl"/>
        </w:rPr>
        <w:t xml:space="preserve"> -EICE- </w:t>
      </w:r>
      <w:r w:rsidRPr="00823F19">
        <w:rPr>
          <w:rFonts w:ascii="Verdana" w:eastAsia="Calibri" w:hAnsi="Verdana" w:cs="Arial"/>
          <w:lang w:eastAsia="es-ES"/>
        </w:rPr>
        <w:t xml:space="preserve">pues se trata de un acuerdo entre </w:t>
      </w:r>
      <w:r>
        <w:rPr>
          <w:rFonts w:ascii="Verdana" w:eastAsia="Calibri" w:hAnsi="Verdana" w:cs="Arial"/>
          <w:lang w:eastAsia="es-ES"/>
        </w:rPr>
        <w:t>e</w:t>
      </w:r>
      <w:r w:rsidRPr="00823F19">
        <w:rPr>
          <w:rFonts w:ascii="Verdana" w:eastAsia="Calibri" w:hAnsi="Verdana" w:cs="Arial"/>
          <w:lang w:eastAsia="es-ES"/>
        </w:rPr>
        <w:t>ntidades</w:t>
      </w:r>
      <w:r>
        <w:rPr>
          <w:rFonts w:ascii="Verdana" w:eastAsia="Calibri" w:hAnsi="Verdana" w:cs="Arial"/>
          <w:lang w:eastAsia="es-ES"/>
        </w:rPr>
        <w:t xml:space="preserve"> estatales</w:t>
      </w:r>
      <w:r w:rsidRPr="00823F19">
        <w:rPr>
          <w:rFonts w:ascii="Verdana" w:eastAsia="Calibri" w:hAnsi="Verdana" w:cs="Arial"/>
          <w:lang w:eastAsia="es-ES"/>
        </w:rPr>
        <w:t xml:space="preserve">, según la definición que al respecto estableció el artículo 2 de la </w:t>
      </w:r>
      <w:r w:rsidRPr="00823F19">
        <w:rPr>
          <w:rFonts w:ascii="Verdana" w:eastAsia="Calibri" w:hAnsi="Verdana" w:cs="Arial"/>
          <w:lang w:val="es-ES"/>
        </w:rPr>
        <w:t>Ley 80 de 1993</w:t>
      </w:r>
      <w:r>
        <w:rPr>
          <w:rStyle w:val="Refdenotaalpie"/>
          <w:rFonts w:ascii="Verdana" w:eastAsia="Calibri" w:hAnsi="Verdana" w:cs="Arial"/>
          <w:lang w:val="es-ES"/>
        </w:rPr>
        <w:footnoteReference w:id="6"/>
      </w:r>
      <w:r>
        <w:rPr>
          <w:rFonts w:ascii="Verdana" w:eastAsia="Calibri" w:hAnsi="Verdana" w:cs="Arial"/>
          <w:lang w:val="es-ES"/>
        </w:rPr>
        <w:t xml:space="preserve">, </w:t>
      </w:r>
      <w:r w:rsidRPr="53D7DD71">
        <w:rPr>
          <w:rFonts w:ascii="Verdana" w:eastAsia="Calibri" w:hAnsi="Verdana" w:cs="Arial"/>
          <w:color w:val="000000" w:themeColor="text1"/>
          <w:lang w:val="es-ES"/>
        </w:rPr>
        <w:t xml:space="preserve">siempre que del análisis jurídico, técnico y financiero se concluya que es viable su suscripción. </w:t>
      </w:r>
      <w:r>
        <w:rPr>
          <w:rFonts w:ascii="Verdana" w:eastAsia="Calibri" w:hAnsi="Verdana" w:cs="Arial"/>
          <w:color w:val="000000" w:themeColor="text1"/>
          <w:lang w:val="es-ES"/>
        </w:rPr>
        <w:t xml:space="preserve">Así, el </w:t>
      </w:r>
      <w:r w:rsidRPr="53D7DD71">
        <w:rPr>
          <w:rFonts w:ascii="Verdana" w:eastAsia="Calibri" w:hAnsi="Verdana" w:cs="Arial"/>
          <w:color w:val="000000" w:themeColor="text1"/>
          <w:lang w:val="es-ES"/>
        </w:rPr>
        <w:t xml:space="preserve">objeto de la entidad ejecutora del contrato, señalado en la ley o en sus reglamentos, debe permitir que cumpla las obligaciones y realice las actividades que se derivan del acuerdo de voluntades. Cuando las EICE actúen como ejecutoras, dicha capacidad deberá ser confirmada de acuerdo con lo establecido en el objeto social de la empresa. </w:t>
      </w:r>
    </w:p>
    <w:p w14:paraId="70F1D411" w14:textId="77777777" w:rsidR="00976832" w:rsidRPr="00FC41DD" w:rsidRDefault="00976832" w:rsidP="00976832">
      <w:pPr>
        <w:spacing w:after="120" w:line="276" w:lineRule="auto"/>
        <w:ind w:firstLine="709"/>
        <w:jc w:val="both"/>
        <w:rPr>
          <w:rFonts w:ascii="Verdana" w:hAnsi="Verdana" w:cs="Arial"/>
          <w:color w:val="000000" w:themeColor="text1"/>
          <w:lang w:val="es-ES"/>
        </w:rPr>
      </w:pPr>
      <w:r w:rsidRPr="3858C061">
        <w:rPr>
          <w:rFonts w:ascii="Verdana" w:hAnsi="Verdana" w:cs="Arial"/>
          <w:color w:val="000000" w:themeColor="text1"/>
          <w:lang w:val="es-ES"/>
        </w:rPr>
        <w:t xml:space="preserve">Adicionalmente, conforme al principio de autonomía de la voluntad del artículo 1602 del Código Civil, las entidades podrán incluir la administración delegada, bien como forma de mandato o como modalidad de administración de los recursos destinados a la obra. En efecto, 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w:t>
      </w:r>
      <w:r w:rsidRPr="3858C061">
        <w:rPr>
          <w:rFonts w:ascii="Verdana" w:hAnsi="Verdana" w:cs="Arial"/>
          <w:color w:val="000000" w:themeColor="text1"/>
          <w:lang w:val="es-ES"/>
        </w:rPr>
        <w:lastRenderedPageBreak/>
        <w:t>público y a los principios y finalidades de esta Ley y a los de la buena administración.</w:t>
      </w:r>
    </w:p>
    <w:p w14:paraId="086190C2" w14:textId="77777777" w:rsidR="00976832" w:rsidRDefault="00976832" w:rsidP="00976832">
      <w:pPr>
        <w:spacing w:after="120" w:line="276" w:lineRule="auto"/>
        <w:ind w:firstLine="709"/>
        <w:jc w:val="both"/>
        <w:rPr>
          <w:rFonts w:ascii="Verdana" w:hAnsi="Verdana" w:cs="Arial"/>
          <w:bCs/>
          <w:lang w:eastAsia="es-ES" w:bidi="es-ES"/>
        </w:rPr>
      </w:pPr>
      <w:r>
        <w:rPr>
          <w:rFonts w:ascii="Verdana" w:hAnsi="Verdana" w:cs="Arial"/>
          <w:color w:val="000000" w:themeColor="text1"/>
          <w:lang w:val="es-ES"/>
        </w:rPr>
        <w:t xml:space="preserve">Frente a la </w:t>
      </w:r>
      <w:r w:rsidRPr="008A3EDD">
        <w:rPr>
          <w:rFonts w:ascii="Verdana" w:hAnsi="Verdana" w:cs="Arial"/>
          <w:i/>
          <w:iCs/>
          <w:color w:val="000000" w:themeColor="text1"/>
          <w:lang w:val="es-ES"/>
        </w:rPr>
        <w:t>“administración delegada”</w:t>
      </w:r>
      <w:r>
        <w:rPr>
          <w:rFonts w:ascii="Verdana" w:hAnsi="Verdana" w:cs="Arial"/>
          <w:color w:val="000000" w:themeColor="text1"/>
          <w:lang w:val="es-ES"/>
        </w:rPr>
        <w:t xml:space="preserve"> vale anotar que, </w:t>
      </w:r>
      <w:r>
        <w:rPr>
          <w:rFonts w:ascii="Verdana" w:hAnsi="Verdana" w:cs="Arial"/>
          <w:bCs/>
          <w:lang w:val="es-ES_tradnl" w:eastAsia="es-ES" w:bidi="es-ES"/>
        </w:rPr>
        <w:t xml:space="preserve">tal como lo ha conceptuado anteriormente esta Agencia, </w:t>
      </w:r>
      <w:r w:rsidRPr="00F972A4">
        <w:rPr>
          <w:rFonts w:ascii="Verdana" w:hAnsi="Verdana" w:cs="Arial"/>
          <w:bCs/>
          <w:lang w:eastAsia="es-ES" w:bidi="es-ES"/>
        </w:rPr>
        <w:t>corresponde</w:t>
      </w:r>
      <w:r>
        <w:rPr>
          <w:rFonts w:ascii="Verdana" w:hAnsi="Verdana" w:cs="Arial"/>
          <w:bCs/>
          <w:lang w:eastAsia="es-ES" w:bidi="es-ES"/>
        </w:rPr>
        <w:t xml:space="preserve"> </w:t>
      </w:r>
      <w:r w:rsidRPr="00F972A4">
        <w:rPr>
          <w:rFonts w:ascii="Verdana" w:hAnsi="Verdana" w:cs="Arial"/>
          <w:bCs/>
          <w:lang w:eastAsia="es-ES" w:bidi="es-ES"/>
        </w:rPr>
        <w:t>a un contrato atípico que</w:t>
      </w:r>
      <w:r>
        <w:rPr>
          <w:rFonts w:ascii="Verdana" w:hAnsi="Verdana" w:cs="Arial"/>
          <w:bCs/>
          <w:lang w:eastAsia="es-ES" w:bidi="es-ES"/>
        </w:rPr>
        <w:t>,</w:t>
      </w:r>
      <w:r w:rsidRPr="00F972A4">
        <w:rPr>
          <w:rFonts w:ascii="Verdana" w:hAnsi="Verdana" w:cs="Arial"/>
          <w:bCs/>
          <w:lang w:eastAsia="es-ES" w:bidi="es-ES"/>
        </w:rPr>
        <w:t xml:space="preserve"> de acuerdo con la jurisprudencia del Consejo de Estado,</w:t>
      </w:r>
      <w:r>
        <w:rPr>
          <w:rFonts w:ascii="Verdana" w:hAnsi="Verdana" w:cs="Arial"/>
          <w:bCs/>
          <w:lang w:eastAsia="es-ES" w:bidi="es-ES"/>
        </w:rPr>
        <w:t xml:space="preserve"> puede ser entendido de dos formas</w:t>
      </w:r>
      <w:r w:rsidRPr="00F972A4">
        <w:rPr>
          <w:rFonts w:ascii="Verdana" w:hAnsi="Verdana" w:cs="Arial"/>
          <w:bCs/>
          <w:lang w:eastAsia="es-ES" w:bidi="es-ES"/>
        </w:rPr>
        <w:t xml:space="preserve">: </w:t>
      </w:r>
      <w:r>
        <w:rPr>
          <w:rFonts w:ascii="Verdana" w:hAnsi="Verdana" w:cs="Arial"/>
          <w:bCs/>
          <w:lang w:eastAsia="es-ES" w:bidi="es-ES"/>
        </w:rPr>
        <w:t>(</w:t>
      </w:r>
      <w:r w:rsidRPr="00F972A4">
        <w:rPr>
          <w:rFonts w:ascii="Verdana" w:hAnsi="Verdana" w:cs="Arial"/>
          <w:bCs/>
          <w:lang w:eastAsia="es-ES" w:bidi="es-ES"/>
        </w:rPr>
        <w:t xml:space="preserve">i) </w:t>
      </w:r>
      <w:r w:rsidRPr="002C3DAB">
        <w:rPr>
          <w:rFonts w:ascii="Verdana" w:hAnsi="Verdana" w:cs="Arial"/>
          <w:bCs/>
          <w:i/>
          <w:iCs/>
          <w:lang w:eastAsia="es-ES" w:bidi="es-ES"/>
        </w:rPr>
        <w:t>como un</w:t>
      </w:r>
      <w:r>
        <w:rPr>
          <w:rFonts w:ascii="Verdana" w:hAnsi="Verdana" w:cs="Arial"/>
          <w:bCs/>
          <w:i/>
          <w:iCs/>
          <w:lang w:eastAsia="es-ES" w:bidi="es-ES"/>
        </w:rPr>
        <w:t xml:space="preserve"> contrato de</w:t>
      </w:r>
      <w:r w:rsidRPr="002C3DAB">
        <w:rPr>
          <w:rFonts w:ascii="Verdana" w:hAnsi="Verdana" w:cs="Arial"/>
          <w:bCs/>
          <w:i/>
          <w:iCs/>
          <w:lang w:eastAsia="es-ES" w:bidi="es-ES"/>
        </w:rPr>
        <w:t xml:space="preserve"> mandato</w:t>
      </w:r>
      <w:r w:rsidRPr="00F972A4">
        <w:rPr>
          <w:rFonts w:ascii="Verdana" w:hAnsi="Verdana" w:cs="Arial"/>
          <w:bCs/>
          <w:lang w:eastAsia="es-ES" w:bidi="es-ES"/>
        </w:rPr>
        <w:t xml:space="preserve">,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r>
        <w:rPr>
          <w:rFonts w:ascii="Verdana" w:hAnsi="Verdana" w:cs="Arial"/>
          <w:bCs/>
          <w:lang w:eastAsia="es-ES" w:bidi="es-ES"/>
        </w:rPr>
        <w:t>(</w:t>
      </w:r>
      <w:proofErr w:type="spellStart"/>
      <w:r w:rsidRPr="00F972A4">
        <w:rPr>
          <w:rFonts w:ascii="Verdana" w:hAnsi="Verdana" w:cs="Arial"/>
          <w:bCs/>
          <w:lang w:eastAsia="es-ES" w:bidi="es-ES"/>
        </w:rPr>
        <w:t>ii</w:t>
      </w:r>
      <w:proofErr w:type="spellEnd"/>
      <w:r w:rsidRPr="00F972A4">
        <w:rPr>
          <w:rFonts w:ascii="Verdana" w:hAnsi="Verdana" w:cs="Arial"/>
          <w:bCs/>
          <w:lang w:eastAsia="es-ES" w:bidi="es-ES"/>
        </w:rPr>
        <w:t xml:space="preserve">) como una </w:t>
      </w:r>
      <w:r w:rsidRPr="002C3DAB">
        <w:rPr>
          <w:rFonts w:ascii="Verdana" w:hAnsi="Verdana" w:cs="Arial"/>
          <w:bCs/>
          <w:i/>
          <w:iCs/>
          <w:lang w:eastAsia="es-ES" w:bidi="es-ES"/>
        </w:rPr>
        <w:t>modalidad de administración y pago</w:t>
      </w:r>
      <w:r w:rsidRPr="00F972A4">
        <w:rPr>
          <w:rFonts w:ascii="Verdana" w:hAnsi="Verdana" w:cs="Arial"/>
          <w:bCs/>
          <w:lang w:eastAsia="es-ES" w:bidi="es-ES"/>
        </w:rPr>
        <w:t>, no necesariamente asociada al mandato.</w:t>
      </w:r>
    </w:p>
    <w:p w14:paraId="21FB0A44" w14:textId="77777777" w:rsidR="00976832" w:rsidRPr="003D4902" w:rsidRDefault="00976832" w:rsidP="00976832">
      <w:pPr>
        <w:spacing w:after="120" w:line="276" w:lineRule="auto"/>
        <w:ind w:firstLine="708"/>
        <w:jc w:val="both"/>
        <w:rPr>
          <w:rFonts w:ascii="Verdana" w:eastAsia="Arial" w:hAnsi="Verdana" w:cs="Arial"/>
          <w:lang w:val="es-ES"/>
        </w:rPr>
      </w:pPr>
      <w:r>
        <w:rPr>
          <w:rFonts w:ascii="Verdana" w:eastAsia="Calibri" w:hAnsi="Verdana" w:cs="Arial"/>
        </w:rPr>
        <w:t>La administración delegada asociada a un mandato implica que la entidad ejecutora realice todas las actividades necesarias para la ejecución del objeto convenido, por cuenta y riesgo del mandante. Se sigue entonces que la administración delegada puede requerir que el contratista adelante procesos de selección para subcontratar de actividades que sean necesarias para el cumplimiento del objeto del contrato.</w:t>
      </w:r>
      <w:r>
        <w:rPr>
          <w:rFonts w:ascii="Verdana" w:hAnsi="Verdana" w:cs="Arial"/>
          <w:bCs/>
        </w:rPr>
        <w:t xml:space="preserve"> Por otro lado, </w:t>
      </w:r>
      <w:r w:rsidRPr="003248CC">
        <w:rPr>
          <w:rFonts w:ascii="Verdana" w:eastAsia="Arial" w:hAnsi="Verdana" w:cs="Arial"/>
          <w:lang w:val="es-ES"/>
        </w:rPr>
        <w:t xml:space="preserve">la administración delegada </w:t>
      </w:r>
      <w:r>
        <w:rPr>
          <w:rFonts w:ascii="Verdana" w:eastAsia="Arial" w:hAnsi="Verdana" w:cs="Arial"/>
          <w:lang w:val="es-ES"/>
        </w:rPr>
        <w:t>c</w:t>
      </w:r>
      <w:r w:rsidRPr="003248CC">
        <w:rPr>
          <w:rFonts w:ascii="Verdana" w:eastAsia="Arial" w:hAnsi="Verdana" w:cs="Arial"/>
          <w:lang w:val="es-ES"/>
        </w:rPr>
        <w:t>omo un sistema de pago consistente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p>
    <w:p w14:paraId="36C5977D" w14:textId="77777777" w:rsidR="00976832" w:rsidRDefault="00976832" w:rsidP="00976832">
      <w:pPr>
        <w:tabs>
          <w:tab w:val="left" w:pos="0"/>
        </w:tabs>
        <w:spacing w:after="120" w:line="276" w:lineRule="auto"/>
        <w:ind w:firstLine="709"/>
        <w:jc w:val="both"/>
        <w:rPr>
          <w:rFonts w:ascii="Verdana" w:hAnsi="Verdana" w:cs="Arial"/>
          <w:color w:val="000000" w:themeColor="text1"/>
          <w:lang w:val="es-ES"/>
        </w:rPr>
      </w:pPr>
      <w:r w:rsidRPr="00962B5A">
        <w:rPr>
          <w:rFonts w:ascii="Verdana" w:hAnsi="Verdana" w:cs="Arial"/>
          <w:color w:val="000000" w:themeColor="text1"/>
          <w:lang w:val="es-ES"/>
        </w:rPr>
        <w:t xml:space="preserve">En consecuencia, </w:t>
      </w:r>
      <w:r>
        <w:rPr>
          <w:rFonts w:ascii="Verdana" w:hAnsi="Verdana" w:cs="Arial"/>
          <w:color w:val="000000" w:themeColor="text1"/>
          <w:lang w:val="es-ES"/>
        </w:rPr>
        <w:t xml:space="preserve">con fundamento en </w:t>
      </w:r>
      <w:r w:rsidRPr="00962B5A">
        <w:rPr>
          <w:rFonts w:ascii="Verdana" w:hAnsi="Verdana" w:cs="Arial"/>
          <w:color w:val="000000" w:themeColor="text1"/>
          <w:lang w:val="es-ES"/>
        </w:rPr>
        <w:t>el principio de autonomía de la voluntad de las partes, reconocido en los artículos 13, 32 y 40 de la Ley 80 de 1993, así como en el artículo 1602 del Código Civil, es viable que las Entidades Estatales celebren contratos</w:t>
      </w:r>
      <w:r>
        <w:rPr>
          <w:rFonts w:ascii="Verdana" w:hAnsi="Verdana" w:cs="Arial"/>
          <w:color w:val="000000" w:themeColor="text1"/>
          <w:lang w:val="es-ES"/>
        </w:rPr>
        <w:t xml:space="preserve"> </w:t>
      </w:r>
      <w:r w:rsidRPr="00962B5A">
        <w:rPr>
          <w:rFonts w:ascii="Verdana" w:hAnsi="Verdana" w:cs="Arial"/>
          <w:color w:val="000000" w:themeColor="text1"/>
          <w:lang w:val="es-ES"/>
        </w:rPr>
        <w:t xml:space="preserve">en los que se pacte la administración delegada de los recursos, como forma de administración o modalidad de pago, incluso con o sin representación. </w:t>
      </w:r>
      <w:r>
        <w:rPr>
          <w:rFonts w:ascii="Verdana" w:hAnsi="Verdana" w:cs="Arial"/>
          <w:color w:val="000000" w:themeColor="text1"/>
          <w:lang w:val="es-ES"/>
        </w:rPr>
        <w:t>De</w:t>
      </w:r>
      <w:r w:rsidRPr="00962B5A">
        <w:rPr>
          <w:rFonts w:ascii="Verdana" w:hAnsi="Verdana" w:cs="Arial"/>
          <w:color w:val="000000" w:themeColor="text1"/>
          <w:lang w:val="es-ES"/>
        </w:rPr>
        <w:t xml:space="preserve"> acuerdo con </w:t>
      </w:r>
      <w:r>
        <w:rPr>
          <w:rFonts w:ascii="Verdana" w:hAnsi="Verdana" w:cs="Arial"/>
          <w:color w:val="000000" w:themeColor="text1"/>
          <w:lang w:val="es-ES"/>
        </w:rPr>
        <w:t>ello</w:t>
      </w:r>
      <w:r w:rsidRPr="00962B5A">
        <w:rPr>
          <w:rFonts w:ascii="Verdana" w:hAnsi="Verdana" w:cs="Arial"/>
          <w:color w:val="000000" w:themeColor="text1"/>
          <w:lang w:val="es-ES"/>
        </w:rPr>
        <w:t xml:space="preserve">, si la </w:t>
      </w:r>
      <w:r>
        <w:rPr>
          <w:rFonts w:ascii="Verdana" w:hAnsi="Verdana" w:cs="Arial"/>
          <w:color w:val="000000" w:themeColor="text1"/>
          <w:lang w:val="es-ES"/>
        </w:rPr>
        <w:t>e</w:t>
      </w:r>
      <w:r w:rsidRPr="00962B5A">
        <w:rPr>
          <w:rFonts w:ascii="Verdana" w:hAnsi="Verdana" w:cs="Arial"/>
          <w:color w:val="000000" w:themeColor="text1"/>
          <w:lang w:val="es-ES"/>
        </w:rPr>
        <w:t xml:space="preserve">ntidad </w:t>
      </w:r>
      <w:r>
        <w:rPr>
          <w:rFonts w:ascii="Verdana" w:hAnsi="Verdana" w:cs="Arial"/>
          <w:color w:val="000000" w:themeColor="text1"/>
          <w:lang w:val="es-ES"/>
        </w:rPr>
        <w:t>e</w:t>
      </w:r>
      <w:r w:rsidRPr="00962B5A">
        <w:rPr>
          <w:rFonts w:ascii="Verdana" w:hAnsi="Verdana" w:cs="Arial"/>
          <w:color w:val="000000" w:themeColor="text1"/>
          <w:lang w:val="es-ES"/>
        </w:rPr>
        <w:t xml:space="preserve">statal requiere contratar con otra entidad pública, podrá celebrar un contrato interadministrativo, en el que se puede incluir la administración delegada, bien como forma de mandato o como modalidad de administración de los recursos de inversión de una obra o proyecto y de pago también de los honorarios. En todo caso, para la celebración de los contratos interadministrativos es indispensable que la entidad ejecutora cuente con un objeto que, de acuerdo con la ley o el reglamento, sea idóneo para la ejecución de la actividad contratada, y que la administración delegada </w:t>
      </w:r>
      <w:r w:rsidRPr="00962B5A">
        <w:rPr>
          <w:rFonts w:ascii="Verdana" w:hAnsi="Verdana" w:cs="Arial"/>
          <w:color w:val="000000" w:themeColor="text1"/>
          <w:lang w:val="es-ES"/>
        </w:rPr>
        <w:lastRenderedPageBreak/>
        <w:t>este definida o concertada en la ejecución de un objeto contractual específico, ya sea enmarcado en la ejecución de proyecto u obra.</w:t>
      </w:r>
    </w:p>
    <w:p w14:paraId="55516682" w14:textId="77777777" w:rsidR="00976832" w:rsidRPr="00962B5A" w:rsidRDefault="00976832" w:rsidP="00976832">
      <w:pPr>
        <w:tabs>
          <w:tab w:val="left" w:pos="0"/>
        </w:tabs>
        <w:spacing w:after="120" w:line="276" w:lineRule="auto"/>
        <w:ind w:firstLine="709"/>
        <w:jc w:val="both"/>
        <w:rPr>
          <w:rFonts w:ascii="Verdana" w:hAnsi="Verdana" w:cs="Arial"/>
          <w:color w:val="000000" w:themeColor="text1"/>
          <w:lang w:val="es-ES"/>
        </w:rPr>
      </w:pPr>
      <w:r>
        <w:rPr>
          <w:rFonts w:ascii="Verdana" w:hAnsi="Verdana" w:cs="Arial"/>
          <w:color w:val="000000" w:themeColor="text1"/>
          <w:lang w:val="es-ES"/>
        </w:rPr>
        <w:t xml:space="preserve">Por ello, aunque la relación contractual entre la entidad municipal y la EICE incluya </w:t>
      </w:r>
      <w:r w:rsidRPr="008C6240">
        <w:rPr>
          <w:rFonts w:ascii="Verdana" w:hAnsi="Verdana" w:cs="Arial"/>
          <w:color w:val="000000" w:themeColor="text1"/>
          <w:lang w:val="es-ES_tradnl"/>
        </w:rPr>
        <w:t>la administración delegada</w:t>
      </w:r>
      <w:r>
        <w:rPr>
          <w:rFonts w:ascii="Verdana" w:hAnsi="Verdana" w:cs="Arial"/>
          <w:color w:val="000000" w:themeColor="text1"/>
          <w:lang w:val="es-ES_tradnl"/>
        </w:rPr>
        <w:t xml:space="preserve">, esto </w:t>
      </w:r>
      <w:r w:rsidRPr="00557B65">
        <w:rPr>
          <w:rFonts w:ascii="Verdana" w:eastAsia="Arial" w:hAnsi="Verdana" w:cs="Arial"/>
          <w:bCs/>
          <w:lang w:eastAsia="es-ES" w:bidi="es-ES"/>
        </w:rPr>
        <w:t xml:space="preserve">no lo extrae de la naturaleza intrínseca de los convenios </w:t>
      </w:r>
      <w:r>
        <w:rPr>
          <w:rFonts w:ascii="Verdana" w:eastAsia="Arial" w:hAnsi="Verdana" w:cs="Arial"/>
          <w:bCs/>
          <w:lang w:eastAsia="es-ES" w:bidi="es-ES"/>
        </w:rPr>
        <w:t xml:space="preserve">o contratos </w:t>
      </w:r>
      <w:r w:rsidRPr="00557B65">
        <w:rPr>
          <w:rFonts w:ascii="Verdana" w:eastAsia="Arial" w:hAnsi="Verdana" w:cs="Arial"/>
          <w:bCs/>
          <w:lang w:eastAsia="es-ES" w:bidi="es-ES"/>
        </w:rPr>
        <w:t xml:space="preserve">celebrados entre las entidades públicas, pues, como se explicó, estos </w:t>
      </w:r>
      <w:r w:rsidRPr="00557B65">
        <w:rPr>
          <w:rFonts w:ascii="Verdana" w:eastAsia="Arial" w:hAnsi="Verdana" w:cs="Arial"/>
          <w:lang w:val="es-ES" w:eastAsia="es-ES" w:bidi="es-ES"/>
        </w:rPr>
        <w:t>están determinados por un criterio orgánico, en el que los extremos de la relación contractual sean entidades</w:t>
      </w:r>
      <w:r w:rsidRPr="00557B65">
        <w:rPr>
          <w:rFonts w:ascii="Verdana" w:eastAsia="Arial" w:hAnsi="Verdana" w:cs="Arial"/>
          <w:spacing w:val="-6"/>
          <w:lang w:val="es-ES" w:eastAsia="es-ES" w:bidi="es-ES"/>
        </w:rPr>
        <w:t xml:space="preserve"> </w:t>
      </w:r>
      <w:r w:rsidRPr="00557B65">
        <w:rPr>
          <w:rFonts w:ascii="Verdana" w:eastAsia="Arial" w:hAnsi="Verdana" w:cs="Arial"/>
          <w:lang w:val="es-ES" w:eastAsia="es-ES" w:bidi="es-ES"/>
        </w:rPr>
        <w:t>estatales</w:t>
      </w:r>
      <w:r>
        <w:rPr>
          <w:rFonts w:ascii="Verdana" w:eastAsia="Arial" w:hAnsi="Verdana" w:cs="Arial"/>
          <w:lang w:val="es-ES" w:eastAsia="es-ES" w:bidi="es-ES"/>
        </w:rPr>
        <w:t xml:space="preserve">, por lo que corresponden a contratos interadministrativos. </w:t>
      </w:r>
    </w:p>
    <w:p w14:paraId="2ED669BC" w14:textId="77777777" w:rsidR="00976832" w:rsidRDefault="00976832" w:rsidP="00976832">
      <w:pPr>
        <w:tabs>
          <w:tab w:val="left" w:pos="0"/>
        </w:tabs>
        <w:spacing w:after="120" w:line="276" w:lineRule="auto"/>
        <w:ind w:firstLine="709"/>
        <w:jc w:val="both"/>
        <w:rPr>
          <w:rFonts w:ascii="Verdana" w:hAnsi="Verdana" w:cs="Arial"/>
          <w:color w:val="000000" w:themeColor="text1"/>
          <w:lang w:val="es-ES_tradnl"/>
        </w:rPr>
      </w:pPr>
      <w:r>
        <w:rPr>
          <w:rFonts w:ascii="Verdana" w:hAnsi="Verdana" w:cs="Arial"/>
          <w:color w:val="000000" w:themeColor="text1"/>
          <w:lang w:val="es-ES_tradnl"/>
        </w:rPr>
        <w:t xml:space="preserve">En este sentido, al tratarse de contratos interadministrativos les resulta aplicable lo dispuesto en el artículo 56 de la Ley 2195 de 2022, cuando EICE les aplique un régimen contratación especial o de derecho privado. Lo anterior significa que </w:t>
      </w:r>
      <w:r w:rsidRPr="00202EAB">
        <w:rPr>
          <w:rFonts w:ascii="Verdana" w:eastAsia="Calibri" w:hAnsi="Verdana" w:cs="Arial"/>
          <w:bCs/>
          <w:lang w:eastAsia="es-ES_tradnl"/>
        </w:rPr>
        <w:t>s</w:t>
      </w:r>
      <w:r>
        <w:rPr>
          <w:rFonts w:ascii="Verdana" w:eastAsia="Calibri" w:hAnsi="Verdana" w:cs="Arial"/>
          <w:bCs/>
          <w:lang w:eastAsia="es-ES_tradnl"/>
        </w:rPr>
        <w:t>i se</w:t>
      </w:r>
      <w:r w:rsidRPr="00202EAB">
        <w:rPr>
          <w:rFonts w:ascii="Verdana" w:eastAsia="Calibri" w:hAnsi="Verdana" w:cs="Arial"/>
          <w:bCs/>
          <w:lang w:eastAsia="es-ES_tradnl"/>
        </w:rPr>
        <w:t xml:space="preserve"> celebr</w:t>
      </w:r>
      <w:r>
        <w:rPr>
          <w:rFonts w:ascii="Verdana" w:eastAsia="Calibri" w:hAnsi="Verdana" w:cs="Arial"/>
          <w:bCs/>
          <w:lang w:eastAsia="es-ES_tradnl"/>
        </w:rPr>
        <w:t>a</w:t>
      </w:r>
      <w:r w:rsidRPr="00202EAB">
        <w:rPr>
          <w:rFonts w:ascii="Verdana" w:eastAsia="Calibri" w:hAnsi="Verdana" w:cs="Arial"/>
          <w:bCs/>
          <w:lang w:eastAsia="es-ES_tradnl"/>
        </w:rPr>
        <w:t xml:space="preserve"> un contrato</w:t>
      </w:r>
      <w:r>
        <w:rPr>
          <w:rFonts w:ascii="Verdana" w:eastAsia="Calibri" w:hAnsi="Verdana" w:cs="Arial"/>
          <w:bCs/>
          <w:lang w:eastAsia="es-ES_tradnl"/>
        </w:rPr>
        <w:t xml:space="preserve"> </w:t>
      </w:r>
      <w:r w:rsidRPr="00202EAB">
        <w:rPr>
          <w:rFonts w:ascii="Verdana" w:eastAsia="Calibri" w:hAnsi="Verdana" w:cs="Arial"/>
          <w:bCs/>
          <w:lang w:eastAsia="es-ES_tradnl"/>
        </w:rPr>
        <w:t xml:space="preserve">interadministrativo </w:t>
      </w:r>
      <w:r>
        <w:rPr>
          <w:rFonts w:ascii="Verdana" w:eastAsia="Calibri" w:hAnsi="Verdana" w:cs="Arial"/>
          <w:bCs/>
          <w:lang w:eastAsia="es-ES_tradnl"/>
        </w:rPr>
        <w:t xml:space="preserve">de administración delegada entre una entidad sometida al EGCAP y una empresa industrial y comercial del Estado con régimen especial, </w:t>
      </w:r>
      <w:r w:rsidRPr="00202EAB">
        <w:rPr>
          <w:rFonts w:ascii="Verdana" w:eastAsia="Calibri" w:hAnsi="Verdana" w:cs="Arial"/>
          <w:bCs/>
          <w:lang w:eastAsia="es-ES_tradnl"/>
        </w:rPr>
        <w:t>del cual se derive la ejecución de objetos contractuales incluidos dentro del ámbito de aplicación de los documentos tipo, su celebración deberá realizarse haciendo uso obligatorio de dichos documentos</w:t>
      </w:r>
      <w:r w:rsidRPr="007C52C9">
        <w:rPr>
          <w:rFonts w:ascii="Arial" w:eastAsia="Calibri" w:hAnsi="Arial" w:cs="Arial"/>
          <w:bCs/>
          <w:lang w:val="es-ES_tradnl"/>
        </w:rPr>
        <w:t xml:space="preserve"> </w:t>
      </w:r>
      <w:r w:rsidRPr="007C52C9">
        <w:rPr>
          <w:rFonts w:ascii="Verdana" w:eastAsia="Calibri" w:hAnsi="Verdana" w:cs="Arial"/>
          <w:bCs/>
          <w:lang w:val="es-ES_tradnl"/>
        </w:rPr>
        <w:t>siempre que exista documento</w:t>
      </w:r>
      <w:r>
        <w:rPr>
          <w:rFonts w:ascii="Verdana" w:eastAsia="Calibri" w:hAnsi="Verdana" w:cs="Arial"/>
          <w:bCs/>
          <w:lang w:val="es-ES_tradnl"/>
        </w:rPr>
        <w:t>s</w:t>
      </w:r>
      <w:r w:rsidRPr="007C52C9">
        <w:rPr>
          <w:rFonts w:ascii="Verdana" w:eastAsia="Calibri" w:hAnsi="Verdana" w:cs="Arial"/>
          <w:bCs/>
          <w:lang w:val="es-ES_tradnl"/>
        </w:rPr>
        <w:t xml:space="preserve"> tipo aplicable</w:t>
      </w:r>
      <w:r>
        <w:rPr>
          <w:rFonts w:ascii="Verdana" w:eastAsia="Calibri" w:hAnsi="Verdana" w:cs="Arial"/>
          <w:bCs/>
          <w:lang w:val="es-ES_tradnl"/>
        </w:rPr>
        <w:t>s</w:t>
      </w:r>
      <w:r w:rsidRPr="007C52C9">
        <w:rPr>
          <w:rFonts w:ascii="Verdana" w:eastAsia="Calibri" w:hAnsi="Verdana" w:cs="Arial"/>
          <w:bCs/>
          <w:lang w:val="es-ES_tradnl"/>
        </w:rPr>
        <w:t xml:space="preserve"> al objeto contractual que se planea contratar.</w:t>
      </w:r>
    </w:p>
    <w:p w14:paraId="72A32956" w14:textId="77777777" w:rsidR="00976832" w:rsidRDefault="00976832" w:rsidP="00976832">
      <w:pPr>
        <w:tabs>
          <w:tab w:val="left" w:pos="0"/>
        </w:tabs>
        <w:spacing w:after="120" w:line="276" w:lineRule="auto"/>
        <w:jc w:val="both"/>
        <w:rPr>
          <w:rFonts w:ascii="Verdana" w:eastAsia="Calibri" w:hAnsi="Verdana" w:cs="Arial"/>
          <w:bCs/>
          <w:color w:val="000000"/>
          <w:lang w:val="es-ES_tradnl" w:eastAsia="es-ES_tradnl"/>
        </w:rPr>
      </w:pPr>
      <w:proofErr w:type="spellStart"/>
      <w:r>
        <w:rPr>
          <w:rFonts w:ascii="Verdana" w:eastAsia="Calibri" w:hAnsi="Verdana" w:cs="Arial"/>
          <w:bCs/>
          <w:lang w:val="es-ES_tradnl" w:eastAsia="es-ES_tradnl"/>
        </w:rPr>
        <w:t>iv</w:t>
      </w:r>
      <w:proofErr w:type="spellEnd"/>
      <w:r>
        <w:rPr>
          <w:rFonts w:ascii="Verdana" w:eastAsia="Calibri" w:hAnsi="Verdana" w:cs="Arial"/>
          <w:bCs/>
          <w:lang w:val="es-ES_tradnl" w:eastAsia="es-ES_tradnl"/>
        </w:rPr>
        <w:t>. Sin perjuicio de lo anterior</w:t>
      </w:r>
      <w:r w:rsidRPr="00D20014">
        <w:rPr>
          <w:rFonts w:ascii="Verdana" w:eastAsia="Times New Roman" w:hAnsi="Verdana" w:cs="Arial"/>
          <w:lang w:eastAsia="es-ES_tradnl"/>
        </w:rPr>
        <w:t xml:space="preserve">, </w:t>
      </w:r>
      <w:r w:rsidRPr="00D20014">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D20014">
        <w:rPr>
          <w:rFonts w:ascii="Verdana" w:eastAsia="Calibri" w:hAnsi="Verdana" w:cs="Arial"/>
          <w:bCs/>
          <w:i/>
          <w:iCs/>
          <w:lang w:val="es-ES_tradnl" w:eastAsia="es-ES_tradnl"/>
        </w:rPr>
        <w:t>giro ordinario</w:t>
      </w:r>
      <w:r w:rsidRPr="00D20014">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D20014">
        <w:rPr>
          <w:rFonts w:ascii="Verdana" w:eastAsia="Calibri" w:hAnsi="Verdana" w:cs="Arial"/>
          <w:bCs/>
          <w:lang w:val="es-ES_tradnl" w:eastAsia="es-ES_tradnl"/>
        </w:rPr>
        <w:t>ii</w:t>
      </w:r>
      <w:proofErr w:type="spellEnd"/>
      <w:r w:rsidRPr="00D20014">
        <w:rPr>
          <w:rFonts w:ascii="Verdana" w:eastAsia="Calibri" w:hAnsi="Verdana" w:cs="Arial"/>
          <w:bCs/>
          <w:lang w:val="es-ES_tradnl" w:eastAsia="es-ES_tradnl"/>
        </w:rPr>
        <w:t xml:space="preserve">) las </w:t>
      </w:r>
      <w:r w:rsidRPr="00D20014">
        <w:rPr>
          <w:rFonts w:ascii="Verdana" w:eastAsia="Calibri" w:hAnsi="Verdana" w:cs="Arial"/>
          <w:bCs/>
          <w:i/>
          <w:iCs/>
          <w:lang w:val="es-ES_tradnl" w:eastAsia="es-ES_tradnl"/>
        </w:rPr>
        <w:t>empresas sociales del Estado</w:t>
      </w:r>
      <w:r w:rsidRPr="00D20014">
        <w:rPr>
          <w:rFonts w:ascii="Verdana" w:eastAsia="Calibri" w:hAnsi="Verdana" w:cs="Arial"/>
          <w:bCs/>
          <w:lang w:val="es-ES_tradnl" w:eastAsia="es-ES_tradnl"/>
        </w:rPr>
        <w:t xml:space="preserve">, </w:t>
      </w:r>
      <w:proofErr w:type="spellStart"/>
      <w:r w:rsidRPr="00D20014">
        <w:rPr>
          <w:rFonts w:ascii="Verdana" w:eastAsia="Calibri" w:hAnsi="Verdana" w:cs="Arial"/>
          <w:bCs/>
          <w:lang w:val="es-ES_tradnl" w:eastAsia="es-ES_tradnl"/>
        </w:rPr>
        <w:t>iii</w:t>
      </w:r>
      <w:proofErr w:type="spellEnd"/>
      <w:r w:rsidRPr="00D20014">
        <w:rPr>
          <w:rFonts w:ascii="Verdana" w:eastAsia="Calibri" w:hAnsi="Verdana" w:cs="Arial"/>
          <w:bCs/>
          <w:lang w:val="es-ES_tradnl" w:eastAsia="es-ES_tradnl"/>
        </w:rPr>
        <w:t xml:space="preserve">) las sociedades de economía mixta y </w:t>
      </w:r>
      <w:proofErr w:type="spellStart"/>
      <w:r w:rsidRPr="00D20014">
        <w:rPr>
          <w:rFonts w:ascii="Verdana" w:eastAsia="Calibri" w:hAnsi="Verdana" w:cs="Arial"/>
          <w:bCs/>
          <w:lang w:val="es-ES_tradnl" w:eastAsia="es-ES_tradnl"/>
        </w:rPr>
        <w:t>iv</w:t>
      </w:r>
      <w:proofErr w:type="spellEnd"/>
      <w:r w:rsidRPr="00D20014">
        <w:rPr>
          <w:rFonts w:ascii="Verdana" w:eastAsia="Calibri" w:hAnsi="Verdana" w:cs="Arial"/>
          <w:bCs/>
          <w:lang w:val="es-ES_tradnl" w:eastAsia="es-ES_tradnl"/>
        </w:rPr>
        <w:t xml:space="preserve">) las empresas industriales y comerciales del Estado, únicamente, en la contratación relacionada con el </w:t>
      </w:r>
      <w:r w:rsidRPr="00D20014">
        <w:rPr>
          <w:rFonts w:ascii="Verdana" w:eastAsia="Calibri" w:hAnsi="Verdana" w:cs="Arial"/>
          <w:bCs/>
          <w:i/>
          <w:iCs/>
          <w:lang w:val="es-ES_tradnl" w:eastAsia="es-ES_tradnl"/>
        </w:rPr>
        <w:t>giro ordinario.</w:t>
      </w:r>
      <w:r w:rsidRPr="00D20014">
        <w:rPr>
          <w:rFonts w:ascii="Verdana" w:eastAsia="Calibri" w:hAnsi="Verdana" w:cs="Arial"/>
          <w:bCs/>
          <w:lang w:val="es-ES_tradnl" w:eastAsia="es-ES_tradnl"/>
        </w:rPr>
        <w:t xml:space="preserve"> Esto significa que, en la contratación asociada a su </w:t>
      </w:r>
      <w:r w:rsidRPr="00D20014">
        <w:rPr>
          <w:rFonts w:ascii="Verdana" w:eastAsia="Calibri" w:hAnsi="Verdana" w:cs="Arial"/>
          <w:bCs/>
          <w:i/>
          <w:iCs/>
          <w:lang w:val="es-ES_tradnl" w:eastAsia="es-ES_tradnl"/>
        </w:rPr>
        <w:t xml:space="preserve">giro ordinario, </w:t>
      </w:r>
      <w:r w:rsidRPr="00D20014">
        <w:rPr>
          <w:rFonts w:ascii="Verdana" w:eastAsia="Calibri" w:hAnsi="Verdana" w:cs="Arial"/>
          <w:bCs/>
          <w:lang w:val="es-ES_tradnl" w:eastAsia="es-ES_tradnl"/>
        </w:rPr>
        <w:t>estos tipos de entidades no tendrían que aplicar, de manera obligatoria, los Documentos Tipo, ni tampoco el EGCAP.</w:t>
      </w:r>
      <w:r w:rsidRPr="00D20014">
        <w:rPr>
          <w:rFonts w:ascii="Verdana" w:eastAsia="Times New Roman" w:hAnsi="Verdana" w:cs="Arial"/>
          <w:lang w:eastAsia="es-ES_tradnl"/>
        </w:rPr>
        <w:t xml:space="preserve"> </w:t>
      </w:r>
      <w:r>
        <w:rPr>
          <w:rFonts w:ascii="Verdana" w:eastAsia="Calibri" w:hAnsi="Verdana" w:cs="Arial"/>
          <w:bCs/>
          <w:lang w:val="es-ES_tradnl" w:eastAsia="es-ES_tradnl"/>
        </w:rPr>
        <w:t>En este caso</w:t>
      </w:r>
      <w:r w:rsidRPr="00D20014">
        <w:rPr>
          <w:rFonts w:ascii="Verdana" w:eastAsia="Calibri" w:hAnsi="Verdana" w:cs="Arial"/>
          <w:bCs/>
          <w:lang w:val="es-ES_tradnl" w:eastAsia="es-ES_tradnl"/>
        </w:rPr>
        <w:t>, la norma se limita a fomentar la implementación de Documentos Tipo a modo de buena práctica contractual, en los casos en los que se estime conveniente.</w:t>
      </w:r>
      <w:r w:rsidRPr="00D20014">
        <w:rPr>
          <w:rFonts w:ascii="Verdana" w:eastAsia="Calibri" w:hAnsi="Verdana" w:cs="Arial"/>
          <w:bCs/>
          <w:color w:val="000000"/>
          <w:lang w:val="es-ES_tradnl" w:eastAsia="es-ES_tradnl"/>
        </w:rPr>
        <w:t xml:space="preserve"> </w:t>
      </w:r>
    </w:p>
    <w:p w14:paraId="7875B27D" w14:textId="77777777" w:rsidR="00976832" w:rsidRPr="00D20014" w:rsidRDefault="00976832" w:rsidP="00976832">
      <w:pPr>
        <w:tabs>
          <w:tab w:val="left" w:pos="0"/>
        </w:tabs>
        <w:spacing w:after="120" w:line="276" w:lineRule="auto"/>
        <w:ind w:firstLine="709"/>
        <w:jc w:val="both"/>
        <w:rPr>
          <w:rFonts w:ascii="Verdana" w:eastAsia="Arial" w:hAnsi="Verdana" w:cs="Arial"/>
          <w:lang w:val="es-ES_tradnl" w:eastAsia="es-ES_tradnl"/>
        </w:rPr>
      </w:pPr>
      <w:r w:rsidRPr="00D20014">
        <w:rPr>
          <w:rFonts w:ascii="Verdana" w:eastAsia="Calibri" w:hAnsi="Verdana" w:cs="Arial"/>
          <w:bCs/>
          <w:lang w:val="es-ES_tradnl" w:eastAsia="es-ES_tradnl"/>
        </w:rPr>
        <w:t xml:space="preserve">Es importante tener en cuenta que cuando la norma se refiere a la contratación del </w:t>
      </w:r>
      <w:r w:rsidRPr="00D20014">
        <w:rPr>
          <w:rFonts w:ascii="Verdana" w:eastAsia="Calibri" w:hAnsi="Verdana" w:cs="Arial"/>
          <w:bCs/>
          <w:i/>
          <w:iCs/>
          <w:lang w:val="es-ES_tradnl" w:eastAsia="es-ES_tradnl"/>
        </w:rPr>
        <w:t>giro ordinario</w:t>
      </w:r>
      <w:r w:rsidRPr="00D20014">
        <w:rPr>
          <w:rFonts w:ascii="Verdana" w:eastAsia="Calibri" w:hAnsi="Verdana" w:cs="Arial"/>
          <w:bCs/>
          <w:lang w:val="es-ES_tradnl" w:eastAsia="es-ES_tradnl"/>
        </w:rPr>
        <w:t>, emplea un concepto jurídico indeterminado</w:t>
      </w:r>
      <w:r w:rsidRPr="00D20014">
        <w:rPr>
          <w:rFonts w:ascii="Verdana" w:eastAsia="Calibri" w:hAnsi="Verdana" w:cs="Arial"/>
          <w:vertAlign w:val="superscript"/>
          <w:lang w:eastAsia="es-ES_tradnl"/>
        </w:rPr>
        <w:footnoteReference w:id="7"/>
      </w:r>
      <w:r w:rsidRPr="00D20014">
        <w:rPr>
          <w:rFonts w:ascii="Verdana" w:eastAsia="Calibri" w:hAnsi="Verdana" w:cs="Arial"/>
          <w:bCs/>
          <w:lang w:val="es-ES_tradnl" w:eastAsia="es-ES_tradnl"/>
        </w:rPr>
        <w:t xml:space="preserve">. </w:t>
      </w:r>
      <w:r w:rsidRPr="00D20014">
        <w:rPr>
          <w:rFonts w:ascii="Verdana" w:eastAsia="Arial" w:hAnsi="Verdana" w:cs="Arial"/>
          <w:lang w:val="es-ES_tradnl" w:eastAsia="es-ES_tradnl"/>
        </w:rPr>
        <w:t xml:space="preserve">Un </w:t>
      </w:r>
      <w:r w:rsidRPr="00D20014">
        <w:rPr>
          <w:rFonts w:ascii="Verdana" w:eastAsia="Arial" w:hAnsi="Verdana" w:cs="Arial"/>
          <w:lang w:val="es-ES_tradnl" w:eastAsia="es-ES_tradnl"/>
        </w:rPr>
        <w:lastRenderedPageBreak/>
        <w:t xml:space="preserve">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D20014">
        <w:rPr>
          <w:rFonts w:ascii="Verdana" w:eastAsia="Arial" w:hAnsi="Verdana" w:cs="Arial"/>
          <w:i/>
          <w:iCs/>
          <w:lang w:val="es-ES_tradnl" w:eastAsia="es-ES_tradnl"/>
        </w:rPr>
        <w:t>giro ordinario</w:t>
      </w:r>
      <w:r w:rsidRPr="00D20014">
        <w:rPr>
          <w:rFonts w:ascii="Verdana" w:eastAsia="Arial" w:hAnsi="Verdana" w:cs="Arial"/>
          <w:lang w:val="es-ES_tradnl" w:eastAsia="es-ES_tradnl"/>
        </w:rPr>
        <w:t xml:space="preserve"> de sus negocios. </w:t>
      </w:r>
    </w:p>
    <w:p w14:paraId="564D5521" w14:textId="77777777" w:rsidR="00976832" w:rsidRPr="00D20014" w:rsidRDefault="00976832" w:rsidP="00976832">
      <w:pPr>
        <w:tabs>
          <w:tab w:val="left" w:pos="0"/>
        </w:tabs>
        <w:spacing w:after="120" w:line="276" w:lineRule="auto"/>
        <w:ind w:firstLine="709"/>
        <w:jc w:val="both"/>
        <w:rPr>
          <w:rFonts w:ascii="Verdana" w:eastAsia="Calibri" w:hAnsi="Verdana" w:cs="Arial"/>
          <w:bCs/>
          <w:lang w:val="es-ES_tradnl" w:eastAsia="es-ES_tradnl"/>
        </w:rPr>
      </w:pPr>
      <w:r w:rsidRPr="00D20014">
        <w:rPr>
          <w:rFonts w:ascii="Verdana" w:eastAsia="Arial" w:hAnsi="Verdana" w:cs="Arial"/>
          <w:lang w:val="es-ES_tradnl" w:eastAsia="es-ES_tradnl"/>
        </w:rPr>
        <w:t>La Corte Constitucional</w:t>
      </w:r>
      <w:r w:rsidRPr="00D20014">
        <w:rPr>
          <w:rFonts w:ascii="Verdana" w:eastAsia="Arial" w:hAnsi="Verdana" w:cs="Arial"/>
          <w:vertAlign w:val="superscript"/>
          <w:lang w:eastAsia="es-ES_tradnl"/>
        </w:rPr>
        <w:footnoteReference w:id="8"/>
      </w:r>
      <w:r w:rsidRPr="00D20014">
        <w:rPr>
          <w:rFonts w:ascii="Verdana" w:eastAsia="Arial" w:hAnsi="Verdana"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D20014">
        <w:rPr>
          <w:rFonts w:ascii="Verdana" w:eastAsia="Calibri" w:hAnsi="Verdana" w:cs="Arial"/>
          <w:bCs/>
          <w:lang w:val="es-ES_tradnl" w:eastAsia="es-ES_tradnl"/>
        </w:rPr>
        <w:t xml:space="preserve"> </w:t>
      </w:r>
    </w:p>
    <w:p w14:paraId="6FC7A63B" w14:textId="77777777" w:rsidR="00976832" w:rsidRPr="00D20014" w:rsidRDefault="00976832" w:rsidP="00976832">
      <w:pPr>
        <w:tabs>
          <w:tab w:val="left" w:pos="0"/>
        </w:tabs>
        <w:spacing w:after="0" w:line="276" w:lineRule="auto"/>
        <w:ind w:firstLine="709"/>
        <w:jc w:val="both"/>
        <w:rPr>
          <w:rFonts w:ascii="Verdana" w:eastAsia="Calibri" w:hAnsi="Verdana" w:cs="Arial"/>
          <w:bCs/>
          <w:lang w:val="es-ES_tradnl" w:eastAsia="es-ES_tradnl"/>
        </w:rPr>
      </w:pPr>
      <w:r w:rsidRPr="00D20014">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D20014">
        <w:rPr>
          <w:rFonts w:ascii="Verdana" w:eastAsia="Calibri" w:hAnsi="Verdana" w:cs="Arial"/>
          <w:bCs/>
          <w:i/>
          <w:iCs/>
          <w:lang w:val="es-ES_tradnl" w:eastAsia="es-ES_tradnl"/>
        </w:rPr>
        <w:t xml:space="preserve">giro ordinario </w:t>
      </w:r>
      <w:r w:rsidRPr="00D20014">
        <w:rPr>
          <w:rFonts w:ascii="Verdana" w:eastAsia="Calibri" w:hAnsi="Verdana" w:cs="Arial"/>
          <w:bCs/>
          <w:lang w:val="es-ES_tradnl" w:eastAsia="es-ES_tradnl"/>
        </w:rPr>
        <w:t>incluida en la redacción original del parágrafo 1° del artículo 32 de la Ley 80 de 1993</w:t>
      </w:r>
      <w:r w:rsidRPr="00D20014">
        <w:rPr>
          <w:rFonts w:ascii="Verdana" w:eastAsia="Calibri" w:hAnsi="Verdana" w:cs="Arial"/>
          <w:vertAlign w:val="superscript"/>
          <w:lang w:eastAsia="es-ES_tradnl"/>
        </w:rPr>
        <w:footnoteReference w:id="9"/>
      </w:r>
      <w:r w:rsidRPr="00D20014">
        <w:rPr>
          <w:rFonts w:ascii="Verdana" w:eastAsia="Calibri" w:hAnsi="Verdana" w:cs="Arial"/>
          <w:bCs/>
          <w:lang w:val="es-ES_tradnl" w:eastAsia="es-ES_tradnl"/>
        </w:rPr>
        <w:t xml:space="preserve">, la Sección Tercera manifestó lo siguiente: </w:t>
      </w:r>
    </w:p>
    <w:p w14:paraId="59411E11" w14:textId="77777777" w:rsidR="00976832" w:rsidRPr="00D20014" w:rsidRDefault="00976832" w:rsidP="00976832">
      <w:pPr>
        <w:tabs>
          <w:tab w:val="left" w:pos="0"/>
        </w:tabs>
        <w:spacing w:after="0" w:line="276" w:lineRule="auto"/>
        <w:jc w:val="both"/>
        <w:rPr>
          <w:rFonts w:ascii="Verdana" w:eastAsia="Calibri" w:hAnsi="Verdana" w:cs="Arial"/>
          <w:bCs/>
          <w:lang w:val="es-ES_tradnl" w:eastAsia="es-ES_tradnl"/>
        </w:rPr>
      </w:pPr>
    </w:p>
    <w:p w14:paraId="322B5D1A" w14:textId="77777777" w:rsidR="00976832" w:rsidRPr="00D20014" w:rsidRDefault="00976832" w:rsidP="00976832">
      <w:pPr>
        <w:spacing w:after="0" w:line="240" w:lineRule="auto"/>
        <w:ind w:left="709" w:right="709"/>
        <w:jc w:val="both"/>
        <w:rPr>
          <w:rFonts w:ascii="Verdana" w:eastAsia="Times New Roman" w:hAnsi="Verdana" w:cs="Arial"/>
          <w:sz w:val="20"/>
          <w:szCs w:val="20"/>
          <w:lang w:val="es-ES_tradnl" w:eastAsia="es-CO"/>
        </w:rPr>
      </w:pPr>
      <w:r w:rsidRPr="00D20014">
        <w:rPr>
          <w:rFonts w:ascii="Verdana" w:eastAsia="Times New Roman" w:hAnsi="Verdana" w:cs="Arial"/>
          <w:sz w:val="20"/>
          <w:szCs w:val="20"/>
          <w:lang w:val="es-ES_tradnl" w:eastAsia="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D20014">
        <w:rPr>
          <w:rFonts w:ascii="Verdana" w:eastAsia="Times New Roman" w:hAnsi="Verdana" w:cs="Arial"/>
          <w:sz w:val="20"/>
          <w:szCs w:val="20"/>
          <w:vertAlign w:val="superscript"/>
          <w:lang w:eastAsia="es-ES_tradnl"/>
        </w:rPr>
        <w:footnoteReference w:id="10"/>
      </w:r>
      <w:r w:rsidRPr="00D20014">
        <w:rPr>
          <w:rFonts w:ascii="Verdana" w:eastAsia="Times New Roman" w:hAnsi="Verdana" w:cs="Arial"/>
          <w:sz w:val="20"/>
          <w:szCs w:val="20"/>
          <w:lang w:val="es-ES_tradnl" w:eastAsia="es-ES_tradnl"/>
        </w:rPr>
        <w:t>.</w:t>
      </w:r>
    </w:p>
    <w:p w14:paraId="449F69A4" w14:textId="77777777" w:rsidR="00976832" w:rsidRPr="00D20014" w:rsidRDefault="00976832" w:rsidP="00976832">
      <w:pPr>
        <w:tabs>
          <w:tab w:val="left" w:pos="0"/>
        </w:tabs>
        <w:spacing w:after="0" w:line="276" w:lineRule="auto"/>
        <w:jc w:val="both"/>
        <w:rPr>
          <w:rFonts w:ascii="Verdana" w:eastAsia="Calibri" w:hAnsi="Verdana" w:cs="Arial"/>
          <w:bCs/>
          <w:i/>
          <w:iCs/>
          <w:lang w:val="es-ES_tradnl" w:eastAsia="es-ES_tradnl"/>
        </w:rPr>
      </w:pPr>
    </w:p>
    <w:p w14:paraId="32A47F16" w14:textId="77777777" w:rsidR="00976832" w:rsidRPr="00D20014" w:rsidRDefault="00976832" w:rsidP="00976832">
      <w:pPr>
        <w:tabs>
          <w:tab w:val="left" w:pos="0"/>
        </w:tabs>
        <w:spacing w:after="120" w:line="276" w:lineRule="auto"/>
        <w:jc w:val="both"/>
        <w:rPr>
          <w:rFonts w:ascii="Verdana" w:eastAsia="Calibri" w:hAnsi="Verdana" w:cs="Arial"/>
          <w:bCs/>
          <w:lang w:val="es-ES_tradnl" w:eastAsia="es-ES_tradnl"/>
        </w:rPr>
      </w:pPr>
      <w:r w:rsidRPr="00D20014">
        <w:rPr>
          <w:rFonts w:ascii="Verdana" w:eastAsia="Calibri" w:hAnsi="Verdana" w:cs="Arial"/>
          <w:bCs/>
          <w:lang w:val="es-ES_tradnl" w:eastAsia="es-ES_tradnl"/>
        </w:rPr>
        <w:lastRenderedPageBreak/>
        <w:tab/>
        <w:t xml:space="preserve">En el mismo sentido se pronunció recientemente el Alto Tribunal de lo Contencioso Administrativo, reiterando las anteriores consideraciones, al expresar que el concepto de </w:t>
      </w:r>
      <w:r w:rsidRPr="00D20014">
        <w:rPr>
          <w:rFonts w:ascii="Verdana" w:eastAsia="Calibri" w:hAnsi="Verdana" w:cs="Arial"/>
          <w:i/>
          <w:lang w:val="es-ES_tradnl" w:eastAsia="es-ES_tradnl"/>
        </w:rPr>
        <w:t xml:space="preserve">“giro ordinario de los negocios” </w:t>
      </w:r>
      <w:r w:rsidRPr="00D20014">
        <w:rPr>
          <w:rFonts w:ascii="Verdana" w:eastAsia="Calibri" w:hAnsi="Verdana" w:cs="Arial"/>
          <w:bCs/>
          <w:lang w:val="es-ES_tradnl" w:eastAsia="es-ES_tradnl"/>
        </w:rPr>
        <w:t>se refiere a aquellas actividades compatibles con el objeto social, funciones previstas en la ley, o en las normas de creación y en sus estatutos internos de las personas</w:t>
      </w:r>
      <w:r w:rsidRPr="00D20014">
        <w:rPr>
          <w:rFonts w:ascii="Verdana" w:eastAsia="Calibri" w:hAnsi="Verdana" w:cs="Arial"/>
          <w:vertAlign w:val="superscript"/>
          <w:lang w:eastAsia="es-ES_tradnl"/>
        </w:rPr>
        <w:footnoteReference w:id="11"/>
      </w:r>
      <w:r w:rsidRPr="00D20014">
        <w:rPr>
          <w:rFonts w:ascii="Verdana" w:eastAsia="Calibri" w:hAnsi="Verdana" w:cs="Arial"/>
          <w:bCs/>
          <w:lang w:val="es-ES_tradnl" w:eastAsia="es-ES_tradnl"/>
        </w:rPr>
        <w:t xml:space="preserve"> y la doctrina societaria</w:t>
      </w:r>
      <w:r w:rsidRPr="00D20014">
        <w:rPr>
          <w:rFonts w:ascii="Verdana" w:eastAsia="Calibri" w:hAnsi="Verdana" w:cs="Arial"/>
          <w:bCs/>
          <w:vertAlign w:val="superscript"/>
          <w:lang w:val="es-ES_tradnl" w:eastAsia="es-ES_tradnl"/>
        </w:rPr>
        <w:footnoteReference w:id="12"/>
      </w:r>
      <w:r w:rsidRPr="00D20014">
        <w:rPr>
          <w:rFonts w:ascii="Verdana" w:eastAsia="Calibri" w:hAnsi="Verdana" w:cs="Arial"/>
          <w:bCs/>
          <w:lang w:val="es-ES_tradnl" w:eastAsia="es-ES_tradnl"/>
        </w:rPr>
        <w:t xml:space="preserve">. </w:t>
      </w:r>
    </w:p>
    <w:p w14:paraId="6BAC45E8" w14:textId="77777777" w:rsidR="00976832" w:rsidRPr="00D20014" w:rsidRDefault="00976832" w:rsidP="00976832">
      <w:pPr>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lang w:val="es-ES" w:eastAsia="es-ES"/>
        </w:rPr>
        <w:t xml:space="preserve">Conforme con lo expresado, el </w:t>
      </w:r>
      <w:r w:rsidRPr="00D20014">
        <w:rPr>
          <w:rFonts w:ascii="Verdana" w:eastAsia="Calibri" w:hAnsi="Verdana" w:cs="Arial"/>
          <w:i/>
          <w:lang w:val="es-ES" w:eastAsia="es-ES"/>
        </w:rPr>
        <w:t xml:space="preserve">giro ordinario </w:t>
      </w:r>
      <w:r w:rsidRPr="00D20014">
        <w:rPr>
          <w:rFonts w:ascii="Verdana" w:eastAsia="Calibri" w:hAnsi="Verdana"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D20014">
        <w:rPr>
          <w:rFonts w:ascii="Verdana" w:eastAsia="Times New Roman" w:hAnsi="Verdana" w:cs="Arial"/>
          <w:lang w:val="es-ES" w:eastAsia="es-ES"/>
        </w:rPr>
        <w:t>S]e</w:t>
      </w:r>
      <w:r w:rsidRPr="00D20014">
        <w:rPr>
          <w:rFonts w:ascii="Verdana" w:eastAsia="Calibri" w:hAnsi="Verdana"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D20014">
        <w:rPr>
          <w:rFonts w:ascii="Verdana" w:eastAsia="Calibri" w:hAnsi="Verdana" w:cs="Arial"/>
          <w:vertAlign w:val="superscript"/>
          <w:lang w:eastAsia="es-ES"/>
        </w:rPr>
        <w:footnoteReference w:id="13"/>
      </w:r>
    </w:p>
    <w:p w14:paraId="4B02CA18" w14:textId="77777777" w:rsidR="00976832" w:rsidRDefault="00976832" w:rsidP="00976832">
      <w:pPr>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D20014">
        <w:rPr>
          <w:rFonts w:ascii="Verdana" w:eastAsia="Calibri" w:hAnsi="Verdana" w:cs="Arial"/>
          <w:i/>
          <w:lang w:val="es-ES" w:eastAsia="es-ES"/>
        </w:rPr>
        <w:t xml:space="preserve">giro ordinario </w:t>
      </w:r>
      <w:r w:rsidRPr="00D20014">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D20014">
        <w:rPr>
          <w:rFonts w:ascii="Verdana" w:eastAsia="Calibri" w:hAnsi="Verdana" w:cs="Arial"/>
          <w:i/>
          <w:lang w:val="es-ES" w:eastAsia="es-ES"/>
        </w:rPr>
        <w:t>giro ordinario</w:t>
      </w:r>
      <w:r w:rsidRPr="00D20014">
        <w:rPr>
          <w:rFonts w:ascii="Verdana" w:eastAsia="Calibri" w:hAnsi="Verdana" w:cs="Arial"/>
          <w:lang w:val="es-ES" w:eastAsia="es-ES"/>
        </w:rPr>
        <w:t xml:space="preserve"> es un asunto que debe establecerse en cada caso concreto por parte de las Entidades Estatales –</w:t>
      </w:r>
      <w:r w:rsidRPr="00D20014">
        <w:rPr>
          <w:rFonts w:ascii="Verdana" w:eastAsia="Calibri" w:hAnsi="Verdana" w:cs="Arial"/>
          <w:lang w:val="es-ES" w:eastAsia="es-ES"/>
        </w:rPr>
        <w:lastRenderedPageBreak/>
        <w:t xml:space="preserve">analizando lo establecido en sus actos de creación y verificando los negocios habituales u ordinarios que desarrollan–, pues el parágrafo del artículo 56 </w:t>
      </w:r>
      <w:proofErr w:type="spellStart"/>
      <w:r w:rsidRPr="00D20014">
        <w:rPr>
          <w:rFonts w:ascii="Verdana" w:eastAsia="Calibri" w:hAnsi="Verdana" w:cs="Arial"/>
          <w:i/>
          <w:lang w:val="es-ES" w:eastAsia="es-ES"/>
        </w:rPr>
        <w:t>ejusdem</w:t>
      </w:r>
      <w:proofErr w:type="spellEnd"/>
      <w:r w:rsidRPr="00D20014">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450FDB74" w14:textId="77777777" w:rsidR="00976832" w:rsidRPr="00D20014" w:rsidRDefault="00976832" w:rsidP="00976832">
      <w:pPr>
        <w:tabs>
          <w:tab w:val="left" w:pos="0"/>
        </w:tabs>
        <w:spacing w:after="120" w:line="276" w:lineRule="auto"/>
        <w:ind w:firstLine="709"/>
        <w:jc w:val="both"/>
        <w:rPr>
          <w:rFonts w:ascii="Verdana" w:eastAsia="Calibri" w:hAnsi="Verdana" w:cs="Arial"/>
          <w:bCs/>
          <w:lang w:val="es-ES_tradnl"/>
        </w:rPr>
      </w:pPr>
      <w:r w:rsidRPr="00D20014">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D20014">
        <w:rPr>
          <w:rFonts w:ascii="Verdana" w:eastAsia="Calibri" w:hAnsi="Verdana" w:cs="Arial"/>
          <w:i/>
          <w:lang w:val="es-ES" w:eastAsia="es-ES"/>
        </w:rPr>
        <w:t>giro ordinario</w:t>
      </w:r>
      <w:r w:rsidRPr="00D20014">
        <w:rPr>
          <w:rFonts w:ascii="Verdana" w:eastAsia="Calibri" w:hAnsi="Verdana" w:cs="Arial"/>
          <w:lang w:val="es-ES" w:eastAsia="es-ES"/>
        </w:rPr>
        <w:t xml:space="preserve"> debe hacerse en el caso concreto, empleando un criterio de interpretación restrictiva. Ello en la medida en que el parágrafo del artículo 56 consagra una excepción a una regla general. </w:t>
      </w:r>
      <w:r w:rsidRPr="00D20014">
        <w:rPr>
          <w:rFonts w:ascii="Verdana" w:eastAsia="Calibri" w:hAnsi="Verdana" w:cs="Arial"/>
          <w:bCs/>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0C62B7BA" w14:textId="77777777" w:rsidR="00976832" w:rsidRDefault="00976832" w:rsidP="00976832">
      <w:pPr>
        <w:spacing w:after="120" w:line="276" w:lineRule="auto"/>
        <w:jc w:val="both"/>
        <w:rPr>
          <w:rFonts w:ascii="Verdana" w:eastAsia="Calibri" w:hAnsi="Verdana" w:cs="Arial"/>
          <w:lang w:val="es-ES" w:eastAsia="es-ES"/>
        </w:rPr>
      </w:pPr>
      <w:r w:rsidRPr="00D20014">
        <w:rPr>
          <w:rFonts w:ascii="Verdana" w:eastAsia="Calibri" w:hAnsi="Verdana" w:cs="Arial"/>
          <w:bCs/>
          <w:lang w:val="es-ES_tradnl" w:eastAsia="es-ES_tradnl"/>
        </w:rPr>
        <w:tab/>
      </w:r>
      <w:r w:rsidRPr="00D20014">
        <w:rPr>
          <w:rFonts w:ascii="Verdana" w:eastAsia="Calibri" w:hAnsi="Verdana" w:cs="Arial"/>
          <w:color w:val="000000"/>
          <w:lang w:val="es-ES"/>
        </w:rPr>
        <w:t xml:space="preserve"> </w:t>
      </w:r>
      <w:r w:rsidRPr="00D20014">
        <w:rPr>
          <w:rFonts w:ascii="Verdana" w:eastAsia="Calibri" w:hAnsi="Verdana" w:cs="Arial"/>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únicamente para la contratación relacionada con el </w:t>
      </w:r>
      <w:r w:rsidRPr="00D20014">
        <w:rPr>
          <w:rFonts w:ascii="Verdana" w:eastAsia="Calibri" w:hAnsi="Verdana" w:cs="Arial"/>
          <w:i/>
          <w:iCs/>
          <w:lang w:val="es-ES" w:eastAsia="es-ES"/>
        </w:rPr>
        <w:t xml:space="preserve">giro ordinario </w:t>
      </w:r>
      <w:r w:rsidRPr="00D20014">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D20014">
        <w:rPr>
          <w:rFonts w:ascii="Verdana" w:eastAsia="Calibri" w:hAnsi="Verdana" w:cs="Arial"/>
          <w:i/>
          <w:iCs/>
          <w:lang w:val="es-ES" w:eastAsia="es-ES"/>
        </w:rPr>
        <w:t>su giro ordinario</w:t>
      </w:r>
      <w:r w:rsidRPr="00D20014">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D20014">
        <w:rPr>
          <w:rFonts w:ascii="Verdana" w:eastAsia="Calibri" w:hAnsi="Verdana" w:cs="Arial"/>
          <w:i/>
          <w:iCs/>
          <w:lang w:val="es-ES" w:eastAsia="es-ES"/>
        </w:rPr>
        <w:t>giro ordinario</w:t>
      </w:r>
      <w:r w:rsidRPr="00D20014">
        <w:rPr>
          <w:rFonts w:ascii="Verdana" w:eastAsia="Calibri" w:hAnsi="Verdana" w:cs="Arial"/>
          <w:lang w:val="es-ES" w:eastAsia="es-ES"/>
        </w:rPr>
        <w:t xml:space="preserve">, a menos que su manual de contratación establezca lo </w:t>
      </w:r>
      <w:r w:rsidRPr="00D20014">
        <w:rPr>
          <w:rFonts w:ascii="Verdana" w:eastAsia="Calibri" w:hAnsi="Verdana" w:cs="Arial"/>
          <w:lang w:val="es-ES" w:eastAsia="es-ES"/>
        </w:rPr>
        <w:lastRenderedPageBreak/>
        <w:t xml:space="preserve">contrario. De hacerlo, primará el principio de inderogabilidad singular del reglamento, que obliga a aplicarlo en las actuaciones concretas.  </w:t>
      </w:r>
      <w:bookmarkEnd w:id="4"/>
      <w:bookmarkEnd w:id="5"/>
    </w:p>
    <w:p w14:paraId="422F1218" w14:textId="77777777" w:rsidR="00976832" w:rsidRPr="00160E09" w:rsidRDefault="00976832" w:rsidP="00976832">
      <w:pPr>
        <w:spacing w:after="120" w:line="276" w:lineRule="auto"/>
        <w:ind w:firstLine="709"/>
        <w:jc w:val="both"/>
        <w:rPr>
          <w:rFonts w:ascii="Verdana" w:eastAsia="Calibri" w:hAnsi="Verdana" w:cs="Arial"/>
          <w:lang w:val="es-ES" w:eastAsia="es-ES"/>
        </w:rPr>
      </w:pPr>
      <w:r w:rsidRPr="00D20014">
        <w:rPr>
          <w:rFonts w:ascii="Verdana" w:eastAsia="Calibri" w:hAnsi="Verdana" w:cs="Arial"/>
          <w:bCs/>
          <w:lang w:val="es-ES_tradnl" w:eastAsia="es-ES_tradnl"/>
        </w:rPr>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D20014">
        <w:rPr>
          <w:rFonts w:ascii="Verdana" w:eastAsia="Calibri" w:hAnsi="Verdana" w:cs="Arial"/>
          <w:vertAlign w:val="superscript"/>
          <w:lang w:eastAsia="es-ES_tradnl"/>
        </w:rPr>
        <w:footnoteReference w:id="14"/>
      </w:r>
      <w:r w:rsidRPr="00D20014">
        <w:rPr>
          <w:rFonts w:ascii="Verdana" w:eastAsia="Calibri" w:hAnsi="Verdana" w:cs="Arial"/>
          <w:bCs/>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D20014">
        <w:rPr>
          <w:rFonts w:ascii="Verdana" w:eastAsia="Calibri" w:hAnsi="Verdana" w:cs="Arial"/>
          <w:vertAlign w:val="superscript"/>
          <w:lang w:eastAsia="es-ES_tradnl"/>
        </w:rPr>
        <w:footnoteReference w:id="15"/>
      </w:r>
      <w:r w:rsidRPr="00D20014">
        <w:rPr>
          <w:rFonts w:ascii="Verdana" w:eastAsia="Calibri" w:hAnsi="Verdana" w:cs="Arial"/>
          <w:bCs/>
          <w:lang w:val="es-ES_tradnl" w:eastAsia="es-ES_tradnl"/>
        </w:rPr>
        <w:t xml:space="preserve">.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D20014">
        <w:rPr>
          <w:rFonts w:ascii="Verdana" w:eastAsia="Calibri" w:hAnsi="Verdana" w:cs="Arial"/>
          <w:bCs/>
          <w:i/>
          <w:iCs/>
          <w:lang w:val="es-ES_tradnl" w:eastAsia="es-ES_tradnl"/>
        </w:rPr>
        <w:t>giro ordinario.</w:t>
      </w:r>
      <w:r w:rsidRPr="00D20014">
        <w:rPr>
          <w:rFonts w:ascii="Verdana" w:eastAsia="Calibri" w:hAnsi="Verdana" w:cs="Arial"/>
          <w:bCs/>
          <w:lang w:val="es-ES_tradnl" w:eastAsia="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w:t>
      </w:r>
      <w:r w:rsidRPr="00D20014">
        <w:rPr>
          <w:rFonts w:ascii="Verdana" w:eastAsia="Calibri" w:hAnsi="Verdana" w:cs="Arial"/>
          <w:bCs/>
          <w:lang w:val="es-ES_tradnl" w:eastAsia="es-ES_tradnl"/>
        </w:rPr>
        <w:lastRenderedPageBreak/>
        <w:t>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D20014">
        <w:rPr>
          <w:rFonts w:ascii="Verdana" w:eastAsia="Calibri" w:hAnsi="Verdana" w:cs="Arial"/>
          <w:vertAlign w:val="superscript"/>
          <w:lang w:eastAsia="es-ES_tradnl"/>
        </w:rPr>
        <w:footnoteReference w:id="16"/>
      </w:r>
      <w:r w:rsidRPr="00D20014">
        <w:rPr>
          <w:rFonts w:ascii="Verdana" w:eastAsia="Calibri" w:hAnsi="Verdana" w:cs="Arial"/>
          <w:bCs/>
          <w:lang w:val="es-ES_tradnl" w:eastAsia="es-ES_tradnl"/>
        </w:rPr>
        <w:t>.</w:t>
      </w:r>
    </w:p>
    <w:p w14:paraId="22D5ED0D" w14:textId="77777777" w:rsidR="00976832" w:rsidRPr="00D20014" w:rsidRDefault="00976832" w:rsidP="00976832">
      <w:pPr>
        <w:tabs>
          <w:tab w:val="left" w:pos="0"/>
        </w:tabs>
        <w:spacing w:after="120" w:line="276" w:lineRule="auto"/>
        <w:ind w:firstLine="709"/>
        <w:jc w:val="both"/>
        <w:rPr>
          <w:rFonts w:ascii="Verdana" w:eastAsia="Times New Roman" w:hAnsi="Verdana" w:cs="Arial"/>
          <w:lang w:eastAsia="es-ES_tradnl"/>
        </w:rPr>
      </w:pPr>
      <w:r w:rsidRPr="00D20014">
        <w:rPr>
          <w:rFonts w:ascii="Verdana" w:eastAsia="Calibri" w:hAnsi="Verdana" w:cs="Arial"/>
          <w:bCs/>
          <w:lang w:val="es-ES_tradnl" w:eastAsia="es-ES_tradnl"/>
        </w:rPr>
        <w:t>De acuerdo con esta interpretación restrictiva</w:t>
      </w:r>
      <w:r w:rsidRPr="00D20014">
        <w:rPr>
          <w:rFonts w:ascii="Verdana" w:eastAsia="Calibri" w:hAnsi="Verdana" w:cs="Arial"/>
          <w:vertAlign w:val="superscript"/>
          <w:lang w:eastAsia="es-ES_tradnl"/>
        </w:rPr>
        <w:footnoteReference w:id="17"/>
      </w:r>
      <w:r w:rsidRPr="00D20014">
        <w:rPr>
          <w:rFonts w:ascii="Verdana" w:eastAsia="Calibri" w:hAnsi="Verdana" w:cs="Arial"/>
          <w:bCs/>
          <w:lang w:val="es-ES_tradnl" w:eastAsia="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D20014">
        <w:rPr>
          <w:rFonts w:ascii="Verdana" w:eastAsia="Calibri" w:hAnsi="Verdana" w:cs="Arial"/>
          <w:bCs/>
          <w:i/>
          <w:iCs/>
          <w:lang w:val="es-ES_tradnl" w:eastAsia="es-ES_tradnl"/>
        </w:rPr>
        <w:t xml:space="preserve">giro ordinario, </w:t>
      </w:r>
      <w:r w:rsidRPr="00D20014">
        <w:rPr>
          <w:rFonts w:ascii="Verdana" w:eastAsia="Calibri" w:hAnsi="Verdana" w:cs="Arial"/>
          <w:bCs/>
          <w:lang w:val="es-ES_tradnl" w:eastAsia="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D20014">
        <w:rPr>
          <w:rFonts w:ascii="Verdana" w:eastAsia="Times New Roman" w:hAnsi="Verdana" w:cs="Arial"/>
          <w:vertAlign w:val="superscript"/>
          <w:lang w:eastAsia="es-ES_tradnl"/>
        </w:rPr>
        <w:footnoteReference w:id="18"/>
      </w:r>
      <w:r w:rsidRPr="00D20014">
        <w:rPr>
          <w:rFonts w:ascii="Verdana" w:eastAsia="Calibri" w:hAnsi="Verdana" w:cs="Arial"/>
          <w:bCs/>
          <w:lang w:val="es-ES_tradnl" w:eastAsia="es-ES_tradnl"/>
        </w:rPr>
        <w:t>, al igual que la regla según la cual “</w:t>
      </w:r>
      <w:r w:rsidRPr="00D20014">
        <w:rPr>
          <w:rFonts w:ascii="Verdana" w:eastAsia="Times New Roman" w:hAnsi="Verdana" w:cs="Arial"/>
          <w:lang w:eastAsia="es-ES_tradnl"/>
        </w:rPr>
        <w:t>Lo favorable u odioso de una disposición no se tomará en cuenta para ampliar o restringir su interpretación”</w:t>
      </w:r>
      <w:r w:rsidRPr="00D20014">
        <w:rPr>
          <w:rFonts w:ascii="Verdana" w:eastAsia="Times New Roman" w:hAnsi="Verdana" w:cs="Arial"/>
          <w:vertAlign w:val="superscript"/>
          <w:lang w:eastAsia="es-ES_tradnl"/>
        </w:rPr>
        <w:footnoteReference w:id="19"/>
      </w:r>
      <w:r w:rsidRPr="00D20014">
        <w:rPr>
          <w:rFonts w:ascii="Verdana" w:eastAsia="Times New Roman" w:hAnsi="Verdana" w:cs="Arial"/>
          <w:lang w:eastAsia="es-ES_tradnl"/>
        </w:rPr>
        <w:t xml:space="preserve">. </w:t>
      </w:r>
    </w:p>
    <w:p w14:paraId="03F3C665" w14:textId="77777777" w:rsidR="00976832" w:rsidRPr="00D20014" w:rsidRDefault="00976832" w:rsidP="00976832">
      <w:pPr>
        <w:spacing w:after="120" w:line="276" w:lineRule="auto"/>
        <w:ind w:firstLine="709"/>
        <w:jc w:val="both"/>
        <w:rPr>
          <w:rFonts w:ascii="Verdana" w:eastAsia="Calibri" w:hAnsi="Verdana" w:cs="Arial"/>
          <w:lang w:val="es-ES" w:eastAsia="es-ES"/>
        </w:rPr>
      </w:pPr>
      <w:r w:rsidRPr="00D20014">
        <w:rPr>
          <w:rFonts w:ascii="Verdana" w:eastAsia="Calibri" w:hAnsi="Verdana" w:cs="Arial"/>
          <w:lang w:val="es-ES" w:eastAsia="es-ES"/>
        </w:rPr>
        <w:t xml:space="preserve">En conclusión, a juicio de esta Agencia lo dispuesto en el parágrafo del artículo 56 de la Ley 2195 de 2022, es una manifestación de la voluntad del Legislador de relevar a las 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D20014">
        <w:rPr>
          <w:rFonts w:ascii="Verdana" w:eastAsia="Calibri" w:hAnsi="Verdana" w:cs="Arial"/>
          <w:i/>
          <w:iCs/>
          <w:lang w:val="es-ES" w:eastAsia="es-ES"/>
        </w:rPr>
        <w:t>giro ordinario</w:t>
      </w:r>
      <w:r w:rsidRPr="00D20014">
        <w:rPr>
          <w:rFonts w:ascii="Verdana" w:eastAsia="Calibri" w:hAnsi="Verdana" w:cs="Arial"/>
          <w:lang w:val="es-ES" w:eastAsia="es-ES"/>
        </w:rPr>
        <w:t xml:space="preserve">. Esto significa que tales entidades, cuando en desarrollo de un contrato o un convenio con una entidad sometida al EGCAP, requieran contratar un objeto cobijado por algún documento tipo, que no esté comprendido dentro de su </w:t>
      </w:r>
      <w:r w:rsidRPr="00D20014">
        <w:rPr>
          <w:rFonts w:ascii="Verdana" w:eastAsia="Calibri" w:hAnsi="Verdana" w:cs="Arial"/>
          <w:i/>
          <w:iCs/>
          <w:lang w:val="es-ES" w:eastAsia="es-ES"/>
        </w:rPr>
        <w:t xml:space="preserve">giro </w:t>
      </w:r>
      <w:r w:rsidRPr="00D20014">
        <w:rPr>
          <w:rFonts w:ascii="Verdana" w:eastAsia="Calibri" w:hAnsi="Verdana" w:cs="Arial"/>
          <w:i/>
          <w:iCs/>
          <w:lang w:val="es-ES" w:eastAsia="es-ES"/>
        </w:rPr>
        <w:lastRenderedPageBreak/>
        <w:t>ordinario,</w:t>
      </w:r>
      <w:r w:rsidRPr="00D20014">
        <w:rPr>
          <w:rFonts w:ascii="Verdana" w:eastAsia="Calibri" w:hAnsi="Verdana" w:cs="Arial"/>
          <w:lang w:val="es-ES" w:eastAsia="es-ES"/>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3A0ECCC9" w14:textId="77777777" w:rsidR="00976832" w:rsidRDefault="00976832" w:rsidP="00976832">
      <w:pPr>
        <w:spacing w:after="120" w:line="276" w:lineRule="auto"/>
        <w:ind w:firstLine="709"/>
        <w:jc w:val="both"/>
        <w:rPr>
          <w:rFonts w:ascii="Verdana" w:eastAsia="Calibri" w:hAnsi="Verdana" w:cs="Arial"/>
          <w:bCs/>
          <w:color w:val="000000"/>
          <w:lang w:val="es-ES_tradnl" w:eastAsia="es-ES_tradnl"/>
        </w:rPr>
      </w:pPr>
      <w:r w:rsidRPr="00D20014">
        <w:rPr>
          <w:rFonts w:ascii="Verdana" w:eastAsia="Times New Roman" w:hAnsi="Verdana" w:cs="Arial"/>
          <w:bCs/>
          <w:color w:val="000000"/>
          <w:shd w:val="clear" w:color="auto" w:fill="FFFFFF"/>
          <w:lang w:val="es-ES_tradnl" w:eastAsia="es-ES_tradnl"/>
        </w:rPr>
        <w:t xml:space="preserve">En este orden de ideas, es pertinente indicar que </w:t>
      </w:r>
      <w:r w:rsidRPr="00D20014">
        <w:rPr>
          <w:rFonts w:ascii="Verdana" w:eastAsia="Calibri" w:hAnsi="Verdana" w:cs="Arial"/>
          <w:bCs/>
          <w:color w:val="000000"/>
          <w:lang w:val="es-ES_tradnl" w:eastAsia="es-ES_tradnl"/>
        </w:rPr>
        <w:t xml:space="preserve">las excepciones consagradas en el parágrafo del artículo 56 de la Ley 2195 de 2022 solo se aplican a los órganos del Estado cuya naturaleza jurídica coincida con la de las entidades allí indicadas de manera </w:t>
      </w:r>
      <w:r w:rsidRPr="00D20014">
        <w:rPr>
          <w:rFonts w:ascii="Verdana" w:eastAsia="Calibri" w:hAnsi="Verdana" w:cs="Arial"/>
          <w:bCs/>
          <w:i/>
          <w:iCs/>
          <w:color w:val="000000"/>
          <w:lang w:val="es-ES_tradnl" w:eastAsia="es-ES_tradnl"/>
        </w:rPr>
        <w:t>taxativa</w:t>
      </w:r>
      <w:r w:rsidRPr="00D20014">
        <w:rPr>
          <w:rFonts w:ascii="Verdana" w:eastAsia="Calibri" w:hAnsi="Verdana" w:cs="Arial"/>
          <w:bCs/>
          <w:color w:val="000000"/>
          <w:lang w:val="es-ES_tradnl" w:eastAsia="es-ES_tradnl"/>
        </w:rPr>
        <w:t>, esto es, a “</w:t>
      </w:r>
      <w:r w:rsidRPr="00D20014">
        <w:rPr>
          <w:rFonts w:ascii="Verdana" w:eastAsia="Times New Roman" w:hAnsi="Verdana" w:cs="Arial"/>
          <w:color w:val="000000"/>
          <w:lang w:eastAsia="es-ES_tradnl"/>
        </w:rPr>
        <w:t xml:space="preserve">[…] </w:t>
      </w:r>
      <w:r w:rsidRPr="00D20014">
        <w:rPr>
          <w:rFonts w:ascii="Verdana" w:eastAsia="Calibri" w:hAnsi="Verdana" w:cs="Arial"/>
          <w:bCs/>
          <w:color w:val="000000"/>
          <w:lang w:val="es-ES_tradnl" w:eastAsia="es-ES_tradnl"/>
        </w:rPr>
        <w:t xml:space="preserve">las Instituciones de Educación Superior públicas, las empresas sociales del Estado, las sociedades de economía mixta y las empresas industriales y comerciales del Estado, únicamente en cuanto a la contratación de su giro ordinario”. Por consiguiente, cada entidad estatal deberá analizar su naturaleza jurídica y hacer una interpretación restrictiva de este parágrafo, pues las excepciones deben leerse de manera acorde con dicho parámetro hermenéutico. </w:t>
      </w:r>
    </w:p>
    <w:p w14:paraId="64D3086B" w14:textId="77777777" w:rsidR="00976832" w:rsidRPr="00BA5BD0" w:rsidRDefault="00976832" w:rsidP="00976832">
      <w:pPr>
        <w:spacing w:after="120" w:line="276" w:lineRule="auto"/>
        <w:ind w:firstLine="708"/>
        <w:jc w:val="both"/>
        <w:rPr>
          <w:rFonts w:ascii="Verdana" w:eastAsia="Arial" w:hAnsi="Verdana" w:cs="Arial"/>
          <w:lang w:val="es-ES"/>
        </w:rPr>
      </w:pPr>
      <w:r>
        <w:rPr>
          <w:rFonts w:ascii="Verdana" w:hAnsi="Verdana" w:cs="Arial"/>
          <w:lang w:eastAsia="es-ES"/>
        </w:rPr>
        <w:t>En todo caso, e</w:t>
      </w:r>
      <w:r w:rsidRPr="00301910">
        <w:rPr>
          <w:rFonts w:ascii="Verdana" w:hAnsi="Verdana" w:cs="Arial"/>
          <w:lang w:eastAsia="es-ES"/>
        </w:rPr>
        <w:t>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la contratación de las entidades estatales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e</w:t>
      </w:r>
      <w:r>
        <w:rPr>
          <w:rFonts w:ascii="Verdana" w:hAnsi="Verdana" w:cs="Arial"/>
          <w:lang w:eastAsia="es-ES"/>
        </w:rPr>
        <w:t>n e</w:t>
      </w:r>
      <w:r w:rsidRPr="00301910">
        <w:rPr>
          <w:rFonts w:ascii="Verdana" w:hAnsi="Verdana" w:cs="Arial"/>
          <w:lang w:eastAsia="es-ES"/>
        </w:rPr>
        <w:t>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0EF6E311" w14:textId="77777777" w:rsidR="00976832" w:rsidRPr="00D20014" w:rsidRDefault="00976832" w:rsidP="00976832">
      <w:pPr>
        <w:widowControl w:val="0"/>
        <w:autoSpaceDE w:val="0"/>
        <w:autoSpaceDN w:val="0"/>
        <w:spacing w:after="0" w:line="276" w:lineRule="auto"/>
        <w:jc w:val="both"/>
        <w:rPr>
          <w:rFonts w:ascii="Verdana" w:eastAsia="Aptos" w:hAnsi="Verdana" w:cs="Arial"/>
          <w:lang w:val="es-ES"/>
        </w:rPr>
      </w:pPr>
    </w:p>
    <w:p w14:paraId="3071AFC2" w14:textId="77777777" w:rsidR="00976832" w:rsidRPr="00D20014" w:rsidRDefault="00976832" w:rsidP="00976832">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Referencias normativas, jurisprudenciales y otras fuentes:</w:t>
      </w:r>
    </w:p>
    <w:p w14:paraId="1470823E" w14:textId="77777777" w:rsidR="00976832" w:rsidRPr="00D20014" w:rsidRDefault="00976832" w:rsidP="00976832">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76832" w:rsidRPr="00D20014" w14:paraId="3751304D" w14:textId="77777777" w:rsidTr="00B127C4">
        <w:trPr>
          <w:trHeight w:val="440"/>
        </w:trPr>
        <w:tc>
          <w:tcPr>
            <w:tcW w:w="8647" w:type="dxa"/>
          </w:tcPr>
          <w:p w14:paraId="3B41330E" w14:textId="77777777" w:rsidR="00976832" w:rsidRPr="00D20014" w:rsidRDefault="00976832" w:rsidP="00B127C4">
            <w:pPr>
              <w:widowControl w:val="0"/>
              <w:numPr>
                <w:ilvl w:val="0"/>
                <w:numId w:val="17"/>
              </w:numPr>
              <w:autoSpaceDE w:val="0"/>
              <w:autoSpaceDN w:val="0"/>
              <w:spacing w:line="276" w:lineRule="auto"/>
              <w:contextualSpacing/>
              <w:jc w:val="both"/>
              <w:rPr>
                <w:rFonts w:ascii="Verdana" w:eastAsia="Aptos" w:hAnsi="Verdana" w:cs="Arial"/>
              </w:rPr>
            </w:pPr>
            <w:r w:rsidRPr="00D20014">
              <w:rPr>
                <w:rFonts w:ascii="Verdana" w:eastAsia="Aptos" w:hAnsi="Verdana" w:cs="Arial"/>
              </w:rPr>
              <w:t xml:space="preserve">Ley 2022 de 202 – artículo 1. </w:t>
            </w:r>
          </w:p>
          <w:p w14:paraId="4F507235" w14:textId="77777777" w:rsidR="00976832" w:rsidRPr="00D20014" w:rsidRDefault="00976832" w:rsidP="00B127C4">
            <w:pPr>
              <w:widowControl w:val="0"/>
              <w:numPr>
                <w:ilvl w:val="0"/>
                <w:numId w:val="17"/>
              </w:numPr>
              <w:autoSpaceDE w:val="0"/>
              <w:autoSpaceDN w:val="0"/>
              <w:spacing w:line="276" w:lineRule="auto"/>
              <w:contextualSpacing/>
              <w:jc w:val="both"/>
              <w:rPr>
                <w:rFonts w:ascii="Verdana" w:eastAsia="Aptos" w:hAnsi="Verdana" w:cs="Arial"/>
              </w:rPr>
            </w:pPr>
            <w:r w:rsidRPr="00D20014">
              <w:rPr>
                <w:rFonts w:ascii="Verdana" w:eastAsia="Aptos" w:hAnsi="Verdana" w:cs="Arial"/>
              </w:rPr>
              <w:t xml:space="preserve">Ley </w:t>
            </w:r>
            <w:r>
              <w:rPr>
                <w:rFonts w:ascii="Verdana" w:eastAsia="Aptos" w:hAnsi="Verdana" w:cs="Arial"/>
              </w:rPr>
              <w:t>1150</w:t>
            </w:r>
            <w:r w:rsidRPr="00D20014">
              <w:rPr>
                <w:rFonts w:ascii="Verdana" w:eastAsia="Aptos" w:hAnsi="Verdana" w:cs="Arial"/>
              </w:rPr>
              <w:t xml:space="preserve"> de </w:t>
            </w:r>
            <w:r>
              <w:rPr>
                <w:rFonts w:ascii="Verdana" w:eastAsia="Aptos" w:hAnsi="Verdana" w:cs="Arial"/>
              </w:rPr>
              <w:t>2007</w:t>
            </w:r>
            <w:r w:rsidRPr="00D20014">
              <w:rPr>
                <w:rFonts w:ascii="Verdana" w:eastAsia="Aptos" w:hAnsi="Verdana" w:cs="Arial"/>
              </w:rPr>
              <w:t xml:space="preserve"> - </w:t>
            </w:r>
            <w:r w:rsidRPr="00D20014">
              <w:rPr>
                <w:rFonts w:ascii="Verdana" w:eastAsia="Calibri" w:hAnsi="Verdana" w:cs="Arial"/>
                <w:lang w:val="es-ES" w:eastAsia="es-ES"/>
              </w:rPr>
              <w:t>literal c</w:t>
            </w:r>
            <w:r>
              <w:rPr>
                <w:rFonts w:ascii="Verdana" w:eastAsia="Calibri" w:hAnsi="Verdana" w:cs="Arial"/>
                <w:lang w:val="es-ES" w:eastAsia="es-ES"/>
              </w:rPr>
              <w:t xml:space="preserve">, </w:t>
            </w:r>
            <w:r w:rsidRPr="00D20014">
              <w:rPr>
                <w:rFonts w:ascii="Verdana" w:eastAsia="Calibri" w:hAnsi="Verdana" w:cs="Arial"/>
                <w:lang w:val="es-ES" w:eastAsia="es-ES"/>
              </w:rPr>
              <w:t>numeral 4, del artículo 2,</w:t>
            </w:r>
          </w:p>
          <w:p w14:paraId="5C3A3817" w14:textId="77777777" w:rsidR="00976832" w:rsidRPr="00D20014" w:rsidRDefault="00976832" w:rsidP="00B127C4">
            <w:pPr>
              <w:widowControl w:val="0"/>
              <w:numPr>
                <w:ilvl w:val="0"/>
                <w:numId w:val="17"/>
              </w:numPr>
              <w:autoSpaceDE w:val="0"/>
              <w:autoSpaceDN w:val="0"/>
              <w:spacing w:line="276" w:lineRule="auto"/>
              <w:ind w:left="714" w:hanging="357"/>
              <w:jc w:val="both"/>
              <w:rPr>
                <w:rFonts w:ascii="Verdana" w:eastAsia="Aptos" w:hAnsi="Verdana" w:cs="Arial"/>
              </w:rPr>
            </w:pPr>
            <w:r w:rsidRPr="00D20014">
              <w:rPr>
                <w:rFonts w:ascii="Verdana" w:eastAsia="Aptos" w:hAnsi="Verdana" w:cs="Arial"/>
              </w:rPr>
              <w:t>Ley 2195 de 2022: Artículo 56.</w:t>
            </w:r>
          </w:p>
          <w:p w14:paraId="4086A638" w14:textId="77777777" w:rsidR="00976832" w:rsidRPr="007702D3" w:rsidRDefault="00976832" w:rsidP="00B127C4">
            <w:pPr>
              <w:widowControl w:val="0"/>
              <w:numPr>
                <w:ilvl w:val="0"/>
                <w:numId w:val="17"/>
              </w:numPr>
              <w:autoSpaceDE w:val="0"/>
              <w:autoSpaceDN w:val="0"/>
              <w:spacing w:line="276" w:lineRule="auto"/>
              <w:ind w:left="714" w:hanging="357"/>
              <w:jc w:val="both"/>
              <w:rPr>
                <w:rFonts w:ascii="Verdana" w:eastAsia="Aptos" w:hAnsi="Verdana" w:cs="Arial"/>
              </w:rPr>
            </w:pPr>
            <w:r w:rsidRPr="00D20014">
              <w:rPr>
                <w:rFonts w:ascii="Verdana" w:eastAsia="Aptos" w:hAnsi="Verdana" w:cs="Arial"/>
                <w:color w:val="000000"/>
              </w:rPr>
              <w:t xml:space="preserve">CONGRESO DE LA REPÚBLICA. Gaceta </w:t>
            </w:r>
            <w:proofErr w:type="spellStart"/>
            <w:r w:rsidRPr="00D20014">
              <w:rPr>
                <w:rFonts w:ascii="Verdana" w:eastAsia="Aptos" w:hAnsi="Verdana" w:cs="Arial"/>
                <w:color w:val="000000"/>
              </w:rPr>
              <w:t>Nº</w:t>
            </w:r>
            <w:proofErr w:type="spellEnd"/>
            <w:r w:rsidRPr="00D20014">
              <w:rPr>
                <w:rFonts w:ascii="Verdana" w:eastAsia="Aptos" w:hAnsi="Verdana" w:cs="Arial"/>
                <w:color w:val="000000"/>
              </w:rPr>
              <w:t xml:space="preserve"> 1677 del 23 de noviembre de 2021</w:t>
            </w:r>
          </w:p>
          <w:p w14:paraId="08A38059" w14:textId="77777777" w:rsidR="00976832" w:rsidRDefault="00976832" w:rsidP="00B127C4">
            <w:pPr>
              <w:widowControl w:val="0"/>
              <w:numPr>
                <w:ilvl w:val="0"/>
                <w:numId w:val="17"/>
              </w:numPr>
              <w:autoSpaceDE w:val="0"/>
              <w:autoSpaceDN w:val="0"/>
              <w:spacing w:line="276" w:lineRule="auto"/>
              <w:ind w:left="714" w:hanging="357"/>
              <w:jc w:val="both"/>
              <w:rPr>
                <w:rFonts w:ascii="Verdana" w:eastAsia="Aptos" w:hAnsi="Verdana" w:cs="Arial"/>
              </w:rPr>
            </w:pPr>
            <w:r w:rsidRPr="007702D3">
              <w:rPr>
                <w:rFonts w:ascii="Verdana" w:eastAsia="Aptos" w:hAnsi="Verdana" w:cs="Arial"/>
              </w:rPr>
              <w:t xml:space="preserve">Consejo de Estado. Sección Tercera. Sentencia del 6 de julio de 2005. </w:t>
            </w:r>
            <w:proofErr w:type="spellStart"/>
            <w:r w:rsidRPr="007702D3">
              <w:rPr>
                <w:rFonts w:ascii="Verdana" w:eastAsia="Aptos" w:hAnsi="Verdana" w:cs="Arial"/>
              </w:rPr>
              <w:t>Exp</w:t>
            </w:r>
            <w:proofErr w:type="spellEnd"/>
            <w:r w:rsidRPr="007702D3">
              <w:rPr>
                <w:rFonts w:ascii="Verdana" w:eastAsia="Aptos" w:hAnsi="Verdana" w:cs="Arial"/>
              </w:rPr>
              <w:t>. No. 11575. C.P. Alier E. Hernández Enríquez</w:t>
            </w:r>
          </w:p>
          <w:p w14:paraId="037F8D2F" w14:textId="77777777" w:rsidR="00976832" w:rsidRDefault="00976832" w:rsidP="00B127C4">
            <w:pPr>
              <w:widowControl w:val="0"/>
              <w:numPr>
                <w:ilvl w:val="0"/>
                <w:numId w:val="17"/>
              </w:numPr>
              <w:autoSpaceDE w:val="0"/>
              <w:autoSpaceDN w:val="0"/>
              <w:spacing w:line="276" w:lineRule="auto"/>
              <w:ind w:left="714" w:hanging="357"/>
              <w:jc w:val="both"/>
              <w:rPr>
                <w:rFonts w:ascii="Verdana" w:eastAsia="Aptos" w:hAnsi="Verdana" w:cs="Arial"/>
              </w:rPr>
            </w:pPr>
            <w:r w:rsidRPr="007702D3">
              <w:rPr>
                <w:rFonts w:ascii="Verdana" w:eastAsia="Aptos" w:hAnsi="Verdana" w:cs="Arial"/>
              </w:rPr>
              <w:t xml:space="preserve">CONSEJO DE ESTADO. Sección Tercera. Subsección A. Sentencia del 3 de marzo de 2021. </w:t>
            </w:r>
            <w:proofErr w:type="spellStart"/>
            <w:r w:rsidRPr="007702D3">
              <w:rPr>
                <w:rFonts w:ascii="Verdana" w:eastAsia="Aptos" w:hAnsi="Verdana" w:cs="Arial"/>
              </w:rPr>
              <w:t>Exp</w:t>
            </w:r>
            <w:proofErr w:type="spellEnd"/>
            <w:r w:rsidRPr="007702D3">
              <w:rPr>
                <w:rFonts w:ascii="Verdana" w:eastAsia="Aptos" w:hAnsi="Verdana" w:cs="Arial"/>
              </w:rPr>
              <w:t>. No. 51373. C.P. José Roberto Sáchica Méndez.</w:t>
            </w:r>
          </w:p>
          <w:p w14:paraId="4F57F60D" w14:textId="77777777" w:rsidR="00976832" w:rsidRDefault="00976832" w:rsidP="00B127C4">
            <w:pPr>
              <w:widowControl w:val="0"/>
              <w:numPr>
                <w:ilvl w:val="0"/>
                <w:numId w:val="17"/>
              </w:numPr>
              <w:autoSpaceDE w:val="0"/>
              <w:autoSpaceDN w:val="0"/>
              <w:spacing w:line="276" w:lineRule="auto"/>
              <w:ind w:left="714" w:hanging="357"/>
              <w:jc w:val="both"/>
              <w:rPr>
                <w:rFonts w:ascii="Verdana" w:eastAsia="Aptos" w:hAnsi="Verdana" w:cs="Arial"/>
              </w:rPr>
            </w:pPr>
            <w:r w:rsidRPr="007702D3">
              <w:rPr>
                <w:rFonts w:ascii="Verdana" w:eastAsia="Aptos" w:hAnsi="Verdana" w:cs="Arial"/>
              </w:rPr>
              <w:lastRenderedPageBreak/>
              <w:t xml:space="preserve">CONSEJO DE ESTADO. Sección Tercera. Subsección B. Sentencia del 12 de octubre de 2011. </w:t>
            </w:r>
            <w:proofErr w:type="spellStart"/>
            <w:r w:rsidRPr="007702D3">
              <w:rPr>
                <w:rFonts w:ascii="Verdana" w:eastAsia="Aptos" w:hAnsi="Verdana" w:cs="Arial"/>
              </w:rPr>
              <w:t>Exp</w:t>
            </w:r>
            <w:proofErr w:type="spellEnd"/>
            <w:r w:rsidRPr="007702D3">
              <w:rPr>
                <w:rFonts w:ascii="Verdana" w:eastAsia="Aptos" w:hAnsi="Verdana" w:cs="Arial"/>
              </w:rPr>
              <w:t>. No. 20070. C.P. Danilo Rojas Betancourt.</w:t>
            </w:r>
          </w:p>
          <w:p w14:paraId="7C87307A" w14:textId="77777777" w:rsidR="00976832" w:rsidRPr="00417A54" w:rsidRDefault="00976832" w:rsidP="00B127C4">
            <w:pPr>
              <w:widowControl w:val="0"/>
              <w:numPr>
                <w:ilvl w:val="0"/>
                <w:numId w:val="17"/>
              </w:numPr>
              <w:autoSpaceDE w:val="0"/>
              <w:autoSpaceDN w:val="0"/>
              <w:spacing w:line="276" w:lineRule="auto"/>
              <w:jc w:val="both"/>
              <w:rPr>
                <w:rFonts w:ascii="Verdana" w:eastAsia="Aptos" w:hAnsi="Verdana" w:cs="Arial"/>
              </w:rPr>
            </w:pPr>
            <w:r w:rsidRPr="00417A54">
              <w:rPr>
                <w:rFonts w:ascii="Verdana" w:eastAsia="Aptos" w:hAnsi="Verdana" w:cs="Arial"/>
              </w:rPr>
              <w:t xml:space="preserve">Consejo de Estado. Sección Tercera. Subsección A. Sentencia del 24 de junio de 2015. </w:t>
            </w:r>
            <w:proofErr w:type="spellStart"/>
            <w:r w:rsidRPr="00417A54">
              <w:rPr>
                <w:rFonts w:ascii="Verdana" w:eastAsia="Aptos" w:hAnsi="Verdana" w:cs="Arial"/>
              </w:rPr>
              <w:t>Exp</w:t>
            </w:r>
            <w:proofErr w:type="spellEnd"/>
            <w:r w:rsidRPr="00417A54">
              <w:rPr>
                <w:rFonts w:ascii="Verdana" w:eastAsia="Aptos" w:hAnsi="Verdana" w:cs="Arial"/>
              </w:rPr>
              <w:t>. 40.635. Consejero Ponente: Hernán Andrade Rincón (E).</w:t>
            </w:r>
          </w:p>
          <w:p w14:paraId="695BBDC4" w14:textId="77777777" w:rsidR="00976832" w:rsidRDefault="00976832" w:rsidP="00B127C4">
            <w:pPr>
              <w:widowControl w:val="0"/>
              <w:numPr>
                <w:ilvl w:val="0"/>
                <w:numId w:val="17"/>
              </w:numPr>
              <w:autoSpaceDE w:val="0"/>
              <w:autoSpaceDN w:val="0"/>
              <w:spacing w:line="276" w:lineRule="auto"/>
              <w:jc w:val="both"/>
              <w:rPr>
                <w:rFonts w:ascii="Verdana" w:eastAsia="Aptos" w:hAnsi="Verdana" w:cs="Arial"/>
              </w:rPr>
            </w:pPr>
            <w:r w:rsidRPr="00417A54">
              <w:rPr>
                <w:rFonts w:ascii="Verdana" w:eastAsia="Aptos" w:hAnsi="Verdana" w:cs="Arial"/>
              </w:rPr>
              <w:t xml:space="preserve">Consejo de Estado. Sala de Consulta y Servicio Civil. Concepto del 30 de abril de 2015. Expediente: 2251. Consejero Ponente: Álvaro </w:t>
            </w:r>
            <w:proofErr w:type="spellStart"/>
            <w:r w:rsidRPr="00417A54">
              <w:rPr>
                <w:rFonts w:ascii="Verdana" w:eastAsia="Aptos" w:hAnsi="Verdana" w:cs="Arial"/>
              </w:rPr>
              <w:t>Namén</w:t>
            </w:r>
            <w:proofErr w:type="spellEnd"/>
            <w:r w:rsidRPr="00417A54">
              <w:rPr>
                <w:rFonts w:ascii="Verdana" w:eastAsia="Aptos" w:hAnsi="Verdana" w:cs="Arial"/>
              </w:rPr>
              <w:t xml:space="preserve"> Vargas.</w:t>
            </w:r>
          </w:p>
          <w:p w14:paraId="7F8BF55F" w14:textId="77777777" w:rsidR="00976832" w:rsidRPr="009C0E98" w:rsidRDefault="00976832" w:rsidP="00B127C4">
            <w:pPr>
              <w:widowControl w:val="0"/>
              <w:numPr>
                <w:ilvl w:val="0"/>
                <w:numId w:val="17"/>
              </w:numPr>
              <w:autoSpaceDE w:val="0"/>
              <w:autoSpaceDN w:val="0"/>
              <w:spacing w:line="276" w:lineRule="auto"/>
              <w:ind w:left="714" w:hanging="357"/>
              <w:jc w:val="both"/>
              <w:rPr>
                <w:rFonts w:ascii="Verdana" w:eastAsia="Aptos" w:hAnsi="Verdana" w:cs="Arial"/>
              </w:rPr>
            </w:pPr>
            <w:r w:rsidRPr="007702D3">
              <w:rPr>
                <w:rFonts w:ascii="Verdana" w:eastAsia="Aptos" w:hAnsi="Verdana" w:cs="Arial"/>
              </w:rPr>
              <w:t>CORTE CONSTITUCIONAL, Sentencia C-382 de 2019, M.P. Alejandro Linares Cantillo.</w:t>
            </w:r>
          </w:p>
        </w:tc>
      </w:tr>
    </w:tbl>
    <w:p w14:paraId="40B6DE4D" w14:textId="77777777" w:rsidR="00976832" w:rsidRPr="00D20014" w:rsidRDefault="00976832" w:rsidP="00976832">
      <w:pPr>
        <w:widowControl w:val="0"/>
        <w:autoSpaceDE w:val="0"/>
        <w:autoSpaceDN w:val="0"/>
        <w:spacing w:after="0" w:line="276" w:lineRule="auto"/>
        <w:jc w:val="both"/>
        <w:rPr>
          <w:rFonts w:ascii="Verdana" w:eastAsia="Aptos" w:hAnsi="Verdana" w:cs="Arial"/>
        </w:rPr>
      </w:pPr>
    </w:p>
    <w:p w14:paraId="427B1221" w14:textId="77777777" w:rsidR="00976832" w:rsidRPr="00D20014" w:rsidRDefault="00976832" w:rsidP="00976832">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Doctrina de la Agencia Nacional de Contratación Pública:</w:t>
      </w:r>
    </w:p>
    <w:p w14:paraId="067353E2" w14:textId="77777777" w:rsidR="00976832" w:rsidRPr="00D20014" w:rsidRDefault="00976832" w:rsidP="00976832">
      <w:pPr>
        <w:widowControl w:val="0"/>
        <w:autoSpaceDE w:val="0"/>
        <w:autoSpaceDN w:val="0"/>
        <w:spacing w:after="0" w:line="276" w:lineRule="auto"/>
        <w:jc w:val="both"/>
        <w:rPr>
          <w:rFonts w:ascii="Verdana" w:eastAsia="Aptos" w:hAnsi="Verdana" w:cs="Arial"/>
        </w:rPr>
      </w:pPr>
    </w:p>
    <w:p w14:paraId="1165BB0E" w14:textId="77777777" w:rsidR="00976832" w:rsidRPr="00944395" w:rsidRDefault="00976832" w:rsidP="00976832">
      <w:pPr>
        <w:widowControl w:val="0"/>
        <w:autoSpaceDE w:val="0"/>
        <w:autoSpaceDN w:val="0"/>
        <w:spacing w:after="0" w:line="276" w:lineRule="auto"/>
        <w:jc w:val="both"/>
        <w:rPr>
          <w:rFonts w:ascii="Verdana" w:eastAsia="Aptos" w:hAnsi="Verdana" w:cs="Arial"/>
          <w:color w:val="FF0000"/>
          <w:shd w:val="clear" w:color="auto" w:fill="FFFFFF"/>
          <w:lang w:val="es-ES"/>
        </w:rPr>
      </w:pPr>
      <w:r>
        <w:rPr>
          <w:rFonts w:ascii="Verdana" w:eastAsia="Calibri" w:hAnsi="Verdana" w:cs="Arial"/>
          <w:lang w:val="es-ES" w:eastAsia="es-ES_tradnl"/>
        </w:rPr>
        <w:t>L</w:t>
      </w:r>
      <w:r w:rsidRPr="00D20014">
        <w:rPr>
          <w:rFonts w:ascii="Verdana" w:eastAsia="Calibri" w:hAnsi="Verdana" w:cs="Arial"/>
          <w:lang w:val="es-ES" w:eastAsia="es-ES_tradnl"/>
        </w:rPr>
        <w:t xml:space="preserve">a </w:t>
      </w:r>
      <w:r w:rsidRPr="00D20014">
        <w:rPr>
          <w:rFonts w:ascii="Verdana" w:eastAsia="Calibri" w:hAnsi="Verdana" w:cs="Arial"/>
          <w:shd w:val="clear" w:color="auto" w:fill="FFFFFF"/>
          <w:lang w:val="es-ES"/>
        </w:rPr>
        <w:t xml:space="preserve">Agencia Nacional de Contratación Pública − Colombia Compra Eficiente, </w:t>
      </w:r>
      <w:r w:rsidRPr="00D20014">
        <w:rPr>
          <w:rFonts w:ascii="Verdana" w:eastAsia="Times New Roman" w:hAnsi="Verdana" w:cs="Arial"/>
          <w:lang w:val="es-ES_tradnl" w:eastAsia="es-ES_tradnl"/>
        </w:rPr>
        <w:t xml:space="preserve">se ha pronunciado sobre </w:t>
      </w:r>
      <w:r w:rsidRPr="00D20014">
        <w:rPr>
          <w:rFonts w:ascii="Verdana" w:eastAsia="Times New Roman" w:hAnsi="Verdana" w:cs="Arial"/>
          <w:lang w:eastAsia="es-ES_tradnl"/>
        </w:rPr>
        <w:t xml:space="preserve">el alcance del artículo 56 de la Ley 2195 de 2022, específicamente, a partir del concepto C-066 del 28 de enero de 2022, cuya tesis se desarrolló y complementó los </w:t>
      </w:r>
      <w:r>
        <w:rPr>
          <w:rFonts w:ascii="Verdana" w:eastAsia="Times New Roman" w:hAnsi="Verdana" w:cs="Arial"/>
          <w:lang w:eastAsia="es-ES_tradnl"/>
        </w:rPr>
        <w:t xml:space="preserve">conceptos </w:t>
      </w:r>
      <w:r w:rsidRPr="00393D3E">
        <w:rPr>
          <w:rFonts w:ascii="Verdana" w:hAnsi="Verdana"/>
        </w:rPr>
        <w:t>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w:t>
      </w:r>
      <w:r>
        <w:rPr>
          <w:rFonts w:ascii="Verdana" w:hAnsi="Verdana"/>
        </w:rPr>
        <w:t>,</w:t>
      </w:r>
      <w:r w:rsidRPr="00393D3E">
        <w:rPr>
          <w:rFonts w:ascii="Verdana" w:hAnsi="Verdana"/>
        </w:rPr>
        <w:t xml:space="preserve"> C-808 del 30 de julio de</w:t>
      </w:r>
      <w:r>
        <w:rPr>
          <w:rFonts w:ascii="Verdana" w:hAnsi="Verdana"/>
        </w:rPr>
        <w:t xml:space="preserve"> </w:t>
      </w:r>
      <w:r w:rsidRPr="00393D3E">
        <w:rPr>
          <w:rFonts w:ascii="Verdana" w:hAnsi="Verdana"/>
        </w:rPr>
        <w:t>2025</w:t>
      </w:r>
      <w:r>
        <w:rPr>
          <w:rFonts w:ascii="Verdana" w:hAnsi="Verdana"/>
        </w:rPr>
        <w:t xml:space="preserve"> y C-870 del 13 de agosto de 2025</w:t>
      </w:r>
      <w:r w:rsidRPr="00393D3E">
        <w:rPr>
          <w:rFonts w:ascii="Verdana" w:hAnsi="Verdana"/>
        </w:rPr>
        <w:t>.</w:t>
      </w:r>
      <w:r>
        <w:rPr>
          <w:rFonts w:ascii="Verdana" w:hAnsi="Verdana"/>
        </w:rPr>
        <w:t xml:space="preserve"> </w:t>
      </w:r>
      <w:r w:rsidRPr="00D20014">
        <w:rPr>
          <w:rFonts w:ascii="Verdana" w:eastAsia="Aptos" w:hAnsi="Verdana" w:cs="Arial"/>
          <w:shd w:val="clear" w:color="auto" w:fill="FFFFFF"/>
          <w:lang w:val="es-ES"/>
        </w:rPr>
        <w:t>Es</w:t>
      </w:r>
      <w:r w:rsidRPr="00D20014">
        <w:rPr>
          <w:rFonts w:ascii="Verdana" w:eastAsia="Aptos" w:hAnsi="Verdana" w:cs="Times New Roman"/>
        </w:rPr>
        <w:t>tos conceptos se encuentran disponibles para consulta en el Sistema de relatoría de la Agencia, al cual se puede acceder a través del siguiente enlace:</w:t>
      </w:r>
      <w:r w:rsidRPr="00D20014">
        <w:rPr>
          <w:rFonts w:ascii="Verdana" w:eastAsia="Aptos" w:hAnsi="Verdana" w:cs="Arial"/>
          <w:shd w:val="clear" w:color="auto" w:fill="FFFFFF"/>
          <w:lang w:val="es-ES"/>
        </w:rPr>
        <w:t xml:space="preserve"> </w:t>
      </w:r>
      <w:hyperlink r:id="rId13" w:history="1">
        <w:r w:rsidRPr="00D20014">
          <w:rPr>
            <w:rFonts w:ascii="Verdana" w:eastAsia="Aptos" w:hAnsi="Verdana" w:cs="Arial"/>
            <w:color w:val="0000FF"/>
            <w:u w:val="single"/>
            <w:shd w:val="clear" w:color="auto" w:fill="FFFFFF"/>
            <w:lang w:val="es-ES"/>
          </w:rPr>
          <w:t>https://relatoria.colombiacompra.gov.co/busqueda/conceptos</w:t>
        </w:r>
      </w:hyperlink>
      <w:r w:rsidRPr="00D20014">
        <w:rPr>
          <w:rFonts w:ascii="Verdana" w:eastAsia="Aptos" w:hAnsi="Verdana" w:cs="Arial"/>
          <w:color w:val="FF0000"/>
          <w:shd w:val="clear" w:color="auto" w:fill="FFFFFF"/>
          <w:lang w:val="es-ES"/>
        </w:rPr>
        <w:t xml:space="preserve">. </w:t>
      </w:r>
    </w:p>
    <w:p w14:paraId="06C5B32C" w14:textId="77777777" w:rsidR="00976832" w:rsidRPr="00D20014" w:rsidRDefault="00976832" w:rsidP="00976832">
      <w:pPr>
        <w:spacing w:after="0" w:line="240" w:lineRule="auto"/>
        <w:jc w:val="both"/>
        <w:rPr>
          <w:rFonts w:ascii="Verdana" w:eastAsia="Calibri" w:hAnsi="Verdana" w:cs="Arial"/>
          <w:color w:val="000000"/>
          <w:shd w:val="clear" w:color="auto" w:fill="FFFFFF"/>
        </w:rPr>
      </w:pPr>
    </w:p>
    <w:p w14:paraId="69776377" w14:textId="77777777" w:rsidR="00976832" w:rsidRPr="0097735F" w:rsidRDefault="00976832" w:rsidP="00976832">
      <w:pPr>
        <w:shd w:val="clear" w:color="auto" w:fill="FFFFFF"/>
        <w:spacing w:after="0" w:line="276" w:lineRule="auto"/>
        <w:jc w:val="both"/>
        <w:rPr>
          <w:rFonts w:ascii="Verdana" w:hAnsi="Verdana"/>
          <w:color w:val="467886"/>
          <w:u w:val="single"/>
        </w:rPr>
      </w:pPr>
      <w:r w:rsidRPr="0097735F">
        <w:rPr>
          <w:rFonts w:ascii="Verdana" w:hAnsi="Verdana"/>
          <w:color w:val="000000"/>
        </w:rPr>
        <w:t>Te informamos que ya se encuentra disponible la </w:t>
      </w:r>
      <w:r w:rsidRPr="0097735F">
        <w:rPr>
          <w:rFonts w:ascii="Verdana" w:hAnsi="Verdana"/>
          <w:b/>
          <w:bCs/>
          <w:color w:val="000000"/>
        </w:rPr>
        <w:t>Guía de lineamientos de transparencia y selección objetiva para el departamento de La Guajira – Objetivo sexto constitucional de la Sentencia T-302 del 2017. </w:t>
      </w:r>
      <w:r w:rsidRPr="0097735F">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w:t>
      </w:r>
      <w:r w:rsidRPr="0097735F">
        <w:rPr>
          <w:rFonts w:ascii="Verdana" w:hAnsi="Verdana"/>
          <w:color w:val="000000"/>
        </w:rPr>
        <w:lastRenderedPageBreak/>
        <w:t xml:space="preserve">fundamentales de los niños y de las niñas del Pueblo </w:t>
      </w:r>
      <w:proofErr w:type="spellStart"/>
      <w:r w:rsidRPr="0097735F">
        <w:rPr>
          <w:rFonts w:ascii="Verdana" w:hAnsi="Verdana"/>
          <w:color w:val="000000"/>
        </w:rPr>
        <w:t>Wayúu</w:t>
      </w:r>
      <w:proofErr w:type="spellEnd"/>
      <w:r w:rsidRPr="0097735F">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97735F">
          <w:rPr>
            <w:rFonts w:ascii="Verdana" w:hAnsi="Verdana"/>
            <w:color w:val="0000FF"/>
            <w:u w:val="single"/>
          </w:rPr>
          <w:t>Guía de lineamientos de transparencia y selección objetiva para el departamento de La Guajira – Objetivo sexto constitucional de la Sentencia T-302 del 2017</w:t>
        </w:r>
      </w:hyperlink>
      <w:r w:rsidRPr="0097735F">
        <w:rPr>
          <w:rFonts w:ascii="Verdana" w:hAnsi="Verdana"/>
          <w:color w:val="000000"/>
          <w:u w:val="single"/>
        </w:rPr>
        <w:t>".</w:t>
      </w:r>
    </w:p>
    <w:p w14:paraId="242FCD2F" w14:textId="77777777" w:rsidR="00976832" w:rsidRPr="00D20014" w:rsidRDefault="00976832" w:rsidP="00976832">
      <w:pPr>
        <w:widowControl w:val="0"/>
        <w:autoSpaceDE w:val="0"/>
        <w:autoSpaceDN w:val="0"/>
        <w:spacing w:after="0" w:line="276" w:lineRule="auto"/>
        <w:jc w:val="both"/>
        <w:rPr>
          <w:rFonts w:ascii="Verdana" w:eastAsia="Aptos" w:hAnsi="Verdana" w:cs="Arial"/>
          <w:color w:val="FF0000"/>
          <w:shd w:val="clear" w:color="auto" w:fill="FFFFFF"/>
          <w:lang w:val="es-ES"/>
        </w:rPr>
      </w:pPr>
    </w:p>
    <w:p w14:paraId="58DF4EB4" w14:textId="77777777" w:rsidR="00976832" w:rsidRPr="00D20014" w:rsidRDefault="00976832" w:rsidP="00976832">
      <w:pPr>
        <w:widowControl w:val="0"/>
        <w:autoSpaceDE w:val="0"/>
        <w:autoSpaceDN w:val="0"/>
        <w:spacing w:after="0" w:line="276" w:lineRule="auto"/>
        <w:jc w:val="both"/>
        <w:rPr>
          <w:rFonts w:ascii="Verdana" w:eastAsia="Aptos" w:hAnsi="Verdana" w:cs="Arial"/>
          <w:lang w:val="es-ES_tradnl"/>
        </w:rPr>
      </w:pPr>
      <w:r w:rsidRPr="00D20014">
        <w:rPr>
          <w:rFonts w:ascii="Verdana" w:eastAsia="Aptos" w:hAnsi="Verdana" w:cs="Arial"/>
        </w:rPr>
        <w:t xml:space="preserve">Este concepto tiene el alcance previsto en el artículo 28 del Código de Procedimiento Administrativo y de lo Contencioso Administrativo </w:t>
      </w:r>
      <w:r w:rsidRPr="00D20014">
        <w:rPr>
          <w:rFonts w:ascii="Verdana" w:eastAsia="Aptos" w:hAnsi="Verdana" w:cs="Arial"/>
          <w:lang w:val="es-ES_tradnl"/>
        </w:rPr>
        <w:t>y las expresiones aquí utilizadas con mayúscula inicial deben ser entendidas con el significado que les otorga el artículo 2.2.1.1.1.3.1. del Decreto 1082 de 2015.</w:t>
      </w:r>
    </w:p>
    <w:p w14:paraId="09DB25F0" w14:textId="77777777" w:rsidR="00976832" w:rsidRPr="00D20014" w:rsidRDefault="00976832" w:rsidP="00976832">
      <w:pPr>
        <w:widowControl w:val="0"/>
        <w:autoSpaceDE w:val="0"/>
        <w:autoSpaceDN w:val="0"/>
        <w:spacing w:after="0" w:line="276" w:lineRule="auto"/>
        <w:jc w:val="both"/>
        <w:rPr>
          <w:rFonts w:ascii="Verdana" w:eastAsia="Aptos" w:hAnsi="Verdana" w:cs="Arial"/>
        </w:rPr>
      </w:pPr>
    </w:p>
    <w:p w14:paraId="374B13CC" w14:textId="77777777" w:rsidR="00976832" w:rsidRPr="00D20014" w:rsidRDefault="00976832" w:rsidP="00976832">
      <w:pPr>
        <w:spacing w:after="0" w:line="240" w:lineRule="auto"/>
        <w:rPr>
          <w:rFonts w:ascii="Verdana" w:eastAsia="Aptos" w:hAnsi="Verdana" w:cs="Arial"/>
          <w:lang w:eastAsia="es-CO"/>
        </w:rPr>
      </w:pPr>
      <w:r w:rsidRPr="00D20014">
        <w:rPr>
          <w:rFonts w:ascii="Verdana" w:eastAsia="Times New Roman" w:hAnsi="Verdana" w:cs="Arial"/>
          <w:lang w:eastAsia="es-CO"/>
        </w:rPr>
        <w:t>Atentamente,</w:t>
      </w:r>
      <w:r w:rsidRPr="00D20014">
        <w:rPr>
          <w:rFonts w:ascii="Verdana" w:eastAsia="Aptos" w:hAnsi="Verdana" w:cs="Arial"/>
          <w:lang w:eastAsia="es-CO"/>
        </w:rPr>
        <w:t xml:space="preserve"> </w:t>
      </w:r>
    </w:p>
    <w:p w14:paraId="56434802" w14:textId="77777777" w:rsidR="00976832" w:rsidRPr="00D20014" w:rsidRDefault="00976832" w:rsidP="00976832">
      <w:pPr>
        <w:spacing w:after="0" w:line="240" w:lineRule="auto"/>
        <w:jc w:val="center"/>
        <w:rPr>
          <w:rFonts w:ascii="Aptos" w:eastAsia="Aptos" w:hAnsi="Aptos" w:cs="Times New Roman"/>
          <w:noProof/>
          <w14:ligatures w14:val="standardContextual"/>
        </w:rPr>
      </w:pPr>
    </w:p>
    <w:p w14:paraId="6E2E58D4" w14:textId="77777777" w:rsidR="00976832" w:rsidRPr="00D20014" w:rsidRDefault="00976832" w:rsidP="00976832">
      <w:pPr>
        <w:spacing w:after="0" w:line="240" w:lineRule="auto"/>
        <w:jc w:val="center"/>
        <w:rPr>
          <w:rFonts w:ascii="Verdana" w:eastAsia="Aptos" w:hAnsi="Verdana" w:cs="Arial"/>
          <w:lang w:eastAsia="es-CO"/>
        </w:rPr>
      </w:pPr>
    </w:p>
    <w:p w14:paraId="0312B0A2" w14:textId="5A7D79B6" w:rsidR="00976832" w:rsidRPr="0068390B" w:rsidRDefault="00C55BAE" w:rsidP="00976832">
      <w:pPr>
        <w:spacing w:line="276" w:lineRule="auto"/>
        <w:jc w:val="center"/>
        <w:rPr>
          <w:rFonts w:ascii="Verdana" w:hAnsi="Verdana" w:cs="Arial"/>
          <w:color w:val="000000"/>
          <w:lang w:eastAsia="es-CO"/>
        </w:rPr>
      </w:pPr>
      <w:r>
        <w:rPr>
          <w:noProof/>
        </w:rPr>
        <w:drawing>
          <wp:inline distT="0" distB="0" distL="0" distR="0" wp14:anchorId="1AB32B96" wp14:editId="669BE59E">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76832" w:rsidRPr="0068390B" w14:paraId="5CF6A3DF" w14:textId="77777777" w:rsidTr="00B127C4">
        <w:trPr>
          <w:trHeight w:val="315"/>
        </w:trPr>
        <w:tc>
          <w:tcPr>
            <w:tcW w:w="893" w:type="dxa"/>
            <w:vAlign w:val="center"/>
            <w:hideMark/>
          </w:tcPr>
          <w:p w14:paraId="7F0EF4D0" w14:textId="77777777" w:rsidR="00976832" w:rsidRPr="0068390B" w:rsidRDefault="00976832" w:rsidP="00B127C4">
            <w:pPr>
              <w:contextualSpacing/>
              <w:rPr>
                <w:rFonts w:ascii="Verdana" w:hAnsi="Verdana" w:cs="Arial"/>
                <w:sz w:val="16"/>
                <w:szCs w:val="16"/>
                <w:lang w:eastAsia="es-ES"/>
              </w:rPr>
            </w:pPr>
            <w:r w:rsidRPr="0068390B">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BD2D815" w14:textId="77777777" w:rsidR="00976832" w:rsidRPr="0068390B" w:rsidRDefault="00976832" w:rsidP="00B127C4">
            <w:pPr>
              <w:contextualSpacing/>
              <w:rPr>
                <w:rFonts w:ascii="Verdana" w:hAnsi="Verdana"/>
                <w:sz w:val="16"/>
                <w:szCs w:val="16"/>
              </w:rPr>
            </w:pPr>
            <w:r w:rsidRPr="0068390B">
              <w:rPr>
                <w:rFonts w:ascii="Verdana" w:hAnsi="Verdana"/>
                <w:sz w:val="16"/>
                <w:szCs w:val="16"/>
              </w:rPr>
              <w:t>Tatiana Baquero Iguarán</w:t>
            </w:r>
          </w:p>
          <w:p w14:paraId="62B88C99" w14:textId="77777777" w:rsidR="00976832" w:rsidRPr="0068390B" w:rsidRDefault="00976832" w:rsidP="00B127C4">
            <w:pPr>
              <w:contextualSpacing/>
              <w:rPr>
                <w:rFonts w:ascii="Verdana" w:eastAsia="Arial" w:hAnsi="Verdana" w:cs="Arial"/>
                <w:sz w:val="16"/>
                <w:szCs w:val="16"/>
              </w:rPr>
            </w:pPr>
            <w:r w:rsidRPr="0068390B">
              <w:rPr>
                <w:rFonts w:ascii="Verdana" w:hAnsi="Verdana"/>
                <w:sz w:val="16"/>
                <w:szCs w:val="16"/>
              </w:rPr>
              <w:t>Contratista de la Subdirección de Gestión Contractual</w:t>
            </w:r>
          </w:p>
        </w:tc>
      </w:tr>
      <w:tr w:rsidR="00976832" w:rsidRPr="0068390B" w14:paraId="2CB819F5" w14:textId="77777777" w:rsidTr="00B127C4">
        <w:trPr>
          <w:trHeight w:val="330"/>
        </w:trPr>
        <w:tc>
          <w:tcPr>
            <w:tcW w:w="893" w:type="dxa"/>
            <w:vAlign w:val="center"/>
            <w:hideMark/>
          </w:tcPr>
          <w:p w14:paraId="7CF97720" w14:textId="77777777" w:rsidR="00976832" w:rsidRPr="0068390B" w:rsidRDefault="00976832" w:rsidP="00B127C4">
            <w:pPr>
              <w:contextualSpacing/>
              <w:rPr>
                <w:rFonts w:ascii="Verdana" w:hAnsi="Verdana" w:cs="Arial"/>
                <w:sz w:val="16"/>
                <w:szCs w:val="16"/>
                <w:lang w:eastAsia="es-ES"/>
              </w:rPr>
            </w:pPr>
            <w:r w:rsidRPr="0068390B">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5C1405" w14:textId="77777777" w:rsidR="00976832" w:rsidRPr="0068390B" w:rsidRDefault="00976832" w:rsidP="00B127C4">
            <w:pPr>
              <w:textAlignment w:val="baseline"/>
              <w:rPr>
                <w:rFonts w:ascii="Verdana" w:eastAsia="Times New Roman" w:hAnsi="Verdana" w:cs="Arial"/>
                <w:sz w:val="16"/>
                <w:szCs w:val="16"/>
                <w:lang w:val="es-MX" w:eastAsia="es-CO"/>
              </w:rPr>
            </w:pPr>
            <w:r w:rsidRPr="0068390B">
              <w:rPr>
                <w:rFonts w:ascii="Verdana" w:eastAsia="Times New Roman" w:hAnsi="Verdana" w:cs="Arial"/>
                <w:sz w:val="16"/>
                <w:szCs w:val="16"/>
                <w:lang w:val="es-MX" w:eastAsia="es-CO"/>
              </w:rPr>
              <w:t>Alejandro Raúl Sarmiento Cantillo</w:t>
            </w:r>
          </w:p>
          <w:p w14:paraId="2C78AE01" w14:textId="77777777" w:rsidR="00976832" w:rsidRPr="0068390B" w:rsidRDefault="00976832" w:rsidP="00B127C4">
            <w:pPr>
              <w:spacing w:before="100" w:beforeAutospacing="1" w:after="100" w:afterAutospacing="1"/>
              <w:contextualSpacing/>
              <w:textAlignment w:val="baseline"/>
              <w:rPr>
                <w:rFonts w:ascii="Verdana" w:eastAsia="Times New Roman" w:hAnsi="Verdana" w:cs="Segoe UI"/>
                <w:sz w:val="16"/>
                <w:szCs w:val="16"/>
                <w:lang w:eastAsia="es-ES_tradnl"/>
              </w:rPr>
            </w:pPr>
            <w:r w:rsidRPr="0068390B">
              <w:rPr>
                <w:rFonts w:ascii="Verdana" w:eastAsia="Times New Roman" w:hAnsi="Verdana" w:cs="Arial"/>
                <w:sz w:val="16"/>
                <w:szCs w:val="16"/>
                <w:lang w:val="es-MX" w:eastAsia="es-CO"/>
              </w:rPr>
              <w:t>Gestor T1-15 de la Subdirección de Gestión Contractual</w:t>
            </w:r>
          </w:p>
        </w:tc>
      </w:tr>
      <w:tr w:rsidR="00976832" w:rsidRPr="0068390B" w14:paraId="3E2A510B" w14:textId="77777777" w:rsidTr="00B127C4">
        <w:trPr>
          <w:trHeight w:val="300"/>
        </w:trPr>
        <w:tc>
          <w:tcPr>
            <w:tcW w:w="893" w:type="dxa"/>
            <w:vAlign w:val="center"/>
          </w:tcPr>
          <w:p w14:paraId="2DC88B52" w14:textId="77777777" w:rsidR="00976832" w:rsidRPr="0068390B" w:rsidRDefault="00976832" w:rsidP="00B127C4">
            <w:pPr>
              <w:contextualSpacing/>
              <w:rPr>
                <w:rFonts w:ascii="Verdana" w:hAnsi="Verdana" w:cs="Arial"/>
                <w:sz w:val="16"/>
                <w:szCs w:val="16"/>
                <w:lang w:eastAsia="es-ES"/>
              </w:rPr>
            </w:pPr>
            <w:r w:rsidRPr="0068390B">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1958EED" w14:textId="77777777" w:rsidR="00976832" w:rsidRPr="0068390B" w:rsidRDefault="00976832" w:rsidP="00B127C4">
            <w:pPr>
              <w:contextualSpacing/>
              <w:rPr>
                <w:rFonts w:ascii="Verdana" w:eastAsia="Calibri" w:hAnsi="Verdana" w:cs="Arial"/>
                <w:sz w:val="16"/>
                <w:szCs w:val="16"/>
                <w:lang w:eastAsia="es-ES"/>
              </w:rPr>
            </w:pPr>
            <w:r w:rsidRPr="0068390B">
              <w:rPr>
                <w:rFonts w:ascii="Verdana" w:eastAsia="Calibri" w:hAnsi="Verdana" w:cs="Arial"/>
                <w:sz w:val="16"/>
                <w:szCs w:val="16"/>
                <w:lang w:eastAsia="es-ES"/>
              </w:rPr>
              <w:t xml:space="preserve">Carolina Quintero </w:t>
            </w:r>
            <w:proofErr w:type="spellStart"/>
            <w:r w:rsidRPr="0068390B">
              <w:rPr>
                <w:rFonts w:ascii="Verdana" w:eastAsia="Calibri" w:hAnsi="Verdana" w:cs="Arial"/>
                <w:sz w:val="16"/>
                <w:szCs w:val="16"/>
                <w:lang w:eastAsia="es-ES"/>
              </w:rPr>
              <w:t>Gacharná</w:t>
            </w:r>
            <w:proofErr w:type="spellEnd"/>
          </w:p>
          <w:p w14:paraId="6198CE2C" w14:textId="77777777" w:rsidR="00976832" w:rsidRPr="0068390B" w:rsidRDefault="00976832" w:rsidP="00B127C4">
            <w:pPr>
              <w:contextualSpacing/>
              <w:rPr>
                <w:rFonts w:ascii="Verdana" w:eastAsia="Calibri" w:hAnsi="Verdana" w:cs="Arial"/>
                <w:sz w:val="16"/>
                <w:szCs w:val="16"/>
                <w:lang w:eastAsia="es-ES"/>
              </w:rPr>
            </w:pPr>
            <w:r w:rsidRPr="0068390B">
              <w:rPr>
                <w:rFonts w:ascii="Verdana" w:eastAsia="Calibri" w:hAnsi="Verdana" w:cs="Arial"/>
                <w:sz w:val="16"/>
                <w:szCs w:val="16"/>
                <w:lang w:eastAsia="es-ES"/>
              </w:rPr>
              <w:t>Subdirectora de Gestión Contractual ANCP – CCE</w:t>
            </w:r>
          </w:p>
        </w:tc>
      </w:tr>
    </w:tbl>
    <w:p w14:paraId="7873D6E1" w14:textId="77777777" w:rsidR="00976832" w:rsidRPr="0068390B" w:rsidRDefault="00976832" w:rsidP="00976832"/>
    <w:p w14:paraId="0F07654F" w14:textId="77777777" w:rsidR="00976832" w:rsidRPr="0068390B" w:rsidRDefault="00976832" w:rsidP="00976832">
      <w:pPr>
        <w:spacing w:after="0" w:line="240" w:lineRule="auto"/>
        <w:rPr>
          <w:rFonts w:ascii="Verdana" w:eastAsia="Aptos" w:hAnsi="Verdana" w:cs="Times New Roman"/>
          <w:sz w:val="20"/>
          <w:szCs w:val="20"/>
        </w:rPr>
      </w:pPr>
    </w:p>
    <w:p w14:paraId="29C64D02" w14:textId="77777777" w:rsidR="00976832" w:rsidRDefault="00976832" w:rsidP="00976832">
      <w:pPr>
        <w:spacing w:after="0" w:line="240" w:lineRule="auto"/>
        <w:rPr>
          <w:rFonts w:ascii="Arial" w:eastAsia="Times New Roman" w:hAnsi="Arial" w:cs="Arial"/>
          <w:noProof/>
          <w:color w:val="000000"/>
          <w:szCs w:val="24"/>
          <w:lang w:val="es-ES_tradnl" w:eastAsia="es-ES_tradnl"/>
        </w:rPr>
      </w:pPr>
    </w:p>
    <w:p w14:paraId="3785203E" w14:textId="77777777" w:rsidR="00976832" w:rsidRPr="008F62B2" w:rsidRDefault="00976832" w:rsidP="00976832"/>
    <w:bookmarkEnd w:id="0"/>
    <w:p w14:paraId="5149DDE8" w14:textId="77777777" w:rsidR="00B91F1A" w:rsidRDefault="00B91F1A" w:rsidP="00040C96">
      <w:pPr>
        <w:spacing w:after="0" w:line="240" w:lineRule="auto"/>
        <w:rPr>
          <w:rFonts w:ascii="Verdana" w:eastAsia="Geomanist Light" w:hAnsi="Verdana" w:cs="Arial"/>
          <w:color w:val="000000" w:themeColor="text1"/>
        </w:rPr>
      </w:pPr>
    </w:p>
    <w:sectPr w:rsidR="00B91F1A"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D1AE1" w14:textId="77777777" w:rsidR="003A2C65" w:rsidRDefault="003A2C65" w:rsidP="004A1847">
      <w:pPr>
        <w:spacing w:after="0" w:line="240" w:lineRule="auto"/>
      </w:pPr>
      <w:r>
        <w:separator/>
      </w:r>
    </w:p>
  </w:endnote>
  <w:endnote w:type="continuationSeparator" w:id="0">
    <w:p w14:paraId="53BBF01A" w14:textId="77777777" w:rsidR="003A2C65" w:rsidRDefault="003A2C6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D20014">
      <w:rPr>
        <w:rFonts w:ascii="Verdana" w:eastAsia="Times New Roman" w:hAnsi="Verdana" w:cs="Times New Roman"/>
        <w:b/>
        <w:bCs/>
        <w:sz w:val="16"/>
        <w:szCs w:val="16"/>
        <w:lang w:val="es-ES"/>
      </w:rPr>
      <w:t xml:space="preserve">pág. </w:t>
    </w:r>
    <w:r w:rsidRPr="00D20014">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D20014">
      <w:rPr>
        <w:rFonts w:ascii="Verdana" w:eastAsia="Times New Roman" w:hAnsi="Verdana"/>
        <w:b/>
        <w:bCs/>
        <w:sz w:val="16"/>
        <w:szCs w:val="16"/>
      </w:rPr>
      <w:fldChar w:fldCharType="separate"/>
    </w:r>
    <w:r w:rsidRPr="00D20014">
      <w:rPr>
        <w:rFonts w:ascii="Verdana" w:eastAsia="Times New Roman" w:hAnsi="Verdana"/>
        <w:b/>
        <w:bCs/>
        <w:sz w:val="16"/>
        <w:szCs w:val="16"/>
      </w:rPr>
      <w:t>1</w:t>
    </w:r>
    <w:r w:rsidRPr="00D20014">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6450B" w14:textId="77777777" w:rsidR="003A2C65" w:rsidRDefault="003A2C65" w:rsidP="004A1847">
      <w:pPr>
        <w:spacing w:after="0" w:line="240" w:lineRule="auto"/>
      </w:pPr>
      <w:r>
        <w:separator/>
      </w:r>
    </w:p>
  </w:footnote>
  <w:footnote w:type="continuationSeparator" w:id="0">
    <w:p w14:paraId="1232C4B2" w14:textId="77777777" w:rsidR="003A2C65" w:rsidRDefault="003A2C65" w:rsidP="004A1847">
      <w:pPr>
        <w:spacing w:after="0" w:line="240" w:lineRule="auto"/>
      </w:pPr>
      <w:r>
        <w:continuationSeparator/>
      </w:r>
    </w:p>
  </w:footnote>
  <w:footnote w:id="1">
    <w:p w14:paraId="5AA1F341" w14:textId="77777777" w:rsidR="00976832" w:rsidRPr="008C548F" w:rsidRDefault="00976832" w:rsidP="00976832">
      <w:pPr>
        <w:pStyle w:val="NormalWeb"/>
        <w:spacing w:before="0" w:beforeAutospacing="0" w:after="0" w:afterAutospacing="0"/>
        <w:ind w:firstLine="708"/>
        <w:contextualSpacing/>
        <w:jc w:val="both"/>
        <w:rPr>
          <w:rFonts w:ascii="Verdana" w:hAnsi="Verdana" w:cs="Arial"/>
          <w:color w:val="000000"/>
          <w:sz w:val="14"/>
          <w:szCs w:val="14"/>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Ley 2022 de 2020: “</w:t>
      </w:r>
      <w:r w:rsidRPr="008C548F">
        <w:rPr>
          <w:rStyle w:val="Textoennegrita"/>
          <w:rFonts w:ascii="Verdana" w:hAnsi="Verdana" w:cs="Arial"/>
          <w:b w:val="0"/>
          <w:bCs w:val="0"/>
          <w:color w:val="000000"/>
          <w:sz w:val="14"/>
          <w:szCs w:val="14"/>
        </w:rPr>
        <w:t xml:space="preserve">Artículo 1º. </w:t>
      </w:r>
      <w:r w:rsidRPr="008C548F">
        <w:rPr>
          <w:rFonts w:ascii="Verdana" w:hAnsi="Verdana" w:cs="Arial"/>
          <w:color w:val="000000"/>
          <w:sz w:val="14"/>
          <w:szCs w:val="14"/>
        </w:rPr>
        <w:t>Modifíquese el artículo 4º de la Ley 1882 de 2018, el cual quedará así:</w:t>
      </w:r>
    </w:p>
    <w:p w14:paraId="11FDFD7A" w14:textId="77777777" w:rsidR="00976832" w:rsidRPr="008C548F" w:rsidRDefault="00976832" w:rsidP="00976832">
      <w:pPr>
        <w:pStyle w:val="NormalWeb"/>
        <w:spacing w:before="0" w:beforeAutospacing="0" w:after="0" w:afterAutospacing="0"/>
        <w:ind w:firstLine="708"/>
        <w:contextualSpacing/>
        <w:jc w:val="both"/>
        <w:rPr>
          <w:rFonts w:ascii="Verdana" w:hAnsi="Verdana" w:cs="Arial"/>
          <w:color w:val="000000"/>
          <w:sz w:val="14"/>
          <w:szCs w:val="14"/>
        </w:rPr>
      </w:pPr>
      <w:r w:rsidRPr="008C548F">
        <w:rPr>
          <w:rStyle w:val="Textoennegrita"/>
          <w:rFonts w:ascii="Verdana" w:hAnsi="Verdana" w:cs="Arial"/>
          <w:b w:val="0"/>
          <w:bCs w:val="0"/>
          <w:color w:val="000000"/>
          <w:sz w:val="14"/>
          <w:szCs w:val="14"/>
        </w:rPr>
        <w:t xml:space="preserve">“Artículo 4º. </w:t>
      </w:r>
      <w:r w:rsidRPr="008C548F">
        <w:rPr>
          <w:rFonts w:ascii="Verdana" w:hAnsi="Verdana" w:cs="Arial"/>
          <w:color w:val="000000"/>
          <w:sz w:val="14"/>
          <w:szCs w:val="14"/>
        </w:rPr>
        <w:t>Adiciónese el siguiente parágrafo al artículo 2º de la Ley 1150 de 2007.</w:t>
      </w:r>
    </w:p>
    <w:p w14:paraId="57F1E445" w14:textId="77777777" w:rsidR="00976832" w:rsidRPr="008C548F" w:rsidRDefault="00976832" w:rsidP="00976832">
      <w:pPr>
        <w:pStyle w:val="NormalWeb"/>
        <w:spacing w:before="0" w:beforeAutospacing="0" w:after="0" w:afterAutospacing="0"/>
        <w:ind w:firstLine="708"/>
        <w:contextualSpacing/>
        <w:jc w:val="both"/>
        <w:rPr>
          <w:rFonts w:ascii="Verdana" w:hAnsi="Verdana" w:cs="Arial"/>
          <w:color w:val="000000"/>
          <w:sz w:val="14"/>
          <w:szCs w:val="14"/>
        </w:rPr>
      </w:pPr>
      <w:r w:rsidRPr="008C548F">
        <w:rPr>
          <w:rStyle w:val="Textoennegrita"/>
          <w:rFonts w:ascii="Verdana" w:hAnsi="Verdana" w:cs="Arial"/>
          <w:b w:val="0"/>
          <w:bCs w:val="0"/>
          <w:color w:val="000000"/>
          <w:sz w:val="14"/>
          <w:szCs w:val="14"/>
        </w:rPr>
        <w:t xml:space="preserve">Parágrafo 7º. </w:t>
      </w:r>
      <w:r w:rsidRPr="008C548F">
        <w:rPr>
          <w:rFonts w:ascii="Verdana" w:hAnsi="Verdana" w:cs="Arial"/>
          <w:color w:val="000000"/>
          <w:sz w:val="14"/>
          <w:szCs w:val="14"/>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5CF18AF" w14:textId="77777777" w:rsidR="00976832" w:rsidRPr="008C548F" w:rsidRDefault="00976832" w:rsidP="00976832">
      <w:pPr>
        <w:pStyle w:val="NormalWeb"/>
        <w:spacing w:before="0" w:beforeAutospacing="0" w:after="0" w:afterAutospacing="0"/>
        <w:ind w:firstLine="708"/>
        <w:contextualSpacing/>
        <w:jc w:val="both"/>
        <w:rPr>
          <w:rFonts w:ascii="Verdana" w:hAnsi="Verdana" w:cs="Arial"/>
          <w:color w:val="000000"/>
          <w:sz w:val="14"/>
          <w:szCs w:val="14"/>
        </w:rPr>
      </w:pPr>
      <w:r w:rsidRPr="008C548F">
        <w:rPr>
          <w:rFonts w:ascii="Verdana" w:hAnsi="Verdana" w:cs="Arial"/>
          <w:color w:val="000000"/>
          <w:sz w:val="14"/>
          <w:szCs w:val="14"/>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4F2E7D0" w14:textId="77777777" w:rsidR="00976832" w:rsidRPr="008C548F" w:rsidRDefault="00976832" w:rsidP="00976832">
      <w:pPr>
        <w:pStyle w:val="NormalWeb"/>
        <w:spacing w:before="0" w:beforeAutospacing="0" w:after="0" w:afterAutospacing="0"/>
        <w:ind w:firstLine="708"/>
        <w:contextualSpacing/>
        <w:jc w:val="both"/>
        <w:rPr>
          <w:rFonts w:ascii="Verdana" w:hAnsi="Verdana" w:cs="Arial"/>
          <w:color w:val="000000"/>
          <w:sz w:val="14"/>
          <w:szCs w:val="14"/>
        </w:rPr>
      </w:pPr>
      <w:r w:rsidRPr="008C548F">
        <w:rPr>
          <w:rFonts w:ascii="Verdana" w:hAnsi="Verdana" w:cs="Arial"/>
          <w:color w:val="000000"/>
          <w:sz w:val="14"/>
          <w:szCs w:val="14"/>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5B3E251" w14:textId="77777777" w:rsidR="00976832" w:rsidRPr="008C548F" w:rsidRDefault="00976832" w:rsidP="00976832">
      <w:pPr>
        <w:pStyle w:val="NormalWeb"/>
        <w:spacing w:before="0" w:beforeAutospacing="0" w:after="0" w:afterAutospacing="0"/>
        <w:ind w:firstLine="708"/>
        <w:contextualSpacing/>
        <w:jc w:val="both"/>
        <w:rPr>
          <w:rFonts w:ascii="Verdana" w:hAnsi="Verdana" w:cs="Arial"/>
          <w:color w:val="000000"/>
          <w:sz w:val="14"/>
          <w:szCs w:val="14"/>
        </w:rPr>
      </w:pPr>
      <w:r w:rsidRPr="008C548F">
        <w:rPr>
          <w:rFonts w:ascii="Verdana" w:hAnsi="Verdana" w:cs="Arial"/>
          <w:color w:val="000000"/>
          <w:sz w:val="14"/>
          <w:szCs w:val="14"/>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0FE0968" w14:textId="77777777" w:rsidR="00976832" w:rsidRPr="008C548F" w:rsidRDefault="00976832" w:rsidP="00976832">
      <w:pPr>
        <w:pStyle w:val="NormalWeb"/>
        <w:spacing w:before="0" w:beforeAutospacing="0" w:after="0" w:afterAutospacing="0"/>
        <w:ind w:firstLine="708"/>
        <w:contextualSpacing/>
        <w:jc w:val="both"/>
        <w:rPr>
          <w:rFonts w:ascii="Verdana" w:hAnsi="Verdana" w:cs="Arial"/>
          <w:color w:val="000000"/>
          <w:sz w:val="14"/>
          <w:szCs w:val="14"/>
        </w:rPr>
      </w:pPr>
      <w:r w:rsidRPr="008C548F">
        <w:rPr>
          <w:rFonts w:ascii="Verdana" w:hAnsi="Verdana" w:cs="Arial"/>
          <w:color w:val="000000"/>
          <w:sz w:val="14"/>
          <w:szCs w:val="14"/>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2">
    <w:p w14:paraId="1CBB954D" w14:textId="77777777" w:rsidR="00976832" w:rsidRPr="008C548F" w:rsidRDefault="00976832" w:rsidP="00976832">
      <w:pPr>
        <w:pStyle w:val="Textonotapie"/>
        <w:ind w:firstLine="708"/>
        <w:contextualSpacing/>
        <w:jc w:val="both"/>
        <w:rPr>
          <w:rFonts w:ascii="Verdana" w:hAnsi="Verdana" w:cs="Arial"/>
          <w:color w:val="000000"/>
          <w:sz w:val="14"/>
          <w:szCs w:val="14"/>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Los Documentos Tipo expedidos por la Agencia Nacional de Contratación Pública – Colombia Compra Eficiente pueden ser consultados en el siguiente enlace: </w:t>
      </w:r>
      <w:hyperlink r:id="rId1" w:history="1">
        <w:r w:rsidRPr="008C548F">
          <w:rPr>
            <w:rStyle w:val="Hipervnculo"/>
            <w:rFonts w:ascii="Verdana" w:hAnsi="Verdana" w:cs="Arial"/>
            <w:color w:val="000000"/>
            <w:sz w:val="14"/>
            <w:szCs w:val="14"/>
          </w:rPr>
          <w:t>https://www.colombiacompra.gov.co/documentos-tipo/documentos-tipo</w:t>
        </w:r>
      </w:hyperlink>
      <w:r w:rsidRPr="008C548F">
        <w:rPr>
          <w:rFonts w:ascii="Verdana" w:hAnsi="Verdana" w:cs="Arial"/>
          <w:color w:val="000000"/>
          <w:sz w:val="14"/>
          <w:szCs w:val="14"/>
        </w:rPr>
        <w:t xml:space="preserve"> </w:t>
      </w:r>
    </w:p>
  </w:footnote>
  <w:footnote w:id="3">
    <w:p w14:paraId="635B7F7D" w14:textId="77777777" w:rsidR="00976832" w:rsidRPr="008C548F" w:rsidRDefault="00976832" w:rsidP="00976832">
      <w:pPr>
        <w:pStyle w:val="Textonotapie"/>
        <w:ind w:firstLine="708"/>
        <w:contextualSpacing/>
        <w:jc w:val="both"/>
        <w:rPr>
          <w:rFonts w:ascii="Verdana" w:hAnsi="Verdana" w:cs="Arial"/>
          <w:color w:val="000000"/>
          <w:sz w:val="14"/>
          <w:szCs w:val="14"/>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4">
    <w:p w14:paraId="4836DA6B" w14:textId="77777777" w:rsidR="00976832" w:rsidRPr="008C548F" w:rsidRDefault="00976832" w:rsidP="00976832">
      <w:pPr>
        <w:pStyle w:val="Textonotapie"/>
        <w:ind w:firstLine="709"/>
        <w:jc w:val="both"/>
        <w:rPr>
          <w:rFonts w:ascii="Verdana" w:hAnsi="Verdana" w:cs="Arial"/>
          <w:color w:val="000000"/>
          <w:sz w:val="14"/>
          <w:szCs w:val="14"/>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CONGRESO DE LA REPÚBLICA. Gaceta </w:t>
      </w:r>
      <w:r w:rsidRPr="008C548F">
        <w:rPr>
          <w:rFonts w:ascii="Verdana" w:hAnsi="Verdana" w:cs="Arial"/>
          <w:color w:val="000000"/>
          <w:sz w:val="14"/>
          <w:szCs w:val="14"/>
        </w:rPr>
        <w:t>Nº 1677 del 23 de noviembre de 2021. Justificación jurídica del Proyecto de Ley No. 226 de 2021 Cámara. p. 15.</w:t>
      </w:r>
      <w:r w:rsidRPr="008C548F">
        <w:rPr>
          <w:rFonts w:ascii="Verdana" w:hAnsi="Verdana" w:cs="Arial"/>
          <w:color w:val="000000"/>
          <w:sz w:val="14"/>
          <w:szCs w:val="14"/>
        </w:rPr>
        <w:cr/>
      </w:r>
    </w:p>
  </w:footnote>
  <w:footnote w:id="5">
    <w:p w14:paraId="7B6605F2" w14:textId="77777777" w:rsidR="00976832" w:rsidRPr="008C548F" w:rsidRDefault="00976832" w:rsidP="00976832">
      <w:pPr>
        <w:pStyle w:val="Textonotapie"/>
        <w:ind w:firstLine="709"/>
        <w:rPr>
          <w:sz w:val="14"/>
          <w:szCs w:val="14"/>
          <w:lang w:val="es-CO"/>
        </w:rPr>
      </w:pPr>
      <w:r w:rsidRPr="008C548F">
        <w:rPr>
          <w:rStyle w:val="Refdenotaalpie"/>
          <w:sz w:val="14"/>
          <w:szCs w:val="14"/>
        </w:rPr>
        <w:footnoteRef/>
      </w:r>
      <w:r w:rsidRPr="008C548F">
        <w:rPr>
          <w:sz w:val="14"/>
          <w:szCs w:val="14"/>
        </w:rPr>
        <w:t xml:space="preserve"> </w:t>
      </w:r>
      <w:r w:rsidRPr="008C548F">
        <w:rPr>
          <w:rFonts w:ascii="Verdana" w:hAnsi="Verdana" w:cs="Arial"/>
          <w:sz w:val="14"/>
          <w:szCs w:val="14"/>
        </w:rPr>
        <w:t xml:space="preserve">Consejo de Estado -Sección Tercera-. Sentencia del </w:t>
      </w:r>
      <w:r w:rsidRPr="008C548F">
        <w:rPr>
          <w:rFonts w:ascii="Verdana" w:hAnsi="Verdana" w:cs="Arial"/>
          <w:bCs/>
          <w:iCs/>
          <w:sz w:val="14"/>
          <w:szCs w:val="14"/>
        </w:rPr>
        <w:t>21 de febrero de 2025. Radicación Número: 68.280. CP: José Roberto Sáchica Méndez.</w:t>
      </w:r>
    </w:p>
  </w:footnote>
  <w:footnote w:id="6">
    <w:p w14:paraId="13FF1545" w14:textId="77777777" w:rsidR="00976832" w:rsidRPr="008C548F" w:rsidRDefault="00976832" w:rsidP="00976832">
      <w:pPr>
        <w:pStyle w:val="Textonotapie"/>
        <w:ind w:firstLine="567"/>
        <w:jc w:val="both"/>
        <w:rPr>
          <w:rFonts w:ascii="Verdana" w:hAnsi="Verdana"/>
          <w:sz w:val="14"/>
          <w:szCs w:val="14"/>
          <w:lang w:val="es-CO"/>
        </w:rPr>
      </w:pPr>
      <w:r w:rsidRPr="008C548F">
        <w:rPr>
          <w:rStyle w:val="Refdenotaalpie"/>
          <w:rFonts w:ascii="Verdana" w:hAnsi="Verdana"/>
          <w:sz w:val="14"/>
          <w:szCs w:val="14"/>
        </w:rPr>
        <w:footnoteRef/>
      </w:r>
      <w:r w:rsidRPr="008C548F">
        <w:rPr>
          <w:rFonts w:ascii="Verdana" w:hAnsi="Verdana"/>
          <w:sz w:val="14"/>
          <w:szCs w:val="14"/>
        </w:rPr>
        <w:t xml:space="preserve"> </w:t>
      </w:r>
      <w:r w:rsidRPr="008C548F">
        <w:rPr>
          <w:rFonts w:ascii="Verdana" w:hAnsi="Verdana"/>
          <w:sz w:val="14"/>
          <w:szCs w:val="14"/>
          <w:lang w:val="es-CO"/>
        </w:rPr>
        <w:t xml:space="preserve"> “1o. Se denominan entidades estatales: </w:t>
      </w:r>
    </w:p>
    <w:p w14:paraId="3BDFB163" w14:textId="77777777" w:rsidR="00976832" w:rsidRPr="008C548F" w:rsidRDefault="00976832" w:rsidP="00976832">
      <w:pPr>
        <w:pStyle w:val="Textonotapie"/>
        <w:ind w:firstLine="567"/>
        <w:jc w:val="both"/>
        <w:rPr>
          <w:rFonts w:ascii="Verdana" w:hAnsi="Verdana"/>
          <w:sz w:val="14"/>
          <w:szCs w:val="14"/>
          <w:lang w:val="es-CO"/>
        </w:rPr>
      </w:pPr>
      <w:r w:rsidRPr="008C548F">
        <w:rPr>
          <w:rFonts w:ascii="Verdana" w:hAnsi="Verdana"/>
          <w:sz w:val="14"/>
          <w:szCs w:val="14"/>
          <w:lang w:val="es-CO"/>
        </w:rPr>
        <w:t xml:space="preserve">a) La Nación, las regiones, los departamentos, las provincias, el distrito capital y los distritos especiales, las áreas metropolitanas, las asociaciones de municipios, los territorios indígenas y los municipios; los establecimientos públicos, </w:t>
      </w:r>
      <w:r w:rsidRPr="008C548F">
        <w:rPr>
          <w:rFonts w:ascii="Verdana" w:hAnsi="Verdana"/>
          <w:i/>
          <w:sz w:val="14"/>
          <w:szCs w:val="14"/>
          <w:u w:val="single"/>
          <w:lang w:val="es-CO"/>
        </w:rPr>
        <w:t>las empresas industriales y comerciales del Estado</w:t>
      </w:r>
      <w:r w:rsidRPr="008C548F">
        <w:rPr>
          <w:rFonts w:ascii="Verdana" w:hAnsi="Verdana"/>
          <w:sz w:val="14"/>
          <w:szCs w:val="14"/>
          <w:lang w:val="es-CO"/>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del texto original]</w:t>
      </w:r>
    </w:p>
  </w:footnote>
  <w:footnote w:id="7">
    <w:p w14:paraId="0FA4FB15" w14:textId="77777777" w:rsidR="00976832" w:rsidRPr="008C548F" w:rsidRDefault="00976832" w:rsidP="00976832">
      <w:pPr>
        <w:pStyle w:val="Textonotapie"/>
        <w:ind w:firstLine="709"/>
        <w:contextualSpacing/>
        <w:jc w:val="both"/>
        <w:rPr>
          <w:rFonts w:ascii="Verdana" w:hAnsi="Verdana" w:cs="Arial"/>
          <w:color w:val="000000"/>
          <w:sz w:val="14"/>
          <w:szCs w:val="14"/>
          <w:lang w:val="es-ES"/>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w:t>
      </w:r>
      <w:r w:rsidRPr="008C548F">
        <w:rPr>
          <w:rFonts w:ascii="Verdana" w:hAnsi="Verdana" w:cs="Arial"/>
          <w:color w:val="000000"/>
          <w:sz w:val="14"/>
          <w:szCs w:val="14"/>
          <w:lang w:val="es-ES"/>
        </w:rPr>
        <w:t xml:space="preserve">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w:t>
      </w:r>
      <w:r w:rsidRPr="008C548F">
        <w:rPr>
          <w:rFonts w:ascii="Verdana" w:hAnsi="Verdana" w:cs="Arial"/>
          <w:color w:val="000000"/>
          <w:sz w:val="14"/>
          <w:szCs w:val="14"/>
          <w:lang w:val="es-ES"/>
        </w:rPr>
        <w:t xml:space="preserve">los mismos en un caso particular no nos la resuelve o determina con exactitud la propia Ley que los ha creado y de cuya aplicación se trata”. (GARCÍA DE ENTERRÍA, Eduardo. La lucha contra las inmunidades del poder en el derecho administrativo. 3ª ed. Madrid: </w:t>
      </w:r>
      <w:r w:rsidRPr="008C548F">
        <w:rPr>
          <w:rFonts w:ascii="Verdana" w:hAnsi="Verdana" w:cs="Arial"/>
          <w:color w:val="000000"/>
          <w:sz w:val="14"/>
          <w:szCs w:val="14"/>
          <w:lang w:val="es-ES"/>
        </w:rPr>
        <w:t>Civitas, 1983. pp. 33-34).</w:t>
      </w:r>
    </w:p>
  </w:footnote>
  <w:footnote w:id="8">
    <w:p w14:paraId="47411F7B" w14:textId="77777777" w:rsidR="00976832" w:rsidRPr="008C548F" w:rsidRDefault="00976832" w:rsidP="00976832">
      <w:pPr>
        <w:pStyle w:val="Textonotapie"/>
        <w:ind w:firstLine="709"/>
        <w:contextualSpacing/>
        <w:jc w:val="both"/>
        <w:rPr>
          <w:rFonts w:ascii="Verdana" w:hAnsi="Verdana" w:cs="Arial"/>
          <w:color w:val="000000"/>
          <w:sz w:val="14"/>
          <w:szCs w:val="14"/>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CORTE CONSTITUCIONAL, Sentencia C-382 de 2019, M.P. Alejandro Linares Cantillo.</w:t>
      </w:r>
    </w:p>
  </w:footnote>
  <w:footnote w:id="9">
    <w:p w14:paraId="28619D22" w14:textId="77777777" w:rsidR="00976832" w:rsidRPr="008C548F" w:rsidRDefault="00976832" w:rsidP="00976832">
      <w:pPr>
        <w:pStyle w:val="Textonotapie"/>
        <w:ind w:firstLine="709"/>
        <w:contextualSpacing/>
        <w:jc w:val="both"/>
        <w:rPr>
          <w:rFonts w:ascii="Verdana" w:hAnsi="Verdana" w:cs="Arial"/>
          <w:color w:val="000000"/>
          <w:sz w:val="14"/>
          <w:szCs w:val="14"/>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footnote>
  <w:footnote w:id="10">
    <w:p w14:paraId="43D5E6F6" w14:textId="77777777" w:rsidR="00976832" w:rsidRPr="008C548F" w:rsidRDefault="00976832" w:rsidP="00976832">
      <w:pPr>
        <w:pStyle w:val="Textonotapie"/>
        <w:ind w:firstLine="709"/>
        <w:contextualSpacing/>
        <w:jc w:val="both"/>
        <w:rPr>
          <w:rFonts w:ascii="Verdana" w:hAnsi="Verdana" w:cs="Arial"/>
          <w:color w:val="000000"/>
          <w:sz w:val="14"/>
          <w:szCs w:val="14"/>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CONSEJO DE ESTADO. Sección Tercera. Subsección B. Sentencia del 12 de octubre de 2011. </w:t>
      </w:r>
      <w:r w:rsidRPr="008C548F">
        <w:rPr>
          <w:rFonts w:ascii="Verdana" w:hAnsi="Verdana" w:cs="Arial"/>
          <w:color w:val="000000"/>
          <w:sz w:val="14"/>
          <w:szCs w:val="14"/>
        </w:rPr>
        <w:t>Exp. No. 20070. C.P. Danilo Rojas Betancourt.</w:t>
      </w:r>
    </w:p>
  </w:footnote>
  <w:footnote w:id="11">
    <w:p w14:paraId="000A3B65" w14:textId="77777777" w:rsidR="00976832" w:rsidRPr="008C548F" w:rsidRDefault="00976832" w:rsidP="00976832">
      <w:pPr>
        <w:tabs>
          <w:tab w:val="left" w:pos="0"/>
        </w:tabs>
        <w:spacing w:after="0" w:line="240" w:lineRule="auto"/>
        <w:contextualSpacing/>
        <w:jc w:val="both"/>
        <w:rPr>
          <w:rFonts w:ascii="Verdana" w:eastAsia="Calibri" w:hAnsi="Verdana" w:cs="Arial"/>
          <w:color w:val="000000"/>
          <w:sz w:val="14"/>
          <w:szCs w:val="14"/>
          <w:lang w:val="es-ES_tradnl" w:eastAsia="es-ES_tradnl"/>
        </w:rPr>
      </w:pPr>
      <w:r w:rsidRPr="008C548F">
        <w:rPr>
          <w:rFonts w:ascii="Verdana" w:hAnsi="Verdana" w:cs="Arial"/>
          <w:color w:val="000000"/>
          <w:sz w:val="14"/>
          <w:szCs w:val="14"/>
        </w:rPr>
        <w:tab/>
      </w: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CONSEJO DE ESTADO. Sección Tercera. Subsección A. Sentencia del 3 de marzo de 2021. </w:t>
      </w:r>
      <w:r w:rsidRPr="008C548F">
        <w:rPr>
          <w:rFonts w:ascii="Verdana" w:hAnsi="Verdana" w:cs="Arial"/>
          <w:color w:val="000000"/>
          <w:sz w:val="14"/>
          <w:szCs w:val="14"/>
        </w:rPr>
        <w:t xml:space="preserve">Exp. No. 51373. C.P. José Roberto Sáchica Méndez. </w:t>
      </w:r>
      <w:r w:rsidRPr="008C548F">
        <w:rPr>
          <w:rFonts w:ascii="Verdana" w:eastAsia="Calibri" w:hAnsi="Verdana" w:cs="Arial"/>
          <w:color w:val="000000"/>
          <w:sz w:val="14"/>
          <w:szCs w:val="14"/>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12">
    <w:p w14:paraId="239544DF" w14:textId="77777777" w:rsidR="00976832" w:rsidRPr="008C548F" w:rsidRDefault="00976832" w:rsidP="00976832">
      <w:pPr>
        <w:pStyle w:val="Textonotapie"/>
        <w:ind w:firstLine="708"/>
        <w:contextualSpacing/>
        <w:jc w:val="both"/>
        <w:rPr>
          <w:rFonts w:ascii="Verdana" w:hAnsi="Verdana" w:cs="Arial"/>
          <w:color w:val="000000"/>
          <w:sz w:val="14"/>
          <w:szCs w:val="14"/>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13">
    <w:p w14:paraId="307FD4D0" w14:textId="77777777" w:rsidR="00976832" w:rsidRPr="008C548F" w:rsidRDefault="00976832" w:rsidP="00976832">
      <w:pPr>
        <w:pStyle w:val="Textonotapie"/>
        <w:ind w:firstLine="709"/>
        <w:contextualSpacing/>
        <w:jc w:val="both"/>
        <w:rPr>
          <w:rFonts w:ascii="Verdana" w:hAnsi="Verdana" w:cs="Arial"/>
          <w:color w:val="000000"/>
          <w:sz w:val="14"/>
          <w:szCs w:val="14"/>
        </w:rPr>
      </w:pPr>
      <w:r w:rsidRPr="008C548F">
        <w:rPr>
          <w:rStyle w:val="Refdenotaalpie"/>
          <w:rFonts w:ascii="Verdana" w:hAnsi="Verdana" w:cs="Arial"/>
          <w:color w:val="000000"/>
          <w:sz w:val="14"/>
          <w:szCs w:val="14"/>
        </w:rPr>
        <w:footnoteRef/>
      </w:r>
      <w:r w:rsidRPr="008C548F">
        <w:rPr>
          <w:rFonts w:ascii="Verdana" w:hAnsi="Verdana" w:cs="Arial"/>
          <w:color w:val="000000"/>
          <w:sz w:val="14"/>
          <w:szCs w:val="14"/>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31400B6" w14:textId="77777777" w:rsidR="00976832" w:rsidRPr="008C548F" w:rsidRDefault="00976832" w:rsidP="00976832">
      <w:pPr>
        <w:pStyle w:val="Textonotapie"/>
        <w:ind w:firstLine="709"/>
        <w:contextualSpacing/>
        <w:jc w:val="both"/>
        <w:rPr>
          <w:rFonts w:ascii="Verdana" w:hAnsi="Verdana" w:cs="Arial"/>
          <w:color w:val="000000"/>
          <w:sz w:val="14"/>
          <w:szCs w:val="14"/>
        </w:rPr>
      </w:pPr>
      <w:r w:rsidRPr="008C548F">
        <w:rPr>
          <w:rFonts w:ascii="Verdana" w:hAnsi="Verdana" w:cs="Arial"/>
          <w:color w:val="000000"/>
          <w:sz w:val="14"/>
          <w:szCs w:val="14"/>
        </w:rPr>
        <w:t xml:space="preserve">“En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w:t>
      </w:r>
      <w:r w:rsidRPr="008C548F">
        <w:rPr>
          <w:rFonts w:ascii="Verdana" w:hAnsi="Verdana" w:cs="Arial"/>
          <w:color w:val="000000"/>
          <w:sz w:val="14"/>
          <w:szCs w:val="14"/>
        </w:rPr>
        <w:t>Exp. No. 11575. C.P. Alier E. Hernández Enríquez).</w:t>
      </w:r>
    </w:p>
  </w:footnote>
  <w:footnote w:id="14">
    <w:p w14:paraId="216C1518" w14:textId="77777777" w:rsidR="00976832" w:rsidRPr="008C548F" w:rsidRDefault="00976832" w:rsidP="00976832">
      <w:pPr>
        <w:pStyle w:val="Textonotapie"/>
        <w:ind w:firstLine="709"/>
        <w:jc w:val="both"/>
        <w:rPr>
          <w:rFonts w:ascii="Verdana" w:hAnsi="Verdana" w:cs="Arial"/>
          <w:color w:val="000000"/>
          <w:sz w:val="14"/>
          <w:szCs w:val="14"/>
        </w:rPr>
      </w:pPr>
      <w:r w:rsidRPr="008C548F">
        <w:rPr>
          <w:rStyle w:val="Refdenotaalpie"/>
          <w:rFonts w:ascii="Verdana" w:hAnsi="Verdana" w:cs="Arial"/>
          <w:sz w:val="14"/>
          <w:szCs w:val="14"/>
        </w:rPr>
        <w:footnoteRef/>
      </w:r>
      <w:r w:rsidRPr="008C548F">
        <w:rPr>
          <w:rFonts w:ascii="Verdana" w:hAnsi="Verdana" w:cs="Arial"/>
          <w:color w:val="000000"/>
          <w:sz w:val="14"/>
          <w:szCs w:val="14"/>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w:t>
      </w:r>
      <w:r w:rsidRPr="008C548F">
        <w:rPr>
          <w:rFonts w:ascii="Verdana" w:hAnsi="Verdana" w:cs="Arial"/>
          <w:color w:val="000000"/>
          <w:sz w:val="14"/>
          <w:szCs w:val="14"/>
        </w:rPr>
        <w:t>Nº 1677 del 23 de noviembre de 2021. Justificación jurídica del Proyecto de Ley No. 226 de 2021 Cámara. p. 15.</w:t>
      </w:r>
      <w:r w:rsidRPr="008C548F">
        <w:rPr>
          <w:rFonts w:ascii="Verdana" w:hAnsi="Verdana" w:cs="Arial"/>
          <w:color w:val="000000"/>
          <w:sz w:val="14"/>
          <w:szCs w:val="14"/>
        </w:rPr>
        <w:cr/>
      </w:r>
    </w:p>
  </w:footnote>
  <w:footnote w:id="15">
    <w:p w14:paraId="4A71FE6D" w14:textId="77777777" w:rsidR="00976832" w:rsidRPr="008C548F" w:rsidRDefault="00976832" w:rsidP="00976832">
      <w:pPr>
        <w:pStyle w:val="Textonotapie"/>
        <w:ind w:firstLine="709"/>
        <w:jc w:val="both"/>
        <w:rPr>
          <w:rFonts w:ascii="Verdana" w:hAnsi="Verdana" w:cs="Arial"/>
          <w:color w:val="000000"/>
          <w:sz w:val="14"/>
          <w:szCs w:val="14"/>
        </w:rPr>
      </w:pPr>
      <w:r w:rsidRPr="008C548F">
        <w:rPr>
          <w:rStyle w:val="Refdenotaalpie"/>
          <w:rFonts w:ascii="Verdana" w:hAnsi="Verdana" w:cs="Arial"/>
          <w:sz w:val="14"/>
          <w:szCs w:val="14"/>
        </w:rPr>
        <w:footnoteRef/>
      </w:r>
      <w:r w:rsidRPr="008C548F">
        <w:rPr>
          <w:rFonts w:ascii="Verdana" w:hAnsi="Verdana" w:cs="Arial"/>
          <w:color w:val="000000"/>
          <w:sz w:val="14"/>
          <w:szCs w:val="14"/>
        </w:rPr>
        <w:t xml:space="preserve"> Al respecto ha señalado la Corte Constitucional: «En relación con el ámbito de configuración del legislador en materia contractual la jurisprudencia constitucional ha señalado los siguientes criterios:</w:t>
      </w:r>
    </w:p>
    <w:p w14:paraId="123A8B18" w14:textId="77777777" w:rsidR="00976832" w:rsidRPr="008C548F" w:rsidRDefault="00976832" w:rsidP="00976832">
      <w:pPr>
        <w:pStyle w:val="Textonotapie"/>
        <w:ind w:firstLine="709"/>
        <w:jc w:val="both"/>
        <w:rPr>
          <w:rFonts w:ascii="Verdana" w:hAnsi="Verdana" w:cs="Arial"/>
          <w:color w:val="000000"/>
          <w:sz w:val="14"/>
          <w:szCs w:val="14"/>
        </w:rPr>
      </w:pPr>
      <w:r w:rsidRPr="008C548F">
        <w:rPr>
          <w:rFonts w:ascii="Verdana" w:hAnsi="Verdana" w:cs="Arial"/>
          <w:color w:val="000000"/>
          <w:sz w:val="14"/>
          <w:szCs w:val="14"/>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6AF6D5FB" w14:textId="77777777" w:rsidR="00976832" w:rsidRPr="008C548F" w:rsidRDefault="00976832" w:rsidP="00976832">
      <w:pPr>
        <w:pStyle w:val="Textonotapie"/>
        <w:spacing w:after="120"/>
        <w:ind w:firstLine="709"/>
        <w:jc w:val="both"/>
        <w:rPr>
          <w:rFonts w:ascii="Verdana" w:hAnsi="Verdana" w:cs="Arial"/>
          <w:color w:val="000000"/>
          <w:sz w:val="14"/>
          <w:szCs w:val="14"/>
        </w:rPr>
      </w:pPr>
      <w:r w:rsidRPr="008C548F">
        <w:rPr>
          <w:rFonts w:ascii="Verdana" w:hAnsi="Verdana" w:cs="Arial"/>
          <w:color w:val="000000"/>
          <w:sz w:val="14"/>
          <w:szCs w:val="14"/>
        </w:rPr>
        <w:t>(</w:t>
      </w:r>
      <w:r w:rsidRPr="008C548F">
        <w:rPr>
          <w:rFonts w:ascii="Verdana" w:hAnsi="Verdana" w:cs="Arial"/>
          <w:color w:val="000000"/>
          <w:sz w:val="14"/>
          <w:szCs w:val="14"/>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1A7BFC37" w14:textId="77777777" w:rsidR="00976832" w:rsidRPr="008C548F" w:rsidRDefault="00976832" w:rsidP="00976832">
      <w:pPr>
        <w:pStyle w:val="Textonotapie"/>
        <w:ind w:firstLine="709"/>
        <w:jc w:val="both"/>
        <w:rPr>
          <w:rFonts w:ascii="Verdana" w:hAnsi="Verdana" w:cs="Arial"/>
          <w:color w:val="000000"/>
          <w:sz w:val="14"/>
          <w:szCs w:val="14"/>
        </w:rPr>
      </w:pPr>
      <w:r w:rsidRPr="008C548F">
        <w:rPr>
          <w:rFonts w:ascii="Verdana" w:hAnsi="Verdana" w:cs="Arial"/>
          <w:color w:val="000000"/>
          <w:sz w:val="14"/>
          <w:szCs w:val="14"/>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2187918A" w14:textId="77777777" w:rsidR="00976832" w:rsidRPr="008C548F" w:rsidRDefault="00976832" w:rsidP="00976832">
      <w:pPr>
        <w:pStyle w:val="Textonotapie"/>
        <w:ind w:firstLine="709"/>
        <w:jc w:val="both"/>
        <w:rPr>
          <w:rFonts w:ascii="Verdana" w:hAnsi="Verdana" w:cs="Arial"/>
          <w:color w:val="000000"/>
          <w:sz w:val="14"/>
          <w:szCs w:val="14"/>
        </w:rPr>
      </w:pPr>
      <w:r w:rsidRPr="008C548F">
        <w:rPr>
          <w:rFonts w:ascii="Verdana" w:hAnsi="Verdana" w:cs="Arial"/>
          <w:color w:val="000000"/>
          <w:sz w:val="14"/>
          <w:szCs w:val="14"/>
        </w:rPr>
        <w:t xml:space="preserve"> </w:t>
      </w:r>
    </w:p>
  </w:footnote>
  <w:footnote w:id="16">
    <w:p w14:paraId="68E72084" w14:textId="77777777" w:rsidR="00976832" w:rsidRPr="008C548F" w:rsidRDefault="00976832" w:rsidP="00976832">
      <w:pPr>
        <w:pStyle w:val="Textonotapie"/>
        <w:ind w:firstLine="709"/>
        <w:jc w:val="both"/>
        <w:rPr>
          <w:rFonts w:ascii="Verdana" w:hAnsi="Verdana" w:cs="Arial"/>
          <w:color w:val="000000"/>
          <w:sz w:val="14"/>
          <w:szCs w:val="14"/>
        </w:rPr>
      </w:pPr>
      <w:r w:rsidRPr="008C548F">
        <w:rPr>
          <w:rStyle w:val="Refdenotaalpie"/>
          <w:rFonts w:ascii="Verdana" w:hAnsi="Verdana" w:cs="Arial"/>
          <w:sz w:val="14"/>
          <w:szCs w:val="14"/>
        </w:rPr>
        <w:footnoteRef/>
      </w:r>
      <w:r w:rsidRPr="008C548F">
        <w:rPr>
          <w:rFonts w:ascii="Verdana" w:hAnsi="Verdana" w:cs="Arial"/>
          <w:sz w:val="14"/>
          <w:szCs w:val="14"/>
        </w:rPr>
        <w:t xml:space="preserve"> </w:t>
      </w:r>
      <w:r w:rsidRPr="008C548F">
        <w:rPr>
          <w:rFonts w:ascii="Verdana" w:hAnsi="Verdana" w:cs="Arial"/>
          <w:color w:val="000000"/>
          <w:sz w:val="14"/>
          <w:szCs w:val="14"/>
        </w:rPr>
        <w:t xml:space="preserve">Consejo de Estado. Sección Tercera. Subsección A. Sentencia del 24 de junio de 2015. </w:t>
      </w:r>
      <w:r w:rsidRPr="008C548F">
        <w:rPr>
          <w:rFonts w:ascii="Verdana" w:hAnsi="Verdana" w:cs="Arial"/>
          <w:color w:val="000000"/>
          <w:sz w:val="14"/>
          <w:szCs w:val="14"/>
        </w:rPr>
        <w:t>Exp. 40.635. Consejero Ponente: Hernán Andrade Rincón (E).</w:t>
      </w:r>
    </w:p>
    <w:p w14:paraId="05D74970" w14:textId="77777777" w:rsidR="00976832" w:rsidRPr="008C548F" w:rsidRDefault="00976832" w:rsidP="00976832">
      <w:pPr>
        <w:pStyle w:val="Textonotapie"/>
        <w:ind w:firstLine="709"/>
        <w:jc w:val="both"/>
        <w:rPr>
          <w:rFonts w:ascii="Verdana" w:hAnsi="Verdana" w:cs="Arial"/>
          <w:sz w:val="14"/>
          <w:szCs w:val="14"/>
          <w:lang w:val="es-ES"/>
        </w:rPr>
      </w:pPr>
    </w:p>
  </w:footnote>
  <w:footnote w:id="17">
    <w:p w14:paraId="2F290D3A" w14:textId="77777777" w:rsidR="00976832" w:rsidRPr="008C548F" w:rsidRDefault="00976832" w:rsidP="00976832">
      <w:pPr>
        <w:pStyle w:val="Textonotapie"/>
        <w:ind w:firstLine="709"/>
        <w:jc w:val="both"/>
        <w:rPr>
          <w:rFonts w:ascii="Verdana" w:hAnsi="Verdana" w:cs="Arial"/>
          <w:color w:val="000000"/>
          <w:sz w:val="14"/>
          <w:szCs w:val="14"/>
          <w:lang w:val="es-ES"/>
        </w:rPr>
      </w:pPr>
      <w:r w:rsidRPr="008C548F">
        <w:rPr>
          <w:rStyle w:val="Refdenotaalpie"/>
          <w:rFonts w:ascii="Verdana" w:hAnsi="Verdana" w:cs="Arial"/>
          <w:sz w:val="14"/>
          <w:szCs w:val="14"/>
        </w:rPr>
        <w:footnoteRef/>
      </w:r>
      <w:r w:rsidRPr="008C548F">
        <w:rPr>
          <w:rFonts w:ascii="Verdana" w:hAnsi="Verdana" w:cs="Arial"/>
          <w:sz w:val="14"/>
          <w:szCs w:val="14"/>
        </w:rPr>
        <w:t xml:space="preserve"> </w:t>
      </w:r>
      <w:r w:rsidRPr="008C548F">
        <w:rPr>
          <w:rFonts w:ascii="Verdana" w:hAnsi="Verdana" w:cs="Arial"/>
          <w:color w:val="000000"/>
          <w:sz w:val="14"/>
          <w:szCs w:val="14"/>
          <w:lang w:val="es-ES"/>
        </w:rPr>
        <w:t xml:space="preserve">Consejo de Estado. Sala de Consulta y Servicio Civil. Concepto del 30 de abril de 2015. Expediente: 2251. Consejero Ponente: Álvaro </w:t>
      </w:r>
      <w:r w:rsidRPr="008C548F">
        <w:rPr>
          <w:rFonts w:ascii="Verdana" w:hAnsi="Verdana" w:cs="Arial"/>
          <w:color w:val="000000"/>
          <w:sz w:val="14"/>
          <w:szCs w:val="14"/>
          <w:lang w:val="es-ES"/>
        </w:rPr>
        <w:t>Namén Vargas.</w:t>
      </w:r>
    </w:p>
    <w:p w14:paraId="54ED451B" w14:textId="77777777" w:rsidR="00976832" w:rsidRPr="008C548F" w:rsidRDefault="00976832" w:rsidP="00976832">
      <w:pPr>
        <w:pStyle w:val="Textonotapie"/>
        <w:ind w:firstLine="709"/>
        <w:jc w:val="both"/>
        <w:rPr>
          <w:rFonts w:ascii="Verdana" w:hAnsi="Verdana" w:cs="Arial"/>
          <w:sz w:val="14"/>
          <w:szCs w:val="14"/>
          <w:lang w:val="es-ES"/>
        </w:rPr>
      </w:pPr>
    </w:p>
  </w:footnote>
  <w:footnote w:id="18">
    <w:p w14:paraId="2D811140" w14:textId="77777777" w:rsidR="00976832" w:rsidRPr="008C548F" w:rsidRDefault="00976832" w:rsidP="00976832">
      <w:pPr>
        <w:pStyle w:val="Textonotapie"/>
        <w:ind w:firstLine="709"/>
        <w:jc w:val="both"/>
        <w:rPr>
          <w:rFonts w:ascii="Verdana" w:hAnsi="Verdana" w:cs="Arial"/>
          <w:color w:val="000000"/>
          <w:sz w:val="14"/>
          <w:szCs w:val="14"/>
        </w:rPr>
      </w:pPr>
      <w:r w:rsidRPr="008C548F">
        <w:rPr>
          <w:rStyle w:val="Refdenotaalpie"/>
          <w:rFonts w:ascii="Verdana" w:hAnsi="Verdana" w:cs="Arial"/>
          <w:sz w:val="14"/>
          <w:szCs w:val="14"/>
        </w:rPr>
        <w:footnoteRef/>
      </w:r>
      <w:r w:rsidRPr="008C548F">
        <w:rPr>
          <w:rFonts w:ascii="Verdana" w:hAnsi="Verdana" w:cs="Arial"/>
          <w:color w:val="000000"/>
          <w:sz w:val="14"/>
          <w:szCs w:val="14"/>
        </w:rPr>
        <w:t xml:space="preserve"> Código Civil: “Artículo 27. Interpretación Gramatical. Cuando el sentido de la ley sea claro, no se desatenderá su tenor literal a pretexto de consultar su espíritu.</w:t>
      </w:r>
    </w:p>
    <w:p w14:paraId="4B7F8211" w14:textId="77777777" w:rsidR="00976832" w:rsidRPr="008C548F" w:rsidRDefault="00976832" w:rsidP="00976832">
      <w:pPr>
        <w:pStyle w:val="Textonotapie"/>
        <w:ind w:firstLine="709"/>
        <w:jc w:val="both"/>
        <w:rPr>
          <w:rFonts w:ascii="Verdana" w:hAnsi="Verdana" w:cs="Arial"/>
          <w:color w:val="000000"/>
          <w:sz w:val="14"/>
          <w:szCs w:val="14"/>
        </w:rPr>
      </w:pPr>
      <w:r w:rsidRPr="008C548F">
        <w:rPr>
          <w:rFonts w:ascii="Verdana" w:hAnsi="Verdana" w:cs="Arial"/>
          <w:color w:val="000000"/>
          <w:sz w:val="14"/>
          <w:szCs w:val="14"/>
        </w:rPr>
        <w:t>»Pero bien se puede, para interpretar una expresión oscura de la ley, recurrir a su intención o espíritu, claramente manifestados en ella misma o en la historia fidedigna de su establecimiento”.</w:t>
      </w:r>
    </w:p>
  </w:footnote>
  <w:footnote w:id="19">
    <w:p w14:paraId="75AD9A64" w14:textId="77777777" w:rsidR="00976832" w:rsidRPr="008C548F" w:rsidRDefault="00976832" w:rsidP="00976832">
      <w:pPr>
        <w:pStyle w:val="Textonotapie"/>
        <w:ind w:firstLine="708"/>
        <w:jc w:val="both"/>
        <w:rPr>
          <w:rFonts w:ascii="Verdana" w:hAnsi="Verdana" w:cs="Arial"/>
          <w:sz w:val="14"/>
          <w:szCs w:val="14"/>
        </w:rPr>
      </w:pPr>
    </w:p>
    <w:p w14:paraId="2008F4D4" w14:textId="77777777" w:rsidR="00976832" w:rsidRPr="008C548F" w:rsidRDefault="00976832" w:rsidP="00976832">
      <w:pPr>
        <w:ind w:firstLine="708"/>
        <w:jc w:val="both"/>
        <w:rPr>
          <w:rFonts w:ascii="Verdana" w:hAnsi="Verdana" w:cs="Arial"/>
          <w:sz w:val="14"/>
          <w:szCs w:val="14"/>
          <w:lang w:val="es-MX"/>
        </w:rPr>
      </w:pPr>
      <w:r w:rsidRPr="008C548F">
        <w:rPr>
          <w:rStyle w:val="Refdenotaalpie"/>
          <w:rFonts w:ascii="Verdana" w:hAnsi="Verdana" w:cs="Arial"/>
          <w:sz w:val="14"/>
          <w:szCs w:val="14"/>
        </w:rPr>
        <w:footnoteRef/>
      </w:r>
      <w:r w:rsidRPr="008C548F">
        <w:rPr>
          <w:rFonts w:ascii="Verdana" w:hAnsi="Verdana" w:cs="Arial"/>
          <w:sz w:val="14"/>
          <w:szCs w:val="14"/>
        </w:rPr>
        <w:t xml:space="preserve"> Código Civil: “</w:t>
      </w:r>
      <w:r w:rsidRPr="008C548F">
        <w:rPr>
          <w:rFonts w:ascii="Verdana" w:hAnsi="Verdana" w:cs="Arial"/>
          <w:sz w:val="14"/>
          <w:szCs w:val="14"/>
          <w:lang w:val="es-MX"/>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1C06310"/>
    <w:multiLevelType w:val="multilevel"/>
    <w:tmpl w:val="7F3A51E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3E640F8"/>
    <w:multiLevelType w:val="hybridMultilevel"/>
    <w:tmpl w:val="54CC6736"/>
    <w:lvl w:ilvl="0" w:tplc="1B2CF1F2">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6510317"/>
    <w:multiLevelType w:val="hybridMultilevel"/>
    <w:tmpl w:val="8F16C2A4"/>
    <w:lvl w:ilvl="0" w:tplc="5A6AF5B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0"/>
  </w:num>
  <w:num w:numId="16" w16cid:durableId="1330140246">
    <w:abstractNumId w:val="0"/>
  </w:num>
  <w:num w:numId="17" w16cid:durableId="679089576">
    <w:abstractNumId w:val="9"/>
  </w:num>
  <w:num w:numId="18" w16cid:durableId="336007235">
    <w:abstractNumId w:val="11"/>
  </w:num>
  <w:num w:numId="19" w16cid:durableId="16480510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B4A"/>
    <w:rsid w:val="00013F86"/>
    <w:rsid w:val="00016F78"/>
    <w:rsid w:val="00027F54"/>
    <w:rsid w:val="00030C53"/>
    <w:rsid w:val="00035FF0"/>
    <w:rsid w:val="000376E3"/>
    <w:rsid w:val="00040C96"/>
    <w:rsid w:val="00046945"/>
    <w:rsid w:val="00047E92"/>
    <w:rsid w:val="00060061"/>
    <w:rsid w:val="00061B2A"/>
    <w:rsid w:val="0006393C"/>
    <w:rsid w:val="0007765B"/>
    <w:rsid w:val="00082362"/>
    <w:rsid w:val="00083D82"/>
    <w:rsid w:val="00092BD3"/>
    <w:rsid w:val="00096AD2"/>
    <w:rsid w:val="00097170"/>
    <w:rsid w:val="000A683E"/>
    <w:rsid w:val="000B149E"/>
    <w:rsid w:val="000B19B9"/>
    <w:rsid w:val="000C46FF"/>
    <w:rsid w:val="000D0334"/>
    <w:rsid w:val="000D4D26"/>
    <w:rsid w:val="000D6A2C"/>
    <w:rsid w:val="000D7003"/>
    <w:rsid w:val="000E1043"/>
    <w:rsid w:val="000F2E74"/>
    <w:rsid w:val="000F6486"/>
    <w:rsid w:val="001032AB"/>
    <w:rsid w:val="00107B09"/>
    <w:rsid w:val="00121F3E"/>
    <w:rsid w:val="00123C96"/>
    <w:rsid w:val="00125105"/>
    <w:rsid w:val="00127233"/>
    <w:rsid w:val="00133021"/>
    <w:rsid w:val="00134E38"/>
    <w:rsid w:val="00141245"/>
    <w:rsid w:val="001511A0"/>
    <w:rsid w:val="00156D0A"/>
    <w:rsid w:val="00160E09"/>
    <w:rsid w:val="0018056C"/>
    <w:rsid w:val="00186AA1"/>
    <w:rsid w:val="00187A3B"/>
    <w:rsid w:val="001C70AE"/>
    <w:rsid w:val="001D0CEA"/>
    <w:rsid w:val="001D1A71"/>
    <w:rsid w:val="001D4D42"/>
    <w:rsid w:val="001D7BDF"/>
    <w:rsid w:val="001E4177"/>
    <w:rsid w:val="001F08D3"/>
    <w:rsid w:val="001F7C65"/>
    <w:rsid w:val="001F7DC6"/>
    <w:rsid w:val="00202EAB"/>
    <w:rsid w:val="00215C6E"/>
    <w:rsid w:val="002421BB"/>
    <w:rsid w:val="00244699"/>
    <w:rsid w:val="00257557"/>
    <w:rsid w:val="0025796E"/>
    <w:rsid w:val="00266C48"/>
    <w:rsid w:val="002702CD"/>
    <w:rsid w:val="002707A2"/>
    <w:rsid w:val="0028670B"/>
    <w:rsid w:val="00294D7A"/>
    <w:rsid w:val="002951A0"/>
    <w:rsid w:val="002954BE"/>
    <w:rsid w:val="002962BC"/>
    <w:rsid w:val="002A093D"/>
    <w:rsid w:val="002A0DD0"/>
    <w:rsid w:val="002A1135"/>
    <w:rsid w:val="002A3697"/>
    <w:rsid w:val="002A49AC"/>
    <w:rsid w:val="002A62FF"/>
    <w:rsid w:val="002A64FD"/>
    <w:rsid w:val="002C52CA"/>
    <w:rsid w:val="002C7A84"/>
    <w:rsid w:val="002D1067"/>
    <w:rsid w:val="002E4FD9"/>
    <w:rsid w:val="00300CB4"/>
    <w:rsid w:val="003014C4"/>
    <w:rsid w:val="00307326"/>
    <w:rsid w:val="00314287"/>
    <w:rsid w:val="003144AA"/>
    <w:rsid w:val="0031727C"/>
    <w:rsid w:val="00322A85"/>
    <w:rsid w:val="00324168"/>
    <w:rsid w:val="00332D5A"/>
    <w:rsid w:val="00337113"/>
    <w:rsid w:val="003448F4"/>
    <w:rsid w:val="0034620E"/>
    <w:rsid w:val="00353490"/>
    <w:rsid w:val="003608A3"/>
    <w:rsid w:val="00364738"/>
    <w:rsid w:val="00370B01"/>
    <w:rsid w:val="00374F5E"/>
    <w:rsid w:val="003769EC"/>
    <w:rsid w:val="00377E3E"/>
    <w:rsid w:val="00382746"/>
    <w:rsid w:val="00390F14"/>
    <w:rsid w:val="00393D3E"/>
    <w:rsid w:val="003A0C48"/>
    <w:rsid w:val="003A2C65"/>
    <w:rsid w:val="003A47EA"/>
    <w:rsid w:val="003A779E"/>
    <w:rsid w:val="003B0EC8"/>
    <w:rsid w:val="003B5BFB"/>
    <w:rsid w:val="003C1942"/>
    <w:rsid w:val="003C3210"/>
    <w:rsid w:val="003D0F4D"/>
    <w:rsid w:val="003D4902"/>
    <w:rsid w:val="003D5B0D"/>
    <w:rsid w:val="003D7673"/>
    <w:rsid w:val="003E0499"/>
    <w:rsid w:val="003E0F23"/>
    <w:rsid w:val="003F3941"/>
    <w:rsid w:val="00406575"/>
    <w:rsid w:val="00414C74"/>
    <w:rsid w:val="004150EB"/>
    <w:rsid w:val="00417A54"/>
    <w:rsid w:val="00425E6F"/>
    <w:rsid w:val="0042722E"/>
    <w:rsid w:val="00440BA4"/>
    <w:rsid w:val="00442107"/>
    <w:rsid w:val="0044528D"/>
    <w:rsid w:val="00456763"/>
    <w:rsid w:val="00465DA2"/>
    <w:rsid w:val="00474D05"/>
    <w:rsid w:val="00476251"/>
    <w:rsid w:val="004A1847"/>
    <w:rsid w:val="004A2E55"/>
    <w:rsid w:val="004A305D"/>
    <w:rsid w:val="004B3251"/>
    <w:rsid w:val="004B36C4"/>
    <w:rsid w:val="004C48ED"/>
    <w:rsid w:val="004C4E75"/>
    <w:rsid w:val="004C5EE7"/>
    <w:rsid w:val="004D2CD5"/>
    <w:rsid w:val="004D441B"/>
    <w:rsid w:val="004E3E98"/>
    <w:rsid w:val="004E56B5"/>
    <w:rsid w:val="004E7268"/>
    <w:rsid w:val="004F21C4"/>
    <w:rsid w:val="004F21D9"/>
    <w:rsid w:val="004F685F"/>
    <w:rsid w:val="004F75E0"/>
    <w:rsid w:val="005035BF"/>
    <w:rsid w:val="005116B6"/>
    <w:rsid w:val="0051370B"/>
    <w:rsid w:val="005214D7"/>
    <w:rsid w:val="00521AC8"/>
    <w:rsid w:val="00524028"/>
    <w:rsid w:val="00527CBA"/>
    <w:rsid w:val="00535130"/>
    <w:rsid w:val="005415D7"/>
    <w:rsid w:val="005533D7"/>
    <w:rsid w:val="00554CF2"/>
    <w:rsid w:val="005566E8"/>
    <w:rsid w:val="00564F3A"/>
    <w:rsid w:val="005701D0"/>
    <w:rsid w:val="00574867"/>
    <w:rsid w:val="00583075"/>
    <w:rsid w:val="005857EA"/>
    <w:rsid w:val="005864BF"/>
    <w:rsid w:val="005910BB"/>
    <w:rsid w:val="00591460"/>
    <w:rsid w:val="005A02DB"/>
    <w:rsid w:val="005A4171"/>
    <w:rsid w:val="005A454C"/>
    <w:rsid w:val="005B3816"/>
    <w:rsid w:val="005C3777"/>
    <w:rsid w:val="005C3F72"/>
    <w:rsid w:val="005C5CDC"/>
    <w:rsid w:val="005D476C"/>
    <w:rsid w:val="005D6E59"/>
    <w:rsid w:val="005E1910"/>
    <w:rsid w:val="005F2799"/>
    <w:rsid w:val="006046D7"/>
    <w:rsid w:val="006058EF"/>
    <w:rsid w:val="00607456"/>
    <w:rsid w:val="0062039F"/>
    <w:rsid w:val="006219F8"/>
    <w:rsid w:val="00622437"/>
    <w:rsid w:val="006226E7"/>
    <w:rsid w:val="0062362F"/>
    <w:rsid w:val="00634892"/>
    <w:rsid w:val="006348C2"/>
    <w:rsid w:val="00636B5C"/>
    <w:rsid w:val="006378AD"/>
    <w:rsid w:val="0065475F"/>
    <w:rsid w:val="00655A5D"/>
    <w:rsid w:val="00656EEB"/>
    <w:rsid w:val="00665D70"/>
    <w:rsid w:val="00667EC1"/>
    <w:rsid w:val="006705E7"/>
    <w:rsid w:val="00670F8B"/>
    <w:rsid w:val="00675A4F"/>
    <w:rsid w:val="006853B5"/>
    <w:rsid w:val="006900D9"/>
    <w:rsid w:val="00695832"/>
    <w:rsid w:val="006A2FF8"/>
    <w:rsid w:val="006A30CF"/>
    <w:rsid w:val="006A3981"/>
    <w:rsid w:val="006A4FEF"/>
    <w:rsid w:val="006C6EDF"/>
    <w:rsid w:val="006D2A1E"/>
    <w:rsid w:val="006E4C8F"/>
    <w:rsid w:val="006E6146"/>
    <w:rsid w:val="006E6196"/>
    <w:rsid w:val="00706C16"/>
    <w:rsid w:val="00711865"/>
    <w:rsid w:val="0075345F"/>
    <w:rsid w:val="00756841"/>
    <w:rsid w:val="007649AB"/>
    <w:rsid w:val="007702D3"/>
    <w:rsid w:val="00771D0C"/>
    <w:rsid w:val="007833AC"/>
    <w:rsid w:val="007A108F"/>
    <w:rsid w:val="007A1217"/>
    <w:rsid w:val="007A133E"/>
    <w:rsid w:val="007B268C"/>
    <w:rsid w:val="007B7171"/>
    <w:rsid w:val="007C0C0F"/>
    <w:rsid w:val="007C3DC2"/>
    <w:rsid w:val="007C52C9"/>
    <w:rsid w:val="007D6E27"/>
    <w:rsid w:val="007E35ED"/>
    <w:rsid w:val="007E5497"/>
    <w:rsid w:val="007E7EAC"/>
    <w:rsid w:val="0080067B"/>
    <w:rsid w:val="00806F5F"/>
    <w:rsid w:val="00810301"/>
    <w:rsid w:val="00820278"/>
    <w:rsid w:val="00831EA4"/>
    <w:rsid w:val="00843B3D"/>
    <w:rsid w:val="00845FA7"/>
    <w:rsid w:val="00865607"/>
    <w:rsid w:val="00866493"/>
    <w:rsid w:val="0086713A"/>
    <w:rsid w:val="00867F95"/>
    <w:rsid w:val="008736CC"/>
    <w:rsid w:val="00875932"/>
    <w:rsid w:val="0087595C"/>
    <w:rsid w:val="008843B6"/>
    <w:rsid w:val="008874F2"/>
    <w:rsid w:val="00891928"/>
    <w:rsid w:val="00893489"/>
    <w:rsid w:val="0089721A"/>
    <w:rsid w:val="0089786A"/>
    <w:rsid w:val="008A3EDD"/>
    <w:rsid w:val="008A446D"/>
    <w:rsid w:val="008A54F2"/>
    <w:rsid w:val="008B6655"/>
    <w:rsid w:val="008C548F"/>
    <w:rsid w:val="008C6240"/>
    <w:rsid w:val="008C6C28"/>
    <w:rsid w:val="008D0716"/>
    <w:rsid w:val="008D180B"/>
    <w:rsid w:val="008D75EE"/>
    <w:rsid w:val="008E13BF"/>
    <w:rsid w:val="008F0EA7"/>
    <w:rsid w:val="008F2601"/>
    <w:rsid w:val="008F59B8"/>
    <w:rsid w:val="00900199"/>
    <w:rsid w:val="00901C9D"/>
    <w:rsid w:val="00902ED4"/>
    <w:rsid w:val="0090612C"/>
    <w:rsid w:val="0090692B"/>
    <w:rsid w:val="00923EEF"/>
    <w:rsid w:val="00931664"/>
    <w:rsid w:val="00933BC9"/>
    <w:rsid w:val="009419F9"/>
    <w:rsid w:val="00942E49"/>
    <w:rsid w:val="009438C7"/>
    <w:rsid w:val="00944395"/>
    <w:rsid w:val="00945AB7"/>
    <w:rsid w:val="0095685E"/>
    <w:rsid w:val="00957344"/>
    <w:rsid w:val="00961B09"/>
    <w:rsid w:val="00962B5A"/>
    <w:rsid w:val="00965334"/>
    <w:rsid w:val="009707DA"/>
    <w:rsid w:val="0097093E"/>
    <w:rsid w:val="00975122"/>
    <w:rsid w:val="00976832"/>
    <w:rsid w:val="00983598"/>
    <w:rsid w:val="00986AC5"/>
    <w:rsid w:val="009900EB"/>
    <w:rsid w:val="00997204"/>
    <w:rsid w:val="009A0DFA"/>
    <w:rsid w:val="009B2D26"/>
    <w:rsid w:val="009B3517"/>
    <w:rsid w:val="009C0E98"/>
    <w:rsid w:val="009C71FA"/>
    <w:rsid w:val="009C72E7"/>
    <w:rsid w:val="009C78AB"/>
    <w:rsid w:val="009D2416"/>
    <w:rsid w:val="009D3058"/>
    <w:rsid w:val="009E42B7"/>
    <w:rsid w:val="009E76DC"/>
    <w:rsid w:val="009F3A13"/>
    <w:rsid w:val="009F716D"/>
    <w:rsid w:val="00A07DE6"/>
    <w:rsid w:val="00A122D3"/>
    <w:rsid w:val="00A140BA"/>
    <w:rsid w:val="00A15733"/>
    <w:rsid w:val="00A17F13"/>
    <w:rsid w:val="00A20739"/>
    <w:rsid w:val="00A304EB"/>
    <w:rsid w:val="00A3222A"/>
    <w:rsid w:val="00A33C78"/>
    <w:rsid w:val="00A349C0"/>
    <w:rsid w:val="00A410E8"/>
    <w:rsid w:val="00A50CB7"/>
    <w:rsid w:val="00A517B2"/>
    <w:rsid w:val="00A60E60"/>
    <w:rsid w:val="00A82208"/>
    <w:rsid w:val="00A83537"/>
    <w:rsid w:val="00A84AAE"/>
    <w:rsid w:val="00A93613"/>
    <w:rsid w:val="00A93B56"/>
    <w:rsid w:val="00AA4FBB"/>
    <w:rsid w:val="00AB0165"/>
    <w:rsid w:val="00AB0ADB"/>
    <w:rsid w:val="00AB6BFC"/>
    <w:rsid w:val="00AC064C"/>
    <w:rsid w:val="00AC2C76"/>
    <w:rsid w:val="00AD2DDA"/>
    <w:rsid w:val="00AE071D"/>
    <w:rsid w:val="00AE547B"/>
    <w:rsid w:val="00B01B1A"/>
    <w:rsid w:val="00B02E73"/>
    <w:rsid w:val="00B12239"/>
    <w:rsid w:val="00B22A8E"/>
    <w:rsid w:val="00B30519"/>
    <w:rsid w:val="00B51768"/>
    <w:rsid w:val="00B5229A"/>
    <w:rsid w:val="00B61AF3"/>
    <w:rsid w:val="00B63F1D"/>
    <w:rsid w:val="00B66319"/>
    <w:rsid w:val="00B72CD3"/>
    <w:rsid w:val="00B72FFF"/>
    <w:rsid w:val="00B77A7C"/>
    <w:rsid w:val="00B77CA6"/>
    <w:rsid w:val="00B828BD"/>
    <w:rsid w:val="00B832DD"/>
    <w:rsid w:val="00B85714"/>
    <w:rsid w:val="00B91F1A"/>
    <w:rsid w:val="00B95D96"/>
    <w:rsid w:val="00BA17E0"/>
    <w:rsid w:val="00BA5BD0"/>
    <w:rsid w:val="00BA78B0"/>
    <w:rsid w:val="00BB0458"/>
    <w:rsid w:val="00BB4653"/>
    <w:rsid w:val="00BC3D36"/>
    <w:rsid w:val="00BC447F"/>
    <w:rsid w:val="00BC5F05"/>
    <w:rsid w:val="00BD0872"/>
    <w:rsid w:val="00BD0BD8"/>
    <w:rsid w:val="00BD4E43"/>
    <w:rsid w:val="00BD7F72"/>
    <w:rsid w:val="00BE2A50"/>
    <w:rsid w:val="00BE78E1"/>
    <w:rsid w:val="00BF70A1"/>
    <w:rsid w:val="00C04FB3"/>
    <w:rsid w:val="00C147B7"/>
    <w:rsid w:val="00C161F4"/>
    <w:rsid w:val="00C330EB"/>
    <w:rsid w:val="00C37346"/>
    <w:rsid w:val="00C37E1B"/>
    <w:rsid w:val="00C40569"/>
    <w:rsid w:val="00C41061"/>
    <w:rsid w:val="00C502B5"/>
    <w:rsid w:val="00C55BAE"/>
    <w:rsid w:val="00C563D0"/>
    <w:rsid w:val="00C57389"/>
    <w:rsid w:val="00C677DC"/>
    <w:rsid w:val="00C754BE"/>
    <w:rsid w:val="00C76B1C"/>
    <w:rsid w:val="00C80850"/>
    <w:rsid w:val="00C834C3"/>
    <w:rsid w:val="00C965EE"/>
    <w:rsid w:val="00C969CA"/>
    <w:rsid w:val="00C9769B"/>
    <w:rsid w:val="00CA2290"/>
    <w:rsid w:val="00CB6357"/>
    <w:rsid w:val="00CC1B26"/>
    <w:rsid w:val="00CE03A0"/>
    <w:rsid w:val="00CE48D2"/>
    <w:rsid w:val="00CE57BF"/>
    <w:rsid w:val="00D04556"/>
    <w:rsid w:val="00D20014"/>
    <w:rsid w:val="00D25420"/>
    <w:rsid w:val="00D26C5E"/>
    <w:rsid w:val="00D33FF3"/>
    <w:rsid w:val="00D423A2"/>
    <w:rsid w:val="00D436F6"/>
    <w:rsid w:val="00D475CB"/>
    <w:rsid w:val="00D50645"/>
    <w:rsid w:val="00D520D8"/>
    <w:rsid w:val="00D5613B"/>
    <w:rsid w:val="00D56B3A"/>
    <w:rsid w:val="00D60A41"/>
    <w:rsid w:val="00D6303D"/>
    <w:rsid w:val="00D63AC2"/>
    <w:rsid w:val="00D66CD6"/>
    <w:rsid w:val="00D7383B"/>
    <w:rsid w:val="00D82745"/>
    <w:rsid w:val="00D87306"/>
    <w:rsid w:val="00D96A41"/>
    <w:rsid w:val="00DA0B6B"/>
    <w:rsid w:val="00DA231B"/>
    <w:rsid w:val="00DA5EE8"/>
    <w:rsid w:val="00DB48D0"/>
    <w:rsid w:val="00DC2966"/>
    <w:rsid w:val="00DC39FC"/>
    <w:rsid w:val="00DC7657"/>
    <w:rsid w:val="00DD61E8"/>
    <w:rsid w:val="00DF5254"/>
    <w:rsid w:val="00E16408"/>
    <w:rsid w:val="00E20894"/>
    <w:rsid w:val="00E245AB"/>
    <w:rsid w:val="00E2764C"/>
    <w:rsid w:val="00E27F2E"/>
    <w:rsid w:val="00E36616"/>
    <w:rsid w:val="00E40427"/>
    <w:rsid w:val="00E40825"/>
    <w:rsid w:val="00E40849"/>
    <w:rsid w:val="00E46EBE"/>
    <w:rsid w:val="00E50AFE"/>
    <w:rsid w:val="00E6447C"/>
    <w:rsid w:val="00E7317B"/>
    <w:rsid w:val="00E75C92"/>
    <w:rsid w:val="00E771DC"/>
    <w:rsid w:val="00E80137"/>
    <w:rsid w:val="00E8772A"/>
    <w:rsid w:val="00E90F6B"/>
    <w:rsid w:val="00E92C27"/>
    <w:rsid w:val="00EA0C29"/>
    <w:rsid w:val="00EA0E3D"/>
    <w:rsid w:val="00EA3177"/>
    <w:rsid w:val="00EA668A"/>
    <w:rsid w:val="00EA67ED"/>
    <w:rsid w:val="00EC0366"/>
    <w:rsid w:val="00EC38A7"/>
    <w:rsid w:val="00ED7384"/>
    <w:rsid w:val="00EE1AA8"/>
    <w:rsid w:val="00EF5EA7"/>
    <w:rsid w:val="00F0307A"/>
    <w:rsid w:val="00F21011"/>
    <w:rsid w:val="00F26C4A"/>
    <w:rsid w:val="00F31EDC"/>
    <w:rsid w:val="00F337CE"/>
    <w:rsid w:val="00F45C12"/>
    <w:rsid w:val="00F462B3"/>
    <w:rsid w:val="00F47264"/>
    <w:rsid w:val="00F538E4"/>
    <w:rsid w:val="00F55185"/>
    <w:rsid w:val="00F5664F"/>
    <w:rsid w:val="00F6411F"/>
    <w:rsid w:val="00F64BB3"/>
    <w:rsid w:val="00F65EA6"/>
    <w:rsid w:val="00F66118"/>
    <w:rsid w:val="00F666C4"/>
    <w:rsid w:val="00F717C6"/>
    <w:rsid w:val="00F7347C"/>
    <w:rsid w:val="00F76AFC"/>
    <w:rsid w:val="00F807E0"/>
    <w:rsid w:val="00F84008"/>
    <w:rsid w:val="00F91E8A"/>
    <w:rsid w:val="00FA47C0"/>
    <w:rsid w:val="00FB5DD1"/>
    <w:rsid w:val="00FC2B5D"/>
    <w:rsid w:val="00FC3D57"/>
    <w:rsid w:val="00FC41DD"/>
    <w:rsid w:val="00FD7250"/>
    <w:rsid w:val="00FE776C"/>
    <w:rsid w:val="00FE79E0"/>
    <w:rsid w:val="00FF1449"/>
    <w:rsid w:val="00FF29EC"/>
    <w:rsid w:val="00FF2FD8"/>
    <w:rsid w:val="65879F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20014"/>
    <w:pPr>
      <w:spacing w:line="240" w:lineRule="exact"/>
    </w:pPr>
    <w:rPr>
      <w:vertAlign w:val="superscript"/>
    </w:rPr>
  </w:style>
  <w:style w:type="character" w:styleId="Textoennegrita">
    <w:name w:val="Strong"/>
    <w:basedOn w:val="Fuentedeprrafopredeter"/>
    <w:uiPriority w:val="22"/>
    <w:qFormat/>
    <w:rsid w:val="00D20014"/>
    <w:rPr>
      <w:b/>
      <w:bCs/>
    </w:rPr>
  </w:style>
  <w:style w:type="character" w:customStyle="1" w:styleId="NormalWebCar">
    <w:name w:val="Normal (Web) Car"/>
    <w:link w:val="NormalWeb"/>
    <w:uiPriority w:val="99"/>
    <w:rsid w:val="00D2001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ernandog213@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A9055-8C1F-4E13-A897-9C9BEEB9E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http://www.w3.org/XML/1998/namespace"/>
    <ds:schemaRef ds:uri="http://schemas.microsoft.com/office/infopath/2007/PartnerControls"/>
    <ds:schemaRef ds:uri="a6cb9e4b-f1d1-4245-83ec-6cad768d538a"/>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D5EF3FF-1F95-4C17-9678-7A3050BAD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8552</Words>
  <Characters>47039</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2025-08-20T18:30:00Z</dcterms:created>
  <dcterms:modified xsi:type="dcterms:W3CDTF">2025-08-20T18:30:00Z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