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93120" w14:textId="77777777" w:rsidR="00E2487B" w:rsidRPr="00396DBB" w:rsidRDefault="00E2487B" w:rsidP="00E2487B">
      <w:pPr>
        <w:pStyle w:val="Textoindependiente"/>
        <w:spacing w:after="0" w:line="240" w:lineRule="auto"/>
        <w:ind w:right="102"/>
        <w:jc w:val="both"/>
        <w:rPr>
          <w:rFonts w:ascii="Verdana" w:hAnsi="Verdana" w:cs="Arial"/>
          <w:b/>
          <w:color w:val="000000" w:themeColor="text1"/>
          <w:sz w:val="20"/>
          <w:szCs w:val="20"/>
          <w:lang w:val="es-ES_tradnl"/>
        </w:rPr>
      </w:pPr>
    </w:p>
    <w:p w14:paraId="425E6008" w14:textId="77777777" w:rsidR="00E2487B" w:rsidRPr="00396DBB" w:rsidRDefault="00E2487B" w:rsidP="00E2487B">
      <w:pPr>
        <w:pStyle w:val="Textoindependiente"/>
        <w:spacing w:after="0" w:line="240" w:lineRule="auto"/>
        <w:ind w:right="102"/>
        <w:jc w:val="both"/>
        <w:rPr>
          <w:rFonts w:ascii="Verdana" w:hAnsi="Verdana" w:cs="Arial"/>
          <w:b/>
          <w:color w:val="000000" w:themeColor="text1"/>
          <w:lang w:val="es-ES_tradnl"/>
        </w:rPr>
      </w:pPr>
      <w:r w:rsidRPr="00556245">
        <w:rPr>
          <w:rFonts w:ascii="Verdana" w:hAnsi="Verdana" w:cs="Arial"/>
          <w:b/>
          <w:color w:val="000000" w:themeColor="text1"/>
          <w:lang w:val="es-ES_tradnl"/>
        </w:rPr>
        <w:t>DIARIO ÚNICO DE CONTRATACIÓN PÚBLICA – Apéndice del Diario Oficial – Derogación</w:t>
      </w:r>
      <w:r w:rsidRPr="00396DBB">
        <w:rPr>
          <w:rFonts w:ascii="Verdana" w:hAnsi="Verdana" w:cs="Arial"/>
          <w:b/>
          <w:color w:val="000000" w:themeColor="text1"/>
          <w:lang w:val="es-ES_tradnl"/>
        </w:rPr>
        <w:t xml:space="preserve"> </w:t>
      </w:r>
    </w:p>
    <w:p w14:paraId="3996F0B8" w14:textId="77777777" w:rsidR="00E2487B" w:rsidRPr="00396DBB" w:rsidRDefault="00E2487B" w:rsidP="00E2487B">
      <w:pPr>
        <w:pStyle w:val="Textoindependiente"/>
        <w:spacing w:after="0" w:line="240" w:lineRule="auto"/>
        <w:ind w:right="102"/>
        <w:jc w:val="both"/>
        <w:rPr>
          <w:rFonts w:ascii="Verdana" w:hAnsi="Verdana" w:cs="Arial"/>
          <w:color w:val="000000" w:themeColor="text1"/>
          <w:sz w:val="20"/>
          <w:szCs w:val="20"/>
          <w:lang w:val="es-ES_tradnl"/>
        </w:rPr>
      </w:pPr>
    </w:p>
    <w:p w14:paraId="6E9D8634" w14:textId="77777777" w:rsidR="00E2487B" w:rsidRDefault="00E2487B" w:rsidP="00E2487B">
      <w:pPr>
        <w:spacing w:after="0" w:line="240" w:lineRule="auto"/>
        <w:jc w:val="both"/>
        <w:rPr>
          <w:rFonts w:ascii="Verdana" w:eastAsia="Arial" w:hAnsi="Verdana" w:cs="Arial"/>
          <w:color w:val="000000" w:themeColor="text1"/>
          <w:sz w:val="20"/>
          <w:szCs w:val="20"/>
          <w:lang w:val="es-MX"/>
        </w:rPr>
      </w:pPr>
      <w:r w:rsidRPr="007B51CF">
        <w:rPr>
          <w:rFonts w:ascii="Verdana" w:eastAsia="Arial" w:hAnsi="Verdana" w:cs="Arial"/>
          <w:color w:val="000000" w:themeColor="text1"/>
          <w:sz w:val="20"/>
          <w:szCs w:val="20"/>
          <w:lang w:val="es-ES"/>
        </w:rPr>
        <w:t>D</w:t>
      </w:r>
      <w:r w:rsidRPr="007B51CF">
        <w:rPr>
          <w:rFonts w:ascii="Verdana" w:eastAsia="Arial" w:hAnsi="Verdana" w:cs="Arial"/>
          <w:color w:val="000000" w:themeColor="text1"/>
          <w:sz w:val="20"/>
          <w:szCs w:val="20"/>
          <w:lang w:val="es-MX"/>
        </w:rPr>
        <w:t xml:space="preserve">e acuerdo con el derogado parágrafo 3 del artículo 41 de la Ley 80 de 1993, “[…] perfeccionado el contrato, se solicitará su publicación en el Diario Oficial o Gaceta Oficial correspondiente a la respectiva entidad territorial, o a falta de dicho medio, por algún mecanismo determinado en forma general por la autoridad administrativa territorial, que permita a los habitantes conocer su contenido. Cuando se utilice un medio de divulgación oficial, éste requisito se entiende cumplido con el pago de los derechos correspondientes”. Esta norma debía concordarse con el artículo 59 de la Ley 190 de 1995, el cual estableció el Diario Único de Contratación Pública como un apéndice del Diario Oficial. </w:t>
      </w:r>
    </w:p>
    <w:p w14:paraId="2C325E0C" w14:textId="77777777" w:rsidR="00E2487B" w:rsidRPr="007B51CF" w:rsidRDefault="00E2487B" w:rsidP="00E2487B">
      <w:pPr>
        <w:spacing w:after="0" w:line="240" w:lineRule="auto"/>
        <w:jc w:val="both"/>
        <w:rPr>
          <w:rFonts w:ascii="Verdana" w:eastAsia="Arial" w:hAnsi="Verdana" w:cs="Arial"/>
          <w:color w:val="000000" w:themeColor="text1"/>
          <w:sz w:val="20"/>
          <w:szCs w:val="20"/>
          <w:lang w:val="es-MX"/>
        </w:rPr>
      </w:pPr>
    </w:p>
    <w:p w14:paraId="234EAE14" w14:textId="77777777" w:rsidR="00E2487B" w:rsidRDefault="00E2487B" w:rsidP="00E2487B">
      <w:pPr>
        <w:spacing w:after="0" w:line="240" w:lineRule="auto"/>
        <w:jc w:val="both"/>
        <w:rPr>
          <w:rFonts w:ascii="Verdana" w:eastAsia="Arial" w:hAnsi="Verdana" w:cs="Arial"/>
          <w:color w:val="000000" w:themeColor="text1"/>
          <w:sz w:val="20"/>
          <w:szCs w:val="20"/>
          <w:lang w:val="es-MX"/>
        </w:rPr>
      </w:pPr>
      <w:r w:rsidRPr="007B51CF">
        <w:rPr>
          <w:rFonts w:ascii="Verdana" w:eastAsia="Arial" w:hAnsi="Verdana" w:cs="Arial"/>
          <w:color w:val="000000" w:themeColor="text1"/>
          <w:sz w:val="20"/>
          <w:szCs w:val="20"/>
          <w:lang w:val="es-MX"/>
        </w:rPr>
        <w:t xml:space="preserve">Incluso, el artículo 61 </w:t>
      </w:r>
      <w:r w:rsidRPr="007B51CF">
        <w:rPr>
          <w:rFonts w:ascii="Verdana" w:eastAsia="Arial" w:hAnsi="Verdana" w:cs="Arial"/>
          <w:i/>
          <w:iCs/>
          <w:color w:val="000000" w:themeColor="text1"/>
          <w:sz w:val="20"/>
          <w:szCs w:val="20"/>
          <w:lang w:val="es-MX"/>
        </w:rPr>
        <w:t>ibidem</w:t>
      </w:r>
      <w:r w:rsidRPr="007B51CF">
        <w:rPr>
          <w:rFonts w:ascii="Verdana" w:eastAsia="Arial" w:hAnsi="Verdana" w:cs="Arial"/>
          <w:color w:val="000000" w:themeColor="text1"/>
          <w:sz w:val="20"/>
          <w:szCs w:val="20"/>
          <w:lang w:val="es-MX"/>
        </w:rPr>
        <w:t xml:space="preserve"> precisaba que “Mensualmente las entidades públicas de todos los ordenes enviarán a la Imprenta Nacional una relación de los contratos celebrados que superen el 50% de su menor cuantía en la cual deberán detallarse las personas contratantes, el objeto, el valor total y los costos unitarios, el plazo, los adicionales y modificaciones que hubiesen celebrado, el interventor y toda la información necesaria a fin de comparar y evaluar dicha contratación”. Posteriormente, el Decreto 1477 de 1995 dispuso que la publicación de los contratos celebrados por las Entidades estatales del orden nacional debía cumplirse por medio del extracto único de publicación del Diario Único de Contratación.</w:t>
      </w:r>
    </w:p>
    <w:p w14:paraId="1C790631" w14:textId="77777777" w:rsidR="00E2487B" w:rsidRPr="007B51CF" w:rsidRDefault="00E2487B" w:rsidP="00E2487B">
      <w:pPr>
        <w:spacing w:after="0" w:line="240" w:lineRule="auto"/>
        <w:jc w:val="both"/>
        <w:rPr>
          <w:rFonts w:ascii="Verdana" w:eastAsia="Arial" w:hAnsi="Verdana" w:cs="Arial"/>
          <w:color w:val="000000" w:themeColor="text1"/>
          <w:sz w:val="20"/>
          <w:szCs w:val="20"/>
          <w:lang w:val="es-MX"/>
        </w:rPr>
      </w:pPr>
    </w:p>
    <w:p w14:paraId="69EF3FDE" w14:textId="77777777" w:rsidR="00E2487B" w:rsidRPr="00FB1576" w:rsidRDefault="00E2487B" w:rsidP="00E2487B">
      <w:pPr>
        <w:spacing w:after="0" w:line="240" w:lineRule="auto"/>
        <w:jc w:val="both"/>
        <w:rPr>
          <w:rFonts w:ascii="Verdana" w:eastAsia="Arial" w:hAnsi="Verdana" w:cs="Arial"/>
          <w:color w:val="000000" w:themeColor="text1"/>
          <w:sz w:val="20"/>
          <w:szCs w:val="20"/>
        </w:rPr>
      </w:pPr>
      <w:r w:rsidRPr="007B51CF">
        <w:rPr>
          <w:rFonts w:ascii="Verdana" w:eastAsia="Arial" w:hAnsi="Verdana" w:cs="Arial"/>
          <w:color w:val="000000" w:themeColor="text1"/>
          <w:sz w:val="20"/>
          <w:szCs w:val="20"/>
          <w:lang w:val="es-MX"/>
        </w:rPr>
        <w:t xml:space="preserve">Sin embargo, dicho medio de publicidad fue expresamente derogado por el artículo 225 del Decreto Ley 019 de 2012. En su lugar, el artículo 223 </w:t>
      </w:r>
      <w:r w:rsidRPr="007B51CF">
        <w:rPr>
          <w:rFonts w:ascii="Verdana" w:eastAsia="Arial" w:hAnsi="Verdana" w:cs="Arial"/>
          <w:i/>
          <w:iCs/>
          <w:color w:val="000000" w:themeColor="text1"/>
          <w:sz w:val="20"/>
          <w:szCs w:val="20"/>
          <w:lang w:val="es-MX"/>
        </w:rPr>
        <w:t>ibidem</w:t>
      </w:r>
      <w:r w:rsidRPr="007B51CF">
        <w:rPr>
          <w:rFonts w:ascii="Verdana" w:eastAsia="Arial" w:hAnsi="Verdana" w:cs="Arial"/>
          <w:color w:val="000000" w:themeColor="text1"/>
          <w:sz w:val="20"/>
          <w:szCs w:val="20"/>
          <w:lang w:val="es-MX"/>
        </w:rPr>
        <w:t xml:space="preserve"> dispone lo siguiente: “A partir del primero de junio de 2012, los contratos estatales sólo se publicarán en el Sistema Electrónico para la Contratación Pública -SECOP- que administra la Agencia Nacional de Contratación Pública- Colombia Compra Eficiente. </w:t>
      </w:r>
      <w:r w:rsidRPr="007B51CF">
        <w:rPr>
          <w:rFonts w:ascii="Verdana" w:eastAsia="Arial" w:hAnsi="Verdana" w:cs="Arial"/>
          <w:i/>
          <w:iCs/>
          <w:color w:val="000000" w:themeColor="text1"/>
          <w:sz w:val="20"/>
          <w:szCs w:val="20"/>
          <w:lang w:val="es-MX"/>
        </w:rPr>
        <w:t>En consecuencia, a partir de dicha fecha los contratos estatales no requerirán de publicación en el Diario Único de Contratación</w:t>
      </w:r>
      <w:r w:rsidRPr="007B51CF">
        <w:rPr>
          <w:rFonts w:ascii="Verdana" w:eastAsia="Arial" w:hAnsi="Verdana" w:cs="Arial"/>
          <w:color w:val="000000" w:themeColor="text1"/>
          <w:sz w:val="20"/>
          <w:szCs w:val="20"/>
          <w:lang w:val="es-MX"/>
        </w:rPr>
        <w:t xml:space="preserve"> […]” (Énfasis fuera de texto). Es decir, eliminado el apéndice y sustituido por el SECOP, desapareció la obligación de publicar la información contractual en el Diario Oficial.</w:t>
      </w:r>
    </w:p>
    <w:p w14:paraId="1A721F16" w14:textId="77777777" w:rsidR="00E2487B" w:rsidRPr="00396DBB" w:rsidRDefault="00E2487B" w:rsidP="00E2487B">
      <w:pPr>
        <w:spacing w:after="0" w:line="240" w:lineRule="auto"/>
        <w:jc w:val="both"/>
        <w:rPr>
          <w:rFonts w:ascii="Verdana" w:eastAsia="Calibri" w:hAnsi="Verdana" w:cs="Arial"/>
          <w:b/>
          <w:color w:val="000000" w:themeColor="text1"/>
          <w:lang w:val="es-ES_tradnl"/>
        </w:rPr>
      </w:pPr>
    </w:p>
    <w:p w14:paraId="271F5700" w14:textId="77777777" w:rsidR="00E2487B" w:rsidRPr="00396DBB" w:rsidRDefault="00E2487B" w:rsidP="00E2487B">
      <w:pPr>
        <w:spacing w:after="0" w:line="240" w:lineRule="auto"/>
        <w:jc w:val="both"/>
        <w:rPr>
          <w:rFonts w:ascii="Verdana" w:eastAsia="Calibri" w:hAnsi="Verdana" w:cs="Arial"/>
          <w:b/>
          <w:color w:val="000000" w:themeColor="text1"/>
          <w:lang w:val="es-ES_tradnl"/>
        </w:rPr>
      </w:pPr>
      <w:r w:rsidRPr="00556245">
        <w:rPr>
          <w:rFonts w:ascii="Verdana" w:eastAsia="Calibri" w:hAnsi="Verdana" w:cs="Arial"/>
          <w:b/>
          <w:color w:val="000000" w:themeColor="text1"/>
          <w:lang w:val="es-ES_tradnl"/>
        </w:rPr>
        <w:t>PUBLICIDAD – SECOP II – Entidades exceptuadas</w:t>
      </w:r>
      <w:r>
        <w:rPr>
          <w:rFonts w:ascii="Verdana" w:eastAsia="Calibri" w:hAnsi="Verdana" w:cs="Arial"/>
          <w:b/>
          <w:color w:val="000000" w:themeColor="text1"/>
          <w:lang w:val="es-ES_tradnl"/>
        </w:rPr>
        <w:t xml:space="preserve"> </w:t>
      </w:r>
      <w:r w:rsidRPr="00396DBB">
        <w:rPr>
          <w:rFonts w:ascii="Verdana" w:eastAsia="Calibri" w:hAnsi="Verdana" w:cs="Arial"/>
          <w:b/>
          <w:color w:val="000000" w:themeColor="text1"/>
          <w:lang w:val="es-ES_tradnl"/>
        </w:rPr>
        <w:t xml:space="preserve"> </w:t>
      </w:r>
    </w:p>
    <w:p w14:paraId="785963D4" w14:textId="77777777" w:rsidR="00E2487B" w:rsidRPr="00396DBB" w:rsidRDefault="00E2487B" w:rsidP="00E2487B">
      <w:pPr>
        <w:spacing w:after="0" w:line="240" w:lineRule="auto"/>
        <w:jc w:val="both"/>
        <w:rPr>
          <w:rFonts w:ascii="Verdana" w:eastAsia="Calibri" w:hAnsi="Verdana" w:cs="Arial"/>
          <w:bCs/>
          <w:color w:val="000000" w:themeColor="text1"/>
          <w:sz w:val="20"/>
          <w:szCs w:val="20"/>
          <w:lang w:val="es-ES_tradnl"/>
        </w:rPr>
      </w:pPr>
    </w:p>
    <w:p w14:paraId="1857AB23" w14:textId="77777777" w:rsidR="00E2487B" w:rsidRPr="007B51CF" w:rsidRDefault="00E2487B" w:rsidP="00E2487B">
      <w:pPr>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 xml:space="preserve">[…] </w:t>
      </w:r>
      <w:r w:rsidRPr="007B51CF">
        <w:rPr>
          <w:rFonts w:ascii="Verdana" w:hAnsi="Verdana" w:cs="Arial"/>
          <w:color w:val="000000" w:themeColor="text1"/>
          <w:sz w:val="20"/>
          <w:szCs w:val="20"/>
          <w:lang w:val="es-ES_tradnl"/>
        </w:rPr>
        <w:t xml:space="preserve">con la eliminación del Diario Único de Contratación Pública desapareció la obligación de publicar la gestión contractual en el Diario Oficial. En su lugar, el artículo 223 del Decreto Ley 019 de 2012 dispone que “[…] los contratos estatales </w:t>
      </w:r>
      <w:r w:rsidRPr="007B51CF">
        <w:rPr>
          <w:rFonts w:ascii="Verdana" w:hAnsi="Verdana" w:cs="Arial"/>
          <w:i/>
          <w:iCs/>
          <w:color w:val="000000" w:themeColor="text1"/>
          <w:sz w:val="20"/>
          <w:szCs w:val="20"/>
          <w:lang w:val="es-ES_tradnl"/>
        </w:rPr>
        <w:t>sólo</w:t>
      </w:r>
      <w:r w:rsidRPr="007B51CF">
        <w:rPr>
          <w:rFonts w:ascii="Verdana" w:hAnsi="Verdana" w:cs="Arial"/>
          <w:color w:val="000000" w:themeColor="text1"/>
          <w:sz w:val="20"/>
          <w:szCs w:val="20"/>
          <w:lang w:val="es-ES_tradnl"/>
        </w:rPr>
        <w:t xml:space="preserve"> se publicaran en el Sistema Electrónico para la Contratación Pública -SECOP- […]” (Énfasis fuera de texto), idea que se complementa con la Ley 1712 de 2014 y su decreto reglamentario. Como explica la Corte Constitucional, el Estatuto </w:t>
      </w:r>
      <w:proofErr w:type="spellStart"/>
      <w:r w:rsidRPr="007B51CF">
        <w:rPr>
          <w:rFonts w:ascii="Verdana" w:hAnsi="Verdana" w:cs="Arial"/>
          <w:color w:val="000000" w:themeColor="text1"/>
          <w:sz w:val="20"/>
          <w:szCs w:val="20"/>
          <w:lang w:val="es-ES_tradnl"/>
        </w:rPr>
        <w:t>Antitrámite</w:t>
      </w:r>
      <w:proofErr w:type="spellEnd"/>
      <w:r w:rsidRPr="007B51CF">
        <w:rPr>
          <w:rFonts w:ascii="Verdana" w:hAnsi="Verdana" w:cs="Arial"/>
          <w:color w:val="000000" w:themeColor="text1"/>
          <w:sz w:val="20"/>
          <w:szCs w:val="20"/>
          <w:lang w:val="es-ES_tradnl"/>
        </w:rPr>
        <w:t xml:space="preserve"> “[…] no suprime el deber de publicar el contrato estatal, sino que suprime una forma de realizarlo, eliminando la publicación en un medio escrito como el Diario Único de Contratación y optando por un medio electrónico, no impreso -Sistema Electrónico de Contratación Estatal, SECOP-, que cumple la misma finalidad de hacer público el conocimiento de dichos actos de la actuación contractual de la administración”. Ello modifica el alcance del deber de </w:t>
      </w:r>
      <w:r w:rsidRPr="007B51CF">
        <w:rPr>
          <w:rFonts w:ascii="Verdana" w:hAnsi="Verdana" w:cs="Arial"/>
          <w:color w:val="000000" w:themeColor="text1"/>
          <w:sz w:val="20"/>
          <w:szCs w:val="20"/>
          <w:lang w:val="es-ES_tradnl"/>
        </w:rPr>
        <w:lastRenderedPageBreak/>
        <w:t>transparencia, especialmente, cuando el inciso segundo del artículo 13 de la Ley 1150 de 2007 –adicionado por el artículo 53 de la Ley 2195 de 2022– ordena a las entidades exceptuadas del EGCAP que publiquen su actividad contractual en el SECOP II o la plataforma transaccional que haga sus veces.</w:t>
      </w:r>
    </w:p>
    <w:p w14:paraId="764D1F93" w14:textId="77777777" w:rsidR="00E2487B" w:rsidRPr="00396DBB" w:rsidRDefault="00E2487B" w:rsidP="00E2487B">
      <w:pPr>
        <w:spacing w:after="0" w:line="240" w:lineRule="auto"/>
        <w:jc w:val="both"/>
        <w:rPr>
          <w:rFonts w:ascii="Verdana" w:hAnsi="Verdana" w:cs="Arial"/>
          <w:color w:val="000000" w:themeColor="text1"/>
          <w:sz w:val="20"/>
          <w:szCs w:val="20"/>
          <w:lang w:val="es-ES_tradnl"/>
        </w:rPr>
      </w:pPr>
    </w:p>
    <w:p w14:paraId="07C13DA5" w14:textId="77777777" w:rsidR="00E2487B" w:rsidRPr="00556245" w:rsidRDefault="00E2487B" w:rsidP="00E2487B">
      <w:pPr>
        <w:spacing w:after="0" w:line="240" w:lineRule="auto"/>
        <w:rPr>
          <w:rFonts w:ascii="Verdana" w:eastAsia="Geomanist Light" w:hAnsi="Verdana" w:cs="Arial"/>
          <w:color w:val="000000" w:themeColor="text1"/>
          <w:lang w:val="es-ES_tradnl"/>
        </w:rPr>
      </w:pPr>
    </w:p>
    <w:p w14:paraId="1B66A45B" w14:textId="77777777" w:rsidR="00E2487B" w:rsidRDefault="00E2487B" w:rsidP="00E2487B">
      <w:pPr>
        <w:spacing w:after="0" w:line="240" w:lineRule="auto"/>
        <w:rPr>
          <w:rFonts w:ascii="Verdana" w:eastAsia="Geomanist Light" w:hAnsi="Verdana" w:cs="Arial"/>
          <w:color w:val="000000" w:themeColor="text1"/>
          <w:lang w:val="es-MX"/>
        </w:rPr>
      </w:pPr>
    </w:p>
    <w:p w14:paraId="4BBC007D" w14:textId="77777777" w:rsidR="00E2487B" w:rsidRDefault="00E2487B" w:rsidP="00E2487B">
      <w:pPr>
        <w:spacing w:after="0" w:line="240" w:lineRule="auto"/>
        <w:rPr>
          <w:rFonts w:ascii="Verdana" w:eastAsia="Geomanist Light" w:hAnsi="Verdana" w:cs="Arial"/>
          <w:color w:val="000000" w:themeColor="text1"/>
          <w:lang w:val="es-MX"/>
        </w:rPr>
      </w:pPr>
    </w:p>
    <w:p w14:paraId="066B958D" w14:textId="77777777" w:rsidR="00E2487B" w:rsidRDefault="00E2487B" w:rsidP="00E2487B">
      <w:pPr>
        <w:spacing w:after="0" w:line="240" w:lineRule="auto"/>
        <w:rPr>
          <w:rFonts w:ascii="Verdana" w:eastAsia="Geomanist Light" w:hAnsi="Verdana" w:cs="Arial"/>
          <w:color w:val="000000" w:themeColor="text1"/>
          <w:lang w:val="es-MX"/>
        </w:rPr>
      </w:pPr>
    </w:p>
    <w:p w14:paraId="68550967" w14:textId="77777777" w:rsidR="00E2487B" w:rsidRDefault="00E2487B" w:rsidP="00E2487B">
      <w:pPr>
        <w:spacing w:after="0" w:line="240" w:lineRule="auto"/>
        <w:rPr>
          <w:rFonts w:ascii="Verdana" w:eastAsia="Geomanist Light" w:hAnsi="Verdana" w:cs="Arial"/>
          <w:color w:val="000000" w:themeColor="text1"/>
          <w:lang w:val="es-MX"/>
        </w:rPr>
      </w:pPr>
    </w:p>
    <w:p w14:paraId="2156A3B0" w14:textId="77777777" w:rsidR="00E2487B" w:rsidRDefault="00E2487B" w:rsidP="00E2487B">
      <w:pPr>
        <w:spacing w:after="0" w:line="240" w:lineRule="auto"/>
        <w:rPr>
          <w:rFonts w:ascii="Verdana" w:eastAsia="Geomanist Light" w:hAnsi="Verdana" w:cs="Arial"/>
          <w:color w:val="000000" w:themeColor="text1"/>
          <w:lang w:val="es-MX"/>
        </w:rPr>
      </w:pPr>
    </w:p>
    <w:p w14:paraId="13D266AA" w14:textId="77777777" w:rsidR="00E2487B" w:rsidRDefault="00E2487B" w:rsidP="00E2487B">
      <w:pPr>
        <w:spacing w:after="0" w:line="240" w:lineRule="auto"/>
        <w:rPr>
          <w:rFonts w:ascii="Verdana" w:eastAsia="Geomanist Light" w:hAnsi="Verdana" w:cs="Arial"/>
          <w:color w:val="000000" w:themeColor="text1"/>
          <w:lang w:val="es-MX"/>
        </w:rPr>
      </w:pPr>
    </w:p>
    <w:p w14:paraId="09B9456D" w14:textId="77777777" w:rsidR="00E2487B" w:rsidRDefault="00E2487B" w:rsidP="00E2487B">
      <w:pPr>
        <w:spacing w:after="0" w:line="240" w:lineRule="auto"/>
        <w:rPr>
          <w:rFonts w:ascii="Verdana" w:eastAsia="Geomanist Light" w:hAnsi="Verdana" w:cs="Arial"/>
          <w:color w:val="000000" w:themeColor="text1"/>
          <w:lang w:val="es-MX"/>
        </w:rPr>
      </w:pPr>
    </w:p>
    <w:p w14:paraId="23A92CE2" w14:textId="77777777" w:rsidR="00E2487B" w:rsidRDefault="00E2487B" w:rsidP="00E2487B">
      <w:pPr>
        <w:spacing w:after="0" w:line="240" w:lineRule="auto"/>
        <w:rPr>
          <w:rFonts w:ascii="Verdana" w:eastAsia="Geomanist Light" w:hAnsi="Verdana" w:cs="Arial"/>
          <w:color w:val="000000" w:themeColor="text1"/>
          <w:lang w:val="es-MX"/>
        </w:rPr>
      </w:pPr>
    </w:p>
    <w:p w14:paraId="2C2B9C1D" w14:textId="77777777" w:rsidR="00E2487B" w:rsidRDefault="00E2487B" w:rsidP="00E2487B">
      <w:pPr>
        <w:spacing w:after="0" w:line="240" w:lineRule="auto"/>
        <w:rPr>
          <w:rFonts w:ascii="Verdana" w:eastAsia="Geomanist Light" w:hAnsi="Verdana" w:cs="Arial"/>
          <w:color w:val="000000" w:themeColor="text1"/>
          <w:lang w:val="es-MX"/>
        </w:rPr>
      </w:pPr>
    </w:p>
    <w:p w14:paraId="2010DF5A" w14:textId="77777777" w:rsidR="00E2487B" w:rsidRDefault="00E2487B" w:rsidP="00E2487B">
      <w:pPr>
        <w:spacing w:after="0" w:line="240" w:lineRule="auto"/>
        <w:rPr>
          <w:rFonts w:ascii="Verdana" w:eastAsia="Geomanist Light" w:hAnsi="Verdana" w:cs="Arial"/>
          <w:color w:val="000000" w:themeColor="text1"/>
          <w:lang w:val="es-MX"/>
        </w:rPr>
      </w:pPr>
    </w:p>
    <w:p w14:paraId="425538DE" w14:textId="77777777" w:rsidR="00E2487B" w:rsidRDefault="00E2487B" w:rsidP="00E2487B">
      <w:pPr>
        <w:spacing w:after="0" w:line="240" w:lineRule="auto"/>
        <w:rPr>
          <w:rFonts w:ascii="Verdana" w:eastAsia="Geomanist Light" w:hAnsi="Verdana" w:cs="Arial"/>
          <w:color w:val="000000" w:themeColor="text1"/>
          <w:lang w:val="es-MX"/>
        </w:rPr>
      </w:pPr>
    </w:p>
    <w:p w14:paraId="5A7366D3" w14:textId="77777777" w:rsidR="00E2487B" w:rsidRDefault="00E2487B" w:rsidP="00E2487B">
      <w:pPr>
        <w:spacing w:after="0" w:line="240" w:lineRule="auto"/>
        <w:rPr>
          <w:rFonts w:ascii="Verdana" w:eastAsia="Geomanist Light" w:hAnsi="Verdana" w:cs="Arial"/>
          <w:color w:val="000000" w:themeColor="text1"/>
          <w:lang w:val="es-MX"/>
        </w:rPr>
      </w:pPr>
    </w:p>
    <w:p w14:paraId="183CA61D" w14:textId="77777777" w:rsidR="00E2487B" w:rsidRDefault="00E2487B" w:rsidP="00E2487B">
      <w:pPr>
        <w:spacing w:after="0" w:line="240" w:lineRule="auto"/>
        <w:rPr>
          <w:rFonts w:ascii="Verdana" w:eastAsia="Geomanist Light" w:hAnsi="Verdana" w:cs="Arial"/>
          <w:color w:val="000000" w:themeColor="text1"/>
          <w:lang w:val="es-MX"/>
        </w:rPr>
      </w:pPr>
    </w:p>
    <w:p w14:paraId="69BD6ADE" w14:textId="77777777" w:rsidR="00E2487B" w:rsidRDefault="00E2487B" w:rsidP="00E2487B">
      <w:pPr>
        <w:spacing w:after="0" w:line="240" w:lineRule="auto"/>
        <w:rPr>
          <w:rFonts w:ascii="Verdana" w:eastAsia="Geomanist Light" w:hAnsi="Verdana" w:cs="Arial"/>
          <w:color w:val="000000" w:themeColor="text1"/>
          <w:lang w:val="es-MX"/>
        </w:rPr>
      </w:pPr>
    </w:p>
    <w:p w14:paraId="22B9B9AA" w14:textId="77777777" w:rsidR="00E2487B" w:rsidRDefault="00E2487B" w:rsidP="00E2487B">
      <w:pPr>
        <w:spacing w:after="0" w:line="240" w:lineRule="auto"/>
        <w:rPr>
          <w:rFonts w:ascii="Verdana" w:eastAsia="Geomanist Light" w:hAnsi="Verdana" w:cs="Arial"/>
          <w:color w:val="000000" w:themeColor="text1"/>
          <w:lang w:val="es-MX"/>
        </w:rPr>
      </w:pPr>
    </w:p>
    <w:p w14:paraId="4A1481A1" w14:textId="77777777" w:rsidR="00E2487B" w:rsidRDefault="00E2487B" w:rsidP="00E2487B">
      <w:pPr>
        <w:spacing w:after="0" w:line="240" w:lineRule="auto"/>
        <w:rPr>
          <w:rFonts w:ascii="Verdana" w:eastAsia="Geomanist Light" w:hAnsi="Verdana" w:cs="Arial"/>
          <w:color w:val="000000" w:themeColor="text1"/>
          <w:lang w:val="es-MX"/>
        </w:rPr>
      </w:pPr>
    </w:p>
    <w:p w14:paraId="0FBDD349" w14:textId="77777777" w:rsidR="00E2487B" w:rsidRDefault="00E2487B" w:rsidP="00E2487B">
      <w:pPr>
        <w:spacing w:after="0" w:line="240" w:lineRule="auto"/>
        <w:rPr>
          <w:rFonts w:ascii="Verdana" w:eastAsia="Geomanist Light" w:hAnsi="Verdana" w:cs="Arial"/>
          <w:color w:val="000000" w:themeColor="text1"/>
          <w:lang w:val="es-MX"/>
        </w:rPr>
      </w:pPr>
    </w:p>
    <w:p w14:paraId="005F4A2D" w14:textId="77777777" w:rsidR="00E2487B" w:rsidRDefault="00E2487B" w:rsidP="00E2487B">
      <w:pPr>
        <w:spacing w:after="0" w:line="240" w:lineRule="auto"/>
        <w:rPr>
          <w:rFonts w:ascii="Verdana" w:eastAsia="Geomanist Light" w:hAnsi="Verdana" w:cs="Arial"/>
          <w:color w:val="000000" w:themeColor="text1"/>
          <w:lang w:val="es-MX"/>
        </w:rPr>
      </w:pPr>
    </w:p>
    <w:p w14:paraId="62AD4BBB" w14:textId="77777777" w:rsidR="00E2487B" w:rsidRDefault="00E2487B" w:rsidP="00E2487B">
      <w:pPr>
        <w:spacing w:after="0" w:line="240" w:lineRule="auto"/>
        <w:rPr>
          <w:rFonts w:ascii="Verdana" w:eastAsia="Geomanist Light" w:hAnsi="Verdana" w:cs="Arial"/>
          <w:color w:val="000000" w:themeColor="text1"/>
          <w:lang w:val="es-MX"/>
        </w:rPr>
      </w:pPr>
    </w:p>
    <w:p w14:paraId="2D3F254B" w14:textId="77777777" w:rsidR="00E2487B" w:rsidRDefault="00E2487B" w:rsidP="00E2487B">
      <w:pPr>
        <w:spacing w:after="0" w:line="240" w:lineRule="auto"/>
        <w:rPr>
          <w:rFonts w:ascii="Verdana" w:eastAsia="Geomanist Light" w:hAnsi="Verdana" w:cs="Arial"/>
          <w:color w:val="000000" w:themeColor="text1"/>
          <w:lang w:val="es-MX"/>
        </w:rPr>
      </w:pPr>
    </w:p>
    <w:p w14:paraId="6A8686BC" w14:textId="77777777" w:rsidR="00E2487B" w:rsidRDefault="00E2487B" w:rsidP="00E2487B">
      <w:pPr>
        <w:spacing w:after="0" w:line="240" w:lineRule="auto"/>
        <w:rPr>
          <w:rFonts w:ascii="Verdana" w:eastAsia="Geomanist Light" w:hAnsi="Verdana" w:cs="Arial"/>
          <w:color w:val="000000" w:themeColor="text1"/>
          <w:lang w:val="es-MX"/>
        </w:rPr>
      </w:pPr>
    </w:p>
    <w:p w14:paraId="45EBC7FE" w14:textId="77777777" w:rsidR="00E2487B" w:rsidRDefault="00E2487B" w:rsidP="00E2487B">
      <w:pPr>
        <w:spacing w:after="0" w:line="240" w:lineRule="auto"/>
        <w:rPr>
          <w:rFonts w:ascii="Verdana" w:eastAsia="Geomanist Light" w:hAnsi="Verdana" w:cs="Arial"/>
          <w:color w:val="000000" w:themeColor="text1"/>
          <w:lang w:val="es-MX"/>
        </w:rPr>
      </w:pPr>
    </w:p>
    <w:p w14:paraId="0164321F" w14:textId="77777777" w:rsidR="00E2487B" w:rsidRDefault="00E2487B" w:rsidP="00E2487B">
      <w:pPr>
        <w:spacing w:after="0" w:line="240" w:lineRule="auto"/>
        <w:rPr>
          <w:rFonts w:ascii="Verdana" w:eastAsia="Geomanist Light" w:hAnsi="Verdana" w:cs="Arial"/>
          <w:color w:val="000000" w:themeColor="text1"/>
          <w:lang w:val="es-MX"/>
        </w:rPr>
      </w:pPr>
    </w:p>
    <w:p w14:paraId="7BE37060" w14:textId="77777777" w:rsidR="00E2487B" w:rsidRDefault="00E2487B" w:rsidP="00E2487B">
      <w:pPr>
        <w:spacing w:after="0" w:line="240" w:lineRule="auto"/>
        <w:rPr>
          <w:rFonts w:ascii="Verdana" w:eastAsia="Geomanist Light" w:hAnsi="Verdana" w:cs="Arial"/>
          <w:color w:val="000000" w:themeColor="text1"/>
          <w:lang w:val="es-MX"/>
        </w:rPr>
      </w:pPr>
    </w:p>
    <w:p w14:paraId="5F5B1E04" w14:textId="77777777" w:rsidR="00E2487B" w:rsidRDefault="00E2487B" w:rsidP="00E2487B">
      <w:pPr>
        <w:spacing w:after="0" w:line="240" w:lineRule="auto"/>
        <w:rPr>
          <w:rFonts w:ascii="Verdana" w:eastAsia="Geomanist Light" w:hAnsi="Verdana" w:cs="Arial"/>
          <w:color w:val="000000" w:themeColor="text1"/>
          <w:lang w:val="es-MX"/>
        </w:rPr>
      </w:pPr>
    </w:p>
    <w:p w14:paraId="459B7085" w14:textId="77777777" w:rsidR="00E2487B" w:rsidRDefault="00E2487B" w:rsidP="00E2487B">
      <w:pPr>
        <w:spacing w:after="0" w:line="240" w:lineRule="auto"/>
        <w:rPr>
          <w:rFonts w:ascii="Verdana" w:eastAsia="Geomanist Light" w:hAnsi="Verdana" w:cs="Arial"/>
          <w:color w:val="000000" w:themeColor="text1"/>
          <w:lang w:val="es-MX"/>
        </w:rPr>
      </w:pPr>
    </w:p>
    <w:p w14:paraId="77387BD3" w14:textId="77777777" w:rsidR="00E2487B" w:rsidRDefault="00E2487B" w:rsidP="00E2487B">
      <w:pPr>
        <w:spacing w:after="0" w:line="240" w:lineRule="auto"/>
        <w:rPr>
          <w:rFonts w:ascii="Verdana" w:eastAsia="Geomanist Light" w:hAnsi="Verdana" w:cs="Arial"/>
          <w:color w:val="000000" w:themeColor="text1"/>
          <w:lang w:val="es-MX"/>
        </w:rPr>
      </w:pPr>
    </w:p>
    <w:p w14:paraId="4CF341DE" w14:textId="77777777" w:rsidR="00E2487B" w:rsidRDefault="00E2487B" w:rsidP="00E2487B">
      <w:pPr>
        <w:spacing w:after="0" w:line="240" w:lineRule="auto"/>
        <w:rPr>
          <w:rFonts w:ascii="Verdana" w:eastAsia="Geomanist Light" w:hAnsi="Verdana" w:cs="Arial"/>
          <w:color w:val="000000" w:themeColor="text1"/>
          <w:lang w:val="es-MX"/>
        </w:rPr>
      </w:pPr>
    </w:p>
    <w:p w14:paraId="2B32B100" w14:textId="77777777" w:rsidR="00E2487B" w:rsidRDefault="00E2487B" w:rsidP="00E2487B">
      <w:pPr>
        <w:spacing w:after="0" w:line="240" w:lineRule="auto"/>
        <w:rPr>
          <w:rFonts w:ascii="Verdana" w:eastAsia="Geomanist Light" w:hAnsi="Verdana" w:cs="Arial"/>
          <w:color w:val="000000" w:themeColor="text1"/>
          <w:lang w:val="es-MX"/>
        </w:rPr>
      </w:pPr>
    </w:p>
    <w:p w14:paraId="52BD0E30" w14:textId="77777777" w:rsidR="00E2487B" w:rsidRDefault="00E2487B" w:rsidP="00E2487B">
      <w:pPr>
        <w:spacing w:after="0" w:line="240" w:lineRule="auto"/>
        <w:rPr>
          <w:rFonts w:ascii="Verdana" w:eastAsia="Geomanist Light" w:hAnsi="Verdana" w:cs="Arial"/>
          <w:color w:val="000000" w:themeColor="text1"/>
          <w:lang w:val="es-MX"/>
        </w:rPr>
      </w:pPr>
    </w:p>
    <w:p w14:paraId="39D62254" w14:textId="77777777" w:rsidR="00E2487B" w:rsidRDefault="00E2487B" w:rsidP="00E2487B">
      <w:pPr>
        <w:spacing w:after="0" w:line="240" w:lineRule="auto"/>
        <w:rPr>
          <w:rFonts w:ascii="Verdana" w:eastAsia="Geomanist Light" w:hAnsi="Verdana" w:cs="Arial"/>
          <w:color w:val="000000" w:themeColor="text1"/>
          <w:lang w:val="es-MX"/>
        </w:rPr>
      </w:pPr>
    </w:p>
    <w:p w14:paraId="66EFB0A7" w14:textId="77777777" w:rsidR="00E2487B" w:rsidRDefault="00E2487B" w:rsidP="00E2487B">
      <w:pPr>
        <w:spacing w:after="0" w:line="240" w:lineRule="auto"/>
        <w:rPr>
          <w:rFonts w:ascii="Verdana" w:eastAsia="Geomanist Light" w:hAnsi="Verdana" w:cs="Arial"/>
          <w:color w:val="000000" w:themeColor="text1"/>
          <w:lang w:val="es-MX"/>
        </w:rPr>
      </w:pPr>
    </w:p>
    <w:p w14:paraId="1458E318" w14:textId="77777777" w:rsidR="00E2487B" w:rsidRDefault="00E2487B" w:rsidP="00E2487B">
      <w:pPr>
        <w:spacing w:after="0" w:line="240" w:lineRule="auto"/>
        <w:rPr>
          <w:rFonts w:ascii="Verdana" w:eastAsia="Geomanist Light" w:hAnsi="Verdana" w:cs="Arial"/>
          <w:color w:val="000000" w:themeColor="text1"/>
          <w:lang w:val="es-MX"/>
        </w:rPr>
      </w:pPr>
    </w:p>
    <w:p w14:paraId="6C011565" w14:textId="77777777" w:rsidR="00E2487B" w:rsidRDefault="00E2487B" w:rsidP="000A71F2">
      <w:pPr>
        <w:spacing w:after="0" w:line="240" w:lineRule="auto"/>
        <w:rPr>
          <w:rFonts w:ascii="Verdana" w:eastAsia="Geomanist Light" w:hAnsi="Verdana" w:cs="Arial"/>
          <w:color w:val="000000" w:themeColor="text1"/>
          <w:lang w:val="es-MX"/>
        </w:rPr>
      </w:pPr>
    </w:p>
    <w:p w14:paraId="5AEF12FB" w14:textId="77777777" w:rsidR="00E2487B" w:rsidRDefault="00E2487B" w:rsidP="000A71F2">
      <w:pPr>
        <w:spacing w:after="0" w:line="240" w:lineRule="auto"/>
        <w:rPr>
          <w:rFonts w:ascii="Verdana" w:eastAsia="Geomanist Light" w:hAnsi="Verdana" w:cs="Arial"/>
          <w:color w:val="000000" w:themeColor="text1"/>
          <w:lang w:val="es-MX"/>
        </w:rPr>
      </w:pPr>
    </w:p>
    <w:p w14:paraId="5073392D" w14:textId="77777777" w:rsidR="00E2487B" w:rsidRDefault="00E2487B" w:rsidP="000A71F2">
      <w:pPr>
        <w:spacing w:after="0" w:line="240" w:lineRule="auto"/>
        <w:rPr>
          <w:rFonts w:ascii="Verdana" w:eastAsia="Geomanist Light" w:hAnsi="Verdana" w:cs="Arial"/>
          <w:color w:val="000000" w:themeColor="text1"/>
          <w:lang w:val="es-MX"/>
        </w:rPr>
      </w:pPr>
    </w:p>
    <w:p w14:paraId="1C4EFC1D" w14:textId="77777777" w:rsidR="00E2487B" w:rsidRDefault="00E2487B" w:rsidP="000A71F2">
      <w:pPr>
        <w:spacing w:after="0" w:line="240" w:lineRule="auto"/>
        <w:rPr>
          <w:rFonts w:ascii="Verdana" w:eastAsia="Geomanist Light" w:hAnsi="Verdana" w:cs="Arial"/>
          <w:color w:val="000000" w:themeColor="text1"/>
          <w:lang w:val="es-MX"/>
        </w:rPr>
      </w:pPr>
    </w:p>
    <w:p w14:paraId="381A3EBB" w14:textId="6F654D2F" w:rsidR="000A71F2" w:rsidRPr="00593A5F" w:rsidRDefault="000A71F2" w:rsidP="000A71F2">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08299A" w:rsidRPr="0008299A">
        <w:rPr>
          <w:rFonts w:ascii="Verdana" w:eastAsia="Geomanist Light" w:hAnsi="Verdana" w:cs="Arial"/>
          <w:color w:val="201F1E"/>
          <w:lang w:val="es-MX"/>
        </w:rPr>
        <w:t>11 de Agosto de 2025</w:t>
      </w:r>
    </w:p>
    <w:p w14:paraId="61E55C1B" w14:textId="77777777" w:rsidR="000A71F2" w:rsidRDefault="000A71F2" w:rsidP="000A71F2">
      <w:pPr>
        <w:spacing w:after="0" w:line="240" w:lineRule="auto"/>
        <w:jc w:val="both"/>
        <w:rPr>
          <w:rFonts w:ascii="Verdana" w:eastAsia="Calibri" w:hAnsi="Verdana" w:cs="Arial"/>
          <w:color w:val="000000"/>
          <w:lang w:val="es-ES"/>
        </w:rPr>
      </w:pPr>
    </w:p>
    <w:p w14:paraId="13DAFF42" w14:textId="774701E5" w:rsidR="00882898" w:rsidRDefault="00882898" w:rsidP="00882898">
      <w:pPr>
        <w:spacing w:after="0" w:line="240" w:lineRule="auto"/>
        <w:jc w:val="right"/>
        <w:rPr>
          <w:rFonts w:ascii="Verdana" w:eastAsia="Calibri" w:hAnsi="Verdana" w:cs="Arial"/>
          <w:color w:val="000000"/>
          <w:lang w:val="es-ES"/>
        </w:rPr>
      </w:pPr>
      <w:r w:rsidRPr="00882898">
        <w:rPr>
          <w:rFonts w:ascii="Verdana" w:eastAsia="Calibri" w:hAnsi="Verdana" w:cs="Arial"/>
          <w:noProof/>
          <w:color w:val="000000"/>
          <w:lang w:val="es-ES"/>
        </w:rPr>
        <w:drawing>
          <wp:inline distT="0" distB="0" distL="0" distR="0" wp14:anchorId="7A20AEC4" wp14:editId="4375EAB2">
            <wp:extent cx="2469800" cy="638629"/>
            <wp:effectExtent l="0" t="0" r="0" b="0"/>
            <wp:docPr id="1464482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82444" name=""/>
                    <pic:cNvPicPr/>
                  </pic:nvPicPr>
                  <pic:blipFill>
                    <a:blip r:embed="rId10"/>
                    <a:stretch>
                      <a:fillRect/>
                    </a:stretch>
                  </pic:blipFill>
                  <pic:spPr>
                    <a:xfrm>
                      <a:off x="0" y="0"/>
                      <a:ext cx="2510641" cy="649190"/>
                    </a:xfrm>
                    <a:prstGeom prst="rect">
                      <a:avLst/>
                    </a:prstGeom>
                  </pic:spPr>
                </pic:pic>
              </a:graphicData>
            </a:graphic>
          </wp:inline>
        </w:drawing>
      </w:r>
    </w:p>
    <w:p w14:paraId="370B5F49" w14:textId="77777777" w:rsidR="000A71F2" w:rsidRPr="00593A5F" w:rsidRDefault="000A71F2" w:rsidP="000A71F2">
      <w:pPr>
        <w:spacing w:after="0" w:line="240" w:lineRule="auto"/>
        <w:jc w:val="both"/>
        <w:rPr>
          <w:rFonts w:ascii="Verdana" w:eastAsia="Calibri" w:hAnsi="Verdana" w:cs="Arial"/>
          <w:color w:val="000000"/>
          <w:lang w:val="es-ES"/>
        </w:rPr>
      </w:pPr>
    </w:p>
    <w:p w14:paraId="4A534770" w14:textId="77777777" w:rsidR="000A71F2" w:rsidRPr="00B96799" w:rsidRDefault="000A71F2" w:rsidP="000A71F2">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w:t>
      </w:r>
      <w:r>
        <w:rPr>
          <w:rFonts w:ascii="Verdana" w:eastAsia="Calibri" w:hAnsi="Verdana" w:cs="Arial"/>
          <w:lang w:val="es-ES" w:eastAsia="es-ES"/>
        </w:rPr>
        <w:t>r</w:t>
      </w:r>
    </w:p>
    <w:p w14:paraId="77E87E4F" w14:textId="77777777" w:rsidR="000A71F2" w:rsidRDefault="000A71F2" w:rsidP="000A71F2">
      <w:pPr>
        <w:spacing w:after="0" w:line="240" w:lineRule="auto"/>
        <w:rPr>
          <w:rFonts w:ascii="Verdana" w:eastAsia="Calibri" w:hAnsi="Verdana" w:cs="Arial"/>
          <w:b/>
          <w:lang w:val="es-ES_tradnl" w:eastAsia="es-ES_tradnl"/>
        </w:rPr>
      </w:pPr>
      <w:r w:rsidRPr="00C62093">
        <w:rPr>
          <w:rFonts w:ascii="Verdana" w:eastAsia="Calibri" w:hAnsi="Verdana" w:cs="Arial"/>
          <w:b/>
          <w:lang w:val="es-ES_tradnl" w:eastAsia="es-ES_tradnl"/>
        </w:rPr>
        <w:t>Juan Sebastián Puentes Garnica</w:t>
      </w:r>
      <w:r>
        <w:rPr>
          <w:rFonts w:ascii="Verdana" w:eastAsia="Calibri" w:hAnsi="Verdana" w:cs="Arial"/>
          <w:b/>
          <w:lang w:val="es-ES_tradnl" w:eastAsia="es-ES_tradnl"/>
        </w:rPr>
        <w:t xml:space="preserve"> </w:t>
      </w:r>
    </w:p>
    <w:p w14:paraId="2D4288BF" w14:textId="77777777" w:rsidR="000A71F2" w:rsidRPr="00C62093" w:rsidRDefault="000A71F2" w:rsidP="000A71F2">
      <w:pPr>
        <w:spacing w:after="0" w:line="240" w:lineRule="auto"/>
        <w:rPr>
          <w:rFonts w:ascii="Verdana" w:hAnsi="Verdana"/>
        </w:rPr>
      </w:pPr>
      <w:hyperlink r:id="rId11" w:history="1">
        <w:r w:rsidRPr="00692D23">
          <w:rPr>
            <w:rStyle w:val="Hipervnculo"/>
            <w:rFonts w:ascii="Verdana" w:hAnsi="Verdana"/>
          </w:rPr>
          <w:t>sebastianpuentes.sp@gmail.com</w:t>
        </w:r>
      </w:hyperlink>
      <w:r>
        <w:rPr>
          <w:rFonts w:ascii="Verdana" w:hAnsi="Verdana"/>
        </w:rPr>
        <w:t xml:space="preserve"> </w:t>
      </w:r>
    </w:p>
    <w:p w14:paraId="6C84DE60" w14:textId="77777777" w:rsidR="000A71F2" w:rsidRDefault="000A71F2" w:rsidP="000A71F2">
      <w:pPr>
        <w:spacing w:after="0" w:line="240" w:lineRule="auto"/>
        <w:rPr>
          <w:rFonts w:ascii="Verdana" w:eastAsia="Calibri" w:hAnsi="Verdana" w:cs="Arial"/>
          <w:lang w:val="es-ES" w:eastAsia="es-ES"/>
        </w:rPr>
      </w:pPr>
      <w:r w:rsidRPr="0090408E">
        <w:rPr>
          <w:rFonts w:ascii="Verdana" w:eastAsia="Calibri" w:hAnsi="Verdana" w:cs="Arial"/>
          <w:lang w:val="es-ES" w:eastAsia="es-ES"/>
        </w:rPr>
        <w:t>Bogotá D.C.</w:t>
      </w:r>
      <w:r>
        <w:rPr>
          <w:rFonts w:ascii="Verdana" w:eastAsia="Calibri" w:hAnsi="Verdana" w:cs="Arial"/>
          <w:lang w:val="es-ES" w:eastAsia="es-ES"/>
        </w:rPr>
        <w:t xml:space="preserve"> </w:t>
      </w:r>
    </w:p>
    <w:p w14:paraId="405404A8" w14:textId="77777777" w:rsidR="000A71F2" w:rsidRPr="00593A5F" w:rsidRDefault="000A71F2" w:rsidP="000A71F2">
      <w:pPr>
        <w:spacing w:after="0" w:line="240" w:lineRule="auto"/>
        <w:rPr>
          <w:rFonts w:ascii="Verdana" w:eastAsia="Calibri" w:hAnsi="Verdana" w:cs="Arial"/>
          <w:b/>
          <w:bCs/>
          <w:color w:val="000000"/>
          <w:lang w:val="es-ES_tradnl" w:eastAsia="es-ES_tradnl"/>
        </w:rPr>
      </w:pPr>
    </w:p>
    <w:p w14:paraId="72437D91" w14:textId="77777777" w:rsidR="000A71F2" w:rsidRPr="00593A5F" w:rsidRDefault="000A71F2" w:rsidP="000A71F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A71F2" w:rsidRPr="00593A5F" w14:paraId="0503E22A" w14:textId="77777777" w:rsidTr="0092761F">
        <w:trPr>
          <w:trHeight w:val="580"/>
        </w:trPr>
        <w:tc>
          <w:tcPr>
            <w:tcW w:w="2689" w:type="dxa"/>
          </w:tcPr>
          <w:p w14:paraId="22350A08" w14:textId="77777777" w:rsidR="000A71F2" w:rsidRPr="00593A5F" w:rsidRDefault="000A71F2" w:rsidP="0092761F">
            <w:pPr>
              <w:jc w:val="both"/>
              <w:rPr>
                <w:rFonts w:ascii="Verdana" w:eastAsia="Calibri" w:hAnsi="Verdana" w:cs="Arial"/>
                <w:b/>
                <w:color w:val="000000"/>
                <w:lang w:val="es-ES_tradnl" w:eastAsia="es-ES_tradnl"/>
              </w:rPr>
            </w:pPr>
          </w:p>
        </w:tc>
        <w:tc>
          <w:tcPr>
            <w:tcW w:w="6100" w:type="dxa"/>
          </w:tcPr>
          <w:p w14:paraId="67CE8D07" w14:textId="0BABFDD3" w:rsidR="000A71F2" w:rsidRDefault="000A71F2" w:rsidP="0092761F">
            <w:pPr>
              <w:spacing w:line="276" w:lineRule="auto"/>
              <w:jc w:val="both"/>
              <w:rPr>
                <w:rFonts w:ascii="Verdana" w:eastAsia="Calibri" w:hAnsi="Verdana" w:cs="Arial"/>
                <w:b/>
                <w:bCs/>
                <w:lang w:val="es-ES" w:eastAsia="es-ES"/>
              </w:rPr>
            </w:pPr>
            <w:r w:rsidRPr="00F57CFB">
              <w:rPr>
                <w:rFonts w:ascii="Verdana" w:eastAsia="Calibri" w:hAnsi="Verdana" w:cs="Arial"/>
                <w:b/>
                <w:bCs/>
                <w:lang w:val="es-ES" w:eastAsia="es-ES"/>
              </w:rPr>
              <w:t>Concepto C</w:t>
            </w:r>
            <w:r>
              <w:rPr>
                <w:rFonts w:ascii="Verdana" w:eastAsia="Calibri" w:hAnsi="Verdana" w:cs="Arial"/>
                <w:b/>
                <w:bCs/>
                <w:lang w:val="es-ES" w:eastAsia="es-ES"/>
              </w:rPr>
              <w:t xml:space="preserve"> – </w:t>
            </w:r>
            <w:r w:rsidR="00736D74">
              <w:rPr>
                <w:rFonts w:ascii="Verdana" w:eastAsia="Calibri" w:hAnsi="Verdana" w:cs="Arial"/>
                <w:b/>
                <w:bCs/>
                <w:lang w:val="es-ES" w:eastAsia="es-ES"/>
              </w:rPr>
              <w:t>930</w:t>
            </w:r>
            <w:r w:rsidRPr="00F57CFB">
              <w:rPr>
                <w:rFonts w:ascii="Verdana" w:eastAsia="Calibri" w:hAnsi="Verdana" w:cs="Arial"/>
                <w:b/>
                <w:bCs/>
                <w:lang w:val="es-ES" w:eastAsia="es-ES"/>
              </w:rPr>
              <w:t xml:space="preserve"> de 202</w:t>
            </w:r>
            <w:r>
              <w:rPr>
                <w:rFonts w:ascii="Verdana" w:eastAsia="Calibri" w:hAnsi="Verdana" w:cs="Arial"/>
                <w:b/>
                <w:bCs/>
                <w:lang w:val="es-ES" w:eastAsia="es-ES"/>
              </w:rPr>
              <w:t>5</w:t>
            </w:r>
          </w:p>
          <w:p w14:paraId="7A052141" w14:textId="77777777" w:rsidR="000A71F2" w:rsidRDefault="000A71F2" w:rsidP="0092761F">
            <w:pPr>
              <w:spacing w:line="276" w:lineRule="auto"/>
              <w:jc w:val="both"/>
              <w:rPr>
                <w:rFonts w:ascii="Verdana" w:eastAsia="Calibri" w:hAnsi="Verdana" w:cs="Arial"/>
                <w:b/>
                <w:bCs/>
                <w:lang w:val="es-ES" w:eastAsia="es-ES"/>
              </w:rPr>
            </w:pPr>
          </w:p>
          <w:p w14:paraId="31D9A10B" w14:textId="77777777" w:rsidR="000A71F2" w:rsidRPr="00F57CFB" w:rsidRDefault="000A71F2" w:rsidP="0092761F">
            <w:pPr>
              <w:spacing w:line="276" w:lineRule="auto"/>
              <w:jc w:val="both"/>
              <w:rPr>
                <w:rFonts w:ascii="Verdana" w:eastAsia="Calibri" w:hAnsi="Verdana" w:cs="Arial"/>
                <w:b/>
                <w:bCs/>
                <w:lang w:val="es-ES" w:eastAsia="es-ES"/>
              </w:rPr>
            </w:pPr>
          </w:p>
        </w:tc>
      </w:tr>
      <w:tr w:rsidR="000A71F2" w:rsidRPr="00593A5F" w14:paraId="31645F8D" w14:textId="77777777" w:rsidTr="0092761F">
        <w:trPr>
          <w:trHeight w:val="884"/>
        </w:trPr>
        <w:tc>
          <w:tcPr>
            <w:tcW w:w="2689" w:type="dxa"/>
          </w:tcPr>
          <w:p w14:paraId="01081D75" w14:textId="77777777" w:rsidR="000A71F2" w:rsidRPr="00593A5F" w:rsidRDefault="000A71F2" w:rsidP="009276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w:t>
            </w:r>
            <w:r w:rsidRPr="00593A5F">
              <w:rPr>
                <w:rFonts w:ascii="Verdana" w:eastAsia="Calibri" w:hAnsi="Verdana" w:cs="Arial"/>
                <w:color w:val="000000"/>
                <w:lang w:val="es-ES_tradnl" w:eastAsia="es-ES_tradnl"/>
              </w:rPr>
              <w:t xml:space="preserve">                   </w:t>
            </w:r>
          </w:p>
        </w:tc>
        <w:tc>
          <w:tcPr>
            <w:tcW w:w="6100" w:type="dxa"/>
          </w:tcPr>
          <w:p w14:paraId="2F5ECDD3" w14:textId="77777777" w:rsidR="000A71F2" w:rsidRPr="00A11406" w:rsidRDefault="000A71F2" w:rsidP="0092761F">
            <w:pPr>
              <w:spacing w:line="276" w:lineRule="auto"/>
              <w:jc w:val="both"/>
              <w:rPr>
                <w:rFonts w:ascii="Verdana" w:eastAsia="Calibri" w:hAnsi="Verdana" w:cs="Arial"/>
                <w:lang w:val="es-ES" w:eastAsia="es-ES"/>
              </w:rPr>
            </w:pPr>
            <w:r w:rsidRPr="00C22833">
              <w:rPr>
                <w:rFonts w:ascii="Verdana" w:eastAsia="Calibri" w:hAnsi="Verdana" w:cs="Arial"/>
                <w:lang w:val="es-ES" w:eastAsia="es-ES"/>
              </w:rPr>
              <w:t>DIARIO ÚNICO DE CONTRATACIÓN PÚBLICA</w:t>
            </w:r>
            <w:r>
              <w:rPr>
                <w:rFonts w:ascii="Verdana" w:eastAsia="Calibri" w:hAnsi="Verdana" w:cs="Arial"/>
                <w:lang w:val="es-ES" w:eastAsia="es-ES"/>
              </w:rPr>
              <w:t xml:space="preserve"> – A</w:t>
            </w:r>
            <w:r w:rsidRPr="00230620">
              <w:rPr>
                <w:rFonts w:ascii="Verdana" w:eastAsia="Calibri" w:hAnsi="Verdana" w:cs="Arial"/>
                <w:lang w:val="es-ES" w:eastAsia="es-ES"/>
              </w:rPr>
              <w:t>péndice del Diario Oficial</w:t>
            </w:r>
            <w:r>
              <w:rPr>
                <w:rFonts w:ascii="Verdana" w:eastAsia="Calibri" w:hAnsi="Verdana" w:cs="Arial"/>
                <w:lang w:val="es-ES" w:eastAsia="es-ES"/>
              </w:rPr>
              <w:t xml:space="preserve"> – Derogación / </w:t>
            </w:r>
            <w:r w:rsidRPr="00C22833">
              <w:rPr>
                <w:rFonts w:ascii="Verdana" w:eastAsia="Calibri" w:hAnsi="Verdana" w:cs="Arial"/>
                <w:lang w:val="es-ES" w:eastAsia="es-ES"/>
              </w:rPr>
              <w:t>PUBLICIDAD – SECOP</w:t>
            </w:r>
            <w:r>
              <w:rPr>
                <w:rFonts w:ascii="Verdana" w:eastAsia="Calibri" w:hAnsi="Verdana" w:cs="Arial"/>
                <w:lang w:val="es-ES" w:eastAsia="es-ES"/>
              </w:rPr>
              <w:t xml:space="preserve"> II</w:t>
            </w:r>
            <w:r w:rsidRPr="00C22833">
              <w:rPr>
                <w:rFonts w:ascii="Verdana" w:eastAsia="Calibri" w:hAnsi="Verdana" w:cs="Arial"/>
                <w:lang w:val="es-ES" w:eastAsia="es-ES"/>
              </w:rPr>
              <w:t xml:space="preserve"> – Entidades exceptuadas</w:t>
            </w:r>
            <w:r>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30AD398" w14:textId="77777777" w:rsidR="000A71F2" w:rsidRPr="00593A5F" w:rsidRDefault="000A71F2" w:rsidP="0092761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A71F2" w:rsidRPr="008E6AD9" w14:paraId="3EE2C87B" w14:textId="77777777" w:rsidTr="0092761F">
        <w:tc>
          <w:tcPr>
            <w:tcW w:w="2689" w:type="dxa"/>
          </w:tcPr>
          <w:p w14:paraId="72B2609D" w14:textId="77777777" w:rsidR="000A71F2" w:rsidRPr="008E6AD9" w:rsidRDefault="000A71F2" w:rsidP="0092761F">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031504F" w14:textId="77777777" w:rsidR="000A71F2" w:rsidRPr="008E6AD9" w:rsidRDefault="000A71F2" w:rsidP="0092761F">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la consulta</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 </w:t>
            </w:r>
            <w:r w:rsidRPr="00C62093">
              <w:rPr>
                <w:rFonts w:ascii="Verdana" w:eastAsia="Calibri" w:hAnsi="Verdana" w:cs="Arial"/>
                <w:lang w:val="es-ES_tradnl" w:eastAsia="es-ES_tradnl"/>
              </w:rPr>
              <w:t>1_2025_07_31_007935</w:t>
            </w:r>
            <w:r w:rsidRPr="0052714E">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D31F219" w14:textId="77777777" w:rsidR="000A71F2" w:rsidRPr="00593A5F" w:rsidRDefault="000A71F2" w:rsidP="000A71F2">
      <w:pPr>
        <w:spacing w:after="0" w:line="240" w:lineRule="auto"/>
        <w:jc w:val="both"/>
        <w:rPr>
          <w:rFonts w:ascii="Verdana" w:eastAsia="Calibri" w:hAnsi="Verdana" w:cs="Arial"/>
          <w:color w:val="000000"/>
          <w:lang w:val="es-ES_tradnl" w:eastAsia="es-ES_tradnl"/>
        </w:rPr>
      </w:pPr>
    </w:p>
    <w:p w14:paraId="202173A3" w14:textId="77777777" w:rsidR="000A71F2" w:rsidRPr="00593A5F" w:rsidRDefault="000A71F2" w:rsidP="000A71F2">
      <w:pPr>
        <w:spacing w:after="0" w:line="240" w:lineRule="auto"/>
        <w:jc w:val="both"/>
        <w:rPr>
          <w:rFonts w:ascii="Verdana" w:eastAsia="Calibri" w:hAnsi="Verdana" w:cs="Arial"/>
          <w:color w:val="000000"/>
          <w:lang w:val="es-ES_tradnl" w:eastAsia="es-ES_tradnl"/>
        </w:rPr>
      </w:pPr>
    </w:p>
    <w:p w14:paraId="3E5E03CA" w14:textId="31A421D4" w:rsidR="000A71F2" w:rsidRPr="008E6AD9" w:rsidRDefault="000A71F2" w:rsidP="000A71F2">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00A80782" w:rsidRPr="00A80782">
        <w:rPr>
          <w:rFonts w:ascii="Verdana" w:eastAsia="Calibri" w:hAnsi="Verdana" w:cs="Arial"/>
          <w:lang w:val="es-ES" w:eastAsia="es-ES"/>
        </w:rPr>
        <w:t>Puentes Garnica</w:t>
      </w:r>
      <w:r w:rsidRPr="008E6AD9">
        <w:rPr>
          <w:rFonts w:ascii="Verdana" w:eastAsia="Calibri" w:hAnsi="Verdana" w:cs="Arial"/>
          <w:lang w:val="es-ES" w:eastAsia="es-ES"/>
        </w:rPr>
        <w:t xml:space="preserve">: </w:t>
      </w:r>
    </w:p>
    <w:p w14:paraId="37C4327A" w14:textId="77777777" w:rsidR="000A71F2" w:rsidRDefault="000A71F2" w:rsidP="000A71F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CD140D7" w14:textId="77777777" w:rsidR="000A71F2" w:rsidRPr="00593A5F" w:rsidRDefault="000A71F2" w:rsidP="000A71F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31 de julio de 2025, en la cual manifiesta lo siguiente</w:t>
      </w:r>
      <w:r w:rsidRPr="008E6AD9">
        <w:rPr>
          <w:rFonts w:ascii="Verdana" w:eastAsia="Calibri" w:hAnsi="Verdana" w:cs="Arial"/>
          <w:lang w:val="es-ES" w:eastAsia="es-ES"/>
        </w:rPr>
        <w:t xml:space="preserve">: </w:t>
      </w:r>
    </w:p>
    <w:p w14:paraId="02B18619" w14:textId="77777777" w:rsidR="000A71F2" w:rsidRPr="00272A7B" w:rsidRDefault="000A71F2" w:rsidP="00680641">
      <w:pPr>
        <w:pStyle w:val="Prrafodelista"/>
        <w:tabs>
          <w:tab w:val="left" w:pos="142"/>
          <w:tab w:val="left" w:pos="284"/>
        </w:tabs>
        <w:spacing w:after="0" w:line="276" w:lineRule="auto"/>
        <w:ind w:left="0"/>
        <w:jc w:val="both"/>
        <w:rPr>
          <w:rFonts w:ascii="Verdana" w:eastAsia="Century Gothic" w:hAnsi="Verdana" w:cs="Century Gothic"/>
          <w:b/>
          <w:bCs/>
        </w:rPr>
      </w:pPr>
    </w:p>
    <w:p w14:paraId="6F7228A6" w14:textId="77777777" w:rsidR="000A71F2" w:rsidRPr="007D5BE1" w:rsidRDefault="000A71F2" w:rsidP="000A71F2">
      <w:pPr>
        <w:spacing w:after="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111A36">
        <w:rPr>
          <w:rFonts w:ascii="Verdana" w:eastAsia="Century Gothic" w:hAnsi="Verdana" w:cs="Century Gothic"/>
          <w:sz w:val="21"/>
          <w:szCs w:val="21"/>
          <w:lang w:val="es-ES"/>
        </w:rPr>
        <w:t>En aquellos contratos celebrados por entidades sujetas a regímenes especiales de contratación, en sus procesos de selección abreviada suscritos con anterioridad a la consolidación del uso de las Tecnologías de la Información y las Comunicaciones (TIC) en las instituciones y entidades públicas —esto es, antes del año 2009 con la expedición de la Ley 1341— y antes de la implementación del SECOP II, además de los</w:t>
      </w:r>
      <w:r>
        <w:rPr>
          <w:rFonts w:ascii="Verdana" w:eastAsia="Century Gothic" w:hAnsi="Verdana" w:cs="Century Gothic"/>
          <w:sz w:val="21"/>
          <w:szCs w:val="21"/>
          <w:lang w:val="es-ES"/>
        </w:rPr>
        <w:t xml:space="preserve"> </w:t>
      </w:r>
      <w:r w:rsidRPr="00111A36">
        <w:rPr>
          <w:rFonts w:ascii="Verdana" w:eastAsia="Century Gothic" w:hAnsi="Verdana" w:cs="Century Gothic"/>
          <w:sz w:val="21"/>
          <w:szCs w:val="21"/>
          <w:lang w:val="es-ES"/>
        </w:rPr>
        <w:t>mecanismos previstos en el Manual de Contratación de la respectiva entidad, ¿cómo se podía garantizar el principio de publicidad y transparencia en dichos procesos contractuales?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098E51A9" w14:textId="77777777" w:rsidR="000A71F2" w:rsidRPr="008E6AD9" w:rsidRDefault="000A71F2" w:rsidP="00680641">
      <w:pPr>
        <w:pStyle w:val="Prrafodelista"/>
        <w:tabs>
          <w:tab w:val="left" w:pos="142"/>
          <w:tab w:val="left" w:pos="284"/>
        </w:tabs>
        <w:spacing w:after="0" w:line="276" w:lineRule="auto"/>
        <w:ind w:left="0"/>
        <w:jc w:val="both"/>
        <w:rPr>
          <w:rFonts w:ascii="Verdana" w:eastAsia="Century Gothic" w:hAnsi="Verdana" w:cs="Century Gothic"/>
          <w:b/>
          <w:bCs/>
        </w:rPr>
      </w:pPr>
    </w:p>
    <w:p w14:paraId="33DF7346" w14:textId="77777777" w:rsidR="000A71F2" w:rsidRPr="00A652FF" w:rsidRDefault="000A71F2" w:rsidP="000A71F2">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E5604B8" w14:textId="77777777" w:rsidR="000A71F2" w:rsidRDefault="000A71F2" w:rsidP="000A71F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4FFDAD6" w14:textId="77777777" w:rsidR="000A71F2" w:rsidRPr="00593A5F" w:rsidRDefault="000A71F2" w:rsidP="000A71F2">
      <w:pPr>
        <w:spacing w:after="0" w:line="276" w:lineRule="auto"/>
        <w:ind w:firstLine="709"/>
        <w:jc w:val="both"/>
        <w:rPr>
          <w:rFonts w:ascii="Verdana" w:eastAsia="Calibri" w:hAnsi="Verdana" w:cs="Arial"/>
          <w:color w:val="000000"/>
          <w:lang w:val="es-ES" w:eastAsia="es-ES"/>
        </w:rPr>
      </w:pPr>
    </w:p>
    <w:p w14:paraId="467B3555" w14:textId="77777777" w:rsidR="000A71F2" w:rsidRPr="00593A5F" w:rsidRDefault="000A71F2" w:rsidP="000A71F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FB9E5CD" w14:textId="77777777" w:rsidR="000A71F2" w:rsidRPr="00593A5F" w:rsidRDefault="000A71F2" w:rsidP="000A71F2">
      <w:pPr>
        <w:tabs>
          <w:tab w:val="left" w:pos="426"/>
        </w:tabs>
        <w:spacing w:after="0" w:line="276" w:lineRule="auto"/>
        <w:jc w:val="both"/>
        <w:rPr>
          <w:rFonts w:ascii="Verdana" w:eastAsia="Century Gothic" w:hAnsi="Verdana" w:cs="Century Gothic"/>
          <w:lang w:val="es-ES"/>
        </w:rPr>
      </w:pPr>
    </w:p>
    <w:p w14:paraId="19B1E734" w14:textId="77777777" w:rsidR="000A71F2" w:rsidRPr="00593A5F" w:rsidRDefault="000A71F2" w:rsidP="000A71F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¿cómo ha evolucionado la publicidad de la información contractual en el sistema de compras públicas para las entidades excluidas de la Ley 80 de 1993?       </w:t>
      </w:r>
      <w:r w:rsidRPr="00C00976">
        <w:rPr>
          <w:rFonts w:ascii="Verdana" w:eastAsia="Century Gothic" w:hAnsi="Verdana" w:cs="Century Gothic"/>
          <w:color w:val="7030A0"/>
        </w:rPr>
        <w:t xml:space="preserve"> </w:t>
      </w:r>
    </w:p>
    <w:p w14:paraId="58FF87C9" w14:textId="77777777" w:rsidR="000A71F2" w:rsidRPr="004B140F" w:rsidRDefault="000A71F2" w:rsidP="000A71F2">
      <w:pPr>
        <w:spacing w:after="0" w:line="276" w:lineRule="auto"/>
        <w:jc w:val="both"/>
        <w:rPr>
          <w:rFonts w:ascii="Verdana" w:eastAsia="Calibri" w:hAnsi="Verdana" w:cs="Arial"/>
          <w:color w:val="7030A0"/>
        </w:rPr>
      </w:pPr>
    </w:p>
    <w:p w14:paraId="5E091850" w14:textId="77777777" w:rsidR="000A71F2" w:rsidRPr="00593A5F" w:rsidRDefault="000A71F2" w:rsidP="000A71F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DF69D4A" w14:textId="77777777" w:rsidR="000A71F2" w:rsidRPr="00593A5F" w:rsidRDefault="000A71F2" w:rsidP="000A71F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A71F2" w:rsidRPr="00593A5F" w14:paraId="3A13B641" w14:textId="77777777" w:rsidTr="0092761F">
        <w:trPr>
          <w:jc w:val="center"/>
        </w:trPr>
        <w:tc>
          <w:tcPr>
            <w:tcW w:w="8828" w:type="dxa"/>
            <w:shd w:val="clear" w:color="auto" w:fill="auto"/>
          </w:tcPr>
          <w:p w14:paraId="18FCECC3" w14:textId="77777777" w:rsidR="000A71F2" w:rsidRPr="00F57CFB" w:rsidRDefault="000A71F2" w:rsidP="0092761F">
            <w:pPr>
              <w:spacing w:line="276" w:lineRule="auto"/>
              <w:jc w:val="both"/>
              <w:rPr>
                <w:rFonts w:ascii="Verdana" w:eastAsia="Calibri" w:hAnsi="Verdana" w:cs="Arial"/>
                <w:lang w:val="es-ES_tradnl"/>
              </w:rPr>
            </w:pPr>
            <w:r>
              <w:rPr>
                <w:rFonts w:ascii="Verdana" w:hAnsi="Verdana" w:cs="Arial"/>
                <w:lang w:eastAsia="es-ES"/>
              </w:rPr>
              <w:t>C</w:t>
            </w:r>
            <w:proofErr w:type="spellStart"/>
            <w:r>
              <w:rPr>
                <w:rFonts w:ascii="Verdana" w:eastAsia="Calibri" w:hAnsi="Verdana" w:cs="Arial"/>
                <w:lang w:val="es-ES_tradnl"/>
              </w:rPr>
              <w:t>on</w:t>
            </w:r>
            <w:proofErr w:type="spellEnd"/>
            <w:r>
              <w:rPr>
                <w:rFonts w:ascii="Verdana" w:eastAsia="Calibri" w:hAnsi="Verdana" w:cs="Arial"/>
                <w:lang w:val="es-ES_tradnl"/>
              </w:rPr>
              <w:t xml:space="preserve"> la eliminación d</w:t>
            </w:r>
            <w:r w:rsidRPr="00DA03C5">
              <w:rPr>
                <w:rFonts w:ascii="Verdana" w:eastAsia="Calibri" w:hAnsi="Verdana" w:cs="Arial"/>
                <w:lang w:val="es-ES_tradnl"/>
              </w:rPr>
              <w:t>el Diario Único de Contratación Pública</w:t>
            </w:r>
            <w:r>
              <w:rPr>
                <w:rFonts w:ascii="Verdana" w:eastAsia="Calibri" w:hAnsi="Verdana" w:cs="Arial"/>
                <w:lang w:val="es-ES_tradnl"/>
              </w:rPr>
              <w:t xml:space="preserve"> desapareció la obligación de publicar la gestión contractual en el Diario Oficial. En su lugar, </w:t>
            </w:r>
            <w:r w:rsidRPr="00DA03C5">
              <w:rPr>
                <w:rFonts w:ascii="Verdana" w:eastAsia="Calibri" w:hAnsi="Verdana" w:cs="Arial"/>
                <w:lang w:val="es-ES_tradnl"/>
              </w:rPr>
              <w:t xml:space="preserve">el artículo 223 </w:t>
            </w:r>
            <w:r>
              <w:rPr>
                <w:rFonts w:ascii="Verdana" w:eastAsia="Calibri" w:hAnsi="Verdana" w:cs="Arial"/>
                <w:lang w:val="es-ES_tradnl"/>
              </w:rPr>
              <w:t>del Decreto Ley 019 de 2012</w:t>
            </w:r>
            <w:r w:rsidRPr="00DA03C5">
              <w:rPr>
                <w:rFonts w:ascii="Verdana" w:eastAsia="Calibri" w:hAnsi="Verdana" w:cs="Arial"/>
                <w:lang w:val="es-ES_tradnl"/>
              </w:rPr>
              <w:t xml:space="preserve"> dispone </w:t>
            </w:r>
            <w:r>
              <w:rPr>
                <w:rFonts w:ascii="Verdana" w:eastAsia="Calibri" w:hAnsi="Verdana" w:cs="Arial"/>
                <w:lang w:val="es-ES_tradnl"/>
              </w:rPr>
              <w:t xml:space="preserve">que </w:t>
            </w:r>
            <w:r w:rsidRPr="00DA03C5">
              <w:rPr>
                <w:rFonts w:ascii="Verdana" w:eastAsia="Calibri" w:hAnsi="Verdana" w:cs="Arial"/>
                <w:lang w:val="es-ES_tradnl"/>
              </w:rPr>
              <w:t>“</w:t>
            </w:r>
            <w:r>
              <w:rPr>
                <w:rFonts w:ascii="Verdana" w:eastAsia="Calibri" w:hAnsi="Verdana" w:cs="Arial"/>
                <w:lang w:val="es-ES_tradnl"/>
              </w:rPr>
              <w:t>[…]</w:t>
            </w:r>
            <w:r w:rsidRPr="00DA03C5">
              <w:rPr>
                <w:rFonts w:ascii="Verdana" w:eastAsia="Calibri" w:hAnsi="Verdana" w:cs="Arial"/>
                <w:lang w:val="es-ES_tradnl"/>
              </w:rPr>
              <w:t xml:space="preserve"> los contratos estatales </w:t>
            </w:r>
            <w:r w:rsidRPr="00E610C5">
              <w:rPr>
                <w:rFonts w:ascii="Verdana" w:eastAsia="Calibri" w:hAnsi="Verdana" w:cs="Arial"/>
                <w:i/>
                <w:iCs/>
                <w:lang w:val="es-ES_tradnl"/>
              </w:rPr>
              <w:t>sólo</w:t>
            </w:r>
            <w:r w:rsidRPr="00DA03C5">
              <w:rPr>
                <w:rFonts w:ascii="Verdana" w:eastAsia="Calibri" w:hAnsi="Verdana" w:cs="Arial"/>
                <w:lang w:val="es-ES_tradnl"/>
              </w:rPr>
              <w:t xml:space="preserve"> se publicaran en el Sistema Electrónico para la Contratación Pública -SECOP-</w:t>
            </w:r>
            <w:r>
              <w:rPr>
                <w:rFonts w:ascii="Verdana" w:eastAsia="Calibri" w:hAnsi="Verdana" w:cs="Arial"/>
                <w:lang w:val="es-ES_tradnl"/>
              </w:rPr>
              <w:t xml:space="preserve"> […]” (Énfasis fuera de texto), idea que se complementa con la Ley 1712 de 2014 y su decreto reglamentario</w:t>
            </w:r>
            <w:r w:rsidRPr="00B1668A">
              <w:rPr>
                <w:rFonts w:ascii="Verdana" w:eastAsia="Calibri" w:hAnsi="Verdana" w:cs="Arial"/>
                <w:lang w:val="es-ES_tradnl"/>
              </w:rPr>
              <w:t xml:space="preserve">. </w:t>
            </w:r>
            <w:r w:rsidRPr="00C10004">
              <w:rPr>
                <w:rFonts w:ascii="Verdana" w:eastAsia="Calibri" w:hAnsi="Verdana" w:cs="Arial"/>
                <w:lang w:val="es-ES_tradnl"/>
              </w:rPr>
              <w:t xml:space="preserve">Ello modifica el alcance del deber de transparencia, especialmente, cuando el inciso segundo del artículo 13 de la Ley 1150 de 2007 –adicionado por el artículo 53 de la Ley 2195 de 2022– ordena a las entidades exceptuadas del EGCAP que publiquen su </w:t>
            </w:r>
            <w:r w:rsidRPr="00C10004">
              <w:rPr>
                <w:rFonts w:ascii="Verdana" w:eastAsia="Calibri" w:hAnsi="Verdana" w:cs="Arial"/>
                <w:lang w:val="es-ES_tradnl"/>
              </w:rPr>
              <w:lastRenderedPageBreak/>
              <w:t>actividad contractual en el SECOP II o la plataforma transaccional que haga sus veces</w:t>
            </w:r>
            <w:r>
              <w:rPr>
                <w:rFonts w:ascii="Verdana" w:eastAsia="Calibri" w:hAnsi="Verdana" w:cs="Arial"/>
                <w:lang w:val="es-ES_tradnl"/>
              </w:rPr>
              <w:t xml:space="preserve">. </w:t>
            </w:r>
          </w:p>
        </w:tc>
      </w:tr>
    </w:tbl>
    <w:p w14:paraId="2143A50C" w14:textId="77777777" w:rsidR="000A71F2" w:rsidRPr="00593A5F" w:rsidRDefault="000A71F2" w:rsidP="000A71F2">
      <w:pPr>
        <w:tabs>
          <w:tab w:val="left" w:pos="142"/>
          <w:tab w:val="left" w:pos="284"/>
        </w:tabs>
        <w:spacing w:after="0" w:line="276" w:lineRule="auto"/>
        <w:jc w:val="both"/>
        <w:rPr>
          <w:rFonts w:ascii="Verdana" w:eastAsia="Century Gothic" w:hAnsi="Verdana" w:cs="Century Gothic"/>
          <w:b/>
          <w:bCs/>
          <w:lang w:val="es-ES"/>
        </w:rPr>
      </w:pPr>
    </w:p>
    <w:p w14:paraId="3B1F7123" w14:textId="77777777" w:rsidR="000A71F2" w:rsidRPr="00593A5F" w:rsidRDefault="000A71F2" w:rsidP="000A71F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04412E6" w14:textId="77777777" w:rsidR="000A71F2" w:rsidRPr="00593A5F" w:rsidRDefault="000A71F2" w:rsidP="000A71F2">
      <w:pPr>
        <w:spacing w:after="0" w:line="276" w:lineRule="auto"/>
        <w:jc w:val="both"/>
        <w:rPr>
          <w:rFonts w:ascii="Verdana" w:eastAsia="Calibri" w:hAnsi="Verdana" w:cs="Arial"/>
          <w:color w:val="7030A0"/>
          <w:lang w:val="es-ES"/>
        </w:rPr>
      </w:pPr>
    </w:p>
    <w:p w14:paraId="0E95CA77" w14:textId="77777777" w:rsidR="000A71F2" w:rsidRDefault="000A71F2" w:rsidP="000A71F2">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384E098" w14:textId="77777777" w:rsidR="000A71F2" w:rsidRDefault="000A71F2" w:rsidP="000A71F2">
      <w:pPr>
        <w:spacing w:after="0" w:line="276" w:lineRule="auto"/>
        <w:jc w:val="both"/>
        <w:rPr>
          <w:rFonts w:ascii="Verdana" w:eastAsia="Calibri" w:hAnsi="Verdana" w:cs="Arial"/>
          <w:lang w:val="es-ES"/>
        </w:rPr>
      </w:pPr>
    </w:p>
    <w:p w14:paraId="3BA8E4E3" w14:textId="77777777" w:rsidR="000A71F2" w:rsidRDefault="000A71F2" w:rsidP="000A71F2">
      <w:pPr>
        <w:spacing w:line="276" w:lineRule="auto"/>
        <w:jc w:val="both"/>
        <w:rPr>
          <w:rFonts w:ascii="Verdana" w:hAnsi="Verdana" w:cs="Arial"/>
          <w:color w:val="000000" w:themeColor="text1"/>
          <w:lang w:val="es-MX"/>
        </w:rPr>
      </w:pPr>
      <w:r>
        <w:rPr>
          <w:rFonts w:ascii="Verdana" w:eastAsia="Calibri" w:hAnsi="Verdana" w:cs="Arial"/>
          <w:color w:val="000000"/>
          <w:lang w:val="es-ES" w:eastAsia="es-ES"/>
        </w:rPr>
        <w:t>D</w:t>
      </w:r>
      <w:r w:rsidRPr="00324EE2">
        <w:rPr>
          <w:rFonts w:ascii="Verdana" w:hAnsi="Verdana" w:cs="Arial"/>
          <w:color w:val="000000" w:themeColor="text1"/>
          <w:lang w:val="es-MX"/>
        </w:rPr>
        <w:t xml:space="preserve">e acuerdo </w:t>
      </w:r>
      <w:r>
        <w:rPr>
          <w:rFonts w:ascii="Verdana" w:hAnsi="Verdana" w:cs="Arial"/>
          <w:color w:val="000000" w:themeColor="text1"/>
          <w:lang w:val="es-MX"/>
        </w:rPr>
        <w:t>con el derogado parágrafo 3 del artículo 41 de la Ley 80 de 1993, “[…]</w:t>
      </w:r>
      <w:r w:rsidRPr="00391054">
        <w:rPr>
          <w:rFonts w:ascii="Verdana" w:hAnsi="Verdana" w:cs="Arial"/>
          <w:color w:val="000000" w:themeColor="text1"/>
          <w:lang w:val="es-MX"/>
        </w:rPr>
        <w:t xml:space="preserve"> </w:t>
      </w:r>
      <w:r w:rsidRPr="008327E5">
        <w:rPr>
          <w:rFonts w:ascii="Verdana" w:hAnsi="Verdana" w:cs="Arial"/>
          <w:color w:val="000000" w:themeColor="text1"/>
          <w:lang w:val="es-MX"/>
        </w:rPr>
        <w:t>perfeccionado el contrato, se solicitará su publicación en el Diario Oficial o Gaceta Oficial correspondiente a la respectiva entidad territorial, o a falta de dicho medio, por algún mecanismo determinado en forma general por la autoridad administrativa territorial, que permita a los habitantes conocer su contenido. Cuando se utilice un medio de divulgación oficial, éste requisito se entiende cumplido con el pago de los derechos correspondientes</w:t>
      </w:r>
      <w:r>
        <w:rPr>
          <w:rFonts w:ascii="Verdana" w:hAnsi="Verdana" w:cs="Arial"/>
          <w:color w:val="000000" w:themeColor="text1"/>
          <w:lang w:val="es-MX"/>
        </w:rPr>
        <w:t>”</w:t>
      </w:r>
      <w:r w:rsidRPr="00391054">
        <w:rPr>
          <w:rFonts w:ascii="Verdana" w:hAnsi="Verdana" w:cs="Arial"/>
          <w:color w:val="000000" w:themeColor="text1"/>
          <w:lang w:val="es-MX"/>
        </w:rPr>
        <w:t>.</w:t>
      </w:r>
      <w:r>
        <w:rPr>
          <w:rFonts w:ascii="Verdana" w:hAnsi="Verdana" w:cs="Arial"/>
          <w:color w:val="000000" w:themeColor="text1"/>
          <w:lang w:val="es-MX"/>
        </w:rPr>
        <w:t xml:space="preserve"> Esta norma debía concordarse con el artículo 59 de la Ley 190 de 1995, el cual estableció el </w:t>
      </w:r>
      <w:r w:rsidRPr="00260423">
        <w:rPr>
          <w:rFonts w:ascii="Verdana" w:hAnsi="Verdana" w:cs="Arial"/>
          <w:color w:val="000000" w:themeColor="text1"/>
          <w:lang w:val="es-MX"/>
        </w:rPr>
        <w:t xml:space="preserve">Diario </w:t>
      </w:r>
      <w:r>
        <w:rPr>
          <w:rFonts w:ascii="Verdana" w:hAnsi="Verdana" w:cs="Arial"/>
          <w:color w:val="000000" w:themeColor="text1"/>
          <w:lang w:val="es-MX"/>
        </w:rPr>
        <w:t>Ú</w:t>
      </w:r>
      <w:r w:rsidRPr="00260423">
        <w:rPr>
          <w:rFonts w:ascii="Verdana" w:hAnsi="Verdana" w:cs="Arial"/>
          <w:color w:val="000000" w:themeColor="text1"/>
          <w:lang w:val="es-MX"/>
        </w:rPr>
        <w:t>nico de Contratación Pública</w:t>
      </w:r>
      <w:r>
        <w:rPr>
          <w:rFonts w:ascii="Verdana" w:hAnsi="Verdana" w:cs="Arial"/>
          <w:color w:val="000000" w:themeColor="text1"/>
          <w:lang w:val="es-MX"/>
        </w:rPr>
        <w:t xml:space="preserve"> como un apéndice del Diario Oficial</w:t>
      </w:r>
      <w:r>
        <w:rPr>
          <w:rStyle w:val="Refdenotaalpie"/>
          <w:rFonts w:ascii="Verdana" w:hAnsi="Verdana" w:cs="Arial"/>
          <w:color w:val="000000" w:themeColor="text1"/>
          <w:lang w:val="es-MX"/>
        </w:rPr>
        <w:footnoteReference w:id="2"/>
      </w:r>
      <w:r>
        <w:rPr>
          <w:rFonts w:ascii="Verdana" w:hAnsi="Verdana" w:cs="Arial"/>
          <w:color w:val="000000" w:themeColor="text1"/>
          <w:lang w:val="es-MX"/>
        </w:rPr>
        <w:t xml:space="preserve">. </w:t>
      </w:r>
    </w:p>
    <w:p w14:paraId="59619EBF" w14:textId="77777777" w:rsidR="000A71F2" w:rsidRDefault="000A71F2" w:rsidP="000A71F2">
      <w:pPr>
        <w:spacing w:line="276" w:lineRule="auto"/>
        <w:ind w:firstLine="708"/>
        <w:jc w:val="both"/>
        <w:rPr>
          <w:rFonts w:ascii="Verdana" w:hAnsi="Verdana" w:cs="Arial"/>
          <w:color w:val="000000" w:themeColor="text1"/>
          <w:lang w:val="es-MX"/>
        </w:rPr>
      </w:pPr>
      <w:r>
        <w:rPr>
          <w:rFonts w:ascii="Verdana" w:hAnsi="Verdana" w:cs="Arial"/>
          <w:color w:val="000000" w:themeColor="text1"/>
          <w:lang w:val="es-MX"/>
        </w:rPr>
        <w:t xml:space="preserve">Incluso, el artículo 61 </w:t>
      </w:r>
      <w:r w:rsidRPr="003767C7">
        <w:rPr>
          <w:rFonts w:ascii="Verdana" w:hAnsi="Verdana" w:cs="Arial"/>
          <w:i/>
          <w:iCs/>
          <w:color w:val="000000" w:themeColor="text1"/>
          <w:lang w:val="es-MX"/>
        </w:rPr>
        <w:t>ibidem</w:t>
      </w:r>
      <w:r>
        <w:rPr>
          <w:rFonts w:ascii="Verdana" w:hAnsi="Verdana" w:cs="Arial"/>
          <w:color w:val="000000" w:themeColor="text1"/>
          <w:lang w:val="es-MX"/>
        </w:rPr>
        <w:t xml:space="preserve"> precisaba que “</w:t>
      </w:r>
      <w:r w:rsidRPr="003767C7">
        <w:rPr>
          <w:rFonts w:ascii="Verdana" w:hAnsi="Verdana" w:cs="Arial"/>
          <w:color w:val="000000" w:themeColor="text1"/>
          <w:lang w:val="es-MX"/>
        </w:rPr>
        <w:t>Mensualmente las entidades públicas de todos los ordenes enviarán a la Imprenta Nacional una relación de los contratos celebrados que superen el 50% de su menor cuantía en la cual deberán detallarse las personas contratantes, el objeto, el valor total y los costos unitarios, el plazo, los adicionales y modificaciones que hubiesen celebrado, el interventor y toda la información necesaria a fin de comparar y evaluar dicha contratación</w:t>
      </w:r>
      <w:r>
        <w:rPr>
          <w:rFonts w:ascii="Verdana" w:hAnsi="Verdana" w:cs="Arial"/>
          <w:color w:val="000000" w:themeColor="text1"/>
          <w:lang w:val="es-MX"/>
        </w:rPr>
        <w:t>”</w:t>
      </w:r>
      <w:r w:rsidRPr="003767C7">
        <w:rPr>
          <w:rFonts w:ascii="Verdana" w:hAnsi="Verdana" w:cs="Arial"/>
          <w:color w:val="000000" w:themeColor="text1"/>
          <w:lang w:val="es-MX"/>
        </w:rPr>
        <w:t>.</w:t>
      </w:r>
      <w:r>
        <w:rPr>
          <w:rFonts w:ascii="Verdana" w:hAnsi="Verdana" w:cs="Arial"/>
          <w:color w:val="000000" w:themeColor="text1"/>
          <w:lang w:val="es-MX"/>
        </w:rPr>
        <w:t xml:space="preserve"> </w:t>
      </w:r>
      <w:r w:rsidRPr="003767C7">
        <w:rPr>
          <w:rFonts w:ascii="Verdana" w:hAnsi="Verdana" w:cs="Arial"/>
          <w:color w:val="000000" w:themeColor="text1"/>
          <w:lang w:val="es-MX"/>
        </w:rPr>
        <w:t>Posteriormente, el Decreto 1477 de 1995 dispuso</w:t>
      </w:r>
      <w:r>
        <w:rPr>
          <w:rFonts w:ascii="Verdana" w:hAnsi="Verdana" w:cs="Arial"/>
          <w:color w:val="000000" w:themeColor="text1"/>
          <w:lang w:val="es-MX"/>
        </w:rPr>
        <w:t xml:space="preserve"> que la publicación de</w:t>
      </w:r>
      <w:r w:rsidRPr="003767C7">
        <w:rPr>
          <w:rFonts w:ascii="Verdana" w:hAnsi="Verdana" w:cs="Arial"/>
          <w:color w:val="000000" w:themeColor="text1"/>
          <w:lang w:val="es-MX"/>
        </w:rPr>
        <w:t xml:space="preserve"> los</w:t>
      </w:r>
      <w:r>
        <w:rPr>
          <w:rFonts w:ascii="Verdana" w:hAnsi="Verdana" w:cs="Arial"/>
          <w:color w:val="000000" w:themeColor="text1"/>
          <w:lang w:val="es-MX"/>
        </w:rPr>
        <w:t xml:space="preserve"> </w:t>
      </w:r>
      <w:r w:rsidRPr="003767C7">
        <w:rPr>
          <w:rFonts w:ascii="Verdana" w:hAnsi="Verdana" w:cs="Arial"/>
          <w:color w:val="000000" w:themeColor="text1"/>
          <w:lang w:val="es-MX"/>
        </w:rPr>
        <w:t>contratos celebrados por las Entidades estatales del orden nacional</w:t>
      </w:r>
      <w:r>
        <w:rPr>
          <w:rFonts w:ascii="Verdana" w:hAnsi="Verdana" w:cs="Arial"/>
          <w:color w:val="000000" w:themeColor="text1"/>
          <w:lang w:val="es-MX"/>
        </w:rPr>
        <w:t xml:space="preserve"> </w:t>
      </w:r>
      <w:r w:rsidRPr="003767C7">
        <w:rPr>
          <w:rFonts w:ascii="Verdana" w:hAnsi="Verdana" w:cs="Arial"/>
          <w:color w:val="000000" w:themeColor="text1"/>
          <w:lang w:val="es-MX"/>
        </w:rPr>
        <w:t xml:space="preserve">debía cumplirse </w:t>
      </w:r>
      <w:r>
        <w:rPr>
          <w:rFonts w:ascii="Verdana" w:hAnsi="Verdana" w:cs="Arial"/>
          <w:color w:val="000000" w:themeColor="text1"/>
          <w:lang w:val="es-MX"/>
        </w:rPr>
        <w:t>por medio del</w:t>
      </w:r>
      <w:r w:rsidRPr="003767C7">
        <w:rPr>
          <w:rFonts w:ascii="Verdana" w:hAnsi="Verdana" w:cs="Arial"/>
          <w:color w:val="000000" w:themeColor="text1"/>
          <w:lang w:val="es-MX"/>
        </w:rPr>
        <w:t xml:space="preserve"> extracto único de</w:t>
      </w:r>
      <w:r>
        <w:rPr>
          <w:rFonts w:ascii="Verdana" w:hAnsi="Verdana" w:cs="Arial"/>
          <w:color w:val="000000" w:themeColor="text1"/>
          <w:lang w:val="es-MX"/>
        </w:rPr>
        <w:t xml:space="preserve"> </w:t>
      </w:r>
      <w:r w:rsidRPr="003767C7">
        <w:rPr>
          <w:rFonts w:ascii="Verdana" w:hAnsi="Verdana" w:cs="Arial"/>
          <w:color w:val="000000" w:themeColor="text1"/>
          <w:lang w:val="es-MX"/>
        </w:rPr>
        <w:t>publicación del Diario Único de Contratación.</w:t>
      </w:r>
    </w:p>
    <w:p w14:paraId="1113EDC4" w14:textId="77777777" w:rsidR="000A71F2" w:rsidRDefault="000A71F2" w:rsidP="000A71F2">
      <w:pPr>
        <w:spacing w:line="276" w:lineRule="auto"/>
        <w:ind w:firstLine="708"/>
        <w:jc w:val="both"/>
        <w:rPr>
          <w:rFonts w:ascii="Verdana" w:hAnsi="Verdana" w:cs="Arial"/>
          <w:color w:val="000000" w:themeColor="text1"/>
          <w:lang w:val="es-MX"/>
        </w:rPr>
      </w:pPr>
      <w:r>
        <w:rPr>
          <w:rFonts w:ascii="Verdana" w:hAnsi="Verdana" w:cs="Arial"/>
          <w:color w:val="000000" w:themeColor="text1"/>
          <w:lang w:val="es-MX"/>
        </w:rPr>
        <w:t xml:space="preserve">Sin embargo, dicho medio de publicidad fue expresamente derogado por el artículo 225 del Decreto Ley 019 de 2012. En su lugar, el artículo 223 </w:t>
      </w:r>
      <w:r w:rsidRPr="00260423">
        <w:rPr>
          <w:rFonts w:ascii="Verdana" w:hAnsi="Verdana" w:cs="Arial"/>
          <w:i/>
          <w:iCs/>
          <w:color w:val="000000" w:themeColor="text1"/>
          <w:lang w:val="es-MX"/>
        </w:rPr>
        <w:t>ibidem</w:t>
      </w:r>
      <w:r>
        <w:rPr>
          <w:rFonts w:ascii="Verdana" w:hAnsi="Verdana" w:cs="Arial"/>
          <w:color w:val="000000" w:themeColor="text1"/>
          <w:lang w:val="es-MX"/>
        </w:rPr>
        <w:t xml:space="preserve"> </w:t>
      </w:r>
      <w:r>
        <w:rPr>
          <w:rFonts w:ascii="Verdana" w:hAnsi="Verdana" w:cs="Arial"/>
          <w:color w:val="000000" w:themeColor="text1"/>
          <w:lang w:val="es-MX"/>
        </w:rPr>
        <w:lastRenderedPageBreak/>
        <w:t>dispone lo siguiente: “</w:t>
      </w:r>
      <w:r w:rsidRPr="00D31A8B">
        <w:rPr>
          <w:rFonts w:ascii="Verdana" w:hAnsi="Verdana" w:cs="Arial"/>
          <w:color w:val="000000" w:themeColor="text1"/>
          <w:lang w:val="es-MX"/>
        </w:rPr>
        <w:t>A partir del primero de junio de 2012, los contratos estatales sólo se publicar</w:t>
      </w:r>
      <w:r>
        <w:rPr>
          <w:rFonts w:ascii="Verdana" w:hAnsi="Verdana" w:cs="Arial"/>
          <w:color w:val="000000" w:themeColor="text1"/>
          <w:lang w:val="es-MX"/>
        </w:rPr>
        <w:t>á</w:t>
      </w:r>
      <w:r w:rsidRPr="00D31A8B">
        <w:rPr>
          <w:rFonts w:ascii="Verdana" w:hAnsi="Verdana" w:cs="Arial"/>
          <w:color w:val="000000" w:themeColor="text1"/>
          <w:lang w:val="es-MX"/>
        </w:rPr>
        <w:t xml:space="preserve">n en el Sistema Electrónico para la Contratación Pública -SECOP- que administra la Agencia Nacional de Contratación Pública- Colombia Compra Eficiente. </w:t>
      </w:r>
      <w:r w:rsidRPr="00D31A8B">
        <w:rPr>
          <w:rFonts w:ascii="Verdana" w:hAnsi="Verdana" w:cs="Arial"/>
          <w:i/>
          <w:iCs/>
          <w:color w:val="000000" w:themeColor="text1"/>
          <w:lang w:val="es-MX"/>
        </w:rPr>
        <w:t>En consecuencia, a partir de dicha fecha los contratos estatales no requerirán de publicación en el Diario Único de Contratación</w:t>
      </w:r>
      <w:r>
        <w:rPr>
          <w:rFonts w:ascii="Verdana" w:hAnsi="Verdana" w:cs="Arial"/>
          <w:color w:val="000000" w:themeColor="text1"/>
          <w:lang w:val="es-MX"/>
        </w:rPr>
        <w:t xml:space="preserve"> […]” (Énfasis fuera de texto). Es decir, eliminado el apéndice y sustituido por el SECOP, desapareció la obligación de publicar la información contractual en el Diario Oficial. </w:t>
      </w:r>
    </w:p>
    <w:p w14:paraId="44952CA7" w14:textId="77777777" w:rsidR="000A71F2" w:rsidRPr="00D31A8B" w:rsidRDefault="000A71F2" w:rsidP="000A71F2">
      <w:pPr>
        <w:spacing w:line="276" w:lineRule="auto"/>
        <w:ind w:firstLine="708"/>
        <w:jc w:val="both"/>
        <w:rPr>
          <w:rFonts w:ascii="Verdana" w:hAnsi="Verdana" w:cs="Arial"/>
        </w:rPr>
      </w:pPr>
      <w:r w:rsidRPr="00D31A8B">
        <w:rPr>
          <w:rFonts w:ascii="Verdana" w:hAnsi="Verdana" w:cs="Arial"/>
        </w:rPr>
        <w:t xml:space="preserve">En todo caso, conforme al artículo 209 constitucional, el numeral 8 del artículo 3 de la Ley 1437 de 2011 dispone que “En virtud del principio de transparencia, la actividad administrativa es del dominio público, por consiguiente, toda persona puede conocer las actuaciones de la administración, salvo reserva legal”. Además, el numeral 9 </w:t>
      </w:r>
      <w:r w:rsidRPr="00D31A8B">
        <w:rPr>
          <w:rFonts w:ascii="Verdana" w:hAnsi="Verdana" w:cs="Arial"/>
          <w:i/>
          <w:iCs/>
        </w:rPr>
        <w:t>ibidem</w:t>
      </w:r>
      <w:r w:rsidRPr="00D31A8B">
        <w:rPr>
          <w:rFonts w:ascii="Verdana" w:hAnsi="Verdana" w:cs="Arial"/>
        </w:rPr>
        <w:t xml:space="preserve"> precisa lo siguiente: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  </w:t>
      </w:r>
    </w:p>
    <w:p w14:paraId="29DEE234" w14:textId="77777777" w:rsidR="000A71F2" w:rsidRPr="00380938" w:rsidRDefault="000A71F2" w:rsidP="000A71F2">
      <w:pPr>
        <w:widowControl w:val="0"/>
        <w:tabs>
          <w:tab w:val="left" w:pos="728"/>
        </w:tabs>
        <w:autoSpaceDE w:val="0"/>
        <w:autoSpaceDN w:val="0"/>
        <w:spacing w:after="120" w:line="276" w:lineRule="auto"/>
        <w:jc w:val="both"/>
        <w:rPr>
          <w:rFonts w:ascii="Verdana" w:eastAsia="Arial" w:hAnsi="Verdana" w:cs="Arial"/>
          <w:lang w:val="es-ES"/>
        </w:rPr>
      </w:pPr>
      <w:r w:rsidRPr="00D31A8B">
        <w:rPr>
          <w:rFonts w:ascii="Verdana" w:hAnsi="Verdana" w:cs="Arial"/>
        </w:rPr>
        <w:tab/>
      </w:r>
      <w:r w:rsidRPr="00D31A8B">
        <w:rPr>
          <w:rFonts w:ascii="Verdana" w:eastAsia="Arial" w:hAnsi="Verdana" w:cs="Arial"/>
          <w:lang w:val="es-ES"/>
        </w:rPr>
        <w:t>Para la Corte Constitucional el principio de publicidad es la garantía de las personas de conocer las actuaciones judiciales y administrativas y, con base en ese conocimiento, tener la posibilidad de exigir que se realicen conforme a la ley</w:t>
      </w:r>
      <w:r w:rsidRPr="00D31A8B">
        <w:rPr>
          <w:rFonts w:ascii="Verdana" w:eastAsia="Arial" w:hAnsi="Verdana" w:cs="Arial"/>
          <w:sz w:val="21"/>
          <w:szCs w:val="21"/>
          <w:vertAlign w:val="superscript"/>
          <w:lang w:val="es-ES"/>
        </w:rPr>
        <w:footnoteReference w:id="3"/>
      </w:r>
      <w:r w:rsidRPr="00D31A8B">
        <w:rPr>
          <w:rFonts w:ascii="Verdana" w:eastAsia="Arial" w:hAnsi="Verdana" w:cs="Arial"/>
          <w:sz w:val="21"/>
          <w:szCs w:val="21"/>
          <w:lang w:val="es-ES"/>
        </w:rPr>
        <w:t>.</w:t>
      </w:r>
      <w:r w:rsidRPr="00D31A8B">
        <w:rPr>
          <w:rFonts w:ascii="Verdana" w:eastAsia="Arial" w:hAnsi="Verdana" w:cs="Arial"/>
          <w:b/>
          <w:lang w:val="es-ES"/>
        </w:rPr>
        <w:t xml:space="preserve"> </w:t>
      </w:r>
      <w:r w:rsidRPr="00D31A8B">
        <w:rPr>
          <w:rFonts w:ascii="Verdana" w:eastAsia="Arial" w:hAnsi="Verdana" w:cs="Arial"/>
          <w:bCs/>
          <w:lang w:val="es-ES"/>
        </w:rPr>
        <w:t xml:space="preserve">Este </w:t>
      </w:r>
      <w:r w:rsidRPr="00D31A8B">
        <w:rPr>
          <w:rFonts w:ascii="Verdana" w:eastAsia="Arial" w:hAnsi="Verdana" w:cs="Arial"/>
          <w:lang w:val="es-ES"/>
        </w:rPr>
        <w:t>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D31A8B">
        <w:rPr>
          <w:rFonts w:ascii="Verdana" w:eastAsia="Arial" w:hAnsi="Verdana" w:cs="Arial"/>
          <w:vertAlign w:val="superscript"/>
          <w:lang w:val="es-ES"/>
        </w:rPr>
        <w:footnoteReference w:id="4"/>
      </w:r>
      <w:r w:rsidRPr="00D31A8B">
        <w:rPr>
          <w:rFonts w:ascii="Verdana" w:eastAsia="Arial" w:hAnsi="Verdana" w:cs="Arial"/>
          <w:lang w:val="es-ES"/>
        </w:rPr>
        <w:t>.</w:t>
      </w:r>
      <w:r>
        <w:rPr>
          <w:rFonts w:ascii="Verdana" w:eastAsia="Arial" w:hAnsi="Verdana" w:cs="Arial"/>
          <w:lang w:val="es-ES"/>
        </w:rPr>
        <w:t xml:space="preserve"> Por ello, “[…] </w:t>
      </w:r>
      <w:r w:rsidRPr="00380938">
        <w:rPr>
          <w:rFonts w:ascii="Verdana" w:eastAsia="Arial" w:hAnsi="Verdana" w:cs="Arial"/>
          <w:lang w:val="es-ES"/>
        </w:rPr>
        <w:t xml:space="preserve">El SECOP supera </w:t>
      </w:r>
      <w:r w:rsidRPr="00380938">
        <w:rPr>
          <w:rFonts w:ascii="Verdana" w:eastAsia="Arial" w:hAnsi="Verdana" w:cs="Arial"/>
          <w:lang w:val="es-ES"/>
        </w:rPr>
        <w:lastRenderedPageBreak/>
        <w:t>algunas de las limitaciones del Diario Único de</w:t>
      </w:r>
      <w:r>
        <w:rPr>
          <w:rFonts w:ascii="Verdana" w:eastAsia="Arial" w:hAnsi="Verdana" w:cs="Arial"/>
          <w:lang w:val="es-ES"/>
        </w:rPr>
        <w:t xml:space="preserve"> </w:t>
      </w:r>
      <w:r w:rsidRPr="00380938">
        <w:rPr>
          <w:rFonts w:ascii="Verdana" w:eastAsia="Arial" w:hAnsi="Verdana" w:cs="Arial"/>
          <w:lang w:val="es-ES"/>
        </w:rPr>
        <w:t>Contratación, como su limitada cobertura geográfica, su reducido número de</w:t>
      </w:r>
      <w:r>
        <w:rPr>
          <w:rFonts w:ascii="Verdana" w:eastAsia="Arial" w:hAnsi="Verdana" w:cs="Arial"/>
          <w:lang w:val="es-ES"/>
        </w:rPr>
        <w:t xml:space="preserve"> </w:t>
      </w:r>
      <w:r w:rsidRPr="00380938">
        <w:rPr>
          <w:rFonts w:ascii="Verdana" w:eastAsia="Arial" w:hAnsi="Verdana" w:cs="Arial"/>
          <w:lang w:val="es-ES"/>
        </w:rPr>
        <w:t>ejemplares y su difícil acceso para los ciudadano</w:t>
      </w:r>
      <w:r>
        <w:rPr>
          <w:rFonts w:ascii="Verdana" w:eastAsia="Arial" w:hAnsi="Verdana" w:cs="Arial"/>
          <w:lang w:val="es-ES"/>
        </w:rPr>
        <w:t>s”</w:t>
      </w:r>
      <w:r>
        <w:rPr>
          <w:rStyle w:val="Refdenotaalpie"/>
          <w:rFonts w:ascii="Verdana" w:eastAsia="Arial" w:hAnsi="Verdana" w:cs="Arial"/>
          <w:lang w:val="es-ES"/>
        </w:rPr>
        <w:footnoteReference w:id="5"/>
      </w:r>
      <w:r>
        <w:rPr>
          <w:rFonts w:ascii="Verdana" w:eastAsia="Arial" w:hAnsi="Verdana" w:cs="Arial"/>
          <w:lang w:val="es-ES"/>
        </w:rPr>
        <w:t>.</w:t>
      </w:r>
    </w:p>
    <w:p w14:paraId="6698AF11" w14:textId="77777777" w:rsidR="000A71F2" w:rsidRPr="00D31A8B" w:rsidRDefault="000A71F2" w:rsidP="000A71F2">
      <w:pPr>
        <w:widowControl w:val="0"/>
        <w:tabs>
          <w:tab w:val="left" w:pos="728"/>
        </w:tabs>
        <w:autoSpaceDE w:val="0"/>
        <w:autoSpaceDN w:val="0"/>
        <w:spacing w:after="120" w:line="276" w:lineRule="auto"/>
        <w:jc w:val="both"/>
        <w:rPr>
          <w:rFonts w:ascii="Verdana" w:eastAsia="Arial" w:hAnsi="Verdana" w:cs="Arial"/>
          <w:lang w:val="es-ES"/>
        </w:rPr>
      </w:pPr>
      <w:r w:rsidRPr="00D31A8B">
        <w:rPr>
          <w:rFonts w:ascii="Verdana" w:eastAsia="Arial" w:hAnsi="Verdana" w:cs="Arial"/>
          <w:lang w:val="es-ES"/>
        </w:rPr>
        <w:tab/>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0A8118A3" w14:textId="77777777" w:rsidR="000A71F2" w:rsidRPr="00D31A8B" w:rsidRDefault="000A71F2" w:rsidP="000A71F2">
      <w:pPr>
        <w:widowControl w:val="0"/>
        <w:tabs>
          <w:tab w:val="left" w:pos="728"/>
        </w:tabs>
        <w:autoSpaceDE w:val="0"/>
        <w:autoSpaceDN w:val="0"/>
        <w:spacing w:after="120" w:line="276" w:lineRule="auto"/>
        <w:jc w:val="both"/>
        <w:rPr>
          <w:rFonts w:ascii="Verdana" w:eastAsia="Arial" w:hAnsi="Verdana" w:cs="Arial"/>
          <w:lang w:val="es-ES"/>
        </w:rPr>
      </w:pPr>
      <w:r w:rsidRPr="00D31A8B">
        <w:rPr>
          <w:rFonts w:ascii="Verdana" w:eastAsia="Arial" w:hAnsi="Verdana" w:cs="Arial"/>
          <w:lang w:val="es-ES"/>
        </w:rPr>
        <w:tab/>
        <w:t>La ley citada establece, en el literal e) del artículo 9, que los sujetos obligados, que son todas las entidades públicas, deben publicar la información relativa a su contratación</w:t>
      </w:r>
      <w:r w:rsidRPr="00D31A8B">
        <w:rPr>
          <w:rFonts w:ascii="Verdana" w:eastAsia="Arial" w:hAnsi="Verdana" w:cs="Arial"/>
          <w:vertAlign w:val="superscript"/>
          <w:lang w:val="es-ES"/>
        </w:rPr>
        <w:footnoteReference w:id="6"/>
      </w:r>
      <w:r w:rsidRPr="00D31A8B">
        <w:rPr>
          <w:rFonts w:ascii="Verdana" w:eastAsia="Arial" w:hAnsi="Verdana"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Pr="00D31A8B">
        <w:rPr>
          <w:rFonts w:ascii="Verdana" w:eastAsia="Arial" w:hAnsi="Verdana" w:cs="Arial"/>
          <w:vertAlign w:val="superscript"/>
          <w:lang w:val="es-ES"/>
        </w:rPr>
        <w:footnoteReference w:id="7"/>
      </w:r>
      <w:r w:rsidRPr="00D31A8B">
        <w:rPr>
          <w:rFonts w:ascii="Verdana" w:eastAsia="Arial" w:hAnsi="Verdana" w:cs="Arial"/>
          <w:lang w:val="es-ES"/>
        </w:rPr>
        <w:t>.</w:t>
      </w:r>
    </w:p>
    <w:p w14:paraId="159AE98D" w14:textId="77777777" w:rsidR="000A71F2" w:rsidRDefault="000A71F2" w:rsidP="000A71F2">
      <w:pPr>
        <w:widowControl w:val="0"/>
        <w:tabs>
          <w:tab w:val="left" w:pos="728"/>
        </w:tabs>
        <w:autoSpaceDE w:val="0"/>
        <w:autoSpaceDN w:val="0"/>
        <w:spacing w:after="0" w:line="276" w:lineRule="auto"/>
        <w:jc w:val="both"/>
        <w:rPr>
          <w:rFonts w:ascii="Verdana" w:eastAsia="Arial" w:hAnsi="Verdana" w:cs="Arial"/>
          <w:lang w:val="es-ES"/>
        </w:rPr>
      </w:pPr>
      <w:r w:rsidRPr="00D31A8B">
        <w:rPr>
          <w:rFonts w:ascii="Verdana" w:eastAsia="Arial" w:hAnsi="Verdana" w:cs="Arial"/>
          <w:lang w:val="es-ES"/>
        </w:rPr>
        <w:tab/>
        <w:t xml:space="preserve">Asimismo, de acuerdo con el literal g) del artículo 11 de la misma Ley, los destinatarios de la ley de transparencia deben garantizar la publicidad de “sus </w:t>
      </w:r>
      <w:r w:rsidRPr="00D31A8B">
        <w:rPr>
          <w:rFonts w:ascii="Verdana" w:eastAsia="Arial" w:hAnsi="Verdana" w:cs="Arial"/>
          <w:lang w:val="es-ES"/>
        </w:rPr>
        <w:lastRenderedPageBreak/>
        <w:t>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D31A8B">
        <w:rPr>
          <w:rFonts w:ascii="Verdana" w:eastAsia="Arial" w:hAnsi="Verdana" w:cs="Arial"/>
          <w:vertAlign w:val="superscript"/>
          <w:lang w:val="es-ES"/>
        </w:rPr>
        <w:footnoteReference w:id="8"/>
      </w:r>
      <w:r w:rsidRPr="00D31A8B">
        <w:rPr>
          <w:rFonts w:ascii="Verdana" w:eastAsia="Arial" w:hAnsi="Verdana" w:cs="Arial"/>
          <w:lang w:val="es-ES"/>
        </w:rPr>
        <w:t>.</w:t>
      </w:r>
      <w:r>
        <w:rPr>
          <w:rFonts w:ascii="Verdana" w:eastAsia="Arial" w:hAnsi="Verdana" w:cs="Arial"/>
          <w:lang w:val="es-ES"/>
        </w:rPr>
        <w:t xml:space="preserve"> Por ello, la ANCP – CCE ha señalado que:</w:t>
      </w:r>
    </w:p>
    <w:p w14:paraId="72FE92DF" w14:textId="77777777" w:rsidR="000A71F2" w:rsidRDefault="000A71F2" w:rsidP="000A71F2">
      <w:pPr>
        <w:widowControl w:val="0"/>
        <w:tabs>
          <w:tab w:val="left" w:pos="728"/>
        </w:tabs>
        <w:autoSpaceDE w:val="0"/>
        <w:autoSpaceDN w:val="0"/>
        <w:spacing w:after="0" w:line="276" w:lineRule="auto"/>
        <w:jc w:val="both"/>
        <w:rPr>
          <w:rFonts w:ascii="Verdana" w:eastAsia="Arial" w:hAnsi="Verdana" w:cs="Arial"/>
          <w:lang w:val="es-ES"/>
        </w:rPr>
      </w:pPr>
    </w:p>
    <w:p w14:paraId="2B556E3F" w14:textId="77777777" w:rsidR="000A71F2" w:rsidRPr="007A1929" w:rsidRDefault="000A71F2" w:rsidP="000A71F2">
      <w:pPr>
        <w:widowControl w:val="0"/>
        <w:tabs>
          <w:tab w:val="left" w:pos="728"/>
        </w:tabs>
        <w:autoSpaceDE w:val="0"/>
        <w:autoSpaceDN w:val="0"/>
        <w:spacing w:after="0" w:line="240" w:lineRule="auto"/>
        <w:ind w:left="709" w:right="709"/>
        <w:jc w:val="both"/>
        <w:rPr>
          <w:rFonts w:ascii="Verdana" w:eastAsia="Arial" w:hAnsi="Verdana" w:cs="Arial"/>
          <w:sz w:val="21"/>
          <w:szCs w:val="21"/>
          <w:lang w:val="es-ES"/>
        </w:rPr>
      </w:pPr>
      <w:r w:rsidRPr="007A1929">
        <w:rPr>
          <w:rFonts w:ascii="Verdana" w:eastAsia="Arial" w:hAnsi="Verdana" w:cs="Arial"/>
          <w:sz w:val="21"/>
          <w:szCs w:val="21"/>
          <w:lang w:val="es-ES"/>
        </w:rPr>
        <w:t>“Ley de Transparencia establece la publicidad de la contratación y también señala que deberá estar a disposición del público la información a la que hace referencia la presente ley, a través de medios físicos, remotos o locales de comunicación electrónica. De esta manera, es preciso mencionar que en cuanto a la publicación de la actividad contractual de las Entidades Estatales en algún mecanismo de divulgación, dicha obligación existió desde la Ley 80 de 1993 (parágrafo 3° del artículo 41), pues allí se estableció como mecanismo de publicación el Diario Oficial o Gaceta Oficial, lo cual fue derogado por el Decreto 019 de 2012 (artículo 223) que eliminó por completo el Diario Único de Contratación Estatal, dejando como sistema único de publicación el SECOP”</w:t>
      </w:r>
      <w:r>
        <w:rPr>
          <w:rStyle w:val="Refdenotaalpie"/>
          <w:rFonts w:ascii="Verdana" w:eastAsia="Arial" w:hAnsi="Verdana" w:cs="Arial"/>
          <w:sz w:val="21"/>
          <w:szCs w:val="21"/>
          <w:lang w:val="es-ES"/>
        </w:rPr>
        <w:footnoteReference w:id="9"/>
      </w:r>
      <w:r w:rsidRPr="007A1929">
        <w:rPr>
          <w:rFonts w:ascii="Verdana" w:eastAsia="Arial" w:hAnsi="Verdana" w:cs="Arial"/>
          <w:sz w:val="21"/>
          <w:szCs w:val="21"/>
          <w:lang w:val="es-ES"/>
        </w:rPr>
        <w:t>.</w:t>
      </w:r>
    </w:p>
    <w:p w14:paraId="07733CAF" w14:textId="77777777" w:rsidR="000A71F2" w:rsidRPr="00D31A8B" w:rsidRDefault="000A71F2" w:rsidP="000A71F2">
      <w:pPr>
        <w:widowControl w:val="0"/>
        <w:tabs>
          <w:tab w:val="left" w:pos="728"/>
        </w:tabs>
        <w:autoSpaceDE w:val="0"/>
        <w:autoSpaceDN w:val="0"/>
        <w:spacing w:after="0" w:line="276" w:lineRule="auto"/>
        <w:jc w:val="both"/>
        <w:rPr>
          <w:rFonts w:ascii="Verdana" w:eastAsia="Arial" w:hAnsi="Verdana" w:cs="Arial"/>
          <w:lang w:val="es-ES"/>
        </w:rPr>
      </w:pPr>
    </w:p>
    <w:p w14:paraId="6AEBB839" w14:textId="77777777" w:rsidR="000A71F2" w:rsidRPr="00D31A8B" w:rsidRDefault="000A71F2" w:rsidP="000A71F2">
      <w:pPr>
        <w:spacing w:line="276" w:lineRule="auto"/>
        <w:ind w:firstLine="709"/>
        <w:contextualSpacing/>
        <w:jc w:val="both"/>
        <w:rPr>
          <w:rFonts w:ascii="Verdana" w:eastAsia="Calibri" w:hAnsi="Verdana" w:cs="Arial"/>
          <w:lang w:val="es-ES_tradnl" w:eastAsia="es-ES_tradnl"/>
        </w:rPr>
      </w:pPr>
      <w:r w:rsidRPr="00D31A8B">
        <w:rPr>
          <w:rFonts w:ascii="Verdana" w:hAnsi="Verdana" w:cs="Arial"/>
          <w:lang w:val="es-ES"/>
        </w:rPr>
        <w:t>Tratándose de los contratos de régimen exceptuado</w:t>
      </w:r>
      <w:r>
        <w:rPr>
          <w:rFonts w:ascii="Verdana" w:hAnsi="Verdana" w:cs="Arial"/>
          <w:lang w:val="es-ES"/>
        </w:rPr>
        <w:t>,</w:t>
      </w:r>
      <w:r w:rsidRPr="00D31A8B">
        <w:rPr>
          <w:rFonts w:ascii="Verdana" w:hAnsi="Verdana" w:cs="Arial"/>
          <w:lang w:val="es-ES"/>
        </w:rPr>
        <w:t xml:space="preserve"> el deber de publicidad y transparencia </w:t>
      </w:r>
      <w:bookmarkStart w:id="2" w:name="_Hlk114572097"/>
      <w:bookmarkStart w:id="3" w:name="_Hlk112856043"/>
      <w:bookmarkStart w:id="4" w:name="_Hlk112245356"/>
      <w:r w:rsidRPr="00D31A8B">
        <w:rPr>
          <w:rFonts w:ascii="Verdana" w:hAnsi="Verdana" w:cs="Arial"/>
          <w:lang w:val="es-ES"/>
        </w:rPr>
        <w:t>fue complementado</w:t>
      </w:r>
      <w:r w:rsidRPr="00D31A8B">
        <w:rPr>
          <w:rFonts w:ascii="Verdana" w:hAnsi="Verdana" w:cs="Arial"/>
        </w:rPr>
        <w:t xml:space="preserve"> con la Ley 2195 de 2022. </w:t>
      </w:r>
      <w:r w:rsidRPr="00D31A8B">
        <w:rPr>
          <w:rFonts w:ascii="Verdana" w:eastAsia="Calibri" w:hAnsi="Verdana" w:cs="Arial"/>
          <w:lang w:val="es-ES_tradnl" w:eastAsia="es-ES_tradnl"/>
        </w:rPr>
        <w:t>Según el artículo 1, esta Ley “</w:t>
      </w:r>
      <w:r w:rsidRPr="00D31A8B">
        <w:rPr>
          <w:rFonts w:ascii="Verdana" w:eastAsia="Times New Roman" w:hAnsi="Verdana" w:cs="Arial"/>
          <w:lang w:val="es-ES_tradnl" w:eastAsia="es-ES_tradnl"/>
        </w:rPr>
        <w:t xml:space="preserve">[…] </w:t>
      </w:r>
      <w:r w:rsidRPr="00D31A8B">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70075AD1" w14:textId="77777777" w:rsidR="000A71F2" w:rsidRPr="00D31A8B" w:rsidRDefault="000A71F2" w:rsidP="000A71F2">
      <w:pPr>
        <w:spacing w:line="276" w:lineRule="auto"/>
        <w:ind w:firstLine="709"/>
        <w:contextualSpacing/>
        <w:jc w:val="both"/>
        <w:rPr>
          <w:rFonts w:ascii="Verdana" w:eastAsia="Calibri" w:hAnsi="Verdana" w:cs="Arial"/>
          <w:sz w:val="12"/>
          <w:szCs w:val="12"/>
          <w:lang w:val="es-ES_tradnl" w:eastAsia="es-ES_tradnl"/>
        </w:rPr>
      </w:pPr>
    </w:p>
    <w:p w14:paraId="6533E45B" w14:textId="77777777" w:rsidR="000A71F2" w:rsidRPr="00D31A8B" w:rsidRDefault="000A71F2" w:rsidP="000A71F2">
      <w:pPr>
        <w:spacing w:line="276" w:lineRule="auto"/>
        <w:ind w:firstLine="709"/>
        <w:contextualSpacing/>
        <w:jc w:val="both"/>
        <w:rPr>
          <w:rFonts w:ascii="Verdana" w:hAnsi="Verdana" w:cs="Arial"/>
        </w:rPr>
      </w:pPr>
      <w:r w:rsidRPr="00D31A8B">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D31A8B">
        <w:rPr>
          <w:rFonts w:ascii="Verdana" w:hAnsi="Verdana" w:cs="Arial"/>
        </w:rPr>
        <w:t xml:space="preserve">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w:t>
      </w:r>
      <w:r w:rsidRPr="00D31A8B">
        <w:rPr>
          <w:rFonts w:ascii="Verdana" w:hAnsi="Verdana" w:cs="Arial"/>
        </w:rPr>
        <w:lastRenderedPageBreak/>
        <w:t>para la Contratación Pública –SECOP II– o la plataforma transaccional que haga sus veces.</w:t>
      </w:r>
      <w:bookmarkEnd w:id="2"/>
      <w:r w:rsidRPr="00D31A8B">
        <w:rPr>
          <w:rFonts w:ascii="Verdana" w:hAnsi="Verdana" w:cs="Arial"/>
        </w:rPr>
        <w:t xml:space="preserve"> </w:t>
      </w:r>
      <w:bookmarkEnd w:id="3"/>
      <w:bookmarkEnd w:id="4"/>
      <w:r w:rsidRPr="00D31A8B">
        <w:rPr>
          <w:rFonts w:ascii="Verdana" w:hAnsi="Verdana" w:cs="Arial"/>
        </w:rPr>
        <w:t>Al respecto, la norma citada dispone lo siguiente:</w:t>
      </w:r>
    </w:p>
    <w:p w14:paraId="12CC6E93" w14:textId="77777777" w:rsidR="000A71F2" w:rsidRPr="00D31A8B" w:rsidRDefault="000A71F2" w:rsidP="000A71F2">
      <w:pPr>
        <w:spacing w:line="276" w:lineRule="auto"/>
        <w:ind w:firstLine="301"/>
        <w:contextualSpacing/>
        <w:rPr>
          <w:rFonts w:ascii="Verdana" w:hAnsi="Verdana" w:cs="Arial"/>
        </w:rPr>
      </w:pPr>
    </w:p>
    <w:p w14:paraId="47BAA603" w14:textId="77777777" w:rsidR="000A71F2" w:rsidRPr="00D31A8B" w:rsidRDefault="000A71F2" w:rsidP="000A71F2">
      <w:pPr>
        <w:spacing w:line="240" w:lineRule="auto"/>
        <w:ind w:left="709" w:right="709"/>
        <w:contextualSpacing/>
        <w:jc w:val="both"/>
        <w:rPr>
          <w:rFonts w:ascii="Verdana" w:eastAsia="Calibri" w:hAnsi="Verdana" w:cs="Arial"/>
          <w:sz w:val="21"/>
          <w:szCs w:val="21"/>
        </w:rPr>
      </w:pPr>
      <w:r w:rsidRPr="00D31A8B">
        <w:rPr>
          <w:rFonts w:ascii="Verdana" w:eastAsia="Calibri" w:hAnsi="Verdana" w:cs="Arial"/>
          <w:sz w:val="21"/>
          <w:szCs w:val="21"/>
        </w:rPr>
        <w:t>“Adiciónese los siguientes incisos al artículo 13 de la Ley 1150 de 2007, el cual quedará así:</w:t>
      </w:r>
    </w:p>
    <w:p w14:paraId="5E7FAC29" w14:textId="77777777" w:rsidR="000A71F2" w:rsidRPr="00D31A8B" w:rsidRDefault="000A71F2" w:rsidP="000A71F2">
      <w:pPr>
        <w:spacing w:line="240" w:lineRule="auto"/>
        <w:ind w:left="709" w:right="709"/>
        <w:contextualSpacing/>
        <w:jc w:val="both"/>
        <w:rPr>
          <w:rFonts w:ascii="Verdana" w:eastAsia="Calibri" w:hAnsi="Verdana" w:cs="Arial"/>
          <w:sz w:val="12"/>
          <w:szCs w:val="12"/>
        </w:rPr>
      </w:pPr>
    </w:p>
    <w:p w14:paraId="62FC9063" w14:textId="77777777" w:rsidR="000A71F2" w:rsidRPr="00D31A8B" w:rsidRDefault="000A71F2" w:rsidP="000A71F2">
      <w:pPr>
        <w:spacing w:line="240" w:lineRule="auto"/>
        <w:ind w:left="709" w:right="709"/>
        <w:contextualSpacing/>
        <w:jc w:val="both"/>
        <w:rPr>
          <w:rFonts w:ascii="Verdana" w:eastAsia="Calibri" w:hAnsi="Verdana" w:cs="Arial"/>
          <w:sz w:val="21"/>
          <w:szCs w:val="21"/>
        </w:rPr>
      </w:pPr>
      <w:r w:rsidRPr="00D31A8B">
        <w:rPr>
          <w:rFonts w:ascii="Verdana" w:eastAsia="Calibri" w:hAnsi="Verdana" w:cs="Arial"/>
          <w:sz w:val="21"/>
          <w:szCs w:val="21"/>
        </w:rPr>
        <w:t xml:space="preserve">Artículo 13. PRINCIPIOS GENERALES DE LA ACTIVIDAD CONTRACTUAL PARA ENTIDADES NO SOMETIDAS AL ESTATUTO GENERAL DE CONTRATACIÓN DE LA ADMINISTRACIÓN PÚBLICA. </w:t>
      </w:r>
      <w:bookmarkStart w:id="5" w:name="_Hlk153374976"/>
      <w:r w:rsidRPr="00D31A8B">
        <w:rPr>
          <w:rFonts w:ascii="Verdana" w:eastAsia="Calibri" w:hAnsi="Verdana" w:cs="Arial"/>
          <w:sz w:val="21"/>
          <w:szCs w:val="21"/>
        </w:rPr>
        <w:t>Las entidades estatales que por disposición legal cuenten con un régimen contractual excepcional al del Estatuto General de Contratación de la Administración Pública</w:t>
      </w:r>
      <w:bookmarkEnd w:id="5"/>
      <w:r w:rsidRPr="00D31A8B">
        <w:rPr>
          <w:rFonts w:ascii="Verdana" w:eastAsia="Calibri" w:hAnsi="Verdana" w:cs="Arial"/>
          <w:sz w:val="21"/>
          <w:szCs w:val="21"/>
        </w:rPr>
        <w:t>,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E3C0A99" w14:textId="77777777" w:rsidR="000A71F2" w:rsidRPr="00D31A8B" w:rsidRDefault="000A71F2" w:rsidP="000A71F2">
      <w:pPr>
        <w:spacing w:line="240" w:lineRule="auto"/>
        <w:ind w:left="709" w:right="709"/>
        <w:contextualSpacing/>
        <w:jc w:val="both"/>
        <w:rPr>
          <w:rFonts w:ascii="Verdana" w:eastAsia="Calibri" w:hAnsi="Verdana" w:cs="Arial"/>
          <w:sz w:val="12"/>
          <w:szCs w:val="12"/>
        </w:rPr>
      </w:pPr>
    </w:p>
    <w:p w14:paraId="306F40E3" w14:textId="77777777" w:rsidR="000A71F2" w:rsidRPr="00D31A8B" w:rsidRDefault="000A71F2" w:rsidP="000A71F2">
      <w:pPr>
        <w:spacing w:line="240" w:lineRule="auto"/>
        <w:ind w:left="709" w:right="709"/>
        <w:contextualSpacing/>
        <w:jc w:val="both"/>
        <w:rPr>
          <w:rFonts w:ascii="Verdana" w:eastAsia="Calibri" w:hAnsi="Verdana" w:cs="Arial"/>
          <w:i/>
          <w:iCs/>
          <w:sz w:val="21"/>
          <w:szCs w:val="21"/>
        </w:rPr>
      </w:pPr>
      <w:r w:rsidRPr="00D31A8B">
        <w:rPr>
          <w:rFonts w:ascii="Verdana" w:eastAsia="Calibri" w:hAnsi="Verdana" w:cs="Arial"/>
          <w:i/>
          <w:iCs/>
          <w:sz w:val="21"/>
          <w:szCs w:val="21"/>
        </w:rPr>
        <w:t xml:space="preserve">En desarrollo de los anteriores principios, </w:t>
      </w:r>
      <w:bookmarkStart w:id="6" w:name="_Hlk153375008"/>
      <w:r w:rsidRPr="00D31A8B">
        <w:rPr>
          <w:rFonts w:ascii="Verdana" w:eastAsia="Calibri" w:hAnsi="Verdana" w:cs="Arial"/>
          <w:i/>
          <w:iCs/>
          <w:sz w:val="21"/>
          <w:szCs w:val="21"/>
        </w:rPr>
        <w:t>deberán publicar los documentos relacionados con su actividad contractual en el Sistema Electrónico para la Contratación Pública –SECOP II– o la plataforma transaccional que haga sus veces</w:t>
      </w:r>
      <w:bookmarkEnd w:id="6"/>
      <w:r w:rsidRPr="00D31A8B">
        <w:rPr>
          <w:rFonts w:ascii="Verdana" w:eastAsia="Calibri" w:hAnsi="Verdana" w:cs="Arial"/>
          <w:i/>
          <w:iCs/>
          <w:sz w:val="21"/>
          <w:szCs w:val="21"/>
        </w:rPr>
        <w:t xml:space="preserve">. Para los efectos de este artículo, se entiende por actividad contractual </w:t>
      </w:r>
      <w:bookmarkStart w:id="7" w:name="_Hlk153375262"/>
      <w:r w:rsidRPr="00D31A8B">
        <w:rPr>
          <w:rFonts w:ascii="Verdana" w:eastAsia="Calibri" w:hAnsi="Verdana" w:cs="Arial"/>
          <w:i/>
          <w:iCs/>
          <w:sz w:val="21"/>
          <w:szCs w:val="21"/>
        </w:rPr>
        <w:t xml:space="preserve">los documentos, contratos, actos e información generada por oferentes, contratista, contratante, supervisor o interventor, tanto en la etapa precontractual, como en la contractual y la </w:t>
      </w:r>
      <w:proofErr w:type="spellStart"/>
      <w:r w:rsidRPr="00D31A8B">
        <w:rPr>
          <w:rFonts w:ascii="Verdana" w:eastAsia="Calibri" w:hAnsi="Verdana" w:cs="Arial"/>
          <w:i/>
          <w:iCs/>
          <w:sz w:val="21"/>
          <w:szCs w:val="21"/>
        </w:rPr>
        <w:t>postcontractual</w:t>
      </w:r>
      <w:bookmarkEnd w:id="7"/>
      <w:proofErr w:type="spellEnd"/>
      <w:r w:rsidRPr="00D31A8B">
        <w:rPr>
          <w:rFonts w:ascii="Verdana" w:eastAsia="Calibri" w:hAnsi="Verdana" w:cs="Arial"/>
          <w:i/>
          <w:iCs/>
          <w:sz w:val="21"/>
          <w:szCs w:val="21"/>
        </w:rPr>
        <w:t>.</w:t>
      </w:r>
    </w:p>
    <w:p w14:paraId="37190BDF" w14:textId="77777777" w:rsidR="000A71F2" w:rsidRPr="00D31A8B" w:rsidRDefault="000A71F2" w:rsidP="000A71F2">
      <w:pPr>
        <w:spacing w:line="240" w:lineRule="auto"/>
        <w:ind w:left="709" w:right="709"/>
        <w:contextualSpacing/>
        <w:jc w:val="both"/>
        <w:rPr>
          <w:rFonts w:ascii="Verdana" w:eastAsia="Calibri" w:hAnsi="Verdana" w:cs="Arial"/>
          <w:i/>
          <w:iCs/>
          <w:sz w:val="12"/>
          <w:szCs w:val="12"/>
        </w:rPr>
      </w:pPr>
    </w:p>
    <w:p w14:paraId="56E947D2" w14:textId="77777777" w:rsidR="000A71F2" w:rsidRPr="00D31A8B" w:rsidRDefault="000A71F2" w:rsidP="000A71F2">
      <w:pPr>
        <w:spacing w:line="240" w:lineRule="auto"/>
        <w:ind w:left="709" w:right="709"/>
        <w:contextualSpacing/>
        <w:jc w:val="both"/>
        <w:rPr>
          <w:rFonts w:ascii="Verdana" w:eastAsia="Calibri" w:hAnsi="Verdana" w:cs="Arial"/>
          <w:sz w:val="21"/>
          <w:szCs w:val="21"/>
        </w:rPr>
      </w:pPr>
      <w:r w:rsidRPr="00D31A8B">
        <w:rPr>
          <w:rFonts w:ascii="Verdana" w:eastAsia="Calibri" w:hAnsi="Verdana" w:cs="Arial"/>
          <w:sz w:val="21"/>
          <w:szCs w:val="21"/>
        </w:rPr>
        <w:t>A partir de la entrada en vigencia de la presente Ley, se establecerá un periodo de transición de seis (6) meses, para que las entidades den cumplimiento efectivo a lo aquí establecido”. (Énfasis fuera de texto).</w:t>
      </w:r>
    </w:p>
    <w:p w14:paraId="4E752D03" w14:textId="77777777" w:rsidR="000A71F2" w:rsidRPr="00D31A8B" w:rsidRDefault="000A71F2" w:rsidP="000A71F2">
      <w:pPr>
        <w:spacing w:line="276" w:lineRule="auto"/>
        <w:ind w:firstLine="709"/>
        <w:contextualSpacing/>
        <w:jc w:val="both"/>
        <w:rPr>
          <w:rFonts w:ascii="Verdana" w:eastAsia="Calibri" w:hAnsi="Verdana" w:cs="Arial"/>
          <w:lang w:val="es-ES_tradnl"/>
        </w:rPr>
      </w:pPr>
    </w:p>
    <w:p w14:paraId="004CB13F" w14:textId="77777777" w:rsidR="000A71F2" w:rsidRPr="00D31A8B" w:rsidRDefault="000A71F2" w:rsidP="000A71F2">
      <w:pPr>
        <w:spacing w:after="120" w:line="276" w:lineRule="auto"/>
        <w:ind w:firstLine="709"/>
        <w:jc w:val="both"/>
        <w:rPr>
          <w:rFonts w:ascii="Verdana" w:eastAsia="Calibri" w:hAnsi="Verdana" w:cs="Arial"/>
          <w:lang w:val="es-ES_tradnl" w:eastAsia="es-ES_tradnl"/>
        </w:rPr>
      </w:pPr>
      <w:r w:rsidRPr="00D31A8B">
        <w:rPr>
          <w:rFonts w:ascii="Verdana" w:eastAsia="Calibri" w:hAnsi="Verdana" w:cs="Arial"/>
          <w:lang w:val="es-ES_tradnl"/>
        </w:rPr>
        <w:t xml:space="preserve">Cabe destacar que cuando la norma trascrita hace referencia a que el mencionado deber de publicidad debe cumplirse en el SECOP II o </w:t>
      </w:r>
      <w:r w:rsidRPr="00D31A8B">
        <w:rPr>
          <w:rFonts w:ascii="Verdana" w:hAnsi="Verdana" w:cs="Arial"/>
        </w:rPr>
        <w:t>“</w:t>
      </w:r>
      <w:r w:rsidRPr="00D31A8B">
        <w:rPr>
          <w:rFonts w:ascii="Verdana" w:eastAsia="Calibri" w:hAnsi="Verdana" w:cs="Arial"/>
          <w:lang w:val="es-ES_tradnl"/>
        </w:rPr>
        <w:t xml:space="preserve">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D31A8B">
        <w:rPr>
          <w:rFonts w:ascii="Verdana" w:hAnsi="Verdana" w:cs="Arial"/>
        </w:rPr>
        <w:t>“</w:t>
      </w:r>
      <w:r w:rsidRPr="00D31A8B">
        <w:rPr>
          <w:rFonts w:ascii="Verdana" w:eastAsia="Calibri" w:hAnsi="Verdana" w:cs="Arial"/>
          <w:lang w:val="es-ES_tradnl"/>
        </w:rPr>
        <w:t>la plataforma que haga sus veces</w:t>
      </w:r>
      <w:r w:rsidRPr="00D31A8B">
        <w:rPr>
          <w:rFonts w:ascii="Verdana" w:hAnsi="Verdana" w:cs="Arial"/>
        </w:rPr>
        <w:t>”</w:t>
      </w:r>
      <w:r w:rsidRPr="00D31A8B">
        <w:rPr>
          <w:rFonts w:ascii="Verdana" w:eastAsia="Calibri" w:hAnsi="Verdana"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D31A8B">
        <w:rPr>
          <w:rFonts w:ascii="Verdana" w:eastAsia="Calibri" w:hAnsi="Verdana" w:cs="Arial"/>
          <w:lang w:val="es-ES_tradnl" w:eastAsia="es-ES_tradnl"/>
        </w:rPr>
        <w:t xml:space="preserve">Con esto se logra que la </w:t>
      </w:r>
      <w:r w:rsidRPr="00D31A8B">
        <w:rPr>
          <w:rFonts w:ascii="Verdana" w:eastAsia="Calibri" w:hAnsi="Verdana" w:cs="Arial"/>
          <w:lang w:val="es-ES_tradnl" w:eastAsia="es-ES_tradnl"/>
        </w:rPr>
        <w:lastRenderedPageBreak/>
        <w:t>ciudadanía pueda encontrar en un mismo sistema la gestión de la actividad contractual del Estado, garantizándose en mayor grado la transparencia y el acceso a la información y documentación pública.</w:t>
      </w:r>
    </w:p>
    <w:p w14:paraId="1938799B" w14:textId="77777777" w:rsidR="000A71F2" w:rsidRPr="00D31A8B" w:rsidRDefault="000A71F2" w:rsidP="000A71F2">
      <w:pPr>
        <w:spacing w:before="120" w:after="120" w:line="276" w:lineRule="auto"/>
        <w:ind w:firstLine="709"/>
        <w:jc w:val="both"/>
        <w:rPr>
          <w:rFonts w:ascii="Verdana" w:eastAsia="Calibri" w:hAnsi="Verdana" w:cs="Arial"/>
          <w:lang w:val="es-ES"/>
        </w:rPr>
      </w:pPr>
      <w:bookmarkStart w:id="8" w:name="_Hlk109111956"/>
      <w:bookmarkStart w:id="9" w:name="_Hlk112245392"/>
      <w:r w:rsidRPr="735DED37">
        <w:rPr>
          <w:rFonts w:ascii="Verdana" w:eastAsia="Calibri" w:hAnsi="Verdana" w:cs="Arial"/>
          <w:lang w:val="es-ES"/>
        </w:rPr>
        <w:t xml:space="preserve">En cuanto a los documentos que deben publicarse en el SECOP II, la norma citada hace referencia a los documentos relacionados con su </w:t>
      </w:r>
      <w:r w:rsidRPr="735DED37">
        <w:rPr>
          <w:rFonts w:ascii="Verdana" w:eastAsia="Calibri" w:hAnsi="Verdana" w:cs="Arial"/>
          <w:i/>
          <w:lang w:val="es-ES"/>
        </w:rPr>
        <w:t>actividad contractual,</w:t>
      </w:r>
      <w:r w:rsidRPr="735DED37">
        <w:rPr>
          <w:rFonts w:ascii="Verdana" w:eastAsia="Calibri" w:hAnsi="Verdana" w:cs="Arial"/>
          <w:lang w:val="es-ES"/>
        </w:rPr>
        <w:t xml:space="preserve"> es decir, “[…] los documentos, contratos, actos e información generada por oferentes, contratista, contratante, supervisor o interventor, tanto en la etapa precontractual, como en la contractual y la </w:t>
      </w:r>
      <w:proofErr w:type="spellStart"/>
      <w:r w:rsidRPr="735DED37">
        <w:rPr>
          <w:rFonts w:ascii="Verdana" w:eastAsia="Calibri" w:hAnsi="Verdana" w:cs="Arial"/>
          <w:lang w:val="es-ES"/>
        </w:rPr>
        <w:t>postcontractual</w:t>
      </w:r>
      <w:proofErr w:type="spellEnd"/>
      <w:r w:rsidRPr="735DED37">
        <w:rPr>
          <w:rFonts w:ascii="Verdana" w:eastAsia="Calibri" w:hAnsi="Verdana" w:cs="Arial"/>
          <w:lang w:val="es-ES"/>
        </w:rPr>
        <w:t xml:space="preserve">”. En ese sentido, el artículo 53 de la Ley 2195 de 2022 establece el deber de publicar toda aquella información relacionada con el respectivo contrato, sin incluir ninguna excepción relacionada con la naturaleza u objeto. Por </w:t>
      </w:r>
      <w:bookmarkEnd w:id="8"/>
      <w:r w:rsidRPr="735DED37">
        <w:rPr>
          <w:rFonts w:ascii="Verdana" w:eastAsia="Calibri" w:hAnsi="Verdana" w:cs="Arial"/>
          <w:lang w:val="es-ES"/>
        </w:rPr>
        <w:t xml:space="preserve">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 </w:t>
      </w:r>
    </w:p>
    <w:p w14:paraId="269E003C" w14:textId="77777777" w:rsidR="000A71F2" w:rsidRPr="00D31A8B" w:rsidRDefault="000A71F2" w:rsidP="000A71F2">
      <w:pPr>
        <w:spacing w:before="120" w:after="120" w:line="276" w:lineRule="auto"/>
        <w:ind w:firstLine="709"/>
        <w:jc w:val="both"/>
        <w:rPr>
          <w:rFonts w:ascii="Verdana" w:eastAsia="Calibri" w:hAnsi="Verdana" w:cs="Arial"/>
          <w:lang w:val="es-ES"/>
        </w:rPr>
      </w:pPr>
      <w:r w:rsidRPr="00D31A8B">
        <w:rPr>
          <w:rFonts w:ascii="Verdana" w:eastAsia="Calibri" w:hAnsi="Verdana" w:cs="Arial"/>
          <w:lang w:val="es-ES"/>
        </w:rPr>
        <w:t>Sin perjuicio de lo anterior, 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r w:rsidRPr="00D31A8B">
        <w:rPr>
          <w:rFonts w:ascii="Verdana" w:eastAsia="Calibri" w:hAnsi="Verdana" w:cs="Arial"/>
          <w:vertAlign w:val="superscript"/>
          <w:lang w:val="es-ES"/>
        </w:rPr>
        <w:footnoteReference w:id="10"/>
      </w:r>
      <w:r w:rsidRPr="00D31A8B">
        <w:rPr>
          <w:rFonts w:ascii="Verdana" w:eastAsia="Calibri" w:hAnsi="Verdana" w:cs="Arial"/>
          <w:lang w:val="es-ES"/>
        </w:rPr>
        <w:t xml:space="preserve">. </w:t>
      </w:r>
      <w:bookmarkStart w:id="10" w:name="_Hlk109111976"/>
      <w:bookmarkStart w:id="11" w:name="_Hlk112856091"/>
      <w:bookmarkStart w:id="12" w:name="_Hlk112245428"/>
      <w:bookmarkEnd w:id="9"/>
    </w:p>
    <w:p w14:paraId="167BC63D" w14:textId="77777777" w:rsidR="000A71F2" w:rsidRPr="00D31A8B" w:rsidRDefault="000A71F2" w:rsidP="000A71F2">
      <w:pPr>
        <w:spacing w:before="120" w:after="120" w:line="276" w:lineRule="auto"/>
        <w:ind w:firstLine="709"/>
        <w:jc w:val="both"/>
        <w:rPr>
          <w:rFonts w:ascii="Verdana" w:eastAsia="Calibri" w:hAnsi="Verdana" w:cs="Arial"/>
          <w:lang w:val="es-ES"/>
        </w:rPr>
      </w:pPr>
      <w:r w:rsidRPr="00D31A8B">
        <w:rPr>
          <w:rFonts w:ascii="Verdana" w:eastAsia="Calibri" w:hAnsi="Verdana" w:cs="Arial"/>
          <w:lang w:val="es-ES_tradnl"/>
        </w:rPr>
        <w:lastRenderedPageBreak/>
        <w:t xml:space="preserve">Por otro lado, el inciso final del artículo 53 dispone que “A partir de la </w:t>
      </w:r>
      <w:proofErr w:type="gramStart"/>
      <w:r w:rsidRPr="00D31A8B">
        <w:rPr>
          <w:rFonts w:ascii="Verdana" w:eastAsia="Calibri" w:hAnsi="Verdana" w:cs="Arial"/>
          <w:lang w:val="es-ES_tradnl"/>
        </w:rPr>
        <w:t>entrada en vigencia</w:t>
      </w:r>
      <w:proofErr w:type="gramEnd"/>
      <w:r w:rsidRPr="00D31A8B">
        <w:rPr>
          <w:rFonts w:ascii="Verdana" w:eastAsia="Calibri" w:hAnsi="Verdana" w:cs="Arial"/>
          <w:lang w:val="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trascurrió del 18 de enero al 18 de julio de 2022. </w:t>
      </w:r>
      <w:bookmarkEnd w:id="10"/>
      <w:r w:rsidRPr="00D31A8B">
        <w:rPr>
          <w:rFonts w:ascii="Verdana" w:eastAsia="Calibri" w:hAnsi="Verdana" w:cs="Arial"/>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bookmarkEnd w:id="11"/>
      <w:r w:rsidRPr="00D31A8B">
        <w:rPr>
          <w:rStyle w:val="Refdenotaalpie"/>
          <w:rFonts w:ascii="Verdana" w:hAnsi="Verdana" w:cs="Arial"/>
        </w:rPr>
        <w:footnoteReference w:id="11"/>
      </w:r>
      <w:r w:rsidRPr="00D31A8B">
        <w:rPr>
          <w:rFonts w:ascii="Verdana" w:hAnsi="Verdana" w:cs="Arial"/>
        </w:rPr>
        <w:t>.</w:t>
      </w:r>
    </w:p>
    <w:bookmarkEnd w:id="12"/>
    <w:p w14:paraId="2570BFF1" w14:textId="77777777" w:rsidR="000A71F2" w:rsidRPr="00D31A8B" w:rsidRDefault="000A71F2" w:rsidP="000A71F2">
      <w:pPr>
        <w:autoSpaceDE w:val="0"/>
        <w:autoSpaceDN w:val="0"/>
        <w:adjustRightInd w:val="0"/>
        <w:spacing w:line="276" w:lineRule="auto"/>
        <w:ind w:firstLine="709"/>
        <w:contextualSpacing/>
        <w:jc w:val="both"/>
        <w:rPr>
          <w:rFonts w:ascii="Verdana" w:eastAsia="Calibri" w:hAnsi="Verdana" w:cs="Arial"/>
          <w:lang w:val="es-ES_tradnl" w:eastAsia="es-ES_tradnl"/>
        </w:rPr>
      </w:pPr>
      <w:r w:rsidRPr="00D31A8B">
        <w:rPr>
          <w:rFonts w:ascii="Verdana" w:eastAsia="Calibri" w:hAnsi="Verdana" w:cs="Arial"/>
          <w:lang w:val="es-ES_tradnl"/>
        </w:rPr>
        <w:t>Finalmente</w:t>
      </w:r>
      <w:r w:rsidRPr="00D31A8B">
        <w:rPr>
          <w:rFonts w:ascii="Verdana" w:eastAsia="Calibri" w:hAnsi="Verdana" w:cs="Arial"/>
          <w:lang w:val="es-ES"/>
        </w:rPr>
        <w:t xml:space="preserve">, debe destacarse que, el </w:t>
      </w:r>
      <w:bookmarkStart w:id="13" w:name="_Hlk153374719"/>
      <w:r w:rsidRPr="00D31A8B">
        <w:rPr>
          <w:rFonts w:ascii="Verdana" w:eastAsia="Calibri" w:hAnsi="Verdana" w:cs="Arial"/>
          <w:lang w:val="es-ES"/>
        </w:rPr>
        <w:t>Departamento Administrativo de la Presidencia de la Republica</w:t>
      </w:r>
      <w:bookmarkEnd w:id="13"/>
      <w:r w:rsidRPr="00D31A8B">
        <w:rPr>
          <w:rFonts w:ascii="Verdana" w:eastAsia="Calibri" w:hAnsi="Verdana" w:cs="Arial"/>
          <w:lang w:val="es-ES"/>
        </w:rPr>
        <w:t xml:space="preserve"> expidió la Circular 02 del 1 de junio de 2022, la cual contiene una serie de instrucciones dirigidas a garantizar el cumplimiento del deber legal de publicar en SECOP II por parte de las entidades estatales exceptuadas del Estatuto General de Contratación Pública. Sobre el alcance y vigencia dicha disposición la mencionada circular señaló lo siguiente</w:t>
      </w:r>
      <w:r w:rsidRPr="00D31A8B">
        <w:rPr>
          <w:rFonts w:ascii="Verdana" w:eastAsia="Calibri" w:hAnsi="Verdana" w:cs="Arial"/>
          <w:lang w:val="es-ES_tradnl" w:eastAsia="es-ES_tradnl"/>
        </w:rPr>
        <w:t>:</w:t>
      </w:r>
    </w:p>
    <w:p w14:paraId="718059B6" w14:textId="77777777" w:rsidR="000A71F2" w:rsidRPr="00D31A8B" w:rsidRDefault="000A71F2" w:rsidP="000A71F2">
      <w:pPr>
        <w:autoSpaceDE w:val="0"/>
        <w:autoSpaceDN w:val="0"/>
        <w:adjustRightInd w:val="0"/>
        <w:ind w:firstLine="708"/>
        <w:contextualSpacing/>
        <w:jc w:val="both"/>
        <w:rPr>
          <w:rFonts w:ascii="Verdana" w:eastAsia="Calibri" w:hAnsi="Verdana" w:cs="Arial"/>
          <w:lang w:val="es-ES_tradnl" w:eastAsia="es-ES_tradnl"/>
        </w:rPr>
      </w:pPr>
    </w:p>
    <w:p w14:paraId="63FEA129" w14:textId="77777777" w:rsidR="000A71F2" w:rsidRPr="00D31A8B" w:rsidRDefault="000A71F2" w:rsidP="000A71F2">
      <w:pPr>
        <w:autoSpaceDE w:val="0"/>
        <w:autoSpaceDN w:val="0"/>
        <w:adjustRightInd w:val="0"/>
        <w:spacing w:line="240" w:lineRule="auto"/>
        <w:ind w:left="709" w:right="709"/>
        <w:contextualSpacing/>
        <w:jc w:val="both"/>
        <w:rPr>
          <w:rFonts w:ascii="Verdana" w:eastAsia="Calibri" w:hAnsi="Verdana" w:cs="Arial"/>
          <w:i/>
          <w:iCs/>
          <w:sz w:val="21"/>
          <w:szCs w:val="21"/>
          <w:lang w:val="es-ES_tradnl" w:eastAsia="es-ES_tradnl"/>
        </w:rPr>
      </w:pPr>
      <w:r w:rsidRPr="00D31A8B">
        <w:rPr>
          <w:rFonts w:ascii="Verdana" w:hAnsi="Verdana" w:cs="Arial"/>
          <w:sz w:val="21"/>
          <w:szCs w:val="21"/>
        </w:rPr>
        <w:t>“</w:t>
      </w:r>
      <w:r w:rsidRPr="00D31A8B">
        <w:rPr>
          <w:rFonts w:ascii="Verdana" w:hAnsi="Verdana" w:cs="Arial"/>
          <w:i/>
          <w:iCs/>
          <w:sz w:val="21"/>
          <w:szCs w:val="21"/>
        </w:rPr>
        <w:t xml:space="preserve">Dado que el artículo 53 de la Ley 2195 de 2022 no cambió la forma en que se perfeccionan los contratos suscritos por estas entidades exceptuadas, para cumplir con el deber de publicidad que les asiste, podrán elegir cualquiera de las siguientes opciones: 1. Firmar el contrato electrónicamente (es decir, realiza un uso transaccional de la plataforma). 2. Firmar el contrato en físico y publicar los documentos </w:t>
      </w:r>
      <w:r w:rsidRPr="00D31A8B">
        <w:rPr>
          <w:rFonts w:ascii="Verdana" w:hAnsi="Verdana" w:cs="Arial"/>
          <w:i/>
          <w:iCs/>
          <w:sz w:val="21"/>
          <w:szCs w:val="21"/>
        </w:rPr>
        <w:lastRenderedPageBreak/>
        <w:t>de ejecución en la etapa precontractual del SECOP II (es decir, realiza un uso publicitario de la plataforma).</w:t>
      </w:r>
    </w:p>
    <w:p w14:paraId="3A79A073" w14:textId="77777777" w:rsidR="000A71F2" w:rsidRPr="00D31A8B" w:rsidRDefault="000A71F2" w:rsidP="000A71F2">
      <w:pPr>
        <w:autoSpaceDE w:val="0"/>
        <w:autoSpaceDN w:val="0"/>
        <w:adjustRightInd w:val="0"/>
        <w:spacing w:line="240" w:lineRule="auto"/>
        <w:ind w:firstLine="708"/>
        <w:contextualSpacing/>
        <w:jc w:val="both"/>
        <w:rPr>
          <w:rFonts w:ascii="Verdana" w:eastAsia="Calibri" w:hAnsi="Verdana" w:cs="Arial"/>
          <w:sz w:val="21"/>
          <w:szCs w:val="21"/>
          <w:lang w:val="es-ES_tradnl" w:eastAsia="es-ES_tradnl"/>
        </w:rPr>
      </w:pPr>
      <w:r w:rsidRPr="00D31A8B">
        <w:rPr>
          <w:rFonts w:ascii="Verdana" w:eastAsia="Calibri" w:hAnsi="Verdana" w:cs="Arial"/>
          <w:sz w:val="21"/>
          <w:szCs w:val="21"/>
          <w:lang w:val="es-ES_tradnl" w:eastAsia="es-ES_tradnl"/>
        </w:rPr>
        <w:t>[…]</w:t>
      </w:r>
    </w:p>
    <w:p w14:paraId="670D2D99" w14:textId="77777777" w:rsidR="000A71F2" w:rsidRPr="00D31A8B" w:rsidRDefault="000A71F2" w:rsidP="000A71F2">
      <w:pPr>
        <w:spacing w:line="240" w:lineRule="auto"/>
        <w:ind w:left="709" w:right="709"/>
        <w:contextualSpacing/>
        <w:jc w:val="both"/>
        <w:rPr>
          <w:rFonts w:ascii="Verdana" w:eastAsia="Times New Roman" w:hAnsi="Verdana" w:cs="Arial"/>
          <w:sz w:val="12"/>
          <w:szCs w:val="12"/>
          <w:lang w:eastAsia="es-ES_tradnl"/>
        </w:rPr>
      </w:pPr>
    </w:p>
    <w:p w14:paraId="7F9B2DE8" w14:textId="77777777" w:rsidR="000A71F2" w:rsidRPr="00D31A8B" w:rsidRDefault="000A71F2" w:rsidP="000A71F2">
      <w:pPr>
        <w:spacing w:line="240" w:lineRule="auto"/>
        <w:ind w:left="709" w:right="709"/>
        <w:contextualSpacing/>
        <w:jc w:val="both"/>
        <w:rPr>
          <w:rFonts w:ascii="Verdana" w:eastAsia="Times New Roman" w:hAnsi="Verdana" w:cs="Arial"/>
          <w:i/>
          <w:iCs/>
          <w:sz w:val="21"/>
          <w:szCs w:val="21"/>
          <w:lang w:eastAsia="es-ES_tradnl"/>
        </w:rPr>
      </w:pPr>
      <w:r w:rsidRPr="00D31A8B">
        <w:rPr>
          <w:rFonts w:ascii="Verdana" w:eastAsia="Times New Roman" w:hAnsi="Verdana" w:cs="Arial"/>
          <w:sz w:val="21"/>
          <w:szCs w:val="21"/>
          <w:lang w:eastAsia="es-ES_tradnl"/>
        </w:rPr>
        <w:t>El deber de las entidades estatales que por disposición legal cuenten con un régimen contractual excepcional al del Estatuto General de Contratación de la Administración Pública, de publicar los documentos relacionados con su actividad contractual en el SECOP II</w:t>
      </w:r>
      <w:r w:rsidRPr="00D31A8B">
        <w:rPr>
          <w:rFonts w:ascii="Verdana" w:eastAsia="Times New Roman" w:hAnsi="Verdana" w:cs="Arial"/>
          <w:i/>
          <w:iCs/>
          <w:sz w:val="21"/>
          <w:szCs w:val="21"/>
          <w:lang w:eastAsia="es-ES_tradnl"/>
        </w:rPr>
        <w:t xml:space="preserve">, solo aplica para los contratos suscritos con posterioridad al término dispuesto en el artículo 53 de la Ley 2195 de 2022, esto es, el 18 de julio de 2022. </w:t>
      </w:r>
    </w:p>
    <w:p w14:paraId="7F3D09A0" w14:textId="77777777" w:rsidR="000A71F2" w:rsidRPr="00D31A8B" w:rsidRDefault="000A71F2" w:rsidP="000A71F2">
      <w:pPr>
        <w:spacing w:line="240" w:lineRule="auto"/>
        <w:ind w:left="709" w:right="709"/>
        <w:contextualSpacing/>
        <w:jc w:val="both"/>
        <w:rPr>
          <w:rFonts w:ascii="Verdana" w:eastAsia="Times New Roman" w:hAnsi="Verdana" w:cs="Arial"/>
          <w:sz w:val="12"/>
          <w:szCs w:val="12"/>
          <w:lang w:eastAsia="es-ES_tradnl"/>
        </w:rPr>
      </w:pPr>
    </w:p>
    <w:p w14:paraId="63A731FD" w14:textId="77777777" w:rsidR="000A71F2" w:rsidRPr="00D31A8B" w:rsidRDefault="000A71F2" w:rsidP="000A71F2">
      <w:pPr>
        <w:spacing w:line="240" w:lineRule="auto"/>
        <w:ind w:left="709" w:right="709"/>
        <w:contextualSpacing/>
        <w:jc w:val="both"/>
        <w:rPr>
          <w:rFonts w:ascii="Verdana" w:eastAsia="Calibri" w:hAnsi="Verdana" w:cs="Arial"/>
          <w:sz w:val="21"/>
          <w:szCs w:val="21"/>
          <w:lang w:val="es-ES_tradnl" w:eastAsia="es-ES_tradnl"/>
        </w:rPr>
      </w:pPr>
      <w:r w:rsidRPr="00D31A8B">
        <w:rPr>
          <w:rFonts w:ascii="Verdana" w:eastAsia="Times New Roman" w:hAnsi="Verdana" w:cs="Arial"/>
          <w:sz w:val="21"/>
          <w:szCs w:val="21"/>
          <w:lang w:eastAsia="es-ES_tradnl"/>
        </w:rPr>
        <w:t>Lo anterior en concordancia con lo establecido en el artículo 38 de la Ley 153 de 1887, el cual dispone que en todo contrato celebrado se entenderán incorporadas las leyes vigentes al tiempo de su celebración”</w:t>
      </w:r>
      <w:r w:rsidRPr="00D31A8B">
        <w:rPr>
          <w:rFonts w:ascii="Verdana" w:eastAsia="Times New Roman" w:hAnsi="Verdana" w:cs="Arial"/>
          <w:i/>
          <w:iCs/>
          <w:sz w:val="21"/>
          <w:szCs w:val="21"/>
          <w:lang w:eastAsia="es-ES_tradnl"/>
        </w:rPr>
        <w:t xml:space="preserve">. </w:t>
      </w:r>
      <w:r w:rsidRPr="00D31A8B">
        <w:rPr>
          <w:rFonts w:ascii="Verdana" w:eastAsia="Calibri" w:hAnsi="Verdana" w:cs="Arial"/>
          <w:sz w:val="21"/>
          <w:szCs w:val="21"/>
        </w:rPr>
        <w:t>(Énfasis fuera de texto)</w:t>
      </w:r>
    </w:p>
    <w:p w14:paraId="2035A249" w14:textId="77777777" w:rsidR="000A71F2" w:rsidRPr="00D31A8B" w:rsidRDefault="000A71F2" w:rsidP="000A71F2">
      <w:pPr>
        <w:spacing w:line="276" w:lineRule="auto"/>
        <w:ind w:firstLine="709"/>
        <w:contextualSpacing/>
        <w:jc w:val="both"/>
        <w:rPr>
          <w:rFonts w:ascii="Verdana" w:eastAsia="Calibri" w:hAnsi="Verdana" w:cs="Arial"/>
          <w:lang w:val="es-ES_tradnl"/>
        </w:rPr>
      </w:pPr>
    </w:p>
    <w:p w14:paraId="449F8929" w14:textId="77777777" w:rsidR="000A71F2" w:rsidRPr="00D31A8B" w:rsidRDefault="000A71F2" w:rsidP="000A71F2">
      <w:pPr>
        <w:spacing w:line="276" w:lineRule="auto"/>
        <w:ind w:firstLine="709"/>
        <w:contextualSpacing/>
        <w:jc w:val="both"/>
        <w:rPr>
          <w:rFonts w:ascii="Verdana" w:eastAsia="Calibri" w:hAnsi="Verdana" w:cs="Arial"/>
          <w:lang w:val="es-ES_tradnl"/>
        </w:rPr>
      </w:pPr>
      <w:r w:rsidRPr="00D31A8B">
        <w:rPr>
          <w:rFonts w:ascii="Verdana" w:eastAsia="Calibri" w:hAnsi="Verdana" w:cs="Arial"/>
          <w:lang w:val="es-ES_tradnl"/>
        </w:rPr>
        <w:t>Sobre el particular ya se había pronunciado la Agencia Nacional de Contratación Pública – Colombia Compra Eficiente en la Circular 002 del 17 de marzo de 2022, en la que se indicó:</w:t>
      </w:r>
    </w:p>
    <w:p w14:paraId="375DBE0A" w14:textId="77777777" w:rsidR="000A71F2" w:rsidRPr="00D31A8B" w:rsidRDefault="000A71F2" w:rsidP="000A71F2">
      <w:pPr>
        <w:spacing w:line="276" w:lineRule="auto"/>
        <w:ind w:firstLine="709"/>
        <w:contextualSpacing/>
        <w:jc w:val="both"/>
        <w:rPr>
          <w:rFonts w:ascii="Verdana" w:eastAsia="Calibri" w:hAnsi="Verdana" w:cs="Arial"/>
          <w:lang w:val="es-ES_tradnl"/>
        </w:rPr>
      </w:pPr>
    </w:p>
    <w:p w14:paraId="22505ECD" w14:textId="77777777" w:rsidR="000A71F2" w:rsidRPr="00D31A8B" w:rsidRDefault="000A71F2" w:rsidP="000A71F2">
      <w:pPr>
        <w:spacing w:line="240" w:lineRule="auto"/>
        <w:ind w:left="709" w:right="709"/>
        <w:contextualSpacing/>
        <w:jc w:val="both"/>
        <w:rPr>
          <w:rFonts w:ascii="Verdana" w:hAnsi="Verdana" w:cs="Arial"/>
          <w:sz w:val="21"/>
          <w:szCs w:val="21"/>
        </w:rPr>
      </w:pPr>
      <w:r w:rsidRPr="00D31A8B">
        <w:rPr>
          <w:rFonts w:ascii="Verdana" w:hAnsi="Verdana"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005197CC" w14:textId="77777777" w:rsidR="000A71F2" w:rsidRPr="00D31A8B" w:rsidRDefault="000A71F2" w:rsidP="000A71F2">
      <w:pPr>
        <w:spacing w:line="240" w:lineRule="auto"/>
        <w:ind w:right="709"/>
        <w:contextualSpacing/>
        <w:jc w:val="both"/>
        <w:rPr>
          <w:rFonts w:ascii="Verdana" w:hAnsi="Verdana" w:cs="Arial"/>
          <w:sz w:val="12"/>
          <w:szCs w:val="12"/>
        </w:rPr>
      </w:pPr>
    </w:p>
    <w:p w14:paraId="55391EDC" w14:textId="77777777" w:rsidR="000A71F2" w:rsidRPr="00D31A8B" w:rsidRDefault="000A71F2" w:rsidP="000A71F2">
      <w:pPr>
        <w:spacing w:line="240" w:lineRule="auto"/>
        <w:ind w:left="709" w:right="709"/>
        <w:contextualSpacing/>
        <w:jc w:val="both"/>
        <w:rPr>
          <w:rFonts w:ascii="Verdana" w:eastAsia="Calibri" w:hAnsi="Verdana" w:cs="Arial"/>
          <w:sz w:val="21"/>
          <w:szCs w:val="21"/>
          <w:lang w:val="es-ES_tradnl"/>
        </w:rPr>
      </w:pPr>
      <w:r w:rsidRPr="00D31A8B">
        <w:rPr>
          <w:rFonts w:ascii="Verdana" w:hAnsi="Verdana" w:cs="Arial"/>
          <w:i/>
          <w:iCs/>
          <w:sz w:val="21"/>
          <w:szCs w:val="21"/>
        </w:rPr>
        <w:t>En consecuencia, su uso obligatorio empezará a regir a partir del 18 de julio de 2022, 23:59 horas, sin que sea posible por vía reglamentaria o en sus reglamentos internos de contratación -también conocidos como Manuales de Contratación"-hacer extensivo el plazo previsto en la Ley.</w:t>
      </w:r>
      <w:r w:rsidRPr="00D31A8B">
        <w:rPr>
          <w:rFonts w:ascii="Verdana" w:hAnsi="Verdana" w:cs="Arial"/>
          <w:sz w:val="21"/>
          <w:szCs w:val="21"/>
        </w:rPr>
        <w:t xml:space="preserve"> Todos los procesos de contratación creados en el SECOP I antes del 18 de julio de 2022, 23:59 horas, por parte de estas entidades estatales, podrán continuar siendo gestionados en esta plataforma”</w:t>
      </w:r>
      <w:r w:rsidRPr="00D31A8B">
        <w:rPr>
          <w:rFonts w:ascii="Verdana" w:eastAsia="Calibri" w:hAnsi="Verdana" w:cs="Arial"/>
          <w:sz w:val="21"/>
          <w:szCs w:val="21"/>
          <w:lang w:val="es-ES_tradnl"/>
        </w:rPr>
        <w:t xml:space="preserve">. (Cursivas fuera de texto) </w:t>
      </w:r>
    </w:p>
    <w:p w14:paraId="0B61CF25" w14:textId="77777777" w:rsidR="000A71F2" w:rsidRPr="00D31A8B" w:rsidRDefault="000A71F2" w:rsidP="000A71F2">
      <w:pPr>
        <w:autoSpaceDE w:val="0"/>
        <w:autoSpaceDN w:val="0"/>
        <w:adjustRightInd w:val="0"/>
        <w:spacing w:line="276" w:lineRule="auto"/>
        <w:ind w:firstLine="708"/>
        <w:contextualSpacing/>
        <w:jc w:val="both"/>
        <w:rPr>
          <w:rFonts w:ascii="Verdana" w:eastAsia="Calibri" w:hAnsi="Verdana" w:cs="Arial"/>
          <w:color w:val="FF0000"/>
          <w:lang w:val="es-ES_tradnl"/>
        </w:rPr>
      </w:pPr>
    </w:p>
    <w:p w14:paraId="42546B8C" w14:textId="77777777" w:rsidR="000A71F2" w:rsidRPr="00D31A8B" w:rsidRDefault="000A71F2" w:rsidP="000A71F2">
      <w:pPr>
        <w:spacing w:after="120" w:line="276" w:lineRule="auto"/>
        <w:ind w:firstLine="709"/>
        <w:jc w:val="both"/>
        <w:rPr>
          <w:rFonts w:ascii="Verdana" w:eastAsia="Calibri" w:hAnsi="Verdana" w:cs="Arial"/>
          <w:lang w:val="es-ES_tradnl"/>
        </w:rPr>
      </w:pPr>
      <w:bookmarkStart w:id="14" w:name="_Hlk114556636"/>
      <w:r w:rsidRPr="00D31A8B">
        <w:rPr>
          <w:rFonts w:ascii="Verdana" w:hAnsi="Verdana" w:cs="Arial"/>
        </w:rPr>
        <w:t xml:space="preserve">Conforme a lo anterior, a partir del 18 de julio de 2022, las entidades exceptuadas se encuentran obligadas a publicar todos los documentos de su actividad contractual en el SECOP II, sin perjuicio de estar sometidas a regímenes de derecho privado. Siendo este el efecto de la disposición bajo estudio se destaca que </w:t>
      </w:r>
      <w:r w:rsidRPr="00D31A8B">
        <w:rPr>
          <w:rFonts w:ascii="Verdana" w:eastAsia="Calibri" w:hAnsi="Verdana" w:cs="Arial"/>
          <w:lang w:val="es-ES_tradnl"/>
        </w:rPr>
        <w:t xml:space="preserve">la modificación introducida por el artículo 53 de la Ley 2195 de 2022 de ninguna manera puede ser interpretada como una modificación del régimen jurídico de las entidades exceptuadas, ni como una norma que regule la forma en la que se perfeccionan los contratos de régimen especial. </w:t>
      </w:r>
    </w:p>
    <w:bookmarkEnd w:id="14"/>
    <w:p w14:paraId="3BAEC109" w14:textId="77777777" w:rsidR="000A71F2" w:rsidRDefault="000A71F2" w:rsidP="000A71F2">
      <w:pPr>
        <w:spacing w:line="276" w:lineRule="auto"/>
        <w:ind w:firstLine="709"/>
        <w:jc w:val="both"/>
        <w:rPr>
          <w:rFonts w:ascii="Verdana" w:eastAsia="Calibri" w:hAnsi="Verdana" w:cs="Arial"/>
          <w:lang w:val="es-ES"/>
        </w:rPr>
      </w:pPr>
      <w:r w:rsidRPr="735DED37">
        <w:rPr>
          <w:rFonts w:ascii="Verdana" w:eastAsia="Calibri" w:hAnsi="Verdana" w:cs="Arial"/>
          <w:lang w:val="es-ES"/>
        </w:rPr>
        <w:lastRenderedPageBreak/>
        <w:t>El efecto de la norma tampoco es el de imponer formalidades propias del régimen de contratación público en detrimento de las regulaciones establecidas en los manuales de contratación de las entidades exceptuadas. Esto dado que la referida disposición se limita a señalar el SECOP II –o la plataforma transaccional que haga sus veces– como el medio a través del cual les corresponderá a las entidades realizar la publicidad de los documentos que expidan en el curso de su actividad contractual desarrollada al margen del Estatuto General de Contratación de la Administración Pública.</w:t>
      </w:r>
    </w:p>
    <w:p w14:paraId="3A3054AE" w14:textId="77777777" w:rsidR="000A71F2" w:rsidRDefault="000A71F2" w:rsidP="000A71F2">
      <w:pPr>
        <w:spacing w:after="0" w:line="276" w:lineRule="auto"/>
        <w:ind w:firstLine="709"/>
        <w:jc w:val="both"/>
        <w:rPr>
          <w:rFonts w:ascii="Verdana" w:eastAsia="Calibri" w:hAnsi="Verdana" w:cs="Arial"/>
          <w:lang w:val="es-ES"/>
        </w:rPr>
      </w:pPr>
      <w:r w:rsidRPr="735DED37">
        <w:rPr>
          <w:rFonts w:ascii="Verdana" w:eastAsia="Calibri" w:hAnsi="Verdana" w:cs="Arial"/>
          <w:i/>
          <w:lang w:val="es-ES"/>
        </w:rPr>
        <w:t>En resumen</w:t>
      </w:r>
      <w:r w:rsidRPr="735DED37">
        <w:rPr>
          <w:rFonts w:ascii="Verdana" w:eastAsia="Calibri" w:hAnsi="Verdana" w:cs="Arial"/>
          <w:lang w:val="es-ES"/>
        </w:rPr>
        <w:t xml:space="preserve">, con la eliminación del Diario Único de Contratación Pública desapareció la obligación de publicar la gestión contractual en el Diario Oficial. En su lugar, el artículo 223 del Decreto Ley 019 de 2012 dispone que “[…] los contratos estatales </w:t>
      </w:r>
      <w:r w:rsidRPr="735DED37">
        <w:rPr>
          <w:rFonts w:ascii="Verdana" w:eastAsia="Calibri" w:hAnsi="Verdana" w:cs="Arial"/>
          <w:i/>
          <w:lang w:val="es-ES"/>
        </w:rPr>
        <w:t>sólo</w:t>
      </w:r>
      <w:r w:rsidRPr="735DED37">
        <w:rPr>
          <w:rFonts w:ascii="Verdana" w:eastAsia="Calibri" w:hAnsi="Verdana" w:cs="Arial"/>
          <w:lang w:val="es-ES"/>
        </w:rPr>
        <w:t xml:space="preserve"> se publicaran en el Sistema Electrónico para la Contratación Pública -SECOP- […]” (Énfasis fuera de texto), idea que se complementa con la Ley 1712 de 2014 y su decreto reglamentario. Como explica la Corte Constitucional, el Estatuto </w:t>
      </w:r>
      <w:proofErr w:type="spellStart"/>
      <w:r w:rsidRPr="735DED37">
        <w:rPr>
          <w:rFonts w:ascii="Verdana" w:eastAsia="Calibri" w:hAnsi="Verdana" w:cs="Arial"/>
          <w:lang w:val="es-ES"/>
        </w:rPr>
        <w:t>Antitrámite</w:t>
      </w:r>
      <w:proofErr w:type="spellEnd"/>
      <w:r w:rsidRPr="735DED37">
        <w:rPr>
          <w:rFonts w:ascii="Verdana" w:eastAsia="Calibri" w:hAnsi="Verdana" w:cs="Arial"/>
          <w:lang w:val="es-ES"/>
        </w:rPr>
        <w:t xml:space="preserve"> “[…] no suprime el deber de publicar el contrato estatal, sino que suprime una forma de realizarlo, eliminando la publicación en un medio escrito como el Diario Único de Contratación y optando por un medio electrónico, no impreso -Sistema Electrónico de Contratación Estatal, SECOP-, que cumple la misma finalidad de hacer público el conocimiento de dichos actos de la actuación contractual de la administración”</w:t>
      </w:r>
      <w:r w:rsidRPr="735DED37">
        <w:rPr>
          <w:rStyle w:val="Refdenotaalpie"/>
          <w:rFonts w:ascii="Verdana" w:eastAsia="Calibri" w:hAnsi="Verdana" w:cs="Arial"/>
          <w:lang w:val="es-ES"/>
        </w:rPr>
        <w:footnoteReference w:id="12"/>
      </w:r>
      <w:r w:rsidRPr="735DED37">
        <w:rPr>
          <w:rFonts w:ascii="Verdana" w:eastAsia="Calibri" w:hAnsi="Verdana" w:cs="Arial"/>
          <w:lang w:val="es-ES"/>
        </w:rPr>
        <w:t>. Ello modifica el alcance del deber de transparencia, especialmente, cuando el inciso segundo del artículo 13 de la Ley 1150 de 2007 –adicionado por el artículo 53 de la Ley 2195 de 2022– ordena a las entidades exceptuadas del EGCAP que publiquen su actividad contractual en el SECOP II o la plataforma transaccional que haga sus veces.</w:t>
      </w:r>
    </w:p>
    <w:p w14:paraId="6B2D6BF4" w14:textId="77777777" w:rsidR="000A71F2" w:rsidRPr="00182C89" w:rsidRDefault="000A71F2" w:rsidP="000A71F2">
      <w:pPr>
        <w:tabs>
          <w:tab w:val="left" w:pos="709"/>
        </w:tabs>
        <w:spacing w:after="0" w:line="276" w:lineRule="auto"/>
        <w:jc w:val="both"/>
        <w:rPr>
          <w:rFonts w:ascii="Verdana" w:eastAsia="Calibri" w:hAnsi="Verdana" w:cs="Arial"/>
          <w:color w:val="000000" w:themeColor="text1"/>
        </w:rPr>
      </w:pPr>
    </w:p>
    <w:p w14:paraId="48935A30" w14:textId="77777777" w:rsidR="000A71F2" w:rsidRPr="00593A5F" w:rsidRDefault="000A71F2" w:rsidP="000A71F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7F7C884" w14:textId="77777777" w:rsidR="000A71F2" w:rsidRPr="00593A5F" w:rsidRDefault="000A71F2" w:rsidP="000A71F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A71F2" w:rsidRPr="002407CE" w14:paraId="238EB7A9" w14:textId="77777777" w:rsidTr="0092761F">
        <w:trPr>
          <w:trHeight w:val="870"/>
          <w:jc w:val="center"/>
        </w:trPr>
        <w:tc>
          <w:tcPr>
            <w:tcW w:w="8647" w:type="dxa"/>
          </w:tcPr>
          <w:p w14:paraId="57D44B11" w14:textId="77777777" w:rsidR="000A71F2"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209.</w:t>
            </w:r>
          </w:p>
          <w:p w14:paraId="0650A039" w14:textId="77777777" w:rsidR="000A71F2"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30 de 1994, artículos 93 y 94.</w:t>
            </w:r>
          </w:p>
          <w:p w14:paraId="5E1F6466" w14:textId="77777777" w:rsidR="000A71F2"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3 y 13.</w:t>
            </w:r>
          </w:p>
          <w:p w14:paraId="755B9802" w14:textId="77777777" w:rsidR="000A71F2"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3.</w:t>
            </w:r>
          </w:p>
          <w:p w14:paraId="55E387B3" w14:textId="77777777" w:rsidR="000A71F2" w:rsidRPr="008A63EA"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Decreto Ley 019 de 2012, artículos 223 y 225.</w:t>
            </w:r>
          </w:p>
          <w:p w14:paraId="14D9CB5A" w14:textId="77777777" w:rsidR="000A71F2"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1712 de 2014, artículos 9 y 11.</w:t>
            </w:r>
          </w:p>
          <w:p w14:paraId="025AEFB3" w14:textId="77777777" w:rsidR="000A71F2" w:rsidRPr="00BD0B8C" w:rsidRDefault="000A71F2" w:rsidP="000A71F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8A63EA">
              <w:rPr>
                <w:rFonts w:ascii="Verdana" w:hAnsi="Verdana" w:cs="Arial"/>
              </w:rPr>
              <w:t>Ley 2195 de 2022</w:t>
            </w:r>
            <w:r>
              <w:rPr>
                <w:rFonts w:ascii="Verdana" w:hAnsi="Verdana" w:cs="Arial"/>
              </w:rPr>
              <w:t>, artículo 53.</w:t>
            </w:r>
          </w:p>
          <w:p w14:paraId="75AA5BBF" w14:textId="77777777" w:rsidR="000A71F2" w:rsidRPr="008A63EA" w:rsidRDefault="000A71F2" w:rsidP="000A71F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8A63EA">
              <w:rPr>
                <w:rFonts w:ascii="Verdana" w:hAnsi="Verdana" w:cs="Arial"/>
              </w:rPr>
              <w:t>Decreto 1081 de 2015</w:t>
            </w:r>
            <w:r>
              <w:rPr>
                <w:rFonts w:ascii="Verdana" w:hAnsi="Verdana" w:cs="Arial"/>
              </w:rPr>
              <w:t xml:space="preserve">, artículo </w:t>
            </w:r>
            <w:r w:rsidRPr="008A63EA">
              <w:rPr>
                <w:rFonts w:ascii="Verdana" w:hAnsi="Verdana" w:cs="Arial"/>
              </w:rPr>
              <w:t>2.1.1.2.1.7</w:t>
            </w:r>
            <w:r>
              <w:rPr>
                <w:rFonts w:ascii="Verdana" w:hAnsi="Verdana" w:cs="Arial"/>
              </w:rPr>
              <w:t xml:space="preserve">. </w:t>
            </w:r>
          </w:p>
        </w:tc>
      </w:tr>
    </w:tbl>
    <w:p w14:paraId="35288FCF" w14:textId="77777777" w:rsidR="000A71F2" w:rsidRPr="002407CE" w:rsidRDefault="000A71F2" w:rsidP="000A71F2">
      <w:pPr>
        <w:widowControl w:val="0"/>
        <w:autoSpaceDE w:val="0"/>
        <w:autoSpaceDN w:val="0"/>
        <w:spacing w:after="0" w:line="276" w:lineRule="auto"/>
        <w:jc w:val="both"/>
        <w:rPr>
          <w:rFonts w:ascii="Verdana" w:hAnsi="Verdana" w:cs="Arial"/>
        </w:rPr>
      </w:pPr>
    </w:p>
    <w:p w14:paraId="7021C1A0" w14:textId="77777777" w:rsidR="000A71F2" w:rsidRPr="00593A5F" w:rsidRDefault="000A71F2" w:rsidP="000A71F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A0E17A0" w14:textId="77777777" w:rsidR="000A71F2" w:rsidRPr="00593A5F" w:rsidRDefault="000A71F2" w:rsidP="000A71F2">
      <w:pPr>
        <w:widowControl w:val="0"/>
        <w:autoSpaceDE w:val="0"/>
        <w:autoSpaceDN w:val="0"/>
        <w:spacing w:after="0" w:line="276" w:lineRule="auto"/>
        <w:jc w:val="both"/>
        <w:rPr>
          <w:rFonts w:ascii="Verdana" w:hAnsi="Verdana" w:cs="Arial"/>
        </w:rPr>
      </w:pPr>
    </w:p>
    <w:p w14:paraId="69AD42BE" w14:textId="77777777" w:rsidR="000A71F2" w:rsidRPr="00ED0098" w:rsidRDefault="000A71F2" w:rsidP="000A71F2">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Los</w:t>
      </w:r>
      <w:r w:rsidRPr="00DD0AFF">
        <w:rPr>
          <w:rFonts w:ascii="Verdana" w:hAnsi="Verdana" w:cs="Arial"/>
          <w:shd w:val="clear" w:color="auto" w:fill="FFFFFF"/>
        </w:rPr>
        <w:t> </w:t>
      </w:r>
      <w:r>
        <w:rPr>
          <w:rFonts w:ascii="Verdana" w:hAnsi="Verdana" w:cs="Arial"/>
          <w:shd w:val="clear" w:color="auto" w:fill="FFFFFF"/>
        </w:rPr>
        <w:t xml:space="preserve">conceptos de Colombia Compra Eficiente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6E66943" w14:textId="77777777" w:rsidR="000A71F2" w:rsidRDefault="000A71F2" w:rsidP="000A71F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060FAF1" w14:textId="77777777" w:rsidR="000A71F2" w:rsidRPr="002E5274" w:rsidRDefault="000A71F2" w:rsidP="000A71F2">
      <w:pPr>
        <w:shd w:val="clear" w:color="auto" w:fill="FFFFFF"/>
        <w:spacing w:after="0" w:line="276" w:lineRule="auto"/>
        <w:jc w:val="both"/>
        <w:rPr>
          <w:rStyle w:val="normaltextrun"/>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387D3F4" w14:textId="77777777" w:rsidR="000A71F2" w:rsidRPr="00D31A8B" w:rsidRDefault="000A71F2" w:rsidP="000A71F2">
      <w:pPr>
        <w:spacing w:after="120" w:line="276" w:lineRule="auto"/>
        <w:jc w:val="both"/>
        <w:rPr>
          <w:rFonts w:ascii="Verdana" w:eastAsia="Calibri" w:hAnsi="Verdana" w:cs="Arial"/>
          <w:lang w:val="es-ES_tradnl"/>
        </w:rPr>
      </w:pPr>
      <w:r>
        <w:rPr>
          <w:rFonts w:ascii="Verdana" w:eastAsia="Calibri" w:hAnsi="Verdana" w:cs="Arial"/>
          <w:lang w:val="es-ES_tradnl"/>
        </w:rPr>
        <w:t xml:space="preserve"> </w:t>
      </w:r>
    </w:p>
    <w:p w14:paraId="6CDB20C3" w14:textId="77777777" w:rsidR="000A71F2" w:rsidRPr="00D31A8B" w:rsidRDefault="000A71F2" w:rsidP="000A71F2">
      <w:pPr>
        <w:spacing w:line="276" w:lineRule="auto"/>
        <w:jc w:val="both"/>
        <w:rPr>
          <w:rFonts w:ascii="Verdana" w:eastAsia="Calibri" w:hAnsi="Verdana" w:cs="Arial"/>
          <w:color w:val="000000"/>
          <w:lang w:val="es-ES_tradnl" w:eastAsia="es-ES"/>
        </w:rPr>
      </w:pPr>
      <w:r w:rsidRPr="002D3C1E">
        <w:rPr>
          <w:rFonts w:ascii="Verdana" w:eastAsia="Calibri" w:hAnsi="Verdana" w:cs="Arial"/>
          <w:color w:val="000000"/>
          <w:lang w:val="es-ES_tradnl" w:eastAsia="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D84D2F9" w14:textId="77777777" w:rsidR="000A71F2" w:rsidRPr="007D5BE1" w:rsidRDefault="000A71F2" w:rsidP="000A71F2">
      <w:pPr>
        <w:spacing w:after="0" w:line="276" w:lineRule="auto"/>
        <w:ind w:firstLine="709"/>
        <w:jc w:val="both"/>
        <w:rPr>
          <w:rStyle w:val="normaltextrun"/>
          <w:rFonts w:ascii="Verdana" w:eastAsia="Calibri" w:hAnsi="Verdana" w:cs="Arial"/>
          <w:color w:val="000000"/>
          <w:lang w:val="es-ES" w:eastAsia="es-ES"/>
        </w:rPr>
      </w:pPr>
    </w:p>
    <w:p w14:paraId="5B9E7724" w14:textId="77777777" w:rsidR="000A71F2" w:rsidRPr="00593A5F" w:rsidRDefault="000A71F2" w:rsidP="000A71F2">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94D945D" w14:textId="2D475AB6" w:rsidR="000A71F2" w:rsidRPr="00593A5F" w:rsidRDefault="005920F6" w:rsidP="000A71F2">
      <w:pPr>
        <w:spacing w:line="276" w:lineRule="auto"/>
        <w:jc w:val="center"/>
        <w:rPr>
          <w:rFonts w:ascii="Verdana" w:hAnsi="Verdana" w:cs="Arial"/>
          <w:color w:val="000000"/>
          <w:lang w:val="es-ES_tradnl" w:eastAsia="es-CO"/>
        </w:rPr>
      </w:pPr>
      <w:r>
        <w:rPr>
          <w:noProof/>
        </w:rPr>
        <w:lastRenderedPageBreak/>
        <w:drawing>
          <wp:inline distT="0" distB="0" distL="0" distR="0" wp14:anchorId="256FB303" wp14:editId="49334B1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A71F2" w:rsidRPr="00593A5F" w14:paraId="234B5DD0" w14:textId="77777777" w:rsidTr="0092761F">
        <w:trPr>
          <w:trHeight w:val="315"/>
        </w:trPr>
        <w:tc>
          <w:tcPr>
            <w:tcW w:w="893" w:type="dxa"/>
            <w:vAlign w:val="center"/>
            <w:hideMark/>
          </w:tcPr>
          <w:p w14:paraId="6041B064" w14:textId="77777777" w:rsidR="000A71F2" w:rsidRPr="003751C7" w:rsidRDefault="000A71F2" w:rsidP="009276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318C8CA" w14:textId="77777777" w:rsidR="000A71F2" w:rsidRPr="00254A7A" w:rsidRDefault="000A71F2" w:rsidP="0092761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8DBCCC3" w14:textId="77777777" w:rsidR="000A71F2" w:rsidRPr="00254A7A" w:rsidRDefault="000A71F2" w:rsidP="0092761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A71F2" w:rsidRPr="00593A5F" w14:paraId="766E97D9" w14:textId="77777777" w:rsidTr="0092761F">
        <w:trPr>
          <w:trHeight w:val="330"/>
        </w:trPr>
        <w:tc>
          <w:tcPr>
            <w:tcW w:w="893" w:type="dxa"/>
            <w:vAlign w:val="center"/>
            <w:hideMark/>
          </w:tcPr>
          <w:p w14:paraId="1D5AA98A" w14:textId="77777777" w:rsidR="000A71F2" w:rsidRPr="003751C7" w:rsidRDefault="000A71F2" w:rsidP="009276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26D6B8" w14:textId="77777777" w:rsidR="000A71F2" w:rsidRPr="00E44E04" w:rsidRDefault="000A71F2" w:rsidP="0092761F">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14:paraId="7F082489" w14:textId="77777777" w:rsidR="000A71F2" w:rsidRPr="00254A7A" w:rsidRDefault="000A71F2" w:rsidP="0092761F">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000A71F2" w:rsidRPr="00593A5F" w14:paraId="26BAF895" w14:textId="77777777" w:rsidTr="0092761F">
        <w:trPr>
          <w:trHeight w:val="300"/>
        </w:trPr>
        <w:tc>
          <w:tcPr>
            <w:tcW w:w="893" w:type="dxa"/>
            <w:vAlign w:val="center"/>
          </w:tcPr>
          <w:p w14:paraId="0BC4583F" w14:textId="77777777" w:rsidR="000A71F2" w:rsidRPr="003751C7" w:rsidRDefault="000A71F2" w:rsidP="0092761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67A1878" w14:textId="77777777" w:rsidR="000A71F2" w:rsidRPr="00676E41" w:rsidRDefault="000A71F2" w:rsidP="0092761F">
            <w:pPr>
              <w:contextualSpacing/>
              <w:rPr>
                <w:rFonts w:ascii="Verdana" w:eastAsia="Calibri" w:hAnsi="Verdana" w:cs="Arial"/>
                <w:sz w:val="16"/>
                <w:szCs w:val="16"/>
                <w:lang w:val="es-ES_tradnl" w:eastAsia="es-ES"/>
              </w:rPr>
            </w:pPr>
            <w:r w:rsidRPr="00676E41">
              <w:rPr>
                <w:rFonts w:ascii="Verdana" w:eastAsia="Calibri" w:hAnsi="Verdana" w:cs="Arial"/>
                <w:sz w:val="16"/>
                <w:szCs w:val="16"/>
                <w:lang w:val="es-ES_tradnl" w:eastAsia="es-ES"/>
              </w:rPr>
              <w:t xml:space="preserve">Carolina Quintero </w:t>
            </w:r>
            <w:proofErr w:type="spellStart"/>
            <w:r w:rsidRPr="00676E41">
              <w:rPr>
                <w:rFonts w:ascii="Verdana" w:eastAsia="Calibri" w:hAnsi="Verdana" w:cs="Arial"/>
                <w:sz w:val="16"/>
                <w:szCs w:val="16"/>
                <w:lang w:val="es-ES_tradnl" w:eastAsia="es-ES"/>
              </w:rPr>
              <w:t>Gacharná</w:t>
            </w:r>
            <w:proofErr w:type="spellEnd"/>
          </w:p>
          <w:p w14:paraId="1509742F" w14:textId="77777777" w:rsidR="000A71F2" w:rsidRPr="003751C7" w:rsidRDefault="000A71F2" w:rsidP="0092761F">
            <w:pPr>
              <w:contextualSpacing/>
              <w:rPr>
                <w:rFonts w:ascii="Verdana" w:eastAsia="Calibri" w:hAnsi="Verdana" w:cs="Arial"/>
                <w:sz w:val="16"/>
                <w:szCs w:val="16"/>
                <w:lang w:val="pt-BR" w:eastAsia="es-ES"/>
              </w:rPr>
            </w:pPr>
            <w:r w:rsidRPr="00676E41">
              <w:rPr>
                <w:rFonts w:ascii="Verdana" w:eastAsia="Calibri" w:hAnsi="Verdana" w:cs="Arial"/>
                <w:sz w:val="16"/>
                <w:szCs w:val="16"/>
                <w:lang w:val="es-ES_tradnl" w:eastAsia="es-ES"/>
              </w:rPr>
              <w:t>Subdirectora de Gestión Contractual ANCP – CCE</w:t>
            </w:r>
          </w:p>
        </w:tc>
      </w:tr>
    </w:tbl>
    <w:p w14:paraId="6DDF26DF" w14:textId="77777777" w:rsidR="000A71F2" w:rsidRPr="00593A5F" w:rsidRDefault="000A71F2" w:rsidP="000A71F2">
      <w:pPr>
        <w:spacing w:after="0" w:line="240" w:lineRule="auto"/>
        <w:rPr>
          <w:rFonts w:ascii="Verdana" w:eastAsia="Times New Roman" w:hAnsi="Verdana" w:cs="Arial"/>
          <w:sz w:val="24"/>
          <w:szCs w:val="24"/>
          <w:lang w:eastAsia="es-ES"/>
        </w:rPr>
      </w:pPr>
    </w:p>
    <w:p w14:paraId="3900974D" w14:textId="77777777" w:rsidR="003D5B0D" w:rsidRPr="00A15CE0" w:rsidRDefault="003D5B0D" w:rsidP="00A15CE0"/>
    <w:sectPr w:rsidR="003D5B0D" w:rsidRPr="00A15CE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A054" w14:textId="77777777" w:rsidR="004672EB" w:rsidRDefault="004672EB" w:rsidP="004A1847">
      <w:pPr>
        <w:spacing w:after="0" w:line="240" w:lineRule="auto"/>
      </w:pPr>
      <w:r>
        <w:separator/>
      </w:r>
    </w:p>
  </w:endnote>
  <w:endnote w:type="continuationSeparator" w:id="0">
    <w:p w14:paraId="6BD8232E" w14:textId="77777777" w:rsidR="004672EB" w:rsidRDefault="004672EB" w:rsidP="004A1847">
      <w:pPr>
        <w:spacing w:after="0" w:line="240" w:lineRule="auto"/>
      </w:pPr>
      <w:r>
        <w:continuationSeparator/>
      </w:r>
    </w:p>
  </w:endnote>
  <w:endnote w:type="continuationNotice" w:id="1">
    <w:p w14:paraId="3C6E03FD" w14:textId="77777777" w:rsidR="004672EB" w:rsidRDefault="004672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Arial"/>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altName w:val="Arial"/>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F57FA" w14:textId="77777777" w:rsidR="004672EB" w:rsidRDefault="004672EB" w:rsidP="004A1847">
      <w:pPr>
        <w:spacing w:after="0" w:line="240" w:lineRule="auto"/>
      </w:pPr>
      <w:r>
        <w:separator/>
      </w:r>
    </w:p>
  </w:footnote>
  <w:footnote w:type="continuationSeparator" w:id="0">
    <w:p w14:paraId="4102F2E2" w14:textId="77777777" w:rsidR="004672EB" w:rsidRDefault="004672EB" w:rsidP="004A1847">
      <w:pPr>
        <w:spacing w:after="0" w:line="240" w:lineRule="auto"/>
      </w:pPr>
      <w:r>
        <w:continuationSeparator/>
      </w:r>
    </w:p>
  </w:footnote>
  <w:footnote w:type="continuationNotice" w:id="1">
    <w:p w14:paraId="2F957480" w14:textId="77777777" w:rsidR="004672EB" w:rsidRDefault="004672EB">
      <w:pPr>
        <w:spacing w:after="0" w:line="240" w:lineRule="auto"/>
      </w:pPr>
    </w:p>
  </w:footnote>
  <w:footnote w:id="2">
    <w:p w14:paraId="5CE8352A" w14:textId="77777777" w:rsidR="000A71F2" w:rsidRPr="00D31A8B" w:rsidRDefault="000A71F2" w:rsidP="000A71F2">
      <w:pPr>
        <w:pStyle w:val="Textonotapie"/>
        <w:ind w:firstLine="708"/>
        <w:jc w:val="both"/>
        <w:rPr>
          <w:rFonts w:ascii="Verdana" w:hAnsi="Verdana"/>
          <w:sz w:val="16"/>
          <w:szCs w:val="16"/>
        </w:rPr>
      </w:pPr>
      <w:r w:rsidRPr="00D31A8B">
        <w:rPr>
          <w:rStyle w:val="Refdenotaalpie"/>
          <w:rFonts w:ascii="Verdana" w:hAnsi="Verdana"/>
          <w:sz w:val="16"/>
          <w:szCs w:val="16"/>
        </w:rPr>
        <w:footnoteRef/>
      </w:r>
      <w:r w:rsidRPr="00D31A8B">
        <w:rPr>
          <w:rFonts w:ascii="Verdana" w:hAnsi="Verdana"/>
          <w:sz w:val="16"/>
          <w:szCs w:val="16"/>
        </w:rPr>
        <w:t xml:space="preserve"> El artículo 59 de la Ley 190 de 1995 disponía los siguiente: “Como apéndice del Diario Oficial créase el Diario </w:t>
      </w:r>
      <w:r>
        <w:rPr>
          <w:rFonts w:ascii="Verdana" w:hAnsi="Verdana"/>
          <w:sz w:val="16"/>
          <w:szCs w:val="16"/>
        </w:rPr>
        <w:t>Ú</w:t>
      </w:r>
      <w:r w:rsidRPr="00D31A8B">
        <w:rPr>
          <w:rFonts w:ascii="Verdana" w:hAnsi="Verdana"/>
          <w:sz w:val="16"/>
          <w:szCs w:val="16"/>
        </w:rPr>
        <w:t>nico de Contratación Pública, el cual será elaborado y distribuido por la Imprenta Nacional.</w:t>
      </w:r>
    </w:p>
    <w:p w14:paraId="534C7DEC" w14:textId="77777777" w:rsidR="000A71F2" w:rsidRPr="00D31A8B" w:rsidRDefault="000A71F2" w:rsidP="000A71F2">
      <w:pPr>
        <w:pStyle w:val="Textonotapie"/>
        <w:ind w:firstLine="708"/>
        <w:jc w:val="both"/>
        <w:rPr>
          <w:rFonts w:ascii="Verdana" w:hAnsi="Verdana"/>
          <w:sz w:val="16"/>
          <w:szCs w:val="16"/>
        </w:rPr>
      </w:pPr>
      <w:r w:rsidRPr="00D31A8B">
        <w:rPr>
          <w:rFonts w:ascii="Verdana" w:hAnsi="Verdana"/>
          <w:sz w:val="16"/>
          <w:szCs w:val="16"/>
        </w:rPr>
        <w:t>El Diario único de Contratación Pública contendrá información sobre los contratos que celebren las entidades públicas del orden nacional. En él se señalarán los contratantes, el objeto, el valor y los valores unitarios si hubiesen, el plazo y los adicionales o modificaciones de cada uno de los contratos, y se editarán de tal manera que permita establecer parámetros de comparación de acuerdo con los costos, con el plazo, con la clase, de forma que se identifiquen las diferencias apreciables con que contrata la administración pública evaluando su eficiencia.</w:t>
      </w:r>
    </w:p>
    <w:p w14:paraId="3887B5A1" w14:textId="77777777" w:rsidR="000A71F2" w:rsidRPr="00D31A8B" w:rsidRDefault="000A71F2" w:rsidP="000A71F2">
      <w:pPr>
        <w:pStyle w:val="Textonotapie"/>
        <w:ind w:firstLine="708"/>
        <w:jc w:val="both"/>
        <w:rPr>
          <w:rFonts w:ascii="Verdana" w:hAnsi="Verdana"/>
          <w:sz w:val="16"/>
          <w:szCs w:val="16"/>
          <w:lang w:val="es-CO"/>
        </w:rPr>
      </w:pPr>
      <w:r w:rsidRPr="00D31A8B">
        <w:rPr>
          <w:rFonts w:ascii="Verdana" w:hAnsi="Verdana"/>
          <w:sz w:val="16"/>
          <w:szCs w:val="16"/>
        </w:rPr>
        <w:t>PARÁGRAFO. A partir de la vigencia de esta Ley, los contratos a que se refiere este artículo deberán ser publicados dentro de los tres (3) meses siguientes al pago de los derechos de publicación en el Diario Oficial”.</w:t>
      </w:r>
    </w:p>
  </w:footnote>
  <w:footnote w:id="3">
    <w:p w14:paraId="494FB4BC"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CORTE CONSTITUCIONAL. Sentencia C- 341 del 4 de junio de 2014. M. P. Mauricio González Cuervo.</w:t>
      </w:r>
    </w:p>
  </w:footnote>
  <w:footnote w:id="4">
    <w:p w14:paraId="11D56292"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2333F73"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Lo anterior, sin perjuicio de las publicaciones previstas en el numeral 3 del artículo 30 de la Ley 80 de 1993.</w:t>
      </w:r>
    </w:p>
    <w:p w14:paraId="4315F266"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3C0101CE"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w:t>
      </w:r>
    </w:p>
    <w:p w14:paraId="0DAF1202"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5">
    <w:p w14:paraId="105285DC" w14:textId="77777777" w:rsidR="000A71F2" w:rsidRPr="00380938" w:rsidRDefault="000A71F2" w:rsidP="000A71F2">
      <w:pPr>
        <w:pStyle w:val="Textonotapie"/>
        <w:ind w:firstLine="708"/>
        <w:jc w:val="both"/>
        <w:rPr>
          <w:rFonts w:ascii="Verdana" w:hAnsi="Verdana"/>
          <w:sz w:val="16"/>
          <w:szCs w:val="16"/>
          <w:lang w:val="es-CO"/>
        </w:rPr>
      </w:pPr>
      <w:r w:rsidRPr="00380938">
        <w:rPr>
          <w:rStyle w:val="Refdenotaalpie"/>
          <w:rFonts w:ascii="Verdana" w:hAnsi="Verdana"/>
          <w:sz w:val="16"/>
          <w:szCs w:val="16"/>
        </w:rPr>
        <w:footnoteRef/>
      </w:r>
      <w:r w:rsidRPr="00380938">
        <w:rPr>
          <w:rFonts w:ascii="Verdana" w:hAnsi="Verdana"/>
          <w:sz w:val="16"/>
          <w:szCs w:val="16"/>
        </w:rPr>
        <w:t xml:space="preserve"> </w:t>
      </w:r>
      <w:r w:rsidRPr="00D31A8B">
        <w:rPr>
          <w:rFonts w:ascii="Verdana" w:hAnsi="Verdana" w:cs="Arial"/>
          <w:color w:val="000000" w:themeColor="text1"/>
          <w:sz w:val="16"/>
          <w:szCs w:val="16"/>
        </w:rPr>
        <w:t>C</w:t>
      </w:r>
      <w:r w:rsidRPr="00D31A8B">
        <w:rPr>
          <w:rFonts w:ascii="Verdana" w:hAnsi="Verdana" w:cs="Arial"/>
          <w:color w:val="000000" w:themeColor="text1"/>
          <w:sz w:val="16"/>
          <w:szCs w:val="16"/>
          <w:lang w:val="es-ES" w:eastAsia="es-ES"/>
        </w:rPr>
        <w:t>ORTE CONSTITUCIONAL. Sentencia C-</w:t>
      </w:r>
      <w:r>
        <w:rPr>
          <w:rFonts w:ascii="Verdana" w:hAnsi="Verdana" w:cs="Arial"/>
          <w:color w:val="000000" w:themeColor="text1"/>
          <w:sz w:val="16"/>
          <w:szCs w:val="16"/>
          <w:lang w:val="es-ES" w:eastAsia="es-ES"/>
        </w:rPr>
        <w:t>711</w:t>
      </w:r>
      <w:r w:rsidRPr="00D31A8B">
        <w:rPr>
          <w:rFonts w:ascii="Verdana" w:hAnsi="Verdana" w:cs="Arial"/>
          <w:color w:val="000000" w:themeColor="text1"/>
          <w:sz w:val="16"/>
          <w:szCs w:val="16"/>
          <w:lang w:val="es-ES" w:eastAsia="es-ES"/>
        </w:rPr>
        <w:t xml:space="preserve"> de</w:t>
      </w:r>
      <w:r>
        <w:rPr>
          <w:rFonts w:ascii="Verdana" w:hAnsi="Verdana" w:cs="Arial"/>
          <w:color w:val="000000" w:themeColor="text1"/>
          <w:sz w:val="16"/>
          <w:szCs w:val="16"/>
          <w:lang w:val="es-ES" w:eastAsia="es-ES"/>
        </w:rPr>
        <w:t>l 12 de septiembre de 2012</w:t>
      </w:r>
      <w:r w:rsidRPr="00D31A8B">
        <w:rPr>
          <w:rFonts w:ascii="Verdana" w:hAnsi="Verdana" w:cs="Arial"/>
          <w:color w:val="000000" w:themeColor="text1"/>
          <w:sz w:val="16"/>
          <w:szCs w:val="16"/>
          <w:lang w:val="es-ES" w:eastAsia="es-ES"/>
        </w:rPr>
        <w:t xml:space="preserve">. M.P. </w:t>
      </w:r>
      <w:r w:rsidRPr="00380938">
        <w:rPr>
          <w:rFonts w:ascii="Verdana" w:hAnsi="Verdana" w:cs="Arial"/>
          <w:color w:val="000000" w:themeColor="text1"/>
          <w:sz w:val="16"/>
          <w:szCs w:val="16"/>
          <w:lang w:val="es-ES" w:eastAsia="es-ES"/>
        </w:rPr>
        <w:t>Mauricio González Cuervo</w:t>
      </w:r>
      <w:r w:rsidRPr="00D31A8B">
        <w:rPr>
          <w:rFonts w:ascii="Verdana" w:hAnsi="Verdana" w:cs="Arial"/>
          <w:color w:val="000000" w:themeColor="text1"/>
          <w:sz w:val="16"/>
          <w:szCs w:val="16"/>
          <w:lang w:val="es-ES" w:eastAsia="es-ES"/>
        </w:rPr>
        <w:t>.</w:t>
      </w:r>
    </w:p>
  </w:footnote>
  <w:footnote w:id="6">
    <w:p w14:paraId="48E60610"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3B83760B"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7">
    <w:p w14:paraId="3D5462DB"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Fonts w:ascii="Verdana" w:hAnsi="Verdana" w:cs="Arial"/>
          <w:color w:val="000000" w:themeColor="text1"/>
          <w:sz w:val="16"/>
          <w:szCs w:val="16"/>
          <w:vertAlign w:val="superscript"/>
          <w:lang w:val="es-ES" w:eastAsia="es-ES"/>
        </w:rPr>
        <w:footnoteRef/>
      </w:r>
      <w:r w:rsidRPr="00D31A8B">
        <w:rPr>
          <w:rFonts w:ascii="Verdana" w:hAnsi="Verdana" w:cs="Arial"/>
          <w:color w:val="000000" w:themeColor="text1"/>
          <w:sz w:val="16"/>
          <w:szCs w:val="16"/>
          <w:vertAlign w:val="superscript"/>
          <w:lang w:val="es-ES" w:eastAsia="es-ES"/>
        </w:rPr>
        <w:t xml:space="preserve"> </w:t>
      </w:r>
      <w:r w:rsidRPr="00D31A8B">
        <w:rPr>
          <w:rFonts w:ascii="Verdana" w:hAnsi="Verdana" w:cs="Arial"/>
          <w:color w:val="000000" w:themeColor="text1"/>
          <w:sz w:val="16"/>
          <w:szCs w:val="16"/>
          <w:lang w:val="es-ES" w:eastAsia="es-ES"/>
        </w:rPr>
        <w:t>“</w:t>
      </w:r>
      <w:r w:rsidRPr="00D31A8B">
        <w:rPr>
          <w:rFonts w:ascii="Verdana" w:hAnsi="Verdana" w:cs="Arial"/>
          <w:color w:val="000000" w:themeColor="text1"/>
          <w:sz w:val="16"/>
          <w:szCs w:val="16"/>
        </w:rPr>
        <w:t xml:space="preserve">Artículo </w:t>
      </w:r>
      <w:bookmarkStart w:id="1" w:name="_Hlk153373407"/>
      <w:r w:rsidRPr="00D31A8B">
        <w:rPr>
          <w:rFonts w:ascii="Verdana" w:hAnsi="Verdana" w:cs="Arial"/>
          <w:color w:val="000000" w:themeColor="text1"/>
          <w:sz w:val="16"/>
          <w:szCs w:val="16"/>
        </w:rPr>
        <w:t>2.1.1.2.1.7</w:t>
      </w:r>
      <w:bookmarkEnd w:id="1"/>
      <w:r w:rsidRPr="00D31A8B">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6143BF" w14:textId="77777777" w:rsidR="000A71F2" w:rsidRPr="00D31A8B" w:rsidRDefault="000A71F2" w:rsidP="000A71F2">
      <w:pPr>
        <w:pStyle w:val="Textonotapie"/>
        <w:ind w:right="49" w:firstLine="709"/>
        <w:jc w:val="both"/>
        <w:rPr>
          <w:rFonts w:ascii="Verdana" w:hAnsi="Verdana" w:cs="Arial"/>
          <w:color w:val="000000" w:themeColor="text1"/>
          <w:sz w:val="16"/>
          <w:szCs w:val="16"/>
          <w:lang w:val="es-ES" w:eastAsia="es-ES"/>
        </w:rPr>
      </w:pPr>
      <w:r w:rsidRPr="00D31A8B">
        <w:rPr>
          <w:rFonts w:ascii="Verdana" w:hAnsi="Verdana" w:cs="Arial"/>
          <w:color w:val="000000" w:themeColor="text1"/>
          <w:sz w:val="16"/>
          <w:szCs w:val="16"/>
        </w:rPr>
        <w:t>[…].</w:t>
      </w:r>
    </w:p>
    <w:p w14:paraId="5370EE92" w14:textId="77777777" w:rsidR="000A71F2" w:rsidRPr="00D31A8B" w:rsidRDefault="000A71F2" w:rsidP="000A71F2">
      <w:pPr>
        <w:pStyle w:val="Textonotapie"/>
        <w:ind w:right="49" w:firstLine="709"/>
        <w:jc w:val="both"/>
        <w:rPr>
          <w:rFonts w:ascii="Verdana" w:hAnsi="Verdana" w:cs="Arial"/>
          <w:color w:val="000000" w:themeColor="text1"/>
          <w:sz w:val="16"/>
          <w:szCs w:val="16"/>
          <w:lang w:val="es-ES" w:eastAsia="es-ES"/>
        </w:rPr>
      </w:pPr>
      <w:r w:rsidRPr="00D31A8B">
        <w:rPr>
          <w:rFonts w:ascii="Verdana" w:hAnsi="Verdana" w:cs="Arial"/>
          <w:color w:val="000000" w:themeColor="text1"/>
          <w:sz w:val="16"/>
          <w:szCs w:val="16"/>
          <w:lang w:val="es-ES" w:eastAsia="es-ES"/>
        </w:rPr>
        <w:t xml:space="preserve">Los sujetos obligados que contratan con recursos públicos y recursos </w:t>
      </w:r>
      <w:r w:rsidRPr="00D31A8B">
        <w:rPr>
          <w:rFonts w:ascii="Verdana" w:hAnsi="Verdana" w:cs="Arial"/>
          <w:color w:val="000000" w:themeColor="text1"/>
          <w:sz w:val="16"/>
          <w:szCs w:val="16"/>
          <w:lang w:val="es-ES" w:eastAsia="es-ES"/>
        </w:rPr>
        <w:t>privados, deben publicar la información de su gestión contractual con cargo a recursos públicos en el Sistema Electrónico para la Contratación Pública [SECOP]”.</w:t>
      </w:r>
    </w:p>
  </w:footnote>
  <w:footnote w:id="8">
    <w:p w14:paraId="2E7D3E5E" w14:textId="77777777" w:rsidR="000A71F2" w:rsidRPr="00D31A8B" w:rsidRDefault="000A71F2" w:rsidP="000A71F2">
      <w:pPr>
        <w:pStyle w:val="Textonotapie"/>
        <w:ind w:right="49" w:firstLine="709"/>
        <w:jc w:val="both"/>
        <w:rPr>
          <w:rFonts w:ascii="Verdana" w:hAnsi="Verdana" w:cs="Arial"/>
          <w:color w:val="000000" w:themeColor="text1"/>
          <w:sz w:val="16"/>
          <w:szCs w:val="16"/>
        </w:rPr>
      </w:pPr>
      <w:r w:rsidRPr="00D31A8B">
        <w:rPr>
          <w:rStyle w:val="Refdenotaalpie"/>
          <w:rFonts w:ascii="Verdana" w:hAnsi="Verdana" w:cs="Arial"/>
          <w:color w:val="000000" w:themeColor="text1"/>
          <w:sz w:val="16"/>
          <w:szCs w:val="16"/>
        </w:rPr>
        <w:footnoteRef/>
      </w:r>
      <w:r w:rsidRPr="00D31A8B">
        <w:rPr>
          <w:rFonts w:ascii="Verdana" w:hAnsi="Verdana" w:cs="Arial"/>
          <w:color w:val="000000" w:themeColor="text1"/>
          <w:sz w:val="16"/>
          <w:szCs w:val="16"/>
        </w:rPr>
        <w:t xml:space="preserve"> C</w:t>
      </w:r>
      <w:r w:rsidRPr="00D31A8B">
        <w:rPr>
          <w:rFonts w:ascii="Verdana" w:hAnsi="Verdana" w:cs="Arial"/>
          <w:color w:val="000000" w:themeColor="text1"/>
          <w:sz w:val="16"/>
          <w:szCs w:val="16"/>
          <w:lang w:val="es-ES" w:eastAsia="es-ES"/>
        </w:rPr>
        <w:t xml:space="preserve">ORTE CONSTITUCIONAL. Sentencia C-274 de 9 de mayo de 2013. M.P. María Victoria Calle Correa. </w:t>
      </w:r>
    </w:p>
  </w:footnote>
  <w:footnote w:id="9">
    <w:p w14:paraId="15CE6222" w14:textId="77777777" w:rsidR="000A71F2" w:rsidRPr="007A1929" w:rsidRDefault="000A71F2" w:rsidP="000A71F2">
      <w:pPr>
        <w:pStyle w:val="Textonotapie"/>
        <w:ind w:firstLine="708"/>
        <w:jc w:val="both"/>
        <w:rPr>
          <w:rFonts w:ascii="Verdana" w:hAnsi="Verdana"/>
          <w:sz w:val="16"/>
          <w:szCs w:val="16"/>
          <w:lang w:val="es-CO"/>
        </w:rPr>
      </w:pPr>
      <w:r w:rsidRPr="007A1929">
        <w:rPr>
          <w:rStyle w:val="Refdenotaalpie"/>
          <w:rFonts w:ascii="Verdana" w:hAnsi="Verdana"/>
          <w:sz w:val="16"/>
          <w:szCs w:val="16"/>
        </w:rPr>
        <w:footnoteRef/>
      </w:r>
      <w:r w:rsidRPr="007A1929">
        <w:rPr>
          <w:rFonts w:ascii="Verdana" w:hAnsi="Verdana"/>
          <w:sz w:val="16"/>
          <w:szCs w:val="16"/>
        </w:rPr>
        <w:t xml:space="preserve"> </w:t>
      </w:r>
      <w:r>
        <w:rPr>
          <w:rFonts w:ascii="Verdana" w:hAnsi="Verdana"/>
          <w:sz w:val="16"/>
          <w:szCs w:val="16"/>
        </w:rPr>
        <w:t xml:space="preserve">Documento consultado el 10 de octubre de 2024 en la página web </w:t>
      </w:r>
      <w:hyperlink r:id="rId1" w:history="1">
        <w:r w:rsidRPr="001F228B">
          <w:rPr>
            <w:rStyle w:val="Hipervnculo"/>
            <w:rFonts w:ascii="Verdana" w:hAnsi="Verdana"/>
            <w:sz w:val="16"/>
            <w:szCs w:val="16"/>
          </w:rPr>
          <w:t>https://www.colombiacompra.gov.co/sites/cce_public/files/cce_documentos/anexo_1_-_maps.pdf</w:t>
        </w:r>
      </w:hyperlink>
      <w:r>
        <w:rPr>
          <w:rFonts w:ascii="Verdana" w:hAnsi="Verdana"/>
          <w:sz w:val="16"/>
          <w:szCs w:val="16"/>
        </w:rPr>
        <w:t xml:space="preserve">. </w:t>
      </w:r>
    </w:p>
  </w:footnote>
  <w:footnote w:id="10">
    <w:p w14:paraId="29977EDB"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Style w:val="Refdenotaalpie"/>
          <w:rFonts w:ascii="Verdana" w:hAnsi="Verdana" w:cs="Arial"/>
          <w:sz w:val="16"/>
          <w:szCs w:val="16"/>
        </w:rPr>
        <w:footnoteRef/>
      </w:r>
      <w:r w:rsidRPr="00D31A8B">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33EA5C7E"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1. Los relacionados con la defensa o seguridad nacionales.  </w:t>
      </w:r>
    </w:p>
    <w:p w14:paraId="40EB2BCF"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2. Las instrucciones en materia diplomática o sobre negociaciones reservadas.  </w:t>
      </w:r>
    </w:p>
    <w:p w14:paraId="18FC7C78"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293FBA06"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CD03506"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5. Los datos referentes a la información financiera y comercial, en los términos de la Ley Estatutaria 1266 de 2008.  </w:t>
      </w:r>
    </w:p>
    <w:p w14:paraId="2A8EED8A"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6. Los protegidos por el secreto comercial o industrial, así como los planes estratégicos de las empresas públicas de servicios públicos.  </w:t>
      </w:r>
    </w:p>
    <w:p w14:paraId="483B901D"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7. Los amparados por el secreto profesional.  </w:t>
      </w:r>
    </w:p>
    <w:p w14:paraId="30147F3A"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8. Los datos genéticos humanos.  </w:t>
      </w:r>
    </w:p>
    <w:p w14:paraId="1D61B3FB"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1">
    <w:p w14:paraId="48426AD7" w14:textId="77777777" w:rsidR="000A71F2" w:rsidRPr="00D31A8B" w:rsidRDefault="000A71F2" w:rsidP="000A71F2">
      <w:pPr>
        <w:pStyle w:val="Textonotapie"/>
        <w:ind w:firstLine="708"/>
        <w:contextualSpacing/>
        <w:jc w:val="both"/>
        <w:rPr>
          <w:rFonts w:ascii="Verdana" w:hAnsi="Verdana" w:cs="Arial"/>
          <w:sz w:val="16"/>
          <w:szCs w:val="16"/>
        </w:rPr>
      </w:pPr>
      <w:r w:rsidRPr="00D31A8B">
        <w:rPr>
          <w:rStyle w:val="Refdenotaalpie"/>
          <w:rFonts w:ascii="Verdana" w:hAnsi="Verdana" w:cs="Arial"/>
          <w:sz w:val="16"/>
          <w:szCs w:val="16"/>
        </w:rPr>
        <w:footnoteRef/>
      </w:r>
      <w:r w:rsidRPr="00D31A8B">
        <w:rPr>
          <w:rFonts w:ascii="Verdana" w:hAnsi="Verdana" w:cs="Arial"/>
          <w:sz w:val="16"/>
          <w:szCs w:val="16"/>
        </w:rPr>
        <w:t xml:space="preserve"> Respecto al periodo de transición establecido en la norma objeto de estudio, la Circular Externa Única de Colombia Compra Eficiente señaló que “De acuerdo con el artículo 53 de Ley 2195 de 2022, las Entidades Estatales que, por disposición legal, cuenten con un régimen contractual excepcional al del Estatuto General de Contratación de la Administración Pública tienen un período de transición de seis (6) meses para publicar todos los documentos relacionados con su actividad contractual en la plataforma del SECOP II. En consecuencia, su uso obligatorio empezará a regir después de las 23:59 horas del 17 de julio de 2022, sin que sea posible, por vía reglamentaria o a través de los manuales internos de contratación, extender el plazo previsto en la Ley de Transparencia. Todos los procesos de contratación creados en el SECOP I antes de las 23:59 horas del 17 de julio de 2022, por parte de estas Entidades Estatales, podrán continuar siendo gestionados en esta plataforma”.  </w:t>
      </w:r>
    </w:p>
  </w:footnote>
  <w:footnote w:id="12">
    <w:p w14:paraId="37099EF6" w14:textId="77777777" w:rsidR="000A71F2" w:rsidRPr="00B1668A" w:rsidRDefault="000A71F2" w:rsidP="000A71F2">
      <w:pPr>
        <w:pStyle w:val="Textonotapie"/>
        <w:ind w:firstLine="708"/>
        <w:jc w:val="both"/>
        <w:rPr>
          <w:rFonts w:ascii="Verdana" w:hAnsi="Verdana"/>
          <w:sz w:val="16"/>
          <w:szCs w:val="16"/>
          <w:lang w:val="en-US"/>
        </w:rPr>
      </w:pPr>
      <w:r w:rsidRPr="00B1668A">
        <w:rPr>
          <w:rStyle w:val="Refdenotaalpie"/>
          <w:rFonts w:ascii="Verdana" w:hAnsi="Verdana"/>
          <w:sz w:val="16"/>
          <w:szCs w:val="16"/>
        </w:rPr>
        <w:footnoteRef/>
      </w:r>
      <w:r w:rsidRPr="00B1668A">
        <w:rPr>
          <w:rFonts w:ascii="Verdana" w:hAnsi="Verdana"/>
          <w:sz w:val="16"/>
          <w:szCs w:val="16"/>
        </w:rPr>
        <w:t xml:space="preserve">   CORTE CONSTITUCIONAL. Sentencia C-711 del 12 de septiembre de 2012.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85pt;height:10.8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E3B"/>
    <w:rsid w:val="00016F78"/>
    <w:rsid w:val="00046945"/>
    <w:rsid w:val="00061B2A"/>
    <w:rsid w:val="00082362"/>
    <w:rsid w:val="0008299A"/>
    <w:rsid w:val="000849B9"/>
    <w:rsid w:val="000A683E"/>
    <w:rsid w:val="000A71F2"/>
    <w:rsid w:val="000B19B9"/>
    <w:rsid w:val="000D0334"/>
    <w:rsid w:val="000F6486"/>
    <w:rsid w:val="00125105"/>
    <w:rsid w:val="00127233"/>
    <w:rsid w:val="001511A0"/>
    <w:rsid w:val="001C46CD"/>
    <w:rsid w:val="001E4177"/>
    <w:rsid w:val="001F7DC6"/>
    <w:rsid w:val="0021235A"/>
    <w:rsid w:val="002421BB"/>
    <w:rsid w:val="0025796E"/>
    <w:rsid w:val="002707A2"/>
    <w:rsid w:val="00294541"/>
    <w:rsid w:val="002951A0"/>
    <w:rsid w:val="002962BC"/>
    <w:rsid w:val="002A093D"/>
    <w:rsid w:val="002A0DD0"/>
    <w:rsid w:val="002A49AC"/>
    <w:rsid w:val="002A64FD"/>
    <w:rsid w:val="002C56D9"/>
    <w:rsid w:val="002C7A84"/>
    <w:rsid w:val="002E4FD9"/>
    <w:rsid w:val="00322A85"/>
    <w:rsid w:val="00324168"/>
    <w:rsid w:val="003448F4"/>
    <w:rsid w:val="003701E3"/>
    <w:rsid w:val="00374F5E"/>
    <w:rsid w:val="00377E3E"/>
    <w:rsid w:val="003A779E"/>
    <w:rsid w:val="003D0F4D"/>
    <w:rsid w:val="003D5B0D"/>
    <w:rsid w:val="003E0499"/>
    <w:rsid w:val="003F3941"/>
    <w:rsid w:val="00406575"/>
    <w:rsid w:val="00414C74"/>
    <w:rsid w:val="00421289"/>
    <w:rsid w:val="0042722E"/>
    <w:rsid w:val="0044528D"/>
    <w:rsid w:val="004672EB"/>
    <w:rsid w:val="004A1847"/>
    <w:rsid w:val="004A305D"/>
    <w:rsid w:val="004F21C4"/>
    <w:rsid w:val="004F685F"/>
    <w:rsid w:val="005566E8"/>
    <w:rsid w:val="005619BC"/>
    <w:rsid w:val="00574867"/>
    <w:rsid w:val="00591460"/>
    <w:rsid w:val="005920F6"/>
    <w:rsid w:val="005B3816"/>
    <w:rsid w:val="005C3777"/>
    <w:rsid w:val="005C5CDC"/>
    <w:rsid w:val="005D476C"/>
    <w:rsid w:val="006219F8"/>
    <w:rsid w:val="00665D70"/>
    <w:rsid w:val="00680641"/>
    <w:rsid w:val="006900D9"/>
    <w:rsid w:val="006C5A9C"/>
    <w:rsid w:val="00706C16"/>
    <w:rsid w:val="00736D74"/>
    <w:rsid w:val="00756841"/>
    <w:rsid w:val="007649AB"/>
    <w:rsid w:val="00771D0C"/>
    <w:rsid w:val="007833AC"/>
    <w:rsid w:val="007B268C"/>
    <w:rsid w:val="007B7171"/>
    <w:rsid w:val="007C0C0F"/>
    <w:rsid w:val="007C3DC2"/>
    <w:rsid w:val="007E5497"/>
    <w:rsid w:val="00806F5F"/>
    <w:rsid w:val="00820278"/>
    <w:rsid w:val="00867F95"/>
    <w:rsid w:val="00882898"/>
    <w:rsid w:val="008843B6"/>
    <w:rsid w:val="00891928"/>
    <w:rsid w:val="008A446D"/>
    <w:rsid w:val="008D180B"/>
    <w:rsid w:val="008F0EA7"/>
    <w:rsid w:val="00923EEF"/>
    <w:rsid w:val="009419F9"/>
    <w:rsid w:val="00947C5A"/>
    <w:rsid w:val="0095685E"/>
    <w:rsid w:val="00961B09"/>
    <w:rsid w:val="00965334"/>
    <w:rsid w:val="0097093E"/>
    <w:rsid w:val="00986AC5"/>
    <w:rsid w:val="009A0DFA"/>
    <w:rsid w:val="009B2D26"/>
    <w:rsid w:val="009C71FA"/>
    <w:rsid w:val="009C72E7"/>
    <w:rsid w:val="009D3058"/>
    <w:rsid w:val="009F3A13"/>
    <w:rsid w:val="00A122D3"/>
    <w:rsid w:val="00A15CE0"/>
    <w:rsid w:val="00A17F13"/>
    <w:rsid w:val="00A20739"/>
    <w:rsid w:val="00A33C78"/>
    <w:rsid w:val="00A40B72"/>
    <w:rsid w:val="00A51084"/>
    <w:rsid w:val="00A80782"/>
    <w:rsid w:val="00A861DF"/>
    <w:rsid w:val="00AB0ADB"/>
    <w:rsid w:val="00B01B1A"/>
    <w:rsid w:val="00B66319"/>
    <w:rsid w:val="00B72CD3"/>
    <w:rsid w:val="00B72FFF"/>
    <w:rsid w:val="00B75062"/>
    <w:rsid w:val="00BC3D36"/>
    <w:rsid w:val="00BD7F72"/>
    <w:rsid w:val="00C04FB3"/>
    <w:rsid w:val="00C330EB"/>
    <w:rsid w:val="00C41061"/>
    <w:rsid w:val="00C754BE"/>
    <w:rsid w:val="00C76B1C"/>
    <w:rsid w:val="00CB6357"/>
    <w:rsid w:val="00CC1B26"/>
    <w:rsid w:val="00CE3373"/>
    <w:rsid w:val="00D423A2"/>
    <w:rsid w:val="00D520D8"/>
    <w:rsid w:val="00D63AC2"/>
    <w:rsid w:val="00D7383B"/>
    <w:rsid w:val="00D77319"/>
    <w:rsid w:val="00DA231B"/>
    <w:rsid w:val="00DC39FC"/>
    <w:rsid w:val="00DF5254"/>
    <w:rsid w:val="00E16408"/>
    <w:rsid w:val="00E20894"/>
    <w:rsid w:val="00E245AB"/>
    <w:rsid w:val="00E2487B"/>
    <w:rsid w:val="00E2764C"/>
    <w:rsid w:val="00E27F2E"/>
    <w:rsid w:val="00E47FC5"/>
    <w:rsid w:val="00E50AFE"/>
    <w:rsid w:val="00E62695"/>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35DED37"/>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A71F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A71F2"/>
    <w:rPr>
      <w:rFonts w:ascii="Geomanist Light" w:hAnsi="Geomanist Light"/>
      <w:lang w:val="es-ES"/>
    </w:rPr>
  </w:style>
  <w:style w:type="paragraph" w:styleId="Textoindependiente">
    <w:name w:val="Body Text"/>
    <w:basedOn w:val="Normal"/>
    <w:link w:val="TextoindependienteCar"/>
    <w:uiPriority w:val="99"/>
    <w:unhideWhenUsed/>
    <w:rsid w:val="000A71F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0A71F2"/>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bastianpuentes.sp@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anexo_1_-_map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customXml/itemProps3.xml><?xml version="1.0" encoding="utf-8"?>
<ds:datastoreItem xmlns:ds="http://schemas.openxmlformats.org/officeDocument/2006/customXml" ds:itemID="{E99E6C05-1E79-4484-A7D3-789182D0B470}"/>
</file>

<file path=docProps/app.xml><?xml version="1.0" encoding="utf-8"?>
<Properties xmlns="http://schemas.openxmlformats.org/officeDocument/2006/extended-properties" xmlns:vt="http://schemas.openxmlformats.org/officeDocument/2006/docPropsVTypes">
  <Template>Normal.dotm</Template>
  <TotalTime>3</TotalTime>
  <Pages>15</Pages>
  <Words>4382</Words>
  <Characters>24101</Characters>
  <Application>Microsoft Office Word</Application>
  <DocSecurity>0</DocSecurity>
  <Lines>200</Lines>
  <Paragraphs>56</Paragraphs>
  <ScaleCrop>false</ScaleCrop>
  <Company/>
  <LinksUpToDate>false</LinksUpToDate>
  <CharactersWithSpaces>28427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2025-08-08T03:45:00Z</dcterms:created>
  <dcterms:modified xsi:type="dcterms:W3CDTF">2025-08-11T20:32:00Z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