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4B4DC2" w14:textId="77777777" w:rsidR="00C01DCE" w:rsidRPr="00C01DCE" w:rsidRDefault="00C01DCE" w:rsidP="00C01DCE">
      <w:pPr>
        <w:widowControl w:val="0"/>
        <w:autoSpaceDE w:val="0"/>
        <w:autoSpaceDN w:val="0"/>
        <w:spacing w:after="0" w:line="240" w:lineRule="auto"/>
        <w:jc w:val="both"/>
        <w:rPr>
          <w:rFonts w:ascii="Arial" w:eastAsia="Verdana" w:hAnsi="Arial" w:cs="Arial"/>
          <w:b/>
          <w:bCs/>
          <w:lang w:val="es-ES"/>
        </w:rPr>
      </w:pPr>
      <w:bookmarkStart w:id="0" w:name="_Hlk143780582"/>
    </w:p>
    <w:p w14:paraId="09F2F474" w14:textId="77777777" w:rsidR="00C01DCE" w:rsidRPr="00C01DCE" w:rsidRDefault="00C01DCE" w:rsidP="00C01DCE">
      <w:pPr>
        <w:widowControl w:val="0"/>
        <w:autoSpaceDE w:val="0"/>
        <w:autoSpaceDN w:val="0"/>
        <w:spacing w:after="0" w:line="240" w:lineRule="auto"/>
        <w:jc w:val="both"/>
        <w:rPr>
          <w:rFonts w:ascii="Verdana" w:eastAsia="Verdana" w:hAnsi="Verdana" w:cs="Arial"/>
          <w:b/>
          <w:bCs/>
          <w:lang w:val="es-ES"/>
        </w:rPr>
      </w:pPr>
      <w:r w:rsidRPr="00C01DCE">
        <w:rPr>
          <w:rFonts w:ascii="Verdana" w:eastAsia="Verdana" w:hAnsi="Verdana" w:cs="Arial"/>
          <w:b/>
          <w:bCs/>
          <w:lang w:val="es-ES"/>
        </w:rPr>
        <w:t>SOCIEDADES DE ECONOMÍA MIXTA – Naturaleza jurídica – Régimen de contratación</w:t>
      </w:r>
    </w:p>
    <w:p w14:paraId="4898CBF9" w14:textId="77777777" w:rsidR="00C01DCE" w:rsidRPr="00C01DCE" w:rsidRDefault="00C01DCE" w:rsidP="00C01DCE">
      <w:pPr>
        <w:widowControl w:val="0"/>
        <w:autoSpaceDE w:val="0"/>
        <w:autoSpaceDN w:val="0"/>
        <w:spacing w:after="0" w:line="240" w:lineRule="auto"/>
        <w:jc w:val="both"/>
        <w:rPr>
          <w:rFonts w:ascii="Verdana" w:eastAsia="Verdana" w:hAnsi="Verdana" w:cs="Arial"/>
          <w:lang w:val="es-ES"/>
        </w:rPr>
      </w:pPr>
      <w:r w:rsidRPr="00C01DCE">
        <w:rPr>
          <w:rFonts w:ascii="Verdana" w:eastAsia="Verdana" w:hAnsi="Verdana" w:cs="Arial"/>
          <w:b/>
          <w:bCs/>
          <w:lang w:val="es-ES"/>
        </w:rPr>
        <w:t> </w:t>
      </w:r>
    </w:p>
    <w:p w14:paraId="28D5F463" w14:textId="685599BD" w:rsidR="00C01DCE" w:rsidRPr="00C01DCE" w:rsidRDefault="00C01DCE" w:rsidP="00C01DCE">
      <w:pPr>
        <w:widowControl w:val="0"/>
        <w:autoSpaceDE w:val="0"/>
        <w:autoSpaceDN w:val="0"/>
        <w:spacing w:after="0" w:line="240" w:lineRule="auto"/>
        <w:jc w:val="both"/>
        <w:rPr>
          <w:rFonts w:ascii="Verdana" w:eastAsia="Verdana" w:hAnsi="Verdana" w:cs="Arial"/>
          <w:sz w:val="20"/>
          <w:szCs w:val="20"/>
          <w:lang w:val="es-ES"/>
        </w:rPr>
      </w:pPr>
      <w:r w:rsidRPr="00C01DCE">
        <w:rPr>
          <w:rFonts w:ascii="Verdana" w:eastAsia="Verdana" w:hAnsi="Verdana" w:cs="Arial"/>
          <w:sz w:val="20"/>
          <w:szCs w:val="20"/>
          <w:lang w:val="es-ES"/>
        </w:rPr>
        <w:t>[…] en nuestro ordenamiento jurídico, las sociedades de economía mixta están sometidas a un régimen jurídico compuesto por un conjunto normativo de derecho público y de derecho privado; el primero, derivado directamente de la Constitución Política y referido a aspectos como su creación, autorización, organización y funcionamiento interno. Y el segundo destinado a regir el desarrollo de la actividad económica de cada sociedad. De esta forma, conviene analizar el régimen aplicable para los actos y contratos que celebran estas entidades. Al respecto, el literal a), del artículo 2 de la Ley 80 de 1993, señala que son Entidades Estatales las sociedades de economía mixta en las que el Estado tenga participación superior al cincuenta por ciento (50%). Esto significa que el legislador, en el año 1993, estableció que las sociedades de economía mixta donde el Estado tenga participación superior al cincuenta por ciento (50%) están sujetos al Estatuto General de Contratación de la Administración Pública, en adelante EGCAP.</w:t>
      </w:r>
    </w:p>
    <w:p w14:paraId="330D4724" w14:textId="77777777" w:rsidR="00C01DCE" w:rsidRPr="00C01DCE" w:rsidRDefault="00C01DCE" w:rsidP="00C01DCE">
      <w:pPr>
        <w:widowControl w:val="0"/>
        <w:autoSpaceDE w:val="0"/>
        <w:autoSpaceDN w:val="0"/>
        <w:spacing w:after="0" w:line="240" w:lineRule="auto"/>
        <w:jc w:val="both"/>
        <w:rPr>
          <w:rFonts w:ascii="Verdana" w:eastAsia="Verdana" w:hAnsi="Verdana" w:cs="Arial"/>
          <w:sz w:val="20"/>
          <w:szCs w:val="20"/>
          <w:lang w:val="es-ES"/>
        </w:rPr>
      </w:pPr>
      <w:r w:rsidRPr="00C01DCE">
        <w:rPr>
          <w:rFonts w:ascii="Verdana" w:eastAsia="Verdana" w:hAnsi="Verdana" w:cs="Arial"/>
          <w:sz w:val="20"/>
          <w:szCs w:val="20"/>
          <w:lang w:val="es-ES"/>
        </w:rPr>
        <w:t>[…]</w:t>
      </w:r>
    </w:p>
    <w:p w14:paraId="1F6F0D5E" w14:textId="77777777" w:rsidR="00C01DCE" w:rsidRPr="00C01DCE" w:rsidRDefault="00C01DCE" w:rsidP="00C01DCE">
      <w:pPr>
        <w:widowControl w:val="0"/>
        <w:autoSpaceDE w:val="0"/>
        <w:autoSpaceDN w:val="0"/>
        <w:spacing w:after="0" w:line="240" w:lineRule="auto"/>
        <w:jc w:val="both"/>
        <w:rPr>
          <w:rFonts w:ascii="Verdana" w:eastAsia="Verdana" w:hAnsi="Verdana" w:cs="Arial"/>
          <w:sz w:val="20"/>
          <w:szCs w:val="20"/>
          <w:lang w:val="es-ES"/>
        </w:rPr>
      </w:pPr>
      <w:r w:rsidRPr="00C01DCE">
        <w:rPr>
          <w:rFonts w:ascii="Verdana" w:eastAsia="Verdana" w:hAnsi="Verdana" w:cs="Arial"/>
          <w:sz w:val="20"/>
          <w:szCs w:val="20"/>
          <w:lang w:val="es-ES"/>
        </w:rPr>
        <w:t>[…] el artículo 14 de la Ley 1150 de 2007 previó que las sociedades de economía mixta en las que el Estado tenga participación superior al cincuenta por ciento (50%) y sus filiales que cuenten con participación mayoritaria del Estado superior al cincuenta por ciento (50%) estarán sometidas al EGCAP,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 En otras palabras, el legislador estableció que las sociedades de economía mixta en las que el Estado tenga participación superior al cincuenta por ciento (50%), cuando se encuentran en competencia con el sector privado o público, nacional o internacional o desarrollan su actividad en mercados regulados estarán sometidos al derecho privado.</w:t>
      </w:r>
    </w:p>
    <w:p w14:paraId="4D05A308" w14:textId="77777777" w:rsidR="00C01DCE" w:rsidRPr="00C01DCE" w:rsidRDefault="00C01DCE" w:rsidP="00E245AB">
      <w:pPr>
        <w:spacing w:after="0"/>
        <w:rPr>
          <w:rFonts w:ascii="Verdana" w:hAnsi="Verdana"/>
          <w:lang w:val="es-ES"/>
        </w:rPr>
      </w:pPr>
    </w:p>
    <w:p w14:paraId="4442EE65" w14:textId="77777777" w:rsidR="00C01DCE" w:rsidRDefault="00C01DCE" w:rsidP="00E245AB">
      <w:pPr>
        <w:spacing w:after="0"/>
        <w:rPr>
          <w:rFonts w:ascii="Verdana" w:hAnsi="Verdana"/>
        </w:rPr>
      </w:pPr>
    </w:p>
    <w:p w14:paraId="316C4C44" w14:textId="77777777" w:rsidR="00C01DCE" w:rsidRDefault="00C01DCE" w:rsidP="00E245AB">
      <w:pPr>
        <w:spacing w:after="0"/>
        <w:rPr>
          <w:rFonts w:ascii="Verdana" w:hAnsi="Verdana"/>
        </w:rPr>
      </w:pPr>
    </w:p>
    <w:p w14:paraId="5442729D" w14:textId="77777777" w:rsidR="00C01DCE" w:rsidRDefault="00C01DCE" w:rsidP="00E245AB">
      <w:pPr>
        <w:spacing w:after="0"/>
        <w:rPr>
          <w:rFonts w:ascii="Verdana" w:hAnsi="Verdana"/>
        </w:rPr>
      </w:pPr>
    </w:p>
    <w:p w14:paraId="5EC083E1" w14:textId="77777777" w:rsidR="00C01DCE" w:rsidRDefault="00C01DCE" w:rsidP="00E245AB">
      <w:pPr>
        <w:spacing w:after="0"/>
        <w:rPr>
          <w:rFonts w:ascii="Verdana" w:hAnsi="Verdana"/>
        </w:rPr>
      </w:pPr>
    </w:p>
    <w:p w14:paraId="29BECCED" w14:textId="77777777" w:rsidR="00C01DCE" w:rsidRDefault="00C01DCE" w:rsidP="00E245AB">
      <w:pPr>
        <w:spacing w:after="0"/>
        <w:rPr>
          <w:rFonts w:ascii="Verdana" w:hAnsi="Verdana"/>
        </w:rPr>
      </w:pPr>
    </w:p>
    <w:p w14:paraId="00C9E010" w14:textId="77777777" w:rsidR="00C01DCE" w:rsidRDefault="00C01DCE" w:rsidP="00E245AB">
      <w:pPr>
        <w:spacing w:after="0"/>
        <w:rPr>
          <w:rFonts w:ascii="Verdana" w:hAnsi="Verdana"/>
        </w:rPr>
      </w:pPr>
    </w:p>
    <w:p w14:paraId="7519C9D7" w14:textId="77777777" w:rsidR="00C01DCE" w:rsidRDefault="00C01DCE" w:rsidP="00E245AB">
      <w:pPr>
        <w:spacing w:after="0"/>
        <w:rPr>
          <w:rFonts w:ascii="Verdana" w:hAnsi="Verdana"/>
        </w:rPr>
      </w:pPr>
    </w:p>
    <w:p w14:paraId="1F8E7313" w14:textId="77777777" w:rsidR="00C01DCE" w:rsidRDefault="00C01DCE" w:rsidP="00E245AB">
      <w:pPr>
        <w:spacing w:after="0"/>
        <w:rPr>
          <w:rFonts w:ascii="Verdana" w:hAnsi="Verdana"/>
        </w:rPr>
      </w:pPr>
    </w:p>
    <w:p w14:paraId="7DDDFB2F" w14:textId="77777777" w:rsidR="00C01DCE" w:rsidRDefault="00C01DCE" w:rsidP="00E245AB">
      <w:pPr>
        <w:spacing w:after="0"/>
        <w:rPr>
          <w:rFonts w:ascii="Verdana" w:hAnsi="Verdana"/>
        </w:rPr>
      </w:pPr>
    </w:p>
    <w:p w14:paraId="622AEF1D" w14:textId="77777777" w:rsidR="00C01DCE" w:rsidRDefault="00C01DCE" w:rsidP="00E245AB">
      <w:pPr>
        <w:spacing w:after="0"/>
        <w:rPr>
          <w:rFonts w:ascii="Verdana" w:hAnsi="Verdana"/>
        </w:rPr>
      </w:pPr>
    </w:p>
    <w:p w14:paraId="152B62D5" w14:textId="77777777" w:rsidR="00C01DCE" w:rsidRDefault="00C01DCE" w:rsidP="00E245AB">
      <w:pPr>
        <w:spacing w:after="0"/>
        <w:rPr>
          <w:rFonts w:ascii="Verdana" w:hAnsi="Verdana"/>
        </w:rPr>
      </w:pPr>
    </w:p>
    <w:p w14:paraId="6276EABB" w14:textId="77777777" w:rsidR="00C01DCE" w:rsidRDefault="00C01DCE" w:rsidP="00E245AB">
      <w:pPr>
        <w:spacing w:after="0"/>
        <w:rPr>
          <w:rFonts w:ascii="Verdana" w:hAnsi="Verdana"/>
        </w:rPr>
      </w:pPr>
    </w:p>
    <w:p w14:paraId="3E4AEBEA" w14:textId="77777777" w:rsidR="00C01DCE" w:rsidRDefault="00C01DCE" w:rsidP="00E245AB">
      <w:pPr>
        <w:spacing w:after="0"/>
        <w:rPr>
          <w:rFonts w:ascii="Verdana" w:hAnsi="Verdana"/>
        </w:rPr>
      </w:pPr>
    </w:p>
    <w:p w14:paraId="26D66DAB" w14:textId="77777777" w:rsidR="00C01DCE" w:rsidRDefault="00C01DCE" w:rsidP="00E245AB">
      <w:pPr>
        <w:spacing w:after="0"/>
        <w:rPr>
          <w:rFonts w:ascii="Verdana" w:hAnsi="Verdana"/>
        </w:rPr>
      </w:pPr>
    </w:p>
    <w:p w14:paraId="3FE2184B" w14:textId="22B6A772" w:rsidR="00E245AB" w:rsidRPr="002C2F63" w:rsidRDefault="00E245AB" w:rsidP="00E245AB">
      <w:pPr>
        <w:spacing w:after="0"/>
        <w:rPr>
          <w:rFonts w:ascii="Verdana" w:hAnsi="Verdana"/>
        </w:rPr>
      </w:pPr>
      <w:r w:rsidRPr="002C2F63">
        <w:rPr>
          <w:rFonts w:ascii="Verdana" w:hAnsi="Verdana"/>
        </w:rPr>
        <w:lastRenderedPageBreak/>
        <w:t xml:space="preserve">Bogotá D.C., </w:t>
      </w:r>
      <w:r w:rsidR="00824917">
        <w:rPr>
          <w:rFonts w:ascii="Verdana" w:hAnsi="Verdana"/>
        </w:rPr>
        <w:t>10 de diciembre del 2024</w:t>
      </w:r>
    </w:p>
    <w:p w14:paraId="0465BA6D" w14:textId="77777777" w:rsidR="00E245AB" w:rsidRDefault="00E245AB" w:rsidP="00E245AB">
      <w:pPr>
        <w:spacing w:after="0"/>
        <w:rPr>
          <w:rFonts w:ascii="Verdana" w:hAnsi="Verdana"/>
        </w:rPr>
      </w:pPr>
    </w:p>
    <w:p w14:paraId="47A8A0DB" w14:textId="104CDA73" w:rsidR="00824917" w:rsidRDefault="007A4E03" w:rsidP="007A4E03">
      <w:pPr>
        <w:spacing w:after="0"/>
        <w:jc w:val="right"/>
        <w:rPr>
          <w:rFonts w:ascii="Verdana" w:hAnsi="Verdana"/>
        </w:rPr>
      </w:pPr>
      <w:r w:rsidRPr="007A4E03">
        <w:rPr>
          <w:rFonts w:ascii="Verdana" w:hAnsi="Verdana"/>
        </w:rPr>
        <w:drawing>
          <wp:inline distT="0" distB="0" distL="0" distR="0" wp14:anchorId="6F651D34" wp14:editId="0E1CAFAE">
            <wp:extent cx="3037840" cy="780900"/>
            <wp:effectExtent l="0" t="0" r="0" b="635"/>
            <wp:docPr id="9815713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571300" name=""/>
                    <pic:cNvPicPr/>
                  </pic:nvPicPr>
                  <pic:blipFill>
                    <a:blip r:embed="rId10"/>
                    <a:stretch>
                      <a:fillRect/>
                    </a:stretch>
                  </pic:blipFill>
                  <pic:spPr>
                    <a:xfrm>
                      <a:off x="0" y="0"/>
                      <a:ext cx="3046847" cy="783215"/>
                    </a:xfrm>
                    <a:prstGeom prst="rect">
                      <a:avLst/>
                    </a:prstGeom>
                  </pic:spPr>
                </pic:pic>
              </a:graphicData>
            </a:graphic>
          </wp:inline>
        </w:drawing>
      </w:r>
    </w:p>
    <w:p w14:paraId="504639B9" w14:textId="14F76824" w:rsidR="007202FB" w:rsidRPr="002C2F63" w:rsidRDefault="007202FB" w:rsidP="007202FB">
      <w:pPr>
        <w:spacing w:after="0" w:line="240" w:lineRule="auto"/>
        <w:jc w:val="both"/>
        <w:rPr>
          <w:rFonts w:ascii="Verdana" w:eastAsia="Calibri" w:hAnsi="Verdana" w:cs="Arial"/>
          <w:lang w:val="es-ES" w:eastAsia="es-ES"/>
        </w:rPr>
      </w:pPr>
      <w:r w:rsidRPr="002C2F63">
        <w:rPr>
          <w:rFonts w:ascii="Verdana" w:eastAsia="Calibri" w:hAnsi="Verdana" w:cs="Arial"/>
          <w:lang w:val="es-ES" w:eastAsia="es-ES"/>
        </w:rPr>
        <w:t>Señor</w:t>
      </w:r>
      <w:r w:rsidR="00252DAC" w:rsidRPr="002C2F63">
        <w:rPr>
          <w:rFonts w:ascii="Verdana" w:eastAsia="Calibri" w:hAnsi="Verdana" w:cs="Arial"/>
          <w:lang w:val="es-ES" w:eastAsia="es-ES"/>
        </w:rPr>
        <w:t>a</w:t>
      </w:r>
      <w:r w:rsidRPr="002C2F63">
        <w:rPr>
          <w:rFonts w:ascii="Verdana" w:eastAsia="Calibri" w:hAnsi="Verdana" w:cs="Arial"/>
          <w:lang w:val="es-ES" w:eastAsia="es-ES"/>
        </w:rPr>
        <w:t>:</w:t>
      </w:r>
    </w:p>
    <w:p w14:paraId="31215EE7" w14:textId="285210AA" w:rsidR="007202FB" w:rsidRPr="002C2F63" w:rsidRDefault="00252DAC" w:rsidP="007202FB">
      <w:pPr>
        <w:spacing w:after="0" w:line="240" w:lineRule="auto"/>
        <w:rPr>
          <w:rFonts w:ascii="Verdana" w:eastAsia="Calibri" w:hAnsi="Verdana" w:cs="Arial"/>
          <w:b/>
          <w:lang w:val="es-ES" w:eastAsia="es-ES"/>
        </w:rPr>
      </w:pPr>
      <w:r w:rsidRPr="002C2F63">
        <w:rPr>
          <w:rFonts w:ascii="Verdana" w:eastAsia="Calibri" w:hAnsi="Verdana" w:cs="Arial"/>
          <w:b/>
          <w:lang w:val="es-ES" w:eastAsia="es-ES"/>
        </w:rPr>
        <w:t xml:space="preserve">Enith Flórez García </w:t>
      </w:r>
    </w:p>
    <w:p w14:paraId="3774AEF9" w14:textId="5CB6D706" w:rsidR="00F27249" w:rsidRPr="002C2F63" w:rsidRDefault="00F27249" w:rsidP="007202FB">
      <w:pPr>
        <w:spacing w:after="0" w:line="240" w:lineRule="auto"/>
        <w:rPr>
          <w:rFonts w:ascii="Verdana" w:hAnsi="Verdana"/>
        </w:rPr>
      </w:pPr>
      <w:hyperlink r:id="rId11" w:history="1">
        <w:r w:rsidRPr="002C2F63">
          <w:rPr>
            <w:rStyle w:val="Hipervnculo"/>
            <w:rFonts w:ascii="Verdana" w:hAnsi="Verdana"/>
          </w:rPr>
          <w:t>enithflorezgarcia@gmail.com</w:t>
        </w:r>
      </w:hyperlink>
    </w:p>
    <w:p w14:paraId="59FF22F2" w14:textId="530528D2" w:rsidR="007202FB" w:rsidRPr="002C2F63" w:rsidRDefault="00F27249" w:rsidP="007202FB">
      <w:pPr>
        <w:spacing w:after="0" w:line="240" w:lineRule="auto"/>
        <w:rPr>
          <w:rFonts w:ascii="Verdana" w:hAnsi="Verdana"/>
        </w:rPr>
      </w:pPr>
      <w:r w:rsidRPr="002C2F63">
        <w:rPr>
          <w:rFonts w:ascii="Verdana" w:eastAsia="Calibri" w:hAnsi="Verdana" w:cs="Arial"/>
          <w:bCs/>
          <w:lang w:val="es-ES" w:eastAsia="es-ES"/>
        </w:rPr>
        <w:t>Bogotá D.C.</w:t>
      </w:r>
    </w:p>
    <w:p w14:paraId="10122E95" w14:textId="77777777" w:rsidR="007202FB" w:rsidRPr="002C2F63" w:rsidRDefault="007202FB" w:rsidP="007202FB">
      <w:pPr>
        <w:spacing w:after="0" w:line="240" w:lineRule="auto"/>
        <w:rPr>
          <w:rFonts w:ascii="Verdana" w:eastAsia="Calibri" w:hAnsi="Verdana" w:cs="Arial"/>
          <w:b/>
          <w:bCs/>
          <w:highlight w:val="cyan"/>
          <w:lang w:val="es-ES_tradnl" w:eastAsia="es-ES_tradnl"/>
        </w:rPr>
      </w:pPr>
    </w:p>
    <w:p w14:paraId="13FBAA4D" w14:textId="77777777" w:rsidR="00FD3A92" w:rsidRPr="002C2F63" w:rsidRDefault="00FD3A92" w:rsidP="007202FB">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202FB" w:rsidRPr="002C2F63" w14:paraId="6F9CFC4E" w14:textId="77777777" w:rsidTr="00EB15C0">
        <w:trPr>
          <w:trHeight w:val="747"/>
        </w:trPr>
        <w:tc>
          <w:tcPr>
            <w:tcW w:w="2689" w:type="dxa"/>
          </w:tcPr>
          <w:p w14:paraId="2491C087" w14:textId="77777777" w:rsidR="007202FB" w:rsidRPr="002C2F63" w:rsidRDefault="007202FB" w:rsidP="00EB15C0">
            <w:pPr>
              <w:jc w:val="both"/>
              <w:rPr>
                <w:rFonts w:ascii="Verdana" w:eastAsia="Calibri" w:hAnsi="Verdana" w:cs="Arial"/>
                <w:b/>
                <w:bCs/>
                <w:highlight w:val="cyan"/>
                <w:lang w:val="es-ES_tradnl" w:eastAsia="es-ES_tradnl"/>
              </w:rPr>
            </w:pPr>
          </w:p>
        </w:tc>
        <w:tc>
          <w:tcPr>
            <w:tcW w:w="6100" w:type="dxa"/>
          </w:tcPr>
          <w:p w14:paraId="0693CFF1" w14:textId="3D116A34" w:rsidR="007202FB" w:rsidRPr="002C2F63" w:rsidRDefault="007202FB" w:rsidP="00EB15C0">
            <w:pPr>
              <w:jc w:val="both"/>
              <w:rPr>
                <w:rFonts w:ascii="Verdana" w:eastAsia="Calibri" w:hAnsi="Verdana" w:cs="Arial"/>
                <w:b/>
                <w:bCs/>
                <w:highlight w:val="cyan"/>
                <w:lang w:val="es-ES" w:eastAsia="es-ES"/>
              </w:rPr>
            </w:pPr>
            <w:r w:rsidRPr="002C2F63">
              <w:rPr>
                <w:rFonts w:ascii="Verdana" w:eastAsia="Calibri" w:hAnsi="Verdana" w:cs="Arial"/>
                <w:b/>
                <w:bCs/>
                <w:lang w:val="es-ES" w:eastAsia="es-ES"/>
              </w:rPr>
              <w:t xml:space="preserve">Concepto </w:t>
            </w:r>
            <w:r w:rsidRPr="002C2F63">
              <w:rPr>
                <w:rFonts w:ascii="Verdana" w:eastAsia="Calibri" w:hAnsi="Verdana" w:cs="Arial"/>
                <w:b/>
                <w:bCs/>
                <w:lang w:eastAsia="es-ES"/>
              </w:rPr>
              <w:t>C-</w:t>
            </w:r>
            <w:r w:rsidRPr="002C2F63">
              <w:rPr>
                <w:rFonts w:ascii="Verdana" w:hAnsi="Verdana"/>
              </w:rPr>
              <w:t xml:space="preserve"> </w:t>
            </w:r>
            <w:r w:rsidR="00E44B26" w:rsidRPr="002C2F63">
              <w:rPr>
                <w:rFonts w:ascii="Verdana" w:eastAsia="Calibri" w:hAnsi="Verdana" w:cs="Arial"/>
                <w:b/>
                <w:bCs/>
                <w:lang w:eastAsia="es-ES"/>
              </w:rPr>
              <w:t xml:space="preserve">931 </w:t>
            </w:r>
            <w:r w:rsidRPr="002C2F63">
              <w:rPr>
                <w:rFonts w:ascii="Verdana" w:eastAsia="Calibri" w:hAnsi="Verdana" w:cs="Arial"/>
                <w:b/>
                <w:bCs/>
                <w:lang w:val="es-ES" w:eastAsia="es-ES"/>
              </w:rPr>
              <w:t>de 2024</w:t>
            </w:r>
          </w:p>
        </w:tc>
      </w:tr>
      <w:tr w:rsidR="007202FB" w:rsidRPr="002C2F63" w14:paraId="017762CD" w14:textId="77777777" w:rsidTr="00EB15C0">
        <w:trPr>
          <w:trHeight w:val="884"/>
        </w:trPr>
        <w:tc>
          <w:tcPr>
            <w:tcW w:w="2689" w:type="dxa"/>
            <w:shd w:val="clear" w:color="auto" w:fill="auto"/>
          </w:tcPr>
          <w:p w14:paraId="74883F88" w14:textId="77777777" w:rsidR="007202FB" w:rsidRPr="002C2F63" w:rsidRDefault="007202FB" w:rsidP="00EB15C0">
            <w:pPr>
              <w:jc w:val="both"/>
              <w:rPr>
                <w:rFonts w:ascii="Verdana" w:eastAsia="Calibri" w:hAnsi="Verdana" w:cs="Arial"/>
                <w:b/>
                <w:highlight w:val="cyan"/>
                <w:lang w:val="es-ES_tradnl" w:eastAsia="es-ES_tradnl"/>
              </w:rPr>
            </w:pPr>
            <w:r w:rsidRPr="002C2F63">
              <w:rPr>
                <w:rFonts w:ascii="Verdana" w:eastAsia="Calibri" w:hAnsi="Verdana" w:cs="Arial"/>
                <w:b/>
                <w:lang w:val="es-ES_tradnl" w:eastAsia="es-ES_tradnl"/>
              </w:rPr>
              <w:t xml:space="preserve">Temas:                   </w:t>
            </w:r>
          </w:p>
        </w:tc>
        <w:tc>
          <w:tcPr>
            <w:tcW w:w="6100" w:type="dxa"/>
          </w:tcPr>
          <w:p w14:paraId="0277DA93" w14:textId="74723919" w:rsidR="007202FB" w:rsidRPr="002C2F63" w:rsidRDefault="00BC2BF6" w:rsidP="00EB15C0">
            <w:pPr>
              <w:spacing w:line="276" w:lineRule="auto"/>
              <w:jc w:val="both"/>
              <w:rPr>
                <w:rFonts w:ascii="Verdana" w:eastAsia="Century Gothic" w:hAnsi="Verdana" w:cs="Century Gothic"/>
                <w:bCs/>
              </w:rPr>
            </w:pPr>
            <w:r w:rsidRPr="002C2F63">
              <w:rPr>
                <w:rFonts w:ascii="Verdana" w:eastAsia="Century Gothic" w:hAnsi="Verdana" w:cs="Century Gothic"/>
                <w:bCs/>
              </w:rPr>
              <w:t xml:space="preserve">SOCIEDADES DE ECONOMÍA MIXTA – Naturaleza jurídica – Régimen de contratación </w:t>
            </w:r>
          </w:p>
          <w:p w14:paraId="29FA46B5" w14:textId="6FC8D457" w:rsidR="00BC2BF6" w:rsidRPr="002C2F63" w:rsidRDefault="00BC2BF6" w:rsidP="00EB15C0">
            <w:pPr>
              <w:spacing w:line="276" w:lineRule="auto"/>
              <w:jc w:val="both"/>
              <w:rPr>
                <w:rFonts w:ascii="Verdana" w:eastAsia="Century Gothic" w:hAnsi="Verdana" w:cs="Century Gothic"/>
                <w:bCs/>
                <w:highlight w:val="cyan"/>
              </w:rPr>
            </w:pPr>
          </w:p>
        </w:tc>
      </w:tr>
      <w:tr w:rsidR="007202FB" w:rsidRPr="002C2F63" w14:paraId="55A5000E" w14:textId="77777777" w:rsidTr="0011752B">
        <w:trPr>
          <w:trHeight w:val="388"/>
        </w:trPr>
        <w:tc>
          <w:tcPr>
            <w:tcW w:w="2689" w:type="dxa"/>
            <w:shd w:val="clear" w:color="auto" w:fill="auto"/>
          </w:tcPr>
          <w:p w14:paraId="5C160C2B" w14:textId="77777777" w:rsidR="007202FB" w:rsidRPr="002C2F63" w:rsidRDefault="007202FB" w:rsidP="00EB15C0">
            <w:pPr>
              <w:jc w:val="both"/>
              <w:rPr>
                <w:rFonts w:ascii="Verdana" w:eastAsia="Calibri" w:hAnsi="Verdana" w:cs="Arial"/>
                <w:b/>
                <w:lang w:val="es-ES_tradnl" w:eastAsia="es-ES_tradnl"/>
              </w:rPr>
            </w:pPr>
            <w:r w:rsidRPr="002C2F63">
              <w:rPr>
                <w:rFonts w:ascii="Verdana" w:eastAsia="Calibri" w:hAnsi="Verdana" w:cs="Arial"/>
                <w:b/>
                <w:lang w:val="es-ES_tradnl" w:eastAsia="es-ES_tradnl"/>
              </w:rPr>
              <w:t>Radicación:</w:t>
            </w:r>
            <w:r w:rsidRPr="002C2F63">
              <w:rPr>
                <w:rFonts w:ascii="Verdana" w:eastAsia="Calibri" w:hAnsi="Verdana" w:cs="Arial"/>
                <w:lang w:val="es-ES_tradnl" w:eastAsia="es-ES_tradnl"/>
              </w:rPr>
              <w:t xml:space="preserve">               </w:t>
            </w:r>
          </w:p>
        </w:tc>
        <w:tc>
          <w:tcPr>
            <w:tcW w:w="6100" w:type="dxa"/>
            <w:shd w:val="clear" w:color="auto" w:fill="auto"/>
          </w:tcPr>
          <w:p w14:paraId="54DDA237" w14:textId="29F5E2BC" w:rsidR="007202FB" w:rsidRPr="002C2F63" w:rsidRDefault="007202FB" w:rsidP="00EB15C0">
            <w:pPr>
              <w:jc w:val="both"/>
              <w:rPr>
                <w:rFonts w:ascii="Verdana" w:eastAsia="Calibri" w:hAnsi="Verdana" w:cs="Arial"/>
                <w:lang w:eastAsia="es-ES_tradnl"/>
              </w:rPr>
            </w:pPr>
            <w:r w:rsidRPr="002C2F63">
              <w:rPr>
                <w:rFonts w:ascii="Verdana" w:eastAsia="Calibri" w:hAnsi="Verdana" w:cs="Arial"/>
                <w:lang w:val="es-ES_tradnl" w:eastAsia="es-ES_tradnl"/>
              </w:rPr>
              <w:t xml:space="preserve">Respuesta a consulta con radicado No. </w:t>
            </w:r>
            <w:r w:rsidR="0011752B" w:rsidRPr="002C2F63">
              <w:rPr>
                <w:rFonts w:ascii="Verdana" w:eastAsia="Calibri" w:hAnsi="Verdana" w:cs="Arial"/>
                <w:lang w:eastAsia="es-ES_tradnl"/>
              </w:rPr>
              <w:t>P20241126011878</w:t>
            </w:r>
            <w:r w:rsidRPr="002C2F63">
              <w:rPr>
                <w:rFonts w:ascii="Verdana" w:eastAsia="Calibri" w:hAnsi="Verdana" w:cs="Arial"/>
                <w:lang w:eastAsia="es-ES_tradnl"/>
              </w:rPr>
              <w:t>.</w:t>
            </w:r>
          </w:p>
        </w:tc>
      </w:tr>
    </w:tbl>
    <w:p w14:paraId="35FFFE64" w14:textId="77777777" w:rsidR="007202FB" w:rsidRPr="002C2F63" w:rsidRDefault="007202FB" w:rsidP="007202FB">
      <w:pPr>
        <w:spacing w:after="0" w:line="240" w:lineRule="auto"/>
        <w:jc w:val="both"/>
        <w:rPr>
          <w:rFonts w:ascii="Verdana" w:eastAsia="Calibri" w:hAnsi="Verdana" w:cs="Arial"/>
          <w:highlight w:val="cyan"/>
          <w:lang w:val="es-ES_tradnl" w:eastAsia="es-ES_tradnl"/>
        </w:rPr>
      </w:pPr>
    </w:p>
    <w:p w14:paraId="38CF0BFC" w14:textId="77777777" w:rsidR="007202FB" w:rsidRPr="002C2F63" w:rsidRDefault="007202FB" w:rsidP="007202FB">
      <w:pPr>
        <w:spacing w:after="0" w:line="240" w:lineRule="auto"/>
        <w:jc w:val="both"/>
        <w:rPr>
          <w:rFonts w:ascii="Verdana" w:eastAsia="Calibri" w:hAnsi="Verdana" w:cs="Arial"/>
          <w:highlight w:val="cyan"/>
          <w:lang w:val="es-ES_tradnl" w:eastAsia="es-ES_tradnl"/>
        </w:rPr>
      </w:pPr>
    </w:p>
    <w:p w14:paraId="7A0B8B39" w14:textId="00FA19B7" w:rsidR="007202FB" w:rsidRPr="002C2F63" w:rsidRDefault="007202FB" w:rsidP="007202FB">
      <w:pPr>
        <w:spacing w:after="0" w:line="276" w:lineRule="auto"/>
        <w:jc w:val="both"/>
        <w:rPr>
          <w:rFonts w:ascii="Verdana" w:eastAsia="Calibri" w:hAnsi="Verdana" w:cs="Arial"/>
          <w:lang w:val="es-ES" w:eastAsia="es-ES"/>
        </w:rPr>
      </w:pPr>
      <w:r w:rsidRPr="002C2F63">
        <w:rPr>
          <w:rFonts w:ascii="Verdana" w:eastAsia="Calibri" w:hAnsi="Verdana" w:cs="Arial"/>
          <w:lang w:val="es-ES" w:eastAsia="es-ES"/>
        </w:rPr>
        <w:t>Estimad</w:t>
      </w:r>
      <w:r w:rsidR="00252DAC" w:rsidRPr="002C2F63">
        <w:rPr>
          <w:rFonts w:ascii="Verdana" w:eastAsia="Calibri" w:hAnsi="Verdana" w:cs="Arial"/>
          <w:lang w:val="es-ES" w:eastAsia="es-ES"/>
        </w:rPr>
        <w:t>a</w:t>
      </w:r>
      <w:r w:rsidRPr="002C2F63">
        <w:rPr>
          <w:rFonts w:ascii="Verdana" w:eastAsia="Calibri" w:hAnsi="Verdana" w:cs="Arial"/>
          <w:lang w:val="es-ES" w:eastAsia="es-ES"/>
        </w:rPr>
        <w:t xml:space="preserve"> señor</w:t>
      </w:r>
      <w:r w:rsidR="00252DAC" w:rsidRPr="002C2F63">
        <w:rPr>
          <w:rFonts w:ascii="Verdana" w:eastAsia="Calibri" w:hAnsi="Verdana" w:cs="Arial"/>
          <w:lang w:val="es-ES" w:eastAsia="es-ES"/>
        </w:rPr>
        <w:t>a</w:t>
      </w:r>
      <w:r w:rsidRPr="002C2F63">
        <w:rPr>
          <w:rFonts w:ascii="Verdana" w:eastAsia="Calibri" w:hAnsi="Verdana" w:cs="Arial"/>
          <w:lang w:val="es-ES" w:eastAsia="es-ES"/>
        </w:rPr>
        <w:t xml:space="preserve"> </w:t>
      </w:r>
      <w:r w:rsidR="00252DAC" w:rsidRPr="002C2F63">
        <w:rPr>
          <w:rFonts w:ascii="Verdana" w:eastAsia="Calibri" w:hAnsi="Verdana" w:cs="Arial"/>
          <w:lang w:val="es-ES" w:eastAsia="es-ES"/>
        </w:rPr>
        <w:t>Flórez</w:t>
      </w:r>
      <w:r w:rsidRPr="002C2F63">
        <w:rPr>
          <w:rFonts w:ascii="Verdana" w:eastAsia="Calibri" w:hAnsi="Verdana" w:cs="Arial"/>
          <w:lang w:val="es-ES" w:eastAsia="es-ES"/>
        </w:rPr>
        <w:t>;</w:t>
      </w:r>
    </w:p>
    <w:p w14:paraId="27E91141" w14:textId="77777777" w:rsidR="007202FB" w:rsidRPr="002C2F63" w:rsidRDefault="007202FB" w:rsidP="007202FB">
      <w:pPr>
        <w:tabs>
          <w:tab w:val="left" w:pos="3768"/>
        </w:tabs>
        <w:spacing w:after="0" w:line="276" w:lineRule="auto"/>
        <w:jc w:val="both"/>
        <w:rPr>
          <w:rFonts w:ascii="Verdana" w:eastAsia="Calibri" w:hAnsi="Verdana" w:cs="Arial"/>
          <w:highlight w:val="cyan"/>
          <w:lang w:val="es-ES" w:eastAsia="es-ES"/>
        </w:rPr>
      </w:pPr>
    </w:p>
    <w:p w14:paraId="3347B4B8" w14:textId="6E482415" w:rsidR="007202FB" w:rsidRPr="002C2F63" w:rsidRDefault="007202FB" w:rsidP="007202FB">
      <w:pPr>
        <w:spacing w:after="0" w:line="276" w:lineRule="auto"/>
        <w:jc w:val="both"/>
        <w:rPr>
          <w:rFonts w:ascii="Verdana" w:eastAsia="Calibri" w:hAnsi="Verdana" w:cs="Arial"/>
          <w:lang w:val="es-ES" w:eastAsia="es-ES"/>
        </w:rPr>
      </w:pPr>
      <w:r w:rsidRPr="002C2F63">
        <w:rPr>
          <w:rFonts w:ascii="Verdana" w:eastAsia="Calibri" w:hAnsi="Verdana" w:cs="Arial"/>
          <w:lang w:val="es-ES" w:eastAsia="es-ES"/>
        </w:rPr>
        <w:t>En ejercicio de la competencia otorgada por los artículos 3, numeral 5º, y 11, numeral 8º, del Decreto Ley 4170 de 2011,</w:t>
      </w:r>
      <w:r w:rsidRPr="002C2F63">
        <w:rPr>
          <w:rFonts w:ascii="Verdana" w:eastAsia="Arial MT" w:hAnsi="Verdana" w:cs="Arial MT"/>
          <w:lang w:val="es-ES" w:eastAsia="es-ES"/>
        </w:rPr>
        <w:t xml:space="preserve"> </w:t>
      </w:r>
      <w:r w:rsidRPr="002C2F63">
        <w:rPr>
          <w:rFonts w:ascii="Verdana" w:hAnsi="Verdana" w:cs="Arial"/>
        </w:rPr>
        <w:t xml:space="preserve">así como lo establecido en el artículo 4 de la Resolución 1707 de 2018 expedida por esta Entidad, </w:t>
      </w:r>
      <w:r w:rsidRPr="002C2F63">
        <w:rPr>
          <w:rFonts w:ascii="Verdana" w:eastAsia="Calibri" w:hAnsi="Verdana" w:cs="Arial"/>
          <w:lang w:val="es-ES" w:eastAsia="es-ES"/>
        </w:rPr>
        <w:t xml:space="preserve">la Agencia Nacional de Contratación Pública – Colombia Compra Eficiente– responde su solicitud de consulta de fecha </w:t>
      </w:r>
      <w:r w:rsidR="00E21B43" w:rsidRPr="002C2F63">
        <w:rPr>
          <w:rFonts w:ascii="Verdana" w:eastAsia="Calibri" w:hAnsi="Verdana" w:cs="Arial"/>
          <w:lang w:val="es-ES" w:eastAsia="es-ES"/>
        </w:rPr>
        <w:t>25 de octubre del 2024, trasladada por función pública el 25 de noviembre del 2024</w:t>
      </w:r>
      <w:r w:rsidRPr="002C2F63">
        <w:rPr>
          <w:rFonts w:ascii="Verdana" w:eastAsia="Calibri" w:hAnsi="Verdana" w:cs="Arial"/>
          <w:lang w:val="es-ES" w:eastAsia="es-ES"/>
        </w:rPr>
        <w:t xml:space="preserve">, en la cual manifiesta lo siguiente: </w:t>
      </w:r>
    </w:p>
    <w:p w14:paraId="60ECC2F8" w14:textId="77777777" w:rsidR="007202FB" w:rsidRPr="002C2F63" w:rsidRDefault="007202FB" w:rsidP="007202FB">
      <w:pPr>
        <w:spacing w:after="0"/>
        <w:jc w:val="both"/>
        <w:rPr>
          <w:rFonts w:ascii="Verdana" w:hAnsi="Verdana"/>
          <w:highlight w:val="cyan"/>
          <w:lang w:val="es-ES"/>
        </w:rPr>
      </w:pPr>
    </w:p>
    <w:p w14:paraId="760092E9" w14:textId="4B082220" w:rsidR="007202FB" w:rsidRPr="002C2F63" w:rsidRDefault="007202FB" w:rsidP="007202FB">
      <w:pPr>
        <w:spacing w:after="0" w:line="240" w:lineRule="auto"/>
        <w:ind w:left="709" w:right="709"/>
        <w:jc w:val="both"/>
        <w:rPr>
          <w:rFonts w:ascii="Verdana" w:eastAsia="Century Gothic" w:hAnsi="Verdana" w:cs="Century Gothic"/>
          <w:sz w:val="20"/>
          <w:szCs w:val="20"/>
          <w:lang w:val="es-ES"/>
        </w:rPr>
      </w:pPr>
      <w:r w:rsidRPr="002C2F63">
        <w:rPr>
          <w:rFonts w:ascii="Verdana" w:eastAsia="Century Gothic" w:hAnsi="Verdana" w:cs="Century Gothic"/>
          <w:sz w:val="20"/>
          <w:szCs w:val="20"/>
          <w:lang w:val="es-ES"/>
        </w:rPr>
        <w:t xml:space="preserve">“[…] </w:t>
      </w:r>
      <w:r w:rsidR="00FE0F5B" w:rsidRPr="002C2F63">
        <w:rPr>
          <w:rFonts w:ascii="Verdana" w:eastAsia="Century Gothic" w:hAnsi="Verdana" w:cs="Century Gothic"/>
          <w:sz w:val="20"/>
          <w:szCs w:val="20"/>
          <w:lang w:val="es-ES"/>
        </w:rPr>
        <w:t>cuál es el régimen contractual que aplica a la empresa de economía mixta</w:t>
      </w:r>
      <w:r w:rsidRPr="002C2F63">
        <w:rPr>
          <w:rFonts w:ascii="Verdana" w:eastAsia="Century Gothic" w:hAnsi="Verdana" w:cs="Century Gothic"/>
          <w:sz w:val="20"/>
          <w:szCs w:val="20"/>
          <w:lang w:val="es-ES"/>
        </w:rPr>
        <w:t xml:space="preserve"> […]”</w:t>
      </w:r>
    </w:p>
    <w:p w14:paraId="0F10E74A" w14:textId="77777777" w:rsidR="007202FB" w:rsidRPr="002C2F63" w:rsidRDefault="007202FB" w:rsidP="007202FB">
      <w:pPr>
        <w:spacing w:after="0"/>
        <w:jc w:val="both"/>
        <w:rPr>
          <w:rFonts w:ascii="Verdana" w:hAnsi="Verdana"/>
          <w:highlight w:val="cyan"/>
          <w:lang w:val="es-ES"/>
        </w:rPr>
      </w:pPr>
    </w:p>
    <w:p w14:paraId="1685B211" w14:textId="77777777" w:rsidR="007202FB" w:rsidRPr="002C2F63" w:rsidRDefault="007202FB" w:rsidP="007202FB">
      <w:pPr>
        <w:spacing w:after="120" w:line="276" w:lineRule="auto"/>
        <w:ind w:firstLine="709"/>
        <w:jc w:val="both"/>
        <w:rPr>
          <w:rFonts w:ascii="Verdana" w:eastAsia="Calibri" w:hAnsi="Verdana" w:cs="Arial"/>
          <w:color w:val="000000"/>
          <w:lang w:val="es-ES_tradnl" w:eastAsia="es-ES_tradnl"/>
        </w:rPr>
      </w:pPr>
      <w:r w:rsidRPr="002C2F63">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w:t>
      </w:r>
      <w:r w:rsidRPr="002C2F63">
        <w:rPr>
          <w:rFonts w:ascii="Verdana" w:eastAsia="Calibri" w:hAnsi="Verdana" w:cs="Arial"/>
          <w:color w:val="000000"/>
          <w:lang w:val="es-ES" w:eastAsia="es-ES"/>
        </w:rPr>
        <w:lastRenderedPageBreak/>
        <w:t>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220CE1C9" w14:textId="77777777" w:rsidR="007202FB" w:rsidRPr="002C2F63" w:rsidRDefault="007202FB" w:rsidP="007202FB">
      <w:pPr>
        <w:spacing w:after="0" w:line="276" w:lineRule="auto"/>
        <w:ind w:firstLine="709"/>
        <w:jc w:val="both"/>
        <w:rPr>
          <w:rFonts w:ascii="Verdana" w:eastAsia="Calibri" w:hAnsi="Verdana" w:cs="Arial"/>
          <w:color w:val="000000"/>
          <w:lang w:val="es-ES" w:eastAsia="es-ES"/>
        </w:rPr>
      </w:pPr>
      <w:r w:rsidRPr="002C2F63">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33EAAEB" w14:textId="77777777" w:rsidR="007202FB" w:rsidRPr="002C2F63" w:rsidRDefault="007202FB" w:rsidP="007202FB">
      <w:pPr>
        <w:spacing w:after="0"/>
        <w:jc w:val="both"/>
        <w:rPr>
          <w:rFonts w:ascii="Verdana" w:hAnsi="Verdana"/>
          <w:highlight w:val="cyan"/>
          <w:lang w:val="es-ES"/>
        </w:rPr>
      </w:pPr>
    </w:p>
    <w:p w14:paraId="762FDD79" w14:textId="77777777" w:rsidR="007202FB" w:rsidRPr="002C2F63" w:rsidRDefault="007202FB" w:rsidP="007202F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C2F63">
        <w:rPr>
          <w:rFonts w:ascii="Verdana" w:eastAsia="Century Gothic" w:hAnsi="Verdana" w:cs="Century Gothic"/>
          <w:b/>
          <w:bCs/>
        </w:rPr>
        <w:t>Problema planteado:</w:t>
      </w:r>
    </w:p>
    <w:p w14:paraId="25505E93" w14:textId="77777777" w:rsidR="007202FB" w:rsidRPr="002C2F63" w:rsidRDefault="007202FB" w:rsidP="007202FB">
      <w:pPr>
        <w:tabs>
          <w:tab w:val="left" w:pos="426"/>
        </w:tabs>
        <w:spacing w:after="0" w:line="276" w:lineRule="auto"/>
        <w:jc w:val="both"/>
        <w:rPr>
          <w:rFonts w:ascii="Verdana" w:eastAsia="Century Gothic" w:hAnsi="Verdana" w:cs="Century Gothic"/>
          <w:highlight w:val="cyan"/>
          <w:lang w:val="es-ES"/>
        </w:rPr>
      </w:pPr>
    </w:p>
    <w:p w14:paraId="1748EB5F" w14:textId="19AF1EBA" w:rsidR="007202FB" w:rsidRPr="002C2F63" w:rsidRDefault="007202FB" w:rsidP="007202FB">
      <w:pPr>
        <w:spacing w:after="0" w:line="276" w:lineRule="auto"/>
        <w:jc w:val="both"/>
        <w:rPr>
          <w:rFonts w:ascii="Verdana" w:eastAsia="Century Gothic" w:hAnsi="Verdana" w:cs="Century Gothic"/>
        </w:rPr>
      </w:pPr>
      <w:r w:rsidRPr="002C2F63">
        <w:rPr>
          <w:rFonts w:ascii="Verdana" w:eastAsia="Century Gothic" w:hAnsi="Verdana" w:cs="Century Gothic"/>
        </w:rPr>
        <w:t xml:space="preserve">De acuerdo con el contenido de su solicitud, esta Agencia resolverá el siguiente problema jurídico: </w:t>
      </w:r>
      <w:r w:rsidR="00C205D2" w:rsidRPr="002C2F63">
        <w:rPr>
          <w:rFonts w:ascii="Verdana" w:eastAsia="Century Gothic" w:hAnsi="Verdana" w:cs="Century Gothic"/>
        </w:rPr>
        <w:t>¿Cuál</w:t>
      </w:r>
      <w:r w:rsidR="00C205D2" w:rsidRPr="002C2F63">
        <w:rPr>
          <w:rFonts w:ascii="Verdana" w:hAnsi="Verdana"/>
        </w:rPr>
        <w:t xml:space="preserve"> es el régimen </w:t>
      </w:r>
      <w:r w:rsidR="00BB1497" w:rsidRPr="002C2F63">
        <w:rPr>
          <w:rFonts w:ascii="Verdana" w:hAnsi="Verdana"/>
        </w:rPr>
        <w:t>de contratación</w:t>
      </w:r>
      <w:r w:rsidR="00C205D2" w:rsidRPr="002C2F63">
        <w:rPr>
          <w:rFonts w:ascii="Verdana" w:hAnsi="Verdana"/>
        </w:rPr>
        <w:t xml:space="preserve"> de las </w:t>
      </w:r>
      <w:r w:rsidR="00A26FFB" w:rsidRPr="002C2F63">
        <w:rPr>
          <w:rFonts w:ascii="Verdana" w:hAnsi="Verdana"/>
        </w:rPr>
        <w:t>sociedades de economía mixta</w:t>
      </w:r>
      <w:r w:rsidRPr="002C2F63">
        <w:rPr>
          <w:rFonts w:ascii="Verdana" w:eastAsia="Century Gothic" w:hAnsi="Verdana" w:cs="Century Gothic"/>
        </w:rPr>
        <w:t>?</w:t>
      </w:r>
    </w:p>
    <w:p w14:paraId="71450DB7" w14:textId="77777777" w:rsidR="00322A85" w:rsidRPr="002C2F63" w:rsidRDefault="00322A85" w:rsidP="00E245AB">
      <w:pPr>
        <w:spacing w:after="0"/>
        <w:jc w:val="both"/>
        <w:rPr>
          <w:rStyle w:val="Hipervnculo"/>
          <w:rFonts w:ascii="Verdana" w:hAnsi="Verdana"/>
        </w:rPr>
      </w:pPr>
    </w:p>
    <w:p w14:paraId="08C48D1E" w14:textId="77777777" w:rsidR="00443A14" w:rsidRPr="002C2F63" w:rsidRDefault="00443A14" w:rsidP="00443A1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C2F63">
        <w:rPr>
          <w:rFonts w:ascii="Verdana" w:eastAsia="Century Gothic" w:hAnsi="Verdana" w:cs="Century Gothic"/>
          <w:b/>
          <w:bCs/>
        </w:rPr>
        <w:t>Respuesta:</w:t>
      </w:r>
    </w:p>
    <w:p w14:paraId="776665E7" w14:textId="77777777" w:rsidR="00443A14" w:rsidRPr="002C2F63" w:rsidRDefault="00443A14" w:rsidP="00443A14">
      <w:pPr>
        <w:spacing w:after="0"/>
        <w:jc w:val="both"/>
        <w:rPr>
          <w:rFonts w:ascii="Verdana" w:hAnsi="Verdana"/>
          <w:highlight w:val="cyan"/>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43A14" w:rsidRPr="002C2F63" w14:paraId="768E9806" w14:textId="77777777" w:rsidTr="00EB15C0">
        <w:trPr>
          <w:trHeight w:val="512"/>
        </w:trPr>
        <w:tc>
          <w:tcPr>
            <w:tcW w:w="8828" w:type="dxa"/>
            <w:shd w:val="clear" w:color="auto" w:fill="auto"/>
          </w:tcPr>
          <w:p w14:paraId="2E603CFD" w14:textId="77777777" w:rsidR="00443A14" w:rsidRPr="002C2F63" w:rsidRDefault="00443A14" w:rsidP="00EB15C0">
            <w:pPr>
              <w:spacing w:after="120" w:line="276" w:lineRule="auto"/>
              <w:jc w:val="both"/>
              <w:rPr>
                <w:rFonts w:ascii="Verdana" w:eastAsia="Calibri" w:hAnsi="Verdana" w:cs="Arial"/>
                <w:lang w:val="es-ES"/>
              </w:rPr>
            </w:pPr>
            <w:r w:rsidRPr="002C2F63">
              <w:rPr>
                <w:rFonts w:ascii="Verdana" w:eastAsia="Calibri" w:hAnsi="Verdana" w:cs="Arial"/>
                <w:lang w:val="es-ES"/>
              </w:rPr>
              <w:t>En respuesta al problema planteado esta Subdirección manifiesta:</w:t>
            </w:r>
          </w:p>
          <w:p w14:paraId="58E63EEE" w14:textId="77777777" w:rsidR="00810A7C" w:rsidRPr="002C2F63" w:rsidRDefault="006F5234" w:rsidP="00810A7C">
            <w:pPr>
              <w:spacing w:after="120" w:line="276" w:lineRule="auto"/>
              <w:jc w:val="both"/>
              <w:rPr>
                <w:rFonts w:ascii="Verdana" w:eastAsia="Aptos" w:hAnsi="Verdana" w:cs="Arial"/>
                <w:lang w:eastAsia="es-MX"/>
              </w:rPr>
            </w:pPr>
            <w:r w:rsidRPr="002C2F63">
              <w:rPr>
                <w:rFonts w:ascii="Verdana" w:eastAsia="Aptos" w:hAnsi="Verdana" w:cs="Arial"/>
                <w:lang w:eastAsia="es-MX"/>
              </w:rPr>
              <w:t>En primer lugar debe indicarse que l</w:t>
            </w:r>
            <w:r w:rsidR="00EE0345" w:rsidRPr="002C2F63">
              <w:rPr>
                <w:rFonts w:ascii="Verdana" w:eastAsia="Aptos" w:hAnsi="Verdana" w:cs="Arial"/>
                <w:lang w:eastAsia="es-MX"/>
              </w:rPr>
              <w:t>as sociedades de economía mixta en las que el Estado tenga participación superior al cincuenta por ciento (50%) y sus filiales que cuenten con participación mayoritaria del Estado superior al cincuenta por ciento (50%) estarán sometidas al E</w:t>
            </w:r>
            <w:r w:rsidRPr="002C2F63">
              <w:rPr>
                <w:rFonts w:ascii="Verdana" w:eastAsia="Aptos" w:hAnsi="Verdana" w:cs="Arial"/>
                <w:lang w:eastAsia="es-MX"/>
              </w:rPr>
              <w:t xml:space="preserve">statuto </w:t>
            </w:r>
            <w:r w:rsidR="00EE0345" w:rsidRPr="002C2F63">
              <w:rPr>
                <w:rFonts w:ascii="Verdana" w:eastAsia="Aptos" w:hAnsi="Verdana" w:cs="Arial"/>
                <w:lang w:eastAsia="es-MX"/>
              </w:rPr>
              <w:t>G</w:t>
            </w:r>
            <w:r w:rsidRPr="002C2F63">
              <w:rPr>
                <w:rFonts w:ascii="Verdana" w:eastAsia="Aptos" w:hAnsi="Verdana" w:cs="Arial"/>
                <w:lang w:eastAsia="es-MX"/>
              </w:rPr>
              <w:t xml:space="preserve">eneral de Contratación de la </w:t>
            </w:r>
            <w:r w:rsidR="00EE0345" w:rsidRPr="002C2F63">
              <w:rPr>
                <w:rFonts w:ascii="Verdana" w:eastAsia="Aptos" w:hAnsi="Verdana" w:cs="Arial"/>
                <w:lang w:eastAsia="es-MX"/>
              </w:rPr>
              <w:t>A</w:t>
            </w:r>
            <w:r w:rsidRPr="002C2F63">
              <w:rPr>
                <w:rFonts w:ascii="Verdana" w:eastAsia="Aptos" w:hAnsi="Verdana" w:cs="Arial"/>
                <w:lang w:eastAsia="es-MX"/>
              </w:rPr>
              <w:t xml:space="preserve">dministración </w:t>
            </w:r>
            <w:r w:rsidR="00EE0345" w:rsidRPr="002C2F63">
              <w:rPr>
                <w:rFonts w:ascii="Verdana" w:eastAsia="Aptos" w:hAnsi="Verdana" w:cs="Arial"/>
                <w:lang w:eastAsia="es-MX"/>
              </w:rPr>
              <w:t>P</w:t>
            </w:r>
            <w:r w:rsidRPr="002C2F63">
              <w:rPr>
                <w:rFonts w:ascii="Verdana" w:eastAsia="Aptos" w:hAnsi="Verdana" w:cs="Arial"/>
                <w:lang w:eastAsia="es-MX"/>
              </w:rPr>
              <w:t>ública</w:t>
            </w:r>
            <w:r w:rsidR="00EE0345" w:rsidRPr="002C2F63">
              <w:rPr>
                <w:rFonts w:ascii="Verdana" w:eastAsia="Aptos" w:hAnsi="Verdana" w:cs="Arial"/>
                <w:lang w:eastAsia="es-MX"/>
              </w:rPr>
              <w:t>,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w:t>
            </w:r>
            <w:r w:rsidR="00961E4E" w:rsidRPr="002C2F63">
              <w:rPr>
                <w:rFonts w:ascii="Verdana" w:eastAsia="Aptos" w:hAnsi="Verdana" w:cs="Arial"/>
                <w:lang w:eastAsia="es-MX"/>
              </w:rPr>
              <w:t xml:space="preserve">. </w:t>
            </w:r>
          </w:p>
          <w:p w14:paraId="3E70558B" w14:textId="34272621" w:rsidR="00961E4E" w:rsidRPr="002C2F63" w:rsidRDefault="00961E4E" w:rsidP="00EB15C0">
            <w:pPr>
              <w:spacing w:after="120" w:line="276" w:lineRule="auto"/>
              <w:jc w:val="both"/>
              <w:rPr>
                <w:rFonts w:ascii="Verdana" w:eastAsia="Aptos" w:hAnsi="Verdana" w:cs="Arial"/>
                <w:lang w:eastAsia="es-MX"/>
              </w:rPr>
            </w:pPr>
            <w:r w:rsidRPr="002C2F63">
              <w:rPr>
                <w:rFonts w:ascii="Verdana" w:hAnsi="Verdana" w:cs="Arial"/>
                <w:iCs/>
                <w:lang w:val="es-ES"/>
              </w:rPr>
              <w:t xml:space="preserve">Ahora bien, tratándose </w:t>
            </w:r>
            <w:r w:rsidR="00810A7C" w:rsidRPr="002C2F63">
              <w:rPr>
                <w:rFonts w:ascii="Verdana" w:eastAsia="Aptos" w:hAnsi="Verdana" w:cs="Arial"/>
                <w:lang w:eastAsia="es-MX"/>
              </w:rPr>
              <w:t>de sociedades de economía mixta en las que el Estado tenga una participación menor al cincuenta por ciento (50%) se regirán por las disposiciones legales y reglamentarias aplicables a sus actividades económicas y comerciales, lo que implica acudir usualmente al derecho privado.</w:t>
            </w:r>
          </w:p>
        </w:tc>
      </w:tr>
    </w:tbl>
    <w:p w14:paraId="576B18E9" w14:textId="77777777" w:rsidR="00443A14" w:rsidRPr="002C2F63" w:rsidRDefault="00443A14" w:rsidP="00443A14">
      <w:pPr>
        <w:spacing w:after="0"/>
        <w:jc w:val="both"/>
        <w:rPr>
          <w:rFonts w:ascii="Verdana" w:hAnsi="Verdana"/>
          <w:highlight w:val="cyan"/>
        </w:rPr>
      </w:pPr>
    </w:p>
    <w:p w14:paraId="42A790DD" w14:textId="77777777" w:rsidR="00443A14" w:rsidRPr="002C2F63" w:rsidRDefault="00443A14" w:rsidP="00443A1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C2F63">
        <w:rPr>
          <w:rFonts w:ascii="Verdana" w:eastAsia="Century Gothic" w:hAnsi="Verdana" w:cs="Century Gothic"/>
          <w:b/>
          <w:bCs/>
        </w:rPr>
        <w:lastRenderedPageBreak/>
        <w:t>Razones de la respuesta:</w:t>
      </w:r>
    </w:p>
    <w:p w14:paraId="316D4F8B" w14:textId="77777777" w:rsidR="00443A14" w:rsidRPr="002C2F63" w:rsidRDefault="00443A14" w:rsidP="00443A14">
      <w:pPr>
        <w:spacing w:after="0" w:line="276" w:lineRule="auto"/>
        <w:jc w:val="both"/>
        <w:rPr>
          <w:rFonts w:ascii="Verdana" w:eastAsia="Calibri" w:hAnsi="Verdana" w:cs="Arial"/>
          <w:color w:val="7030A0"/>
          <w:lang w:val="es-ES"/>
        </w:rPr>
      </w:pPr>
    </w:p>
    <w:p w14:paraId="4991587E" w14:textId="77777777" w:rsidR="00443A14" w:rsidRPr="002C2F63" w:rsidRDefault="00443A14" w:rsidP="00443A14">
      <w:pPr>
        <w:spacing w:after="0"/>
        <w:jc w:val="both"/>
        <w:rPr>
          <w:rFonts w:ascii="Verdana" w:eastAsia="Calibri" w:hAnsi="Verdana" w:cs="Arial"/>
          <w:lang w:val="es-ES"/>
        </w:rPr>
      </w:pPr>
      <w:r w:rsidRPr="002C2F63">
        <w:rPr>
          <w:rFonts w:ascii="Verdana" w:eastAsia="Calibri" w:hAnsi="Verdana" w:cs="Arial"/>
          <w:lang w:val="es-ES"/>
        </w:rPr>
        <w:t>Lo anterior respuesta se sustenta en las siguientes consideraciones:</w:t>
      </w:r>
    </w:p>
    <w:p w14:paraId="599C4D8D" w14:textId="77777777" w:rsidR="003D73A9" w:rsidRPr="002C2F63" w:rsidRDefault="003D73A9" w:rsidP="00443A14">
      <w:pPr>
        <w:spacing w:after="0"/>
        <w:jc w:val="both"/>
        <w:rPr>
          <w:rFonts w:ascii="Verdana" w:eastAsia="Calibri" w:hAnsi="Verdana" w:cs="Arial"/>
          <w:lang w:val="es-ES"/>
        </w:rPr>
      </w:pPr>
    </w:p>
    <w:p w14:paraId="55E96A16" w14:textId="77777777" w:rsidR="00087192" w:rsidRPr="002C2F63" w:rsidRDefault="003D73A9" w:rsidP="00087192">
      <w:pPr>
        <w:pStyle w:val="Prrafodelista"/>
        <w:numPr>
          <w:ilvl w:val="0"/>
          <w:numId w:val="18"/>
        </w:numPr>
        <w:spacing w:line="276" w:lineRule="auto"/>
        <w:jc w:val="both"/>
        <w:rPr>
          <w:rFonts w:ascii="Verdana" w:eastAsia="Aptos" w:hAnsi="Verdana" w:cs="Arial"/>
          <w:lang w:val="es-ES_tradnl" w:eastAsia="es-MX"/>
        </w:rPr>
      </w:pPr>
      <w:r w:rsidRPr="002C2F63">
        <w:rPr>
          <w:rFonts w:ascii="Verdana" w:eastAsia="Calibri" w:hAnsi="Verdana" w:cs="Arial"/>
          <w:shd w:val="clear" w:color="auto" w:fill="FFFFFF"/>
        </w:rPr>
        <w:t>De manera preliminar es pertinente indicar, que el artículo 97 de la Ley 489 de 1998 define a las sociedades de economía mixta como organismos autorizados por la ley, constituidos como sociedades comerciales, con aportes de capital público y privado, que desarrollan actividades de naturaleza industrial o comercial conforme a las reglas del derecho privado, salvo las excepciones que consagra la ley. De esta forma, los artículos 3</w:t>
      </w:r>
      <w:r w:rsidRPr="002C2F63">
        <w:rPr>
          <w:rFonts w:ascii="Verdana" w:eastAsia="Calibri" w:hAnsi="Verdana" w:cs="Arial"/>
          <w:color w:val="000000"/>
          <w:lang w:val="es-MX"/>
        </w:rPr>
        <w:t>8 y 68 ibidem</w:t>
      </w:r>
      <w:r w:rsidRPr="002C2F63">
        <w:rPr>
          <w:rFonts w:ascii="Verdana" w:eastAsia="Calibri" w:hAnsi="Verdana" w:cs="Arial"/>
          <w:i/>
          <w:iCs/>
          <w:color w:val="000000"/>
          <w:lang w:val="es-MX"/>
        </w:rPr>
        <w:t xml:space="preserve">, </w:t>
      </w:r>
      <w:r w:rsidRPr="002C2F63">
        <w:rPr>
          <w:rFonts w:ascii="Verdana" w:eastAsia="Calibri" w:hAnsi="Verdana" w:cs="Arial"/>
          <w:color w:val="000000"/>
          <w:lang w:val="es-MX"/>
        </w:rPr>
        <w:t>clasifican a las sociedades de economía mixta como entidades descentralizadas por servicios, con personería jurídica, autonomía administrativa y patrimonio propio</w:t>
      </w:r>
      <w:r w:rsidRPr="002C2F63">
        <w:rPr>
          <w:rFonts w:ascii="Verdana" w:eastAsia="Aptos" w:hAnsi="Verdana" w:cs="Times New Roman"/>
          <w:vertAlign w:val="superscript"/>
          <w:lang w:val="es-ES_tradnl" w:eastAsia="es-MX"/>
        </w:rPr>
        <w:footnoteReference w:id="2"/>
      </w:r>
      <w:r w:rsidRPr="002C2F63">
        <w:rPr>
          <w:rFonts w:ascii="Verdana" w:eastAsia="Aptos" w:hAnsi="Verdana" w:cs="Arial"/>
          <w:lang w:val="es-ES_tradnl" w:eastAsia="es-MX"/>
        </w:rPr>
        <w:t>, que pueden ser del orden nacional, departamental o municipal, según su órgano de creación</w:t>
      </w:r>
      <w:r w:rsidRPr="002C2F63">
        <w:rPr>
          <w:rFonts w:ascii="Verdana" w:eastAsia="Aptos" w:hAnsi="Verdana" w:cs="Times New Roman"/>
          <w:vertAlign w:val="superscript"/>
          <w:lang w:val="es-ES_tradnl" w:eastAsia="es-MX"/>
        </w:rPr>
        <w:footnoteReference w:id="3"/>
      </w:r>
      <w:r w:rsidRPr="002C2F63">
        <w:rPr>
          <w:rFonts w:ascii="Verdana" w:eastAsia="Aptos" w:hAnsi="Verdana" w:cs="Arial"/>
          <w:lang w:val="es-ES_tradnl" w:eastAsia="es-MX"/>
        </w:rPr>
        <w:t>.</w:t>
      </w:r>
    </w:p>
    <w:p w14:paraId="330B882E" w14:textId="77777777" w:rsidR="00087192" w:rsidRPr="002C2F63" w:rsidRDefault="00087192" w:rsidP="00087192">
      <w:pPr>
        <w:pStyle w:val="Prrafodelista"/>
        <w:spacing w:line="276" w:lineRule="auto"/>
        <w:ind w:left="360"/>
        <w:jc w:val="both"/>
        <w:rPr>
          <w:rFonts w:ascii="Verdana" w:eastAsia="Aptos" w:hAnsi="Verdana" w:cs="Arial"/>
          <w:lang w:val="es-ES_tradnl" w:eastAsia="es-MX"/>
        </w:rPr>
      </w:pPr>
    </w:p>
    <w:p w14:paraId="1538C1FA" w14:textId="7007A4D9" w:rsidR="00AD7236" w:rsidRPr="002C2F63" w:rsidRDefault="00087192" w:rsidP="00AD7236">
      <w:pPr>
        <w:pStyle w:val="Prrafodelista"/>
        <w:numPr>
          <w:ilvl w:val="0"/>
          <w:numId w:val="18"/>
        </w:numPr>
        <w:spacing w:line="276" w:lineRule="auto"/>
        <w:jc w:val="both"/>
        <w:rPr>
          <w:rFonts w:ascii="Verdana" w:eastAsia="Aptos" w:hAnsi="Verdana" w:cs="Arial"/>
          <w:lang w:val="es-ES_tradnl" w:eastAsia="es-MX"/>
        </w:rPr>
      </w:pPr>
      <w:r w:rsidRPr="002C2F63">
        <w:rPr>
          <w:rFonts w:ascii="Verdana" w:eastAsia="Aptos" w:hAnsi="Verdana" w:cs="Arial"/>
          <w:lang w:eastAsia="es-MX"/>
        </w:rPr>
        <w:t>En ese sentido, resulta importante resaltar que en nuestro ordenamiento jurídico, las sociedades de economía mixta están sometidas a un régimen jurídico compuesto por un conjunto normativo de derecho público y de derecho privado; el primero, derivado directamente de la Constitución Política y referido a aspectos como su creación, autorización, organización y funcionamiento interno. Y el segundo destinado a regir el desarrollo de la actividad económica de cada sociedad.</w:t>
      </w:r>
      <w:r w:rsidR="00DD0CDB" w:rsidRPr="002C2F63">
        <w:rPr>
          <w:rFonts w:ascii="Verdana" w:eastAsia="Aptos" w:hAnsi="Verdana" w:cs="Arial"/>
          <w:lang w:eastAsia="es-MX"/>
        </w:rPr>
        <w:t xml:space="preserve"> </w:t>
      </w:r>
      <w:r w:rsidRPr="002C2F63">
        <w:rPr>
          <w:rFonts w:ascii="Verdana" w:eastAsia="Aptos" w:hAnsi="Verdana" w:cs="Arial"/>
          <w:lang w:eastAsia="es-MX"/>
        </w:rPr>
        <w:t xml:space="preserve">Al respecto, el literal a), del artículo 2 de la Ley 80 de 1993, señala que son Entidades Estatales las sociedades de economía mixta en las que el Estado tenga participación superior al </w:t>
      </w:r>
      <w:r w:rsidRPr="002C2F63">
        <w:rPr>
          <w:rFonts w:ascii="Verdana" w:eastAsia="Aptos" w:hAnsi="Verdana" w:cs="Arial"/>
          <w:lang w:eastAsia="es-MX"/>
        </w:rPr>
        <w:lastRenderedPageBreak/>
        <w:t>cincuenta por ciento (50%)</w:t>
      </w:r>
      <w:r w:rsidRPr="002C2F63">
        <w:rPr>
          <w:rFonts w:ascii="Verdana" w:hAnsi="Verdana" w:cs="Times New Roman"/>
          <w:vertAlign w:val="superscript"/>
          <w:lang w:eastAsia="es-MX"/>
        </w:rPr>
        <w:footnoteReference w:id="4"/>
      </w:r>
      <w:r w:rsidRPr="002C2F63">
        <w:rPr>
          <w:rFonts w:ascii="Verdana" w:eastAsia="Aptos" w:hAnsi="Verdana" w:cs="Arial"/>
          <w:lang w:eastAsia="es-MX"/>
        </w:rPr>
        <w:t>. Esto significa que el legislador, en el año 1993, estableció que las sociedades de economía mixta donde el Estado tenga participación superior al cincuenta por ciento (50%) están sujetos al Estatuto General de Contratación de la Administración Pública, en adelante EGCAP.</w:t>
      </w:r>
    </w:p>
    <w:p w14:paraId="3D7646FF" w14:textId="77777777" w:rsidR="00AD7236" w:rsidRPr="002C2F63" w:rsidRDefault="00AD7236" w:rsidP="00AD7236">
      <w:pPr>
        <w:pStyle w:val="Prrafodelista"/>
        <w:rPr>
          <w:rFonts w:ascii="Verdana" w:eastAsia="Aptos" w:hAnsi="Verdana" w:cs="Arial"/>
          <w:lang w:val="es-ES_tradnl" w:eastAsia="es-MX"/>
        </w:rPr>
      </w:pPr>
    </w:p>
    <w:p w14:paraId="6A612B74" w14:textId="77777777" w:rsidR="00631326" w:rsidRPr="002C2F63" w:rsidRDefault="00AD7236" w:rsidP="00631326">
      <w:pPr>
        <w:pStyle w:val="Prrafodelista"/>
        <w:numPr>
          <w:ilvl w:val="0"/>
          <w:numId w:val="18"/>
        </w:numPr>
        <w:spacing w:line="276" w:lineRule="auto"/>
        <w:jc w:val="both"/>
        <w:rPr>
          <w:rFonts w:ascii="Verdana" w:eastAsia="Aptos" w:hAnsi="Verdana" w:cs="Arial"/>
          <w:lang w:val="es-ES_tradnl" w:eastAsia="es-MX"/>
        </w:rPr>
      </w:pPr>
      <w:r w:rsidRPr="002C2F63">
        <w:rPr>
          <w:rFonts w:ascii="Verdana" w:eastAsia="Aptos" w:hAnsi="Verdana" w:cs="Arial"/>
          <w:lang w:val="es-ES_tradnl" w:eastAsia="es-MX"/>
        </w:rPr>
        <w:t>En consecuencia, el artículo 14 de la Ley 1150 de 2007 previó que las sociedades de economía mixta en las que el Estado tenga participación superior al cincuenta por ciento (50%) y sus filiales que cuenten con participación mayoritaria del Estado superior al cincuenta por ciento (50%) estarán sometidas al EGCAP,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w:t>
      </w:r>
      <w:r w:rsidRPr="002C2F63">
        <w:rPr>
          <w:rFonts w:ascii="Verdana" w:hAnsi="Verdana" w:cs="Times New Roman"/>
          <w:vertAlign w:val="superscript"/>
          <w:lang w:eastAsia="es-MX"/>
        </w:rPr>
        <w:footnoteReference w:id="5"/>
      </w:r>
      <w:r w:rsidRPr="002C2F63">
        <w:rPr>
          <w:rFonts w:ascii="Verdana" w:eastAsia="Aptos" w:hAnsi="Verdana" w:cs="Arial"/>
          <w:lang w:val="es-ES_tradnl" w:eastAsia="es-MX"/>
        </w:rPr>
        <w:t>. En otras palabras, el legislador estableció que las sociedades de economía mixta en las que el Estado tenga participación superior al cincuenta por ciento (50%), cuando se encuentran en competencia con el sector privado o público, nacional o internacional o desarrollan su actividad en mercados regulados estarán sometidos al derecho privado.</w:t>
      </w:r>
    </w:p>
    <w:p w14:paraId="2CCCF5F5" w14:textId="77777777" w:rsidR="00631326" w:rsidRPr="002C2F63" w:rsidRDefault="00631326" w:rsidP="00631326">
      <w:pPr>
        <w:pStyle w:val="Prrafodelista"/>
        <w:rPr>
          <w:rFonts w:ascii="Verdana" w:eastAsia="Aptos" w:hAnsi="Verdana" w:cs="Arial"/>
          <w:lang w:eastAsia="es-MX"/>
        </w:rPr>
      </w:pPr>
    </w:p>
    <w:p w14:paraId="78FCE740" w14:textId="143F58A1" w:rsidR="00536A44" w:rsidRPr="002C2F63" w:rsidRDefault="00631326" w:rsidP="00536A44">
      <w:pPr>
        <w:pStyle w:val="Prrafodelista"/>
        <w:numPr>
          <w:ilvl w:val="0"/>
          <w:numId w:val="18"/>
        </w:numPr>
        <w:spacing w:after="0" w:line="276" w:lineRule="auto"/>
        <w:jc w:val="both"/>
        <w:rPr>
          <w:rFonts w:ascii="Verdana" w:eastAsia="Aptos" w:hAnsi="Verdana" w:cs="Arial"/>
          <w:lang w:val="es-ES_tradnl" w:eastAsia="es-MX"/>
        </w:rPr>
      </w:pPr>
      <w:r w:rsidRPr="002C2F63">
        <w:rPr>
          <w:rFonts w:ascii="Verdana" w:eastAsia="Aptos" w:hAnsi="Verdana" w:cs="Arial"/>
          <w:lang w:eastAsia="es-MX"/>
        </w:rPr>
        <w:lastRenderedPageBreak/>
        <w:t xml:space="preserve">Así las cosas, </w:t>
      </w:r>
      <w:r w:rsidR="00EE0345" w:rsidRPr="002C2F63">
        <w:rPr>
          <w:rFonts w:ascii="Verdana" w:eastAsia="Aptos" w:hAnsi="Verdana" w:cs="Arial"/>
          <w:lang w:eastAsia="es-MX"/>
        </w:rPr>
        <w:t xml:space="preserve">y para brindar respuesta a la consulta elevada, es preciso advertir que </w:t>
      </w:r>
      <w:r w:rsidRPr="002C2F63">
        <w:rPr>
          <w:rFonts w:ascii="Verdana" w:eastAsia="Aptos" w:hAnsi="Verdana" w:cs="Arial"/>
          <w:lang w:eastAsia="es-MX"/>
        </w:rPr>
        <w:t>las sociedades de economía mixta sometidas al EGCAP son aquellas en las que el aporte del Estado es superior al cincuenta por ciento (50%) y además las actuaciones que adelantan no se encuentran en competencia con el sector privado o público, nacional o internacional o en mercados regulados. Por el contrario, las sociedades de economía mixta en las que el Estado tenga una participación menor al cincuenta por ciento (50%) o en los casos que desarrollan actividades comerciales en competencia con el sector privado y/o público, nacional o internacional, o en mercados regulados se regirán por las disposiciones legales y reglamentarias aplicables a sus actividades económicas y comerciales, lo que implica acudir usualmente al derecho privado.</w:t>
      </w:r>
    </w:p>
    <w:p w14:paraId="3F4283CB" w14:textId="77777777" w:rsidR="00536A44" w:rsidRPr="002C2F63" w:rsidRDefault="00536A44" w:rsidP="00536A44">
      <w:pPr>
        <w:spacing w:after="0" w:line="276" w:lineRule="auto"/>
        <w:jc w:val="both"/>
        <w:rPr>
          <w:rStyle w:val="Hipervnculo"/>
          <w:rFonts w:ascii="Verdana" w:eastAsia="Aptos" w:hAnsi="Verdana" w:cs="Arial"/>
          <w:color w:val="auto"/>
          <w:u w:val="none"/>
          <w:lang w:val="es-ES_tradnl" w:eastAsia="es-MX"/>
        </w:rPr>
      </w:pPr>
    </w:p>
    <w:p w14:paraId="07E654FC" w14:textId="77777777" w:rsidR="00955630" w:rsidRPr="002C2F63" w:rsidRDefault="00955630" w:rsidP="0095563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C2F63">
        <w:rPr>
          <w:rFonts w:ascii="Verdana" w:eastAsia="Century Gothic" w:hAnsi="Verdana" w:cs="Century Gothic"/>
          <w:b/>
          <w:bCs/>
        </w:rPr>
        <w:t>Referencias normativas, jurisprudenciales y otras fuentes:</w:t>
      </w:r>
    </w:p>
    <w:p w14:paraId="2A5708D0" w14:textId="77777777" w:rsidR="00955630" w:rsidRPr="002C2F63" w:rsidRDefault="00955630" w:rsidP="0095563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55630" w:rsidRPr="002C2F63" w14:paraId="2AC87807" w14:textId="77777777" w:rsidTr="0083123E">
        <w:trPr>
          <w:trHeight w:val="887"/>
        </w:trPr>
        <w:tc>
          <w:tcPr>
            <w:tcW w:w="8647" w:type="dxa"/>
          </w:tcPr>
          <w:p w14:paraId="68BCDBBB" w14:textId="6A0DB7C0" w:rsidR="0083123E" w:rsidRPr="002C2F63" w:rsidRDefault="0041612D" w:rsidP="0083123E">
            <w:pPr>
              <w:pStyle w:val="Prrafodelista"/>
              <w:widowControl w:val="0"/>
              <w:numPr>
                <w:ilvl w:val="0"/>
                <w:numId w:val="17"/>
              </w:numPr>
              <w:autoSpaceDE w:val="0"/>
              <w:autoSpaceDN w:val="0"/>
              <w:spacing w:line="276" w:lineRule="auto"/>
              <w:jc w:val="both"/>
              <w:rPr>
                <w:rFonts w:ascii="Verdana" w:hAnsi="Verdana" w:cs="Arial"/>
              </w:rPr>
            </w:pPr>
            <w:r w:rsidRPr="002C2F63">
              <w:rPr>
                <w:rFonts w:ascii="Verdana" w:eastAsia="Calibri" w:hAnsi="Verdana" w:cs="Arial"/>
                <w:shd w:val="clear" w:color="auto" w:fill="FFFFFF"/>
              </w:rPr>
              <w:t>Ley 489 de 1998. Artículo 97</w:t>
            </w:r>
          </w:p>
          <w:p w14:paraId="0C3048B3" w14:textId="396D879D" w:rsidR="0083123E" w:rsidRPr="002C2F63" w:rsidRDefault="00763CD4" w:rsidP="0083123E">
            <w:pPr>
              <w:pStyle w:val="Prrafodelista"/>
              <w:widowControl w:val="0"/>
              <w:numPr>
                <w:ilvl w:val="0"/>
                <w:numId w:val="17"/>
              </w:numPr>
              <w:autoSpaceDE w:val="0"/>
              <w:autoSpaceDN w:val="0"/>
              <w:spacing w:line="276" w:lineRule="auto"/>
              <w:jc w:val="both"/>
              <w:rPr>
                <w:rFonts w:ascii="Verdana" w:hAnsi="Verdana" w:cs="Arial"/>
              </w:rPr>
            </w:pPr>
            <w:r w:rsidRPr="002C2F63">
              <w:rPr>
                <w:rFonts w:ascii="Verdana" w:eastAsia="Aptos" w:hAnsi="Verdana" w:cs="Arial"/>
                <w:lang w:eastAsia="es-MX"/>
              </w:rPr>
              <w:t>Ley 80 de 1993. Artículo 2, literal a).</w:t>
            </w:r>
          </w:p>
          <w:p w14:paraId="75892E77" w14:textId="1E232647" w:rsidR="0083123E" w:rsidRPr="002C2F63" w:rsidRDefault="0083123E" w:rsidP="0083123E">
            <w:pPr>
              <w:pStyle w:val="Prrafodelista"/>
              <w:widowControl w:val="0"/>
              <w:numPr>
                <w:ilvl w:val="0"/>
                <w:numId w:val="17"/>
              </w:numPr>
              <w:autoSpaceDE w:val="0"/>
              <w:autoSpaceDN w:val="0"/>
              <w:spacing w:line="276" w:lineRule="auto"/>
              <w:jc w:val="both"/>
              <w:rPr>
                <w:rFonts w:ascii="Verdana" w:hAnsi="Verdana" w:cs="Arial"/>
              </w:rPr>
            </w:pPr>
            <w:r w:rsidRPr="002C2F63">
              <w:rPr>
                <w:rFonts w:ascii="Verdana" w:eastAsia="Aptos" w:hAnsi="Verdana" w:cs="Arial"/>
                <w:lang w:val="es-ES_tradnl" w:eastAsia="es-MX"/>
              </w:rPr>
              <w:t>Ley 1150 de 2007. Artículo 14.</w:t>
            </w:r>
          </w:p>
        </w:tc>
      </w:tr>
    </w:tbl>
    <w:p w14:paraId="67B1747D" w14:textId="77777777" w:rsidR="00955630" w:rsidRPr="002C2F63" w:rsidRDefault="00955630" w:rsidP="00955630">
      <w:pPr>
        <w:widowControl w:val="0"/>
        <w:autoSpaceDE w:val="0"/>
        <w:autoSpaceDN w:val="0"/>
        <w:spacing w:after="0" w:line="276" w:lineRule="auto"/>
        <w:jc w:val="both"/>
        <w:rPr>
          <w:rFonts w:ascii="Verdana" w:hAnsi="Verdana" w:cs="Arial"/>
        </w:rPr>
      </w:pPr>
    </w:p>
    <w:p w14:paraId="1DCED859" w14:textId="77777777" w:rsidR="00955630" w:rsidRPr="002C2F63" w:rsidRDefault="00955630" w:rsidP="0095563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C2F63">
        <w:rPr>
          <w:rFonts w:ascii="Verdana" w:eastAsia="Century Gothic" w:hAnsi="Verdana" w:cs="Century Gothic"/>
          <w:b/>
          <w:bCs/>
        </w:rPr>
        <w:t>Doctrina de la Agencia Nacional de Contratación Pública:</w:t>
      </w:r>
    </w:p>
    <w:p w14:paraId="234E8841" w14:textId="77777777" w:rsidR="00955630" w:rsidRPr="002C2F63" w:rsidRDefault="00955630" w:rsidP="00955630">
      <w:pPr>
        <w:widowControl w:val="0"/>
        <w:autoSpaceDE w:val="0"/>
        <w:autoSpaceDN w:val="0"/>
        <w:spacing w:after="0" w:line="276" w:lineRule="auto"/>
        <w:jc w:val="both"/>
        <w:rPr>
          <w:rFonts w:ascii="Verdana" w:hAnsi="Verdana" w:cs="Arial"/>
        </w:rPr>
      </w:pPr>
    </w:p>
    <w:p w14:paraId="16CDE8C0" w14:textId="752F9CD0" w:rsidR="00955630" w:rsidRPr="002C2F63" w:rsidRDefault="00955630" w:rsidP="00955630">
      <w:pPr>
        <w:widowControl w:val="0"/>
        <w:autoSpaceDE w:val="0"/>
        <w:autoSpaceDN w:val="0"/>
        <w:spacing w:after="0" w:line="276" w:lineRule="auto"/>
        <w:jc w:val="both"/>
        <w:rPr>
          <w:rFonts w:ascii="Verdana" w:hAnsi="Verdana" w:cs="Arial"/>
        </w:rPr>
      </w:pPr>
      <w:r w:rsidRPr="002C2F63">
        <w:rPr>
          <w:rFonts w:ascii="Verdana" w:hAnsi="Verdana" w:cs="Arial"/>
          <w:lang w:val="es-ES"/>
        </w:rPr>
        <w:t xml:space="preserve">Sobre </w:t>
      </w:r>
      <w:r w:rsidR="00C94A9E" w:rsidRPr="002C2F63">
        <w:rPr>
          <w:rFonts w:ascii="Verdana" w:hAnsi="Verdana" w:cs="Arial"/>
          <w:lang w:val="es-ES"/>
        </w:rPr>
        <w:t xml:space="preserve">régimen de contratación </w:t>
      </w:r>
      <w:r w:rsidR="0074737E" w:rsidRPr="002C2F63">
        <w:rPr>
          <w:rFonts w:ascii="Verdana" w:hAnsi="Verdana" w:cs="Arial"/>
          <w:lang w:val="es-ES"/>
        </w:rPr>
        <w:t xml:space="preserve">de las </w:t>
      </w:r>
      <w:r w:rsidR="0074737E" w:rsidRPr="002C2F63">
        <w:rPr>
          <w:rFonts w:ascii="Verdana" w:eastAsia="Aptos" w:hAnsi="Verdana" w:cs="Arial"/>
          <w:lang w:eastAsia="es-MX"/>
        </w:rPr>
        <w:t>sociedades de economía mixta</w:t>
      </w:r>
      <w:r w:rsidR="0074737E" w:rsidRPr="002C2F63">
        <w:rPr>
          <w:rFonts w:ascii="Verdana" w:hAnsi="Verdana" w:cs="Arial"/>
          <w:lang w:val="es-ES"/>
        </w:rPr>
        <w:t xml:space="preserve"> </w:t>
      </w:r>
      <w:r w:rsidRPr="002C2F63">
        <w:rPr>
          <w:rFonts w:ascii="Verdana" w:hAnsi="Verdana" w:cs="Arial"/>
          <w:lang w:val="es-ES"/>
        </w:rPr>
        <w:t xml:space="preserve">esta Subdirección se ha pronunciado en los conceptos </w:t>
      </w:r>
      <w:r w:rsidRPr="002C2F63">
        <w:rPr>
          <w:rFonts w:ascii="Verdana" w:hAnsi="Verdana" w:cs="Arial"/>
        </w:rPr>
        <w:t>Nos.</w:t>
      </w:r>
      <w:r w:rsidR="002F4CAD" w:rsidRPr="002C2F63">
        <w:rPr>
          <w:rFonts w:ascii="Verdana" w:hAnsi="Verdana" w:cs="Arial"/>
        </w:rPr>
        <w:t xml:space="preserve"> </w:t>
      </w:r>
      <w:r w:rsidR="00B06CC9" w:rsidRPr="002C2F63">
        <w:rPr>
          <w:rFonts w:ascii="Verdana" w:hAnsi="Verdana" w:cs="Arial"/>
        </w:rPr>
        <w:t>C- 762 del 6 de enero de 2020, C-089 del 22 de marzo de 2022,</w:t>
      </w:r>
      <w:r w:rsidR="007354AF" w:rsidRPr="002C2F63">
        <w:rPr>
          <w:rFonts w:ascii="Verdana" w:eastAsia="Times New Roman" w:hAnsi="Verdana" w:cs="Arial"/>
          <w:noProof/>
          <w:szCs w:val="24"/>
          <w:lang w:eastAsia="es-ES_tradnl"/>
        </w:rPr>
        <w:t xml:space="preserve"> </w:t>
      </w:r>
      <w:r w:rsidR="007354AF" w:rsidRPr="002C2F63">
        <w:rPr>
          <w:rFonts w:ascii="Verdana" w:hAnsi="Verdana" w:cs="Arial"/>
          <w:lang w:val="es-ES_tradnl"/>
        </w:rPr>
        <w:t>C-458 del 15 de julio de 2022</w:t>
      </w:r>
      <w:r w:rsidR="006933D2" w:rsidRPr="002C2F63">
        <w:rPr>
          <w:rFonts w:ascii="Verdana" w:hAnsi="Verdana" w:cs="Arial"/>
          <w:lang w:val="es-ES_tradnl"/>
        </w:rPr>
        <w:t xml:space="preserve">, </w:t>
      </w:r>
      <w:r w:rsidR="002F4CAD" w:rsidRPr="002C2F63">
        <w:rPr>
          <w:rFonts w:ascii="Verdana" w:hAnsi="Verdana" w:cs="Arial"/>
        </w:rPr>
        <w:t xml:space="preserve">C-010 del </w:t>
      </w:r>
      <w:r w:rsidR="000C2317" w:rsidRPr="002C2F63">
        <w:rPr>
          <w:rFonts w:ascii="Verdana" w:hAnsi="Verdana" w:cs="Arial"/>
        </w:rPr>
        <w:t>20 de febrero del 2023, C-147 del 25 de julio del 2023, C-</w:t>
      </w:r>
      <w:r w:rsidR="00A07C2F" w:rsidRPr="002C2F63">
        <w:rPr>
          <w:rFonts w:ascii="Verdana" w:hAnsi="Verdana" w:cs="Arial"/>
        </w:rPr>
        <w:t>296 del 17 de agosto del 2023, C-369 del 12 de septiembre del 2023, C-</w:t>
      </w:r>
      <w:r w:rsidR="003B5149" w:rsidRPr="002C2F63">
        <w:rPr>
          <w:rFonts w:ascii="Verdana" w:hAnsi="Verdana" w:cs="Arial"/>
        </w:rPr>
        <w:t xml:space="preserve">386 del 31 de enero del 2024, C-435 del 24 de octubre del 2023, </w:t>
      </w:r>
      <w:r w:rsidR="002B7654" w:rsidRPr="002C2F63">
        <w:rPr>
          <w:rFonts w:ascii="Verdana" w:hAnsi="Verdana" w:cs="Arial"/>
        </w:rPr>
        <w:t xml:space="preserve">C-661 del </w:t>
      </w:r>
      <w:r w:rsidR="008A7A41" w:rsidRPr="002C2F63">
        <w:rPr>
          <w:rFonts w:ascii="Verdana" w:hAnsi="Verdana" w:cs="Arial"/>
        </w:rPr>
        <w:t xml:space="preserve">25 de septiembre del 2024 y </w:t>
      </w:r>
      <w:r w:rsidR="005B06DD" w:rsidRPr="002C2F63">
        <w:rPr>
          <w:rFonts w:ascii="Verdana" w:hAnsi="Verdana" w:cs="Arial"/>
        </w:rPr>
        <w:t>C-540 del 07 de octubre del 2024</w:t>
      </w:r>
      <w:r w:rsidRPr="002C2F63">
        <w:rPr>
          <w:rStyle w:val="normaltextrun"/>
          <w:rFonts w:ascii="Verdana" w:hAnsi="Verdana"/>
          <w:color w:val="000000"/>
          <w:bdr w:val="none" w:sz="0" w:space="0" w:color="auto" w:frame="1"/>
        </w:rPr>
        <w:t xml:space="preserve">. </w:t>
      </w:r>
      <w:r w:rsidRPr="002C2F63">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2C2F63">
          <w:rPr>
            <w:rStyle w:val="Hipervnculo"/>
            <w:rFonts w:ascii="Verdana" w:hAnsi="Verdana" w:cs="Arial"/>
            <w:shd w:val="clear" w:color="auto" w:fill="FFFFFF"/>
          </w:rPr>
          <w:t>https://relatoria.colombiacompra.gov.co/</w:t>
        </w:r>
      </w:hyperlink>
      <w:r w:rsidRPr="002C2F63">
        <w:rPr>
          <w:rFonts w:ascii="Verdana" w:hAnsi="Verdana" w:cs="Arial"/>
          <w:shd w:val="clear" w:color="auto" w:fill="FFFFFF"/>
        </w:rPr>
        <w:t>.</w:t>
      </w:r>
    </w:p>
    <w:p w14:paraId="7466DDFF" w14:textId="77777777" w:rsidR="00955630" w:rsidRPr="002C2F63" w:rsidRDefault="00955630" w:rsidP="00955630">
      <w:pPr>
        <w:widowControl w:val="0"/>
        <w:autoSpaceDE w:val="0"/>
        <w:autoSpaceDN w:val="0"/>
        <w:spacing w:after="0" w:line="276" w:lineRule="auto"/>
        <w:jc w:val="both"/>
        <w:rPr>
          <w:rFonts w:ascii="Verdana" w:hAnsi="Verdana" w:cs="Arial"/>
          <w:shd w:val="clear" w:color="auto" w:fill="FFFFFF"/>
        </w:rPr>
      </w:pPr>
    </w:p>
    <w:p w14:paraId="295F6E15" w14:textId="77777777" w:rsidR="00955630" w:rsidRPr="002C2F63" w:rsidRDefault="00955630" w:rsidP="00955630">
      <w:pPr>
        <w:widowControl w:val="0"/>
        <w:autoSpaceDE w:val="0"/>
        <w:autoSpaceDN w:val="0"/>
        <w:spacing w:after="0" w:line="276" w:lineRule="auto"/>
        <w:jc w:val="both"/>
        <w:rPr>
          <w:rFonts w:ascii="Verdana" w:hAnsi="Verdana" w:cs="Arial"/>
          <w:color w:val="000000" w:themeColor="text1"/>
          <w:shd w:val="clear" w:color="auto" w:fill="FFFFFF"/>
        </w:rPr>
      </w:pPr>
      <w:r w:rsidRPr="002C2F63">
        <w:rPr>
          <w:rFonts w:ascii="Verdana" w:hAnsi="Verdana" w:cs="Arial"/>
          <w:color w:val="000000" w:themeColor="text1"/>
          <w:shd w:val="clear" w:color="auto" w:fill="FFFFFF"/>
        </w:rPr>
        <w:t xml:space="preserve">De otro lado,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Este </w:t>
      </w:r>
      <w:r w:rsidRPr="002C2F63">
        <w:rPr>
          <w:rFonts w:ascii="Verdana" w:hAnsi="Verdana" w:cs="Arial"/>
          <w:color w:val="000000" w:themeColor="text1"/>
          <w:shd w:val="clear" w:color="auto" w:fill="FFFFFF"/>
        </w:rPr>
        <w:lastRenderedPageBreak/>
        <w:t>instrumento se encuentra disponible para consulta en el siguiente enlace: </w:t>
      </w:r>
      <w:hyperlink r:id="rId13" w:tgtFrame="_blank" w:tooltip="Dirección URL original: https://www.colombiacompra.gov.co/sites/cce_public/files/cce_documents/manual_para_el_manejo_de_acuerdos_comerciales_vf.pdf. Haga clic o pulse si confía en este vínculo." w:history="1">
        <w:r w:rsidRPr="002C2F63">
          <w:rPr>
            <w:rStyle w:val="Hipervnculo"/>
            <w:rFonts w:ascii="Verdana" w:hAnsi="Verdana" w:cs="Arial"/>
            <w:shd w:val="clear" w:color="auto" w:fill="FFFFFF"/>
          </w:rPr>
          <w:t>manual_para_el_manejo_de_acuerdos_comerciales_vf.pdf</w:t>
        </w:r>
      </w:hyperlink>
    </w:p>
    <w:p w14:paraId="4D0EEB94" w14:textId="77777777" w:rsidR="00955630" w:rsidRPr="002C2F63" w:rsidRDefault="00955630" w:rsidP="00955630">
      <w:pPr>
        <w:widowControl w:val="0"/>
        <w:autoSpaceDE w:val="0"/>
        <w:autoSpaceDN w:val="0"/>
        <w:spacing w:after="0" w:line="276" w:lineRule="auto"/>
        <w:jc w:val="both"/>
        <w:rPr>
          <w:rFonts w:ascii="Verdana" w:hAnsi="Verdana" w:cs="Times New Roman"/>
          <w:color w:val="000000"/>
        </w:rPr>
      </w:pPr>
    </w:p>
    <w:p w14:paraId="50705F56" w14:textId="77777777" w:rsidR="00955630" w:rsidRPr="002C2F63" w:rsidRDefault="00955630" w:rsidP="00955630">
      <w:pPr>
        <w:widowControl w:val="0"/>
        <w:autoSpaceDE w:val="0"/>
        <w:autoSpaceDN w:val="0"/>
        <w:spacing w:after="0" w:line="276" w:lineRule="auto"/>
        <w:jc w:val="both"/>
        <w:rPr>
          <w:rFonts w:ascii="Verdana" w:hAnsi="Verdana" w:cs="Arial"/>
          <w:color w:val="000000" w:themeColor="text1"/>
          <w:shd w:val="clear" w:color="auto" w:fill="FFFFFF"/>
        </w:rPr>
      </w:pPr>
      <w:r w:rsidRPr="002C2F63">
        <w:rPr>
          <w:rFonts w:ascii="Verdana" w:hAnsi="Verdana" w:cs="Times New Roman"/>
          <w:color w:val="000000"/>
        </w:rPr>
        <w:t>También lo invitamos a consultar la versión VII  de 2024, del Boletín de Relatoría de la Subdirección de Gestión Contractual relacionado con las ASOCIACIONES PÚBLICO POPULARES, el cual se puede descargar en la página web de la Agencia: </w:t>
      </w:r>
      <w:hyperlink r:id="rId14" w:tgtFrame="_blank" w:tooltip="Dirección URL original: https://www.colombiacompra.gov.co/sala-de-prensa/boletin-digital. Haga clic o pulse si confía en este vínculo." w:history="1">
        <w:r w:rsidRPr="002C2F63">
          <w:rPr>
            <w:rStyle w:val="Hipervnculo"/>
            <w:rFonts w:ascii="Verdana" w:hAnsi="Verdana" w:cs="Times New Roman"/>
          </w:rPr>
          <w:t>https://www.colombiacompra.gov.co/sala-de-prensa/boletin-digital</w:t>
        </w:r>
      </w:hyperlink>
      <w:r w:rsidRPr="002C2F63">
        <w:rPr>
          <w:rFonts w:ascii="Verdana" w:hAnsi="Verdana" w:cs="Times New Roman"/>
          <w:color w:val="000000"/>
        </w:rPr>
        <w:t> </w:t>
      </w:r>
    </w:p>
    <w:p w14:paraId="02064687" w14:textId="77777777" w:rsidR="00955630" w:rsidRPr="002C2F63" w:rsidRDefault="00955630" w:rsidP="00955630">
      <w:pPr>
        <w:widowControl w:val="0"/>
        <w:autoSpaceDE w:val="0"/>
        <w:autoSpaceDN w:val="0"/>
        <w:spacing w:after="0" w:line="276" w:lineRule="auto"/>
        <w:jc w:val="both"/>
        <w:rPr>
          <w:rFonts w:ascii="Verdana" w:hAnsi="Verdana" w:cs="Arial"/>
          <w:color w:val="000000" w:themeColor="text1"/>
          <w:shd w:val="clear" w:color="auto" w:fill="FFFFFF"/>
        </w:rPr>
      </w:pPr>
    </w:p>
    <w:p w14:paraId="45CC6C2E" w14:textId="77777777" w:rsidR="00955630" w:rsidRPr="002C2F63" w:rsidRDefault="00955630" w:rsidP="00955630">
      <w:pPr>
        <w:widowControl w:val="0"/>
        <w:autoSpaceDE w:val="0"/>
        <w:autoSpaceDN w:val="0"/>
        <w:spacing w:after="0" w:line="276" w:lineRule="auto"/>
        <w:jc w:val="both"/>
        <w:rPr>
          <w:rFonts w:ascii="Verdana" w:hAnsi="Verdana"/>
        </w:rPr>
      </w:pPr>
      <w:r w:rsidRPr="002C2F63">
        <w:rPr>
          <w:rFonts w:ascii="Verdana" w:hAnsi="Verdana"/>
        </w:rPr>
        <w:t xml:space="preserve">Por último, lo invitamos a seguirnos en las redes sociales en las cuales se difunde información institucional: </w:t>
      </w:r>
    </w:p>
    <w:p w14:paraId="4E5EF0F6" w14:textId="77777777" w:rsidR="00955630" w:rsidRPr="002C2F63" w:rsidRDefault="00955630" w:rsidP="00955630">
      <w:pPr>
        <w:widowControl w:val="0"/>
        <w:autoSpaceDE w:val="0"/>
        <w:autoSpaceDN w:val="0"/>
        <w:spacing w:after="0" w:line="276" w:lineRule="auto"/>
        <w:jc w:val="both"/>
        <w:rPr>
          <w:rFonts w:ascii="Verdana" w:hAnsi="Verdana" w:cs="Arial"/>
          <w:color w:val="000000" w:themeColor="text1"/>
          <w:shd w:val="clear" w:color="auto" w:fill="FFFFFF"/>
        </w:rPr>
      </w:pPr>
    </w:p>
    <w:p w14:paraId="2B4EEC74" w14:textId="77777777" w:rsidR="00955630" w:rsidRPr="002C2F63" w:rsidRDefault="00955630" w:rsidP="00955630">
      <w:pPr>
        <w:spacing w:after="0" w:line="240" w:lineRule="auto"/>
        <w:jc w:val="both"/>
        <w:rPr>
          <w:rFonts w:ascii="Verdana" w:hAnsi="Verdana"/>
        </w:rPr>
      </w:pPr>
      <w:r w:rsidRPr="002C2F63">
        <w:rPr>
          <w:rFonts w:ascii="Verdana" w:hAnsi="Verdana"/>
        </w:rPr>
        <w:t xml:space="preserve">Twitter: </w:t>
      </w:r>
      <w:r w:rsidRPr="002C2F63">
        <w:rPr>
          <w:rStyle w:val="Hipervnculo"/>
          <w:rFonts w:ascii="Verdana" w:hAnsi="Verdana"/>
          <w:color w:val="4472C4" w:themeColor="accent1"/>
        </w:rPr>
        <w:t>@colombiacompra</w:t>
      </w:r>
      <w:r w:rsidRPr="002C2F63">
        <w:rPr>
          <w:rFonts w:ascii="Verdana" w:hAnsi="Verdana"/>
          <w:color w:val="4472C4" w:themeColor="accent1"/>
        </w:rPr>
        <w:t xml:space="preserve"> </w:t>
      </w:r>
    </w:p>
    <w:p w14:paraId="0DD1E4E0" w14:textId="77777777" w:rsidR="00955630" w:rsidRPr="002C2F63" w:rsidRDefault="00955630" w:rsidP="00955630">
      <w:pPr>
        <w:spacing w:after="0" w:line="240" w:lineRule="auto"/>
        <w:jc w:val="both"/>
        <w:rPr>
          <w:rFonts w:ascii="Verdana" w:hAnsi="Verdana"/>
        </w:rPr>
      </w:pPr>
      <w:r w:rsidRPr="002C2F63">
        <w:rPr>
          <w:rFonts w:ascii="Verdana" w:hAnsi="Verdana"/>
        </w:rPr>
        <w:t xml:space="preserve">Facebook: </w:t>
      </w:r>
      <w:proofErr w:type="spellStart"/>
      <w:r w:rsidRPr="002C2F63">
        <w:rPr>
          <w:rStyle w:val="Hipervnculo"/>
          <w:rFonts w:ascii="Verdana" w:hAnsi="Verdana"/>
          <w:color w:val="4472C4" w:themeColor="accent1"/>
        </w:rPr>
        <w:t>ColombiaCompraEficiente</w:t>
      </w:r>
      <w:proofErr w:type="spellEnd"/>
    </w:p>
    <w:p w14:paraId="48462AD5" w14:textId="77777777" w:rsidR="00955630" w:rsidRPr="002C2F63" w:rsidRDefault="00955630" w:rsidP="00955630">
      <w:pPr>
        <w:spacing w:after="0" w:line="240" w:lineRule="auto"/>
        <w:jc w:val="both"/>
        <w:rPr>
          <w:rFonts w:ascii="Verdana" w:hAnsi="Verdana"/>
        </w:rPr>
      </w:pPr>
      <w:r w:rsidRPr="002C2F63">
        <w:rPr>
          <w:rFonts w:ascii="Verdana" w:hAnsi="Verdana"/>
        </w:rPr>
        <w:t xml:space="preserve">LinkedIn: </w:t>
      </w:r>
      <w:r w:rsidRPr="002C2F63">
        <w:rPr>
          <w:rStyle w:val="Hipervnculo"/>
          <w:rFonts w:ascii="Verdana" w:hAnsi="Verdana"/>
          <w:color w:val="4472C4" w:themeColor="accent1"/>
        </w:rPr>
        <w:t>Agencia Nacional de Contratación Pública - Colombia Compra Eficiente</w:t>
      </w:r>
      <w:r w:rsidRPr="002C2F63">
        <w:rPr>
          <w:rFonts w:ascii="Verdana" w:hAnsi="Verdana"/>
          <w:color w:val="4472C4" w:themeColor="accent1"/>
        </w:rPr>
        <w:t xml:space="preserve"> </w:t>
      </w:r>
      <w:r w:rsidRPr="002C2F63">
        <w:rPr>
          <w:rFonts w:ascii="Verdana" w:hAnsi="Verdana"/>
        </w:rPr>
        <w:t xml:space="preserve">Instagram: </w:t>
      </w:r>
      <w:r w:rsidRPr="002C2F63">
        <w:rPr>
          <w:rStyle w:val="Hipervnculo"/>
          <w:rFonts w:ascii="Verdana" w:hAnsi="Verdana"/>
          <w:color w:val="4472C4" w:themeColor="accent1"/>
        </w:rPr>
        <w:t>@colombiacompraeficiente_cce</w:t>
      </w:r>
    </w:p>
    <w:p w14:paraId="46E615D4" w14:textId="77777777" w:rsidR="00955630" w:rsidRPr="002C2F63" w:rsidRDefault="00955630" w:rsidP="00955630">
      <w:pPr>
        <w:widowControl w:val="0"/>
        <w:autoSpaceDE w:val="0"/>
        <w:autoSpaceDN w:val="0"/>
        <w:spacing w:after="0" w:line="276" w:lineRule="auto"/>
        <w:jc w:val="both"/>
        <w:rPr>
          <w:rFonts w:ascii="Verdana" w:hAnsi="Verdana" w:cs="Arial"/>
        </w:rPr>
      </w:pPr>
    </w:p>
    <w:p w14:paraId="03E047CD" w14:textId="77777777" w:rsidR="00955630" w:rsidRPr="002C2F63" w:rsidRDefault="00955630" w:rsidP="00955630">
      <w:pPr>
        <w:widowControl w:val="0"/>
        <w:autoSpaceDE w:val="0"/>
        <w:autoSpaceDN w:val="0"/>
        <w:spacing w:after="0" w:line="276" w:lineRule="auto"/>
        <w:jc w:val="both"/>
        <w:rPr>
          <w:rFonts w:ascii="Verdana" w:hAnsi="Verdana" w:cs="Arial"/>
          <w:lang w:val="es-ES_tradnl"/>
        </w:rPr>
      </w:pPr>
      <w:r w:rsidRPr="002C2F63">
        <w:rPr>
          <w:rFonts w:ascii="Verdana" w:hAnsi="Verdana" w:cs="Arial"/>
        </w:rPr>
        <w:t xml:space="preserve">Este concepto tiene el alcance previsto en el artículo 28 del Código de Procedimiento Administrativo y de lo Contencioso Administrativo </w:t>
      </w:r>
      <w:r w:rsidRPr="002C2F63">
        <w:rPr>
          <w:rFonts w:ascii="Verdana" w:hAnsi="Verdana" w:cs="Arial"/>
          <w:lang w:val="es-ES_tradnl"/>
        </w:rPr>
        <w:t>y las expresiones aquí utilizadas con mayúscula inicial deben ser entendidas con el significado que les otorga el artículo 2.2.1.1.1.3.1. del Decreto 1082 de 2015.</w:t>
      </w:r>
    </w:p>
    <w:p w14:paraId="4E2F3885" w14:textId="77777777" w:rsidR="00955630" w:rsidRPr="002C2F63" w:rsidRDefault="00955630" w:rsidP="00955630">
      <w:pPr>
        <w:widowControl w:val="0"/>
        <w:autoSpaceDE w:val="0"/>
        <w:autoSpaceDN w:val="0"/>
        <w:spacing w:after="0" w:line="276" w:lineRule="auto"/>
        <w:jc w:val="both"/>
        <w:rPr>
          <w:rFonts w:ascii="Verdana" w:hAnsi="Verdana" w:cs="Arial"/>
        </w:rPr>
      </w:pPr>
    </w:p>
    <w:p w14:paraId="0498373D" w14:textId="77777777" w:rsidR="00955630" w:rsidRPr="002C2F63" w:rsidRDefault="00955630" w:rsidP="00955630">
      <w:pPr>
        <w:spacing w:after="0" w:line="240" w:lineRule="auto"/>
        <w:rPr>
          <w:rFonts w:ascii="Verdana" w:hAnsi="Verdana" w:cs="Arial"/>
          <w:lang w:eastAsia="es-CO"/>
        </w:rPr>
      </w:pPr>
      <w:r w:rsidRPr="002C2F63">
        <w:rPr>
          <w:rFonts w:ascii="Verdana" w:eastAsia="Times New Roman" w:hAnsi="Verdana" w:cs="Arial"/>
          <w:lang w:eastAsia="es-CO"/>
        </w:rPr>
        <w:t>Atentamente,</w:t>
      </w:r>
      <w:r w:rsidRPr="002C2F63">
        <w:rPr>
          <w:rFonts w:ascii="Verdana" w:hAnsi="Verdana" w:cs="Arial"/>
          <w:lang w:eastAsia="es-CO"/>
        </w:rPr>
        <w:t xml:space="preserve"> </w:t>
      </w:r>
    </w:p>
    <w:p w14:paraId="5E8BC85F" w14:textId="08250609" w:rsidR="00955630" w:rsidRPr="002C2F63" w:rsidRDefault="00025A61" w:rsidP="00955630">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0F6531AF" wp14:editId="382FB2B5">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55630" w:rsidRPr="002C2F63" w14:paraId="74079937" w14:textId="77777777" w:rsidTr="00EB15C0">
        <w:trPr>
          <w:trHeight w:val="315"/>
        </w:trPr>
        <w:tc>
          <w:tcPr>
            <w:tcW w:w="893" w:type="dxa"/>
            <w:vAlign w:val="center"/>
            <w:hideMark/>
          </w:tcPr>
          <w:p w14:paraId="3392BA9B" w14:textId="77777777" w:rsidR="00955630" w:rsidRPr="002C2F63" w:rsidRDefault="00955630" w:rsidP="00EB15C0">
            <w:pPr>
              <w:contextualSpacing/>
              <w:rPr>
                <w:rFonts w:ascii="Verdana" w:hAnsi="Verdana" w:cs="Arial"/>
                <w:sz w:val="16"/>
                <w:szCs w:val="16"/>
                <w:lang w:val="es-ES" w:eastAsia="es-ES"/>
              </w:rPr>
            </w:pPr>
            <w:r w:rsidRPr="002C2F6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F0D9AD6" w14:textId="77777777" w:rsidR="00955630" w:rsidRPr="002C2F63" w:rsidRDefault="00955630" w:rsidP="00EB15C0">
            <w:pPr>
              <w:contextualSpacing/>
              <w:rPr>
                <w:rFonts w:ascii="Verdana" w:eastAsia="Arial" w:hAnsi="Verdana" w:cs="Arial"/>
                <w:sz w:val="16"/>
                <w:szCs w:val="16"/>
              </w:rPr>
            </w:pPr>
            <w:r w:rsidRPr="002C2F63">
              <w:rPr>
                <w:rFonts w:ascii="Verdana" w:eastAsia="Arial" w:hAnsi="Verdana" w:cs="Arial"/>
                <w:sz w:val="16"/>
                <w:szCs w:val="16"/>
              </w:rPr>
              <w:t>Ana María Ortiz Ballesteros</w:t>
            </w:r>
          </w:p>
          <w:p w14:paraId="67F9C501" w14:textId="77777777" w:rsidR="00955630" w:rsidRPr="002C2F63" w:rsidRDefault="00955630" w:rsidP="00EB15C0">
            <w:pPr>
              <w:contextualSpacing/>
              <w:rPr>
                <w:rFonts w:ascii="Verdana" w:eastAsia="Arial" w:hAnsi="Verdana" w:cs="Arial"/>
                <w:sz w:val="16"/>
                <w:szCs w:val="16"/>
              </w:rPr>
            </w:pPr>
            <w:r w:rsidRPr="002C2F63">
              <w:rPr>
                <w:rStyle w:val="normaltextrun"/>
                <w:rFonts w:ascii="Verdana" w:eastAsia="Arial" w:hAnsi="Verdana" w:cs="Arial"/>
                <w:sz w:val="16"/>
                <w:szCs w:val="16"/>
              </w:rPr>
              <w:t>C</w:t>
            </w:r>
            <w:r w:rsidRPr="002C2F63">
              <w:rPr>
                <w:rStyle w:val="normaltextrun"/>
                <w:rFonts w:ascii="Verdana" w:hAnsi="Verdana"/>
                <w:sz w:val="16"/>
                <w:szCs w:val="16"/>
              </w:rPr>
              <w:t>ontratista</w:t>
            </w:r>
            <w:r w:rsidRPr="002C2F63">
              <w:rPr>
                <w:rStyle w:val="normaltextrun"/>
                <w:rFonts w:ascii="Verdana" w:eastAsia="Arial" w:hAnsi="Verdana" w:cs="Arial"/>
                <w:sz w:val="16"/>
                <w:szCs w:val="16"/>
              </w:rPr>
              <w:t xml:space="preserve"> de la Subdirección de Gestión Contractual</w:t>
            </w:r>
          </w:p>
        </w:tc>
      </w:tr>
      <w:tr w:rsidR="00955630" w:rsidRPr="002C2F63" w14:paraId="39EE3486" w14:textId="77777777" w:rsidTr="00EB15C0">
        <w:trPr>
          <w:trHeight w:val="330"/>
        </w:trPr>
        <w:tc>
          <w:tcPr>
            <w:tcW w:w="893" w:type="dxa"/>
            <w:vAlign w:val="center"/>
            <w:hideMark/>
          </w:tcPr>
          <w:p w14:paraId="628DDBB9" w14:textId="77777777" w:rsidR="00955630" w:rsidRPr="002C2F63" w:rsidRDefault="00955630" w:rsidP="00EB15C0">
            <w:pPr>
              <w:contextualSpacing/>
              <w:rPr>
                <w:rFonts w:ascii="Verdana" w:hAnsi="Verdana" w:cs="Arial"/>
                <w:sz w:val="16"/>
                <w:szCs w:val="16"/>
                <w:lang w:val="es-ES" w:eastAsia="es-ES"/>
              </w:rPr>
            </w:pPr>
            <w:r w:rsidRPr="002C2F63">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7333513" w14:textId="77777777" w:rsidR="00955630" w:rsidRPr="002C2F63" w:rsidRDefault="00955630" w:rsidP="00EB15C0">
            <w:pPr>
              <w:pStyle w:val="paragraph"/>
              <w:spacing w:after="0"/>
              <w:contextualSpacing/>
              <w:textAlignment w:val="baseline"/>
              <w:rPr>
                <w:rStyle w:val="normaltextrun"/>
                <w:rFonts w:ascii="Verdana" w:hAnsi="Verdana" w:cs="Arial"/>
                <w:sz w:val="16"/>
                <w:szCs w:val="16"/>
                <w:lang w:val="es-ES"/>
              </w:rPr>
            </w:pPr>
            <w:r w:rsidRPr="002C2F63">
              <w:rPr>
                <w:rStyle w:val="normaltextrun"/>
                <w:rFonts w:ascii="Verdana" w:hAnsi="Verdana" w:cs="Arial"/>
                <w:sz w:val="16"/>
                <w:szCs w:val="16"/>
                <w:lang w:val="es-ES"/>
              </w:rPr>
              <w:t>Juan David Cárdenas Cabeza</w:t>
            </w:r>
          </w:p>
          <w:p w14:paraId="02881730" w14:textId="77777777" w:rsidR="00955630" w:rsidRPr="002C2F63" w:rsidRDefault="00955630" w:rsidP="00EB15C0">
            <w:pPr>
              <w:pStyle w:val="paragraph"/>
              <w:spacing w:before="0" w:beforeAutospacing="0" w:after="0" w:afterAutospacing="0"/>
              <w:contextualSpacing/>
              <w:textAlignment w:val="baseline"/>
              <w:rPr>
                <w:rFonts w:ascii="Verdana" w:hAnsi="Verdana" w:cs="Segoe UI"/>
                <w:sz w:val="16"/>
                <w:szCs w:val="16"/>
              </w:rPr>
            </w:pPr>
            <w:r w:rsidRPr="002C2F63">
              <w:rPr>
                <w:rStyle w:val="normaltextrun"/>
                <w:rFonts w:ascii="Verdana" w:eastAsia="Arial" w:hAnsi="Verdana" w:cs="Arial"/>
                <w:sz w:val="16"/>
                <w:szCs w:val="16"/>
              </w:rPr>
              <w:t>C</w:t>
            </w:r>
            <w:r w:rsidRPr="002C2F63">
              <w:rPr>
                <w:rStyle w:val="normaltextrun"/>
                <w:rFonts w:ascii="Verdana" w:hAnsi="Verdana"/>
                <w:sz w:val="16"/>
                <w:szCs w:val="16"/>
              </w:rPr>
              <w:t>ontratista</w:t>
            </w:r>
            <w:r w:rsidRPr="002C2F63">
              <w:rPr>
                <w:rStyle w:val="normaltextrun"/>
                <w:rFonts w:ascii="Verdana" w:eastAsia="Arial" w:hAnsi="Verdana" w:cs="Arial"/>
                <w:sz w:val="16"/>
                <w:szCs w:val="16"/>
              </w:rPr>
              <w:t xml:space="preserve"> de la Subdirección de Gestión Contractual</w:t>
            </w:r>
          </w:p>
        </w:tc>
      </w:tr>
      <w:tr w:rsidR="00955630" w:rsidRPr="002C2F63" w14:paraId="78BED615" w14:textId="77777777" w:rsidTr="00EB15C0">
        <w:trPr>
          <w:trHeight w:val="300"/>
        </w:trPr>
        <w:tc>
          <w:tcPr>
            <w:tcW w:w="893" w:type="dxa"/>
            <w:vAlign w:val="center"/>
          </w:tcPr>
          <w:p w14:paraId="0261D958" w14:textId="77777777" w:rsidR="00955630" w:rsidRPr="002C2F63" w:rsidRDefault="00955630" w:rsidP="00EB15C0">
            <w:pPr>
              <w:contextualSpacing/>
              <w:rPr>
                <w:rFonts w:ascii="Verdana" w:hAnsi="Verdana" w:cs="Arial"/>
                <w:sz w:val="16"/>
                <w:szCs w:val="16"/>
                <w:lang w:val="es-ES" w:eastAsia="es-ES"/>
              </w:rPr>
            </w:pPr>
            <w:r w:rsidRPr="002C2F63">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EDBB538" w14:textId="77777777" w:rsidR="00955630" w:rsidRPr="002C2F63" w:rsidRDefault="00955630" w:rsidP="00EB15C0">
            <w:pPr>
              <w:contextualSpacing/>
              <w:rPr>
                <w:rFonts w:ascii="Verdana" w:eastAsia="Calibri" w:hAnsi="Verdana" w:cs="Arial"/>
                <w:sz w:val="16"/>
                <w:szCs w:val="16"/>
                <w:lang w:val="pt-BR" w:eastAsia="es-ES"/>
              </w:rPr>
            </w:pPr>
            <w:r w:rsidRPr="002C2F63">
              <w:rPr>
                <w:rFonts w:ascii="Verdana" w:eastAsia="Calibri" w:hAnsi="Verdana" w:cs="Arial"/>
                <w:sz w:val="16"/>
                <w:szCs w:val="16"/>
                <w:lang w:val="pt-BR" w:eastAsia="es-ES"/>
              </w:rPr>
              <w:t xml:space="preserve">Carolina Quintero </w:t>
            </w:r>
            <w:proofErr w:type="spellStart"/>
            <w:r w:rsidRPr="002C2F63">
              <w:rPr>
                <w:rFonts w:ascii="Verdana" w:eastAsia="Calibri" w:hAnsi="Verdana" w:cs="Arial"/>
                <w:sz w:val="16"/>
                <w:szCs w:val="16"/>
                <w:lang w:val="pt-BR" w:eastAsia="es-ES"/>
              </w:rPr>
              <w:t>Gacharná</w:t>
            </w:r>
            <w:proofErr w:type="spellEnd"/>
          </w:p>
          <w:p w14:paraId="4DC424A6" w14:textId="77777777" w:rsidR="00955630" w:rsidRPr="002C2F63" w:rsidRDefault="00955630" w:rsidP="00EB15C0">
            <w:pPr>
              <w:contextualSpacing/>
              <w:rPr>
                <w:rFonts w:ascii="Verdana" w:eastAsia="Calibri" w:hAnsi="Verdana" w:cs="Arial"/>
                <w:sz w:val="16"/>
                <w:szCs w:val="16"/>
                <w:lang w:val="pt-BR" w:eastAsia="es-ES"/>
              </w:rPr>
            </w:pPr>
            <w:r w:rsidRPr="002C2F63">
              <w:rPr>
                <w:rFonts w:ascii="Verdana" w:eastAsia="Calibri" w:hAnsi="Verdana" w:cs="Arial"/>
                <w:sz w:val="16"/>
                <w:szCs w:val="16"/>
                <w:lang w:eastAsia="es-ES"/>
              </w:rPr>
              <w:t>Subdirectora</w:t>
            </w:r>
            <w:r w:rsidRPr="002C2F63">
              <w:rPr>
                <w:rFonts w:ascii="Verdana" w:eastAsia="Calibri" w:hAnsi="Verdana" w:cs="Arial"/>
                <w:sz w:val="16"/>
                <w:szCs w:val="16"/>
                <w:lang w:val="pt-BR" w:eastAsia="es-ES"/>
              </w:rPr>
              <w:t xml:space="preserve"> de Gestión Contractual ANCP – CCE</w:t>
            </w:r>
          </w:p>
        </w:tc>
      </w:tr>
    </w:tbl>
    <w:p w14:paraId="4C27E567" w14:textId="77777777" w:rsidR="00955630" w:rsidRPr="002C2F63" w:rsidRDefault="00955630" w:rsidP="00955630">
      <w:pPr>
        <w:spacing w:after="0"/>
        <w:jc w:val="both"/>
        <w:rPr>
          <w:rFonts w:ascii="Verdana" w:hAnsi="Verdana"/>
          <w:sz w:val="16"/>
          <w:szCs w:val="16"/>
        </w:rPr>
      </w:pPr>
    </w:p>
    <w:bookmarkEnd w:id="0"/>
    <w:p w14:paraId="3900974D" w14:textId="15D2D624"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75979D" w14:textId="77777777" w:rsidR="00CD2AAE" w:rsidRDefault="00CD2AAE" w:rsidP="004A1847">
      <w:pPr>
        <w:spacing w:after="0" w:line="240" w:lineRule="auto"/>
      </w:pPr>
      <w:r>
        <w:separator/>
      </w:r>
    </w:p>
  </w:endnote>
  <w:endnote w:type="continuationSeparator" w:id="0">
    <w:p w14:paraId="05FF536F" w14:textId="77777777" w:rsidR="00CD2AAE" w:rsidRDefault="00CD2AAE" w:rsidP="004A1847">
      <w:pPr>
        <w:spacing w:after="0" w:line="240" w:lineRule="auto"/>
      </w:pPr>
      <w:r>
        <w:continuationSeparator/>
      </w:r>
    </w:p>
  </w:endnote>
  <w:endnote w:type="continuationNotice" w:id="1">
    <w:p w14:paraId="717B7E4A" w14:textId="77777777" w:rsidR="00CD2AAE" w:rsidRDefault="00CD2A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C01DCE">
      <w:rPr>
        <w:rFonts w:ascii="Verdana" w:eastAsia="Times New Roman" w:hAnsi="Verdana" w:cs="Times New Roman"/>
        <w:b/>
        <w:bCs/>
        <w:sz w:val="16"/>
        <w:szCs w:val="16"/>
        <w:lang w:val="es-ES"/>
      </w:rPr>
      <w:t xml:space="preserve">pág. </w:t>
    </w:r>
    <w:r w:rsidRPr="00C01DCE">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C01DCE">
      <w:rPr>
        <w:rFonts w:ascii="Verdana" w:eastAsia="Times New Roman" w:hAnsi="Verdana"/>
        <w:b/>
        <w:bCs/>
        <w:sz w:val="16"/>
        <w:szCs w:val="16"/>
      </w:rPr>
      <w:fldChar w:fldCharType="separate"/>
    </w:r>
    <w:r w:rsidRPr="00C01DCE">
      <w:rPr>
        <w:rFonts w:ascii="Verdana" w:eastAsia="Times New Roman" w:hAnsi="Verdana"/>
        <w:b/>
        <w:bCs/>
        <w:sz w:val="16"/>
        <w:szCs w:val="16"/>
      </w:rPr>
      <w:t>1</w:t>
    </w:r>
    <w:r w:rsidRPr="00C01DCE">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8CC333" w14:textId="77777777" w:rsidR="00CD2AAE" w:rsidRDefault="00CD2AAE" w:rsidP="004A1847">
      <w:pPr>
        <w:spacing w:after="0" w:line="240" w:lineRule="auto"/>
      </w:pPr>
      <w:r>
        <w:separator/>
      </w:r>
    </w:p>
  </w:footnote>
  <w:footnote w:type="continuationSeparator" w:id="0">
    <w:p w14:paraId="72BDA25E" w14:textId="77777777" w:rsidR="00CD2AAE" w:rsidRDefault="00CD2AAE" w:rsidP="004A1847">
      <w:pPr>
        <w:spacing w:after="0" w:line="240" w:lineRule="auto"/>
      </w:pPr>
      <w:r>
        <w:continuationSeparator/>
      </w:r>
    </w:p>
  </w:footnote>
  <w:footnote w:type="continuationNotice" w:id="1">
    <w:p w14:paraId="6D7FEC34" w14:textId="77777777" w:rsidR="00CD2AAE" w:rsidRDefault="00CD2AAE">
      <w:pPr>
        <w:spacing w:after="0" w:line="240" w:lineRule="auto"/>
      </w:pPr>
    </w:p>
  </w:footnote>
  <w:footnote w:id="2">
    <w:p w14:paraId="1FDED85E" w14:textId="77777777" w:rsidR="003D73A9" w:rsidRPr="00D55A0F" w:rsidRDefault="003D73A9" w:rsidP="003D73A9">
      <w:pPr>
        <w:pStyle w:val="paragraph"/>
        <w:spacing w:before="0" w:beforeAutospacing="0" w:after="0" w:afterAutospacing="0"/>
        <w:ind w:firstLine="709"/>
        <w:jc w:val="both"/>
        <w:textAlignment w:val="baseline"/>
        <w:rPr>
          <w:rFonts w:ascii="Verdana" w:hAnsi="Verdana" w:cs="Arial"/>
          <w:color w:val="000000"/>
          <w:sz w:val="18"/>
          <w:szCs w:val="18"/>
        </w:rPr>
      </w:pPr>
      <w:r w:rsidRPr="00D55A0F">
        <w:rPr>
          <w:rStyle w:val="Refdenotaalpie"/>
          <w:rFonts w:ascii="Verdana" w:eastAsia="Yu Gothic Light" w:hAnsi="Verdana" w:cs="Arial"/>
          <w:color w:val="000000"/>
          <w:sz w:val="18"/>
          <w:szCs w:val="18"/>
        </w:rPr>
        <w:footnoteRef/>
      </w:r>
      <w:r w:rsidRPr="00D55A0F">
        <w:rPr>
          <w:rFonts w:ascii="Verdana" w:hAnsi="Verdana" w:cs="Arial"/>
          <w:color w:val="000000"/>
          <w:sz w:val="18"/>
          <w:szCs w:val="18"/>
        </w:rPr>
        <w:t xml:space="preserve"> </w:t>
      </w:r>
      <w:r w:rsidRPr="00D55A0F">
        <w:rPr>
          <w:rFonts w:ascii="Verdana" w:hAnsi="Verdana" w:cs="Arial"/>
          <w:color w:val="000000"/>
          <w:sz w:val="18"/>
          <w:szCs w:val="18"/>
          <w:lang w:val="es-ES"/>
        </w:rPr>
        <w:t>Ley 489 de 1998, artículo 38, numeral 2, literal f, y artículo 68, numeral 2: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Pr="00D55A0F">
        <w:rPr>
          <w:rFonts w:ascii="Verdana" w:hAnsi="Verdana" w:cs="Arial"/>
          <w:color w:val="000000"/>
          <w:sz w:val="18"/>
          <w:szCs w:val="18"/>
        </w:rPr>
        <w:t>  </w:t>
      </w:r>
    </w:p>
  </w:footnote>
  <w:footnote w:id="3">
    <w:p w14:paraId="431F3E41" w14:textId="77777777" w:rsidR="003D73A9" w:rsidRPr="00D55A0F" w:rsidRDefault="003D73A9" w:rsidP="003D73A9">
      <w:pPr>
        <w:spacing w:after="0"/>
        <w:ind w:firstLine="709"/>
        <w:jc w:val="both"/>
        <w:rPr>
          <w:rFonts w:ascii="Verdana" w:hAnsi="Verdana" w:cs="Arial"/>
          <w:color w:val="000000"/>
          <w:sz w:val="18"/>
          <w:szCs w:val="18"/>
          <w:lang w:val="es-ES" w:eastAsia="es-MX"/>
        </w:rPr>
      </w:pPr>
    </w:p>
    <w:p w14:paraId="5F29BBA8" w14:textId="46A5FF20" w:rsidR="008A6ECD" w:rsidRDefault="003D73A9" w:rsidP="00D55A0F">
      <w:pPr>
        <w:spacing w:after="0"/>
        <w:ind w:firstLine="709"/>
        <w:jc w:val="both"/>
        <w:rPr>
          <w:rFonts w:ascii="Verdana" w:hAnsi="Verdana" w:cs="Arial"/>
          <w:color w:val="000000"/>
          <w:sz w:val="18"/>
          <w:szCs w:val="18"/>
          <w:lang w:val="es-ES" w:eastAsia="es-MX"/>
        </w:rPr>
      </w:pPr>
      <w:r w:rsidRPr="00D55A0F">
        <w:rPr>
          <w:rStyle w:val="Refdenotaalpie"/>
          <w:rFonts w:ascii="Verdana" w:hAnsi="Verdana" w:cs="Arial"/>
          <w:color w:val="000000"/>
          <w:sz w:val="18"/>
          <w:szCs w:val="18"/>
        </w:rPr>
        <w:footnoteRef/>
      </w:r>
      <w:r w:rsidRPr="00D55A0F">
        <w:rPr>
          <w:rFonts w:ascii="Verdana" w:hAnsi="Verdana" w:cs="Arial"/>
          <w:color w:val="000000"/>
          <w:sz w:val="18"/>
          <w:szCs w:val="18"/>
          <w:lang w:val="es-ES" w:eastAsia="es-MX"/>
        </w:rPr>
        <w:t xml:space="preserve"> Así lo establece la Constitución Política, en el</w:t>
      </w:r>
      <w:r w:rsidR="008A6ECD" w:rsidRPr="00D55A0F">
        <w:rPr>
          <w:rFonts w:ascii="Verdana" w:hAnsi="Verdana" w:cs="Arial"/>
          <w:color w:val="000000"/>
          <w:sz w:val="18"/>
          <w:szCs w:val="18"/>
          <w:lang w:val="es-ES" w:eastAsia="es-MX"/>
        </w:rPr>
        <w:t xml:space="preserve"> </w:t>
      </w:r>
      <w:r w:rsidRPr="00D55A0F">
        <w:rPr>
          <w:rFonts w:ascii="Verdana" w:hAnsi="Verdana" w:cs="Arial"/>
          <w:color w:val="000000"/>
          <w:sz w:val="18"/>
          <w:szCs w:val="18"/>
          <w:lang w:val="es-ES" w:eastAsia="es-MX"/>
        </w:rPr>
        <w:t>artículo 150, numeral 7, así como en el artículo 300, numeral 7 y en el artículo 313, numeral 6.</w:t>
      </w:r>
    </w:p>
    <w:p w14:paraId="56F0FFA4" w14:textId="77777777" w:rsidR="00D55A0F" w:rsidRPr="00D55A0F" w:rsidRDefault="00D55A0F" w:rsidP="00D55A0F">
      <w:pPr>
        <w:spacing w:after="0"/>
        <w:ind w:firstLine="709"/>
        <w:jc w:val="both"/>
        <w:rPr>
          <w:rFonts w:ascii="Verdana" w:hAnsi="Verdana" w:cs="Arial"/>
          <w:color w:val="000000"/>
          <w:sz w:val="18"/>
          <w:szCs w:val="18"/>
          <w:lang w:val="es-ES" w:eastAsia="es-MX"/>
        </w:rPr>
      </w:pPr>
    </w:p>
  </w:footnote>
  <w:footnote w:id="4">
    <w:p w14:paraId="10923184" w14:textId="77777777" w:rsidR="00087192" w:rsidRPr="00D55A0F" w:rsidRDefault="00087192" w:rsidP="00087192">
      <w:pPr>
        <w:pStyle w:val="Textonotapie"/>
        <w:ind w:firstLine="708"/>
        <w:jc w:val="both"/>
        <w:rPr>
          <w:rFonts w:ascii="Verdana" w:hAnsi="Verdana" w:cs="Arial"/>
          <w:sz w:val="18"/>
          <w:szCs w:val="18"/>
        </w:rPr>
      </w:pPr>
      <w:r w:rsidRPr="00D55A0F">
        <w:rPr>
          <w:rStyle w:val="Refdenotaalpie"/>
          <w:rFonts w:ascii="Verdana" w:hAnsi="Verdana" w:cs="Arial"/>
          <w:sz w:val="18"/>
          <w:szCs w:val="18"/>
        </w:rPr>
        <w:footnoteRef/>
      </w:r>
      <w:r w:rsidRPr="00D55A0F">
        <w:rPr>
          <w:rFonts w:ascii="Verdana" w:hAnsi="Verdana" w:cs="Arial"/>
          <w:sz w:val="18"/>
          <w:szCs w:val="18"/>
        </w:rPr>
        <w:t xml:space="preserve"> Ley 80 de 1993, artículo 2, literal a):</w:t>
      </w:r>
      <w:bookmarkStart w:id="1" w:name="2"/>
      <w:r w:rsidRPr="00D55A0F">
        <w:rPr>
          <w:rFonts w:ascii="Verdana" w:hAnsi="Verdana" w:cs="Arial"/>
          <w:sz w:val="18"/>
          <w:szCs w:val="18"/>
        </w:rPr>
        <w:t xml:space="preserve"> “Artículo 2o. de la definición de entidades, servidores y servicios públicos. </w:t>
      </w:r>
      <w:bookmarkEnd w:id="1"/>
      <w:r w:rsidRPr="00D55A0F">
        <w:rPr>
          <w:rFonts w:ascii="Verdana" w:hAnsi="Verdana" w:cs="Arial"/>
          <w:sz w:val="18"/>
          <w:szCs w:val="18"/>
        </w:rPr>
        <w:t>Para los solos efectos de esta ley:</w:t>
      </w:r>
    </w:p>
    <w:p w14:paraId="53825EAF" w14:textId="77777777" w:rsidR="00087192" w:rsidRPr="00D55A0F" w:rsidRDefault="00087192" w:rsidP="00087192">
      <w:pPr>
        <w:pStyle w:val="Textonotapie"/>
        <w:ind w:firstLine="708"/>
        <w:jc w:val="both"/>
        <w:rPr>
          <w:rFonts w:ascii="Verdana" w:hAnsi="Verdana" w:cs="Arial"/>
          <w:sz w:val="18"/>
          <w:szCs w:val="18"/>
        </w:rPr>
      </w:pPr>
      <w:r w:rsidRPr="00D55A0F">
        <w:rPr>
          <w:rFonts w:ascii="Verdana" w:hAnsi="Verdana" w:cs="Arial"/>
          <w:sz w:val="18"/>
          <w:szCs w:val="18"/>
        </w:rPr>
        <w:t>1o. Se denominan entidades estatales:</w:t>
      </w:r>
    </w:p>
    <w:p w14:paraId="4B772F39" w14:textId="77777777" w:rsidR="00087192" w:rsidRPr="00D55A0F" w:rsidRDefault="00087192" w:rsidP="00087192">
      <w:pPr>
        <w:pStyle w:val="Textonotapie"/>
        <w:ind w:firstLine="708"/>
        <w:jc w:val="both"/>
        <w:rPr>
          <w:rFonts w:ascii="Verdana" w:hAnsi="Verdana" w:cs="Arial"/>
          <w:sz w:val="18"/>
          <w:szCs w:val="18"/>
        </w:rPr>
      </w:pPr>
      <w:r w:rsidRPr="00D55A0F">
        <w:rPr>
          <w:rFonts w:ascii="Verdana" w:hAnsi="Verdana" w:cs="Arial"/>
          <w:sz w:val="18"/>
          <w:szCs w:val="18"/>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365B7AC5" w14:textId="77777777" w:rsidR="00087192" w:rsidRPr="00D55A0F" w:rsidRDefault="00087192" w:rsidP="00087192">
      <w:pPr>
        <w:pStyle w:val="Textonotapie"/>
        <w:ind w:firstLine="708"/>
        <w:jc w:val="both"/>
        <w:rPr>
          <w:rFonts w:ascii="Verdana" w:hAnsi="Verdana" w:cs="Arial"/>
          <w:sz w:val="18"/>
          <w:szCs w:val="18"/>
        </w:rPr>
      </w:pPr>
      <w:r w:rsidRPr="00D55A0F">
        <w:rPr>
          <w:rFonts w:ascii="Verdana" w:hAnsi="Verdana" w:cs="Arial"/>
          <w:sz w:val="18"/>
          <w:szCs w:val="18"/>
        </w:rPr>
        <w:t>[…]”.</w:t>
      </w:r>
    </w:p>
  </w:footnote>
  <w:footnote w:id="5">
    <w:p w14:paraId="5026A0B2" w14:textId="77777777" w:rsidR="00AD7236" w:rsidRPr="00D55A0F" w:rsidRDefault="00AD7236" w:rsidP="00AD7236">
      <w:pPr>
        <w:pStyle w:val="Textonotapie"/>
        <w:ind w:firstLine="708"/>
        <w:jc w:val="both"/>
        <w:rPr>
          <w:rFonts w:ascii="Verdana" w:hAnsi="Verdana" w:cs="Arial"/>
          <w:sz w:val="18"/>
          <w:szCs w:val="18"/>
        </w:rPr>
      </w:pPr>
    </w:p>
    <w:p w14:paraId="74EFB0FD" w14:textId="77777777" w:rsidR="00AD7236" w:rsidRPr="00536A44" w:rsidRDefault="00AD7236" w:rsidP="00AD7236">
      <w:pPr>
        <w:pStyle w:val="Textonotapie"/>
        <w:ind w:firstLine="708"/>
        <w:jc w:val="both"/>
        <w:rPr>
          <w:rFonts w:ascii="Verdana" w:hAnsi="Verdana" w:cs="Arial"/>
          <w:sz w:val="16"/>
          <w:szCs w:val="16"/>
        </w:rPr>
      </w:pPr>
      <w:r w:rsidRPr="00D55A0F">
        <w:rPr>
          <w:rStyle w:val="Refdenotaalpie"/>
          <w:rFonts w:ascii="Verdana" w:hAnsi="Verdana" w:cs="Arial"/>
          <w:sz w:val="18"/>
          <w:szCs w:val="18"/>
        </w:rPr>
        <w:footnoteRef/>
      </w:r>
      <w:r w:rsidRPr="00D55A0F">
        <w:rPr>
          <w:rFonts w:ascii="Verdana" w:hAnsi="Verdana" w:cs="Arial"/>
          <w:sz w:val="18"/>
          <w:szCs w:val="18"/>
        </w:rPr>
        <w:t xml:space="preserve"> Ley 1150 de 2007, artículo 14: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9264"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7216"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Default="004A305D" w:rsidP="00B01B1A">
    <w:pPr>
      <w:spacing w:after="0" w:line="120" w:lineRule="auto"/>
      <w:rPr>
        <w:rFonts w:ascii="Verdana" w:hAnsi="Verdana"/>
        <w:b/>
        <w:bCs/>
      </w:rPr>
    </w:pPr>
  </w:p>
  <w:p w14:paraId="07723EAF" w14:textId="77777777" w:rsidR="00F60917" w:rsidRPr="004A305D" w:rsidRDefault="00F60917"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A892500"/>
    <w:multiLevelType w:val="hybridMultilevel"/>
    <w:tmpl w:val="516295F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7B1080"/>
    <w:multiLevelType w:val="hybridMultilevel"/>
    <w:tmpl w:val="80B2A1A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1442605298">
    <w:abstractNumId w:val="10"/>
  </w:num>
  <w:num w:numId="18" w16cid:durableId="12545130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5A61"/>
    <w:rsid w:val="00046945"/>
    <w:rsid w:val="00046CCF"/>
    <w:rsid w:val="0004747F"/>
    <w:rsid w:val="00047C2C"/>
    <w:rsid w:val="00061B2A"/>
    <w:rsid w:val="00082362"/>
    <w:rsid w:val="00087192"/>
    <w:rsid w:val="000A683E"/>
    <w:rsid w:val="000B19B9"/>
    <w:rsid w:val="000C2317"/>
    <w:rsid w:val="000D0334"/>
    <w:rsid w:val="000F6486"/>
    <w:rsid w:val="0011752B"/>
    <w:rsid w:val="00125105"/>
    <w:rsid w:val="00127233"/>
    <w:rsid w:val="001277DA"/>
    <w:rsid w:val="001511A0"/>
    <w:rsid w:val="00176B34"/>
    <w:rsid w:val="001A6750"/>
    <w:rsid w:val="001E4177"/>
    <w:rsid w:val="001F7DC6"/>
    <w:rsid w:val="002421BB"/>
    <w:rsid w:val="00252DAC"/>
    <w:rsid w:val="0025796E"/>
    <w:rsid w:val="002707A2"/>
    <w:rsid w:val="00272FFE"/>
    <w:rsid w:val="002951A0"/>
    <w:rsid w:val="002962BC"/>
    <w:rsid w:val="002A093D"/>
    <w:rsid w:val="002A0DD0"/>
    <w:rsid w:val="002A49AC"/>
    <w:rsid w:val="002A64FD"/>
    <w:rsid w:val="002B7654"/>
    <w:rsid w:val="002C2F63"/>
    <w:rsid w:val="002C7A84"/>
    <w:rsid w:val="002E4FD9"/>
    <w:rsid w:val="002F4CAD"/>
    <w:rsid w:val="00322A85"/>
    <w:rsid w:val="00324168"/>
    <w:rsid w:val="003448F4"/>
    <w:rsid w:val="00374F5E"/>
    <w:rsid w:val="00377E3E"/>
    <w:rsid w:val="00397D3F"/>
    <w:rsid w:val="003A779E"/>
    <w:rsid w:val="003B5149"/>
    <w:rsid w:val="003D0F4D"/>
    <w:rsid w:val="003D5B0D"/>
    <w:rsid w:val="003D73A9"/>
    <w:rsid w:val="003E0499"/>
    <w:rsid w:val="003F3941"/>
    <w:rsid w:val="003F6715"/>
    <w:rsid w:val="004042FB"/>
    <w:rsid w:val="00406575"/>
    <w:rsid w:val="00414C74"/>
    <w:rsid w:val="0041612D"/>
    <w:rsid w:val="0042361E"/>
    <w:rsid w:val="0042722E"/>
    <w:rsid w:val="00434030"/>
    <w:rsid w:val="00443A14"/>
    <w:rsid w:val="0044528D"/>
    <w:rsid w:val="004A1847"/>
    <w:rsid w:val="004A305D"/>
    <w:rsid w:val="004C1348"/>
    <w:rsid w:val="004F21C4"/>
    <w:rsid w:val="004F685F"/>
    <w:rsid w:val="00536A44"/>
    <w:rsid w:val="005566E8"/>
    <w:rsid w:val="005700BE"/>
    <w:rsid w:val="00574867"/>
    <w:rsid w:val="00591460"/>
    <w:rsid w:val="005B06DD"/>
    <w:rsid w:val="005B3816"/>
    <w:rsid w:val="005C3777"/>
    <w:rsid w:val="005C5CDC"/>
    <w:rsid w:val="005D476C"/>
    <w:rsid w:val="005D5B2E"/>
    <w:rsid w:val="005D71FD"/>
    <w:rsid w:val="00615899"/>
    <w:rsid w:val="006219F8"/>
    <w:rsid w:val="00631326"/>
    <w:rsid w:val="00665D70"/>
    <w:rsid w:val="006900D9"/>
    <w:rsid w:val="006933D2"/>
    <w:rsid w:val="006E53A6"/>
    <w:rsid w:val="006F5234"/>
    <w:rsid w:val="00706C16"/>
    <w:rsid w:val="007202FB"/>
    <w:rsid w:val="00724D7B"/>
    <w:rsid w:val="007354AF"/>
    <w:rsid w:val="0074737E"/>
    <w:rsid w:val="00756841"/>
    <w:rsid w:val="00763CD4"/>
    <w:rsid w:val="007649AB"/>
    <w:rsid w:val="00771D0C"/>
    <w:rsid w:val="007833AC"/>
    <w:rsid w:val="007A4E03"/>
    <w:rsid w:val="007B268C"/>
    <w:rsid w:val="007B7171"/>
    <w:rsid w:val="007C0C0F"/>
    <w:rsid w:val="007C3DC2"/>
    <w:rsid w:val="007E5497"/>
    <w:rsid w:val="00806F5F"/>
    <w:rsid w:val="00810A7C"/>
    <w:rsid w:val="00820278"/>
    <w:rsid w:val="00824917"/>
    <w:rsid w:val="0083123E"/>
    <w:rsid w:val="0084333F"/>
    <w:rsid w:val="008508C9"/>
    <w:rsid w:val="00867F95"/>
    <w:rsid w:val="00880AAF"/>
    <w:rsid w:val="008843B6"/>
    <w:rsid w:val="00891928"/>
    <w:rsid w:val="008A1008"/>
    <w:rsid w:val="008A446D"/>
    <w:rsid w:val="008A6ECD"/>
    <w:rsid w:val="008A7A41"/>
    <w:rsid w:val="008D180B"/>
    <w:rsid w:val="008F0EA7"/>
    <w:rsid w:val="00923EEF"/>
    <w:rsid w:val="009305ED"/>
    <w:rsid w:val="009419F9"/>
    <w:rsid w:val="009459D9"/>
    <w:rsid w:val="00955630"/>
    <w:rsid w:val="0095685E"/>
    <w:rsid w:val="00961B09"/>
    <w:rsid w:val="00961E4E"/>
    <w:rsid w:val="00965334"/>
    <w:rsid w:val="0097093E"/>
    <w:rsid w:val="00986AC5"/>
    <w:rsid w:val="009A0DFA"/>
    <w:rsid w:val="009B2D26"/>
    <w:rsid w:val="009C71FA"/>
    <w:rsid w:val="009C72E7"/>
    <w:rsid w:val="009D3058"/>
    <w:rsid w:val="009F3A13"/>
    <w:rsid w:val="00A0353F"/>
    <w:rsid w:val="00A056EE"/>
    <w:rsid w:val="00A07C2F"/>
    <w:rsid w:val="00A122D3"/>
    <w:rsid w:val="00A17F13"/>
    <w:rsid w:val="00A20739"/>
    <w:rsid w:val="00A26FFB"/>
    <w:rsid w:val="00A33C78"/>
    <w:rsid w:val="00AB0ADB"/>
    <w:rsid w:val="00AD7236"/>
    <w:rsid w:val="00B01B1A"/>
    <w:rsid w:val="00B06CC9"/>
    <w:rsid w:val="00B10889"/>
    <w:rsid w:val="00B66319"/>
    <w:rsid w:val="00B72CD3"/>
    <w:rsid w:val="00B72FFF"/>
    <w:rsid w:val="00B95619"/>
    <w:rsid w:val="00BB1497"/>
    <w:rsid w:val="00BC2BF6"/>
    <w:rsid w:val="00BC3D36"/>
    <w:rsid w:val="00BC5696"/>
    <w:rsid w:val="00BD7F72"/>
    <w:rsid w:val="00C01DCE"/>
    <w:rsid w:val="00C04FB3"/>
    <w:rsid w:val="00C205D2"/>
    <w:rsid w:val="00C330EB"/>
    <w:rsid w:val="00C41061"/>
    <w:rsid w:val="00C754BE"/>
    <w:rsid w:val="00C76B1C"/>
    <w:rsid w:val="00C94A9E"/>
    <w:rsid w:val="00CB6357"/>
    <w:rsid w:val="00CC1B26"/>
    <w:rsid w:val="00CD2AAE"/>
    <w:rsid w:val="00D423A2"/>
    <w:rsid w:val="00D520D8"/>
    <w:rsid w:val="00D55A0F"/>
    <w:rsid w:val="00D63AC2"/>
    <w:rsid w:val="00D7383B"/>
    <w:rsid w:val="00DA231B"/>
    <w:rsid w:val="00DB4C60"/>
    <w:rsid w:val="00DC39FC"/>
    <w:rsid w:val="00DD0CDB"/>
    <w:rsid w:val="00DD4156"/>
    <w:rsid w:val="00DE68DA"/>
    <w:rsid w:val="00DF1CD7"/>
    <w:rsid w:val="00DF5254"/>
    <w:rsid w:val="00E16408"/>
    <w:rsid w:val="00E20894"/>
    <w:rsid w:val="00E21B43"/>
    <w:rsid w:val="00E245AB"/>
    <w:rsid w:val="00E2764C"/>
    <w:rsid w:val="00E27F2E"/>
    <w:rsid w:val="00E44B26"/>
    <w:rsid w:val="00E50AFE"/>
    <w:rsid w:val="00E75C92"/>
    <w:rsid w:val="00E771DC"/>
    <w:rsid w:val="00E8772A"/>
    <w:rsid w:val="00E90F6B"/>
    <w:rsid w:val="00E92C27"/>
    <w:rsid w:val="00EA0E3D"/>
    <w:rsid w:val="00EB01CB"/>
    <w:rsid w:val="00EC38A7"/>
    <w:rsid w:val="00ED7384"/>
    <w:rsid w:val="00EE0345"/>
    <w:rsid w:val="00EE1AA8"/>
    <w:rsid w:val="00EF7549"/>
    <w:rsid w:val="00F130D1"/>
    <w:rsid w:val="00F27249"/>
    <w:rsid w:val="00F31EDC"/>
    <w:rsid w:val="00F462B3"/>
    <w:rsid w:val="00F5664F"/>
    <w:rsid w:val="00F60917"/>
    <w:rsid w:val="00F666C4"/>
    <w:rsid w:val="00F67994"/>
    <w:rsid w:val="00F74A64"/>
    <w:rsid w:val="00F76AFC"/>
    <w:rsid w:val="00FA47C0"/>
    <w:rsid w:val="00FB5DD1"/>
    <w:rsid w:val="00FC2B5D"/>
    <w:rsid w:val="00FD3A92"/>
    <w:rsid w:val="00FE040E"/>
    <w:rsid w:val="00FE0F5B"/>
    <w:rsid w:val="00FF0E39"/>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202FB"/>
    <w:rPr>
      <w:rFonts w:ascii="Geomanist Light" w:hAnsi="Geomanist Light"/>
      <w:lang w:val="es-ES"/>
    </w:rPr>
  </w:style>
  <w:style w:type="paragraph" w:customStyle="1" w:styleId="Appelnotedebasde">
    <w:name w:val="Appel note de bas de..."/>
    <w:basedOn w:val="Normal"/>
    <w:link w:val="Refdenotaalpie"/>
    <w:uiPriority w:val="99"/>
    <w:rsid w:val="003D73A9"/>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69070">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21724187">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615476431">
      <w:bodyDiv w:val="1"/>
      <w:marLeft w:val="0"/>
      <w:marRight w:val="0"/>
      <w:marTop w:val="0"/>
      <w:marBottom w:val="0"/>
      <w:divBdr>
        <w:top w:val="none" w:sz="0" w:space="0" w:color="auto"/>
        <w:left w:val="none" w:sz="0" w:space="0" w:color="auto"/>
        <w:bottom w:val="none" w:sz="0" w:space="0" w:color="auto"/>
        <w:right w:val="none" w:sz="0" w:space="0" w:color="auto"/>
      </w:divBdr>
    </w:div>
    <w:div w:id="1658651912">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ites%2Fcce_public%2Ffiles%2Fcce_documents%2Fmanual_para_el_manejo_de_acuerdos_comerciales_vf.pdf&amp;data=05%7C02%7Cana.ortizb%40colombiacompra.gov.co%7C6192b0470d324981a09708dd0a6c28db%7C7b09041e245149d08cb179d5e3d8c1be%7C0%7C0%7C638678181870208042%7CUnknown%7CTWFpbGZsb3d8eyJFbXB0eU1hcGkiOnRydWUsIlYiOiIwLjAuMDAwMCIsIlAiOiJXaW4zMiIsIkFOIjoiTWFpbCIsIldUIjoyfQ%3D%3D%7C0%7C%7C%7C&amp;sdata=T2aU0Q5vXhbYrL0XWa%2BoLFPWSByM6GrIG1Uv0bDGk%2FA%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nithflorezgarcia@g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ala-de-prensa%2Fboletin-digital&amp;data=05%7C02%7Cana.ortizb%40colombiacompra.gov.co%7C6192b0470d324981a09708dd0a6c28db%7C7b09041e245149d08cb179d5e3d8c1be%7C0%7C0%7C638678181870275682%7CUnknown%7CTWFpbGZsb3d8eyJFbXB0eU1hcGkiOnRydWUsIlYiOiIwLjAuMDAwMCIsIlAiOiJXaW4zMiIsIkFOIjoiTWFpbCIsIldUIjoyfQ%3D%3D%7C0%7C%7C%7C&amp;sdata=p0GFj1VBUfthqd8T5xnFB7dri6l2lgXegV4TNtfJ5Gc%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82CBBB-D277-4583-95AD-EB152FBA6E3E}"/>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2116</Words>
  <Characters>11642</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13731</CharactersWithSpaces>
  <SharedDoc>false</SharedDoc>
  <HLinks>
    <vt:vector size="6" baseType="variant">
      <vt:variant>
        <vt:i4>6619205</vt:i4>
      </vt:variant>
      <vt:variant>
        <vt:i4>0</vt:i4>
      </vt:variant>
      <vt:variant>
        <vt:i4>0</vt:i4>
      </vt:variant>
      <vt:variant>
        <vt:i4>5</vt:i4>
      </vt:variant>
      <vt:variant>
        <vt:lpwstr>mailto:enithflorezgarcia@gmail.com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Subdirección de Gestión Contractual -ANCP-CCE</cp:lastModifiedBy>
  <cp:revision>8</cp:revision>
  <cp:lastPrinted>2023-01-10T21:18:00Z</cp:lastPrinted>
  <dcterms:created xsi:type="dcterms:W3CDTF">2024-12-05T01:54:00Z</dcterms:created>
  <dcterms:modified xsi:type="dcterms:W3CDTF">2024-12-10T23:24:00Z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