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3C63A" w14:textId="77777777" w:rsidR="00B67B2D" w:rsidRDefault="00B67B2D" w:rsidP="00B67B2D">
      <w:pPr>
        <w:spacing w:after="0" w:line="240" w:lineRule="auto"/>
        <w:jc w:val="both"/>
        <w:rPr>
          <w:rFonts w:ascii="Century Gothic" w:eastAsia="Calibri" w:hAnsi="Century Gothic" w:cs="Arial"/>
          <w:b/>
          <w:sz w:val="20"/>
          <w:szCs w:val="20"/>
          <w:lang w:val="es-ES_tradnl"/>
        </w:rPr>
      </w:pPr>
      <w:r w:rsidRPr="00B67B2D">
        <w:rPr>
          <w:rFonts w:ascii="Century Gothic" w:eastAsia="Calibri" w:hAnsi="Century Gothic" w:cs="Arial"/>
          <w:b/>
          <w:sz w:val="20"/>
          <w:szCs w:val="20"/>
          <w:lang w:val="es-ES_tradnl"/>
        </w:rPr>
        <w:t xml:space="preserve"> </w:t>
      </w:r>
    </w:p>
    <w:p w14:paraId="65C0D922" w14:textId="77777777" w:rsidR="00CE0BBC" w:rsidRPr="00D65296" w:rsidRDefault="00CE0BBC" w:rsidP="00CE0BBC">
      <w:pPr>
        <w:spacing w:after="0" w:line="240" w:lineRule="auto"/>
        <w:jc w:val="both"/>
        <w:rPr>
          <w:rFonts w:ascii="Verdana" w:eastAsia="Calibri" w:hAnsi="Verdana" w:cs="Arial"/>
          <w:b/>
          <w:color w:val="000000"/>
          <w:lang w:val="es-ES_tradnl"/>
        </w:rPr>
      </w:pPr>
      <w:r w:rsidRPr="00D65296">
        <w:rPr>
          <w:rFonts w:ascii="Verdana" w:eastAsia="Calibri" w:hAnsi="Verdana" w:cs="Arial"/>
          <w:b/>
          <w:color w:val="000000"/>
          <w:lang w:val="es-ES_tradnl"/>
        </w:rPr>
        <w:t>PLAN ANUAL DE ADQUISICIONES – Noción – Guía para elaborar el plan anual de adquisiciones – Obligatoriedad de elaboración</w:t>
      </w:r>
    </w:p>
    <w:p w14:paraId="3256D2BB" w14:textId="77777777" w:rsidR="00CE0BBC" w:rsidRPr="00B52642" w:rsidRDefault="00CE0BBC" w:rsidP="00CE0BBC">
      <w:pPr>
        <w:spacing w:after="0" w:line="240" w:lineRule="auto"/>
        <w:jc w:val="both"/>
        <w:rPr>
          <w:rFonts w:ascii="Verdana" w:eastAsia="Calibri" w:hAnsi="Verdana" w:cs="Arial"/>
          <w:b/>
          <w:color w:val="000000"/>
          <w:sz w:val="20"/>
          <w:szCs w:val="20"/>
          <w:lang w:val="es-ES_tradnl"/>
        </w:rPr>
      </w:pPr>
    </w:p>
    <w:p w14:paraId="47DF208E" w14:textId="77777777" w:rsidR="00CE0BBC" w:rsidRPr="00B52642" w:rsidRDefault="00CE0BBC" w:rsidP="00CE0BBC">
      <w:pPr>
        <w:spacing w:after="0" w:line="240" w:lineRule="auto"/>
        <w:jc w:val="both"/>
        <w:rPr>
          <w:rFonts w:ascii="Verdana" w:eastAsia="Calibri" w:hAnsi="Verdana" w:cs="Arial"/>
          <w:bCs/>
          <w:color w:val="000000"/>
          <w:sz w:val="20"/>
          <w:szCs w:val="20"/>
          <w:lang w:val="es-ES_tradnl"/>
        </w:rPr>
      </w:pPr>
      <w:r w:rsidRPr="00B52642">
        <w:rPr>
          <w:rFonts w:ascii="Verdana" w:eastAsia="Calibri" w:hAnsi="Verdana" w:cs="Arial"/>
          <w:bCs/>
          <w:color w:val="000000"/>
          <w:sz w:val="20"/>
          <w:szCs w:val="20"/>
          <w:lang w:val="es-ES_tradnl"/>
        </w:rPr>
        <w:t>La Guía para elaborar el Plan Anual de Adquisiciones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p>
    <w:p w14:paraId="55F0D282" w14:textId="77777777" w:rsidR="00CE0BBC" w:rsidRPr="00B52642" w:rsidRDefault="00CE0BBC" w:rsidP="00CE0BBC">
      <w:pPr>
        <w:spacing w:after="0" w:line="240" w:lineRule="auto"/>
        <w:jc w:val="both"/>
        <w:rPr>
          <w:rFonts w:ascii="Verdana" w:eastAsia="Calibri" w:hAnsi="Verdana" w:cs="Arial"/>
          <w:bCs/>
          <w:color w:val="000000"/>
          <w:sz w:val="20"/>
          <w:szCs w:val="20"/>
          <w:lang w:val="es-ES_tradnl"/>
        </w:rPr>
      </w:pPr>
      <w:r w:rsidRPr="00B52642">
        <w:rPr>
          <w:rFonts w:ascii="Verdana" w:eastAsia="Calibri" w:hAnsi="Verdana" w:cs="Arial"/>
          <w:bCs/>
          <w:color w:val="000000"/>
          <w:sz w:val="20"/>
          <w:szCs w:val="20"/>
          <w:lang w:val="es-ES_tradnl"/>
        </w:rPr>
        <w:t>[…]</w:t>
      </w:r>
    </w:p>
    <w:p w14:paraId="12C8A6C9" w14:textId="77777777" w:rsidR="00CE0BBC" w:rsidRPr="00B52642" w:rsidRDefault="00CE0BBC" w:rsidP="00CE0BBC">
      <w:pPr>
        <w:spacing w:after="0" w:line="240" w:lineRule="auto"/>
        <w:jc w:val="both"/>
        <w:textAlignment w:val="baseline"/>
        <w:rPr>
          <w:rFonts w:ascii="Verdana" w:eastAsia="Times New Roman" w:hAnsi="Verdana" w:cs="Arial"/>
          <w:color w:val="000000"/>
          <w:sz w:val="20"/>
          <w:szCs w:val="20"/>
          <w:lang w:val="es-ES" w:eastAsia="es-CO"/>
        </w:rPr>
      </w:pPr>
      <w:r w:rsidRPr="00B52642">
        <w:rPr>
          <w:rFonts w:ascii="Verdana" w:eastAsia="Calibri" w:hAnsi="Verdana" w:cs="Arial"/>
          <w:sz w:val="20"/>
          <w:szCs w:val="20"/>
          <w:lang w:val="es-ES_tradnl" w:eastAsia="es-CO"/>
        </w:rPr>
        <w:t>[E]</w:t>
      </w:r>
      <w:r w:rsidRPr="00B52642">
        <w:rPr>
          <w:rFonts w:ascii="Verdana" w:eastAsia="Times New Roman" w:hAnsi="Verdana" w:cs="Arial"/>
          <w:color w:val="000000"/>
          <w:sz w:val="20"/>
          <w:szCs w:val="20"/>
          <w:lang w:val="es-ES" w:eastAsia="es-CO"/>
        </w:rPr>
        <w:t>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r>
        <w:rPr>
          <w:rFonts w:ascii="Verdana" w:eastAsia="Times New Roman" w:hAnsi="Verdana" w:cs="Arial"/>
          <w:color w:val="000000"/>
          <w:sz w:val="20"/>
          <w:szCs w:val="20"/>
          <w:lang w:val="es-ES" w:eastAsia="es-CO"/>
        </w:rPr>
        <w:t>.</w:t>
      </w:r>
    </w:p>
    <w:p w14:paraId="36B33387" w14:textId="77777777" w:rsidR="00CE0BBC" w:rsidRPr="00B52642" w:rsidRDefault="00CE0BBC" w:rsidP="00CE0BBC">
      <w:pPr>
        <w:spacing w:after="0" w:line="240" w:lineRule="auto"/>
        <w:jc w:val="both"/>
        <w:textAlignment w:val="baseline"/>
        <w:rPr>
          <w:rFonts w:ascii="Verdana" w:eastAsia="Times New Roman" w:hAnsi="Verdana" w:cs="Arial"/>
          <w:color w:val="000000"/>
          <w:sz w:val="20"/>
          <w:szCs w:val="20"/>
          <w:lang w:eastAsia="es-CO"/>
        </w:rPr>
      </w:pPr>
    </w:p>
    <w:p w14:paraId="77C70B89" w14:textId="13CC98F6" w:rsidR="00B67B2D" w:rsidRPr="009C1B7D" w:rsidRDefault="00CE0BBC" w:rsidP="00CE0BBC">
      <w:pPr>
        <w:spacing w:after="0" w:line="240" w:lineRule="auto"/>
        <w:jc w:val="both"/>
        <w:rPr>
          <w:rFonts w:ascii="Verdana" w:eastAsia="Calibri" w:hAnsi="Verdana" w:cs="Arial"/>
          <w:bCs/>
          <w:highlight w:val="yellow"/>
          <w:lang w:val="es-ES_tradnl"/>
        </w:rPr>
      </w:pPr>
      <w:r w:rsidRPr="00B52642">
        <w:rPr>
          <w:rFonts w:ascii="Verdana" w:eastAsia="Aptos" w:hAnsi="Verdana" w:cs="Arial"/>
          <w:color w:val="000000"/>
          <w:sz w:val="20"/>
          <w:szCs w:val="20"/>
          <w:lang w:val="es-ES"/>
        </w:rPr>
        <w:t>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p>
    <w:p w14:paraId="2F794309" w14:textId="5A0D83D0" w:rsidR="00B67B2D" w:rsidRPr="009C1B7D" w:rsidRDefault="00B67B2D" w:rsidP="00B67B2D">
      <w:pPr>
        <w:spacing w:after="0" w:line="240" w:lineRule="auto"/>
        <w:jc w:val="both"/>
        <w:rPr>
          <w:rFonts w:ascii="Verdana" w:eastAsia="Calibri" w:hAnsi="Verdana" w:cs="Arial"/>
          <w:bCs/>
          <w:highlight w:val="yellow"/>
          <w:lang w:val="es-ES_tradnl"/>
        </w:rPr>
      </w:pPr>
    </w:p>
    <w:p w14:paraId="5EB149B6" w14:textId="04DE26C3" w:rsidR="00CE0BBC" w:rsidRPr="00CE0BBC" w:rsidRDefault="00CE0BBC" w:rsidP="00CE0BBC">
      <w:pPr>
        <w:jc w:val="both"/>
        <w:rPr>
          <w:rFonts w:ascii="Verdana" w:hAnsi="Verdana"/>
          <w:b/>
          <w:bCs/>
          <w:lang w:val="es-MX"/>
        </w:rPr>
      </w:pPr>
      <w:r w:rsidRPr="006B0E52">
        <w:rPr>
          <w:rFonts w:ascii="Verdana" w:hAnsi="Verdana"/>
          <w:b/>
          <w:bCs/>
          <w:lang w:val="es-MX"/>
        </w:rPr>
        <w:t>PLAN ANUAL DE ADQUISICIONES – Colombia Compra Eficiente – Circular externa única – Deber de actualización</w:t>
      </w:r>
    </w:p>
    <w:p w14:paraId="5265A88D" w14:textId="77777777" w:rsidR="00CE0BBC" w:rsidRPr="006B0E52" w:rsidRDefault="00CE0BBC" w:rsidP="00CE0BBC">
      <w:pPr>
        <w:jc w:val="both"/>
        <w:rPr>
          <w:rFonts w:ascii="Verdana" w:hAnsi="Verdana"/>
          <w:sz w:val="20"/>
          <w:szCs w:val="20"/>
          <w:lang w:val="es-MX"/>
        </w:rPr>
      </w:pPr>
      <w:r w:rsidRPr="006B0E52">
        <w:rPr>
          <w:rFonts w:ascii="Verdana" w:hAnsi="Verdana"/>
          <w:sz w:val="20"/>
          <w:szCs w:val="20"/>
          <w:lang w:val="es-MX"/>
        </w:rPr>
        <w:t>[…]el numeral 4.6 de la Circular Externa Única, expedida por Agencia Nacional de Contratación Pública – Colombia Compra Eficiente, dispone que las Entidades Estatales deben actualizar su Plan Anual de Adquisiciones en el mes de julio de cada año. La actualización debe publicarse en la página web y en el SECOP, de tal manera que sólo será́ visible el Plan Anual de Adquisiciones actualizado, por lo que la entidad estatal deber</w:t>
      </w:r>
      <w:r w:rsidRPr="006B0E52">
        <w:rPr>
          <w:rFonts w:ascii="Verdana" w:hAnsi="Verdana" w:cs="Geomanist Light"/>
          <w:sz w:val="20"/>
          <w:szCs w:val="20"/>
          <w:lang w:val="es-MX"/>
        </w:rPr>
        <w:t>á</w:t>
      </w:r>
      <w:r w:rsidRPr="006B0E52">
        <w:rPr>
          <w:rFonts w:ascii="Verdana" w:hAnsi="Verdana"/>
          <w:sz w:val="20"/>
          <w:szCs w:val="20"/>
          <w:lang w:val="es-MX"/>
        </w:rPr>
        <w:t xml:space="preserve"> incluir las actualizaciones que estime necesarias y pertinentes para que sean visibles en el plan actualizado. Esto en concordancia con el artículo 2.2.1.1.1.4.4 del Decreto 1082 de 2015, el cual señala que la Entidad Estatal debe actualizar el Plan Anual de Adquisiciones por lo menos una vez durante su vigencia, en la forma y la oportunidad que para el efecto disponga Colombia Compra Eficiente.</w:t>
      </w:r>
    </w:p>
    <w:p w14:paraId="21001678" w14:textId="77777777" w:rsidR="00CE0BBC" w:rsidRPr="006B0E52" w:rsidRDefault="00CE0BBC" w:rsidP="00CE0BBC">
      <w:pPr>
        <w:jc w:val="both"/>
        <w:rPr>
          <w:rFonts w:ascii="Verdana" w:hAnsi="Verdana"/>
          <w:sz w:val="20"/>
          <w:szCs w:val="20"/>
          <w:lang w:val="es-MX"/>
        </w:rPr>
      </w:pPr>
    </w:p>
    <w:p w14:paraId="1B6ACCFE" w14:textId="77777777" w:rsidR="00CE0BBC" w:rsidRPr="006B0E52" w:rsidRDefault="00CE0BBC" w:rsidP="00CE0BBC">
      <w:pPr>
        <w:jc w:val="both"/>
        <w:rPr>
          <w:rFonts w:ascii="Verdana" w:hAnsi="Verdana"/>
          <w:sz w:val="20"/>
          <w:szCs w:val="20"/>
          <w:lang w:val="es-MX"/>
        </w:rPr>
      </w:pPr>
      <w:r w:rsidRPr="006B0E52">
        <w:rPr>
          <w:rFonts w:ascii="Verdana" w:hAnsi="Verdana"/>
          <w:sz w:val="20"/>
          <w:szCs w:val="20"/>
          <w:lang w:val="es-MX"/>
        </w:rPr>
        <w:lastRenderedPageBreak/>
        <w:t>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w:t>
      </w:r>
    </w:p>
    <w:p w14:paraId="6B46E61E" w14:textId="77777777" w:rsidR="00CE0BBC" w:rsidRPr="006B0E52" w:rsidRDefault="00CE0BBC" w:rsidP="00CE0BBC">
      <w:pPr>
        <w:jc w:val="both"/>
        <w:rPr>
          <w:rFonts w:ascii="Verdana" w:hAnsi="Verdana"/>
          <w:sz w:val="20"/>
          <w:szCs w:val="20"/>
          <w:lang w:val="es-MX"/>
        </w:rPr>
      </w:pPr>
      <w:r w:rsidRPr="006B0E52">
        <w:rPr>
          <w:rFonts w:ascii="Verdana" w:hAnsi="Verdana"/>
          <w:sz w:val="20"/>
          <w:szCs w:val="20"/>
          <w:lang w:val="es-MX"/>
        </w:rPr>
        <w:t>[…]</w:t>
      </w:r>
    </w:p>
    <w:p w14:paraId="38CC0A16" w14:textId="403FB10F" w:rsidR="00B67B2D" w:rsidRDefault="00CE0BBC" w:rsidP="00CE0BBC">
      <w:pPr>
        <w:spacing w:after="0" w:line="240" w:lineRule="auto"/>
        <w:jc w:val="both"/>
        <w:rPr>
          <w:rFonts w:ascii="Verdana" w:hAnsi="Verdana"/>
          <w:sz w:val="20"/>
          <w:szCs w:val="20"/>
          <w:lang w:val="es-MX"/>
        </w:rPr>
      </w:pPr>
      <w:r w:rsidRPr="006B0E52">
        <w:rPr>
          <w:rFonts w:ascii="Verdana" w:hAnsi="Verdana"/>
          <w:sz w:val="20"/>
          <w:szCs w:val="20"/>
          <w:lang w:val="es-MX"/>
        </w:rPr>
        <w:t>[…]una adecuada interpretación del deber de actualización de la información contenida el Plan de Anual de Adquisiciones, que se desprende del inciso segundo del artículo 2.2.1.1.1.4.4 del Decreto 1082 de 2015, conduce a entender que los supuestos allí definidos se refieren a circunstancias previas a la celebración de los contratos necesarios para satisfacer las necesidades identificadas en el plan, cuando estos lleven a una alteración sustancial del ejercicio de planeación contenido en el instrumento, deber que acaba una vez materializados los respectivos contratos, ya sea en el inicio de un proceso de selección o en la suscripción del contrato, máxime cuando no existe una necesidad de estricta correspondencia de los valores predeterminados de los contratos en el Plan Anual de Adquisiciones con el monto efectivo por el que estos se celebran.</w:t>
      </w:r>
    </w:p>
    <w:p w14:paraId="66786217" w14:textId="3357FDCC" w:rsidR="00CE0BBC" w:rsidRDefault="00CE0BBC" w:rsidP="00CE0BBC">
      <w:pPr>
        <w:spacing w:after="0" w:line="240" w:lineRule="auto"/>
        <w:jc w:val="both"/>
        <w:rPr>
          <w:rFonts w:ascii="Verdana" w:hAnsi="Verdana"/>
          <w:sz w:val="20"/>
          <w:szCs w:val="20"/>
          <w:lang w:val="es-MX"/>
        </w:rPr>
      </w:pPr>
    </w:p>
    <w:p w14:paraId="74BD7FB0" w14:textId="7EBF598D" w:rsidR="00CE0BBC" w:rsidRPr="00B52642" w:rsidRDefault="00CE0BBC" w:rsidP="00CE0BBC">
      <w:pPr>
        <w:spacing w:after="0" w:line="240" w:lineRule="auto"/>
        <w:jc w:val="both"/>
        <w:rPr>
          <w:rFonts w:ascii="Verdana" w:eastAsia="Calibri" w:hAnsi="Verdana" w:cs="Arial"/>
          <w:b/>
          <w:bCs/>
          <w:lang w:val="es-ES" w:eastAsia="es-ES"/>
        </w:rPr>
      </w:pPr>
      <w:r w:rsidRPr="00B52642">
        <w:rPr>
          <w:rFonts w:ascii="Verdana" w:eastAsia="Calibri" w:hAnsi="Verdana" w:cs="Arial"/>
          <w:b/>
          <w:bCs/>
          <w:lang w:val="es-ES" w:eastAsia="es-ES"/>
        </w:rPr>
        <w:t>PLAN ANUAL DE ADQUISICIONES – Información a reportar</w:t>
      </w:r>
    </w:p>
    <w:p w14:paraId="24D87A73" w14:textId="77777777" w:rsidR="00CE0BBC" w:rsidRPr="00B52642" w:rsidRDefault="00CE0BBC" w:rsidP="00CE0BBC">
      <w:pPr>
        <w:spacing w:after="0" w:line="240" w:lineRule="auto"/>
        <w:jc w:val="both"/>
        <w:rPr>
          <w:rFonts w:ascii="Verdana" w:eastAsia="Calibri" w:hAnsi="Verdana" w:cs="Arial"/>
          <w:b/>
          <w:bCs/>
          <w:sz w:val="20"/>
          <w:szCs w:val="20"/>
          <w:highlight w:val="yellow"/>
          <w:lang w:val="es-ES_tradnl" w:eastAsia="es-ES_tradnl"/>
        </w:rPr>
      </w:pPr>
    </w:p>
    <w:p w14:paraId="51B05519" w14:textId="1FDE5CD4" w:rsidR="00CE0BBC" w:rsidRDefault="00CE0BBC" w:rsidP="00CE0BBC">
      <w:pPr>
        <w:spacing w:after="0" w:line="240" w:lineRule="auto"/>
        <w:jc w:val="both"/>
        <w:rPr>
          <w:rFonts w:ascii="Verdana" w:eastAsia="Geomanist Light" w:hAnsi="Verdana" w:cs="Arial"/>
          <w:color w:val="000000" w:themeColor="text1"/>
          <w:lang w:val="es-MX"/>
        </w:rPr>
      </w:pPr>
      <w:r w:rsidRPr="00B52642">
        <w:rPr>
          <w:rFonts w:ascii="Verdana" w:eastAsia="Aptos" w:hAnsi="Verdana" w:cs="Times New Roman"/>
          <w:sz w:val="20"/>
          <w:szCs w:val="20"/>
        </w:rPr>
        <w:t>[…] la norma es categórica en señalar que en el Plan Anual de Adquisiciones debe enlistarse todo bien, obra o servicio que se pretenda adquirir, por lo que las entidades deberán cumplir con dicha obligación sin consideración de las condiciones en que planeen hacerlo, ya que el deber de inclusión de tal información, es independiente de la clase o modalidad de contratación o de la forma en la que se pagará el valor estimado, etc. Basta con que se trate de un bien, obra o servicio que la entidad necesite adquirir para que surja la obligación de relacionarlo en el plan, por lo que, será indispensable que determine si con determinada contratación se está adquiriendo un bien, servicio u obra, pues en caso de que no, su inclusión no será obligatoria.</w:t>
      </w:r>
    </w:p>
    <w:p w14:paraId="421E6D2F" w14:textId="244F6FFB" w:rsidR="00B67B2D" w:rsidRDefault="00B67B2D" w:rsidP="00EB6735">
      <w:pPr>
        <w:spacing w:after="0" w:line="240" w:lineRule="auto"/>
        <w:jc w:val="both"/>
        <w:rPr>
          <w:rFonts w:ascii="Verdana" w:eastAsia="Geomanist Light" w:hAnsi="Verdana" w:cs="Arial"/>
          <w:color w:val="000000" w:themeColor="text1"/>
          <w:lang w:val="es-MX"/>
        </w:rPr>
      </w:pPr>
    </w:p>
    <w:p w14:paraId="1687A3BD" w14:textId="6CA13BEF" w:rsidR="00B67B2D" w:rsidRDefault="00B67B2D" w:rsidP="00EB6735">
      <w:pPr>
        <w:spacing w:after="0" w:line="240" w:lineRule="auto"/>
        <w:jc w:val="both"/>
        <w:rPr>
          <w:rFonts w:ascii="Verdana" w:eastAsia="Geomanist Light" w:hAnsi="Verdana" w:cs="Arial"/>
          <w:color w:val="000000" w:themeColor="text1"/>
          <w:lang w:val="es-MX"/>
        </w:rPr>
      </w:pPr>
    </w:p>
    <w:p w14:paraId="00853B76" w14:textId="1246C642" w:rsidR="00B67B2D" w:rsidRDefault="00B67B2D" w:rsidP="00EB6735">
      <w:pPr>
        <w:spacing w:after="0" w:line="240" w:lineRule="auto"/>
        <w:jc w:val="both"/>
        <w:rPr>
          <w:rFonts w:ascii="Verdana" w:eastAsia="Geomanist Light" w:hAnsi="Verdana" w:cs="Arial"/>
          <w:color w:val="000000" w:themeColor="text1"/>
          <w:lang w:val="es-MX"/>
        </w:rPr>
      </w:pPr>
    </w:p>
    <w:p w14:paraId="57305699" w14:textId="77777777" w:rsidR="00B67B2D" w:rsidRDefault="00B67B2D" w:rsidP="00EB6735">
      <w:pPr>
        <w:spacing w:after="0" w:line="240" w:lineRule="auto"/>
        <w:jc w:val="both"/>
        <w:rPr>
          <w:rFonts w:ascii="Verdana" w:eastAsia="Geomanist Light" w:hAnsi="Verdana" w:cs="Arial"/>
          <w:color w:val="000000" w:themeColor="text1"/>
          <w:lang w:val="es-MX"/>
        </w:rPr>
      </w:pPr>
    </w:p>
    <w:p w14:paraId="374CA611" w14:textId="77777777" w:rsidR="00CE0BBC" w:rsidRDefault="00CE0BBC" w:rsidP="00EB6735">
      <w:pPr>
        <w:spacing w:after="0" w:line="240" w:lineRule="auto"/>
        <w:jc w:val="both"/>
        <w:rPr>
          <w:rFonts w:ascii="Verdana" w:eastAsia="Geomanist Light" w:hAnsi="Verdana" w:cs="Arial"/>
          <w:color w:val="000000" w:themeColor="text1"/>
          <w:lang w:val="es-MX"/>
        </w:rPr>
      </w:pPr>
    </w:p>
    <w:p w14:paraId="13E1F680" w14:textId="77777777" w:rsidR="00CE0BBC" w:rsidRDefault="00CE0BBC" w:rsidP="00EB6735">
      <w:pPr>
        <w:spacing w:after="0" w:line="240" w:lineRule="auto"/>
        <w:jc w:val="both"/>
        <w:rPr>
          <w:rFonts w:ascii="Verdana" w:eastAsia="Geomanist Light" w:hAnsi="Verdana" w:cs="Arial"/>
          <w:color w:val="000000" w:themeColor="text1"/>
          <w:lang w:val="es-MX"/>
        </w:rPr>
      </w:pPr>
    </w:p>
    <w:p w14:paraId="2AD9041F" w14:textId="77777777" w:rsidR="00CE0BBC" w:rsidRDefault="00CE0BBC" w:rsidP="00EB6735">
      <w:pPr>
        <w:spacing w:after="0" w:line="240" w:lineRule="auto"/>
        <w:jc w:val="both"/>
        <w:rPr>
          <w:rFonts w:ascii="Verdana" w:eastAsia="Geomanist Light" w:hAnsi="Verdana" w:cs="Arial"/>
          <w:color w:val="000000" w:themeColor="text1"/>
          <w:lang w:val="es-MX"/>
        </w:rPr>
      </w:pPr>
    </w:p>
    <w:p w14:paraId="60D7A70A" w14:textId="77777777" w:rsidR="00CE0BBC" w:rsidRDefault="00CE0BBC" w:rsidP="00EB6735">
      <w:pPr>
        <w:spacing w:after="0" w:line="240" w:lineRule="auto"/>
        <w:jc w:val="both"/>
        <w:rPr>
          <w:rFonts w:ascii="Verdana" w:eastAsia="Geomanist Light" w:hAnsi="Verdana" w:cs="Arial"/>
          <w:color w:val="000000" w:themeColor="text1"/>
          <w:lang w:val="es-MX"/>
        </w:rPr>
      </w:pPr>
    </w:p>
    <w:p w14:paraId="6B75AD1D" w14:textId="77777777" w:rsidR="00CE0BBC" w:rsidRDefault="00CE0BBC" w:rsidP="00EB6735">
      <w:pPr>
        <w:spacing w:after="0" w:line="240" w:lineRule="auto"/>
        <w:jc w:val="both"/>
        <w:rPr>
          <w:rFonts w:ascii="Verdana" w:eastAsia="Geomanist Light" w:hAnsi="Verdana" w:cs="Arial"/>
          <w:color w:val="000000" w:themeColor="text1"/>
          <w:lang w:val="es-MX"/>
        </w:rPr>
      </w:pPr>
    </w:p>
    <w:p w14:paraId="567313AE" w14:textId="77777777" w:rsidR="00CE0BBC" w:rsidRDefault="00CE0BBC" w:rsidP="00EB6735">
      <w:pPr>
        <w:spacing w:after="0" w:line="240" w:lineRule="auto"/>
        <w:jc w:val="both"/>
        <w:rPr>
          <w:rFonts w:ascii="Verdana" w:eastAsia="Geomanist Light" w:hAnsi="Verdana" w:cs="Arial"/>
          <w:color w:val="000000" w:themeColor="text1"/>
          <w:lang w:val="es-MX"/>
        </w:rPr>
      </w:pPr>
    </w:p>
    <w:p w14:paraId="42C75CA0" w14:textId="77777777" w:rsidR="00CE0BBC" w:rsidRDefault="00CE0BBC" w:rsidP="00EB6735">
      <w:pPr>
        <w:spacing w:after="0" w:line="240" w:lineRule="auto"/>
        <w:jc w:val="both"/>
        <w:rPr>
          <w:rFonts w:ascii="Verdana" w:eastAsia="Geomanist Light" w:hAnsi="Verdana" w:cs="Arial"/>
          <w:color w:val="000000" w:themeColor="text1"/>
          <w:lang w:val="es-MX"/>
        </w:rPr>
      </w:pPr>
    </w:p>
    <w:p w14:paraId="31910A4F" w14:textId="77777777" w:rsidR="00CE0BBC" w:rsidRDefault="00CE0BBC" w:rsidP="00EB6735">
      <w:pPr>
        <w:spacing w:after="0" w:line="240" w:lineRule="auto"/>
        <w:jc w:val="both"/>
        <w:rPr>
          <w:rFonts w:ascii="Verdana" w:eastAsia="Geomanist Light" w:hAnsi="Verdana" w:cs="Arial"/>
          <w:color w:val="000000" w:themeColor="text1"/>
          <w:lang w:val="es-MX"/>
        </w:rPr>
      </w:pPr>
    </w:p>
    <w:p w14:paraId="0E5A7966" w14:textId="77777777" w:rsidR="00CE0BBC" w:rsidRDefault="00CE0BBC" w:rsidP="00EB6735">
      <w:pPr>
        <w:spacing w:after="0" w:line="240" w:lineRule="auto"/>
        <w:jc w:val="both"/>
        <w:rPr>
          <w:rFonts w:ascii="Verdana" w:eastAsia="Geomanist Light" w:hAnsi="Verdana" w:cs="Arial"/>
          <w:color w:val="000000" w:themeColor="text1"/>
          <w:lang w:val="es-MX"/>
        </w:rPr>
      </w:pPr>
    </w:p>
    <w:p w14:paraId="760E5DAD" w14:textId="77777777" w:rsidR="00CE0BBC" w:rsidRDefault="00CE0BBC" w:rsidP="00EB6735">
      <w:pPr>
        <w:spacing w:after="0" w:line="240" w:lineRule="auto"/>
        <w:jc w:val="both"/>
        <w:rPr>
          <w:rFonts w:ascii="Verdana" w:eastAsia="Geomanist Light" w:hAnsi="Verdana" w:cs="Arial"/>
          <w:color w:val="000000" w:themeColor="text1"/>
          <w:lang w:val="es-MX"/>
        </w:rPr>
      </w:pPr>
    </w:p>
    <w:p w14:paraId="6AF28944" w14:textId="77777777" w:rsidR="00CE0BBC" w:rsidRDefault="00CE0BBC" w:rsidP="00EB6735">
      <w:pPr>
        <w:spacing w:after="0" w:line="240" w:lineRule="auto"/>
        <w:jc w:val="both"/>
        <w:rPr>
          <w:rFonts w:ascii="Verdana" w:eastAsia="Geomanist Light" w:hAnsi="Verdana" w:cs="Arial"/>
          <w:color w:val="000000" w:themeColor="text1"/>
          <w:lang w:val="es-MX"/>
        </w:rPr>
      </w:pPr>
    </w:p>
    <w:p w14:paraId="1ED65F11" w14:textId="77777777" w:rsidR="00CE0BBC" w:rsidRDefault="00CE0BBC" w:rsidP="00EB6735">
      <w:pPr>
        <w:spacing w:after="0" w:line="240" w:lineRule="auto"/>
        <w:jc w:val="both"/>
        <w:rPr>
          <w:rFonts w:ascii="Verdana" w:eastAsia="Geomanist Light" w:hAnsi="Verdana" w:cs="Arial"/>
          <w:color w:val="000000" w:themeColor="text1"/>
          <w:lang w:val="es-MX"/>
        </w:rPr>
      </w:pPr>
    </w:p>
    <w:p w14:paraId="11A22E22" w14:textId="77777777" w:rsidR="00CE0BBC" w:rsidRDefault="00CE0BBC" w:rsidP="00EB6735">
      <w:pPr>
        <w:spacing w:after="0" w:line="240" w:lineRule="auto"/>
        <w:jc w:val="both"/>
        <w:rPr>
          <w:rFonts w:ascii="Verdana" w:eastAsia="Geomanist Light" w:hAnsi="Verdana" w:cs="Arial"/>
          <w:color w:val="000000" w:themeColor="text1"/>
          <w:lang w:val="es-MX"/>
        </w:rPr>
      </w:pPr>
    </w:p>
    <w:p w14:paraId="02B2FB7E" w14:textId="74EEC02F" w:rsidR="00CE0BBC" w:rsidRDefault="00CE0BBC" w:rsidP="00EB6735">
      <w:pPr>
        <w:spacing w:after="0" w:line="240" w:lineRule="auto"/>
        <w:jc w:val="both"/>
        <w:rPr>
          <w:rFonts w:ascii="Verdana" w:eastAsia="Geomanist Light" w:hAnsi="Verdana" w:cs="Arial"/>
          <w:color w:val="000000" w:themeColor="text1"/>
          <w:lang w:val="es-MX"/>
        </w:rPr>
      </w:pPr>
    </w:p>
    <w:p w14:paraId="611514FA" w14:textId="3070A3D2" w:rsidR="00EB6735" w:rsidRPr="00DB30F3" w:rsidRDefault="00EB6735" w:rsidP="00EB6735">
      <w:pPr>
        <w:spacing w:after="0" w:line="240" w:lineRule="auto"/>
        <w:jc w:val="both"/>
        <w:rPr>
          <w:rFonts w:ascii="Verdana" w:eastAsia="Geomanist Light" w:hAnsi="Verdana" w:cs="Arial"/>
          <w:color w:val="000000" w:themeColor="text1"/>
          <w:lang w:val="es-MX"/>
        </w:rPr>
      </w:pPr>
      <w:r w:rsidRPr="00593A5F">
        <w:rPr>
          <w:rFonts w:ascii="Verdana" w:eastAsia="Geomanist Light" w:hAnsi="Verdana" w:cs="Arial"/>
          <w:color w:val="000000" w:themeColor="text1"/>
          <w:lang w:val="es-MX"/>
        </w:rPr>
        <w:t>Bogotá D.C., </w:t>
      </w:r>
      <w:r w:rsidRPr="00593A5F">
        <w:rPr>
          <w:rFonts w:ascii="Verdana" w:eastAsia="Geomanist Light" w:hAnsi="Verdana" w:cs="Arial"/>
          <w:color w:val="201F1E"/>
          <w:lang w:val="es-MX"/>
        </w:rPr>
        <w:t>[Día] de [</w:t>
      </w:r>
      <w:proofErr w:type="spellStart"/>
      <w:r w:rsidRPr="00593A5F">
        <w:rPr>
          <w:rFonts w:ascii="Verdana" w:eastAsia="Geomanist Light" w:hAnsi="Verdana" w:cs="Arial"/>
          <w:color w:val="201F1E"/>
          <w:lang w:val="es-MX"/>
        </w:rPr>
        <w:t>Mes.NombreCapitalizado</w:t>
      </w:r>
      <w:proofErr w:type="spellEnd"/>
      <w:r w:rsidRPr="00593A5F">
        <w:rPr>
          <w:rFonts w:ascii="Verdana" w:eastAsia="Geomanist Light" w:hAnsi="Verdana" w:cs="Arial"/>
          <w:color w:val="201F1E"/>
          <w:lang w:val="es-MX"/>
        </w:rPr>
        <w:t>] de [Año]</w:t>
      </w:r>
    </w:p>
    <w:p w14:paraId="00D298B6" w14:textId="4E41E5CF" w:rsidR="00EB6735" w:rsidRPr="00593A5F" w:rsidRDefault="00EB6735" w:rsidP="00EB6735">
      <w:pPr>
        <w:spacing w:after="0" w:line="240" w:lineRule="auto"/>
        <w:jc w:val="both"/>
        <w:rPr>
          <w:rFonts w:ascii="Verdana" w:eastAsia="Calibri" w:hAnsi="Verdana" w:cs="Arial"/>
          <w:color w:val="000000"/>
          <w:lang w:val="es-ES"/>
        </w:rPr>
      </w:pPr>
    </w:p>
    <w:p w14:paraId="2A392216" w14:textId="6C497EA3" w:rsidR="00EB6735" w:rsidRDefault="002330E4" w:rsidP="00EB6735">
      <w:pPr>
        <w:spacing w:after="0" w:line="240" w:lineRule="auto"/>
        <w:jc w:val="both"/>
        <w:rPr>
          <w:rFonts w:ascii="Verdana" w:eastAsia="Calibri" w:hAnsi="Verdana" w:cs="Arial"/>
          <w:lang w:val="es-ES" w:eastAsia="es-ES"/>
        </w:rPr>
      </w:pPr>
      <w:r w:rsidRPr="002330E4">
        <w:rPr>
          <w:rStyle w:val="Hipervnculo"/>
          <w:rFonts w:ascii="Verdana" w:hAnsi="Verdana"/>
          <w:color w:val="auto"/>
          <w:u w:val="none"/>
        </w:rPr>
        <w:drawing>
          <wp:anchor distT="0" distB="0" distL="114300" distR="114300" simplePos="0" relativeHeight="251659264" behindDoc="1" locked="0" layoutInCell="1" allowOverlap="1" wp14:anchorId="397992B0" wp14:editId="2999E13E">
            <wp:simplePos x="0" y="0"/>
            <wp:positionH relativeFrom="margin">
              <wp:posOffset>3034665</wp:posOffset>
            </wp:positionH>
            <wp:positionV relativeFrom="paragraph">
              <wp:posOffset>153670</wp:posOffset>
            </wp:positionV>
            <wp:extent cx="2475230" cy="742950"/>
            <wp:effectExtent l="0" t="0" r="1270" b="0"/>
            <wp:wrapNone/>
            <wp:docPr id="16493543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354329" name=""/>
                    <pic:cNvPicPr/>
                  </pic:nvPicPr>
                  <pic:blipFill>
                    <a:blip r:embed="rId10">
                      <a:extLst>
                        <a:ext uri="{28A0092B-C50C-407E-A947-70E740481C1C}">
                          <a14:useLocalDpi xmlns:a14="http://schemas.microsoft.com/office/drawing/2010/main" val="0"/>
                        </a:ext>
                      </a:extLst>
                    </a:blip>
                    <a:stretch>
                      <a:fillRect/>
                    </a:stretch>
                  </pic:blipFill>
                  <pic:spPr>
                    <a:xfrm>
                      <a:off x="0" y="0"/>
                      <a:ext cx="2475230" cy="742950"/>
                    </a:xfrm>
                    <a:prstGeom prst="rect">
                      <a:avLst/>
                    </a:prstGeom>
                  </pic:spPr>
                </pic:pic>
              </a:graphicData>
            </a:graphic>
            <wp14:sizeRelH relativeFrom="margin">
              <wp14:pctWidth>0</wp14:pctWidth>
            </wp14:sizeRelH>
            <wp14:sizeRelV relativeFrom="margin">
              <wp14:pctHeight>0</wp14:pctHeight>
            </wp14:sizeRelV>
          </wp:anchor>
        </w:drawing>
      </w:r>
    </w:p>
    <w:p w14:paraId="6CDD60A9" w14:textId="629FBEF0" w:rsidR="00EB6735" w:rsidRPr="009C1B7D" w:rsidRDefault="00EB6735" w:rsidP="00EB6735">
      <w:pPr>
        <w:spacing w:after="0" w:line="240" w:lineRule="auto"/>
        <w:jc w:val="both"/>
        <w:rPr>
          <w:rFonts w:ascii="Verdana" w:eastAsia="Calibri" w:hAnsi="Verdana" w:cs="Arial"/>
          <w:lang w:val="es-ES" w:eastAsia="es-ES"/>
        </w:rPr>
      </w:pPr>
      <w:r w:rsidRPr="009C1B7D">
        <w:rPr>
          <w:rFonts w:ascii="Verdana" w:eastAsia="Calibri" w:hAnsi="Verdana" w:cs="Arial"/>
          <w:lang w:val="es-ES" w:eastAsia="es-ES"/>
        </w:rPr>
        <w:t>Señor</w:t>
      </w:r>
      <w:r w:rsidR="009C1B7D" w:rsidRPr="009C1B7D">
        <w:rPr>
          <w:rFonts w:ascii="Verdana" w:eastAsia="Calibri" w:hAnsi="Verdana" w:cs="Arial"/>
          <w:lang w:val="es-ES" w:eastAsia="es-ES"/>
        </w:rPr>
        <w:t>a</w:t>
      </w:r>
    </w:p>
    <w:p w14:paraId="71C32780" w14:textId="47FDA2DE" w:rsidR="009C1B7D" w:rsidRPr="009C1B7D" w:rsidRDefault="009C1B7D" w:rsidP="00EB6735">
      <w:pPr>
        <w:spacing w:after="0" w:line="240" w:lineRule="auto"/>
        <w:rPr>
          <w:rFonts w:ascii="Verdana" w:hAnsi="Verdana"/>
          <w:b/>
          <w:bCs/>
        </w:rPr>
      </w:pPr>
      <w:r w:rsidRPr="009C1B7D">
        <w:rPr>
          <w:rFonts w:ascii="Verdana" w:hAnsi="Verdana"/>
          <w:b/>
          <w:bCs/>
        </w:rPr>
        <w:t>S</w:t>
      </w:r>
      <w:r w:rsidR="006654DA">
        <w:rPr>
          <w:rFonts w:ascii="Verdana" w:hAnsi="Verdana"/>
          <w:b/>
          <w:bCs/>
        </w:rPr>
        <w:t>andra</w:t>
      </w:r>
      <w:r w:rsidRPr="009C1B7D">
        <w:rPr>
          <w:rFonts w:ascii="Verdana" w:hAnsi="Verdana"/>
          <w:b/>
          <w:bCs/>
        </w:rPr>
        <w:t xml:space="preserve"> P</w:t>
      </w:r>
      <w:r>
        <w:rPr>
          <w:rFonts w:ascii="Verdana" w:hAnsi="Verdana"/>
          <w:b/>
          <w:bCs/>
        </w:rPr>
        <w:t>atricia</w:t>
      </w:r>
      <w:r w:rsidRPr="009C1B7D">
        <w:rPr>
          <w:rFonts w:ascii="Verdana" w:hAnsi="Verdana"/>
          <w:b/>
          <w:bCs/>
        </w:rPr>
        <w:t xml:space="preserve"> </w:t>
      </w:r>
      <w:proofErr w:type="spellStart"/>
      <w:r w:rsidRPr="009C1B7D">
        <w:rPr>
          <w:rFonts w:ascii="Verdana" w:hAnsi="Verdana"/>
          <w:b/>
          <w:bCs/>
        </w:rPr>
        <w:t>Z</w:t>
      </w:r>
      <w:r>
        <w:rPr>
          <w:rFonts w:ascii="Verdana" w:hAnsi="Verdana"/>
          <w:b/>
          <w:bCs/>
        </w:rPr>
        <w:t>utta</w:t>
      </w:r>
      <w:proofErr w:type="spellEnd"/>
      <w:r w:rsidRPr="009C1B7D">
        <w:rPr>
          <w:rFonts w:ascii="Verdana" w:hAnsi="Verdana"/>
          <w:b/>
          <w:bCs/>
        </w:rPr>
        <w:t xml:space="preserve"> R</w:t>
      </w:r>
      <w:r>
        <w:rPr>
          <w:rFonts w:ascii="Verdana" w:hAnsi="Verdana"/>
          <w:b/>
          <w:bCs/>
        </w:rPr>
        <w:t xml:space="preserve">amírez </w:t>
      </w:r>
    </w:p>
    <w:p w14:paraId="56217192" w14:textId="66024B28" w:rsidR="009C1B7D" w:rsidRPr="009C1B7D" w:rsidRDefault="009C1B7D" w:rsidP="009C1B7D">
      <w:pPr>
        <w:spacing w:after="0" w:line="240" w:lineRule="auto"/>
        <w:jc w:val="both"/>
        <w:rPr>
          <w:rFonts w:ascii="Verdana" w:hAnsi="Verdana"/>
        </w:rPr>
      </w:pPr>
      <w:hyperlink r:id="rId11" w:history="1">
        <w:r w:rsidRPr="009C1B7D">
          <w:rPr>
            <w:rStyle w:val="Hipervnculo"/>
            <w:rFonts w:ascii="Verdana" w:hAnsi="Verdana"/>
            <w:color w:val="auto"/>
            <w:u w:val="none"/>
          </w:rPr>
          <w:t>sandra.zutta@culturantioquia.gov.co</w:t>
        </w:r>
      </w:hyperlink>
      <w:r w:rsidR="002330E4" w:rsidRPr="002330E4">
        <w:rPr>
          <w:noProof/>
        </w:rPr>
        <w:t xml:space="preserve"> </w:t>
      </w:r>
    </w:p>
    <w:p w14:paraId="1E25BC90" w14:textId="4CBEFA48" w:rsidR="00EB6735" w:rsidRPr="009C1B7D" w:rsidRDefault="009C1B7D" w:rsidP="00EB6735">
      <w:pPr>
        <w:spacing w:after="0" w:line="240" w:lineRule="auto"/>
        <w:rPr>
          <w:rFonts w:ascii="Verdana" w:eastAsia="Calibri" w:hAnsi="Verdana" w:cs="Arial"/>
          <w:bCs/>
          <w:lang w:val="es-ES_tradnl" w:eastAsia="es-ES_tradnl"/>
        </w:rPr>
      </w:pPr>
      <w:r w:rsidRPr="009C1B7D">
        <w:rPr>
          <w:rFonts w:ascii="Verdana" w:eastAsia="Calibri" w:hAnsi="Verdana" w:cs="Arial"/>
          <w:bCs/>
          <w:lang w:val="es-ES_tradnl" w:eastAsia="es-ES_tradnl"/>
        </w:rPr>
        <w:t>Envigado</w:t>
      </w:r>
      <w:r w:rsidR="00EB6735" w:rsidRPr="009C1B7D">
        <w:rPr>
          <w:rFonts w:ascii="Verdana" w:eastAsia="Calibri" w:hAnsi="Verdana" w:cs="Arial"/>
          <w:bCs/>
          <w:lang w:val="es-ES_tradnl" w:eastAsia="es-ES_tradnl"/>
        </w:rPr>
        <w:t xml:space="preserve">, </w:t>
      </w:r>
      <w:r w:rsidRPr="009C1B7D">
        <w:rPr>
          <w:rFonts w:ascii="Verdana" w:eastAsia="Calibri" w:hAnsi="Verdana" w:cs="Arial"/>
          <w:bCs/>
          <w:lang w:val="es-ES_tradnl" w:eastAsia="es-ES_tradnl"/>
        </w:rPr>
        <w:t>Antioquia</w:t>
      </w:r>
    </w:p>
    <w:p w14:paraId="5CFC4B5C" w14:textId="3DE45F07" w:rsidR="00EB6735" w:rsidRDefault="00EB6735" w:rsidP="00EB6735">
      <w:pPr>
        <w:spacing w:after="0" w:line="240" w:lineRule="auto"/>
        <w:rPr>
          <w:rFonts w:ascii="Verdana" w:eastAsia="Calibri" w:hAnsi="Verdana" w:cs="Arial"/>
          <w:bCs/>
          <w:lang w:val="es-ES_tradnl" w:eastAsia="es-ES_tradnl"/>
        </w:rPr>
      </w:pPr>
    </w:p>
    <w:p w14:paraId="55E3DD9D" w14:textId="77777777" w:rsidR="00EB6735" w:rsidRPr="00593A5F" w:rsidRDefault="00EB6735" w:rsidP="00EB673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B6735" w:rsidRPr="00593A5F" w14:paraId="61229256" w14:textId="77777777" w:rsidTr="00A22AF0">
        <w:trPr>
          <w:trHeight w:val="884"/>
        </w:trPr>
        <w:tc>
          <w:tcPr>
            <w:tcW w:w="2689" w:type="dxa"/>
          </w:tcPr>
          <w:p w14:paraId="21B9BE08" w14:textId="77777777" w:rsidR="00EB6735" w:rsidRPr="00C00976" w:rsidRDefault="00EB6735" w:rsidP="00A22AF0">
            <w:pPr>
              <w:jc w:val="both"/>
              <w:rPr>
                <w:rFonts w:ascii="Verdana" w:eastAsia="Calibri" w:hAnsi="Verdana" w:cs="Arial"/>
                <w:b/>
                <w:bCs/>
                <w:color w:val="7030A0"/>
                <w:lang w:val="es-ES_tradnl" w:eastAsia="es-ES_tradnl"/>
              </w:rPr>
            </w:pPr>
          </w:p>
        </w:tc>
        <w:tc>
          <w:tcPr>
            <w:tcW w:w="6100" w:type="dxa"/>
          </w:tcPr>
          <w:p w14:paraId="6DBC0541" w14:textId="14D2969C" w:rsidR="00EB6735" w:rsidRPr="007B60E9" w:rsidRDefault="00EB6735" w:rsidP="00A22AF0">
            <w:pPr>
              <w:jc w:val="both"/>
              <w:rPr>
                <w:rFonts w:ascii="Verdana" w:eastAsia="Calibri" w:hAnsi="Verdana" w:cs="Arial"/>
                <w:b/>
                <w:bCs/>
                <w:color w:val="7030A0"/>
                <w:lang w:val="es-ES" w:eastAsia="es-ES"/>
              </w:rPr>
            </w:pPr>
            <w:r w:rsidRPr="00423EEA">
              <w:rPr>
                <w:rFonts w:ascii="Verdana" w:eastAsia="Calibri" w:hAnsi="Verdana" w:cs="Arial"/>
                <w:b/>
                <w:bCs/>
                <w:lang w:val="es-ES" w:eastAsia="es-ES"/>
              </w:rPr>
              <w:t>Concepto C-</w:t>
            </w:r>
            <w:r w:rsidR="009C1B7D">
              <w:rPr>
                <w:rFonts w:ascii="Verdana" w:eastAsia="Calibri" w:hAnsi="Verdana" w:cs="Arial"/>
                <w:b/>
                <w:bCs/>
                <w:lang w:val="es-ES" w:eastAsia="es-ES"/>
              </w:rPr>
              <w:t>934</w:t>
            </w:r>
            <w:r w:rsidRPr="00423EEA">
              <w:rPr>
                <w:rFonts w:ascii="Verdana" w:eastAsia="Calibri" w:hAnsi="Verdana" w:cs="Arial"/>
                <w:b/>
                <w:bCs/>
                <w:lang w:val="es-ES" w:eastAsia="es-ES"/>
              </w:rPr>
              <w:t xml:space="preserve"> de 2024</w:t>
            </w:r>
          </w:p>
        </w:tc>
      </w:tr>
      <w:tr w:rsidR="00EB6735" w:rsidRPr="00593A5F" w14:paraId="353FDAFF" w14:textId="77777777" w:rsidTr="00A22AF0">
        <w:trPr>
          <w:trHeight w:val="884"/>
        </w:trPr>
        <w:tc>
          <w:tcPr>
            <w:tcW w:w="2689" w:type="dxa"/>
          </w:tcPr>
          <w:p w14:paraId="0654D3AC" w14:textId="77777777" w:rsidR="00EB6735" w:rsidRPr="004B40A6" w:rsidRDefault="00EB6735" w:rsidP="00A22AF0">
            <w:pPr>
              <w:jc w:val="both"/>
              <w:rPr>
                <w:rFonts w:ascii="Verdana" w:eastAsia="Calibri" w:hAnsi="Verdana" w:cs="Arial"/>
                <w:lang w:val="es-ES_tradnl" w:eastAsia="es-ES_tradnl"/>
              </w:rPr>
            </w:pPr>
            <w:r w:rsidRPr="004B40A6">
              <w:rPr>
                <w:rFonts w:ascii="Verdana" w:eastAsia="Calibri" w:hAnsi="Verdana" w:cs="Arial"/>
                <w:b/>
                <w:lang w:val="es-ES_tradnl" w:eastAsia="es-ES_tradnl"/>
              </w:rPr>
              <w:t>Temas:</w:t>
            </w:r>
            <w:r w:rsidRPr="004B40A6">
              <w:rPr>
                <w:rFonts w:ascii="Verdana" w:eastAsia="Calibri" w:hAnsi="Verdana" w:cs="Arial"/>
                <w:lang w:val="es-ES_tradnl" w:eastAsia="es-ES_tradnl"/>
              </w:rPr>
              <w:t xml:space="preserve">                   </w:t>
            </w:r>
          </w:p>
        </w:tc>
        <w:tc>
          <w:tcPr>
            <w:tcW w:w="6100" w:type="dxa"/>
          </w:tcPr>
          <w:p w14:paraId="7F492C92" w14:textId="760383CD" w:rsidR="00EB6735" w:rsidRPr="00FE10F1" w:rsidRDefault="00CE0BBC" w:rsidP="00A22AF0">
            <w:pPr>
              <w:spacing w:line="276" w:lineRule="auto"/>
              <w:jc w:val="both"/>
              <w:rPr>
                <w:rFonts w:ascii="Verdana" w:eastAsia="Calibri" w:hAnsi="Verdana" w:cs="Arial"/>
              </w:rPr>
            </w:pPr>
            <w:r w:rsidRPr="00B52642">
              <w:rPr>
                <w:rFonts w:ascii="Verdana" w:eastAsia="Calibri" w:hAnsi="Verdana" w:cs="Arial"/>
                <w:lang w:val="es-ES" w:eastAsia="es-ES"/>
              </w:rPr>
              <w:t>PLAN ANUAL DE ADQUISICIONES – Noción – Guía para elaborar el plan anual de adquisiciones – Obligatoriedad de elaboración</w:t>
            </w:r>
            <w:r>
              <w:rPr>
                <w:rFonts w:ascii="Verdana" w:eastAsia="Calibri" w:hAnsi="Verdana" w:cs="Arial"/>
                <w:lang w:val="es-ES" w:eastAsia="es-ES"/>
              </w:rPr>
              <w:t xml:space="preserve"> / </w:t>
            </w:r>
            <w:r w:rsidRPr="006B0E52">
              <w:rPr>
                <w:rFonts w:ascii="Verdana" w:eastAsia="Calibri" w:hAnsi="Verdana" w:cs="Arial"/>
                <w:lang w:val="es-ES" w:eastAsia="es-ES"/>
              </w:rPr>
              <w:t>PLAN ANUAL DE ADQUISICIONES – Deber de actualización</w:t>
            </w:r>
            <w:r>
              <w:rPr>
                <w:rFonts w:ascii="Verdana" w:eastAsia="Calibri" w:hAnsi="Verdana" w:cs="Arial"/>
                <w:lang w:val="es-ES" w:eastAsia="es-ES"/>
              </w:rPr>
              <w:t xml:space="preserve"> – Sujetos obligados – Información a reportar </w:t>
            </w:r>
          </w:p>
        </w:tc>
      </w:tr>
      <w:tr w:rsidR="00EB6735" w:rsidRPr="00593A5F" w14:paraId="12B4019F" w14:textId="77777777" w:rsidTr="00A22AF0">
        <w:trPr>
          <w:trHeight w:val="89"/>
        </w:trPr>
        <w:tc>
          <w:tcPr>
            <w:tcW w:w="2689" w:type="dxa"/>
          </w:tcPr>
          <w:p w14:paraId="6DC12926" w14:textId="77777777" w:rsidR="00EB6735" w:rsidRPr="004B40A6" w:rsidRDefault="00EB6735" w:rsidP="00A22AF0">
            <w:pPr>
              <w:jc w:val="both"/>
              <w:rPr>
                <w:rFonts w:ascii="Verdana" w:eastAsia="Calibri" w:hAnsi="Verdana" w:cs="Arial"/>
                <w:b/>
                <w:lang w:val="es-ES_tradnl" w:eastAsia="es-ES_tradnl"/>
              </w:rPr>
            </w:pPr>
            <w:r w:rsidRPr="004B40A6">
              <w:rPr>
                <w:rFonts w:ascii="Verdana" w:eastAsia="Calibri" w:hAnsi="Verdana" w:cs="Arial"/>
                <w:b/>
                <w:lang w:val="es-ES_tradnl" w:eastAsia="es-ES_tradnl"/>
              </w:rPr>
              <w:t>Radicación:</w:t>
            </w:r>
            <w:r w:rsidRPr="004B40A6">
              <w:rPr>
                <w:rFonts w:ascii="Verdana" w:eastAsia="Calibri" w:hAnsi="Verdana" w:cs="Arial"/>
                <w:lang w:val="es-ES_tradnl" w:eastAsia="es-ES_tradnl"/>
              </w:rPr>
              <w:t xml:space="preserve">               </w:t>
            </w:r>
          </w:p>
        </w:tc>
        <w:tc>
          <w:tcPr>
            <w:tcW w:w="6100" w:type="dxa"/>
          </w:tcPr>
          <w:p w14:paraId="26547FB5" w14:textId="136BB28A" w:rsidR="00EB6735" w:rsidRPr="00E56225" w:rsidRDefault="00EB6735" w:rsidP="00A22AF0">
            <w:pPr>
              <w:spacing w:line="276" w:lineRule="auto"/>
              <w:jc w:val="both"/>
              <w:rPr>
                <w:rFonts w:ascii="Verdana" w:hAnsi="Verdana" w:cs="Calibri"/>
              </w:rPr>
            </w:pPr>
            <w:r w:rsidRPr="004B40A6">
              <w:rPr>
                <w:rFonts w:ascii="Verdana" w:eastAsia="Calibri" w:hAnsi="Verdana" w:cs="Arial"/>
                <w:lang w:val="es-ES_tradnl" w:eastAsia="es-ES_tradnl"/>
              </w:rPr>
              <w:t xml:space="preserve">Respuesta a consulta con radicado No. </w:t>
            </w:r>
            <w:r w:rsidR="009C1B7D" w:rsidRPr="009C1B7D">
              <w:rPr>
                <w:rFonts w:ascii="Verdana" w:hAnsi="Verdana" w:cs="Calibri"/>
              </w:rPr>
              <w:t>P20241126011889</w:t>
            </w:r>
          </w:p>
        </w:tc>
      </w:tr>
    </w:tbl>
    <w:p w14:paraId="1EAEF373" w14:textId="77777777" w:rsidR="00EB6735" w:rsidRPr="00593A5F" w:rsidRDefault="00EB6735" w:rsidP="00EB6735">
      <w:pPr>
        <w:spacing w:after="0" w:line="240" w:lineRule="auto"/>
        <w:jc w:val="both"/>
        <w:rPr>
          <w:rFonts w:ascii="Verdana" w:eastAsia="Calibri" w:hAnsi="Verdana" w:cs="Arial"/>
          <w:color w:val="000000"/>
          <w:lang w:val="es-ES_tradnl" w:eastAsia="es-ES_tradnl"/>
        </w:rPr>
      </w:pPr>
    </w:p>
    <w:p w14:paraId="38BE4F94" w14:textId="77777777" w:rsidR="00EB6735" w:rsidRPr="00593A5F" w:rsidRDefault="00EB6735" w:rsidP="00EB6735">
      <w:pPr>
        <w:spacing w:after="0" w:line="240" w:lineRule="auto"/>
        <w:jc w:val="both"/>
        <w:rPr>
          <w:rFonts w:ascii="Verdana" w:eastAsia="Calibri" w:hAnsi="Verdana" w:cs="Arial"/>
          <w:color w:val="000000"/>
          <w:lang w:val="es-ES_tradnl" w:eastAsia="es-ES_tradnl"/>
        </w:rPr>
      </w:pPr>
    </w:p>
    <w:p w14:paraId="77FFC192" w14:textId="7AC818D6" w:rsidR="00EB6735" w:rsidRPr="004B40A6" w:rsidRDefault="00EB6735" w:rsidP="00EB6735">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Estimad</w:t>
      </w:r>
      <w:r w:rsidR="009C1B7D">
        <w:rPr>
          <w:rFonts w:ascii="Verdana" w:eastAsia="Calibri" w:hAnsi="Verdana" w:cs="Arial"/>
          <w:lang w:val="es-ES" w:eastAsia="es-ES"/>
        </w:rPr>
        <w:t>a</w:t>
      </w:r>
      <w:r w:rsidRPr="004B40A6">
        <w:rPr>
          <w:rFonts w:ascii="Verdana" w:eastAsia="Calibri" w:hAnsi="Verdana" w:cs="Arial"/>
          <w:lang w:val="es-ES" w:eastAsia="es-ES"/>
        </w:rPr>
        <w:t xml:space="preserve"> señor</w:t>
      </w:r>
      <w:r w:rsidR="009C1B7D">
        <w:rPr>
          <w:rFonts w:ascii="Verdana" w:eastAsia="Calibri" w:hAnsi="Verdana" w:cs="Arial"/>
          <w:lang w:val="es-ES" w:eastAsia="es-ES"/>
        </w:rPr>
        <w:t>a</w:t>
      </w:r>
      <w:r>
        <w:rPr>
          <w:rFonts w:ascii="Verdana" w:eastAsia="Calibri" w:hAnsi="Verdana" w:cs="Arial"/>
          <w:lang w:val="es-ES" w:eastAsia="es-ES"/>
        </w:rPr>
        <w:t xml:space="preserve"> </w:t>
      </w:r>
      <w:proofErr w:type="spellStart"/>
      <w:r w:rsidR="009C1B7D">
        <w:rPr>
          <w:rFonts w:ascii="Verdana" w:eastAsia="Calibri" w:hAnsi="Verdana" w:cs="Arial"/>
          <w:lang w:val="es-ES" w:eastAsia="es-ES"/>
        </w:rPr>
        <w:t>Zutta</w:t>
      </w:r>
      <w:proofErr w:type="spellEnd"/>
      <w:r w:rsidRPr="004B40A6">
        <w:rPr>
          <w:rFonts w:ascii="Verdana" w:eastAsia="Calibri" w:hAnsi="Verdana" w:cs="Arial"/>
          <w:lang w:val="es-ES" w:eastAsia="es-ES"/>
        </w:rPr>
        <w:t xml:space="preserve">: </w:t>
      </w:r>
    </w:p>
    <w:p w14:paraId="29B1F1F4" w14:textId="77777777" w:rsidR="00EB6735" w:rsidRPr="004B40A6" w:rsidRDefault="00EB6735" w:rsidP="00EB6735">
      <w:pPr>
        <w:tabs>
          <w:tab w:val="left" w:pos="3768"/>
        </w:tabs>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ab/>
      </w:r>
    </w:p>
    <w:p w14:paraId="2A9BF77B" w14:textId="2F194642" w:rsidR="00EB6735" w:rsidRDefault="00EB6735" w:rsidP="00EB6735">
      <w:pPr>
        <w:spacing w:after="0" w:line="276" w:lineRule="auto"/>
        <w:jc w:val="both"/>
        <w:rPr>
          <w:rFonts w:ascii="Verdana" w:eastAsia="Calibri" w:hAnsi="Verdana" w:cs="Arial"/>
          <w:lang w:val="es-ES" w:eastAsia="es-ES"/>
        </w:rPr>
      </w:pPr>
      <w:r w:rsidRPr="00F7454D">
        <w:rPr>
          <w:rFonts w:ascii="Verdana" w:eastAsia="Calibri" w:hAnsi="Verdana" w:cs="Arial"/>
          <w:lang w:val="es-ES" w:eastAsia="es-ES"/>
        </w:rPr>
        <w:t>En ejercicio de la competencia otorgada por los artículos 3, numeral 5º, y 11, numeral 8º, del Decreto Ley 4170 de 2011,</w:t>
      </w:r>
      <w:r w:rsidRPr="00F7454D">
        <w:rPr>
          <w:rFonts w:ascii="Verdana" w:eastAsia="Arial MT" w:hAnsi="Verdana" w:cs="Arial MT"/>
          <w:lang w:val="es-ES" w:eastAsia="es-ES"/>
        </w:rPr>
        <w:t xml:space="preserve"> </w:t>
      </w:r>
      <w:r w:rsidRPr="00F7454D">
        <w:rPr>
          <w:rFonts w:ascii="Verdana" w:hAnsi="Verdana" w:cs="Arial"/>
        </w:rPr>
        <w:t xml:space="preserve">así como lo establecido en el artículo 4 de la Resolución 1707 de 2018 expedida por esta Entidad, </w:t>
      </w:r>
      <w:r w:rsidRPr="00F7454D">
        <w:rPr>
          <w:rFonts w:ascii="Verdana" w:eastAsia="Calibri" w:hAnsi="Verdana" w:cs="Arial"/>
          <w:lang w:val="es-ES" w:eastAsia="es-ES"/>
        </w:rPr>
        <w:t xml:space="preserve">la Agencia Nacional de Contratación Pública – Colombia Compra Eficiente– responde su solicitud de consulta de fecha </w:t>
      </w:r>
      <w:r w:rsidR="009C1B7D">
        <w:rPr>
          <w:rFonts w:ascii="Verdana" w:eastAsia="Calibri" w:hAnsi="Verdana" w:cs="Arial"/>
          <w:lang w:val="es-ES" w:eastAsia="es-ES"/>
        </w:rPr>
        <w:t>26</w:t>
      </w:r>
      <w:r w:rsidRPr="00F7454D">
        <w:rPr>
          <w:rFonts w:ascii="Verdana" w:eastAsia="Calibri" w:hAnsi="Verdana" w:cs="Arial"/>
          <w:lang w:val="es-ES" w:eastAsia="es-ES"/>
        </w:rPr>
        <w:t xml:space="preserve"> de </w:t>
      </w:r>
      <w:r w:rsidR="00917617">
        <w:rPr>
          <w:rFonts w:ascii="Verdana" w:eastAsia="Calibri" w:hAnsi="Verdana" w:cs="Arial"/>
          <w:lang w:val="es-ES" w:eastAsia="es-ES"/>
        </w:rPr>
        <w:t>noviembre</w:t>
      </w:r>
      <w:r w:rsidRPr="00F7454D">
        <w:rPr>
          <w:rFonts w:ascii="Verdana" w:eastAsia="Calibri" w:hAnsi="Verdana" w:cs="Arial"/>
          <w:lang w:val="es-ES" w:eastAsia="es-ES"/>
        </w:rPr>
        <w:t xml:space="preserve"> de 2024, en la cual manifiesta lo siguiente: </w:t>
      </w:r>
    </w:p>
    <w:p w14:paraId="3C71FB5B" w14:textId="77777777" w:rsidR="00EB6735" w:rsidRPr="00076878" w:rsidRDefault="00EB6735" w:rsidP="00EB6735">
      <w:pPr>
        <w:spacing w:after="0" w:line="276" w:lineRule="auto"/>
        <w:jc w:val="both"/>
        <w:rPr>
          <w:rFonts w:ascii="Verdana" w:eastAsia="Calibri" w:hAnsi="Verdana" w:cs="Arial"/>
          <w:lang w:val="es-ES" w:eastAsia="es-ES"/>
        </w:rPr>
      </w:pPr>
    </w:p>
    <w:p w14:paraId="6CAC26C8" w14:textId="73659604" w:rsidR="00903C94" w:rsidRPr="00CA608D" w:rsidRDefault="00EB6735" w:rsidP="00EB6735">
      <w:pPr>
        <w:spacing w:after="0" w:line="276" w:lineRule="auto"/>
        <w:jc w:val="both"/>
        <w:rPr>
          <w:rFonts w:ascii="Verdana" w:hAnsi="Verdana"/>
          <w:i/>
          <w:iCs/>
          <w:sz w:val="20"/>
          <w:szCs w:val="20"/>
        </w:rPr>
      </w:pPr>
      <w:bookmarkStart w:id="0" w:name="_Hlk95313578"/>
      <w:r w:rsidRPr="00CA608D">
        <w:rPr>
          <w:rFonts w:ascii="Verdana" w:eastAsia="Century Gothic" w:hAnsi="Verdana" w:cs="Century Gothic"/>
          <w:i/>
          <w:iCs/>
          <w:sz w:val="20"/>
          <w:szCs w:val="20"/>
          <w:lang w:val="es-ES"/>
        </w:rPr>
        <w:t>“</w:t>
      </w:r>
      <w:bookmarkEnd w:id="0"/>
      <w:r w:rsidR="00903C94" w:rsidRPr="00CA608D">
        <w:rPr>
          <w:rFonts w:ascii="Verdana" w:hAnsi="Verdana"/>
          <w:i/>
          <w:iCs/>
          <w:sz w:val="20"/>
          <w:szCs w:val="20"/>
        </w:rPr>
        <w:t xml:space="preserve">qué dependencia es la idónea para administrar el PLAN ANUAL DE ADQUISICIONES - PAA en las entidades </w:t>
      </w:r>
      <w:proofErr w:type="spellStart"/>
      <w:r w:rsidR="00903C94" w:rsidRPr="00CA608D">
        <w:rPr>
          <w:rFonts w:ascii="Verdana" w:hAnsi="Verdana"/>
          <w:i/>
          <w:iCs/>
          <w:sz w:val="20"/>
          <w:szCs w:val="20"/>
        </w:rPr>
        <w:t>publicas</w:t>
      </w:r>
      <w:proofErr w:type="spellEnd"/>
      <w:r w:rsidR="00903C94" w:rsidRPr="00CA608D">
        <w:rPr>
          <w:rFonts w:ascii="Verdana" w:hAnsi="Verdana"/>
          <w:i/>
          <w:iCs/>
          <w:sz w:val="20"/>
          <w:szCs w:val="20"/>
        </w:rPr>
        <w:t xml:space="preserve">? </w:t>
      </w:r>
      <w:proofErr w:type="gramStart"/>
      <w:r w:rsidR="00903C94" w:rsidRPr="00CA608D">
        <w:rPr>
          <w:rFonts w:ascii="Verdana" w:hAnsi="Verdana"/>
          <w:i/>
          <w:iCs/>
          <w:sz w:val="20"/>
          <w:szCs w:val="20"/>
        </w:rPr>
        <w:t>la aprobación del PAA debe hacerse por acto administrativo?</w:t>
      </w:r>
      <w:proofErr w:type="gramEnd"/>
      <w:r w:rsidR="00903C94" w:rsidRPr="00CA608D">
        <w:rPr>
          <w:rFonts w:ascii="Verdana" w:hAnsi="Verdana"/>
          <w:i/>
          <w:iCs/>
          <w:sz w:val="20"/>
          <w:szCs w:val="20"/>
        </w:rPr>
        <w:t xml:space="preserve"> debe elaborarse un documento aparte del archivo </w:t>
      </w:r>
      <w:proofErr w:type="spellStart"/>
      <w:r w:rsidR="00903C94" w:rsidRPr="00CA608D">
        <w:rPr>
          <w:rFonts w:ascii="Verdana" w:hAnsi="Verdana"/>
          <w:i/>
          <w:iCs/>
          <w:sz w:val="20"/>
          <w:szCs w:val="20"/>
        </w:rPr>
        <w:t>excel</w:t>
      </w:r>
      <w:proofErr w:type="spellEnd"/>
      <w:r w:rsidR="00903C94" w:rsidRPr="00CA608D">
        <w:rPr>
          <w:rFonts w:ascii="Verdana" w:hAnsi="Verdana"/>
          <w:i/>
          <w:iCs/>
          <w:sz w:val="20"/>
          <w:szCs w:val="20"/>
        </w:rPr>
        <w:t xml:space="preserve"> que se carga en Secop2? o una vez subido el archivo </w:t>
      </w:r>
      <w:proofErr w:type="spellStart"/>
      <w:r w:rsidR="00903C94" w:rsidRPr="00CA608D">
        <w:rPr>
          <w:rFonts w:ascii="Verdana" w:hAnsi="Verdana"/>
          <w:i/>
          <w:iCs/>
          <w:sz w:val="20"/>
          <w:szCs w:val="20"/>
        </w:rPr>
        <w:t>excel</w:t>
      </w:r>
      <w:proofErr w:type="spellEnd"/>
      <w:r w:rsidR="00903C94" w:rsidRPr="00CA608D">
        <w:rPr>
          <w:rFonts w:ascii="Verdana" w:hAnsi="Verdana"/>
          <w:i/>
          <w:iCs/>
          <w:sz w:val="20"/>
          <w:szCs w:val="20"/>
        </w:rPr>
        <w:t xml:space="preserve"> a SECOP 2 queda el contenido en la plataforma como el plan en </w:t>
      </w:r>
      <w:proofErr w:type="spellStart"/>
      <w:r w:rsidR="00903C94" w:rsidRPr="00CA608D">
        <w:rPr>
          <w:rFonts w:ascii="Verdana" w:hAnsi="Verdana"/>
          <w:i/>
          <w:iCs/>
          <w:sz w:val="20"/>
          <w:szCs w:val="20"/>
        </w:rPr>
        <w:t>si</w:t>
      </w:r>
      <w:proofErr w:type="spellEnd"/>
      <w:r w:rsidR="00903C94" w:rsidRPr="00CA608D">
        <w:rPr>
          <w:rFonts w:ascii="Verdana" w:hAnsi="Verdana"/>
          <w:i/>
          <w:iCs/>
          <w:sz w:val="20"/>
          <w:szCs w:val="20"/>
        </w:rPr>
        <w:t xml:space="preserve">? cada entidad debe elaborar un manual? o con el manual de elaboración de CCE basta? Lo anterior por cuanto dentro de MIPG el PAA hace parte de los planes institucionales y la norma no es clara en cuanto a cuál debería ser el perfil o área de quien maneje este plan; ni si se debe elaborar </w:t>
      </w:r>
      <w:proofErr w:type="spellStart"/>
      <w:r w:rsidR="00903C94" w:rsidRPr="00CA608D">
        <w:rPr>
          <w:rFonts w:ascii="Verdana" w:hAnsi="Verdana"/>
          <w:i/>
          <w:iCs/>
          <w:sz w:val="20"/>
          <w:szCs w:val="20"/>
        </w:rPr>
        <w:t>algun</w:t>
      </w:r>
      <w:proofErr w:type="spellEnd"/>
      <w:r w:rsidR="00903C94" w:rsidRPr="00CA608D">
        <w:rPr>
          <w:rFonts w:ascii="Verdana" w:hAnsi="Verdana"/>
          <w:i/>
          <w:iCs/>
          <w:sz w:val="20"/>
          <w:szCs w:val="20"/>
        </w:rPr>
        <w:t xml:space="preserve"> documento interno como plan o si con el plan que registra en SECOP2 queda entendida la existencia del mismo.</w:t>
      </w:r>
      <w:r w:rsidRPr="00CA608D">
        <w:rPr>
          <w:rFonts w:ascii="Verdana" w:hAnsi="Verdana"/>
          <w:i/>
          <w:iCs/>
          <w:sz w:val="20"/>
          <w:szCs w:val="20"/>
        </w:rPr>
        <w:t>”</w:t>
      </w:r>
      <w:r w:rsidR="00903C94" w:rsidRPr="00CA608D">
        <w:rPr>
          <w:rFonts w:ascii="Verdana" w:hAnsi="Verdana"/>
          <w:i/>
          <w:iCs/>
          <w:sz w:val="20"/>
          <w:szCs w:val="20"/>
        </w:rPr>
        <w:t xml:space="preserve"> </w:t>
      </w:r>
      <w:r w:rsidR="00903C94" w:rsidRPr="00CA608D">
        <w:rPr>
          <w:rFonts w:ascii="Verdana" w:eastAsia="Century Gothic" w:hAnsi="Verdana" w:cs="Century Gothic"/>
          <w:i/>
          <w:iCs/>
          <w:sz w:val="20"/>
          <w:szCs w:val="20"/>
          <w:lang w:val="es-ES"/>
        </w:rPr>
        <w:t xml:space="preserve"> </w:t>
      </w:r>
    </w:p>
    <w:p w14:paraId="42F22901" w14:textId="77777777" w:rsidR="00EB6735" w:rsidRPr="00FE63FD" w:rsidRDefault="00EB6735" w:rsidP="00EB6735">
      <w:pPr>
        <w:spacing w:after="0" w:line="276" w:lineRule="auto"/>
        <w:jc w:val="both"/>
        <w:rPr>
          <w:rFonts w:ascii="Verdana" w:eastAsia="Century Gothic" w:hAnsi="Verdana" w:cs="Century Gothic"/>
          <w:lang w:val="es-ES"/>
        </w:rPr>
      </w:pPr>
    </w:p>
    <w:p w14:paraId="750BBF48" w14:textId="77777777" w:rsidR="00CA608D" w:rsidRDefault="00CA608D" w:rsidP="00EB6735">
      <w:pPr>
        <w:spacing w:after="120" w:line="276" w:lineRule="auto"/>
        <w:ind w:firstLine="709"/>
        <w:jc w:val="both"/>
        <w:rPr>
          <w:rFonts w:ascii="Verdana" w:eastAsia="Calibri" w:hAnsi="Verdana" w:cs="Arial"/>
          <w:color w:val="000000"/>
          <w:lang w:val="es-ES" w:eastAsia="es-ES"/>
        </w:rPr>
      </w:pPr>
    </w:p>
    <w:p w14:paraId="0A1180F9" w14:textId="77777777" w:rsidR="00CA608D" w:rsidRDefault="00CA608D" w:rsidP="00EB6735">
      <w:pPr>
        <w:spacing w:after="120" w:line="276" w:lineRule="auto"/>
        <w:ind w:firstLine="709"/>
        <w:jc w:val="both"/>
        <w:rPr>
          <w:rFonts w:ascii="Verdana" w:eastAsia="Calibri" w:hAnsi="Verdana" w:cs="Arial"/>
          <w:color w:val="000000"/>
          <w:lang w:val="es-ES" w:eastAsia="es-ES"/>
        </w:rPr>
      </w:pPr>
    </w:p>
    <w:p w14:paraId="5F1BD71D" w14:textId="5EB6135B" w:rsidR="00EB6735" w:rsidRDefault="00EB6735" w:rsidP="00EB6735">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w:t>
      </w:r>
      <w:r>
        <w:rPr>
          <w:rFonts w:ascii="Verdana" w:eastAsia="Calibri" w:hAnsi="Verdana" w:cs="Arial"/>
          <w:color w:val="000000"/>
          <w:lang w:val="es-ES" w:eastAsia="es-ES"/>
        </w:rPr>
        <w:t>precisar</w:t>
      </w:r>
      <w:r w:rsidRPr="00593A5F">
        <w:rPr>
          <w:rFonts w:ascii="Verdana" w:eastAsia="Calibri" w:hAnsi="Verdana" w:cs="Arial"/>
          <w:color w:val="000000"/>
          <w:lang w:val="es-ES" w:eastAsia="es-ES"/>
        </w:rPr>
        <w:t xml:space="preserve">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A1865E0" w14:textId="77777777" w:rsidR="00EB6735" w:rsidRDefault="00EB6735" w:rsidP="00EB6735">
      <w:pPr>
        <w:spacing w:after="0" w:line="276" w:lineRule="auto"/>
        <w:ind w:firstLine="709"/>
        <w:jc w:val="both"/>
        <w:rPr>
          <w:rFonts w:ascii="Verdana" w:eastAsia="Calibri" w:hAnsi="Verdana" w:cs="Arial"/>
          <w:lang w:val="es-ES" w:eastAsia="es-ES"/>
        </w:rPr>
      </w:pPr>
      <w:r w:rsidRPr="004B40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25092342" w14:textId="77777777" w:rsidR="00EB6735" w:rsidRPr="00593A5F" w:rsidRDefault="00EB6735" w:rsidP="00EB6735">
      <w:pPr>
        <w:spacing w:after="0" w:line="276" w:lineRule="auto"/>
        <w:jc w:val="both"/>
        <w:rPr>
          <w:rFonts w:ascii="Verdana" w:eastAsia="Calibri" w:hAnsi="Verdana" w:cs="Arial"/>
          <w:color w:val="000000"/>
          <w:lang w:val="es-ES" w:eastAsia="es-ES"/>
        </w:rPr>
      </w:pPr>
    </w:p>
    <w:p w14:paraId="6A9A6F7E" w14:textId="77777777" w:rsidR="00EB6735" w:rsidRPr="00593A5F" w:rsidRDefault="00EB6735" w:rsidP="00EB673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1B430C8" w14:textId="77777777" w:rsidR="00EB6735" w:rsidRDefault="00EB6735" w:rsidP="00EB6735">
      <w:pPr>
        <w:spacing w:after="0" w:line="240" w:lineRule="auto"/>
        <w:ind w:right="709"/>
        <w:jc w:val="both"/>
        <w:rPr>
          <w:rFonts w:ascii="Verdana" w:eastAsia="Century Gothic" w:hAnsi="Verdana" w:cs="Century Gothic"/>
          <w:lang w:val="es-ES"/>
        </w:rPr>
      </w:pPr>
    </w:p>
    <w:p w14:paraId="38C033BC" w14:textId="3CD69C83" w:rsidR="00EB6735" w:rsidRDefault="00EB6735" w:rsidP="00EB6735">
      <w:pPr>
        <w:spacing w:after="0" w:line="276" w:lineRule="auto"/>
        <w:jc w:val="both"/>
        <w:rPr>
          <w:rFonts w:ascii="Verdana" w:eastAsia="Century Gothic" w:hAnsi="Verdana" w:cs="Century Gothic"/>
          <w:lang w:val="es-ES"/>
        </w:rPr>
      </w:pPr>
      <w:r w:rsidRPr="00E03E8C">
        <w:rPr>
          <w:rFonts w:ascii="Verdana" w:hAnsi="Verdana"/>
        </w:rPr>
        <w:t xml:space="preserve">De acuerdo con el contenido de su solicitud, esta Agencia resolverá el siguiente problema jurídico: </w:t>
      </w:r>
      <w:r w:rsidR="00CA608D" w:rsidRPr="005A13B4">
        <w:rPr>
          <w:rFonts w:ascii="Verdana" w:hAnsi="Verdana"/>
        </w:rPr>
        <w:t>i</w:t>
      </w:r>
      <w:r w:rsidR="00CA608D">
        <w:rPr>
          <w:rFonts w:ascii="Verdana" w:hAnsi="Verdana"/>
        </w:rPr>
        <w:t>)</w:t>
      </w:r>
      <w:r w:rsidR="00CA608D" w:rsidRPr="005A13B4">
        <w:rPr>
          <w:rFonts w:ascii="Verdana" w:hAnsi="Verdana"/>
        </w:rPr>
        <w:t xml:space="preserve"> ¿Las Entidades Estatales se encuentran en la obligación de realizar el Plan Anual de Adquisiciones – PAA? </w:t>
      </w:r>
      <w:proofErr w:type="spellStart"/>
      <w:r w:rsidR="00CA608D" w:rsidRPr="005A13B4">
        <w:rPr>
          <w:rFonts w:ascii="Verdana" w:hAnsi="Verdana"/>
        </w:rPr>
        <w:t>ii</w:t>
      </w:r>
      <w:proofErr w:type="spellEnd"/>
      <w:r w:rsidR="00CA608D">
        <w:rPr>
          <w:rFonts w:ascii="Verdana" w:hAnsi="Verdana"/>
        </w:rPr>
        <w:t>)</w:t>
      </w:r>
      <w:r w:rsidR="00CA608D" w:rsidRPr="005A13B4">
        <w:rPr>
          <w:rFonts w:ascii="Verdana" w:hAnsi="Verdana"/>
        </w:rPr>
        <w:t xml:space="preserve"> ¿Es necesaria la publicación en el </w:t>
      </w:r>
      <w:r w:rsidR="006E6382">
        <w:rPr>
          <w:rFonts w:ascii="Verdana" w:hAnsi="Verdana"/>
        </w:rPr>
        <w:t xml:space="preserve">Sistema Electrónico de Contratación Publica - </w:t>
      </w:r>
      <w:r w:rsidR="00CA608D" w:rsidRPr="005A13B4">
        <w:rPr>
          <w:rFonts w:ascii="Verdana" w:hAnsi="Verdana"/>
        </w:rPr>
        <w:t>SECOP</w:t>
      </w:r>
      <w:r w:rsidR="00CA608D">
        <w:rPr>
          <w:rFonts w:ascii="Verdana" w:hAnsi="Verdana"/>
        </w:rPr>
        <w:t xml:space="preserve"> II</w:t>
      </w:r>
      <w:r w:rsidR="00CA608D" w:rsidRPr="005A13B4">
        <w:rPr>
          <w:rFonts w:ascii="Verdana" w:hAnsi="Verdana"/>
        </w:rPr>
        <w:t xml:space="preserve"> del Plan Anual de Adquisiciones – PAA</w:t>
      </w:r>
      <w:r w:rsidR="00CA608D">
        <w:rPr>
          <w:rFonts w:ascii="Verdana" w:hAnsi="Verdana"/>
        </w:rPr>
        <w:t xml:space="preserve"> elaborado por las Entidades Estatales</w:t>
      </w:r>
      <w:r w:rsidR="00CA608D" w:rsidRPr="005A13B4">
        <w:rPr>
          <w:rFonts w:ascii="Verdana" w:hAnsi="Verdana"/>
        </w:rPr>
        <w:t>?</w:t>
      </w:r>
    </w:p>
    <w:p w14:paraId="408D8D49" w14:textId="77777777" w:rsidR="00EB6735" w:rsidRPr="00EE4272" w:rsidRDefault="00EB6735" w:rsidP="00EB6735">
      <w:pPr>
        <w:spacing w:after="0" w:line="276" w:lineRule="auto"/>
        <w:jc w:val="both"/>
        <w:rPr>
          <w:rFonts w:ascii="Verdana" w:eastAsia="Century Gothic" w:hAnsi="Verdana" w:cs="Century Gothic"/>
        </w:rPr>
      </w:pPr>
    </w:p>
    <w:p w14:paraId="11720922" w14:textId="77777777" w:rsidR="00EB6735" w:rsidRPr="00593A5F" w:rsidRDefault="00EB6735" w:rsidP="00EB67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ED50822" w14:textId="77777777" w:rsidR="00EB6735" w:rsidRPr="00593A5F" w:rsidRDefault="00EB6735" w:rsidP="00EB673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B6735" w:rsidRPr="00593A5F" w14:paraId="29AAC0F9" w14:textId="77777777" w:rsidTr="00A22AF0">
        <w:tc>
          <w:tcPr>
            <w:tcW w:w="8828" w:type="dxa"/>
            <w:shd w:val="clear" w:color="auto" w:fill="auto"/>
          </w:tcPr>
          <w:p w14:paraId="0FA48573" w14:textId="7C4246A2" w:rsidR="006002C5" w:rsidRPr="00EF7AFF" w:rsidRDefault="00EF7AFF" w:rsidP="00EF7AFF">
            <w:pPr>
              <w:spacing w:after="120" w:line="276" w:lineRule="auto"/>
              <w:jc w:val="both"/>
              <w:rPr>
                <w:rFonts w:ascii="Verdana" w:eastAsia="Calibri" w:hAnsi="Verdana" w:cs="Arial"/>
                <w:lang w:val="es-ES"/>
              </w:rPr>
            </w:pPr>
            <w:r w:rsidRPr="00EF7AFF">
              <w:rPr>
                <w:rFonts w:ascii="Verdana" w:eastAsia="Calibri" w:hAnsi="Verdana" w:cs="Arial"/>
                <w:lang w:val="es-ES"/>
              </w:rPr>
              <w:t xml:space="preserve">i) </w:t>
            </w:r>
            <w:r w:rsidR="006002C5" w:rsidRPr="00EF7AFF">
              <w:rPr>
                <w:rFonts w:ascii="Verdana" w:eastAsia="Calibri" w:hAnsi="Verdana" w:cs="Arial"/>
                <w:lang w:val="es-ES"/>
              </w:rPr>
              <w:t xml:space="preserve">De manera preliminar, debe precisarse que el marco normativo que regula el Plan Anual de Adquisiciones, establece la obligación de enunciar las necesidades que la entidad pretende satisfacer para una determinada vigencia fiscal. Pues tal obligación, no impone determinar valores, tiempos, bienes, obras o servicios de manera exacta, sino que permite realizar un pronóstico indicativo de las necesidades que se van a satisfacer a través de la celebración de contratos. </w:t>
            </w:r>
          </w:p>
          <w:p w14:paraId="6BB6DB33" w14:textId="0AFA57D2" w:rsidR="00EF7AFF" w:rsidRPr="00EF7AFF" w:rsidRDefault="006002C5" w:rsidP="00EF7AFF">
            <w:pPr>
              <w:spacing w:after="120" w:line="276" w:lineRule="auto"/>
              <w:ind w:firstLine="709"/>
              <w:jc w:val="both"/>
              <w:rPr>
                <w:rFonts w:ascii="Verdana" w:eastAsia="Calibri" w:hAnsi="Verdana" w:cs="Arial"/>
                <w:lang w:val="es-ES"/>
              </w:rPr>
            </w:pPr>
            <w:r w:rsidRPr="00EF7AFF">
              <w:rPr>
                <w:rFonts w:ascii="Verdana" w:eastAsia="Calibri" w:hAnsi="Verdana" w:cs="Arial"/>
                <w:lang w:val="es-ES"/>
              </w:rPr>
              <w:lastRenderedPageBreak/>
              <w:t>En ese sentido, puede colegirse que la norma es categórica en señalar que en el Plan Anual de Adquisiciones debe enlistarse todo bien, obra o servicio que se pretenda adquirir con amparo presupuestal, por lo que las entidades deberán cumplir con dicha obligación sin consideración de las condiciones en que planeen hacerlo, ya que el deber de inclusión de tal información, es independiente de la clase o modalidad de contratación o de la forma en la que se pagará el valor estimado, etc.</w:t>
            </w:r>
          </w:p>
          <w:p w14:paraId="73534EF7" w14:textId="10AEA8FA" w:rsidR="00EF7AFF" w:rsidRDefault="00EF7AFF" w:rsidP="00EF7AFF">
            <w:pPr>
              <w:spacing w:after="120" w:line="276" w:lineRule="auto"/>
              <w:ind w:firstLine="709"/>
              <w:jc w:val="both"/>
              <w:rPr>
                <w:rFonts w:ascii="Verdana" w:eastAsia="Calibri" w:hAnsi="Verdana" w:cs="Arial"/>
              </w:rPr>
            </w:pPr>
            <w:r>
              <w:rPr>
                <w:rFonts w:ascii="Verdana" w:hAnsi="Verdana" w:cs="Arial"/>
              </w:rPr>
              <w:t xml:space="preserve">De </w:t>
            </w:r>
            <w:r w:rsidRPr="00EF7AFF">
              <w:rPr>
                <w:rFonts w:ascii="Verdana" w:hAnsi="Verdana" w:cs="Arial"/>
              </w:rPr>
              <w:t xml:space="preserve">conformidad con lo prescrito en los artículos 2.2.1.1.1.4.1, 2.2.1.1.1.4.3 y 2.2.1.1.1.4.4 del Decreto 1082 de 2015 se establece el deber de las Entidades Estatales de “elaborar el Plan Anual de Adquisiciones, el cual debe contener la lista de bienes, obras y servicios que pretenden adquirir durante el año”. </w:t>
            </w:r>
            <w:r w:rsidRPr="00EF7AFF">
              <w:rPr>
                <w:rFonts w:ascii="Verdana" w:eastAsia="Calibri" w:hAnsi="Verdana" w:cs="Arial"/>
              </w:rPr>
              <w:t>Tratándose de una obligación que involucra a todas las Entidades del Estado sin importar la rama a la cual pertenecen, o si se trata de entidades descentralizadas territorialmente o por servicios; los órganos con competencia para contratar, como los concejos municipales; las empresas del Estado y las sociedades en las que el Estado tenga participación, sin que importe su monto.</w:t>
            </w:r>
          </w:p>
          <w:p w14:paraId="179540C3" w14:textId="70F8DF9C" w:rsidR="006C45E6" w:rsidRDefault="006C45E6" w:rsidP="006C45E6">
            <w:pPr>
              <w:spacing w:after="120" w:line="276" w:lineRule="auto"/>
              <w:jc w:val="both"/>
              <w:rPr>
                <w:rFonts w:ascii="Verdana" w:eastAsia="Calibri" w:hAnsi="Verdana" w:cs="Arial"/>
                <w:kern w:val="2"/>
                <w14:ligatures w14:val="standardContextual"/>
              </w:rPr>
            </w:pPr>
            <w:proofErr w:type="spellStart"/>
            <w:r>
              <w:rPr>
                <w:rFonts w:ascii="Verdana" w:hAnsi="Verdana" w:cs="Arial"/>
              </w:rPr>
              <w:t>ii</w:t>
            </w:r>
            <w:proofErr w:type="spellEnd"/>
            <w:r>
              <w:rPr>
                <w:rFonts w:ascii="Verdana" w:hAnsi="Verdana" w:cs="Arial"/>
              </w:rPr>
              <w:t xml:space="preserve">) En el particular, de acuerdo </w:t>
            </w:r>
            <w:r w:rsidRPr="006B0E52">
              <w:rPr>
                <w:rFonts w:ascii="Verdana" w:eastAsia="Calibri" w:hAnsi="Verdana" w:cs="Arial"/>
              </w:rPr>
              <w:t xml:space="preserve">a lo previsto en </w:t>
            </w:r>
            <w:r w:rsidRPr="006B0E52">
              <w:rPr>
                <w:rFonts w:ascii="Verdana" w:eastAsia="Calibri" w:hAnsi="Verdana" w:cs="Arial"/>
                <w:kern w:val="2"/>
                <w14:ligatures w14:val="standardContextual"/>
              </w:rPr>
              <w:t xml:space="preserve">el artículo 2.2.1.1.1.3.1. del Decreto 1082 de 2015, el PAA es el </w:t>
            </w:r>
            <w:r>
              <w:rPr>
                <w:rFonts w:ascii="Verdana" w:eastAsia="Calibri" w:hAnsi="Verdana" w:cs="Arial"/>
                <w:kern w:val="2"/>
                <w14:ligatures w14:val="standardContextual"/>
              </w:rPr>
              <w:t>P</w:t>
            </w:r>
            <w:r w:rsidRPr="006B0E52">
              <w:rPr>
                <w:rFonts w:ascii="Verdana" w:eastAsia="Calibri" w:hAnsi="Verdana" w:cs="Arial"/>
                <w:kern w:val="2"/>
                <w14:ligatures w14:val="standardContextual"/>
              </w:rPr>
              <w:t xml:space="preserve">lan </w:t>
            </w:r>
            <w:r>
              <w:rPr>
                <w:rFonts w:ascii="Verdana" w:eastAsia="Calibri" w:hAnsi="Verdana" w:cs="Arial"/>
                <w:kern w:val="2"/>
                <w14:ligatures w14:val="standardContextual"/>
              </w:rPr>
              <w:t>G</w:t>
            </w:r>
            <w:r w:rsidRPr="006B0E52">
              <w:rPr>
                <w:rFonts w:ascii="Verdana" w:eastAsia="Calibri" w:hAnsi="Verdana" w:cs="Arial"/>
                <w:kern w:val="2"/>
                <w14:ligatures w14:val="standardContextual"/>
              </w:rPr>
              <w:t xml:space="preserve">eneral de </w:t>
            </w:r>
            <w:r>
              <w:rPr>
                <w:rFonts w:ascii="Verdana" w:eastAsia="Calibri" w:hAnsi="Verdana" w:cs="Arial"/>
                <w:kern w:val="2"/>
                <w14:ligatures w14:val="standardContextual"/>
              </w:rPr>
              <w:t>C</w:t>
            </w:r>
            <w:r w:rsidRPr="006B0E52">
              <w:rPr>
                <w:rFonts w:ascii="Verdana" w:eastAsia="Calibri" w:hAnsi="Verdana" w:cs="Arial"/>
                <w:kern w:val="2"/>
                <w14:ligatures w14:val="standardContextual"/>
              </w:rPr>
              <w:t>ompras al que se refiere el artículo 74 de la Ley 1474 de 2011 y el plan de compras al que se refiere la Ley Anual de Presupuesto. Asimismo, este artículo lo define como un instrumento de planeación contractual que las Entidades Estatales deben diligenciar, publicar y actualizar.</w:t>
            </w:r>
          </w:p>
          <w:p w14:paraId="16A753D8" w14:textId="6F293576" w:rsidR="006C45E6" w:rsidRDefault="006C45E6" w:rsidP="00CE0BBC">
            <w:pPr>
              <w:spacing w:after="120" w:line="276" w:lineRule="auto"/>
              <w:ind w:firstLine="709"/>
              <w:jc w:val="both"/>
              <w:rPr>
                <w:rFonts w:ascii="Verdana" w:eastAsia="Calibri" w:hAnsi="Verdana" w:cs="Arial"/>
                <w:noProof/>
                <w:lang w:val="es-ES_tradnl"/>
              </w:rPr>
            </w:pPr>
            <w:r>
              <w:rPr>
                <w:rFonts w:ascii="Verdana" w:eastAsia="Calibri" w:hAnsi="Verdana" w:cs="Arial"/>
                <w:noProof/>
                <w:lang w:val="es-ES_tradnl"/>
              </w:rPr>
              <w:t xml:space="preserve">Ahora bien, </w:t>
            </w:r>
            <w:r w:rsidRPr="006B0E52">
              <w:rPr>
                <w:rFonts w:ascii="Verdana" w:eastAsia="Calibri" w:hAnsi="Verdana" w:cs="Arial"/>
                <w:noProof/>
                <w:lang w:val="es-ES_tradnl"/>
              </w:rPr>
              <w:t>el artículo 74 de la Ley 1474 de 2011 dispone que “todas las entidades del Estado” deben publicar, a más tardar el 31 de enero de cada año, en su respectiva página web, el plan de acción, en el cual se incluye el plan general de compras</w:t>
            </w:r>
            <w:r>
              <w:rPr>
                <w:rStyle w:val="Refdenotaalpie"/>
                <w:rFonts w:ascii="Verdana" w:eastAsia="Calibri" w:hAnsi="Verdana" w:cs="Arial"/>
                <w:noProof/>
                <w:lang w:val="es-ES_tradnl"/>
              </w:rPr>
              <w:footnoteReference w:id="1"/>
            </w:r>
            <w:r>
              <w:rPr>
                <w:rFonts w:ascii="Verdana" w:eastAsia="Calibri" w:hAnsi="Verdana" w:cs="Arial"/>
                <w:noProof/>
                <w:lang w:val="es-ES_tradnl"/>
              </w:rPr>
              <w:t xml:space="preserve">. </w:t>
            </w:r>
            <w:r w:rsidRPr="006B0E52">
              <w:rPr>
                <w:rFonts w:ascii="Verdana" w:eastAsia="Calibri" w:hAnsi="Verdana" w:cs="Arial"/>
                <w:noProof/>
                <w:lang w:val="es-ES_tradnl"/>
              </w:rPr>
              <w:t>Como ya se indicó, el plan general de compras para el ordenamiento vigente corresponde con el concepto de PAA como lo establece el artículo 2.2.1.1.1.3.1. del Decreto 1082 de 2015</w:t>
            </w:r>
            <w:r>
              <w:rPr>
                <w:rStyle w:val="Refdenotaalpie"/>
                <w:rFonts w:ascii="Verdana" w:eastAsia="Calibri" w:hAnsi="Verdana" w:cs="Arial"/>
                <w:noProof/>
                <w:lang w:val="es-ES_tradnl"/>
              </w:rPr>
              <w:footnoteReference w:id="2"/>
            </w:r>
            <w:r>
              <w:rPr>
                <w:rFonts w:ascii="Verdana" w:eastAsia="Calibri" w:hAnsi="Verdana" w:cs="Arial"/>
                <w:noProof/>
                <w:lang w:val="es-ES_tradnl"/>
              </w:rPr>
              <w:t>.</w:t>
            </w:r>
          </w:p>
          <w:p w14:paraId="75A3D838" w14:textId="3233EEFE" w:rsidR="001259D4" w:rsidRPr="001259D4" w:rsidRDefault="006E50A7" w:rsidP="001259D4">
            <w:pPr>
              <w:spacing w:line="276" w:lineRule="auto"/>
              <w:jc w:val="both"/>
              <w:rPr>
                <w:rFonts w:ascii="Verdana" w:eastAsia="Calibri" w:hAnsi="Verdana" w:cs="Arial"/>
                <w:lang w:val="es-ES"/>
              </w:rPr>
            </w:pPr>
            <w:r>
              <w:rPr>
                <w:rFonts w:ascii="Verdana" w:hAnsi="Verdana" w:cs="Arial"/>
              </w:rPr>
              <w:lastRenderedPageBreak/>
              <w:t xml:space="preserve">En ese orden de ideas, </w:t>
            </w:r>
            <w:r w:rsidRPr="006B0E52">
              <w:rPr>
                <w:rFonts w:ascii="Verdana" w:eastAsia="Calibri" w:hAnsi="Verdana" w:cs="Arial"/>
                <w:noProof/>
                <w:lang w:val="es-ES_tradnl"/>
              </w:rPr>
              <w:t xml:space="preserve">de acuerdo con el artículo 2.2.1.1.1.4.3, </w:t>
            </w:r>
            <w:r w:rsidRPr="006B0E52">
              <w:rPr>
                <w:rFonts w:ascii="Verdana" w:eastAsia="Calibri" w:hAnsi="Verdana" w:cs="Arial"/>
                <w:i/>
                <w:noProof/>
                <w:lang w:val="es-ES_tradnl"/>
              </w:rPr>
              <w:t>Ibídem</w:t>
            </w:r>
            <w:r w:rsidRPr="006B0E52">
              <w:rPr>
                <w:rFonts w:ascii="Verdana" w:eastAsia="Calibri" w:hAnsi="Verdana" w:cs="Arial"/>
                <w:noProof/>
                <w:lang w:val="es-ES_tradnl"/>
              </w:rPr>
              <w:t>,</w:t>
            </w:r>
            <w:r w:rsidRPr="006B0E52">
              <w:rPr>
                <w:rFonts w:ascii="Verdana" w:eastAsia="Calibri" w:hAnsi="Verdana" w:cs="Arial"/>
              </w:rPr>
              <w:t xml:space="preserve"> el PAA</w:t>
            </w:r>
            <w:r>
              <w:rPr>
                <w:rFonts w:ascii="Verdana" w:eastAsia="Calibri" w:hAnsi="Verdana" w:cs="Arial"/>
              </w:rPr>
              <w:t xml:space="preserve"> que elaboran todas las Entidades Estatales</w:t>
            </w:r>
            <w:r w:rsidR="007E1BC8">
              <w:rPr>
                <w:rFonts w:ascii="Verdana" w:eastAsia="Calibri" w:hAnsi="Verdana" w:cs="Arial"/>
              </w:rPr>
              <w:t xml:space="preserve"> </w:t>
            </w:r>
            <w:r w:rsidRPr="006B0E52">
              <w:rPr>
                <w:rFonts w:ascii="Verdana" w:eastAsia="Calibri" w:hAnsi="Verdana" w:cs="Arial"/>
              </w:rPr>
              <w:t>también debe publicarse en el SECOP</w:t>
            </w:r>
            <w:r>
              <w:rPr>
                <w:rStyle w:val="Refdenotaalpie"/>
                <w:rFonts w:ascii="Verdana" w:eastAsia="Calibri" w:hAnsi="Verdana" w:cs="Arial"/>
              </w:rPr>
              <w:footnoteReference w:id="3"/>
            </w:r>
            <w:r>
              <w:rPr>
                <w:rFonts w:ascii="Verdana" w:eastAsia="Calibri" w:hAnsi="Verdana" w:cs="Arial"/>
              </w:rPr>
              <w:t>.</w:t>
            </w:r>
            <w:r w:rsidR="001259D4">
              <w:rPr>
                <w:rFonts w:ascii="Verdana" w:eastAsia="Calibri" w:hAnsi="Verdana" w:cs="Arial"/>
              </w:rPr>
              <w:t xml:space="preserve"> No obstante</w:t>
            </w:r>
            <w:r w:rsidR="001259D4" w:rsidRPr="00B52642">
              <w:rPr>
                <w:rFonts w:ascii="Verdana" w:eastAsia="Aptos" w:hAnsi="Verdana" w:cs="Arial"/>
                <w:color w:val="000000"/>
                <w:shd w:val="clear" w:color="auto" w:fill="FFFFFF"/>
                <w:lang w:val="es-MX"/>
              </w:rPr>
              <w:t xml:space="preserve">, resulta </w:t>
            </w:r>
            <w:r w:rsidR="00CE0BBC">
              <w:rPr>
                <w:rFonts w:ascii="Verdana" w:eastAsia="Aptos" w:hAnsi="Verdana" w:cs="Arial"/>
                <w:color w:val="000000"/>
                <w:shd w:val="clear" w:color="auto" w:fill="FFFFFF"/>
                <w:lang w:val="es-MX"/>
              </w:rPr>
              <w:t>imperioso</w:t>
            </w:r>
            <w:r w:rsidR="001259D4" w:rsidRPr="00B52642">
              <w:rPr>
                <w:rFonts w:ascii="Verdana" w:eastAsia="Aptos" w:hAnsi="Verdana" w:cs="Arial"/>
                <w:color w:val="000000"/>
                <w:shd w:val="clear" w:color="auto" w:fill="FFFFFF"/>
                <w:lang w:val="es-MX"/>
              </w:rPr>
              <w:t xml:space="preserve"> indicar que la </w:t>
            </w:r>
            <w:r w:rsidR="001259D4">
              <w:rPr>
                <w:rFonts w:ascii="Verdana" w:eastAsia="Aptos" w:hAnsi="Verdana" w:cs="Arial"/>
                <w:color w:val="000000"/>
                <w:shd w:val="clear" w:color="auto" w:fill="FFFFFF"/>
                <w:lang w:val="es-MX"/>
              </w:rPr>
              <w:t>“</w:t>
            </w:r>
            <w:r w:rsidR="001259D4" w:rsidRPr="00B52642">
              <w:rPr>
                <w:rFonts w:ascii="Verdana" w:eastAsia="Aptos" w:hAnsi="Verdana" w:cs="Arial"/>
                <w:color w:val="000000"/>
                <w:shd w:val="clear" w:color="auto" w:fill="FFFFFF"/>
                <w:lang w:val="es-MX"/>
              </w:rPr>
              <w:t>Guía para Elaborar el Plan Anual de Adquisiciones</w:t>
            </w:r>
            <w:r w:rsidR="001259D4">
              <w:rPr>
                <w:rFonts w:ascii="Verdana" w:eastAsia="Aptos" w:hAnsi="Verdana" w:cs="Arial"/>
                <w:color w:val="000000"/>
                <w:shd w:val="clear" w:color="auto" w:fill="FFFFFF"/>
                <w:lang w:val="es-MX"/>
              </w:rPr>
              <w:t>”</w:t>
            </w:r>
            <w:r w:rsidR="001259D4" w:rsidRPr="00B52642">
              <w:rPr>
                <w:rFonts w:ascii="Verdana" w:eastAsia="Aptos" w:hAnsi="Verdana" w:cs="Arial"/>
                <w:color w:val="000000"/>
                <w:shd w:val="clear" w:color="auto" w:fill="FFFFFF"/>
                <w:lang w:val="es-MX"/>
              </w:rPr>
              <w:t xml:space="preserve"> emitida por esta Agencia, constituye una herramienta orientadora para las Entidades Estatales, en la que se desarrollan lineamientos que les servirán de apoyo para preparar y actualizar el PAA. Esta guía, de acuerdo con lo establecido en el numeral 2, literal c) del artículo 2.2.1.2.5.2 del Decreto 1082 de 2015, deberá utilizarse por parte de las Entidades Estatales, como un instrumento de buena práctica contractual.</w:t>
            </w:r>
          </w:p>
        </w:tc>
      </w:tr>
    </w:tbl>
    <w:p w14:paraId="2AC8099C" w14:textId="77777777" w:rsidR="00EB6735" w:rsidRPr="00593A5F" w:rsidRDefault="00EB6735" w:rsidP="00EB6735">
      <w:pPr>
        <w:tabs>
          <w:tab w:val="left" w:pos="142"/>
          <w:tab w:val="left" w:pos="284"/>
        </w:tabs>
        <w:spacing w:after="0" w:line="276" w:lineRule="auto"/>
        <w:jc w:val="both"/>
        <w:rPr>
          <w:rFonts w:ascii="Verdana" w:eastAsia="Century Gothic" w:hAnsi="Verdana" w:cs="Century Gothic"/>
          <w:b/>
          <w:bCs/>
          <w:lang w:val="es-ES"/>
        </w:rPr>
      </w:pPr>
    </w:p>
    <w:p w14:paraId="5725697B" w14:textId="77777777" w:rsidR="00EB6735" w:rsidRPr="00593A5F" w:rsidRDefault="00EB6735" w:rsidP="00EB67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14C7C48" w14:textId="77777777" w:rsidR="00EB6735" w:rsidRPr="00593A5F" w:rsidRDefault="00EB6735" w:rsidP="00EB6735">
      <w:pPr>
        <w:spacing w:after="0" w:line="276" w:lineRule="auto"/>
        <w:jc w:val="both"/>
        <w:rPr>
          <w:rFonts w:ascii="Verdana" w:eastAsia="Calibri" w:hAnsi="Verdana" w:cs="Arial"/>
          <w:color w:val="7030A0"/>
          <w:lang w:val="es-ES"/>
        </w:rPr>
      </w:pPr>
    </w:p>
    <w:p w14:paraId="7E48C5DF" w14:textId="4A16F599" w:rsidR="00EB6735" w:rsidRDefault="00EB6735" w:rsidP="00EB6735">
      <w:pPr>
        <w:spacing w:after="0" w:line="276" w:lineRule="auto"/>
        <w:jc w:val="both"/>
        <w:rPr>
          <w:rFonts w:ascii="Verdana" w:eastAsia="Calibri" w:hAnsi="Verdana" w:cs="Arial"/>
          <w:lang w:val="es-ES"/>
        </w:rPr>
      </w:pPr>
      <w:r w:rsidRPr="00FB372A">
        <w:rPr>
          <w:rFonts w:ascii="Verdana" w:eastAsia="Calibri" w:hAnsi="Verdana" w:cs="Arial"/>
          <w:lang w:val="es-ES"/>
        </w:rPr>
        <w:t>Lo anterior se sustenta en las siguientes consideraciones:</w:t>
      </w:r>
    </w:p>
    <w:p w14:paraId="6DD8D874" w14:textId="32F4CD3B" w:rsidR="007E1BC8" w:rsidRDefault="007E1BC8" w:rsidP="00EB6735">
      <w:pPr>
        <w:spacing w:after="0" w:line="276" w:lineRule="auto"/>
        <w:jc w:val="both"/>
        <w:rPr>
          <w:rFonts w:ascii="Verdana" w:eastAsia="Calibri" w:hAnsi="Verdana" w:cs="Arial"/>
          <w:lang w:val="es-ES"/>
        </w:rPr>
      </w:pPr>
    </w:p>
    <w:p w14:paraId="2ACF2C13" w14:textId="20B93929" w:rsidR="007E1BC8" w:rsidRPr="00A61B0C" w:rsidRDefault="007E1BC8" w:rsidP="00A61B0C">
      <w:pPr>
        <w:spacing w:after="120" w:line="276" w:lineRule="auto"/>
        <w:jc w:val="both"/>
        <w:rPr>
          <w:rFonts w:ascii="Verdana" w:eastAsia="Calibri" w:hAnsi="Verdana" w:cs="Arial"/>
        </w:rPr>
      </w:pPr>
      <w:r w:rsidRPr="00A61B0C">
        <w:rPr>
          <w:rFonts w:ascii="Verdana" w:eastAsia="Calibri" w:hAnsi="Verdana" w:cs="Arial"/>
        </w:rPr>
        <w:t>La Guía para elaborar el Plan Anual de Adquisiciones</w:t>
      </w:r>
      <w:r w:rsidRPr="00A61B0C">
        <w:rPr>
          <w:rFonts w:ascii="Verdana" w:eastAsia="Calibri" w:hAnsi="Verdana" w:cs="Arial"/>
          <w:vertAlign w:val="superscript"/>
        </w:rPr>
        <w:footnoteReference w:id="4"/>
      </w:r>
      <w:r w:rsidRPr="00A61B0C">
        <w:rPr>
          <w:rFonts w:ascii="Verdana" w:eastAsia="Calibri" w:hAnsi="Verdana" w:cs="Arial"/>
        </w:rPr>
        <w:t xml:space="preserve">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r w:rsidRPr="00A61B0C">
        <w:rPr>
          <w:rFonts w:ascii="Verdana" w:eastAsia="Aptos" w:hAnsi="Verdana" w:cs="Times New Roman"/>
          <w:vertAlign w:val="superscript"/>
        </w:rPr>
        <w:footnoteReference w:id="5"/>
      </w:r>
      <w:r w:rsidRPr="00A61B0C">
        <w:rPr>
          <w:rFonts w:ascii="Verdana" w:eastAsia="Calibri" w:hAnsi="Verdana" w:cs="Arial"/>
        </w:rPr>
        <w:t>.</w:t>
      </w:r>
    </w:p>
    <w:p w14:paraId="5E219C9B" w14:textId="7CD29370" w:rsidR="007E1BC8" w:rsidRPr="00A61B0C" w:rsidRDefault="007E1BC8" w:rsidP="00A61B0C">
      <w:pPr>
        <w:spacing w:after="120" w:line="276" w:lineRule="auto"/>
        <w:ind w:firstLine="709"/>
        <w:jc w:val="both"/>
        <w:rPr>
          <w:rFonts w:ascii="Verdana" w:eastAsia="Aptos" w:hAnsi="Verdana" w:cs="Arial"/>
          <w:shd w:val="clear" w:color="auto" w:fill="FFFFFF"/>
          <w:lang w:val="es-ES_tradnl"/>
        </w:rPr>
      </w:pPr>
      <w:r w:rsidRPr="00A61B0C">
        <w:rPr>
          <w:rFonts w:ascii="Verdana" w:eastAsia="Aptos" w:hAnsi="Verdana" w:cs="Arial"/>
          <w:shd w:val="clear" w:color="auto" w:fill="FFFFFF"/>
        </w:rPr>
        <w:t xml:space="preserve">De acuerdo con el artículo 2.2.1.1.1.3.1. del Decreto 1082 de 2015, el PAA es el plan general de compras al que se refiere el artículo 74 de la Ley 1474 de 2011 y el plan de compras al que se refiere la Ley Anual de Presupuesto. Asimismo, este artículo lo define como un instrumento de planeación contractual </w:t>
      </w:r>
      <w:r w:rsidRPr="00A61B0C">
        <w:rPr>
          <w:rFonts w:ascii="Verdana" w:eastAsia="Aptos" w:hAnsi="Verdana" w:cs="Arial"/>
          <w:shd w:val="clear" w:color="auto" w:fill="FFFFFF"/>
        </w:rPr>
        <w:lastRenderedPageBreak/>
        <w:t xml:space="preserve">que las Entidades Estatales deben diligenciar, publicar y actualizar. </w:t>
      </w:r>
      <w:r w:rsidRPr="00A61B0C">
        <w:rPr>
          <w:rFonts w:ascii="Verdana" w:eastAsia="Aptos" w:hAnsi="Verdana" w:cs="Arial"/>
          <w:shd w:val="clear" w:color="auto" w:fill="FFFFFF"/>
          <w:lang w:val="es-ES_tradnl"/>
        </w:rPr>
        <w:t>En particular, el artículo 74 de la Ley 1474 de 2011 dispone que “todas las entidades del Estado” deben publicar, a más tardar el 31 de enero de cada año, en su respectiva página web, el plan de acción, en el cual se incluye el plan general de compras</w:t>
      </w:r>
      <w:r w:rsidRPr="00A61B0C">
        <w:rPr>
          <w:rFonts w:ascii="Verdana" w:eastAsia="Aptos" w:hAnsi="Verdana" w:cs="Times New Roman"/>
          <w:shd w:val="clear" w:color="auto" w:fill="FFFFFF"/>
          <w:vertAlign w:val="superscript"/>
          <w:lang w:val="es-ES_tradnl"/>
        </w:rPr>
        <w:footnoteReference w:id="6"/>
      </w:r>
      <w:r w:rsidRPr="00A61B0C">
        <w:rPr>
          <w:rFonts w:ascii="Verdana" w:eastAsia="Aptos" w:hAnsi="Verdana" w:cs="Arial"/>
          <w:shd w:val="clear" w:color="auto" w:fill="FFFFFF"/>
          <w:lang w:val="es-ES_tradnl"/>
        </w:rPr>
        <w:t>.</w:t>
      </w:r>
    </w:p>
    <w:p w14:paraId="052C5C7D" w14:textId="356F1CB6" w:rsidR="007E1BC8" w:rsidRPr="00A61B0C" w:rsidRDefault="007E1BC8" w:rsidP="00A61B0C">
      <w:pPr>
        <w:spacing w:after="120" w:line="276" w:lineRule="auto"/>
        <w:ind w:firstLine="709"/>
        <w:jc w:val="both"/>
        <w:rPr>
          <w:rFonts w:ascii="Verdana" w:eastAsia="Aptos" w:hAnsi="Verdana" w:cs="Arial"/>
          <w:shd w:val="clear" w:color="auto" w:fill="FFFFFF"/>
          <w:lang w:val="es-ES"/>
        </w:rPr>
      </w:pPr>
      <w:r w:rsidRPr="00A61B0C">
        <w:rPr>
          <w:rFonts w:ascii="Verdana" w:eastAsia="Aptos" w:hAnsi="Verdana" w:cs="Arial"/>
          <w:shd w:val="clear" w:color="auto" w:fill="FFFFFF"/>
          <w:lang w:val="es-ES_tradnl"/>
        </w:rPr>
        <w:t>Como ya se indicó, el plan general de compras para el ordenamiento vigente corresponde con el concepto de PAA como lo establece el artículo 2.2.1.1.1.3.1 del Decreto 1082 de 2015. Además, de acuerdo con el artículo 2.2.1.1.1.4.3 ibidem,</w:t>
      </w:r>
      <w:r w:rsidRPr="00A61B0C">
        <w:rPr>
          <w:rFonts w:ascii="Verdana" w:eastAsia="Aptos" w:hAnsi="Verdana" w:cs="Arial"/>
          <w:shd w:val="clear" w:color="auto" w:fill="FFFFFF"/>
          <w:lang w:val="es-ES"/>
        </w:rPr>
        <w:t xml:space="preserve"> el PAA también debe publicarse en el Sistema Electrónico para la Contratación Pública, en adelante SECOP</w:t>
      </w:r>
      <w:r w:rsidRPr="00A61B0C">
        <w:rPr>
          <w:rFonts w:ascii="Verdana" w:eastAsia="Aptos" w:hAnsi="Verdana" w:cs="Times New Roman"/>
          <w:shd w:val="clear" w:color="auto" w:fill="FFFFFF"/>
          <w:vertAlign w:val="superscript"/>
        </w:rPr>
        <w:footnoteReference w:id="7"/>
      </w:r>
      <w:r w:rsidRPr="00A61B0C">
        <w:rPr>
          <w:rFonts w:ascii="Verdana" w:eastAsia="Aptos" w:hAnsi="Verdana" w:cs="Arial"/>
          <w:shd w:val="clear" w:color="auto" w:fill="FFFFFF"/>
          <w:lang w:val="es-ES"/>
        </w:rPr>
        <w:t>. Se trata de una obligación que involucra a todas las entidades del Estado sin importar la rama a la cual pertenecen, o si se trata de entidades descentralizadas territorialmente o por servicios; los órganos con competencia para contratar, como los concejos municipales; las empresas del Estado y las sociedades en las que el Estado tenga participación, sin que importe su monto.</w:t>
      </w:r>
    </w:p>
    <w:p w14:paraId="50DE6C14" w14:textId="02AD30B0" w:rsidR="004635A5" w:rsidRPr="00A61B0C" w:rsidRDefault="007E1BC8" w:rsidP="00A61B0C">
      <w:pPr>
        <w:spacing w:after="120" w:line="276" w:lineRule="auto"/>
        <w:ind w:firstLine="709"/>
        <w:jc w:val="both"/>
        <w:rPr>
          <w:rFonts w:ascii="Verdana" w:eastAsia="Aptos" w:hAnsi="Verdana" w:cs="Arial"/>
          <w:lang w:val="es-ES"/>
        </w:rPr>
      </w:pPr>
      <w:r w:rsidRPr="00A61B0C">
        <w:rPr>
          <w:rFonts w:ascii="Verdana" w:eastAsia="Aptos" w:hAnsi="Verdana" w:cs="Arial"/>
          <w:lang w:val="es-ES"/>
        </w:rPr>
        <w:t>El artículo 2.1.2.1.10 del Decreto 1081 de 2015 señala que los sujetos obligados que contraten con cargo a recursos públicos tienen la obligación de publicar el PAA en el SECOP. Los sujetos que no contratan con cargo a recursos públicos no tienen tal obligación, mientras que aquellos que sí contratan tanto con cargo a recursos públicos como con aquellos que no tienen esta naturaleza, solamente tienen el deber de publicar el PAA para los recursos de carácter público que se ejecutarán durante la vigencia fiscal.</w:t>
      </w:r>
    </w:p>
    <w:p w14:paraId="4D086821" w14:textId="493176C0" w:rsidR="004635A5" w:rsidRPr="00A61B0C" w:rsidRDefault="001259D4" w:rsidP="00A61B0C">
      <w:pPr>
        <w:spacing w:after="120" w:line="276" w:lineRule="auto"/>
        <w:ind w:firstLine="709"/>
        <w:jc w:val="both"/>
        <w:rPr>
          <w:rFonts w:ascii="Verdana" w:eastAsia="Aptos" w:hAnsi="Verdana" w:cs="Arial"/>
          <w:lang w:val="es-ES"/>
        </w:rPr>
      </w:pPr>
      <w:r w:rsidRPr="00A61B0C">
        <w:rPr>
          <w:rFonts w:ascii="Verdana" w:eastAsia="Aptos" w:hAnsi="Verdana" w:cs="Arial"/>
          <w:shd w:val="clear" w:color="auto" w:fill="FFFFFF"/>
        </w:rPr>
        <w:t xml:space="preserve">Teniendo en claro lo anterior, los artículos 2.2.1.1.1.4.1, 2.2.1.1.1.4.36 y 2.2.1.1.1.4.47 del Decreto 1082 de 2015 establecen el deber de las entidades de “elaborar el Plan Anual de Adquisiciones, el cual debe contener la lista de bienes, obras y servicios que pretenden adquirir durante el año”. El aparte trascrito confirma el carácter estimativo del PAA, pues contiene un listado de bienes, obras o servicios que, producto del ejercicio de planeación de la entidad, </w:t>
      </w:r>
      <w:r w:rsidRPr="00A61B0C">
        <w:rPr>
          <w:rFonts w:ascii="Verdana" w:eastAsia="Aptos" w:hAnsi="Verdana" w:cs="Arial"/>
          <w:shd w:val="clear" w:color="auto" w:fill="FFFFFF"/>
        </w:rPr>
        <w:lastRenderedPageBreak/>
        <w:t xml:space="preserve">esta pretende adquirir dentro de la vigencia correspondiente. Esta naturaleza estimativa del documento contiene los siguientes aspectos: i) la necesidad; </w:t>
      </w:r>
      <w:proofErr w:type="spellStart"/>
      <w:r w:rsidRPr="00A61B0C">
        <w:rPr>
          <w:rFonts w:ascii="Verdana" w:eastAsia="Aptos" w:hAnsi="Verdana" w:cs="Arial"/>
          <w:shd w:val="clear" w:color="auto" w:fill="FFFFFF"/>
        </w:rPr>
        <w:t>ii</w:t>
      </w:r>
      <w:proofErr w:type="spellEnd"/>
      <w:r w:rsidRPr="00A61B0C">
        <w:rPr>
          <w:rFonts w:ascii="Verdana" w:eastAsia="Aptos" w:hAnsi="Verdana" w:cs="Arial"/>
          <w:shd w:val="clear" w:color="auto" w:fill="FFFFFF"/>
        </w:rPr>
        <w:t xml:space="preserve">) la identificación en el clasificador si la entidad conoce el bien, obra o servicio que satisface la necesidad; </w:t>
      </w:r>
      <w:proofErr w:type="spellStart"/>
      <w:r w:rsidRPr="00A61B0C">
        <w:rPr>
          <w:rFonts w:ascii="Verdana" w:eastAsia="Aptos" w:hAnsi="Verdana" w:cs="Arial"/>
          <w:shd w:val="clear" w:color="auto" w:fill="FFFFFF"/>
        </w:rPr>
        <w:t>iii</w:t>
      </w:r>
      <w:proofErr w:type="spellEnd"/>
      <w:r w:rsidRPr="00A61B0C">
        <w:rPr>
          <w:rFonts w:ascii="Verdana" w:eastAsia="Aptos" w:hAnsi="Verdana" w:cs="Arial"/>
          <w:shd w:val="clear" w:color="auto" w:fill="FFFFFF"/>
        </w:rPr>
        <w:t xml:space="preserve">) el valor estimado del contrato; </w:t>
      </w:r>
      <w:proofErr w:type="spellStart"/>
      <w:r w:rsidRPr="00A61B0C">
        <w:rPr>
          <w:rFonts w:ascii="Verdana" w:eastAsia="Aptos" w:hAnsi="Verdana" w:cs="Arial"/>
          <w:shd w:val="clear" w:color="auto" w:fill="FFFFFF"/>
        </w:rPr>
        <w:t>iv</w:t>
      </w:r>
      <w:proofErr w:type="spellEnd"/>
      <w:r w:rsidRPr="00A61B0C">
        <w:rPr>
          <w:rFonts w:ascii="Verdana" w:eastAsia="Aptos" w:hAnsi="Verdana" w:cs="Arial"/>
          <w:shd w:val="clear" w:color="auto" w:fill="FFFFFF"/>
        </w:rPr>
        <w:t>) el tipo de recursos con cargo a los cuales la entidad pagará el bien, obra o servicio; v) la modalidad de selección del contratista y vi) la fecha aproximada en la cual la entidad indicará el procedimiento de selección.</w:t>
      </w:r>
    </w:p>
    <w:p w14:paraId="00DC2A86" w14:textId="09A5810B" w:rsidR="004635A5" w:rsidRPr="00A61B0C" w:rsidRDefault="001259D4" w:rsidP="00A61B0C">
      <w:pPr>
        <w:spacing w:after="120" w:line="276" w:lineRule="auto"/>
        <w:ind w:firstLine="709"/>
        <w:jc w:val="both"/>
        <w:rPr>
          <w:rFonts w:ascii="Verdana" w:eastAsia="Aptos" w:hAnsi="Verdana" w:cs="Arial"/>
          <w:lang w:val="es-ES"/>
        </w:rPr>
      </w:pPr>
      <w:r w:rsidRPr="00A61B0C">
        <w:rPr>
          <w:rFonts w:ascii="Verdana" w:eastAsia="Aptos" w:hAnsi="Verdana" w:cs="Arial"/>
          <w:shd w:val="clear" w:color="auto" w:fill="FFFFFF"/>
        </w:rPr>
        <w:t xml:space="preserve">Sin embargo, debe precisarse que, las disposiciones anteriores establecen únicamente la obligación de enunciar las necesidades que la entidad pretende satisfacer para una determinada vigencia fiscal. Pues tal obligación, no impone determinar valores, tiempos, bienes, obras o servicios de manera exacta, sino que permite realizar un pronóstico indicativo de las necesidades que se van a satisfacer a través de la celebración de contratos. </w:t>
      </w:r>
    </w:p>
    <w:p w14:paraId="7371BBA5" w14:textId="2D542C95" w:rsidR="004635A5" w:rsidRPr="00A61B0C" w:rsidRDefault="001259D4" w:rsidP="00A61B0C">
      <w:pPr>
        <w:spacing w:after="120" w:line="276" w:lineRule="auto"/>
        <w:ind w:firstLine="709"/>
        <w:jc w:val="both"/>
        <w:rPr>
          <w:rFonts w:ascii="Verdana" w:eastAsia="Aptos" w:hAnsi="Verdana" w:cs="Arial"/>
          <w:lang w:val="es-ES"/>
        </w:rPr>
      </w:pPr>
      <w:r w:rsidRPr="00A61B0C">
        <w:rPr>
          <w:rFonts w:ascii="Verdana" w:eastAsia="Aptos" w:hAnsi="Verdana" w:cs="Arial"/>
          <w:shd w:val="clear" w:color="auto" w:fill="FFFFFF"/>
        </w:rPr>
        <w:t xml:space="preserve">Al respecto, el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p>
    <w:p w14:paraId="0D75E2C2" w14:textId="77777777" w:rsidR="004635A5" w:rsidRPr="00A61B0C" w:rsidRDefault="001259D4" w:rsidP="00A61B0C">
      <w:pPr>
        <w:spacing w:after="120" w:line="276" w:lineRule="auto"/>
        <w:ind w:firstLine="709"/>
        <w:jc w:val="both"/>
        <w:rPr>
          <w:rFonts w:ascii="Verdana" w:eastAsia="Aptos" w:hAnsi="Verdana" w:cs="Arial"/>
          <w:lang w:val="es-ES"/>
        </w:rPr>
      </w:pPr>
      <w:r w:rsidRPr="00A61B0C">
        <w:rPr>
          <w:rFonts w:ascii="Verdana" w:eastAsia="Aptos" w:hAnsi="Verdana" w:cs="Arial"/>
          <w:shd w:val="clear" w:color="auto" w:fill="FFFFFF"/>
        </w:rPr>
        <w:t>La norma citada en el párrafo precedente dispone que el PAA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p>
    <w:p w14:paraId="64DA7E76" w14:textId="113F22B4" w:rsidR="004635A5" w:rsidRPr="00A61B0C" w:rsidRDefault="001259D4" w:rsidP="00A61B0C">
      <w:pPr>
        <w:spacing w:after="120" w:line="276" w:lineRule="auto"/>
        <w:ind w:firstLine="709"/>
        <w:jc w:val="both"/>
        <w:rPr>
          <w:rFonts w:ascii="Verdana" w:eastAsia="Aptos" w:hAnsi="Verdana" w:cs="Arial"/>
          <w:lang w:val="es-ES"/>
        </w:rPr>
      </w:pPr>
      <w:r w:rsidRPr="00A61B0C">
        <w:rPr>
          <w:rFonts w:ascii="Verdana" w:eastAsia="Calibri" w:hAnsi="Verdana" w:cs="Arial"/>
          <w:lang w:val="es-ES"/>
        </w:rPr>
        <w:t xml:space="preserve">En ese sentido, puede colegirse que la norma es categórica en señalar que en el Plan Anual de Adquisiciones debe enlistarse todo bien, obra o servicio que se pretenda adquirir, por lo que las entidades deberán cumplir con dicha obligación sin consideración de las condiciones en que planeen hacerlo, ya que el deber de inclusión de tal información, es independiente de la clase o modalidad </w:t>
      </w:r>
      <w:r w:rsidRPr="00A61B0C">
        <w:rPr>
          <w:rFonts w:ascii="Verdana" w:eastAsia="Calibri" w:hAnsi="Verdana" w:cs="Arial"/>
          <w:lang w:val="es-ES"/>
        </w:rPr>
        <w:lastRenderedPageBreak/>
        <w:t>de contratación o de la forma en la que se pagará el valor estimado, etc. Basta con que se trate de un bien, obra o servicio que la entidad necesite adquirir para que surja la obligación de relacionarlo en el plan, por lo que, será indispensable que determine si con la contratación se está adquiriendo un bien, servicio u obra, pues en caso de que no, su inclusión no será obligatoria.</w:t>
      </w:r>
    </w:p>
    <w:p w14:paraId="15678647" w14:textId="7F6F56FF" w:rsidR="007E1BC8" w:rsidRPr="00A61B0C" w:rsidRDefault="001259D4" w:rsidP="00A61B0C">
      <w:pPr>
        <w:spacing w:after="120" w:line="276" w:lineRule="auto"/>
        <w:ind w:firstLine="709"/>
        <w:jc w:val="both"/>
        <w:rPr>
          <w:rFonts w:ascii="Verdana" w:eastAsia="Aptos" w:hAnsi="Verdana" w:cs="Arial"/>
          <w:shd w:val="clear" w:color="auto" w:fill="FFFFFF"/>
          <w:lang w:val="es-MX"/>
        </w:rPr>
      </w:pPr>
      <w:r w:rsidRPr="00A61B0C">
        <w:rPr>
          <w:rFonts w:ascii="Verdana" w:eastAsia="Aptos" w:hAnsi="Verdana" w:cs="Arial"/>
          <w:shd w:val="clear" w:color="auto" w:fill="FFFFFF"/>
          <w:lang w:val="es-MX"/>
        </w:rPr>
        <w:t>Por otra parte, resulta a bien indicar que la “Guía para Elaborar el Plan Anual de Adquisiciones” emitida por esta Agencia, constituye una herramienta orientadora para las Entidades Estatales, en la que se desarrollan lineamientos que les servirán de apoyo para preparar y actualizar el PAA. Esta guía, de acuerdo con lo establecido en el numeral 2, literal c) del artículo 2.2.1.2.5.2 del Decreto 1082 de 2015, deberá utilizarse por parte de las Entidades Estatales, como un instrumento de buena práctica contractual.</w:t>
      </w:r>
    </w:p>
    <w:p w14:paraId="36FC3B68" w14:textId="0E7DA4D2" w:rsidR="004635A5" w:rsidRPr="00A61B0C" w:rsidRDefault="004635A5" w:rsidP="00A61B0C">
      <w:pPr>
        <w:spacing w:after="120" w:line="276" w:lineRule="auto"/>
        <w:jc w:val="both"/>
        <w:rPr>
          <w:rFonts w:ascii="Verdana" w:eastAsia="Aptos" w:hAnsi="Verdana" w:cs="Arial"/>
          <w:lang w:val="es-ES"/>
        </w:rPr>
      </w:pPr>
      <w:r w:rsidRPr="00A61B0C">
        <w:rPr>
          <w:rFonts w:ascii="Verdana" w:eastAsia="Aptos" w:hAnsi="Verdana" w:cs="Arial"/>
          <w:shd w:val="clear" w:color="auto" w:fill="FFFFFF"/>
        </w:rPr>
        <w:t>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48FEE376" w14:textId="77777777" w:rsidR="00EB6735" w:rsidRPr="009F23D3" w:rsidRDefault="00EB6735" w:rsidP="00EB6735">
      <w:pPr>
        <w:spacing w:after="120" w:line="276" w:lineRule="auto"/>
        <w:jc w:val="both"/>
        <w:rPr>
          <w:rFonts w:ascii="Arial" w:eastAsia="Calibri" w:hAnsi="Arial" w:cs="Arial"/>
          <w:color w:val="000000" w:themeColor="text1"/>
        </w:rPr>
      </w:pPr>
    </w:p>
    <w:p w14:paraId="7568F9A2" w14:textId="77777777" w:rsidR="00EB6735" w:rsidRPr="00593A5F" w:rsidRDefault="00EB6735" w:rsidP="00EB67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73DBEE6" w14:textId="77777777" w:rsidR="00EB6735" w:rsidRPr="00593A5F" w:rsidRDefault="00EB6735" w:rsidP="00EB673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B6735" w:rsidRPr="00593A5F" w14:paraId="0850C05B" w14:textId="77777777" w:rsidTr="00A22AF0">
        <w:trPr>
          <w:trHeight w:val="870"/>
        </w:trPr>
        <w:tc>
          <w:tcPr>
            <w:tcW w:w="8647" w:type="dxa"/>
          </w:tcPr>
          <w:p w14:paraId="3FBF8155" w14:textId="6EF89D61" w:rsidR="00A61B0C" w:rsidRPr="00B52642" w:rsidRDefault="00A61B0C" w:rsidP="00A61B0C">
            <w:pPr>
              <w:widowControl w:val="0"/>
              <w:numPr>
                <w:ilvl w:val="0"/>
                <w:numId w:val="21"/>
              </w:numPr>
              <w:autoSpaceDE w:val="0"/>
              <w:autoSpaceDN w:val="0"/>
              <w:spacing w:line="276" w:lineRule="auto"/>
              <w:ind w:left="714" w:hanging="357"/>
              <w:contextualSpacing/>
              <w:jc w:val="both"/>
              <w:rPr>
                <w:rFonts w:ascii="Verdana" w:eastAsia="Aptos" w:hAnsi="Verdana" w:cs="Arial"/>
              </w:rPr>
            </w:pPr>
            <w:r w:rsidRPr="00B52642">
              <w:rPr>
                <w:rFonts w:ascii="Verdana" w:eastAsia="Calibri" w:hAnsi="Verdana" w:cs="Arial"/>
                <w:lang w:val="es-ES"/>
              </w:rPr>
              <w:t>Decreto 1082 de 2015</w:t>
            </w:r>
            <w:r>
              <w:rPr>
                <w:rFonts w:ascii="Verdana" w:eastAsia="Calibri" w:hAnsi="Verdana" w:cs="Arial"/>
                <w:lang w:val="es-ES"/>
              </w:rPr>
              <w:t xml:space="preserve"> - </w:t>
            </w:r>
            <w:r w:rsidRPr="00B52642">
              <w:rPr>
                <w:rFonts w:ascii="Verdana" w:eastAsia="Calibri" w:hAnsi="Verdana" w:cs="Arial"/>
                <w:lang w:val="es-ES"/>
              </w:rPr>
              <w:t xml:space="preserve">Artículo </w:t>
            </w:r>
            <w:r w:rsidRPr="00B52642">
              <w:rPr>
                <w:rFonts w:ascii="Verdana" w:eastAsia="Calibri" w:hAnsi="Verdana" w:cs="Arial"/>
                <w:kern w:val="2"/>
                <w14:ligatures w14:val="standardContextual"/>
              </w:rPr>
              <w:t xml:space="preserve">2.2.1.1.1.3.1, 2.2.1.1.1.4.1, </w:t>
            </w:r>
            <w:r w:rsidRPr="00B52642">
              <w:rPr>
                <w:rFonts w:ascii="Verdana" w:eastAsia="Calibri" w:hAnsi="Verdana" w:cs="Arial"/>
                <w:noProof/>
                <w:lang w:val="es-ES_tradnl"/>
              </w:rPr>
              <w:t>2.2.1.1.1.4.3 y 2.2.1.1.1.4.4</w:t>
            </w:r>
          </w:p>
          <w:p w14:paraId="30D18062" w14:textId="77777777" w:rsidR="00A61B0C" w:rsidRPr="00B52642" w:rsidRDefault="00A61B0C" w:rsidP="00A61B0C">
            <w:pPr>
              <w:widowControl w:val="0"/>
              <w:numPr>
                <w:ilvl w:val="0"/>
                <w:numId w:val="21"/>
              </w:numPr>
              <w:autoSpaceDE w:val="0"/>
              <w:autoSpaceDN w:val="0"/>
              <w:spacing w:line="276" w:lineRule="auto"/>
              <w:ind w:left="714" w:hanging="357"/>
              <w:contextualSpacing/>
              <w:jc w:val="both"/>
              <w:rPr>
                <w:rFonts w:ascii="Verdana" w:eastAsia="Aptos" w:hAnsi="Verdana" w:cs="Arial"/>
              </w:rPr>
            </w:pPr>
            <w:r w:rsidRPr="00B52642">
              <w:rPr>
                <w:rFonts w:ascii="Verdana" w:eastAsia="Calibri" w:hAnsi="Verdana" w:cs="Arial"/>
                <w:kern w:val="2"/>
                <w14:ligatures w14:val="standardContextual"/>
              </w:rPr>
              <w:t>Ley 1474 de 2011. Artículo 74</w:t>
            </w:r>
          </w:p>
          <w:p w14:paraId="58CC5E54" w14:textId="77777777" w:rsidR="00A61B0C" w:rsidRDefault="00A61B0C" w:rsidP="00A61B0C">
            <w:pPr>
              <w:widowControl w:val="0"/>
              <w:numPr>
                <w:ilvl w:val="0"/>
                <w:numId w:val="21"/>
              </w:numPr>
              <w:autoSpaceDE w:val="0"/>
              <w:autoSpaceDN w:val="0"/>
              <w:spacing w:line="276" w:lineRule="auto"/>
              <w:ind w:left="714" w:hanging="357"/>
              <w:contextualSpacing/>
              <w:jc w:val="both"/>
              <w:rPr>
                <w:rFonts w:ascii="Verdana" w:eastAsia="Aptos" w:hAnsi="Verdana" w:cs="Arial"/>
              </w:rPr>
            </w:pPr>
            <w:r w:rsidRPr="00B52642">
              <w:rPr>
                <w:rFonts w:ascii="Verdana" w:eastAsia="Calibri" w:hAnsi="Verdana" w:cs="Arial"/>
                <w:kern w:val="2"/>
                <w14:ligatures w14:val="standardContextual"/>
              </w:rPr>
              <w:t>Decreto 1081 de 2015. Artículo 2.1.1.2.1.10</w:t>
            </w:r>
          </w:p>
          <w:p w14:paraId="58712978" w14:textId="025D8538" w:rsidR="00EB6735" w:rsidRPr="00A61B0C" w:rsidRDefault="00A61B0C" w:rsidP="00A61B0C">
            <w:pPr>
              <w:widowControl w:val="0"/>
              <w:numPr>
                <w:ilvl w:val="0"/>
                <w:numId w:val="21"/>
              </w:numPr>
              <w:autoSpaceDE w:val="0"/>
              <w:autoSpaceDN w:val="0"/>
              <w:spacing w:line="276" w:lineRule="auto"/>
              <w:ind w:left="714" w:hanging="357"/>
              <w:contextualSpacing/>
              <w:jc w:val="both"/>
              <w:rPr>
                <w:rFonts w:ascii="Verdana" w:eastAsia="Aptos" w:hAnsi="Verdana" w:cs="Arial"/>
              </w:rPr>
            </w:pPr>
            <w:r w:rsidRPr="00A61B0C">
              <w:rPr>
                <w:rFonts w:ascii="Verdana" w:eastAsia="Calibri" w:hAnsi="Verdana" w:cs="Arial"/>
                <w:kern w:val="2"/>
                <w14:ligatures w14:val="standardContextual"/>
              </w:rPr>
              <w:t xml:space="preserve">Guía para Elaborar el Plan Anual de Adquisiciones. Disponible </w:t>
            </w:r>
            <w:hyperlink r:id="rId12" w:history="1">
              <w:r w:rsidRPr="00A61B0C">
                <w:rPr>
                  <w:rFonts w:ascii="Verdana" w:eastAsia="Calibri" w:hAnsi="Verdana" w:cs="Arial"/>
                  <w:color w:val="467886"/>
                  <w:kern w:val="2"/>
                  <w:u w:val="single"/>
                  <w14:ligatures w14:val="standardContextual"/>
                </w:rPr>
                <w:t>aquí</w:t>
              </w:r>
            </w:hyperlink>
          </w:p>
        </w:tc>
      </w:tr>
    </w:tbl>
    <w:p w14:paraId="754E9F5A" w14:textId="3E230D50" w:rsidR="00EB6735" w:rsidRDefault="00EB6735" w:rsidP="00EB6735">
      <w:pPr>
        <w:widowControl w:val="0"/>
        <w:autoSpaceDE w:val="0"/>
        <w:autoSpaceDN w:val="0"/>
        <w:spacing w:after="0" w:line="276" w:lineRule="auto"/>
        <w:jc w:val="both"/>
        <w:rPr>
          <w:rFonts w:ascii="Verdana" w:hAnsi="Verdana" w:cs="Arial"/>
        </w:rPr>
      </w:pPr>
    </w:p>
    <w:p w14:paraId="61C27932" w14:textId="77777777" w:rsidR="00A61B0C" w:rsidRPr="00593A5F" w:rsidRDefault="00A61B0C" w:rsidP="00EB6735">
      <w:pPr>
        <w:widowControl w:val="0"/>
        <w:autoSpaceDE w:val="0"/>
        <w:autoSpaceDN w:val="0"/>
        <w:spacing w:after="0" w:line="276" w:lineRule="auto"/>
        <w:jc w:val="both"/>
        <w:rPr>
          <w:rFonts w:ascii="Verdana" w:hAnsi="Verdana" w:cs="Arial"/>
        </w:rPr>
      </w:pPr>
    </w:p>
    <w:p w14:paraId="42668E64" w14:textId="77777777" w:rsidR="00EB6735" w:rsidRPr="00593A5F" w:rsidRDefault="00EB6735" w:rsidP="00EB67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37157C9" w14:textId="77777777" w:rsidR="00EB6735" w:rsidRPr="00593A5F" w:rsidRDefault="00EB6735" w:rsidP="00EB6735">
      <w:pPr>
        <w:widowControl w:val="0"/>
        <w:autoSpaceDE w:val="0"/>
        <w:autoSpaceDN w:val="0"/>
        <w:spacing w:after="0" w:line="276" w:lineRule="auto"/>
        <w:jc w:val="both"/>
        <w:rPr>
          <w:rFonts w:ascii="Verdana" w:hAnsi="Verdana" w:cs="Arial"/>
        </w:rPr>
      </w:pPr>
    </w:p>
    <w:p w14:paraId="5E41A278" w14:textId="7A0E7D9A" w:rsidR="00EB6735" w:rsidRDefault="00EB6735" w:rsidP="00EB6735">
      <w:pPr>
        <w:spacing w:after="120" w:line="276" w:lineRule="auto"/>
        <w:jc w:val="both"/>
        <w:rPr>
          <w:rFonts w:ascii="Verdana" w:hAnsi="Verdana" w:cs="Arial"/>
          <w:shd w:val="clear" w:color="auto" w:fill="FFFFFF"/>
        </w:rPr>
      </w:pPr>
      <w:r w:rsidRPr="009C0079">
        <w:rPr>
          <w:rFonts w:ascii="Verdana" w:hAnsi="Verdana" w:cs="Arial"/>
          <w:shd w:val="clear" w:color="auto" w:fill="FFFFFF"/>
        </w:rPr>
        <w:t>La Agencia Nacional de Contratación Pública – Colombia Compra Eficiente, se pronunció sobre</w:t>
      </w:r>
      <w:r w:rsidR="00A61B0C">
        <w:rPr>
          <w:rFonts w:ascii="Verdana" w:hAnsi="Verdana" w:cs="Arial"/>
          <w:shd w:val="clear" w:color="auto" w:fill="FFFFFF"/>
        </w:rPr>
        <w:t xml:space="preserve"> la </w:t>
      </w:r>
      <w:r w:rsidR="00A61B0C" w:rsidRPr="006B0E52">
        <w:rPr>
          <w:rStyle w:val="normaltextrun"/>
          <w:rFonts w:ascii="Verdana" w:hAnsi="Verdana" w:cs="Arial"/>
          <w:shd w:val="clear" w:color="auto" w:fill="FFFFFF"/>
          <w:lang w:val="es-ES"/>
        </w:rPr>
        <w:t>obligatoriedad de la elaboración del Plan Anual de Adquisiciones y su contenido en los conceptos</w:t>
      </w:r>
      <w:r w:rsidR="00A61B0C" w:rsidRPr="006B0E52">
        <w:rPr>
          <w:rStyle w:val="normaltextrun"/>
          <w:rFonts w:ascii="Verdana" w:hAnsi="Verdana" w:cs="Calibri"/>
          <w:shd w:val="clear" w:color="auto" w:fill="FFFFFF"/>
        </w:rPr>
        <w:t xml:space="preserve"> </w:t>
      </w:r>
      <w:r w:rsidR="00A61B0C" w:rsidRPr="006B0E52">
        <w:rPr>
          <w:rStyle w:val="normaltextrun"/>
          <w:rFonts w:ascii="Verdana" w:hAnsi="Verdana" w:cs="Arial"/>
          <w:shd w:val="clear" w:color="auto" w:fill="FFFFFF"/>
          <w:lang w:val="es-ES"/>
        </w:rPr>
        <w:t xml:space="preserve">4201913000006571 del 8 de noviembre de 2019, 4201912000007258 del 4 de diciembre de 2019, C-011 del 14 de febrero de 2020, C-048 del 13 de enero de 2020, C-106 del 20 de marzo de 2020, C-109 del 25 de marzo de 2020, C-177 del 31 de marzo de 2020, C- 158 del 03 de abril de 2020, C-237 del 27 de abril de 2020, C-266 del 21 de mayo de 2020, C- 329 del 16 de junio de 2020, C-390 del 23 de junio de 2020, </w:t>
      </w:r>
      <w:r w:rsidR="00A61B0C" w:rsidRPr="006B0E52">
        <w:rPr>
          <w:rStyle w:val="normaltextrun"/>
          <w:rFonts w:ascii="Verdana" w:hAnsi="Verdana" w:cs="Arial"/>
          <w:shd w:val="clear" w:color="auto" w:fill="FFFFFF"/>
          <w:lang w:val="es-ES"/>
        </w:rPr>
        <w:lastRenderedPageBreak/>
        <w:t>C-331 del 25 de junio de 2020, C-428 del 07 de julio de 2020, C-467 del 31 de julio de 2020, C-638 del 14 de octubre de 2020, C-648 del 25 de octubre de 2020 y C-686 del 01 de diciembre de 2020, C-131 de 6 de abril de 2021, C-257 de 3 de junio de 2021, C-258 de 3 de junio de 2021, C-345 de 13 de julio de 2021, C-376 de 26 de julio de 2021, C-489 de 13 de septiembre de 2021, C-637 del 7 de diciembre de 2021, C-733 del 13 de enero de 2022,  C-026 del 18 de febrero de 2022, C-027 del 25 de febrero de 2022, C-047 del 2 de marzo de 2022, C-087 del 17 de marzo de 2022, C-408 del 23 de junio de 2022, C-622 de 28 de septiembre de 2022, C-754 de 9 de noviembre de 2022 , C-763 de 15 de noviembre de 2022, C-889 de 26 de diciembre de 2022, C-062 del 18 de abril de 2023, C-142 de 30 de mayo de 2023, C-196 de 15 de junio de 2023, C-122 de 21 de junio de 2023, C-364 de 6 de septiembre de 2023, C-438 del 24 de octubre 2023, entre otros</w:t>
      </w:r>
      <w:r w:rsidRPr="009C0079">
        <w:rPr>
          <w:rFonts w:ascii="Verdana" w:eastAsia="Arial MT" w:hAnsi="Verdana" w:cs="Arial"/>
          <w:lang w:val="es-ES"/>
        </w:rPr>
        <w:t>.</w:t>
      </w:r>
      <w:r w:rsidRPr="009C0079">
        <w:rPr>
          <w:rFonts w:ascii="Verdana" w:hAnsi="Verdana"/>
        </w:rPr>
        <w:t xml:space="preserve"> </w:t>
      </w:r>
      <w:r w:rsidRPr="009C0079">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9C0079">
          <w:rPr>
            <w:rStyle w:val="Hipervnculo"/>
            <w:rFonts w:ascii="Verdana" w:hAnsi="Verdana" w:cs="Arial"/>
            <w:shd w:val="clear" w:color="auto" w:fill="FFFFFF"/>
          </w:rPr>
          <w:t>https://relatoria.colombiacompra.gov.co/</w:t>
        </w:r>
      </w:hyperlink>
      <w:r w:rsidRPr="009C0079">
        <w:rPr>
          <w:rFonts w:ascii="Verdana" w:hAnsi="Verdana" w:cs="Arial"/>
          <w:shd w:val="clear" w:color="auto" w:fill="FFFFFF"/>
        </w:rPr>
        <w:t>.</w:t>
      </w:r>
    </w:p>
    <w:p w14:paraId="5042A337" w14:textId="77777777" w:rsidR="00DC11BA" w:rsidRDefault="00DC11BA" w:rsidP="00EB6735">
      <w:pPr>
        <w:shd w:val="clear" w:color="auto" w:fill="FFFFFF"/>
        <w:spacing w:after="120" w:line="276" w:lineRule="auto"/>
        <w:jc w:val="both"/>
        <w:textAlignment w:val="baseline"/>
        <w:rPr>
          <w:rFonts w:ascii="Verdana" w:hAnsi="Verdana"/>
          <w:color w:val="000000"/>
        </w:rPr>
      </w:pPr>
    </w:p>
    <w:p w14:paraId="3A2833B2" w14:textId="08098B9A" w:rsidR="00DC11BA" w:rsidRDefault="00EB6735" w:rsidP="00EB6735">
      <w:pPr>
        <w:shd w:val="clear" w:color="auto" w:fill="FFFFFF"/>
        <w:spacing w:after="120" w:line="276" w:lineRule="auto"/>
        <w:jc w:val="both"/>
        <w:textAlignment w:val="baseline"/>
        <w:rPr>
          <w:rFonts w:ascii="Verdana" w:hAnsi="Verdana"/>
          <w:color w:val="000000"/>
        </w:rPr>
      </w:pPr>
      <w:r w:rsidRPr="009C0079">
        <w:rPr>
          <w:rFonts w:ascii="Verdana" w:hAnsi="Verdana"/>
          <w:color w:val="000000"/>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4" w:tgtFrame="_blank" w:tooltip="Dirección URL original: https://www.colombiacompra.gov.co/sites/cce_public/files/cce_documents/manual_para_el_manejo_de_acuerdos_comerciales_vf.pdf. Haga clic o pulse si confía en este vínculo." w:history="1">
        <w:r w:rsidRPr="009C0079">
          <w:rPr>
            <w:rStyle w:val="Hipervnculo"/>
            <w:rFonts w:ascii="Verdana" w:hAnsi="Verdana"/>
            <w:bdr w:val="none" w:sz="0" w:space="0" w:color="auto" w:frame="1"/>
          </w:rPr>
          <w:t>manual_para_el_manejo_de_acuerdos_comerciales_vf.pdf</w:t>
        </w:r>
      </w:hyperlink>
    </w:p>
    <w:p w14:paraId="713D4AC4" w14:textId="77777777" w:rsidR="004635A5" w:rsidRDefault="004635A5" w:rsidP="00EB6735">
      <w:pPr>
        <w:shd w:val="clear" w:color="auto" w:fill="FFFFFF"/>
        <w:spacing w:after="120" w:line="276" w:lineRule="auto"/>
        <w:jc w:val="both"/>
        <w:textAlignment w:val="baseline"/>
        <w:rPr>
          <w:rFonts w:ascii="Verdana" w:hAnsi="Verdana"/>
          <w:color w:val="000000"/>
        </w:rPr>
      </w:pPr>
    </w:p>
    <w:p w14:paraId="5E477907" w14:textId="1CB22D23" w:rsidR="00EB6735" w:rsidRPr="009C0079" w:rsidRDefault="00EB6735" w:rsidP="00EB6735">
      <w:pPr>
        <w:shd w:val="clear" w:color="auto" w:fill="FFFFFF"/>
        <w:spacing w:after="120" w:line="276" w:lineRule="auto"/>
        <w:jc w:val="both"/>
        <w:textAlignment w:val="baseline"/>
        <w:rPr>
          <w:rFonts w:ascii="Verdana" w:hAnsi="Verdana"/>
          <w:color w:val="000000"/>
        </w:rPr>
      </w:pPr>
      <w:r w:rsidRPr="009C0079">
        <w:rPr>
          <w:rFonts w:ascii="Verdana" w:hAnsi="Verdana"/>
          <w:color w:val="000000"/>
        </w:rPr>
        <w:t>De otra parte, te contamos que ya publicamos el borrador de la nueva Guía para Incentivar la Participación de Mujeres en el Sistema de Compras y Contratación Pública. Conoce el documento y realiza tus comentarios hasta el 2 de diciembre de 2024</w:t>
      </w:r>
      <w:r w:rsidRPr="009C0079">
        <w:rPr>
          <w:rFonts w:ascii="Verdana" w:hAnsi="Verdana"/>
          <w:b/>
          <w:bCs/>
          <w:color w:val="000000"/>
        </w:rPr>
        <w:t> </w:t>
      </w:r>
      <w:r w:rsidRPr="009C0079">
        <w:rPr>
          <w:rFonts w:ascii="Verdana" w:hAnsi="Verdana"/>
          <w:color w:val="000000"/>
        </w:rPr>
        <w:t>a través de estos enlaces:</w:t>
      </w:r>
    </w:p>
    <w:p w14:paraId="76FAEA37" w14:textId="52FB71DB" w:rsidR="00EB6735" w:rsidRPr="009C0079" w:rsidRDefault="00EB6735" w:rsidP="00EB6735">
      <w:pPr>
        <w:numPr>
          <w:ilvl w:val="0"/>
          <w:numId w:val="18"/>
        </w:numPr>
        <w:shd w:val="clear" w:color="auto" w:fill="FFFFFF"/>
        <w:spacing w:after="120" w:line="276" w:lineRule="auto"/>
        <w:jc w:val="both"/>
        <w:rPr>
          <w:rFonts w:ascii="Verdana" w:hAnsi="Verdana" w:cs="Segoe UI"/>
          <w:color w:val="000000"/>
        </w:rPr>
      </w:pPr>
      <w:r w:rsidRPr="009C0079">
        <w:rPr>
          <w:rFonts w:ascii="Verdana" w:hAnsi="Verdana" w:cs="Segoe UI"/>
          <w:color w:val="000000"/>
        </w:rPr>
        <w:t>Enlace página ANCP-CCE: </w:t>
      </w:r>
      <w:hyperlink r:id="rId15" w:tgtFrame="_blank" w:tooltip="Dirección URL original: https://www.colombiacompra.gov.co/content/convocatorias. Haga clic o pulse si confía en este vínculo." w:history="1">
        <w:r w:rsidRPr="009C0079">
          <w:rPr>
            <w:rStyle w:val="Hipervnculo"/>
            <w:rFonts w:ascii="Verdana" w:hAnsi="Verdana" w:cs="Segoe UI"/>
            <w:bdr w:val="none" w:sz="0" w:space="0" w:color="auto" w:frame="1"/>
          </w:rPr>
          <w:t>https://www.colombiacompra.gov.co/content/convocatorias</w:t>
        </w:r>
      </w:hyperlink>
    </w:p>
    <w:p w14:paraId="591A756D" w14:textId="576A2767" w:rsidR="00DC11BA" w:rsidRPr="004635A5" w:rsidRDefault="00EB6735" w:rsidP="00EB50E3">
      <w:pPr>
        <w:numPr>
          <w:ilvl w:val="0"/>
          <w:numId w:val="18"/>
        </w:numPr>
        <w:shd w:val="clear" w:color="auto" w:fill="FFFFFF"/>
        <w:spacing w:after="120" w:line="276" w:lineRule="auto"/>
        <w:jc w:val="both"/>
        <w:rPr>
          <w:rStyle w:val="Hipervnculo"/>
          <w:rFonts w:ascii="Verdana" w:hAnsi="Verdana" w:cs="Segoe UI"/>
          <w:color w:val="000000"/>
          <w:u w:val="none"/>
        </w:rPr>
      </w:pPr>
      <w:r w:rsidRPr="009C0079">
        <w:rPr>
          <w:rFonts w:ascii="Verdana" w:hAnsi="Verdana" w:cs="Segoe UI"/>
          <w:color w:val="000000"/>
        </w:rPr>
        <w:t>Enlace SUCOP:  </w:t>
      </w:r>
      <w:hyperlink r:id="rId16" w:tgtFrame="_blank" w:tooltip="Dirección URL original: https://www.sucop.gov.co/entidades/colombiacompra/Normativa?IDNorma=19201. Haga clic o pulse si confía en este vínculo." w:history="1">
        <w:r w:rsidRPr="009C0079">
          <w:rPr>
            <w:rStyle w:val="Hipervnculo"/>
            <w:rFonts w:ascii="Verdana" w:hAnsi="Verdana" w:cs="Segoe UI"/>
            <w:bdr w:val="none" w:sz="0" w:space="0" w:color="auto" w:frame="1"/>
          </w:rPr>
          <w:t>https://www.sucop.gov.co/entidades/colombiacompra/Normativa?IDNorma=19201</w:t>
        </w:r>
      </w:hyperlink>
    </w:p>
    <w:p w14:paraId="1E769155" w14:textId="77777777" w:rsidR="004635A5" w:rsidRPr="00EB50E3" w:rsidRDefault="004635A5" w:rsidP="004635A5">
      <w:pPr>
        <w:shd w:val="clear" w:color="auto" w:fill="FFFFFF"/>
        <w:spacing w:after="120" w:line="276" w:lineRule="auto"/>
        <w:ind w:left="720"/>
        <w:jc w:val="both"/>
        <w:rPr>
          <w:rFonts w:ascii="Verdana" w:hAnsi="Verdana" w:cs="Segoe UI"/>
          <w:color w:val="000000"/>
        </w:rPr>
      </w:pPr>
    </w:p>
    <w:p w14:paraId="18D665C9" w14:textId="45B22778" w:rsidR="00DC11BA" w:rsidRDefault="00EB6735" w:rsidP="00075DF9">
      <w:pPr>
        <w:shd w:val="clear" w:color="auto" w:fill="FFFFFF"/>
        <w:spacing w:after="120" w:line="276" w:lineRule="auto"/>
        <w:jc w:val="both"/>
        <w:textAlignment w:val="baseline"/>
        <w:rPr>
          <w:rFonts w:ascii="Verdana" w:hAnsi="Verdana"/>
          <w:color w:val="000000"/>
        </w:rPr>
      </w:pPr>
      <w:r w:rsidRPr="009C0079">
        <w:rPr>
          <w:rFonts w:ascii="Verdana" w:hAnsi="Verdana"/>
          <w:color w:val="000000"/>
        </w:rPr>
        <w:lastRenderedPageBreak/>
        <w:t>También le invitamos a consultar la versión VII  de 2024 , del Boletín de Relatoría de la Subdirección de Gestión Contractual relacionado con las ASOCIACIONES PÚBLICO POPULARES, el cual se puede descargar en la página web de la  Agencia: </w:t>
      </w:r>
      <w:hyperlink r:id="rId17" w:tgtFrame="_blank" w:tooltip="Dirección URL original: https://www.colombiacompra.gov.co/sala-de-prensa/boletin-digital. Haga clic o pulse si confía en este vínculo." w:history="1">
        <w:r w:rsidRPr="009C0079">
          <w:rPr>
            <w:rStyle w:val="Hipervnculo"/>
            <w:rFonts w:ascii="Verdana" w:hAnsi="Verdana"/>
            <w:bdr w:val="none" w:sz="0" w:space="0" w:color="auto" w:frame="1"/>
          </w:rPr>
          <w:t>https://www.colombiacompra.gov.co/sala-de-prensa/boletin-digital</w:t>
        </w:r>
      </w:hyperlink>
      <w:r w:rsidRPr="009C0079">
        <w:rPr>
          <w:rFonts w:ascii="Verdana" w:hAnsi="Verdana"/>
          <w:color w:val="000000"/>
        </w:rPr>
        <w:t>.</w:t>
      </w:r>
    </w:p>
    <w:p w14:paraId="5EA10C45" w14:textId="77777777" w:rsidR="004635A5" w:rsidRPr="00075DF9" w:rsidRDefault="004635A5" w:rsidP="00075DF9">
      <w:pPr>
        <w:shd w:val="clear" w:color="auto" w:fill="FFFFFF"/>
        <w:spacing w:after="120" w:line="276" w:lineRule="auto"/>
        <w:jc w:val="both"/>
        <w:textAlignment w:val="baseline"/>
        <w:rPr>
          <w:rFonts w:ascii="Aptos" w:hAnsi="Aptos" w:cs="Times New Roman"/>
          <w:color w:val="000000"/>
        </w:rPr>
      </w:pPr>
    </w:p>
    <w:p w14:paraId="1F0C6AC5" w14:textId="3625B03F" w:rsidR="00EB6735" w:rsidRPr="003E2460" w:rsidRDefault="00EB6735" w:rsidP="00EB6735">
      <w:pPr>
        <w:spacing w:after="120" w:line="276" w:lineRule="auto"/>
        <w:jc w:val="both"/>
        <w:rPr>
          <w:rFonts w:ascii="Verdana" w:hAnsi="Verdana"/>
        </w:rPr>
      </w:pPr>
      <w:r w:rsidRPr="003E2460">
        <w:rPr>
          <w:rFonts w:ascii="Verdana" w:hAnsi="Verdana"/>
        </w:rPr>
        <w:t>Por último, lo invitamos a seguirnos en las redes sociales en las cuales se difunde información institucional:</w:t>
      </w:r>
    </w:p>
    <w:p w14:paraId="3A68C635" w14:textId="172597AD" w:rsidR="00EB6735" w:rsidRPr="003E2460" w:rsidRDefault="00EB6735" w:rsidP="00EB6735">
      <w:pPr>
        <w:spacing w:after="0" w:line="276"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6088B366" w14:textId="0EBC4912" w:rsidR="00EB6735" w:rsidRPr="003E2460" w:rsidRDefault="00EB6735" w:rsidP="00EB6735">
      <w:pPr>
        <w:spacing w:after="0" w:line="276"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77572937" w14:textId="1A0455F1" w:rsidR="00EB6735" w:rsidRPr="003E2460" w:rsidRDefault="00EB6735" w:rsidP="00EB6735">
      <w:pPr>
        <w:spacing w:after="0" w:line="276"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129AB47A" w14:textId="77777777" w:rsidR="00075DF9" w:rsidRDefault="00075DF9" w:rsidP="00EB6735">
      <w:pPr>
        <w:widowControl w:val="0"/>
        <w:autoSpaceDE w:val="0"/>
        <w:autoSpaceDN w:val="0"/>
        <w:spacing w:after="120" w:line="276" w:lineRule="auto"/>
        <w:jc w:val="both"/>
        <w:rPr>
          <w:rFonts w:ascii="Verdana" w:hAnsi="Verdana" w:cs="Arial"/>
        </w:rPr>
      </w:pPr>
    </w:p>
    <w:p w14:paraId="3D93C9BC" w14:textId="2222C0E5" w:rsidR="00EB6735" w:rsidRPr="00593A5F" w:rsidRDefault="00EB6735" w:rsidP="00EB6735">
      <w:pPr>
        <w:widowControl w:val="0"/>
        <w:autoSpaceDE w:val="0"/>
        <w:autoSpaceDN w:val="0"/>
        <w:spacing w:after="12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9AF031E" w14:textId="77777777" w:rsidR="00EB6735" w:rsidRPr="00593A5F" w:rsidRDefault="00EB6735" w:rsidP="00EB6735">
      <w:pPr>
        <w:widowControl w:val="0"/>
        <w:autoSpaceDE w:val="0"/>
        <w:autoSpaceDN w:val="0"/>
        <w:spacing w:after="120" w:line="276" w:lineRule="auto"/>
        <w:jc w:val="both"/>
        <w:rPr>
          <w:rFonts w:ascii="Verdana" w:hAnsi="Verdana" w:cs="Arial"/>
        </w:rPr>
      </w:pPr>
    </w:p>
    <w:p w14:paraId="7A177D39" w14:textId="6856BB69" w:rsidR="00EB6735" w:rsidRDefault="00EB6735" w:rsidP="00EB6735">
      <w:pPr>
        <w:spacing w:after="12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5912974" w14:textId="77777777" w:rsidR="0094221F" w:rsidRPr="00593A5F" w:rsidRDefault="0094221F" w:rsidP="00EB6735">
      <w:pPr>
        <w:spacing w:after="120" w:line="276" w:lineRule="auto"/>
        <w:rPr>
          <w:rFonts w:ascii="Verdana" w:hAnsi="Verdana" w:cs="Arial"/>
          <w:lang w:eastAsia="es-CO"/>
        </w:rPr>
      </w:pPr>
    </w:p>
    <w:p w14:paraId="722BE00D" w14:textId="5898AC3E" w:rsidR="00EB6735" w:rsidRDefault="0094221F" w:rsidP="00EB6735">
      <w:pPr>
        <w:spacing w:line="276" w:lineRule="auto"/>
        <w:jc w:val="center"/>
        <w:rPr>
          <w:rFonts w:ascii="Verdana" w:hAnsi="Verdana" w:cs="Arial"/>
          <w:color w:val="000000"/>
          <w:lang w:val="es-ES_tradnl" w:eastAsia="es-CO"/>
        </w:rPr>
      </w:pPr>
      <w:r>
        <w:rPr>
          <w:noProof/>
        </w:rPr>
        <w:drawing>
          <wp:inline distT="0" distB="0" distL="0" distR="0" wp14:anchorId="7414B2F1" wp14:editId="5921C162">
            <wp:extent cx="3771429" cy="1400000"/>
            <wp:effectExtent l="0" t="0" r="635" b="0"/>
            <wp:docPr id="17337336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33678" name=""/>
                    <pic:cNvPicPr/>
                  </pic:nvPicPr>
                  <pic:blipFill>
                    <a:blip r:embed="rId18"/>
                    <a:stretch>
                      <a:fillRect/>
                    </a:stretch>
                  </pic:blipFill>
                  <pic:spPr>
                    <a:xfrm>
                      <a:off x="0" y="0"/>
                      <a:ext cx="3771429" cy="1400000"/>
                    </a:xfrm>
                    <a:prstGeom prst="rect">
                      <a:avLst/>
                    </a:prstGeom>
                  </pic:spPr>
                </pic:pic>
              </a:graphicData>
            </a:graphic>
          </wp:inline>
        </w:drawing>
      </w:r>
    </w:p>
    <w:p w14:paraId="275AD061" w14:textId="77777777" w:rsidR="00A61B0C" w:rsidRDefault="00A61B0C" w:rsidP="00403CDF">
      <w:pPr>
        <w:spacing w:line="276" w:lineRule="auto"/>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B6735" w:rsidRPr="00593A5F" w14:paraId="1675DC87" w14:textId="77777777" w:rsidTr="00A22AF0">
        <w:trPr>
          <w:trHeight w:val="315"/>
        </w:trPr>
        <w:tc>
          <w:tcPr>
            <w:tcW w:w="893" w:type="dxa"/>
            <w:vAlign w:val="center"/>
            <w:hideMark/>
          </w:tcPr>
          <w:p w14:paraId="18A5D91D" w14:textId="77777777" w:rsidR="00EB6735" w:rsidRPr="003751C7" w:rsidRDefault="00EB6735" w:rsidP="00A22AF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D86FB89" w14:textId="5287E656" w:rsidR="00EB6735" w:rsidRPr="00E1151D" w:rsidRDefault="00EB6735" w:rsidP="00A22AF0">
            <w:pPr>
              <w:contextualSpacing/>
              <w:rPr>
                <w:rFonts w:ascii="Verdana" w:eastAsia="Arial" w:hAnsi="Verdana" w:cs="Arial"/>
                <w:sz w:val="16"/>
                <w:szCs w:val="16"/>
              </w:rPr>
            </w:pPr>
            <w:r w:rsidRPr="00E1151D">
              <w:rPr>
                <w:rStyle w:val="normaltextrun"/>
                <w:rFonts w:ascii="Verdana" w:hAnsi="Verdana"/>
                <w:sz w:val="16"/>
                <w:szCs w:val="16"/>
              </w:rPr>
              <w:t>Sergio Andrés Rivera Cano</w:t>
            </w:r>
          </w:p>
          <w:p w14:paraId="2E6C93FB" w14:textId="77777777" w:rsidR="00EB6735" w:rsidRPr="003751C7" w:rsidRDefault="00EB6735" w:rsidP="00A22AF0">
            <w:pPr>
              <w:contextualSpacing/>
              <w:rPr>
                <w:rFonts w:ascii="Verdana" w:eastAsia="Arial" w:hAnsi="Verdana" w:cs="Arial"/>
                <w:sz w:val="16"/>
                <w:szCs w:val="16"/>
              </w:rPr>
            </w:pPr>
            <w:r w:rsidRPr="00E1151D">
              <w:rPr>
                <w:rStyle w:val="normaltextrun"/>
                <w:rFonts w:ascii="Verdana" w:eastAsia="Arial" w:hAnsi="Verdana" w:cs="Arial"/>
                <w:sz w:val="16"/>
                <w:szCs w:val="16"/>
              </w:rPr>
              <w:t>Contratista de la Subdirección de Gestión Contractual</w:t>
            </w:r>
          </w:p>
        </w:tc>
      </w:tr>
      <w:tr w:rsidR="00EB6735" w:rsidRPr="00593A5F" w14:paraId="32122838" w14:textId="77777777" w:rsidTr="00A22AF0">
        <w:trPr>
          <w:trHeight w:val="330"/>
        </w:trPr>
        <w:tc>
          <w:tcPr>
            <w:tcW w:w="893" w:type="dxa"/>
            <w:vAlign w:val="center"/>
            <w:hideMark/>
          </w:tcPr>
          <w:p w14:paraId="4299E070" w14:textId="77777777" w:rsidR="00EB6735" w:rsidRPr="003751C7" w:rsidRDefault="00EB6735" w:rsidP="00A22AF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44407C6" w14:textId="2007AD00" w:rsidR="00EB6735" w:rsidRPr="0078388D" w:rsidRDefault="00EB6735" w:rsidP="00A22AF0">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Juan Carlos González Vásquez  </w:t>
            </w:r>
          </w:p>
          <w:p w14:paraId="60EAFDA9" w14:textId="77777777" w:rsidR="00EB6735" w:rsidRPr="003751C7" w:rsidRDefault="00EB6735" w:rsidP="00A22AF0">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w:t>
            </w:r>
            <w:r w:rsidRPr="0078388D">
              <w:rPr>
                <w:rStyle w:val="normaltextrun"/>
                <w:rFonts w:ascii="Verdana" w:hAnsi="Verdana" w:cs="Arial"/>
                <w:sz w:val="16"/>
                <w:szCs w:val="16"/>
                <w:lang w:val="es-ES"/>
              </w:rPr>
              <w:t xml:space="preserve"> de la Subdirección de Gestión Contractual</w:t>
            </w:r>
          </w:p>
        </w:tc>
      </w:tr>
      <w:tr w:rsidR="00EB6735" w:rsidRPr="00593A5F" w14:paraId="0457621E" w14:textId="77777777" w:rsidTr="00A22AF0">
        <w:trPr>
          <w:trHeight w:val="300"/>
        </w:trPr>
        <w:tc>
          <w:tcPr>
            <w:tcW w:w="893" w:type="dxa"/>
            <w:vAlign w:val="center"/>
          </w:tcPr>
          <w:p w14:paraId="7D9DAE6D" w14:textId="77777777" w:rsidR="00EB6735" w:rsidRPr="003751C7" w:rsidRDefault="00EB6735" w:rsidP="00A22AF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53993BF" w14:textId="2461EE06" w:rsidR="00EB6735" w:rsidRPr="003751C7" w:rsidRDefault="00EB6735" w:rsidP="00A22AF0">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2CE5BB83" w14:textId="77777777" w:rsidR="00EB6735" w:rsidRPr="003751C7" w:rsidRDefault="00EB6735" w:rsidP="00A22AF0">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275BBDFD" w14:textId="674E5219" w:rsidR="00EB6735" w:rsidRPr="00910315" w:rsidRDefault="00EB6735" w:rsidP="00EB6735"/>
    <w:p w14:paraId="3900974D" w14:textId="3EDD7503" w:rsidR="003D5B0D" w:rsidRPr="00EB6735" w:rsidRDefault="003D5B0D" w:rsidP="00EB6735"/>
    <w:sectPr w:rsidR="003D5B0D" w:rsidRPr="00EB6735"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249E9" w14:textId="77777777" w:rsidR="001F2890" w:rsidRDefault="001F2890" w:rsidP="004A1847">
      <w:pPr>
        <w:spacing w:after="0" w:line="240" w:lineRule="auto"/>
      </w:pPr>
      <w:r>
        <w:separator/>
      </w:r>
    </w:p>
  </w:endnote>
  <w:endnote w:type="continuationSeparator" w:id="0">
    <w:p w14:paraId="027C2BFB" w14:textId="77777777" w:rsidR="001F2890" w:rsidRDefault="001F289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altName w:val="Calibri"/>
    <w:charset w:val="00"/>
    <w:family w:val="swiss"/>
    <w:pitch w:val="variable"/>
    <w:sig w:usb0="20000287" w:usb1="00000003" w:usb2="00000000" w:usb3="00000000" w:csb0="000001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C5DAC" w14:textId="77777777" w:rsidR="001F2890" w:rsidRDefault="001F2890" w:rsidP="004A1847">
      <w:pPr>
        <w:spacing w:after="0" w:line="240" w:lineRule="auto"/>
      </w:pPr>
      <w:r>
        <w:separator/>
      </w:r>
    </w:p>
  </w:footnote>
  <w:footnote w:type="continuationSeparator" w:id="0">
    <w:p w14:paraId="03298C21" w14:textId="77777777" w:rsidR="001F2890" w:rsidRDefault="001F2890" w:rsidP="004A1847">
      <w:pPr>
        <w:spacing w:after="0" w:line="240" w:lineRule="auto"/>
      </w:pPr>
      <w:r>
        <w:continuationSeparator/>
      </w:r>
    </w:p>
  </w:footnote>
  <w:footnote w:id="1">
    <w:p w14:paraId="1B21D019" w14:textId="226AE6CA" w:rsidR="006C45E6" w:rsidRPr="006C45E6" w:rsidRDefault="006C45E6" w:rsidP="006C45E6">
      <w:pPr>
        <w:pStyle w:val="Textonotapie"/>
        <w:ind w:firstLine="709"/>
        <w:jc w:val="both"/>
        <w:rPr>
          <w:rFonts w:ascii="Verdana" w:hAnsi="Verdana"/>
          <w:sz w:val="16"/>
          <w:szCs w:val="16"/>
          <w:lang w:val="es-ES"/>
        </w:rPr>
      </w:pPr>
      <w:r w:rsidRPr="006C45E6">
        <w:rPr>
          <w:rStyle w:val="Refdenotaalpie"/>
          <w:rFonts w:ascii="Verdana" w:hAnsi="Verdana"/>
          <w:sz w:val="16"/>
          <w:szCs w:val="16"/>
        </w:rPr>
        <w:footnoteRef/>
      </w:r>
      <w:r w:rsidRPr="006C45E6">
        <w:rPr>
          <w:rFonts w:ascii="Verdana" w:hAnsi="Verdana"/>
          <w:sz w:val="16"/>
          <w:szCs w:val="16"/>
        </w:rPr>
        <w:t xml:space="preserve"> </w:t>
      </w:r>
      <w:r w:rsidRPr="006C45E6">
        <w:rPr>
          <w:rFonts w:ascii="Verdana" w:hAnsi="Verdana" w:cs="Arial"/>
          <w:sz w:val="16"/>
          <w:szCs w:val="16"/>
        </w:rPr>
        <w:t>El artículo 74 de la Ley 1474 prescribe: “</w:t>
      </w:r>
      <w:r w:rsidRPr="006C45E6">
        <w:rPr>
          <w:rFonts w:ascii="Verdana" w:hAnsi="Verdana" w:cs="Arial"/>
          <w:sz w:val="16"/>
          <w:szCs w:val="16"/>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 A partir del año siguiente, el Plan de Acción deberá estar acompañado del informe de gestión del año inmediatamente anterior. Igualmente publicarán por dicho medio su presupuesto debidamente desagregado, así como las modificaciones a este o a su desagregación. Parágrafo. Las empresas industriales y comerciales del Estado y las Sociedades de Economía Mixta estarán exentas de publicar la información relacionada con sus proyectos de inversión”.</w:t>
      </w:r>
    </w:p>
  </w:footnote>
  <w:footnote w:id="2">
    <w:p w14:paraId="3A730500" w14:textId="77777777" w:rsidR="006C45E6" w:rsidRPr="006C45E6" w:rsidRDefault="006C45E6" w:rsidP="006C45E6">
      <w:pPr>
        <w:pStyle w:val="Textonotapie"/>
        <w:ind w:firstLine="709"/>
        <w:jc w:val="both"/>
        <w:rPr>
          <w:rFonts w:ascii="Verdana" w:hAnsi="Verdana" w:cs="Arial"/>
          <w:color w:val="000000"/>
          <w:sz w:val="16"/>
          <w:szCs w:val="16"/>
          <w:shd w:val="clear" w:color="auto" w:fill="FFFFFF"/>
        </w:rPr>
      </w:pPr>
      <w:r>
        <w:rPr>
          <w:rStyle w:val="Refdenotaalpie"/>
        </w:rPr>
        <w:footnoteRef/>
      </w:r>
      <w:r>
        <w:t xml:space="preserve"> </w:t>
      </w:r>
      <w:r w:rsidRPr="006C45E6">
        <w:rPr>
          <w:rFonts w:ascii="Verdana" w:hAnsi="Verdana" w:cs="Arial"/>
          <w:color w:val="000000"/>
          <w:sz w:val="16"/>
          <w:szCs w:val="16"/>
        </w:rPr>
        <w:t>“</w:t>
      </w:r>
      <w:r w:rsidRPr="006C45E6">
        <w:rPr>
          <w:rStyle w:val="Textoennegrita"/>
          <w:rFonts w:ascii="Verdana" w:hAnsi="Verdana" w:cs="Arial"/>
          <w:b w:val="0"/>
          <w:bCs w:val="0"/>
          <w:color w:val="000000"/>
          <w:sz w:val="16"/>
          <w:szCs w:val="16"/>
          <w:shd w:val="clear" w:color="auto" w:fill="FFFFFF"/>
        </w:rPr>
        <w:t>Artículo 2.2.1.1.1.3.1.</w:t>
      </w:r>
      <w:r w:rsidRPr="006C45E6">
        <w:rPr>
          <w:rStyle w:val="Textoennegrita"/>
          <w:rFonts w:ascii="Verdana" w:hAnsi="Verdana" w:cs="Arial"/>
          <w:color w:val="000000"/>
          <w:sz w:val="16"/>
          <w:szCs w:val="16"/>
          <w:shd w:val="clear" w:color="auto" w:fill="FFFFFF"/>
        </w:rPr>
        <w:t> </w:t>
      </w:r>
      <w:r w:rsidRPr="006C45E6">
        <w:rPr>
          <w:rStyle w:val="nfasis"/>
          <w:rFonts w:ascii="Verdana" w:hAnsi="Verdana" w:cs="Arial"/>
          <w:color w:val="000000"/>
          <w:sz w:val="16"/>
          <w:szCs w:val="16"/>
          <w:shd w:val="clear" w:color="auto" w:fill="FFFFFF"/>
        </w:rPr>
        <w:t>Definiciones. </w:t>
      </w:r>
      <w:r w:rsidRPr="006C45E6">
        <w:rPr>
          <w:rFonts w:ascii="Verdana" w:hAnsi="Verdana" w:cs="Arial"/>
          <w:color w:val="000000"/>
          <w:sz w:val="16"/>
          <w:szCs w:val="16"/>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53BB252D" w14:textId="6993B5B4" w:rsidR="006C45E6" w:rsidRPr="006C45E6" w:rsidRDefault="006C45E6" w:rsidP="006C45E6">
      <w:pPr>
        <w:pStyle w:val="Textonotapie"/>
        <w:jc w:val="both"/>
        <w:rPr>
          <w:lang w:val="es-ES"/>
        </w:rPr>
      </w:pPr>
      <w:r w:rsidRPr="006C45E6">
        <w:rPr>
          <w:rStyle w:val="nfasis"/>
          <w:rFonts w:ascii="Verdana" w:hAnsi="Verdana" w:cs="Arial"/>
          <w:color w:val="000000"/>
          <w:sz w:val="16"/>
          <w:szCs w:val="16"/>
        </w:rPr>
        <w:t>Plan Anual de Adquisiciones: </w:t>
      </w:r>
      <w:r w:rsidRPr="006C45E6">
        <w:rPr>
          <w:rFonts w:ascii="Verdana" w:hAnsi="Verdana" w:cs="Arial"/>
          <w:color w:val="000000"/>
          <w:sz w:val="16"/>
          <w:szCs w:val="16"/>
        </w:rPr>
        <w:t>Plan general de compras al que se refiere el </w:t>
      </w:r>
      <w:hyperlink r:id="rId1" w:history="1">
        <w:r w:rsidRPr="006C45E6">
          <w:rPr>
            <w:rStyle w:val="Hipervnculo1"/>
            <w:rFonts w:ascii="Verdana" w:hAnsi="Verdana" w:cs="Arial"/>
            <w:color w:val="000000"/>
            <w:sz w:val="16"/>
            <w:szCs w:val="16"/>
          </w:rPr>
          <w:t>artículo 74 de la Ley 1474 de 2011</w:t>
        </w:r>
      </w:hyperlink>
      <w:r w:rsidRPr="006C45E6">
        <w:rPr>
          <w:rFonts w:ascii="Verdana" w:hAnsi="Verdana" w:cs="Arial"/>
          <w:color w:val="000000"/>
          <w:sz w:val="16"/>
          <w:szCs w:val="16"/>
        </w:rPr>
        <w:t> y el plan de compras al que se refiere la Ley Anual de Presupuesto. Es un instrumento de planeación contractual que las Entidades Estatales deben diligenciar, publicar y actualizar en los términos del presente título”.</w:t>
      </w:r>
    </w:p>
  </w:footnote>
  <w:footnote w:id="3">
    <w:p w14:paraId="28FF1FC5" w14:textId="6752AA06" w:rsidR="006E50A7" w:rsidRPr="006E50A7" w:rsidRDefault="006E50A7" w:rsidP="006E50A7">
      <w:pPr>
        <w:pStyle w:val="Textonotapie"/>
        <w:ind w:firstLine="709"/>
        <w:jc w:val="both"/>
        <w:rPr>
          <w:lang w:val="es-ES"/>
        </w:rPr>
      </w:pPr>
      <w:r>
        <w:rPr>
          <w:rStyle w:val="Refdenotaalpie"/>
        </w:rPr>
        <w:footnoteRef/>
      </w:r>
      <w:r>
        <w:t xml:space="preserve"> </w:t>
      </w:r>
      <w:r w:rsidRPr="006B0E52">
        <w:rPr>
          <w:rFonts w:ascii="Verdana" w:hAnsi="Verdana" w:cs="Arial"/>
          <w:sz w:val="16"/>
          <w:szCs w:val="16"/>
        </w:rPr>
        <w:t>Decreto 1082 de 2015: “Artículo 2.2.1.1.1.4.3. Publicación del Plan Anual de Adquisiciones.</w:t>
      </w:r>
      <w:r w:rsidRPr="006B0E52">
        <w:rPr>
          <w:rFonts w:ascii="Verdana" w:hAnsi="Verdana" w:cs="Arial"/>
          <w:i/>
          <w:iCs/>
          <w:sz w:val="16"/>
          <w:szCs w:val="16"/>
        </w:rPr>
        <w:t> </w:t>
      </w:r>
      <w:r w:rsidRPr="006B0E52">
        <w:rPr>
          <w:rFonts w:ascii="Verdana" w:hAnsi="Verdana" w:cs="Arial"/>
          <w:sz w:val="16"/>
          <w:szCs w:val="16"/>
        </w:rPr>
        <w:t>La Entidad Estatal debe publicar su Plan Anual de Adquisiciones y las actualizaciones del mismo en su página web y en el SECOP, en la forma que para el efecto disponga Colombia Compra Eficiente”.</w:t>
      </w:r>
    </w:p>
  </w:footnote>
  <w:footnote w:id="4">
    <w:p w14:paraId="74E76BFB" w14:textId="3BFD283C" w:rsidR="007E1BC8" w:rsidRPr="007E1BC8" w:rsidRDefault="007E1BC8" w:rsidP="007E1BC8">
      <w:pPr>
        <w:pStyle w:val="Textonotapie"/>
        <w:ind w:firstLine="708"/>
        <w:jc w:val="both"/>
        <w:rPr>
          <w:rFonts w:ascii="Verdana" w:hAnsi="Verdana"/>
          <w:sz w:val="16"/>
          <w:szCs w:val="16"/>
        </w:rPr>
      </w:pPr>
      <w:r w:rsidRPr="007E1BC8">
        <w:rPr>
          <w:rStyle w:val="Refdenotaalpie"/>
          <w:rFonts w:ascii="Verdana" w:hAnsi="Verdana"/>
          <w:sz w:val="16"/>
          <w:szCs w:val="16"/>
        </w:rPr>
        <w:footnoteRef/>
      </w:r>
      <w:r>
        <w:rPr>
          <w:rFonts w:ascii="Verdana" w:hAnsi="Verdana"/>
          <w:sz w:val="16"/>
          <w:szCs w:val="16"/>
        </w:rPr>
        <w:t xml:space="preserve"> </w:t>
      </w:r>
      <w:r w:rsidRPr="007E1BC8">
        <w:rPr>
          <w:rFonts w:ascii="Verdana" w:hAnsi="Verdana"/>
          <w:sz w:val="16"/>
          <w:szCs w:val="16"/>
        </w:rPr>
        <w:t>Disponible en este enlace:</w:t>
      </w:r>
    </w:p>
    <w:p w14:paraId="6D267EB5" w14:textId="77777777" w:rsidR="007E1BC8" w:rsidRPr="007E1BC8" w:rsidRDefault="007E1BC8" w:rsidP="007E1BC8">
      <w:pPr>
        <w:pStyle w:val="Textonotapie"/>
        <w:ind w:firstLine="708"/>
        <w:jc w:val="both"/>
        <w:rPr>
          <w:rFonts w:ascii="Verdana" w:hAnsi="Verdana"/>
          <w:sz w:val="16"/>
          <w:szCs w:val="16"/>
          <w:lang w:val="es-CO"/>
        </w:rPr>
      </w:pPr>
      <w:hyperlink r:id="rId2" w:history="1">
        <w:r w:rsidRPr="007E1BC8">
          <w:rPr>
            <w:rStyle w:val="Hipervnculo"/>
            <w:rFonts w:ascii="Verdana" w:hAnsi="Verdana"/>
            <w:sz w:val="16"/>
            <w:szCs w:val="16"/>
          </w:rPr>
          <w:t>https://www.colombiacompra.gov.co/sites/cce_public/files/cce_documents/guia_para_elaborar_el_plan_anual_de_adquisiciones_0.pdf</w:t>
        </w:r>
      </w:hyperlink>
      <w:r w:rsidRPr="007E1BC8">
        <w:rPr>
          <w:rFonts w:ascii="Verdana" w:hAnsi="Verdana"/>
          <w:sz w:val="16"/>
          <w:szCs w:val="16"/>
        </w:rPr>
        <w:t xml:space="preserve"> </w:t>
      </w:r>
    </w:p>
  </w:footnote>
  <w:footnote w:id="5">
    <w:p w14:paraId="78D7CFC6" w14:textId="77777777" w:rsidR="007E1BC8" w:rsidRPr="00CA4D89" w:rsidRDefault="007E1BC8" w:rsidP="007E1BC8">
      <w:pPr>
        <w:pStyle w:val="Textonotapie"/>
        <w:ind w:firstLine="708"/>
        <w:jc w:val="both"/>
        <w:rPr>
          <w:rFonts w:ascii="Verdana" w:hAnsi="Verdana" w:cs="Arial"/>
          <w:sz w:val="12"/>
          <w:szCs w:val="12"/>
          <w:lang w:val="es-CO"/>
        </w:rPr>
      </w:pPr>
      <w:r w:rsidRPr="007E1BC8">
        <w:rPr>
          <w:rStyle w:val="Refdenotaalpie"/>
          <w:rFonts w:ascii="Verdana" w:hAnsi="Verdana" w:cs="Arial"/>
          <w:sz w:val="16"/>
          <w:szCs w:val="16"/>
        </w:rPr>
        <w:footnoteRef/>
      </w:r>
      <w:r w:rsidRPr="007E1BC8">
        <w:rPr>
          <w:rFonts w:ascii="Verdana" w:eastAsia="Calibri" w:hAnsi="Verdana" w:cs="Arial"/>
          <w:sz w:val="16"/>
          <w:szCs w:val="16"/>
        </w:rPr>
        <w:t xml:space="preserve"> Agencia Nacional de Contratación Pública </w:t>
      </w:r>
      <w:r w:rsidRPr="007E1BC8">
        <w:rPr>
          <w:rFonts w:ascii="Verdana" w:eastAsia="Calibri" w:hAnsi="Verdana" w:cs="Arial"/>
          <w:bCs/>
          <w:sz w:val="16"/>
          <w:szCs w:val="16"/>
        </w:rPr>
        <w:t xml:space="preserve">– </w:t>
      </w:r>
      <w:r w:rsidRPr="007E1BC8">
        <w:rPr>
          <w:rFonts w:ascii="Verdana" w:eastAsia="Calibri" w:hAnsi="Verdana" w:cs="Arial"/>
          <w:sz w:val="16"/>
          <w:szCs w:val="16"/>
        </w:rPr>
        <w:t>Colombia Compra Eficiente</w:t>
      </w:r>
      <w:r w:rsidRPr="007E1BC8">
        <w:rPr>
          <w:rFonts w:ascii="Verdana" w:hAnsi="Verdana" w:cs="Arial"/>
          <w:sz w:val="16"/>
          <w:szCs w:val="16"/>
          <w:lang w:val="es-CO"/>
        </w:rPr>
        <w:t xml:space="preserve"> Guía para elaborar el Plan Anual de Adquisiciones. Página 3.</w:t>
      </w:r>
      <w:r w:rsidRPr="00CA4D89">
        <w:rPr>
          <w:rFonts w:ascii="Verdana" w:hAnsi="Verdana" w:cs="Arial"/>
          <w:sz w:val="12"/>
          <w:szCs w:val="12"/>
          <w:lang w:val="es-CO"/>
        </w:rPr>
        <w:t xml:space="preserve"> </w:t>
      </w:r>
    </w:p>
  </w:footnote>
  <w:footnote w:id="6">
    <w:p w14:paraId="536D2882" w14:textId="77777777" w:rsidR="007E1BC8" w:rsidRPr="007E1BC8" w:rsidRDefault="007E1BC8" w:rsidP="007E1BC8">
      <w:pPr>
        <w:pStyle w:val="Textonotapie"/>
        <w:ind w:firstLine="709"/>
        <w:jc w:val="both"/>
        <w:rPr>
          <w:rFonts w:ascii="Verdana" w:hAnsi="Verdana" w:cs="Arial"/>
          <w:sz w:val="16"/>
          <w:szCs w:val="16"/>
          <w:lang w:val="es-ES"/>
        </w:rPr>
      </w:pPr>
      <w:r w:rsidRPr="007E1BC8">
        <w:rPr>
          <w:rStyle w:val="Refdenotaalpie"/>
          <w:rFonts w:ascii="Verdana" w:hAnsi="Verdana" w:cs="Arial"/>
          <w:sz w:val="16"/>
          <w:szCs w:val="16"/>
        </w:rPr>
        <w:footnoteRef/>
      </w:r>
      <w:r w:rsidRPr="007E1BC8">
        <w:rPr>
          <w:rFonts w:ascii="Verdana" w:hAnsi="Verdana" w:cs="Arial"/>
          <w:sz w:val="16"/>
          <w:szCs w:val="16"/>
        </w:rPr>
        <w:t xml:space="preserve"> El artículo 74 de la Ley 1474 prescribe: “</w:t>
      </w:r>
      <w:r w:rsidRPr="007E1BC8">
        <w:rPr>
          <w:rFonts w:ascii="Verdana" w:hAnsi="Verdana" w:cs="Arial"/>
          <w:sz w:val="16"/>
          <w:szCs w:val="16"/>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1DB7EBD4" w14:textId="77777777" w:rsidR="007E1BC8" w:rsidRPr="007E1BC8" w:rsidRDefault="007E1BC8" w:rsidP="007E1BC8">
      <w:pPr>
        <w:pStyle w:val="Textonotapie"/>
        <w:ind w:firstLine="709"/>
        <w:jc w:val="both"/>
        <w:rPr>
          <w:rFonts w:ascii="Verdana" w:hAnsi="Verdana" w:cs="Arial"/>
          <w:sz w:val="16"/>
          <w:szCs w:val="16"/>
          <w:lang w:val="es-ES"/>
        </w:rPr>
      </w:pPr>
      <w:r w:rsidRPr="007E1BC8">
        <w:rPr>
          <w:rFonts w:ascii="Verdana" w:hAnsi="Verdana" w:cs="Arial"/>
          <w:sz w:val="16"/>
          <w:szCs w:val="16"/>
          <w:lang w:val="es-ES"/>
        </w:rPr>
        <w:t>A partir del año siguiente, el Plan de Acción deberá estar acompañado del informe de gestión del año inmediatamente anterior.</w:t>
      </w:r>
    </w:p>
    <w:p w14:paraId="33DEED5F" w14:textId="77777777" w:rsidR="007E1BC8" w:rsidRPr="007E1BC8" w:rsidRDefault="007E1BC8" w:rsidP="007E1BC8">
      <w:pPr>
        <w:pStyle w:val="Textonotapie"/>
        <w:ind w:firstLine="709"/>
        <w:jc w:val="both"/>
        <w:rPr>
          <w:rFonts w:ascii="Verdana" w:hAnsi="Verdana" w:cs="Arial"/>
          <w:sz w:val="16"/>
          <w:szCs w:val="16"/>
          <w:lang w:val="es-ES"/>
        </w:rPr>
      </w:pPr>
      <w:r w:rsidRPr="007E1BC8">
        <w:rPr>
          <w:rFonts w:ascii="Verdana" w:hAnsi="Verdana" w:cs="Arial"/>
          <w:sz w:val="16"/>
          <w:szCs w:val="16"/>
          <w:lang w:val="es-ES"/>
        </w:rPr>
        <w:t>Igualmente publicarán por dicho medio su presupuesto debidamente desagregado, así como las modificaciones a este o a su desagregación.</w:t>
      </w:r>
      <w:r w:rsidRPr="007E1BC8">
        <w:rPr>
          <w:rFonts w:ascii="Verdana" w:hAnsi="Verdana" w:cs="Arial"/>
          <w:sz w:val="16"/>
          <w:szCs w:val="16"/>
          <w:lang w:val="es-ES"/>
        </w:rPr>
        <w:tab/>
      </w:r>
    </w:p>
    <w:p w14:paraId="0A4528B0" w14:textId="77777777" w:rsidR="007E1BC8" w:rsidRPr="007E1BC8" w:rsidRDefault="007E1BC8" w:rsidP="007E1BC8">
      <w:pPr>
        <w:pStyle w:val="Textonotapie"/>
        <w:ind w:firstLine="709"/>
        <w:jc w:val="both"/>
        <w:rPr>
          <w:rFonts w:ascii="Verdana" w:hAnsi="Verdana" w:cs="Arial"/>
          <w:sz w:val="16"/>
          <w:szCs w:val="16"/>
          <w:lang w:val="es-ES"/>
        </w:rPr>
      </w:pPr>
      <w:r w:rsidRPr="007E1BC8">
        <w:rPr>
          <w:rFonts w:ascii="Verdana" w:hAnsi="Verdana" w:cs="Arial"/>
          <w:sz w:val="16"/>
          <w:szCs w:val="16"/>
          <w:lang w:val="es-ES"/>
        </w:rPr>
        <w:t>Parágrafo. Las empresas industriales y comerciales del Estado y las Sociedades de Economía Mixta estarán exentas de publicar la información relacionada con sus proyectos de inversión”.</w:t>
      </w:r>
    </w:p>
    <w:p w14:paraId="1A368CE1" w14:textId="77777777" w:rsidR="007E1BC8" w:rsidRPr="00CA4D89" w:rsidRDefault="007E1BC8" w:rsidP="007E1BC8">
      <w:pPr>
        <w:pStyle w:val="Textonotapie"/>
        <w:ind w:firstLine="708"/>
        <w:jc w:val="both"/>
        <w:rPr>
          <w:rFonts w:ascii="Verdana" w:hAnsi="Verdana" w:cs="Arial"/>
          <w:sz w:val="12"/>
          <w:szCs w:val="12"/>
          <w:lang w:val="es-ES"/>
        </w:rPr>
      </w:pPr>
      <w:r w:rsidRPr="00CA4D89">
        <w:rPr>
          <w:rFonts w:ascii="Verdana" w:hAnsi="Verdana" w:cs="Arial"/>
          <w:sz w:val="12"/>
          <w:szCs w:val="12"/>
          <w:lang w:val="es-ES"/>
        </w:rPr>
        <w:t xml:space="preserve"> </w:t>
      </w:r>
    </w:p>
  </w:footnote>
  <w:footnote w:id="7">
    <w:p w14:paraId="3DF7B7B0" w14:textId="77777777" w:rsidR="007E1BC8" w:rsidRPr="00CA4D89" w:rsidRDefault="007E1BC8" w:rsidP="007E1BC8">
      <w:pPr>
        <w:pStyle w:val="Textonotapie"/>
        <w:ind w:firstLine="708"/>
        <w:jc w:val="both"/>
        <w:rPr>
          <w:rFonts w:ascii="Verdana" w:hAnsi="Verdana" w:cs="Arial"/>
          <w:sz w:val="12"/>
          <w:szCs w:val="12"/>
        </w:rPr>
      </w:pPr>
      <w:r w:rsidRPr="00CA4D89">
        <w:rPr>
          <w:rStyle w:val="Refdenotaalpie"/>
          <w:rFonts w:ascii="Verdana" w:hAnsi="Verdana" w:cs="Arial"/>
          <w:sz w:val="12"/>
          <w:szCs w:val="12"/>
        </w:rPr>
        <w:footnoteRef/>
      </w:r>
      <w:r w:rsidRPr="00CA4D89">
        <w:rPr>
          <w:rFonts w:ascii="Verdana" w:hAnsi="Verdana" w:cs="Arial"/>
          <w:sz w:val="12"/>
          <w:szCs w:val="12"/>
        </w:rPr>
        <w:t xml:space="preserve"> Decreto 1082 de 2015: “Artículo 2.2.1.1.1.4.3. Publicación del Plan Anual de Adquisiciones.</w:t>
      </w:r>
      <w:r w:rsidRPr="00CA4D89">
        <w:rPr>
          <w:rFonts w:ascii="Verdana" w:hAnsi="Verdana" w:cs="Arial"/>
          <w:i/>
          <w:iCs/>
          <w:sz w:val="12"/>
          <w:szCs w:val="12"/>
        </w:rPr>
        <w:t> </w:t>
      </w:r>
      <w:r w:rsidRPr="00CA4D89">
        <w:rPr>
          <w:rFonts w:ascii="Verdana" w:hAnsi="Verdana" w:cs="Arial"/>
          <w:sz w:val="12"/>
          <w:szCs w:val="12"/>
        </w:rPr>
        <w:t>La Entidad Estatal debe publicar su Plan Anual de Adquisiciones y las actualizaciones del mismo en su página web y en el SECOP, en la forma que para el efecto disponga Colombia Compra Eficiente”.</w:t>
      </w:r>
    </w:p>
    <w:p w14:paraId="634EB8F8" w14:textId="77777777" w:rsidR="007E1BC8" w:rsidRPr="00CA4D89" w:rsidRDefault="007E1BC8" w:rsidP="007E1BC8">
      <w:pPr>
        <w:pStyle w:val="Textonotapie"/>
        <w:ind w:firstLine="708"/>
        <w:jc w:val="both"/>
        <w:rPr>
          <w:rFonts w:ascii="Verdana" w:hAnsi="Verdana" w:cs="Arial"/>
          <w:sz w:val="12"/>
          <w:szCs w:val="1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E18350A" w14:textId="1B936E40" w:rsidR="004A305D" w:rsidRDefault="004A305D" w:rsidP="00B01B1A">
    <w:pPr>
      <w:spacing w:after="0" w:line="120" w:lineRule="auto"/>
      <w:rPr>
        <w:rFonts w:ascii="Century Gothic" w:eastAsia="Geo" w:hAnsi="Century Gothic" w:cs="Geo"/>
        <w:sz w:val="16"/>
        <w:szCs w:val="16"/>
        <w:lang w:eastAsia="es-CO"/>
      </w:rPr>
    </w:pPr>
  </w:p>
  <w:p w14:paraId="01F951F7" w14:textId="77777777" w:rsidR="00EB6735" w:rsidRPr="004A305D" w:rsidRDefault="00EB6735"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0E8165E"/>
    <w:multiLevelType w:val="multilevel"/>
    <w:tmpl w:val="B024F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8E5AE1"/>
    <w:multiLevelType w:val="hybridMultilevel"/>
    <w:tmpl w:val="621060B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7320E89"/>
    <w:multiLevelType w:val="hybridMultilevel"/>
    <w:tmpl w:val="41C0BF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6C4E7F"/>
    <w:multiLevelType w:val="multilevel"/>
    <w:tmpl w:val="674A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5624780">
    <w:abstractNumId w:val="7"/>
  </w:num>
  <w:num w:numId="2" w16cid:durableId="980840828">
    <w:abstractNumId w:val="2"/>
  </w:num>
  <w:num w:numId="3" w16cid:durableId="2084569476">
    <w:abstractNumId w:val="5"/>
  </w:num>
  <w:num w:numId="4" w16cid:durableId="8814761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7871200">
    <w:abstractNumId w:val="2"/>
  </w:num>
  <w:num w:numId="6" w16cid:durableId="1724329283">
    <w:abstractNumId w:val="16"/>
  </w:num>
  <w:num w:numId="7" w16cid:durableId="1434594223">
    <w:abstractNumId w:val="6"/>
  </w:num>
  <w:num w:numId="8" w16cid:durableId="848906813">
    <w:abstractNumId w:val="15"/>
  </w:num>
  <w:num w:numId="9" w16cid:durableId="155459491">
    <w:abstractNumId w:val="8"/>
  </w:num>
  <w:num w:numId="10" w16cid:durableId="2121950603">
    <w:abstractNumId w:val="14"/>
  </w:num>
  <w:num w:numId="11" w16cid:durableId="220294980">
    <w:abstractNumId w:val="9"/>
  </w:num>
  <w:num w:numId="12" w16cid:durableId="322046278">
    <w:abstractNumId w:val="1"/>
  </w:num>
  <w:num w:numId="13" w16cid:durableId="455492003">
    <w:abstractNumId w:val="4"/>
  </w:num>
  <w:num w:numId="14" w16cid:durableId="1466194305">
    <w:abstractNumId w:val="17"/>
  </w:num>
  <w:num w:numId="15" w16cid:durableId="181431784">
    <w:abstractNumId w:val="13"/>
  </w:num>
  <w:num w:numId="16" w16cid:durableId="1622565370">
    <w:abstractNumId w:val="0"/>
  </w:num>
  <w:num w:numId="17" w16cid:durableId="793911275">
    <w:abstractNumId w:val="12"/>
  </w:num>
  <w:num w:numId="18" w16cid:durableId="1296913380">
    <w:abstractNumId w:val="18"/>
  </w:num>
  <w:num w:numId="19" w16cid:durableId="103231025">
    <w:abstractNumId w:val="3"/>
  </w:num>
  <w:num w:numId="20" w16cid:durableId="1486239221">
    <w:abstractNumId w:val="10"/>
  </w:num>
  <w:num w:numId="21" w16cid:durableId="901237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66BB"/>
    <w:rsid w:val="00075DF9"/>
    <w:rsid w:val="00082362"/>
    <w:rsid w:val="000A683E"/>
    <w:rsid w:val="000B19B9"/>
    <w:rsid w:val="000D0334"/>
    <w:rsid w:val="000E5621"/>
    <w:rsid w:val="000F6486"/>
    <w:rsid w:val="00125105"/>
    <w:rsid w:val="001259D4"/>
    <w:rsid w:val="00127233"/>
    <w:rsid w:val="001511A0"/>
    <w:rsid w:val="00184E2C"/>
    <w:rsid w:val="001E4177"/>
    <w:rsid w:val="001F2890"/>
    <w:rsid w:val="001F7DC6"/>
    <w:rsid w:val="002262E7"/>
    <w:rsid w:val="002330E4"/>
    <w:rsid w:val="002421BB"/>
    <w:rsid w:val="002561F9"/>
    <w:rsid w:val="0025796E"/>
    <w:rsid w:val="002707A2"/>
    <w:rsid w:val="002951A0"/>
    <w:rsid w:val="002962BC"/>
    <w:rsid w:val="002A093D"/>
    <w:rsid w:val="002A0DD0"/>
    <w:rsid w:val="002A49AC"/>
    <w:rsid w:val="002A5652"/>
    <w:rsid w:val="002A64FD"/>
    <w:rsid w:val="002C7A84"/>
    <w:rsid w:val="002E4FD9"/>
    <w:rsid w:val="00322A85"/>
    <w:rsid w:val="00324168"/>
    <w:rsid w:val="003448F4"/>
    <w:rsid w:val="00374F5E"/>
    <w:rsid w:val="00377E3E"/>
    <w:rsid w:val="003A779E"/>
    <w:rsid w:val="003D0F4D"/>
    <w:rsid w:val="003D5B0D"/>
    <w:rsid w:val="003E0499"/>
    <w:rsid w:val="003F3941"/>
    <w:rsid w:val="00403CDF"/>
    <w:rsid w:val="00406575"/>
    <w:rsid w:val="00414C74"/>
    <w:rsid w:val="0042722E"/>
    <w:rsid w:val="0044528D"/>
    <w:rsid w:val="004635A5"/>
    <w:rsid w:val="004A1847"/>
    <w:rsid w:val="004A305D"/>
    <w:rsid w:val="004F21C4"/>
    <w:rsid w:val="004F685F"/>
    <w:rsid w:val="00507EC2"/>
    <w:rsid w:val="005566E8"/>
    <w:rsid w:val="00574867"/>
    <w:rsid w:val="00591460"/>
    <w:rsid w:val="005A13B4"/>
    <w:rsid w:val="005B3816"/>
    <w:rsid w:val="005C3777"/>
    <w:rsid w:val="005C5CDC"/>
    <w:rsid w:val="005D476C"/>
    <w:rsid w:val="006002C5"/>
    <w:rsid w:val="006219F8"/>
    <w:rsid w:val="00660EE4"/>
    <w:rsid w:val="006654DA"/>
    <w:rsid w:val="00665D70"/>
    <w:rsid w:val="006900D9"/>
    <w:rsid w:val="006C45E6"/>
    <w:rsid w:val="006E014C"/>
    <w:rsid w:val="006E50A7"/>
    <w:rsid w:val="006E6382"/>
    <w:rsid w:val="00706C16"/>
    <w:rsid w:val="00756841"/>
    <w:rsid w:val="007649AB"/>
    <w:rsid w:val="00771D0C"/>
    <w:rsid w:val="007833AC"/>
    <w:rsid w:val="007B268C"/>
    <w:rsid w:val="007B7171"/>
    <w:rsid w:val="007C0C0F"/>
    <w:rsid w:val="007C3DC2"/>
    <w:rsid w:val="007E1BC8"/>
    <w:rsid w:val="007E5497"/>
    <w:rsid w:val="00806F5F"/>
    <w:rsid w:val="00820278"/>
    <w:rsid w:val="00867F95"/>
    <w:rsid w:val="008843B6"/>
    <w:rsid w:val="00891928"/>
    <w:rsid w:val="008A446D"/>
    <w:rsid w:val="008C0246"/>
    <w:rsid w:val="008D180B"/>
    <w:rsid w:val="008F0EA7"/>
    <w:rsid w:val="00903C94"/>
    <w:rsid w:val="00917617"/>
    <w:rsid w:val="00923EEF"/>
    <w:rsid w:val="009419F9"/>
    <w:rsid w:val="0094221F"/>
    <w:rsid w:val="009443CB"/>
    <w:rsid w:val="0095685E"/>
    <w:rsid w:val="00961B09"/>
    <w:rsid w:val="00965334"/>
    <w:rsid w:val="0097093E"/>
    <w:rsid w:val="009770FB"/>
    <w:rsid w:val="00986AC5"/>
    <w:rsid w:val="009A0DFA"/>
    <w:rsid w:val="009B2D26"/>
    <w:rsid w:val="009C1B7D"/>
    <w:rsid w:val="009C71FA"/>
    <w:rsid w:val="009C72E7"/>
    <w:rsid w:val="009D3058"/>
    <w:rsid w:val="009F3A13"/>
    <w:rsid w:val="00A122D3"/>
    <w:rsid w:val="00A17F13"/>
    <w:rsid w:val="00A20739"/>
    <w:rsid w:val="00A33C78"/>
    <w:rsid w:val="00A61B0C"/>
    <w:rsid w:val="00A937A1"/>
    <w:rsid w:val="00AB0ADB"/>
    <w:rsid w:val="00B01B1A"/>
    <w:rsid w:val="00B66319"/>
    <w:rsid w:val="00B67B2D"/>
    <w:rsid w:val="00B70413"/>
    <w:rsid w:val="00B72CD3"/>
    <w:rsid w:val="00B72FFF"/>
    <w:rsid w:val="00BC3D36"/>
    <w:rsid w:val="00BD07CB"/>
    <w:rsid w:val="00BD7F72"/>
    <w:rsid w:val="00C04FB3"/>
    <w:rsid w:val="00C330EB"/>
    <w:rsid w:val="00C41061"/>
    <w:rsid w:val="00C754BE"/>
    <w:rsid w:val="00C76B1C"/>
    <w:rsid w:val="00CA608D"/>
    <w:rsid w:val="00CB6357"/>
    <w:rsid w:val="00CC1B26"/>
    <w:rsid w:val="00CD46EA"/>
    <w:rsid w:val="00CE0BBC"/>
    <w:rsid w:val="00CF6189"/>
    <w:rsid w:val="00D071B8"/>
    <w:rsid w:val="00D423A2"/>
    <w:rsid w:val="00D520D8"/>
    <w:rsid w:val="00D63AC2"/>
    <w:rsid w:val="00D65296"/>
    <w:rsid w:val="00D7383B"/>
    <w:rsid w:val="00DA13DC"/>
    <w:rsid w:val="00DA231B"/>
    <w:rsid w:val="00DC11BA"/>
    <w:rsid w:val="00DC39FC"/>
    <w:rsid w:val="00DF5254"/>
    <w:rsid w:val="00E16408"/>
    <w:rsid w:val="00E20894"/>
    <w:rsid w:val="00E245AB"/>
    <w:rsid w:val="00E2764C"/>
    <w:rsid w:val="00E27F2E"/>
    <w:rsid w:val="00E50AFE"/>
    <w:rsid w:val="00E56489"/>
    <w:rsid w:val="00E65D64"/>
    <w:rsid w:val="00E75C92"/>
    <w:rsid w:val="00E771DC"/>
    <w:rsid w:val="00E8772A"/>
    <w:rsid w:val="00E90F6B"/>
    <w:rsid w:val="00E92C27"/>
    <w:rsid w:val="00EA0E3D"/>
    <w:rsid w:val="00EB50E3"/>
    <w:rsid w:val="00EB6735"/>
    <w:rsid w:val="00EC38A7"/>
    <w:rsid w:val="00ED7384"/>
    <w:rsid w:val="00EE1AA8"/>
    <w:rsid w:val="00EF7AFF"/>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9D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B673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B6735"/>
    <w:rPr>
      <w:rFonts w:ascii="Geomanist Light" w:hAnsi="Geomanist Light"/>
      <w:lang w:val="es-ES"/>
    </w:rPr>
  </w:style>
  <w:style w:type="character" w:styleId="Refdecomentario">
    <w:name w:val="annotation reference"/>
    <w:basedOn w:val="Fuentedeprrafopredeter"/>
    <w:uiPriority w:val="99"/>
    <w:semiHidden/>
    <w:unhideWhenUsed/>
    <w:rsid w:val="008C0246"/>
    <w:rPr>
      <w:sz w:val="16"/>
      <w:szCs w:val="16"/>
    </w:rPr>
  </w:style>
  <w:style w:type="paragraph" w:styleId="Textocomentario">
    <w:name w:val="annotation text"/>
    <w:basedOn w:val="Normal"/>
    <w:link w:val="TextocomentarioCar"/>
    <w:uiPriority w:val="99"/>
    <w:unhideWhenUsed/>
    <w:rsid w:val="008C0246"/>
    <w:pPr>
      <w:spacing w:line="240" w:lineRule="auto"/>
    </w:pPr>
    <w:rPr>
      <w:sz w:val="20"/>
      <w:szCs w:val="20"/>
    </w:rPr>
  </w:style>
  <w:style w:type="character" w:customStyle="1" w:styleId="TextocomentarioCar">
    <w:name w:val="Texto comentario Car"/>
    <w:basedOn w:val="Fuentedeprrafopredeter"/>
    <w:link w:val="Textocomentario"/>
    <w:uiPriority w:val="99"/>
    <w:rsid w:val="008C0246"/>
    <w:rPr>
      <w:sz w:val="20"/>
      <w:szCs w:val="20"/>
    </w:rPr>
  </w:style>
  <w:style w:type="paragraph" w:styleId="Asuntodelcomentario">
    <w:name w:val="annotation subject"/>
    <w:basedOn w:val="Textocomentario"/>
    <w:next w:val="Textocomentario"/>
    <w:link w:val="AsuntodelcomentarioCar"/>
    <w:uiPriority w:val="99"/>
    <w:semiHidden/>
    <w:unhideWhenUsed/>
    <w:rsid w:val="008C0246"/>
    <w:rPr>
      <w:b/>
      <w:bCs/>
    </w:rPr>
  </w:style>
  <w:style w:type="character" w:customStyle="1" w:styleId="AsuntodelcomentarioCar">
    <w:name w:val="Asunto del comentario Car"/>
    <w:basedOn w:val="TextocomentarioCar"/>
    <w:link w:val="Asuntodelcomentario"/>
    <w:uiPriority w:val="99"/>
    <w:semiHidden/>
    <w:rsid w:val="008C0246"/>
    <w:rPr>
      <w:b/>
      <w:bCs/>
      <w:sz w:val="20"/>
      <w:szCs w:val="20"/>
    </w:rPr>
  </w:style>
  <w:style w:type="paragraph" w:styleId="Textodeglobo">
    <w:name w:val="Balloon Text"/>
    <w:basedOn w:val="Normal"/>
    <w:link w:val="TextodegloboCar"/>
    <w:uiPriority w:val="99"/>
    <w:semiHidden/>
    <w:unhideWhenUsed/>
    <w:rsid w:val="00B67B2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7B2D"/>
    <w:rPr>
      <w:rFonts w:ascii="Segoe UI" w:hAnsi="Segoe UI" w:cs="Segoe UI"/>
      <w:sz w:val="18"/>
      <w:szCs w:val="18"/>
    </w:rPr>
  </w:style>
  <w:style w:type="character" w:customStyle="1" w:styleId="Hipervnculo1">
    <w:name w:val="Hipervínculo1"/>
    <w:basedOn w:val="Fuentedeprrafopredeter"/>
    <w:uiPriority w:val="99"/>
    <w:unhideWhenUsed/>
    <w:rsid w:val="006C45E6"/>
    <w:rPr>
      <w:color w:val="F2F2F2"/>
      <w:u w:val="single"/>
    </w:rPr>
  </w:style>
  <w:style w:type="character" w:styleId="Textoennegrita">
    <w:name w:val="Strong"/>
    <w:basedOn w:val="Fuentedeprrafopredeter"/>
    <w:uiPriority w:val="22"/>
    <w:qFormat/>
    <w:rsid w:val="006C45E6"/>
    <w:rPr>
      <w:b/>
      <w:bCs/>
    </w:rPr>
  </w:style>
  <w:style w:type="character" w:styleId="nfasis">
    <w:name w:val="Emphasis"/>
    <w:basedOn w:val="Fuentedeprrafopredeter"/>
    <w:uiPriority w:val="20"/>
    <w:qFormat/>
    <w:rsid w:val="006C45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31333539">
      <w:bodyDiv w:val="1"/>
      <w:marLeft w:val="0"/>
      <w:marRight w:val="0"/>
      <w:marTop w:val="0"/>
      <w:marBottom w:val="0"/>
      <w:divBdr>
        <w:top w:val="none" w:sz="0" w:space="0" w:color="auto"/>
        <w:left w:val="none" w:sz="0" w:space="0" w:color="auto"/>
        <w:bottom w:val="none" w:sz="0" w:space="0" w:color="auto"/>
        <w:right w:val="none" w:sz="0" w:space="0" w:color="auto"/>
      </w:divBdr>
    </w:div>
    <w:div w:id="1691641885">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sites/cce_public/files/cce_documents/guia_para_elaborar_el_plan_anual_de_adquisiciones_0.pdf" TargetMode="External"/><Relationship Id="rId17" Type="http://schemas.openxmlformats.org/officeDocument/2006/relationships/hyperlink" Target="https://nam02.safelinks.protection.outlook.com/?url=https%3A%2F%2Fwww.colombiacompra.gov.co%2Fsala-de-prensa%2Fboletin-digital&amp;data=05%7C02%7Csergio.rivera%40colombiacompra.gov.co%7C6192b0470d324981a09708dd0a6c28db%7C7b09041e245149d08cb179d5e3d8c1be%7C0%7C0%7C638678181873382281%7CUnknown%7CTWFpbGZsb3d8eyJFbXB0eU1hcGkiOnRydWUsIlYiOiIwLjAuMDAwMCIsIlAiOiJXaW4zMiIsIkFOIjoiTWFpbCIsIldUIjoyfQ%3D%3D%7C0%7C%7C%7C&amp;sdata=CW60pRIxS2dVemwf442%2FFVWPXnCoQzCuGkyxL9CMKxg%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sucop.gov.co%2Fentidades%2Fcolombiacompra%2FNormativa%3FIDNorma%3D19201&amp;data=05%7C02%7Csergio.rivera%40colombiacompra.gov.co%7C6192b0470d324981a09708dd0a6c28db%7C7b09041e245149d08cb179d5e3d8c1be%7C0%7C0%7C638678181873361743%7CUnknown%7CTWFpbGZsb3d8eyJFbXB0eU1hcGkiOnRydWUsIlYiOiIwLjAuMDAwMCIsIlAiOiJXaW4zMiIsIkFOIjoiTWFpbCIsIldUIjoyfQ%3D%3D%7C0%7C%7C%7C&amp;sdata=jmHlshqBHszG%2BpiQnfn8VKpuZRMeLqWjJd8TvEbRK5k%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ndra.zutta@culturantioquia.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convocatorias&amp;data=05%7C02%7Csergio.rivera%40colombiacompra.gov.co%7C6192b0470d324981a09708dd0a6c28db%7C7b09041e245149d08cb179d5e3d8c1be%7C0%7C0%7C638678181873337319%7CUnknown%7CTWFpbGZsb3d8eyJFbXB0eU1hcGkiOnRydWUsIlYiOiIwLjAuMDAwMCIsIlAiOiJXaW4zMiIsIkFOIjoiTWFpbCIsIldUIjoyfQ%3D%3D%7C0%7C%7C%7C&amp;sdata=PNKmlPlGeZoexk0hjD3B1sgky%2BteJjgJlJZdolLSvtA%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ites%2Fcce_public%2Ffiles%2Fcce_documents%2Fmanual_para_el_manejo_de_acuerdos_comerciales_vf.pdf&amp;data=05%7C02%7Csergio.rivera%40colombiacompra.gov.co%7C6192b0470d324981a09708dd0a6c28db%7C7b09041e245149d08cb179d5e3d8c1be%7C0%7C0%7C638678181873303083%7CUnknown%7CTWFpbGZsb3d8eyJFbXB0eU1hcGkiOnRydWUsIlYiOiIwLjAuMDAwMCIsIlAiOiJXaW4zMiIsIkFOIjoiTWFpbCIsIldUIjoyfQ%3D%3D%7C0%7C%7C%7C&amp;sdata=RZ8UGZwZz1u6P2uX7%2FCr73boVT1JLXCwE20Uk3OdT6E%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guia_para_elaborar_el_plan_anual_de_adquisiciones_0.pdf" TargetMode="External"/><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07D7CEB-F95D-4C0E-9D62-48F4DAA4D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11</Pages>
  <Words>4202</Words>
  <Characters>23111</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15</cp:revision>
  <cp:lastPrinted>2023-01-10T21:18:00Z</cp:lastPrinted>
  <dcterms:created xsi:type="dcterms:W3CDTF">2024-12-13T19:04:00Z</dcterms:created>
  <dcterms:modified xsi:type="dcterms:W3CDTF">2024-12-30T21:16:00Z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