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E7F5B" w14:textId="77777777" w:rsidR="00880762" w:rsidRPr="00396F3E" w:rsidRDefault="00880762" w:rsidP="00396F3E">
      <w:pPr>
        <w:snapToGrid w:val="0"/>
        <w:spacing w:after="0" w:line="240" w:lineRule="auto"/>
        <w:contextualSpacing/>
        <w:jc w:val="both"/>
        <w:rPr>
          <w:rFonts w:ascii="Verdana" w:eastAsia="Geomanist Light" w:hAnsi="Verdana" w:cs="Arial"/>
          <w:b/>
          <w:bCs/>
          <w:color w:val="000000"/>
          <w:lang w:val="es-MX"/>
        </w:rPr>
      </w:pPr>
      <w:bookmarkStart w:id="0" w:name="_Hlk143780582"/>
      <w:r w:rsidRPr="00396F3E">
        <w:rPr>
          <w:rFonts w:ascii="Verdana" w:eastAsia="Geomanist Light" w:hAnsi="Verdana" w:cs="Arial"/>
          <w:b/>
          <w:bCs/>
          <w:color w:val="000000"/>
          <w:lang w:val="es-MX"/>
        </w:rPr>
        <w:t>EMPRESAS INDUSTRIALES Y COMERCIALES DEL ESTADO – Naturaleza jurídica – Régimen de contratación</w:t>
      </w:r>
    </w:p>
    <w:p w14:paraId="3D25360E" w14:textId="77777777" w:rsidR="00880762" w:rsidRPr="00396F3E" w:rsidRDefault="00880762" w:rsidP="00396F3E">
      <w:pPr>
        <w:snapToGrid w:val="0"/>
        <w:spacing w:after="0" w:line="240" w:lineRule="auto"/>
        <w:contextualSpacing/>
        <w:jc w:val="both"/>
        <w:rPr>
          <w:rFonts w:ascii="Verdana" w:eastAsia="Geomanist Light" w:hAnsi="Verdana" w:cs="Arial"/>
          <w:b/>
          <w:bCs/>
          <w:color w:val="000000"/>
          <w:sz w:val="20"/>
          <w:szCs w:val="20"/>
          <w:lang w:val="es-MX"/>
        </w:rPr>
      </w:pPr>
    </w:p>
    <w:p w14:paraId="4F92F260" w14:textId="536928BC" w:rsidR="003869A5" w:rsidRPr="00396F3E" w:rsidRDefault="003869A5" w:rsidP="00396F3E">
      <w:pPr>
        <w:snapToGrid w:val="0"/>
        <w:spacing w:after="0" w:line="240" w:lineRule="auto"/>
        <w:contextualSpacing/>
        <w:jc w:val="both"/>
        <w:rPr>
          <w:rFonts w:ascii="Verdana" w:eastAsia="Calibri" w:hAnsi="Verdana" w:cs="Arial"/>
          <w:sz w:val="20"/>
          <w:szCs w:val="20"/>
          <w:lang w:val="es-ES"/>
        </w:rPr>
      </w:pPr>
      <w:r w:rsidRPr="00396F3E">
        <w:rPr>
          <w:rFonts w:ascii="Verdana" w:eastAsia="Calibri" w:hAnsi="Verdana" w:cs="Arial"/>
          <w:sz w:val="20"/>
          <w:szCs w:val="20"/>
          <w:lang w:val="es-ES"/>
        </w:rPr>
        <w:t>Dentro de la estructura de la Administración Pública se encuentran las entidades descentralizadas por servicios. A esta categoría pertenecen las Empresas Industriales y Comerciales del Estado, las cuales –sin perjuicio del control de tutela– tienen personería jurídica, autonomía administrativa y patrimonio propio. Estas entidades, como su nombre lo indica, se caracterizan por desarrollar actividades de carácter industrial o comercial.</w:t>
      </w:r>
    </w:p>
    <w:p w14:paraId="0BEF389C" w14:textId="5FE97874" w:rsidR="003869A5" w:rsidRPr="00396F3E" w:rsidRDefault="003869A5" w:rsidP="00396F3E">
      <w:pPr>
        <w:widowControl w:val="0"/>
        <w:autoSpaceDE w:val="0"/>
        <w:autoSpaceDN w:val="0"/>
        <w:snapToGrid w:val="0"/>
        <w:spacing w:after="0" w:line="240" w:lineRule="auto"/>
        <w:ind w:right="49"/>
        <w:contextualSpacing/>
        <w:jc w:val="both"/>
        <w:rPr>
          <w:rFonts w:ascii="Verdana" w:eastAsia="Verdana" w:hAnsi="Verdana" w:cs="Verdana"/>
          <w:sz w:val="20"/>
          <w:szCs w:val="20"/>
          <w:lang w:val="es-ES"/>
        </w:rPr>
      </w:pPr>
      <w:r w:rsidRPr="00396F3E">
        <w:rPr>
          <w:rFonts w:ascii="Verdana" w:eastAsia="Calibri" w:hAnsi="Verdana" w:cs="Arial"/>
          <w:sz w:val="20"/>
          <w:szCs w:val="20"/>
          <w:lang w:val="es-ES"/>
        </w:rPr>
        <w:t>[…]</w:t>
      </w:r>
      <w:r w:rsidRPr="00396F3E">
        <w:rPr>
          <w:rFonts w:ascii="Verdana" w:eastAsia="Verdana" w:hAnsi="Verdana" w:cs="Verdana"/>
          <w:sz w:val="20"/>
          <w:szCs w:val="20"/>
          <w:lang w:val="es-ES"/>
        </w:rPr>
        <w:t>las Empresas Industriales y Comerciales del Estado, las Sociedades de Economía Mixta, sus filiales y las Sociedades entre Entidades Públicas en las que el Estado tenga participación superior al cincuenta por ciento (50%) están sometidas, por regla general, al Estatuto</w:t>
      </w:r>
      <w:r w:rsidRPr="00396F3E">
        <w:rPr>
          <w:rFonts w:ascii="Verdana" w:eastAsia="Verdana" w:hAnsi="Verdana" w:cs="Verdana"/>
          <w:spacing w:val="-8"/>
          <w:sz w:val="20"/>
          <w:szCs w:val="20"/>
          <w:lang w:val="es-ES"/>
        </w:rPr>
        <w:t xml:space="preserve"> </w:t>
      </w:r>
      <w:r w:rsidRPr="00396F3E">
        <w:rPr>
          <w:rFonts w:ascii="Verdana" w:eastAsia="Verdana" w:hAnsi="Verdana" w:cs="Verdana"/>
          <w:sz w:val="20"/>
          <w:szCs w:val="20"/>
          <w:lang w:val="es-ES"/>
        </w:rPr>
        <w:t>General</w:t>
      </w:r>
      <w:r w:rsidRPr="00396F3E">
        <w:rPr>
          <w:rFonts w:ascii="Verdana" w:eastAsia="Verdana" w:hAnsi="Verdana" w:cs="Verdana"/>
          <w:spacing w:val="-9"/>
          <w:sz w:val="20"/>
          <w:szCs w:val="20"/>
          <w:lang w:val="es-ES"/>
        </w:rPr>
        <w:t xml:space="preserve"> </w:t>
      </w:r>
      <w:r w:rsidRPr="00396F3E">
        <w:rPr>
          <w:rFonts w:ascii="Verdana" w:eastAsia="Verdana" w:hAnsi="Verdana" w:cs="Verdana"/>
          <w:sz w:val="20"/>
          <w:szCs w:val="20"/>
          <w:lang w:val="es-ES"/>
        </w:rPr>
        <w:t>de</w:t>
      </w:r>
      <w:r w:rsidRPr="00396F3E">
        <w:rPr>
          <w:rFonts w:ascii="Verdana" w:eastAsia="Verdana" w:hAnsi="Verdana" w:cs="Verdana"/>
          <w:spacing w:val="-10"/>
          <w:sz w:val="20"/>
          <w:szCs w:val="20"/>
          <w:lang w:val="es-ES"/>
        </w:rPr>
        <w:t xml:space="preserve"> </w:t>
      </w:r>
      <w:r w:rsidRPr="00396F3E">
        <w:rPr>
          <w:rFonts w:ascii="Verdana" w:eastAsia="Verdana" w:hAnsi="Verdana" w:cs="Verdana"/>
          <w:sz w:val="20"/>
          <w:szCs w:val="20"/>
          <w:lang w:val="es-ES"/>
        </w:rPr>
        <w:t>Contratación</w:t>
      </w:r>
      <w:r w:rsidRPr="00396F3E">
        <w:rPr>
          <w:rFonts w:ascii="Verdana" w:eastAsia="Verdana" w:hAnsi="Verdana" w:cs="Verdana"/>
          <w:spacing w:val="-9"/>
          <w:sz w:val="20"/>
          <w:szCs w:val="20"/>
          <w:lang w:val="es-ES"/>
        </w:rPr>
        <w:t xml:space="preserve"> </w:t>
      </w:r>
      <w:r w:rsidRPr="00396F3E">
        <w:rPr>
          <w:rFonts w:ascii="Verdana" w:eastAsia="Verdana" w:hAnsi="Verdana" w:cs="Verdana"/>
          <w:sz w:val="20"/>
          <w:szCs w:val="20"/>
          <w:lang w:val="es-ES"/>
        </w:rPr>
        <w:t>de</w:t>
      </w:r>
      <w:r w:rsidRPr="00396F3E">
        <w:rPr>
          <w:rFonts w:ascii="Verdana" w:eastAsia="Verdana" w:hAnsi="Verdana" w:cs="Verdana"/>
          <w:spacing w:val="-10"/>
          <w:sz w:val="20"/>
          <w:szCs w:val="20"/>
          <w:lang w:val="es-ES"/>
        </w:rPr>
        <w:t xml:space="preserve"> </w:t>
      </w:r>
      <w:r w:rsidRPr="00396F3E">
        <w:rPr>
          <w:rFonts w:ascii="Verdana" w:eastAsia="Verdana" w:hAnsi="Verdana" w:cs="Verdana"/>
          <w:sz w:val="20"/>
          <w:szCs w:val="20"/>
          <w:lang w:val="es-ES"/>
        </w:rPr>
        <w:t>la</w:t>
      </w:r>
      <w:r w:rsidRPr="00396F3E">
        <w:rPr>
          <w:rFonts w:ascii="Verdana" w:eastAsia="Verdana" w:hAnsi="Verdana" w:cs="Verdana"/>
          <w:spacing w:val="-11"/>
          <w:sz w:val="20"/>
          <w:szCs w:val="20"/>
          <w:lang w:val="es-ES"/>
        </w:rPr>
        <w:t xml:space="preserve"> </w:t>
      </w:r>
      <w:r w:rsidRPr="00396F3E">
        <w:rPr>
          <w:rFonts w:ascii="Verdana" w:eastAsia="Verdana" w:hAnsi="Verdana" w:cs="Verdana"/>
          <w:sz w:val="20"/>
          <w:szCs w:val="20"/>
          <w:lang w:val="es-ES"/>
        </w:rPr>
        <w:t>Administración</w:t>
      </w:r>
      <w:r w:rsidRPr="00396F3E">
        <w:rPr>
          <w:rFonts w:ascii="Verdana" w:eastAsia="Verdana" w:hAnsi="Verdana" w:cs="Verdana"/>
          <w:spacing w:val="-9"/>
          <w:sz w:val="20"/>
          <w:szCs w:val="20"/>
          <w:lang w:val="es-ES"/>
        </w:rPr>
        <w:t xml:space="preserve"> </w:t>
      </w:r>
      <w:r w:rsidRPr="00396F3E">
        <w:rPr>
          <w:rFonts w:ascii="Verdana" w:eastAsia="Verdana" w:hAnsi="Verdana" w:cs="Verdana"/>
          <w:sz w:val="20"/>
          <w:szCs w:val="20"/>
          <w:lang w:val="es-ES"/>
        </w:rPr>
        <w:t>Pública,</w:t>
      </w:r>
      <w:r w:rsidRPr="00396F3E">
        <w:rPr>
          <w:rFonts w:ascii="Verdana" w:eastAsia="Verdana" w:hAnsi="Verdana" w:cs="Verdana"/>
          <w:spacing w:val="-9"/>
          <w:sz w:val="20"/>
          <w:szCs w:val="20"/>
          <w:lang w:val="es-ES"/>
        </w:rPr>
        <w:t xml:space="preserve"> </w:t>
      </w:r>
      <w:r w:rsidRPr="00396F3E">
        <w:rPr>
          <w:rFonts w:ascii="Verdana" w:eastAsia="Verdana" w:hAnsi="Verdana" w:cs="Verdana"/>
          <w:sz w:val="20"/>
          <w:szCs w:val="20"/>
          <w:lang w:val="es-ES"/>
        </w:rPr>
        <w:t>excepto</w:t>
      </w:r>
      <w:r w:rsidRPr="00396F3E">
        <w:rPr>
          <w:rFonts w:ascii="Verdana" w:eastAsia="Verdana" w:hAnsi="Verdana" w:cs="Verdana"/>
          <w:spacing w:val="-8"/>
          <w:sz w:val="20"/>
          <w:szCs w:val="20"/>
          <w:lang w:val="es-ES"/>
        </w:rPr>
        <w:t xml:space="preserve"> </w:t>
      </w:r>
      <w:r w:rsidRPr="00396F3E">
        <w:rPr>
          <w:rFonts w:ascii="Verdana" w:eastAsia="Verdana" w:hAnsi="Verdana" w:cs="Verdana"/>
          <w:sz w:val="20"/>
          <w:szCs w:val="20"/>
          <w:lang w:val="es-ES"/>
        </w:rPr>
        <w:t xml:space="preserve">aquellas Empresas Industriales y Comerciales del Estado que: i) desarrollen actividades comerciales en competencia con el sector privado y/o público, nacional o internacional o </w:t>
      </w:r>
      <w:proofErr w:type="spellStart"/>
      <w:r w:rsidRPr="00396F3E">
        <w:rPr>
          <w:rFonts w:ascii="Verdana" w:eastAsia="Verdana" w:hAnsi="Verdana" w:cs="Verdana"/>
          <w:sz w:val="20"/>
          <w:szCs w:val="20"/>
          <w:lang w:val="es-ES"/>
        </w:rPr>
        <w:t>ii</w:t>
      </w:r>
      <w:proofErr w:type="spellEnd"/>
      <w:r w:rsidRPr="00396F3E">
        <w:rPr>
          <w:rFonts w:ascii="Verdana" w:eastAsia="Verdana" w:hAnsi="Verdana" w:cs="Verdana"/>
          <w:sz w:val="20"/>
          <w:szCs w:val="20"/>
          <w:lang w:val="es-ES"/>
        </w:rPr>
        <w:t>) desarrollen actividades en mercados regulados, eventos en los cuales</w:t>
      </w:r>
      <w:r w:rsidRPr="00396F3E">
        <w:rPr>
          <w:rFonts w:ascii="Verdana" w:eastAsia="Verdana" w:hAnsi="Verdana" w:cs="Verdana"/>
          <w:spacing w:val="-19"/>
          <w:sz w:val="20"/>
          <w:szCs w:val="20"/>
          <w:lang w:val="es-ES"/>
        </w:rPr>
        <w:t xml:space="preserve"> </w:t>
      </w:r>
      <w:r w:rsidRPr="00396F3E">
        <w:rPr>
          <w:rFonts w:ascii="Verdana" w:eastAsia="Verdana" w:hAnsi="Verdana" w:cs="Verdana"/>
          <w:sz w:val="20"/>
          <w:szCs w:val="20"/>
          <w:lang w:val="es-ES"/>
        </w:rPr>
        <w:t>se regirán por</w:t>
      </w:r>
      <w:r w:rsidRPr="00396F3E">
        <w:rPr>
          <w:rFonts w:ascii="Verdana" w:eastAsia="Verdana" w:hAnsi="Verdana" w:cs="Verdana"/>
          <w:spacing w:val="-18"/>
          <w:sz w:val="20"/>
          <w:szCs w:val="20"/>
          <w:lang w:val="es-ES"/>
        </w:rPr>
        <w:t xml:space="preserve"> </w:t>
      </w:r>
      <w:r w:rsidRPr="00396F3E">
        <w:rPr>
          <w:rFonts w:ascii="Verdana" w:eastAsia="Verdana" w:hAnsi="Verdana" w:cs="Verdana"/>
          <w:sz w:val="20"/>
          <w:szCs w:val="20"/>
          <w:lang w:val="es-ES"/>
        </w:rPr>
        <w:t>las</w:t>
      </w:r>
      <w:r w:rsidRPr="00396F3E">
        <w:rPr>
          <w:rFonts w:ascii="Verdana" w:eastAsia="Verdana" w:hAnsi="Verdana" w:cs="Verdana"/>
          <w:spacing w:val="-19"/>
          <w:sz w:val="20"/>
          <w:szCs w:val="20"/>
          <w:lang w:val="es-ES"/>
        </w:rPr>
        <w:t xml:space="preserve"> </w:t>
      </w:r>
      <w:r w:rsidRPr="00396F3E">
        <w:rPr>
          <w:rFonts w:ascii="Verdana" w:eastAsia="Verdana" w:hAnsi="Verdana" w:cs="Verdana"/>
          <w:sz w:val="20"/>
          <w:szCs w:val="20"/>
          <w:lang w:val="es-ES"/>
        </w:rPr>
        <w:t>disposiciones</w:t>
      </w:r>
      <w:r w:rsidRPr="00396F3E">
        <w:rPr>
          <w:rFonts w:ascii="Verdana" w:eastAsia="Verdana" w:hAnsi="Verdana" w:cs="Verdana"/>
          <w:spacing w:val="-19"/>
          <w:sz w:val="20"/>
          <w:szCs w:val="20"/>
          <w:lang w:val="es-ES"/>
        </w:rPr>
        <w:t xml:space="preserve"> </w:t>
      </w:r>
      <w:r w:rsidRPr="00396F3E">
        <w:rPr>
          <w:rFonts w:ascii="Verdana" w:eastAsia="Verdana" w:hAnsi="Verdana" w:cs="Verdana"/>
          <w:sz w:val="20"/>
          <w:szCs w:val="20"/>
          <w:lang w:val="es-ES"/>
        </w:rPr>
        <w:t>que</w:t>
      </w:r>
      <w:r w:rsidRPr="00396F3E">
        <w:rPr>
          <w:rFonts w:ascii="Verdana" w:eastAsia="Verdana" w:hAnsi="Verdana" w:cs="Verdana"/>
          <w:spacing w:val="-15"/>
          <w:sz w:val="20"/>
          <w:szCs w:val="20"/>
          <w:lang w:val="es-ES"/>
        </w:rPr>
        <w:t xml:space="preserve"> </w:t>
      </w:r>
      <w:r w:rsidRPr="00396F3E">
        <w:rPr>
          <w:rFonts w:ascii="Verdana" w:eastAsia="Verdana" w:hAnsi="Verdana" w:cs="Verdana"/>
          <w:sz w:val="20"/>
          <w:szCs w:val="20"/>
          <w:lang w:val="es-ES"/>
        </w:rPr>
        <w:t>regulen</w:t>
      </w:r>
      <w:r w:rsidRPr="00396F3E">
        <w:rPr>
          <w:rFonts w:ascii="Verdana" w:eastAsia="Verdana" w:hAnsi="Verdana" w:cs="Verdana"/>
          <w:spacing w:val="-19"/>
          <w:sz w:val="20"/>
          <w:szCs w:val="20"/>
          <w:lang w:val="es-ES"/>
        </w:rPr>
        <w:t xml:space="preserve"> </w:t>
      </w:r>
      <w:r w:rsidRPr="00396F3E">
        <w:rPr>
          <w:rFonts w:ascii="Verdana" w:eastAsia="Verdana" w:hAnsi="Verdana" w:cs="Verdana"/>
          <w:sz w:val="20"/>
          <w:szCs w:val="20"/>
          <w:lang w:val="es-ES"/>
        </w:rPr>
        <w:t>su</w:t>
      </w:r>
      <w:r w:rsidRPr="00396F3E">
        <w:rPr>
          <w:rFonts w:ascii="Verdana" w:eastAsia="Verdana" w:hAnsi="Verdana" w:cs="Verdana"/>
          <w:spacing w:val="-18"/>
          <w:sz w:val="20"/>
          <w:szCs w:val="20"/>
          <w:lang w:val="es-ES"/>
        </w:rPr>
        <w:t xml:space="preserve"> </w:t>
      </w:r>
      <w:r w:rsidRPr="00396F3E">
        <w:rPr>
          <w:rFonts w:ascii="Verdana" w:eastAsia="Verdana" w:hAnsi="Verdana" w:cs="Verdana"/>
          <w:sz w:val="20"/>
          <w:szCs w:val="20"/>
          <w:lang w:val="es-ES"/>
        </w:rPr>
        <w:t>actividad.</w:t>
      </w:r>
    </w:p>
    <w:p w14:paraId="6E7150D1" w14:textId="77777777" w:rsidR="00880762" w:rsidRPr="00396F3E" w:rsidRDefault="00880762" w:rsidP="00396F3E">
      <w:pPr>
        <w:snapToGrid w:val="0"/>
        <w:spacing w:after="0" w:line="240" w:lineRule="auto"/>
        <w:contextualSpacing/>
        <w:jc w:val="both"/>
        <w:rPr>
          <w:rFonts w:ascii="Verdana" w:eastAsia="Calibri" w:hAnsi="Verdana" w:cs="Arial"/>
          <w:b/>
          <w:bCs/>
          <w:sz w:val="20"/>
          <w:szCs w:val="20"/>
          <w:lang w:val="es-ES" w:eastAsia="es-ES"/>
        </w:rPr>
      </w:pPr>
    </w:p>
    <w:p w14:paraId="2C7B4E4D" w14:textId="77777777" w:rsidR="00880762" w:rsidRPr="00396F3E" w:rsidRDefault="00880762" w:rsidP="00396F3E">
      <w:pPr>
        <w:snapToGrid w:val="0"/>
        <w:spacing w:after="0" w:line="240" w:lineRule="auto"/>
        <w:contextualSpacing/>
        <w:jc w:val="both"/>
        <w:rPr>
          <w:rFonts w:ascii="Verdana" w:eastAsia="Calibri" w:hAnsi="Verdana" w:cs="Arial"/>
          <w:b/>
          <w:bCs/>
          <w:lang w:val="es-ES" w:eastAsia="es-ES"/>
        </w:rPr>
      </w:pPr>
      <w:r w:rsidRPr="00396F3E">
        <w:rPr>
          <w:rFonts w:ascii="Verdana" w:eastAsia="Calibri" w:hAnsi="Verdana" w:cs="Arial"/>
          <w:b/>
          <w:bCs/>
          <w:lang w:val="es-ES" w:eastAsia="es-ES"/>
        </w:rPr>
        <w:t>TIPOS DE GARANTÍAS – Póliza de seguro – Garantía bancaria – Fiducia mercantil</w:t>
      </w:r>
    </w:p>
    <w:p w14:paraId="165C90E9" w14:textId="77777777" w:rsidR="00321132" w:rsidRPr="00396F3E" w:rsidRDefault="00321132" w:rsidP="00396F3E">
      <w:pPr>
        <w:snapToGrid w:val="0"/>
        <w:spacing w:after="0" w:line="240" w:lineRule="auto"/>
        <w:contextualSpacing/>
        <w:jc w:val="both"/>
        <w:rPr>
          <w:rFonts w:ascii="Verdana" w:eastAsia="Calibri" w:hAnsi="Verdana" w:cs="Arial"/>
          <w:b/>
          <w:bCs/>
          <w:sz w:val="20"/>
          <w:szCs w:val="20"/>
          <w:lang w:val="es-ES" w:eastAsia="es-ES"/>
        </w:rPr>
      </w:pPr>
    </w:p>
    <w:p w14:paraId="1AFDF928" w14:textId="643A5258" w:rsidR="00880762" w:rsidRPr="00396F3E" w:rsidRDefault="00321132" w:rsidP="00396F3E">
      <w:pPr>
        <w:snapToGrid w:val="0"/>
        <w:spacing w:after="0" w:line="240" w:lineRule="auto"/>
        <w:contextualSpacing/>
        <w:jc w:val="both"/>
        <w:rPr>
          <w:rFonts w:ascii="Verdana" w:hAnsi="Verdana" w:cs="Arial"/>
          <w:color w:val="000000" w:themeColor="text1"/>
          <w:sz w:val="20"/>
          <w:szCs w:val="20"/>
        </w:rPr>
      </w:pPr>
      <w:r w:rsidRPr="00396F3E">
        <w:rPr>
          <w:rFonts w:ascii="Verdana" w:hAnsi="Verdana" w:cs="Arial"/>
          <w:color w:val="000000" w:themeColor="text1"/>
          <w:sz w:val="20"/>
          <w:szCs w:val="20"/>
        </w:rPr>
        <w:t xml:space="preserve">Sobre los tipos de garantías, el Artículo 2.2.1.2.3.1.2 del Decreto 1082 de 2015 señala que </w:t>
      </w:r>
      <w:r w:rsidRPr="00396F3E">
        <w:rPr>
          <w:rFonts w:ascii="Verdana" w:eastAsia="Calibri" w:hAnsi="Verdana" w:cs="Arial"/>
          <w:color w:val="000000" w:themeColor="text1"/>
          <w:sz w:val="20"/>
          <w:szCs w:val="20"/>
          <w:lang w:val="es-ES_tradnl"/>
        </w:rPr>
        <w:t>l</w:t>
      </w:r>
      <w:r w:rsidRPr="00396F3E">
        <w:rPr>
          <w:rFonts w:ascii="Verdana" w:hAnsi="Verdana" w:cs="Arial"/>
          <w:color w:val="000000" w:themeColor="text1"/>
          <w:sz w:val="20"/>
          <w:szCs w:val="20"/>
        </w:rPr>
        <w:t xml:space="preserve">os proponentes o contratistas, para garantizar el cumplimiento de sus obligaciones frente a Entidades Estatales en materia contractual, pueden otorgar las garantías mediante los siguientes mecanismos de cobertura de riesgos: 1) Contrato de seguro, que por su esencia, es el medio más usado </w:t>
      </w:r>
      <w:r w:rsidRPr="00396F3E">
        <w:rPr>
          <w:rFonts w:ascii="Verdana" w:eastAsia="Calibri" w:hAnsi="Verdana" w:cs="Arial"/>
          <w:color w:val="000000" w:themeColor="text1"/>
          <w:sz w:val="20"/>
          <w:szCs w:val="20"/>
        </w:rPr>
        <w:t>para amparar los riesgos contractuales;</w:t>
      </w:r>
      <w:r w:rsidRPr="00396F3E">
        <w:rPr>
          <w:rFonts w:ascii="Verdana" w:hAnsi="Verdana" w:cs="Arial"/>
          <w:color w:val="000000" w:themeColor="text1"/>
          <w:sz w:val="20"/>
          <w:szCs w:val="20"/>
        </w:rPr>
        <w:t xml:space="preserve"> 2)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 o 3) Garantías bancarias o cartas de crédito </w:t>
      </w:r>
      <w:r w:rsidRPr="00396F3E">
        <w:rPr>
          <w:rFonts w:ascii="Verdana" w:hAnsi="Verdana" w:cs="Arial"/>
          <w:i/>
          <w:iCs/>
          <w:color w:val="000000" w:themeColor="text1"/>
          <w:sz w:val="20"/>
          <w:szCs w:val="20"/>
        </w:rPr>
        <w:t>stand</w:t>
      </w:r>
      <w:r w:rsidRPr="00396F3E">
        <w:rPr>
          <w:rFonts w:ascii="Verdana" w:hAnsi="Verdana" w:cs="Arial"/>
          <w:color w:val="000000" w:themeColor="text1"/>
          <w:sz w:val="20"/>
          <w:szCs w:val="20"/>
        </w:rPr>
        <w:t xml:space="preserve"> </w:t>
      </w:r>
      <w:proofErr w:type="spellStart"/>
      <w:r w:rsidRPr="00396F3E">
        <w:rPr>
          <w:rFonts w:ascii="Verdana" w:hAnsi="Verdana" w:cs="Arial"/>
          <w:i/>
          <w:iCs/>
          <w:color w:val="000000" w:themeColor="text1"/>
          <w:sz w:val="20"/>
          <w:szCs w:val="20"/>
        </w:rPr>
        <w:t>by</w:t>
      </w:r>
      <w:proofErr w:type="spellEnd"/>
      <w:r w:rsidRPr="00396F3E">
        <w:rPr>
          <w:rFonts w:ascii="Verdana" w:hAnsi="Verdana" w:cs="Arial"/>
          <w:color w:val="000000" w:themeColor="text1"/>
          <w:sz w:val="20"/>
          <w:szCs w:val="20"/>
        </w:rPr>
        <w:t xml:space="preserve"> que consisten en compromisos irrevocables o incondicionales asumidos por una entidad financiera de pagar una suma determinada de dinero</w:t>
      </w:r>
    </w:p>
    <w:p w14:paraId="302DED26" w14:textId="77777777" w:rsidR="00880762" w:rsidRPr="00396F3E" w:rsidRDefault="00880762" w:rsidP="00396F3E">
      <w:pPr>
        <w:snapToGrid w:val="0"/>
        <w:spacing w:after="0" w:line="240" w:lineRule="auto"/>
        <w:contextualSpacing/>
        <w:jc w:val="both"/>
        <w:rPr>
          <w:rFonts w:ascii="Verdana" w:eastAsia="Calibri" w:hAnsi="Verdana" w:cs="Arial"/>
          <w:b/>
          <w:bCs/>
          <w:sz w:val="20"/>
          <w:szCs w:val="20"/>
          <w:lang w:val="es-ES" w:eastAsia="es-ES"/>
        </w:rPr>
      </w:pPr>
    </w:p>
    <w:p w14:paraId="186E8C45" w14:textId="77777777" w:rsidR="00880762" w:rsidRPr="00396F3E" w:rsidRDefault="00880762" w:rsidP="00396F3E">
      <w:pPr>
        <w:snapToGrid w:val="0"/>
        <w:spacing w:after="0" w:line="240" w:lineRule="auto"/>
        <w:contextualSpacing/>
        <w:jc w:val="both"/>
        <w:rPr>
          <w:rFonts w:ascii="Verdana" w:eastAsia="Calibri" w:hAnsi="Verdana" w:cs="Arial"/>
          <w:b/>
          <w:bCs/>
          <w:lang w:val="es-ES" w:eastAsia="es-ES"/>
        </w:rPr>
      </w:pPr>
      <w:r w:rsidRPr="00396F3E">
        <w:rPr>
          <w:rFonts w:ascii="Verdana" w:eastAsia="Calibri" w:hAnsi="Verdana" w:cs="Arial"/>
          <w:b/>
          <w:bCs/>
          <w:lang w:val="es-ES" w:eastAsia="es-ES"/>
        </w:rPr>
        <w:t>TIPOS DE GARANTÍAS – Taxatividad – Imposibilidad de Fianza</w:t>
      </w:r>
    </w:p>
    <w:p w14:paraId="5B52F50A" w14:textId="77777777" w:rsidR="00396F3E" w:rsidRPr="00396F3E" w:rsidRDefault="00396F3E" w:rsidP="00396F3E">
      <w:pPr>
        <w:snapToGrid w:val="0"/>
        <w:spacing w:after="0" w:line="240" w:lineRule="auto"/>
        <w:contextualSpacing/>
        <w:jc w:val="both"/>
        <w:rPr>
          <w:rFonts w:ascii="Verdana" w:eastAsia="Calibri" w:hAnsi="Verdana" w:cs="Arial"/>
          <w:b/>
          <w:bCs/>
          <w:sz w:val="20"/>
          <w:szCs w:val="20"/>
          <w:lang w:val="es-ES" w:eastAsia="es-ES"/>
        </w:rPr>
      </w:pPr>
    </w:p>
    <w:p w14:paraId="1A61447D" w14:textId="27876977" w:rsidR="00396F3E" w:rsidRDefault="00396F3E" w:rsidP="00396F3E">
      <w:pPr>
        <w:widowControl w:val="0"/>
        <w:autoSpaceDE w:val="0"/>
        <w:autoSpaceDN w:val="0"/>
        <w:snapToGrid w:val="0"/>
        <w:spacing w:after="0" w:line="240" w:lineRule="auto"/>
        <w:contextualSpacing/>
        <w:jc w:val="both"/>
        <w:rPr>
          <w:rFonts w:ascii="Verdana" w:eastAsia="Arial" w:hAnsi="Verdana" w:cs="Arial"/>
          <w:sz w:val="20"/>
          <w:szCs w:val="20"/>
          <w:lang w:val="es-ES"/>
        </w:rPr>
      </w:pPr>
      <w:r w:rsidRPr="00396F3E">
        <w:rPr>
          <w:rFonts w:ascii="Verdana" w:eastAsia="Arial" w:hAnsi="Verdana" w:cs="Arial"/>
          <w:sz w:val="20"/>
          <w:szCs w:val="20"/>
          <w:lang w:val="es-ES"/>
        </w:rPr>
        <w:t xml:space="preserve">[…] la Ley 1150 de 2007 y el Decreto 1082 de 2015 establecieron únicamente tres (3) tipos de garantías y las estatales no podrán pactar mecanismos diferentes o adicionales a los allí establecidos. Debido a que ni la Ley ni el reglamento contemplaron la fianza, y en este campo no cabe la autonomía de la voluntad como mecanismo habilitador para que en virtud del muto consenso sea incluida, no existe un fundamento jurídico que permita que las entidades sometidas al Estatuto hagan uso de esta figura para garantizar el cumplimiento de los contratos estatales. </w:t>
      </w:r>
    </w:p>
    <w:p w14:paraId="342DD077" w14:textId="77777777" w:rsidR="00396F3E" w:rsidRPr="00396F3E" w:rsidRDefault="00396F3E" w:rsidP="00396F3E">
      <w:pPr>
        <w:widowControl w:val="0"/>
        <w:autoSpaceDE w:val="0"/>
        <w:autoSpaceDN w:val="0"/>
        <w:snapToGrid w:val="0"/>
        <w:spacing w:after="0" w:line="240" w:lineRule="auto"/>
        <w:contextualSpacing/>
        <w:jc w:val="both"/>
        <w:rPr>
          <w:rFonts w:ascii="Verdana" w:eastAsia="Arial" w:hAnsi="Verdana" w:cs="Arial"/>
          <w:sz w:val="20"/>
          <w:szCs w:val="20"/>
          <w:lang w:val="es-ES"/>
        </w:rPr>
      </w:pPr>
    </w:p>
    <w:p w14:paraId="412478C2" w14:textId="10E5B8F3" w:rsidR="00880762" w:rsidRDefault="00396F3E" w:rsidP="00396F3E">
      <w:pPr>
        <w:widowControl w:val="0"/>
        <w:autoSpaceDE w:val="0"/>
        <w:autoSpaceDN w:val="0"/>
        <w:snapToGrid w:val="0"/>
        <w:spacing w:after="0" w:line="240" w:lineRule="auto"/>
        <w:contextualSpacing/>
        <w:jc w:val="both"/>
        <w:rPr>
          <w:rFonts w:ascii="Verdana" w:eastAsia="Arial" w:hAnsi="Verdana" w:cs="Arial"/>
          <w:sz w:val="20"/>
          <w:szCs w:val="20"/>
          <w:lang w:val="es-ES"/>
        </w:rPr>
      </w:pPr>
      <w:r w:rsidRPr="00396F3E">
        <w:rPr>
          <w:rFonts w:ascii="Verdana" w:eastAsia="Arial" w:hAnsi="Verdana" w:cs="Arial"/>
          <w:sz w:val="20"/>
          <w:szCs w:val="20"/>
          <w:lang w:val="es-ES"/>
        </w:rPr>
        <w:t xml:space="preserve">Además de las razones de orden normativo, se resalta que la Superintendencia Financiera ha reiterado que los contratos de fianza no son aceptables como garantías de </w:t>
      </w:r>
      <w:r w:rsidRPr="00396F3E">
        <w:rPr>
          <w:rFonts w:ascii="Verdana" w:eastAsia="Arial" w:hAnsi="Verdana" w:cs="Arial"/>
          <w:sz w:val="20"/>
          <w:szCs w:val="20"/>
          <w:lang w:val="es-ES"/>
        </w:rPr>
        <w:lastRenderedPageBreak/>
        <w:t>cumplimiento en contratación pública, pues las sociedades afianzadoras no se encuentran sometidas a su vigilancia y control, de modo que no están autorizadas para expedir contratos de seguro.</w:t>
      </w:r>
    </w:p>
    <w:p w14:paraId="7A78AC95" w14:textId="77777777" w:rsidR="00396F3E" w:rsidRPr="00396F3E" w:rsidRDefault="00396F3E" w:rsidP="00396F3E">
      <w:pPr>
        <w:widowControl w:val="0"/>
        <w:autoSpaceDE w:val="0"/>
        <w:autoSpaceDN w:val="0"/>
        <w:snapToGrid w:val="0"/>
        <w:spacing w:after="0" w:line="240" w:lineRule="auto"/>
        <w:contextualSpacing/>
        <w:jc w:val="both"/>
        <w:rPr>
          <w:rFonts w:ascii="Verdana" w:eastAsia="Arial" w:hAnsi="Verdana" w:cs="Arial"/>
          <w:sz w:val="20"/>
          <w:szCs w:val="20"/>
          <w:lang w:val="es-ES"/>
        </w:rPr>
      </w:pPr>
    </w:p>
    <w:p w14:paraId="5972FE11" w14:textId="5A2F0AE4" w:rsidR="00396F3E" w:rsidRPr="00396F3E" w:rsidRDefault="00880762" w:rsidP="00396F3E">
      <w:pPr>
        <w:snapToGrid w:val="0"/>
        <w:spacing w:after="0" w:line="240" w:lineRule="auto"/>
        <w:contextualSpacing/>
        <w:jc w:val="both"/>
        <w:rPr>
          <w:rFonts w:ascii="Verdana" w:eastAsia="Calibri" w:hAnsi="Verdana" w:cs="Arial"/>
          <w:b/>
          <w:bCs/>
          <w:lang w:val="es-ES" w:eastAsia="es-ES"/>
        </w:rPr>
      </w:pPr>
      <w:r w:rsidRPr="00396F3E">
        <w:rPr>
          <w:rFonts w:ascii="Verdana" w:eastAsia="Calibri" w:hAnsi="Verdana" w:cs="Arial"/>
          <w:b/>
          <w:bCs/>
          <w:lang w:val="es-ES" w:eastAsia="es-ES"/>
        </w:rPr>
        <w:t>URGENCIA MANIFIESTA – Calamidad pública – No obligatoriedad garantías</w:t>
      </w:r>
    </w:p>
    <w:p w14:paraId="12E9E790" w14:textId="77777777" w:rsidR="00396F3E" w:rsidRPr="00396F3E" w:rsidRDefault="00396F3E" w:rsidP="00396F3E">
      <w:pPr>
        <w:snapToGrid w:val="0"/>
        <w:spacing w:after="0" w:line="240" w:lineRule="auto"/>
        <w:contextualSpacing/>
        <w:jc w:val="both"/>
        <w:rPr>
          <w:rFonts w:ascii="Verdana" w:eastAsia="Calibri" w:hAnsi="Verdana" w:cs="Arial"/>
          <w:b/>
          <w:bCs/>
          <w:sz w:val="20"/>
          <w:szCs w:val="20"/>
          <w:lang w:val="es-ES" w:eastAsia="es-ES"/>
        </w:rPr>
      </w:pPr>
    </w:p>
    <w:p w14:paraId="799980CB" w14:textId="532F1F80" w:rsidR="00396F3E" w:rsidRPr="00396F3E" w:rsidRDefault="00396F3E" w:rsidP="00396F3E">
      <w:pPr>
        <w:snapToGrid w:val="0"/>
        <w:spacing w:after="0" w:line="240" w:lineRule="auto"/>
        <w:contextualSpacing/>
        <w:jc w:val="both"/>
        <w:rPr>
          <w:rFonts w:ascii="Verdana" w:eastAsia="Calibri" w:hAnsi="Verdana" w:cs="Arial"/>
          <w:sz w:val="20"/>
          <w:szCs w:val="20"/>
          <w:lang w:val="es-ES"/>
        </w:rPr>
      </w:pPr>
      <w:r w:rsidRPr="00396F3E">
        <w:rPr>
          <w:rFonts w:ascii="Verdana" w:eastAsia="Calibri" w:hAnsi="Verdana" w:cs="Arial"/>
          <w:sz w:val="20"/>
          <w:szCs w:val="20"/>
          <w:lang w:val="es-ES_tradnl"/>
        </w:rPr>
        <w:t xml:space="preserve">En estos casos, </w:t>
      </w:r>
      <w:r w:rsidRPr="00396F3E">
        <w:rPr>
          <w:rFonts w:ascii="Verdana" w:eastAsia="Calibri" w:hAnsi="Verdana" w:cs="Arial"/>
          <w:bCs/>
          <w:sz w:val="20"/>
          <w:szCs w:val="20"/>
          <w:lang w:val="es-ES"/>
        </w:rPr>
        <w:t>es aplicable el artículo 2.2.1.2.1.4.5. del Decreto 1082 de 2015 según el cual no es obligatorio que las Entidades Estatales exijan en los procesos de contratación directa las garantías establecidas en los artículos 2.2.1.2.3.1.1 al 2.2.1.2.3.5.1. de dicho Decreto. Sin embargo, en estos supuestos, deberán incluir la justificación para exigirlas o no en los estudios y documentos previos</w:t>
      </w:r>
    </w:p>
    <w:p w14:paraId="10EED420" w14:textId="009A9CA6" w:rsidR="00396F3E" w:rsidRPr="00396F3E" w:rsidRDefault="00396F3E" w:rsidP="00396F3E">
      <w:pPr>
        <w:snapToGrid w:val="0"/>
        <w:spacing w:after="0" w:line="240" w:lineRule="auto"/>
        <w:contextualSpacing/>
        <w:jc w:val="both"/>
        <w:rPr>
          <w:rFonts w:ascii="Verdana" w:eastAsia="Calibri" w:hAnsi="Verdana" w:cs="Arial"/>
          <w:sz w:val="20"/>
          <w:szCs w:val="20"/>
          <w:lang w:val="es-ES"/>
        </w:rPr>
      </w:pPr>
      <w:r w:rsidRPr="00396F3E">
        <w:rPr>
          <w:rFonts w:ascii="Verdana" w:eastAsia="Calibri" w:hAnsi="Verdana" w:cs="Arial"/>
          <w:bCs/>
          <w:sz w:val="20"/>
          <w:szCs w:val="20"/>
          <w:lang w:val="es-ES"/>
        </w:rPr>
        <w:t xml:space="preserve">Si bien la norma establece la no obligatoriedad de la exigencia de las garantías en la contratación directa, esto no es una licencia o una autorización para que las entidades las omitan en todos los procesos, pues tienen el deber de observar el principio de responsabilidad y de prevenir el riesgo antijuridico propio de la gestión contractual. Al ser una excepción a la regla general, la contratación de bienes, obras y servicios por la modalidad de contratación directa de urgencia manifiesta no exonera por sí misma a la entidad contratante de exigir las garantías que corresponda de conformidad con la tipología contractual según el objeto a contratar, los riesgos asociados a la ejecución y su cuantía, de acuerdo a los artículos </w:t>
      </w:r>
      <w:r w:rsidRPr="00396F3E">
        <w:rPr>
          <w:rFonts w:ascii="Verdana" w:hAnsi="Verdana"/>
          <w:sz w:val="20"/>
          <w:szCs w:val="20"/>
          <w:lang w:val="es-ES"/>
        </w:rPr>
        <w:t>2.2.1.2.3.1.1 y subsiguientes del Decreto 1082 de 2015,</w:t>
      </w:r>
      <w:r w:rsidRPr="00396F3E">
        <w:rPr>
          <w:rFonts w:ascii="Verdana" w:eastAsia="Calibri" w:hAnsi="Verdana" w:cs="Arial"/>
          <w:bCs/>
          <w:sz w:val="20"/>
          <w:szCs w:val="20"/>
          <w:lang w:val="es-ES"/>
        </w:rPr>
        <w:t xml:space="preserve"> lo cual deberá quedar debidamente analizado en el acto administrativo que declare la urgencia manifiesta, atendiendo a lo prescrito en el artículo 2.2.1.2.1.4.2. del decreto en mención. </w:t>
      </w:r>
    </w:p>
    <w:p w14:paraId="5FD4965E" w14:textId="77777777" w:rsidR="00396F3E" w:rsidRDefault="00396F3E" w:rsidP="00880762">
      <w:pPr>
        <w:snapToGrid w:val="0"/>
        <w:spacing w:before="120" w:after="120" w:line="276" w:lineRule="auto"/>
        <w:contextualSpacing/>
        <w:jc w:val="both"/>
        <w:rPr>
          <w:rFonts w:ascii="Verdana" w:eastAsia="Calibri" w:hAnsi="Verdana" w:cs="Arial"/>
          <w:b/>
          <w:bCs/>
          <w:lang w:val="es-MX" w:eastAsia="es-ES"/>
        </w:rPr>
      </w:pPr>
    </w:p>
    <w:p w14:paraId="378F1E84" w14:textId="77777777" w:rsidR="00396F3E" w:rsidRDefault="00396F3E" w:rsidP="00880762">
      <w:pPr>
        <w:snapToGrid w:val="0"/>
        <w:spacing w:before="120" w:after="120" w:line="276" w:lineRule="auto"/>
        <w:contextualSpacing/>
        <w:jc w:val="both"/>
        <w:rPr>
          <w:rFonts w:ascii="Verdana" w:eastAsia="Calibri" w:hAnsi="Verdana" w:cs="Arial"/>
          <w:b/>
          <w:bCs/>
          <w:lang w:val="es-MX" w:eastAsia="es-ES"/>
        </w:rPr>
      </w:pPr>
    </w:p>
    <w:p w14:paraId="79929B5A" w14:textId="77777777" w:rsidR="00396F3E" w:rsidRDefault="00396F3E" w:rsidP="00880762">
      <w:pPr>
        <w:snapToGrid w:val="0"/>
        <w:spacing w:before="120" w:after="120" w:line="276" w:lineRule="auto"/>
        <w:contextualSpacing/>
        <w:jc w:val="both"/>
        <w:rPr>
          <w:rFonts w:ascii="Verdana" w:eastAsia="Calibri" w:hAnsi="Verdana" w:cs="Arial"/>
          <w:b/>
          <w:bCs/>
          <w:lang w:val="es-MX" w:eastAsia="es-ES"/>
        </w:rPr>
      </w:pPr>
    </w:p>
    <w:p w14:paraId="388D1F32" w14:textId="77777777" w:rsidR="00396F3E" w:rsidRDefault="00396F3E" w:rsidP="00880762">
      <w:pPr>
        <w:snapToGrid w:val="0"/>
        <w:spacing w:before="120" w:after="120" w:line="276" w:lineRule="auto"/>
        <w:contextualSpacing/>
        <w:jc w:val="both"/>
        <w:rPr>
          <w:rFonts w:ascii="Verdana" w:eastAsia="Calibri" w:hAnsi="Verdana" w:cs="Arial"/>
          <w:b/>
          <w:bCs/>
          <w:lang w:val="es-MX" w:eastAsia="es-ES"/>
        </w:rPr>
      </w:pPr>
    </w:p>
    <w:p w14:paraId="2C9BF946" w14:textId="77777777" w:rsidR="00396F3E" w:rsidRDefault="00396F3E" w:rsidP="00880762">
      <w:pPr>
        <w:snapToGrid w:val="0"/>
        <w:spacing w:before="120" w:after="120" w:line="276" w:lineRule="auto"/>
        <w:contextualSpacing/>
        <w:jc w:val="both"/>
        <w:rPr>
          <w:rFonts w:ascii="Verdana" w:eastAsia="Calibri" w:hAnsi="Verdana" w:cs="Arial"/>
          <w:b/>
          <w:bCs/>
          <w:lang w:val="es-MX" w:eastAsia="es-ES"/>
        </w:rPr>
      </w:pPr>
    </w:p>
    <w:p w14:paraId="58CDDE07" w14:textId="77777777" w:rsidR="00396F3E" w:rsidRDefault="00396F3E" w:rsidP="00880762">
      <w:pPr>
        <w:snapToGrid w:val="0"/>
        <w:spacing w:before="120" w:after="120" w:line="276" w:lineRule="auto"/>
        <w:contextualSpacing/>
        <w:jc w:val="both"/>
        <w:rPr>
          <w:rFonts w:ascii="Verdana" w:eastAsia="Calibri" w:hAnsi="Verdana" w:cs="Arial"/>
          <w:b/>
          <w:bCs/>
          <w:lang w:val="es-MX" w:eastAsia="es-ES"/>
        </w:rPr>
      </w:pPr>
    </w:p>
    <w:p w14:paraId="5B2836FE" w14:textId="77777777" w:rsidR="00396F3E" w:rsidRDefault="00396F3E" w:rsidP="00880762">
      <w:pPr>
        <w:snapToGrid w:val="0"/>
        <w:spacing w:before="120" w:after="120" w:line="276" w:lineRule="auto"/>
        <w:contextualSpacing/>
        <w:jc w:val="both"/>
        <w:rPr>
          <w:rFonts w:ascii="Verdana" w:eastAsia="Calibri" w:hAnsi="Verdana" w:cs="Arial"/>
          <w:b/>
          <w:bCs/>
          <w:lang w:val="es-MX" w:eastAsia="es-ES"/>
        </w:rPr>
      </w:pPr>
    </w:p>
    <w:p w14:paraId="18DC0547" w14:textId="77777777" w:rsidR="00396F3E" w:rsidRDefault="00396F3E" w:rsidP="00880762">
      <w:pPr>
        <w:snapToGrid w:val="0"/>
        <w:spacing w:before="120" w:after="120" w:line="276" w:lineRule="auto"/>
        <w:contextualSpacing/>
        <w:jc w:val="both"/>
        <w:rPr>
          <w:rFonts w:ascii="Verdana" w:eastAsia="Calibri" w:hAnsi="Verdana" w:cs="Arial"/>
          <w:b/>
          <w:bCs/>
          <w:lang w:val="es-MX" w:eastAsia="es-ES"/>
        </w:rPr>
      </w:pPr>
    </w:p>
    <w:p w14:paraId="1A56E072" w14:textId="77777777" w:rsidR="00396F3E" w:rsidRDefault="00396F3E" w:rsidP="00880762">
      <w:pPr>
        <w:snapToGrid w:val="0"/>
        <w:spacing w:before="120" w:after="120" w:line="276" w:lineRule="auto"/>
        <w:contextualSpacing/>
        <w:jc w:val="both"/>
        <w:rPr>
          <w:rFonts w:ascii="Verdana" w:eastAsia="Calibri" w:hAnsi="Verdana" w:cs="Arial"/>
          <w:b/>
          <w:bCs/>
          <w:lang w:val="es-MX" w:eastAsia="es-ES"/>
        </w:rPr>
      </w:pPr>
    </w:p>
    <w:p w14:paraId="54E1667F" w14:textId="77777777" w:rsidR="00396F3E" w:rsidRDefault="00396F3E" w:rsidP="00880762">
      <w:pPr>
        <w:snapToGrid w:val="0"/>
        <w:spacing w:before="120" w:after="120" w:line="276" w:lineRule="auto"/>
        <w:contextualSpacing/>
        <w:jc w:val="both"/>
        <w:rPr>
          <w:rFonts w:ascii="Verdana" w:eastAsia="Calibri" w:hAnsi="Verdana" w:cs="Arial"/>
          <w:b/>
          <w:bCs/>
          <w:lang w:val="es-MX" w:eastAsia="es-ES"/>
        </w:rPr>
      </w:pPr>
    </w:p>
    <w:p w14:paraId="58D5D718" w14:textId="77777777" w:rsidR="00396F3E" w:rsidRDefault="00396F3E" w:rsidP="00880762">
      <w:pPr>
        <w:snapToGrid w:val="0"/>
        <w:spacing w:before="120" w:after="120" w:line="276" w:lineRule="auto"/>
        <w:contextualSpacing/>
        <w:jc w:val="both"/>
        <w:rPr>
          <w:rFonts w:ascii="Verdana" w:eastAsia="Calibri" w:hAnsi="Verdana" w:cs="Arial"/>
          <w:b/>
          <w:bCs/>
          <w:lang w:val="es-MX" w:eastAsia="es-ES"/>
        </w:rPr>
      </w:pPr>
    </w:p>
    <w:p w14:paraId="6B96E260" w14:textId="77777777" w:rsidR="00396F3E" w:rsidRDefault="00396F3E" w:rsidP="00880762">
      <w:pPr>
        <w:snapToGrid w:val="0"/>
        <w:spacing w:before="120" w:after="120" w:line="276" w:lineRule="auto"/>
        <w:contextualSpacing/>
        <w:jc w:val="both"/>
        <w:rPr>
          <w:rFonts w:ascii="Verdana" w:eastAsia="Calibri" w:hAnsi="Verdana" w:cs="Arial"/>
          <w:b/>
          <w:bCs/>
          <w:lang w:val="es-MX" w:eastAsia="es-ES"/>
        </w:rPr>
      </w:pPr>
    </w:p>
    <w:p w14:paraId="7E379A57" w14:textId="77777777" w:rsidR="00396F3E" w:rsidRDefault="00396F3E" w:rsidP="00880762">
      <w:pPr>
        <w:snapToGrid w:val="0"/>
        <w:spacing w:before="120" w:after="120" w:line="276" w:lineRule="auto"/>
        <w:contextualSpacing/>
        <w:jc w:val="both"/>
        <w:rPr>
          <w:rFonts w:ascii="Verdana" w:eastAsia="Calibri" w:hAnsi="Verdana" w:cs="Arial"/>
          <w:b/>
          <w:bCs/>
          <w:lang w:val="es-MX" w:eastAsia="es-ES"/>
        </w:rPr>
      </w:pPr>
    </w:p>
    <w:p w14:paraId="5430F147" w14:textId="77777777" w:rsidR="00396F3E" w:rsidRPr="00880762" w:rsidRDefault="00396F3E" w:rsidP="00880762">
      <w:pPr>
        <w:snapToGrid w:val="0"/>
        <w:spacing w:before="120" w:after="120" w:line="276" w:lineRule="auto"/>
        <w:contextualSpacing/>
        <w:jc w:val="both"/>
        <w:rPr>
          <w:rFonts w:ascii="Verdana" w:eastAsia="Calibri" w:hAnsi="Verdana" w:cs="Arial"/>
          <w:b/>
          <w:bCs/>
          <w:lang w:val="es-MX" w:eastAsia="es-ES"/>
        </w:rPr>
      </w:pPr>
    </w:p>
    <w:p w14:paraId="7BA9DDBB" w14:textId="77777777" w:rsidR="00880762" w:rsidRDefault="00880762" w:rsidP="00D35423">
      <w:pPr>
        <w:spacing w:after="0"/>
        <w:rPr>
          <w:rFonts w:ascii="Verdana" w:hAnsi="Verdana"/>
          <w:lang w:val="es-ES"/>
        </w:rPr>
      </w:pPr>
    </w:p>
    <w:p w14:paraId="0B007231" w14:textId="77777777" w:rsidR="00396F3E" w:rsidRDefault="00396F3E" w:rsidP="00D35423">
      <w:pPr>
        <w:spacing w:after="0"/>
        <w:rPr>
          <w:rFonts w:ascii="Verdana" w:hAnsi="Verdana"/>
          <w:lang w:val="es-ES"/>
        </w:rPr>
      </w:pPr>
    </w:p>
    <w:p w14:paraId="6FF53CEE" w14:textId="77777777" w:rsidR="00396F3E" w:rsidRDefault="00396F3E" w:rsidP="00D35423">
      <w:pPr>
        <w:spacing w:after="0"/>
        <w:rPr>
          <w:rFonts w:ascii="Verdana" w:hAnsi="Verdana"/>
          <w:lang w:val="es-ES"/>
        </w:rPr>
      </w:pPr>
    </w:p>
    <w:p w14:paraId="6A3953EC" w14:textId="77777777" w:rsidR="00396F3E" w:rsidRDefault="00396F3E" w:rsidP="00D35423">
      <w:pPr>
        <w:spacing w:after="0"/>
        <w:rPr>
          <w:rFonts w:ascii="Verdana" w:hAnsi="Verdana"/>
          <w:lang w:val="es-ES"/>
        </w:rPr>
      </w:pPr>
    </w:p>
    <w:p w14:paraId="1233DC5C" w14:textId="2E2F5E17" w:rsidR="00D35423" w:rsidRPr="002069C6" w:rsidRDefault="00D35423" w:rsidP="00D35423">
      <w:pPr>
        <w:spacing w:after="0"/>
        <w:rPr>
          <w:rFonts w:ascii="Verdana" w:hAnsi="Verdana"/>
          <w:lang w:val="es-ES"/>
        </w:rPr>
      </w:pPr>
      <w:r w:rsidRPr="002069C6">
        <w:rPr>
          <w:rFonts w:ascii="Verdana" w:hAnsi="Verdana"/>
          <w:lang w:val="es-ES"/>
        </w:rPr>
        <w:lastRenderedPageBreak/>
        <w:t xml:space="preserve">Bogotá D.C., </w:t>
      </w:r>
      <w:r w:rsidR="003A1C70">
        <w:rPr>
          <w:rFonts w:ascii="Verdana" w:hAnsi="Verdana"/>
          <w:lang w:val="es-ES"/>
        </w:rPr>
        <w:t xml:space="preserve">23 </w:t>
      </w:r>
      <w:proofErr w:type="gramStart"/>
      <w:r w:rsidR="003A1C70">
        <w:rPr>
          <w:rFonts w:ascii="Verdana" w:hAnsi="Verdana"/>
          <w:lang w:val="es-ES"/>
        </w:rPr>
        <w:t>Agosto</w:t>
      </w:r>
      <w:proofErr w:type="gramEnd"/>
      <w:r w:rsidR="003A1C70">
        <w:rPr>
          <w:rFonts w:ascii="Verdana" w:hAnsi="Verdana"/>
          <w:lang w:val="es-ES"/>
        </w:rPr>
        <w:t xml:space="preserve"> 2025</w:t>
      </w:r>
      <w:r w:rsidRPr="002069C6">
        <w:rPr>
          <w:rFonts w:ascii="Verdana" w:hAnsi="Verdana"/>
          <w:lang w:val="es-ES"/>
        </w:rPr>
        <w:tab/>
      </w:r>
    </w:p>
    <w:p w14:paraId="6A997C01" w14:textId="5AED60DF" w:rsidR="00D35423" w:rsidRPr="002069C6" w:rsidRDefault="00D35423" w:rsidP="00D35423">
      <w:pPr>
        <w:spacing w:after="0"/>
        <w:rPr>
          <w:rFonts w:ascii="Verdana" w:hAnsi="Verdana"/>
          <w:lang w:val="es-ES"/>
        </w:rPr>
      </w:pPr>
    </w:p>
    <w:p w14:paraId="1D371040" w14:textId="5FAA3C14" w:rsidR="00D35423" w:rsidRPr="002069C6" w:rsidRDefault="00396F3E" w:rsidP="00D35423">
      <w:pPr>
        <w:spacing w:after="0" w:line="240" w:lineRule="auto"/>
        <w:jc w:val="both"/>
        <w:rPr>
          <w:rFonts w:ascii="Verdana" w:eastAsia="Calibri" w:hAnsi="Verdana" w:cs="Arial"/>
          <w:color w:val="000000" w:themeColor="text1"/>
          <w:lang w:val="es-ES" w:eastAsia="es-ES"/>
        </w:rPr>
      </w:pPr>
      <w:r>
        <w:rPr>
          <w:rFonts w:ascii="Verdana" w:hAnsi="Verdana"/>
          <w:noProof/>
          <w:lang w:val="es-ES"/>
        </w:rPr>
        <w:drawing>
          <wp:anchor distT="0" distB="0" distL="114300" distR="114300" simplePos="0" relativeHeight="251658240" behindDoc="0" locked="0" layoutInCell="1" allowOverlap="1" wp14:anchorId="4C6D044E" wp14:editId="5D6F06B9">
            <wp:simplePos x="0" y="0"/>
            <wp:positionH relativeFrom="column">
              <wp:posOffset>3301042</wp:posOffset>
            </wp:positionH>
            <wp:positionV relativeFrom="page">
              <wp:posOffset>1751965</wp:posOffset>
            </wp:positionV>
            <wp:extent cx="2420620" cy="643255"/>
            <wp:effectExtent l="0" t="0" r="5080" b="4445"/>
            <wp:wrapSquare wrapText="bothSides"/>
            <wp:docPr id="1163168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168268" name="Picture 116316826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20620" cy="643255"/>
                    </a:xfrm>
                    <a:prstGeom prst="rect">
                      <a:avLst/>
                    </a:prstGeom>
                  </pic:spPr>
                </pic:pic>
              </a:graphicData>
            </a:graphic>
            <wp14:sizeRelH relativeFrom="page">
              <wp14:pctWidth>0</wp14:pctWidth>
            </wp14:sizeRelH>
            <wp14:sizeRelV relativeFrom="page">
              <wp14:pctHeight>0</wp14:pctHeight>
            </wp14:sizeRelV>
          </wp:anchor>
        </w:drawing>
      </w:r>
      <w:r w:rsidR="00D35423" w:rsidRPr="002069C6">
        <w:rPr>
          <w:rFonts w:ascii="Verdana" w:eastAsia="Calibri" w:hAnsi="Verdana" w:cs="Arial"/>
          <w:color w:val="000000" w:themeColor="text1"/>
          <w:lang w:val="es-ES" w:eastAsia="es-ES"/>
        </w:rPr>
        <w:t>Señor</w:t>
      </w:r>
    </w:p>
    <w:p w14:paraId="64773194" w14:textId="77777777" w:rsidR="00D35423" w:rsidRPr="002069C6" w:rsidRDefault="00D35423" w:rsidP="00D35423">
      <w:pPr>
        <w:spacing w:after="0" w:line="240" w:lineRule="auto"/>
        <w:rPr>
          <w:rFonts w:ascii="Verdana" w:eastAsia="Calibri" w:hAnsi="Verdana" w:cs="Arial"/>
          <w:b/>
          <w:bCs/>
          <w:color w:val="000000" w:themeColor="text1"/>
          <w:lang w:eastAsia="es-ES_tradnl"/>
        </w:rPr>
      </w:pPr>
      <w:r w:rsidRPr="002069C6">
        <w:rPr>
          <w:rFonts w:ascii="Verdana" w:eastAsia="Calibri" w:hAnsi="Verdana" w:cs="Arial"/>
          <w:b/>
          <w:bCs/>
          <w:color w:val="000000" w:themeColor="text1"/>
          <w:lang w:eastAsia="es-ES_tradnl"/>
        </w:rPr>
        <w:t xml:space="preserve">Helmuth Quejada Rojas </w:t>
      </w:r>
    </w:p>
    <w:p w14:paraId="4BB5DBCC" w14:textId="77777777" w:rsidR="00D35423" w:rsidRPr="002069C6" w:rsidRDefault="00D35423" w:rsidP="00D35423">
      <w:pPr>
        <w:spacing w:after="0" w:line="240" w:lineRule="auto"/>
        <w:rPr>
          <w:rFonts w:ascii="Verdana" w:eastAsia="Calibri" w:hAnsi="Verdana" w:cs="Arial"/>
          <w:color w:val="000000" w:themeColor="text1"/>
          <w:lang w:eastAsia="es-ES_tradnl"/>
        </w:rPr>
      </w:pPr>
      <w:r w:rsidRPr="002069C6">
        <w:rPr>
          <w:rFonts w:ascii="Verdana" w:eastAsia="Calibri" w:hAnsi="Verdana" w:cs="Arial"/>
          <w:color w:val="000000" w:themeColor="text1"/>
          <w:lang w:eastAsia="es-ES_tradnl"/>
        </w:rPr>
        <w:t>Gerente</w:t>
      </w:r>
    </w:p>
    <w:p w14:paraId="1ABE0391" w14:textId="77777777" w:rsidR="00D35423" w:rsidRPr="002069C6" w:rsidRDefault="00D35423" w:rsidP="00D35423">
      <w:pPr>
        <w:spacing w:after="0" w:line="240" w:lineRule="auto"/>
        <w:rPr>
          <w:rFonts w:ascii="Verdana" w:eastAsia="Calibri" w:hAnsi="Verdana" w:cs="Arial"/>
          <w:color w:val="000000" w:themeColor="text1"/>
          <w:lang w:eastAsia="es-ES_tradnl"/>
        </w:rPr>
      </w:pPr>
      <w:r w:rsidRPr="002069C6">
        <w:rPr>
          <w:rFonts w:ascii="Verdana" w:eastAsia="Calibri" w:hAnsi="Verdana" w:cs="Arial"/>
          <w:color w:val="000000" w:themeColor="text1"/>
          <w:lang w:eastAsia="es-ES_tradnl"/>
        </w:rPr>
        <w:t xml:space="preserve">Empresa de Desarrollo Urbano y Rural de Murindó Antioquia </w:t>
      </w:r>
    </w:p>
    <w:p w14:paraId="069B9F15" w14:textId="77777777" w:rsidR="00D35423" w:rsidRPr="002069C6" w:rsidRDefault="00D35423" w:rsidP="00D35423">
      <w:pPr>
        <w:spacing w:after="0" w:line="240" w:lineRule="auto"/>
        <w:rPr>
          <w:rFonts w:ascii="Verdana" w:eastAsia="Calibri" w:hAnsi="Verdana" w:cs="Arial"/>
          <w:color w:val="000000" w:themeColor="text1"/>
          <w:lang w:eastAsia="es-ES_tradnl"/>
        </w:rPr>
      </w:pPr>
      <w:hyperlink r:id="rId11" w:history="1">
        <w:r w:rsidRPr="002069C6">
          <w:rPr>
            <w:rStyle w:val="Hipervnculo"/>
            <w:rFonts w:ascii="Verdana" w:eastAsia="Calibri" w:hAnsi="Verdana" w:cs="Arial"/>
            <w:lang w:eastAsia="es-ES_tradnl"/>
          </w:rPr>
          <w:t>edurmurindo@edurm.net</w:t>
        </w:r>
      </w:hyperlink>
    </w:p>
    <w:p w14:paraId="1B328E18" w14:textId="77777777" w:rsidR="00D35423" w:rsidRPr="002069C6" w:rsidRDefault="00D35423" w:rsidP="00D35423">
      <w:pPr>
        <w:spacing w:after="0" w:line="240" w:lineRule="auto"/>
        <w:rPr>
          <w:rFonts w:ascii="Verdana" w:eastAsia="Calibri" w:hAnsi="Verdana" w:cs="Arial"/>
          <w:color w:val="000000" w:themeColor="text1"/>
          <w:lang w:eastAsia="es-ES_tradnl"/>
        </w:rPr>
      </w:pPr>
      <w:r w:rsidRPr="002069C6">
        <w:rPr>
          <w:rFonts w:ascii="Verdana" w:eastAsia="Calibri" w:hAnsi="Verdana" w:cs="Arial"/>
          <w:color w:val="000000" w:themeColor="text1"/>
          <w:lang w:eastAsia="es-ES_tradnl"/>
        </w:rPr>
        <w:t xml:space="preserve">Murindó, Antioquia </w:t>
      </w:r>
    </w:p>
    <w:p w14:paraId="7F86B384" w14:textId="77777777" w:rsidR="00D35423" w:rsidRPr="002069C6" w:rsidRDefault="00D35423" w:rsidP="00D35423">
      <w:pPr>
        <w:spacing w:after="0" w:line="240" w:lineRule="auto"/>
        <w:rPr>
          <w:rFonts w:ascii="Verdana" w:eastAsia="Calibri" w:hAnsi="Verdana" w:cs="Arial"/>
          <w:b/>
          <w:bCs/>
          <w:color w:val="000000" w:themeColor="text1"/>
          <w:lang w:val="es-ES" w:eastAsia="es-ES_tradnl"/>
        </w:rPr>
      </w:pPr>
    </w:p>
    <w:tbl>
      <w:tblPr>
        <w:tblStyle w:val="Tablaconcuadrcula"/>
        <w:tblW w:w="12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gridCol w:w="4179"/>
      </w:tblGrid>
      <w:tr w:rsidR="00D35423" w:rsidRPr="002069C6" w14:paraId="1D5AC43E" w14:textId="77777777" w:rsidTr="000A2F0A">
        <w:trPr>
          <w:gridAfter w:val="1"/>
          <w:wAfter w:w="4179" w:type="dxa"/>
          <w:trHeight w:val="304"/>
        </w:trPr>
        <w:tc>
          <w:tcPr>
            <w:tcW w:w="2689" w:type="dxa"/>
          </w:tcPr>
          <w:p w14:paraId="6DA1CA5C" w14:textId="77777777" w:rsidR="00D35423" w:rsidRPr="002069C6" w:rsidRDefault="00D35423" w:rsidP="000A2F0A">
            <w:pPr>
              <w:jc w:val="both"/>
              <w:rPr>
                <w:rFonts w:ascii="Verdana" w:eastAsia="Calibri" w:hAnsi="Verdana" w:cs="Arial"/>
                <w:b/>
                <w:bCs/>
                <w:color w:val="000000" w:themeColor="text1"/>
                <w:lang w:val="es-ES" w:eastAsia="es-ES_tradnl"/>
              </w:rPr>
            </w:pPr>
          </w:p>
        </w:tc>
        <w:tc>
          <w:tcPr>
            <w:tcW w:w="6100" w:type="dxa"/>
          </w:tcPr>
          <w:p w14:paraId="72DD0B8D" w14:textId="77777777" w:rsidR="00D35423" w:rsidRPr="002069C6" w:rsidRDefault="00D35423" w:rsidP="000A2F0A">
            <w:pPr>
              <w:jc w:val="both"/>
              <w:rPr>
                <w:rFonts w:ascii="Verdana" w:eastAsia="Calibri" w:hAnsi="Verdana" w:cs="Arial"/>
                <w:b/>
                <w:bCs/>
                <w:color w:val="000000" w:themeColor="text1"/>
                <w:lang w:val="es-ES" w:eastAsia="es-ES"/>
              </w:rPr>
            </w:pPr>
            <w:r w:rsidRPr="002069C6">
              <w:rPr>
                <w:rFonts w:ascii="Verdana" w:eastAsia="Calibri" w:hAnsi="Verdana" w:cs="Arial"/>
                <w:b/>
                <w:bCs/>
                <w:color w:val="000000" w:themeColor="text1"/>
                <w:lang w:val="es-ES" w:eastAsia="es-ES"/>
              </w:rPr>
              <w:t>Concepto C-937 de 2025</w:t>
            </w:r>
          </w:p>
          <w:p w14:paraId="2511223A" w14:textId="77777777" w:rsidR="00D35423" w:rsidRPr="002069C6" w:rsidRDefault="00D35423" w:rsidP="000A2F0A">
            <w:pPr>
              <w:jc w:val="both"/>
              <w:rPr>
                <w:rFonts w:ascii="Verdana" w:eastAsia="Calibri" w:hAnsi="Verdana" w:cs="Arial"/>
                <w:b/>
                <w:bCs/>
                <w:color w:val="000000" w:themeColor="text1"/>
                <w:lang w:val="es-ES" w:eastAsia="es-ES"/>
              </w:rPr>
            </w:pPr>
          </w:p>
        </w:tc>
      </w:tr>
      <w:tr w:rsidR="00D35423" w:rsidRPr="002069C6" w14:paraId="5D666FA8" w14:textId="77777777" w:rsidTr="000A2F0A">
        <w:trPr>
          <w:trHeight w:val="884"/>
        </w:trPr>
        <w:tc>
          <w:tcPr>
            <w:tcW w:w="2689" w:type="dxa"/>
          </w:tcPr>
          <w:p w14:paraId="3E2748B4" w14:textId="77777777" w:rsidR="00D35423" w:rsidRPr="002069C6" w:rsidRDefault="00D35423" w:rsidP="000A2F0A">
            <w:pPr>
              <w:jc w:val="both"/>
              <w:rPr>
                <w:rFonts w:ascii="Verdana" w:eastAsia="Calibri" w:hAnsi="Verdana" w:cs="Arial"/>
                <w:color w:val="000000" w:themeColor="text1"/>
                <w:lang w:val="es-ES" w:eastAsia="es-ES_tradnl"/>
              </w:rPr>
            </w:pPr>
            <w:r w:rsidRPr="002069C6">
              <w:rPr>
                <w:rFonts w:ascii="Verdana" w:eastAsia="Calibri" w:hAnsi="Verdana" w:cs="Arial"/>
                <w:b/>
                <w:color w:val="000000" w:themeColor="text1"/>
                <w:lang w:val="es-ES" w:eastAsia="es-ES_tradnl"/>
              </w:rPr>
              <w:t>Temas:</w:t>
            </w:r>
            <w:r w:rsidRPr="002069C6">
              <w:rPr>
                <w:rFonts w:ascii="Verdana" w:eastAsia="Calibri" w:hAnsi="Verdana" w:cs="Arial"/>
                <w:color w:val="000000" w:themeColor="text1"/>
                <w:lang w:val="es-ES" w:eastAsia="es-ES_tradnl"/>
              </w:rPr>
              <w:t xml:space="preserve">                   </w:t>
            </w:r>
          </w:p>
        </w:tc>
        <w:tc>
          <w:tcPr>
            <w:tcW w:w="6100" w:type="dxa"/>
          </w:tcPr>
          <w:p w14:paraId="041CF47D" w14:textId="67B9AF46" w:rsidR="00D35423" w:rsidRPr="00251977" w:rsidRDefault="00D35423" w:rsidP="00251977">
            <w:pPr>
              <w:spacing w:line="276" w:lineRule="auto"/>
              <w:jc w:val="both"/>
              <w:rPr>
                <w:rFonts w:ascii="Verdana" w:eastAsia="Calibri" w:hAnsi="Verdana" w:cs="Arial"/>
                <w:bCs/>
                <w:lang w:val="es-MX" w:eastAsia="es-ES"/>
              </w:rPr>
            </w:pPr>
            <w:r w:rsidRPr="002069C6">
              <w:rPr>
                <w:rFonts w:ascii="Verdana" w:eastAsia="Geomanist Light" w:hAnsi="Verdana" w:cs="Arial"/>
                <w:color w:val="000000"/>
                <w:lang w:val="es-MX"/>
              </w:rPr>
              <w:t>EMPRESAS INDUSTRIALES Y COMERCIALES DEL ESTADO – Naturaleza jurídica – Régimen de contratación /</w:t>
            </w:r>
            <w:r w:rsidRPr="002069C6">
              <w:rPr>
                <w:rFonts w:ascii="Verdana" w:eastAsia="Calibri" w:hAnsi="Verdana" w:cs="Arial"/>
                <w:b/>
                <w:bCs/>
                <w:color w:val="4472C4"/>
                <w:lang w:val="es-ES" w:eastAsia="es-ES"/>
              </w:rPr>
              <w:t xml:space="preserve"> </w:t>
            </w:r>
            <w:r w:rsidR="00253711" w:rsidRPr="008A6279">
              <w:rPr>
                <w:rFonts w:ascii="Verdana" w:eastAsia="Calibri" w:hAnsi="Verdana" w:cs="Arial"/>
                <w:bCs/>
                <w:lang w:val="es-ES" w:eastAsia="es-ES"/>
              </w:rPr>
              <w:t>TIPOS DE GARANTÍAS – Póliza de seguro – Garantía bancaria</w:t>
            </w:r>
            <w:r w:rsidR="00F31448">
              <w:rPr>
                <w:rFonts w:ascii="Verdana" w:eastAsia="Calibri" w:hAnsi="Verdana" w:cs="Arial"/>
                <w:bCs/>
                <w:lang w:val="es-ES" w:eastAsia="es-ES"/>
              </w:rPr>
              <w:t xml:space="preserve"> </w:t>
            </w:r>
            <w:r w:rsidR="00253711" w:rsidRPr="008A6279">
              <w:rPr>
                <w:rFonts w:ascii="Verdana" w:eastAsia="Calibri" w:hAnsi="Verdana" w:cs="Arial"/>
                <w:bCs/>
                <w:lang w:val="es-ES" w:eastAsia="es-ES"/>
              </w:rPr>
              <w:t>– Fiducia mercantil</w:t>
            </w:r>
            <w:r w:rsidR="002B7E59">
              <w:rPr>
                <w:rFonts w:ascii="Verdana" w:eastAsia="Calibri" w:hAnsi="Verdana" w:cs="Arial"/>
                <w:bCs/>
                <w:lang w:val="es-ES" w:eastAsia="es-ES"/>
              </w:rPr>
              <w:t xml:space="preserve"> </w:t>
            </w:r>
            <w:r w:rsidR="00F31448">
              <w:rPr>
                <w:rFonts w:ascii="Verdana" w:eastAsia="Calibri" w:hAnsi="Verdana" w:cs="Arial"/>
                <w:bCs/>
                <w:lang w:val="es-ES" w:eastAsia="es-ES"/>
              </w:rPr>
              <w:t>/</w:t>
            </w:r>
            <w:r w:rsidR="002B7E59">
              <w:rPr>
                <w:rFonts w:ascii="Verdana" w:eastAsia="Calibri" w:hAnsi="Verdana" w:cs="Arial"/>
                <w:bCs/>
                <w:lang w:val="es-ES" w:eastAsia="es-ES"/>
              </w:rPr>
              <w:t xml:space="preserve"> </w:t>
            </w:r>
            <w:r w:rsidR="002B7E59" w:rsidRPr="008A6279">
              <w:rPr>
                <w:rFonts w:ascii="Verdana" w:eastAsia="Calibri" w:hAnsi="Verdana" w:cs="Arial"/>
                <w:bCs/>
                <w:lang w:val="es-ES" w:eastAsia="es-ES"/>
              </w:rPr>
              <w:t>TIPOS DE GARANTÍAS</w:t>
            </w:r>
            <w:r w:rsidR="002B7E59">
              <w:rPr>
                <w:rFonts w:ascii="Verdana" w:eastAsia="Calibri" w:hAnsi="Verdana" w:cs="Arial"/>
                <w:bCs/>
                <w:lang w:val="es-ES" w:eastAsia="es-ES"/>
              </w:rPr>
              <w:t xml:space="preserve"> </w:t>
            </w:r>
            <w:r w:rsidR="002B7E59" w:rsidRPr="008A6279">
              <w:rPr>
                <w:rFonts w:ascii="Verdana" w:eastAsia="Calibri" w:hAnsi="Verdana" w:cs="Arial"/>
                <w:bCs/>
                <w:lang w:val="es-ES" w:eastAsia="es-ES"/>
              </w:rPr>
              <w:t>–</w:t>
            </w:r>
            <w:r w:rsidR="00251977">
              <w:rPr>
                <w:rFonts w:ascii="Verdana" w:eastAsia="Calibri" w:hAnsi="Verdana" w:cs="Arial"/>
                <w:bCs/>
                <w:lang w:val="es-ES" w:eastAsia="es-ES"/>
              </w:rPr>
              <w:t xml:space="preserve"> Taxatividad </w:t>
            </w:r>
            <w:r w:rsidR="00251977" w:rsidRPr="008A6279">
              <w:rPr>
                <w:rFonts w:ascii="Verdana" w:eastAsia="Calibri" w:hAnsi="Verdana" w:cs="Arial"/>
                <w:bCs/>
                <w:lang w:val="es-ES" w:eastAsia="es-ES"/>
              </w:rPr>
              <w:t>–</w:t>
            </w:r>
            <w:r w:rsidR="00251977">
              <w:rPr>
                <w:rFonts w:ascii="Verdana" w:eastAsia="Calibri" w:hAnsi="Verdana" w:cs="Arial"/>
                <w:bCs/>
                <w:lang w:val="es-ES" w:eastAsia="es-ES"/>
              </w:rPr>
              <w:t xml:space="preserve"> Imposibilidad de Fianza</w:t>
            </w:r>
            <w:r w:rsidR="002B7E59" w:rsidRPr="008A6279">
              <w:rPr>
                <w:rFonts w:ascii="Verdana" w:eastAsia="Calibri" w:hAnsi="Verdana" w:cs="Arial"/>
                <w:bCs/>
                <w:lang w:val="es-ES" w:eastAsia="es-ES"/>
              </w:rPr>
              <w:t xml:space="preserve"> </w:t>
            </w:r>
            <w:r w:rsidR="002B7E59">
              <w:rPr>
                <w:rFonts w:ascii="Verdana" w:eastAsia="Calibri" w:hAnsi="Verdana" w:cs="Arial"/>
                <w:bCs/>
                <w:lang w:val="es-ES" w:eastAsia="es-ES"/>
              </w:rPr>
              <w:t xml:space="preserve">/ </w:t>
            </w:r>
            <w:r w:rsidR="00F31448">
              <w:rPr>
                <w:rFonts w:ascii="Verdana" w:eastAsia="Calibri" w:hAnsi="Verdana" w:cs="Arial"/>
                <w:bCs/>
                <w:lang w:val="es-ES" w:eastAsia="es-ES"/>
              </w:rPr>
              <w:t xml:space="preserve">URGENCIA MANIFIESTA </w:t>
            </w:r>
            <w:r w:rsidR="00F31448" w:rsidRPr="008A6279">
              <w:rPr>
                <w:rFonts w:ascii="Verdana" w:eastAsia="Calibri" w:hAnsi="Verdana" w:cs="Arial"/>
                <w:bCs/>
                <w:lang w:val="es-ES" w:eastAsia="es-ES"/>
              </w:rPr>
              <w:t>–</w:t>
            </w:r>
            <w:r w:rsidR="00F31448">
              <w:rPr>
                <w:rFonts w:ascii="Verdana" w:eastAsia="Calibri" w:hAnsi="Verdana" w:cs="Arial"/>
                <w:bCs/>
                <w:lang w:val="es-ES" w:eastAsia="es-ES"/>
              </w:rPr>
              <w:t xml:space="preserve"> Calamidad pública </w:t>
            </w:r>
            <w:r w:rsidR="00F31448" w:rsidRPr="008A6279">
              <w:rPr>
                <w:rFonts w:ascii="Verdana" w:eastAsia="Calibri" w:hAnsi="Verdana" w:cs="Arial"/>
                <w:bCs/>
                <w:lang w:val="es-ES" w:eastAsia="es-ES"/>
              </w:rPr>
              <w:t>–</w:t>
            </w:r>
            <w:r w:rsidR="00F31448">
              <w:rPr>
                <w:rFonts w:ascii="Verdana" w:eastAsia="Calibri" w:hAnsi="Verdana" w:cs="Arial"/>
                <w:bCs/>
                <w:lang w:val="es-ES" w:eastAsia="es-ES"/>
              </w:rPr>
              <w:t xml:space="preserve"> No obligatoriedad garantías</w:t>
            </w:r>
          </w:p>
          <w:p w14:paraId="65DC23BE" w14:textId="77777777" w:rsidR="00D35423" w:rsidRPr="002069C6" w:rsidRDefault="00D35423" w:rsidP="000A2F0A">
            <w:pPr>
              <w:contextualSpacing/>
              <w:jc w:val="both"/>
              <w:rPr>
                <w:rFonts w:ascii="Verdana" w:eastAsia="Calibri" w:hAnsi="Verdana" w:cs="Arial"/>
                <w:color w:val="000000" w:themeColor="text1"/>
                <w:lang w:val="es-ES" w:eastAsia="es-ES"/>
              </w:rPr>
            </w:pPr>
          </w:p>
        </w:tc>
        <w:tc>
          <w:tcPr>
            <w:tcW w:w="4179" w:type="dxa"/>
          </w:tcPr>
          <w:p w14:paraId="4954230A" w14:textId="77777777" w:rsidR="00D35423" w:rsidRPr="002069C6" w:rsidRDefault="00D35423" w:rsidP="000A2F0A">
            <w:pPr>
              <w:spacing w:line="276" w:lineRule="auto"/>
              <w:jc w:val="both"/>
              <w:rPr>
                <w:rFonts w:ascii="Verdana" w:eastAsia="Calibri" w:hAnsi="Verdana" w:cs="Arial"/>
                <w:b/>
                <w:bCs/>
                <w:color w:val="000000" w:themeColor="text1"/>
                <w:lang w:val="es-ES" w:eastAsia="es-ES"/>
              </w:rPr>
            </w:pPr>
          </w:p>
          <w:p w14:paraId="3BD10981" w14:textId="77777777" w:rsidR="00D35423" w:rsidRPr="002069C6" w:rsidRDefault="00D35423" w:rsidP="000A2F0A">
            <w:pPr>
              <w:rPr>
                <w:rFonts w:ascii="Verdana" w:hAnsi="Verdana"/>
                <w:lang w:val="es-ES"/>
              </w:rPr>
            </w:pPr>
          </w:p>
        </w:tc>
      </w:tr>
      <w:tr w:rsidR="00D35423" w:rsidRPr="002069C6" w14:paraId="4ED5332A" w14:textId="77777777" w:rsidTr="000A2F0A">
        <w:trPr>
          <w:gridAfter w:val="1"/>
          <w:wAfter w:w="4179" w:type="dxa"/>
        </w:trPr>
        <w:tc>
          <w:tcPr>
            <w:tcW w:w="2689" w:type="dxa"/>
          </w:tcPr>
          <w:p w14:paraId="3DD6590C" w14:textId="77777777" w:rsidR="00D35423" w:rsidRPr="002069C6" w:rsidRDefault="00D35423" w:rsidP="000A2F0A">
            <w:pPr>
              <w:jc w:val="both"/>
              <w:rPr>
                <w:rFonts w:ascii="Verdana" w:eastAsia="Calibri" w:hAnsi="Verdana" w:cs="Arial"/>
                <w:b/>
                <w:color w:val="000000" w:themeColor="text1"/>
                <w:lang w:val="es-ES" w:eastAsia="es-ES_tradnl"/>
              </w:rPr>
            </w:pPr>
            <w:r w:rsidRPr="002069C6">
              <w:rPr>
                <w:rFonts w:ascii="Verdana" w:eastAsia="Calibri" w:hAnsi="Verdana" w:cs="Arial"/>
                <w:b/>
                <w:color w:val="000000" w:themeColor="text1"/>
                <w:lang w:val="es-ES" w:eastAsia="es-ES_tradnl"/>
              </w:rPr>
              <w:t>Radicación:</w:t>
            </w:r>
            <w:r w:rsidRPr="002069C6">
              <w:rPr>
                <w:rFonts w:ascii="Verdana" w:eastAsia="Calibri" w:hAnsi="Verdana" w:cs="Arial"/>
                <w:color w:val="000000" w:themeColor="text1"/>
                <w:lang w:val="es-ES" w:eastAsia="es-ES_tradnl"/>
              </w:rPr>
              <w:t xml:space="preserve">               </w:t>
            </w:r>
          </w:p>
        </w:tc>
        <w:tc>
          <w:tcPr>
            <w:tcW w:w="6100" w:type="dxa"/>
          </w:tcPr>
          <w:p w14:paraId="6322F31B" w14:textId="77777777" w:rsidR="00D35423" w:rsidRPr="002069C6" w:rsidRDefault="00D35423" w:rsidP="000A2F0A">
            <w:pPr>
              <w:jc w:val="both"/>
              <w:rPr>
                <w:rFonts w:ascii="Verdana" w:eastAsia="Calibri" w:hAnsi="Verdana" w:cs="Arial"/>
                <w:color w:val="000000" w:themeColor="text1"/>
                <w:lang w:val="es-ES" w:eastAsia="es-ES_tradnl"/>
              </w:rPr>
            </w:pPr>
            <w:r w:rsidRPr="002069C6">
              <w:rPr>
                <w:rFonts w:ascii="Verdana" w:eastAsia="Calibri" w:hAnsi="Verdana" w:cs="Arial"/>
                <w:color w:val="000000" w:themeColor="text1"/>
                <w:lang w:val="es-ES" w:eastAsia="es-ES_tradnl"/>
              </w:rPr>
              <w:t>Respuesta a consulta con radicado No. 1_2025_07_15_007185</w:t>
            </w:r>
          </w:p>
        </w:tc>
      </w:tr>
    </w:tbl>
    <w:p w14:paraId="24F325B3" w14:textId="77777777" w:rsidR="00D35423" w:rsidRPr="002069C6" w:rsidRDefault="00D35423" w:rsidP="00D35423">
      <w:pPr>
        <w:spacing w:after="0" w:line="276" w:lineRule="auto"/>
        <w:jc w:val="both"/>
        <w:rPr>
          <w:rFonts w:ascii="Verdana" w:eastAsia="Calibri" w:hAnsi="Verdana" w:cs="Arial"/>
          <w:color w:val="000000" w:themeColor="text1"/>
          <w:lang w:val="es-ES" w:eastAsia="es-ES_tradnl"/>
        </w:rPr>
      </w:pPr>
    </w:p>
    <w:p w14:paraId="1EFA0C7C" w14:textId="77777777" w:rsidR="00D35423" w:rsidRPr="002069C6" w:rsidRDefault="00D35423" w:rsidP="00D35423">
      <w:pPr>
        <w:spacing w:after="0" w:line="276" w:lineRule="auto"/>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 xml:space="preserve">Estimado señor Quejada: </w:t>
      </w:r>
    </w:p>
    <w:p w14:paraId="79BDBD52" w14:textId="77777777" w:rsidR="00D35423" w:rsidRPr="002069C6" w:rsidRDefault="00D35423" w:rsidP="00D35423">
      <w:pPr>
        <w:tabs>
          <w:tab w:val="left" w:pos="3768"/>
        </w:tabs>
        <w:spacing w:after="0" w:line="276" w:lineRule="auto"/>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ab/>
      </w:r>
    </w:p>
    <w:p w14:paraId="7F14EF8B" w14:textId="77777777" w:rsidR="00D35423" w:rsidRPr="002069C6" w:rsidRDefault="00D35423" w:rsidP="00D35423">
      <w:pPr>
        <w:spacing w:after="0" w:line="276" w:lineRule="auto"/>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En ejercicio de la competencia otorgada por los artículos 3, numeral 5º, y 11, numeral 8º, del Decreto Ley 4170 de 2011,</w:t>
      </w:r>
      <w:r w:rsidRPr="002069C6">
        <w:rPr>
          <w:rFonts w:ascii="Verdana" w:eastAsia="Arial MT" w:hAnsi="Verdana" w:cs="Arial MT"/>
          <w:color w:val="000000" w:themeColor="text1"/>
          <w:lang w:val="es-ES" w:eastAsia="es-ES"/>
        </w:rPr>
        <w:t xml:space="preserve"> </w:t>
      </w:r>
      <w:r w:rsidRPr="002069C6">
        <w:rPr>
          <w:rFonts w:ascii="Verdana" w:hAnsi="Verdana" w:cs="Arial"/>
          <w:color w:val="000000" w:themeColor="text1"/>
          <w:lang w:val="es-ES"/>
        </w:rPr>
        <w:t>así como lo establecido en el artículo 4 de la Resolución 1707 de 2018 expedida por esta Entidad, la Agencia Nacional de Contratación Pública – Colombia Compra Eficiente– responde su solicitud remitida a esta entidad por la Superintendencia Financiera el 15 de julio de 2025, en la cual manifiesta lo siguiente:</w:t>
      </w:r>
      <w:r w:rsidRPr="002069C6">
        <w:rPr>
          <w:rFonts w:ascii="Verdana" w:eastAsia="Calibri" w:hAnsi="Verdana" w:cs="Arial"/>
          <w:color w:val="000000" w:themeColor="text1"/>
          <w:lang w:val="es-ES" w:eastAsia="es-ES"/>
        </w:rPr>
        <w:t xml:space="preserve"> </w:t>
      </w:r>
    </w:p>
    <w:p w14:paraId="613691F8" w14:textId="77777777" w:rsidR="00D35423" w:rsidRPr="002069C6" w:rsidRDefault="00D35423" w:rsidP="00D35423">
      <w:pPr>
        <w:spacing w:after="0" w:line="276" w:lineRule="auto"/>
        <w:jc w:val="both"/>
        <w:rPr>
          <w:rFonts w:ascii="Verdana" w:eastAsia="Calibri" w:hAnsi="Verdana" w:cs="Arial"/>
          <w:color w:val="000000" w:themeColor="text1"/>
          <w:lang w:val="es-ES" w:eastAsia="es-ES"/>
        </w:rPr>
      </w:pPr>
    </w:p>
    <w:p w14:paraId="058AB548" w14:textId="77777777" w:rsidR="00D35423" w:rsidRPr="002069C6" w:rsidRDefault="00D35423" w:rsidP="00D35423">
      <w:pPr>
        <w:spacing w:after="0"/>
        <w:ind w:left="709" w:right="709"/>
        <w:jc w:val="both"/>
        <w:rPr>
          <w:rFonts w:ascii="Verdana" w:eastAsia="Century Gothic" w:hAnsi="Verdana" w:cs="Century Gothic"/>
          <w:i/>
          <w:iCs/>
          <w:color w:val="000000" w:themeColor="text1"/>
          <w:sz w:val="20"/>
          <w:szCs w:val="20"/>
          <w:lang/>
        </w:rPr>
      </w:pPr>
      <w:r w:rsidRPr="002069C6">
        <w:rPr>
          <w:rFonts w:ascii="Verdana" w:eastAsia="Century Gothic" w:hAnsi="Verdana" w:cs="Century Gothic"/>
          <w:color w:val="000000" w:themeColor="text1"/>
          <w:sz w:val="20"/>
          <w:szCs w:val="20"/>
          <w:lang w:val="es-ES"/>
        </w:rPr>
        <w:t xml:space="preserve">“[…] </w:t>
      </w:r>
      <w:r w:rsidRPr="002069C6">
        <w:rPr>
          <w:rFonts w:ascii="Verdana" w:eastAsia="Century Gothic" w:hAnsi="Verdana" w:cs="Century Gothic"/>
          <w:i/>
          <w:iCs/>
          <w:color w:val="000000" w:themeColor="text1"/>
          <w:sz w:val="20"/>
          <w:szCs w:val="20"/>
          <w:lang/>
        </w:rPr>
        <w:t xml:space="preserve">como proceder en relación a la negativa de las aseguradoras en otorgar póliza o garantía bancaria a uno de nuestros contratistas […] </w:t>
      </w:r>
    </w:p>
    <w:p w14:paraId="35594AFF" w14:textId="77777777" w:rsidR="00D35423" w:rsidRPr="002069C6" w:rsidRDefault="00D35423" w:rsidP="00D35423">
      <w:pPr>
        <w:spacing w:after="0"/>
        <w:ind w:left="709" w:right="709"/>
        <w:jc w:val="both"/>
        <w:rPr>
          <w:rFonts w:ascii="Verdana" w:eastAsia="Century Gothic" w:hAnsi="Verdana" w:cs="Century Gothic"/>
          <w:i/>
          <w:iCs/>
          <w:color w:val="000000" w:themeColor="text1"/>
          <w:sz w:val="20"/>
          <w:szCs w:val="20"/>
          <w:lang/>
        </w:rPr>
      </w:pPr>
      <w:r w:rsidRPr="002069C6">
        <w:rPr>
          <w:rFonts w:ascii="Verdana" w:eastAsia="Century Gothic" w:hAnsi="Verdana" w:cs="Century Gothic"/>
          <w:i/>
          <w:iCs/>
          <w:color w:val="000000" w:themeColor="text1"/>
          <w:sz w:val="20"/>
          <w:szCs w:val="20"/>
          <w:lang/>
        </w:rPr>
        <w:t xml:space="preserve">De tal suerte que esta descartado que la negativa del no otorgamiento de la póliza sea por falta de idoneidad del contratista, a su turno, nos apremia encontrar una solución a las garantías por cuanto se trata de cumplir con un plan de acción en relación a una declaratoria de calamidad pública en cual toda una comunidad esta esperando una pronta solución. </w:t>
      </w:r>
    </w:p>
    <w:p w14:paraId="3D9EE92F" w14:textId="77777777" w:rsidR="00D35423" w:rsidRPr="002069C6" w:rsidRDefault="00D35423" w:rsidP="00D35423">
      <w:pPr>
        <w:spacing w:after="0"/>
        <w:ind w:left="709" w:right="709"/>
        <w:jc w:val="both"/>
        <w:rPr>
          <w:rFonts w:ascii="Verdana" w:eastAsia="Century Gothic" w:hAnsi="Verdana" w:cs="Century Gothic"/>
          <w:i/>
          <w:iCs/>
          <w:color w:val="000000" w:themeColor="text1"/>
          <w:sz w:val="20"/>
          <w:szCs w:val="20"/>
          <w:lang/>
        </w:rPr>
      </w:pPr>
      <w:r w:rsidRPr="002069C6">
        <w:rPr>
          <w:rFonts w:ascii="Verdana" w:eastAsia="Century Gothic" w:hAnsi="Verdana" w:cs="Century Gothic"/>
          <w:i/>
          <w:iCs/>
          <w:color w:val="000000" w:themeColor="text1"/>
          <w:sz w:val="20"/>
          <w:szCs w:val="20"/>
          <w:lang/>
        </w:rPr>
        <w:lastRenderedPageBreak/>
        <w:t xml:space="preserve">Según información documental entregada por el contratista y gestiones realizadas por la EDURM, empresa industrial y comercial del Municipio de Murindó, las únicas empresas que aseguran el contrato anunciado son afianzadoras, sin embargo, recogiendo su concepto del 6 de octubre de 2016, no es posible amparar contratos del estado mediante fianzas. </w:t>
      </w:r>
    </w:p>
    <w:p w14:paraId="14649408" w14:textId="77777777" w:rsidR="00D35423" w:rsidRPr="002069C6" w:rsidRDefault="00D35423" w:rsidP="00D35423">
      <w:pPr>
        <w:spacing w:after="0"/>
        <w:ind w:left="709" w:right="709"/>
        <w:jc w:val="both"/>
        <w:rPr>
          <w:rFonts w:ascii="Verdana" w:eastAsia="Century Gothic" w:hAnsi="Verdana" w:cs="Century Gothic"/>
          <w:color w:val="000000" w:themeColor="text1"/>
          <w:sz w:val="20"/>
          <w:szCs w:val="20"/>
          <w:lang/>
        </w:rPr>
      </w:pPr>
      <w:r w:rsidRPr="002069C6">
        <w:rPr>
          <w:rFonts w:ascii="Verdana" w:eastAsia="Century Gothic" w:hAnsi="Verdana" w:cs="Century Gothic"/>
          <w:i/>
          <w:iCs/>
          <w:color w:val="000000" w:themeColor="text1"/>
          <w:sz w:val="20"/>
          <w:szCs w:val="20"/>
          <w:lang/>
        </w:rPr>
        <w:t>Pregunto si legalmente existe alguna excepción que permita asegurar los contratos de las empresas industriales y comerciales del estado mediante fianza sobre todo en casos de calamidad pública declarada</w:t>
      </w:r>
      <w:r w:rsidRPr="002069C6">
        <w:rPr>
          <w:rFonts w:ascii="Verdana" w:eastAsia="Century Gothic" w:hAnsi="Verdana" w:cs="Century Gothic"/>
          <w:color w:val="000000" w:themeColor="text1"/>
          <w:sz w:val="20"/>
          <w:szCs w:val="20"/>
          <w:lang w:val="es-ES"/>
        </w:rPr>
        <w:t xml:space="preserve">”. </w:t>
      </w:r>
    </w:p>
    <w:p w14:paraId="718FB638" w14:textId="77777777" w:rsidR="00D35423" w:rsidRPr="002069C6" w:rsidRDefault="00D35423" w:rsidP="00D35423">
      <w:pPr>
        <w:spacing w:after="0"/>
        <w:ind w:left="709" w:right="709"/>
        <w:jc w:val="both"/>
        <w:rPr>
          <w:rFonts w:ascii="Verdana" w:eastAsia="Century Gothic" w:hAnsi="Verdana" w:cs="Century Gothic"/>
          <w:color w:val="000000" w:themeColor="text1"/>
          <w:sz w:val="20"/>
          <w:szCs w:val="20"/>
          <w:lang w:val="es-ES"/>
        </w:rPr>
      </w:pPr>
    </w:p>
    <w:p w14:paraId="314E6ED7" w14:textId="77777777" w:rsidR="00D35423" w:rsidRPr="002069C6" w:rsidRDefault="00D35423" w:rsidP="00D35423">
      <w:pPr>
        <w:spacing w:after="0" w:line="276" w:lineRule="auto"/>
        <w:ind w:firstLine="709"/>
        <w:contextualSpacing/>
        <w:jc w:val="both"/>
        <w:rPr>
          <w:rFonts w:ascii="Verdana" w:eastAsia="Calibri" w:hAnsi="Verdana" w:cs="Arial"/>
          <w:color w:val="000000" w:themeColor="text1"/>
          <w:szCs w:val="24"/>
          <w:lang w:val="es-ES" w:eastAsia="es-ES_tradnl"/>
        </w:rPr>
      </w:pPr>
      <w:r w:rsidRPr="002069C6">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069C6">
        <w:rPr>
          <w:rFonts w:ascii="Verdana" w:eastAsia="Calibri" w:hAnsi="Verdana" w:cs="Arial"/>
          <w:color w:val="000000" w:themeColor="text1"/>
          <w:szCs w:val="24"/>
          <w:lang w:val="es-ES" w:eastAsia="es-ES_tradnl"/>
        </w:rPr>
        <w:tab/>
      </w:r>
    </w:p>
    <w:p w14:paraId="28FF088C" w14:textId="77777777" w:rsidR="00D35423" w:rsidRPr="002069C6" w:rsidRDefault="00D35423" w:rsidP="00D35423">
      <w:pPr>
        <w:spacing w:before="120" w:after="120" w:line="276" w:lineRule="auto"/>
        <w:ind w:firstLine="709"/>
        <w:jc w:val="both"/>
        <w:rPr>
          <w:rFonts w:ascii="Verdana" w:eastAsia="Calibri" w:hAnsi="Verdana" w:cs="Arial"/>
          <w:color w:val="000000" w:themeColor="text1"/>
          <w:lang w:val="es-ES" w:eastAsia="es-ES"/>
        </w:rPr>
      </w:pPr>
      <w:r w:rsidRPr="002069C6">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AF79F8D" w14:textId="77777777" w:rsidR="00D35423" w:rsidRPr="002069C6" w:rsidRDefault="00D35423" w:rsidP="00D35423">
      <w:pPr>
        <w:spacing w:after="0" w:line="276" w:lineRule="auto"/>
        <w:jc w:val="both"/>
        <w:rPr>
          <w:rFonts w:ascii="Verdana" w:eastAsia="Calibri" w:hAnsi="Verdana" w:cs="Arial"/>
          <w:color w:val="000000" w:themeColor="text1"/>
          <w:lang w:val="es-ES" w:eastAsia="es-ES"/>
        </w:rPr>
      </w:pPr>
    </w:p>
    <w:p w14:paraId="68B0C301" w14:textId="77777777" w:rsidR="00D35423" w:rsidRPr="002069C6" w:rsidRDefault="00D35423" w:rsidP="00D3542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Problema planteado:</w:t>
      </w:r>
    </w:p>
    <w:p w14:paraId="6035F4F2" w14:textId="77777777" w:rsidR="00D35423" w:rsidRPr="002069C6" w:rsidRDefault="00D35423" w:rsidP="00D35423">
      <w:pPr>
        <w:tabs>
          <w:tab w:val="left" w:pos="426"/>
        </w:tabs>
        <w:spacing w:after="0" w:line="276" w:lineRule="auto"/>
        <w:jc w:val="both"/>
        <w:rPr>
          <w:rFonts w:ascii="Verdana" w:eastAsia="Century Gothic" w:hAnsi="Verdana" w:cs="Century Gothic"/>
          <w:color w:val="000000" w:themeColor="text1"/>
          <w:lang w:val="es-ES"/>
        </w:rPr>
      </w:pPr>
    </w:p>
    <w:p w14:paraId="1102E439" w14:textId="77777777" w:rsidR="00D35423" w:rsidRPr="002069C6" w:rsidRDefault="00D35423" w:rsidP="00D35423">
      <w:pPr>
        <w:spacing w:after="0" w:line="276" w:lineRule="auto"/>
        <w:jc w:val="both"/>
        <w:rPr>
          <w:rFonts w:ascii="Verdana" w:eastAsia="Century Gothic" w:hAnsi="Verdana" w:cs="Century Gothic"/>
          <w:color w:val="000000" w:themeColor="text1"/>
          <w:lang w:val="es-ES"/>
        </w:rPr>
      </w:pPr>
      <w:r w:rsidRPr="002069C6">
        <w:rPr>
          <w:rFonts w:ascii="Verdana" w:eastAsia="Century Gothic" w:hAnsi="Verdana" w:cs="Century Gothic"/>
          <w:color w:val="000000" w:themeColor="text1"/>
          <w:lang w:val="es-ES"/>
        </w:rPr>
        <w:t>De acuerdo con el contenido de su solicitud, esta Agencia resolverá el siguiente problema jurídico: ¿Cuál es el marco jurídico para la solicitud de garantías por parte de las Empresas Industriales y Comerciales del Estado?</w:t>
      </w:r>
    </w:p>
    <w:p w14:paraId="36FA1F4C" w14:textId="77777777" w:rsidR="00D35423" w:rsidRPr="002069C6" w:rsidRDefault="00D35423" w:rsidP="00D35423">
      <w:pPr>
        <w:spacing w:after="0" w:line="276" w:lineRule="auto"/>
        <w:jc w:val="both"/>
        <w:rPr>
          <w:rFonts w:ascii="Verdana" w:eastAsia="Calibri" w:hAnsi="Verdana" w:cs="Arial"/>
          <w:color w:val="000000" w:themeColor="text1"/>
          <w:lang w:val="es-ES"/>
        </w:rPr>
      </w:pPr>
    </w:p>
    <w:p w14:paraId="348F701D" w14:textId="77777777" w:rsidR="00D35423" w:rsidRPr="002069C6" w:rsidRDefault="00D35423" w:rsidP="00D3542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Respuesta:</w:t>
      </w:r>
    </w:p>
    <w:p w14:paraId="7DCCE9A4" w14:textId="77777777" w:rsidR="00D35423" w:rsidRPr="002069C6" w:rsidRDefault="00D35423" w:rsidP="00D35423">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35423" w:rsidRPr="002069C6" w14:paraId="4F42539A" w14:textId="77777777" w:rsidTr="000A2F0A">
        <w:tc>
          <w:tcPr>
            <w:tcW w:w="8828" w:type="dxa"/>
          </w:tcPr>
          <w:p w14:paraId="392C2201" w14:textId="750F7837" w:rsidR="00D35423" w:rsidRPr="002069C6" w:rsidRDefault="00D35423" w:rsidP="003869A5">
            <w:pPr>
              <w:widowControl w:val="0"/>
              <w:autoSpaceDE w:val="0"/>
              <w:autoSpaceDN w:val="0"/>
              <w:spacing w:after="120" w:line="276" w:lineRule="auto"/>
              <w:ind w:right="49"/>
              <w:jc w:val="both"/>
              <w:rPr>
                <w:rFonts w:ascii="Verdana" w:eastAsia="Verdana" w:hAnsi="Verdana" w:cs="Verdana"/>
                <w:lang w:val="es-ES"/>
              </w:rPr>
            </w:pPr>
            <w:r w:rsidRPr="002069C6">
              <w:rPr>
                <w:rFonts w:ascii="Verdana" w:eastAsia="Verdana" w:hAnsi="Verdana" w:cs="Verdana"/>
                <w:lang w:val="es-ES"/>
              </w:rPr>
              <w:t>En virtud de lo dispuesto en el artículo 14 de la Ley 1150 de 2007,</w:t>
            </w:r>
            <w:r w:rsidRPr="002069C6">
              <w:rPr>
                <w:rFonts w:ascii="Verdana" w:eastAsia="Verdana" w:hAnsi="Verdana" w:cs="Verdana"/>
                <w:spacing w:val="-11"/>
                <w:lang w:val="es-ES"/>
              </w:rPr>
              <w:t xml:space="preserve"> </w:t>
            </w:r>
            <w:r w:rsidRPr="002069C6">
              <w:rPr>
                <w:rFonts w:ascii="Verdana" w:eastAsia="Verdana" w:hAnsi="Verdana" w:cs="Verdana"/>
                <w:lang w:val="es-ES"/>
              </w:rPr>
              <w:t>modificado</w:t>
            </w:r>
            <w:r w:rsidRPr="002069C6">
              <w:rPr>
                <w:rFonts w:ascii="Verdana" w:eastAsia="Verdana" w:hAnsi="Verdana" w:cs="Verdana"/>
                <w:spacing w:val="-10"/>
                <w:lang w:val="es-ES"/>
              </w:rPr>
              <w:t xml:space="preserve"> </w:t>
            </w:r>
            <w:r w:rsidRPr="002069C6">
              <w:rPr>
                <w:rFonts w:ascii="Verdana" w:eastAsia="Verdana" w:hAnsi="Verdana" w:cs="Verdana"/>
                <w:lang w:val="es-ES"/>
              </w:rPr>
              <w:t>por</w:t>
            </w:r>
            <w:r w:rsidRPr="002069C6">
              <w:rPr>
                <w:rFonts w:ascii="Verdana" w:eastAsia="Verdana" w:hAnsi="Verdana" w:cs="Verdana"/>
                <w:spacing w:val="-10"/>
                <w:lang w:val="es-ES"/>
              </w:rPr>
              <w:t xml:space="preserve"> </w:t>
            </w:r>
            <w:r w:rsidRPr="002069C6">
              <w:rPr>
                <w:rFonts w:ascii="Verdana" w:eastAsia="Verdana" w:hAnsi="Verdana" w:cs="Verdana"/>
                <w:lang w:val="es-ES"/>
              </w:rPr>
              <w:t>el</w:t>
            </w:r>
            <w:r w:rsidRPr="002069C6">
              <w:rPr>
                <w:rFonts w:ascii="Verdana" w:eastAsia="Verdana" w:hAnsi="Verdana" w:cs="Verdana"/>
                <w:spacing w:val="-11"/>
                <w:lang w:val="es-ES"/>
              </w:rPr>
              <w:t xml:space="preserve"> </w:t>
            </w:r>
            <w:r w:rsidRPr="002069C6">
              <w:rPr>
                <w:rFonts w:ascii="Verdana" w:eastAsia="Verdana" w:hAnsi="Verdana" w:cs="Verdana"/>
                <w:lang w:val="es-ES"/>
              </w:rPr>
              <w:t>artículo</w:t>
            </w:r>
            <w:r w:rsidRPr="002069C6">
              <w:rPr>
                <w:rFonts w:ascii="Verdana" w:eastAsia="Verdana" w:hAnsi="Verdana" w:cs="Verdana"/>
                <w:spacing w:val="-10"/>
                <w:lang w:val="es-ES"/>
              </w:rPr>
              <w:t xml:space="preserve"> </w:t>
            </w:r>
            <w:r w:rsidRPr="002069C6">
              <w:rPr>
                <w:rFonts w:ascii="Verdana" w:eastAsia="Verdana" w:hAnsi="Verdana" w:cs="Verdana"/>
                <w:lang w:val="es-ES"/>
              </w:rPr>
              <w:t>93</w:t>
            </w:r>
            <w:r w:rsidRPr="002069C6">
              <w:rPr>
                <w:rFonts w:ascii="Verdana" w:eastAsia="Verdana" w:hAnsi="Verdana" w:cs="Verdana"/>
                <w:spacing w:val="-11"/>
                <w:lang w:val="es-ES"/>
              </w:rPr>
              <w:t xml:space="preserve"> </w:t>
            </w:r>
            <w:r w:rsidRPr="002069C6">
              <w:rPr>
                <w:rFonts w:ascii="Verdana" w:eastAsia="Verdana" w:hAnsi="Verdana" w:cs="Verdana"/>
                <w:lang w:val="es-ES"/>
              </w:rPr>
              <w:t>de</w:t>
            </w:r>
            <w:r w:rsidRPr="002069C6">
              <w:rPr>
                <w:rFonts w:ascii="Verdana" w:eastAsia="Verdana" w:hAnsi="Verdana" w:cs="Verdana"/>
                <w:spacing w:val="-12"/>
                <w:lang w:val="es-ES"/>
              </w:rPr>
              <w:t xml:space="preserve"> </w:t>
            </w:r>
            <w:r w:rsidRPr="002069C6">
              <w:rPr>
                <w:rFonts w:ascii="Verdana" w:eastAsia="Verdana" w:hAnsi="Verdana" w:cs="Verdana"/>
                <w:lang w:val="es-ES"/>
              </w:rPr>
              <w:t>la</w:t>
            </w:r>
            <w:r w:rsidRPr="002069C6">
              <w:rPr>
                <w:rFonts w:ascii="Verdana" w:eastAsia="Verdana" w:hAnsi="Verdana" w:cs="Verdana"/>
                <w:spacing w:val="-13"/>
                <w:lang w:val="es-ES"/>
              </w:rPr>
              <w:t xml:space="preserve"> </w:t>
            </w:r>
            <w:r w:rsidRPr="002069C6">
              <w:rPr>
                <w:rFonts w:ascii="Verdana" w:eastAsia="Verdana" w:hAnsi="Verdana" w:cs="Verdana"/>
                <w:lang w:val="es-ES"/>
              </w:rPr>
              <w:t>Ley</w:t>
            </w:r>
            <w:r w:rsidRPr="002069C6">
              <w:rPr>
                <w:rFonts w:ascii="Verdana" w:eastAsia="Verdana" w:hAnsi="Verdana" w:cs="Verdana"/>
                <w:spacing w:val="-11"/>
                <w:lang w:val="es-ES"/>
              </w:rPr>
              <w:t xml:space="preserve"> </w:t>
            </w:r>
            <w:r w:rsidRPr="002069C6">
              <w:rPr>
                <w:rFonts w:ascii="Verdana" w:eastAsia="Verdana" w:hAnsi="Verdana" w:cs="Verdana"/>
                <w:lang w:val="es-ES"/>
              </w:rPr>
              <w:t>1474</w:t>
            </w:r>
            <w:r w:rsidRPr="002069C6">
              <w:rPr>
                <w:rFonts w:ascii="Verdana" w:eastAsia="Verdana" w:hAnsi="Verdana" w:cs="Verdana"/>
                <w:spacing w:val="-11"/>
                <w:lang w:val="es-ES"/>
              </w:rPr>
              <w:t xml:space="preserve"> </w:t>
            </w:r>
            <w:r w:rsidRPr="002069C6">
              <w:rPr>
                <w:rFonts w:ascii="Verdana" w:eastAsia="Verdana" w:hAnsi="Verdana" w:cs="Verdana"/>
                <w:lang w:val="es-ES"/>
              </w:rPr>
              <w:t>de</w:t>
            </w:r>
            <w:r w:rsidRPr="002069C6">
              <w:rPr>
                <w:rFonts w:ascii="Verdana" w:eastAsia="Verdana" w:hAnsi="Verdana" w:cs="Verdana"/>
                <w:spacing w:val="-12"/>
                <w:lang w:val="es-ES"/>
              </w:rPr>
              <w:t xml:space="preserve"> </w:t>
            </w:r>
            <w:r w:rsidRPr="002069C6">
              <w:rPr>
                <w:rFonts w:ascii="Verdana" w:eastAsia="Verdana" w:hAnsi="Verdana" w:cs="Verdana"/>
                <w:lang w:val="es-ES"/>
              </w:rPr>
              <w:t>2011,</w:t>
            </w:r>
            <w:r w:rsidRPr="002069C6">
              <w:rPr>
                <w:rFonts w:ascii="Verdana" w:eastAsia="Verdana" w:hAnsi="Verdana" w:cs="Verdana"/>
                <w:spacing w:val="-11"/>
                <w:lang w:val="es-ES"/>
              </w:rPr>
              <w:t xml:space="preserve"> </w:t>
            </w:r>
            <w:r w:rsidRPr="002069C6">
              <w:rPr>
                <w:rFonts w:ascii="Verdana" w:eastAsia="Verdana" w:hAnsi="Verdana" w:cs="Verdana"/>
                <w:lang w:val="es-ES"/>
              </w:rPr>
              <w:t>las Empresas Industriales y Comerciales del Estado están sometidas, por regla general, al Estatuto</w:t>
            </w:r>
            <w:r w:rsidRPr="002069C6">
              <w:rPr>
                <w:rFonts w:ascii="Verdana" w:eastAsia="Verdana" w:hAnsi="Verdana" w:cs="Verdana"/>
                <w:spacing w:val="-8"/>
                <w:lang w:val="es-ES"/>
              </w:rPr>
              <w:t xml:space="preserve"> </w:t>
            </w:r>
            <w:r w:rsidRPr="002069C6">
              <w:rPr>
                <w:rFonts w:ascii="Verdana" w:eastAsia="Verdana" w:hAnsi="Verdana" w:cs="Verdana"/>
                <w:lang w:val="es-ES"/>
              </w:rPr>
              <w:lastRenderedPageBreak/>
              <w:t>General</w:t>
            </w:r>
            <w:r w:rsidRPr="002069C6">
              <w:rPr>
                <w:rFonts w:ascii="Verdana" w:eastAsia="Verdana" w:hAnsi="Verdana" w:cs="Verdana"/>
                <w:spacing w:val="-9"/>
                <w:lang w:val="es-ES"/>
              </w:rPr>
              <w:t xml:space="preserve"> </w:t>
            </w:r>
            <w:r w:rsidRPr="002069C6">
              <w:rPr>
                <w:rFonts w:ascii="Verdana" w:eastAsia="Verdana" w:hAnsi="Verdana" w:cs="Verdana"/>
                <w:lang w:val="es-ES"/>
              </w:rPr>
              <w:t>de</w:t>
            </w:r>
            <w:r w:rsidRPr="002069C6">
              <w:rPr>
                <w:rFonts w:ascii="Verdana" w:eastAsia="Verdana" w:hAnsi="Verdana" w:cs="Verdana"/>
                <w:spacing w:val="-10"/>
                <w:lang w:val="es-ES"/>
              </w:rPr>
              <w:t xml:space="preserve"> </w:t>
            </w:r>
            <w:r w:rsidRPr="002069C6">
              <w:rPr>
                <w:rFonts w:ascii="Verdana" w:eastAsia="Verdana" w:hAnsi="Verdana" w:cs="Verdana"/>
                <w:lang w:val="es-ES"/>
              </w:rPr>
              <w:t>Contratación</w:t>
            </w:r>
            <w:r w:rsidRPr="002069C6">
              <w:rPr>
                <w:rFonts w:ascii="Verdana" w:eastAsia="Verdana" w:hAnsi="Verdana" w:cs="Verdana"/>
                <w:spacing w:val="-9"/>
                <w:lang w:val="es-ES"/>
              </w:rPr>
              <w:t xml:space="preserve"> </w:t>
            </w:r>
            <w:r w:rsidRPr="002069C6">
              <w:rPr>
                <w:rFonts w:ascii="Verdana" w:eastAsia="Verdana" w:hAnsi="Verdana" w:cs="Verdana"/>
                <w:lang w:val="es-ES"/>
              </w:rPr>
              <w:t>de</w:t>
            </w:r>
            <w:r w:rsidRPr="002069C6">
              <w:rPr>
                <w:rFonts w:ascii="Verdana" w:eastAsia="Verdana" w:hAnsi="Verdana" w:cs="Verdana"/>
                <w:spacing w:val="-10"/>
                <w:lang w:val="es-ES"/>
              </w:rPr>
              <w:t xml:space="preserve"> </w:t>
            </w:r>
            <w:r w:rsidRPr="002069C6">
              <w:rPr>
                <w:rFonts w:ascii="Verdana" w:eastAsia="Verdana" w:hAnsi="Verdana" w:cs="Verdana"/>
                <w:lang w:val="es-ES"/>
              </w:rPr>
              <w:t>la</w:t>
            </w:r>
            <w:r w:rsidRPr="002069C6">
              <w:rPr>
                <w:rFonts w:ascii="Verdana" w:eastAsia="Verdana" w:hAnsi="Verdana" w:cs="Verdana"/>
                <w:spacing w:val="-11"/>
                <w:lang w:val="es-ES"/>
              </w:rPr>
              <w:t xml:space="preserve"> </w:t>
            </w:r>
            <w:r w:rsidRPr="002069C6">
              <w:rPr>
                <w:rFonts w:ascii="Verdana" w:eastAsia="Verdana" w:hAnsi="Verdana" w:cs="Verdana"/>
                <w:lang w:val="es-ES"/>
              </w:rPr>
              <w:t>Administración</w:t>
            </w:r>
            <w:r w:rsidRPr="002069C6">
              <w:rPr>
                <w:rFonts w:ascii="Verdana" w:eastAsia="Verdana" w:hAnsi="Verdana" w:cs="Verdana"/>
                <w:spacing w:val="-9"/>
                <w:lang w:val="es-ES"/>
              </w:rPr>
              <w:t xml:space="preserve"> </w:t>
            </w:r>
            <w:r w:rsidRPr="002069C6">
              <w:rPr>
                <w:rFonts w:ascii="Verdana" w:eastAsia="Verdana" w:hAnsi="Verdana" w:cs="Verdana"/>
                <w:lang w:val="es-ES"/>
              </w:rPr>
              <w:t>Pública,</w:t>
            </w:r>
            <w:r w:rsidRPr="002069C6">
              <w:rPr>
                <w:rFonts w:ascii="Verdana" w:eastAsia="Verdana" w:hAnsi="Verdana" w:cs="Verdana"/>
                <w:spacing w:val="-9"/>
                <w:lang w:val="es-ES"/>
              </w:rPr>
              <w:t xml:space="preserve"> </w:t>
            </w:r>
            <w:r w:rsidRPr="002069C6">
              <w:rPr>
                <w:rFonts w:ascii="Verdana" w:eastAsia="Verdana" w:hAnsi="Verdana" w:cs="Verdana"/>
                <w:lang w:val="es-ES"/>
              </w:rPr>
              <w:t>excepto</w:t>
            </w:r>
            <w:r w:rsidRPr="002069C6">
              <w:rPr>
                <w:rFonts w:ascii="Verdana" w:eastAsia="Verdana" w:hAnsi="Verdana" w:cs="Verdana"/>
                <w:spacing w:val="-8"/>
                <w:lang w:val="es-ES"/>
              </w:rPr>
              <w:t xml:space="preserve"> </w:t>
            </w:r>
            <w:r w:rsidR="005D1250">
              <w:rPr>
                <w:rFonts w:ascii="Verdana" w:eastAsia="Verdana" w:hAnsi="Verdana" w:cs="Verdana"/>
                <w:spacing w:val="-8"/>
                <w:lang w:val="es-ES"/>
              </w:rPr>
              <w:t>cuando</w:t>
            </w:r>
            <w:r w:rsidRPr="002069C6">
              <w:rPr>
                <w:rFonts w:ascii="Verdana" w:eastAsia="Verdana" w:hAnsi="Verdana" w:cs="Verdana"/>
                <w:lang w:val="es-ES"/>
              </w:rPr>
              <w:t xml:space="preserve">: i) desarrollen actividades comerciales en competencia con el sector privado y/o público, nacional o internacional; o </w:t>
            </w:r>
            <w:proofErr w:type="spellStart"/>
            <w:r w:rsidRPr="002069C6">
              <w:rPr>
                <w:rFonts w:ascii="Verdana" w:eastAsia="Verdana" w:hAnsi="Verdana" w:cs="Verdana"/>
                <w:lang w:val="es-ES"/>
              </w:rPr>
              <w:t>ii</w:t>
            </w:r>
            <w:proofErr w:type="spellEnd"/>
            <w:r w:rsidRPr="002069C6">
              <w:rPr>
                <w:rFonts w:ascii="Verdana" w:eastAsia="Verdana" w:hAnsi="Verdana" w:cs="Verdana"/>
                <w:lang w:val="es-ES"/>
              </w:rPr>
              <w:t>) desarrollen actividades en mercados regulados, eventos en los cuales se regirán por las disposiciones legales y reglamentarias aplicables a sus actividades económicas y comerciales.</w:t>
            </w:r>
          </w:p>
          <w:p w14:paraId="6D2149B7" w14:textId="77777777" w:rsidR="00D35423" w:rsidRPr="002069C6" w:rsidRDefault="00D35423" w:rsidP="000A2F0A">
            <w:pPr>
              <w:widowControl w:val="0"/>
              <w:autoSpaceDE w:val="0"/>
              <w:autoSpaceDN w:val="0"/>
              <w:spacing w:after="120" w:line="276" w:lineRule="auto"/>
              <w:ind w:right="49" w:firstLine="709"/>
              <w:jc w:val="both"/>
              <w:rPr>
                <w:rFonts w:ascii="Verdana" w:eastAsia="Arial" w:hAnsi="Verdana" w:cs="Arial"/>
                <w:lang w:val="es-ES"/>
              </w:rPr>
            </w:pPr>
            <w:r w:rsidRPr="002069C6">
              <w:rPr>
                <w:rFonts w:ascii="Verdana" w:eastAsia="Verdana" w:hAnsi="Verdana" w:cs="Verdana"/>
                <w:lang w:val="es-ES"/>
              </w:rPr>
              <w:t xml:space="preserve">En caso de que la Empresa Industrial y Comercial del Estado se rija por el Estatuto General de Contratación de la Administración Pública deberá aplicar esta normativa con respecto a los mecanismos para asegurar el cumplimiento de los contratos que suscriba. </w:t>
            </w:r>
            <w:r w:rsidRPr="002069C6">
              <w:rPr>
                <w:rFonts w:ascii="Verdana" w:eastAsia="Arial" w:hAnsi="Verdana" w:cs="Arial"/>
                <w:lang w:val="es-ES"/>
              </w:rPr>
              <w:t xml:space="preserve">Conforme lo expuesto en el presente concepto, el artículo 7 de la Ley 1150 de 2007 señala que las garantías consistirán en pólizas expedidas por compañías de seguros legalmente autorizadas para funcionar en Colombia, en garantías bancarias y, en general, en los demás mecanismos de cobertura del riesgo autorizados por el reglamento para el efecto. En virtud de esta disposición, el artículo 2.2.1.2.3.1.2. del Decreto 1082 de 2015 reiteró las garantías previstas en la Ley 1150 de 2007 y autorizó el patrimonio autónomo como instrumento para asegurar riesgos. </w:t>
            </w:r>
          </w:p>
          <w:p w14:paraId="3115EB04" w14:textId="77777777" w:rsidR="00D35423" w:rsidRPr="002069C6" w:rsidRDefault="00D35423" w:rsidP="000A2F0A">
            <w:pPr>
              <w:widowControl w:val="0"/>
              <w:autoSpaceDE w:val="0"/>
              <w:autoSpaceDN w:val="0"/>
              <w:spacing w:after="120" w:line="276" w:lineRule="auto"/>
              <w:ind w:right="49" w:firstLine="709"/>
              <w:jc w:val="both"/>
              <w:rPr>
                <w:rFonts w:ascii="Verdana" w:eastAsia="Verdana" w:hAnsi="Verdana" w:cs="Verdana"/>
                <w:lang w:val="es-ES"/>
              </w:rPr>
            </w:pPr>
            <w:r w:rsidRPr="002069C6">
              <w:rPr>
                <w:rFonts w:ascii="Verdana" w:eastAsia="Arial" w:hAnsi="Verdana" w:cs="Arial"/>
              </w:rPr>
              <w:t>De esta forma, en los procesos regidos por el Estatuto, las Empresas Industriales y Comerciales del Estado podrán establecer tres (3) tipos de garantías:</w:t>
            </w:r>
            <w:r w:rsidRPr="002069C6">
              <w:rPr>
                <w:rFonts w:ascii="Verdana" w:hAnsi="Verdana" w:cs="Arial"/>
                <w:color w:val="000000" w:themeColor="text1"/>
              </w:rPr>
              <w:t xml:space="preserve"> 1) contratos de seguro, es decir, </w:t>
            </w:r>
            <w:r w:rsidRPr="002069C6">
              <w:rPr>
                <w:rFonts w:ascii="Verdana" w:eastAsia="Verdana" w:hAnsi="Verdana" w:cs="Verdana"/>
                <w:lang/>
              </w:rPr>
              <w:t xml:space="preserve">pólizas expedidas por compañías de seguros legalmente autorizadas para funcionar en Colombia; 2) la </w:t>
            </w:r>
            <w:r w:rsidRPr="002069C6">
              <w:rPr>
                <w:rFonts w:ascii="Verdana" w:hAnsi="Verdana" w:cs="Arial"/>
                <w:color w:val="000000" w:themeColor="text1"/>
              </w:rPr>
              <w:t>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w:t>
            </w:r>
            <w:r w:rsidRPr="002069C6">
              <w:rPr>
                <w:rFonts w:ascii="Verdana" w:hAnsi="Verdana"/>
              </w:rPr>
              <w:t>a</w:t>
            </w:r>
            <w:r w:rsidRPr="002069C6">
              <w:rPr>
                <w:rFonts w:ascii="Verdana" w:hAnsi="Verdana" w:cs="Arial"/>
                <w:color w:val="000000" w:themeColor="text1"/>
              </w:rPr>
              <w:t xml:space="preserve">; o 3) las garantías bancarias o cartas de crédito </w:t>
            </w:r>
            <w:r w:rsidRPr="002069C6">
              <w:rPr>
                <w:rFonts w:ascii="Verdana" w:hAnsi="Verdana" w:cs="Arial"/>
                <w:i/>
                <w:iCs/>
                <w:color w:val="000000" w:themeColor="text1"/>
              </w:rPr>
              <w:t>stand</w:t>
            </w:r>
            <w:r w:rsidRPr="002069C6">
              <w:rPr>
                <w:rFonts w:ascii="Verdana" w:hAnsi="Verdana" w:cs="Arial"/>
                <w:color w:val="000000" w:themeColor="text1"/>
              </w:rPr>
              <w:t xml:space="preserve"> </w:t>
            </w:r>
            <w:proofErr w:type="spellStart"/>
            <w:r w:rsidRPr="002069C6">
              <w:rPr>
                <w:rFonts w:ascii="Verdana" w:hAnsi="Verdana" w:cs="Arial"/>
                <w:i/>
                <w:iCs/>
                <w:color w:val="000000" w:themeColor="text1"/>
              </w:rPr>
              <w:t>by</w:t>
            </w:r>
            <w:proofErr w:type="spellEnd"/>
            <w:r w:rsidRPr="002069C6">
              <w:rPr>
                <w:rFonts w:ascii="Verdana" w:hAnsi="Verdana" w:cs="Arial"/>
                <w:color w:val="000000" w:themeColor="text1"/>
              </w:rPr>
              <w:t xml:space="preserve"> que consisten en compromisos irrevocables o incondicionales asumidos por una entidad financiera de pagar una suma determinada de dinero.</w:t>
            </w:r>
          </w:p>
          <w:p w14:paraId="30E5C3E8" w14:textId="77777777" w:rsidR="00D35423" w:rsidRPr="002069C6" w:rsidRDefault="00D35423" w:rsidP="000A2F0A">
            <w:pPr>
              <w:widowControl w:val="0"/>
              <w:autoSpaceDE w:val="0"/>
              <w:autoSpaceDN w:val="0"/>
              <w:spacing w:after="120" w:line="276" w:lineRule="auto"/>
              <w:ind w:firstLine="709"/>
              <w:jc w:val="both"/>
              <w:rPr>
                <w:rFonts w:ascii="Verdana" w:eastAsia="Arial" w:hAnsi="Verdana" w:cs="Arial"/>
                <w:lang w:val="es-ES"/>
              </w:rPr>
            </w:pPr>
            <w:r w:rsidRPr="002069C6">
              <w:rPr>
                <w:rFonts w:ascii="Verdana" w:eastAsia="Arial" w:hAnsi="Verdana" w:cs="Arial"/>
                <w:lang w:val="es-ES"/>
              </w:rPr>
              <w:t xml:space="preserve">Debido a que ni la Ley ni el reglamento contemplaron la fianza, y en este campo no cabe la autonomía de la voluntad como mecanismo habilitador para que en virtud del muto consenso sea incluida, no existe un fundamento jurídico que permita que las entidades sometidas al Estatuto hagan uso de esta figura para garantizar el cumplimiento de los contratos estatales. </w:t>
            </w:r>
          </w:p>
          <w:p w14:paraId="799971BF" w14:textId="37653A82" w:rsidR="00D35423" w:rsidRDefault="00D35423" w:rsidP="000A2F0A">
            <w:pPr>
              <w:widowControl w:val="0"/>
              <w:autoSpaceDE w:val="0"/>
              <w:autoSpaceDN w:val="0"/>
              <w:spacing w:after="120" w:line="276" w:lineRule="auto"/>
              <w:ind w:firstLine="709"/>
              <w:jc w:val="both"/>
              <w:rPr>
                <w:rFonts w:ascii="Verdana" w:eastAsia="Arial" w:hAnsi="Verdana" w:cs="Arial"/>
                <w:lang w:val="es-ES"/>
              </w:rPr>
            </w:pPr>
            <w:r w:rsidRPr="002069C6">
              <w:rPr>
                <w:rFonts w:ascii="Verdana" w:eastAsia="Arial" w:hAnsi="Verdana" w:cs="Arial"/>
                <w:lang w:val="es-ES"/>
              </w:rPr>
              <w:t xml:space="preserve">Además de las razones de orden normativo, se resalta que la </w:t>
            </w:r>
            <w:r w:rsidRPr="002069C6">
              <w:rPr>
                <w:rFonts w:ascii="Verdana" w:eastAsia="Arial" w:hAnsi="Verdana" w:cs="Arial"/>
                <w:lang w:val="es-ES"/>
              </w:rPr>
              <w:lastRenderedPageBreak/>
              <w:t>Superintendencia Financiera ha reiterado que los contratos de fianza no son aceptables como garantías de cumplimiento en contratación pública, pues las sociedades afianzadoras no se encuentran sometidas a su vigilancia y control, de modo que no están autorizadas para expedir contratos de seguro.</w:t>
            </w:r>
          </w:p>
          <w:p w14:paraId="3589C836" w14:textId="53B62574" w:rsidR="00D35423" w:rsidRPr="00211384" w:rsidRDefault="00D35423" w:rsidP="00211384">
            <w:pPr>
              <w:spacing w:before="120" w:after="120" w:line="276" w:lineRule="auto"/>
              <w:ind w:firstLine="708"/>
              <w:jc w:val="both"/>
              <w:rPr>
                <w:rFonts w:ascii="Verdana" w:hAnsi="Verdana" w:cs="Arial"/>
                <w:color w:val="000000" w:themeColor="text1"/>
              </w:rPr>
            </w:pPr>
            <w:r>
              <w:rPr>
                <w:rFonts w:ascii="Verdana" w:hAnsi="Verdana" w:cs="Arial"/>
                <w:color w:val="000000" w:themeColor="text1"/>
              </w:rPr>
              <w:t>En cualquier caso</w:t>
            </w:r>
            <w:r w:rsidRPr="002069C6">
              <w:rPr>
                <w:rFonts w:ascii="Verdana" w:hAnsi="Verdana" w:cs="Arial"/>
                <w:color w:val="000000" w:themeColor="text1"/>
              </w:rPr>
              <w:t xml:space="preserve">, la normativa del sistema de compra pública permite </w:t>
            </w:r>
            <w:proofErr w:type="gramStart"/>
            <w:r w:rsidRPr="002069C6">
              <w:rPr>
                <w:rFonts w:ascii="Verdana" w:hAnsi="Verdana" w:cs="Arial"/>
                <w:color w:val="000000" w:themeColor="text1"/>
              </w:rPr>
              <w:t>que</w:t>
            </w:r>
            <w:proofErr w:type="gramEnd"/>
            <w:r w:rsidRPr="002069C6">
              <w:rPr>
                <w:rFonts w:ascii="Verdana" w:hAnsi="Verdana" w:cs="Arial"/>
                <w:color w:val="000000" w:themeColor="text1"/>
              </w:rPr>
              <w:t xml:space="preserve"> si el oferente no puede respaldar el cumplimiento mediante un contrato de seguro materializado en la expedición de una póliza, </w:t>
            </w:r>
            <w:r w:rsidR="00211384">
              <w:rPr>
                <w:rFonts w:ascii="Verdana" w:hAnsi="Verdana" w:cs="Arial"/>
                <w:color w:val="000000" w:themeColor="text1"/>
              </w:rPr>
              <w:t xml:space="preserve">garantice </w:t>
            </w:r>
            <w:r w:rsidRPr="002069C6">
              <w:rPr>
                <w:rFonts w:ascii="Verdana" w:hAnsi="Verdana" w:cs="Arial"/>
                <w:color w:val="000000" w:themeColor="text1"/>
              </w:rPr>
              <w:t xml:space="preserve">el cumplimiento mediante alguna de las otras opciones contempladas en el artículo 2.2.1.2.3.1.2 del Decreto </w:t>
            </w:r>
            <w:r w:rsidR="00211384">
              <w:rPr>
                <w:rFonts w:ascii="Verdana" w:hAnsi="Verdana" w:cs="Arial"/>
                <w:color w:val="000000" w:themeColor="text1"/>
              </w:rPr>
              <w:t>1</w:t>
            </w:r>
            <w:r w:rsidRPr="002069C6">
              <w:rPr>
                <w:rFonts w:ascii="Verdana" w:hAnsi="Verdana" w:cs="Arial"/>
                <w:color w:val="000000" w:themeColor="text1"/>
              </w:rPr>
              <w:t xml:space="preserve">082 de 2015, es decir, mediante patrimonio autónomo o garantía bancaria. </w:t>
            </w:r>
          </w:p>
          <w:p w14:paraId="01D283F5" w14:textId="49E6F687" w:rsidR="00D35423" w:rsidRPr="002069C6" w:rsidRDefault="00D35423" w:rsidP="000A2F0A">
            <w:pPr>
              <w:spacing w:after="120" w:line="276" w:lineRule="auto"/>
              <w:ind w:firstLine="709"/>
              <w:jc w:val="both"/>
              <w:rPr>
                <w:rFonts w:ascii="Verdana" w:eastAsia="Calibri" w:hAnsi="Verdana" w:cs="Arial"/>
                <w:bCs/>
                <w:lang w:val="es-ES"/>
              </w:rPr>
            </w:pPr>
            <w:r w:rsidRPr="002069C6">
              <w:rPr>
                <w:rFonts w:ascii="Verdana" w:eastAsia="Verdana" w:hAnsi="Verdana" w:cs="Verdana"/>
                <w:lang w:val="es-ES"/>
              </w:rPr>
              <w:t xml:space="preserve">A pesar de lo expuesto, es importante resaltar que </w:t>
            </w:r>
            <w:r w:rsidRPr="002069C6">
              <w:rPr>
                <w:rFonts w:ascii="Verdana" w:eastAsia="Calibri" w:hAnsi="Verdana" w:cs="Arial"/>
                <w:bCs/>
                <w:lang w:val="es-ES"/>
              </w:rPr>
              <w:t xml:space="preserve">el artículo 2.2.1.2.1.4.5. del Decreto 1082 de 2015 establece </w:t>
            </w:r>
            <w:proofErr w:type="gramStart"/>
            <w:r w:rsidRPr="002069C6">
              <w:rPr>
                <w:rFonts w:ascii="Verdana" w:eastAsia="Calibri" w:hAnsi="Verdana" w:cs="Arial"/>
                <w:bCs/>
                <w:lang w:val="es-ES"/>
              </w:rPr>
              <w:t>que</w:t>
            </w:r>
            <w:proofErr w:type="gramEnd"/>
            <w:r w:rsidRPr="002069C6">
              <w:rPr>
                <w:rFonts w:ascii="Verdana" w:eastAsia="Calibri" w:hAnsi="Verdana" w:cs="Arial"/>
                <w:bCs/>
                <w:lang w:val="es-ES"/>
              </w:rPr>
              <w:t xml:space="preserve"> en los procesos de contratación directa, como es el caso de aquellos que se </w:t>
            </w:r>
            <w:r w:rsidR="00211384" w:rsidRPr="002069C6">
              <w:rPr>
                <w:rFonts w:ascii="Verdana" w:eastAsia="Calibri" w:hAnsi="Verdana" w:cs="Arial"/>
                <w:bCs/>
                <w:lang w:val="es-ES"/>
              </w:rPr>
              <w:t>contraten</w:t>
            </w:r>
            <w:r w:rsidRPr="002069C6">
              <w:rPr>
                <w:rFonts w:ascii="Verdana" w:eastAsia="Calibri" w:hAnsi="Verdana" w:cs="Arial"/>
                <w:bCs/>
                <w:lang w:val="es-ES"/>
              </w:rPr>
              <w:t xml:space="preserve"> por la causal de urgencia manifiesta, no es </w:t>
            </w:r>
            <w:r w:rsidR="00211384">
              <w:rPr>
                <w:rFonts w:ascii="Verdana" w:eastAsia="Calibri" w:hAnsi="Verdana" w:cs="Arial"/>
                <w:bCs/>
                <w:lang w:val="es-ES"/>
              </w:rPr>
              <w:t xml:space="preserve">obligatorio </w:t>
            </w:r>
            <w:r w:rsidRPr="002069C6">
              <w:rPr>
                <w:rFonts w:ascii="Verdana" w:eastAsia="Calibri" w:hAnsi="Verdana" w:cs="Arial"/>
                <w:bCs/>
                <w:lang w:val="es-ES"/>
              </w:rPr>
              <w:t xml:space="preserve">que las entidades exijan las garantías establecidas en los artículos 2.2.1.2.3.1.1 al 2.2.1.2.3.5.1. de dicho Decreto. Sin embargo, en estos supuestos, deberán incluir la justificación para exigirlas o no en los estudios y documentos previos. </w:t>
            </w:r>
          </w:p>
          <w:p w14:paraId="041CF44C" w14:textId="4A9B8A7C" w:rsidR="00D35423" w:rsidRPr="002069C6" w:rsidRDefault="00911093" w:rsidP="000A2F0A">
            <w:pPr>
              <w:tabs>
                <w:tab w:val="left" w:pos="142"/>
                <w:tab w:val="left" w:pos="284"/>
              </w:tabs>
              <w:spacing w:before="120" w:after="120" w:line="276" w:lineRule="auto"/>
              <w:ind w:firstLine="709"/>
              <w:jc w:val="both"/>
              <w:rPr>
                <w:rFonts w:ascii="Verdana" w:eastAsia="Calibri" w:hAnsi="Verdana" w:cs="Arial"/>
                <w:bCs/>
                <w:lang w:val="es-ES"/>
              </w:rPr>
            </w:pPr>
            <w:r>
              <w:rPr>
                <w:rFonts w:ascii="Verdana" w:eastAsia="Calibri" w:hAnsi="Verdana" w:cs="Arial"/>
                <w:lang w:val="es-ES"/>
              </w:rPr>
              <w:t xml:space="preserve">Así, las Empresas Industriales y Comerciales </w:t>
            </w:r>
            <w:r w:rsidR="00D35423" w:rsidRPr="002069C6">
              <w:rPr>
                <w:rFonts w:ascii="Verdana" w:eastAsia="Calibri" w:hAnsi="Verdana" w:cs="Arial"/>
                <w:lang w:val="es-ES"/>
              </w:rPr>
              <w:t>sometidas al E</w:t>
            </w:r>
            <w:r>
              <w:rPr>
                <w:rFonts w:ascii="Verdana" w:eastAsia="Calibri" w:hAnsi="Verdana" w:cs="Arial"/>
                <w:lang w:val="es-ES"/>
              </w:rPr>
              <w:t>statuto</w:t>
            </w:r>
            <w:r w:rsidR="00D35423" w:rsidRPr="002069C6">
              <w:rPr>
                <w:rFonts w:ascii="Verdana" w:eastAsia="Calibri" w:hAnsi="Verdana" w:cs="Arial"/>
                <w:lang w:val="es-ES"/>
              </w:rPr>
              <w:t xml:space="preserve"> que contraten mediante la causal de urgencia manifiesta </w:t>
            </w:r>
            <w:r w:rsidR="00D35423" w:rsidRPr="002069C6">
              <w:rPr>
                <w:rFonts w:ascii="Verdana" w:eastAsia="Calibri" w:hAnsi="Verdana" w:cs="Arial"/>
                <w:bCs/>
                <w:lang w:val="es-ES"/>
              </w:rPr>
              <w:t xml:space="preserve">tienen la obligación de realizar un análisis objetivo de los eventuales riesgos asociados a la ejecución del futuro contrato para determinar la necesidad de exigir las garantías que resulten aplicables. </w:t>
            </w:r>
            <w:r w:rsidR="00D35423" w:rsidRPr="002069C6">
              <w:rPr>
                <w:rFonts w:ascii="Verdana" w:hAnsi="Verdana"/>
                <w:lang w:val="es-ES"/>
              </w:rPr>
              <w:t xml:space="preserve">De conformidad con el objeto contractual, las obligaciones y la cuantía, </w:t>
            </w:r>
            <w:r w:rsidR="00D35423" w:rsidRPr="002069C6">
              <w:rPr>
                <w:rFonts w:ascii="Verdana" w:eastAsia="Calibri" w:hAnsi="Verdana" w:cs="Arial"/>
                <w:bCs/>
                <w:lang w:val="es-ES"/>
              </w:rPr>
              <w:t>así como del deber de prevenir riesgos antijuridicos para la Entidad,</w:t>
            </w:r>
            <w:r w:rsidR="00D35423" w:rsidRPr="002069C6">
              <w:rPr>
                <w:rFonts w:ascii="Verdana" w:hAnsi="Verdana"/>
                <w:lang w:val="es-ES"/>
              </w:rPr>
              <w:t xml:space="preserve"> deben analizar la necesidad de exigirlas o no, y consignarlo así en el acto administrativo a través del cual declaren la urgencia manifiesta.</w:t>
            </w:r>
            <w:r w:rsidR="00D35423" w:rsidRPr="002069C6">
              <w:rPr>
                <w:rFonts w:ascii="Verdana" w:eastAsia="Calibri" w:hAnsi="Verdana" w:cs="Arial"/>
                <w:bCs/>
                <w:lang w:val="es-ES"/>
              </w:rPr>
              <w:t xml:space="preserve"> </w:t>
            </w:r>
          </w:p>
          <w:p w14:paraId="241FDD16" w14:textId="77777777" w:rsidR="00434042" w:rsidRDefault="00D35423" w:rsidP="00434042">
            <w:pPr>
              <w:widowControl w:val="0"/>
              <w:autoSpaceDE w:val="0"/>
              <w:autoSpaceDN w:val="0"/>
              <w:spacing w:after="120" w:line="276" w:lineRule="auto"/>
              <w:ind w:right="51" w:firstLine="709"/>
              <w:jc w:val="both"/>
              <w:rPr>
                <w:rFonts w:ascii="Verdana" w:eastAsia="Verdana" w:hAnsi="Verdana" w:cs="Verdana"/>
                <w:lang w:val="es-ES"/>
              </w:rPr>
            </w:pPr>
            <w:r w:rsidRPr="002069C6">
              <w:rPr>
                <w:rFonts w:ascii="Verdana" w:eastAsia="Calibri" w:hAnsi="Verdana" w:cs="Arial"/>
                <w:bCs/>
                <w:lang w:val="es-ES"/>
              </w:rPr>
              <w:t xml:space="preserve">Finalmente, cuando se trate de una Empresa Industrial y Comercial del Estado </w:t>
            </w:r>
            <w:r w:rsidRPr="002069C6">
              <w:rPr>
                <w:rFonts w:ascii="Verdana" w:eastAsia="Verdana" w:hAnsi="Verdana" w:cs="Verdana"/>
                <w:lang w:val="es-ES"/>
              </w:rPr>
              <w:t xml:space="preserve">exceptuada de aplicar </w:t>
            </w:r>
            <w:r w:rsidRPr="002069C6">
              <w:rPr>
                <w:rFonts w:ascii="Verdana" w:eastAsia="Verdana" w:hAnsi="Verdana" w:cs="Verdana"/>
                <w:spacing w:val="12"/>
                <w:lang w:val="es-ES"/>
              </w:rPr>
              <w:t xml:space="preserve">el </w:t>
            </w:r>
            <w:r w:rsidRPr="002069C6">
              <w:rPr>
                <w:rFonts w:ascii="Verdana" w:eastAsia="Verdana" w:hAnsi="Verdana" w:cs="Verdana"/>
                <w:lang w:val="es-ES"/>
              </w:rPr>
              <w:t>Estatuto General de Contratación de la Administración Pública, su régimen contractual estará definido en la noma que crea el régimen especial y será desarrollado en el manual de contratación de la respectiva entidad. De esta manera, las garantías que sean exigibles según el proceso de contratación se someterán al marco jurídico que para ello defina</w:t>
            </w:r>
            <w:r w:rsidR="00434042">
              <w:rPr>
                <w:rFonts w:ascii="Verdana" w:eastAsia="Verdana" w:hAnsi="Verdana" w:cs="Verdana"/>
                <w:lang w:val="es-ES"/>
              </w:rPr>
              <w:t xml:space="preserve"> su norma de creación y</w:t>
            </w:r>
            <w:r w:rsidRPr="002069C6">
              <w:rPr>
                <w:rFonts w:ascii="Verdana" w:eastAsia="Verdana" w:hAnsi="Verdana" w:cs="Verdana"/>
                <w:lang w:val="es-ES"/>
              </w:rPr>
              <w:t xml:space="preserve"> su manual de contratación.</w:t>
            </w:r>
          </w:p>
          <w:p w14:paraId="2C0ECFB0" w14:textId="5F153237" w:rsidR="00D35423" w:rsidRPr="00434042" w:rsidRDefault="00D35423" w:rsidP="00434042">
            <w:pPr>
              <w:widowControl w:val="0"/>
              <w:autoSpaceDE w:val="0"/>
              <w:autoSpaceDN w:val="0"/>
              <w:spacing w:after="120" w:line="276" w:lineRule="auto"/>
              <w:ind w:right="51" w:firstLine="709"/>
              <w:jc w:val="both"/>
              <w:rPr>
                <w:rFonts w:ascii="Verdana" w:eastAsia="Verdana" w:hAnsi="Verdana" w:cs="Verdana"/>
                <w:lang w:val="es-ES"/>
              </w:rPr>
            </w:pPr>
            <w:r w:rsidRPr="002069C6">
              <w:rPr>
                <w:rFonts w:ascii="Verdana" w:eastAsia="Verdana" w:hAnsi="Verdana" w:cs="Verdana"/>
                <w:lang w:val="es-ES"/>
              </w:rPr>
              <w:t xml:space="preserve">De esta manera, salvo que exista alguna limitación o parámetro impuesto por su normativa o manual, las Empresas Industriales y Comerciales del Estado podrían recurrir a los mecanismos establecidos en el derecho civil </w:t>
            </w:r>
            <w:r w:rsidRPr="002069C6">
              <w:rPr>
                <w:rFonts w:ascii="Verdana" w:eastAsia="Verdana" w:hAnsi="Verdana" w:cs="Verdana"/>
                <w:lang w:val="es-ES"/>
              </w:rPr>
              <w:lastRenderedPageBreak/>
              <w:t xml:space="preserve">y comercial para garantizar el cumplimiento de lo pactado, como </w:t>
            </w:r>
            <w:r w:rsidR="00AB032D">
              <w:rPr>
                <w:rFonts w:ascii="Verdana" w:eastAsia="Verdana" w:hAnsi="Verdana" w:cs="Verdana"/>
                <w:lang w:val="es-ES"/>
              </w:rPr>
              <w:t>es el caso del</w:t>
            </w:r>
            <w:r w:rsidRPr="002069C6">
              <w:rPr>
                <w:rFonts w:ascii="Verdana" w:eastAsia="Verdana" w:hAnsi="Verdana" w:cs="Verdana"/>
                <w:lang w:val="es-ES"/>
              </w:rPr>
              <w:t xml:space="preserve"> artículo 2361 del Código Civil sobre la fianza.</w:t>
            </w:r>
          </w:p>
        </w:tc>
      </w:tr>
    </w:tbl>
    <w:p w14:paraId="3E8E0B6B" w14:textId="77777777" w:rsidR="00D35423" w:rsidRPr="002069C6" w:rsidRDefault="00D35423" w:rsidP="00D35423">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6A58E4DB" w14:textId="77777777" w:rsidR="00D35423" w:rsidRPr="002069C6" w:rsidRDefault="00D35423" w:rsidP="00D3542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Razones de la respuesta:</w:t>
      </w:r>
    </w:p>
    <w:p w14:paraId="6F508F5B" w14:textId="77777777" w:rsidR="00D35423" w:rsidRPr="002069C6" w:rsidRDefault="00D35423" w:rsidP="00D35423">
      <w:pPr>
        <w:spacing w:after="0" w:line="276" w:lineRule="auto"/>
        <w:jc w:val="both"/>
        <w:rPr>
          <w:rFonts w:ascii="Verdana" w:eastAsia="Calibri" w:hAnsi="Verdana" w:cs="Arial"/>
          <w:color w:val="000000" w:themeColor="text1"/>
          <w:lang w:val="es-ES"/>
        </w:rPr>
      </w:pPr>
    </w:p>
    <w:p w14:paraId="0098822F" w14:textId="77777777" w:rsidR="00D35423" w:rsidRPr="002069C6" w:rsidRDefault="00D35423" w:rsidP="00D35423">
      <w:pPr>
        <w:spacing w:after="0" w:line="276" w:lineRule="auto"/>
        <w:jc w:val="both"/>
        <w:rPr>
          <w:rFonts w:ascii="Verdana" w:eastAsia="Calibri" w:hAnsi="Verdana" w:cs="Arial"/>
          <w:color w:val="000000" w:themeColor="text1"/>
          <w:lang w:val="es-ES"/>
        </w:rPr>
      </w:pPr>
      <w:r w:rsidRPr="002069C6">
        <w:rPr>
          <w:rFonts w:ascii="Verdana" w:eastAsia="Calibri" w:hAnsi="Verdana" w:cs="Arial"/>
          <w:color w:val="000000" w:themeColor="text1"/>
          <w:lang w:val="es-ES"/>
        </w:rPr>
        <w:t xml:space="preserve">Lo anterior se sustenta en las siguientes consideraciones: </w:t>
      </w:r>
    </w:p>
    <w:p w14:paraId="75C6FCBE" w14:textId="77777777" w:rsidR="00D35423" w:rsidRPr="002069C6" w:rsidRDefault="00D35423" w:rsidP="00D35423">
      <w:pPr>
        <w:spacing w:after="0" w:line="276" w:lineRule="auto"/>
        <w:jc w:val="both"/>
        <w:rPr>
          <w:rFonts w:ascii="Verdana" w:eastAsia="Calibri" w:hAnsi="Verdana" w:cs="Arial"/>
          <w:lang w:val="es-ES"/>
        </w:rPr>
      </w:pPr>
    </w:p>
    <w:p w14:paraId="6DDB03A7" w14:textId="77777777" w:rsidR="00D35423" w:rsidRPr="002069C6" w:rsidRDefault="00D35423" w:rsidP="00D35423">
      <w:pPr>
        <w:spacing w:after="120" w:line="276" w:lineRule="auto"/>
        <w:jc w:val="both"/>
        <w:rPr>
          <w:rFonts w:ascii="Verdana" w:eastAsia="Calibri" w:hAnsi="Verdana" w:cs="Arial"/>
          <w:lang w:val="es-ES"/>
        </w:rPr>
      </w:pPr>
      <w:r w:rsidRPr="002069C6">
        <w:rPr>
          <w:rFonts w:ascii="Verdana" w:eastAsia="Calibri" w:hAnsi="Verdana" w:cs="Arial"/>
          <w:lang w:val="es-ES"/>
        </w:rPr>
        <w:t xml:space="preserve">i) Dentro de la estructura de la Administración Pública se encuentran las entidades descentralizadas por servicios. A esta categoría pertenecen las Empresas Industriales y Comerciales del Estado, las cuales –sin perjuicio del control de tutela– tienen personería jurídica, autonomía administrativa y patrimonio propio. Estas entidades, como su nombre lo indica, se caracterizan por desarrollar actividades de carácter industrial o comercial. </w:t>
      </w:r>
      <w:r w:rsidRPr="002069C6">
        <w:rPr>
          <w:rFonts w:ascii="Verdana" w:eastAsia="Calibri" w:hAnsi="Verdana" w:cs="Arial"/>
          <w:color w:val="000000" w:themeColor="text1"/>
        </w:rPr>
        <w:t>Así, por ejemplo, son Empresas Industriales y Comerciales del Estado la Imprenta Nacional de Colombia, Coljuegos, Indumil, la Caja Promotora de Vivienda Militar y de Policía, Colpensiones, entre otras</w:t>
      </w:r>
      <w:r w:rsidRPr="002069C6">
        <w:rPr>
          <w:rFonts w:ascii="Verdana" w:hAnsi="Verdana"/>
          <w:vertAlign w:val="superscript"/>
        </w:rPr>
        <w:footnoteReference w:id="2"/>
      </w:r>
      <w:r w:rsidRPr="002069C6">
        <w:rPr>
          <w:rFonts w:ascii="Verdana" w:eastAsia="Calibri" w:hAnsi="Verdana" w:cs="Arial"/>
          <w:color w:val="000000" w:themeColor="text1"/>
        </w:rPr>
        <w:t>.</w:t>
      </w:r>
    </w:p>
    <w:p w14:paraId="06280200" w14:textId="77777777" w:rsidR="00D35423" w:rsidRPr="002069C6" w:rsidRDefault="00D35423" w:rsidP="00D35423">
      <w:pPr>
        <w:spacing w:after="0" w:line="276" w:lineRule="auto"/>
        <w:ind w:firstLine="708"/>
        <w:jc w:val="both"/>
        <w:rPr>
          <w:rFonts w:ascii="Verdana" w:eastAsia="Calibri" w:hAnsi="Verdana" w:cs="Arial"/>
          <w:lang w:val="es-ES"/>
        </w:rPr>
      </w:pPr>
      <w:r w:rsidRPr="002069C6">
        <w:rPr>
          <w:rFonts w:ascii="Verdana" w:eastAsia="Calibri" w:hAnsi="Verdana" w:cs="Arial"/>
          <w:lang w:val="es-ES"/>
        </w:rPr>
        <w:t>Las Empresas Industriales y Comerciales del Estado, bajo la denominación de Entidades Estatales, quedaron sometidas al Estatuto General de Contratación de la Administración Pública –Ley 80 de 1993, artículo 2, numeral 1, literal a</w:t>
      </w:r>
      <w:r w:rsidRPr="002069C6">
        <w:rPr>
          <w:rFonts w:ascii="Verdana" w:eastAsia="Calibri" w:hAnsi="Verdana" w:cs="Arial"/>
          <w:vertAlign w:val="superscript"/>
          <w:lang w:val="es-ES"/>
        </w:rPr>
        <w:footnoteReference w:id="3"/>
      </w:r>
      <w:r w:rsidRPr="002069C6">
        <w:rPr>
          <w:rFonts w:ascii="Verdana" w:eastAsia="Calibri" w:hAnsi="Verdana" w:cs="Arial"/>
          <w:lang w:val="es-ES"/>
        </w:rPr>
        <w:t xml:space="preserve">. Posteriormente, la Ley 489 de 1998, mediante el cual se regula la organización </w:t>
      </w:r>
      <w:r w:rsidRPr="002069C6">
        <w:rPr>
          <w:rFonts w:ascii="Verdana" w:eastAsia="Calibri" w:hAnsi="Verdana" w:cs="Arial"/>
          <w:lang w:val="es-ES"/>
        </w:rPr>
        <w:lastRenderedPageBreak/>
        <w:t>y funcionamiento de las entidades de orden nacional, en su artículo 93 estableció el régimen jurídico aplicable a los contratos celebrados por las Empresas Industriales y Comerciales del Estado, como sigue:</w:t>
      </w:r>
    </w:p>
    <w:p w14:paraId="47E175DE" w14:textId="77777777" w:rsidR="00D35423" w:rsidRPr="002069C6" w:rsidRDefault="00D35423" w:rsidP="00D35423">
      <w:pPr>
        <w:spacing w:after="0" w:line="276" w:lineRule="auto"/>
        <w:ind w:firstLine="708"/>
        <w:jc w:val="both"/>
        <w:rPr>
          <w:rFonts w:ascii="Verdana" w:eastAsia="Calibri" w:hAnsi="Verdana" w:cs="Arial"/>
          <w:lang w:val="es-ES"/>
        </w:rPr>
      </w:pPr>
    </w:p>
    <w:p w14:paraId="2F73A482" w14:textId="77777777" w:rsidR="00D35423" w:rsidRPr="002069C6" w:rsidRDefault="00D35423" w:rsidP="00D35423">
      <w:pPr>
        <w:spacing w:after="0" w:line="240" w:lineRule="auto"/>
        <w:ind w:left="709" w:right="709"/>
        <w:contextualSpacing/>
        <w:jc w:val="both"/>
        <w:rPr>
          <w:rFonts w:ascii="Verdana" w:eastAsia="Times New Roman" w:hAnsi="Verdana" w:cs="Arial"/>
          <w:sz w:val="20"/>
          <w:szCs w:val="20"/>
          <w:lang w:eastAsia="es-ES_tradnl"/>
        </w:rPr>
      </w:pPr>
      <w:r w:rsidRPr="002069C6">
        <w:rPr>
          <w:rFonts w:ascii="Verdana" w:eastAsia="Times New Roman" w:hAnsi="Verdana" w:cs="Arial"/>
          <w:sz w:val="20"/>
          <w:szCs w:val="20"/>
          <w:lang w:eastAsia="es-ES_tradnl"/>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p>
    <w:p w14:paraId="027AE76C" w14:textId="77777777" w:rsidR="00D35423" w:rsidRPr="002069C6" w:rsidRDefault="00D35423" w:rsidP="00D35423">
      <w:pPr>
        <w:widowControl w:val="0"/>
        <w:autoSpaceDE w:val="0"/>
        <w:autoSpaceDN w:val="0"/>
        <w:spacing w:after="0" w:line="276" w:lineRule="auto"/>
        <w:rPr>
          <w:rFonts w:ascii="Verdana" w:eastAsia="Verdana" w:hAnsi="Verdana" w:cs="Verdana"/>
          <w:sz w:val="20"/>
        </w:rPr>
      </w:pPr>
    </w:p>
    <w:p w14:paraId="400CC5B1" w14:textId="77777777" w:rsidR="00D35423" w:rsidRPr="002069C6" w:rsidRDefault="00D35423" w:rsidP="00D35423">
      <w:pPr>
        <w:widowControl w:val="0"/>
        <w:autoSpaceDE w:val="0"/>
        <w:autoSpaceDN w:val="0"/>
        <w:spacing w:after="0" w:line="276" w:lineRule="auto"/>
        <w:ind w:right="49" w:firstLine="708"/>
        <w:jc w:val="both"/>
        <w:rPr>
          <w:rFonts w:ascii="Verdana" w:eastAsia="Verdana" w:hAnsi="Verdana" w:cs="Verdana"/>
          <w:lang w:val="es-ES"/>
        </w:rPr>
      </w:pPr>
      <w:bookmarkStart w:id="1" w:name="_bookmark7"/>
      <w:bookmarkEnd w:id="1"/>
      <w:r w:rsidRPr="002069C6">
        <w:rPr>
          <w:rFonts w:ascii="Verdana" w:eastAsia="Verdana" w:hAnsi="Verdana" w:cs="Verdana"/>
          <w:lang w:val="es-ES"/>
        </w:rPr>
        <w:t xml:space="preserve">No obstante las dificultades hermenéuticas </w:t>
      </w:r>
      <w:r>
        <w:rPr>
          <w:rFonts w:ascii="Verdana" w:eastAsia="Verdana" w:hAnsi="Verdana" w:cs="Verdana"/>
          <w:lang w:val="es-ES"/>
        </w:rPr>
        <w:t xml:space="preserve">derivadas de </w:t>
      </w:r>
      <w:r w:rsidRPr="002069C6">
        <w:rPr>
          <w:rFonts w:ascii="Verdana" w:eastAsia="Verdana" w:hAnsi="Verdana" w:cs="Verdana"/>
          <w:lang w:val="es-ES"/>
        </w:rPr>
        <w:t>la disposición anterior,</w:t>
      </w:r>
      <w:r w:rsidRPr="002069C6">
        <w:rPr>
          <w:rFonts w:ascii="Verdana" w:eastAsia="Verdana" w:hAnsi="Verdana" w:cs="Verdana"/>
          <w:spacing w:val="-8"/>
          <w:lang w:val="es-ES"/>
        </w:rPr>
        <w:t xml:space="preserve"> </w:t>
      </w:r>
      <w:r w:rsidRPr="002069C6">
        <w:rPr>
          <w:rFonts w:ascii="Verdana" w:eastAsia="Verdana" w:hAnsi="Verdana" w:cs="Verdana"/>
          <w:lang w:val="es-ES"/>
        </w:rPr>
        <w:t>el</w:t>
      </w:r>
      <w:r w:rsidRPr="002069C6">
        <w:rPr>
          <w:rFonts w:ascii="Verdana" w:eastAsia="Verdana" w:hAnsi="Verdana" w:cs="Verdana"/>
          <w:spacing w:val="-8"/>
          <w:lang w:val="es-ES"/>
        </w:rPr>
        <w:t xml:space="preserve"> </w:t>
      </w:r>
      <w:r w:rsidRPr="002069C6">
        <w:rPr>
          <w:rFonts w:ascii="Verdana" w:eastAsia="Verdana" w:hAnsi="Verdana" w:cs="Verdana"/>
          <w:lang w:val="es-ES"/>
        </w:rPr>
        <w:t>artículo</w:t>
      </w:r>
      <w:r w:rsidRPr="002069C6">
        <w:rPr>
          <w:rFonts w:ascii="Verdana" w:eastAsia="Verdana" w:hAnsi="Verdana" w:cs="Verdana"/>
          <w:spacing w:val="-7"/>
          <w:lang w:val="es-ES"/>
        </w:rPr>
        <w:t xml:space="preserve"> </w:t>
      </w:r>
      <w:r w:rsidRPr="002069C6">
        <w:rPr>
          <w:rFonts w:ascii="Verdana" w:eastAsia="Verdana" w:hAnsi="Verdana" w:cs="Verdana"/>
          <w:lang w:val="es-ES"/>
        </w:rPr>
        <w:t>14</w:t>
      </w:r>
      <w:r w:rsidRPr="002069C6">
        <w:rPr>
          <w:rFonts w:ascii="Verdana" w:eastAsia="Verdana" w:hAnsi="Verdana" w:cs="Verdana"/>
          <w:spacing w:val="-8"/>
          <w:lang w:val="es-ES"/>
        </w:rPr>
        <w:t xml:space="preserve"> </w:t>
      </w:r>
      <w:r w:rsidRPr="002069C6">
        <w:rPr>
          <w:rFonts w:ascii="Verdana" w:eastAsia="Verdana" w:hAnsi="Verdana" w:cs="Verdana"/>
          <w:lang w:val="es-ES"/>
        </w:rPr>
        <w:t>de</w:t>
      </w:r>
      <w:r w:rsidRPr="002069C6">
        <w:rPr>
          <w:rFonts w:ascii="Verdana" w:eastAsia="Verdana" w:hAnsi="Verdana" w:cs="Verdana"/>
          <w:spacing w:val="-9"/>
          <w:lang w:val="es-ES"/>
        </w:rPr>
        <w:t xml:space="preserve"> </w:t>
      </w:r>
      <w:r w:rsidRPr="002069C6">
        <w:rPr>
          <w:rFonts w:ascii="Verdana" w:eastAsia="Verdana" w:hAnsi="Verdana" w:cs="Verdana"/>
          <w:lang w:val="es-ES"/>
        </w:rPr>
        <w:t>la</w:t>
      </w:r>
      <w:r w:rsidRPr="002069C6">
        <w:rPr>
          <w:rFonts w:ascii="Verdana" w:eastAsia="Verdana" w:hAnsi="Verdana" w:cs="Verdana"/>
          <w:spacing w:val="-10"/>
          <w:lang w:val="es-ES"/>
        </w:rPr>
        <w:t xml:space="preserve"> </w:t>
      </w:r>
      <w:r w:rsidRPr="002069C6">
        <w:rPr>
          <w:rFonts w:ascii="Verdana" w:eastAsia="Verdana" w:hAnsi="Verdana" w:cs="Verdana"/>
          <w:lang w:val="es-ES"/>
        </w:rPr>
        <w:t>Ley</w:t>
      </w:r>
      <w:r w:rsidRPr="002069C6">
        <w:rPr>
          <w:rFonts w:ascii="Verdana" w:eastAsia="Verdana" w:hAnsi="Verdana" w:cs="Verdana"/>
          <w:spacing w:val="-8"/>
          <w:lang w:val="es-ES"/>
        </w:rPr>
        <w:t xml:space="preserve"> </w:t>
      </w:r>
      <w:r w:rsidRPr="002069C6">
        <w:rPr>
          <w:rFonts w:ascii="Verdana" w:eastAsia="Verdana" w:hAnsi="Verdana" w:cs="Verdana"/>
          <w:lang w:val="es-ES"/>
        </w:rPr>
        <w:t>1150</w:t>
      </w:r>
      <w:r w:rsidRPr="002069C6">
        <w:rPr>
          <w:rFonts w:ascii="Verdana" w:eastAsia="Verdana" w:hAnsi="Verdana" w:cs="Verdana"/>
          <w:spacing w:val="-8"/>
          <w:lang w:val="es-ES"/>
        </w:rPr>
        <w:t xml:space="preserve"> </w:t>
      </w:r>
      <w:r w:rsidRPr="002069C6">
        <w:rPr>
          <w:rFonts w:ascii="Verdana" w:eastAsia="Verdana" w:hAnsi="Verdana" w:cs="Verdana"/>
          <w:lang w:val="es-ES"/>
        </w:rPr>
        <w:t>de</w:t>
      </w:r>
      <w:r w:rsidRPr="002069C6">
        <w:rPr>
          <w:rFonts w:ascii="Verdana" w:eastAsia="Verdana" w:hAnsi="Verdana" w:cs="Verdana"/>
          <w:spacing w:val="-9"/>
          <w:lang w:val="es-ES"/>
        </w:rPr>
        <w:t xml:space="preserve"> </w:t>
      </w:r>
      <w:r w:rsidRPr="002069C6">
        <w:rPr>
          <w:rFonts w:ascii="Verdana" w:eastAsia="Verdana" w:hAnsi="Verdana" w:cs="Verdana"/>
          <w:lang w:val="es-ES"/>
        </w:rPr>
        <w:t>2007 –modificado</w:t>
      </w:r>
      <w:r w:rsidRPr="002069C6">
        <w:rPr>
          <w:rFonts w:ascii="Verdana" w:eastAsia="Verdana" w:hAnsi="Verdana" w:cs="Verdana"/>
          <w:spacing w:val="-7"/>
          <w:lang w:val="es-ES"/>
        </w:rPr>
        <w:t xml:space="preserve"> </w:t>
      </w:r>
      <w:r w:rsidRPr="002069C6">
        <w:rPr>
          <w:rFonts w:ascii="Verdana" w:eastAsia="Verdana" w:hAnsi="Verdana" w:cs="Verdana"/>
          <w:lang w:val="es-ES"/>
        </w:rPr>
        <w:t>por</w:t>
      </w:r>
      <w:r w:rsidRPr="002069C6">
        <w:rPr>
          <w:rFonts w:ascii="Verdana" w:eastAsia="Verdana" w:hAnsi="Verdana" w:cs="Verdana"/>
          <w:spacing w:val="-7"/>
          <w:lang w:val="es-ES"/>
        </w:rPr>
        <w:t xml:space="preserve"> </w:t>
      </w:r>
      <w:r w:rsidRPr="002069C6">
        <w:rPr>
          <w:rFonts w:ascii="Verdana" w:eastAsia="Verdana" w:hAnsi="Verdana" w:cs="Verdana"/>
          <w:lang w:val="es-ES"/>
        </w:rPr>
        <w:t>el</w:t>
      </w:r>
      <w:r w:rsidRPr="002069C6">
        <w:rPr>
          <w:rFonts w:ascii="Verdana" w:eastAsia="Verdana" w:hAnsi="Verdana" w:cs="Verdana"/>
          <w:spacing w:val="-8"/>
          <w:lang w:val="es-ES"/>
        </w:rPr>
        <w:t xml:space="preserve"> </w:t>
      </w:r>
      <w:r w:rsidRPr="002069C6">
        <w:rPr>
          <w:rFonts w:ascii="Verdana" w:eastAsia="Verdana" w:hAnsi="Verdana" w:cs="Verdana"/>
          <w:lang w:val="es-ES"/>
        </w:rPr>
        <w:t>artículo</w:t>
      </w:r>
      <w:r w:rsidRPr="002069C6">
        <w:rPr>
          <w:rFonts w:ascii="Verdana" w:eastAsia="Verdana" w:hAnsi="Verdana" w:cs="Verdana"/>
          <w:spacing w:val="-7"/>
          <w:lang w:val="es-ES"/>
        </w:rPr>
        <w:t xml:space="preserve"> </w:t>
      </w:r>
      <w:r w:rsidRPr="002069C6">
        <w:rPr>
          <w:rFonts w:ascii="Verdana" w:eastAsia="Verdana" w:hAnsi="Verdana" w:cs="Verdana"/>
          <w:lang w:val="es-ES"/>
        </w:rPr>
        <w:t>93</w:t>
      </w:r>
      <w:r w:rsidRPr="002069C6">
        <w:rPr>
          <w:rFonts w:ascii="Verdana" w:eastAsia="Verdana" w:hAnsi="Verdana" w:cs="Verdana"/>
          <w:spacing w:val="-12"/>
          <w:lang w:val="es-ES"/>
        </w:rPr>
        <w:t xml:space="preserve"> </w:t>
      </w:r>
      <w:r w:rsidRPr="002069C6">
        <w:rPr>
          <w:rFonts w:ascii="Verdana" w:eastAsia="Verdana" w:hAnsi="Verdana" w:cs="Verdana"/>
          <w:lang w:val="es-ES"/>
        </w:rPr>
        <w:t xml:space="preserve">de la Ley 1474 de 2011– dispuso un régimen </w:t>
      </w:r>
      <w:r>
        <w:rPr>
          <w:rFonts w:ascii="Verdana" w:eastAsia="Verdana" w:hAnsi="Verdana" w:cs="Verdana"/>
          <w:lang w:val="es-ES"/>
        </w:rPr>
        <w:t xml:space="preserve">especial </w:t>
      </w:r>
      <w:r w:rsidRPr="002069C6">
        <w:rPr>
          <w:rFonts w:ascii="Verdana" w:eastAsia="Verdana" w:hAnsi="Verdana" w:cs="Verdana"/>
          <w:lang w:val="es-ES"/>
        </w:rPr>
        <w:t>de aplicación del derecho privado para la actividad contractual de las Empresas Industriales y Comerciales del Estado que ejercen su actividad en competencia</w:t>
      </w:r>
      <w:r w:rsidRPr="002069C6">
        <w:rPr>
          <w:rFonts w:ascii="Verdana" w:eastAsia="Verdana" w:hAnsi="Verdana" w:cs="Verdana"/>
          <w:spacing w:val="-20"/>
          <w:lang w:val="es-ES"/>
        </w:rPr>
        <w:t xml:space="preserve"> </w:t>
      </w:r>
      <w:r w:rsidRPr="002069C6">
        <w:rPr>
          <w:rFonts w:ascii="Verdana" w:eastAsia="Verdana" w:hAnsi="Verdana" w:cs="Verdana"/>
          <w:lang w:val="es-ES"/>
        </w:rPr>
        <w:t>con</w:t>
      </w:r>
      <w:r w:rsidRPr="002069C6">
        <w:rPr>
          <w:rFonts w:ascii="Verdana" w:eastAsia="Verdana" w:hAnsi="Verdana" w:cs="Verdana"/>
          <w:spacing w:val="-19"/>
          <w:lang w:val="es-ES"/>
        </w:rPr>
        <w:t xml:space="preserve"> </w:t>
      </w:r>
      <w:r w:rsidRPr="002069C6">
        <w:rPr>
          <w:rFonts w:ascii="Verdana" w:eastAsia="Verdana" w:hAnsi="Verdana" w:cs="Verdana"/>
          <w:lang w:val="es-ES"/>
        </w:rPr>
        <w:t>el</w:t>
      </w:r>
      <w:r w:rsidRPr="002069C6">
        <w:rPr>
          <w:rFonts w:ascii="Verdana" w:eastAsia="Verdana" w:hAnsi="Verdana" w:cs="Verdana"/>
          <w:spacing w:val="-19"/>
          <w:lang w:val="es-ES"/>
        </w:rPr>
        <w:t xml:space="preserve"> </w:t>
      </w:r>
      <w:r w:rsidRPr="002069C6">
        <w:rPr>
          <w:rFonts w:ascii="Verdana" w:eastAsia="Verdana" w:hAnsi="Verdana" w:cs="Verdana"/>
          <w:lang w:val="es-ES"/>
        </w:rPr>
        <w:t>sector</w:t>
      </w:r>
      <w:r w:rsidRPr="002069C6">
        <w:rPr>
          <w:rFonts w:ascii="Verdana" w:eastAsia="Verdana" w:hAnsi="Verdana" w:cs="Verdana"/>
          <w:spacing w:val="-20"/>
          <w:lang w:val="es-ES"/>
        </w:rPr>
        <w:t xml:space="preserve"> </w:t>
      </w:r>
      <w:r w:rsidRPr="002069C6">
        <w:rPr>
          <w:rFonts w:ascii="Verdana" w:eastAsia="Verdana" w:hAnsi="Verdana" w:cs="Verdana"/>
          <w:lang w:val="es-ES"/>
        </w:rPr>
        <w:t>público</w:t>
      </w:r>
      <w:r w:rsidRPr="002069C6">
        <w:rPr>
          <w:rFonts w:ascii="Verdana" w:eastAsia="Verdana" w:hAnsi="Verdana" w:cs="Verdana"/>
          <w:spacing w:val="-19"/>
          <w:lang w:val="es-ES"/>
        </w:rPr>
        <w:t xml:space="preserve"> </w:t>
      </w:r>
      <w:r w:rsidRPr="002069C6">
        <w:rPr>
          <w:rFonts w:ascii="Verdana" w:eastAsia="Verdana" w:hAnsi="Verdana" w:cs="Verdana"/>
          <w:lang w:val="es-ES"/>
        </w:rPr>
        <w:t>o</w:t>
      </w:r>
      <w:r w:rsidRPr="002069C6">
        <w:rPr>
          <w:rFonts w:ascii="Verdana" w:eastAsia="Verdana" w:hAnsi="Verdana" w:cs="Verdana"/>
          <w:spacing w:val="-20"/>
          <w:lang w:val="es-ES"/>
        </w:rPr>
        <w:t xml:space="preserve"> </w:t>
      </w:r>
      <w:r w:rsidRPr="002069C6">
        <w:rPr>
          <w:rFonts w:ascii="Verdana" w:eastAsia="Verdana" w:hAnsi="Verdana" w:cs="Verdana"/>
          <w:lang w:val="es-ES"/>
        </w:rPr>
        <w:t>privado,</w:t>
      </w:r>
      <w:r w:rsidRPr="002069C6">
        <w:rPr>
          <w:rFonts w:ascii="Verdana" w:eastAsia="Verdana" w:hAnsi="Verdana" w:cs="Verdana"/>
          <w:spacing w:val="-19"/>
          <w:lang w:val="es-ES"/>
        </w:rPr>
        <w:t xml:space="preserve"> </w:t>
      </w:r>
      <w:r w:rsidRPr="002069C6">
        <w:rPr>
          <w:rFonts w:ascii="Verdana" w:eastAsia="Verdana" w:hAnsi="Verdana" w:cs="Verdana"/>
          <w:lang w:val="es-ES"/>
        </w:rPr>
        <w:t>o</w:t>
      </w:r>
      <w:r w:rsidRPr="002069C6">
        <w:rPr>
          <w:rFonts w:ascii="Verdana" w:eastAsia="Verdana" w:hAnsi="Verdana" w:cs="Verdana"/>
          <w:spacing w:val="-19"/>
          <w:lang w:val="es-ES"/>
        </w:rPr>
        <w:t xml:space="preserve"> </w:t>
      </w:r>
      <w:r w:rsidRPr="002069C6">
        <w:rPr>
          <w:rFonts w:ascii="Verdana" w:eastAsia="Verdana" w:hAnsi="Verdana" w:cs="Verdana"/>
          <w:lang w:val="es-ES"/>
        </w:rPr>
        <w:t>en</w:t>
      </w:r>
      <w:r w:rsidRPr="002069C6">
        <w:rPr>
          <w:rFonts w:ascii="Verdana" w:eastAsia="Verdana" w:hAnsi="Verdana" w:cs="Verdana"/>
          <w:spacing w:val="-20"/>
          <w:lang w:val="es-ES"/>
        </w:rPr>
        <w:t xml:space="preserve"> </w:t>
      </w:r>
      <w:r w:rsidRPr="002069C6">
        <w:rPr>
          <w:rFonts w:ascii="Verdana" w:eastAsia="Verdana" w:hAnsi="Verdana" w:cs="Verdana"/>
          <w:lang w:val="es-ES"/>
        </w:rPr>
        <w:t>mercados</w:t>
      </w:r>
      <w:r w:rsidRPr="002069C6">
        <w:rPr>
          <w:rFonts w:ascii="Verdana" w:eastAsia="Verdana" w:hAnsi="Verdana" w:cs="Verdana"/>
          <w:spacing w:val="-19"/>
          <w:lang w:val="es-ES"/>
        </w:rPr>
        <w:t xml:space="preserve"> </w:t>
      </w:r>
      <w:r w:rsidRPr="002069C6">
        <w:rPr>
          <w:rFonts w:ascii="Verdana" w:eastAsia="Verdana" w:hAnsi="Verdana" w:cs="Verdana"/>
          <w:lang w:val="es-ES"/>
        </w:rPr>
        <w:t>regulados,</w:t>
      </w:r>
      <w:r w:rsidRPr="002069C6">
        <w:rPr>
          <w:rFonts w:ascii="Verdana" w:eastAsia="Verdana" w:hAnsi="Verdana" w:cs="Verdana"/>
          <w:spacing w:val="-19"/>
          <w:lang w:val="es-ES"/>
        </w:rPr>
        <w:t xml:space="preserve"> </w:t>
      </w:r>
      <w:r w:rsidRPr="002069C6">
        <w:rPr>
          <w:rFonts w:ascii="Verdana" w:eastAsia="Verdana" w:hAnsi="Verdana" w:cs="Verdana"/>
          <w:lang w:val="es-ES"/>
        </w:rPr>
        <w:t>quedando las otras empresas de esta índole dentro del ámbito de aplicación del Estatuto General de Contratación de la Administración Pública</w:t>
      </w:r>
      <w:r w:rsidRPr="002069C6">
        <w:rPr>
          <w:rFonts w:ascii="Verdana" w:eastAsia="Verdana" w:hAnsi="Verdana" w:cs="Verdana"/>
          <w:vertAlign w:val="superscript"/>
          <w:lang w:val="es-ES"/>
        </w:rPr>
        <w:footnoteReference w:id="4"/>
      </w:r>
      <w:r w:rsidRPr="002069C6">
        <w:rPr>
          <w:rFonts w:ascii="Verdana" w:eastAsia="Verdana" w:hAnsi="Verdana" w:cs="Verdana"/>
          <w:lang w:val="es-ES"/>
        </w:rPr>
        <w:t xml:space="preserve">. </w:t>
      </w:r>
      <w:r>
        <w:rPr>
          <w:rFonts w:ascii="Verdana" w:eastAsia="Verdana" w:hAnsi="Verdana" w:cs="Verdana"/>
          <w:lang w:val="es-ES"/>
        </w:rPr>
        <w:t>L</w:t>
      </w:r>
      <w:r w:rsidRPr="002069C6">
        <w:rPr>
          <w:rFonts w:ascii="Verdana" w:eastAsia="Verdana" w:hAnsi="Verdana" w:cs="Verdana"/>
          <w:lang w:val="es-ES"/>
        </w:rPr>
        <w:t>a norma</w:t>
      </w:r>
      <w:r w:rsidRPr="002069C6">
        <w:rPr>
          <w:rFonts w:ascii="Verdana" w:eastAsia="Verdana" w:hAnsi="Verdana" w:cs="Verdana"/>
          <w:spacing w:val="-1"/>
          <w:lang w:val="es-ES"/>
        </w:rPr>
        <w:t xml:space="preserve"> </w:t>
      </w:r>
      <w:r w:rsidRPr="002069C6">
        <w:rPr>
          <w:rFonts w:ascii="Verdana" w:eastAsia="Verdana" w:hAnsi="Verdana" w:cs="Verdana"/>
          <w:lang w:val="es-ES"/>
        </w:rPr>
        <w:t>vigente respecto a</w:t>
      </w:r>
      <w:r w:rsidRPr="002069C6">
        <w:rPr>
          <w:rFonts w:ascii="Verdana" w:eastAsia="Verdana" w:hAnsi="Verdana" w:cs="Verdana"/>
          <w:spacing w:val="-1"/>
          <w:lang w:val="es-ES"/>
        </w:rPr>
        <w:t xml:space="preserve"> </w:t>
      </w:r>
      <w:r w:rsidRPr="002069C6">
        <w:rPr>
          <w:rFonts w:ascii="Verdana" w:eastAsia="Verdana" w:hAnsi="Verdana" w:cs="Verdana"/>
          <w:lang w:val="es-ES"/>
        </w:rPr>
        <w:t>su régimen contractual establece:</w:t>
      </w:r>
    </w:p>
    <w:p w14:paraId="4508FEA1" w14:textId="77777777" w:rsidR="00D35423" w:rsidRPr="002069C6" w:rsidRDefault="00D35423" w:rsidP="00D35423">
      <w:pPr>
        <w:widowControl w:val="0"/>
        <w:autoSpaceDE w:val="0"/>
        <w:autoSpaceDN w:val="0"/>
        <w:spacing w:after="0" w:line="276" w:lineRule="auto"/>
        <w:ind w:firstLine="709"/>
        <w:jc w:val="both"/>
        <w:rPr>
          <w:rFonts w:ascii="Verdana" w:eastAsia="Arial" w:hAnsi="Verdana" w:cs="Arial"/>
          <w:color w:val="EE0000"/>
          <w:lang w:val="es-ES"/>
        </w:rPr>
      </w:pPr>
    </w:p>
    <w:p w14:paraId="051D437A" w14:textId="77777777" w:rsidR="00D35423" w:rsidRPr="002069C6" w:rsidRDefault="00D35423" w:rsidP="00D35423">
      <w:pPr>
        <w:spacing w:after="0" w:line="240" w:lineRule="auto"/>
        <w:ind w:left="709" w:right="709"/>
        <w:contextualSpacing/>
        <w:jc w:val="both"/>
        <w:rPr>
          <w:rFonts w:ascii="Verdana" w:eastAsia="Times New Roman" w:hAnsi="Verdana" w:cs="Arial"/>
          <w:sz w:val="20"/>
          <w:szCs w:val="20"/>
          <w:lang w:eastAsia="es-ES_tradnl"/>
        </w:rPr>
      </w:pPr>
      <w:r w:rsidRPr="002069C6">
        <w:rPr>
          <w:rFonts w:ascii="Verdana" w:eastAsia="Times New Roman" w:hAnsi="Verdana" w:cs="Arial"/>
          <w:sz w:val="20"/>
          <w:szCs w:val="20"/>
          <w:lang w:eastAsia="es-ES_tradnl"/>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w:t>
      </w:r>
      <w:r w:rsidRPr="002069C6">
        <w:rPr>
          <w:rFonts w:ascii="Verdana" w:eastAsia="Times New Roman" w:hAnsi="Verdana" w:cs="Arial"/>
          <w:sz w:val="20"/>
          <w:szCs w:val="20"/>
          <w:lang w:eastAsia="es-ES_tradnl"/>
        </w:rPr>
        <w:lastRenderedPageBreak/>
        <w:t>tecnología, que se regirán por la Ley 29 de 1990 y las disposiciones normativas existentes”</w:t>
      </w:r>
      <w:r w:rsidRPr="002069C6">
        <w:rPr>
          <w:rFonts w:ascii="Verdana" w:eastAsia="Times New Roman" w:hAnsi="Verdana" w:cs="Arial"/>
          <w:sz w:val="20"/>
          <w:szCs w:val="20"/>
          <w:vertAlign w:val="superscript"/>
          <w:lang w:eastAsia="es-ES_tradnl"/>
        </w:rPr>
        <w:footnoteReference w:id="5"/>
      </w:r>
      <w:r w:rsidRPr="002069C6">
        <w:rPr>
          <w:rFonts w:ascii="Verdana" w:eastAsia="Times New Roman" w:hAnsi="Verdana" w:cs="Arial"/>
          <w:sz w:val="20"/>
          <w:szCs w:val="20"/>
          <w:lang w:eastAsia="es-ES_tradnl"/>
        </w:rPr>
        <w:t>.</w:t>
      </w:r>
    </w:p>
    <w:p w14:paraId="4EB262C1" w14:textId="77777777" w:rsidR="00D35423" w:rsidRPr="002069C6" w:rsidRDefault="00D35423" w:rsidP="00D35423">
      <w:pPr>
        <w:spacing w:after="0"/>
        <w:ind w:left="709" w:right="709"/>
        <w:jc w:val="both"/>
        <w:rPr>
          <w:rFonts w:ascii="Verdana" w:eastAsia="Calibri" w:hAnsi="Verdana" w:cs="Times New Roman"/>
          <w:sz w:val="21"/>
          <w:szCs w:val="21"/>
        </w:rPr>
      </w:pPr>
    </w:p>
    <w:p w14:paraId="2C83723C" w14:textId="77777777" w:rsidR="00D35423" w:rsidRPr="002069C6" w:rsidRDefault="00D35423" w:rsidP="00D35423">
      <w:pPr>
        <w:widowControl w:val="0"/>
        <w:autoSpaceDE w:val="0"/>
        <w:autoSpaceDN w:val="0"/>
        <w:spacing w:after="120" w:line="276" w:lineRule="auto"/>
        <w:ind w:right="49" w:firstLine="709"/>
        <w:jc w:val="both"/>
        <w:rPr>
          <w:rFonts w:ascii="Verdana" w:hAnsi="Verdana" w:cs="Arial"/>
        </w:rPr>
      </w:pPr>
      <w:r w:rsidRPr="002069C6">
        <w:rPr>
          <w:rFonts w:ascii="Verdana" w:eastAsia="Verdana" w:hAnsi="Verdana" w:cs="Verdana"/>
          <w:lang w:val="es-ES"/>
        </w:rPr>
        <w:t>El sometimiento parcial de las Empresas Industriales y Comerciales del Estado</w:t>
      </w:r>
      <w:r w:rsidRPr="002069C6">
        <w:rPr>
          <w:rFonts w:ascii="Verdana" w:eastAsia="Verdana" w:hAnsi="Verdana" w:cs="Verdana"/>
          <w:spacing w:val="-14"/>
          <w:lang w:val="es-ES"/>
        </w:rPr>
        <w:t xml:space="preserve"> </w:t>
      </w:r>
      <w:r w:rsidRPr="002069C6">
        <w:rPr>
          <w:rFonts w:ascii="Verdana" w:eastAsia="Verdana" w:hAnsi="Verdana" w:cs="Verdana"/>
          <w:lang w:val="es-ES"/>
        </w:rPr>
        <w:t>al</w:t>
      </w:r>
      <w:r w:rsidRPr="002069C6">
        <w:rPr>
          <w:rFonts w:ascii="Verdana" w:eastAsia="Verdana" w:hAnsi="Verdana" w:cs="Verdana"/>
          <w:spacing w:val="-14"/>
          <w:lang w:val="es-ES"/>
        </w:rPr>
        <w:t xml:space="preserve"> </w:t>
      </w:r>
      <w:r w:rsidRPr="002069C6">
        <w:rPr>
          <w:rFonts w:ascii="Verdana" w:eastAsia="Verdana" w:hAnsi="Verdana" w:cs="Verdana"/>
          <w:lang w:val="es-ES"/>
        </w:rPr>
        <w:t>régimen</w:t>
      </w:r>
      <w:r w:rsidRPr="002069C6">
        <w:rPr>
          <w:rFonts w:ascii="Verdana" w:eastAsia="Verdana" w:hAnsi="Verdana" w:cs="Verdana"/>
          <w:spacing w:val="-14"/>
          <w:lang w:val="es-ES"/>
        </w:rPr>
        <w:t xml:space="preserve"> </w:t>
      </w:r>
      <w:r w:rsidRPr="002069C6">
        <w:rPr>
          <w:rFonts w:ascii="Verdana" w:eastAsia="Verdana" w:hAnsi="Verdana" w:cs="Verdana"/>
          <w:lang w:val="es-ES"/>
        </w:rPr>
        <w:t>de</w:t>
      </w:r>
      <w:r w:rsidRPr="002069C6">
        <w:rPr>
          <w:rFonts w:ascii="Verdana" w:eastAsia="Verdana" w:hAnsi="Verdana" w:cs="Verdana"/>
          <w:spacing w:val="-15"/>
          <w:lang w:val="es-ES"/>
        </w:rPr>
        <w:t xml:space="preserve"> </w:t>
      </w:r>
      <w:r w:rsidRPr="002069C6">
        <w:rPr>
          <w:rFonts w:ascii="Verdana" w:eastAsia="Verdana" w:hAnsi="Verdana" w:cs="Verdana"/>
          <w:lang w:val="es-ES"/>
        </w:rPr>
        <w:t>derecho</w:t>
      </w:r>
      <w:r w:rsidRPr="002069C6">
        <w:rPr>
          <w:rFonts w:ascii="Verdana" w:eastAsia="Verdana" w:hAnsi="Verdana" w:cs="Verdana"/>
          <w:spacing w:val="-13"/>
          <w:lang w:val="es-ES"/>
        </w:rPr>
        <w:t xml:space="preserve"> </w:t>
      </w:r>
      <w:r w:rsidRPr="002069C6">
        <w:rPr>
          <w:rFonts w:ascii="Verdana" w:eastAsia="Verdana" w:hAnsi="Verdana" w:cs="Verdana"/>
          <w:lang w:val="es-ES"/>
        </w:rPr>
        <w:t>privado</w:t>
      </w:r>
      <w:r w:rsidRPr="002069C6">
        <w:rPr>
          <w:rFonts w:ascii="Verdana" w:eastAsia="Verdana" w:hAnsi="Verdana" w:cs="Verdana"/>
          <w:spacing w:val="-14"/>
          <w:lang w:val="es-ES"/>
        </w:rPr>
        <w:t xml:space="preserve"> </w:t>
      </w:r>
      <w:r w:rsidRPr="002069C6">
        <w:rPr>
          <w:rFonts w:ascii="Verdana" w:eastAsia="Verdana" w:hAnsi="Verdana" w:cs="Verdana"/>
          <w:lang w:val="es-ES"/>
        </w:rPr>
        <w:t>se</w:t>
      </w:r>
      <w:r w:rsidRPr="002069C6">
        <w:rPr>
          <w:rFonts w:ascii="Verdana" w:eastAsia="Verdana" w:hAnsi="Verdana" w:cs="Verdana"/>
          <w:spacing w:val="-20"/>
          <w:lang w:val="es-ES"/>
        </w:rPr>
        <w:t xml:space="preserve"> </w:t>
      </w:r>
      <w:r w:rsidRPr="002069C6">
        <w:rPr>
          <w:rFonts w:ascii="Verdana" w:eastAsia="Verdana" w:hAnsi="Verdana" w:cs="Verdana"/>
          <w:lang w:val="es-ES"/>
        </w:rPr>
        <w:t>ha</w:t>
      </w:r>
      <w:r w:rsidRPr="002069C6">
        <w:rPr>
          <w:rFonts w:ascii="Verdana" w:eastAsia="Verdana" w:hAnsi="Verdana" w:cs="Verdana"/>
          <w:spacing w:val="-15"/>
          <w:lang w:val="es-ES"/>
        </w:rPr>
        <w:t xml:space="preserve"> </w:t>
      </w:r>
      <w:r w:rsidRPr="002069C6">
        <w:rPr>
          <w:rFonts w:ascii="Verdana" w:eastAsia="Verdana" w:hAnsi="Verdana" w:cs="Verdana"/>
          <w:lang w:val="es-ES"/>
        </w:rPr>
        <w:t>justificado</w:t>
      </w:r>
      <w:r w:rsidRPr="002069C6">
        <w:rPr>
          <w:rFonts w:ascii="Verdana" w:eastAsia="Verdana" w:hAnsi="Verdana" w:cs="Verdana"/>
          <w:spacing w:val="-13"/>
          <w:lang w:val="es-ES"/>
        </w:rPr>
        <w:t xml:space="preserve"> </w:t>
      </w:r>
      <w:r w:rsidRPr="002069C6">
        <w:rPr>
          <w:rFonts w:ascii="Verdana" w:eastAsia="Verdana" w:hAnsi="Verdana" w:cs="Verdana"/>
          <w:lang w:val="es-ES"/>
        </w:rPr>
        <w:t>por “la</w:t>
      </w:r>
      <w:r w:rsidRPr="002069C6">
        <w:rPr>
          <w:rFonts w:ascii="Verdana" w:eastAsia="Verdana" w:hAnsi="Verdana" w:cs="Verdana"/>
          <w:spacing w:val="-20"/>
          <w:lang w:val="es-ES"/>
        </w:rPr>
        <w:t xml:space="preserve"> </w:t>
      </w:r>
      <w:r w:rsidRPr="002069C6">
        <w:rPr>
          <w:rFonts w:ascii="Verdana" w:eastAsia="Verdana" w:hAnsi="Verdana" w:cs="Verdana"/>
          <w:lang w:val="es-ES"/>
        </w:rPr>
        <w:t>necesidad</w:t>
      </w:r>
      <w:r w:rsidRPr="002069C6">
        <w:rPr>
          <w:rFonts w:ascii="Verdana" w:eastAsia="Verdana" w:hAnsi="Verdana" w:cs="Verdana"/>
          <w:spacing w:val="-15"/>
          <w:lang w:val="es-ES"/>
        </w:rPr>
        <w:t xml:space="preserve"> </w:t>
      </w:r>
      <w:r w:rsidRPr="002069C6">
        <w:rPr>
          <w:rFonts w:ascii="Verdana" w:eastAsia="Verdana" w:hAnsi="Verdana" w:cs="Verdana"/>
          <w:lang w:val="es-ES"/>
        </w:rPr>
        <w:t>de</w:t>
      </w:r>
      <w:r w:rsidRPr="002069C6">
        <w:rPr>
          <w:rFonts w:ascii="Verdana" w:eastAsia="Verdana" w:hAnsi="Verdana" w:cs="Verdana"/>
          <w:spacing w:val="-15"/>
          <w:lang w:val="es-ES"/>
        </w:rPr>
        <w:t xml:space="preserve"> </w:t>
      </w:r>
      <w:r w:rsidRPr="002069C6">
        <w:rPr>
          <w:rFonts w:ascii="Verdana" w:eastAsia="Verdana" w:hAnsi="Verdana" w:cs="Verdana"/>
          <w:lang w:val="es-ES"/>
        </w:rPr>
        <w:t>que en</w:t>
      </w:r>
      <w:r w:rsidRPr="002069C6">
        <w:rPr>
          <w:rFonts w:ascii="Verdana" w:eastAsia="Verdana" w:hAnsi="Verdana" w:cs="Verdana"/>
          <w:spacing w:val="-7"/>
          <w:lang w:val="es-ES"/>
        </w:rPr>
        <w:t xml:space="preserve"> </w:t>
      </w:r>
      <w:r w:rsidRPr="002069C6">
        <w:rPr>
          <w:rFonts w:ascii="Verdana" w:eastAsia="Verdana" w:hAnsi="Verdana" w:cs="Verdana"/>
          <w:lang w:val="es-ES"/>
        </w:rPr>
        <w:t>su</w:t>
      </w:r>
      <w:r w:rsidRPr="002069C6">
        <w:rPr>
          <w:rFonts w:ascii="Verdana" w:eastAsia="Verdana" w:hAnsi="Verdana" w:cs="Verdana"/>
          <w:spacing w:val="-6"/>
          <w:lang w:val="es-ES"/>
        </w:rPr>
        <w:t xml:space="preserve"> </w:t>
      </w:r>
      <w:r w:rsidRPr="002069C6">
        <w:rPr>
          <w:rFonts w:ascii="Verdana" w:eastAsia="Verdana" w:hAnsi="Verdana" w:cs="Verdana"/>
          <w:lang w:val="es-ES"/>
        </w:rPr>
        <w:t>actividad</w:t>
      </w:r>
      <w:r w:rsidRPr="002069C6">
        <w:rPr>
          <w:rFonts w:ascii="Verdana" w:eastAsia="Verdana" w:hAnsi="Verdana" w:cs="Verdana"/>
          <w:spacing w:val="-9"/>
          <w:lang w:val="es-ES"/>
        </w:rPr>
        <w:t xml:space="preserve"> </w:t>
      </w:r>
      <w:r w:rsidRPr="002069C6">
        <w:rPr>
          <w:rFonts w:ascii="Verdana" w:eastAsia="Verdana" w:hAnsi="Verdana" w:cs="Verdana"/>
          <w:lang w:val="es-ES"/>
        </w:rPr>
        <w:t>industrial</w:t>
      </w:r>
      <w:r w:rsidRPr="002069C6">
        <w:rPr>
          <w:rFonts w:ascii="Verdana" w:eastAsia="Verdana" w:hAnsi="Verdana" w:cs="Verdana"/>
          <w:spacing w:val="-7"/>
          <w:lang w:val="es-ES"/>
        </w:rPr>
        <w:t xml:space="preserve"> </w:t>
      </w:r>
      <w:r w:rsidRPr="002069C6">
        <w:rPr>
          <w:rFonts w:ascii="Verdana" w:eastAsia="Verdana" w:hAnsi="Verdana" w:cs="Verdana"/>
          <w:lang w:val="es-ES"/>
        </w:rPr>
        <w:t>y</w:t>
      </w:r>
      <w:r w:rsidRPr="002069C6">
        <w:rPr>
          <w:rFonts w:ascii="Verdana" w:eastAsia="Verdana" w:hAnsi="Verdana" w:cs="Verdana"/>
          <w:spacing w:val="-7"/>
          <w:lang w:val="es-ES"/>
        </w:rPr>
        <w:t xml:space="preserve"> </w:t>
      </w:r>
      <w:r w:rsidRPr="002069C6">
        <w:rPr>
          <w:rFonts w:ascii="Verdana" w:eastAsia="Verdana" w:hAnsi="Verdana" w:cs="Verdana"/>
          <w:lang w:val="es-ES"/>
        </w:rPr>
        <w:t>comercial,</w:t>
      </w:r>
      <w:r w:rsidRPr="002069C6">
        <w:rPr>
          <w:rFonts w:ascii="Verdana" w:eastAsia="Verdana" w:hAnsi="Verdana" w:cs="Verdana"/>
          <w:spacing w:val="-7"/>
          <w:lang w:val="es-ES"/>
        </w:rPr>
        <w:t xml:space="preserve"> </w:t>
      </w:r>
      <w:r w:rsidRPr="002069C6">
        <w:rPr>
          <w:rFonts w:ascii="Verdana" w:eastAsia="Verdana" w:hAnsi="Verdana" w:cs="Verdana"/>
          <w:lang w:val="es-ES"/>
        </w:rPr>
        <w:t>tradicionalmente</w:t>
      </w:r>
      <w:r w:rsidRPr="002069C6">
        <w:rPr>
          <w:rFonts w:ascii="Verdana" w:eastAsia="Verdana" w:hAnsi="Verdana" w:cs="Verdana"/>
          <w:spacing w:val="-8"/>
          <w:lang w:val="es-ES"/>
        </w:rPr>
        <w:t xml:space="preserve"> </w:t>
      </w:r>
      <w:r w:rsidRPr="002069C6">
        <w:rPr>
          <w:rFonts w:ascii="Verdana" w:eastAsia="Verdana" w:hAnsi="Verdana" w:cs="Verdana"/>
          <w:lang w:val="es-ES"/>
        </w:rPr>
        <w:t>ajena</w:t>
      </w:r>
      <w:r w:rsidRPr="002069C6">
        <w:rPr>
          <w:rFonts w:ascii="Verdana" w:eastAsia="Verdana" w:hAnsi="Verdana" w:cs="Verdana"/>
          <w:spacing w:val="-9"/>
          <w:lang w:val="es-ES"/>
        </w:rPr>
        <w:t xml:space="preserve"> </w:t>
      </w:r>
      <w:r w:rsidRPr="002069C6">
        <w:rPr>
          <w:rFonts w:ascii="Verdana" w:eastAsia="Verdana" w:hAnsi="Verdana" w:cs="Verdana"/>
          <w:lang w:val="es-ES"/>
        </w:rPr>
        <w:t>al</w:t>
      </w:r>
      <w:r w:rsidRPr="002069C6">
        <w:rPr>
          <w:rFonts w:ascii="Verdana" w:eastAsia="Verdana" w:hAnsi="Verdana" w:cs="Verdana"/>
          <w:spacing w:val="-7"/>
          <w:lang w:val="es-ES"/>
        </w:rPr>
        <w:t xml:space="preserve"> </w:t>
      </w:r>
      <w:r w:rsidRPr="002069C6">
        <w:rPr>
          <w:rFonts w:ascii="Verdana" w:eastAsia="Verdana" w:hAnsi="Verdana" w:cs="Verdana"/>
          <w:lang w:val="es-ES"/>
        </w:rPr>
        <w:t>Estado</w:t>
      </w:r>
      <w:r w:rsidRPr="002069C6">
        <w:rPr>
          <w:rFonts w:ascii="Verdana" w:eastAsia="Verdana" w:hAnsi="Verdana" w:cs="Verdana"/>
          <w:spacing w:val="-6"/>
          <w:lang w:val="es-ES"/>
        </w:rPr>
        <w:t xml:space="preserve"> </w:t>
      </w:r>
      <w:r w:rsidRPr="002069C6">
        <w:rPr>
          <w:rFonts w:ascii="Verdana" w:eastAsia="Verdana" w:hAnsi="Verdana" w:cs="Verdana"/>
          <w:lang w:val="es-ES"/>
        </w:rPr>
        <w:t>y</w:t>
      </w:r>
      <w:r w:rsidRPr="002069C6">
        <w:rPr>
          <w:rFonts w:ascii="Verdana" w:eastAsia="Verdana" w:hAnsi="Verdana" w:cs="Verdana"/>
          <w:spacing w:val="-7"/>
          <w:lang w:val="es-ES"/>
        </w:rPr>
        <w:t xml:space="preserve"> </w:t>
      </w:r>
      <w:r w:rsidRPr="002069C6">
        <w:rPr>
          <w:rFonts w:ascii="Verdana" w:eastAsia="Verdana" w:hAnsi="Verdana" w:cs="Verdana"/>
          <w:lang w:val="es-ES"/>
        </w:rPr>
        <w:t>propia de los particulares, ellas actúen en términos equivalentes a éstos cuando realicen actividades similares, sin tener prerrogativas exorbitantes que atenten contra</w:t>
      </w:r>
      <w:r w:rsidRPr="002069C6">
        <w:rPr>
          <w:rFonts w:ascii="Verdana" w:eastAsia="Verdana" w:hAnsi="Verdana" w:cs="Verdana"/>
          <w:spacing w:val="-15"/>
          <w:lang w:val="es-ES"/>
        </w:rPr>
        <w:t xml:space="preserve"> </w:t>
      </w:r>
      <w:r w:rsidRPr="002069C6">
        <w:rPr>
          <w:rFonts w:ascii="Verdana" w:eastAsia="Verdana" w:hAnsi="Verdana" w:cs="Verdana"/>
          <w:lang w:val="es-ES"/>
        </w:rPr>
        <w:t>el</w:t>
      </w:r>
      <w:r w:rsidRPr="002069C6">
        <w:rPr>
          <w:rFonts w:ascii="Verdana" w:eastAsia="Verdana" w:hAnsi="Verdana" w:cs="Verdana"/>
          <w:spacing w:val="-13"/>
          <w:lang w:val="es-ES"/>
        </w:rPr>
        <w:t xml:space="preserve"> </w:t>
      </w:r>
      <w:r w:rsidRPr="002069C6">
        <w:rPr>
          <w:rFonts w:ascii="Verdana" w:eastAsia="Verdana" w:hAnsi="Verdana" w:cs="Verdana"/>
          <w:lang w:val="es-ES"/>
        </w:rPr>
        <w:t>derecho</w:t>
      </w:r>
      <w:r w:rsidRPr="002069C6">
        <w:rPr>
          <w:rFonts w:ascii="Verdana" w:eastAsia="Verdana" w:hAnsi="Verdana" w:cs="Verdana"/>
          <w:spacing w:val="-12"/>
          <w:lang w:val="es-ES"/>
        </w:rPr>
        <w:t xml:space="preserve"> </w:t>
      </w:r>
      <w:r w:rsidRPr="002069C6">
        <w:rPr>
          <w:rFonts w:ascii="Verdana" w:eastAsia="Verdana" w:hAnsi="Verdana" w:cs="Verdana"/>
          <w:lang w:val="es-ES"/>
        </w:rPr>
        <w:t>a</w:t>
      </w:r>
      <w:r w:rsidRPr="002069C6">
        <w:rPr>
          <w:rFonts w:ascii="Verdana" w:eastAsia="Verdana" w:hAnsi="Verdana" w:cs="Verdana"/>
          <w:spacing w:val="-15"/>
          <w:lang w:val="es-ES"/>
        </w:rPr>
        <w:t xml:space="preserve"> </w:t>
      </w:r>
      <w:r w:rsidRPr="002069C6">
        <w:rPr>
          <w:rFonts w:ascii="Verdana" w:eastAsia="Verdana" w:hAnsi="Verdana" w:cs="Verdana"/>
          <w:lang w:val="es-ES"/>
        </w:rPr>
        <w:t>la</w:t>
      </w:r>
      <w:r w:rsidRPr="002069C6">
        <w:rPr>
          <w:rFonts w:ascii="Verdana" w:eastAsia="Verdana" w:hAnsi="Verdana" w:cs="Verdana"/>
          <w:spacing w:val="-19"/>
          <w:lang w:val="es-ES"/>
        </w:rPr>
        <w:t xml:space="preserve"> </w:t>
      </w:r>
      <w:r w:rsidRPr="002069C6">
        <w:rPr>
          <w:rFonts w:ascii="Verdana" w:eastAsia="Verdana" w:hAnsi="Verdana" w:cs="Verdana"/>
          <w:lang w:val="es-ES"/>
        </w:rPr>
        <w:t>igualdad</w:t>
      </w:r>
      <w:r w:rsidRPr="002069C6">
        <w:rPr>
          <w:rFonts w:ascii="Verdana" w:eastAsia="Verdana" w:hAnsi="Verdana" w:cs="Verdana"/>
          <w:spacing w:val="-15"/>
          <w:lang w:val="es-ES"/>
        </w:rPr>
        <w:t xml:space="preserve"> </w:t>
      </w:r>
      <w:r w:rsidRPr="002069C6">
        <w:rPr>
          <w:rFonts w:ascii="Verdana" w:eastAsia="Verdana" w:hAnsi="Verdana" w:cs="Verdana"/>
          <w:lang w:val="es-ES"/>
        </w:rPr>
        <w:t>ni</w:t>
      </w:r>
      <w:r w:rsidRPr="002069C6">
        <w:rPr>
          <w:rFonts w:ascii="Verdana" w:eastAsia="Verdana" w:hAnsi="Verdana" w:cs="Verdana"/>
          <w:spacing w:val="-13"/>
          <w:lang w:val="es-ES"/>
        </w:rPr>
        <w:t xml:space="preserve"> </w:t>
      </w:r>
      <w:r w:rsidRPr="002069C6">
        <w:rPr>
          <w:rFonts w:ascii="Verdana" w:eastAsia="Verdana" w:hAnsi="Verdana" w:cs="Verdana"/>
          <w:lang w:val="es-ES"/>
        </w:rPr>
        <w:t>estar</w:t>
      </w:r>
      <w:r w:rsidRPr="002069C6">
        <w:rPr>
          <w:rFonts w:ascii="Verdana" w:eastAsia="Verdana" w:hAnsi="Verdana" w:cs="Verdana"/>
          <w:spacing w:val="-12"/>
          <w:lang w:val="es-ES"/>
        </w:rPr>
        <w:t xml:space="preserve"> </w:t>
      </w:r>
      <w:r w:rsidRPr="002069C6">
        <w:rPr>
          <w:rFonts w:ascii="Verdana" w:eastAsia="Verdana" w:hAnsi="Verdana" w:cs="Verdana"/>
          <w:lang w:val="es-ES"/>
        </w:rPr>
        <w:t>sujetas</w:t>
      </w:r>
      <w:r w:rsidRPr="002069C6">
        <w:rPr>
          <w:rFonts w:ascii="Verdana" w:eastAsia="Verdana" w:hAnsi="Verdana" w:cs="Verdana"/>
          <w:spacing w:val="-13"/>
          <w:lang w:val="es-ES"/>
        </w:rPr>
        <w:t xml:space="preserve"> </w:t>
      </w:r>
      <w:r w:rsidRPr="002069C6">
        <w:rPr>
          <w:rFonts w:ascii="Verdana" w:eastAsia="Verdana" w:hAnsi="Verdana" w:cs="Verdana"/>
          <w:lang w:val="es-ES"/>
        </w:rPr>
        <w:t>a</w:t>
      </w:r>
      <w:r w:rsidRPr="002069C6">
        <w:rPr>
          <w:rFonts w:ascii="Verdana" w:eastAsia="Verdana" w:hAnsi="Verdana" w:cs="Verdana"/>
          <w:spacing w:val="-15"/>
          <w:lang w:val="es-ES"/>
        </w:rPr>
        <w:t xml:space="preserve"> </w:t>
      </w:r>
      <w:r w:rsidRPr="002069C6">
        <w:rPr>
          <w:rFonts w:ascii="Verdana" w:eastAsia="Verdana" w:hAnsi="Verdana" w:cs="Verdana"/>
          <w:lang w:val="es-ES"/>
        </w:rPr>
        <w:t>procedimientos</w:t>
      </w:r>
      <w:r w:rsidRPr="002069C6">
        <w:rPr>
          <w:rFonts w:ascii="Verdana" w:eastAsia="Verdana" w:hAnsi="Verdana" w:cs="Verdana"/>
          <w:spacing w:val="-13"/>
          <w:lang w:val="es-ES"/>
        </w:rPr>
        <w:t xml:space="preserve"> </w:t>
      </w:r>
      <w:r w:rsidRPr="002069C6">
        <w:rPr>
          <w:rFonts w:ascii="Verdana" w:eastAsia="Verdana" w:hAnsi="Verdana" w:cs="Verdana"/>
          <w:lang w:val="es-ES"/>
        </w:rPr>
        <w:t>administrativos que entraben sus actuaciones y las pongan en situación de desventaja</w:t>
      </w:r>
      <w:r w:rsidRPr="002069C6">
        <w:rPr>
          <w:rFonts w:ascii="Verdana" w:eastAsia="Verdana" w:hAnsi="Verdana" w:cs="Verdana"/>
          <w:spacing w:val="-1"/>
          <w:lang w:val="es-ES"/>
        </w:rPr>
        <w:t xml:space="preserve"> </w:t>
      </w:r>
      <w:r w:rsidRPr="002069C6">
        <w:rPr>
          <w:rFonts w:ascii="Verdana" w:eastAsia="Verdana" w:hAnsi="Verdana" w:cs="Verdana"/>
          <w:lang w:val="es-ES"/>
        </w:rPr>
        <w:t>frente a sus</w:t>
      </w:r>
      <w:r w:rsidRPr="002069C6">
        <w:rPr>
          <w:rFonts w:ascii="Verdana" w:eastAsia="Verdana" w:hAnsi="Verdana" w:cs="Verdana"/>
          <w:spacing w:val="-1"/>
          <w:lang w:val="es-ES"/>
        </w:rPr>
        <w:t xml:space="preserve"> </w:t>
      </w:r>
      <w:r w:rsidRPr="002069C6">
        <w:rPr>
          <w:rFonts w:ascii="Verdana" w:eastAsia="Verdana" w:hAnsi="Verdana" w:cs="Verdana"/>
          <w:lang w:val="es-ES"/>
        </w:rPr>
        <w:t>competidores</w:t>
      </w:r>
      <w:r w:rsidRPr="002069C6">
        <w:rPr>
          <w:rFonts w:ascii="Verdana" w:eastAsia="Verdana" w:hAnsi="Verdana" w:cs="Verdana"/>
          <w:spacing w:val="-1"/>
          <w:lang w:val="es-ES"/>
        </w:rPr>
        <w:t xml:space="preserve"> </w:t>
      </w:r>
      <w:r w:rsidRPr="002069C6">
        <w:rPr>
          <w:rFonts w:ascii="Verdana" w:eastAsia="Verdana" w:hAnsi="Verdana" w:cs="Verdana"/>
          <w:lang w:val="es-ES"/>
        </w:rPr>
        <w:t>[…].</w:t>
      </w:r>
      <w:r w:rsidRPr="002069C6">
        <w:rPr>
          <w:rFonts w:ascii="Verdana" w:eastAsia="Verdana" w:hAnsi="Verdana" w:cs="Verdana"/>
          <w:spacing w:val="-6"/>
          <w:lang w:val="es-ES"/>
        </w:rPr>
        <w:t xml:space="preserve"> </w:t>
      </w:r>
      <w:r w:rsidRPr="002069C6">
        <w:rPr>
          <w:rFonts w:ascii="Verdana" w:eastAsia="Verdana" w:hAnsi="Verdana" w:cs="Verdana"/>
          <w:lang w:val="es-ES"/>
        </w:rPr>
        <w:t>Por</w:t>
      </w:r>
      <w:r w:rsidRPr="002069C6">
        <w:rPr>
          <w:rFonts w:ascii="Verdana" w:eastAsia="Verdana" w:hAnsi="Verdana" w:cs="Verdana"/>
          <w:spacing w:val="-5"/>
          <w:lang w:val="es-ES"/>
        </w:rPr>
        <w:t xml:space="preserve"> </w:t>
      </w:r>
      <w:r w:rsidRPr="002069C6">
        <w:rPr>
          <w:rFonts w:ascii="Verdana" w:eastAsia="Verdana" w:hAnsi="Verdana" w:cs="Verdana"/>
          <w:lang w:val="es-ES"/>
        </w:rPr>
        <w:t>ello,</w:t>
      </w:r>
      <w:r w:rsidRPr="002069C6">
        <w:rPr>
          <w:rFonts w:ascii="Verdana" w:eastAsia="Verdana" w:hAnsi="Verdana" w:cs="Verdana"/>
          <w:spacing w:val="-2"/>
          <w:lang w:val="es-ES"/>
        </w:rPr>
        <w:t xml:space="preserve"> </w:t>
      </w:r>
      <w:r w:rsidRPr="002069C6">
        <w:rPr>
          <w:rFonts w:ascii="Verdana" w:eastAsia="Verdana" w:hAnsi="Verdana" w:cs="Verdana"/>
          <w:lang w:val="es-ES"/>
        </w:rPr>
        <w:t>la</w:t>
      </w:r>
      <w:r w:rsidRPr="002069C6">
        <w:rPr>
          <w:rFonts w:ascii="Verdana" w:eastAsia="Verdana" w:hAnsi="Verdana" w:cs="Verdana"/>
          <w:spacing w:val="-3"/>
          <w:lang w:val="es-ES"/>
        </w:rPr>
        <w:t xml:space="preserve"> </w:t>
      </w:r>
      <w:r w:rsidRPr="002069C6">
        <w:rPr>
          <w:rFonts w:ascii="Verdana" w:eastAsia="Verdana" w:hAnsi="Verdana" w:cs="Verdana"/>
          <w:lang w:val="es-ES"/>
        </w:rPr>
        <w:t>regla</w:t>
      </w:r>
      <w:r w:rsidRPr="002069C6">
        <w:rPr>
          <w:rFonts w:ascii="Verdana" w:eastAsia="Verdana" w:hAnsi="Verdana" w:cs="Verdana"/>
          <w:spacing w:val="-3"/>
          <w:lang w:val="es-ES"/>
        </w:rPr>
        <w:t xml:space="preserve"> </w:t>
      </w:r>
      <w:r w:rsidRPr="002069C6">
        <w:rPr>
          <w:rFonts w:ascii="Verdana" w:eastAsia="Verdana" w:hAnsi="Verdana" w:cs="Verdana"/>
          <w:lang w:val="es-ES"/>
        </w:rPr>
        <w:t>general</w:t>
      </w:r>
      <w:r w:rsidRPr="002069C6">
        <w:rPr>
          <w:rFonts w:ascii="Verdana" w:eastAsia="Verdana" w:hAnsi="Verdana" w:cs="Verdana"/>
          <w:spacing w:val="-1"/>
          <w:lang w:val="es-ES"/>
        </w:rPr>
        <w:t xml:space="preserve"> </w:t>
      </w:r>
      <w:r w:rsidRPr="002069C6">
        <w:rPr>
          <w:rFonts w:ascii="Verdana" w:eastAsia="Verdana" w:hAnsi="Verdana" w:cs="Verdana"/>
          <w:lang w:val="es-ES"/>
        </w:rPr>
        <w:t>es</w:t>
      </w:r>
      <w:r w:rsidRPr="002069C6">
        <w:rPr>
          <w:rFonts w:ascii="Verdana" w:eastAsia="Verdana" w:hAnsi="Verdana" w:cs="Verdana"/>
          <w:spacing w:val="-1"/>
          <w:lang w:val="es-ES"/>
        </w:rPr>
        <w:t xml:space="preserve"> </w:t>
      </w:r>
      <w:r w:rsidRPr="002069C6">
        <w:rPr>
          <w:rFonts w:ascii="Verdana" w:eastAsia="Verdana" w:hAnsi="Verdana" w:cs="Verdana"/>
          <w:lang w:val="es-ES"/>
        </w:rPr>
        <w:t>que</w:t>
      </w:r>
      <w:r w:rsidRPr="002069C6">
        <w:rPr>
          <w:rFonts w:ascii="Verdana" w:eastAsia="Verdana" w:hAnsi="Verdana" w:cs="Verdana"/>
          <w:spacing w:val="-2"/>
          <w:lang w:val="es-ES"/>
        </w:rPr>
        <w:t xml:space="preserve"> </w:t>
      </w:r>
      <w:r w:rsidRPr="002069C6">
        <w:rPr>
          <w:rFonts w:ascii="Verdana" w:eastAsia="Verdana" w:hAnsi="Verdana" w:cs="Verdana"/>
          <w:lang w:val="es-ES"/>
        </w:rPr>
        <w:t>en</w:t>
      </w:r>
      <w:r w:rsidRPr="002069C6">
        <w:rPr>
          <w:rFonts w:ascii="Verdana" w:eastAsia="Verdana" w:hAnsi="Verdana" w:cs="Verdana"/>
          <w:spacing w:val="-1"/>
          <w:lang w:val="es-ES"/>
        </w:rPr>
        <w:t xml:space="preserve"> </w:t>
      </w:r>
      <w:r w:rsidRPr="002069C6">
        <w:rPr>
          <w:rFonts w:ascii="Verdana" w:eastAsia="Verdana" w:hAnsi="Verdana" w:cs="Verdana"/>
          <w:lang w:val="es-ES"/>
        </w:rPr>
        <w:t>sus</w:t>
      </w:r>
      <w:r w:rsidRPr="002069C6">
        <w:rPr>
          <w:rFonts w:ascii="Verdana" w:eastAsia="Verdana" w:hAnsi="Verdana" w:cs="Verdana"/>
          <w:spacing w:val="-6"/>
          <w:lang w:val="es-ES"/>
        </w:rPr>
        <w:t xml:space="preserve"> </w:t>
      </w:r>
      <w:r w:rsidRPr="002069C6">
        <w:rPr>
          <w:rFonts w:ascii="Verdana" w:eastAsia="Verdana" w:hAnsi="Verdana" w:cs="Verdana"/>
          <w:lang w:val="es-ES"/>
        </w:rPr>
        <w:t>actos</w:t>
      </w:r>
      <w:r w:rsidRPr="002069C6">
        <w:rPr>
          <w:rFonts w:ascii="Verdana" w:eastAsia="Verdana" w:hAnsi="Verdana" w:cs="Verdana"/>
          <w:spacing w:val="-1"/>
          <w:lang w:val="es-ES"/>
        </w:rPr>
        <w:t xml:space="preserve"> </w:t>
      </w:r>
      <w:r w:rsidRPr="002069C6">
        <w:rPr>
          <w:rFonts w:ascii="Verdana" w:eastAsia="Verdana" w:hAnsi="Verdana" w:cs="Verdana"/>
          <w:lang w:val="es-ES"/>
        </w:rPr>
        <w:t>y</w:t>
      </w:r>
      <w:r w:rsidRPr="002069C6">
        <w:rPr>
          <w:rFonts w:ascii="Verdana" w:eastAsia="Verdana" w:hAnsi="Verdana" w:cs="Verdana"/>
          <w:spacing w:val="-2"/>
          <w:lang w:val="es-ES"/>
        </w:rPr>
        <w:t xml:space="preserve"> </w:t>
      </w:r>
      <w:r w:rsidRPr="002069C6">
        <w:rPr>
          <w:rFonts w:ascii="Verdana" w:eastAsia="Verdana" w:hAnsi="Verdana" w:cs="Verdana"/>
          <w:lang w:val="es-ES"/>
        </w:rPr>
        <w:t>contratos rijan las normas de derecho privado, salvo en cuanto a sus relaciones con la Administración y en aquellos casos en los que por expresa disposición legal ejerzan</w:t>
      </w:r>
      <w:r w:rsidRPr="002069C6">
        <w:rPr>
          <w:rFonts w:ascii="Verdana" w:eastAsia="Verdana" w:hAnsi="Verdana" w:cs="Verdana"/>
          <w:spacing w:val="-4"/>
          <w:lang w:val="es-ES"/>
        </w:rPr>
        <w:t xml:space="preserve"> </w:t>
      </w:r>
      <w:r w:rsidRPr="002069C6">
        <w:rPr>
          <w:rFonts w:ascii="Verdana" w:eastAsia="Verdana" w:hAnsi="Verdana" w:cs="Verdana"/>
          <w:lang w:val="es-ES"/>
        </w:rPr>
        <w:t>alguna</w:t>
      </w:r>
      <w:r w:rsidRPr="002069C6">
        <w:rPr>
          <w:rFonts w:ascii="Verdana" w:eastAsia="Verdana" w:hAnsi="Verdana" w:cs="Verdana"/>
          <w:spacing w:val="-7"/>
          <w:lang w:val="es-ES"/>
        </w:rPr>
        <w:t xml:space="preserve"> </w:t>
      </w:r>
      <w:r w:rsidRPr="002069C6">
        <w:rPr>
          <w:rFonts w:ascii="Verdana" w:eastAsia="Verdana" w:hAnsi="Verdana" w:cs="Verdana"/>
          <w:lang w:val="es-ES"/>
        </w:rPr>
        <w:t>función</w:t>
      </w:r>
      <w:r w:rsidRPr="002069C6">
        <w:rPr>
          <w:rFonts w:ascii="Verdana" w:eastAsia="Verdana" w:hAnsi="Verdana" w:cs="Verdana"/>
          <w:spacing w:val="-9"/>
          <w:lang w:val="es-ES"/>
        </w:rPr>
        <w:t xml:space="preserve"> </w:t>
      </w:r>
      <w:r w:rsidRPr="002069C6">
        <w:rPr>
          <w:rFonts w:ascii="Verdana" w:eastAsia="Verdana" w:hAnsi="Verdana" w:cs="Verdana"/>
          <w:lang w:val="es-ES"/>
        </w:rPr>
        <w:t>administrativa,</w:t>
      </w:r>
      <w:r w:rsidRPr="002069C6">
        <w:rPr>
          <w:rFonts w:ascii="Verdana" w:eastAsia="Verdana" w:hAnsi="Verdana" w:cs="Verdana"/>
          <w:spacing w:val="-5"/>
          <w:lang w:val="es-ES"/>
        </w:rPr>
        <w:t xml:space="preserve"> </w:t>
      </w:r>
      <w:r w:rsidRPr="002069C6">
        <w:rPr>
          <w:rFonts w:ascii="Verdana" w:eastAsia="Verdana" w:hAnsi="Verdana" w:cs="Verdana"/>
          <w:lang w:val="es-ES"/>
        </w:rPr>
        <w:t>puesto que</w:t>
      </w:r>
      <w:r w:rsidRPr="002069C6">
        <w:rPr>
          <w:rFonts w:ascii="Verdana" w:eastAsia="Verdana" w:hAnsi="Verdana" w:cs="Verdana"/>
          <w:spacing w:val="-5"/>
          <w:lang w:val="es-ES"/>
        </w:rPr>
        <w:t xml:space="preserve"> </w:t>
      </w:r>
      <w:r w:rsidRPr="002069C6">
        <w:rPr>
          <w:rFonts w:ascii="Verdana" w:eastAsia="Verdana" w:hAnsi="Verdana" w:cs="Verdana"/>
          <w:lang w:val="es-ES"/>
        </w:rPr>
        <w:t>allí</w:t>
      </w:r>
      <w:r w:rsidRPr="002069C6">
        <w:rPr>
          <w:rFonts w:ascii="Verdana" w:eastAsia="Verdana" w:hAnsi="Verdana" w:cs="Verdana"/>
          <w:spacing w:val="-4"/>
          <w:lang w:val="es-ES"/>
        </w:rPr>
        <w:t xml:space="preserve"> </w:t>
      </w:r>
      <w:r w:rsidRPr="002069C6">
        <w:rPr>
          <w:rFonts w:ascii="Verdana" w:eastAsia="Verdana" w:hAnsi="Verdana" w:cs="Verdana"/>
          <w:lang w:val="es-ES"/>
        </w:rPr>
        <w:t>sí</w:t>
      </w:r>
      <w:r w:rsidRPr="002069C6">
        <w:rPr>
          <w:rFonts w:ascii="Verdana" w:eastAsia="Verdana" w:hAnsi="Verdana" w:cs="Verdana"/>
          <w:spacing w:val="-9"/>
          <w:lang w:val="es-ES"/>
        </w:rPr>
        <w:t xml:space="preserve"> </w:t>
      </w:r>
      <w:r w:rsidRPr="002069C6">
        <w:rPr>
          <w:rFonts w:ascii="Verdana" w:eastAsia="Verdana" w:hAnsi="Verdana" w:cs="Verdana"/>
          <w:lang w:val="es-ES"/>
        </w:rPr>
        <w:t>deberá</w:t>
      </w:r>
      <w:r w:rsidRPr="002069C6">
        <w:rPr>
          <w:rFonts w:ascii="Verdana" w:eastAsia="Verdana" w:hAnsi="Verdana" w:cs="Verdana"/>
          <w:spacing w:val="-7"/>
          <w:lang w:val="es-ES"/>
        </w:rPr>
        <w:t xml:space="preserve"> </w:t>
      </w:r>
      <w:r w:rsidRPr="002069C6">
        <w:rPr>
          <w:rFonts w:ascii="Verdana" w:eastAsia="Verdana" w:hAnsi="Verdana" w:cs="Verdana"/>
          <w:lang w:val="es-ES"/>
        </w:rPr>
        <w:t>dar</w:t>
      </w:r>
      <w:r w:rsidRPr="002069C6">
        <w:rPr>
          <w:rFonts w:ascii="Verdana" w:eastAsia="Verdana" w:hAnsi="Verdana" w:cs="Verdana"/>
          <w:spacing w:val="-3"/>
          <w:lang w:val="es-ES"/>
        </w:rPr>
        <w:t xml:space="preserve"> </w:t>
      </w:r>
      <w:r w:rsidRPr="002069C6">
        <w:rPr>
          <w:rFonts w:ascii="Verdana" w:eastAsia="Verdana" w:hAnsi="Verdana" w:cs="Verdana"/>
          <w:lang w:val="es-ES"/>
        </w:rPr>
        <w:t>aplicación</w:t>
      </w:r>
      <w:r w:rsidRPr="002069C6">
        <w:rPr>
          <w:rFonts w:ascii="Verdana" w:eastAsia="Verdana" w:hAnsi="Verdana" w:cs="Verdana"/>
          <w:spacing w:val="-4"/>
          <w:lang w:val="es-ES"/>
        </w:rPr>
        <w:t xml:space="preserve"> </w:t>
      </w:r>
      <w:r w:rsidRPr="002069C6">
        <w:rPr>
          <w:rFonts w:ascii="Verdana" w:eastAsia="Verdana" w:hAnsi="Verdana" w:cs="Verdana"/>
          <w:lang w:val="es-ES"/>
        </w:rPr>
        <w:t>a las reglas de derecho público pertinentes […]”</w:t>
      </w:r>
      <w:r w:rsidRPr="002069C6">
        <w:rPr>
          <w:rFonts w:ascii="Verdana" w:eastAsia="Verdana" w:hAnsi="Verdana" w:cs="Verdana"/>
          <w:vertAlign w:val="superscript"/>
          <w:lang w:val="es-ES"/>
        </w:rPr>
        <w:footnoteReference w:id="6"/>
      </w:r>
      <w:r w:rsidRPr="002069C6">
        <w:rPr>
          <w:rFonts w:ascii="Verdana" w:eastAsia="Verdana" w:hAnsi="Verdana" w:cs="Verdana"/>
          <w:lang w:val="es-ES"/>
        </w:rPr>
        <w:t xml:space="preserve">. </w:t>
      </w:r>
    </w:p>
    <w:p w14:paraId="49C245C2" w14:textId="77777777" w:rsidR="00D35423" w:rsidRPr="002069C6" w:rsidRDefault="00D35423" w:rsidP="00D35423">
      <w:pPr>
        <w:widowControl w:val="0"/>
        <w:autoSpaceDE w:val="0"/>
        <w:autoSpaceDN w:val="0"/>
        <w:spacing w:after="0" w:line="276" w:lineRule="auto"/>
        <w:ind w:right="51" w:firstLine="709"/>
        <w:jc w:val="both"/>
        <w:rPr>
          <w:rFonts w:ascii="Verdana" w:hAnsi="Verdana" w:cs="Arial"/>
        </w:rPr>
      </w:pPr>
      <w:r w:rsidRPr="002069C6">
        <w:rPr>
          <w:rFonts w:ascii="Verdana" w:hAnsi="Verdana" w:cs="Arial"/>
        </w:rPr>
        <w:t xml:space="preserve">De acuerdo con la jurisprudencia, lo anterior se </w:t>
      </w:r>
      <w:r>
        <w:rPr>
          <w:rFonts w:ascii="Verdana" w:hAnsi="Verdana" w:cs="Arial"/>
        </w:rPr>
        <w:t xml:space="preserve">fundamenta </w:t>
      </w:r>
      <w:r w:rsidRPr="002069C6">
        <w:rPr>
          <w:rFonts w:ascii="Verdana" w:hAnsi="Verdana" w:cs="Arial"/>
        </w:rPr>
        <w:t>en el principio de igualdad, ya que, si el Estado desarrolla actividades similares a los particulares, debe actuar desprovisto de poderes exorbitantes</w:t>
      </w:r>
      <w:r>
        <w:rPr>
          <w:rFonts w:ascii="Verdana" w:hAnsi="Verdana" w:cs="Arial"/>
        </w:rPr>
        <w:t xml:space="preserve">, y </w:t>
      </w:r>
      <w:r w:rsidRPr="002069C6">
        <w:rPr>
          <w:rFonts w:ascii="Verdana" w:hAnsi="Verdana" w:cs="Arial"/>
        </w:rPr>
        <w:t>con la misma eficacia y eficiencia que los sujetos de derecho privado:</w:t>
      </w:r>
    </w:p>
    <w:p w14:paraId="3CFAF4C6" w14:textId="77777777" w:rsidR="00D35423" w:rsidRPr="002069C6" w:rsidRDefault="00D35423" w:rsidP="00D35423">
      <w:pPr>
        <w:spacing w:after="0" w:line="276" w:lineRule="auto"/>
        <w:ind w:firstLine="709"/>
        <w:jc w:val="both"/>
        <w:rPr>
          <w:rFonts w:ascii="Verdana" w:eastAsia="Calibri" w:hAnsi="Verdana" w:cs="Arial"/>
          <w:color w:val="000000" w:themeColor="text1"/>
        </w:rPr>
      </w:pPr>
    </w:p>
    <w:p w14:paraId="7CFE16EF" w14:textId="3C9A3AC0" w:rsidR="00D35423" w:rsidRPr="002069C6" w:rsidRDefault="00D35423" w:rsidP="00DE3CED">
      <w:pPr>
        <w:spacing w:after="0" w:line="240" w:lineRule="auto"/>
        <w:ind w:left="709" w:right="709"/>
        <w:jc w:val="both"/>
        <w:rPr>
          <w:rFonts w:ascii="Verdana" w:eastAsia="Calibri" w:hAnsi="Verdana" w:cs="Arial"/>
          <w:color w:val="000000" w:themeColor="text1"/>
          <w:sz w:val="20"/>
          <w:szCs w:val="20"/>
        </w:rPr>
      </w:pPr>
      <w:r w:rsidRPr="002069C6">
        <w:rPr>
          <w:rFonts w:ascii="Verdana" w:eastAsia="Calibri" w:hAnsi="Verdana" w:cs="Arial"/>
          <w:color w:val="000000" w:themeColor="text1"/>
          <w:sz w:val="20"/>
          <w:szCs w:val="20"/>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3AC2BF12" w14:textId="77777777" w:rsidR="00D35423" w:rsidRPr="002069C6" w:rsidRDefault="00D35423" w:rsidP="00D35423">
      <w:pPr>
        <w:spacing w:after="0" w:line="240" w:lineRule="auto"/>
        <w:ind w:left="709" w:right="709"/>
        <w:jc w:val="both"/>
        <w:rPr>
          <w:rFonts w:ascii="Verdana" w:eastAsia="Calibri" w:hAnsi="Verdana" w:cs="Arial"/>
          <w:color w:val="000000" w:themeColor="text1"/>
          <w:sz w:val="20"/>
          <w:szCs w:val="20"/>
        </w:rPr>
      </w:pPr>
      <w:r w:rsidRPr="002069C6">
        <w:rPr>
          <w:rFonts w:ascii="Verdana" w:eastAsia="Calibri" w:hAnsi="Verdana" w:cs="Arial"/>
          <w:color w:val="000000" w:themeColor="text1"/>
          <w:sz w:val="20"/>
          <w:szCs w:val="20"/>
        </w:rPr>
        <w:t>Se trata pues, de que sus actividades de explotación industrial o comercial se desarrollen con las mismas oportunidades y las mismas ventajas o desventajas que las adelantadas por aquellos, sin que influya para nada su investidura de entidad estatal; que puedan actuar como particulares, frente a las exigencias de la economía y del mercado.”</w:t>
      </w:r>
    </w:p>
    <w:p w14:paraId="5C28E3D6" w14:textId="77777777" w:rsidR="00D35423" w:rsidRPr="002069C6" w:rsidRDefault="00D35423" w:rsidP="00D35423">
      <w:pPr>
        <w:widowControl w:val="0"/>
        <w:autoSpaceDE w:val="0"/>
        <w:autoSpaceDN w:val="0"/>
        <w:spacing w:after="0" w:line="276" w:lineRule="auto"/>
        <w:ind w:right="51" w:firstLine="709"/>
        <w:jc w:val="both"/>
        <w:rPr>
          <w:rFonts w:ascii="Verdana" w:eastAsia="Verdana" w:hAnsi="Verdana" w:cs="Verdana"/>
        </w:rPr>
      </w:pPr>
    </w:p>
    <w:p w14:paraId="27B981D4" w14:textId="77777777" w:rsidR="00D35423" w:rsidRPr="002069C6" w:rsidRDefault="00D35423" w:rsidP="00D35423">
      <w:pPr>
        <w:widowControl w:val="0"/>
        <w:autoSpaceDE w:val="0"/>
        <w:autoSpaceDN w:val="0"/>
        <w:spacing w:after="120" w:line="276" w:lineRule="auto"/>
        <w:ind w:right="49" w:firstLine="709"/>
        <w:jc w:val="both"/>
        <w:rPr>
          <w:rFonts w:ascii="Verdana" w:eastAsia="Verdana" w:hAnsi="Verdana" w:cs="Verdana"/>
          <w:lang w:val="es-ES"/>
        </w:rPr>
      </w:pPr>
      <w:r w:rsidRPr="002069C6">
        <w:rPr>
          <w:rFonts w:ascii="Verdana" w:eastAsia="Verdana" w:hAnsi="Verdana" w:cs="Verdana"/>
          <w:lang w:val="es-ES"/>
        </w:rPr>
        <w:t>Ahora bien, el artículo 14 de la Ley 1150 de 2007,</w:t>
      </w:r>
      <w:r w:rsidRPr="002069C6">
        <w:rPr>
          <w:rFonts w:ascii="Verdana" w:eastAsia="Verdana" w:hAnsi="Verdana" w:cs="Verdana"/>
          <w:spacing w:val="-11"/>
          <w:lang w:val="es-ES"/>
        </w:rPr>
        <w:t xml:space="preserve"> </w:t>
      </w:r>
      <w:r w:rsidRPr="002069C6">
        <w:rPr>
          <w:rFonts w:ascii="Verdana" w:eastAsia="Verdana" w:hAnsi="Verdana" w:cs="Verdana"/>
          <w:lang w:val="es-ES"/>
        </w:rPr>
        <w:t>modificado</w:t>
      </w:r>
      <w:r w:rsidRPr="002069C6">
        <w:rPr>
          <w:rFonts w:ascii="Verdana" w:eastAsia="Verdana" w:hAnsi="Verdana" w:cs="Verdana"/>
          <w:spacing w:val="-10"/>
          <w:lang w:val="es-ES"/>
        </w:rPr>
        <w:t xml:space="preserve"> </w:t>
      </w:r>
      <w:r w:rsidRPr="002069C6">
        <w:rPr>
          <w:rFonts w:ascii="Verdana" w:eastAsia="Verdana" w:hAnsi="Verdana" w:cs="Verdana"/>
          <w:lang w:val="es-ES"/>
        </w:rPr>
        <w:t>por</w:t>
      </w:r>
      <w:r w:rsidRPr="002069C6">
        <w:rPr>
          <w:rFonts w:ascii="Verdana" w:eastAsia="Verdana" w:hAnsi="Verdana" w:cs="Verdana"/>
          <w:spacing w:val="-10"/>
          <w:lang w:val="es-ES"/>
        </w:rPr>
        <w:t xml:space="preserve"> </w:t>
      </w:r>
      <w:r w:rsidRPr="002069C6">
        <w:rPr>
          <w:rFonts w:ascii="Verdana" w:eastAsia="Verdana" w:hAnsi="Verdana" w:cs="Verdana"/>
          <w:lang w:val="es-ES"/>
        </w:rPr>
        <w:t>el</w:t>
      </w:r>
      <w:r w:rsidRPr="002069C6">
        <w:rPr>
          <w:rFonts w:ascii="Verdana" w:eastAsia="Verdana" w:hAnsi="Verdana" w:cs="Verdana"/>
          <w:spacing w:val="-11"/>
          <w:lang w:val="es-ES"/>
        </w:rPr>
        <w:t xml:space="preserve"> </w:t>
      </w:r>
      <w:r w:rsidRPr="002069C6">
        <w:rPr>
          <w:rFonts w:ascii="Verdana" w:eastAsia="Verdana" w:hAnsi="Verdana" w:cs="Verdana"/>
          <w:lang w:val="es-ES"/>
        </w:rPr>
        <w:t>artículo</w:t>
      </w:r>
      <w:r w:rsidRPr="002069C6">
        <w:rPr>
          <w:rFonts w:ascii="Verdana" w:eastAsia="Verdana" w:hAnsi="Verdana" w:cs="Verdana"/>
          <w:spacing w:val="-10"/>
          <w:lang w:val="es-ES"/>
        </w:rPr>
        <w:t xml:space="preserve"> </w:t>
      </w:r>
      <w:r w:rsidRPr="002069C6">
        <w:rPr>
          <w:rFonts w:ascii="Verdana" w:eastAsia="Verdana" w:hAnsi="Verdana" w:cs="Verdana"/>
          <w:lang w:val="es-ES"/>
        </w:rPr>
        <w:t>93</w:t>
      </w:r>
      <w:r w:rsidRPr="002069C6">
        <w:rPr>
          <w:rFonts w:ascii="Verdana" w:eastAsia="Verdana" w:hAnsi="Verdana" w:cs="Verdana"/>
          <w:spacing w:val="-11"/>
          <w:lang w:val="es-ES"/>
        </w:rPr>
        <w:t xml:space="preserve"> </w:t>
      </w:r>
      <w:r w:rsidRPr="002069C6">
        <w:rPr>
          <w:rFonts w:ascii="Verdana" w:eastAsia="Verdana" w:hAnsi="Verdana" w:cs="Verdana"/>
          <w:lang w:val="es-ES"/>
        </w:rPr>
        <w:t>de</w:t>
      </w:r>
      <w:r w:rsidRPr="002069C6">
        <w:rPr>
          <w:rFonts w:ascii="Verdana" w:eastAsia="Verdana" w:hAnsi="Verdana" w:cs="Verdana"/>
          <w:spacing w:val="-12"/>
          <w:lang w:val="es-ES"/>
        </w:rPr>
        <w:t xml:space="preserve"> </w:t>
      </w:r>
      <w:r w:rsidRPr="002069C6">
        <w:rPr>
          <w:rFonts w:ascii="Verdana" w:eastAsia="Verdana" w:hAnsi="Verdana" w:cs="Verdana"/>
          <w:lang w:val="es-ES"/>
        </w:rPr>
        <w:t>la</w:t>
      </w:r>
      <w:r w:rsidRPr="002069C6">
        <w:rPr>
          <w:rFonts w:ascii="Verdana" w:eastAsia="Verdana" w:hAnsi="Verdana" w:cs="Verdana"/>
          <w:spacing w:val="-13"/>
          <w:lang w:val="es-ES"/>
        </w:rPr>
        <w:t xml:space="preserve"> </w:t>
      </w:r>
      <w:r w:rsidRPr="002069C6">
        <w:rPr>
          <w:rFonts w:ascii="Verdana" w:eastAsia="Verdana" w:hAnsi="Verdana" w:cs="Verdana"/>
          <w:lang w:val="es-ES"/>
        </w:rPr>
        <w:t>Ley</w:t>
      </w:r>
      <w:r w:rsidRPr="002069C6">
        <w:rPr>
          <w:rFonts w:ascii="Verdana" w:eastAsia="Verdana" w:hAnsi="Verdana" w:cs="Verdana"/>
          <w:spacing w:val="-11"/>
          <w:lang w:val="es-ES"/>
        </w:rPr>
        <w:t xml:space="preserve"> </w:t>
      </w:r>
      <w:r w:rsidRPr="002069C6">
        <w:rPr>
          <w:rFonts w:ascii="Verdana" w:eastAsia="Verdana" w:hAnsi="Verdana" w:cs="Verdana"/>
          <w:lang w:val="es-ES"/>
        </w:rPr>
        <w:t>1474</w:t>
      </w:r>
      <w:r w:rsidRPr="002069C6">
        <w:rPr>
          <w:rFonts w:ascii="Verdana" w:eastAsia="Verdana" w:hAnsi="Verdana" w:cs="Verdana"/>
          <w:spacing w:val="-11"/>
          <w:lang w:val="es-ES"/>
        </w:rPr>
        <w:t xml:space="preserve"> </w:t>
      </w:r>
      <w:r w:rsidRPr="002069C6">
        <w:rPr>
          <w:rFonts w:ascii="Verdana" w:eastAsia="Verdana" w:hAnsi="Verdana" w:cs="Verdana"/>
          <w:lang w:val="es-ES"/>
        </w:rPr>
        <w:t>de</w:t>
      </w:r>
      <w:r w:rsidRPr="002069C6">
        <w:rPr>
          <w:rFonts w:ascii="Verdana" w:eastAsia="Verdana" w:hAnsi="Verdana" w:cs="Verdana"/>
          <w:spacing w:val="-12"/>
          <w:lang w:val="es-ES"/>
        </w:rPr>
        <w:t xml:space="preserve"> </w:t>
      </w:r>
      <w:r w:rsidRPr="002069C6">
        <w:rPr>
          <w:rFonts w:ascii="Verdana" w:eastAsia="Verdana" w:hAnsi="Verdana" w:cs="Verdana"/>
          <w:lang w:val="es-ES"/>
        </w:rPr>
        <w:t>2011,</w:t>
      </w:r>
      <w:r w:rsidRPr="002069C6">
        <w:rPr>
          <w:rFonts w:ascii="Verdana" w:eastAsia="Verdana" w:hAnsi="Verdana" w:cs="Verdana"/>
          <w:spacing w:val="-11"/>
          <w:lang w:val="es-ES"/>
        </w:rPr>
        <w:t xml:space="preserve"> </w:t>
      </w:r>
      <w:r w:rsidRPr="002069C6">
        <w:rPr>
          <w:rFonts w:ascii="Verdana" w:eastAsia="Verdana" w:hAnsi="Verdana" w:cs="Verdana"/>
          <w:lang w:val="es-ES"/>
        </w:rPr>
        <w:t>esclareció</w:t>
      </w:r>
      <w:r w:rsidRPr="002069C6">
        <w:rPr>
          <w:rFonts w:ascii="Verdana" w:eastAsia="Verdana" w:hAnsi="Verdana" w:cs="Verdana"/>
          <w:spacing w:val="-10"/>
          <w:lang w:val="es-ES"/>
        </w:rPr>
        <w:t xml:space="preserve"> </w:t>
      </w:r>
      <w:r w:rsidRPr="002069C6">
        <w:rPr>
          <w:rFonts w:ascii="Verdana" w:eastAsia="Verdana" w:hAnsi="Verdana" w:cs="Verdana"/>
          <w:lang w:val="es-ES"/>
        </w:rPr>
        <w:t>las</w:t>
      </w:r>
      <w:r w:rsidRPr="002069C6">
        <w:rPr>
          <w:rFonts w:ascii="Verdana" w:eastAsia="Verdana" w:hAnsi="Verdana" w:cs="Verdana"/>
          <w:spacing w:val="-11"/>
          <w:lang w:val="es-ES"/>
        </w:rPr>
        <w:t xml:space="preserve"> </w:t>
      </w:r>
      <w:r w:rsidRPr="002069C6">
        <w:rPr>
          <w:rFonts w:ascii="Verdana" w:eastAsia="Verdana" w:hAnsi="Verdana" w:cs="Verdana"/>
          <w:lang w:val="es-ES"/>
        </w:rPr>
        <w:t xml:space="preserve">dudas que producía el confuso </w:t>
      </w:r>
      <w:r w:rsidRPr="002069C6">
        <w:rPr>
          <w:rFonts w:ascii="Verdana" w:eastAsia="Verdana" w:hAnsi="Verdana" w:cs="Verdana"/>
          <w:lang w:val="es-ES"/>
        </w:rPr>
        <w:lastRenderedPageBreak/>
        <w:t>artículo 93 de la Ley 489 de 1998 sobre el régimen contractual de estas entidades. Por lo tanto, las Empresas Industriales y Comerciales del Estado, las Sociedades de Economía Mixta, sus filiales y las Sociedades entre Entidades Públicas en las que el Estado tenga participación superior al cincuenta por ciento (50%) están sometidas, por regla general, al Estatuto</w:t>
      </w:r>
      <w:r w:rsidRPr="002069C6">
        <w:rPr>
          <w:rFonts w:ascii="Verdana" w:eastAsia="Verdana" w:hAnsi="Verdana" w:cs="Verdana"/>
          <w:spacing w:val="-8"/>
          <w:lang w:val="es-ES"/>
        </w:rPr>
        <w:t xml:space="preserve"> </w:t>
      </w:r>
      <w:r w:rsidRPr="002069C6">
        <w:rPr>
          <w:rFonts w:ascii="Verdana" w:eastAsia="Verdana" w:hAnsi="Verdana" w:cs="Verdana"/>
          <w:lang w:val="es-ES"/>
        </w:rPr>
        <w:t>General</w:t>
      </w:r>
      <w:r w:rsidRPr="002069C6">
        <w:rPr>
          <w:rFonts w:ascii="Verdana" w:eastAsia="Verdana" w:hAnsi="Verdana" w:cs="Verdana"/>
          <w:spacing w:val="-9"/>
          <w:lang w:val="es-ES"/>
        </w:rPr>
        <w:t xml:space="preserve"> </w:t>
      </w:r>
      <w:r w:rsidRPr="002069C6">
        <w:rPr>
          <w:rFonts w:ascii="Verdana" w:eastAsia="Verdana" w:hAnsi="Verdana" w:cs="Verdana"/>
          <w:lang w:val="es-ES"/>
        </w:rPr>
        <w:t>de</w:t>
      </w:r>
      <w:r w:rsidRPr="002069C6">
        <w:rPr>
          <w:rFonts w:ascii="Verdana" w:eastAsia="Verdana" w:hAnsi="Verdana" w:cs="Verdana"/>
          <w:spacing w:val="-10"/>
          <w:lang w:val="es-ES"/>
        </w:rPr>
        <w:t xml:space="preserve"> </w:t>
      </w:r>
      <w:r w:rsidRPr="002069C6">
        <w:rPr>
          <w:rFonts w:ascii="Verdana" w:eastAsia="Verdana" w:hAnsi="Verdana" w:cs="Verdana"/>
          <w:lang w:val="es-ES"/>
        </w:rPr>
        <w:t>Contratación</w:t>
      </w:r>
      <w:r w:rsidRPr="002069C6">
        <w:rPr>
          <w:rFonts w:ascii="Verdana" w:eastAsia="Verdana" w:hAnsi="Verdana" w:cs="Verdana"/>
          <w:spacing w:val="-9"/>
          <w:lang w:val="es-ES"/>
        </w:rPr>
        <w:t xml:space="preserve"> </w:t>
      </w:r>
      <w:r w:rsidRPr="002069C6">
        <w:rPr>
          <w:rFonts w:ascii="Verdana" w:eastAsia="Verdana" w:hAnsi="Verdana" w:cs="Verdana"/>
          <w:lang w:val="es-ES"/>
        </w:rPr>
        <w:t>de</w:t>
      </w:r>
      <w:r w:rsidRPr="002069C6">
        <w:rPr>
          <w:rFonts w:ascii="Verdana" w:eastAsia="Verdana" w:hAnsi="Verdana" w:cs="Verdana"/>
          <w:spacing w:val="-10"/>
          <w:lang w:val="es-ES"/>
        </w:rPr>
        <w:t xml:space="preserve"> </w:t>
      </w:r>
      <w:r w:rsidRPr="002069C6">
        <w:rPr>
          <w:rFonts w:ascii="Verdana" w:eastAsia="Verdana" w:hAnsi="Verdana" w:cs="Verdana"/>
          <w:lang w:val="es-ES"/>
        </w:rPr>
        <w:t>la</w:t>
      </w:r>
      <w:r w:rsidRPr="002069C6">
        <w:rPr>
          <w:rFonts w:ascii="Verdana" w:eastAsia="Verdana" w:hAnsi="Verdana" w:cs="Verdana"/>
          <w:spacing w:val="-11"/>
          <w:lang w:val="es-ES"/>
        </w:rPr>
        <w:t xml:space="preserve"> </w:t>
      </w:r>
      <w:r w:rsidRPr="002069C6">
        <w:rPr>
          <w:rFonts w:ascii="Verdana" w:eastAsia="Verdana" w:hAnsi="Verdana" w:cs="Verdana"/>
          <w:lang w:val="es-ES"/>
        </w:rPr>
        <w:t>Administración</w:t>
      </w:r>
      <w:r w:rsidRPr="002069C6">
        <w:rPr>
          <w:rFonts w:ascii="Verdana" w:eastAsia="Verdana" w:hAnsi="Verdana" w:cs="Verdana"/>
          <w:spacing w:val="-9"/>
          <w:lang w:val="es-ES"/>
        </w:rPr>
        <w:t xml:space="preserve"> </w:t>
      </w:r>
      <w:r w:rsidRPr="002069C6">
        <w:rPr>
          <w:rFonts w:ascii="Verdana" w:eastAsia="Verdana" w:hAnsi="Verdana" w:cs="Verdana"/>
          <w:lang w:val="es-ES"/>
        </w:rPr>
        <w:t>Pública,</w:t>
      </w:r>
      <w:r w:rsidRPr="002069C6">
        <w:rPr>
          <w:rFonts w:ascii="Verdana" w:eastAsia="Verdana" w:hAnsi="Verdana" w:cs="Verdana"/>
          <w:spacing w:val="-9"/>
          <w:lang w:val="es-ES"/>
        </w:rPr>
        <w:t xml:space="preserve"> </w:t>
      </w:r>
      <w:r w:rsidRPr="002069C6">
        <w:rPr>
          <w:rFonts w:ascii="Verdana" w:eastAsia="Verdana" w:hAnsi="Verdana" w:cs="Verdana"/>
          <w:lang w:val="es-ES"/>
        </w:rPr>
        <w:t>excepto</w:t>
      </w:r>
      <w:r w:rsidRPr="002069C6">
        <w:rPr>
          <w:rFonts w:ascii="Verdana" w:eastAsia="Verdana" w:hAnsi="Verdana" w:cs="Verdana"/>
          <w:spacing w:val="-8"/>
          <w:lang w:val="es-ES"/>
        </w:rPr>
        <w:t xml:space="preserve"> </w:t>
      </w:r>
      <w:r w:rsidRPr="002069C6">
        <w:rPr>
          <w:rFonts w:ascii="Verdana" w:eastAsia="Verdana" w:hAnsi="Verdana" w:cs="Verdana"/>
          <w:lang w:val="es-ES"/>
        </w:rPr>
        <w:t xml:space="preserve">aquellas Empresas Industriales y Comerciales del Estado que: i) desarrollen actividades comerciales en competencia con el sector privado y/o público, nacional o internacional o </w:t>
      </w:r>
      <w:proofErr w:type="spellStart"/>
      <w:r w:rsidRPr="002069C6">
        <w:rPr>
          <w:rFonts w:ascii="Verdana" w:eastAsia="Verdana" w:hAnsi="Verdana" w:cs="Verdana"/>
          <w:lang w:val="es-ES"/>
        </w:rPr>
        <w:t>ii</w:t>
      </w:r>
      <w:proofErr w:type="spellEnd"/>
      <w:r w:rsidRPr="002069C6">
        <w:rPr>
          <w:rFonts w:ascii="Verdana" w:eastAsia="Verdana" w:hAnsi="Verdana" w:cs="Verdana"/>
          <w:lang w:val="es-ES"/>
        </w:rPr>
        <w:t>) desarrollen actividades en mercados regulados, eventos en los cuales</w:t>
      </w:r>
      <w:r w:rsidRPr="002069C6">
        <w:rPr>
          <w:rFonts w:ascii="Verdana" w:eastAsia="Verdana" w:hAnsi="Verdana" w:cs="Verdana"/>
          <w:spacing w:val="-19"/>
          <w:lang w:val="es-ES"/>
        </w:rPr>
        <w:t xml:space="preserve"> </w:t>
      </w:r>
      <w:r w:rsidRPr="002069C6">
        <w:rPr>
          <w:rFonts w:ascii="Verdana" w:eastAsia="Verdana" w:hAnsi="Verdana" w:cs="Verdana"/>
          <w:lang w:val="es-ES"/>
        </w:rPr>
        <w:t>se regirán por</w:t>
      </w:r>
      <w:r w:rsidRPr="002069C6">
        <w:rPr>
          <w:rFonts w:ascii="Verdana" w:eastAsia="Verdana" w:hAnsi="Verdana" w:cs="Verdana"/>
          <w:spacing w:val="-18"/>
          <w:lang w:val="es-ES"/>
        </w:rPr>
        <w:t xml:space="preserve"> </w:t>
      </w:r>
      <w:r w:rsidRPr="002069C6">
        <w:rPr>
          <w:rFonts w:ascii="Verdana" w:eastAsia="Verdana" w:hAnsi="Verdana" w:cs="Verdana"/>
          <w:lang w:val="es-ES"/>
        </w:rPr>
        <w:t>las</w:t>
      </w:r>
      <w:r w:rsidRPr="002069C6">
        <w:rPr>
          <w:rFonts w:ascii="Verdana" w:eastAsia="Verdana" w:hAnsi="Verdana" w:cs="Verdana"/>
          <w:spacing w:val="-19"/>
          <w:lang w:val="es-ES"/>
        </w:rPr>
        <w:t xml:space="preserve"> </w:t>
      </w:r>
      <w:r w:rsidRPr="002069C6">
        <w:rPr>
          <w:rFonts w:ascii="Verdana" w:eastAsia="Verdana" w:hAnsi="Verdana" w:cs="Verdana"/>
          <w:lang w:val="es-ES"/>
        </w:rPr>
        <w:t>disposiciones</w:t>
      </w:r>
      <w:r w:rsidRPr="002069C6">
        <w:rPr>
          <w:rFonts w:ascii="Verdana" w:eastAsia="Verdana" w:hAnsi="Verdana" w:cs="Verdana"/>
          <w:spacing w:val="-19"/>
          <w:lang w:val="es-ES"/>
        </w:rPr>
        <w:t xml:space="preserve"> </w:t>
      </w:r>
      <w:r w:rsidRPr="002069C6">
        <w:rPr>
          <w:rFonts w:ascii="Verdana" w:eastAsia="Verdana" w:hAnsi="Verdana" w:cs="Verdana"/>
          <w:lang w:val="es-ES"/>
        </w:rPr>
        <w:t>que</w:t>
      </w:r>
      <w:r w:rsidRPr="002069C6">
        <w:rPr>
          <w:rFonts w:ascii="Verdana" w:eastAsia="Verdana" w:hAnsi="Verdana" w:cs="Verdana"/>
          <w:spacing w:val="-15"/>
          <w:lang w:val="es-ES"/>
        </w:rPr>
        <w:t xml:space="preserve"> </w:t>
      </w:r>
      <w:r w:rsidRPr="002069C6">
        <w:rPr>
          <w:rFonts w:ascii="Verdana" w:eastAsia="Verdana" w:hAnsi="Verdana" w:cs="Verdana"/>
          <w:lang w:val="es-ES"/>
        </w:rPr>
        <w:t>regulen</w:t>
      </w:r>
      <w:r w:rsidRPr="002069C6">
        <w:rPr>
          <w:rFonts w:ascii="Verdana" w:eastAsia="Verdana" w:hAnsi="Verdana" w:cs="Verdana"/>
          <w:spacing w:val="-19"/>
          <w:lang w:val="es-ES"/>
        </w:rPr>
        <w:t xml:space="preserve"> </w:t>
      </w:r>
      <w:r w:rsidRPr="002069C6">
        <w:rPr>
          <w:rFonts w:ascii="Verdana" w:eastAsia="Verdana" w:hAnsi="Verdana" w:cs="Verdana"/>
          <w:lang w:val="es-ES"/>
        </w:rPr>
        <w:t>su</w:t>
      </w:r>
      <w:r w:rsidRPr="002069C6">
        <w:rPr>
          <w:rFonts w:ascii="Verdana" w:eastAsia="Verdana" w:hAnsi="Verdana" w:cs="Verdana"/>
          <w:spacing w:val="-18"/>
          <w:lang w:val="es-ES"/>
        </w:rPr>
        <w:t xml:space="preserve"> </w:t>
      </w:r>
      <w:r w:rsidRPr="002069C6">
        <w:rPr>
          <w:rFonts w:ascii="Verdana" w:eastAsia="Verdana" w:hAnsi="Verdana" w:cs="Verdana"/>
          <w:lang w:val="es-ES"/>
        </w:rPr>
        <w:t>actividad.</w:t>
      </w:r>
    </w:p>
    <w:p w14:paraId="12B669E0" w14:textId="77777777" w:rsidR="00D35423" w:rsidRPr="002069C6" w:rsidRDefault="00D35423" w:rsidP="00D35423">
      <w:pPr>
        <w:spacing w:after="0" w:line="276" w:lineRule="auto"/>
        <w:ind w:firstLine="708"/>
        <w:jc w:val="both"/>
        <w:rPr>
          <w:rFonts w:ascii="Verdana" w:eastAsia="Verdana" w:hAnsi="Verdana" w:cs="Verdana"/>
          <w:lang w:val="es-ES"/>
        </w:rPr>
      </w:pPr>
      <w:r w:rsidRPr="002069C6">
        <w:rPr>
          <w:rFonts w:ascii="Verdana" w:eastAsia="Verdana" w:hAnsi="Verdana" w:cs="Verdana"/>
          <w:lang w:val="es-ES"/>
        </w:rPr>
        <w:t>De conformidad con lo expuesto, cada Empresa Industrial y Comercial del Estado deberá analizar</w:t>
      </w:r>
      <w:r w:rsidRPr="002069C6">
        <w:rPr>
          <w:rFonts w:ascii="Verdana" w:eastAsia="Verdana" w:hAnsi="Verdana" w:cs="Verdana"/>
          <w:spacing w:val="-10"/>
          <w:lang w:val="es-ES"/>
        </w:rPr>
        <w:t xml:space="preserve"> </w:t>
      </w:r>
      <w:r w:rsidRPr="002069C6">
        <w:rPr>
          <w:rFonts w:ascii="Verdana" w:eastAsia="Verdana" w:hAnsi="Verdana" w:cs="Verdana"/>
          <w:lang w:val="es-ES"/>
        </w:rPr>
        <w:t>si</w:t>
      </w:r>
      <w:r w:rsidRPr="002069C6">
        <w:rPr>
          <w:rFonts w:ascii="Verdana" w:eastAsia="Verdana" w:hAnsi="Verdana" w:cs="Verdana"/>
          <w:spacing w:val="-11"/>
          <w:lang w:val="es-ES"/>
        </w:rPr>
        <w:t xml:space="preserve"> </w:t>
      </w:r>
      <w:r w:rsidRPr="002069C6">
        <w:rPr>
          <w:rFonts w:ascii="Verdana" w:eastAsia="Verdana" w:hAnsi="Verdana" w:cs="Verdana"/>
          <w:lang w:val="es-ES"/>
        </w:rPr>
        <w:t>se</w:t>
      </w:r>
      <w:r w:rsidRPr="002069C6">
        <w:rPr>
          <w:rFonts w:ascii="Verdana" w:eastAsia="Verdana" w:hAnsi="Verdana" w:cs="Verdana"/>
          <w:spacing w:val="-12"/>
          <w:lang w:val="es-ES"/>
        </w:rPr>
        <w:t xml:space="preserve"> </w:t>
      </w:r>
      <w:r w:rsidRPr="002069C6">
        <w:rPr>
          <w:rFonts w:ascii="Verdana" w:eastAsia="Verdana" w:hAnsi="Verdana" w:cs="Verdana"/>
          <w:lang w:val="es-ES"/>
        </w:rPr>
        <w:t>encuentra</w:t>
      </w:r>
      <w:r w:rsidRPr="002069C6">
        <w:rPr>
          <w:rFonts w:ascii="Verdana" w:eastAsia="Verdana" w:hAnsi="Verdana" w:cs="Verdana"/>
          <w:spacing w:val="-13"/>
          <w:lang w:val="es-ES"/>
        </w:rPr>
        <w:t xml:space="preserve"> </w:t>
      </w:r>
      <w:r w:rsidRPr="002069C6">
        <w:rPr>
          <w:rFonts w:ascii="Verdana" w:eastAsia="Verdana" w:hAnsi="Verdana" w:cs="Verdana"/>
          <w:lang w:val="es-ES"/>
        </w:rPr>
        <w:t>en</w:t>
      </w:r>
      <w:r w:rsidRPr="002069C6">
        <w:rPr>
          <w:rFonts w:ascii="Verdana" w:eastAsia="Verdana" w:hAnsi="Verdana" w:cs="Verdana"/>
          <w:spacing w:val="-11"/>
          <w:lang w:val="es-ES"/>
        </w:rPr>
        <w:t xml:space="preserve"> </w:t>
      </w:r>
      <w:r w:rsidRPr="002069C6">
        <w:rPr>
          <w:rFonts w:ascii="Verdana" w:eastAsia="Verdana" w:hAnsi="Verdana" w:cs="Verdana"/>
          <w:lang w:val="es-ES"/>
        </w:rPr>
        <w:t>alguno</w:t>
      </w:r>
      <w:r w:rsidRPr="002069C6">
        <w:rPr>
          <w:rFonts w:ascii="Verdana" w:eastAsia="Verdana" w:hAnsi="Verdana" w:cs="Verdana"/>
          <w:spacing w:val="-10"/>
          <w:lang w:val="es-ES"/>
        </w:rPr>
        <w:t xml:space="preserve"> </w:t>
      </w:r>
      <w:r w:rsidRPr="002069C6">
        <w:rPr>
          <w:rFonts w:ascii="Verdana" w:eastAsia="Verdana" w:hAnsi="Verdana" w:cs="Verdana"/>
          <w:lang w:val="es-ES"/>
        </w:rPr>
        <w:t>de</w:t>
      </w:r>
      <w:r w:rsidRPr="002069C6">
        <w:rPr>
          <w:rFonts w:ascii="Verdana" w:eastAsia="Verdana" w:hAnsi="Verdana" w:cs="Verdana"/>
          <w:spacing w:val="-12"/>
          <w:lang w:val="es-ES"/>
        </w:rPr>
        <w:t xml:space="preserve"> </w:t>
      </w:r>
      <w:r w:rsidRPr="002069C6">
        <w:rPr>
          <w:rFonts w:ascii="Verdana" w:eastAsia="Verdana" w:hAnsi="Verdana" w:cs="Verdana"/>
          <w:lang w:val="es-ES"/>
        </w:rPr>
        <w:t>los</w:t>
      </w:r>
      <w:r w:rsidRPr="002069C6">
        <w:rPr>
          <w:rFonts w:ascii="Verdana" w:eastAsia="Verdana" w:hAnsi="Verdana" w:cs="Verdana"/>
          <w:spacing w:val="-11"/>
          <w:lang w:val="es-ES"/>
        </w:rPr>
        <w:t xml:space="preserve"> </w:t>
      </w:r>
      <w:r w:rsidRPr="002069C6">
        <w:rPr>
          <w:rFonts w:ascii="Verdana" w:eastAsia="Verdana" w:hAnsi="Verdana" w:cs="Verdana"/>
          <w:lang w:val="es-ES"/>
        </w:rPr>
        <w:t>supuestos</w:t>
      </w:r>
      <w:r w:rsidRPr="002069C6">
        <w:rPr>
          <w:rFonts w:ascii="Verdana" w:eastAsia="Verdana" w:hAnsi="Verdana" w:cs="Verdana"/>
          <w:spacing w:val="-11"/>
          <w:lang w:val="es-ES"/>
        </w:rPr>
        <w:t xml:space="preserve"> </w:t>
      </w:r>
      <w:r w:rsidRPr="002069C6">
        <w:rPr>
          <w:rFonts w:ascii="Verdana" w:eastAsia="Verdana" w:hAnsi="Verdana" w:cs="Verdana"/>
          <w:lang w:val="es-ES"/>
        </w:rPr>
        <w:t>establecidos</w:t>
      </w:r>
      <w:r w:rsidRPr="002069C6">
        <w:rPr>
          <w:rFonts w:ascii="Verdana" w:eastAsia="Verdana" w:hAnsi="Verdana" w:cs="Verdana"/>
          <w:spacing w:val="-11"/>
          <w:lang w:val="es-ES"/>
        </w:rPr>
        <w:t xml:space="preserve"> </w:t>
      </w:r>
      <w:r w:rsidRPr="002069C6">
        <w:rPr>
          <w:rFonts w:ascii="Verdana" w:eastAsia="Verdana" w:hAnsi="Verdana" w:cs="Verdana"/>
          <w:lang w:val="es-ES"/>
        </w:rPr>
        <w:t>en el artículo 14</w:t>
      </w:r>
      <w:r w:rsidRPr="002069C6">
        <w:rPr>
          <w:rFonts w:ascii="Verdana" w:eastAsia="Verdana" w:hAnsi="Verdana" w:cs="Verdana"/>
          <w:spacing w:val="-1"/>
          <w:lang w:val="es-ES"/>
        </w:rPr>
        <w:t xml:space="preserve"> </w:t>
      </w:r>
      <w:r w:rsidRPr="002069C6">
        <w:rPr>
          <w:rFonts w:ascii="Verdana" w:eastAsia="Verdana" w:hAnsi="Verdana" w:cs="Verdana"/>
          <w:lang w:val="es-ES"/>
        </w:rPr>
        <w:t>de la Ley</w:t>
      </w:r>
      <w:r w:rsidRPr="002069C6">
        <w:rPr>
          <w:rFonts w:ascii="Verdana" w:eastAsia="Verdana" w:hAnsi="Verdana" w:cs="Verdana"/>
          <w:spacing w:val="-2"/>
          <w:lang w:val="es-ES"/>
        </w:rPr>
        <w:t xml:space="preserve"> </w:t>
      </w:r>
      <w:r w:rsidRPr="002069C6">
        <w:rPr>
          <w:rFonts w:ascii="Verdana" w:eastAsia="Verdana" w:hAnsi="Verdana" w:cs="Verdana"/>
          <w:lang w:val="es-ES"/>
        </w:rPr>
        <w:t>1150 de 2007, con el fin de definir si</w:t>
      </w:r>
      <w:r w:rsidRPr="002069C6">
        <w:rPr>
          <w:rFonts w:ascii="Verdana" w:eastAsia="Verdana" w:hAnsi="Verdana" w:cs="Verdana"/>
          <w:spacing w:val="-1"/>
          <w:lang w:val="es-ES"/>
        </w:rPr>
        <w:t xml:space="preserve"> </w:t>
      </w:r>
      <w:r w:rsidRPr="002069C6">
        <w:rPr>
          <w:rFonts w:ascii="Verdana" w:eastAsia="Verdana" w:hAnsi="Verdana" w:cs="Verdana"/>
          <w:lang w:val="es-ES"/>
        </w:rPr>
        <w:t>su</w:t>
      </w:r>
      <w:r w:rsidRPr="002069C6">
        <w:rPr>
          <w:rFonts w:ascii="Verdana" w:eastAsia="Verdana" w:hAnsi="Verdana" w:cs="Verdana"/>
          <w:spacing w:val="-1"/>
          <w:lang w:val="es-ES"/>
        </w:rPr>
        <w:t xml:space="preserve"> </w:t>
      </w:r>
      <w:r w:rsidRPr="002069C6">
        <w:rPr>
          <w:rFonts w:ascii="Verdana" w:eastAsia="Verdana" w:hAnsi="Verdana" w:cs="Verdana"/>
          <w:lang w:val="es-ES"/>
        </w:rPr>
        <w:t>régimen contractual es el Estatuto General de Contratación de la Administración Pública o si están exceptuadas</w:t>
      </w:r>
      <w:r w:rsidRPr="002069C6">
        <w:rPr>
          <w:rFonts w:ascii="Verdana" w:eastAsia="Verdana" w:hAnsi="Verdana" w:cs="Verdana"/>
          <w:spacing w:val="-20"/>
          <w:lang w:val="es-ES"/>
        </w:rPr>
        <w:t xml:space="preserve"> </w:t>
      </w:r>
      <w:r w:rsidRPr="002069C6">
        <w:rPr>
          <w:rFonts w:ascii="Verdana" w:eastAsia="Verdana" w:hAnsi="Verdana" w:cs="Verdana"/>
          <w:lang w:val="es-ES"/>
        </w:rPr>
        <w:t>de</w:t>
      </w:r>
      <w:r w:rsidRPr="002069C6">
        <w:rPr>
          <w:rFonts w:ascii="Verdana" w:eastAsia="Verdana" w:hAnsi="Verdana" w:cs="Verdana"/>
          <w:spacing w:val="-17"/>
          <w:lang w:val="es-ES"/>
        </w:rPr>
        <w:t xml:space="preserve"> </w:t>
      </w:r>
      <w:r w:rsidRPr="002069C6">
        <w:rPr>
          <w:rFonts w:ascii="Verdana" w:eastAsia="Verdana" w:hAnsi="Verdana" w:cs="Verdana"/>
          <w:lang w:val="es-ES"/>
        </w:rPr>
        <w:t>él y, por</w:t>
      </w:r>
      <w:r w:rsidRPr="002069C6">
        <w:rPr>
          <w:rFonts w:ascii="Verdana" w:eastAsia="Verdana" w:hAnsi="Verdana" w:cs="Verdana"/>
          <w:spacing w:val="-3"/>
          <w:lang w:val="es-ES"/>
        </w:rPr>
        <w:t xml:space="preserve"> </w:t>
      </w:r>
      <w:r w:rsidRPr="002069C6">
        <w:rPr>
          <w:rFonts w:ascii="Verdana" w:eastAsia="Verdana" w:hAnsi="Verdana" w:cs="Verdana"/>
          <w:lang w:val="es-ES"/>
        </w:rPr>
        <w:t xml:space="preserve">tanto, se </w:t>
      </w:r>
      <w:r>
        <w:rPr>
          <w:rFonts w:ascii="Verdana" w:eastAsia="Verdana" w:hAnsi="Verdana" w:cs="Verdana"/>
          <w:lang w:val="es-ES"/>
        </w:rPr>
        <w:t xml:space="preserve">someten a un </w:t>
      </w:r>
      <w:r w:rsidRPr="002069C6">
        <w:rPr>
          <w:rFonts w:ascii="Verdana" w:eastAsia="Verdana" w:hAnsi="Verdana" w:cs="Verdana"/>
          <w:lang w:val="es-ES"/>
        </w:rPr>
        <w:t>régimen especial de</w:t>
      </w:r>
      <w:r>
        <w:rPr>
          <w:rFonts w:ascii="Verdana" w:eastAsia="Verdana" w:hAnsi="Verdana" w:cs="Verdana"/>
          <w:lang w:val="es-ES"/>
        </w:rPr>
        <w:t xml:space="preserve"> contratación</w:t>
      </w:r>
      <w:r w:rsidRPr="002069C6">
        <w:rPr>
          <w:rFonts w:ascii="Verdana" w:eastAsia="Verdana" w:hAnsi="Verdana" w:cs="Verdana"/>
          <w:lang w:val="es-ES"/>
        </w:rPr>
        <w:t>.</w:t>
      </w:r>
    </w:p>
    <w:p w14:paraId="7B087144" w14:textId="77777777" w:rsidR="00D35423" w:rsidRPr="002069C6" w:rsidRDefault="00D35423" w:rsidP="00D35423">
      <w:pPr>
        <w:spacing w:after="0" w:line="276" w:lineRule="auto"/>
        <w:jc w:val="both"/>
        <w:rPr>
          <w:rFonts w:ascii="Verdana" w:eastAsia="Verdana" w:hAnsi="Verdana" w:cs="Verdana"/>
          <w:lang w:val="es-ES"/>
        </w:rPr>
      </w:pPr>
    </w:p>
    <w:p w14:paraId="0DEE3511" w14:textId="77777777" w:rsidR="00D35423" w:rsidRPr="002069C6" w:rsidRDefault="00D35423" w:rsidP="00D35423">
      <w:pPr>
        <w:spacing w:after="120" w:line="276" w:lineRule="auto"/>
        <w:jc w:val="both"/>
        <w:rPr>
          <w:rFonts w:ascii="Verdana" w:eastAsia="Verdana" w:hAnsi="Verdana" w:cs="Verdana"/>
          <w:lang w:val="es-ES"/>
        </w:rPr>
      </w:pPr>
      <w:proofErr w:type="spellStart"/>
      <w:r w:rsidRPr="002069C6">
        <w:rPr>
          <w:rFonts w:ascii="Verdana" w:eastAsia="Verdana" w:hAnsi="Verdana" w:cs="Verdana"/>
          <w:lang w:val="es-ES"/>
        </w:rPr>
        <w:t>ii</w:t>
      </w:r>
      <w:proofErr w:type="spellEnd"/>
      <w:r w:rsidRPr="002069C6">
        <w:rPr>
          <w:rFonts w:ascii="Verdana" w:eastAsia="Verdana" w:hAnsi="Verdana" w:cs="Verdana"/>
          <w:lang w:val="es-ES"/>
        </w:rPr>
        <w:t>) En caso de que la Empresa Industrial y Comercial del Estado se rija por el Estatuto General de Contratación de la Administración Pública deberá aplicar esta normativa con respecto a los mecanismos para asegurar el cumplimiento de los contratos que suscriba.</w:t>
      </w:r>
    </w:p>
    <w:p w14:paraId="06768E4B" w14:textId="77777777" w:rsidR="00D35423" w:rsidRPr="002069C6" w:rsidRDefault="00D35423" w:rsidP="00D35423">
      <w:pPr>
        <w:spacing w:before="120" w:after="120" w:line="276" w:lineRule="auto"/>
        <w:ind w:firstLine="708"/>
        <w:jc w:val="both"/>
        <w:rPr>
          <w:rFonts w:ascii="Verdana" w:eastAsia="Verdana" w:hAnsi="Verdana" w:cs="Verdana"/>
          <w:lang w:val="es-ES"/>
        </w:rPr>
      </w:pPr>
      <w:r w:rsidRPr="002069C6">
        <w:rPr>
          <w:rFonts w:ascii="Verdana" w:eastAsia="Calibri" w:hAnsi="Verdana" w:cs="Arial"/>
          <w:color w:val="000000" w:themeColor="text1"/>
          <w:lang w:val="es-ES_tradnl" w:eastAsia="es-ES_tradnl"/>
        </w:rPr>
        <w:t xml:space="preserve">El Estatuto exige, por regla general, </w:t>
      </w:r>
      <w:r w:rsidRPr="002069C6">
        <w:rPr>
          <w:rFonts w:ascii="Verdana" w:eastAsia="Calibri" w:hAnsi="Verdana" w:cs="Arial"/>
          <w:color w:val="000000" w:themeColor="text1"/>
          <w:lang w:eastAsia="es-ES_tradnl"/>
        </w:rPr>
        <w:t xml:space="preserve">la constitución de garantías </w:t>
      </w:r>
      <w:r w:rsidRPr="002069C6">
        <w:rPr>
          <w:rFonts w:ascii="Verdana" w:eastAsia="Calibri" w:hAnsi="Verdana" w:cs="Arial"/>
          <w:color w:val="000000" w:themeColor="text1"/>
          <w:lang w:val="es-ES_tradnl" w:eastAsia="es-ES_tradnl"/>
        </w:rPr>
        <w:t xml:space="preserve">en los Procesos de Contratación pública </w:t>
      </w:r>
      <w:r w:rsidRPr="002069C6">
        <w:rPr>
          <w:rFonts w:ascii="Verdana" w:eastAsia="Calibri" w:hAnsi="Verdana" w:cs="Arial"/>
          <w:color w:val="000000" w:themeColor="text1"/>
          <w:lang w:eastAsia="es-ES_tradnl"/>
        </w:rPr>
        <w:t>con el fin de evitar o mitigar posibles riesgos</w:t>
      </w:r>
      <w:r w:rsidRPr="002069C6">
        <w:rPr>
          <w:rFonts w:ascii="Verdana" w:hAnsi="Verdana" w:cs="Arial"/>
          <w:color w:val="000000" w:themeColor="text1"/>
          <w:shd w:val="clear" w:color="auto" w:fill="FFFFFF"/>
        </w:rPr>
        <w:t xml:space="preserve">. </w:t>
      </w:r>
      <w:r w:rsidRPr="002069C6">
        <w:rPr>
          <w:rFonts w:ascii="Verdana" w:hAnsi="Verdana" w:cs="Arial"/>
          <w:color w:val="000000" w:themeColor="text1"/>
          <w:lang w:val="es-ES"/>
        </w:rPr>
        <w:t xml:space="preserve">Desde esta perspectiva, las garantías constituyen una obligación de seguridad, es decir, aquella donde el interés del acreedor no consiste en una utilidad específica y tangible, sino en la tranquilidad frente a ciertos riesgos por la cobertura de sus consecuencias nocivas. </w:t>
      </w:r>
    </w:p>
    <w:p w14:paraId="0D3D80CE" w14:textId="77777777" w:rsidR="00D35423" w:rsidRPr="002069C6" w:rsidRDefault="00D35423" w:rsidP="00D35423">
      <w:pPr>
        <w:spacing w:before="120" w:after="120" w:line="276" w:lineRule="auto"/>
        <w:ind w:firstLine="708"/>
        <w:jc w:val="both"/>
        <w:rPr>
          <w:rFonts w:ascii="Verdana" w:hAnsi="Verdana" w:cs="Arial"/>
          <w:color w:val="000000" w:themeColor="text1"/>
          <w:lang w:val="es-ES"/>
        </w:rPr>
      </w:pPr>
      <w:r w:rsidRPr="002069C6">
        <w:rPr>
          <w:rFonts w:ascii="Verdana" w:eastAsia="Calibri" w:hAnsi="Verdana" w:cs="Arial"/>
          <w:color w:val="000000" w:themeColor="text1"/>
          <w:lang w:val="es-ES_tradnl" w:eastAsia="es-ES_tradnl"/>
        </w:rPr>
        <w:t>En este sentido, el artículo 7 de la Ley 1150 de 2007 dispone que los contratistas tienen la obligación de constituir garantías para el cumplimiento de las obligaciones surgidas del contrato</w:t>
      </w:r>
      <w:r w:rsidRPr="002069C6">
        <w:rPr>
          <w:rFonts w:ascii="Verdana" w:hAnsi="Verdana" w:cs="Arial"/>
          <w:color w:val="000000" w:themeColor="text1"/>
          <w:lang w:val="es-ES"/>
        </w:rPr>
        <w:t xml:space="preserve">. De acuerdo con el inciso segundo de dicho artículo, las garantías pueden otorgarse a través de: (1) contratos de seguro, es decir, mediante </w:t>
      </w:r>
      <w:r w:rsidRPr="002069C6">
        <w:rPr>
          <w:rFonts w:ascii="Verdana" w:eastAsia="Verdana" w:hAnsi="Verdana" w:cs="Verdana"/>
          <w:lang/>
        </w:rPr>
        <w:t>pólizas expedidas por compañías de seguros legalmente autorizadas para funcionar en Colombia,</w:t>
      </w:r>
      <w:r w:rsidRPr="002069C6">
        <w:rPr>
          <w:rFonts w:ascii="Verdana" w:hAnsi="Verdana" w:cs="Arial"/>
          <w:color w:val="000000" w:themeColor="text1"/>
          <w:lang w:val="es-ES"/>
        </w:rPr>
        <w:t xml:space="preserve"> (2) garantías bancarias, o (3) los demás </w:t>
      </w:r>
      <w:r w:rsidRPr="002069C6">
        <w:rPr>
          <w:rFonts w:ascii="Verdana" w:hAnsi="Verdana" w:cs="Arial"/>
          <w:color w:val="000000" w:themeColor="text1"/>
          <w:lang w:val="es-ES"/>
        </w:rPr>
        <w:lastRenderedPageBreak/>
        <w:t>mecanismos de cobertura del riesgo que disponga el reglamento</w:t>
      </w:r>
      <w:r w:rsidRPr="002069C6">
        <w:rPr>
          <w:rStyle w:val="Refdenotaalpie"/>
          <w:rFonts w:ascii="Verdana" w:hAnsi="Verdana" w:cs="Arial"/>
          <w:color w:val="000000" w:themeColor="text1"/>
          <w:lang w:val="es-ES"/>
        </w:rPr>
        <w:footnoteReference w:id="7"/>
      </w:r>
      <w:r w:rsidRPr="002069C6">
        <w:rPr>
          <w:rFonts w:ascii="Verdana" w:hAnsi="Verdana" w:cs="Arial"/>
          <w:color w:val="000000" w:themeColor="text1"/>
          <w:lang w:val="es-ES"/>
        </w:rPr>
        <w:t>. De esta manera, las garantías previstas en la ley tienen como objetivo asegurar la solvencia del garante</w:t>
      </w:r>
      <w:r w:rsidRPr="002069C6">
        <w:rPr>
          <w:rStyle w:val="Refdenotaalpie"/>
          <w:rFonts w:ascii="Verdana" w:hAnsi="Verdana" w:cs="Arial"/>
          <w:color w:val="000000" w:themeColor="text1"/>
          <w:lang w:val="es-ES"/>
        </w:rPr>
        <w:footnoteReference w:id="8"/>
      </w:r>
      <w:r w:rsidRPr="002069C6">
        <w:rPr>
          <w:rFonts w:ascii="Verdana" w:hAnsi="Verdana" w:cs="Arial"/>
          <w:color w:val="000000" w:themeColor="text1"/>
          <w:lang w:val="es-ES"/>
        </w:rPr>
        <w:t>.</w:t>
      </w:r>
    </w:p>
    <w:p w14:paraId="0B832319" w14:textId="77777777" w:rsidR="00D35423" w:rsidRPr="002069C6" w:rsidRDefault="00D35423" w:rsidP="00D35423">
      <w:pPr>
        <w:spacing w:before="120" w:after="120" w:line="276" w:lineRule="auto"/>
        <w:ind w:firstLine="708"/>
        <w:jc w:val="both"/>
        <w:rPr>
          <w:rFonts w:ascii="Verdana" w:hAnsi="Verdana" w:cs="Arial"/>
          <w:color w:val="000000" w:themeColor="text1"/>
        </w:rPr>
      </w:pPr>
      <w:r w:rsidRPr="002069C6">
        <w:rPr>
          <w:rFonts w:ascii="Verdana" w:hAnsi="Verdana" w:cs="Arial"/>
          <w:color w:val="000000" w:themeColor="text1"/>
          <w:lang w:val="es-ES"/>
        </w:rPr>
        <w:t xml:space="preserve">Al respecto, </w:t>
      </w:r>
      <w:r w:rsidRPr="002069C6">
        <w:rPr>
          <w:rFonts w:ascii="Verdana" w:eastAsia="Times New Roman" w:hAnsi="Verdana" w:cs="Arial"/>
          <w:color w:val="000000" w:themeColor="text1"/>
          <w:lang w:eastAsia="es-CO"/>
        </w:rPr>
        <w:t>los artículos 2.2.1.1.1.6.1, 2.2.1.1.2.1.1 y 2.2.1.1.2.1.3 d</w:t>
      </w:r>
      <w:r w:rsidRPr="002069C6">
        <w:rPr>
          <w:rFonts w:ascii="Verdana" w:hAnsi="Verdana" w:cs="Arial"/>
          <w:color w:val="000000" w:themeColor="text1"/>
          <w:lang w:val="es-ES"/>
        </w:rPr>
        <w:t xml:space="preserve">el Decreto 1082 de 2015 señalan la forma en que </w:t>
      </w:r>
      <w:r w:rsidRPr="002069C6">
        <w:rPr>
          <w:rFonts w:ascii="Verdana" w:eastAsia="Times New Roman" w:hAnsi="Verdana" w:cs="Arial"/>
          <w:color w:val="000000" w:themeColor="text1"/>
          <w:lang w:eastAsia="es-CO"/>
        </w:rPr>
        <w:t>las entidades deben realizar el análisis de los riesgos y la forma de mitigarlos en los estudios del sector, en los estudios previos y en el pliego de condiciones, documentos propios de la etapa precontractual. Allí deben precisar la cobertura de las garantías, sin perjuicio de las observaciones que formulen los interesados y de los ajustes realizados al pliego de condiciones definitivo cuando éstos se acepten.</w:t>
      </w:r>
      <w:r w:rsidRPr="002069C6">
        <w:rPr>
          <w:rFonts w:ascii="Verdana" w:hAnsi="Verdana" w:cs="Arial"/>
          <w:color w:val="000000" w:themeColor="text1"/>
        </w:rPr>
        <w:t xml:space="preserve"> Por su parte, los artículos 2.2.1.2.3.1.1 a 2.2.1.2.3.1.19 reglamentan las condiciones en que deben cumplir esta obligación y establecen asuntos como la clase de garantías permitidas, la indivisibilidad de </w:t>
      </w:r>
      <w:proofErr w:type="gramStart"/>
      <w:r w:rsidRPr="002069C6">
        <w:rPr>
          <w:rFonts w:ascii="Verdana" w:hAnsi="Verdana" w:cs="Arial"/>
          <w:color w:val="000000" w:themeColor="text1"/>
        </w:rPr>
        <w:t>las mismas</w:t>
      </w:r>
      <w:proofErr w:type="gramEnd"/>
      <w:r w:rsidRPr="002069C6">
        <w:rPr>
          <w:rFonts w:ascii="Verdana" w:hAnsi="Verdana" w:cs="Arial"/>
          <w:color w:val="000000" w:themeColor="text1"/>
        </w:rPr>
        <w:t xml:space="preserve">, los diferentes riesgos que deben ser objeto de garantía, la vigencia y valores mínimos que deben cubrir los amparos, entre otros aspectos. </w:t>
      </w:r>
    </w:p>
    <w:p w14:paraId="40E63BC4" w14:textId="77777777" w:rsidR="00D35423" w:rsidRPr="002069C6" w:rsidRDefault="00D35423" w:rsidP="00D35423">
      <w:pPr>
        <w:spacing w:before="120" w:after="120" w:line="276" w:lineRule="auto"/>
        <w:ind w:firstLine="709"/>
        <w:jc w:val="both"/>
        <w:rPr>
          <w:rFonts w:ascii="Verdana" w:hAnsi="Verdana" w:cs="Arial"/>
          <w:color w:val="000000" w:themeColor="text1"/>
        </w:rPr>
      </w:pPr>
      <w:r w:rsidRPr="002069C6">
        <w:rPr>
          <w:rFonts w:ascii="Verdana" w:hAnsi="Verdana" w:cs="Arial"/>
          <w:color w:val="000000" w:themeColor="text1"/>
        </w:rPr>
        <w:t xml:space="preserve">Sobre los tipos de garantías, el Artículo 2.2.1.2.3.1.2 del Decreto </w:t>
      </w:r>
      <w:r>
        <w:rPr>
          <w:rFonts w:ascii="Verdana" w:hAnsi="Verdana" w:cs="Arial"/>
          <w:color w:val="000000" w:themeColor="text1"/>
        </w:rPr>
        <w:t>1</w:t>
      </w:r>
      <w:r w:rsidRPr="002069C6">
        <w:rPr>
          <w:rFonts w:ascii="Verdana" w:hAnsi="Verdana" w:cs="Arial"/>
          <w:color w:val="000000" w:themeColor="text1"/>
        </w:rPr>
        <w:t xml:space="preserve">082 de 2015 señala que </w:t>
      </w:r>
      <w:r w:rsidRPr="002069C6">
        <w:rPr>
          <w:rFonts w:ascii="Verdana" w:eastAsia="Calibri" w:hAnsi="Verdana" w:cs="Arial"/>
          <w:color w:val="000000" w:themeColor="text1"/>
          <w:lang w:val="es-ES_tradnl"/>
        </w:rPr>
        <w:t>l</w:t>
      </w:r>
      <w:r w:rsidRPr="002069C6">
        <w:rPr>
          <w:rFonts w:ascii="Verdana" w:hAnsi="Verdana" w:cs="Arial"/>
          <w:color w:val="000000" w:themeColor="text1"/>
        </w:rPr>
        <w:t xml:space="preserve">os proponentes o contratistas, para garantizar el cumplimiento de sus obligaciones frente a Entidades Estatales en materia contractual, pueden otorgar las garantías mediante los siguientes mecanismos de cobertura de riesgos: </w:t>
      </w:r>
    </w:p>
    <w:p w14:paraId="5B8FA532" w14:textId="77777777" w:rsidR="00D35423" w:rsidRPr="002069C6" w:rsidRDefault="00D35423" w:rsidP="00D35423">
      <w:pPr>
        <w:pStyle w:val="Prrafodelista"/>
        <w:numPr>
          <w:ilvl w:val="0"/>
          <w:numId w:val="29"/>
        </w:numPr>
        <w:spacing w:before="120" w:after="120" w:line="276" w:lineRule="auto"/>
        <w:jc w:val="both"/>
        <w:rPr>
          <w:rFonts w:ascii="Verdana" w:eastAsia="Calibri" w:hAnsi="Verdana" w:cs="Arial"/>
          <w:color w:val="000000" w:themeColor="text1"/>
        </w:rPr>
      </w:pPr>
      <w:r w:rsidRPr="002069C6">
        <w:rPr>
          <w:rFonts w:ascii="Verdana" w:hAnsi="Verdana" w:cs="Arial"/>
          <w:color w:val="000000" w:themeColor="text1"/>
        </w:rPr>
        <w:t xml:space="preserve">Contrato de seguro, </w:t>
      </w:r>
      <w:proofErr w:type="gramStart"/>
      <w:r w:rsidRPr="002069C6">
        <w:rPr>
          <w:rFonts w:ascii="Verdana" w:hAnsi="Verdana" w:cs="Arial"/>
          <w:color w:val="000000" w:themeColor="text1"/>
        </w:rPr>
        <w:t>que</w:t>
      </w:r>
      <w:proofErr w:type="gramEnd"/>
      <w:r w:rsidRPr="002069C6">
        <w:rPr>
          <w:rFonts w:ascii="Verdana" w:hAnsi="Verdana" w:cs="Arial"/>
          <w:color w:val="000000" w:themeColor="text1"/>
        </w:rPr>
        <w:t xml:space="preserve"> por su esencia, es el medio más usado </w:t>
      </w:r>
      <w:r w:rsidRPr="002069C6">
        <w:rPr>
          <w:rFonts w:ascii="Verdana" w:eastAsia="Calibri" w:hAnsi="Verdana" w:cs="Arial"/>
          <w:color w:val="000000" w:themeColor="text1"/>
        </w:rPr>
        <w:t>para amparar los riesgos contractuales;</w:t>
      </w:r>
    </w:p>
    <w:p w14:paraId="30C14495" w14:textId="77777777" w:rsidR="00D35423" w:rsidRPr="002069C6" w:rsidRDefault="00D35423" w:rsidP="00D35423">
      <w:pPr>
        <w:pStyle w:val="Prrafodelista"/>
        <w:numPr>
          <w:ilvl w:val="0"/>
          <w:numId w:val="29"/>
        </w:numPr>
        <w:spacing w:before="120" w:after="120" w:line="276" w:lineRule="auto"/>
        <w:jc w:val="both"/>
        <w:rPr>
          <w:rFonts w:ascii="Verdana" w:hAnsi="Verdana" w:cs="Arial"/>
          <w:color w:val="000000" w:themeColor="text1"/>
        </w:rPr>
      </w:pPr>
      <w:r w:rsidRPr="002069C6">
        <w:rPr>
          <w:rFonts w:ascii="Verdana" w:hAnsi="Verdana" w:cs="Arial"/>
          <w:color w:val="000000" w:themeColor="text1"/>
        </w:rPr>
        <w:lastRenderedPageBreak/>
        <w:t>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w:t>
      </w:r>
      <w:r w:rsidRPr="002069C6">
        <w:rPr>
          <w:rStyle w:val="Refdenotaalpie"/>
          <w:rFonts w:ascii="Verdana" w:hAnsi="Verdana" w:cs="Arial"/>
          <w:color w:val="000000" w:themeColor="text1"/>
        </w:rPr>
        <w:footnoteReference w:id="9"/>
      </w:r>
      <w:r w:rsidRPr="002069C6">
        <w:rPr>
          <w:rFonts w:ascii="Verdana" w:hAnsi="Verdana" w:cs="Arial"/>
          <w:color w:val="000000" w:themeColor="text1"/>
        </w:rPr>
        <w:t>; o</w:t>
      </w:r>
    </w:p>
    <w:p w14:paraId="0170E4AB" w14:textId="77777777" w:rsidR="00D35423" w:rsidRPr="002069C6" w:rsidRDefault="00D35423" w:rsidP="00D35423">
      <w:pPr>
        <w:pStyle w:val="Prrafodelista"/>
        <w:numPr>
          <w:ilvl w:val="0"/>
          <w:numId w:val="29"/>
        </w:numPr>
        <w:spacing w:before="120" w:after="120" w:line="276" w:lineRule="auto"/>
        <w:jc w:val="both"/>
        <w:rPr>
          <w:rFonts w:ascii="Verdana" w:hAnsi="Verdana" w:cs="Arial"/>
          <w:color w:val="000000" w:themeColor="text1"/>
        </w:rPr>
      </w:pPr>
      <w:r w:rsidRPr="002069C6">
        <w:rPr>
          <w:rFonts w:ascii="Verdana" w:hAnsi="Verdana" w:cs="Arial"/>
          <w:color w:val="000000" w:themeColor="text1"/>
        </w:rPr>
        <w:t xml:space="preserve">Garantías bancarias o cartas de crédito </w:t>
      </w:r>
      <w:r w:rsidRPr="002069C6">
        <w:rPr>
          <w:rFonts w:ascii="Verdana" w:hAnsi="Verdana" w:cs="Arial"/>
          <w:i/>
          <w:iCs/>
          <w:color w:val="000000" w:themeColor="text1"/>
        </w:rPr>
        <w:t>stand</w:t>
      </w:r>
      <w:r w:rsidRPr="002069C6">
        <w:rPr>
          <w:rFonts w:ascii="Verdana" w:hAnsi="Verdana" w:cs="Arial"/>
          <w:color w:val="000000" w:themeColor="text1"/>
        </w:rPr>
        <w:t xml:space="preserve"> </w:t>
      </w:r>
      <w:proofErr w:type="spellStart"/>
      <w:r w:rsidRPr="002069C6">
        <w:rPr>
          <w:rFonts w:ascii="Verdana" w:hAnsi="Verdana" w:cs="Arial"/>
          <w:i/>
          <w:iCs/>
          <w:color w:val="000000" w:themeColor="text1"/>
        </w:rPr>
        <w:t>by</w:t>
      </w:r>
      <w:proofErr w:type="spellEnd"/>
      <w:r w:rsidRPr="002069C6">
        <w:rPr>
          <w:rFonts w:ascii="Verdana" w:hAnsi="Verdana" w:cs="Arial"/>
          <w:color w:val="000000" w:themeColor="text1"/>
        </w:rPr>
        <w:t xml:space="preserve"> que consisten en compromisos irrevocables o incondicionales asumidos por una entidad financiera de pagar una suma determinada de dinero</w:t>
      </w:r>
      <w:r w:rsidRPr="002069C6">
        <w:rPr>
          <w:rStyle w:val="Refdenotaalpie"/>
          <w:rFonts w:ascii="Verdana" w:hAnsi="Verdana" w:cs="Arial"/>
          <w:color w:val="000000" w:themeColor="text1"/>
        </w:rPr>
        <w:footnoteReference w:id="10"/>
      </w:r>
      <w:r w:rsidRPr="002069C6">
        <w:rPr>
          <w:rFonts w:ascii="Verdana" w:hAnsi="Verdana" w:cs="Arial"/>
          <w:color w:val="000000" w:themeColor="text1"/>
        </w:rPr>
        <w:t xml:space="preserve">. </w:t>
      </w:r>
    </w:p>
    <w:p w14:paraId="6301341C" w14:textId="77777777" w:rsidR="00D35423" w:rsidRPr="002069C6" w:rsidRDefault="00D35423" w:rsidP="00D35423">
      <w:pPr>
        <w:spacing w:before="120" w:after="120" w:line="276" w:lineRule="auto"/>
        <w:ind w:firstLine="708"/>
        <w:jc w:val="both"/>
        <w:rPr>
          <w:rFonts w:ascii="Verdana" w:hAnsi="Verdana" w:cs="Arial"/>
          <w:color w:val="000000" w:themeColor="text1"/>
        </w:rPr>
      </w:pPr>
      <w:r w:rsidRPr="002069C6">
        <w:rPr>
          <w:rFonts w:ascii="Verdana" w:hAnsi="Verdana" w:cs="Arial"/>
          <w:color w:val="000000" w:themeColor="text1"/>
        </w:rPr>
        <w:t xml:space="preserve">En cualquiera de estos mecanismos, la suficiencia y la vigencia de las garantías deberá ser la regulada en los artículos 2.2.1.2.3.1.9 a 2.2.1.2.3.1.16 del Decreto 1082 de 2015. </w:t>
      </w:r>
    </w:p>
    <w:p w14:paraId="4038F4A8" w14:textId="77777777" w:rsidR="00D35423" w:rsidRPr="002069C6" w:rsidRDefault="00D35423" w:rsidP="00D35423">
      <w:pPr>
        <w:spacing w:before="120" w:after="120" w:line="276" w:lineRule="auto"/>
        <w:ind w:firstLine="709"/>
        <w:jc w:val="both"/>
        <w:rPr>
          <w:rFonts w:ascii="Verdana" w:eastAsia="Calibri" w:hAnsi="Verdana" w:cs="Arial"/>
          <w:color w:val="000000" w:themeColor="text1"/>
          <w:lang w:val="es-ES_tradnl"/>
        </w:rPr>
      </w:pPr>
      <w:r w:rsidRPr="002069C6">
        <w:rPr>
          <w:rFonts w:ascii="Verdana" w:hAnsi="Verdana" w:cs="Arial"/>
          <w:color w:val="000000" w:themeColor="text1"/>
        </w:rPr>
        <w:t xml:space="preserve">Teniendo en cuenta este panorama general, se precisa que un tipo de mecanismo de cobertura del riesgo como la garantía </w:t>
      </w:r>
      <w:r w:rsidRPr="002069C6">
        <w:rPr>
          <w:rFonts w:ascii="Verdana" w:eastAsia="Calibri" w:hAnsi="Verdana" w:cs="Arial"/>
          <w:color w:val="000000" w:themeColor="text1"/>
          <w:lang w:val="es-ES_tradnl"/>
        </w:rPr>
        <w:t xml:space="preserve">bancaria solo puede emplearse para amparar la seriedad de la oferta y el cumplimiento, pues la cobertura del riesgo de responsabilidad civil extracontractual solamente puede ser amparada con un contrato de seguro, según el artículo 2.2.1.2.3.1.5. del Decreto 1082 de 2015. Por su parte, las pólizas pueden constituirse como garantías únicas de cumplimiento, garantías de seriedad de la oferta y garantías de responsabilidad civil extracontractual. </w:t>
      </w:r>
    </w:p>
    <w:p w14:paraId="640EB835" w14:textId="77777777" w:rsidR="00D35423" w:rsidRPr="002069C6" w:rsidRDefault="00D35423" w:rsidP="00D35423">
      <w:pPr>
        <w:widowControl w:val="0"/>
        <w:autoSpaceDE w:val="0"/>
        <w:autoSpaceDN w:val="0"/>
        <w:spacing w:after="120" w:line="276" w:lineRule="auto"/>
        <w:ind w:firstLine="709"/>
        <w:jc w:val="both"/>
        <w:rPr>
          <w:rFonts w:ascii="Verdana" w:eastAsia="Arial" w:hAnsi="Verdana" w:cs="Arial"/>
          <w:lang w:val="es-ES"/>
        </w:rPr>
      </w:pPr>
      <w:r w:rsidRPr="002069C6">
        <w:rPr>
          <w:rFonts w:ascii="Verdana" w:eastAsia="Calibri" w:hAnsi="Verdana" w:cs="Arial"/>
          <w:color w:val="000000" w:themeColor="text1"/>
          <w:lang w:val="es-ES_tradnl"/>
        </w:rPr>
        <w:t xml:space="preserve">De cualquier modo, se evidencia que </w:t>
      </w:r>
      <w:r w:rsidRPr="002069C6">
        <w:rPr>
          <w:rFonts w:ascii="Verdana" w:eastAsia="Arial" w:hAnsi="Verdana" w:cs="Arial"/>
          <w:lang w:val="es-ES"/>
        </w:rPr>
        <w:t xml:space="preserve">el artículo 7 de la Ley 1150 de 2007 amplió las garantías permitiendo no solo las pólizas y las garantías bancarias, sino también los demás mecanismos de cobertura del riesgo que el reglamento establezca, es decir, las contempladas en el artículo 2.2.1.2.3.1.2. del Decreto 1082 de 2015. Este decreto reiteró las garantías previstas en la Ley 1150 de 2007 y autorizó el patrimonio autónomo como instrumento para asegurar riesgos. </w:t>
      </w:r>
      <w:bookmarkStart w:id="3" w:name="_Hlk164292596"/>
      <w:r w:rsidRPr="002069C6">
        <w:rPr>
          <w:rFonts w:ascii="Verdana" w:eastAsia="Arial" w:hAnsi="Verdana" w:cs="Arial"/>
          <w:lang w:val="es-ES"/>
        </w:rPr>
        <w:t xml:space="preserve">En </w:t>
      </w:r>
      <w:proofErr w:type="gramStart"/>
      <w:r w:rsidRPr="002069C6">
        <w:rPr>
          <w:rFonts w:ascii="Verdana" w:eastAsia="Arial" w:hAnsi="Verdana" w:cs="Arial"/>
          <w:lang w:val="es-ES"/>
        </w:rPr>
        <w:t>consecuencia</w:t>
      </w:r>
      <w:proofErr w:type="gramEnd"/>
      <w:r w:rsidRPr="002069C6">
        <w:rPr>
          <w:rFonts w:ascii="Verdana" w:eastAsia="Arial" w:hAnsi="Verdana" w:cs="Arial"/>
          <w:lang w:val="es-ES"/>
        </w:rPr>
        <w:t xml:space="preserve"> la Ley 1150 de 2007 y el Decreto 1082 de 2015 establecieron únicamente tres (3) tipos de garantías y las estatales no podrán pactar mecanismos diferentes o adicionales a los allí establecidos. Debido a que ni la Ley ni el reglamento contemplaron la fianza, y en este campo no cabe la autonomía de la voluntad como mecanismo habilitador para que en virtud del </w:t>
      </w:r>
      <w:r w:rsidRPr="002069C6">
        <w:rPr>
          <w:rFonts w:ascii="Verdana" w:eastAsia="Arial" w:hAnsi="Verdana" w:cs="Arial"/>
          <w:lang w:val="es-ES"/>
        </w:rPr>
        <w:lastRenderedPageBreak/>
        <w:t xml:space="preserve">muto consenso sea incluida, no existe un fundamento jurídico que permita que las entidades sometidas al Estatuto hagan uso de esta figura para garantizar el cumplimiento de los contratos estatales. </w:t>
      </w:r>
      <w:bookmarkEnd w:id="3"/>
    </w:p>
    <w:p w14:paraId="23BDA7AA" w14:textId="77777777" w:rsidR="00D35423" w:rsidRDefault="00D35423" w:rsidP="00D35423">
      <w:pPr>
        <w:widowControl w:val="0"/>
        <w:autoSpaceDE w:val="0"/>
        <w:autoSpaceDN w:val="0"/>
        <w:spacing w:after="120" w:line="276" w:lineRule="auto"/>
        <w:ind w:firstLine="709"/>
        <w:jc w:val="both"/>
        <w:rPr>
          <w:rFonts w:ascii="Verdana" w:eastAsia="Arial" w:hAnsi="Verdana" w:cs="Arial"/>
          <w:lang w:val="es-ES"/>
        </w:rPr>
      </w:pPr>
      <w:r w:rsidRPr="002069C6">
        <w:rPr>
          <w:rFonts w:ascii="Verdana" w:eastAsia="Arial" w:hAnsi="Verdana" w:cs="Arial"/>
          <w:lang w:val="es-ES"/>
        </w:rPr>
        <w:t>Además de las razones de orden normativo, se resalta que la Superintendencia Financiera</w:t>
      </w:r>
      <w:r w:rsidRPr="002069C6">
        <w:rPr>
          <w:rStyle w:val="Refdenotaalpie"/>
          <w:rFonts w:ascii="Verdana" w:eastAsia="Arial" w:hAnsi="Verdana" w:cs="Arial"/>
          <w:lang w:val="es-ES"/>
        </w:rPr>
        <w:footnoteReference w:id="11"/>
      </w:r>
      <w:r w:rsidRPr="002069C6">
        <w:rPr>
          <w:rFonts w:ascii="Verdana" w:eastAsia="Arial" w:hAnsi="Verdana" w:cs="Arial"/>
          <w:lang w:val="es-ES"/>
        </w:rPr>
        <w:t xml:space="preserve"> ha reiterado que los contratos de fianza no son aceptables como garantías de cumplimiento en contratación pública, pues las sociedades afianzadoras no se encuentran sometidas a su vigilancia y control, de modo que no están autorizadas para expedir contratos de seguro.</w:t>
      </w:r>
    </w:p>
    <w:p w14:paraId="3DD5F981" w14:textId="77777777" w:rsidR="00D35423" w:rsidRPr="00616DB5" w:rsidRDefault="00D35423" w:rsidP="005A7E03">
      <w:pPr>
        <w:spacing w:before="120" w:after="0" w:line="276" w:lineRule="auto"/>
        <w:ind w:firstLine="708"/>
        <w:jc w:val="both"/>
        <w:rPr>
          <w:rFonts w:ascii="Verdana" w:hAnsi="Verdana" w:cs="Arial"/>
          <w:color w:val="000000" w:themeColor="text1"/>
        </w:rPr>
      </w:pPr>
      <w:r>
        <w:rPr>
          <w:rFonts w:ascii="Verdana" w:hAnsi="Verdana" w:cs="Arial"/>
          <w:color w:val="000000" w:themeColor="text1"/>
        </w:rPr>
        <w:t>De cualquier modo</w:t>
      </w:r>
      <w:r w:rsidRPr="002069C6">
        <w:rPr>
          <w:rFonts w:ascii="Verdana" w:hAnsi="Verdana" w:cs="Arial"/>
          <w:color w:val="000000" w:themeColor="text1"/>
        </w:rPr>
        <w:t xml:space="preserve">, frente al caso de su consulta, la normativa del sistema de compra pública permite </w:t>
      </w:r>
      <w:proofErr w:type="gramStart"/>
      <w:r w:rsidRPr="002069C6">
        <w:rPr>
          <w:rFonts w:ascii="Verdana" w:hAnsi="Verdana" w:cs="Arial"/>
          <w:color w:val="000000" w:themeColor="text1"/>
        </w:rPr>
        <w:t>que</w:t>
      </w:r>
      <w:proofErr w:type="gramEnd"/>
      <w:r w:rsidRPr="002069C6">
        <w:rPr>
          <w:rFonts w:ascii="Verdana" w:hAnsi="Verdana" w:cs="Arial"/>
          <w:color w:val="000000" w:themeColor="text1"/>
        </w:rPr>
        <w:t xml:space="preserve"> si el oferente no puede respaldar el cumplimiento mediante un contrato de seguro materializado en la expedición de una póliza, pueda </w:t>
      </w:r>
      <w:r>
        <w:rPr>
          <w:rFonts w:ascii="Verdana" w:hAnsi="Verdana" w:cs="Arial"/>
          <w:color w:val="000000" w:themeColor="text1"/>
        </w:rPr>
        <w:t xml:space="preserve">acudir a </w:t>
      </w:r>
      <w:r w:rsidRPr="002069C6">
        <w:rPr>
          <w:rFonts w:ascii="Verdana" w:hAnsi="Verdana" w:cs="Arial"/>
          <w:color w:val="000000" w:themeColor="text1"/>
        </w:rPr>
        <w:t xml:space="preserve">alguna de las otras opciones contempladas en el artículo 2.2.1.2.3.1.2 del Decreto 082 de 2015, es decir, </w:t>
      </w:r>
      <w:r>
        <w:rPr>
          <w:rFonts w:ascii="Verdana" w:hAnsi="Verdana" w:cs="Arial"/>
          <w:color w:val="000000" w:themeColor="text1"/>
        </w:rPr>
        <w:t xml:space="preserve">al </w:t>
      </w:r>
      <w:r w:rsidRPr="002069C6">
        <w:rPr>
          <w:rFonts w:ascii="Verdana" w:hAnsi="Verdana" w:cs="Arial"/>
          <w:color w:val="000000" w:themeColor="text1"/>
        </w:rPr>
        <w:t xml:space="preserve">patrimonio autónomo o </w:t>
      </w:r>
      <w:r>
        <w:rPr>
          <w:rFonts w:ascii="Verdana" w:hAnsi="Verdana" w:cs="Arial"/>
          <w:color w:val="000000" w:themeColor="text1"/>
        </w:rPr>
        <w:t xml:space="preserve">a la </w:t>
      </w:r>
      <w:r w:rsidRPr="002069C6">
        <w:rPr>
          <w:rFonts w:ascii="Verdana" w:hAnsi="Verdana" w:cs="Arial"/>
          <w:color w:val="000000" w:themeColor="text1"/>
        </w:rPr>
        <w:t>garantía bancaria</w:t>
      </w:r>
      <w:r>
        <w:rPr>
          <w:rFonts w:ascii="Verdana" w:hAnsi="Verdana" w:cs="Arial"/>
          <w:color w:val="000000" w:themeColor="text1"/>
        </w:rPr>
        <w:t>.</w:t>
      </w:r>
    </w:p>
    <w:p w14:paraId="54D18E0C" w14:textId="77777777" w:rsidR="00D35423" w:rsidRPr="002069C6" w:rsidRDefault="00D35423" w:rsidP="00D35423">
      <w:pPr>
        <w:spacing w:after="0" w:line="276" w:lineRule="auto"/>
        <w:jc w:val="both"/>
        <w:rPr>
          <w:rFonts w:ascii="Verdana" w:eastAsia="Calibri" w:hAnsi="Verdana" w:cs="Arial"/>
          <w:color w:val="000000" w:themeColor="text1"/>
          <w:lang w:val="es-ES_tradnl"/>
        </w:rPr>
      </w:pPr>
    </w:p>
    <w:p w14:paraId="06434771" w14:textId="77777777" w:rsidR="00D35423" w:rsidRPr="002069C6" w:rsidRDefault="00D35423" w:rsidP="00D35423">
      <w:pPr>
        <w:tabs>
          <w:tab w:val="left" w:pos="142"/>
          <w:tab w:val="left" w:pos="284"/>
        </w:tabs>
        <w:spacing w:after="0" w:line="276" w:lineRule="auto"/>
        <w:jc w:val="both"/>
        <w:rPr>
          <w:rFonts w:ascii="Verdana" w:eastAsia="Calibri" w:hAnsi="Verdana" w:cs="Arial"/>
          <w:bCs/>
          <w:lang w:val="es-ES"/>
        </w:rPr>
      </w:pPr>
      <w:proofErr w:type="spellStart"/>
      <w:r w:rsidRPr="002069C6">
        <w:rPr>
          <w:rFonts w:ascii="Verdana" w:eastAsia="Verdana" w:hAnsi="Verdana" w:cs="Verdana"/>
          <w:lang w:val="es-ES"/>
        </w:rPr>
        <w:t>iii</w:t>
      </w:r>
      <w:proofErr w:type="spellEnd"/>
      <w:r w:rsidRPr="002069C6">
        <w:rPr>
          <w:rFonts w:ascii="Verdana" w:eastAsia="Verdana" w:hAnsi="Verdana" w:cs="Verdana"/>
          <w:lang w:val="es-ES"/>
        </w:rPr>
        <w:t xml:space="preserve">) A pesar de lo expuesto, es importante aclarar que </w:t>
      </w:r>
      <w:r w:rsidRPr="002069C6">
        <w:rPr>
          <w:rFonts w:ascii="Verdana" w:eastAsia="Calibri" w:hAnsi="Verdana" w:cs="Arial"/>
          <w:bCs/>
          <w:lang w:val="es-ES"/>
        </w:rPr>
        <w:t xml:space="preserve">el literal a) del numeral 4 del artículo 2 de la Ley 1150 del 2007 establece la causal de contratación directa denominada como “urgencia manifiesta”, como excepción a la regla general de la licitación y/o procesos competitivos. </w:t>
      </w:r>
    </w:p>
    <w:p w14:paraId="5E186ECC" w14:textId="77777777" w:rsidR="00D35423" w:rsidRPr="002069C6" w:rsidRDefault="00D35423" w:rsidP="00D35423">
      <w:pPr>
        <w:tabs>
          <w:tab w:val="left" w:pos="142"/>
          <w:tab w:val="left" w:pos="284"/>
        </w:tabs>
        <w:spacing w:before="120" w:after="120" w:line="276" w:lineRule="auto"/>
        <w:ind w:firstLine="709"/>
        <w:jc w:val="both"/>
        <w:rPr>
          <w:rFonts w:ascii="Verdana" w:eastAsia="Calibri" w:hAnsi="Verdana" w:cs="Arial"/>
          <w:bCs/>
          <w:lang w:val="es-ES"/>
        </w:rPr>
      </w:pPr>
      <w:r w:rsidRPr="002069C6">
        <w:rPr>
          <w:rFonts w:ascii="Verdana" w:eastAsia="Calibri" w:hAnsi="Verdana" w:cs="Arial"/>
          <w:bCs/>
          <w:lang w:val="es-ES"/>
        </w:rPr>
        <w:t>En ese orden de ideas</w:t>
      </w:r>
      <w:r>
        <w:rPr>
          <w:rFonts w:ascii="Verdana" w:eastAsia="Calibri" w:hAnsi="Verdana" w:cs="Arial"/>
          <w:bCs/>
          <w:lang w:val="es-ES"/>
        </w:rPr>
        <w:t>,</w:t>
      </w:r>
      <w:r w:rsidRPr="002069C6">
        <w:rPr>
          <w:rFonts w:ascii="Verdana" w:eastAsia="Calibri" w:hAnsi="Verdana" w:cs="Arial"/>
          <w:bCs/>
          <w:lang w:val="es-ES"/>
        </w:rPr>
        <w:t xml:space="preserve"> la </w:t>
      </w:r>
      <w:r>
        <w:rPr>
          <w:rFonts w:ascii="Verdana" w:eastAsia="Calibri" w:hAnsi="Verdana" w:cs="Arial"/>
          <w:bCs/>
          <w:lang w:val="es-ES"/>
        </w:rPr>
        <w:t>E</w:t>
      </w:r>
      <w:r w:rsidRPr="002069C6">
        <w:rPr>
          <w:rFonts w:ascii="Verdana" w:eastAsia="Calibri" w:hAnsi="Verdana" w:cs="Arial"/>
          <w:bCs/>
          <w:lang w:val="es-ES"/>
        </w:rPr>
        <w:t xml:space="preserve">ntidad </w:t>
      </w:r>
      <w:r>
        <w:rPr>
          <w:rFonts w:ascii="Verdana" w:eastAsia="Calibri" w:hAnsi="Verdana" w:cs="Arial"/>
          <w:bCs/>
          <w:lang w:val="es-ES"/>
        </w:rPr>
        <w:t>E</w:t>
      </w:r>
      <w:r w:rsidRPr="002069C6">
        <w:rPr>
          <w:rFonts w:ascii="Verdana" w:eastAsia="Calibri" w:hAnsi="Verdana" w:cs="Arial"/>
          <w:bCs/>
          <w:lang w:val="es-ES"/>
        </w:rPr>
        <w:t>statal podrá recurrir a esta excepción para contratar bienes, obras y servicios de manera rápida cuando “</w:t>
      </w:r>
      <w:r w:rsidRPr="002069C6">
        <w:rPr>
          <w:rFonts w:ascii="Verdana" w:eastAsia="Calibri" w:hAnsi="Verdana" w:cs="Arial"/>
          <w:bCs/>
        </w:rPr>
        <w:t xml:space="preserve">una circunstancia que exige, con carácter apremiante, preservar la continuidad del servicio, cuando se afecta por situaciones de fuerza mayor, desastres, calamidades o hechos relacionados con los estados de excepción, </w:t>
      </w:r>
      <w:r w:rsidRPr="002069C6">
        <w:rPr>
          <w:rFonts w:ascii="Verdana" w:eastAsia="Calibri" w:hAnsi="Verdana" w:cs="Arial"/>
          <w:bCs/>
          <w:lang w:val="es-ES"/>
        </w:rPr>
        <w:t xml:space="preserve">que por su gravedad no dan tiempo para acordar con precisión el alcance de la obligación principal del contrato y el precio que se pagará al contratista”, de conformidad con lo señalado en el artículo 42 de la Ley 80 de 1993 que </w:t>
      </w:r>
      <w:r w:rsidRPr="002069C6">
        <w:rPr>
          <w:rFonts w:ascii="Verdana" w:eastAsia="Calibri" w:hAnsi="Verdana" w:cs="Arial"/>
          <w:bCs/>
        </w:rPr>
        <w:t xml:space="preserve">define </w:t>
      </w:r>
      <w:r>
        <w:rPr>
          <w:rFonts w:ascii="Verdana" w:eastAsia="Calibri" w:hAnsi="Verdana" w:cs="Arial"/>
          <w:bCs/>
        </w:rPr>
        <w:t>su</w:t>
      </w:r>
      <w:r w:rsidRPr="002069C6">
        <w:rPr>
          <w:rFonts w:ascii="Verdana" w:eastAsia="Calibri" w:hAnsi="Verdana" w:cs="Arial"/>
          <w:bCs/>
        </w:rPr>
        <w:t xml:space="preserve"> trámite</w:t>
      </w:r>
      <w:r w:rsidRPr="002069C6">
        <w:rPr>
          <w:rFonts w:ascii="Verdana" w:eastAsia="Calibri" w:hAnsi="Verdana" w:cs="Arial"/>
          <w:bCs/>
          <w:lang w:val="es-ES"/>
        </w:rPr>
        <w:t>.</w:t>
      </w:r>
    </w:p>
    <w:p w14:paraId="6A5F8384" w14:textId="77777777" w:rsidR="00D35423" w:rsidRPr="002069C6" w:rsidRDefault="00D35423" w:rsidP="00D35423">
      <w:pPr>
        <w:spacing w:after="120" w:line="276" w:lineRule="auto"/>
        <w:ind w:firstLine="709"/>
        <w:jc w:val="both"/>
        <w:rPr>
          <w:rFonts w:ascii="Verdana" w:eastAsia="Calibri" w:hAnsi="Verdana" w:cs="Arial"/>
          <w:lang w:val="es-ES_tradnl"/>
        </w:rPr>
      </w:pPr>
      <w:r w:rsidRPr="002069C6">
        <w:rPr>
          <w:rFonts w:ascii="Verdana" w:eastAsia="Calibri" w:hAnsi="Verdana" w:cs="Arial"/>
          <w:bCs/>
          <w:lang w:val="es-ES"/>
        </w:rPr>
        <w:t xml:space="preserve">En particular, </w:t>
      </w:r>
      <w:r w:rsidRPr="002069C6">
        <w:rPr>
          <w:rFonts w:ascii="Verdana" w:eastAsia="Calibri" w:hAnsi="Verdana" w:cs="Arial"/>
          <w:lang w:val="es-ES"/>
        </w:rPr>
        <w:t xml:space="preserve">corresponde al </w:t>
      </w:r>
      <w:proofErr w:type="gramStart"/>
      <w:r w:rsidRPr="002069C6">
        <w:rPr>
          <w:rFonts w:ascii="Verdana" w:eastAsia="Calibri" w:hAnsi="Verdana" w:cs="Arial"/>
          <w:lang w:val="es-ES"/>
        </w:rPr>
        <w:t>Presidente</w:t>
      </w:r>
      <w:proofErr w:type="gramEnd"/>
      <w:r w:rsidRPr="002069C6">
        <w:rPr>
          <w:rFonts w:ascii="Verdana" w:eastAsia="Calibri" w:hAnsi="Verdana" w:cs="Arial"/>
          <w:lang w:val="es-ES"/>
        </w:rPr>
        <w:t xml:space="preserve"> de la República declarar las situaciones de </w:t>
      </w:r>
      <w:r w:rsidRPr="002069C6">
        <w:rPr>
          <w:rFonts w:ascii="Verdana" w:eastAsia="Calibri" w:hAnsi="Verdana" w:cs="Arial"/>
          <w:i/>
          <w:lang w:val="es-ES"/>
        </w:rPr>
        <w:t>desastre</w:t>
      </w:r>
      <w:r w:rsidRPr="002069C6">
        <w:rPr>
          <w:rFonts w:ascii="Verdana" w:eastAsia="Calibri" w:hAnsi="Verdana" w:cs="Arial"/>
          <w:lang w:val="es-ES"/>
        </w:rPr>
        <w:t>, tanto en el orden nacional, departamental, como en el municipal y distrital</w:t>
      </w:r>
      <w:r w:rsidRPr="002069C6">
        <w:rPr>
          <w:rStyle w:val="Refdenotaalpie"/>
          <w:rFonts w:ascii="Verdana" w:eastAsia="Calibri" w:hAnsi="Verdana" w:cs="Arial"/>
          <w:lang w:val="es-ES"/>
        </w:rPr>
        <w:footnoteReference w:id="12"/>
      </w:r>
      <w:r w:rsidRPr="002069C6">
        <w:rPr>
          <w:rFonts w:ascii="Verdana" w:eastAsia="Calibri" w:hAnsi="Verdana" w:cs="Arial"/>
          <w:lang w:val="es-ES"/>
        </w:rPr>
        <w:t xml:space="preserve">. Por su parte, los gobernadores y alcaldes tienen la </w:t>
      </w:r>
      <w:r w:rsidRPr="002069C6">
        <w:rPr>
          <w:rFonts w:ascii="Verdana" w:eastAsia="Calibri" w:hAnsi="Verdana" w:cs="Arial"/>
          <w:lang w:val="es-ES"/>
        </w:rPr>
        <w:lastRenderedPageBreak/>
        <w:t xml:space="preserve">potestad para declarar las situaciones de </w:t>
      </w:r>
      <w:r w:rsidRPr="002069C6">
        <w:rPr>
          <w:rFonts w:ascii="Verdana" w:eastAsia="Calibri" w:hAnsi="Verdana" w:cs="Arial"/>
          <w:i/>
          <w:lang w:val="es-ES"/>
        </w:rPr>
        <w:t>calamidad pública</w:t>
      </w:r>
      <w:r w:rsidRPr="002069C6">
        <w:rPr>
          <w:rFonts w:ascii="Verdana" w:eastAsia="Calibri" w:hAnsi="Verdana" w:cs="Arial"/>
          <w:lang w:val="es-ES"/>
        </w:rPr>
        <w:t>, en los respectivos ámbitos</w:t>
      </w:r>
      <w:r w:rsidRPr="002069C6">
        <w:rPr>
          <w:rStyle w:val="Refdenotaalpie"/>
          <w:rFonts w:ascii="Verdana" w:eastAsia="Calibri" w:hAnsi="Verdana" w:cs="Arial"/>
          <w:lang w:val="es-ES"/>
        </w:rPr>
        <w:footnoteReference w:id="13"/>
      </w:r>
      <w:r w:rsidRPr="002069C6">
        <w:rPr>
          <w:rFonts w:ascii="Verdana" w:eastAsia="Calibri" w:hAnsi="Verdana" w:cs="Arial"/>
          <w:lang w:val="es-ES"/>
        </w:rPr>
        <w:t xml:space="preserve">. </w:t>
      </w:r>
      <w:r w:rsidRPr="002069C6">
        <w:rPr>
          <w:rFonts w:ascii="Verdana" w:eastAsia="Calibri" w:hAnsi="Verdana" w:cs="Arial"/>
          <w:lang w:val="es-ES_tradnl"/>
        </w:rPr>
        <w:t xml:space="preserve">Una vez declarada la situación de calamidad o la situación de desastre bajo los criterios señalados en el artículo 59 de la Ley 1523 de 2012, las demás </w:t>
      </w:r>
      <w:r>
        <w:rPr>
          <w:rFonts w:ascii="Verdana" w:eastAsia="Calibri" w:hAnsi="Verdana" w:cs="Arial"/>
          <w:lang w:val="es-ES_tradnl"/>
        </w:rPr>
        <w:t>E</w:t>
      </w:r>
      <w:r w:rsidRPr="002069C6">
        <w:rPr>
          <w:rFonts w:ascii="Verdana" w:eastAsia="Calibri" w:hAnsi="Verdana" w:cs="Arial"/>
          <w:lang w:val="es-ES_tradnl"/>
        </w:rPr>
        <w:t xml:space="preserve">ntidades </w:t>
      </w:r>
      <w:r>
        <w:rPr>
          <w:rFonts w:ascii="Verdana" w:eastAsia="Calibri" w:hAnsi="Verdana" w:cs="Arial"/>
          <w:lang w:val="es-ES_tradnl"/>
        </w:rPr>
        <w:t>E</w:t>
      </w:r>
      <w:r w:rsidRPr="002069C6">
        <w:rPr>
          <w:rFonts w:ascii="Verdana" w:eastAsia="Calibri" w:hAnsi="Verdana" w:cs="Arial"/>
          <w:lang w:val="es-ES_tradnl"/>
        </w:rPr>
        <w:t xml:space="preserve">statales –de conformidad con el artículo 42 de la Ley 80 de 1993– quedan facultadas para declarar la causal de contratación directa denominada “urgencia manifiesta”, mediante un acto administrativo propio, autónomo, que tiene como fundamento fáctico y jurídico la declaración de situación de calamidad o la situación de desastre que realice la entidad competente. </w:t>
      </w:r>
    </w:p>
    <w:p w14:paraId="6D453F02" w14:textId="77777777" w:rsidR="00D35423" w:rsidRPr="002069C6" w:rsidRDefault="00D35423" w:rsidP="00D35423">
      <w:pPr>
        <w:spacing w:after="120" w:line="276" w:lineRule="auto"/>
        <w:ind w:firstLine="709"/>
        <w:jc w:val="both"/>
        <w:rPr>
          <w:rFonts w:ascii="Verdana" w:eastAsia="Calibri" w:hAnsi="Verdana" w:cs="Arial"/>
          <w:lang w:val="es-ES"/>
        </w:rPr>
      </w:pPr>
      <w:r w:rsidRPr="002069C6">
        <w:rPr>
          <w:rFonts w:ascii="Verdana" w:eastAsia="Calibri" w:hAnsi="Verdana" w:cs="Arial"/>
          <w:lang w:val="es-ES_tradnl"/>
        </w:rPr>
        <w:t xml:space="preserve">En estos casos, </w:t>
      </w:r>
      <w:r w:rsidRPr="002069C6">
        <w:rPr>
          <w:rFonts w:ascii="Verdana" w:eastAsia="Calibri" w:hAnsi="Verdana" w:cs="Arial"/>
          <w:bCs/>
          <w:lang w:val="es-ES"/>
        </w:rPr>
        <w:t>es aplicable el artículo 2.2.1.2.1.4.5. del Decreto 1082 de 2015 según el cual no es obligatorio que las Entidades Estatales exijan en los procesos de contratación directa las garantías establecidas en los artículos 2.2.1.2.3.1.1 al 2.2.1.2.3.5.1. de dicho Decreto. Sin embargo, en estos supuestos, deberán incluir la justificación para exigirlas o no en los estudios y documentos previos</w:t>
      </w:r>
    </w:p>
    <w:p w14:paraId="148F2AB0" w14:textId="77777777" w:rsidR="00D35423" w:rsidRPr="002069C6" w:rsidRDefault="00D35423" w:rsidP="00D35423">
      <w:pPr>
        <w:spacing w:after="120" w:line="276" w:lineRule="auto"/>
        <w:ind w:firstLine="709"/>
        <w:jc w:val="both"/>
        <w:rPr>
          <w:rFonts w:ascii="Verdana" w:eastAsia="Calibri" w:hAnsi="Verdana" w:cs="Arial"/>
          <w:lang w:val="es-ES"/>
        </w:rPr>
      </w:pPr>
      <w:r w:rsidRPr="002069C6">
        <w:rPr>
          <w:rFonts w:ascii="Verdana" w:eastAsia="Calibri" w:hAnsi="Verdana" w:cs="Arial"/>
          <w:bCs/>
          <w:lang w:val="es-ES"/>
        </w:rPr>
        <w:t xml:space="preserve">Si bien la norma establece la no obligatoriedad de la exigencia de las garantías en la contratación directa, esto no es una licencia o una autorización para que las entidades las omitan en todos los procesos, pues tienen el deber de observar el principio de responsabilidad y de prevenir el riesgo antijuridico propio de la gestión contractual. Al ser una excepción a la regla general, la contratación de bienes, obras y servicios por la modalidad de contratación directa de urgencia manifiesta no exonera por sí misma a la entidad contratante de exigir las garantías que corresponda de conformidad con la tipología contractual según el objeto a contratar, los riesgos asociados a la ejecución y su </w:t>
      </w:r>
      <w:r w:rsidRPr="002069C6">
        <w:rPr>
          <w:rFonts w:ascii="Verdana" w:eastAsia="Calibri" w:hAnsi="Verdana" w:cs="Arial"/>
          <w:bCs/>
          <w:lang w:val="es-ES"/>
        </w:rPr>
        <w:lastRenderedPageBreak/>
        <w:t xml:space="preserve">cuantía, de acuerdo a los artículos </w:t>
      </w:r>
      <w:r w:rsidRPr="002069C6">
        <w:rPr>
          <w:rFonts w:ascii="Verdana" w:hAnsi="Verdana"/>
          <w:lang w:val="es-ES"/>
        </w:rPr>
        <w:t>2.2.1.2.3.1.1 y subsiguientes del Decreto 1082 de 2015,</w:t>
      </w:r>
      <w:r w:rsidRPr="002069C6">
        <w:rPr>
          <w:rFonts w:ascii="Verdana" w:eastAsia="Calibri" w:hAnsi="Verdana" w:cs="Arial"/>
          <w:bCs/>
          <w:lang w:val="es-ES"/>
        </w:rPr>
        <w:t xml:space="preserve"> lo cual deberá quedar debidamente analizado en el acto administrativo que declare la urgencia manifiesta, atendiendo a lo prescrito en el artículo 2.2.1.2.1.4.2. del decreto en mención. </w:t>
      </w:r>
    </w:p>
    <w:p w14:paraId="53655842" w14:textId="77777777" w:rsidR="00D35423" w:rsidRDefault="00D35423" w:rsidP="00D35423">
      <w:pPr>
        <w:tabs>
          <w:tab w:val="left" w:pos="142"/>
          <w:tab w:val="left" w:pos="284"/>
        </w:tabs>
        <w:spacing w:before="120" w:after="0" w:line="276" w:lineRule="auto"/>
        <w:ind w:firstLine="709"/>
        <w:jc w:val="both"/>
        <w:rPr>
          <w:rFonts w:ascii="Verdana" w:eastAsia="Calibri" w:hAnsi="Verdana" w:cs="Arial"/>
          <w:bCs/>
          <w:lang w:val="es-ES"/>
        </w:rPr>
      </w:pPr>
      <w:r w:rsidRPr="002069C6">
        <w:rPr>
          <w:rFonts w:ascii="Verdana" w:eastAsia="Calibri" w:hAnsi="Verdana" w:cs="Arial"/>
          <w:bCs/>
          <w:lang w:val="es-ES"/>
        </w:rPr>
        <w:t xml:space="preserve">Conforme a lo anterior, la </w:t>
      </w:r>
      <w:r>
        <w:rPr>
          <w:rFonts w:ascii="Verdana" w:eastAsia="Calibri" w:hAnsi="Verdana" w:cs="Arial"/>
          <w:bCs/>
          <w:lang w:val="es-ES"/>
        </w:rPr>
        <w:t>E</w:t>
      </w:r>
      <w:r w:rsidRPr="002069C6">
        <w:rPr>
          <w:rFonts w:ascii="Verdana" w:eastAsia="Calibri" w:hAnsi="Verdana" w:cs="Arial"/>
          <w:bCs/>
          <w:lang w:val="es-ES"/>
        </w:rPr>
        <w:t xml:space="preserve">ntidad </w:t>
      </w:r>
      <w:r>
        <w:rPr>
          <w:rFonts w:ascii="Verdana" w:eastAsia="Calibri" w:hAnsi="Verdana" w:cs="Arial"/>
          <w:bCs/>
          <w:lang w:val="es-ES"/>
        </w:rPr>
        <w:t>E</w:t>
      </w:r>
      <w:r w:rsidRPr="002069C6">
        <w:rPr>
          <w:rFonts w:ascii="Verdana" w:eastAsia="Calibri" w:hAnsi="Verdana" w:cs="Arial"/>
          <w:bCs/>
          <w:lang w:val="es-ES"/>
        </w:rPr>
        <w:t xml:space="preserve">statal tiene la obligación de realizar un análisis objetivo de los eventuales riesgos asociados a la ejecución del futuro contrato para determinar la necesidad de exigir las garantías que resulten aplicables. </w:t>
      </w:r>
      <w:r w:rsidRPr="002069C6">
        <w:rPr>
          <w:rFonts w:ascii="Verdana" w:hAnsi="Verdana"/>
          <w:lang w:val="es-ES"/>
        </w:rPr>
        <w:t xml:space="preserve">De conformidad con el objeto contractual, las obligaciones y la cuantía, </w:t>
      </w:r>
      <w:r w:rsidRPr="002069C6">
        <w:rPr>
          <w:rFonts w:ascii="Verdana" w:eastAsia="Calibri" w:hAnsi="Verdana" w:cs="Arial"/>
          <w:bCs/>
          <w:lang w:val="es-ES"/>
        </w:rPr>
        <w:t>así como del deber de prevenir riesgos antijuridicos,</w:t>
      </w:r>
      <w:r w:rsidRPr="002069C6">
        <w:rPr>
          <w:rFonts w:ascii="Verdana" w:hAnsi="Verdana"/>
          <w:lang w:val="es-ES"/>
        </w:rPr>
        <w:t xml:space="preserve"> </w:t>
      </w:r>
      <w:r>
        <w:rPr>
          <w:rFonts w:ascii="Verdana" w:hAnsi="Verdana"/>
          <w:lang w:val="es-ES"/>
        </w:rPr>
        <w:t>la entidad deberá</w:t>
      </w:r>
      <w:r w:rsidRPr="002069C6">
        <w:rPr>
          <w:rFonts w:ascii="Verdana" w:hAnsi="Verdana"/>
          <w:lang w:val="es-ES"/>
        </w:rPr>
        <w:t xml:space="preserve"> analizar la necesidad de exigirlas y consignarlo así en el acto administrativo a través del cual declare la urgencia manifiesta.</w:t>
      </w:r>
      <w:r w:rsidRPr="002069C6">
        <w:rPr>
          <w:rFonts w:ascii="Verdana" w:eastAsia="Calibri" w:hAnsi="Verdana" w:cs="Arial"/>
          <w:bCs/>
          <w:lang w:val="es-ES"/>
        </w:rPr>
        <w:t xml:space="preserve"> </w:t>
      </w:r>
    </w:p>
    <w:p w14:paraId="71F7D043" w14:textId="77777777" w:rsidR="00D35423" w:rsidRPr="002069C6" w:rsidRDefault="00D35423" w:rsidP="00D35423">
      <w:pPr>
        <w:tabs>
          <w:tab w:val="left" w:pos="142"/>
          <w:tab w:val="left" w:pos="284"/>
        </w:tabs>
        <w:spacing w:after="0" w:line="276" w:lineRule="auto"/>
        <w:ind w:firstLine="709"/>
        <w:jc w:val="both"/>
        <w:rPr>
          <w:rFonts w:ascii="Verdana" w:eastAsia="Calibri" w:hAnsi="Verdana" w:cs="Arial"/>
          <w:bCs/>
          <w:lang w:val="es-ES"/>
        </w:rPr>
      </w:pPr>
    </w:p>
    <w:p w14:paraId="4AFD96F2" w14:textId="77777777" w:rsidR="00D35423" w:rsidRPr="002069C6" w:rsidRDefault="00D35423" w:rsidP="00D35423">
      <w:pPr>
        <w:widowControl w:val="0"/>
        <w:autoSpaceDE w:val="0"/>
        <w:autoSpaceDN w:val="0"/>
        <w:spacing w:after="120" w:line="276" w:lineRule="auto"/>
        <w:ind w:right="51"/>
        <w:jc w:val="both"/>
        <w:rPr>
          <w:rFonts w:ascii="Verdana" w:eastAsia="Verdana" w:hAnsi="Verdana" w:cs="Verdana"/>
          <w:spacing w:val="-7"/>
          <w:lang w:val="es-ES"/>
        </w:rPr>
      </w:pPr>
      <w:proofErr w:type="spellStart"/>
      <w:r w:rsidRPr="002069C6">
        <w:rPr>
          <w:rFonts w:ascii="Verdana" w:eastAsia="Verdana" w:hAnsi="Verdana" w:cs="Verdana"/>
          <w:lang w:val="es-ES"/>
        </w:rPr>
        <w:t>iv</w:t>
      </w:r>
      <w:proofErr w:type="spellEnd"/>
      <w:r w:rsidRPr="002069C6">
        <w:rPr>
          <w:rFonts w:ascii="Verdana" w:eastAsia="Verdana" w:hAnsi="Verdana" w:cs="Verdana"/>
          <w:lang w:val="es-ES"/>
        </w:rPr>
        <w:t>) Finalmente, conforme lo explicado respecto del régimen contractual aplicable a las Empresas Industriales y Comerciales del Estado,</w:t>
      </w:r>
      <w:r w:rsidRPr="002069C6">
        <w:rPr>
          <w:rFonts w:ascii="Verdana" w:eastAsia="Verdana" w:hAnsi="Verdana" w:cs="Verdana"/>
          <w:spacing w:val="-5"/>
          <w:lang w:val="es-ES"/>
        </w:rPr>
        <w:t xml:space="preserve"> </w:t>
      </w:r>
      <w:r w:rsidRPr="002069C6">
        <w:rPr>
          <w:rFonts w:ascii="Verdana" w:eastAsia="Verdana" w:hAnsi="Verdana" w:cs="Verdana"/>
          <w:lang w:val="es-ES"/>
        </w:rPr>
        <w:t>es</w:t>
      </w:r>
      <w:r w:rsidRPr="002069C6">
        <w:rPr>
          <w:rFonts w:ascii="Verdana" w:eastAsia="Verdana" w:hAnsi="Verdana" w:cs="Verdana"/>
          <w:spacing w:val="-9"/>
          <w:lang w:val="es-ES"/>
        </w:rPr>
        <w:t xml:space="preserve"> </w:t>
      </w:r>
      <w:r w:rsidRPr="002069C6">
        <w:rPr>
          <w:rFonts w:ascii="Verdana" w:eastAsia="Verdana" w:hAnsi="Verdana" w:cs="Verdana"/>
          <w:lang w:val="es-ES"/>
        </w:rPr>
        <w:t>necesario</w:t>
      </w:r>
      <w:r w:rsidRPr="002069C6">
        <w:rPr>
          <w:rFonts w:ascii="Verdana" w:eastAsia="Verdana" w:hAnsi="Verdana" w:cs="Verdana"/>
          <w:spacing w:val="-8"/>
          <w:lang w:val="es-ES"/>
        </w:rPr>
        <w:t xml:space="preserve"> </w:t>
      </w:r>
      <w:r w:rsidRPr="002069C6">
        <w:rPr>
          <w:rFonts w:ascii="Verdana" w:eastAsia="Verdana" w:hAnsi="Verdana" w:cs="Verdana"/>
          <w:lang w:val="es-ES"/>
        </w:rPr>
        <w:t>aclarar</w:t>
      </w:r>
      <w:r w:rsidRPr="002069C6">
        <w:rPr>
          <w:rFonts w:ascii="Verdana" w:eastAsia="Verdana" w:hAnsi="Verdana" w:cs="Verdana"/>
          <w:spacing w:val="-5"/>
          <w:lang w:val="es-ES"/>
        </w:rPr>
        <w:t xml:space="preserve"> que las </w:t>
      </w:r>
      <w:r w:rsidRPr="002069C6">
        <w:rPr>
          <w:rFonts w:ascii="Verdana" w:eastAsia="Verdana" w:hAnsi="Verdana" w:cs="Verdana"/>
          <w:lang w:val="es-ES"/>
        </w:rPr>
        <w:t>entidades</w:t>
      </w:r>
      <w:r w:rsidRPr="002069C6">
        <w:rPr>
          <w:rFonts w:ascii="Verdana" w:eastAsia="Verdana" w:hAnsi="Verdana" w:cs="Verdana"/>
          <w:spacing w:val="-4"/>
          <w:lang w:val="es-ES"/>
        </w:rPr>
        <w:t xml:space="preserve"> </w:t>
      </w:r>
      <w:r w:rsidRPr="002069C6">
        <w:rPr>
          <w:rFonts w:ascii="Verdana" w:eastAsia="Verdana" w:hAnsi="Verdana" w:cs="Verdana"/>
          <w:lang w:val="es-ES"/>
        </w:rPr>
        <w:t>de</w:t>
      </w:r>
      <w:r w:rsidRPr="002069C6">
        <w:rPr>
          <w:rFonts w:ascii="Verdana" w:eastAsia="Verdana" w:hAnsi="Verdana" w:cs="Verdana"/>
          <w:spacing w:val="-5"/>
          <w:lang w:val="es-ES"/>
        </w:rPr>
        <w:t xml:space="preserve"> </w:t>
      </w:r>
      <w:r w:rsidRPr="002069C6">
        <w:rPr>
          <w:rFonts w:ascii="Verdana" w:eastAsia="Verdana" w:hAnsi="Verdana" w:cs="Verdana"/>
          <w:lang w:val="es-ES"/>
        </w:rPr>
        <w:t>régimen</w:t>
      </w:r>
      <w:r w:rsidRPr="002069C6">
        <w:rPr>
          <w:rFonts w:ascii="Verdana" w:eastAsia="Verdana" w:hAnsi="Verdana" w:cs="Verdana"/>
          <w:spacing w:val="-4"/>
          <w:lang w:val="es-ES"/>
        </w:rPr>
        <w:t xml:space="preserve"> </w:t>
      </w:r>
      <w:r w:rsidRPr="002069C6">
        <w:rPr>
          <w:rFonts w:ascii="Verdana" w:eastAsia="Verdana" w:hAnsi="Verdana" w:cs="Verdana"/>
          <w:lang w:val="es-ES"/>
        </w:rPr>
        <w:t>especial son aquellas que, por expresa disposición legal y por su naturaleza o situación de competencia, tienen condiciones diferenciales respecto de la normativa</w:t>
      </w:r>
      <w:r w:rsidRPr="002069C6">
        <w:rPr>
          <w:rFonts w:ascii="Verdana" w:eastAsia="Verdana" w:hAnsi="Verdana" w:cs="Verdana"/>
          <w:spacing w:val="-1"/>
          <w:lang w:val="es-ES"/>
        </w:rPr>
        <w:t xml:space="preserve"> </w:t>
      </w:r>
      <w:r w:rsidRPr="002069C6">
        <w:rPr>
          <w:rFonts w:ascii="Verdana" w:eastAsia="Verdana" w:hAnsi="Verdana" w:cs="Verdana"/>
          <w:lang w:val="es-ES"/>
        </w:rPr>
        <w:t>de contratación pública. Esto quiere decir que no están sometidas al Estatuto General de Contratación de la Administración Pública, y por ende sus procedimientos</w:t>
      </w:r>
      <w:r w:rsidRPr="002069C6">
        <w:rPr>
          <w:rFonts w:ascii="Verdana" w:eastAsia="Verdana" w:hAnsi="Verdana" w:cs="Verdana"/>
          <w:spacing w:val="-20"/>
          <w:lang w:val="es-ES"/>
        </w:rPr>
        <w:t xml:space="preserve"> </w:t>
      </w:r>
      <w:r w:rsidRPr="002069C6">
        <w:rPr>
          <w:rFonts w:ascii="Verdana" w:eastAsia="Verdana" w:hAnsi="Verdana" w:cs="Verdana"/>
          <w:lang w:val="es-ES"/>
        </w:rPr>
        <w:t>contractuales, incluyendo los parámetros para la exigencia de las garantías</w:t>
      </w:r>
      <w:r>
        <w:rPr>
          <w:rFonts w:ascii="Verdana" w:eastAsia="Verdana" w:hAnsi="Verdana" w:cs="Verdana"/>
          <w:lang w:val="es-ES"/>
        </w:rPr>
        <w:t>,</w:t>
      </w:r>
      <w:r w:rsidRPr="002069C6">
        <w:rPr>
          <w:rFonts w:ascii="Verdana" w:eastAsia="Verdana" w:hAnsi="Verdana" w:cs="Verdana"/>
          <w:spacing w:val="-19"/>
          <w:lang w:val="es-ES"/>
        </w:rPr>
        <w:t xml:space="preserve"> </w:t>
      </w:r>
      <w:r w:rsidRPr="002069C6">
        <w:rPr>
          <w:rFonts w:ascii="Verdana" w:eastAsia="Verdana" w:hAnsi="Verdana" w:cs="Verdana"/>
          <w:lang w:val="es-ES"/>
        </w:rPr>
        <w:t>tienen</w:t>
      </w:r>
      <w:r w:rsidRPr="002069C6">
        <w:rPr>
          <w:rFonts w:ascii="Verdana" w:eastAsia="Verdana" w:hAnsi="Verdana" w:cs="Verdana"/>
          <w:spacing w:val="-19"/>
          <w:lang w:val="es-ES"/>
        </w:rPr>
        <w:t xml:space="preserve"> </w:t>
      </w:r>
      <w:r w:rsidRPr="002069C6">
        <w:rPr>
          <w:rFonts w:ascii="Verdana" w:eastAsia="Verdana" w:hAnsi="Verdana" w:cs="Verdana"/>
          <w:lang w:val="es-ES"/>
        </w:rPr>
        <w:t>sus reglas propias,</w:t>
      </w:r>
      <w:r w:rsidRPr="002069C6">
        <w:rPr>
          <w:rFonts w:ascii="Verdana" w:eastAsia="Verdana" w:hAnsi="Verdana" w:cs="Verdana"/>
          <w:spacing w:val="-20"/>
          <w:lang w:val="es-ES"/>
        </w:rPr>
        <w:t xml:space="preserve"> </w:t>
      </w:r>
      <w:r w:rsidRPr="002069C6">
        <w:rPr>
          <w:rFonts w:ascii="Verdana" w:eastAsia="Verdana" w:hAnsi="Verdana" w:cs="Verdana"/>
          <w:lang w:val="es-ES"/>
        </w:rPr>
        <w:t>determinadas en las normas de creación y</w:t>
      </w:r>
      <w:r w:rsidRPr="002069C6">
        <w:rPr>
          <w:rFonts w:ascii="Verdana" w:eastAsia="Verdana" w:hAnsi="Verdana" w:cs="Verdana"/>
          <w:spacing w:val="-7"/>
          <w:lang w:val="es-ES"/>
        </w:rPr>
        <w:t xml:space="preserve"> </w:t>
      </w:r>
      <w:r w:rsidRPr="002069C6">
        <w:rPr>
          <w:rFonts w:ascii="Verdana" w:eastAsia="Verdana" w:hAnsi="Verdana" w:cs="Verdana"/>
          <w:lang w:val="es-ES"/>
        </w:rPr>
        <w:t>en</w:t>
      </w:r>
      <w:r w:rsidRPr="002069C6">
        <w:rPr>
          <w:rFonts w:ascii="Verdana" w:eastAsia="Verdana" w:hAnsi="Verdana" w:cs="Verdana"/>
          <w:spacing w:val="-7"/>
          <w:lang w:val="es-ES"/>
        </w:rPr>
        <w:t xml:space="preserve"> </w:t>
      </w:r>
      <w:r w:rsidRPr="002069C6">
        <w:rPr>
          <w:rFonts w:ascii="Verdana" w:eastAsia="Verdana" w:hAnsi="Verdana" w:cs="Verdana"/>
          <w:lang w:val="es-ES"/>
        </w:rPr>
        <w:t>sus</w:t>
      </w:r>
      <w:r w:rsidRPr="002069C6">
        <w:rPr>
          <w:rFonts w:ascii="Verdana" w:eastAsia="Verdana" w:hAnsi="Verdana" w:cs="Verdana"/>
          <w:spacing w:val="-12"/>
          <w:lang w:val="es-ES"/>
        </w:rPr>
        <w:t xml:space="preserve"> </w:t>
      </w:r>
      <w:r w:rsidRPr="002069C6">
        <w:rPr>
          <w:rFonts w:ascii="Verdana" w:eastAsia="Verdana" w:hAnsi="Verdana" w:cs="Verdana"/>
          <w:lang w:val="es-ES"/>
        </w:rPr>
        <w:t>manuales</w:t>
      </w:r>
      <w:r w:rsidRPr="002069C6">
        <w:rPr>
          <w:rFonts w:ascii="Verdana" w:eastAsia="Verdana" w:hAnsi="Verdana" w:cs="Verdana"/>
          <w:spacing w:val="-7"/>
          <w:lang w:val="es-ES"/>
        </w:rPr>
        <w:t xml:space="preserve"> </w:t>
      </w:r>
      <w:r w:rsidRPr="002069C6">
        <w:rPr>
          <w:rFonts w:ascii="Verdana" w:eastAsia="Verdana" w:hAnsi="Verdana" w:cs="Verdana"/>
          <w:lang w:val="es-ES"/>
        </w:rPr>
        <w:t>de</w:t>
      </w:r>
      <w:r w:rsidRPr="002069C6">
        <w:rPr>
          <w:rFonts w:ascii="Verdana" w:eastAsia="Verdana" w:hAnsi="Verdana" w:cs="Verdana"/>
          <w:spacing w:val="-8"/>
          <w:lang w:val="es-ES"/>
        </w:rPr>
        <w:t xml:space="preserve"> </w:t>
      </w:r>
      <w:r w:rsidRPr="002069C6">
        <w:rPr>
          <w:rFonts w:ascii="Verdana" w:eastAsia="Verdana" w:hAnsi="Verdana" w:cs="Verdana"/>
          <w:lang w:val="es-ES"/>
        </w:rPr>
        <w:t>contratación.</w:t>
      </w:r>
      <w:r w:rsidRPr="002069C6">
        <w:rPr>
          <w:rFonts w:ascii="Verdana" w:eastAsia="Verdana" w:hAnsi="Verdana" w:cs="Verdana"/>
          <w:spacing w:val="-7"/>
          <w:lang w:val="es-ES"/>
        </w:rPr>
        <w:t xml:space="preserve"> </w:t>
      </w:r>
      <w:r w:rsidRPr="002069C6">
        <w:rPr>
          <w:rFonts w:ascii="Verdana" w:eastAsia="Verdana" w:hAnsi="Verdana" w:cs="Verdana"/>
          <w:lang w:val="es-ES"/>
        </w:rPr>
        <w:t>Esto</w:t>
      </w:r>
      <w:r w:rsidRPr="002069C6">
        <w:rPr>
          <w:rFonts w:ascii="Verdana" w:eastAsia="Verdana" w:hAnsi="Verdana" w:cs="Verdana"/>
          <w:spacing w:val="-6"/>
          <w:lang w:val="es-ES"/>
        </w:rPr>
        <w:t xml:space="preserve"> </w:t>
      </w:r>
      <w:r w:rsidRPr="002069C6">
        <w:rPr>
          <w:rFonts w:ascii="Verdana" w:eastAsia="Verdana" w:hAnsi="Verdana" w:cs="Verdana"/>
          <w:lang w:val="es-ES"/>
        </w:rPr>
        <w:t>es</w:t>
      </w:r>
      <w:r w:rsidRPr="002069C6">
        <w:rPr>
          <w:rFonts w:ascii="Verdana" w:eastAsia="Verdana" w:hAnsi="Verdana" w:cs="Verdana"/>
          <w:spacing w:val="-7"/>
          <w:lang w:val="es-ES"/>
        </w:rPr>
        <w:t xml:space="preserve"> </w:t>
      </w:r>
      <w:r w:rsidRPr="002069C6">
        <w:rPr>
          <w:rFonts w:ascii="Verdana" w:eastAsia="Verdana" w:hAnsi="Verdana" w:cs="Verdana"/>
          <w:lang w:val="es-ES"/>
        </w:rPr>
        <w:t xml:space="preserve">lo que sucede con algunas de las Empresas Industriales y Comerciales del Estado cuando se encuentren exceptuadas de aplicar </w:t>
      </w:r>
      <w:r w:rsidRPr="002069C6">
        <w:rPr>
          <w:rFonts w:ascii="Verdana" w:eastAsia="Verdana" w:hAnsi="Verdana" w:cs="Verdana"/>
          <w:spacing w:val="12"/>
          <w:lang w:val="es-ES"/>
        </w:rPr>
        <w:t xml:space="preserve">el </w:t>
      </w:r>
      <w:r w:rsidRPr="002069C6">
        <w:rPr>
          <w:rFonts w:ascii="Verdana" w:eastAsia="Verdana" w:hAnsi="Verdana" w:cs="Verdana"/>
          <w:lang w:val="es-ES"/>
        </w:rPr>
        <w:t xml:space="preserve">Estatuto General de Contratación de la Administración Pública, </w:t>
      </w:r>
      <w:r>
        <w:rPr>
          <w:rFonts w:ascii="Verdana" w:eastAsia="Verdana" w:hAnsi="Verdana" w:cs="Verdana"/>
          <w:lang w:val="es-ES"/>
        </w:rPr>
        <w:t xml:space="preserve">según </w:t>
      </w:r>
      <w:r w:rsidRPr="002069C6">
        <w:rPr>
          <w:rFonts w:ascii="Verdana" w:eastAsia="Verdana" w:hAnsi="Verdana" w:cs="Verdana"/>
          <w:lang w:val="es-ES"/>
        </w:rPr>
        <w:t>lo establecido en el artículo 14 de la Ley 1150 de 2007.</w:t>
      </w:r>
    </w:p>
    <w:p w14:paraId="7D949E72" w14:textId="77777777" w:rsidR="00D35423" w:rsidRPr="002069C6" w:rsidRDefault="00D35423" w:rsidP="00D35423">
      <w:pPr>
        <w:widowControl w:val="0"/>
        <w:autoSpaceDE w:val="0"/>
        <w:autoSpaceDN w:val="0"/>
        <w:spacing w:before="120" w:after="120" w:line="276" w:lineRule="auto"/>
        <w:ind w:right="51" w:firstLine="709"/>
        <w:jc w:val="both"/>
        <w:rPr>
          <w:rFonts w:ascii="Verdana" w:eastAsia="Verdana" w:hAnsi="Verdana" w:cs="Verdana"/>
          <w:lang w:val="es-ES"/>
        </w:rPr>
      </w:pPr>
      <w:r w:rsidRPr="002069C6">
        <w:rPr>
          <w:rFonts w:ascii="Verdana" w:eastAsia="Verdana" w:hAnsi="Verdana" w:cs="Verdana"/>
          <w:lang w:val="es-ES"/>
        </w:rPr>
        <w:t xml:space="preserve">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De esta manera, las garantías que sean exigibles según el proceso de contratación se someterán al marco jurídico que para ello defina </w:t>
      </w:r>
      <w:r>
        <w:rPr>
          <w:rFonts w:ascii="Verdana" w:eastAsia="Verdana" w:hAnsi="Verdana" w:cs="Verdana"/>
          <w:lang w:val="es-ES"/>
        </w:rPr>
        <w:t xml:space="preserve">la norma de creación y </w:t>
      </w:r>
      <w:r w:rsidRPr="002069C6">
        <w:rPr>
          <w:rFonts w:ascii="Verdana" w:eastAsia="Verdana" w:hAnsi="Verdana" w:cs="Verdana"/>
          <w:lang w:val="es-ES"/>
        </w:rPr>
        <w:t>su manual de contratación.</w:t>
      </w:r>
    </w:p>
    <w:p w14:paraId="498F8821" w14:textId="77777777" w:rsidR="00D35423" w:rsidRPr="002069C6" w:rsidRDefault="00D35423" w:rsidP="00D35423">
      <w:pPr>
        <w:widowControl w:val="0"/>
        <w:autoSpaceDE w:val="0"/>
        <w:autoSpaceDN w:val="0"/>
        <w:spacing w:after="120" w:line="276" w:lineRule="auto"/>
        <w:ind w:firstLine="708"/>
        <w:jc w:val="both"/>
        <w:rPr>
          <w:rFonts w:ascii="Verdana" w:eastAsia="Verdana" w:hAnsi="Verdana" w:cs="Verdana"/>
          <w:lang w:val="es-ES"/>
        </w:rPr>
      </w:pPr>
      <w:r w:rsidRPr="002069C6">
        <w:rPr>
          <w:rFonts w:ascii="Verdana" w:eastAsia="Verdana" w:hAnsi="Verdana" w:cs="Verdana"/>
          <w:lang w:val="es-ES"/>
        </w:rPr>
        <w:t xml:space="preserve">De esta manera, salvo que exista alguna limitación o parámetro impuesto por su normativa o manual, las Empresas Industriales y Comerciales del Estado podrían recurrir a los mecanismos establecidos en el derecho civil y comercial para garantizar el cumplimiento de lo pactado, como </w:t>
      </w:r>
      <w:r>
        <w:rPr>
          <w:rFonts w:ascii="Verdana" w:eastAsia="Verdana" w:hAnsi="Verdana" w:cs="Verdana"/>
          <w:lang w:val="es-ES"/>
        </w:rPr>
        <w:t>el</w:t>
      </w:r>
      <w:r w:rsidRPr="002069C6">
        <w:rPr>
          <w:rFonts w:ascii="Verdana" w:eastAsia="Verdana" w:hAnsi="Verdana" w:cs="Verdana"/>
          <w:lang w:val="es-ES"/>
        </w:rPr>
        <w:t xml:space="preserve"> artículo 2361 del Código </w:t>
      </w:r>
      <w:r w:rsidRPr="002069C6">
        <w:rPr>
          <w:rFonts w:ascii="Verdana" w:eastAsia="Verdana" w:hAnsi="Verdana" w:cs="Verdana"/>
          <w:lang w:val="es-ES"/>
        </w:rPr>
        <w:lastRenderedPageBreak/>
        <w:t>Civil</w:t>
      </w:r>
      <w:r w:rsidRPr="002069C6">
        <w:rPr>
          <w:rStyle w:val="Refdenotaalpie"/>
          <w:rFonts w:ascii="Verdana" w:eastAsia="Verdana" w:hAnsi="Verdana" w:cs="Verdana"/>
          <w:lang w:val="es-ES"/>
        </w:rPr>
        <w:footnoteReference w:id="14"/>
      </w:r>
      <w:r w:rsidRPr="002069C6">
        <w:rPr>
          <w:rFonts w:ascii="Verdana" w:eastAsia="Verdana" w:hAnsi="Verdana" w:cs="Verdana"/>
          <w:lang w:val="es-ES"/>
        </w:rPr>
        <w:t xml:space="preserve"> sobre la fianza. </w:t>
      </w:r>
      <w:r w:rsidRPr="002069C6">
        <w:rPr>
          <w:rFonts w:ascii="Verdana" w:eastAsia="Arial" w:hAnsi="Verdana" w:cs="Arial"/>
          <w:lang w:val="es-ES"/>
        </w:rPr>
        <w:t>La</w:t>
      </w:r>
      <w:r w:rsidRPr="002069C6">
        <w:rPr>
          <w:rFonts w:ascii="Verdana" w:eastAsia="Arial" w:hAnsi="Verdana" w:cs="Arial"/>
          <w:b/>
          <w:bCs/>
          <w:lang w:val="es-ES"/>
        </w:rPr>
        <w:t xml:space="preserve"> </w:t>
      </w:r>
      <w:r w:rsidRPr="002069C6">
        <w:rPr>
          <w:rFonts w:ascii="Verdana" w:eastAsia="Arial" w:hAnsi="Verdana" w:cs="Arial"/>
          <w:lang w:val="es-ES"/>
        </w:rPr>
        <w:t xml:space="preserve">fianza es un contrato de garantía que </w:t>
      </w:r>
      <w:r w:rsidRPr="002069C6">
        <w:rPr>
          <w:rFonts w:ascii="Verdana" w:eastAsia="Calibri" w:hAnsi="Verdana" w:cs="Arial"/>
          <w:lang w:val="es-ES"/>
        </w:rPr>
        <w:t>“se celebra para responder de una obligación ajena con el patrimonio del fiador; claro está que subsiste, en la mayoría de los casos. El deber prestacional principal del deudor y, por ende, efecto, primordialmente, el patrimonio de este</w:t>
      </w:r>
      <w:r w:rsidRPr="002069C6">
        <w:rPr>
          <w:rFonts w:ascii="Verdana" w:eastAsia="Calibri" w:hAnsi="Verdana" w:cs="Arial"/>
          <w:vertAlign w:val="superscript"/>
          <w:lang w:val="es-ES"/>
        </w:rPr>
        <w:footnoteReference w:id="15"/>
      </w:r>
      <w:r w:rsidRPr="002069C6">
        <w:rPr>
          <w:rFonts w:ascii="Verdana" w:eastAsia="Calibri" w:hAnsi="Verdana" w:cs="Arial"/>
          <w:lang w:val="es-ES"/>
        </w:rPr>
        <w:t xml:space="preserve">”. En este sentido, su principal objetivo es garantizar el cumplimiento de una obligación </w:t>
      </w:r>
      <w:r w:rsidRPr="002069C6">
        <w:rPr>
          <w:rFonts w:ascii="Verdana" w:eastAsia="Calibri" w:hAnsi="Verdana" w:cs="Arial"/>
          <w:i/>
          <w:iCs/>
          <w:lang w:val="es-ES"/>
        </w:rPr>
        <w:t xml:space="preserve">ajena, </w:t>
      </w:r>
      <w:r w:rsidRPr="002069C6">
        <w:rPr>
          <w:rFonts w:ascii="Verdana" w:eastAsia="Calibri" w:hAnsi="Verdana" w:cs="Arial"/>
          <w:lang w:val="es-ES"/>
        </w:rPr>
        <w:t xml:space="preserve">en caso de que el deudor no de cumplimiento con sus compromisos con el acreedor. </w:t>
      </w:r>
    </w:p>
    <w:p w14:paraId="226638A0" w14:textId="77777777" w:rsidR="00D35423" w:rsidRPr="002069C6" w:rsidRDefault="00D35423" w:rsidP="00D35423">
      <w:pPr>
        <w:widowControl w:val="0"/>
        <w:autoSpaceDE w:val="0"/>
        <w:autoSpaceDN w:val="0"/>
        <w:spacing w:after="120" w:line="276" w:lineRule="auto"/>
        <w:ind w:firstLine="708"/>
        <w:jc w:val="both"/>
        <w:rPr>
          <w:rFonts w:ascii="Verdana" w:eastAsia="Verdana" w:hAnsi="Verdana" w:cs="Verdana"/>
          <w:lang w:val="es-ES"/>
        </w:rPr>
      </w:pPr>
      <w:r w:rsidRPr="002069C6">
        <w:rPr>
          <w:rFonts w:ascii="Verdana" w:eastAsia="Calibri" w:hAnsi="Verdana" w:cs="Arial"/>
          <w:lang w:val="es-ES"/>
        </w:rPr>
        <w:t>La fianza, denominada como una obligación y no como un contrato</w:t>
      </w:r>
      <w:r w:rsidRPr="002069C6">
        <w:rPr>
          <w:rFonts w:ascii="Verdana" w:eastAsia="Calibri" w:hAnsi="Verdana" w:cs="Arial"/>
          <w:vertAlign w:val="superscript"/>
          <w:lang w:val="es-ES"/>
        </w:rPr>
        <w:footnoteReference w:id="16"/>
      </w:r>
      <w:r w:rsidRPr="002069C6">
        <w:rPr>
          <w:rFonts w:ascii="Verdana" w:eastAsia="Calibri" w:hAnsi="Verdana" w:cs="Arial"/>
          <w:lang w:val="es-ES"/>
        </w:rPr>
        <w:t xml:space="preserve">, tiene un carácter </w:t>
      </w:r>
      <w:r w:rsidRPr="002069C6">
        <w:rPr>
          <w:rFonts w:ascii="Verdana" w:eastAsia="Calibri" w:hAnsi="Verdana" w:cs="Arial"/>
          <w:i/>
          <w:iCs/>
          <w:lang w:val="es-ES"/>
        </w:rPr>
        <w:t>accesorio</w:t>
      </w:r>
      <w:r w:rsidRPr="002069C6">
        <w:rPr>
          <w:rFonts w:ascii="Verdana" w:eastAsia="Calibri" w:hAnsi="Verdana" w:cs="Arial"/>
          <w:lang w:val="es-ES"/>
        </w:rPr>
        <w:t xml:space="preserve">, es decir, su existencia y nacimiento a la vida jurídica depende directamente de garantizar el cumplimiento de una obligación principal, de tal forma que sin ella no produciría ningún tipo de efecto jurídico. Otra de las características es que es </w:t>
      </w:r>
      <w:r w:rsidRPr="002069C6">
        <w:rPr>
          <w:rFonts w:ascii="Verdana" w:eastAsia="Calibri" w:hAnsi="Verdana" w:cs="Arial"/>
          <w:i/>
          <w:iCs/>
          <w:lang w:val="es-ES"/>
        </w:rPr>
        <w:t>consensual,</w:t>
      </w:r>
      <w:r w:rsidRPr="002069C6">
        <w:rPr>
          <w:rFonts w:ascii="Verdana" w:eastAsia="Calibri" w:hAnsi="Verdana" w:cs="Arial"/>
          <w:lang w:val="es-ES"/>
        </w:rPr>
        <w:t xml:space="preserve"> por lo que se perfecciona con el acuerdo de voluntades, siempre y cuando este sea expreso, pues, según el artículo 2373 no se presume. Por otro lado, es un contrato </w:t>
      </w:r>
      <w:r w:rsidRPr="002069C6">
        <w:rPr>
          <w:rFonts w:ascii="Verdana" w:eastAsia="Calibri" w:hAnsi="Verdana" w:cs="Arial"/>
          <w:i/>
          <w:iCs/>
          <w:lang w:val="es-ES"/>
        </w:rPr>
        <w:t xml:space="preserve">unilateral, </w:t>
      </w:r>
      <w:r w:rsidRPr="002069C6">
        <w:rPr>
          <w:rFonts w:ascii="Verdana" w:eastAsia="Calibri" w:hAnsi="Verdana" w:cs="Arial"/>
          <w:lang w:val="es-ES"/>
        </w:rPr>
        <w:t xml:space="preserve">lo que se traduce en que solamente el fiador se obliga a cancelar la obligación a cargo del deudor en caso de que este no cumpla, permitiéndose se persiga el patrimonio del fiador, en ausencia de cumplimiento del deudor principal y es </w:t>
      </w:r>
      <w:r w:rsidRPr="002069C6">
        <w:rPr>
          <w:rFonts w:ascii="Verdana" w:eastAsia="Calibri" w:hAnsi="Verdana" w:cs="Arial"/>
          <w:i/>
          <w:iCs/>
          <w:lang w:val="es-ES"/>
        </w:rPr>
        <w:t>transmisible</w:t>
      </w:r>
      <w:r w:rsidRPr="002069C6">
        <w:rPr>
          <w:rFonts w:ascii="Verdana" w:eastAsia="Calibri" w:hAnsi="Verdana" w:cs="Arial"/>
          <w:lang w:val="es-ES"/>
        </w:rPr>
        <w:t xml:space="preserve">, es decir, los derechos y obligaciones del fiador se traspasan a sus herederos. </w:t>
      </w:r>
    </w:p>
    <w:p w14:paraId="46971569" w14:textId="77777777" w:rsidR="00D35423" w:rsidRPr="002069C6" w:rsidRDefault="00D35423" w:rsidP="00D35423">
      <w:pPr>
        <w:widowControl w:val="0"/>
        <w:autoSpaceDE w:val="0"/>
        <w:autoSpaceDN w:val="0"/>
        <w:spacing w:after="0" w:line="276" w:lineRule="auto"/>
        <w:ind w:right="51" w:firstLine="709"/>
        <w:jc w:val="both"/>
        <w:rPr>
          <w:rFonts w:ascii="Verdana" w:eastAsia="Verdana" w:hAnsi="Verdana" w:cs="Verdana"/>
          <w:lang w:val="es-ES"/>
        </w:rPr>
      </w:pPr>
      <w:r w:rsidRPr="002069C6">
        <w:rPr>
          <w:rFonts w:ascii="Verdana" w:eastAsia="Verdana" w:hAnsi="Verdana" w:cs="Verdana"/>
          <w:lang w:val="es-ES"/>
        </w:rPr>
        <w:t>No obstante, se advierte que las entidades de régimen especial cumplen una finalidad pública y utilizan recursos públicos para lograrlo.</w:t>
      </w:r>
      <w:r w:rsidRPr="002069C6">
        <w:rPr>
          <w:rFonts w:ascii="Verdana" w:eastAsia="Verdana" w:hAnsi="Verdana" w:cs="Verdana"/>
          <w:spacing w:val="-19"/>
          <w:lang w:val="es-ES"/>
        </w:rPr>
        <w:t xml:space="preserve"> </w:t>
      </w:r>
      <w:r w:rsidRPr="002069C6">
        <w:rPr>
          <w:rFonts w:ascii="Verdana" w:eastAsia="Verdana" w:hAnsi="Verdana" w:cs="Verdana"/>
          <w:lang w:val="es-ES"/>
        </w:rPr>
        <w:t>Lo</w:t>
      </w:r>
      <w:r w:rsidRPr="002069C6">
        <w:rPr>
          <w:rFonts w:ascii="Verdana" w:eastAsia="Verdana" w:hAnsi="Verdana" w:cs="Verdana"/>
          <w:spacing w:val="-3"/>
          <w:lang w:val="es-ES"/>
        </w:rPr>
        <w:t xml:space="preserve"> </w:t>
      </w:r>
      <w:r w:rsidRPr="002069C6">
        <w:rPr>
          <w:rFonts w:ascii="Verdana" w:eastAsia="Verdana" w:hAnsi="Verdana" w:cs="Verdana"/>
          <w:lang w:val="es-ES"/>
        </w:rPr>
        <w:t>anterior, implica</w:t>
      </w:r>
      <w:r w:rsidRPr="002069C6">
        <w:rPr>
          <w:rFonts w:ascii="Verdana" w:eastAsia="Verdana" w:hAnsi="Verdana" w:cs="Verdana"/>
          <w:spacing w:val="-2"/>
          <w:lang w:val="es-ES"/>
        </w:rPr>
        <w:t xml:space="preserve"> </w:t>
      </w:r>
      <w:r w:rsidRPr="002069C6">
        <w:rPr>
          <w:rFonts w:ascii="Verdana" w:eastAsia="Verdana" w:hAnsi="Verdana" w:cs="Verdana"/>
          <w:lang w:val="es-ES"/>
        </w:rPr>
        <w:t>dar cumplimiento a</w:t>
      </w:r>
      <w:r w:rsidRPr="002069C6">
        <w:rPr>
          <w:rFonts w:ascii="Verdana" w:eastAsia="Verdana" w:hAnsi="Verdana" w:cs="Verdana"/>
          <w:spacing w:val="-6"/>
          <w:lang w:val="es-ES"/>
        </w:rPr>
        <w:t xml:space="preserve"> </w:t>
      </w:r>
      <w:r w:rsidRPr="002069C6">
        <w:rPr>
          <w:rFonts w:ascii="Verdana" w:eastAsia="Verdana" w:hAnsi="Verdana" w:cs="Verdana"/>
          <w:lang w:val="es-ES"/>
        </w:rPr>
        <w:t>lo dispuesto en</w:t>
      </w:r>
      <w:r w:rsidRPr="002069C6">
        <w:rPr>
          <w:rFonts w:ascii="Verdana" w:eastAsia="Verdana" w:hAnsi="Verdana" w:cs="Verdana"/>
          <w:spacing w:val="-4"/>
          <w:lang w:val="es-ES"/>
        </w:rPr>
        <w:t xml:space="preserve"> </w:t>
      </w:r>
      <w:r w:rsidRPr="002069C6">
        <w:rPr>
          <w:rFonts w:ascii="Verdana" w:eastAsia="Verdana" w:hAnsi="Verdana" w:cs="Verdana"/>
          <w:lang w:val="es-ES"/>
        </w:rPr>
        <w:t>el</w:t>
      </w:r>
      <w:r w:rsidRPr="002069C6">
        <w:rPr>
          <w:rFonts w:ascii="Verdana" w:eastAsia="Verdana" w:hAnsi="Verdana" w:cs="Verdana"/>
          <w:spacing w:val="-4"/>
          <w:lang w:val="es-ES"/>
        </w:rPr>
        <w:t xml:space="preserve"> </w:t>
      </w:r>
      <w:r w:rsidRPr="002069C6">
        <w:rPr>
          <w:rFonts w:ascii="Verdana" w:eastAsia="Verdana" w:hAnsi="Verdana" w:cs="Verdana"/>
          <w:lang w:val="es-ES"/>
        </w:rPr>
        <w:t>artículo</w:t>
      </w:r>
      <w:r w:rsidRPr="002069C6">
        <w:rPr>
          <w:rFonts w:ascii="Verdana" w:eastAsia="Verdana" w:hAnsi="Verdana" w:cs="Verdana"/>
          <w:spacing w:val="-3"/>
          <w:lang w:val="es-ES"/>
        </w:rPr>
        <w:t xml:space="preserve"> </w:t>
      </w:r>
      <w:r w:rsidRPr="002069C6">
        <w:rPr>
          <w:rFonts w:ascii="Verdana" w:eastAsia="Verdana" w:hAnsi="Verdana" w:cs="Verdana"/>
          <w:lang w:val="es-ES"/>
        </w:rPr>
        <w:t>13</w:t>
      </w:r>
      <w:r w:rsidRPr="002069C6">
        <w:rPr>
          <w:rFonts w:ascii="Verdana" w:eastAsia="Verdana" w:hAnsi="Verdana" w:cs="Verdana"/>
          <w:spacing w:val="-4"/>
          <w:lang w:val="es-ES"/>
        </w:rPr>
        <w:t xml:space="preserve"> </w:t>
      </w:r>
      <w:r w:rsidRPr="002069C6">
        <w:rPr>
          <w:rFonts w:ascii="Verdana" w:eastAsia="Verdana" w:hAnsi="Verdana" w:cs="Verdana"/>
          <w:lang w:val="es-ES"/>
        </w:rPr>
        <w:t>de</w:t>
      </w:r>
      <w:r w:rsidRPr="002069C6">
        <w:rPr>
          <w:rFonts w:ascii="Verdana" w:eastAsia="Verdana" w:hAnsi="Verdana" w:cs="Verdana"/>
          <w:spacing w:val="-1"/>
          <w:lang w:val="es-ES"/>
        </w:rPr>
        <w:t xml:space="preserve"> </w:t>
      </w:r>
      <w:r w:rsidRPr="002069C6">
        <w:rPr>
          <w:rFonts w:ascii="Verdana" w:eastAsia="Verdana" w:hAnsi="Verdana" w:cs="Verdana"/>
          <w:lang w:val="es-ES"/>
        </w:rPr>
        <w:t>la Ley</w:t>
      </w:r>
      <w:r w:rsidRPr="002069C6">
        <w:rPr>
          <w:rFonts w:ascii="Verdana" w:eastAsia="Verdana" w:hAnsi="Verdana" w:cs="Verdana"/>
          <w:spacing w:val="-17"/>
          <w:lang w:val="es-ES"/>
        </w:rPr>
        <w:t xml:space="preserve"> </w:t>
      </w:r>
      <w:r w:rsidRPr="002069C6">
        <w:rPr>
          <w:rFonts w:ascii="Verdana" w:eastAsia="Verdana" w:hAnsi="Verdana" w:cs="Verdana"/>
          <w:lang w:val="es-ES"/>
        </w:rPr>
        <w:t>1150</w:t>
      </w:r>
      <w:r w:rsidRPr="002069C6">
        <w:rPr>
          <w:rFonts w:ascii="Verdana" w:eastAsia="Verdana" w:hAnsi="Verdana" w:cs="Verdana"/>
          <w:spacing w:val="-16"/>
          <w:lang w:val="es-ES"/>
        </w:rPr>
        <w:t xml:space="preserve"> </w:t>
      </w:r>
      <w:r w:rsidRPr="002069C6">
        <w:rPr>
          <w:rFonts w:ascii="Verdana" w:eastAsia="Verdana" w:hAnsi="Verdana" w:cs="Verdana"/>
          <w:lang w:val="es-ES"/>
        </w:rPr>
        <w:t>de</w:t>
      </w:r>
      <w:r w:rsidRPr="002069C6">
        <w:rPr>
          <w:rFonts w:ascii="Verdana" w:eastAsia="Verdana" w:hAnsi="Verdana" w:cs="Verdana"/>
          <w:spacing w:val="-17"/>
          <w:lang w:val="es-ES"/>
        </w:rPr>
        <w:t xml:space="preserve"> </w:t>
      </w:r>
      <w:r w:rsidRPr="002069C6">
        <w:rPr>
          <w:rFonts w:ascii="Verdana" w:eastAsia="Verdana" w:hAnsi="Verdana" w:cs="Verdana"/>
          <w:lang w:val="es-ES"/>
        </w:rPr>
        <w:t>2007,</w:t>
      </w:r>
      <w:r w:rsidRPr="002069C6">
        <w:rPr>
          <w:rFonts w:ascii="Verdana" w:eastAsia="Verdana" w:hAnsi="Verdana" w:cs="Verdana"/>
          <w:spacing w:val="-16"/>
          <w:lang w:val="es-ES"/>
        </w:rPr>
        <w:t xml:space="preserve"> </w:t>
      </w:r>
      <w:r w:rsidRPr="002069C6">
        <w:rPr>
          <w:rFonts w:ascii="Verdana" w:eastAsia="Verdana" w:hAnsi="Verdana" w:cs="Verdana"/>
          <w:lang w:val="es-ES"/>
        </w:rPr>
        <w:t>esto</w:t>
      </w:r>
      <w:r w:rsidRPr="002069C6">
        <w:rPr>
          <w:rFonts w:ascii="Verdana" w:eastAsia="Verdana" w:hAnsi="Verdana" w:cs="Verdana"/>
          <w:spacing w:val="-15"/>
          <w:lang w:val="es-ES"/>
        </w:rPr>
        <w:t xml:space="preserve"> </w:t>
      </w:r>
      <w:r w:rsidRPr="002069C6">
        <w:rPr>
          <w:rFonts w:ascii="Verdana" w:eastAsia="Verdana" w:hAnsi="Verdana" w:cs="Verdana"/>
          <w:lang w:val="es-ES"/>
        </w:rPr>
        <w:t>es,</w:t>
      </w:r>
      <w:r w:rsidRPr="002069C6">
        <w:rPr>
          <w:rFonts w:ascii="Verdana" w:eastAsia="Verdana" w:hAnsi="Verdana" w:cs="Verdana"/>
          <w:spacing w:val="-16"/>
          <w:lang w:val="es-ES"/>
        </w:rPr>
        <w:t xml:space="preserve"> </w:t>
      </w:r>
      <w:r w:rsidRPr="002069C6">
        <w:rPr>
          <w:rFonts w:ascii="Verdana" w:eastAsia="Verdana" w:hAnsi="Verdana" w:cs="Verdana"/>
          <w:lang w:val="es-ES"/>
        </w:rPr>
        <w:t>el</w:t>
      </w:r>
      <w:r w:rsidRPr="002069C6">
        <w:rPr>
          <w:rFonts w:ascii="Verdana" w:eastAsia="Verdana" w:hAnsi="Verdana" w:cs="Verdana"/>
          <w:spacing w:val="-16"/>
          <w:lang w:val="es-ES"/>
        </w:rPr>
        <w:t xml:space="preserve"> </w:t>
      </w:r>
      <w:r w:rsidRPr="002069C6">
        <w:rPr>
          <w:rFonts w:ascii="Verdana" w:eastAsia="Verdana" w:hAnsi="Verdana" w:cs="Verdana"/>
          <w:lang w:val="es-ES"/>
        </w:rPr>
        <w:t>deber</w:t>
      </w:r>
      <w:r w:rsidRPr="002069C6">
        <w:rPr>
          <w:rFonts w:ascii="Verdana" w:eastAsia="Verdana" w:hAnsi="Verdana" w:cs="Verdana"/>
          <w:spacing w:val="-15"/>
          <w:lang w:val="es-ES"/>
        </w:rPr>
        <w:t xml:space="preserve"> </w:t>
      </w:r>
      <w:r w:rsidRPr="002069C6">
        <w:rPr>
          <w:rFonts w:ascii="Verdana" w:eastAsia="Verdana" w:hAnsi="Verdana" w:cs="Verdana"/>
          <w:lang w:val="es-ES"/>
        </w:rPr>
        <w:t>que</w:t>
      </w:r>
      <w:r w:rsidRPr="002069C6">
        <w:rPr>
          <w:rFonts w:ascii="Verdana" w:eastAsia="Verdana" w:hAnsi="Verdana" w:cs="Verdana"/>
          <w:spacing w:val="-17"/>
          <w:lang w:val="es-ES"/>
        </w:rPr>
        <w:t xml:space="preserve"> </w:t>
      </w:r>
      <w:r w:rsidRPr="002069C6">
        <w:rPr>
          <w:rFonts w:ascii="Verdana" w:eastAsia="Verdana" w:hAnsi="Verdana" w:cs="Verdana"/>
          <w:lang w:val="es-ES"/>
        </w:rPr>
        <w:t>le</w:t>
      </w:r>
      <w:r w:rsidRPr="002069C6">
        <w:rPr>
          <w:rFonts w:ascii="Verdana" w:eastAsia="Verdana" w:hAnsi="Verdana" w:cs="Verdana"/>
          <w:spacing w:val="-17"/>
          <w:lang w:val="es-ES"/>
        </w:rPr>
        <w:t xml:space="preserve"> </w:t>
      </w:r>
      <w:r w:rsidRPr="002069C6">
        <w:rPr>
          <w:rFonts w:ascii="Verdana" w:eastAsia="Verdana" w:hAnsi="Verdana" w:cs="Verdana"/>
          <w:lang w:val="es-ES"/>
        </w:rPr>
        <w:t>incumbe</w:t>
      </w:r>
      <w:r w:rsidRPr="002069C6">
        <w:rPr>
          <w:rFonts w:ascii="Verdana" w:eastAsia="Verdana" w:hAnsi="Verdana" w:cs="Verdana"/>
          <w:spacing w:val="-17"/>
          <w:lang w:val="es-ES"/>
        </w:rPr>
        <w:t xml:space="preserve"> </w:t>
      </w:r>
      <w:r w:rsidRPr="002069C6">
        <w:rPr>
          <w:rFonts w:ascii="Verdana" w:eastAsia="Verdana" w:hAnsi="Verdana" w:cs="Verdana"/>
          <w:lang w:val="es-ES"/>
        </w:rPr>
        <w:t>a</w:t>
      </w:r>
      <w:r w:rsidRPr="002069C6">
        <w:rPr>
          <w:rFonts w:ascii="Verdana" w:eastAsia="Verdana" w:hAnsi="Verdana" w:cs="Verdana"/>
          <w:spacing w:val="-18"/>
          <w:lang w:val="es-ES"/>
        </w:rPr>
        <w:t xml:space="preserve"> </w:t>
      </w:r>
      <w:r w:rsidRPr="002069C6">
        <w:rPr>
          <w:rFonts w:ascii="Verdana" w:eastAsia="Verdana" w:hAnsi="Verdana" w:cs="Verdana"/>
          <w:lang w:val="es-ES"/>
        </w:rPr>
        <w:t>la</w:t>
      </w:r>
      <w:r w:rsidRPr="002069C6">
        <w:rPr>
          <w:rFonts w:ascii="Verdana" w:eastAsia="Verdana" w:hAnsi="Verdana" w:cs="Verdana"/>
          <w:spacing w:val="-18"/>
          <w:lang w:val="es-ES"/>
        </w:rPr>
        <w:t xml:space="preserve"> </w:t>
      </w:r>
      <w:r w:rsidRPr="002069C6">
        <w:rPr>
          <w:rFonts w:ascii="Verdana" w:eastAsia="Verdana" w:hAnsi="Verdana" w:cs="Verdana"/>
          <w:lang w:val="es-ES"/>
        </w:rPr>
        <w:t>Empresas Industriales y Comerciales del Estado</w:t>
      </w:r>
      <w:r w:rsidRPr="002069C6">
        <w:rPr>
          <w:rFonts w:ascii="Verdana" w:eastAsia="Verdana" w:hAnsi="Verdana" w:cs="Verdana"/>
          <w:spacing w:val="-16"/>
          <w:lang w:val="es-ES"/>
        </w:rPr>
        <w:t xml:space="preserve"> </w:t>
      </w:r>
      <w:r w:rsidRPr="002069C6">
        <w:rPr>
          <w:rFonts w:ascii="Verdana" w:eastAsia="Verdana" w:hAnsi="Verdana" w:cs="Verdana"/>
          <w:lang w:val="es-ES"/>
        </w:rPr>
        <w:t>de</w:t>
      </w:r>
      <w:r w:rsidRPr="002069C6">
        <w:rPr>
          <w:rFonts w:ascii="Verdana" w:eastAsia="Verdana" w:hAnsi="Verdana" w:cs="Verdana"/>
          <w:spacing w:val="-17"/>
          <w:lang w:val="es-ES"/>
        </w:rPr>
        <w:t xml:space="preserve"> </w:t>
      </w:r>
      <w:r w:rsidRPr="002069C6">
        <w:rPr>
          <w:rFonts w:ascii="Verdana" w:eastAsia="Verdana" w:hAnsi="Verdana" w:cs="Verdana"/>
          <w:lang w:val="es-ES"/>
        </w:rPr>
        <w:t>aplicar,</w:t>
      </w:r>
      <w:r w:rsidRPr="002069C6">
        <w:rPr>
          <w:rFonts w:ascii="Verdana" w:eastAsia="Verdana" w:hAnsi="Verdana" w:cs="Verdana"/>
          <w:spacing w:val="-16"/>
          <w:lang w:val="es-ES"/>
        </w:rPr>
        <w:t xml:space="preserve"> </w:t>
      </w:r>
      <w:r w:rsidRPr="002069C6">
        <w:rPr>
          <w:rFonts w:ascii="Verdana" w:eastAsia="Verdana" w:hAnsi="Verdana" w:cs="Verdana"/>
          <w:lang w:val="es-ES"/>
        </w:rPr>
        <w:t>acorde con</w:t>
      </w:r>
      <w:r w:rsidRPr="002069C6">
        <w:rPr>
          <w:rFonts w:ascii="Verdana" w:eastAsia="Verdana" w:hAnsi="Verdana" w:cs="Verdana"/>
          <w:spacing w:val="-2"/>
          <w:lang w:val="es-ES"/>
        </w:rPr>
        <w:t xml:space="preserve"> </w:t>
      </w:r>
      <w:r w:rsidRPr="002069C6">
        <w:rPr>
          <w:rFonts w:ascii="Verdana" w:eastAsia="Verdana" w:hAnsi="Verdana" w:cs="Verdana"/>
          <w:lang w:val="es-ES"/>
        </w:rPr>
        <w:t>su</w:t>
      </w:r>
      <w:r w:rsidRPr="002069C6">
        <w:rPr>
          <w:rFonts w:ascii="Verdana" w:eastAsia="Verdana" w:hAnsi="Verdana" w:cs="Verdana"/>
          <w:spacing w:val="-6"/>
          <w:lang w:val="es-ES"/>
        </w:rPr>
        <w:t xml:space="preserve"> </w:t>
      </w:r>
      <w:r w:rsidRPr="002069C6">
        <w:rPr>
          <w:rFonts w:ascii="Verdana" w:eastAsia="Verdana" w:hAnsi="Verdana" w:cs="Verdana"/>
          <w:lang w:val="es-ES"/>
        </w:rPr>
        <w:t>régimen</w:t>
      </w:r>
      <w:r w:rsidRPr="002069C6">
        <w:rPr>
          <w:rFonts w:ascii="Verdana" w:eastAsia="Verdana" w:hAnsi="Verdana" w:cs="Verdana"/>
          <w:spacing w:val="-2"/>
          <w:lang w:val="es-ES"/>
        </w:rPr>
        <w:t xml:space="preserve"> </w:t>
      </w:r>
      <w:r w:rsidRPr="002069C6">
        <w:rPr>
          <w:rFonts w:ascii="Verdana" w:eastAsia="Verdana" w:hAnsi="Verdana" w:cs="Verdana"/>
          <w:lang w:val="es-ES"/>
        </w:rPr>
        <w:t>legal</w:t>
      </w:r>
      <w:r w:rsidRPr="002069C6">
        <w:rPr>
          <w:rFonts w:ascii="Verdana" w:eastAsia="Verdana" w:hAnsi="Verdana" w:cs="Verdana"/>
          <w:spacing w:val="-2"/>
          <w:lang w:val="es-ES"/>
        </w:rPr>
        <w:t xml:space="preserve"> </w:t>
      </w:r>
      <w:r w:rsidRPr="002069C6">
        <w:rPr>
          <w:rFonts w:ascii="Verdana" w:eastAsia="Verdana" w:hAnsi="Verdana" w:cs="Verdana"/>
          <w:lang w:val="es-ES"/>
        </w:rPr>
        <w:t>especial,</w:t>
      </w:r>
      <w:r w:rsidRPr="002069C6">
        <w:rPr>
          <w:rFonts w:ascii="Verdana" w:eastAsia="Verdana" w:hAnsi="Verdana" w:cs="Verdana"/>
          <w:spacing w:val="-2"/>
          <w:lang w:val="es-ES"/>
        </w:rPr>
        <w:t xml:space="preserve"> </w:t>
      </w:r>
      <w:r w:rsidRPr="002069C6">
        <w:rPr>
          <w:rFonts w:ascii="Verdana" w:eastAsia="Verdana" w:hAnsi="Verdana" w:cs="Verdana"/>
          <w:lang w:val="es-ES"/>
        </w:rPr>
        <w:t>los</w:t>
      </w:r>
      <w:r w:rsidRPr="002069C6">
        <w:rPr>
          <w:rFonts w:ascii="Verdana" w:eastAsia="Verdana" w:hAnsi="Verdana" w:cs="Verdana"/>
          <w:spacing w:val="-2"/>
          <w:lang w:val="es-ES"/>
        </w:rPr>
        <w:t xml:space="preserve"> </w:t>
      </w:r>
      <w:r w:rsidRPr="002069C6">
        <w:rPr>
          <w:rFonts w:ascii="Verdana" w:eastAsia="Verdana" w:hAnsi="Verdana" w:cs="Verdana"/>
          <w:lang w:val="es-ES"/>
        </w:rPr>
        <w:t>principios</w:t>
      </w:r>
      <w:r w:rsidRPr="002069C6">
        <w:rPr>
          <w:rFonts w:ascii="Verdana" w:eastAsia="Verdana" w:hAnsi="Verdana" w:cs="Verdana"/>
          <w:spacing w:val="-2"/>
          <w:lang w:val="es-ES"/>
        </w:rPr>
        <w:t xml:space="preserve"> </w:t>
      </w:r>
      <w:r w:rsidRPr="002069C6">
        <w:rPr>
          <w:rFonts w:ascii="Verdana" w:eastAsia="Verdana" w:hAnsi="Verdana" w:cs="Verdana"/>
          <w:lang w:val="es-ES"/>
        </w:rPr>
        <w:t>de</w:t>
      </w:r>
      <w:r w:rsidRPr="002069C6">
        <w:rPr>
          <w:rFonts w:ascii="Verdana" w:eastAsia="Verdana" w:hAnsi="Verdana" w:cs="Verdana"/>
          <w:spacing w:val="-3"/>
          <w:lang w:val="es-ES"/>
        </w:rPr>
        <w:t xml:space="preserve"> </w:t>
      </w:r>
      <w:r w:rsidRPr="002069C6">
        <w:rPr>
          <w:rFonts w:ascii="Verdana" w:eastAsia="Verdana" w:hAnsi="Verdana" w:cs="Verdana"/>
          <w:lang w:val="es-ES"/>
        </w:rPr>
        <w:t>la</w:t>
      </w:r>
      <w:r w:rsidRPr="002069C6">
        <w:rPr>
          <w:rFonts w:ascii="Verdana" w:eastAsia="Verdana" w:hAnsi="Verdana" w:cs="Verdana"/>
          <w:spacing w:val="-4"/>
          <w:lang w:val="es-ES"/>
        </w:rPr>
        <w:t xml:space="preserve"> </w:t>
      </w:r>
      <w:r w:rsidRPr="002069C6">
        <w:rPr>
          <w:rFonts w:ascii="Verdana" w:eastAsia="Verdana" w:hAnsi="Verdana" w:cs="Verdana"/>
          <w:lang w:val="es-ES"/>
        </w:rPr>
        <w:t>función</w:t>
      </w:r>
      <w:r w:rsidRPr="002069C6">
        <w:rPr>
          <w:rFonts w:ascii="Verdana" w:eastAsia="Verdana" w:hAnsi="Verdana" w:cs="Verdana"/>
          <w:spacing w:val="-7"/>
          <w:lang w:val="es-ES"/>
        </w:rPr>
        <w:t xml:space="preserve"> </w:t>
      </w:r>
      <w:r w:rsidRPr="002069C6">
        <w:rPr>
          <w:rFonts w:ascii="Verdana" w:eastAsia="Verdana" w:hAnsi="Verdana" w:cs="Verdana"/>
          <w:lang w:val="es-ES"/>
        </w:rPr>
        <w:t>administrativa</w:t>
      </w:r>
      <w:r w:rsidRPr="002069C6">
        <w:rPr>
          <w:rFonts w:ascii="Verdana" w:eastAsia="Verdana" w:hAnsi="Verdana" w:cs="Verdana"/>
          <w:spacing w:val="-5"/>
          <w:lang w:val="es-ES"/>
        </w:rPr>
        <w:t xml:space="preserve"> </w:t>
      </w:r>
      <w:r w:rsidRPr="002069C6">
        <w:rPr>
          <w:rFonts w:ascii="Verdana" w:eastAsia="Verdana" w:hAnsi="Verdana" w:cs="Verdana"/>
          <w:lang w:val="es-ES"/>
        </w:rPr>
        <w:t>y</w:t>
      </w:r>
      <w:r w:rsidRPr="002069C6">
        <w:rPr>
          <w:rFonts w:ascii="Verdana" w:eastAsia="Verdana" w:hAnsi="Verdana" w:cs="Verdana"/>
          <w:spacing w:val="-3"/>
          <w:lang w:val="es-ES"/>
        </w:rPr>
        <w:t xml:space="preserve"> </w:t>
      </w:r>
      <w:r w:rsidRPr="002069C6">
        <w:rPr>
          <w:rFonts w:ascii="Verdana" w:eastAsia="Verdana" w:hAnsi="Verdana" w:cs="Verdana"/>
          <w:lang w:val="es-ES"/>
        </w:rPr>
        <w:t>de</w:t>
      </w:r>
      <w:r w:rsidRPr="002069C6">
        <w:rPr>
          <w:rFonts w:ascii="Verdana" w:eastAsia="Verdana" w:hAnsi="Verdana" w:cs="Verdana"/>
          <w:spacing w:val="-3"/>
          <w:lang w:val="es-ES"/>
        </w:rPr>
        <w:t xml:space="preserve"> </w:t>
      </w:r>
      <w:r w:rsidRPr="002069C6">
        <w:rPr>
          <w:rFonts w:ascii="Verdana" w:eastAsia="Verdana" w:hAnsi="Verdana" w:cs="Verdana"/>
          <w:lang w:val="es-ES"/>
        </w:rPr>
        <w:t>la gestión</w:t>
      </w:r>
      <w:r w:rsidRPr="002069C6">
        <w:rPr>
          <w:rFonts w:ascii="Verdana" w:eastAsia="Verdana" w:hAnsi="Verdana" w:cs="Verdana"/>
          <w:spacing w:val="-3"/>
          <w:lang w:val="es-ES"/>
        </w:rPr>
        <w:t xml:space="preserve"> </w:t>
      </w:r>
      <w:r w:rsidRPr="002069C6">
        <w:rPr>
          <w:rFonts w:ascii="Verdana" w:eastAsia="Verdana" w:hAnsi="Verdana" w:cs="Verdana"/>
          <w:lang w:val="es-ES"/>
        </w:rPr>
        <w:t>fiscal</w:t>
      </w:r>
      <w:r w:rsidRPr="002069C6">
        <w:rPr>
          <w:rFonts w:ascii="Verdana" w:eastAsia="Verdana" w:hAnsi="Verdana" w:cs="Verdana"/>
          <w:spacing w:val="-3"/>
          <w:lang w:val="es-ES"/>
        </w:rPr>
        <w:t xml:space="preserve"> </w:t>
      </w:r>
      <w:r w:rsidRPr="002069C6">
        <w:rPr>
          <w:rFonts w:ascii="Verdana" w:eastAsia="Verdana" w:hAnsi="Verdana" w:cs="Verdana"/>
          <w:lang w:val="es-ES"/>
        </w:rPr>
        <w:t>consagrados</w:t>
      </w:r>
      <w:r w:rsidRPr="002069C6">
        <w:rPr>
          <w:rFonts w:ascii="Verdana" w:eastAsia="Verdana" w:hAnsi="Verdana" w:cs="Verdana"/>
          <w:spacing w:val="-3"/>
          <w:lang w:val="es-ES"/>
        </w:rPr>
        <w:t xml:space="preserve"> </w:t>
      </w:r>
      <w:r w:rsidRPr="002069C6">
        <w:rPr>
          <w:rFonts w:ascii="Verdana" w:eastAsia="Verdana" w:hAnsi="Verdana" w:cs="Verdana"/>
          <w:lang w:val="es-ES"/>
        </w:rPr>
        <w:t>en</w:t>
      </w:r>
      <w:r w:rsidRPr="002069C6">
        <w:rPr>
          <w:rFonts w:ascii="Verdana" w:eastAsia="Verdana" w:hAnsi="Verdana" w:cs="Verdana"/>
          <w:spacing w:val="-3"/>
          <w:lang w:val="es-ES"/>
        </w:rPr>
        <w:t xml:space="preserve"> </w:t>
      </w:r>
      <w:r w:rsidRPr="002069C6">
        <w:rPr>
          <w:rFonts w:ascii="Verdana" w:eastAsia="Verdana" w:hAnsi="Verdana" w:cs="Verdana"/>
          <w:lang w:val="es-ES"/>
        </w:rPr>
        <w:t>los</w:t>
      </w:r>
      <w:r w:rsidRPr="002069C6">
        <w:rPr>
          <w:rFonts w:ascii="Verdana" w:eastAsia="Verdana" w:hAnsi="Verdana" w:cs="Verdana"/>
          <w:spacing w:val="-3"/>
          <w:lang w:val="es-ES"/>
        </w:rPr>
        <w:t xml:space="preserve"> </w:t>
      </w:r>
      <w:r w:rsidRPr="002069C6">
        <w:rPr>
          <w:rFonts w:ascii="Verdana" w:eastAsia="Verdana" w:hAnsi="Verdana" w:cs="Verdana"/>
          <w:lang w:val="es-ES"/>
        </w:rPr>
        <w:t>artículos</w:t>
      </w:r>
      <w:r w:rsidRPr="002069C6">
        <w:rPr>
          <w:rFonts w:ascii="Verdana" w:eastAsia="Verdana" w:hAnsi="Verdana" w:cs="Verdana"/>
          <w:spacing w:val="-8"/>
          <w:lang w:val="es-ES"/>
        </w:rPr>
        <w:t xml:space="preserve"> </w:t>
      </w:r>
      <w:r w:rsidRPr="002069C6">
        <w:rPr>
          <w:rFonts w:ascii="Verdana" w:eastAsia="Verdana" w:hAnsi="Verdana" w:cs="Verdana"/>
          <w:lang w:val="es-ES"/>
        </w:rPr>
        <w:t>209</w:t>
      </w:r>
      <w:r w:rsidRPr="002069C6">
        <w:rPr>
          <w:rFonts w:ascii="Verdana" w:eastAsia="Verdana" w:hAnsi="Verdana" w:cs="Verdana"/>
          <w:spacing w:val="-3"/>
          <w:lang w:val="es-ES"/>
        </w:rPr>
        <w:t xml:space="preserve"> </w:t>
      </w:r>
      <w:r w:rsidRPr="002069C6">
        <w:rPr>
          <w:rFonts w:ascii="Verdana" w:eastAsia="Verdana" w:hAnsi="Verdana" w:cs="Verdana"/>
          <w:lang w:val="es-ES"/>
        </w:rPr>
        <w:t>y</w:t>
      </w:r>
      <w:r w:rsidRPr="002069C6">
        <w:rPr>
          <w:rFonts w:ascii="Verdana" w:eastAsia="Verdana" w:hAnsi="Verdana" w:cs="Verdana"/>
          <w:spacing w:val="-4"/>
          <w:lang w:val="es-ES"/>
        </w:rPr>
        <w:t xml:space="preserve"> </w:t>
      </w:r>
      <w:r w:rsidRPr="002069C6">
        <w:rPr>
          <w:rFonts w:ascii="Verdana" w:eastAsia="Verdana" w:hAnsi="Verdana" w:cs="Verdana"/>
          <w:lang w:val="es-ES"/>
        </w:rPr>
        <w:t>267</w:t>
      </w:r>
      <w:r w:rsidRPr="002069C6">
        <w:rPr>
          <w:rFonts w:ascii="Verdana" w:eastAsia="Verdana" w:hAnsi="Verdana" w:cs="Verdana"/>
          <w:spacing w:val="-8"/>
          <w:lang w:val="es-ES"/>
        </w:rPr>
        <w:t xml:space="preserve"> </w:t>
      </w:r>
      <w:r w:rsidRPr="002069C6">
        <w:rPr>
          <w:rFonts w:ascii="Verdana" w:eastAsia="Verdana" w:hAnsi="Verdana" w:cs="Verdana"/>
          <w:lang w:val="es-ES"/>
        </w:rPr>
        <w:t>de</w:t>
      </w:r>
      <w:r w:rsidRPr="002069C6">
        <w:rPr>
          <w:rFonts w:ascii="Verdana" w:eastAsia="Verdana" w:hAnsi="Verdana" w:cs="Verdana"/>
          <w:spacing w:val="-4"/>
          <w:lang w:val="es-ES"/>
        </w:rPr>
        <w:t xml:space="preserve"> </w:t>
      </w:r>
      <w:r w:rsidRPr="002069C6">
        <w:rPr>
          <w:rFonts w:ascii="Verdana" w:eastAsia="Verdana" w:hAnsi="Verdana" w:cs="Verdana"/>
          <w:lang w:val="es-ES"/>
        </w:rPr>
        <w:t>la</w:t>
      </w:r>
      <w:r w:rsidRPr="002069C6">
        <w:rPr>
          <w:rFonts w:ascii="Verdana" w:eastAsia="Verdana" w:hAnsi="Verdana" w:cs="Verdana"/>
          <w:spacing w:val="-5"/>
          <w:lang w:val="es-ES"/>
        </w:rPr>
        <w:t xml:space="preserve"> </w:t>
      </w:r>
      <w:r w:rsidRPr="002069C6">
        <w:rPr>
          <w:rFonts w:ascii="Verdana" w:eastAsia="Verdana" w:hAnsi="Verdana" w:cs="Verdana"/>
          <w:lang w:val="es-ES"/>
        </w:rPr>
        <w:t>Constitución</w:t>
      </w:r>
      <w:r w:rsidRPr="002069C6">
        <w:rPr>
          <w:rFonts w:ascii="Verdana" w:eastAsia="Verdana" w:hAnsi="Verdana" w:cs="Verdana"/>
          <w:spacing w:val="-3"/>
          <w:lang w:val="es-ES"/>
        </w:rPr>
        <w:t xml:space="preserve"> </w:t>
      </w:r>
      <w:r w:rsidRPr="002069C6">
        <w:rPr>
          <w:rFonts w:ascii="Verdana" w:eastAsia="Verdana" w:hAnsi="Verdana" w:cs="Verdana"/>
          <w:lang w:val="es-ES"/>
        </w:rPr>
        <w:t xml:space="preserve">Política, el régimen de inhabilidades e incompatibilidades previsto legalmente para la contratación estatal </w:t>
      </w:r>
      <w:r w:rsidRPr="002069C6">
        <w:rPr>
          <w:rFonts w:ascii="Verdana" w:hAnsi="Verdana" w:cs="Arial"/>
        </w:rPr>
        <w:t>y el deber de publicidad en el SECOP</w:t>
      </w:r>
      <w:r w:rsidRPr="002069C6">
        <w:rPr>
          <w:rFonts w:ascii="Verdana" w:eastAsia="Verdana" w:hAnsi="Verdana" w:cs="Verdana"/>
          <w:vertAlign w:val="superscript"/>
          <w:lang w:val="es-ES"/>
        </w:rPr>
        <w:t xml:space="preserve"> </w:t>
      </w:r>
      <w:r w:rsidRPr="002069C6">
        <w:rPr>
          <w:rFonts w:ascii="Verdana" w:eastAsia="Verdana" w:hAnsi="Verdana" w:cs="Verdana"/>
          <w:vertAlign w:val="superscript"/>
          <w:lang w:val="es-ES"/>
        </w:rPr>
        <w:footnoteReference w:id="17"/>
      </w:r>
      <w:r w:rsidRPr="002069C6">
        <w:rPr>
          <w:rFonts w:ascii="Verdana" w:eastAsia="Verdana" w:hAnsi="Verdana" w:cs="Verdana"/>
          <w:lang w:val="es-ES"/>
        </w:rPr>
        <w:t>.</w:t>
      </w:r>
      <w:r>
        <w:rPr>
          <w:rFonts w:ascii="Verdana" w:eastAsia="Verdana" w:hAnsi="Verdana" w:cs="Verdana"/>
          <w:lang w:val="es-ES"/>
        </w:rPr>
        <w:t xml:space="preserve"> E</w:t>
      </w:r>
      <w:r w:rsidRPr="002069C6">
        <w:rPr>
          <w:rFonts w:ascii="Verdana" w:eastAsia="Verdana" w:hAnsi="Verdana" w:cs="Verdana"/>
          <w:lang w:val="es-ES"/>
        </w:rPr>
        <w:t>l Consejo de Estado</w:t>
      </w:r>
      <w:r>
        <w:rPr>
          <w:rFonts w:ascii="Verdana" w:eastAsia="Verdana" w:hAnsi="Verdana" w:cs="Verdana"/>
          <w:lang w:val="es-ES"/>
        </w:rPr>
        <w:t xml:space="preserve"> </w:t>
      </w:r>
      <w:r w:rsidRPr="002069C6">
        <w:rPr>
          <w:rFonts w:ascii="Verdana" w:eastAsia="Verdana" w:hAnsi="Verdana" w:cs="Verdana"/>
          <w:lang w:val="es-ES"/>
        </w:rPr>
        <w:t>destaca las reglas que sigue la contratación de las entidades de régimen especial</w:t>
      </w:r>
      <w:r>
        <w:rPr>
          <w:rFonts w:ascii="Verdana" w:eastAsia="Verdana" w:hAnsi="Verdana" w:cs="Verdana"/>
          <w:lang w:val="es-ES"/>
        </w:rPr>
        <w:t xml:space="preserve"> así</w:t>
      </w:r>
      <w:r w:rsidRPr="002069C6">
        <w:rPr>
          <w:rFonts w:ascii="Verdana" w:eastAsia="Verdana" w:hAnsi="Verdana" w:cs="Verdana"/>
          <w:lang w:val="es-ES"/>
        </w:rPr>
        <w:t>:</w:t>
      </w:r>
    </w:p>
    <w:p w14:paraId="2D1D3B55" w14:textId="77777777" w:rsidR="00D35423" w:rsidRPr="002069C6" w:rsidRDefault="00D35423" w:rsidP="00D35423">
      <w:pPr>
        <w:widowControl w:val="0"/>
        <w:autoSpaceDE w:val="0"/>
        <w:autoSpaceDN w:val="0"/>
        <w:spacing w:after="0" w:line="276" w:lineRule="auto"/>
        <w:ind w:right="51" w:firstLine="709"/>
        <w:jc w:val="both"/>
        <w:rPr>
          <w:rFonts w:ascii="Verdana" w:eastAsia="Verdana" w:hAnsi="Verdana" w:cs="Verdana"/>
          <w:lang w:val="es-ES"/>
        </w:rPr>
      </w:pPr>
    </w:p>
    <w:p w14:paraId="5579EBB8" w14:textId="77777777" w:rsidR="00D35423" w:rsidRPr="002069C6" w:rsidRDefault="00D35423" w:rsidP="00D35423">
      <w:pPr>
        <w:spacing w:after="0" w:line="240" w:lineRule="auto"/>
        <w:ind w:left="709" w:right="709"/>
        <w:contextualSpacing/>
        <w:jc w:val="both"/>
        <w:rPr>
          <w:rFonts w:ascii="Verdana" w:eastAsia="Times New Roman" w:hAnsi="Verdana" w:cs="Arial"/>
          <w:sz w:val="20"/>
          <w:szCs w:val="20"/>
          <w:lang w:eastAsia="es-ES_tradnl"/>
        </w:rPr>
      </w:pPr>
      <w:r w:rsidRPr="002069C6">
        <w:rPr>
          <w:rFonts w:ascii="Verdana" w:eastAsia="Times New Roman" w:hAnsi="Verdana" w:cs="Arial"/>
          <w:sz w:val="20"/>
          <w:szCs w:val="20"/>
          <w:lang w:eastAsia="es-ES_tradnl"/>
        </w:rPr>
        <w:lastRenderedPageBreak/>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6BB25A48" w14:textId="01A2A3BE" w:rsidR="00D35423" w:rsidRDefault="00D35423" w:rsidP="00DE3CED">
      <w:pPr>
        <w:spacing w:after="0" w:line="240" w:lineRule="auto"/>
        <w:ind w:left="709" w:right="709"/>
        <w:contextualSpacing/>
        <w:jc w:val="both"/>
        <w:rPr>
          <w:rFonts w:ascii="Verdana" w:eastAsia="Times New Roman" w:hAnsi="Verdana" w:cs="Arial"/>
          <w:sz w:val="20"/>
          <w:szCs w:val="20"/>
          <w:lang w:eastAsia="es-ES_tradnl"/>
        </w:rPr>
      </w:pPr>
      <w:r w:rsidRPr="002069C6">
        <w:rPr>
          <w:rFonts w:ascii="Verdana" w:eastAsia="Times New Roman" w:hAnsi="Verdana" w:cs="Arial"/>
          <w:sz w:val="20"/>
          <w:szCs w:val="20"/>
          <w:lang w:eastAsia="es-ES_tradnl"/>
        </w:rPr>
        <w:t>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w:t>
      </w:r>
    </w:p>
    <w:p w14:paraId="2739DC55" w14:textId="77777777" w:rsidR="00545C20" w:rsidRPr="002069C6" w:rsidRDefault="00545C20" w:rsidP="00DE3CED">
      <w:pPr>
        <w:spacing w:after="0" w:line="240" w:lineRule="auto"/>
        <w:ind w:left="709" w:right="709"/>
        <w:contextualSpacing/>
        <w:jc w:val="both"/>
        <w:rPr>
          <w:rFonts w:ascii="Verdana" w:eastAsia="Times New Roman" w:hAnsi="Verdana" w:cs="Arial"/>
          <w:sz w:val="20"/>
          <w:szCs w:val="20"/>
          <w:lang w:eastAsia="es-ES_tradnl"/>
        </w:rPr>
      </w:pPr>
    </w:p>
    <w:p w14:paraId="343E61D6" w14:textId="77777777" w:rsidR="00D35423" w:rsidRPr="002069C6" w:rsidRDefault="00D35423" w:rsidP="00D35423">
      <w:pPr>
        <w:spacing w:after="0" w:line="240" w:lineRule="auto"/>
        <w:ind w:left="709" w:right="709"/>
        <w:jc w:val="both"/>
        <w:rPr>
          <w:rFonts w:ascii="Verdana" w:eastAsia="Calibri" w:hAnsi="Verdana" w:cs="Times New Roman"/>
          <w:sz w:val="21"/>
          <w:szCs w:val="21"/>
        </w:rPr>
      </w:pPr>
      <w:r w:rsidRPr="002069C6">
        <w:rPr>
          <w:rFonts w:ascii="Verdana" w:eastAsia="Times New Roman" w:hAnsi="Verdana" w:cs="Arial"/>
          <w:sz w:val="20"/>
          <w:szCs w:val="20"/>
          <w:lang w:eastAsia="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2069C6">
        <w:rPr>
          <w:rFonts w:ascii="Verdana" w:eastAsia="Calibri" w:hAnsi="Verdana" w:cs="Times New Roman"/>
          <w:sz w:val="21"/>
          <w:szCs w:val="21"/>
          <w:vertAlign w:val="superscript"/>
        </w:rPr>
        <w:footnoteReference w:id="18"/>
      </w:r>
      <w:r w:rsidRPr="002069C6">
        <w:rPr>
          <w:rFonts w:ascii="Verdana" w:eastAsia="Calibri" w:hAnsi="Verdana" w:cs="Times New Roman"/>
          <w:sz w:val="21"/>
          <w:szCs w:val="21"/>
        </w:rPr>
        <w:t>.</w:t>
      </w:r>
    </w:p>
    <w:p w14:paraId="583C14F3" w14:textId="77777777" w:rsidR="00D35423" w:rsidRPr="002069C6" w:rsidRDefault="00D35423" w:rsidP="00D35423">
      <w:pPr>
        <w:spacing w:after="0" w:line="240" w:lineRule="auto"/>
        <w:ind w:left="709" w:right="709"/>
        <w:jc w:val="both"/>
        <w:rPr>
          <w:rFonts w:ascii="Verdana" w:eastAsia="Calibri" w:hAnsi="Verdana" w:cs="Times New Roman"/>
        </w:rPr>
      </w:pPr>
    </w:p>
    <w:p w14:paraId="13FC8FB0" w14:textId="77777777" w:rsidR="00D35423" w:rsidRPr="002069C6" w:rsidRDefault="00D35423" w:rsidP="00D35423">
      <w:pPr>
        <w:widowControl w:val="0"/>
        <w:autoSpaceDE w:val="0"/>
        <w:autoSpaceDN w:val="0"/>
        <w:spacing w:after="0" w:line="276" w:lineRule="auto"/>
        <w:ind w:firstLine="708"/>
        <w:jc w:val="both"/>
        <w:rPr>
          <w:rFonts w:ascii="Verdana" w:eastAsia="Verdana" w:hAnsi="Verdana" w:cs="Verdana"/>
          <w:lang w:val="es-ES"/>
        </w:rPr>
      </w:pPr>
      <w:r w:rsidRPr="002069C6">
        <w:rPr>
          <w:rFonts w:ascii="Verdana" w:eastAsia="Verdana" w:hAnsi="Verdana" w:cs="Verdana"/>
          <w:lang w:val="es-ES"/>
        </w:rPr>
        <w:t>Teniendo en cuenta que las entidades de régimen especial administran recursos públicos, lo dispuesto en sus manuales de contratación en materia de garantías debe ceñirse a unas reglas mínimas que garanticen el cumplimiento</w:t>
      </w:r>
      <w:r w:rsidRPr="002069C6">
        <w:rPr>
          <w:rFonts w:ascii="Verdana" w:eastAsia="Verdana" w:hAnsi="Verdana" w:cs="Verdana"/>
          <w:spacing w:val="-1"/>
          <w:lang w:val="es-ES"/>
        </w:rPr>
        <w:t xml:space="preserve"> </w:t>
      </w:r>
      <w:r w:rsidRPr="002069C6">
        <w:rPr>
          <w:rFonts w:ascii="Verdana" w:eastAsia="Verdana" w:hAnsi="Verdana" w:cs="Verdana"/>
          <w:lang w:val="es-ES"/>
        </w:rPr>
        <w:t>de los principios</w:t>
      </w:r>
      <w:r w:rsidRPr="002069C6">
        <w:rPr>
          <w:rFonts w:ascii="Verdana" w:eastAsia="Verdana" w:hAnsi="Verdana" w:cs="Verdana"/>
          <w:spacing w:val="-2"/>
          <w:lang w:val="es-ES"/>
        </w:rPr>
        <w:t xml:space="preserve"> </w:t>
      </w:r>
      <w:r w:rsidRPr="002069C6">
        <w:rPr>
          <w:rFonts w:ascii="Verdana" w:eastAsia="Verdana" w:hAnsi="Verdana" w:cs="Verdana"/>
          <w:lang w:val="es-ES"/>
        </w:rPr>
        <w:t>de la función</w:t>
      </w:r>
      <w:r w:rsidRPr="002069C6">
        <w:rPr>
          <w:rFonts w:ascii="Verdana" w:eastAsia="Verdana" w:hAnsi="Verdana" w:cs="Verdana"/>
          <w:spacing w:val="-2"/>
          <w:lang w:val="es-ES"/>
        </w:rPr>
        <w:t xml:space="preserve"> </w:t>
      </w:r>
      <w:r w:rsidRPr="002069C6">
        <w:rPr>
          <w:rFonts w:ascii="Verdana" w:eastAsia="Verdana" w:hAnsi="Verdana" w:cs="Verdana"/>
          <w:lang w:val="es-ES"/>
        </w:rPr>
        <w:t xml:space="preserve">pública, el control fiscal y los principios rectores de la contratación estatal. </w:t>
      </w:r>
    </w:p>
    <w:p w14:paraId="5B210B82" w14:textId="77777777" w:rsidR="00D35423" w:rsidRPr="002069C6" w:rsidRDefault="00D35423" w:rsidP="00D35423">
      <w:pPr>
        <w:spacing w:after="0" w:line="276" w:lineRule="auto"/>
        <w:jc w:val="both"/>
        <w:rPr>
          <w:rFonts w:ascii="Verdana" w:eastAsia="Calibri" w:hAnsi="Verdana" w:cs="Arial"/>
          <w:color w:val="000000" w:themeColor="text1"/>
          <w:lang w:val="es-ES"/>
        </w:rPr>
      </w:pPr>
    </w:p>
    <w:p w14:paraId="1DC35963" w14:textId="77777777" w:rsidR="00D35423" w:rsidRPr="002069C6" w:rsidRDefault="00D35423" w:rsidP="00D3542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Referencias normativas, jurisprudenciales y otras fuentes:</w:t>
      </w:r>
    </w:p>
    <w:p w14:paraId="6A48F8AA" w14:textId="77777777" w:rsidR="00D35423" w:rsidRPr="002069C6" w:rsidRDefault="00D35423" w:rsidP="00D35423">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35423" w:rsidRPr="002069C6" w14:paraId="24C32737" w14:textId="77777777" w:rsidTr="000A2F0A">
        <w:trPr>
          <w:trHeight w:val="870"/>
        </w:trPr>
        <w:tc>
          <w:tcPr>
            <w:tcW w:w="8647" w:type="dxa"/>
          </w:tcPr>
          <w:p w14:paraId="3CDB64AC" w14:textId="24EB5294" w:rsidR="00AA3EBB" w:rsidRPr="00CB03D4" w:rsidRDefault="00AA3EBB" w:rsidP="00B33E02">
            <w:pPr>
              <w:widowControl w:val="0"/>
              <w:numPr>
                <w:ilvl w:val="0"/>
                <w:numId w:val="17"/>
              </w:numPr>
              <w:autoSpaceDE w:val="0"/>
              <w:autoSpaceDN w:val="0"/>
              <w:spacing w:before="120" w:after="120" w:line="276" w:lineRule="auto"/>
              <w:ind w:left="714" w:hanging="357"/>
              <w:jc w:val="both"/>
              <w:rPr>
                <w:rFonts w:ascii="Verdana" w:eastAsia="Calibri" w:hAnsi="Verdana" w:cs="Arial"/>
              </w:rPr>
            </w:pPr>
            <w:r w:rsidRPr="00CB03D4">
              <w:rPr>
                <w:rFonts w:ascii="Verdana" w:eastAsia="Calibri" w:hAnsi="Verdana" w:cs="Arial"/>
              </w:rPr>
              <w:t>Constitución Política, artículos 209 y 267.</w:t>
            </w:r>
          </w:p>
          <w:p w14:paraId="0C787976" w14:textId="70FA6977" w:rsidR="00D35423" w:rsidRPr="00CB03D4" w:rsidRDefault="00D35423" w:rsidP="00B33E02">
            <w:pPr>
              <w:widowControl w:val="0"/>
              <w:numPr>
                <w:ilvl w:val="0"/>
                <w:numId w:val="17"/>
              </w:numPr>
              <w:autoSpaceDE w:val="0"/>
              <w:autoSpaceDN w:val="0"/>
              <w:spacing w:before="120" w:after="120" w:line="276" w:lineRule="auto"/>
              <w:ind w:left="714" w:hanging="357"/>
              <w:jc w:val="both"/>
              <w:rPr>
                <w:rFonts w:ascii="Verdana" w:eastAsia="Calibri" w:hAnsi="Verdana" w:cs="Arial"/>
              </w:rPr>
            </w:pPr>
            <w:r w:rsidRPr="00CB03D4">
              <w:rPr>
                <w:rFonts w:ascii="Verdana" w:eastAsia="Calibri" w:hAnsi="Verdana" w:cs="Arial"/>
              </w:rPr>
              <w:t>Ley 80 de 1993, artículo 2</w:t>
            </w:r>
            <w:r w:rsidR="005A7E03" w:rsidRPr="00CB03D4">
              <w:rPr>
                <w:rFonts w:ascii="Verdana" w:eastAsia="Calibri" w:hAnsi="Verdana" w:cs="Arial"/>
              </w:rPr>
              <w:t xml:space="preserve">, </w:t>
            </w:r>
            <w:r w:rsidRPr="00CB03D4">
              <w:rPr>
                <w:rFonts w:ascii="Verdana" w:eastAsia="Calibri" w:hAnsi="Verdana" w:cs="Arial"/>
              </w:rPr>
              <w:t>3</w:t>
            </w:r>
            <w:r w:rsidR="005A7E03" w:rsidRPr="00CB03D4">
              <w:rPr>
                <w:rFonts w:ascii="Verdana" w:eastAsia="Calibri" w:hAnsi="Verdana" w:cs="Arial"/>
              </w:rPr>
              <w:t xml:space="preserve"> y 42</w:t>
            </w:r>
            <w:r w:rsidRPr="00CB03D4">
              <w:rPr>
                <w:rFonts w:ascii="Verdana" w:eastAsia="Calibri" w:hAnsi="Verdana" w:cs="Arial"/>
              </w:rPr>
              <w:t>.</w:t>
            </w:r>
          </w:p>
          <w:p w14:paraId="04D86655" w14:textId="61A2944E" w:rsidR="00D35423" w:rsidRPr="00CB03D4" w:rsidRDefault="00D35423" w:rsidP="00B33E02">
            <w:pPr>
              <w:widowControl w:val="0"/>
              <w:numPr>
                <w:ilvl w:val="0"/>
                <w:numId w:val="17"/>
              </w:numPr>
              <w:autoSpaceDE w:val="0"/>
              <w:autoSpaceDN w:val="0"/>
              <w:spacing w:before="120" w:after="120" w:line="276" w:lineRule="auto"/>
              <w:ind w:left="714" w:hanging="357"/>
              <w:jc w:val="both"/>
              <w:rPr>
                <w:rFonts w:ascii="Verdana" w:eastAsia="Calibri" w:hAnsi="Verdana" w:cs="Arial"/>
              </w:rPr>
            </w:pPr>
            <w:r w:rsidRPr="00CB03D4">
              <w:rPr>
                <w:rFonts w:ascii="Verdana" w:eastAsia="Calibri" w:hAnsi="Verdana" w:cs="Arial"/>
              </w:rPr>
              <w:t xml:space="preserve">Ley 1150 de 2007, </w:t>
            </w:r>
            <w:r w:rsidR="00AA3EBB" w:rsidRPr="00CB03D4">
              <w:rPr>
                <w:rFonts w:ascii="Verdana" w:eastAsia="Calibri" w:hAnsi="Verdana" w:cs="Arial"/>
              </w:rPr>
              <w:t>artículo</w:t>
            </w:r>
            <w:r w:rsidR="001D2982" w:rsidRPr="00CB03D4">
              <w:rPr>
                <w:rFonts w:ascii="Verdana" w:eastAsia="Calibri" w:hAnsi="Verdana" w:cs="Arial"/>
              </w:rPr>
              <w:t>s 7,</w:t>
            </w:r>
            <w:r w:rsidR="00AA3EBB" w:rsidRPr="00CB03D4">
              <w:rPr>
                <w:rFonts w:ascii="Verdana" w:eastAsia="Calibri" w:hAnsi="Verdana" w:cs="Arial"/>
              </w:rPr>
              <w:t xml:space="preserve"> 13</w:t>
            </w:r>
            <w:r w:rsidR="00CB03D4">
              <w:rPr>
                <w:rFonts w:ascii="Verdana" w:eastAsia="Calibri" w:hAnsi="Verdana" w:cs="Arial"/>
              </w:rPr>
              <w:t xml:space="preserve"> y</w:t>
            </w:r>
            <w:r w:rsidR="00AA3EBB" w:rsidRPr="00CB03D4">
              <w:rPr>
                <w:rFonts w:ascii="Verdana" w:eastAsia="Calibri" w:hAnsi="Verdana" w:cs="Arial"/>
              </w:rPr>
              <w:t xml:space="preserve"> 14</w:t>
            </w:r>
            <w:r w:rsidRPr="00CB03D4">
              <w:rPr>
                <w:rFonts w:ascii="Verdana" w:eastAsia="Calibri" w:hAnsi="Verdana" w:cs="Arial"/>
              </w:rPr>
              <w:t>.</w:t>
            </w:r>
          </w:p>
          <w:p w14:paraId="7CDA82C6" w14:textId="11459D4A" w:rsidR="00D35423" w:rsidRPr="00CB03D4" w:rsidRDefault="00D35423" w:rsidP="00B33E02">
            <w:pPr>
              <w:widowControl w:val="0"/>
              <w:numPr>
                <w:ilvl w:val="0"/>
                <w:numId w:val="27"/>
              </w:numPr>
              <w:autoSpaceDE w:val="0"/>
              <w:autoSpaceDN w:val="0"/>
              <w:spacing w:before="120" w:after="120" w:line="276" w:lineRule="auto"/>
              <w:jc w:val="both"/>
              <w:rPr>
                <w:rFonts w:ascii="Verdana" w:eastAsia="Calibri" w:hAnsi="Verdana" w:cs="Arial"/>
                <w:color w:val="000000" w:themeColor="text1"/>
              </w:rPr>
            </w:pPr>
            <w:r w:rsidRPr="00CB03D4">
              <w:rPr>
                <w:rFonts w:ascii="Verdana" w:eastAsia="Calibri" w:hAnsi="Verdana" w:cs="Arial"/>
              </w:rPr>
              <w:t>Decreto 1082 de 2015, artículo</w:t>
            </w:r>
            <w:r w:rsidR="00FC26D0" w:rsidRPr="00CB03D4">
              <w:rPr>
                <w:rFonts w:ascii="Verdana" w:eastAsia="Calibri" w:hAnsi="Verdana" w:cs="Arial"/>
              </w:rPr>
              <w:t xml:space="preserve"> </w:t>
            </w:r>
            <w:r w:rsidR="00FC26D0" w:rsidRPr="00CB03D4">
              <w:rPr>
                <w:rFonts w:ascii="Verdana" w:hAnsi="Verdana"/>
                <w:lang w:val="es-ES"/>
              </w:rPr>
              <w:t>2.2.1.2.3.1.1,</w:t>
            </w:r>
            <w:r w:rsidR="00AC56BB" w:rsidRPr="00CB03D4">
              <w:rPr>
                <w:rFonts w:ascii="Verdana" w:hAnsi="Verdana"/>
                <w:lang w:val="es-ES"/>
              </w:rPr>
              <w:t xml:space="preserve"> </w:t>
            </w:r>
            <w:r w:rsidR="001D2982" w:rsidRPr="00CB03D4">
              <w:rPr>
                <w:rFonts w:ascii="Verdana" w:hAnsi="Verdana" w:cs="Arial"/>
                <w:color w:val="000000" w:themeColor="text1"/>
              </w:rPr>
              <w:t>2.2.1.2.3.1.2,</w:t>
            </w:r>
            <w:r w:rsidR="00AC56BB" w:rsidRPr="00CB03D4">
              <w:rPr>
                <w:rFonts w:ascii="Verdana" w:hAnsi="Verdana" w:cs="Arial"/>
                <w:color w:val="000000" w:themeColor="text1"/>
              </w:rPr>
              <w:t xml:space="preserve"> </w:t>
            </w:r>
            <w:r w:rsidR="00AC56BB" w:rsidRPr="00CB03D4">
              <w:rPr>
                <w:rFonts w:ascii="Verdana" w:eastAsia="Calibri" w:hAnsi="Verdana" w:cs="Arial"/>
                <w:color w:val="000000" w:themeColor="text1"/>
                <w:lang w:val="es-ES_tradnl"/>
              </w:rPr>
              <w:t>2.2.1.2.3.1.5.,</w:t>
            </w:r>
            <w:r w:rsidR="00AC56BB" w:rsidRPr="00CB03D4">
              <w:rPr>
                <w:rFonts w:ascii="Verdana" w:hAnsi="Verdana" w:cs="Arial"/>
                <w:color w:val="000000" w:themeColor="text1"/>
              </w:rPr>
              <w:t xml:space="preserve"> </w:t>
            </w:r>
            <w:r w:rsidR="00424922" w:rsidRPr="00CB03D4">
              <w:rPr>
                <w:rFonts w:ascii="Verdana" w:hAnsi="Verdana" w:cs="Arial"/>
                <w:color w:val="000000" w:themeColor="text1"/>
              </w:rPr>
              <w:t>2.2.1.2.3.1.9 a 2.2.1.2.3.1.16,</w:t>
            </w:r>
            <w:r w:rsidR="00FC26D0" w:rsidRPr="00CB03D4">
              <w:rPr>
                <w:rFonts w:ascii="Verdana" w:hAnsi="Verdana"/>
                <w:lang w:val="es-ES"/>
              </w:rPr>
              <w:t xml:space="preserve"> </w:t>
            </w:r>
            <w:r w:rsidR="00FC26D0" w:rsidRPr="00CB03D4">
              <w:rPr>
                <w:rFonts w:ascii="Verdana" w:eastAsia="Calibri" w:hAnsi="Verdana" w:cs="Arial"/>
                <w:bCs/>
                <w:lang w:val="es-ES"/>
              </w:rPr>
              <w:t>2.2.1.2.1.4.2.</w:t>
            </w:r>
            <w:r w:rsidR="00AC56BB" w:rsidRPr="00CB03D4">
              <w:rPr>
                <w:rFonts w:ascii="Verdana" w:eastAsia="Calibri" w:hAnsi="Verdana" w:cs="Arial"/>
                <w:bCs/>
                <w:lang w:val="es-ES"/>
              </w:rPr>
              <w:t xml:space="preserve"> y</w:t>
            </w:r>
            <w:r w:rsidR="00FC26D0" w:rsidRPr="00CB03D4">
              <w:rPr>
                <w:rFonts w:ascii="Verdana" w:eastAsia="Calibri" w:hAnsi="Verdana" w:cs="Arial"/>
                <w:bCs/>
                <w:lang w:val="es-ES"/>
              </w:rPr>
              <w:t xml:space="preserve"> 2.2.1.2.1.4.5.</w:t>
            </w:r>
          </w:p>
          <w:p w14:paraId="0D385B62" w14:textId="6D87E944" w:rsidR="00AA3EBB" w:rsidRPr="00CB03D4" w:rsidRDefault="00424922" w:rsidP="00B33E02">
            <w:pPr>
              <w:widowControl w:val="0"/>
              <w:numPr>
                <w:ilvl w:val="0"/>
                <w:numId w:val="27"/>
              </w:numPr>
              <w:autoSpaceDE w:val="0"/>
              <w:autoSpaceDN w:val="0"/>
              <w:spacing w:before="120" w:after="120" w:line="276" w:lineRule="auto"/>
              <w:jc w:val="both"/>
              <w:rPr>
                <w:rFonts w:ascii="Verdana" w:eastAsia="Calibri" w:hAnsi="Verdana" w:cs="Arial"/>
                <w:color w:val="000000" w:themeColor="text1"/>
              </w:rPr>
            </w:pPr>
            <w:r w:rsidRPr="00CB03D4">
              <w:rPr>
                <w:rFonts w:ascii="Verdana" w:eastAsia="Calibri" w:hAnsi="Verdana" w:cs="Arial"/>
              </w:rPr>
              <w:lastRenderedPageBreak/>
              <w:t>Código</w:t>
            </w:r>
            <w:r w:rsidR="00AA3EBB" w:rsidRPr="00CB03D4">
              <w:rPr>
                <w:rFonts w:ascii="Verdana" w:eastAsia="Calibri" w:hAnsi="Verdana" w:cs="Arial"/>
              </w:rPr>
              <w:t xml:space="preserve"> Civil, artículo 2361.</w:t>
            </w:r>
          </w:p>
          <w:p w14:paraId="65D7D319" w14:textId="77777777" w:rsidR="00D35423" w:rsidRPr="00CB03D4" w:rsidRDefault="00D35423" w:rsidP="00B33E02">
            <w:pPr>
              <w:widowControl w:val="0"/>
              <w:numPr>
                <w:ilvl w:val="0"/>
                <w:numId w:val="27"/>
              </w:numPr>
              <w:autoSpaceDE w:val="0"/>
              <w:autoSpaceDN w:val="0"/>
              <w:spacing w:before="120" w:after="120" w:line="276" w:lineRule="auto"/>
              <w:jc w:val="both"/>
              <w:rPr>
                <w:rFonts w:ascii="Verdana" w:eastAsia="Calibri" w:hAnsi="Verdana" w:cs="Arial"/>
                <w:color w:val="000000" w:themeColor="text1"/>
              </w:rPr>
            </w:pPr>
            <w:r w:rsidRPr="00CB03D4">
              <w:rPr>
                <w:rFonts w:ascii="Verdana" w:eastAsia="Calibri" w:hAnsi="Verdana" w:cs="Arial"/>
                <w:color w:val="000000" w:themeColor="text1"/>
              </w:rPr>
              <w:t>Consejo de Estado. Sección Tercera. Sentencia del 19 de agosto de 2005. Expediente: 12.342.</w:t>
            </w:r>
          </w:p>
          <w:p w14:paraId="75DA7C07" w14:textId="26C0D35B" w:rsidR="00B33E02" w:rsidRPr="00CB03D4" w:rsidRDefault="00B33E02" w:rsidP="00B33E02">
            <w:pPr>
              <w:widowControl w:val="0"/>
              <w:numPr>
                <w:ilvl w:val="0"/>
                <w:numId w:val="27"/>
              </w:numPr>
              <w:autoSpaceDE w:val="0"/>
              <w:autoSpaceDN w:val="0"/>
              <w:spacing w:before="120" w:after="120" w:line="276" w:lineRule="auto"/>
              <w:jc w:val="both"/>
              <w:rPr>
                <w:rFonts w:ascii="Verdana" w:eastAsia="Calibri" w:hAnsi="Verdana" w:cs="Arial"/>
                <w:color w:val="000000" w:themeColor="text1"/>
              </w:rPr>
            </w:pPr>
            <w:r w:rsidRPr="00CB03D4">
              <w:rPr>
                <w:rFonts w:ascii="Verdana" w:hAnsi="Verdana"/>
              </w:rPr>
              <w:t>Consejo</w:t>
            </w:r>
            <w:r w:rsidRPr="00CB03D4">
              <w:rPr>
                <w:rFonts w:ascii="Verdana" w:hAnsi="Verdana"/>
                <w:spacing w:val="-8"/>
              </w:rPr>
              <w:t xml:space="preserve"> </w:t>
            </w:r>
            <w:r w:rsidRPr="00CB03D4">
              <w:rPr>
                <w:rFonts w:ascii="Verdana" w:hAnsi="Verdana"/>
              </w:rPr>
              <w:t>de</w:t>
            </w:r>
            <w:r w:rsidRPr="00CB03D4">
              <w:rPr>
                <w:rFonts w:ascii="Verdana" w:hAnsi="Verdana"/>
                <w:spacing w:val="-10"/>
              </w:rPr>
              <w:t xml:space="preserve"> </w:t>
            </w:r>
            <w:r w:rsidRPr="00CB03D4">
              <w:rPr>
                <w:rFonts w:ascii="Verdana" w:hAnsi="Verdana"/>
              </w:rPr>
              <w:t>Estado.</w:t>
            </w:r>
            <w:r w:rsidRPr="00CB03D4">
              <w:rPr>
                <w:rFonts w:ascii="Verdana" w:hAnsi="Verdana"/>
                <w:spacing w:val="-9"/>
              </w:rPr>
              <w:t xml:space="preserve"> </w:t>
            </w:r>
            <w:r w:rsidRPr="00CB03D4">
              <w:rPr>
                <w:rFonts w:ascii="Verdana" w:hAnsi="Verdana"/>
              </w:rPr>
              <w:t>Sección</w:t>
            </w:r>
            <w:r w:rsidRPr="00CB03D4">
              <w:rPr>
                <w:rFonts w:ascii="Verdana" w:hAnsi="Verdana"/>
                <w:spacing w:val="-10"/>
              </w:rPr>
              <w:t xml:space="preserve"> </w:t>
            </w:r>
            <w:r w:rsidRPr="00CB03D4">
              <w:rPr>
                <w:rFonts w:ascii="Verdana" w:hAnsi="Verdana"/>
              </w:rPr>
              <w:t>Tercera,</w:t>
            </w:r>
            <w:r w:rsidRPr="00CB03D4">
              <w:rPr>
                <w:rFonts w:ascii="Verdana" w:hAnsi="Verdana"/>
                <w:spacing w:val="-9"/>
              </w:rPr>
              <w:t xml:space="preserve"> </w:t>
            </w:r>
            <w:r w:rsidRPr="00CB03D4">
              <w:rPr>
                <w:rFonts w:ascii="Verdana" w:hAnsi="Verdana"/>
              </w:rPr>
              <w:t>Sentencia</w:t>
            </w:r>
            <w:r w:rsidRPr="00CB03D4">
              <w:rPr>
                <w:rFonts w:ascii="Verdana" w:hAnsi="Verdana"/>
                <w:spacing w:val="-10"/>
              </w:rPr>
              <w:t xml:space="preserve"> </w:t>
            </w:r>
            <w:r w:rsidRPr="00CB03D4">
              <w:rPr>
                <w:rFonts w:ascii="Verdana" w:hAnsi="Verdana"/>
              </w:rPr>
              <w:t>del</w:t>
            </w:r>
            <w:r w:rsidRPr="00CB03D4">
              <w:rPr>
                <w:rFonts w:ascii="Verdana" w:hAnsi="Verdana"/>
                <w:spacing w:val="-9"/>
              </w:rPr>
              <w:t xml:space="preserve"> </w:t>
            </w:r>
            <w:r w:rsidRPr="00CB03D4">
              <w:rPr>
                <w:rFonts w:ascii="Verdana" w:hAnsi="Verdana"/>
              </w:rPr>
              <w:t>19</w:t>
            </w:r>
            <w:r w:rsidRPr="00CB03D4">
              <w:rPr>
                <w:rFonts w:ascii="Verdana" w:hAnsi="Verdana"/>
                <w:spacing w:val="-11"/>
              </w:rPr>
              <w:t xml:space="preserve"> </w:t>
            </w:r>
            <w:r w:rsidRPr="00CB03D4">
              <w:rPr>
                <w:rFonts w:ascii="Verdana" w:hAnsi="Verdana"/>
              </w:rPr>
              <w:t>de</w:t>
            </w:r>
            <w:r w:rsidRPr="00CB03D4">
              <w:rPr>
                <w:rFonts w:ascii="Verdana" w:hAnsi="Verdana"/>
                <w:spacing w:val="-5"/>
              </w:rPr>
              <w:t xml:space="preserve"> </w:t>
            </w:r>
            <w:r w:rsidRPr="00CB03D4">
              <w:rPr>
                <w:rFonts w:ascii="Verdana" w:hAnsi="Verdana"/>
              </w:rPr>
              <w:t>agosto</w:t>
            </w:r>
            <w:r w:rsidRPr="00CB03D4">
              <w:rPr>
                <w:rFonts w:ascii="Verdana" w:hAnsi="Verdana"/>
                <w:spacing w:val="-11"/>
              </w:rPr>
              <w:t xml:space="preserve"> </w:t>
            </w:r>
            <w:r w:rsidRPr="00CB03D4">
              <w:rPr>
                <w:rFonts w:ascii="Verdana" w:hAnsi="Verdana"/>
              </w:rPr>
              <w:t>de</w:t>
            </w:r>
            <w:r w:rsidRPr="00CB03D4">
              <w:rPr>
                <w:rFonts w:ascii="Verdana" w:hAnsi="Verdana"/>
                <w:spacing w:val="-10"/>
              </w:rPr>
              <w:t xml:space="preserve"> </w:t>
            </w:r>
            <w:r w:rsidRPr="00CB03D4">
              <w:rPr>
                <w:rFonts w:ascii="Verdana" w:hAnsi="Verdana"/>
              </w:rPr>
              <w:t>2004</w:t>
            </w:r>
            <w:r w:rsidRPr="00CB03D4">
              <w:rPr>
                <w:rFonts w:ascii="Verdana" w:hAnsi="Verdana"/>
                <w:spacing w:val="-7"/>
              </w:rPr>
              <w:t xml:space="preserve"> </w:t>
            </w:r>
            <w:proofErr w:type="spellStart"/>
            <w:r w:rsidRPr="00CB03D4">
              <w:rPr>
                <w:rFonts w:ascii="Verdana" w:hAnsi="Verdana"/>
              </w:rPr>
              <w:t>Exp</w:t>
            </w:r>
            <w:proofErr w:type="spellEnd"/>
            <w:r w:rsidRPr="00CB03D4">
              <w:rPr>
                <w:rFonts w:ascii="Verdana" w:hAnsi="Verdana"/>
              </w:rPr>
              <w:t>.</w:t>
            </w:r>
            <w:r w:rsidRPr="00CB03D4">
              <w:rPr>
                <w:rFonts w:ascii="Verdana" w:hAnsi="Verdana"/>
                <w:spacing w:val="-9"/>
              </w:rPr>
              <w:t xml:space="preserve"> </w:t>
            </w:r>
            <w:r w:rsidRPr="00CB03D4">
              <w:rPr>
                <w:rFonts w:ascii="Verdana" w:hAnsi="Verdana"/>
              </w:rPr>
              <w:t>12.342,</w:t>
            </w:r>
            <w:r w:rsidRPr="00CB03D4">
              <w:rPr>
                <w:rFonts w:ascii="Verdana" w:hAnsi="Verdana"/>
                <w:spacing w:val="-9"/>
              </w:rPr>
              <w:t xml:space="preserve"> </w:t>
            </w:r>
            <w:r w:rsidRPr="00CB03D4">
              <w:rPr>
                <w:rFonts w:ascii="Verdana" w:hAnsi="Verdana"/>
              </w:rPr>
              <w:t>reiterada</w:t>
            </w:r>
            <w:r w:rsidRPr="00CB03D4">
              <w:rPr>
                <w:rFonts w:ascii="Verdana" w:hAnsi="Verdana"/>
                <w:spacing w:val="-10"/>
              </w:rPr>
              <w:t xml:space="preserve"> </w:t>
            </w:r>
            <w:r w:rsidRPr="00CB03D4">
              <w:rPr>
                <w:rFonts w:ascii="Verdana" w:hAnsi="Verdana"/>
              </w:rPr>
              <w:t xml:space="preserve">en sentencia de 6 de febrero de 2006, </w:t>
            </w:r>
            <w:proofErr w:type="spellStart"/>
            <w:r w:rsidRPr="00CB03D4">
              <w:rPr>
                <w:rFonts w:ascii="Verdana" w:hAnsi="Verdana"/>
              </w:rPr>
              <w:t>Exp</w:t>
            </w:r>
            <w:proofErr w:type="spellEnd"/>
            <w:r w:rsidRPr="00CB03D4">
              <w:rPr>
                <w:rFonts w:ascii="Verdana" w:hAnsi="Verdana"/>
              </w:rPr>
              <w:t>. 13.414.</w:t>
            </w:r>
          </w:p>
          <w:p w14:paraId="378BD8EB" w14:textId="1DF75517" w:rsidR="00AA3EBB" w:rsidRPr="00CB03D4" w:rsidRDefault="00AA3EBB" w:rsidP="00B33E02">
            <w:pPr>
              <w:widowControl w:val="0"/>
              <w:numPr>
                <w:ilvl w:val="0"/>
                <w:numId w:val="27"/>
              </w:numPr>
              <w:autoSpaceDE w:val="0"/>
              <w:autoSpaceDN w:val="0"/>
              <w:spacing w:before="120" w:after="120" w:line="276" w:lineRule="auto"/>
              <w:jc w:val="both"/>
              <w:rPr>
                <w:rFonts w:ascii="Verdana" w:eastAsia="Calibri" w:hAnsi="Verdana" w:cs="Arial"/>
                <w:color w:val="000000" w:themeColor="text1"/>
              </w:rPr>
            </w:pPr>
            <w:r w:rsidRPr="00CB03D4">
              <w:rPr>
                <w:rFonts w:ascii="Verdana" w:hAnsi="Verdana"/>
              </w:rPr>
              <w:t>Consejo de Estado. Sección Tercera. Radicado</w:t>
            </w:r>
            <w:r w:rsidRPr="00CB03D4">
              <w:rPr>
                <w:rFonts w:ascii="Verdana" w:hAnsi="Verdana"/>
                <w:spacing w:val="-1"/>
              </w:rPr>
              <w:t xml:space="preserve"> </w:t>
            </w:r>
            <w:r w:rsidRPr="00CB03D4">
              <w:rPr>
                <w:rFonts w:ascii="Verdana" w:hAnsi="Verdana"/>
              </w:rPr>
              <w:t>No. 45.607 del 24 de octubre de 2016. Consejera Ponente: María Nubia Velásquez Rico.</w:t>
            </w:r>
          </w:p>
          <w:p w14:paraId="23CA58F3" w14:textId="77777777" w:rsidR="00D35423" w:rsidRPr="007178D5" w:rsidRDefault="00D35423" w:rsidP="00B33E02">
            <w:pPr>
              <w:widowControl w:val="0"/>
              <w:numPr>
                <w:ilvl w:val="0"/>
                <w:numId w:val="27"/>
              </w:numPr>
              <w:autoSpaceDE w:val="0"/>
              <w:autoSpaceDN w:val="0"/>
              <w:spacing w:before="120" w:after="120" w:line="276" w:lineRule="auto"/>
              <w:jc w:val="both"/>
              <w:rPr>
                <w:rFonts w:ascii="Verdana" w:eastAsia="Calibri" w:hAnsi="Verdana" w:cs="Arial"/>
                <w:color w:val="000000" w:themeColor="text1"/>
              </w:rPr>
            </w:pPr>
            <w:r w:rsidRPr="00CB03D4">
              <w:rPr>
                <w:rFonts w:ascii="Verdana" w:eastAsia="Calibri" w:hAnsi="Verdana" w:cs="Arial"/>
                <w:color w:val="000000" w:themeColor="text1"/>
              </w:rPr>
              <w:t>Colombia Compra Eficiente,</w:t>
            </w:r>
            <w:r w:rsidRPr="00CB03D4">
              <w:rPr>
                <w:rFonts w:ascii="Verdana" w:eastAsia="Calibri" w:hAnsi="Verdana" w:cs="Times New Roman"/>
                <w:color w:val="000000" w:themeColor="text1"/>
              </w:rPr>
              <w:t xml:space="preserve"> </w:t>
            </w:r>
            <w:r w:rsidRPr="00CB03D4">
              <w:rPr>
                <w:rFonts w:ascii="Verdana" w:eastAsia="Calibri" w:hAnsi="Verdana" w:cs="Arial"/>
                <w:color w:val="000000" w:themeColor="text1"/>
              </w:rPr>
              <w:t xml:space="preserve">Guía para las Entidades Estatales con Régimen </w:t>
            </w:r>
            <w:r w:rsidRPr="00CB03D4">
              <w:rPr>
                <w:rFonts w:ascii="Verdana" w:eastAsia="Calibri" w:hAnsi="Verdana" w:cs="Arial"/>
                <w:color w:val="000000"/>
              </w:rPr>
              <w:t xml:space="preserve">Especial de Contratación. Disponible en: </w:t>
            </w:r>
            <w:hyperlink r:id="rId12" w:history="1">
              <w:r w:rsidRPr="00CB03D4">
                <w:rPr>
                  <w:rFonts w:ascii="Verdana" w:eastAsia="Calibri" w:hAnsi="Verdana" w:cs="Arial"/>
                  <w:color w:val="0000FF"/>
                  <w:u w:val="single"/>
                </w:rPr>
                <w:t>https://www.colombiacompra.gov.co/archivos/manual/guia-para-entidades-estatales-con-regimen-especial-de-contratacion</w:t>
              </w:r>
            </w:hyperlink>
          </w:p>
        </w:tc>
      </w:tr>
    </w:tbl>
    <w:p w14:paraId="6DC420A6" w14:textId="77777777" w:rsidR="00D35423" w:rsidRPr="002069C6" w:rsidRDefault="00D35423" w:rsidP="00D35423">
      <w:pPr>
        <w:widowControl w:val="0"/>
        <w:autoSpaceDE w:val="0"/>
        <w:autoSpaceDN w:val="0"/>
        <w:spacing w:after="0" w:line="276" w:lineRule="auto"/>
        <w:jc w:val="both"/>
        <w:rPr>
          <w:rFonts w:ascii="Verdana" w:hAnsi="Verdana" w:cs="Arial"/>
          <w:color w:val="000000" w:themeColor="text1"/>
          <w:lang w:val="es-ES"/>
        </w:rPr>
      </w:pPr>
    </w:p>
    <w:p w14:paraId="18257EF0" w14:textId="77777777" w:rsidR="00D35423" w:rsidRPr="002069C6" w:rsidRDefault="00D35423" w:rsidP="00D3542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2069C6">
        <w:rPr>
          <w:rFonts w:ascii="Verdana" w:eastAsia="Century Gothic" w:hAnsi="Verdana" w:cs="Century Gothic"/>
          <w:b/>
          <w:bCs/>
          <w:color w:val="000000" w:themeColor="text1"/>
        </w:rPr>
        <w:t>Doctrina de la Agencia Nacional de Contratación Pública:</w:t>
      </w:r>
    </w:p>
    <w:p w14:paraId="71836FC3" w14:textId="77777777" w:rsidR="00D35423" w:rsidRPr="002069C6" w:rsidRDefault="00D35423" w:rsidP="00D35423">
      <w:pPr>
        <w:widowControl w:val="0"/>
        <w:autoSpaceDE w:val="0"/>
        <w:autoSpaceDN w:val="0"/>
        <w:spacing w:after="0" w:line="276" w:lineRule="auto"/>
        <w:jc w:val="both"/>
        <w:rPr>
          <w:rFonts w:ascii="Verdana" w:hAnsi="Verdana" w:cs="Arial"/>
          <w:color w:val="000000" w:themeColor="text1"/>
          <w:lang w:val="es-ES"/>
        </w:rPr>
      </w:pPr>
    </w:p>
    <w:p w14:paraId="5A637CFB" w14:textId="246E4525" w:rsidR="00D35423" w:rsidRPr="002069C6" w:rsidRDefault="00D35423" w:rsidP="00D35423">
      <w:pPr>
        <w:widowControl w:val="0"/>
        <w:autoSpaceDE w:val="0"/>
        <w:autoSpaceDN w:val="0"/>
        <w:spacing w:after="0" w:line="276" w:lineRule="auto"/>
        <w:jc w:val="both"/>
        <w:rPr>
          <w:rStyle w:val="normaltextrun"/>
          <w:rFonts w:ascii="Verdana" w:eastAsia="Times New Roman" w:hAnsi="Verdana" w:cs="Times New Roman"/>
          <w:lang w:val="es-ES" w:eastAsia="es-CO"/>
        </w:rPr>
      </w:pPr>
      <w:r w:rsidRPr="002069C6">
        <w:rPr>
          <w:rStyle w:val="normaltextrun"/>
          <w:rFonts w:ascii="Verdana" w:hAnsi="Verdana" w:cs="Arial"/>
          <w:color w:val="000000" w:themeColor="text1"/>
          <w:shd w:val="clear" w:color="auto" w:fill="FFFFFF"/>
          <w:lang w:val="es-ES"/>
        </w:rPr>
        <w:t xml:space="preserve">La Agencia Nacional de Contratación Pública – Colombia Compra Eficiente </w:t>
      </w:r>
      <w:r w:rsidR="00DA41B0">
        <w:rPr>
          <w:rStyle w:val="normaltextrun"/>
          <w:rFonts w:ascii="Verdana" w:hAnsi="Verdana" w:cs="Arial"/>
          <w:color w:val="000000" w:themeColor="text1"/>
          <w:shd w:val="clear" w:color="auto" w:fill="FFFFFF"/>
          <w:lang w:val="es-ES"/>
        </w:rPr>
        <w:t>se ha referido a</w:t>
      </w:r>
      <w:r w:rsidR="001B3098">
        <w:rPr>
          <w:rStyle w:val="normaltextrun"/>
          <w:rFonts w:ascii="Verdana" w:hAnsi="Verdana" w:cs="Arial"/>
          <w:color w:val="000000" w:themeColor="text1"/>
          <w:shd w:val="clear" w:color="auto" w:fill="FFFFFF"/>
          <w:lang w:val="es-ES"/>
        </w:rPr>
        <w:t>l</w:t>
      </w:r>
      <w:r w:rsidR="00DA41B0">
        <w:rPr>
          <w:rStyle w:val="normaltextrun"/>
          <w:rFonts w:ascii="Verdana" w:hAnsi="Verdana" w:cs="Arial"/>
          <w:color w:val="000000" w:themeColor="text1"/>
          <w:shd w:val="clear" w:color="auto" w:fill="FFFFFF"/>
          <w:lang w:val="es-ES"/>
        </w:rPr>
        <w:t xml:space="preserve"> </w:t>
      </w:r>
      <w:r w:rsidR="001B3098" w:rsidRPr="00FE5A24">
        <w:rPr>
          <w:rStyle w:val="normaltextrun"/>
          <w:rFonts w:ascii="Verdana" w:hAnsi="Verdana" w:cs="Arial"/>
          <w:color w:val="000000" w:themeColor="text1"/>
          <w:shd w:val="clear" w:color="auto" w:fill="FFFFFF"/>
          <w:lang w:val="es-ES"/>
        </w:rPr>
        <w:t>régimen de garantías en los Conceptos</w:t>
      </w:r>
      <w:r w:rsidR="001B3098" w:rsidRPr="00FE5A24">
        <w:rPr>
          <w:rStyle w:val="normaltextrun"/>
          <w:rFonts w:ascii="Verdana" w:hAnsi="Verdana" w:cs="Calibri"/>
          <w:color w:val="000000" w:themeColor="text1"/>
          <w:shd w:val="clear" w:color="auto" w:fill="FFFFFF"/>
        </w:rPr>
        <w:t xml:space="preserve"> </w:t>
      </w:r>
      <w:r w:rsidR="001B3098" w:rsidRPr="00FE5A24">
        <w:rPr>
          <w:rStyle w:val="normaltextrun"/>
          <w:rFonts w:ascii="Verdana" w:hAnsi="Verdana" w:cs="Arial"/>
          <w:color w:val="000000" w:themeColor="text1"/>
          <w:shd w:val="clear" w:color="auto" w:fill="FFFFFF"/>
          <w:lang w:val="es-ES"/>
        </w:rPr>
        <w:t>2201913000009075 del 9 de diciembre de 2019, C-080 del 8 de abril de 2021, C-525 del 27 de septiembre de 2021, C-567 del 08 de octubre del 2021, C-036 del 28 de febrero del 2022, C-126 de 25 de marzo de 2022, C-583 del 19 de octubre de 2022, C-584 del 26 de septiembre de 2022, C-712 del 13 de octubre de 2022 y C-845 del 7 de diciembre de 2022, C-036 del 31 de marzo de 2023,</w:t>
      </w:r>
      <w:r w:rsidR="00223E7A">
        <w:rPr>
          <w:rStyle w:val="normaltextrun"/>
          <w:rFonts w:ascii="Verdana" w:hAnsi="Verdana" w:cs="Arial"/>
          <w:color w:val="000000" w:themeColor="text1"/>
          <w:shd w:val="clear" w:color="auto" w:fill="FFFFFF"/>
          <w:lang w:val="es-ES"/>
        </w:rPr>
        <w:t xml:space="preserve"> </w:t>
      </w:r>
      <w:r w:rsidR="001B3098" w:rsidRPr="00FE5A24">
        <w:rPr>
          <w:rStyle w:val="normaltextrun"/>
          <w:rFonts w:ascii="Verdana" w:hAnsi="Verdana" w:cs="Arial"/>
          <w:color w:val="000000" w:themeColor="text1"/>
          <w:shd w:val="clear" w:color="auto" w:fill="FFFFFF"/>
          <w:lang w:val="es-ES"/>
        </w:rPr>
        <w:t xml:space="preserve">C-386 del 31 de enero de 2024, </w:t>
      </w:r>
      <w:r w:rsidR="00AE1255">
        <w:rPr>
          <w:rStyle w:val="normaltextrun"/>
          <w:rFonts w:ascii="Verdana" w:hAnsi="Verdana" w:cs="Arial"/>
          <w:color w:val="000000" w:themeColor="text1"/>
          <w:shd w:val="clear" w:color="auto" w:fill="FFFFFF"/>
          <w:lang w:val="es-ES"/>
        </w:rPr>
        <w:t xml:space="preserve">C-069 del 27 de mayo de 2015, </w:t>
      </w:r>
      <w:r w:rsidR="00AE1255" w:rsidRPr="00FE5A24">
        <w:rPr>
          <w:rStyle w:val="normaltextrun"/>
          <w:rFonts w:ascii="Verdana" w:hAnsi="Verdana" w:cs="Arial"/>
          <w:color w:val="000000" w:themeColor="text1"/>
          <w:shd w:val="clear" w:color="auto" w:fill="FFFFFF"/>
          <w:lang w:val="es-ES"/>
        </w:rPr>
        <w:t xml:space="preserve"> </w:t>
      </w:r>
      <w:r w:rsidR="001B3098" w:rsidRPr="00FE5A24">
        <w:rPr>
          <w:rStyle w:val="normaltextrun"/>
          <w:rFonts w:ascii="Verdana" w:hAnsi="Verdana" w:cs="Arial"/>
          <w:color w:val="000000" w:themeColor="text1"/>
          <w:shd w:val="clear" w:color="auto" w:fill="FFFFFF"/>
          <w:lang w:val="es-ES"/>
        </w:rPr>
        <w:t>C-133 del 11 de julio de 2024 y C-919 del 10 de diciembre de 2024</w:t>
      </w:r>
      <w:r w:rsidR="001B3098">
        <w:rPr>
          <w:rStyle w:val="normaltextrun"/>
          <w:rFonts w:ascii="Verdana" w:hAnsi="Verdana" w:cs="Arial"/>
          <w:color w:val="000000" w:themeColor="text1"/>
          <w:shd w:val="clear" w:color="auto" w:fill="FFFFFF"/>
          <w:lang w:val="es-ES"/>
        </w:rPr>
        <w:t xml:space="preserve">, C-099 de 2025, C-168 del 19 de marzo de 2025, </w:t>
      </w:r>
      <w:r w:rsidR="001B3098" w:rsidRPr="00856826">
        <w:rPr>
          <w:rFonts w:ascii="Verdana" w:hAnsi="Verdana" w:cs="Arial"/>
          <w:shd w:val="clear" w:color="auto" w:fill="FFFFFF"/>
          <w:lang w:val="es-ES"/>
        </w:rPr>
        <w:t xml:space="preserve">entre otros. </w:t>
      </w:r>
      <w:r w:rsidR="001B3098">
        <w:rPr>
          <w:rFonts w:ascii="Verdana" w:hAnsi="Verdana" w:cs="Arial"/>
          <w:shd w:val="clear" w:color="auto" w:fill="FFFFFF"/>
          <w:lang w:val="es-ES"/>
        </w:rPr>
        <w:t xml:space="preserve">Sobre </w:t>
      </w:r>
      <w:r w:rsidR="00DA41B0">
        <w:rPr>
          <w:rStyle w:val="normaltextrun"/>
          <w:rFonts w:ascii="Verdana" w:hAnsi="Verdana" w:cs="Arial"/>
          <w:color w:val="000000" w:themeColor="text1"/>
          <w:shd w:val="clear" w:color="auto" w:fill="FFFFFF"/>
          <w:lang w:val="es-ES"/>
        </w:rPr>
        <w:t xml:space="preserve">la fianza </w:t>
      </w:r>
      <w:r w:rsidR="00B82090">
        <w:rPr>
          <w:rStyle w:val="normaltextrun"/>
          <w:rFonts w:ascii="Verdana" w:hAnsi="Verdana" w:cs="Arial"/>
          <w:color w:val="000000" w:themeColor="text1"/>
          <w:shd w:val="clear" w:color="auto" w:fill="FFFFFF"/>
          <w:lang w:val="es-ES"/>
        </w:rPr>
        <w:t xml:space="preserve">como garantía en los contratos estatales </w:t>
      </w:r>
      <w:r w:rsidR="001B3098">
        <w:rPr>
          <w:rStyle w:val="normaltextrun"/>
          <w:rFonts w:ascii="Verdana" w:hAnsi="Verdana" w:cs="Arial"/>
          <w:color w:val="000000" w:themeColor="text1"/>
          <w:shd w:val="clear" w:color="auto" w:fill="FFFFFF"/>
          <w:lang w:val="es-ES"/>
        </w:rPr>
        <w:t xml:space="preserve">se refirió </w:t>
      </w:r>
      <w:r w:rsidR="00B82090">
        <w:rPr>
          <w:rStyle w:val="normaltextrun"/>
          <w:rFonts w:ascii="Verdana" w:hAnsi="Verdana" w:cs="Arial"/>
          <w:color w:val="000000" w:themeColor="text1"/>
          <w:shd w:val="clear" w:color="auto" w:fill="FFFFFF"/>
          <w:lang w:val="es-ES"/>
        </w:rPr>
        <w:t xml:space="preserve">en </w:t>
      </w:r>
      <w:r w:rsidR="009A77EC">
        <w:rPr>
          <w:rStyle w:val="normaltextrun"/>
          <w:rFonts w:ascii="Verdana" w:hAnsi="Verdana" w:cs="Arial"/>
          <w:color w:val="000000" w:themeColor="text1"/>
          <w:shd w:val="clear" w:color="auto" w:fill="FFFFFF"/>
          <w:lang w:val="es-ES"/>
        </w:rPr>
        <w:t xml:space="preserve">el concepto </w:t>
      </w:r>
      <w:r w:rsidR="009A77EC" w:rsidRPr="003B6A2E">
        <w:rPr>
          <w:rStyle w:val="normaltextrun"/>
          <w:rFonts w:ascii="Verdana" w:hAnsi="Verdana" w:cs="Arial"/>
          <w:color w:val="000000" w:themeColor="text1"/>
          <w:shd w:val="clear" w:color="auto" w:fill="FFFFFF"/>
          <w:lang w:val="es-ES"/>
        </w:rPr>
        <w:t xml:space="preserve">P20240307002607 </w:t>
      </w:r>
      <w:r w:rsidR="005435BE">
        <w:rPr>
          <w:rStyle w:val="normaltextrun"/>
          <w:rFonts w:ascii="Verdana" w:hAnsi="Verdana" w:cs="Arial"/>
          <w:color w:val="000000" w:themeColor="text1"/>
          <w:shd w:val="clear" w:color="auto" w:fill="FFFFFF"/>
          <w:lang w:val="es-ES"/>
        </w:rPr>
        <w:t>régimen de garantías en los conceptos</w:t>
      </w:r>
      <w:r w:rsidRPr="002069C6">
        <w:rPr>
          <w:rStyle w:val="normaltextrun"/>
          <w:rFonts w:ascii="Verdana" w:hAnsi="Verdana"/>
          <w:shd w:val="clear" w:color="auto" w:fill="FFFFFF"/>
          <w:lang w:val="es-ES"/>
        </w:rPr>
        <w:t xml:space="preserve">, entre otros. </w:t>
      </w:r>
      <w:r w:rsidRPr="002069C6">
        <w:rPr>
          <w:rFonts w:ascii="Verdana" w:hAnsi="Verdana" w:cs="Arial"/>
          <w:color w:val="000000" w:themeColor="text1"/>
          <w:shd w:val="clear" w:color="auto" w:fill="FFFFFF"/>
          <w:lang w:val="es-ES"/>
        </w:rPr>
        <w:t xml:space="preserve">Estos </w:t>
      </w:r>
      <w:r w:rsidRPr="002069C6">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r:id="rId13" w:history="1">
        <w:r w:rsidRPr="002069C6">
          <w:rPr>
            <w:rStyle w:val="Hipervnculo"/>
            <w:rFonts w:ascii="Verdana" w:hAnsi="Verdana" w:cs="Arial"/>
            <w:shd w:val="clear" w:color="auto" w:fill="FFFFFF"/>
            <w:lang w:val="es-ES"/>
          </w:rPr>
          <w:t>https://relatoria.colombiacompra.gov.co/busqueda/conceptos</w:t>
        </w:r>
      </w:hyperlink>
      <w:r w:rsidRPr="002069C6">
        <w:rPr>
          <w:rStyle w:val="Hipervnculo"/>
          <w:rFonts w:ascii="Verdana" w:hAnsi="Verdana"/>
          <w:lang w:val="es-ES"/>
        </w:rPr>
        <w:t>.</w:t>
      </w:r>
      <w:r w:rsidRPr="002069C6">
        <w:rPr>
          <w:rStyle w:val="normaltextrun"/>
          <w:rFonts w:ascii="Verdana" w:hAnsi="Verdana" w:cs="Arial"/>
          <w:color w:val="000000" w:themeColor="text1"/>
          <w:shd w:val="clear" w:color="auto" w:fill="FFFFFF"/>
          <w:lang w:val="es-ES"/>
        </w:rPr>
        <w:t xml:space="preserve">  </w:t>
      </w:r>
    </w:p>
    <w:p w14:paraId="35BE8DD0" w14:textId="77777777" w:rsidR="00D35423" w:rsidRPr="002069C6" w:rsidRDefault="00D35423" w:rsidP="00D3542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92B4A7F" w14:textId="6CD5DB80" w:rsidR="00191C54" w:rsidRDefault="00191C54" w:rsidP="00D35423">
      <w:pPr>
        <w:spacing w:after="0" w:line="276" w:lineRule="auto"/>
        <w:jc w:val="both"/>
        <w:rPr>
          <w:rStyle w:val="Hipervnculo"/>
          <w:rFonts w:ascii="Verdana" w:hAnsi="Verdana"/>
          <w:lang w:val="es-ES"/>
        </w:rPr>
      </w:pPr>
      <w:r w:rsidRPr="00856826">
        <w:rPr>
          <w:rFonts w:ascii="Verdana" w:hAnsi="Verdana"/>
          <w:lang w:val="es-ES"/>
        </w:rPr>
        <w:t>También le contamos que ya se encuentra disponible la </w:t>
      </w:r>
      <w:r w:rsidRPr="00856826">
        <w:rPr>
          <w:rFonts w:ascii="Verdana" w:hAnsi="Verdana"/>
          <w:b/>
          <w:bCs/>
          <w:lang w:val="es-ES"/>
        </w:rPr>
        <w:t>Guía de lineamientos de transparencia y selección objetiva para el departamento de La Guajira – Objetivo sexto constitucional de la Sentencia T-302 del 2017. </w:t>
      </w:r>
      <w:r w:rsidRPr="00856826">
        <w:rPr>
          <w:rFonts w:ascii="Verdana" w:hAnsi="Verdana"/>
          <w:lang w:val="es-ES"/>
        </w:rPr>
        <w:t xml:space="preserve">Esta Guía se expedide en el marco del cumplimiento de la orden proferida por la Honorable Corte Constitucional en la Sentencia T-302 del 2017. Con su </w:t>
      </w:r>
      <w:r w:rsidRPr="00856826">
        <w:rPr>
          <w:rFonts w:ascii="Verdana" w:hAnsi="Verdana"/>
          <w:lang w:val="es-ES"/>
        </w:rPr>
        <w:lastRenderedPageBreak/>
        <w:t xml:space="preserve">implementación se busca contribuir a la superación del Estado de Cosas Inconstitucional declarado por la situación de vulneración masiva y recurrente de los derechos fundamentales de los niños y de las niñas del Pueblo </w:t>
      </w:r>
      <w:proofErr w:type="spellStart"/>
      <w:r w:rsidRPr="00856826">
        <w:rPr>
          <w:rFonts w:ascii="Verdana" w:hAnsi="Verdana"/>
          <w:lang w:val="es-ES"/>
        </w:rPr>
        <w:t>Wayúu</w:t>
      </w:r>
      <w:proofErr w:type="spellEnd"/>
      <w:r w:rsidRPr="00856826">
        <w:rPr>
          <w:rFonts w:ascii="Verdana" w:hAnsi="Verdana"/>
          <w:lang w:val="es-ES"/>
        </w:rPr>
        <w:t>. Puede consultar la guía en el siguiente enlace: </w:t>
      </w:r>
      <w:hyperlink r:id="rId14" w:tgtFrame="_blank" w:tooltip="Original URL: https://www.colombiacompra.gov.co/wp-content/uploads/2025/05/GUIA-DE-LINEAMIENTOS-DE-TRANSPARENCIA-Y-SELECCION-OBJETIVA-1.0.pdf. Click or tap if you trust this link." w:history="1">
        <w:r w:rsidRPr="00856826">
          <w:rPr>
            <w:rStyle w:val="Hipervnculo"/>
            <w:rFonts w:ascii="Verdana" w:hAnsi="Verdana"/>
            <w:lang w:val="es-ES"/>
          </w:rPr>
          <w:t>Guía de lineamientos de transparencia y selección objetiva para el departamento de La Guajira – Objetivo sexto constitucional de la Sentencia T-302 del 2017</w:t>
        </w:r>
      </w:hyperlink>
    </w:p>
    <w:p w14:paraId="6467255A" w14:textId="77777777" w:rsidR="00191C54" w:rsidRDefault="00191C54" w:rsidP="00D35423">
      <w:pPr>
        <w:spacing w:after="0" w:line="276" w:lineRule="auto"/>
        <w:jc w:val="both"/>
        <w:rPr>
          <w:rFonts w:ascii="Verdana" w:hAnsi="Verdana"/>
          <w:lang w:val="es-ES"/>
        </w:rPr>
      </w:pPr>
    </w:p>
    <w:p w14:paraId="6A533C3A" w14:textId="5057F3A8" w:rsidR="00D35423" w:rsidRPr="002069C6" w:rsidRDefault="00D35423" w:rsidP="00D35423">
      <w:pPr>
        <w:spacing w:after="0" w:line="276" w:lineRule="auto"/>
        <w:jc w:val="both"/>
        <w:rPr>
          <w:rFonts w:ascii="Verdana" w:hAnsi="Verdana"/>
          <w:lang w:val="es-ES"/>
        </w:rPr>
      </w:pPr>
      <w:r w:rsidRPr="002069C6">
        <w:rPr>
          <w:rFonts w:ascii="Verdana" w:hAnsi="Verdana"/>
          <w:lang w:val="es-ES"/>
        </w:rPr>
        <w:t xml:space="preserve">Por último, lo invitamos a seguirnos en las redes sociales en las cuales se difunde información institucional: </w:t>
      </w:r>
    </w:p>
    <w:p w14:paraId="163A6AD8" w14:textId="77777777" w:rsidR="00D35423" w:rsidRPr="002069C6" w:rsidRDefault="00D35423" w:rsidP="00D35423">
      <w:pPr>
        <w:spacing w:after="0" w:line="276" w:lineRule="auto"/>
        <w:jc w:val="both"/>
        <w:rPr>
          <w:rFonts w:ascii="Verdana" w:hAnsi="Verdana"/>
          <w:lang w:val="es-ES"/>
        </w:rPr>
      </w:pPr>
    </w:p>
    <w:p w14:paraId="5A2197EA" w14:textId="77777777" w:rsidR="00D35423" w:rsidRPr="002069C6" w:rsidRDefault="00D35423" w:rsidP="00D35423">
      <w:pPr>
        <w:spacing w:after="0" w:line="276" w:lineRule="auto"/>
        <w:jc w:val="both"/>
        <w:rPr>
          <w:rFonts w:ascii="Verdana" w:hAnsi="Verdana"/>
          <w:lang w:val="es-ES"/>
        </w:rPr>
      </w:pPr>
      <w:r w:rsidRPr="002069C6">
        <w:rPr>
          <w:rFonts w:ascii="Verdana" w:hAnsi="Verdana"/>
          <w:lang w:val="es-ES"/>
        </w:rPr>
        <w:t xml:space="preserve">Twitter: </w:t>
      </w:r>
      <w:r w:rsidRPr="002069C6">
        <w:rPr>
          <w:rStyle w:val="Hipervnculo"/>
          <w:rFonts w:ascii="Verdana" w:hAnsi="Verdana" w:cs="Arial"/>
          <w:shd w:val="clear" w:color="auto" w:fill="FFFFFF"/>
          <w:lang w:val="es-ES"/>
        </w:rPr>
        <w:t>@colombiacompra</w:t>
      </w:r>
      <w:r w:rsidRPr="002069C6">
        <w:rPr>
          <w:rFonts w:ascii="Verdana" w:hAnsi="Verdana"/>
          <w:color w:val="4472C4" w:themeColor="accent1"/>
          <w:lang w:val="es-ES"/>
        </w:rPr>
        <w:t xml:space="preserve"> </w:t>
      </w:r>
    </w:p>
    <w:p w14:paraId="55CDD5BB" w14:textId="77777777" w:rsidR="00D35423" w:rsidRPr="002069C6" w:rsidRDefault="00D35423" w:rsidP="00D35423">
      <w:pPr>
        <w:spacing w:after="0" w:line="276" w:lineRule="auto"/>
        <w:jc w:val="both"/>
        <w:rPr>
          <w:rFonts w:ascii="Verdana" w:hAnsi="Verdana"/>
          <w:lang w:val="es-ES"/>
        </w:rPr>
      </w:pPr>
      <w:r w:rsidRPr="002069C6">
        <w:rPr>
          <w:rFonts w:ascii="Verdana" w:hAnsi="Verdana"/>
          <w:lang w:val="es-ES"/>
        </w:rPr>
        <w:t xml:space="preserve">Facebook: </w:t>
      </w:r>
      <w:proofErr w:type="spellStart"/>
      <w:r w:rsidRPr="002069C6">
        <w:rPr>
          <w:rStyle w:val="Hipervnculo"/>
          <w:rFonts w:ascii="Verdana" w:hAnsi="Verdana" w:cs="Arial"/>
          <w:shd w:val="clear" w:color="auto" w:fill="FFFFFF"/>
          <w:lang w:val="es-ES"/>
        </w:rPr>
        <w:t>ColombiaCompraEficiente</w:t>
      </w:r>
      <w:proofErr w:type="spellEnd"/>
    </w:p>
    <w:p w14:paraId="548D4C16" w14:textId="77777777" w:rsidR="00D35423" w:rsidRPr="002069C6" w:rsidRDefault="00D35423" w:rsidP="00D35423">
      <w:pPr>
        <w:spacing w:after="0" w:line="276" w:lineRule="auto"/>
        <w:jc w:val="both"/>
        <w:rPr>
          <w:rFonts w:ascii="Verdana" w:hAnsi="Verdana"/>
          <w:lang w:val="es-ES"/>
        </w:rPr>
      </w:pPr>
      <w:r w:rsidRPr="002069C6">
        <w:rPr>
          <w:rFonts w:ascii="Verdana" w:hAnsi="Verdana"/>
          <w:lang w:val="es-ES"/>
        </w:rPr>
        <w:t xml:space="preserve">LinkedIn: </w:t>
      </w:r>
      <w:r w:rsidRPr="002069C6">
        <w:rPr>
          <w:rStyle w:val="Hipervnculo"/>
          <w:rFonts w:ascii="Verdana" w:hAnsi="Verdana" w:cs="Arial"/>
          <w:shd w:val="clear" w:color="auto" w:fill="FFFFFF"/>
          <w:lang w:val="es-ES"/>
        </w:rPr>
        <w:t xml:space="preserve">Agencia Nacional de Contratación Pública - Colombia Compra Eficiente </w:t>
      </w:r>
      <w:r w:rsidRPr="002069C6">
        <w:rPr>
          <w:rFonts w:ascii="Verdana" w:hAnsi="Verdana"/>
          <w:lang w:val="es-ES"/>
        </w:rPr>
        <w:t xml:space="preserve">Instagram: </w:t>
      </w:r>
      <w:r w:rsidRPr="002069C6">
        <w:rPr>
          <w:rStyle w:val="Hipervnculo"/>
          <w:rFonts w:ascii="Verdana" w:hAnsi="Verdana" w:cs="Arial"/>
          <w:shd w:val="clear" w:color="auto" w:fill="FFFFFF"/>
          <w:lang w:val="es-ES"/>
        </w:rPr>
        <w:t>@colombiacompraeficiente_cce</w:t>
      </w:r>
    </w:p>
    <w:p w14:paraId="4BACCA13" w14:textId="77777777" w:rsidR="00D35423" w:rsidRPr="002069C6" w:rsidRDefault="00D35423" w:rsidP="00D35423">
      <w:pPr>
        <w:widowControl w:val="0"/>
        <w:autoSpaceDE w:val="0"/>
        <w:autoSpaceDN w:val="0"/>
        <w:spacing w:after="0" w:line="276" w:lineRule="auto"/>
        <w:jc w:val="both"/>
        <w:rPr>
          <w:rFonts w:ascii="Verdana" w:hAnsi="Verdana" w:cs="Arial"/>
          <w:color w:val="000000" w:themeColor="text1"/>
          <w:lang w:val="es-ES"/>
        </w:rPr>
      </w:pPr>
    </w:p>
    <w:p w14:paraId="3ED10BD3" w14:textId="77777777" w:rsidR="00D35423" w:rsidRPr="002069C6" w:rsidRDefault="00D35423" w:rsidP="00D35423">
      <w:pPr>
        <w:widowControl w:val="0"/>
        <w:autoSpaceDE w:val="0"/>
        <w:autoSpaceDN w:val="0"/>
        <w:spacing w:after="0" w:line="276" w:lineRule="auto"/>
        <w:jc w:val="both"/>
        <w:rPr>
          <w:rFonts w:ascii="Verdana" w:hAnsi="Verdana" w:cs="Arial"/>
          <w:color w:val="000000" w:themeColor="text1"/>
          <w:lang w:val="es-ES"/>
        </w:rPr>
      </w:pPr>
      <w:r w:rsidRPr="002069C6">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4BF7E15" w14:textId="77777777" w:rsidR="00D35423" w:rsidRPr="002069C6" w:rsidRDefault="00D35423" w:rsidP="00D35423">
      <w:pPr>
        <w:widowControl w:val="0"/>
        <w:autoSpaceDE w:val="0"/>
        <w:autoSpaceDN w:val="0"/>
        <w:spacing w:after="0" w:line="276" w:lineRule="auto"/>
        <w:jc w:val="both"/>
        <w:rPr>
          <w:rFonts w:ascii="Verdana" w:hAnsi="Verdana" w:cs="Arial"/>
          <w:color w:val="000000" w:themeColor="text1"/>
          <w:lang w:val="es-ES"/>
        </w:rPr>
      </w:pPr>
    </w:p>
    <w:p w14:paraId="7154E310" w14:textId="77777777" w:rsidR="00D35423" w:rsidRPr="002069C6" w:rsidRDefault="00D35423" w:rsidP="00D35423">
      <w:pPr>
        <w:spacing w:after="0" w:line="276" w:lineRule="auto"/>
        <w:rPr>
          <w:rFonts w:ascii="Verdana" w:hAnsi="Verdana" w:cs="Arial"/>
          <w:color w:val="000000" w:themeColor="text1"/>
          <w:lang w:val="es-ES" w:eastAsia="es-CO"/>
        </w:rPr>
      </w:pPr>
      <w:r w:rsidRPr="002069C6">
        <w:rPr>
          <w:rFonts w:ascii="Verdana" w:eastAsia="Times New Roman" w:hAnsi="Verdana" w:cs="Arial"/>
          <w:color w:val="000000" w:themeColor="text1"/>
          <w:lang w:val="es-ES" w:eastAsia="es-CO"/>
        </w:rPr>
        <w:t>Atentamente,</w:t>
      </w:r>
      <w:r w:rsidRPr="002069C6">
        <w:rPr>
          <w:rFonts w:ascii="Verdana" w:hAnsi="Verdana" w:cs="Arial"/>
          <w:color w:val="000000" w:themeColor="text1"/>
          <w:lang w:val="es-ES" w:eastAsia="es-CO"/>
        </w:rPr>
        <w:t xml:space="preserve"> </w:t>
      </w:r>
    </w:p>
    <w:p w14:paraId="6097CB54" w14:textId="5ECE98F0" w:rsidR="00D35423" w:rsidRPr="002069C6" w:rsidRDefault="002318AD" w:rsidP="00D35423">
      <w:pPr>
        <w:spacing w:line="276" w:lineRule="auto"/>
        <w:jc w:val="center"/>
        <w:rPr>
          <w:rFonts w:ascii="Verdana" w:hAnsi="Verdana" w:cs="Arial"/>
          <w:color w:val="000000" w:themeColor="text1"/>
          <w:lang w:val="es-ES" w:eastAsia="es-CO"/>
        </w:rPr>
      </w:pPr>
      <w:r w:rsidRPr="002C3AD6">
        <w:rPr>
          <w:rFonts w:ascii="Century Gothic" w:hAnsi="Century Gothic"/>
          <w:noProof/>
        </w:rPr>
        <w:drawing>
          <wp:inline distT="0" distB="0" distL="0" distR="0" wp14:anchorId="36CE0608" wp14:editId="18CA286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35423" w:rsidRPr="002069C6" w14:paraId="7FC22014" w14:textId="77777777" w:rsidTr="000A2F0A">
        <w:trPr>
          <w:trHeight w:val="315"/>
        </w:trPr>
        <w:tc>
          <w:tcPr>
            <w:tcW w:w="893" w:type="dxa"/>
            <w:vAlign w:val="center"/>
            <w:hideMark/>
          </w:tcPr>
          <w:p w14:paraId="3A6052B9" w14:textId="77777777" w:rsidR="00D35423" w:rsidRPr="002069C6" w:rsidRDefault="00D35423" w:rsidP="000A2F0A">
            <w:pPr>
              <w:contextualSpacing/>
              <w:rPr>
                <w:rFonts w:ascii="Verdana" w:hAnsi="Verdana" w:cs="Arial"/>
                <w:sz w:val="16"/>
                <w:szCs w:val="16"/>
                <w:lang w:val="es-ES" w:eastAsia="es-ES"/>
              </w:rPr>
            </w:pPr>
            <w:r w:rsidRPr="002069C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C524AB1" w14:textId="77777777" w:rsidR="00D35423" w:rsidRPr="002069C6" w:rsidRDefault="00D35423" w:rsidP="000A2F0A">
            <w:pPr>
              <w:contextualSpacing/>
              <w:rPr>
                <w:rFonts w:ascii="Verdana" w:eastAsia="Arial" w:hAnsi="Verdana" w:cs="Arial"/>
                <w:color w:val="000000" w:themeColor="text1"/>
                <w:sz w:val="16"/>
                <w:szCs w:val="16"/>
                <w:lang w:val="es-ES"/>
              </w:rPr>
            </w:pPr>
            <w:r w:rsidRPr="002069C6">
              <w:rPr>
                <w:rFonts w:ascii="Verdana" w:eastAsia="Arial" w:hAnsi="Verdana" w:cs="Arial"/>
                <w:color w:val="000000" w:themeColor="text1"/>
                <w:sz w:val="16"/>
                <w:szCs w:val="16"/>
                <w:lang w:val="es-ES"/>
              </w:rPr>
              <w:t>Anamaría Bonilla Prieto</w:t>
            </w:r>
          </w:p>
          <w:p w14:paraId="1C0826B8" w14:textId="77777777" w:rsidR="00D35423" w:rsidRPr="002069C6" w:rsidRDefault="00D35423" w:rsidP="000A2F0A">
            <w:pPr>
              <w:contextualSpacing/>
              <w:rPr>
                <w:rFonts w:ascii="Verdana" w:eastAsia="Arial" w:hAnsi="Verdana" w:cs="Arial"/>
                <w:sz w:val="16"/>
                <w:szCs w:val="16"/>
                <w:lang w:val="es-ES"/>
              </w:rPr>
            </w:pPr>
            <w:r w:rsidRPr="002069C6">
              <w:rPr>
                <w:rStyle w:val="normaltextrun"/>
                <w:rFonts w:ascii="Verdana" w:eastAsia="Arial" w:hAnsi="Verdana" w:cs="Arial"/>
                <w:color w:val="000000" w:themeColor="text1"/>
                <w:sz w:val="16"/>
                <w:szCs w:val="16"/>
                <w:lang w:val="es-ES"/>
              </w:rPr>
              <w:t xml:space="preserve">Contratista de la Subdirección </w:t>
            </w:r>
            <w:r w:rsidRPr="002069C6">
              <w:rPr>
                <w:rStyle w:val="normaltextrun"/>
                <w:rFonts w:ascii="Verdana" w:eastAsia="Arial" w:hAnsi="Verdana" w:cs="Arial"/>
                <w:sz w:val="16"/>
                <w:szCs w:val="16"/>
                <w:lang w:val="es-ES"/>
              </w:rPr>
              <w:t>de Gestión Contractual</w:t>
            </w:r>
          </w:p>
        </w:tc>
      </w:tr>
      <w:tr w:rsidR="00D35423" w:rsidRPr="002069C6" w14:paraId="661E6277" w14:textId="77777777" w:rsidTr="000A2F0A">
        <w:trPr>
          <w:trHeight w:val="330"/>
        </w:trPr>
        <w:tc>
          <w:tcPr>
            <w:tcW w:w="893" w:type="dxa"/>
            <w:vAlign w:val="center"/>
            <w:hideMark/>
          </w:tcPr>
          <w:p w14:paraId="5555AB28" w14:textId="77777777" w:rsidR="00D35423" w:rsidRPr="002069C6" w:rsidRDefault="00D35423" w:rsidP="000A2F0A">
            <w:pPr>
              <w:contextualSpacing/>
              <w:rPr>
                <w:rFonts w:ascii="Verdana" w:hAnsi="Verdana" w:cs="Arial"/>
                <w:sz w:val="16"/>
                <w:szCs w:val="16"/>
                <w:lang w:val="es-ES" w:eastAsia="es-ES"/>
              </w:rPr>
            </w:pPr>
            <w:r w:rsidRPr="002069C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BF870EE" w14:textId="77777777" w:rsidR="0032571E" w:rsidRPr="001B6B73" w:rsidRDefault="0032571E" w:rsidP="0032571E">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123DC0E9" w14:textId="2CF33257" w:rsidR="00D35423" w:rsidRPr="002069C6" w:rsidRDefault="0032571E" w:rsidP="000A2F0A">
            <w:pPr>
              <w:pStyle w:val="paragraph"/>
              <w:spacing w:before="0" w:beforeAutospacing="0" w:after="0" w:afterAutospacing="0"/>
              <w:contextualSpacing/>
              <w:textAlignment w:val="baseline"/>
              <w:rPr>
                <w:rFonts w:ascii="Verdana" w:hAnsi="Verdana" w:cs="Segoe UI"/>
                <w:sz w:val="16"/>
                <w:szCs w:val="16"/>
                <w:lang w:val="es-ES"/>
              </w:rPr>
            </w:pPr>
            <w:r w:rsidRPr="307A877A">
              <w:rPr>
                <w:rStyle w:val="normaltextrun"/>
                <w:rFonts w:ascii="Verdana" w:hAnsi="Verdana" w:cs="Arial"/>
                <w:sz w:val="16"/>
                <w:szCs w:val="16"/>
                <w:lang w:val="es-ES"/>
              </w:rPr>
              <w:t>Gestor T1 ‒ 15 de la Subdirección de Gestión Contractual</w:t>
            </w:r>
          </w:p>
        </w:tc>
      </w:tr>
      <w:tr w:rsidR="00D35423" w:rsidRPr="002069C6" w14:paraId="72CE6A68" w14:textId="77777777" w:rsidTr="000A2F0A">
        <w:trPr>
          <w:trHeight w:val="300"/>
        </w:trPr>
        <w:tc>
          <w:tcPr>
            <w:tcW w:w="893" w:type="dxa"/>
            <w:vAlign w:val="center"/>
          </w:tcPr>
          <w:p w14:paraId="36B4556F" w14:textId="77777777" w:rsidR="00D35423" w:rsidRPr="002069C6" w:rsidRDefault="00D35423" w:rsidP="000A2F0A">
            <w:pPr>
              <w:contextualSpacing/>
              <w:rPr>
                <w:rFonts w:ascii="Verdana" w:hAnsi="Verdana" w:cs="Arial"/>
                <w:sz w:val="16"/>
                <w:szCs w:val="16"/>
                <w:lang w:val="es-ES" w:eastAsia="es-ES"/>
              </w:rPr>
            </w:pPr>
            <w:r w:rsidRPr="002069C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F3E53DF" w14:textId="77777777" w:rsidR="00D35423" w:rsidRPr="002069C6" w:rsidRDefault="00D35423" w:rsidP="000A2F0A">
            <w:pPr>
              <w:contextualSpacing/>
              <w:rPr>
                <w:rFonts w:ascii="Verdana" w:eastAsia="Calibri" w:hAnsi="Verdana" w:cs="Arial"/>
                <w:sz w:val="16"/>
                <w:szCs w:val="16"/>
                <w:lang w:val="es-ES" w:eastAsia="es-ES"/>
              </w:rPr>
            </w:pPr>
            <w:r w:rsidRPr="002069C6">
              <w:rPr>
                <w:rFonts w:ascii="Verdana" w:eastAsia="Calibri" w:hAnsi="Verdana" w:cs="Arial"/>
                <w:sz w:val="16"/>
                <w:szCs w:val="16"/>
                <w:lang w:val="es-ES" w:eastAsia="es-ES"/>
              </w:rPr>
              <w:t>Carolina Quintero Gacharná</w:t>
            </w:r>
          </w:p>
          <w:p w14:paraId="552475F7" w14:textId="77777777" w:rsidR="00D35423" w:rsidRPr="002069C6" w:rsidRDefault="00D35423" w:rsidP="000A2F0A">
            <w:pPr>
              <w:contextualSpacing/>
              <w:rPr>
                <w:rFonts w:ascii="Verdana" w:eastAsia="Calibri" w:hAnsi="Verdana" w:cs="Arial"/>
                <w:sz w:val="16"/>
                <w:szCs w:val="16"/>
                <w:lang w:val="es-ES" w:eastAsia="es-ES"/>
              </w:rPr>
            </w:pPr>
            <w:r w:rsidRPr="002069C6">
              <w:rPr>
                <w:rFonts w:ascii="Verdana" w:eastAsia="Calibri" w:hAnsi="Verdana" w:cs="Arial"/>
                <w:sz w:val="16"/>
                <w:szCs w:val="16"/>
                <w:lang w:val="es-ES" w:eastAsia="es-ES"/>
              </w:rPr>
              <w:t>Subdirectora de Gestión Contractual ANCP – CCE</w:t>
            </w:r>
          </w:p>
        </w:tc>
      </w:tr>
      <w:bookmarkEnd w:id="0"/>
    </w:tbl>
    <w:p w14:paraId="73D50446" w14:textId="77777777" w:rsidR="00D35423" w:rsidRPr="002069C6" w:rsidRDefault="00D35423" w:rsidP="00D35423">
      <w:pPr>
        <w:spacing w:after="0"/>
        <w:rPr>
          <w:rFonts w:ascii="Verdana" w:hAnsi="Verdana"/>
          <w:lang w:val="es-ES"/>
        </w:rPr>
      </w:pPr>
    </w:p>
    <w:p w14:paraId="3900974D" w14:textId="77777777" w:rsidR="003D5B0D" w:rsidRPr="00D35423" w:rsidRDefault="003D5B0D" w:rsidP="00D35423"/>
    <w:sectPr w:rsidR="003D5B0D" w:rsidRPr="00D35423"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DEFDC" w14:textId="77777777" w:rsidR="003046A4" w:rsidRDefault="003046A4" w:rsidP="004A1847">
      <w:pPr>
        <w:spacing w:after="0" w:line="240" w:lineRule="auto"/>
      </w:pPr>
      <w:r>
        <w:separator/>
      </w:r>
    </w:p>
  </w:endnote>
  <w:endnote w:type="continuationSeparator" w:id="0">
    <w:p w14:paraId="6BC775FD" w14:textId="77777777" w:rsidR="003046A4" w:rsidRDefault="003046A4" w:rsidP="004A1847">
      <w:pPr>
        <w:spacing w:after="0" w:line="240" w:lineRule="auto"/>
      </w:pPr>
      <w:r>
        <w:continuationSeparator/>
      </w:r>
    </w:p>
  </w:endnote>
  <w:endnote w:type="continuationNotice" w:id="1">
    <w:p w14:paraId="37B2646C" w14:textId="77777777" w:rsidR="003046A4" w:rsidRDefault="003046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9A624" w14:textId="77777777" w:rsidR="003046A4" w:rsidRDefault="003046A4" w:rsidP="004A1847">
      <w:pPr>
        <w:spacing w:after="0" w:line="240" w:lineRule="auto"/>
      </w:pPr>
      <w:r>
        <w:separator/>
      </w:r>
    </w:p>
  </w:footnote>
  <w:footnote w:type="continuationSeparator" w:id="0">
    <w:p w14:paraId="3AE53D28" w14:textId="77777777" w:rsidR="003046A4" w:rsidRDefault="003046A4" w:rsidP="004A1847">
      <w:pPr>
        <w:spacing w:after="0" w:line="240" w:lineRule="auto"/>
      </w:pPr>
      <w:r>
        <w:continuationSeparator/>
      </w:r>
    </w:p>
  </w:footnote>
  <w:footnote w:type="continuationNotice" w:id="1">
    <w:p w14:paraId="38CAB08F" w14:textId="77777777" w:rsidR="003046A4" w:rsidRDefault="003046A4">
      <w:pPr>
        <w:spacing w:after="0" w:line="240" w:lineRule="auto"/>
      </w:pPr>
    </w:p>
  </w:footnote>
  <w:footnote w:id="2">
    <w:p w14:paraId="795A8E99" w14:textId="77777777" w:rsidR="00D35423" w:rsidRPr="00545C20" w:rsidRDefault="00D35423" w:rsidP="00D35423">
      <w:pPr>
        <w:pStyle w:val="Textonotapie"/>
        <w:snapToGrid w:val="0"/>
        <w:ind w:firstLine="708"/>
        <w:contextualSpacing/>
        <w:jc w:val="both"/>
        <w:rPr>
          <w:rFonts w:ascii="Verdana" w:hAnsi="Verdana" w:cs="Arial"/>
          <w:sz w:val="14"/>
          <w:szCs w:val="14"/>
        </w:rPr>
      </w:pPr>
      <w:r w:rsidRPr="00545C20">
        <w:rPr>
          <w:rStyle w:val="Refdenotaalpie"/>
          <w:rFonts w:ascii="Verdana" w:hAnsi="Verdana" w:cs="Arial"/>
          <w:sz w:val="14"/>
          <w:szCs w:val="14"/>
        </w:rPr>
        <w:footnoteRef/>
      </w:r>
      <w:r w:rsidRPr="00545C20">
        <w:rPr>
          <w:rFonts w:ascii="Verdana" w:hAnsi="Verdana" w:cs="Arial"/>
          <w:sz w:val="14"/>
          <w:szCs w:val="14"/>
        </w:rPr>
        <w:t xml:space="preserve"> Ley 489 de 1998: “Artículo 85. Empresas industriales y comerciales del Estado. 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221D8536" w14:textId="77777777" w:rsidR="00D35423" w:rsidRPr="00545C20" w:rsidRDefault="00D35423" w:rsidP="00D35423">
      <w:pPr>
        <w:pStyle w:val="Textonotapie"/>
        <w:snapToGrid w:val="0"/>
        <w:ind w:firstLine="708"/>
        <w:contextualSpacing/>
        <w:jc w:val="both"/>
        <w:rPr>
          <w:rFonts w:ascii="Verdana" w:hAnsi="Verdana" w:cs="Arial"/>
          <w:sz w:val="14"/>
          <w:szCs w:val="14"/>
        </w:rPr>
      </w:pPr>
      <w:r w:rsidRPr="00545C20">
        <w:rPr>
          <w:rFonts w:ascii="Verdana" w:hAnsi="Verdana" w:cs="Arial"/>
          <w:sz w:val="14"/>
          <w:szCs w:val="14"/>
        </w:rPr>
        <w:t xml:space="preserve">a) Personería jurídica; </w:t>
      </w:r>
    </w:p>
    <w:p w14:paraId="618C3C4F" w14:textId="77777777" w:rsidR="00D35423" w:rsidRPr="00545C20" w:rsidRDefault="00D35423" w:rsidP="00D35423">
      <w:pPr>
        <w:pStyle w:val="Textonotapie"/>
        <w:snapToGrid w:val="0"/>
        <w:ind w:firstLine="708"/>
        <w:contextualSpacing/>
        <w:jc w:val="both"/>
        <w:rPr>
          <w:rFonts w:ascii="Verdana" w:hAnsi="Verdana" w:cs="Arial"/>
          <w:sz w:val="14"/>
          <w:szCs w:val="14"/>
        </w:rPr>
      </w:pPr>
      <w:r w:rsidRPr="00545C20">
        <w:rPr>
          <w:rFonts w:ascii="Verdana" w:hAnsi="Verdana" w:cs="Arial"/>
          <w:sz w:val="14"/>
          <w:szCs w:val="14"/>
        </w:rPr>
        <w:t xml:space="preserve">b) Autonomía administrativa y financiera; </w:t>
      </w:r>
    </w:p>
    <w:p w14:paraId="5BF29EC7" w14:textId="77777777" w:rsidR="00D35423" w:rsidRPr="00545C20" w:rsidRDefault="00D35423" w:rsidP="00D35423">
      <w:pPr>
        <w:pStyle w:val="Textonotapie"/>
        <w:snapToGrid w:val="0"/>
        <w:ind w:firstLine="708"/>
        <w:contextualSpacing/>
        <w:jc w:val="both"/>
        <w:rPr>
          <w:rFonts w:ascii="Verdana" w:hAnsi="Verdana" w:cs="Arial"/>
          <w:sz w:val="14"/>
          <w:szCs w:val="14"/>
        </w:rPr>
      </w:pPr>
      <w:r w:rsidRPr="00545C20">
        <w:rPr>
          <w:rFonts w:ascii="Verdana" w:hAnsi="Verdana" w:cs="Arial"/>
          <w:sz w:val="14"/>
          <w:szCs w:val="14"/>
        </w:rPr>
        <w:t xml:space="preserve">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05C230B5" w14:textId="77777777" w:rsidR="00D35423" w:rsidRPr="00545C20" w:rsidRDefault="00D35423" w:rsidP="00D35423">
      <w:pPr>
        <w:pStyle w:val="Textonotapie"/>
        <w:snapToGrid w:val="0"/>
        <w:ind w:firstLine="708"/>
        <w:contextualSpacing/>
        <w:jc w:val="both"/>
        <w:rPr>
          <w:rFonts w:ascii="Verdana" w:hAnsi="Verdana" w:cs="Arial"/>
          <w:sz w:val="14"/>
          <w:szCs w:val="14"/>
        </w:rPr>
      </w:pPr>
      <w:r w:rsidRPr="00545C20">
        <w:rPr>
          <w:rFonts w:ascii="Verdana" w:hAnsi="Verdana" w:cs="Arial"/>
          <w:sz w:val="14"/>
          <w:szCs w:val="14"/>
        </w:rPr>
        <w:t xml:space="preserve">El capital de las empresas industriales y comerciales del Estado podrá estar representado en cuotas o acciones de igual valor nominal. </w:t>
      </w:r>
    </w:p>
    <w:p w14:paraId="05D33F43" w14:textId="77777777" w:rsidR="00D35423" w:rsidRPr="00545C20" w:rsidRDefault="00D35423" w:rsidP="00D35423">
      <w:pPr>
        <w:pStyle w:val="Textonotapie"/>
        <w:snapToGrid w:val="0"/>
        <w:ind w:firstLine="708"/>
        <w:contextualSpacing/>
        <w:jc w:val="both"/>
        <w:rPr>
          <w:rFonts w:ascii="Verdana" w:hAnsi="Verdana" w:cs="Arial"/>
          <w:sz w:val="14"/>
          <w:szCs w:val="14"/>
        </w:rPr>
      </w:pPr>
      <w:r w:rsidRPr="00545C20">
        <w:rPr>
          <w:rFonts w:ascii="Verdana" w:hAnsi="Verdana" w:cs="Arial"/>
          <w:sz w:val="14"/>
          <w:szCs w:val="14"/>
        </w:rPr>
        <w:t xml:space="preserve">A las empresas industriales y comerciales del Estado y a las sociedades de economía mixta se les aplicará en lo pertinente los artículos 19, numerales 2°, 4°, 5°, 6°, 12, 13, 17, 27, numerales 2°, 3°, 4°, 5°, y 7°, y 183 de la Ley 142 de 1994. </w:t>
      </w:r>
    </w:p>
    <w:p w14:paraId="142EA6F6" w14:textId="77777777" w:rsidR="00D35423" w:rsidRPr="00545C20" w:rsidRDefault="00D35423" w:rsidP="00D35423">
      <w:pPr>
        <w:pStyle w:val="Textonotapie"/>
        <w:snapToGrid w:val="0"/>
        <w:ind w:firstLine="708"/>
        <w:contextualSpacing/>
        <w:jc w:val="both"/>
        <w:rPr>
          <w:rFonts w:ascii="Verdana" w:hAnsi="Verdana" w:cs="Arial"/>
          <w:sz w:val="14"/>
          <w:szCs w:val="14"/>
        </w:rPr>
      </w:pPr>
      <w:r w:rsidRPr="00545C20">
        <w:rPr>
          <w:rFonts w:ascii="Verdana" w:hAnsi="Verdana" w:cs="Arial"/>
          <w:sz w:val="14"/>
          <w:szCs w:val="14"/>
        </w:rPr>
        <w:t xml:space="preserve">Parágrafo. Las disposiciones legales que protegen el secreto industrial y la información comercial se aplicarán a aquellos secretos e informaciones de esa naturaleza que desarrollen y posean las empresas industriales y comerciales del Estado”. </w:t>
      </w:r>
    </w:p>
  </w:footnote>
  <w:footnote w:id="3">
    <w:p w14:paraId="5CC7F8FE" w14:textId="77777777" w:rsidR="00D35423" w:rsidRPr="00545C20" w:rsidRDefault="00D35423" w:rsidP="00D35423">
      <w:pPr>
        <w:snapToGrid w:val="0"/>
        <w:spacing w:after="0" w:line="240" w:lineRule="auto"/>
        <w:ind w:right="49" w:firstLine="709"/>
        <w:contextualSpacing/>
        <w:jc w:val="both"/>
        <w:rPr>
          <w:rFonts w:ascii="Verdana" w:hAnsi="Verdana"/>
          <w:sz w:val="14"/>
          <w:szCs w:val="14"/>
        </w:rPr>
      </w:pPr>
      <w:r w:rsidRPr="00545C20">
        <w:rPr>
          <w:rStyle w:val="Refdenotaalpie"/>
          <w:rFonts w:ascii="Verdana" w:hAnsi="Verdana"/>
          <w:sz w:val="14"/>
          <w:szCs w:val="14"/>
        </w:rPr>
        <w:footnoteRef/>
      </w:r>
      <w:r w:rsidRPr="00545C20">
        <w:rPr>
          <w:rFonts w:ascii="Verdana" w:hAnsi="Verdana"/>
          <w:sz w:val="14"/>
          <w:szCs w:val="14"/>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w:t>
      </w:r>
      <w:r w:rsidRPr="00545C20">
        <w:rPr>
          <w:rFonts w:ascii="Verdana" w:hAnsi="Verdana"/>
          <w:spacing w:val="-15"/>
          <w:sz w:val="14"/>
          <w:szCs w:val="14"/>
        </w:rPr>
        <w:t xml:space="preserve"> </w:t>
      </w:r>
      <w:r w:rsidRPr="00545C20">
        <w:rPr>
          <w:rFonts w:ascii="Verdana" w:hAnsi="Verdana"/>
          <w:sz w:val="14"/>
          <w:szCs w:val="14"/>
        </w:rPr>
        <w:t>y comerciales estatales y de las sociedades de economía mixta, con excepción de los contratos que a título enunciativo identifica el artículo 32 de esta ley”, o sea, los de obra, consultoría, prestación de servicios,</w:t>
      </w:r>
      <w:r w:rsidRPr="00545C20">
        <w:rPr>
          <w:rFonts w:ascii="Verdana" w:hAnsi="Verdana"/>
          <w:spacing w:val="-7"/>
          <w:sz w:val="14"/>
          <w:szCs w:val="14"/>
        </w:rPr>
        <w:t xml:space="preserve"> </w:t>
      </w:r>
      <w:r w:rsidRPr="00545C20">
        <w:rPr>
          <w:rFonts w:ascii="Verdana" w:hAnsi="Verdana"/>
          <w:sz w:val="14"/>
          <w:szCs w:val="14"/>
        </w:rPr>
        <w:t>concesión,</w:t>
      </w:r>
      <w:r w:rsidRPr="00545C20">
        <w:rPr>
          <w:rFonts w:ascii="Verdana" w:hAnsi="Verdana"/>
          <w:spacing w:val="-7"/>
          <w:sz w:val="14"/>
          <w:szCs w:val="14"/>
        </w:rPr>
        <w:t xml:space="preserve"> </w:t>
      </w:r>
      <w:r w:rsidRPr="00545C20">
        <w:rPr>
          <w:rFonts w:ascii="Verdana" w:hAnsi="Verdana"/>
          <w:sz w:val="14"/>
          <w:szCs w:val="14"/>
        </w:rPr>
        <w:t>encargos</w:t>
      </w:r>
      <w:r w:rsidRPr="00545C20">
        <w:rPr>
          <w:rFonts w:ascii="Verdana" w:hAnsi="Verdana"/>
          <w:spacing w:val="-7"/>
          <w:sz w:val="14"/>
          <w:szCs w:val="14"/>
        </w:rPr>
        <w:t xml:space="preserve"> </w:t>
      </w:r>
      <w:r w:rsidRPr="00545C20">
        <w:rPr>
          <w:rFonts w:ascii="Verdana" w:hAnsi="Verdana"/>
          <w:sz w:val="14"/>
          <w:szCs w:val="14"/>
        </w:rPr>
        <w:t>fiduciarios</w:t>
      </w:r>
      <w:r w:rsidRPr="00545C20">
        <w:rPr>
          <w:rFonts w:ascii="Verdana" w:hAnsi="Verdana"/>
          <w:spacing w:val="-7"/>
          <w:sz w:val="14"/>
          <w:szCs w:val="14"/>
        </w:rPr>
        <w:t xml:space="preserve"> </w:t>
      </w:r>
      <w:r w:rsidRPr="00545C20">
        <w:rPr>
          <w:rFonts w:ascii="Verdana" w:hAnsi="Verdana"/>
          <w:sz w:val="14"/>
          <w:szCs w:val="14"/>
        </w:rPr>
        <w:t>y</w:t>
      </w:r>
      <w:r w:rsidRPr="00545C20">
        <w:rPr>
          <w:rFonts w:ascii="Verdana" w:hAnsi="Verdana"/>
          <w:spacing w:val="-8"/>
          <w:sz w:val="14"/>
          <w:szCs w:val="14"/>
        </w:rPr>
        <w:t xml:space="preserve"> </w:t>
      </w:r>
      <w:r w:rsidRPr="00545C20">
        <w:rPr>
          <w:rFonts w:ascii="Verdana" w:hAnsi="Verdana"/>
          <w:sz w:val="14"/>
          <w:szCs w:val="14"/>
        </w:rPr>
        <w:t>fiducia</w:t>
      </w:r>
      <w:r w:rsidRPr="00545C20">
        <w:rPr>
          <w:rFonts w:ascii="Verdana" w:hAnsi="Verdana"/>
          <w:spacing w:val="-9"/>
          <w:sz w:val="14"/>
          <w:szCs w:val="14"/>
        </w:rPr>
        <w:t xml:space="preserve"> </w:t>
      </w:r>
      <w:r w:rsidRPr="00545C20">
        <w:rPr>
          <w:rFonts w:ascii="Verdana" w:hAnsi="Verdana"/>
          <w:sz w:val="14"/>
          <w:szCs w:val="14"/>
        </w:rPr>
        <w:t>pública,</w:t>
      </w:r>
      <w:r w:rsidRPr="00545C20">
        <w:rPr>
          <w:rFonts w:ascii="Verdana" w:hAnsi="Verdana"/>
          <w:spacing w:val="-7"/>
          <w:sz w:val="14"/>
          <w:szCs w:val="14"/>
        </w:rPr>
        <w:t xml:space="preserve"> </w:t>
      </w:r>
      <w:r w:rsidRPr="00545C20">
        <w:rPr>
          <w:rFonts w:ascii="Verdana" w:hAnsi="Verdana"/>
          <w:sz w:val="14"/>
          <w:szCs w:val="14"/>
        </w:rPr>
        <w:t>que</w:t>
      </w:r>
      <w:r w:rsidRPr="00545C20">
        <w:rPr>
          <w:rFonts w:ascii="Verdana" w:hAnsi="Verdana"/>
          <w:spacing w:val="-13"/>
          <w:sz w:val="14"/>
          <w:szCs w:val="14"/>
        </w:rPr>
        <w:t xml:space="preserve"> </w:t>
      </w:r>
      <w:r w:rsidRPr="00545C20">
        <w:rPr>
          <w:rFonts w:ascii="Verdana" w:hAnsi="Verdana"/>
          <w:sz w:val="14"/>
          <w:szCs w:val="14"/>
        </w:rPr>
        <w:t>se</w:t>
      </w:r>
      <w:r w:rsidRPr="00545C20">
        <w:rPr>
          <w:rFonts w:ascii="Verdana" w:hAnsi="Verdana"/>
          <w:spacing w:val="-8"/>
          <w:sz w:val="14"/>
          <w:szCs w:val="14"/>
        </w:rPr>
        <w:t xml:space="preserve"> </w:t>
      </w:r>
      <w:r w:rsidRPr="00545C20">
        <w:rPr>
          <w:rFonts w:ascii="Verdana" w:hAnsi="Verdana"/>
          <w:sz w:val="14"/>
          <w:szCs w:val="14"/>
        </w:rPr>
        <w:t>regirían</w:t>
      </w:r>
      <w:r w:rsidRPr="00545C20">
        <w:rPr>
          <w:rFonts w:ascii="Verdana" w:hAnsi="Verdana"/>
          <w:spacing w:val="-9"/>
          <w:sz w:val="14"/>
          <w:szCs w:val="14"/>
        </w:rPr>
        <w:t xml:space="preserve"> </w:t>
      </w:r>
      <w:r w:rsidRPr="00545C20">
        <w:rPr>
          <w:rFonts w:ascii="Verdana" w:hAnsi="Verdana"/>
          <w:sz w:val="14"/>
          <w:szCs w:val="14"/>
        </w:rPr>
        <w:t>por</w:t>
      </w:r>
      <w:r w:rsidRPr="00545C20">
        <w:rPr>
          <w:rFonts w:ascii="Verdana" w:hAnsi="Verdana"/>
          <w:spacing w:val="-7"/>
          <w:sz w:val="14"/>
          <w:szCs w:val="14"/>
        </w:rPr>
        <w:t xml:space="preserve"> </w:t>
      </w:r>
      <w:r w:rsidRPr="00545C20">
        <w:rPr>
          <w:rFonts w:ascii="Verdana" w:hAnsi="Verdana"/>
          <w:sz w:val="14"/>
          <w:szCs w:val="14"/>
        </w:rPr>
        <w:t>la</w:t>
      </w:r>
      <w:r w:rsidRPr="00545C20">
        <w:rPr>
          <w:rFonts w:ascii="Verdana" w:hAnsi="Verdana"/>
          <w:spacing w:val="-9"/>
          <w:sz w:val="14"/>
          <w:szCs w:val="14"/>
        </w:rPr>
        <w:t xml:space="preserve"> </w:t>
      </w:r>
      <w:r w:rsidRPr="00545C20">
        <w:rPr>
          <w:rFonts w:ascii="Verdana" w:hAnsi="Verdana"/>
          <w:sz w:val="14"/>
          <w:szCs w:val="14"/>
        </w:rPr>
        <w:t>regla</w:t>
      </w:r>
      <w:r w:rsidRPr="00545C20">
        <w:rPr>
          <w:rFonts w:ascii="Verdana" w:hAnsi="Verdana"/>
          <w:spacing w:val="-9"/>
          <w:sz w:val="14"/>
          <w:szCs w:val="14"/>
        </w:rPr>
        <w:t xml:space="preserve"> </w:t>
      </w:r>
      <w:r w:rsidRPr="00545C20">
        <w:rPr>
          <w:rFonts w:ascii="Verdana" w:hAnsi="Verdana"/>
          <w:sz w:val="14"/>
          <w:szCs w:val="14"/>
        </w:rPr>
        <w:t>general,</w:t>
      </w:r>
      <w:r w:rsidRPr="00545C20">
        <w:rPr>
          <w:rFonts w:ascii="Verdana" w:hAnsi="Verdana"/>
          <w:spacing w:val="-7"/>
          <w:sz w:val="14"/>
          <w:szCs w:val="14"/>
        </w:rPr>
        <w:t xml:space="preserve"> </w:t>
      </w:r>
      <w:r w:rsidRPr="00545C20">
        <w:rPr>
          <w:rFonts w:ascii="Verdana" w:hAnsi="Verdana"/>
          <w:sz w:val="14"/>
          <w:szCs w:val="14"/>
        </w:rPr>
        <w:t>salvo</w:t>
      </w:r>
      <w:r w:rsidRPr="00545C20">
        <w:rPr>
          <w:rFonts w:ascii="Verdana" w:hAnsi="Verdana"/>
          <w:spacing w:val="-10"/>
          <w:sz w:val="14"/>
          <w:szCs w:val="14"/>
        </w:rPr>
        <w:t xml:space="preserve"> </w:t>
      </w:r>
      <w:r w:rsidRPr="00545C20">
        <w:rPr>
          <w:rFonts w:ascii="Verdana" w:hAnsi="Verdana"/>
          <w:sz w:val="14"/>
          <w:szCs w:val="14"/>
        </w:rPr>
        <w:t>los</w:t>
      </w:r>
      <w:r w:rsidRPr="00545C20">
        <w:rPr>
          <w:rFonts w:ascii="Verdana" w:hAnsi="Verdana"/>
          <w:spacing w:val="-7"/>
          <w:sz w:val="14"/>
          <w:szCs w:val="14"/>
        </w:rPr>
        <w:t xml:space="preserve"> </w:t>
      </w:r>
      <w:r w:rsidRPr="00545C20">
        <w:rPr>
          <w:rFonts w:ascii="Verdana" w:hAnsi="Verdana"/>
          <w:sz w:val="14"/>
          <w:szCs w:val="14"/>
        </w:rPr>
        <w:t>casos de</w:t>
      </w:r>
      <w:r w:rsidRPr="00545C20">
        <w:rPr>
          <w:rFonts w:ascii="Verdana" w:hAnsi="Verdana"/>
          <w:spacing w:val="-2"/>
          <w:sz w:val="14"/>
          <w:szCs w:val="14"/>
        </w:rPr>
        <w:t xml:space="preserve"> </w:t>
      </w:r>
      <w:r w:rsidRPr="00545C20">
        <w:rPr>
          <w:rFonts w:ascii="Verdana" w:hAnsi="Verdana"/>
          <w:sz w:val="14"/>
          <w:szCs w:val="14"/>
        </w:rPr>
        <w:t>menor cuantía –previstos en el ordinal a), numeral 1 del artículo 24, original, de la Ley 80 de 1993</w:t>
      </w:r>
      <w:r w:rsidRPr="00545C20">
        <w:rPr>
          <w:rFonts w:ascii="Verdana" w:hAnsi="Verdana"/>
          <w:spacing w:val="-15"/>
          <w:sz w:val="14"/>
          <w:szCs w:val="14"/>
        </w:rPr>
        <w:t xml:space="preserve"> </w:t>
      </w:r>
      <w:r w:rsidRPr="00545C20">
        <w:rPr>
          <w:rFonts w:ascii="Verdana" w:hAnsi="Verdana"/>
          <w:sz w:val="14"/>
          <w:szCs w:val="14"/>
        </w:rPr>
        <w:t>–. Además,</w:t>
      </w:r>
      <w:r w:rsidRPr="00545C20">
        <w:rPr>
          <w:rFonts w:ascii="Verdana" w:hAnsi="Verdana"/>
          <w:spacing w:val="-1"/>
          <w:sz w:val="14"/>
          <w:szCs w:val="14"/>
        </w:rPr>
        <w:t xml:space="preserve"> </w:t>
      </w:r>
      <w:r w:rsidRPr="00545C20">
        <w:rPr>
          <w:rFonts w:ascii="Verdana" w:hAnsi="Verdana"/>
          <w:sz w:val="14"/>
          <w:szCs w:val="14"/>
        </w:rPr>
        <w:t>en</w:t>
      </w:r>
      <w:r w:rsidRPr="00545C20">
        <w:rPr>
          <w:rFonts w:ascii="Verdana" w:hAnsi="Verdana"/>
          <w:spacing w:val="-5"/>
          <w:sz w:val="14"/>
          <w:szCs w:val="14"/>
        </w:rPr>
        <w:t xml:space="preserve"> </w:t>
      </w:r>
      <w:r w:rsidRPr="00545C20">
        <w:rPr>
          <w:rFonts w:ascii="Verdana" w:hAnsi="Verdana"/>
          <w:sz w:val="14"/>
          <w:szCs w:val="14"/>
        </w:rPr>
        <w:t>el</w:t>
      </w:r>
      <w:r w:rsidRPr="00545C20">
        <w:rPr>
          <w:rFonts w:ascii="Verdana" w:hAnsi="Verdana"/>
          <w:spacing w:val="-2"/>
          <w:sz w:val="14"/>
          <w:szCs w:val="14"/>
        </w:rPr>
        <w:t xml:space="preserve"> </w:t>
      </w:r>
      <w:r w:rsidRPr="00545C20">
        <w:rPr>
          <w:rFonts w:ascii="Verdana" w:hAnsi="Verdana"/>
          <w:sz w:val="14"/>
          <w:szCs w:val="14"/>
        </w:rPr>
        <w:t>parágrafo</w:t>
      </w:r>
      <w:r w:rsidRPr="00545C20">
        <w:rPr>
          <w:rFonts w:ascii="Verdana" w:hAnsi="Verdana"/>
          <w:spacing w:val="-5"/>
          <w:sz w:val="14"/>
          <w:szCs w:val="14"/>
        </w:rPr>
        <w:t xml:space="preserve"> </w:t>
      </w:r>
      <w:r w:rsidRPr="00545C20">
        <w:rPr>
          <w:rFonts w:ascii="Verdana" w:hAnsi="Verdana"/>
          <w:sz w:val="14"/>
          <w:szCs w:val="14"/>
        </w:rPr>
        <w:t>del</w:t>
      </w:r>
      <w:r w:rsidRPr="00545C20">
        <w:rPr>
          <w:rFonts w:ascii="Verdana" w:hAnsi="Verdana"/>
          <w:spacing w:val="-2"/>
          <w:sz w:val="14"/>
          <w:szCs w:val="14"/>
        </w:rPr>
        <w:t xml:space="preserve"> </w:t>
      </w:r>
      <w:r w:rsidRPr="00545C20">
        <w:rPr>
          <w:rFonts w:ascii="Verdana" w:hAnsi="Verdana"/>
          <w:sz w:val="14"/>
          <w:szCs w:val="14"/>
        </w:rPr>
        <w:t>artículo</w:t>
      </w:r>
      <w:r w:rsidRPr="00545C20">
        <w:rPr>
          <w:rFonts w:ascii="Verdana" w:hAnsi="Verdana"/>
          <w:spacing w:val="-5"/>
          <w:sz w:val="14"/>
          <w:szCs w:val="14"/>
        </w:rPr>
        <w:t xml:space="preserve"> </w:t>
      </w:r>
      <w:r w:rsidRPr="00545C20">
        <w:rPr>
          <w:rFonts w:ascii="Verdana" w:hAnsi="Verdana"/>
          <w:sz w:val="14"/>
          <w:szCs w:val="14"/>
        </w:rPr>
        <w:t>14</w:t>
      </w:r>
      <w:r w:rsidRPr="00545C20">
        <w:rPr>
          <w:rFonts w:ascii="Verdana" w:hAnsi="Verdana"/>
          <w:spacing w:val="-5"/>
          <w:sz w:val="14"/>
          <w:szCs w:val="14"/>
        </w:rPr>
        <w:t xml:space="preserve"> </w:t>
      </w:r>
      <w:r w:rsidRPr="00545C20">
        <w:rPr>
          <w:rFonts w:ascii="Verdana" w:hAnsi="Verdana"/>
          <w:sz w:val="14"/>
          <w:szCs w:val="14"/>
        </w:rPr>
        <w:t>de</w:t>
      </w:r>
      <w:r w:rsidRPr="00545C20">
        <w:rPr>
          <w:rFonts w:ascii="Verdana" w:hAnsi="Verdana"/>
          <w:spacing w:val="-3"/>
          <w:sz w:val="14"/>
          <w:szCs w:val="14"/>
        </w:rPr>
        <w:t xml:space="preserve"> </w:t>
      </w:r>
      <w:r w:rsidRPr="00545C20">
        <w:rPr>
          <w:rFonts w:ascii="Verdana" w:hAnsi="Verdana"/>
          <w:sz w:val="14"/>
          <w:szCs w:val="14"/>
        </w:rPr>
        <w:t>la</w:t>
      </w:r>
      <w:r w:rsidRPr="00545C20">
        <w:rPr>
          <w:rFonts w:ascii="Verdana" w:hAnsi="Verdana"/>
          <w:spacing w:val="-4"/>
          <w:sz w:val="14"/>
          <w:szCs w:val="14"/>
        </w:rPr>
        <w:t xml:space="preserve"> </w:t>
      </w:r>
      <w:r w:rsidRPr="00545C20">
        <w:rPr>
          <w:rFonts w:ascii="Verdana" w:hAnsi="Verdana"/>
          <w:sz w:val="14"/>
          <w:szCs w:val="14"/>
        </w:rPr>
        <w:t>Ley</w:t>
      </w:r>
      <w:r w:rsidRPr="00545C20">
        <w:rPr>
          <w:rFonts w:ascii="Verdana" w:hAnsi="Verdana"/>
          <w:spacing w:val="-3"/>
          <w:sz w:val="14"/>
          <w:szCs w:val="14"/>
        </w:rPr>
        <w:t xml:space="preserve"> </w:t>
      </w:r>
      <w:r w:rsidRPr="00545C20">
        <w:rPr>
          <w:rFonts w:ascii="Verdana" w:hAnsi="Verdana"/>
          <w:sz w:val="14"/>
          <w:szCs w:val="14"/>
        </w:rPr>
        <w:t>80</w:t>
      </w:r>
      <w:r w:rsidRPr="00545C20">
        <w:rPr>
          <w:rFonts w:ascii="Verdana" w:hAnsi="Verdana"/>
          <w:spacing w:val="-5"/>
          <w:sz w:val="14"/>
          <w:szCs w:val="14"/>
        </w:rPr>
        <w:t xml:space="preserve"> </w:t>
      </w:r>
      <w:r w:rsidRPr="00545C20">
        <w:rPr>
          <w:rFonts w:ascii="Verdana" w:hAnsi="Verdana"/>
          <w:sz w:val="14"/>
          <w:szCs w:val="14"/>
        </w:rPr>
        <w:t>de</w:t>
      </w:r>
      <w:r w:rsidRPr="00545C20">
        <w:rPr>
          <w:rFonts w:ascii="Verdana" w:hAnsi="Verdana"/>
          <w:spacing w:val="-3"/>
          <w:sz w:val="14"/>
          <w:szCs w:val="14"/>
        </w:rPr>
        <w:t xml:space="preserve"> </w:t>
      </w:r>
      <w:r w:rsidRPr="00545C20">
        <w:rPr>
          <w:rFonts w:ascii="Verdana" w:hAnsi="Verdana"/>
          <w:sz w:val="14"/>
          <w:szCs w:val="14"/>
        </w:rPr>
        <w:t>1993,</w:t>
      </w:r>
      <w:r w:rsidRPr="00545C20">
        <w:rPr>
          <w:rFonts w:ascii="Verdana" w:hAnsi="Verdana"/>
          <w:spacing w:val="-1"/>
          <w:sz w:val="14"/>
          <w:szCs w:val="14"/>
        </w:rPr>
        <w:t xml:space="preserve"> </w:t>
      </w:r>
      <w:r w:rsidRPr="00545C20">
        <w:rPr>
          <w:rFonts w:ascii="Verdana" w:hAnsi="Verdana"/>
          <w:sz w:val="14"/>
          <w:szCs w:val="14"/>
        </w:rPr>
        <w:t>se</w:t>
      </w:r>
      <w:r w:rsidRPr="00545C20">
        <w:rPr>
          <w:rFonts w:ascii="Verdana" w:hAnsi="Verdana"/>
          <w:spacing w:val="-3"/>
          <w:sz w:val="14"/>
          <w:szCs w:val="14"/>
        </w:rPr>
        <w:t xml:space="preserve"> </w:t>
      </w:r>
      <w:r w:rsidRPr="00545C20">
        <w:rPr>
          <w:rFonts w:ascii="Verdana" w:hAnsi="Verdana"/>
          <w:sz w:val="14"/>
          <w:szCs w:val="14"/>
        </w:rPr>
        <w:t>señaló</w:t>
      </w:r>
      <w:r w:rsidRPr="00545C20">
        <w:rPr>
          <w:rFonts w:ascii="Verdana" w:hAnsi="Verdana"/>
          <w:spacing w:val="-5"/>
          <w:sz w:val="14"/>
          <w:szCs w:val="14"/>
        </w:rPr>
        <w:t xml:space="preserve"> </w:t>
      </w:r>
      <w:r w:rsidRPr="00545C20">
        <w:rPr>
          <w:rFonts w:ascii="Verdana" w:hAnsi="Verdana"/>
          <w:sz w:val="14"/>
          <w:szCs w:val="14"/>
        </w:rPr>
        <w:t>que</w:t>
      </w:r>
      <w:r w:rsidRPr="00545C20">
        <w:rPr>
          <w:rFonts w:ascii="Verdana" w:hAnsi="Verdana"/>
          <w:spacing w:val="-3"/>
          <w:sz w:val="14"/>
          <w:szCs w:val="14"/>
        </w:rPr>
        <w:t xml:space="preserve"> </w:t>
      </w:r>
      <w:r w:rsidRPr="00545C20">
        <w:rPr>
          <w:rFonts w:ascii="Verdana" w:hAnsi="Verdana"/>
          <w:sz w:val="14"/>
          <w:szCs w:val="14"/>
        </w:rPr>
        <w:t>“en</w:t>
      </w:r>
      <w:r w:rsidRPr="00545C20">
        <w:rPr>
          <w:rFonts w:ascii="Verdana" w:hAnsi="Verdana"/>
          <w:spacing w:val="-5"/>
          <w:sz w:val="14"/>
          <w:szCs w:val="14"/>
        </w:rPr>
        <w:t xml:space="preserve"> </w:t>
      </w:r>
      <w:r w:rsidRPr="00545C20">
        <w:rPr>
          <w:rFonts w:ascii="Verdana" w:hAnsi="Verdana"/>
          <w:sz w:val="14"/>
          <w:szCs w:val="14"/>
        </w:rPr>
        <w:t>los</w:t>
      </w:r>
      <w:r w:rsidRPr="00545C20">
        <w:rPr>
          <w:rFonts w:ascii="Verdana" w:hAnsi="Verdana"/>
          <w:spacing w:val="-2"/>
          <w:sz w:val="14"/>
          <w:szCs w:val="14"/>
        </w:rPr>
        <w:t xml:space="preserve"> </w:t>
      </w:r>
      <w:r w:rsidRPr="00545C20">
        <w:rPr>
          <w:rFonts w:ascii="Verdana" w:hAnsi="Verdana"/>
          <w:sz w:val="14"/>
          <w:szCs w:val="14"/>
        </w:rPr>
        <w:t>contratos</w:t>
      </w:r>
      <w:r w:rsidRPr="00545C20">
        <w:rPr>
          <w:rFonts w:ascii="Verdana" w:hAnsi="Verdana"/>
          <w:spacing w:val="-2"/>
          <w:sz w:val="14"/>
          <w:szCs w:val="14"/>
        </w:rPr>
        <w:t xml:space="preserve"> </w:t>
      </w:r>
      <w:r w:rsidRPr="00545C20">
        <w:rPr>
          <w:rFonts w:ascii="Verdana" w:hAnsi="Verdana"/>
          <w:sz w:val="14"/>
          <w:szCs w:val="14"/>
        </w:rPr>
        <w:t>que</w:t>
      </w:r>
      <w:r w:rsidRPr="00545C20">
        <w:rPr>
          <w:rFonts w:ascii="Verdana" w:hAnsi="Verdana"/>
          <w:spacing w:val="-3"/>
          <w:sz w:val="14"/>
          <w:szCs w:val="14"/>
        </w:rPr>
        <w:t xml:space="preserve"> </w:t>
      </w:r>
      <w:r w:rsidRPr="00545C20">
        <w:rPr>
          <w:rFonts w:ascii="Verdana" w:hAnsi="Verdana"/>
          <w:sz w:val="14"/>
          <w:szCs w:val="14"/>
        </w:rPr>
        <w:t>tengan</w:t>
      </w:r>
      <w:r w:rsidRPr="00545C20">
        <w:rPr>
          <w:rFonts w:ascii="Verdana" w:hAnsi="Verdana"/>
          <w:spacing w:val="-4"/>
          <w:sz w:val="14"/>
          <w:szCs w:val="14"/>
        </w:rPr>
        <w:t xml:space="preserve"> </w:t>
      </w:r>
      <w:r w:rsidRPr="00545C20">
        <w:rPr>
          <w:rFonts w:ascii="Verdana" w:hAnsi="Verdana"/>
          <w:sz w:val="14"/>
          <w:szCs w:val="14"/>
        </w:rPr>
        <w:t>por objeto</w:t>
      </w:r>
      <w:r w:rsidRPr="00545C20">
        <w:rPr>
          <w:rFonts w:ascii="Verdana" w:hAnsi="Verdana"/>
          <w:spacing w:val="-1"/>
          <w:sz w:val="14"/>
          <w:szCs w:val="14"/>
        </w:rPr>
        <w:t xml:space="preserve"> </w:t>
      </w:r>
      <w:r w:rsidRPr="00545C20">
        <w:rPr>
          <w:rFonts w:ascii="Verdana" w:hAnsi="Verdana"/>
          <w:sz w:val="14"/>
          <w:szCs w:val="14"/>
        </w:rPr>
        <w:t>actividades comerciales o</w:t>
      </w:r>
      <w:r w:rsidRPr="00545C20">
        <w:rPr>
          <w:rFonts w:ascii="Verdana" w:hAnsi="Verdana"/>
          <w:spacing w:val="-1"/>
          <w:sz w:val="14"/>
          <w:szCs w:val="14"/>
        </w:rPr>
        <w:t xml:space="preserve"> </w:t>
      </w:r>
      <w:r w:rsidRPr="00545C20">
        <w:rPr>
          <w:rFonts w:ascii="Verdana" w:hAnsi="Verdana"/>
          <w:sz w:val="14"/>
          <w:szCs w:val="14"/>
        </w:rPr>
        <w:t>industriales de las entidades</w:t>
      </w:r>
      <w:r w:rsidRPr="00545C20">
        <w:rPr>
          <w:rFonts w:ascii="Verdana" w:hAnsi="Verdana"/>
          <w:spacing w:val="-3"/>
          <w:sz w:val="14"/>
          <w:szCs w:val="14"/>
        </w:rPr>
        <w:t xml:space="preserve"> </w:t>
      </w:r>
      <w:r w:rsidRPr="00545C20">
        <w:rPr>
          <w:rFonts w:ascii="Verdana" w:hAnsi="Verdana"/>
          <w:sz w:val="14"/>
          <w:szCs w:val="14"/>
        </w:rPr>
        <w:t>estatales que no</w:t>
      </w:r>
      <w:r w:rsidRPr="00545C20">
        <w:rPr>
          <w:rFonts w:ascii="Verdana" w:hAnsi="Verdana"/>
          <w:spacing w:val="-1"/>
          <w:sz w:val="14"/>
          <w:szCs w:val="14"/>
        </w:rPr>
        <w:t xml:space="preserve"> </w:t>
      </w:r>
      <w:r w:rsidRPr="00545C20">
        <w:rPr>
          <w:rFonts w:ascii="Verdana" w:hAnsi="Verdana"/>
          <w:sz w:val="14"/>
          <w:szCs w:val="14"/>
        </w:rPr>
        <w:t xml:space="preserve">correspondan a las señaladas en el numeral 2º de este artículo (…) se prescindirá de la utilización de las cláusulas o estipulaciones </w:t>
      </w:r>
      <w:r w:rsidRPr="00545C20">
        <w:rPr>
          <w:rFonts w:ascii="Verdana" w:hAnsi="Verdana"/>
          <w:spacing w:val="-2"/>
          <w:sz w:val="14"/>
          <w:szCs w:val="14"/>
        </w:rPr>
        <w:t>excepcionales”.</w:t>
      </w:r>
    </w:p>
  </w:footnote>
  <w:footnote w:id="4">
    <w:p w14:paraId="7EA80901" w14:textId="77777777" w:rsidR="00D35423" w:rsidRPr="00545C20" w:rsidRDefault="00D35423" w:rsidP="00D35423">
      <w:pPr>
        <w:tabs>
          <w:tab w:val="left" w:pos="142"/>
          <w:tab w:val="left" w:pos="8789"/>
        </w:tabs>
        <w:snapToGrid w:val="0"/>
        <w:spacing w:after="0" w:line="240" w:lineRule="auto"/>
        <w:ind w:right="49" w:firstLine="709"/>
        <w:contextualSpacing/>
        <w:jc w:val="both"/>
        <w:rPr>
          <w:rFonts w:ascii="Verdana" w:hAnsi="Verdana"/>
          <w:sz w:val="14"/>
          <w:szCs w:val="14"/>
        </w:rPr>
      </w:pPr>
      <w:r w:rsidRPr="00545C20">
        <w:rPr>
          <w:rStyle w:val="Refdenotaalpie"/>
          <w:rFonts w:ascii="Verdana" w:hAnsi="Verdana"/>
          <w:sz w:val="14"/>
          <w:szCs w:val="14"/>
        </w:rPr>
        <w:footnoteRef/>
      </w:r>
      <w:r w:rsidRPr="00545C20">
        <w:rPr>
          <w:rFonts w:ascii="Verdana" w:hAnsi="Verdana"/>
          <w:sz w:val="14"/>
          <w:szCs w:val="14"/>
        </w:rPr>
        <w:t xml:space="preserve"> </w:t>
      </w:r>
      <w:bookmarkStart w:id="2" w:name="_Hlk199860326"/>
      <w:r w:rsidRPr="00545C20">
        <w:rPr>
          <w:rFonts w:ascii="Verdana" w:hAnsi="Verdana"/>
          <w:sz w:val="14"/>
          <w:szCs w:val="14"/>
        </w:rPr>
        <w:t>Sin perjuicio</w:t>
      </w:r>
      <w:r w:rsidRPr="00545C20">
        <w:rPr>
          <w:rFonts w:ascii="Verdana" w:hAnsi="Verdana"/>
          <w:spacing w:val="-1"/>
          <w:sz w:val="14"/>
          <w:szCs w:val="14"/>
        </w:rPr>
        <w:t xml:space="preserve"> </w:t>
      </w:r>
      <w:r w:rsidRPr="00545C20">
        <w:rPr>
          <w:rFonts w:ascii="Verdana" w:hAnsi="Verdana"/>
          <w:sz w:val="14"/>
          <w:szCs w:val="14"/>
        </w:rPr>
        <w:t>de la regla indicada, es importante</w:t>
      </w:r>
      <w:r w:rsidRPr="00545C20">
        <w:rPr>
          <w:rFonts w:ascii="Verdana" w:hAnsi="Verdana"/>
          <w:spacing w:val="-4"/>
          <w:sz w:val="14"/>
          <w:szCs w:val="14"/>
        </w:rPr>
        <w:t xml:space="preserve"> </w:t>
      </w:r>
      <w:r w:rsidRPr="00545C20">
        <w:rPr>
          <w:rFonts w:ascii="Verdana" w:hAnsi="Verdana"/>
          <w:sz w:val="14"/>
          <w:szCs w:val="14"/>
        </w:rPr>
        <w:t>señalar que el literal</w:t>
      </w:r>
      <w:r w:rsidRPr="00545C20">
        <w:rPr>
          <w:rFonts w:ascii="Verdana" w:hAnsi="Verdana"/>
          <w:spacing w:val="-3"/>
          <w:sz w:val="14"/>
          <w:szCs w:val="14"/>
        </w:rPr>
        <w:t xml:space="preserve"> </w:t>
      </w:r>
      <w:r w:rsidRPr="00545C20">
        <w:rPr>
          <w:rFonts w:ascii="Verdana" w:hAnsi="Verdana"/>
          <w:sz w:val="14"/>
          <w:szCs w:val="14"/>
        </w:rPr>
        <w:t>g, numeral 2, artículo</w:t>
      </w:r>
      <w:r w:rsidRPr="00545C20">
        <w:rPr>
          <w:rFonts w:ascii="Verdana" w:hAnsi="Verdana"/>
          <w:spacing w:val="-1"/>
          <w:sz w:val="14"/>
          <w:szCs w:val="14"/>
        </w:rPr>
        <w:t xml:space="preserve"> </w:t>
      </w:r>
      <w:r w:rsidRPr="00545C20">
        <w:rPr>
          <w:rFonts w:ascii="Verdana" w:hAnsi="Verdana"/>
          <w:sz w:val="14"/>
          <w:szCs w:val="14"/>
        </w:rPr>
        <w:t>2</w:t>
      </w:r>
      <w:r w:rsidRPr="00545C20">
        <w:rPr>
          <w:rFonts w:ascii="Verdana" w:hAnsi="Verdana"/>
          <w:spacing w:val="-1"/>
          <w:sz w:val="14"/>
          <w:szCs w:val="14"/>
        </w:rPr>
        <w:t xml:space="preserve"> </w:t>
      </w:r>
      <w:r w:rsidRPr="00545C20">
        <w:rPr>
          <w:rFonts w:ascii="Verdana" w:hAnsi="Verdana"/>
          <w:sz w:val="14"/>
          <w:szCs w:val="14"/>
        </w:rPr>
        <w:t>de la Ley 1150 de 2007, prevé como causal de selección abreviada: “Los actos y contratos que tengan por objeto directo</w:t>
      </w:r>
      <w:r w:rsidRPr="00545C20">
        <w:rPr>
          <w:rFonts w:ascii="Verdana" w:hAnsi="Verdana"/>
          <w:spacing w:val="-10"/>
          <w:sz w:val="14"/>
          <w:szCs w:val="14"/>
        </w:rPr>
        <w:t xml:space="preserve"> </w:t>
      </w:r>
      <w:r w:rsidRPr="00545C20">
        <w:rPr>
          <w:rFonts w:ascii="Verdana" w:hAnsi="Verdana"/>
          <w:sz w:val="14"/>
          <w:szCs w:val="14"/>
        </w:rPr>
        <w:t>las</w:t>
      </w:r>
      <w:r w:rsidRPr="00545C20">
        <w:rPr>
          <w:rFonts w:ascii="Verdana" w:hAnsi="Verdana"/>
          <w:spacing w:val="-7"/>
          <w:sz w:val="14"/>
          <w:szCs w:val="14"/>
        </w:rPr>
        <w:t xml:space="preserve"> </w:t>
      </w:r>
      <w:r w:rsidRPr="00545C20">
        <w:rPr>
          <w:rFonts w:ascii="Verdana" w:hAnsi="Verdana"/>
          <w:sz w:val="14"/>
          <w:szCs w:val="14"/>
        </w:rPr>
        <w:t>actividades</w:t>
      </w:r>
      <w:r w:rsidRPr="00545C20">
        <w:rPr>
          <w:rFonts w:ascii="Verdana" w:hAnsi="Verdana"/>
          <w:spacing w:val="-7"/>
          <w:sz w:val="14"/>
          <w:szCs w:val="14"/>
        </w:rPr>
        <w:t xml:space="preserve"> </w:t>
      </w:r>
      <w:r w:rsidRPr="00545C20">
        <w:rPr>
          <w:rFonts w:ascii="Verdana" w:hAnsi="Verdana"/>
          <w:sz w:val="14"/>
          <w:szCs w:val="14"/>
        </w:rPr>
        <w:t>comerciales</w:t>
      </w:r>
      <w:r w:rsidRPr="00545C20">
        <w:rPr>
          <w:rFonts w:ascii="Verdana" w:hAnsi="Verdana"/>
          <w:spacing w:val="-7"/>
          <w:sz w:val="14"/>
          <w:szCs w:val="14"/>
        </w:rPr>
        <w:t xml:space="preserve"> </w:t>
      </w:r>
      <w:r w:rsidRPr="00545C20">
        <w:rPr>
          <w:rFonts w:ascii="Verdana" w:hAnsi="Verdana"/>
          <w:sz w:val="14"/>
          <w:szCs w:val="14"/>
        </w:rPr>
        <w:t>e</w:t>
      </w:r>
      <w:r w:rsidRPr="00545C20">
        <w:rPr>
          <w:rFonts w:ascii="Verdana" w:hAnsi="Verdana"/>
          <w:spacing w:val="-8"/>
          <w:sz w:val="14"/>
          <w:szCs w:val="14"/>
        </w:rPr>
        <w:t xml:space="preserve"> </w:t>
      </w:r>
      <w:r w:rsidRPr="00545C20">
        <w:rPr>
          <w:rFonts w:ascii="Verdana" w:hAnsi="Verdana"/>
          <w:sz w:val="14"/>
          <w:szCs w:val="14"/>
        </w:rPr>
        <w:t>industriales</w:t>
      </w:r>
      <w:r w:rsidRPr="00545C20">
        <w:rPr>
          <w:rFonts w:ascii="Verdana" w:hAnsi="Verdana"/>
          <w:spacing w:val="-7"/>
          <w:sz w:val="14"/>
          <w:szCs w:val="14"/>
        </w:rPr>
        <w:t xml:space="preserve"> </w:t>
      </w:r>
      <w:r w:rsidRPr="00545C20">
        <w:rPr>
          <w:rFonts w:ascii="Verdana" w:hAnsi="Verdana"/>
          <w:sz w:val="14"/>
          <w:szCs w:val="14"/>
        </w:rPr>
        <w:t>propias</w:t>
      </w:r>
      <w:r w:rsidRPr="00545C20">
        <w:rPr>
          <w:rFonts w:ascii="Verdana" w:hAnsi="Verdana"/>
          <w:spacing w:val="-7"/>
          <w:sz w:val="14"/>
          <w:szCs w:val="14"/>
        </w:rPr>
        <w:t xml:space="preserve"> </w:t>
      </w:r>
      <w:r w:rsidRPr="00545C20">
        <w:rPr>
          <w:rFonts w:ascii="Verdana" w:hAnsi="Verdana"/>
          <w:sz w:val="14"/>
          <w:szCs w:val="14"/>
        </w:rPr>
        <w:t>de</w:t>
      </w:r>
      <w:r w:rsidRPr="00545C20">
        <w:rPr>
          <w:rFonts w:ascii="Verdana" w:hAnsi="Verdana"/>
          <w:spacing w:val="-8"/>
          <w:sz w:val="14"/>
          <w:szCs w:val="14"/>
        </w:rPr>
        <w:t xml:space="preserve"> </w:t>
      </w:r>
      <w:r w:rsidRPr="00545C20">
        <w:rPr>
          <w:rFonts w:ascii="Verdana" w:hAnsi="Verdana"/>
          <w:sz w:val="14"/>
          <w:szCs w:val="14"/>
        </w:rPr>
        <w:t>las</w:t>
      </w:r>
      <w:r w:rsidRPr="00545C20">
        <w:rPr>
          <w:rFonts w:ascii="Verdana" w:hAnsi="Verdana"/>
          <w:spacing w:val="-7"/>
          <w:sz w:val="14"/>
          <w:szCs w:val="14"/>
        </w:rPr>
        <w:t xml:space="preserve"> </w:t>
      </w:r>
      <w:r w:rsidRPr="00545C20">
        <w:rPr>
          <w:rFonts w:ascii="Verdana" w:hAnsi="Verdana"/>
          <w:sz w:val="14"/>
          <w:szCs w:val="14"/>
        </w:rPr>
        <w:t>Empresas</w:t>
      </w:r>
      <w:r w:rsidRPr="00545C20">
        <w:rPr>
          <w:rFonts w:ascii="Verdana" w:hAnsi="Verdana"/>
          <w:spacing w:val="-7"/>
          <w:sz w:val="14"/>
          <w:szCs w:val="14"/>
        </w:rPr>
        <w:t xml:space="preserve"> </w:t>
      </w:r>
      <w:r w:rsidRPr="00545C20">
        <w:rPr>
          <w:rFonts w:ascii="Verdana" w:hAnsi="Verdana"/>
          <w:sz w:val="14"/>
          <w:szCs w:val="14"/>
        </w:rPr>
        <w:t>Industriales</w:t>
      </w:r>
      <w:r w:rsidRPr="00545C20">
        <w:rPr>
          <w:rFonts w:ascii="Verdana" w:hAnsi="Verdana"/>
          <w:spacing w:val="-7"/>
          <w:sz w:val="14"/>
          <w:szCs w:val="14"/>
        </w:rPr>
        <w:t xml:space="preserve"> </w:t>
      </w:r>
      <w:r w:rsidRPr="00545C20">
        <w:rPr>
          <w:rFonts w:ascii="Verdana" w:hAnsi="Verdana"/>
          <w:sz w:val="14"/>
          <w:szCs w:val="14"/>
        </w:rPr>
        <w:t>y</w:t>
      </w:r>
      <w:r w:rsidRPr="00545C20">
        <w:rPr>
          <w:rFonts w:ascii="Verdana" w:hAnsi="Verdana"/>
          <w:spacing w:val="-8"/>
          <w:sz w:val="14"/>
          <w:szCs w:val="14"/>
        </w:rPr>
        <w:t xml:space="preserve"> </w:t>
      </w:r>
      <w:r w:rsidRPr="00545C20">
        <w:rPr>
          <w:rFonts w:ascii="Verdana" w:hAnsi="Verdana"/>
          <w:sz w:val="14"/>
          <w:szCs w:val="14"/>
        </w:rPr>
        <w:t>Comerciales</w:t>
      </w:r>
      <w:r w:rsidRPr="00545C20">
        <w:rPr>
          <w:rFonts w:ascii="Verdana" w:hAnsi="Verdana"/>
          <w:spacing w:val="-7"/>
          <w:sz w:val="14"/>
          <w:szCs w:val="14"/>
        </w:rPr>
        <w:t xml:space="preserve"> </w:t>
      </w:r>
      <w:r w:rsidRPr="00545C20">
        <w:rPr>
          <w:rFonts w:ascii="Verdana" w:hAnsi="Verdana"/>
          <w:sz w:val="14"/>
          <w:szCs w:val="14"/>
        </w:rPr>
        <w:t>Estatales y de las Sociedades de Economía Mixta, con excepción de los contratos que a título enunciativo identifica el artículo</w:t>
      </w:r>
      <w:r w:rsidRPr="00545C20">
        <w:rPr>
          <w:rFonts w:ascii="Verdana" w:hAnsi="Verdana"/>
          <w:spacing w:val="-15"/>
          <w:sz w:val="14"/>
          <w:szCs w:val="14"/>
        </w:rPr>
        <w:t xml:space="preserve"> </w:t>
      </w:r>
      <w:r w:rsidRPr="00545C20">
        <w:rPr>
          <w:rFonts w:ascii="Verdana" w:hAnsi="Verdana"/>
          <w:sz w:val="14"/>
          <w:szCs w:val="14"/>
        </w:rPr>
        <w:t>32</w:t>
      </w:r>
      <w:r w:rsidRPr="00545C20">
        <w:rPr>
          <w:rFonts w:ascii="Verdana" w:hAnsi="Verdana"/>
          <w:spacing w:val="-14"/>
          <w:sz w:val="14"/>
          <w:szCs w:val="14"/>
        </w:rPr>
        <w:t xml:space="preserve"> </w:t>
      </w:r>
      <w:r w:rsidRPr="00545C20">
        <w:rPr>
          <w:rFonts w:ascii="Verdana" w:hAnsi="Verdana"/>
          <w:sz w:val="14"/>
          <w:szCs w:val="14"/>
        </w:rPr>
        <w:t>de</w:t>
      </w:r>
      <w:r w:rsidRPr="00545C20">
        <w:rPr>
          <w:rFonts w:ascii="Verdana" w:hAnsi="Verdana"/>
          <w:spacing w:val="-14"/>
          <w:sz w:val="14"/>
          <w:szCs w:val="14"/>
        </w:rPr>
        <w:t xml:space="preserve"> </w:t>
      </w:r>
      <w:r w:rsidRPr="00545C20">
        <w:rPr>
          <w:rFonts w:ascii="Verdana" w:hAnsi="Verdana"/>
          <w:sz w:val="14"/>
          <w:szCs w:val="14"/>
        </w:rPr>
        <w:t>la</w:t>
      </w:r>
      <w:r w:rsidRPr="00545C20">
        <w:rPr>
          <w:rFonts w:ascii="Verdana" w:hAnsi="Verdana"/>
          <w:spacing w:val="-14"/>
          <w:sz w:val="14"/>
          <w:szCs w:val="14"/>
        </w:rPr>
        <w:t xml:space="preserve"> </w:t>
      </w:r>
      <w:r w:rsidRPr="00545C20">
        <w:rPr>
          <w:rFonts w:ascii="Verdana" w:hAnsi="Verdana"/>
          <w:sz w:val="14"/>
          <w:szCs w:val="14"/>
        </w:rPr>
        <w:t>Ley</w:t>
      </w:r>
      <w:r w:rsidRPr="00545C20">
        <w:rPr>
          <w:rFonts w:ascii="Verdana" w:hAnsi="Verdana"/>
          <w:spacing w:val="-14"/>
          <w:sz w:val="14"/>
          <w:szCs w:val="14"/>
        </w:rPr>
        <w:t xml:space="preserve"> </w:t>
      </w:r>
      <w:r w:rsidRPr="00545C20">
        <w:rPr>
          <w:rFonts w:ascii="Verdana" w:hAnsi="Verdana"/>
          <w:sz w:val="14"/>
          <w:szCs w:val="14"/>
        </w:rPr>
        <w:t>80</w:t>
      </w:r>
      <w:r w:rsidRPr="00545C20">
        <w:rPr>
          <w:rFonts w:ascii="Verdana" w:hAnsi="Verdana"/>
          <w:spacing w:val="-14"/>
          <w:sz w:val="14"/>
          <w:szCs w:val="14"/>
        </w:rPr>
        <w:t xml:space="preserve"> </w:t>
      </w:r>
      <w:r w:rsidRPr="00545C20">
        <w:rPr>
          <w:rFonts w:ascii="Verdana" w:hAnsi="Verdana"/>
          <w:sz w:val="14"/>
          <w:szCs w:val="14"/>
        </w:rPr>
        <w:t>de</w:t>
      </w:r>
      <w:r w:rsidRPr="00545C20">
        <w:rPr>
          <w:rFonts w:ascii="Verdana" w:hAnsi="Verdana"/>
          <w:spacing w:val="-14"/>
          <w:sz w:val="14"/>
          <w:szCs w:val="14"/>
        </w:rPr>
        <w:t xml:space="preserve"> </w:t>
      </w:r>
      <w:r w:rsidRPr="00545C20">
        <w:rPr>
          <w:rFonts w:ascii="Verdana" w:hAnsi="Verdana"/>
          <w:sz w:val="14"/>
          <w:szCs w:val="14"/>
        </w:rPr>
        <w:t>1993</w:t>
      </w:r>
      <w:r w:rsidRPr="00545C20">
        <w:rPr>
          <w:rFonts w:ascii="Verdana" w:hAnsi="Verdana"/>
          <w:spacing w:val="-14"/>
          <w:sz w:val="14"/>
          <w:szCs w:val="14"/>
        </w:rPr>
        <w:t xml:space="preserve"> </w:t>
      </w:r>
      <w:r w:rsidRPr="00545C20">
        <w:rPr>
          <w:rFonts w:ascii="Verdana" w:hAnsi="Verdana"/>
          <w:sz w:val="14"/>
          <w:szCs w:val="14"/>
        </w:rPr>
        <w:t>[obra,</w:t>
      </w:r>
      <w:r w:rsidRPr="00545C20">
        <w:rPr>
          <w:rFonts w:ascii="Verdana" w:hAnsi="Verdana"/>
          <w:spacing w:val="-14"/>
          <w:sz w:val="14"/>
          <w:szCs w:val="14"/>
        </w:rPr>
        <w:t xml:space="preserve"> </w:t>
      </w:r>
      <w:r w:rsidRPr="00545C20">
        <w:rPr>
          <w:rFonts w:ascii="Verdana" w:hAnsi="Verdana"/>
          <w:sz w:val="14"/>
          <w:szCs w:val="14"/>
        </w:rPr>
        <w:t>concesión,</w:t>
      </w:r>
      <w:r w:rsidRPr="00545C20">
        <w:rPr>
          <w:rFonts w:ascii="Verdana" w:hAnsi="Verdana"/>
          <w:spacing w:val="-14"/>
          <w:sz w:val="14"/>
          <w:szCs w:val="14"/>
        </w:rPr>
        <w:t xml:space="preserve"> </w:t>
      </w:r>
      <w:r w:rsidRPr="00545C20">
        <w:rPr>
          <w:rFonts w:ascii="Verdana" w:hAnsi="Verdana"/>
          <w:sz w:val="14"/>
          <w:szCs w:val="14"/>
        </w:rPr>
        <w:t>prestación</w:t>
      </w:r>
      <w:r w:rsidRPr="00545C20">
        <w:rPr>
          <w:rFonts w:ascii="Verdana" w:hAnsi="Verdana"/>
          <w:spacing w:val="-14"/>
          <w:sz w:val="14"/>
          <w:szCs w:val="14"/>
        </w:rPr>
        <w:t xml:space="preserve"> </w:t>
      </w:r>
      <w:r w:rsidRPr="00545C20">
        <w:rPr>
          <w:rFonts w:ascii="Verdana" w:hAnsi="Verdana"/>
          <w:sz w:val="14"/>
          <w:szCs w:val="14"/>
        </w:rPr>
        <w:t>de</w:t>
      </w:r>
      <w:r w:rsidRPr="00545C20">
        <w:rPr>
          <w:rFonts w:ascii="Verdana" w:hAnsi="Verdana"/>
          <w:spacing w:val="-14"/>
          <w:sz w:val="14"/>
          <w:szCs w:val="14"/>
        </w:rPr>
        <w:t xml:space="preserve"> </w:t>
      </w:r>
      <w:r w:rsidRPr="00545C20">
        <w:rPr>
          <w:rFonts w:ascii="Verdana" w:hAnsi="Verdana"/>
          <w:sz w:val="14"/>
          <w:szCs w:val="14"/>
        </w:rPr>
        <w:t>servicios,</w:t>
      </w:r>
      <w:r w:rsidRPr="00545C20">
        <w:rPr>
          <w:rFonts w:ascii="Verdana" w:hAnsi="Verdana"/>
          <w:spacing w:val="-14"/>
          <w:sz w:val="14"/>
          <w:szCs w:val="14"/>
        </w:rPr>
        <w:t xml:space="preserve"> </w:t>
      </w:r>
      <w:r w:rsidRPr="00545C20">
        <w:rPr>
          <w:rFonts w:ascii="Verdana" w:hAnsi="Verdana"/>
          <w:sz w:val="14"/>
          <w:szCs w:val="14"/>
        </w:rPr>
        <w:t>consultoría,</w:t>
      </w:r>
      <w:r w:rsidRPr="00545C20">
        <w:rPr>
          <w:rFonts w:ascii="Verdana" w:hAnsi="Verdana"/>
          <w:spacing w:val="-14"/>
          <w:sz w:val="14"/>
          <w:szCs w:val="14"/>
        </w:rPr>
        <w:t xml:space="preserve"> </w:t>
      </w:r>
      <w:r w:rsidRPr="00545C20">
        <w:rPr>
          <w:rFonts w:ascii="Verdana" w:hAnsi="Verdana"/>
          <w:sz w:val="14"/>
          <w:szCs w:val="14"/>
        </w:rPr>
        <w:t>fiducia</w:t>
      </w:r>
      <w:r w:rsidRPr="00545C20">
        <w:rPr>
          <w:rFonts w:ascii="Verdana" w:hAnsi="Verdana"/>
          <w:spacing w:val="-14"/>
          <w:sz w:val="14"/>
          <w:szCs w:val="14"/>
        </w:rPr>
        <w:t xml:space="preserve"> </w:t>
      </w:r>
      <w:r w:rsidRPr="00545C20">
        <w:rPr>
          <w:rFonts w:ascii="Verdana" w:hAnsi="Verdana"/>
          <w:sz w:val="14"/>
          <w:szCs w:val="14"/>
        </w:rPr>
        <w:t>pública]”.</w:t>
      </w:r>
      <w:r w:rsidRPr="00545C20">
        <w:rPr>
          <w:rFonts w:ascii="Verdana" w:hAnsi="Verdana"/>
          <w:spacing w:val="-15"/>
          <w:sz w:val="14"/>
          <w:szCs w:val="14"/>
        </w:rPr>
        <w:t xml:space="preserve"> </w:t>
      </w:r>
      <w:r w:rsidRPr="00545C20">
        <w:rPr>
          <w:rFonts w:ascii="Verdana" w:hAnsi="Verdana"/>
          <w:sz w:val="14"/>
          <w:szCs w:val="14"/>
        </w:rPr>
        <w:t>g)</w:t>
      </w:r>
      <w:r w:rsidRPr="00545C20">
        <w:rPr>
          <w:rFonts w:ascii="Verdana" w:hAnsi="Verdana"/>
          <w:spacing w:val="23"/>
          <w:sz w:val="14"/>
          <w:szCs w:val="14"/>
        </w:rPr>
        <w:t xml:space="preserve"> </w:t>
      </w:r>
      <w:r w:rsidRPr="00545C20">
        <w:rPr>
          <w:rFonts w:ascii="Verdana" w:hAnsi="Verdana"/>
          <w:sz w:val="14"/>
          <w:szCs w:val="14"/>
        </w:rPr>
        <w:t>Los actos y contratos que tengan por objeto directo las actividades comerciales e industriales propias de las Empresas Industriales y Comerciales Estatales y de las Sociedades de Economía Mixta, con excepción de los contratos</w:t>
      </w:r>
      <w:r w:rsidRPr="00545C20">
        <w:rPr>
          <w:rFonts w:ascii="Verdana" w:hAnsi="Verdana"/>
          <w:spacing w:val="-6"/>
          <w:sz w:val="14"/>
          <w:szCs w:val="14"/>
        </w:rPr>
        <w:t xml:space="preserve"> </w:t>
      </w:r>
      <w:r w:rsidRPr="00545C20">
        <w:rPr>
          <w:rFonts w:ascii="Verdana" w:hAnsi="Verdana"/>
          <w:sz w:val="14"/>
          <w:szCs w:val="14"/>
        </w:rPr>
        <w:t>que</w:t>
      </w:r>
      <w:r w:rsidRPr="00545C20">
        <w:rPr>
          <w:rFonts w:ascii="Verdana" w:hAnsi="Verdana"/>
          <w:spacing w:val="-7"/>
          <w:sz w:val="14"/>
          <w:szCs w:val="14"/>
        </w:rPr>
        <w:t xml:space="preserve"> </w:t>
      </w:r>
      <w:r w:rsidRPr="00545C20">
        <w:rPr>
          <w:rFonts w:ascii="Verdana" w:hAnsi="Verdana"/>
          <w:sz w:val="14"/>
          <w:szCs w:val="14"/>
        </w:rPr>
        <w:t>a</w:t>
      </w:r>
      <w:r w:rsidRPr="00545C20">
        <w:rPr>
          <w:rFonts w:ascii="Verdana" w:hAnsi="Verdana"/>
          <w:spacing w:val="-3"/>
          <w:sz w:val="14"/>
          <w:szCs w:val="14"/>
        </w:rPr>
        <w:t xml:space="preserve"> </w:t>
      </w:r>
      <w:r w:rsidRPr="00545C20">
        <w:rPr>
          <w:rFonts w:ascii="Verdana" w:hAnsi="Verdana"/>
          <w:sz w:val="14"/>
          <w:szCs w:val="14"/>
        </w:rPr>
        <w:t>título</w:t>
      </w:r>
      <w:r w:rsidRPr="00545C20">
        <w:rPr>
          <w:rFonts w:ascii="Verdana" w:hAnsi="Verdana"/>
          <w:spacing w:val="-9"/>
          <w:sz w:val="14"/>
          <w:szCs w:val="14"/>
        </w:rPr>
        <w:t xml:space="preserve"> </w:t>
      </w:r>
      <w:r w:rsidRPr="00545C20">
        <w:rPr>
          <w:rFonts w:ascii="Verdana" w:hAnsi="Verdana"/>
          <w:sz w:val="14"/>
          <w:szCs w:val="14"/>
        </w:rPr>
        <w:t>enunciativo</w:t>
      </w:r>
      <w:r w:rsidRPr="00545C20">
        <w:rPr>
          <w:rFonts w:ascii="Verdana" w:hAnsi="Verdana"/>
          <w:spacing w:val="-9"/>
          <w:sz w:val="14"/>
          <w:szCs w:val="14"/>
        </w:rPr>
        <w:t xml:space="preserve"> </w:t>
      </w:r>
      <w:r w:rsidRPr="00545C20">
        <w:rPr>
          <w:rFonts w:ascii="Verdana" w:hAnsi="Verdana"/>
          <w:sz w:val="14"/>
          <w:szCs w:val="14"/>
        </w:rPr>
        <w:t>identifica</w:t>
      </w:r>
      <w:r w:rsidRPr="00545C20">
        <w:rPr>
          <w:rFonts w:ascii="Verdana" w:hAnsi="Verdana"/>
          <w:spacing w:val="-8"/>
          <w:sz w:val="14"/>
          <w:szCs w:val="14"/>
        </w:rPr>
        <w:t xml:space="preserve"> </w:t>
      </w:r>
      <w:r w:rsidRPr="00545C20">
        <w:rPr>
          <w:rFonts w:ascii="Verdana" w:hAnsi="Verdana"/>
          <w:sz w:val="14"/>
          <w:szCs w:val="14"/>
        </w:rPr>
        <w:t>el</w:t>
      </w:r>
      <w:r w:rsidRPr="00545C20">
        <w:rPr>
          <w:rFonts w:ascii="Verdana" w:hAnsi="Verdana"/>
          <w:spacing w:val="-1"/>
          <w:sz w:val="14"/>
          <w:szCs w:val="14"/>
        </w:rPr>
        <w:t xml:space="preserve"> </w:t>
      </w:r>
      <w:r w:rsidRPr="00545C20">
        <w:rPr>
          <w:rFonts w:ascii="Verdana" w:hAnsi="Verdana"/>
          <w:sz w:val="14"/>
          <w:szCs w:val="14"/>
        </w:rPr>
        <w:t>artículo</w:t>
      </w:r>
      <w:r w:rsidRPr="00545C20">
        <w:rPr>
          <w:rFonts w:ascii="Verdana" w:hAnsi="Verdana"/>
          <w:spacing w:val="-9"/>
          <w:sz w:val="14"/>
          <w:szCs w:val="14"/>
        </w:rPr>
        <w:t xml:space="preserve"> </w:t>
      </w:r>
      <w:r w:rsidRPr="00545C20">
        <w:rPr>
          <w:rFonts w:ascii="Verdana" w:hAnsi="Verdana"/>
          <w:sz w:val="14"/>
          <w:szCs w:val="14"/>
        </w:rPr>
        <w:t>32</w:t>
      </w:r>
      <w:r w:rsidRPr="00545C20">
        <w:rPr>
          <w:rFonts w:ascii="Verdana" w:hAnsi="Verdana"/>
          <w:spacing w:val="-4"/>
          <w:sz w:val="14"/>
          <w:szCs w:val="14"/>
        </w:rPr>
        <w:t xml:space="preserve"> </w:t>
      </w:r>
      <w:r w:rsidRPr="00545C20">
        <w:rPr>
          <w:rFonts w:ascii="Verdana" w:hAnsi="Verdana"/>
          <w:sz w:val="14"/>
          <w:szCs w:val="14"/>
        </w:rPr>
        <w:t>de</w:t>
      </w:r>
      <w:r w:rsidRPr="00545C20">
        <w:rPr>
          <w:rFonts w:ascii="Verdana" w:hAnsi="Verdana"/>
          <w:spacing w:val="-7"/>
          <w:sz w:val="14"/>
          <w:szCs w:val="14"/>
        </w:rPr>
        <w:t xml:space="preserve"> </w:t>
      </w:r>
      <w:r w:rsidRPr="00545C20">
        <w:rPr>
          <w:rFonts w:ascii="Verdana" w:hAnsi="Verdana"/>
          <w:sz w:val="14"/>
          <w:szCs w:val="14"/>
        </w:rPr>
        <w:t>la Ley</w:t>
      </w:r>
      <w:r w:rsidRPr="00545C20">
        <w:rPr>
          <w:rFonts w:ascii="Verdana" w:hAnsi="Verdana"/>
          <w:spacing w:val="-7"/>
          <w:sz w:val="14"/>
          <w:szCs w:val="14"/>
        </w:rPr>
        <w:t xml:space="preserve"> </w:t>
      </w:r>
      <w:r w:rsidRPr="00545C20">
        <w:rPr>
          <w:rFonts w:ascii="Verdana" w:hAnsi="Verdana"/>
          <w:sz w:val="14"/>
          <w:szCs w:val="14"/>
        </w:rPr>
        <w:t>80</w:t>
      </w:r>
      <w:r w:rsidRPr="00545C20">
        <w:rPr>
          <w:rFonts w:ascii="Verdana" w:hAnsi="Verdana"/>
          <w:spacing w:val="-4"/>
          <w:sz w:val="14"/>
          <w:szCs w:val="14"/>
        </w:rPr>
        <w:t xml:space="preserve"> </w:t>
      </w:r>
      <w:r w:rsidRPr="00545C20">
        <w:rPr>
          <w:rFonts w:ascii="Verdana" w:hAnsi="Verdana"/>
          <w:sz w:val="14"/>
          <w:szCs w:val="14"/>
        </w:rPr>
        <w:t>de</w:t>
      </w:r>
      <w:r w:rsidRPr="00545C20">
        <w:rPr>
          <w:rFonts w:ascii="Verdana" w:hAnsi="Verdana"/>
          <w:spacing w:val="-2"/>
          <w:sz w:val="14"/>
          <w:szCs w:val="14"/>
        </w:rPr>
        <w:t xml:space="preserve"> </w:t>
      </w:r>
      <w:r w:rsidRPr="00545C20">
        <w:rPr>
          <w:rFonts w:ascii="Verdana" w:hAnsi="Verdana"/>
          <w:sz w:val="14"/>
          <w:szCs w:val="14"/>
        </w:rPr>
        <w:t>1993.</w:t>
      </w:r>
      <w:bookmarkEnd w:id="2"/>
    </w:p>
  </w:footnote>
  <w:footnote w:id="5">
    <w:p w14:paraId="0F6E5850" w14:textId="77777777" w:rsidR="00D35423" w:rsidRPr="00545C20" w:rsidRDefault="00D35423" w:rsidP="00D35423">
      <w:pPr>
        <w:pStyle w:val="Textonotapie"/>
        <w:snapToGrid w:val="0"/>
        <w:ind w:right="49" w:firstLine="709"/>
        <w:contextualSpacing/>
        <w:jc w:val="both"/>
        <w:rPr>
          <w:rFonts w:ascii="Verdana" w:hAnsi="Verdana"/>
          <w:sz w:val="14"/>
          <w:szCs w:val="14"/>
        </w:rPr>
      </w:pPr>
      <w:r w:rsidRPr="00545C20">
        <w:rPr>
          <w:rStyle w:val="Refdenotaalpie"/>
          <w:rFonts w:ascii="Verdana" w:hAnsi="Verdana"/>
          <w:sz w:val="14"/>
          <w:szCs w:val="14"/>
        </w:rPr>
        <w:footnoteRef/>
      </w:r>
      <w:r w:rsidRPr="00545C20">
        <w:rPr>
          <w:rFonts w:ascii="Verdana" w:hAnsi="Verdana"/>
          <w:sz w:val="14"/>
          <w:szCs w:val="14"/>
        </w:rPr>
        <w:t xml:space="preserve"> El artículo</w:t>
      </w:r>
      <w:r w:rsidRPr="00545C20">
        <w:rPr>
          <w:rFonts w:ascii="Verdana" w:hAnsi="Verdana"/>
          <w:spacing w:val="-2"/>
          <w:sz w:val="14"/>
          <w:szCs w:val="14"/>
        </w:rPr>
        <w:t xml:space="preserve"> </w:t>
      </w:r>
      <w:r w:rsidRPr="00545C20">
        <w:rPr>
          <w:rFonts w:ascii="Verdana" w:hAnsi="Verdana"/>
          <w:sz w:val="14"/>
          <w:szCs w:val="14"/>
        </w:rPr>
        <w:t>14</w:t>
      </w:r>
      <w:r w:rsidRPr="00545C20">
        <w:rPr>
          <w:rFonts w:ascii="Verdana" w:hAnsi="Verdana"/>
          <w:spacing w:val="-2"/>
          <w:sz w:val="14"/>
          <w:szCs w:val="14"/>
        </w:rPr>
        <w:t xml:space="preserve"> </w:t>
      </w:r>
      <w:r w:rsidRPr="00545C20">
        <w:rPr>
          <w:rFonts w:ascii="Verdana" w:hAnsi="Verdana"/>
          <w:sz w:val="14"/>
          <w:szCs w:val="14"/>
        </w:rPr>
        <w:t>original de la</w:t>
      </w:r>
      <w:r w:rsidRPr="00545C20">
        <w:rPr>
          <w:rFonts w:ascii="Verdana" w:hAnsi="Verdana"/>
          <w:spacing w:val="-1"/>
          <w:sz w:val="14"/>
          <w:szCs w:val="14"/>
        </w:rPr>
        <w:t xml:space="preserve"> </w:t>
      </w:r>
      <w:r w:rsidRPr="00545C20">
        <w:rPr>
          <w:rFonts w:ascii="Verdana" w:hAnsi="Verdana"/>
          <w:sz w:val="14"/>
          <w:szCs w:val="14"/>
        </w:rPr>
        <w:t>Ley 1150</w:t>
      </w:r>
      <w:r w:rsidRPr="00545C20">
        <w:rPr>
          <w:rFonts w:ascii="Verdana" w:hAnsi="Verdana"/>
          <w:spacing w:val="-2"/>
          <w:sz w:val="14"/>
          <w:szCs w:val="14"/>
        </w:rPr>
        <w:t xml:space="preserve"> </w:t>
      </w:r>
      <w:r w:rsidRPr="00545C20">
        <w:rPr>
          <w:rFonts w:ascii="Verdana" w:hAnsi="Verdana"/>
          <w:sz w:val="14"/>
          <w:szCs w:val="14"/>
        </w:rPr>
        <w:t>de 2007</w:t>
      </w:r>
      <w:r w:rsidRPr="00545C20">
        <w:rPr>
          <w:rFonts w:ascii="Verdana" w:hAnsi="Verdana"/>
          <w:spacing w:val="-2"/>
          <w:sz w:val="14"/>
          <w:szCs w:val="14"/>
        </w:rPr>
        <w:t xml:space="preserve"> </w:t>
      </w:r>
      <w:r w:rsidRPr="00545C20">
        <w:rPr>
          <w:rFonts w:ascii="Verdana" w:hAnsi="Verdana"/>
          <w:sz w:val="14"/>
          <w:szCs w:val="14"/>
        </w:rPr>
        <w:t>excluía</w:t>
      </w:r>
      <w:r w:rsidRPr="00545C20">
        <w:rPr>
          <w:rFonts w:ascii="Verdana" w:hAnsi="Verdana"/>
          <w:spacing w:val="-1"/>
          <w:sz w:val="14"/>
          <w:szCs w:val="14"/>
        </w:rPr>
        <w:t xml:space="preserve"> </w:t>
      </w:r>
      <w:r w:rsidRPr="00545C20">
        <w:rPr>
          <w:rFonts w:ascii="Verdana" w:hAnsi="Verdana"/>
          <w:sz w:val="14"/>
          <w:szCs w:val="14"/>
        </w:rPr>
        <w:t>además aquellas cuya</w:t>
      </w:r>
      <w:r w:rsidRPr="00545C20">
        <w:rPr>
          <w:rFonts w:ascii="Verdana" w:hAnsi="Verdana"/>
          <w:spacing w:val="-1"/>
          <w:sz w:val="14"/>
          <w:szCs w:val="14"/>
        </w:rPr>
        <w:t xml:space="preserve"> </w:t>
      </w:r>
      <w:r w:rsidRPr="00545C20">
        <w:rPr>
          <w:rFonts w:ascii="Verdana" w:hAnsi="Verdana"/>
          <w:sz w:val="14"/>
          <w:szCs w:val="14"/>
        </w:rPr>
        <w:t>actividad</w:t>
      </w:r>
      <w:r w:rsidRPr="00545C20">
        <w:rPr>
          <w:rFonts w:ascii="Verdana" w:hAnsi="Verdana"/>
          <w:spacing w:val="-5"/>
          <w:sz w:val="14"/>
          <w:szCs w:val="14"/>
        </w:rPr>
        <w:t xml:space="preserve"> </w:t>
      </w:r>
      <w:r w:rsidRPr="00545C20">
        <w:rPr>
          <w:rFonts w:ascii="Verdana" w:hAnsi="Verdana"/>
          <w:sz w:val="14"/>
          <w:szCs w:val="14"/>
        </w:rPr>
        <w:t>se realizaba en</w:t>
      </w:r>
      <w:r w:rsidRPr="00545C20">
        <w:rPr>
          <w:rFonts w:ascii="Verdana" w:hAnsi="Verdana"/>
          <w:spacing w:val="-6"/>
          <w:sz w:val="14"/>
          <w:szCs w:val="14"/>
        </w:rPr>
        <w:t xml:space="preserve"> </w:t>
      </w:r>
      <w:r w:rsidRPr="00545C20">
        <w:rPr>
          <w:rFonts w:ascii="Verdana" w:hAnsi="Verdana"/>
          <w:sz w:val="14"/>
          <w:szCs w:val="14"/>
        </w:rPr>
        <w:t>“mercados</w:t>
      </w:r>
      <w:r w:rsidRPr="00545C20">
        <w:rPr>
          <w:rFonts w:ascii="Verdana" w:hAnsi="Verdana"/>
          <w:spacing w:val="-3"/>
          <w:sz w:val="14"/>
          <w:szCs w:val="14"/>
        </w:rPr>
        <w:t xml:space="preserve"> </w:t>
      </w:r>
      <w:r w:rsidRPr="00545C20">
        <w:rPr>
          <w:rFonts w:ascii="Verdana" w:hAnsi="Verdana"/>
          <w:sz w:val="14"/>
          <w:szCs w:val="14"/>
        </w:rPr>
        <w:t>monopolísticos”,</w:t>
      </w:r>
      <w:r w:rsidRPr="00545C20">
        <w:rPr>
          <w:rFonts w:ascii="Verdana" w:hAnsi="Verdana"/>
          <w:spacing w:val="-2"/>
          <w:sz w:val="14"/>
          <w:szCs w:val="14"/>
        </w:rPr>
        <w:t xml:space="preserve"> </w:t>
      </w:r>
      <w:r w:rsidRPr="00545C20">
        <w:rPr>
          <w:rFonts w:ascii="Verdana" w:hAnsi="Verdana"/>
          <w:sz w:val="14"/>
          <w:szCs w:val="14"/>
        </w:rPr>
        <w:t>pero,</w:t>
      </w:r>
      <w:r w:rsidRPr="00545C20">
        <w:rPr>
          <w:rFonts w:ascii="Verdana" w:hAnsi="Verdana"/>
          <w:spacing w:val="-2"/>
          <w:sz w:val="14"/>
          <w:szCs w:val="14"/>
        </w:rPr>
        <w:t xml:space="preserve"> </w:t>
      </w:r>
      <w:r w:rsidRPr="00545C20">
        <w:rPr>
          <w:rFonts w:ascii="Verdana" w:hAnsi="Verdana"/>
          <w:sz w:val="14"/>
          <w:szCs w:val="14"/>
        </w:rPr>
        <w:t>con</w:t>
      </w:r>
      <w:r w:rsidRPr="00545C20">
        <w:rPr>
          <w:rFonts w:ascii="Verdana" w:hAnsi="Verdana"/>
          <w:spacing w:val="-5"/>
          <w:sz w:val="14"/>
          <w:szCs w:val="14"/>
        </w:rPr>
        <w:t xml:space="preserve"> </w:t>
      </w:r>
      <w:r w:rsidRPr="00545C20">
        <w:rPr>
          <w:rFonts w:ascii="Verdana" w:hAnsi="Verdana"/>
          <w:sz w:val="14"/>
          <w:szCs w:val="14"/>
        </w:rPr>
        <w:t>buen</w:t>
      </w:r>
      <w:r w:rsidRPr="00545C20">
        <w:rPr>
          <w:rFonts w:ascii="Verdana" w:hAnsi="Verdana"/>
          <w:spacing w:val="-6"/>
          <w:sz w:val="14"/>
          <w:szCs w:val="14"/>
        </w:rPr>
        <w:t xml:space="preserve"> </w:t>
      </w:r>
      <w:r w:rsidRPr="00545C20">
        <w:rPr>
          <w:rFonts w:ascii="Verdana" w:hAnsi="Verdana"/>
          <w:sz w:val="14"/>
          <w:szCs w:val="14"/>
        </w:rPr>
        <w:t>tino,</w:t>
      </w:r>
      <w:r w:rsidRPr="00545C20">
        <w:rPr>
          <w:rFonts w:ascii="Verdana" w:hAnsi="Verdana"/>
          <w:spacing w:val="-2"/>
          <w:sz w:val="14"/>
          <w:szCs w:val="14"/>
        </w:rPr>
        <w:t xml:space="preserve"> </w:t>
      </w:r>
      <w:r w:rsidRPr="00545C20">
        <w:rPr>
          <w:rFonts w:ascii="Verdana" w:hAnsi="Verdana"/>
          <w:sz w:val="14"/>
          <w:szCs w:val="14"/>
        </w:rPr>
        <w:t>se</w:t>
      </w:r>
      <w:r w:rsidRPr="00545C20">
        <w:rPr>
          <w:rFonts w:ascii="Verdana" w:hAnsi="Verdana"/>
          <w:spacing w:val="-4"/>
          <w:sz w:val="14"/>
          <w:szCs w:val="14"/>
        </w:rPr>
        <w:t xml:space="preserve"> </w:t>
      </w:r>
      <w:r w:rsidRPr="00545C20">
        <w:rPr>
          <w:rFonts w:ascii="Verdana" w:hAnsi="Verdana"/>
          <w:sz w:val="14"/>
          <w:szCs w:val="14"/>
        </w:rPr>
        <w:t>eliminó</w:t>
      </w:r>
      <w:r w:rsidRPr="00545C20">
        <w:rPr>
          <w:rFonts w:ascii="Verdana" w:hAnsi="Verdana"/>
          <w:spacing w:val="-6"/>
          <w:sz w:val="14"/>
          <w:szCs w:val="14"/>
        </w:rPr>
        <w:t xml:space="preserve"> </w:t>
      </w:r>
      <w:r w:rsidRPr="00545C20">
        <w:rPr>
          <w:rFonts w:ascii="Verdana" w:hAnsi="Verdana"/>
          <w:sz w:val="14"/>
          <w:szCs w:val="14"/>
        </w:rPr>
        <w:t>en</w:t>
      </w:r>
      <w:r w:rsidRPr="00545C20">
        <w:rPr>
          <w:rFonts w:ascii="Verdana" w:hAnsi="Verdana"/>
          <w:spacing w:val="-6"/>
          <w:sz w:val="14"/>
          <w:szCs w:val="14"/>
        </w:rPr>
        <w:t xml:space="preserve"> </w:t>
      </w:r>
      <w:r w:rsidRPr="00545C20">
        <w:rPr>
          <w:rFonts w:ascii="Verdana" w:hAnsi="Verdana"/>
          <w:sz w:val="14"/>
          <w:szCs w:val="14"/>
        </w:rPr>
        <w:t>el</w:t>
      </w:r>
      <w:r w:rsidRPr="00545C20">
        <w:rPr>
          <w:rFonts w:ascii="Verdana" w:hAnsi="Verdana"/>
          <w:spacing w:val="-3"/>
          <w:sz w:val="14"/>
          <w:szCs w:val="14"/>
        </w:rPr>
        <w:t xml:space="preserve"> </w:t>
      </w:r>
      <w:r w:rsidRPr="00545C20">
        <w:rPr>
          <w:rFonts w:ascii="Verdana" w:hAnsi="Verdana"/>
          <w:sz w:val="14"/>
          <w:szCs w:val="14"/>
        </w:rPr>
        <w:t>artículo</w:t>
      </w:r>
      <w:r w:rsidRPr="00545C20">
        <w:rPr>
          <w:rFonts w:ascii="Verdana" w:hAnsi="Verdana"/>
          <w:spacing w:val="-6"/>
          <w:sz w:val="14"/>
          <w:szCs w:val="14"/>
        </w:rPr>
        <w:t xml:space="preserve"> </w:t>
      </w:r>
      <w:r w:rsidRPr="00545C20">
        <w:rPr>
          <w:rFonts w:ascii="Verdana" w:hAnsi="Verdana"/>
          <w:sz w:val="14"/>
          <w:szCs w:val="14"/>
        </w:rPr>
        <w:t>93</w:t>
      </w:r>
      <w:r w:rsidRPr="00545C20">
        <w:rPr>
          <w:rFonts w:ascii="Verdana" w:hAnsi="Verdana"/>
          <w:spacing w:val="-6"/>
          <w:sz w:val="14"/>
          <w:szCs w:val="14"/>
        </w:rPr>
        <w:t xml:space="preserve"> </w:t>
      </w:r>
      <w:r w:rsidRPr="00545C20">
        <w:rPr>
          <w:rFonts w:ascii="Verdana" w:hAnsi="Verdana"/>
          <w:sz w:val="14"/>
          <w:szCs w:val="14"/>
        </w:rPr>
        <w:t>de</w:t>
      </w:r>
      <w:r w:rsidRPr="00545C20">
        <w:rPr>
          <w:rFonts w:ascii="Verdana" w:hAnsi="Verdana"/>
          <w:spacing w:val="-4"/>
          <w:sz w:val="14"/>
          <w:szCs w:val="14"/>
        </w:rPr>
        <w:t xml:space="preserve"> </w:t>
      </w:r>
      <w:r w:rsidRPr="00545C20">
        <w:rPr>
          <w:rFonts w:ascii="Verdana" w:hAnsi="Verdana"/>
          <w:sz w:val="14"/>
          <w:szCs w:val="14"/>
        </w:rPr>
        <w:t>la</w:t>
      </w:r>
      <w:r w:rsidRPr="00545C20">
        <w:rPr>
          <w:rFonts w:ascii="Verdana" w:hAnsi="Verdana"/>
          <w:spacing w:val="-5"/>
          <w:sz w:val="14"/>
          <w:szCs w:val="14"/>
        </w:rPr>
        <w:t xml:space="preserve"> </w:t>
      </w:r>
      <w:r w:rsidRPr="00545C20">
        <w:rPr>
          <w:rFonts w:ascii="Verdana" w:hAnsi="Verdana"/>
          <w:sz w:val="14"/>
          <w:szCs w:val="14"/>
        </w:rPr>
        <w:t>Ley</w:t>
      </w:r>
      <w:r w:rsidRPr="00545C20">
        <w:rPr>
          <w:rFonts w:ascii="Verdana" w:hAnsi="Verdana"/>
          <w:spacing w:val="-4"/>
          <w:sz w:val="14"/>
          <w:szCs w:val="14"/>
        </w:rPr>
        <w:t xml:space="preserve"> </w:t>
      </w:r>
      <w:r w:rsidRPr="00545C20">
        <w:rPr>
          <w:rFonts w:ascii="Verdana" w:hAnsi="Verdana"/>
          <w:sz w:val="14"/>
          <w:szCs w:val="14"/>
        </w:rPr>
        <w:t>1474</w:t>
      </w:r>
      <w:r w:rsidRPr="00545C20">
        <w:rPr>
          <w:rFonts w:ascii="Verdana" w:hAnsi="Verdana"/>
          <w:spacing w:val="-6"/>
          <w:sz w:val="14"/>
          <w:szCs w:val="14"/>
        </w:rPr>
        <w:t xml:space="preserve"> </w:t>
      </w:r>
      <w:r w:rsidRPr="00545C20">
        <w:rPr>
          <w:rFonts w:ascii="Verdana" w:hAnsi="Verdana"/>
          <w:sz w:val="14"/>
          <w:szCs w:val="14"/>
        </w:rPr>
        <w:t>de</w:t>
      </w:r>
      <w:r w:rsidRPr="00545C20">
        <w:rPr>
          <w:rFonts w:ascii="Verdana" w:hAnsi="Verdana"/>
          <w:spacing w:val="-4"/>
          <w:sz w:val="14"/>
          <w:szCs w:val="14"/>
        </w:rPr>
        <w:t xml:space="preserve"> </w:t>
      </w:r>
      <w:r w:rsidRPr="00545C20">
        <w:rPr>
          <w:rFonts w:ascii="Verdana" w:hAnsi="Verdana"/>
          <w:sz w:val="14"/>
          <w:szCs w:val="14"/>
        </w:rPr>
        <w:t>2011,</w:t>
      </w:r>
      <w:r w:rsidRPr="00545C20">
        <w:rPr>
          <w:rFonts w:ascii="Verdana" w:hAnsi="Verdana"/>
          <w:spacing w:val="-2"/>
          <w:sz w:val="14"/>
          <w:szCs w:val="14"/>
        </w:rPr>
        <w:t xml:space="preserve"> </w:t>
      </w:r>
      <w:r w:rsidRPr="00545C20">
        <w:rPr>
          <w:rFonts w:ascii="Verdana" w:hAnsi="Verdana"/>
          <w:sz w:val="14"/>
          <w:szCs w:val="14"/>
        </w:rPr>
        <w:t>pues en ese caso no se está en presencia de los fundamentos que soportan la excepción de no aplicar el Estatuto General de Contratación de la Administración Pública, cual es la “competencia y el libre juego del mercado”.</w:t>
      </w:r>
    </w:p>
  </w:footnote>
  <w:footnote w:id="6">
    <w:p w14:paraId="173EACBD" w14:textId="77777777" w:rsidR="00D35423" w:rsidRPr="00545C20" w:rsidRDefault="00D35423" w:rsidP="00D35423">
      <w:pPr>
        <w:pStyle w:val="Textonotapie"/>
        <w:tabs>
          <w:tab w:val="left" w:pos="993"/>
        </w:tabs>
        <w:snapToGrid w:val="0"/>
        <w:ind w:right="333" w:firstLine="709"/>
        <w:contextualSpacing/>
        <w:jc w:val="both"/>
        <w:rPr>
          <w:rFonts w:ascii="Verdana" w:hAnsi="Verdana"/>
          <w:spacing w:val="-7"/>
          <w:sz w:val="14"/>
          <w:szCs w:val="14"/>
        </w:rPr>
      </w:pPr>
      <w:r w:rsidRPr="00545C20">
        <w:rPr>
          <w:rStyle w:val="Refdenotaalpie"/>
          <w:rFonts w:ascii="Verdana" w:hAnsi="Verdana"/>
          <w:sz w:val="14"/>
          <w:szCs w:val="14"/>
        </w:rPr>
        <w:footnoteRef/>
      </w:r>
      <w:r w:rsidRPr="00545C20">
        <w:rPr>
          <w:rFonts w:ascii="Verdana" w:hAnsi="Verdana"/>
          <w:sz w:val="14"/>
          <w:szCs w:val="14"/>
        </w:rPr>
        <w:t xml:space="preserve"> Consejo</w:t>
      </w:r>
      <w:r w:rsidRPr="00545C20">
        <w:rPr>
          <w:rFonts w:ascii="Verdana" w:hAnsi="Verdana"/>
          <w:spacing w:val="-8"/>
          <w:sz w:val="14"/>
          <w:szCs w:val="14"/>
        </w:rPr>
        <w:t xml:space="preserve"> </w:t>
      </w:r>
      <w:r w:rsidRPr="00545C20">
        <w:rPr>
          <w:rFonts w:ascii="Verdana" w:hAnsi="Verdana"/>
          <w:sz w:val="14"/>
          <w:szCs w:val="14"/>
        </w:rPr>
        <w:t>de</w:t>
      </w:r>
      <w:r w:rsidRPr="00545C20">
        <w:rPr>
          <w:rFonts w:ascii="Verdana" w:hAnsi="Verdana"/>
          <w:spacing w:val="-10"/>
          <w:sz w:val="14"/>
          <w:szCs w:val="14"/>
        </w:rPr>
        <w:t xml:space="preserve"> </w:t>
      </w:r>
      <w:r w:rsidRPr="00545C20">
        <w:rPr>
          <w:rFonts w:ascii="Verdana" w:hAnsi="Verdana"/>
          <w:sz w:val="14"/>
          <w:szCs w:val="14"/>
        </w:rPr>
        <w:t>Estado.</w:t>
      </w:r>
      <w:r w:rsidRPr="00545C20">
        <w:rPr>
          <w:rFonts w:ascii="Verdana" w:hAnsi="Verdana"/>
          <w:spacing w:val="-9"/>
          <w:sz w:val="14"/>
          <w:szCs w:val="14"/>
        </w:rPr>
        <w:t xml:space="preserve"> </w:t>
      </w:r>
      <w:r w:rsidRPr="00545C20">
        <w:rPr>
          <w:rFonts w:ascii="Verdana" w:hAnsi="Verdana"/>
          <w:sz w:val="14"/>
          <w:szCs w:val="14"/>
        </w:rPr>
        <w:t>Sección</w:t>
      </w:r>
      <w:r w:rsidRPr="00545C20">
        <w:rPr>
          <w:rFonts w:ascii="Verdana" w:hAnsi="Verdana"/>
          <w:spacing w:val="-10"/>
          <w:sz w:val="14"/>
          <w:szCs w:val="14"/>
        </w:rPr>
        <w:t xml:space="preserve"> </w:t>
      </w:r>
      <w:r w:rsidRPr="00545C20">
        <w:rPr>
          <w:rFonts w:ascii="Verdana" w:hAnsi="Verdana"/>
          <w:sz w:val="14"/>
          <w:szCs w:val="14"/>
        </w:rPr>
        <w:t>Tercera,</w:t>
      </w:r>
      <w:r w:rsidRPr="00545C20">
        <w:rPr>
          <w:rFonts w:ascii="Verdana" w:hAnsi="Verdana"/>
          <w:spacing w:val="-9"/>
          <w:sz w:val="14"/>
          <w:szCs w:val="14"/>
        </w:rPr>
        <w:t xml:space="preserve"> </w:t>
      </w:r>
      <w:r w:rsidRPr="00545C20">
        <w:rPr>
          <w:rFonts w:ascii="Verdana" w:hAnsi="Verdana"/>
          <w:sz w:val="14"/>
          <w:szCs w:val="14"/>
        </w:rPr>
        <w:t>Sentencia</w:t>
      </w:r>
      <w:r w:rsidRPr="00545C20">
        <w:rPr>
          <w:rFonts w:ascii="Verdana" w:hAnsi="Verdana"/>
          <w:spacing w:val="-10"/>
          <w:sz w:val="14"/>
          <w:szCs w:val="14"/>
        </w:rPr>
        <w:t xml:space="preserve"> </w:t>
      </w:r>
      <w:r w:rsidRPr="00545C20">
        <w:rPr>
          <w:rFonts w:ascii="Verdana" w:hAnsi="Verdana"/>
          <w:sz w:val="14"/>
          <w:szCs w:val="14"/>
        </w:rPr>
        <w:t>del</w:t>
      </w:r>
      <w:r w:rsidRPr="00545C20">
        <w:rPr>
          <w:rFonts w:ascii="Verdana" w:hAnsi="Verdana"/>
          <w:spacing w:val="-9"/>
          <w:sz w:val="14"/>
          <w:szCs w:val="14"/>
        </w:rPr>
        <w:t xml:space="preserve"> </w:t>
      </w:r>
      <w:r w:rsidRPr="00545C20">
        <w:rPr>
          <w:rFonts w:ascii="Verdana" w:hAnsi="Verdana"/>
          <w:sz w:val="14"/>
          <w:szCs w:val="14"/>
        </w:rPr>
        <w:t>19</w:t>
      </w:r>
      <w:r w:rsidRPr="00545C20">
        <w:rPr>
          <w:rFonts w:ascii="Verdana" w:hAnsi="Verdana"/>
          <w:spacing w:val="-11"/>
          <w:sz w:val="14"/>
          <w:szCs w:val="14"/>
        </w:rPr>
        <w:t xml:space="preserve"> </w:t>
      </w:r>
      <w:r w:rsidRPr="00545C20">
        <w:rPr>
          <w:rFonts w:ascii="Verdana" w:hAnsi="Verdana"/>
          <w:sz w:val="14"/>
          <w:szCs w:val="14"/>
        </w:rPr>
        <w:t>de</w:t>
      </w:r>
      <w:r w:rsidRPr="00545C20">
        <w:rPr>
          <w:rFonts w:ascii="Verdana" w:hAnsi="Verdana"/>
          <w:spacing w:val="-5"/>
          <w:sz w:val="14"/>
          <w:szCs w:val="14"/>
        </w:rPr>
        <w:t xml:space="preserve"> </w:t>
      </w:r>
      <w:r w:rsidRPr="00545C20">
        <w:rPr>
          <w:rFonts w:ascii="Verdana" w:hAnsi="Verdana"/>
          <w:sz w:val="14"/>
          <w:szCs w:val="14"/>
        </w:rPr>
        <w:t>agosto</w:t>
      </w:r>
      <w:r w:rsidRPr="00545C20">
        <w:rPr>
          <w:rFonts w:ascii="Verdana" w:hAnsi="Verdana"/>
          <w:spacing w:val="-11"/>
          <w:sz w:val="14"/>
          <w:szCs w:val="14"/>
        </w:rPr>
        <w:t xml:space="preserve"> </w:t>
      </w:r>
      <w:r w:rsidRPr="00545C20">
        <w:rPr>
          <w:rFonts w:ascii="Verdana" w:hAnsi="Verdana"/>
          <w:sz w:val="14"/>
          <w:szCs w:val="14"/>
        </w:rPr>
        <w:t>de</w:t>
      </w:r>
      <w:r w:rsidRPr="00545C20">
        <w:rPr>
          <w:rFonts w:ascii="Verdana" w:hAnsi="Verdana"/>
          <w:spacing w:val="-10"/>
          <w:sz w:val="14"/>
          <w:szCs w:val="14"/>
        </w:rPr>
        <w:t xml:space="preserve"> </w:t>
      </w:r>
      <w:r w:rsidRPr="00545C20">
        <w:rPr>
          <w:rFonts w:ascii="Verdana" w:hAnsi="Verdana"/>
          <w:sz w:val="14"/>
          <w:szCs w:val="14"/>
        </w:rPr>
        <w:t>2004</w:t>
      </w:r>
      <w:r w:rsidRPr="00545C20">
        <w:rPr>
          <w:rFonts w:ascii="Verdana" w:hAnsi="Verdana"/>
          <w:spacing w:val="-7"/>
          <w:sz w:val="14"/>
          <w:szCs w:val="14"/>
        </w:rPr>
        <w:t xml:space="preserve"> </w:t>
      </w:r>
      <w:r w:rsidRPr="00545C20">
        <w:rPr>
          <w:rFonts w:ascii="Verdana" w:hAnsi="Verdana"/>
          <w:sz w:val="14"/>
          <w:szCs w:val="14"/>
        </w:rPr>
        <w:t>Exp.</w:t>
      </w:r>
      <w:r w:rsidRPr="00545C20">
        <w:rPr>
          <w:rFonts w:ascii="Verdana" w:hAnsi="Verdana"/>
          <w:spacing w:val="-9"/>
          <w:sz w:val="14"/>
          <w:szCs w:val="14"/>
        </w:rPr>
        <w:t xml:space="preserve"> </w:t>
      </w:r>
      <w:r w:rsidRPr="00545C20">
        <w:rPr>
          <w:rFonts w:ascii="Verdana" w:hAnsi="Verdana"/>
          <w:sz w:val="14"/>
          <w:szCs w:val="14"/>
        </w:rPr>
        <w:t>12.342,</w:t>
      </w:r>
      <w:r w:rsidRPr="00545C20">
        <w:rPr>
          <w:rFonts w:ascii="Verdana" w:hAnsi="Verdana"/>
          <w:spacing w:val="-9"/>
          <w:sz w:val="14"/>
          <w:szCs w:val="14"/>
        </w:rPr>
        <w:t xml:space="preserve"> </w:t>
      </w:r>
      <w:r w:rsidRPr="00545C20">
        <w:rPr>
          <w:rFonts w:ascii="Verdana" w:hAnsi="Verdana"/>
          <w:sz w:val="14"/>
          <w:szCs w:val="14"/>
        </w:rPr>
        <w:t>reiterada</w:t>
      </w:r>
      <w:r w:rsidRPr="00545C20">
        <w:rPr>
          <w:rFonts w:ascii="Verdana" w:hAnsi="Verdana"/>
          <w:spacing w:val="-10"/>
          <w:sz w:val="14"/>
          <w:szCs w:val="14"/>
        </w:rPr>
        <w:t xml:space="preserve"> </w:t>
      </w:r>
      <w:r w:rsidRPr="00545C20">
        <w:rPr>
          <w:rFonts w:ascii="Verdana" w:hAnsi="Verdana"/>
          <w:sz w:val="14"/>
          <w:szCs w:val="14"/>
        </w:rPr>
        <w:t>en sentencia de 6 de febrero de 2006, Exp. 13.414.</w:t>
      </w:r>
    </w:p>
  </w:footnote>
  <w:footnote w:id="7">
    <w:p w14:paraId="5A758090" w14:textId="77777777" w:rsidR="00D35423" w:rsidRPr="00545C20" w:rsidRDefault="00D35423" w:rsidP="00D35423">
      <w:pPr>
        <w:pStyle w:val="Textonotapie"/>
        <w:snapToGrid w:val="0"/>
        <w:ind w:firstLine="708"/>
        <w:contextualSpacing/>
        <w:jc w:val="both"/>
        <w:rPr>
          <w:rFonts w:ascii="Verdana" w:hAnsi="Verdana"/>
          <w:sz w:val="14"/>
          <w:szCs w:val="14"/>
          <w:lang w:val="es-ES_tradnl"/>
        </w:rPr>
      </w:pPr>
      <w:r w:rsidRPr="00545C20">
        <w:rPr>
          <w:rStyle w:val="Refdenotaalpie"/>
          <w:rFonts w:ascii="Verdana" w:hAnsi="Verdana"/>
          <w:sz w:val="14"/>
          <w:szCs w:val="14"/>
        </w:rPr>
        <w:footnoteRef/>
      </w:r>
      <w:r w:rsidRPr="00545C20">
        <w:rPr>
          <w:rFonts w:ascii="Verdana" w:hAnsi="Verdana"/>
          <w:sz w:val="14"/>
          <w:szCs w:val="14"/>
        </w:rPr>
        <w:t xml:space="preserve"> </w:t>
      </w:r>
      <w:r w:rsidRPr="00545C20">
        <w:rPr>
          <w:rFonts w:ascii="Verdana" w:hAnsi="Verdana"/>
          <w:sz w:val="14"/>
          <w:szCs w:val="14"/>
          <w:lang w:val="es-CO"/>
        </w:rPr>
        <w:t>El Artículo 7 de la Ley 1150 de 2007 señala lo siguiente: “</w:t>
      </w:r>
      <w:r w:rsidRPr="00545C20">
        <w:rPr>
          <w:rFonts w:ascii="Verdana" w:hAnsi="Verdana"/>
          <w:sz w:val="14"/>
          <w:szCs w:val="14"/>
          <w:lang w:val="es-ES_tradnl"/>
        </w:rPr>
        <w:t xml:space="preserve">Los contratistas prestarán garantía única para el cumplimiento de las obligaciones surgidas del contrato. Los proponentes prestarán garantía de seriedad de los ofrecimientos hechos. </w:t>
      </w:r>
    </w:p>
    <w:p w14:paraId="68D1ED1A" w14:textId="77777777" w:rsidR="00D35423" w:rsidRPr="00545C20" w:rsidRDefault="00D35423" w:rsidP="00D35423">
      <w:pPr>
        <w:pStyle w:val="Textonotapie"/>
        <w:snapToGrid w:val="0"/>
        <w:contextualSpacing/>
        <w:jc w:val="both"/>
        <w:rPr>
          <w:rFonts w:ascii="Verdana" w:hAnsi="Verdana"/>
          <w:sz w:val="14"/>
          <w:szCs w:val="14"/>
          <w:lang w:val="es-ES"/>
        </w:rPr>
      </w:pPr>
      <w:r w:rsidRPr="00545C20">
        <w:rPr>
          <w:rFonts w:ascii="Verdana" w:hAnsi="Verdana"/>
          <w:sz w:val="14"/>
          <w:szCs w:val="14"/>
          <w:lang w:val="es-ES"/>
        </w:rPr>
        <w:t xml:space="preserve">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5881E1A6" w14:textId="77777777" w:rsidR="00D35423" w:rsidRPr="00545C20" w:rsidRDefault="00D35423" w:rsidP="00D35423">
      <w:pPr>
        <w:pStyle w:val="Textonotapie"/>
        <w:snapToGrid w:val="0"/>
        <w:ind w:firstLine="708"/>
        <w:contextualSpacing/>
        <w:jc w:val="both"/>
        <w:rPr>
          <w:rFonts w:ascii="Verdana" w:hAnsi="Verdana"/>
          <w:sz w:val="14"/>
          <w:szCs w:val="14"/>
          <w:lang w:val="es-ES"/>
        </w:rPr>
      </w:pPr>
      <w:r w:rsidRPr="00545C20">
        <w:rPr>
          <w:rFonts w:ascii="Verdana" w:hAnsi="Verdana"/>
          <w:sz w:val="14"/>
          <w:szCs w:val="14"/>
          <w:lang w:val="es-ES"/>
        </w:rPr>
        <w:t xml:space="preserve">El Gobierno Nacional señalará los criterios que seguirán las entidades para la exigencia de garantías, las clases y niveles de amparo de los riesgos de los contratos, así como los casos en </w:t>
      </w:r>
      <w:proofErr w:type="gramStart"/>
      <w:r w:rsidRPr="00545C20">
        <w:rPr>
          <w:rFonts w:ascii="Verdana" w:hAnsi="Verdana"/>
          <w:sz w:val="14"/>
          <w:szCs w:val="14"/>
          <w:lang w:val="es-ES"/>
        </w:rPr>
        <w:t>que</w:t>
      </w:r>
      <w:proofErr w:type="gramEnd"/>
      <w:r w:rsidRPr="00545C20">
        <w:rPr>
          <w:rFonts w:ascii="Verdana" w:hAnsi="Verdana"/>
          <w:sz w:val="14"/>
          <w:szCs w:val="14"/>
          <w:lang w:val="es-ES"/>
        </w:rPr>
        <w:t xml:space="preserve"> por las características y complejidad del contrato a celebrar, la garantía pueda ser dividida teniendo en cuenta las etapas o riesgos relativos a la ejecución del respectivo contrato. </w:t>
      </w:r>
    </w:p>
    <w:p w14:paraId="09BA8A07" w14:textId="77777777" w:rsidR="00D35423" w:rsidRPr="00545C20" w:rsidRDefault="00D35423" w:rsidP="00D35423">
      <w:pPr>
        <w:pStyle w:val="Textonotapie"/>
        <w:snapToGrid w:val="0"/>
        <w:ind w:firstLine="708"/>
        <w:contextualSpacing/>
        <w:jc w:val="both"/>
        <w:rPr>
          <w:rFonts w:ascii="Verdana" w:hAnsi="Verdana"/>
          <w:sz w:val="14"/>
          <w:szCs w:val="14"/>
          <w:lang w:val="es-ES_tradnl"/>
        </w:rPr>
      </w:pPr>
      <w:r w:rsidRPr="00545C20">
        <w:rPr>
          <w:rFonts w:ascii="Verdana" w:hAnsi="Verdana"/>
          <w:sz w:val="14"/>
          <w:szCs w:val="14"/>
          <w:lang w:val="es-ES_tradnl"/>
        </w:rPr>
        <w:t>El acaecimiento del siniestro que amparan las garantías será comunicado por la entidad pública al respectivo asegurador mediante la notificación del acto administrativo que así lo declare.</w:t>
      </w:r>
    </w:p>
    <w:p w14:paraId="544DF786" w14:textId="77777777" w:rsidR="00D35423" w:rsidRPr="00545C20" w:rsidRDefault="00D35423" w:rsidP="00D35423">
      <w:pPr>
        <w:pStyle w:val="Textonotapie"/>
        <w:snapToGrid w:val="0"/>
        <w:ind w:firstLine="708"/>
        <w:contextualSpacing/>
        <w:jc w:val="both"/>
        <w:rPr>
          <w:rFonts w:ascii="Verdana" w:hAnsi="Verdana"/>
          <w:sz w:val="14"/>
          <w:szCs w:val="14"/>
          <w:lang w:val="es-ES"/>
        </w:rPr>
      </w:pPr>
      <w:r w:rsidRPr="00545C20">
        <w:rPr>
          <w:rFonts w:ascii="Verdana" w:hAnsi="Verdana"/>
          <w:sz w:val="14"/>
          <w:szCs w:val="14"/>
          <w:lang w:val="es-ES"/>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footnote>
  <w:footnote w:id="8">
    <w:p w14:paraId="4E1DA65F" w14:textId="77777777" w:rsidR="00D35423" w:rsidRPr="00545C20" w:rsidRDefault="00D35423" w:rsidP="00D35423">
      <w:pPr>
        <w:pStyle w:val="Textonotapie"/>
        <w:snapToGrid w:val="0"/>
        <w:ind w:firstLine="709"/>
        <w:contextualSpacing/>
        <w:jc w:val="both"/>
        <w:rPr>
          <w:rFonts w:ascii="Verdana" w:hAnsi="Verdana" w:cs="Arial"/>
          <w:color w:val="000000" w:themeColor="text1"/>
          <w:sz w:val="14"/>
          <w:szCs w:val="14"/>
        </w:rPr>
      </w:pPr>
      <w:r w:rsidRPr="00545C20">
        <w:rPr>
          <w:rStyle w:val="Refdenotaalpie"/>
          <w:rFonts w:ascii="Verdana" w:hAnsi="Verdana" w:cs="Arial"/>
          <w:color w:val="000000" w:themeColor="text1"/>
          <w:sz w:val="14"/>
          <w:szCs w:val="14"/>
        </w:rPr>
        <w:footnoteRef/>
      </w:r>
      <w:r w:rsidRPr="00545C20">
        <w:rPr>
          <w:rFonts w:ascii="Verdana" w:hAnsi="Verdana" w:cs="Arial"/>
          <w:color w:val="000000" w:themeColor="text1"/>
          <w:sz w:val="14"/>
          <w:szCs w:val="14"/>
        </w:rPr>
        <w:t xml:space="preserve"> ESCOBAR GIL, Rodrigo. Teoría general de los contratos de la Administración pública. Bogotá: Legis, 2000. p. 247. Respecto a las pólizas, la doctrina explica que “En rigor, el seguro no elimina el </w:t>
      </w:r>
      <w:proofErr w:type="gramStart"/>
      <w:r w:rsidRPr="00545C20">
        <w:rPr>
          <w:rFonts w:ascii="Verdana" w:hAnsi="Verdana" w:cs="Arial"/>
          <w:color w:val="000000" w:themeColor="text1"/>
          <w:sz w:val="14"/>
          <w:szCs w:val="14"/>
        </w:rPr>
        <w:t>daño</w:t>
      </w:r>
      <w:proofErr w:type="gramEnd"/>
      <w:r w:rsidRPr="00545C20">
        <w:rPr>
          <w:rFonts w:ascii="Verdana" w:hAnsi="Verdana" w:cs="Arial"/>
          <w:color w:val="000000" w:themeColor="text1"/>
          <w:sz w:val="14"/>
          <w:szCs w:val="14"/>
        </w:rPr>
        <w:t xml:space="preserve"> sino que tolera que sus consecuencias resulten transferidas (trasladadas) por el sujeto amenazado por un evento económicamente desfavorable, a otro (asegurador) que, a esos fines, ha constituido una mutualidad especialmente ‘preparada para absorber el riesgo de indemnización</w:t>
      </w:r>
      <w:proofErr w:type="gramStart"/>
      <w:r w:rsidRPr="00545C20">
        <w:rPr>
          <w:rFonts w:ascii="Verdana" w:hAnsi="Verdana" w:cs="Arial"/>
          <w:color w:val="000000" w:themeColor="text1"/>
          <w:sz w:val="14"/>
          <w:szCs w:val="14"/>
        </w:rPr>
        <w:t>’“ (</w:t>
      </w:r>
      <w:proofErr w:type="gramEnd"/>
      <w:r w:rsidRPr="00545C20">
        <w:rPr>
          <w:rFonts w:ascii="Verdana" w:hAnsi="Verdana" w:cs="Arial"/>
          <w:color w:val="000000" w:themeColor="text1"/>
          <w:sz w:val="14"/>
          <w:szCs w:val="14"/>
        </w:rPr>
        <w:t>Cfr. STIGLITZ, Rubén S. Derecho de seguros. Tomo I. Tercera Edición. Buenos Aires: Abeledo – Perrot, 2001. p. 21).</w:t>
      </w:r>
    </w:p>
  </w:footnote>
  <w:footnote w:id="9">
    <w:p w14:paraId="62846A6B" w14:textId="77777777" w:rsidR="00D35423" w:rsidRPr="00545C20" w:rsidRDefault="00D35423" w:rsidP="00D35423">
      <w:pPr>
        <w:pStyle w:val="Textonotapie"/>
        <w:snapToGrid w:val="0"/>
        <w:ind w:firstLine="708"/>
        <w:contextualSpacing/>
        <w:jc w:val="both"/>
        <w:rPr>
          <w:rFonts w:ascii="Verdana" w:hAnsi="Verdana" w:cs="Arial"/>
          <w:sz w:val="14"/>
          <w:szCs w:val="14"/>
        </w:rPr>
      </w:pPr>
      <w:r w:rsidRPr="00545C20">
        <w:rPr>
          <w:rStyle w:val="Refdenotaalpie"/>
          <w:rFonts w:ascii="Verdana" w:hAnsi="Verdana" w:cs="Arial"/>
          <w:sz w:val="14"/>
          <w:szCs w:val="14"/>
        </w:rPr>
        <w:footnoteRef/>
      </w:r>
      <w:r w:rsidRPr="00545C20">
        <w:rPr>
          <w:rFonts w:ascii="Verdana" w:hAnsi="Verdana" w:cs="Arial"/>
          <w:sz w:val="14"/>
          <w:szCs w:val="14"/>
        </w:rPr>
        <w:t xml:space="preserve"> COLOMBIA COMPRA EFICIENTE. Guía de garantías en procesos de contratación. p. 12. Disponible en: </w:t>
      </w:r>
      <w:hyperlink r:id="rId1" w:history="1">
        <w:r w:rsidRPr="00545C20">
          <w:rPr>
            <w:rStyle w:val="Hipervnculo"/>
            <w:rFonts w:ascii="Verdana" w:hAnsi="Verdana" w:cs="Arial"/>
            <w:sz w:val="14"/>
            <w:szCs w:val="14"/>
          </w:rPr>
          <w:t>https://www.colombiacompra.gov.co/manuales-guias-y-pliegos-tipo/manuales-y-guias</w:t>
        </w:r>
      </w:hyperlink>
      <w:r w:rsidRPr="00545C20">
        <w:rPr>
          <w:rFonts w:ascii="Verdana" w:hAnsi="Verdana" w:cs="Arial"/>
          <w:sz w:val="14"/>
          <w:szCs w:val="14"/>
        </w:rPr>
        <w:t xml:space="preserve">. </w:t>
      </w:r>
    </w:p>
  </w:footnote>
  <w:footnote w:id="10">
    <w:p w14:paraId="0CF377E5" w14:textId="77777777" w:rsidR="00D35423" w:rsidRPr="00545C20" w:rsidRDefault="00D35423" w:rsidP="00D35423">
      <w:pPr>
        <w:pStyle w:val="Textonotapie"/>
        <w:snapToGrid w:val="0"/>
        <w:ind w:firstLine="708"/>
        <w:contextualSpacing/>
        <w:jc w:val="both"/>
        <w:rPr>
          <w:rFonts w:ascii="Verdana" w:hAnsi="Verdana" w:cs="Arial"/>
          <w:sz w:val="14"/>
          <w:szCs w:val="14"/>
        </w:rPr>
      </w:pPr>
      <w:r w:rsidRPr="00545C20">
        <w:rPr>
          <w:rStyle w:val="Refdenotaalpie"/>
          <w:rFonts w:ascii="Verdana" w:hAnsi="Verdana" w:cs="Arial"/>
          <w:sz w:val="14"/>
          <w:szCs w:val="14"/>
        </w:rPr>
        <w:footnoteRef/>
      </w:r>
      <w:r w:rsidRPr="00545C20">
        <w:rPr>
          <w:rFonts w:ascii="Verdana" w:hAnsi="Verdana" w:cs="Arial"/>
          <w:sz w:val="14"/>
          <w:szCs w:val="14"/>
        </w:rPr>
        <w:t xml:space="preserve"> Ibídem., p. 17. La guía además señala en relación con las garantías bancarias y cartas de crédito stand by, que «El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p>
  </w:footnote>
  <w:footnote w:id="11">
    <w:p w14:paraId="734B4AAE" w14:textId="77777777" w:rsidR="00D35423" w:rsidRPr="00545C20" w:rsidRDefault="00D35423" w:rsidP="00D35423">
      <w:pPr>
        <w:pStyle w:val="Ttulo1"/>
        <w:shd w:val="clear" w:color="auto" w:fill="FFFFFF"/>
        <w:snapToGrid w:val="0"/>
        <w:spacing w:before="0" w:beforeAutospacing="0" w:after="0" w:afterAutospacing="0"/>
        <w:ind w:firstLine="709"/>
        <w:contextualSpacing/>
        <w:jc w:val="both"/>
        <w:rPr>
          <w:rFonts w:ascii="Verdana" w:hAnsi="Verdana"/>
          <w:b w:val="0"/>
          <w:bCs w:val="0"/>
          <w:color w:val="004884"/>
          <w:sz w:val="14"/>
          <w:szCs w:val="14"/>
        </w:rPr>
      </w:pPr>
      <w:r w:rsidRPr="00545C20">
        <w:rPr>
          <w:rStyle w:val="Refdenotaalpie"/>
          <w:rFonts w:ascii="Verdana" w:hAnsi="Verdana"/>
          <w:b w:val="0"/>
          <w:bCs w:val="0"/>
          <w:sz w:val="14"/>
          <w:szCs w:val="14"/>
        </w:rPr>
        <w:footnoteRef/>
      </w:r>
      <w:r w:rsidRPr="00545C20">
        <w:rPr>
          <w:rFonts w:ascii="Verdana" w:hAnsi="Verdana"/>
          <w:b w:val="0"/>
          <w:bCs w:val="0"/>
          <w:sz w:val="14"/>
          <w:szCs w:val="14"/>
        </w:rPr>
        <w:t xml:space="preserve"> El comunicado de prensa emitido por la Superintendencia Financiera el 6 de septiembre de 2016 referenciado con el </w:t>
      </w:r>
      <w:proofErr w:type="spellStart"/>
      <w:r w:rsidRPr="00545C20">
        <w:rPr>
          <w:rFonts w:ascii="Verdana" w:hAnsi="Verdana"/>
          <w:b w:val="0"/>
          <w:bCs w:val="0"/>
          <w:sz w:val="14"/>
          <w:szCs w:val="14"/>
        </w:rPr>
        <w:t>titulo</w:t>
      </w:r>
      <w:proofErr w:type="spellEnd"/>
      <w:r w:rsidRPr="00545C20">
        <w:rPr>
          <w:rFonts w:ascii="Verdana" w:hAnsi="Verdana"/>
          <w:b w:val="0"/>
          <w:bCs w:val="0"/>
          <w:sz w:val="14"/>
          <w:szCs w:val="14"/>
        </w:rPr>
        <w:t xml:space="preserve"> “</w:t>
      </w:r>
      <w:r w:rsidRPr="00545C20">
        <w:rPr>
          <w:rFonts w:ascii="Verdana" w:hAnsi="Verdana"/>
          <w:b w:val="0"/>
          <w:bCs w:val="0"/>
          <w:color w:val="000000" w:themeColor="text1"/>
          <w:sz w:val="14"/>
          <w:szCs w:val="14"/>
        </w:rPr>
        <w:t xml:space="preserve">Superfinanciera reitera nuevamente que los contratos de fianza no pueden aceptarse como garantías de cumplimiento en contratación pública” puede ser consultado en el siguiente enlace: </w:t>
      </w:r>
      <w:hyperlink r:id="rId2" w:history="1">
        <w:r w:rsidRPr="00545C20">
          <w:rPr>
            <w:rStyle w:val="Hipervnculo"/>
            <w:rFonts w:ascii="Verdana" w:hAnsi="Verdana"/>
            <w:b w:val="0"/>
            <w:bCs w:val="0"/>
            <w:color w:val="000000" w:themeColor="text1"/>
            <w:sz w:val="14"/>
            <w:szCs w:val="14"/>
          </w:rPr>
          <w:t>https://www.superfinanciera.gov.co/publicaciones/10086464/superfinanciera-reitera-nuevamente-que-los-contratos-de-fianza-no-pueden-aceptarse-como-garantias-de-cumplimiento-en-contratacion-publica-10086464/</w:t>
        </w:r>
      </w:hyperlink>
      <w:r w:rsidRPr="00545C20">
        <w:rPr>
          <w:rFonts w:ascii="Verdana" w:hAnsi="Verdana"/>
          <w:b w:val="0"/>
          <w:bCs w:val="0"/>
          <w:color w:val="004884"/>
          <w:sz w:val="14"/>
          <w:szCs w:val="14"/>
        </w:rPr>
        <w:t xml:space="preserve"> </w:t>
      </w:r>
    </w:p>
  </w:footnote>
  <w:footnote w:id="12">
    <w:p w14:paraId="2A7CE1C9" w14:textId="77777777" w:rsidR="00D35423" w:rsidRPr="00545C20" w:rsidRDefault="00D35423" w:rsidP="00D35423">
      <w:pPr>
        <w:pStyle w:val="Textonotapie"/>
        <w:snapToGrid w:val="0"/>
        <w:ind w:firstLine="708"/>
        <w:contextualSpacing/>
        <w:jc w:val="both"/>
        <w:rPr>
          <w:rFonts w:ascii="Verdana" w:hAnsi="Verdana" w:cs="Arial"/>
          <w:sz w:val="14"/>
          <w:szCs w:val="14"/>
          <w:lang w:val="es-ES"/>
        </w:rPr>
      </w:pPr>
      <w:r w:rsidRPr="00545C20">
        <w:rPr>
          <w:rStyle w:val="Refdenotaalpie"/>
          <w:rFonts w:ascii="Verdana" w:hAnsi="Verdana" w:cs="Arial"/>
          <w:sz w:val="14"/>
          <w:szCs w:val="14"/>
        </w:rPr>
        <w:footnoteRef/>
      </w:r>
      <w:r w:rsidRPr="00545C20">
        <w:rPr>
          <w:rFonts w:ascii="Verdana" w:hAnsi="Verdana" w:cs="Arial"/>
          <w:sz w:val="14"/>
          <w:szCs w:val="14"/>
        </w:rPr>
        <w:t xml:space="preserve"> “</w:t>
      </w:r>
      <w:r w:rsidRPr="00545C20">
        <w:rPr>
          <w:rFonts w:ascii="Verdana" w:hAnsi="Verdana" w:cs="Arial"/>
          <w:sz w:val="14"/>
          <w:szCs w:val="14"/>
          <w:lang w:val="es-ES"/>
        </w:rPr>
        <w:t xml:space="preserve">Artículo 56. Declaratoria de situación de desastre. Previa recomendación del Consejo Nacional, el </w:t>
      </w:r>
      <w:proofErr w:type="gramStart"/>
      <w:r w:rsidRPr="00545C20">
        <w:rPr>
          <w:rFonts w:ascii="Verdana" w:hAnsi="Verdana" w:cs="Arial"/>
          <w:sz w:val="14"/>
          <w:szCs w:val="14"/>
          <w:lang w:val="es-ES"/>
        </w:rPr>
        <w:t>Presidente</w:t>
      </w:r>
      <w:proofErr w:type="gramEnd"/>
      <w:r w:rsidRPr="00545C20">
        <w:rPr>
          <w:rFonts w:ascii="Verdana" w:hAnsi="Verdana" w:cs="Arial"/>
          <w:sz w:val="14"/>
          <w:szCs w:val="14"/>
          <w:lang w:val="es-ES"/>
        </w:rPr>
        <w:t xml:space="preserv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13EE9724" w14:textId="77777777" w:rsidR="00D35423" w:rsidRPr="00545C20" w:rsidRDefault="00D35423" w:rsidP="00D35423">
      <w:pPr>
        <w:pStyle w:val="Textonotapie"/>
        <w:snapToGrid w:val="0"/>
        <w:ind w:firstLine="708"/>
        <w:contextualSpacing/>
        <w:jc w:val="both"/>
        <w:rPr>
          <w:rFonts w:ascii="Verdana" w:hAnsi="Verdana" w:cs="Arial"/>
          <w:sz w:val="14"/>
          <w:szCs w:val="14"/>
          <w:lang w:val="es-ES"/>
        </w:rPr>
      </w:pPr>
      <w:r w:rsidRPr="00545C20">
        <w:rPr>
          <w:rFonts w:ascii="Verdana" w:hAnsi="Verdana" w:cs="Arial"/>
          <w:sz w:val="14"/>
          <w:szCs w:val="14"/>
          <w:lang w:val="es-ES"/>
        </w:rPr>
        <w:t>1. Nacional. Existirá una situación de desastre nacional:</w:t>
      </w:r>
    </w:p>
    <w:p w14:paraId="4328FF9E" w14:textId="77777777" w:rsidR="00D35423" w:rsidRPr="00545C20" w:rsidRDefault="00D35423" w:rsidP="00D35423">
      <w:pPr>
        <w:pStyle w:val="Textonotapie"/>
        <w:snapToGrid w:val="0"/>
        <w:ind w:firstLine="708"/>
        <w:contextualSpacing/>
        <w:jc w:val="both"/>
        <w:rPr>
          <w:rFonts w:ascii="Verdana" w:hAnsi="Verdana" w:cs="Arial"/>
          <w:sz w:val="14"/>
          <w:szCs w:val="14"/>
          <w:lang w:val="es-ES"/>
        </w:rPr>
      </w:pPr>
      <w:r w:rsidRPr="00545C20">
        <w:rPr>
          <w:rFonts w:ascii="Verdana" w:hAnsi="Verdana" w:cs="Arial"/>
          <w:sz w:val="14"/>
          <w:szCs w:val="14"/>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16E32B70" w14:textId="77777777" w:rsidR="00D35423" w:rsidRPr="00545C20" w:rsidRDefault="00D35423" w:rsidP="00D35423">
      <w:pPr>
        <w:pStyle w:val="Textonotapie"/>
        <w:snapToGrid w:val="0"/>
        <w:ind w:firstLine="708"/>
        <w:contextualSpacing/>
        <w:jc w:val="both"/>
        <w:rPr>
          <w:rFonts w:ascii="Verdana" w:hAnsi="Verdana" w:cs="Arial"/>
          <w:sz w:val="14"/>
          <w:szCs w:val="14"/>
          <w:lang w:val="es-ES"/>
        </w:rPr>
      </w:pPr>
      <w:r w:rsidRPr="00545C20">
        <w:rPr>
          <w:rFonts w:ascii="Verdana" w:hAnsi="Verdana" w:cs="Arial"/>
          <w:sz w:val="14"/>
          <w:szCs w:val="14"/>
          <w:lang w:val="es-ES"/>
        </w:rPr>
        <w:t>b). Cuando se hayan producido efectos adversos en uno (1) o más departamentos y su impacto rebase la capacidad técnica y los recursos de las administraciones departamentales y municipales involucradas.</w:t>
      </w:r>
    </w:p>
    <w:p w14:paraId="240635C4" w14:textId="77777777" w:rsidR="00D35423" w:rsidRPr="00545C20" w:rsidRDefault="00D35423" w:rsidP="00D35423">
      <w:pPr>
        <w:pStyle w:val="Textonotapie"/>
        <w:snapToGrid w:val="0"/>
        <w:ind w:firstLine="708"/>
        <w:contextualSpacing/>
        <w:jc w:val="both"/>
        <w:rPr>
          <w:rFonts w:ascii="Verdana" w:hAnsi="Verdana" w:cs="Arial"/>
          <w:sz w:val="14"/>
          <w:szCs w:val="14"/>
          <w:lang w:val="es-ES"/>
        </w:rPr>
      </w:pPr>
      <w:r w:rsidRPr="00545C20">
        <w:rPr>
          <w:rFonts w:ascii="Verdana" w:hAnsi="Verdana" w:cs="Arial"/>
          <w:sz w:val="14"/>
          <w:szCs w:val="14"/>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1D495E05" w14:textId="77777777" w:rsidR="00D35423" w:rsidRPr="00545C20" w:rsidRDefault="00D35423" w:rsidP="00D35423">
      <w:pPr>
        <w:pStyle w:val="Textonotapie"/>
        <w:snapToGrid w:val="0"/>
        <w:ind w:firstLine="708"/>
        <w:contextualSpacing/>
        <w:jc w:val="both"/>
        <w:rPr>
          <w:rFonts w:ascii="Verdana" w:hAnsi="Verdana" w:cs="Arial"/>
          <w:sz w:val="14"/>
          <w:szCs w:val="14"/>
          <w:lang w:val="es-ES"/>
        </w:rPr>
      </w:pPr>
      <w:r w:rsidRPr="00545C20">
        <w:rPr>
          <w:rFonts w:ascii="Verdana" w:hAnsi="Verdana" w:cs="Arial"/>
          <w:sz w:val="14"/>
          <w:szCs w:val="14"/>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22A8BA0A" w14:textId="77777777" w:rsidR="00D35423" w:rsidRPr="00545C20" w:rsidRDefault="00D35423" w:rsidP="00D35423">
      <w:pPr>
        <w:pStyle w:val="Textonotapie"/>
        <w:snapToGrid w:val="0"/>
        <w:ind w:firstLine="708"/>
        <w:contextualSpacing/>
        <w:jc w:val="both"/>
        <w:rPr>
          <w:rFonts w:ascii="Verdana" w:hAnsi="Verdana" w:cs="Arial"/>
          <w:sz w:val="14"/>
          <w:szCs w:val="14"/>
          <w:lang w:val="es-ES"/>
        </w:rPr>
      </w:pPr>
      <w:r w:rsidRPr="00545C20">
        <w:rPr>
          <w:rFonts w:ascii="Verdana" w:hAnsi="Verdana" w:cs="Arial"/>
          <w:sz w:val="14"/>
          <w:szCs w:val="14"/>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p>
  </w:footnote>
  <w:footnote w:id="13">
    <w:p w14:paraId="3DF5CB67" w14:textId="77777777" w:rsidR="00D35423" w:rsidRPr="00545C20" w:rsidRDefault="00D35423" w:rsidP="00D35423">
      <w:pPr>
        <w:pStyle w:val="Textonotapie"/>
        <w:snapToGrid w:val="0"/>
        <w:ind w:firstLine="708"/>
        <w:contextualSpacing/>
        <w:jc w:val="both"/>
        <w:rPr>
          <w:rFonts w:ascii="Verdana" w:hAnsi="Verdana" w:cs="Arial"/>
          <w:sz w:val="14"/>
          <w:szCs w:val="14"/>
          <w:lang w:val="es-CO"/>
        </w:rPr>
      </w:pPr>
      <w:r w:rsidRPr="00545C20">
        <w:rPr>
          <w:rStyle w:val="Refdenotaalpie"/>
          <w:rFonts w:ascii="Verdana" w:hAnsi="Verdana" w:cs="Arial"/>
          <w:sz w:val="14"/>
          <w:szCs w:val="14"/>
        </w:rPr>
        <w:footnoteRef/>
      </w:r>
      <w:r w:rsidRPr="00545C20">
        <w:rPr>
          <w:rFonts w:ascii="Verdana" w:hAnsi="Verdana" w:cs="Arial"/>
          <w:sz w:val="14"/>
          <w:szCs w:val="14"/>
        </w:rPr>
        <w:t xml:space="preserve"> “</w:t>
      </w:r>
      <w:r w:rsidRPr="00545C20">
        <w:rPr>
          <w:rFonts w:ascii="Verdana" w:hAnsi="Verdana" w:cs="Arial"/>
          <w:sz w:val="14"/>
          <w:szCs w:val="14"/>
          <w:lang w:val="es-ES"/>
        </w:rPr>
        <w:t xml:space="preserve">Artículo 57. Declaratoria de situación de calamidad pública. </w:t>
      </w:r>
      <w:bookmarkStart w:id="4" w:name="_Hlk132729568"/>
      <w:r w:rsidRPr="00545C20">
        <w:rPr>
          <w:rFonts w:ascii="Verdana" w:hAnsi="Verdana" w:cs="Arial"/>
          <w:sz w:val="14"/>
          <w:szCs w:val="14"/>
          <w:lang w:val="es-ES"/>
        </w:rPr>
        <w:t>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bookmarkEnd w:id="4"/>
      <w:r w:rsidRPr="00545C20">
        <w:rPr>
          <w:rFonts w:ascii="Verdana" w:hAnsi="Verdana" w:cs="Arial"/>
          <w:sz w:val="14"/>
          <w:szCs w:val="14"/>
          <w:lang w:val="es-ES"/>
        </w:rPr>
        <w:t>”.</w:t>
      </w:r>
    </w:p>
  </w:footnote>
  <w:footnote w:id="14">
    <w:p w14:paraId="198909FC" w14:textId="77777777" w:rsidR="00D35423" w:rsidRPr="00545C20" w:rsidRDefault="00D35423" w:rsidP="00D35423">
      <w:pPr>
        <w:snapToGrid w:val="0"/>
        <w:spacing w:after="0" w:line="240" w:lineRule="auto"/>
        <w:ind w:right="49" w:firstLine="708"/>
        <w:contextualSpacing/>
        <w:jc w:val="both"/>
        <w:rPr>
          <w:rFonts w:ascii="Verdana" w:eastAsia="Arial" w:hAnsi="Verdana" w:cs="Arial"/>
          <w:sz w:val="14"/>
          <w:szCs w:val="14"/>
          <w:lang w:eastAsia="es-ES_tradnl"/>
        </w:rPr>
      </w:pPr>
      <w:r w:rsidRPr="00545C20">
        <w:rPr>
          <w:rStyle w:val="Refdenotaalpie"/>
          <w:rFonts w:ascii="Verdana" w:hAnsi="Verdana"/>
          <w:sz w:val="14"/>
          <w:szCs w:val="14"/>
        </w:rPr>
        <w:footnoteRef/>
      </w:r>
      <w:r w:rsidRPr="00545C20">
        <w:rPr>
          <w:rFonts w:ascii="Verdana" w:hAnsi="Verdana"/>
          <w:sz w:val="14"/>
          <w:szCs w:val="14"/>
        </w:rPr>
        <w:t xml:space="preserve"> </w:t>
      </w:r>
      <w:bookmarkStart w:id="5" w:name="2361"/>
      <w:r w:rsidRPr="00545C20">
        <w:rPr>
          <w:rFonts w:ascii="Verdana" w:eastAsia="Arial" w:hAnsi="Verdana" w:cs="Arial"/>
          <w:sz w:val="14"/>
          <w:szCs w:val="14"/>
          <w:lang w:eastAsia="es-ES_tradnl"/>
        </w:rPr>
        <w:t>“ARTICULO 2361. CONCEPTO DE FIANZA.</w:t>
      </w:r>
      <w:bookmarkEnd w:id="5"/>
      <w:r w:rsidRPr="00545C20">
        <w:rPr>
          <w:rFonts w:ascii="Verdana" w:eastAsia="Arial" w:hAnsi="Verdana" w:cs="Arial"/>
          <w:sz w:val="14"/>
          <w:szCs w:val="14"/>
          <w:lang w:eastAsia="es-ES_tradnl"/>
        </w:rPr>
        <w:t xml:space="preserve"> La fianza es una obligación accesoria, en virtud de la cual una o más personas responden de una obligación ajena, comprometiéndose para con el acreedor a cumplirla en todo o parte, si el deudor principal no la cumple.</w:t>
      </w:r>
    </w:p>
    <w:p w14:paraId="3950BAAD" w14:textId="77777777" w:rsidR="00D35423" w:rsidRPr="00545C20" w:rsidRDefault="00D35423" w:rsidP="00D35423">
      <w:pPr>
        <w:snapToGrid w:val="0"/>
        <w:spacing w:after="0" w:line="240" w:lineRule="auto"/>
        <w:ind w:left="709" w:right="49"/>
        <w:contextualSpacing/>
        <w:jc w:val="both"/>
        <w:rPr>
          <w:rFonts w:ascii="Verdana" w:eastAsia="Arial" w:hAnsi="Verdana" w:cs="Arial"/>
          <w:sz w:val="14"/>
          <w:szCs w:val="14"/>
          <w:lang w:eastAsia="es-ES_tradnl"/>
        </w:rPr>
      </w:pPr>
      <w:r w:rsidRPr="00545C20">
        <w:rPr>
          <w:rFonts w:ascii="Verdana" w:eastAsia="Arial" w:hAnsi="Verdana" w:cs="Arial"/>
          <w:sz w:val="14"/>
          <w:szCs w:val="14"/>
          <w:lang w:eastAsia="es-ES_tradnl"/>
        </w:rPr>
        <w:t>La fianza puede constituirse no sólo a favor del deudor principal, sino de otro fiador”.</w:t>
      </w:r>
    </w:p>
  </w:footnote>
  <w:footnote w:id="15">
    <w:p w14:paraId="6916462D" w14:textId="77777777" w:rsidR="00D35423" w:rsidRPr="00545C20" w:rsidRDefault="00D35423" w:rsidP="00D35423">
      <w:pPr>
        <w:pStyle w:val="Textonotapie"/>
        <w:snapToGrid w:val="0"/>
        <w:ind w:firstLine="709"/>
        <w:contextualSpacing/>
        <w:jc w:val="both"/>
        <w:rPr>
          <w:rFonts w:ascii="Verdana" w:hAnsi="Verdana"/>
          <w:sz w:val="14"/>
          <w:szCs w:val="14"/>
        </w:rPr>
      </w:pPr>
      <w:r w:rsidRPr="00545C20">
        <w:rPr>
          <w:rStyle w:val="Refdenotaalpie"/>
          <w:rFonts w:ascii="Verdana" w:hAnsi="Verdana"/>
          <w:sz w:val="14"/>
          <w:szCs w:val="14"/>
        </w:rPr>
        <w:footnoteRef/>
      </w:r>
      <w:r w:rsidRPr="00545C20">
        <w:rPr>
          <w:rFonts w:ascii="Verdana" w:hAnsi="Verdana"/>
          <w:sz w:val="14"/>
          <w:szCs w:val="14"/>
        </w:rPr>
        <w:t xml:space="preserve"> Bonivento Fernandez, J.A, [1992] </w:t>
      </w:r>
      <w:r w:rsidRPr="00545C20">
        <w:rPr>
          <w:rFonts w:ascii="Verdana" w:hAnsi="Verdana"/>
          <w:i/>
          <w:iCs/>
          <w:sz w:val="14"/>
          <w:szCs w:val="14"/>
        </w:rPr>
        <w:t xml:space="preserve">Los Principales Contratos Civiles y Comerciales, Tomo II, </w:t>
      </w:r>
      <w:r w:rsidRPr="00545C20">
        <w:rPr>
          <w:rFonts w:ascii="Verdana" w:hAnsi="Verdana"/>
          <w:sz w:val="14"/>
          <w:szCs w:val="14"/>
        </w:rPr>
        <w:t xml:space="preserve">Bogotá Colombia. p.3. </w:t>
      </w:r>
    </w:p>
  </w:footnote>
  <w:footnote w:id="16">
    <w:p w14:paraId="168F298E" w14:textId="77777777" w:rsidR="00D35423" w:rsidRPr="00545C20" w:rsidRDefault="00D35423" w:rsidP="00D35423">
      <w:pPr>
        <w:pStyle w:val="Textonotapie"/>
        <w:snapToGrid w:val="0"/>
        <w:ind w:firstLine="709"/>
        <w:contextualSpacing/>
        <w:jc w:val="both"/>
        <w:rPr>
          <w:rFonts w:ascii="Verdana" w:hAnsi="Verdana"/>
          <w:sz w:val="14"/>
          <w:szCs w:val="14"/>
        </w:rPr>
      </w:pPr>
      <w:r w:rsidRPr="00545C20">
        <w:rPr>
          <w:rStyle w:val="Refdenotaalpie"/>
          <w:rFonts w:ascii="Verdana" w:hAnsi="Verdana"/>
          <w:sz w:val="14"/>
          <w:szCs w:val="14"/>
        </w:rPr>
        <w:footnoteRef/>
      </w:r>
      <w:r w:rsidRPr="00545C20">
        <w:rPr>
          <w:rFonts w:ascii="Verdana" w:hAnsi="Verdana"/>
          <w:sz w:val="14"/>
          <w:szCs w:val="14"/>
        </w:rPr>
        <w:t xml:space="preserve"> Esta definición ha sido criticada por cuanto habla de </w:t>
      </w:r>
      <w:r w:rsidRPr="00545C20">
        <w:rPr>
          <w:rFonts w:ascii="Verdana" w:eastAsia="Calibri" w:hAnsi="Verdana"/>
          <w:sz w:val="14"/>
          <w:szCs w:val="14"/>
        </w:rPr>
        <w:t>“</w:t>
      </w:r>
      <w:r w:rsidRPr="00545C20">
        <w:rPr>
          <w:rFonts w:ascii="Verdana" w:hAnsi="Verdana"/>
          <w:sz w:val="14"/>
          <w:szCs w:val="14"/>
        </w:rPr>
        <w:t>obligación</w:t>
      </w:r>
      <w:r w:rsidRPr="00545C20">
        <w:rPr>
          <w:rFonts w:ascii="Verdana" w:eastAsia="Calibri" w:hAnsi="Verdana"/>
          <w:sz w:val="14"/>
          <w:szCs w:val="14"/>
        </w:rPr>
        <w:t xml:space="preserve">” </w:t>
      </w:r>
      <w:r w:rsidRPr="00545C20">
        <w:rPr>
          <w:rFonts w:ascii="Verdana" w:hAnsi="Verdana"/>
          <w:sz w:val="14"/>
          <w:szCs w:val="14"/>
        </w:rPr>
        <w:t xml:space="preserve">y no de contrato, cuando, en verdad surge de un concierto de voluntades, solo que es accesorio. (Bonivento, 1992, p.4). </w:t>
      </w:r>
    </w:p>
  </w:footnote>
  <w:footnote w:id="17">
    <w:p w14:paraId="0D39F412" w14:textId="77777777" w:rsidR="00D35423" w:rsidRPr="00545C20" w:rsidRDefault="00D35423" w:rsidP="00D35423">
      <w:pPr>
        <w:snapToGrid w:val="0"/>
        <w:spacing w:after="0" w:line="240" w:lineRule="auto"/>
        <w:ind w:right="49" w:firstLine="709"/>
        <w:contextualSpacing/>
        <w:jc w:val="both"/>
        <w:rPr>
          <w:rFonts w:ascii="Verdana" w:hAnsi="Verdana"/>
          <w:sz w:val="14"/>
          <w:szCs w:val="14"/>
        </w:rPr>
      </w:pPr>
      <w:r w:rsidRPr="00545C20">
        <w:rPr>
          <w:rStyle w:val="Refdenotaalpie"/>
          <w:rFonts w:ascii="Verdana" w:hAnsi="Verdana"/>
          <w:sz w:val="14"/>
          <w:szCs w:val="14"/>
        </w:rPr>
        <w:footnoteRef/>
      </w:r>
      <w:r w:rsidRPr="00545C20">
        <w:rPr>
          <w:rFonts w:ascii="Verdana" w:hAnsi="Verdana"/>
          <w:sz w:val="14"/>
          <w:szCs w:val="14"/>
        </w:rPr>
        <w:t xml:space="preserve"> Ley</w:t>
      </w:r>
      <w:r w:rsidRPr="00545C20">
        <w:rPr>
          <w:rFonts w:ascii="Verdana" w:hAnsi="Verdana"/>
          <w:spacing w:val="-1"/>
          <w:sz w:val="14"/>
          <w:szCs w:val="14"/>
        </w:rPr>
        <w:t xml:space="preserve"> </w:t>
      </w:r>
      <w:r w:rsidRPr="00545C20">
        <w:rPr>
          <w:rFonts w:ascii="Verdana" w:hAnsi="Verdana"/>
          <w:sz w:val="14"/>
          <w:szCs w:val="14"/>
        </w:rPr>
        <w:t>1150</w:t>
      </w:r>
      <w:r w:rsidRPr="00545C20">
        <w:rPr>
          <w:rFonts w:ascii="Verdana" w:hAnsi="Verdana"/>
          <w:spacing w:val="-3"/>
          <w:sz w:val="14"/>
          <w:szCs w:val="14"/>
        </w:rPr>
        <w:t xml:space="preserve"> </w:t>
      </w:r>
      <w:r w:rsidRPr="00545C20">
        <w:rPr>
          <w:rFonts w:ascii="Verdana" w:hAnsi="Verdana"/>
          <w:sz w:val="14"/>
          <w:szCs w:val="14"/>
        </w:rPr>
        <w:t>de</w:t>
      </w:r>
      <w:r w:rsidRPr="00545C20">
        <w:rPr>
          <w:rFonts w:ascii="Verdana" w:hAnsi="Verdana"/>
          <w:spacing w:val="-1"/>
          <w:sz w:val="14"/>
          <w:szCs w:val="14"/>
        </w:rPr>
        <w:t xml:space="preserve"> </w:t>
      </w:r>
      <w:r w:rsidRPr="00545C20">
        <w:rPr>
          <w:rFonts w:ascii="Verdana" w:hAnsi="Verdana"/>
          <w:sz w:val="14"/>
          <w:szCs w:val="14"/>
        </w:rPr>
        <w:t>2007, artículo</w:t>
      </w:r>
      <w:r w:rsidRPr="00545C20">
        <w:rPr>
          <w:rFonts w:ascii="Verdana" w:hAnsi="Verdana"/>
          <w:spacing w:val="-3"/>
          <w:sz w:val="14"/>
          <w:szCs w:val="14"/>
        </w:rPr>
        <w:t xml:space="preserve"> </w:t>
      </w:r>
      <w:r w:rsidRPr="00545C20">
        <w:rPr>
          <w:rFonts w:ascii="Verdana" w:hAnsi="Verdana"/>
          <w:sz w:val="14"/>
          <w:szCs w:val="14"/>
        </w:rPr>
        <w:t>13: “Principios</w:t>
      </w:r>
      <w:r w:rsidRPr="00545C20">
        <w:rPr>
          <w:rFonts w:ascii="Verdana" w:hAnsi="Verdana"/>
          <w:spacing w:val="-5"/>
          <w:sz w:val="14"/>
          <w:szCs w:val="14"/>
        </w:rPr>
        <w:t xml:space="preserve"> </w:t>
      </w:r>
      <w:r w:rsidRPr="00545C20">
        <w:rPr>
          <w:rFonts w:ascii="Verdana" w:hAnsi="Verdana"/>
          <w:sz w:val="14"/>
          <w:szCs w:val="14"/>
        </w:rPr>
        <w:t>generales de</w:t>
      </w:r>
      <w:r w:rsidRPr="00545C20">
        <w:rPr>
          <w:rFonts w:ascii="Verdana" w:hAnsi="Verdana"/>
          <w:spacing w:val="-1"/>
          <w:sz w:val="14"/>
          <w:szCs w:val="14"/>
        </w:rPr>
        <w:t xml:space="preserve"> </w:t>
      </w:r>
      <w:r w:rsidRPr="00545C20">
        <w:rPr>
          <w:rFonts w:ascii="Verdana" w:hAnsi="Verdana"/>
          <w:sz w:val="14"/>
          <w:szCs w:val="14"/>
        </w:rPr>
        <w:t>la</w:t>
      </w:r>
      <w:r w:rsidRPr="00545C20">
        <w:rPr>
          <w:rFonts w:ascii="Verdana" w:hAnsi="Verdana"/>
          <w:spacing w:val="-2"/>
          <w:sz w:val="14"/>
          <w:szCs w:val="14"/>
        </w:rPr>
        <w:t xml:space="preserve"> </w:t>
      </w:r>
      <w:r w:rsidRPr="00545C20">
        <w:rPr>
          <w:rFonts w:ascii="Verdana" w:hAnsi="Verdana"/>
          <w:sz w:val="14"/>
          <w:szCs w:val="14"/>
        </w:rPr>
        <w:t>actividad</w:t>
      </w:r>
      <w:r w:rsidRPr="00545C20">
        <w:rPr>
          <w:rFonts w:ascii="Verdana" w:hAnsi="Verdana"/>
          <w:spacing w:val="-1"/>
          <w:sz w:val="14"/>
          <w:szCs w:val="14"/>
        </w:rPr>
        <w:t xml:space="preserve"> </w:t>
      </w:r>
      <w:r w:rsidRPr="00545C20">
        <w:rPr>
          <w:rFonts w:ascii="Verdana" w:hAnsi="Verdana"/>
          <w:sz w:val="14"/>
          <w:szCs w:val="14"/>
        </w:rPr>
        <w:t>contractual para</w:t>
      </w:r>
      <w:r w:rsidRPr="00545C20">
        <w:rPr>
          <w:rFonts w:ascii="Verdana" w:hAnsi="Verdana"/>
          <w:spacing w:val="-2"/>
          <w:sz w:val="14"/>
          <w:szCs w:val="14"/>
        </w:rPr>
        <w:t xml:space="preserve"> </w:t>
      </w:r>
      <w:r w:rsidRPr="00545C20">
        <w:rPr>
          <w:rFonts w:ascii="Verdana" w:hAnsi="Verdana"/>
          <w:sz w:val="14"/>
          <w:szCs w:val="14"/>
        </w:rPr>
        <w:t>entidades no sometidas al estatuto general de contratación de la administración pública. Las entidades estatales que por disposición</w:t>
      </w:r>
      <w:r w:rsidRPr="00545C20">
        <w:rPr>
          <w:rFonts w:ascii="Verdana" w:hAnsi="Verdana"/>
          <w:spacing w:val="-1"/>
          <w:sz w:val="14"/>
          <w:szCs w:val="14"/>
        </w:rPr>
        <w:t xml:space="preserve"> </w:t>
      </w:r>
      <w:r w:rsidRPr="00545C20">
        <w:rPr>
          <w:rFonts w:ascii="Verdana" w:hAnsi="Verdana"/>
          <w:sz w:val="14"/>
          <w:szCs w:val="14"/>
        </w:rPr>
        <w:t>legal cuenten</w:t>
      </w:r>
      <w:r w:rsidRPr="00545C20">
        <w:rPr>
          <w:rFonts w:ascii="Verdana" w:hAnsi="Verdana"/>
          <w:spacing w:val="-2"/>
          <w:sz w:val="14"/>
          <w:szCs w:val="14"/>
        </w:rPr>
        <w:t xml:space="preserve"> </w:t>
      </w:r>
      <w:r w:rsidRPr="00545C20">
        <w:rPr>
          <w:rFonts w:ascii="Verdana" w:hAnsi="Verdana"/>
          <w:sz w:val="14"/>
          <w:szCs w:val="14"/>
        </w:rPr>
        <w:t>con un</w:t>
      </w:r>
      <w:r w:rsidRPr="00545C20">
        <w:rPr>
          <w:rFonts w:ascii="Verdana" w:hAnsi="Verdana"/>
          <w:spacing w:val="-1"/>
          <w:sz w:val="14"/>
          <w:szCs w:val="14"/>
        </w:rPr>
        <w:t xml:space="preserve"> </w:t>
      </w:r>
      <w:r w:rsidRPr="00545C20">
        <w:rPr>
          <w:rFonts w:ascii="Verdana" w:hAnsi="Verdana"/>
          <w:sz w:val="14"/>
          <w:szCs w:val="14"/>
        </w:rPr>
        <w:t>régimen contractual excepcional al del Estatuto</w:t>
      </w:r>
      <w:r w:rsidRPr="00545C20">
        <w:rPr>
          <w:rFonts w:ascii="Verdana" w:hAnsi="Verdana"/>
          <w:spacing w:val="21"/>
          <w:sz w:val="14"/>
          <w:szCs w:val="14"/>
        </w:rPr>
        <w:t xml:space="preserve"> </w:t>
      </w:r>
      <w:r w:rsidRPr="00545C20">
        <w:rPr>
          <w:rFonts w:ascii="Verdana" w:hAnsi="Verdana"/>
          <w:sz w:val="14"/>
          <w:szCs w:val="14"/>
        </w:rPr>
        <w:t>General de Contratación</w:t>
      </w:r>
      <w:r w:rsidRPr="00545C20">
        <w:rPr>
          <w:rFonts w:ascii="Verdana" w:hAnsi="Verdana"/>
          <w:spacing w:val="-1"/>
          <w:sz w:val="14"/>
          <w:szCs w:val="14"/>
        </w:rPr>
        <w:t xml:space="preserve"> </w:t>
      </w:r>
      <w:r w:rsidRPr="00545C20">
        <w:rPr>
          <w:rFonts w:ascii="Verdana" w:hAnsi="Verdana"/>
          <w:sz w:val="14"/>
          <w:szCs w:val="14"/>
        </w:rPr>
        <w:t>de la Administración Pública, aplicarán en desarrollo de su actividad contractual, acorde con su régimen legal especial,</w:t>
      </w:r>
      <w:r w:rsidRPr="00545C20">
        <w:rPr>
          <w:rFonts w:ascii="Verdana" w:hAnsi="Verdana"/>
          <w:spacing w:val="-1"/>
          <w:sz w:val="14"/>
          <w:szCs w:val="14"/>
        </w:rPr>
        <w:t xml:space="preserve"> </w:t>
      </w:r>
      <w:r w:rsidRPr="00545C20">
        <w:rPr>
          <w:rFonts w:ascii="Verdana" w:hAnsi="Verdana"/>
          <w:sz w:val="14"/>
          <w:szCs w:val="14"/>
        </w:rPr>
        <w:t>los</w:t>
      </w:r>
      <w:r w:rsidRPr="00545C20">
        <w:rPr>
          <w:rFonts w:ascii="Verdana" w:hAnsi="Verdana"/>
          <w:spacing w:val="-2"/>
          <w:sz w:val="14"/>
          <w:szCs w:val="14"/>
        </w:rPr>
        <w:t xml:space="preserve"> </w:t>
      </w:r>
      <w:r w:rsidRPr="00545C20">
        <w:rPr>
          <w:rFonts w:ascii="Verdana" w:hAnsi="Verdana"/>
          <w:sz w:val="14"/>
          <w:szCs w:val="14"/>
        </w:rPr>
        <w:t>principios</w:t>
      </w:r>
      <w:r w:rsidRPr="00545C20">
        <w:rPr>
          <w:rFonts w:ascii="Verdana" w:hAnsi="Verdana"/>
          <w:spacing w:val="-2"/>
          <w:sz w:val="14"/>
          <w:szCs w:val="14"/>
        </w:rPr>
        <w:t xml:space="preserve"> </w:t>
      </w:r>
      <w:r w:rsidRPr="00545C20">
        <w:rPr>
          <w:rFonts w:ascii="Verdana" w:hAnsi="Verdana"/>
          <w:sz w:val="14"/>
          <w:szCs w:val="14"/>
        </w:rPr>
        <w:t>de</w:t>
      </w:r>
      <w:r w:rsidRPr="00545C20">
        <w:rPr>
          <w:rFonts w:ascii="Verdana" w:hAnsi="Verdana"/>
          <w:spacing w:val="-3"/>
          <w:sz w:val="14"/>
          <w:szCs w:val="14"/>
        </w:rPr>
        <w:t xml:space="preserve"> </w:t>
      </w:r>
      <w:r w:rsidRPr="00545C20">
        <w:rPr>
          <w:rFonts w:ascii="Verdana" w:hAnsi="Verdana"/>
          <w:sz w:val="14"/>
          <w:szCs w:val="14"/>
        </w:rPr>
        <w:t>la</w:t>
      </w:r>
      <w:r w:rsidRPr="00545C20">
        <w:rPr>
          <w:rFonts w:ascii="Verdana" w:hAnsi="Verdana"/>
          <w:spacing w:val="-4"/>
          <w:sz w:val="14"/>
          <w:szCs w:val="14"/>
        </w:rPr>
        <w:t xml:space="preserve"> </w:t>
      </w:r>
      <w:r w:rsidRPr="00545C20">
        <w:rPr>
          <w:rFonts w:ascii="Verdana" w:hAnsi="Verdana"/>
          <w:sz w:val="14"/>
          <w:szCs w:val="14"/>
        </w:rPr>
        <w:t>función</w:t>
      </w:r>
      <w:r w:rsidRPr="00545C20">
        <w:rPr>
          <w:rFonts w:ascii="Verdana" w:hAnsi="Verdana"/>
          <w:spacing w:val="-4"/>
          <w:sz w:val="14"/>
          <w:szCs w:val="14"/>
        </w:rPr>
        <w:t xml:space="preserve"> </w:t>
      </w:r>
      <w:r w:rsidRPr="00545C20">
        <w:rPr>
          <w:rFonts w:ascii="Verdana" w:hAnsi="Verdana"/>
          <w:sz w:val="14"/>
          <w:szCs w:val="14"/>
        </w:rPr>
        <w:t>administrativa</w:t>
      </w:r>
      <w:r w:rsidRPr="00545C20">
        <w:rPr>
          <w:rFonts w:ascii="Verdana" w:hAnsi="Verdana"/>
          <w:spacing w:val="-4"/>
          <w:sz w:val="14"/>
          <w:szCs w:val="14"/>
        </w:rPr>
        <w:t xml:space="preserve"> </w:t>
      </w:r>
      <w:r w:rsidRPr="00545C20">
        <w:rPr>
          <w:rFonts w:ascii="Verdana" w:hAnsi="Verdana"/>
          <w:sz w:val="14"/>
          <w:szCs w:val="14"/>
        </w:rPr>
        <w:t>y</w:t>
      </w:r>
      <w:r w:rsidRPr="00545C20">
        <w:rPr>
          <w:rFonts w:ascii="Verdana" w:hAnsi="Verdana"/>
          <w:spacing w:val="-3"/>
          <w:sz w:val="14"/>
          <w:szCs w:val="14"/>
        </w:rPr>
        <w:t xml:space="preserve"> </w:t>
      </w:r>
      <w:r w:rsidRPr="00545C20">
        <w:rPr>
          <w:rFonts w:ascii="Verdana" w:hAnsi="Verdana"/>
          <w:sz w:val="14"/>
          <w:szCs w:val="14"/>
        </w:rPr>
        <w:t>de</w:t>
      </w:r>
      <w:r w:rsidRPr="00545C20">
        <w:rPr>
          <w:rFonts w:ascii="Verdana" w:hAnsi="Verdana"/>
          <w:spacing w:val="-3"/>
          <w:sz w:val="14"/>
          <w:szCs w:val="14"/>
        </w:rPr>
        <w:t xml:space="preserve"> </w:t>
      </w:r>
      <w:r w:rsidRPr="00545C20">
        <w:rPr>
          <w:rFonts w:ascii="Verdana" w:hAnsi="Verdana"/>
          <w:sz w:val="14"/>
          <w:szCs w:val="14"/>
        </w:rPr>
        <w:t>la</w:t>
      </w:r>
      <w:r w:rsidRPr="00545C20">
        <w:rPr>
          <w:rFonts w:ascii="Verdana" w:hAnsi="Verdana"/>
          <w:spacing w:val="-4"/>
          <w:sz w:val="14"/>
          <w:szCs w:val="14"/>
        </w:rPr>
        <w:t xml:space="preserve"> </w:t>
      </w:r>
      <w:r w:rsidRPr="00545C20">
        <w:rPr>
          <w:rFonts w:ascii="Verdana" w:hAnsi="Verdana"/>
          <w:sz w:val="14"/>
          <w:szCs w:val="14"/>
        </w:rPr>
        <w:t>gestión</w:t>
      </w:r>
      <w:r w:rsidRPr="00545C20">
        <w:rPr>
          <w:rFonts w:ascii="Verdana" w:hAnsi="Verdana"/>
          <w:spacing w:val="-4"/>
          <w:sz w:val="14"/>
          <w:szCs w:val="14"/>
        </w:rPr>
        <w:t xml:space="preserve"> </w:t>
      </w:r>
      <w:r w:rsidRPr="00545C20">
        <w:rPr>
          <w:rFonts w:ascii="Verdana" w:hAnsi="Verdana"/>
          <w:sz w:val="14"/>
          <w:szCs w:val="14"/>
        </w:rPr>
        <w:t>fiscal</w:t>
      </w:r>
      <w:r w:rsidRPr="00545C20">
        <w:rPr>
          <w:rFonts w:ascii="Verdana" w:hAnsi="Verdana"/>
          <w:spacing w:val="-2"/>
          <w:sz w:val="14"/>
          <w:szCs w:val="14"/>
        </w:rPr>
        <w:t xml:space="preserve"> </w:t>
      </w:r>
      <w:r w:rsidRPr="00545C20">
        <w:rPr>
          <w:rFonts w:ascii="Verdana" w:hAnsi="Verdana"/>
          <w:sz w:val="14"/>
          <w:szCs w:val="14"/>
        </w:rPr>
        <w:t>de</w:t>
      </w:r>
      <w:r w:rsidRPr="00545C20">
        <w:rPr>
          <w:rFonts w:ascii="Verdana" w:hAnsi="Verdana"/>
          <w:spacing w:val="-3"/>
          <w:sz w:val="14"/>
          <w:szCs w:val="14"/>
        </w:rPr>
        <w:t xml:space="preserve"> </w:t>
      </w:r>
      <w:r w:rsidRPr="00545C20">
        <w:rPr>
          <w:rFonts w:ascii="Verdana" w:hAnsi="Verdana"/>
          <w:sz w:val="14"/>
          <w:szCs w:val="14"/>
        </w:rPr>
        <w:t>que</w:t>
      </w:r>
      <w:r w:rsidRPr="00545C20">
        <w:rPr>
          <w:rFonts w:ascii="Verdana" w:hAnsi="Verdana"/>
          <w:spacing w:val="-3"/>
          <w:sz w:val="14"/>
          <w:szCs w:val="14"/>
        </w:rPr>
        <w:t xml:space="preserve"> </w:t>
      </w:r>
      <w:r w:rsidRPr="00545C20">
        <w:rPr>
          <w:rFonts w:ascii="Verdana" w:hAnsi="Verdana"/>
          <w:sz w:val="14"/>
          <w:szCs w:val="14"/>
        </w:rPr>
        <w:t>tratan</w:t>
      </w:r>
      <w:r w:rsidRPr="00545C20">
        <w:rPr>
          <w:rFonts w:ascii="Verdana" w:hAnsi="Verdana"/>
          <w:spacing w:val="-4"/>
          <w:sz w:val="14"/>
          <w:szCs w:val="14"/>
        </w:rPr>
        <w:t xml:space="preserve"> </w:t>
      </w:r>
      <w:r w:rsidRPr="00545C20">
        <w:rPr>
          <w:rFonts w:ascii="Verdana" w:hAnsi="Verdana"/>
          <w:sz w:val="14"/>
          <w:szCs w:val="14"/>
        </w:rPr>
        <w:t>los</w:t>
      </w:r>
      <w:r w:rsidRPr="00545C20">
        <w:rPr>
          <w:rFonts w:ascii="Verdana" w:hAnsi="Verdana"/>
          <w:spacing w:val="-2"/>
          <w:sz w:val="14"/>
          <w:szCs w:val="14"/>
        </w:rPr>
        <w:t xml:space="preserve"> </w:t>
      </w:r>
      <w:r w:rsidRPr="00545C20">
        <w:rPr>
          <w:rFonts w:ascii="Verdana" w:hAnsi="Verdana"/>
          <w:sz w:val="14"/>
          <w:szCs w:val="14"/>
        </w:rPr>
        <w:t>artículos</w:t>
      </w:r>
      <w:r w:rsidRPr="00545C20">
        <w:rPr>
          <w:rFonts w:ascii="Verdana" w:hAnsi="Verdana"/>
          <w:spacing w:val="-2"/>
          <w:sz w:val="14"/>
          <w:szCs w:val="14"/>
        </w:rPr>
        <w:t xml:space="preserve"> </w:t>
      </w:r>
      <w:r w:rsidRPr="00545C20">
        <w:rPr>
          <w:rFonts w:ascii="Verdana" w:hAnsi="Verdana"/>
          <w:sz w:val="14"/>
          <w:szCs w:val="14"/>
        </w:rPr>
        <w:t>209</w:t>
      </w:r>
      <w:r w:rsidRPr="00545C20">
        <w:rPr>
          <w:rFonts w:ascii="Verdana" w:hAnsi="Verdana"/>
          <w:spacing w:val="-5"/>
          <w:sz w:val="14"/>
          <w:szCs w:val="14"/>
        </w:rPr>
        <w:t xml:space="preserve"> </w:t>
      </w:r>
      <w:r w:rsidRPr="00545C20">
        <w:rPr>
          <w:rFonts w:ascii="Verdana" w:hAnsi="Verdana"/>
          <w:sz w:val="14"/>
          <w:szCs w:val="14"/>
        </w:rPr>
        <w:t>y 267 de</w:t>
      </w:r>
      <w:r w:rsidRPr="00545C20">
        <w:rPr>
          <w:rFonts w:ascii="Verdana" w:hAnsi="Verdana"/>
          <w:spacing w:val="-9"/>
          <w:sz w:val="14"/>
          <w:szCs w:val="14"/>
        </w:rPr>
        <w:t xml:space="preserve"> </w:t>
      </w:r>
      <w:r w:rsidRPr="00545C20">
        <w:rPr>
          <w:rFonts w:ascii="Verdana" w:hAnsi="Verdana"/>
          <w:sz w:val="14"/>
          <w:szCs w:val="14"/>
        </w:rPr>
        <w:t>la</w:t>
      </w:r>
      <w:r w:rsidRPr="00545C20">
        <w:rPr>
          <w:rFonts w:ascii="Verdana" w:hAnsi="Verdana"/>
          <w:spacing w:val="-8"/>
          <w:sz w:val="14"/>
          <w:szCs w:val="14"/>
        </w:rPr>
        <w:t xml:space="preserve"> </w:t>
      </w:r>
      <w:r w:rsidRPr="00545C20">
        <w:rPr>
          <w:rFonts w:ascii="Verdana" w:hAnsi="Verdana"/>
          <w:sz w:val="14"/>
          <w:szCs w:val="14"/>
        </w:rPr>
        <w:t>Constitución</w:t>
      </w:r>
      <w:r w:rsidRPr="00545C20">
        <w:rPr>
          <w:rFonts w:ascii="Verdana" w:hAnsi="Verdana"/>
          <w:spacing w:val="-10"/>
          <w:sz w:val="14"/>
          <w:szCs w:val="14"/>
        </w:rPr>
        <w:t xml:space="preserve"> </w:t>
      </w:r>
      <w:r w:rsidRPr="00545C20">
        <w:rPr>
          <w:rFonts w:ascii="Verdana" w:hAnsi="Verdana"/>
          <w:sz w:val="14"/>
          <w:szCs w:val="14"/>
        </w:rPr>
        <w:t>Política,</w:t>
      </w:r>
      <w:r w:rsidRPr="00545C20">
        <w:rPr>
          <w:rFonts w:ascii="Verdana" w:hAnsi="Verdana"/>
          <w:spacing w:val="-12"/>
          <w:sz w:val="14"/>
          <w:szCs w:val="14"/>
        </w:rPr>
        <w:t xml:space="preserve"> </w:t>
      </w:r>
      <w:r w:rsidRPr="00545C20">
        <w:rPr>
          <w:rFonts w:ascii="Verdana" w:hAnsi="Verdana"/>
          <w:sz w:val="14"/>
          <w:szCs w:val="14"/>
        </w:rPr>
        <w:t>respectivamente</w:t>
      </w:r>
      <w:r w:rsidRPr="00545C20">
        <w:rPr>
          <w:rFonts w:ascii="Verdana" w:hAnsi="Verdana"/>
          <w:spacing w:val="-9"/>
          <w:sz w:val="14"/>
          <w:szCs w:val="14"/>
        </w:rPr>
        <w:t xml:space="preserve"> </w:t>
      </w:r>
      <w:r w:rsidRPr="00545C20">
        <w:rPr>
          <w:rFonts w:ascii="Verdana" w:hAnsi="Verdana"/>
          <w:sz w:val="14"/>
          <w:szCs w:val="14"/>
        </w:rPr>
        <w:t>según</w:t>
      </w:r>
      <w:r w:rsidRPr="00545C20">
        <w:rPr>
          <w:rFonts w:ascii="Verdana" w:hAnsi="Verdana"/>
          <w:spacing w:val="-10"/>
          <w:sz w:val="14"/>
          <w:szCs w:val="14"/>
        </w:rPr>
        <w:t xml:space="preserve"> </w:t>
      </w:r>
      <w:r w:rsidRPr="00545C20">
        <w:rPr>
          <w:rFonts w:ascii="Verdana" w:hAnsi="Verdana"/>
          <w:sz w:val="14"/>
          <w:szCs w:val="14"/>
        </w:rPr>
        <w:t>sea</w:t>
      </w:r>
      <w:r w:rsidRPr="00545C20">
        <w:rPr>
          <w:rFonts w:ascii="Verdana" w:hAnsi="Verdana"/>
          <w:spacing w:val="-11"/>
          <w:sz w:val="14"/>
          <w:szCs w:val="14"/>
        </w:rPr>
        <w:t xml:space="preserve"> </w:t>
      </w:r>
      <w:r w:rsidRPr="00545C20">
        <w:rPr>
          <w:rFonts w:ascii="Verdana" w:hAnsi="Verdana"/>
          <w:sz w:val="14"/>
          <w:szCs w:val="14"/>
        </w:rPr>
        <w:t>el</w:t>
      </w:r>
      <w:r w:rsidRPr="00545C20">
        <w:rPr>
          <w:rFonts w:ascii="Verdana" w:hAnsi="Verdana"/>
          <w:spacing w:val="-8"/>
          <w:sz w:val="14"/>
          <w:szCs w:val="14"/>
        </w:rPr>
        <w:t xml:space="preserve"> </w:t>
      </w:r>
      <w:r w:rsidRPr="00545C20">
        <w:rPr>
          <w:rFonts w:ascii="Verdana" w:hAnsi="Verdana"/>
          <w:sz w:val="14"/>
          <w:szCs w:val="14"/>
        </w:rPr>
        <w:t>caso</w:t>
      </w:r>
      <w:r w:rsidRPr="00545C20">
        <w:rPr>
          <w:rFonts w:ascii="Verdana" w:hAnsi="Verdana"/>
          <w:spacing w:val="-11"/>
          <w:sz w:val="14"/>
          <w:szCs w:val="14"/>
        </w:rPr>
        <w:t xml:space="preserve"> </w:t>
      </w:r>
      <w:r w:rsidRPr="00545C20">
        <w:rPr>
          <w:rFonts w:ascii="Verdana" w:hAnsi="Verdana"/>
          <w:sz w:val="14"/>
          <w:szCs w:val="14"/>
        </w:rPr>
        <w:t>y</w:t>
      </w:r>
      <w:r w:rsidRPr="00545C20">
        <w:rPr>
          <w:rFonts w:ascii="Verdana" w:hAnsi="Verdana"/>
          <w:spacing w:val="-9"/>
          <w:sz w:val="14"/>
          <w:szCs w:val="14"/>
        </w:rPr>
        <w:t xml:space="preserve"> </w:t>
      </w:r>
      <w:r w:rsidRPr="00545C20">
        <w:rPr>
          <w:rFonts w:ascii="Verdana" w:hAnsi="Verdana"/>
          <w:sz w:val="14"/>
          <w:szCs w:val="14"/>
        </w:rPr>
        <w:t>estarán</w:t>
      </w:r>
      <w:r w:rsidRPr="00545C20">
        <w:rPr>
          <w:rFonts w:ascii="Verdana" w:hAnsi="Verdana"/>
          <w:spacing w:val="-10"/>
          <w:sz w:val="14"/>
          <w:szCs w:val="14"/>
        </w:rPr>
        <w:t xml:space="preserve"> </w:t>
      </w:r>
      <w:r w:rsidRPr="00545C20">
        <w:rPr>
          <w:rFonts w:ascii="Verdana" w:hAnsi="Verdana"/>
          <w:sz w:val="14"/>
          <w:szCs w:val="14"/>
        </w:rPr>
        <w:t>sometidas</w:t>
      </w:r>
      <w:r w:rsidRPr="00545C20">
        <w:rPr>
          <w:rFonts w:ascii="Verdana" w:hAnsi="Verdana"/>
          <w:spacing w:val="-8"/>
          <w:sz w:val="14"/>
          <w:szCs w:val="14"/>
        </w:rPr>
        <w:t xml:space="preserve"> </w:t>
      </w:r>
      <w:r w:rsidRPr="00545C20">
        <w:rPr>
          <w:rFonts w:ascii="Verdana" w:hAnsi="Verdana"/>
          <w:sz w:val="14"/>
          <w:szCs w:val="14"/>
        </w:rPr>
        <w:t>al</w:t>
      </w:r>
      <w:r w:rsidRPr="00545C20">
        <w:rPr>
          <w:rFonts w:ascii="Verdana" w:hAnsi="Verdana"/>
          <w:spacing w:val="-13"/>
          <w:sz w:val="14"/>
          <w:szCs w:val="14"/>
        </w:rPr>
        <w:t xml:space="preserve"> </w:t>
      </w:r>
      <w:r w:rsidRPr="00545C20">
        <w:rPr>
          <w:rFonts w:ascii="Verdana" w:hAnsi="Verdana"/>
          <w:sz w:val="14"/>
          <w:szCs w:val="14"/>
        </w:rPr>
        <w:t>régimen</w:t>
      </w:r>
      <w:r w:rsidRPr="00545C20">
        <w:rPr>
          <w:rFonts w:ascii="Verdana" w:hAnsi="Verdana"/>
          <w:spacing w:val="-11"/>
          <w:sz w:val="14"/>
          <w:szCs w:val="14"/>
        </w:rPr>
        <w:t xml:space="preserve"> </w:t>
      </w:r>
      <w:r w:rsidRPr="00545C20">
        <w:rPr>
          <w:rFonts w:ascii="Verdana" w:hAnsi="Verdana"/>
          <w:sz w:val="14"/>
          <w:szCs w:val="14"/>
        </w:rPr>
        <w:t>de</w:t>
      </w:r>
      <w:r w:rsidRPr="00545C20">
        <w:rPr>
          <w:rFonts w:ascii="Verdana" w:hAnsi="Verdana"/>
          <w:spacing w:val="-9"/>
          <w:sz w:val="14"/>
          <w:szCs w:val="14"/>
        </w:rPr>
        <w:t xml:space="preserve"> </w:t>
      </w:r>
      <w:r w:rsidRPr="00545C20">
        <w:rPr>
          <w:rFonts w:ascii="Verdana" w:hAnsi="Verdana"/>
          <w:sz w:val="14"/>
          <w:szCs w:val="14"/>
        </w:rPr>
        <w:t>inhabilidades e incompatibilidades previsto legalmente para la contratación estatal</w:t>
      </w:r>
      <w:r w:rsidRPr="00545C20">
        <w:rPr>
          <w:rFonts w:ascii="Verdana" w:hAnsi="Verdana"/>
          <w:spacing w:val="-32"/>
          <w:sz w:val="14"/>
          <w:szCs w:val="14"/>
        </w:rPr>
        <w:t xml:space="preserve"> </w:t>
      </w:r>
      <w:r w:rsidRPr="00545C20">
        <w:rPr>
          <w:rFonts w:ascii="Verdana" w:hAnsi="Verdana"/>
          <w:sz w:val="14"/>
          <w:szCs w:val="14"/>
        </w:rPr>
        <w:t>”</w:t>
      </w:r>
    </w:p>
  </w:footnote>
  <w:footnote w:id="18">
    <w:p w14:paraId="035514F5" w14:textId="77777777" w:rsidR="00D35423" w:rsidRPr="00545C20" w:rsidRDefault="00D35423" w:rsidP="00D35423">
      <w:pPr>
        <w:pStyle w:val="Textonotapie"/>
        <w:snapToGrid w:val="0"/>
        <w:ind w:firstLine="708"/>
        <w:contextualSpacing/>
        <w:jc w:val="both"/>
        <w:rPr>
          <w:rFonts w:ascii="Verdana" w:hAnsi="Verdana"/>
          <w:sz w:val="14"/>
          <w:szCs w:val="14"/>
        </w:rPr>
      </w:pPr>
      <w:r w:rsidRPr="00545C20">
        <w:rPr>
          <w:rStyle w:val="Refdenotaalpie"/>
          <w:rFonts w:ascii="Verdana" w:hAnsi="Verdana"/>
          <w:sz w:val="14"/>
          <w:szCs w:val="14"/>
        </w:rPr>
        <w:footnoteRef/>
      </w:r>
      <w:r w:rsidRPr="00545C20">
        <w:rPr>
          <w:rFonts w:ascii="Verdana" w:hAnsi="Verdana"/>
          <w:sz w:val="14"/>
          <w:szCs w:val="14"/>
        </w:rPr>
        <w:t xml:space="preserve"> Consejo de Estado. Sección Tercera. Radicado</w:t>
      </w:r>
      <w:r w:rsidRPr="00545C20">
        <w:rPr>
          <w:rFonts w:ascii="Verdana" w:hAnsi="Verdana"/>
          <w:spacing w:val="-1"/>
          <w:sz w:val="14"/>
          <w:szCs w:val="14"/>
        </w:rPr>
        <w:t xml:space="preserve"> </w:t>
      </w:r>
      <w:r w:rsidRPr="00545C20">
        <w:rPr>
          <w:rFonts w:ascii="Verdana" w:hAnsi="Verdana"/>
          <w:sz w:val="14"/>
          <w:szCs w:val="14"/>
        </w:rPr>
        <w:t>No. 45.607 del 24 de octubre de 2016. Consejera Ponente: María Nubia Velásquez Rico.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A36B19"/>
    <w:multiLevelType w:val="hybridMultilevel"/>
    <w:tmpl w:val="953A4E2C"/>
    <w:lvl w:ilvl="0" w:tplc="04090017">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769791B"/>
    <w:multiLevelType w:val="hybridMultilevel"/>
    <w:tmpl w:val="765C45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22711EB"/>
    <w:multiLevelType w:val="hybridMultilevel"/>
    <w:tmpl w:val="0FB63FEC"/>
    <w:lvl w:ilvl="0" w:tplc="EF92621A">
      <w:start w:val="1"/>
      <w:numFmt w:val="upperRoman"/>
      <w:lvlText w:val="(%1)"/>
      <w:lvlJc w:val="left"/>
      <w:pPr>
        <w:ind w:left="1440" w:hanging="108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916AB3"/>
    <w:multiLevelType w:val="hybridMultilevel"/>
    <w:tmpl w:val="D61EC1E6"/>
    <w:lvl w:ilvl="0" w:tplc="73DEAA1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986512"/>
    <w:multiLevelType w:val="multilevel"/>
    <w:tmpl w:val="3F867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D2597E"/>
    <w:multiLevelType w:val="multilevel"/>
    <w:tmpl w:val="1354F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557C12"/>
    <w:multiLevelType w:val="multilevel"/>
    <w:tmpl w:val="34089C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4F437656"/>
    <w:multiLevelType w:val="hybridMultilevel"/>
    <w:tmpl w:val="799AA770"/>
    <w:lvl w:ilvl="0" w:tplc="DDCEDA26">
      <w:start w:val="1"/>
      <w:numFmt w:val="decimal"/>
      <w:lvlText w:val="%1)"/>
      <w:lvlJc w:val="left"/>
      <w:pPr>
        <w:ind w:left="1069" w:hanging="360"/>
      </w:pPr>
      <w:rPr>
        <w:rFonts w:eastAsiaTheme="minorHAns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5E650EA1"/>
    <w:multiLevelType w:val="hybridMultilevel"/>
    <w:tmpl w:val="4F221DA8"/>
    <w:lvl w:ilvl="0" w:tplc="6EF2AD8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2355DD"/>
    <w:multiLevelType w:val="hybridMultilevel"/>
    <w:tmpl w:val="C128A5AA"/>
    <w:lvl w:ilvl="0" w:tplc="2C74E67C">
      <w:start w:val="1"/>
      <w:numFmt w:val="lowerRoman"/>
      <w:lvlText w:val="(%1)"/>
      <w:lvlJc w:val="left"/>
      <w:pPr>
        <w:ind w:left="1505" w:hanging="108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6" w15:restartNumberingAfterBreak="0">
    <w:nsid w:val="78AB07FD"/>
    <w:multiLevelType w:val="hybridMultilevel"/>
    <w:tmpl w:val="2CAE5CB6"/>
    <w:lvl w:ilvl="0" w:tplc="62A0FAC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8779781">
    <w:abstractNumId w:val="14"/>
  </w:num>
  <w:num w:numId="2" w16cid:durableId="19822139">
    <w:abstractNumId w:val="3"/>
  </w:num>
  <w:num w:numId="3" w16cid:durableId="876742304">
    <w:abstractNumId w:val="11"/>
  </w:num>
  <w:num w:numId="4" w16cid:durableId="2451864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23"/>
  </w:num>
  <w:num w:numId="7" w16cid:durableId="1946422806">
    <w:abstractNumId w:val="12"/>
  </w:num>
  <w:num w:numId="8" w16cid:durableId="152644682">
    <w:abstractNumId w:val="22"/>
  </w:num>
  <w:num w:numId="9" w16cid:durableId="1317221377">
    <w:abstractNumId w:val="15"/>
  </w:num>
  <w:num w:numId="10" w16cid:durableId="1471245386">
    <w:abstractNumId w:val="21"/>
  </w:num>
  <w:num w:numId="11" w16cid:durableId="289172385">
    <w:abstractNumId w:val="16"/>
  </w:num>
  <w:num w:numId="12" w16cid:durableId="1470781324">
    <w:abstractNumId w:val="1"/>
  </w:num>
  <w:num w:numId="13" w16cid:durableId="1512908409">
    <w:abstractNumId w:val="8"/>
  </w:num>
  <w:num w:numId="14" w16cid:durableId="895897244">
    <w:abstractNumId w:val="24"/>
  </w:num>
  <w:num w:numId="15" w16cid:durableId="390349800">
    <w:abstractNumId w:val="20"/>
  </w:num>
  <w:num w:numId="16" w16cid:durableId="341274352">
    <w:abstractNumId w:val="0"/>
  </w:num>
  <w:num w:numId="17" w16cid:durableId="679089576">
    <w:abstractNumId w:val="17"/>
  </w:num>
  <w:num w:numId="18" w16cid:durableId="210121676">
    <w:abstractNumId w:val="2"/>
  </w:num>
  <w:num w:numId="19" w16cid:durableId="2070420704">
    <w:abstractNumId w:val="9"/>
  </w:num>
  <w:num w:numId="20" w16cid:durableId="620262515">
    <w:abstractNumId w:val="19"/>
  </w:num>
  <w:num w:numId="21" w16cid:durableId="2034187924">
    <w:abstractNumId w:val="6"/>
  </w:num>
  <w:num w:numId="22" w16cid:durableId="26637755">
    <w:abstractNumId w:val="13"/>
  </w:num>
  <w:num w:numId="23" w16cid:durableId="945189050">
    <w:abstractNumId w:val="10"/>
  </w:num>
  <w:num w:numId="24" w16cid:durableId="1643735337">
    <w:abstractNumId w:val="25"/>
  </w:num>
  <w:num w:numId="25" w16cid:durableId="120880637">
    <w:abstractNumId w:val="26"/>
  </w:num>
  <w:num w:numId="26" w16cid:durableId="326566351">
    <w:abstractNumId w:val="5"/>
  </w:num>
  <w:num w:numId="27" w16cid:durableId="571424827">
    <w:abstractNumId w:val="7"/>
  </w:num>
  <w:num w:numId="28" w16cid:durableId="1498494355">
    <w:abstractNumId w:val="4"/>
  </w:num>
  <w:num w:numId="29" w16cid:durableId="7779838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5DB5"/>
    <w:rsid w:val="000A683E"/>
    <w:rsid w:val="000B19B9"/>
    <w:rsid w:val="000D0334"/>
    <w:rsid w:val="000D796E"/>
    <w:rsid w:val="000F6486"/>
    <w:rsid w:val="001067F2"/>
    <w:rsid w:val="0012234D"/>
    <w:rsid w:val="00125105"/>
    <w:rsid w:val="00127233"/>
    <w:rsid w:val="001511A0"/>
    <w:rsid w:val="00191C54"/>
    <w:rsid w:val="001B3098"/>
    <w:rsid w:val="001D2982"/>
    <w:rsid w:val="001E4177"/>
    <w:rsid w:val="001F7DC6"/>
    <w:rsid w:val="00211384"/>
    <w:rsid w:val="00223E7A"/>
    <w:rsid w:val="002318AD"/>
    <w:rsid w:val="002421BB"/>
    <w:rsid w:val="00251977"/>
    <w:rsid w:val="00253711"/>
    <w:rsid w:val="0025796E"/>
    <w:rsid w:val="002707A2"/>
    <w:rsid w:val="002951A0"/>
    <w:rsid w:val="002962BC"/>
    <w:rsid w:val="002A093D"/>
    <w:rsid w:val="002A0DD0"/>
    <w:rsid w:val="002A49AC"/>
    <w:rsid w:val="002A64FD"/>
    <w:rsid w:val="002B7E59"/>
    <w:rsid w:val="002C7A84"/>
    <w:rsid w:val="002E4FD9"/>
    <w:rsid w:val="003046A4"/>
    <w:rsid w:val="00321132"/>
    <w:rsid w:val="00322A85"/>
    <w:rsid w:val="00324168"/>
    <w:rsid w:val="0032571E"/>
    <w:rsid w:val="00326255"/>
    <w:rsid w:val="003448F4"/>
    <w:rsid w:val="003713C4"/>
    <w:rsid w:val="00374F5E"/>
    <w:rsid w:val="00377E3E"/>
    <w:rsid w:val="003869A5"/>
    <w:rsid w:val="00396F3E"/>
    <w:rsid w:val="003A114B"/>
    <w:rsid w:val="003A1C70"/>
    <w:rsid w:val="003A779E"/>
    <w:rsid w:val="003B6A2E"/>
    <w:rsid w:val="003D0F4D"/>
    <w:rsid w:val="003D5B0D"/>
    <w:rsid w:val="003E0499"/>
    <w:rsid w:val="003F3941"/>
    <w:rsid w:val="00406575"/>
    <w:rsid w:val="00414C74"/>
    <w:rsid w:val="00417639"/>
    <w:rsid w:val="00424922"/>
    <w:rsid w:val="0042722E"/>
    <w:rsid w:val="00434042"/>
    <w:rsid w:val="0044528D"/>
    <w:rsid w:val="0048446E"/>
    <w:rsid w:val="004A1847"/>
    <w:rsid w:val="004A305D"/>
    <w:rsid w:val="004F21C4"/>
    <w:rsid w:val="004F685F"/>
    <w:rsid w:val="005119BF"/>
    <w:rsid w:val="005435BE"/>
    <w:rsid w:val="00545C20"/>
    <w:rsid w:val="0055377E"/>
    <w:rsid w:val="005566E8"/>
    <w:rsid w:val="00574867"/>
    <w:rsid w:val="00591460"/>
    <w:rsid w:val="005A7E03"/>
    <w:rsid w:val="005B3816"/>
    <w:rsid w:val="005C3777"/>
    <w:rsid w:val="005C5CDC"/>
    <w:rsid w:val="005D1250"/>
    <w:rsid w:val="005D476C"/>
    <w:rsid w:val="006219F8"/>
    <w:rsid w:val="00635B94"/>
    <w:rsid w:val="00665D70"/>
    <w:rsid w:val="006900D9"/>
    <w:rsid w:val="00706C16"/>
    <w:rsid w:val="007549AE"/>
    <w:rsid w:val="00756841"/>
    <w:rsid w:val="007649AB"/>
    <w:rsid w:val="00771D0C"/>
    <w:rsid w:val="007833AC"/>
    <w:rsid w:val="007B268C"/>
    <w:rsid w:val="007B7171"/>
    <w:rsid w:val="007C0C0F"/>
    <w:rsid w:val="007C3DC2"/>
    <w:rsid w:val="007E5497"/>
    <w:rsid w:val="00806F5F"/>
    <w:rsid w:val="00820278"/>
    <w:rsid w:val="00867F95"/>
    <w:rsid w:val="00880762"/>
    <w:rsid w:val="008843B6"/>
    <w:rsid w:val="00891928"/>
    <w:rsid w:val="008A446D"/>
    <w:rsid w:val="008D180B"/>
    <w:rsid w:val="008F0EA7"/>
    <w:rsid w:val="00911093"/>
    <w:rsid w:val="00923EEF"/>
    <w:rsid w:val="009419F9"/>
    <w:rsid w:val="0095685E"/>
    <w:rsid w:val="00961B09"/>
    <w:rsid w:val="00965334"/>
    <w:rsid w:val="0097093E"/>
    <w:rsid w:val="00986AC5"/>
    <w:rsid w:val="009A0DFA"/>
    <w:rsid w:val="009A77EC"/>
    <w:rsid w:val="009B2D26"/>
    <w:rsid w:val="009C71FA"/>
    <w:rsid w:val="009C72E7"/>
    <w:rsid w:val="009D3058"/>
    <w:rsid w:val="009F3A13"/>
    <w:rsid w:val="00A122D3"/>
    <w:rsid w:val="00A17F13"/>
    <w:rsid w:val="00A20739"/>
    <w:rsid w:val="00A2087E"/>
    <w:rsid w:val="00A33C78"/>
    <w:rsid w:val="00A44C58"/>
    <w:rsid w:val="00A47F89"/>
    <w:rsid w:val="00AA3EBB"/>
    <w:rsid w:val="00AB032D"/>
    <w:rsid w:val="00AB0ADB"/>
    <w:rsid w:val="00AB42C9"/>
    <w:rsid w:val="00AC56BB"/>
    <w:rsid w:val="00AE1255"/>
    <w:rsid w:val="00B01B1A"/>
    <w:rsid w:val="00B33E02"/>
    <w:rsid w:val="00B66319"/>
    <w:rsid w:val="00B71C23"/>
    <w:rsid w:val="00B72CD3"/>
    <w:rsid w:val="00B72FFF"/>
    <w:rsid w:val="00B82090"/>
    <w:rsid w:val="00BC3D36"/>
    <w:rsid w:val="00BD7F72"/>
    <w:rsid w:val="00BE2CB3"/>
    <w:rsid w:val="00BF59BC"/>
    <w:rsid w:val="00C04FB3"/>
    <w:rsid w:val="00C330EB"/>
    <w:rsid w:val="00C41061"/>
    <w:rsid w:val="00C754BE"/>
    <w:rsid w:val="00C76B1C"/>
    <w:rsid w:val="00CB03D4"/>
    <w:rsid w:val="00CB6357"/>
    <w:rsid w:val="00CC1B26"/>
    <w:rsid w:val="00D35423"/>
    <w:rsid w:val="00D423A2"/>
    <w:rsid w:val="00D520D8"/>
    <w:rsid w:val="00D63AC2"/>
    <w:rsid w:val="00D7383B"/>
    <w:rsid w:val="00DA231B"/>
    <w:rsid w:val="00DA41B0"/>
    <w:rsid w:val="00DC39FC"/>
    <w:rsid w:val="00DE3CED"/>
    <w:rsid w:val="00DF5254"/>
    <w:rsid w:val="00E16408"/>
    <w:rsid w:val="00E20894"/>
    <w:rsid w:val="00E245AB"/>
    <w:rsid w:val="00E2764C"/>
    <w:rsid w:val="00E27F2E"/>
    <w:rsid w:val="00E50AFE"/>
    <w:rsid w:val="00E57A03"/>
    <w:rsid w:val="00E75C92"/>
    <w:rsid w:val="00E771DC"/>
    <w:rsid w:val="00E8772A"/>
    <w:rsid w:val="00E90F6B"/>
    <w:rsid w:val="00E92C27"/>
    <w:rsid w:val="00EA0E3D"/>
    <w:rsid w:val="00EC38A7"/>
    <w:rsid w:val="00ED7384"/>
    <w:rsid w:val="00EE1AA8"/>
    <w:rsid w:val="00F31448"/>
    <w:rsid w:val="00F31EDC"/>
    <w:rsid w:val="00F462B3"/>
    <w:rsid w:val="00F5664F"/>
    <w:rsid w:val="00F666C4"/>
    <w:rsid w:val="00F76AFC"/>
    <w:rsid w:val="00F90976"/>
    <w:rsid w:val="00FA47C0"/>
    <w:rsid w:val="00FB5DD1"/>
    <w:rsid w:val="00FC26D0"/>
    <w:rsid w:val="00FC2B5D"/>
    <w:rsid w:val="00FF0477"/>
    <w:rsid w:val="00FF1449"/>
    <w:rsid w:val="165E9519"/>
    <w:rsid w:val="307A877A"/>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D354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D35423"/>
    <w:rPr>
      <w:rFonts w:ascii="Times New Roman" w:eastAsia="Times New Roman" w:hAnsi="Times New Roman" w:cs="Times New Roman"/>
      <w:b/>
      <w:bCs/>
      <w:kern w:val="36"/>
      <w:sz w:val="48"/>
      <w:szCs w:val="48"/>
      <w:lang w:eastAsia="es-CO"/>
    </w:rPr>
  </w:style>
  <w:style w:type="paragraph" w:customStyle="1" w:styleId="Appelnotedebasde">
    <w:name w:val="Appel note de bas de..."/>
    <w:basedOn w:val="Normal"/>
    <w:link w:val="Refdenotaalpie"/>
    <w:uiPriority w:val="99"/>
    <w:rsid w:val="00D3542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D35423"/>
    <w:rPr>
      <w:rFonts w:ascii="Geomanist Light" w:hAnsi="Geomanist Light"/>
      <w:lang w:val="es-ES"/>
    </w:rPr>
  </w:style>
  <w:style w:type="paragraph" w:styleId="Textoindependiente">
    <w:name w:val="Body Text"/>
    <w:basedOn w:val="Normal"/>
    <w:link w:val="TextoindependienteCar"/>
    <w:uiPriority w:val="99"/>
    <w:unhideWhenUsed/>
    <w:rsid w:val="00D3542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D35423"/>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archivos/manual/guia-para-entidades-estatales-con-regimen-especial-de-contrataci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durmurindo@edurm.net"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superfinanciera.gov.co/publicaciones/10086464/superfinanciera-reitera-nuevamente-que-los-contratos-de-fianza-no-pueden-aceptarse-como-garantias-de-cumplimiento-en-contratacion-publica-10086464/"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23930C0-DAD9-474D-A9C1-1326208EBB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6208</Words>
  <Characters>34145</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2</cp:revision>
  <cp:lastPrinted>2023-01-10T21:18:00Z</cp:lastPrinted>
  <dcterms:created xsi:type="dcterms:W3CDTF">2025-08-26T23:06:00Z</dcterms:created>
  <dcterms:modified xsi:type="dcterms:W3CDTF">2025-08-26T23:06:00Z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