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D5067F" w14:textId="77777777" w:rsidR="00530472" w:rsidRPr="00806980" w:rsidRDefault="00530472" w:rsidP="00530472">
      <w:pPr>
        <w:jc w:val="both"/>
        <w:rPr>
          <w:rFonts w:ascii="Verdana" w:eastAsia="Calibri" w:hAnsi="Verdana" w:cs="Arial"/>
          <w:b/>
          <w:bCs/>
          <w:lang w:val="es-ES" w:eastAsia="es-ES"/>
        </w:rPr>
      </w:pPr>
      <w:bookmarkStart w:id="0" w:name="_Hlk186494164"/>
      <w:r w:rsidRPr="00806980">
        <w:rPr>
          <w:rFonts w:ascii="Verdana" w:eastAsia="Calibri" w:hAnsi="Verdana" w:cs="Arial"/>
          <w:b/>
          <w:bCs/>
          <w:lang w:val="es-ES" w:eastAsia="es-ES"/>
        </w:rPr>
        <w:t xml:space="preserve">CONSORCIOS Y UNIONES TEMPORALES – Capacidad para contratar – Participación en varios procesos </w:t>
      </w:r>
    </w:p>
    <w:p w14:paraId="6A66FEF7" w14:textId="77777777" w:rsidR="00530472" w:rsidRDefault="00530472" w:rsidP="00530472">
      <w:pPr>
        <w:spacing w:after="0" w:line="240" w:lineRule="auto"/>
        <w:jc w:val="both"/>
        <w:rPr>
          <w:rFonts w:ascii="Verdana" w:eastAsia="Calibri" w:hAnsi="Verdana" w:cs="Arial"/>
          <w:sz w:val="20"/>
          <w:szCs w:val="20"/>
        </w:rPr>
      </w:pPr>
      <w:r w:rsidRPr="00B078CE">
        <w:rPr>
          <w:rFonts w:ascii="Verdana" w:hAnsi="Verdana" w:cs="Arial"/>
          <w:color w:val="000000" w:themeColor="text1"/>
          <w:sz w:val="20"/>
          <w:szCs w:val="20"/>
        </w:rPr>
        <w:t xml:space="preserve">De acuerdo con lo señalado en los numerales 6 y 7 del artículo 7 de la Ley 80 de 1993, la capacidad de los consorcios y uniones temporales para participar en la adjudicación, celebración y ejecución de </w:t>
      </w:r>
      <w:r w:rsidRPr="00B078CE">
        <w:rPr>
          <w:rFonts w:ascii="Verdana" w:hAnsi="Verdana" w:cs="Arial"/>
          <w:i/>
          <w:iCs/>
          <w:color w:val="000000" w:themeColor="text1"/>
          <w:sz w:val="20"/>
          <w:szCs w:val="20"/>
        </w:rPr>
        <w:t xml:space="preserve">uno o varios </w:t>
      </w:r>
      <w:r w:rsidRPr="00B078CE">
        <w:rPr>
          <w:rFonts w:ascii="Verdana" w:hAnsi="Verdana" w:cs="Arial"/>
          <w:color w:val="000000" w:themeColor="text1"/>
          <w:sz w:val="20"/>
          <w:szCs w:val="20"/>
        </w:rPr>
        <w:t xml:space="preserve">contratos estatales dependerá de dos aspectos: “i) que los integrantes de la estructural plural adopten la decisión conjunta de presentar una misma propuesta al proceso de selección; y </w:t>
      </w:r>
      <w:proofErr w:type="spellStart"/>
      <w:r w:rsidRPr="00B078CE">
        <w:rPr>
          <w:rFonts w:ascii="Verdana" w:hAnsi="Verdana" w:cs="Arial"/>
          <w:color w:val="000000" w:themeColor="text1"/>
          <w:sz w:val="20"/>
          <w:szCs w:val="20"/>
        </w:rPr>
        <w:t>ii</w:t>
      </w:r>
      <w:proofErr w:type="spellEnd"/>
      <w:r w:rsidRPr="00B078CE">
        <w:rPr>
          <w:rFonts w:ascii="Verdana" w:hAnsi="Verdana" w:cs="Arial"/>
          <w:color w:val="000000" w:themeColor="text1"/>
          <w:sz w:val="20"/>
          <w:szCs w:val="20"/>
        </w:rPr>
        <w:t xml:space="preserve">) que el objeto del consorcio o unión temporal se encuentre alineado con las actividades a desarrollar en un determinado proceso”. Así, </w:t>
      </w:r>
      <w:r w:rsidRPr="00B078CE">
        <w:rPr>
          <w:rFonts w:ascii="Verdana" w:eastAsia="Calibri" w:hAnsi="Verdana" w:cs="Arial"/>
          <w:sz w:val="20"/>
          <w:szCs w:val="20"/>
        </w:rPr>
        <w:t>no existe impedimento o prohibición alguna que limite la actividad de los consorcios o uniones temporales a un solo contrato.</w:t>
      </w:r>
    </w:p>
    <w:p w14:paraId="0C5038DA" w14:textId="77777777" w:rsidR="00530472" w:rsidRPr="00B078CE" w:rsidRDefault="00530472" w:rsidP="00530472">
      <w:pPr>
        <w:spacing w:after="0" w:line="240" w:lineRule="auto"/>
        <w:jc w:val="both"/>
        <w:rPr>
          <w:rFonts w:ascii="Verdana" w:eastAsia="Calibri" w:hAnsi="Verdana" w:cs="Arial"/>
          <w:sz w:val="20"/>
          <w:szCs w:val="20"/>
        </w:rPr>
      </w:pPr>
    </w:p>
    <w:p w14:paraId="7CA1C4FB" w14:textId="77777777" w:rsidR="00530472" w:rsidRPr="00806980" w:rsidRDefault="00530472" w:rsidP="00530472">
      <w:pPr>
        <w:jc w:val="both"/>
        <w:rPr>
          <w:rFonts w:ascii="Verdana" w:eastAsia="Calibri" w:hAnsi="Verdana" w:cs="Arial"/>
          <w:b/>
          <w:bCs/>
          <w:color w:val="000000" w:themeColor="text1"/>
          <w:lang w:val="es-ES" w:eastAsia="es-ES"/>
        </w:rPr>
      </w:pPr>
      <w:r w:rsidRPr="00806980">
        <w:rPr>
          <w:rFonts w:ascii="Verdana" w:eastAsia="Calibri" w:hAnsi="Verdana" w:cs="Arial"/>
          <w:b/>
          <w:bCs/>
          <w:lang w:val="es-ES" w:eastAsia="es-ES"/>
        </w:rPr>
        <w:t>CONSORCIOS Y UNIONES TEMPORALES – Deber de registro en SECOP II – Presentación de ofertas en SECOP II</w:t>
      </w:r>
      <w:r w:rsidRPr="00806980">
        <w:rPr>
          <w:rFonts w:ascii="Verdana" w:eastAsia="Calibri" w:hAnsi="Verdana" w:cs="Arial"/>
          <w:b/>
          <w:bCs/>
          <w:color w:val="000000" w:themeColor="text1"/>
          <w:lang w:val="es-ES" w:eastAsia="es-ES"/>
        </w:rPr>
        <w:t xml:space="preserve"> </w:t>
      </w:r>
    </w:p>
    <w:p w14:paraId="5D7528EB" w14:textId="79CDBF3C" w:rsidR="00645AFC" w:rsidRDefault="00645AFC" w:rsidP="00645AFC">
      <w:pPr>
        <w:spacing w:after="0" w:line="240" w:lineRule="auto"/>
        <w:jc w:val="both"/>
        <w:rPr>
          <w:rFonts w:ascii="Verdana" w:hAnsi="Verdana" w:cs="Arial"/>
          <w:color w:val="000000" w:themeColor="text1"/>
          <w:sz w:val="20"/>
          <w:szCs w:val="20"/>
        </w:rPr>
      </w:pPr>
      <w:r>
        <w:rPr>
          <w:rFonts w:ascii="Verdana" w:hAnsi="Verdana" w:cs="Arial"/>
          <w:color w:val="000000" w:themeColor="text1"/>
          <w:sz w:val="20"/>
          <w:szCs w:val="20"/>
        </w:rPr>
        <w:t>E</w:t>
      </w:r>
      <w:r w:rsidRPr="00645AFC">
        <w:rPr>
          <w:rFonts w:ascii="Verdana" w:hAnsi="Verdana" w:cs="Arial"/>
          <w:color w:val="000000" w:themeColor="text1"/>
          <w:sz w:val="20"/>
          <w:szCs w:val="20"/>
        </w:rPr>
        <w:t xml:space="preserve">n complemento de la postura expuesta en el concepto CU-636 del 2 de julio de 2025 y teniendo en cuenta la viabilidad jurídica en torno a que los proponentes plurales presenten propuestas para la adjudicación, celebración y ejecución de contratos estatales con </w:t>
      </w:r>
      <w:r w:rsidRPr="00645AFC">
        <w:rPr>
          <w:rFonts w:ascii="Verdana" w:hAnsi="Verdana" w:cs="Arial"/>
          <w:i/>
          <w:iCs/>
          <w:color w:val="000000" w:themeColor="text1"/>
          <w:sz w:val="20"/>
          <w:szCs w:val="20"/>
        </w:rPr>
        <w:t>una o varias</w:t>
      </w:r>
      <w:r w:rsidRPr="00645AFC">
        <w:rPr>
          <w:rFonts w:ascii="Verdana" w:hAnsi="Verdana" w:cs="Arial"/>
          <w:color w:val="000000" w:themeColor="text1"/>
          <w:sz w:val="20"/>
          <w:szCs w:val="20"/>
        </w:rPr>
        <w:t xml:space="preserve"> entidades, se considera viable que estos puedan emplear la misma cuenta y usuario en el SECOP II para presentarse a los procesos de contratación siempre que operativamente la plataforma lo permita. En este sentido, es importante que se configuren el usuario de tal forma que le permita cumplir con los requisitos del proceso de contratación y adecuarlos a la convocatoria en la cual se presentarán.</w:t>
      </w:r>
    </w:p>
    <w:p w14:paraId="4B50098E" w14:textId="77777777" w:rsidR="00645AFC" w:rsidRPr="00645AFC" w:rsidRDefault="00645AFC" w:rsidP="00645AFC">
      <w:pPr>
        <w:spacing w:after="0" w:line="240" w:lineRule="auto"/>
        <w:jc w:val="both"/>
        <w:rPr>
          <w:rFonts w:ascii="Verdana" w:hAnsi="Verdana" w:cs="Arial"/>
          <w:color w:val="000000" w:themeColor="text1"/>
          <w:sz w:val="20"/>
          <w:szCs w:val="20"/>
        </w:rPr>
      </w:pPr>
    </w:p>
    <w:p w14:paraId="0186F71E" w14:textId="56AA7C73" w:rsidR="00530472" w:rsidRDefault="00645AFC" w:rsidP="00530472">
      <w:pPr>
        <w:spacing w:after="0" w:line="240" w:lineRule="auto"/>
        <w:jc w:val="both"/>
        <w:rPr>
          <w:rFonts w:ascii="Verdana" w:hAnsi="Verdana" w:cs="Arial"/>
          <w:color w:val="000000" w:themeColor="text1"/>
          <w:sz w:val="20"/>
          <w:szCs w:val="20"/>
        </w:rPr>
      </w:pPr>
      <w:r w:rsidRPr="00645AFC">
        <w:rPr>
          <w:rFonts w:ascii="Verdana" w:hAnsi="Verdana" w:cs="Arial"/>
          <w:color w:val="000000" w:themeColor="text1"/>
          <w:sz w:val="20"/>
          <w:szCs w:val="20"/>
        </w:rPr>
        <w:t xml:space="preserve">Para tales efectos, es pertinente señalar que conforme lo dispone la Guía de Creación de Proponentes Plurales en el </w:t>
      </w:r>
      <w:proofErr w:type="spellStart"/>
      <w:r w:rsidRPr="00645AFC">
        <w:rPr>
          <w:rFonts w:ascii="Verdana" w:hAnsi="Verdana" w:cs="Arial"/>
          <w:color w:val="000000" w:themeColor="text1"/>
          <w:sz w:val="20"/>
          <w:szCs w:val="20"/>
        </w:rPr>
        <w:t>Secop</w:t>
      </w:r>
      <w:proofErr w:type="spellEnd"/>
      <w:r w:rsidRPr="00645AFC">
        <w:rPr>
          <w:rFonts w:ascii="Verdana" w:hAnsi="Verdana" w:cs="Arial"/>
          <w:color w:val="000000" w:themeColor="text1"/>
          <w:sz w:val="20"/>
          <w:szCs w:val="20"/>
        </w:rPr>
        <w:t xml:space="preserve"> II “Para participar en Procesos de Contratación en el SECOP II como Proponente Plural (ya sea para manifestar interés, enviar observaciones, ofertas o firmar contratos), debe actuar exclusivamente desde su cuenta de Proponente Plural. Cualquier acción realizada desde la cuenta de cualquiera de los integrantes no es válida para el Proponente Plural y quedará a nombre del proponente singular”. Por tanto, para participar en los procesos de contratación el proponente plural deberá actuar directamente desde dicha cuenta. </w:t>
      </w:r>
    </w:p>
    <w:p w14:paraId="1302CDCF" w14:textId="77777777" w:rsidR="00645AFC" w:rsidRPr="00B078CE" w:rsidRDefault="00645AFC" w:rsidP="00530472">
      <w:pPr>
        <w:spacing w:after="0" w:line="240" w:lineRule="auto"/>
        <w:jc w:val="both"/>
        <w:rPr>
          <w:rFonts w:ascii="Verdana" w:hAnsi="Verdana" w:cs="Arial"/>
          <w:color w:val="000000" w:themeColor="text1"/>
          <w:sz w:val="20"/>
          <w:szCs w:val="20"/>
        </w:rPr>
      </w:pPr>
    </w:p>
    <w:p w14:paraId="31C2E38F" w14:textId="77777777" w:rsidR="00530472" w:rsidRPr="00E57049" w:rsidRDefault="00530472" w:rsidP="00530472">
      <w:pPr>
        <w:spacing w:after="0" w:line="240" w:lineRule="auto"/>
        <w:jc w:val="both"/>
        <w:rPr>
          <w:rFonts w:ascii="Verdana" w:eastAsia="Geomanist Light" w:hAnsi="Verdana" w:cs="Arial"/>
          <w:b/>
          <w:bCs/>
          <w:lang w:val="es-ES"/>
        </w:rPr>
      </w:pPr>
      <w:r w:rsidRPr="00E57049">
        <w:rPr>
          <w:rFonts w:ascii="Verdana" w:eastAsia="Calibri" w:hAnsi="Verdana" w:cs="Arial"/>
          <w:b/>
          <w:bCs/>
          <w:color w:val="000000" w:themeColor="text1"/>
          <w:lang w:val="es-ES" w:eastAsia="es-ES"/>
        </w:rPr>
        <w:t>CAUSALES DE RECHAZO – Alcance – Proponentes plurales</w:t>
      </w:r>
      <w:r w:rsidRPr="00E57049">
        <w:rPr>
          <w:rFonts w:ascii="Verdana" w:eastAsia="Geomanist Light" w:hAnsi="Verdana" w:cs="Arial"/>
          <w:b/>
          <w:bCs/>
          <w:lang w:val="es-ES"/>
        </w:rPr>
        <w:t xml:space="preserve"> </w:t>
      </w:r>
    </w:p>
    <w:p w14:paraId="1CA0BE7E" w14:textId="77777777" w:rsidR="00530472" w:rsidRPr="00B078CE" w:rsidRDefault="00530472" w:rsidP="00530472">
      <w:pPr>
        <w:spacing w:after="0" w:line="240" w:lineRule="auto"/>
        <w:jc w:val="both"/>
        <w:rPr>
          <w:rFonts w:ascii="Verdana" w:eastAsia="Calibri" w:hAnsi="Verdana" w:cs="Arial"/>
          <w:sz w:val="20"/>
          <w:szCs w:val="20"/>
          <w:lang w:val="es-ES"/>
        </w:rPr>
      </w:pPr>
    </w:p>
    <w:p w14:paraId="5DB8A912" w14:textId="77777777" w:rsidR="00530472" w:rsidRDefault="00530472" w:rsidP="00530472">
      <w:pPr>
        <w:spacing w:after="0" w:line="240" w:lineRule="auto"/>
        <w:jc w:val="both"/>
        <w:rPr>
          <w:rFonts w:ascii="Verdana" w:eastAsia="Calibri" w:hAnsi="Verdana" w:cs="Arial"/>
          <w:sz w:val="20"/>
          <w:szCs w:val="20"/>
          <w:lang w:val="es-ES"/>
        </w:rPr>
      </w:pPr>
      <w:r w:rsidRPr="00B078CE">
        <w:rPr>
          <w:rFonts w:ascii="Verdana" w:eastAsia="Calibri" w:hAnsi="Verdana" w:cs="Arial"/>
          <w:sz w:val="20"/>
          <w:szCs w:val="20"/>
          <w:lang w:val="es-ES"/>
        </w:rPr>
        <w:t>las causales de rechazo deben estar necesariamente nominadas en la Ley o en el pliego de condiciones, y no puede realizarse, frente a su redacción, ninguna interpretación extensiva. Por esta razón si el Estatuto General de Contratación de la Administración Pública o el pliego de condiciones no establecen de manera literal una causal de rechazo, en los términos expuestos, no podrán rechazarse las propuestas.</w:t>
      </w:r>
    </w:p>
    <w:p w14:paraId="02FD7A62" w14:textId="77777777" w:rsidR="00E57049" w:rsidRPr="00B078CE" w:rsidRDefault="00E57049" w:rsidP="00530472">
      <w:pPr>
        <w:spacing w:after="0" w:line="240" w:lineRule="auto"/>
        <w:jc w:val="both"/>
        <w:rPr>
          <w:rFonts w:ascii="Verdana" w:eastAsia="Calibri" w:hAnsi="Verdana" w:cs="Arial"/>
          <w:sz w:val="20"/>
          <w:szCs w:val="20"/>
          <w:lang w:val="es-ES"/>
        </w:rPr>
      </w:pPr>
    </w:p>
    <w:p w14:paraId="103B1011" w14:textId="514CAC03" w:rsidR="00530472" w:rsidRPr="00B078CE" w:rsidRDefault="00530472" w:rsidP="00530472">
      <w:pPr>
        <w:spacing w:after="0" w:line="240" w:lineRule="auto"/>
        <w:jc w:val="both"/>
        <w:rPr>
          <w:rFonts w:ascii="Verdana" w:eastAsia="Calibri" w:hAnsi="Verdana" w:cs="Arial"/>
          <w:b/>
          <w:bCs/>
          <w:color w:val="000000" w:themeColor="text1"/>
          <w:sz w:val="20"/>
          <w:szCs w:val="20"/>
          <w:lang w:val="es-ES" w:eastAsia="es-ES"/>
        </w:rPr>
      </w:pPr>
      <w:r w:rsidRPr="00B078CE">
        <w:rPr>
          <w:rFonts w:ascii="Verdana" w:eastAsia="Calibri" w:hAnsi="Verdana" w:cs="Arial"/>
          <w:sz w:val="20"/>
          <w:szCs w:val="20"/>
          <w:lang w:val="es-ES"/>
        </w:rPr>
        <w:t>[…]</w:t>
      </w:r>
    </w:p>
    <w:p w14:paraId="655E623B" w14:textId="77777777" w:rsidR="00E57049" w:rsidRDefault="00E57049" w:rsidP="00530472">
      <w:pPr>
        <w:spacing w:after="0" w:line="240" w:lineRule="auto"/>
        <w:jc w:val="both"/>
        <w:rPr>
          <w:rFonts w:ascii="Verdana" w:hAnsi="Verdana" w:cs="Arial"/>
          <w:bCs/>
          <w:color w:val="000000" w:themeColor="text1"/>
          <w:sz w:val="20"/>
          <w:szCs w:val="20"/>
        </w:rPr>
      </w:pPr>
    </w:p>
    <w:p w14:paraId="44E402FD" w14:textId="29B023E9" w:rsidR="00530472" w:rsidRPr="00B078CE" w:rsidRDefault="00530472" w:rsidP="00530472">
      <w:pPr>
        <w:spacing w:after="0" w:line="240" w:lineRule="auto"/>
        <w:jc w:val="both"/>
        <w:rPr>
          <w:rFonts w:ascii="Verdana" w:hAnsi="Verdana" w:cs="Arial"/>
          <w:bCs/>
          <w:color w:val="000000" w:themeColor="text1"/>
          <w:sz w:val="20"/>
          <w:szCs w:val="20"/>
        </w:rPr>
      </w:pPr>
      <w:r w:rsidRPr="00B078CE">
        <w:rPr>
          <w:rFonts w:ascii="Verdana" w:hAnsi="Verdana" w:cs="Arial"/>
          <w:bCs/>
          <w:color w:val="000000" w:themeColor="text1"/>
          <w:sz w:val="20"/>
          <w:szCs w:val="20"/>
        </w:rPr>
        <w:t xml:space="preserve">Conforme con lo expuesto, se reitera que no existe un impedimento jurídico para que los proponentes puedan presentar ofertas en uno o en varios procesos de contratación. En este sentido, no existe causal en la ley que dé lugar al rechazo en estos supuestos. </w:t>
      </w:r>
    </w:p>
    <w:p w14:paraId="7A538131" w14:textId="77777777" w:rsidR="00530472" w:rsidRDefault="00530472" w:rsidP="00530472">
      <w:pPr>
        <w:jc w:val="both"/>
        <w:rPr>
          <w:rFonts w:ascii="Verdana" w:hAnsi="Verdana" w:cs="Arial"/>
          <w:bCs/>
          <w:color w:val="000000" w:themeColor="text1"/>
          <w:sz w:val="20"/>
          <w:szCs w:val="20"/>
        </w:rPr>
      </w:pPr>
      <w:r w:rsidRPr="00B078CE">
        <w:rPr>
          <w:rFonts w:ascii="Verdana" w:hAnsi="Verdana" w:cs="Arial"/>
          <w:bCs/>
          <w:color w:val="000000" w:themeColor="text1"/>
          <w:sz w:val="20"/>
          <w:szCs w:val="20"/>
        </w:rPr>
        <w:lastRenderedPageBreak/>
        <w:t>Sin embargo, será́ la Entidad Estatal quién determinará en los documentos del proceso las circunstancias que no permitan admitir una propuesta en un proceso de contratación.</w:t>
      </w:r>
    </w:p>
    <w:p w14:paraId="1100A815" w14:textId="77777777" w:rsidR="00E57049" w:rsidRDefault="00E57049" w:rsidP="00FD34A6">
      <w:pPr>
        <w:spacing w:after="0" w:line="240" w:lineRule="auto"/>
        <w:rPr>
          <w:rFonts w:ascii="Verdana" w:eastAsia="Geomanist Light" w:hAnsi="Verdana" w:cs="Arial"/>
          <w:color w:val="000000" w:themeColor="text1"/>
        </w:rPr>
      </w:pPr>
    </w:p>
    <w:p w14:paraId="79EA7F94" w14:textId="77777777" w:rsidR="00E57049" w:rsidRDefault="00E57049" w:rsidP="00FD34A6">
      <w:pPr>
        <w:spacing w:after="0" w:line="240" w:lineRule="auto"/>
        <w:rPr>
          <w:rFonts w:ascii="Verdana" w:eastAsia="Geomanist Light" w:hAnsi="Verdana" w:cs="Arial"/>
          <w:color w:val="000000" w:themeColor="text1"/>
        </w:rPr>
      </w:pPr>
    </w:p>
    <w:p w14:paraId="477CE361" w14:textId="77777777" w:rsidR="00E57049" w:rsidRDefault="00E57049" w:rsidP="00FD34A6">
      <w:pPr>
        <w:spacing w:after="0" w:line="240" w:lineRule="auto"/>
        <w:rPr>
          <w:rFonts w:ascii="Verdana" w:eastAsia="Geomanist Light" w:hAnsi="Verdana" w:cs="Arial"/>
          <w:color w:val="000000" w:themeColor="text1"/>
        </w:rPr>
      </w:pPr>
    </w:p>
    <w:p w14:paraId="34BEF56F" w14:textId="77777777" w:rsidR="00E57049" w:rsidRDefault="00E57049" w:rsidP="00FD34A6">
      <w:pPr>
        <w:spacing w:after="0" w:line="240" w:lineRule="auto"/>
        <w:rPr>
          <w:rFonts w:ascii="Verdana" w:eastAsia="Geomanist Light" w:hAnsi="Verdana" w:cs="Arial"/>
          <w:color w:val="000000" w:themeColor="text1"/>
        </w:rPr>
      </w:pPr>
    </w:p>
    <w:p w14:paraId="01435100" w14:textId="77777777" w:rsidR="00E57049" w:rsidRDefault="00E57049" w:rsidP="00FD34A6">
      <w:pPr>
        <w:spacing w:after="0" w:line="240" w:lineRule="auto"/>
        <w:rPr>
          <w:rFonts w:ascii="Verdana" w:eastAsia="Geomanist Light" w:hAnsi="Verdana" w:cs="Arial"/>
          <w:color w:val="000000" w:themeColor="text1"/>
        </w:rPr>
      </w:pPr>
    </w:p>
    <w:p w14:paraId="6F9429E6" w14:textId="77777777" w:rsidR="00E57049" w:rsidRDefault="00E57049" w:rsidP="00FD34A6">
      <w:pPr>
        <w:spacing w:after="0" w:line="240" w:lineRule="auto"/>
        <w:rPr>
          <w:rFonts w:ascii="Verdana" w:eastAsia="Geomanist Light" w:hAnsi="Verdana" w:cs="Arial"/>
          <w:color w:val="000000" w:themeColor="text1"/>
        </w:rPr>
      </w:pPr>
    </w:p>
    <w:p w14:paraId="18CCE13B" w14:textId="77777777" w:rsidR="00E57049" w:rsidRDefault="00E57049" w:rsidP="00FD34A6">
      <w:pPr>
        <w:spacing w:after="0" w:line="240" w:lineRule="auto"/>
        <w:rPr>
          <w:rFonts w:ascii="Verdana" w:eastAsia="Geomanist Light" w:hAnsi="Verdana" w:cs="Arial"/>
          <w:color w:val="000000" w:themeColor="text1"/>
        </w:rPr>
      </w:pPr>
    </w:p>
    <w:p w14:paraId="417DC487" w14:textId="77777777" w:rsidR="00E57049" w:rsidRDefault="00E57049" w:rsidP="00FD34A6">
      <w:pPr>
        <w:spacing w:after="0" w:line="240" w:lineRule="auto"/>
        <w:rPr>
          <w:rFonts w:ascii="Verdana" w:eastAsia="Geomanist Light" w:hAnsi="Verdana" w:cs="Arial"/>
          <w:color w:val="000000" w:themeColor="text1"/>
        </w:rPr>
      </w:pPr>
    </w:p>
    <w:p w14:paraId="6124F1B2" w14:textId="77777777" w:rsidR="00E57049" w:rsidRDefault="00E57049" w:rsidP="00FD34A6">
      <w:pPr>
        <w:spacing w:after="0" w:line="240" w:lineRule="auto"/>
        <w:rPr>
          <w:rFonts w:ascii="Verdana" w:eastAsia="Geomanist Light" w:hAnsi="Verdana" w:cs="Arial"/>
          <w:color w:val="000000" w:themeColor="text1"/>
        </w:rPr>
      </w:pPr>
    </w:p>
    <w:p w14:paraId="30F4F18C" w14:textId="77777777" w:rsidR="00E57049" w:rsidRDefault="00E57049" w:rsidP="00FD34A6">
      <w:pPr>
        <w:spacing w:after="0" w:line="240" w:lineRule="auto"/>
        <w:rPr>
          <w:rFonts w:ascii="Verdana" w:eastAsia="Geomanist Light" w:hAnsi="Verdana" w:cs="Arial"/>
          <w:color w:val="000000" w:themeColor="text1"/>
        </w:rPr>
      </w:pPr>
    </w:p>
    <w:p w14:paraId="0D3CAED6" w14:textId="77777777" w:rsidR="00E57049" w:rsidRDefault="00E57049" w:rsidP="00FD34A6">
      <w:pPr>
        <w:spacing w:after="0" w:line="240" w:lineRule="auto"/>
        <w:rPr>
          <w:rFonts w:ascii="Verdana" w:eastAsia="Geomanist Light" w:hAnsi="Verdana" w:cs="Arial"/>
          <w:color w:val="000000" w:themeColor="text1"/>
        </w:rPr>
      </w:pPr>
    </w:p>
    <w:p w14:paraId="2571A555" w14:textId="77777777" w:rsidR="00E57049" w:rsidRDefault="00E57049" w:rsidP="00FD34A6">
      <w:pPr>
        <w:spacing w:after="0" w:line="240" w:lineRule="auto"/>
        <w:rPr>
          <w:rFonts w:ascii="Verdana" w:eastAsia="Geomanist Light" w:hAnsi="Verdana" w:cs="Arial"/>
          <w:color w:val="000000" w:themeColor="text1"/>
        </w:rPr>
      </w:pPr>
    </w:p>
    <w:p w14:paraId="25E0853F" w14:textId="77777777" w:rsidR="00E57049" w:rsidRDefault="00E57049" w:rsidP="00FD34A6">
      <w:pPr>
        <w:spacing w:after="0" w:line="240" w:lineRule="auto"/>
        <w:rPr>
          <w:rFonts w:ascii="Verdana" w:eastAsia="Geomanist Light" w:hAnsi="Verdana" w:cs="Arial"/>
          <w:color w:val="000000" w:themeColor="text1"/>
        </w:rPr>
      </w:pPr>
    </w:p>
    <w:p w14:paraId="762B0020" w14:textId="77777777" w:rsidR="00E57049" w:rsidRDefault="00E57049" w:rsidP="00FD34A6">
      <w:pPr>
        <w:spacing w:after="0" w:line="240" w:lineRule="auto"/>
        <w:rPr>
          <w:rFonts w:ascii="Verdana" w:eastAsia="Geomanist Light" w:hAnsi="Verdana" w:cs="Arial"/>
          <w:color w:val="000000" w:themeColor="text1"/>
        </w:rPr>
      </w:pPr>
    </w:p>
    <w:p w14:paraId="1BD8D225" w14:textId="77777777" w:rsidR="00E57049" w:rsidRDefault="00E57049" w:rsidP="00FD34A6">
      <w:pPr>
        <w:spacing w:after="0" w:line="240" w:lineRule="auto"/>
        <w:rPr>
          <w:rFonts w:ascii="Verdana" w:eastAsia="Geomanist Light" w:hAnsi="Verdana" w:cs="Arial"/>
          <w:color w:val="000000" w:themeColor="text1"/>
        </w:rPr>
      </w:pPr>
    </w:p>
    <w:p w14:paraId="453A064F" w14:textId="77777777" w:rsidR="00E57049" w:rsidRDefault="00E57049" w:rsidP="00FD34A6">
      <w:pPr>
        <w:spacing w:after="0" w:line="240" w:lineRule="auto"/>
        <w:rPr>
          <w:rFonts w:ascii="Verdana" w:eastAsia="Geomanist Light" w:hAnsi="Verdana" w:cs="Arial"/>
          <w:color w:val="000000" w:themeColor="text1"/>
        </w:rPr>
      </w:pPr>
    </w:p>
    <w:p w14:paraId="48A08105" w14:textId="77777777" w:rsidR="00E57049" w:rsidRDefault="00E57049" w:rsidP="00FD34A6">
      <w:pPr>
        <w:spacing w:after="0" w:line="240" w:lineRule="auto"/>
        <w:rPr>
          <w:rFonts w:ascii="Verdana" w:eastAsia="Geomanist Light" w:hAnsi="Verdana" w:cs="Arial"/>
          <w:color w:val="000000" w:themeColor="text1"/>
        </w:rPr>
      </w:pPr>
    </w:p>
    <w:p w14:paraId="3822FBCC" w14:textId="77777777" w:rsidR="00E57049" w:rsidRDefault="00E57049" w:rsidP="00FD34A6">
      <w:pPr>
        <w:spacing w:after="0" w:line="240" w:lineRule="auto"/>
        <w:rPr>
          <w:rFonts w:ascii="Verdana" w:eastAsia="Geomanist Light" w:hAnsi="Verdana" w:cs="Arial"/>
          <w:color w:val="000000" w:themeColor="text1"/>
        </w:rPr>
      </w:pPr>
    </w:p>
    <w:p w14:paraId="18FAFE4E" w14:textId="77777777" w:rsidR="00E57049" w:rsidRDefault="00E57049" w:rsidP="00FD34A6">
      <w:pPr>
        <w:spacing w:after="0" w:line="240" w:lineRule="auto"/>
        <w:rPr>
          <w:rFonts w:ascii="Verdana" w:eastAsia="Geomanist Light" w:hAnsi="Verdana" w:cs="Arial"/>
          <w:color w:val="000000" w:themeColor="text1"/>
        </w:rPr>
      </w:pPr>
    </w:p>
    <w:p w14:paraId="7E4302E1" w14:textId="77777777" w:rsidR="00E57049" w:rsidRDefault="00E57049" w:rsidP="00FD34A6">
      <w:pPr>
        <w:spacing w:after="0" w:line="240" w:lineRule="auto"/>
        <w:rPr>
          <w:rFonts w:ascii="Verdana" w:eastAsia="Geomanist Light" w:hAnsi="Verdana" w:cs="Arial"/>
          <w:color w:val="000000" w:themeColor="text1"/>
        </w:rPr>
      </w:pPr>
    </w:p>
    <w:p w14:paraId="00B25B99" w14:textId="77777777" w:rsidR="00E57049" w:rsidRDefault="00E57049" w:rsidP="00FD34A6">
      <w:pPr>
        <w:spacing w:after="0" w:line="240" w:lineRule="auto"/>
        <w:rPr>
          <w:rFonts w:ascii="Verdana" w:eastAsia="Geomanist Light" w:hAnsi="Verdana" w:cs="Arial"/>
          <w:color w:val="000000" w:themeColor="text1"/>
        </w:rPr>
      </w:pPr>
    </w:p>
    <w:p w14:paraId="60163600" w14:textId="77777777" w:rsidR="00E57049" w:rsidRDefault="00E57049" w:rsidP="00FD34A6">
      <w:pPr>
        <w:spacing w:after="0" w:line="240" w:lineRule="auto"/>
        <w:rPr>
          <w:rFonts w:ascii="Verdana" w:eastAsia="Geomanist Light" w:hAnsi="Verdana" w:cs="Arial"/>
          <w:color w:val="000000" w:themeColor="text1"/>
        </w:rPr>
      </w:pPr>
    </w:p>
    <w:p w14:paraId="78A4218B" w14:textId="77777777" w:rsidR="00E57049" w:rsidRDefault="00E57049" w:rsidP="00FD34A6">
      <w:pPr>
        <w:spacing w:after="0" w:line="240" w:lineRule="auto"/>
        <w:rPr>
          <w:rFonts w:ascii="Verdana" w:eastAsia="Geomanist Light" w:hAnsi="Verdana" w:cs="Arial"/>
          <w:color w:val="000000" w:themeColor="text1"/>
        </w:rPr>
      </w:pPr>
    </w:p>
    <w:p w14:paraId="7C226004" w14:textId="77777777" w:rsidR="00E57049" w:rsidRDefault="00E57049" w:rsidP="00FD34A6">
      <w:pPr>
        <w:spacing w:after="0" w:line="240" w:lineRule="auto"/>
        <w:rPr>
          <w:rFonts w:ascii="Verdana" w:eastAsia="Geomanist Light" w:hAnsi="Verdana" w:cs="Arial"/>
          <w:color w:val="000000" w:themeColor="text1"/>
        </w:rPr>
      </w:pPr>
    </w:p>
    <w:p w14:paraId="69F227A3" w14:textId="77777777" w:rsidR="00E57049" w:rsidRDefault="00E57049" w:rsidP="00FD34A6">
      <w:pPr>
        <w:spacing w:after="0" w:line="240" w:lineRule="auto"/>
        <w:rPr>
          <w:rFonts w:ascii="Verdana" w:eastAsia="Geomanist Light" w:hAnsi="Verdana" w:cs="Arial"/>
          <w:color w:val="000000" w:themeColor="text1"/>
        </w:rPr>
      </w:pPr>
    </w:p>
    <w:p w14:paraId="1395C0A4" w14:textId="77777777" w:rsidR="00E57049" w:rsidRDefault="00E57049" w:rsidP="00FD34A6">
      <w:pPr>
        <w:spacing w:after="0" w:line="240" w:lineRule="auto"/>
        <w:rPr>
          <w:rFonts w:ascii="Verdana" w:eastAsia="Geomanist Light" w:hAnsi="Verdana" w:cs="Arial"/>
          <w:color w:val="000000" w:themeColor="text1"/>
        </w:rPr>
      </w:pPr>
    </w:p>
    <w:p w14:paraId="3379A797" w14:textId="77777777" w:rsidR="00E57049" w:rsidRDefault="00E57049" w:rsidP="00FD34A6">
      <w:pPr>
        <w:spacing w:after="0" w:line="240" w:lineRule="auto"/>
        <w:rPr>
          <w:rFonts w:ascii="Verdana" w:eastAsia="Geomanist Light" w:hAnsi="Verdana" w:cs="Arial"/>
          <w:color w:val="000000" w:themeColor="text1"/>
        </w:rPr>
      </w:pPr>
    </w:p>
    <w:p w14:paraId="0CE50723" w14:textId="77777777" w:rsidR="00E57049" w:rsidRDefault="00E57049" w:rsidP="00FD34A6">
      <w:pPr>
        <w:spacing w:after="0" w:line="240" w:lineRule="auto"/>
        <w:rPr>
          <w:rFonts w:ascii="Verdana" w:eastAsia="Geomanist Light" w:hAnsi="Verdana" w:cs="Arial"/>
          <w:color w:val="000000" w:themeColor="text1"/>
        </w:rPr>
      </w:pPr>
    </w:p>
    <w:p w14:paraId="081862C5" w14:textId="77777777" w:rsidR="00E57049" w:rsidRDefault="00E57049" w:rsidP="00FD34A6">
      <w:pPr>
        <w:spacing w:after="0" w:line="240" w:lineRule="auto"/>
        <w:rPr>
          <w:rFonts w:ascii="Verdana" w:eastAsia="Geomanist Light" w:hAnsi="Verdana" w:cs="Arial"/>
          <w:color w:val="000000" w:themeColor="text1"/>
        </w:rPr>
      </w:pPr>
    </w:p>
    <w:p w14:paraId="3A5C7C02" w14:textId="77777777" w:rsidR="00E57049" w:rsidRDefault="00E57049" w:rsidP="00FD34A6">
      <w:pPr>
        <w:spacing w:after="0" w:line="240" w:lineRule="auto"/>
        <w:rPr>
          <w:rFonts w:ascii="Verdana" w:eastAsia="Geomanist Light" w:hAnsi="Verdana" w:cs="Arial"/>
          <w:color w:val="000000" w:themeColor="text1"/>
        </w:rPr>
      </w:pPr>
    </w:p>
    <w:p w14:paraId="01DBE929" w14:textId="77777777" w:rsidR="00E57049" w:rsidRDefault="00E57049" w:rsidP="00FD34A6">
      <w:pPr>
        <w:spacing w:after="0" w:line="240" w:lineRule="auto"/>
        <w:rPr>
          <w:rFonts w:ascii="Verdana" w:eastAsia="Geomanist Light" w:hAnsi="Verdana" w:cs="Arial"/>
          <w:color w:val="000000" w:themeColor="text1"/>
        </w:rPr>
      </w:pPr>
    </w:p>
    <w:p w14:paraId="64E0751D" w14:textId="77777777" w:rsidR="00E57049" w:rsidRDefault="00E57049" w:rsidP="00FD34A6">
      <w:pPr>
        <w:spacing w:after="0" w:line="240" w:lineRule="auto"/>
        <w:rPr>
          <w:rFonts w:ascii="Verdana" w:eastAsia="Geomanist Light" w:hAnsi="Verdana" w:cs="Arial"/>
          <w:color w:val="000000" w:themeColor="text1"/>
        </w:rPr>
      </w:pPr>
    </w:p>
    <w:p w14:paraId="386541DE" w14:textId="77777777" w:rsidR="00E57049" w:rsidRDefault="00E57049" w:rsidP="00FD34A6">
      <w:pPr>
        <w:spacing w:after="0" w:line="240" w:lineRule="auto"/>
        <w:rPr>
          <w:rFonts w:ascii="Verdana" w:eastAsia="Geomanist Light" w:hAnsi="Verdana" w:cs="Arial"/>
          <w:color w:val="000000" w:themeColor="text1"/>
        </w:rPr>
      </w:pPr>
    </w:p>
    <w:p w14:paraId="5B4476E8" w14:textId="77777777" w:rsidR="00E57049" w:rsidRDefault="00E57049" w:rsidP="00FD34A6">
      <w:pPr>
        <w:spacing w:after="0" w:line="240" w:lineRule="auto"/>
        <w:rPr>
          <w:rFonts w:ascii="Verdana" w:eastAsia="Geomanist Light" w:hAnsi="Verdana" w:cs="Arial"/>
          <w:color w:val="000000" w:themeColor="text1"/>
        </w:rPr>
      </w:pPr>
    </w:p>
    <w:p w14:paraId="4EAA1527" w14:textId="77777777" w:rsidR="00E57049" w:rsidRDefault="00E57049" w:rsidP="00FD34A6">
      <w:pPr>
        <w:spacing w:after="0" w:line="240" w:lineRule="auto"/>
        <w:rPr>
          <w:rFonts w:ascii="Verdana" w:eastAsia="Geomanist Light" w:hAnsi="Verdana" w:cs="Arial"/>
          <w:color w:val="000000" w:themeColor="text1"/>
        </w:rPr>
      </w:pPr>
    </w:p>
    <w:p w14:paraId="3715C7FC" w14:textId="77777777" w:rsidR="00E57049" w:rsidRDefault="00E57049" w:rsidP="00FD34A6">
      <w:pPr>
        <w:spacing w:after="0" w:line="240" w:lineRule="auto"/>
        <w:rPr>
          <w:rFonts w:ascii="Verdana" w:eastAsia="Geomanist Light" w:hAnsi="Verdana" w:cs="Arial"/>
          <w:color w:val="000000" w:themeColor="text1"/>
        </w:rPr>
      </w:pPr>
    </w:p>
    <w:p w14:paraId="4D9FE653" w14:textId="77777777" w:rsidR="00E57049" w:rsidRDefault="00E57049" w:rsidP="00FD34A6">
      <w:pPr>
        <w:spacing w:after="0" w:line="240" w:lineRule="auto"/>
        <w:rPr>
          <w:rFonts w:ascii="Verdana" w:eastAsia="Geomanist Light" w:hAnsi="Verdana" w:cs="Arial"/>
          <w:color w:val="000000" w:themeColor="text1"/>
        </w:rPr>
      </w:pPr>
    </w:p>
    <w:p w14:paraId="4F07AC22" w14:textId="77777777" w:rsidR="00E57049" w:rsidRDefault="00E57049" w:rsidP="00FD34A6">
      <w:pPr>
        <w:spacing w:after="0" w:line="240" w:lineRule="auto"/>
        <w:rPr>
          <w:rFonts w:ascii="Verdana" w:eastAsia="Geomanist Light" w:hAnsi="Verdana" w:cs="Arial"/>
          <w:color w:val="000000" w:themeColor="text1"/>
        </w:rPr>
      </w:pPr>
    </w:p>
    <w:p w14:paraId="25A99DEC" w14:textId="77777777" w:rsidR="00E57049" w:rsidRDefault="00E57049" w:rsidP="00FD34A6">
      <w:pPr>
        <w:spacing w:after="0" w:line="240" w:lineRule="auto"/>
        <w:rPr>
          <w:rFonts w:ascii="Verdana" w:eastAsia="Geomanist Light" w:hAnsi="Verdana" w:cs="Arial"/>
          <w:color w:val="000000" w:themeColor="text1"/>
        </w:rPr>
      </w:pPr>
    </w:p>
    <w:p w14:paraId="56B71434" w14:textId="4056C651" w:rsidR="004345AB" w:rsidRPr="00FD34A6" w:rsidRDefault="006B4555" w:rsidP="00FD34A6">
      <w:pPr>
        <w:spacing w:after="0" w:line="240" w:lineRule="auto"/>
        <w:rPr>
          <w:rFonts w:ascii="Verdana" w:eastAsia="Geomanist Light" w:hAnsi="Verdana" w:cs="Arial"/>
          <w:color w:val="201F1E"/>
        </w:rPr>
      </w:pPr>
      <w:r w:rsidRPr="009711D3">
        <w:rPr>
          <w:rFonts w:ascii="Verdana" w:eastAsia="Calibri" w:hAnsi="Verdana" w:cs="Arial"/>
          <w:noProof/>
          <w:color w:val="000000"/>
        </w:rPr>
        <w:lastRenderedPageBreak/>
        <w:drawing>
          <wp:anchor distT="0" distB="0" distL="114300" distR="114300" simplePos="0" relativeHeight="251657216" behindDoc="0" locked="0" layoutInCell="1" allowOverlap="1" wp14:anchorId="0F608323" wp14:editId="3EC70CE3">
            <wp:simplePos x="0" y="0"/>
            <wp:positionH relativeFrom="column">
              <wp:posOffset>3777919</wp:posOffset>
            </wp:positionH>
            <wp:positionV relativeFrom="paragraph">
              <wp:posOffset>9884</wp:posOffset>
            </wp:positionV>
            <wp:extent cx="2743200" cy="982980"/>
            <wp:effectExtent l="0" t="0" r="0" b="7620"/>
            <wp:wrapSquare wrapText="bothSides"/>
            <wp:docPr id="126076040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43200" cy="982980"/>
                    </a:xfrm>
                    <a:prstGeom prst="rect">
                      <a:avLst/>
                    </a:prstGeom>
                    <a:noFill/>
                    <a:ln>
                      <a:noFill/>
                    </a:ln>
                  </pic:spPr>
                </pic:pic>
              </a:graphicData>
            </a:graphic>
          </wp:anchor>
        </w:drawing>
      </w:r>
      <w:r w:rsidR="004345AB" w:rsidRPr="008C03E8">
        <w:rPr>
          <w:rFonts w:ascii="Verdana" w:eastAsia="Geomanist Light" w:hAnsi="Verdana" w:cs="Arial"/>
          <w:color w:val="000000" w:themeColor="text1"/>
        </w:rPr>
        <w:t>Bogotá D.C., </w:t>
      </w:r>
      <w:r w:rsidR="009711D3">
        <w:rPr>
          <w:rFonts w:ascii="Verdana" w:eastAsia="Geomanist Light" w:hAnsi="Verdana" w:cs="Arial"/>
          <w:color w:val="000000" w:themeColor="text1"/>
        </w:rPr>
        <w:t>23 de agosto de 2025</w:t>
      </w:r>
    </w:p>
    <w:p w14:paraId="488F0068" w14:textId="1FE21BF2" w:rsidR="004345AB" w:rsidRDefault="004345AB" w:rsidP="009711D3">
      <w:pPr>
        <w:spacing w:after="0" w:line="240" w:lineRule="auto"/>
        <w:jc w:val="right"/>
        <w:rPr>
          <w:rFonts w:ascii="Verdana" w:eastAsia="Calibri" w:hAnsi="Verdana" w:cs="Arial"/>
          <w:color w:val="000000"/>
        </w:rPr>
      </w:pPr>
    </w:p>
    <w:p w14:paraId="0AD045D1" w14:textId="2F34082B" w:rsidR="009711D3" w:rsidRPr="008C03E8" w:rsidRDefault="009711D3" w:rsidP="004345AB">
      <w:pPr>
        <w:spacing w:after="0" w:line="240" w:lineRule="auto"/>
        <w:jc w:val="both"/>
        <w:rPr>
          <w:rFonts w:ascii="Verdana" w:eastAsia="Calibri" w:hAnsi="Verdana" w:cs="Arial"/>
          <w:color w:val="000000"/>
        </w:rPr>
      </w:pPr>
    </w:p>
    <w:p w14:paraId="310F76BD" w14:textId="7043E617" w:rsidR="004345AB" w:rsidRPr="008C03E8" w:rsidRDefault="004345AB" w:rsidP="004345AB">
      <w:pPr>
        <w:spacing w:after="0" w:line="240" w:lineRule="auto"/>
        <w:jc w:val="both"/>
        <w:rPr>
          <w:rFonts w:ascii="Verdana" w:eastAsia="Calibri" w:hAnsi="Verdana" w:cs="Arial"/>
          <w:lang w:eastAsia="es-ES"/>
        </w:rPr>
      </w:pPr>
      <w:r w:rsidRPr="008C03E8">
        <w:rPr>
          <w:rFonts w:ascii="Verdana" w:eastAsia="Calibri" w:hAnsi="Verdana" w:cs="Arial"/>
          <w:lang w:eastAsia="es-ES"/>
        </w:rPr>
        <w:t>Señor</w:t>
      </w:r>
    </w:p>
    <w:p w14:paraId="394B0C26" w14:textId="77777777" w:rsidR="004345AB" w:rsidRPr="008C03E8" w:rsidRDefault="004345AB" w:rsidP="004345AB">
      <w:pPr>
        <w:spacing w:after="0" w:line="240" w:lineRule="auto"/>
        <w:jc w:val="both"/>
        <w:rPr>
          <w:rFonts w:ascii="Verdana" w:eastAsia="Calibri" w:hAnsi="Verdana" w:cs="Arial"/>
          <w:b/>
          <w:bCs/>
          <w:lang w:eastAsia="es-ES"/>
        </w:rPr>
      </w:pPr>
      <w:r w:rsidRPr="008C03E8">
        <w:rPr>
          <w:rFonts w:ascii="Verdana" w:eastAsia="Calibri" w:hAnsi="Verdana" w:cs="Arial"/>
          <w:b/>
          <w:bCs/>
          <w:lang w:eastAsia="es-ES"/>
        </w:rPr>
        <w:t xml:space="preserve">Nelson Rafael </w:t>
      </w:r>
      <w:proofErr w:type="spellStart"/>
      <w:r w:rsidRPr="008C03E8">
        <w:rPr>
          <w:rFonts w:ascii="Verdana" w:eastAsia="Calibri" w:hAnsi="Verdana" w:cs="Arial"/>
          <w:b/>
          <w:bCs/>
          <w:lang w:eastAsia="es-ES"/>
        </w:rPr>
        <w:t>Paba</w:t>
      </w:r>
      <w:proofErr w:type="spellEnd"/>
      <w:r w:rsidRPr="008C03E8">
        <w:rPr>
          <w:rFonts w:ascii="Verdana" w:eastAsia="Calibri" w:hAnsi="Verdana" w:cs="Arial"/>
          <w:b/>
          <w:bCs/>
          <w:lang w:eastAsia="es-ES"/>
        </w:rPr>
        <w:t xml:space="preserve"> Solano </w:t>
      </w:r>
    </w:p>
    <w:p w14:paraId="0F1DDF54" w14:textId="77777777" w:rsidR="004345AB" w:rsidRPr="008C03E8" w:rsidRDefault="004345AB" w:rsidP="004345AB">
      <w:pPr>
        <w:spacing w:after="0" w:line="240" w:lineRule="auto"/>
        <w:jc w:val="both"/>
        <w:rPr>
          <w:rFonts w:ascii="Verdana" w:eastAsia="Calibri" w:hAnsi="Verdana" w:cs="Arial"/>
          <w:lang w:eastAsia="es-ES"/>
        </w:rPr>
      </w:pPr>
      <w:r w:rsidRPr="008C03E8">
        <w:rPr>
          <w:rFonts w:ascii="Verdana" w:eastAsia="Calibri" w:hAnsi="Verdana" w:cs="Arial"/>
          <w:lang w:eastAsia="es-ES"/>
        </w:rPr>
        <w:t>Representante Legal TCONSTRUYE INGENIERÍA S.A.S</w:t>
      </w:r>
    </w:p>
    <w:p w14:paraId="080D64F9" w14:textId="77777777" w:rsidR="004345AB" w:rsidRPr="008C03E8" w:rsidRDefault="004345AB" w:rsidP="004345AB">
      <w:pPr>
        <w:spacing w:after="0" w:line="240" w:lineRule="auto"/>
        <w:rPr>
          <w:rFonts w:ascii="Verdana" w:hAnsi="Verdana"/>
        </w:rPr>
      </w:pPr>
      <w:hyperlink r:id="rId12" w:history="1">
        <w:r w:rsidRPr="008C03E8">
          <w:rPr>
            <w:rFonts w:ascii="Verdana" w:hAnsi="Verdana"/>
            <w:color w:val="0563C1" w:themeColor="hyperlink"/>
            <w:u w:val="single"/>
          </w:rPr>
          <w:t>npabas@gmail.com</w:t>
        </w:r>
      </w:hyperlink>
      <w:r w:rsidRPr="008C03E8">
        <w:rPr>
          <w:rFonts w:ascii="Verdana" w:hAnsi="Verdana"/>
        </w:rPr>
        <w:t xml:space="preserve"> </w:t>
      </w:r>
    </w:p>
    <w:p w14:paraId="04E75491" w14:textId="77777777" w:rsidR="004345AB" w:rsidRPr="008C03E8" w:rsidRDefault="004345AB" w:rsidP="004345AB">
      <w:pPr>
        <w:spacing w:after="0" w:line="240" w:lineRule="auto"/>
        <w:rPr>
          <w:rFonts w:ascii="Verdana" w:eastAsia="Calibri" w:hAnsi="Verdana" w:cs="Arial"/>
          <w:lang w:eastAsia="es-ES"/>
        </w:rPr>
      </w:pPr>
      <w:r w:rsidRPr="008C03E8">
        <w:rPr>
          <w:rFonts w:ascii="Verdana" w:hAnsi="Verdana"/>
        </w:rPr>
        <w:t xml:space="preserve">Valledupar, Cesar   </w:t>
      </w:r>
    </w:p>
    <w:p w14:paraId="39A3E351" w14:textId="77777777" w:rsidR="004345AB" w:rsidRPr="008C03E8" w:rsidRDefault="004345AB" w:rsidP="004345AB">
      <w:pPr>
        <w:spacing w:after="0" w:line="240" w:lineRule="auto"/>
        <w:rPr>
          <w:rFonts w:ascii="Verdana" w:eastAsia="Calibri" w:hAnsi="Verdana" w:cs="Arial"/>
          <w:b/>
          <w:bCs/>
          <w:color w:val="000000"/>
          <w:lang w:eastAsia="es-ES_tradnl"/>
        </w:rPr>
      </w:pPr>
    </w:p>
    <w:p w14:paraId="5F546D72" w14:textId="77777777" w:rsidR="004345AB" w:rsidRPr="008C03E8" w:rsidRDefault="004345AB" w:rsidP="004345AB">
      <w:pPr>
        <w:spacing w:after="0" w:line="240" w:lineRule="auto"/>
        <w:rPr>
          <w:rFonts w:ascii="Verdana" w:eastAsia="Calibri" w:hAnsi="Verdana" w:cs="Arial"/>
          <w:b/>
          <w:bCs/>
          <w:color w:val="000000"/>
          <w:lang w:eastAsia="es-ES_tradnl"/>
        </w:rPr>
      </w:pPr>
    </w:p>
    <w:p w14:paraId="44F79225" w14:textId="77777777" w:rsidR="004345AB" w:rsidRPr="008C03E8" w:rsidRDefault="004345AB" w:rsidP="004345AB">
      <w:pPr>
        <w:jc w:val="center"/>
        <w:rPr>
          <w:rFonts w:ascii="Verdana" w:eastAsia="Calibri" w:hAnsi="Verdana" w:cs="Arial"/>
          <w:b/>
          <w:bCs/>
          <w:lang w:eastAsia="es-ES"/>
        </w:rPr>
      </w:pPr>
      <w:r w:rsidRPr="008C03E8">
        <w:rPr>
          <w:rFonts w:ascii="Verdana" w:eastAsia="Calibri" w:hAnsi="Verdana" w:cs="Arial"/>
          <w:b/>
          <w:bCs/>
          <w:lang w:eastAsia="es-ES"/>
        </w:rPr>
        <w:t>Concepto C– 938 de 2025</w:t>
      </w:r>
    </w:p>
    <w:p w14:paraId="68AE6636" w14:textId="77777777" w:rsidR="004345AB" w:rsidRPr="008C03E8" w:rsidRDefault="004345AB" w:rsidP="004345AB">
      <w:pPr>
        <w:spacing w:after="0" w:line="240" w:lineRule="auto"/>
        <w:rPr>
          <w:rFonts w:ascii="Verdana" w:eastAsia="Calibri" w:hAnsi="Verdana" w:cs="Arial"/>
          <w:b/>
          <w:bCs/>
          <w:color w:val="000000"/>
          <w:lang w:eastAsia="es-ES_tradnl"/>
        </w:rPr>
      </w:pPr>
    </w:p>
    <w:tbl>
      <w:tblPr>
        <w:tblStyle w:val="Tablaconcuadrcula"/>
        <w:tblW w:w="878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4345AB" w:rsidRPr="008C03E8" w14:paraId="31CBBF79" w14:textId="77777777" w:rsidTr="00E73D27">
        <w:trPr>
          <w:trHeight w:val="884"/>
        </w:trPr>
        <w:tc>
          <w:tcPr>
            <w:tcW w:w="2689" w:type="dxa"/>
          </w:tcPr>
          <w:p w14:paraId="05941E7B" w14:textId="77777777" w:rsidR="004345AB" w:rsidRPr="008C03E8" w:rsidRDefault="004345AB" w:rsidP="00E73D27">
            <w:pPr>
              <w:jc w:val="both"/>
              <w:rPr>
                <w:rFonts w:ascii="Verdana" w:eastAsia="Calibri" w:hAnsi="Verdana" w:cs="Arial"/>
                <w:color w:val="000000"/>
                <w:lang w:eastAsia="es-ES_tradnl"/>
              </w:rPr>
            </w:pPr>
            <w:r w:rsidRPr="008C03E8">
              <w:rPr>
                <w:rFonts w:ascii="Verdana" w:eastAsia="Calibri" w:hAnsi="Verdana" w:cs="Arial"/>
                <w:b/>
                <w:color w:val="000000"/>
                <w:lang w:eastAsia="es-ES_tradnl"/>
              </w:rPr>
              <w:t>Temas:</w:t>
            </w:r>
            <w:r w:rsidRPr="008C03E8">
              <w:rPr>
                <w:rFonts w:ascii="Verdana" w:eastAsia="Calibri" w:hAnsi="Verdana" w:cs="Arial"/>
                <w:color w:val="000000"/>
                <w:lang w:eastAsia="es-ES_tradnl"/>
              </w:rPr>
              <w:t xml:space="preserve">                   </w:t>
            </w:r>
          </w:p>
        </w:tc>
        <w:tc>
          <w:tcPr>
            <w:tcW w:w="6100" w:type="dxa"/>
          </w:tcPr>
          <w:p w14:paraId="1E6207A3" w14:textId="77777777" w:rsidR="004345AB" w:rsidRPr="008C03E8" w:rsidRDefault="004345AB" w:rsidP="00E73D27">
            <w:pPr>
              <w:spacing w:after="120"/>
              <w:jc w:val="both"/>
              <w:rPr>
                <w:rFonts w:ascii="Verdana" w:eastAsia="Calibri" w:hAnsi="Verdana" w:cs="Arial"/>
                <w:lang w:eastAsia="es-ES"/>
              </w:rPr>
            </w:pPr>
            <w:r w:rsidRPr="008C03E8">
              <w:rPr>
                <w:rFonts w:ascii="Verdana" w:eastAsia="Calibri" w:hAnsi="Verdana" w:cs="Arial"/>
                <w:lang w:val="es-ES" w:eastAsia="es-ES"/>
              </w:rPr>
              <w:t>CONSORCIOS Y UNIONES TEMPORALES – Capacidad para contratar – Participación en varios procesos / CONSORCIOS Y UNIONES TEMPORALES – Deber de registro en SECOP II – Presentación de ofertas en SECOP II</w:t>
            </w:r>
            <w:r w:rsidRPr="008C03E8">
              <w:rPr>
                <w:rFonts w:ascii="Verdana" w:eastAsia="Calibri" w:hAnsi="Verdana" w:cs="Arial"/>
                <w:color w:val="000000" w:themeColor="text1"/>
                <w:lang w:val="es-ES" w:eastAsia="es-ES"/>
              </w:rPr>
              <w:t xml:space="preserve"> / CAUSALES DE RECHAZO – Alcance – Proponentes plurales</w:t>
            </w:r>
            <w:r w:rsidRPr="008C03E8">
              <w:rPr>
                <w:rFonts w:ascii="Verdana" w:eastAsia="Geomanist Light" w:hAnsi="Verdana" w:cs="Arial"/>
                <w:bCs/>
                <w:lang w:val="es-ES"/>
              </w:rPr>
              <w:t xml:space="preserve"> </w:t>
            </w:r>
          </w:p>
        </w:tc>
      </w:tr>
      <w:tr w:rsidR="004345AB" w:rsidRPr="008C03E8" w14:paraId="22DF93AA" w14:textId="77777777" w:rsidTr="00E73D27">
        <w:tc>
          <w:tcPr>
            <w:tcW w:w="2689" w:type="dxa"/>
          </w:tcPr>
          <w:p w14:paraId="707D54D4" w14:textId="77777777" w:rsidR="004345AB" w:rsidRPr="008C03E8" w:rsidRDefault="004345AB" w:rsidP="00E73D27">
            <w:pPr>
              <w:jc w:val="both"/>
              <w:rPr>
                <w:rFonts w:ascii="Verdana" w:eastAsia="Calibri" w:hAnsi="Verdana" w:cs="Arial"/>
                <w:b/>
                <w:lang w:eastAsia="es-ES_tradnl"/>
              </w:rPr>
            </w:pPr>
            <w:r w:rsidRPr="008C03E8">
              <w:rPr>
                <w:rFonts w:ascii="Verdana" w:eastAsia="Calibri" w:hAnsi="Verdana" w:cs="Arial"/>
                <w:b/>
                <w:lang w:eastAsia="es-ES_tradnl"/>
              </w:rPr>
              <w:t xml:space="preserve"> Radicación:</w:t>
            </w:r>
            <w:r w:rsidRPr="008C03E8">
              <w:rPr>
                <w:rFonts w:ascii="Verdana" w:eastAsia="Calibri" w:hAnsi="Verdana" w:cs="Arial"/>
                <w:lang w:eastAsia="es-ES_tradnl"/>
              </w:rPr>
              <w:t xml:space="preserve">               </w:t>
            </w:r>
          </w:p>
        </w:tc>
        <w:tc>
          <w:tcPr>
            <w:tcW w:w="6100" w:type="dxa"/>
          </w:tcPr>
          <w:p w14:paraId="132C3AFC" w14:textId="77777777" w:rsidR="004345AB" w:rsidRPr="008C03E8" w:rsidRDefault="004345AB" w:rsidP="00E73D27">
            <w:pPr>
              <w:jc w:val="both"/>
              <w:rPr>
                <w:rFonts w:ascii="Verdana" w:eastAsia="Calibri" w:hAnsi="Verdana" w:cs="Arial"/>
                <w:lang w:eastAsia="es-ES_tradnl"/>
              </w:rPr>
            </w:pPr>
            <w:r w:rsidRPr="008C03E8">
              <w:rPr>
                <w:rFonts w:ascii="Verdana" w:eastAsia="Calibri" w:hAnsi="Verdana" w:cs="Arial"/>
                <w:lang w:eastAsia="es-ES_tradnl"/>
              </w:rPr>
              <w:t>Respuesta a las consultas con radicados Nos. 1_2025_07_15_007189 y 1_2025_07_15_007187</w:t>
            </w:r>
          </w:p>
        </w:tc>
      </w:tr>
    </w:tbl>
    <w:p w14:paraId="7630AA7C" w14:textId="77777777" w:rsidR="004345AB" w:rsidRPr="008C03E8" w:rsidRDefault="004345AB" w:rsidP="004345AB">
      <w:pPr>
        <w:spacing w:after="0" w:line="240" w:lineRule="auto"/>
        <w:jc w:val="both"/>
        <w:rPr>
          <w:rFonts w:ascii="Verdana" w:eastAsia="Calibri" w:hAnsi="Verdana" w:cs="Arial"/>
          <w:color w:val="000000"/>
          <w:lang w:eastAsia="es-ES_tradnl"/>
        </w:rPr>
      </w:pPr>
    </w:p>
    <w:p w14:paraId="44094D0F" w14:textId="77777777" w:rsidR="004345AB" w:rsidRPr="008C03E8" w:rsidRDefault="004345AB" w:rsidP="004345AB">
      <w:pPr>
        <w:spacing w:after="0" w:line="240" w:lineRule="auto"/>
        <w:jc w:val="both"/>
        <w:rPr>
          <w:rFonts w:ascii="Verdana" w:eastAsia="Calibri" w:hAnsi="Verdana" w:cs="Arial"/>
          <w:color w:val="000000"/>
          <w:lang w:eastAsia="es-ES_tradnl"/>
        </w:rPr>
      </w:pPr>
    </w:p>
    <w:p w14:paraId="33DE1596" w14:textId="77777777" w:rsidR="004345AB" w:rsidRPr="008C03E8" w:rsidRDefault="004345AB" w:rsidP="004345AB">
      <w:pPr>
        <w:spacing w:after="0" w:line="276" w:lineRule="auto"/>
        <w:jc w:val="both"/>
        <w:rPr>
          <w:rFonts w:ascii="Verdana" w:eastAsia="Calibri" w:hAnsi="Verdana" w:cs="Arial"/>
          <w:lang w:eastAsia="es-ES"/>
        </w:rPr>
      </w:pPr>
      <w:r w:rsidRPr="008C03E8">
        <w:rPr>
          <w:rFonts w:ascii="Verdana" w:eastAsia="Calibri" w:hAnsi="Verdana" w:cs="Arial"/>
          <w:lang w:eastAsia="es-ES"/>
        </w:rPr>
        <w:t xml:space="preserve">Estimado señor </w:t>
      </w:r>
      <w:proofErr w:type="spellStart"/>
      <w:r w:rsidRPr="008C03E8">
        <w:rPr>
          <w:rFonts w:ascii="Verdana" w:eastAsia="Calibri" w:hAnsi="Verdana" w:cs="Arial"/>
          <w:lang w:eastAsia="es-ES"/>
        </w:rPr>
        <w:t>Paba</w:t>
      </w:r>
      <w:proofErr w:type="spellEnd"/>
      <w:r w:rsidRPr="008C03E8">
        <w:rPr>
          <w:rFonts w:ascii="Verdana" w:eastAsia="Calibri" w:hAnsi="Verdana" w:cs="Arial"/>
          <w:lang w:eastAsia="es-ES"/>
        </w:rPr>
        <w:t xml:space="preserve"> Solano: </w:t>
      </w:r>
    </w:p>
    <w:p w14:paraId="69EEECDD" w14:textId="77777777" w:rsidR="004345AB" w:rsidRPr="008C03E8" w:rsidRDefault="004345AB" w:rsidP="004345AB">
      <w:pPr>
        <w:tabs>
          <w:tab w:val="left" w:pos="3768"/>
        </w:tabs>
        <w:spacing w:after="0" w:line="276" w:lineRule="auto"/>
        <w:jc w:val="both"/>
        <w:rPr>
          <w:rFonts w:ascii="Verdana" w:eastAsia="Calibri" w:hAnsi="Verdana" w:cs="Arial"/>
          <w:color w:val="000000" w:themeColor="text1"/>
          <w:lang w:eastAsia="es-ES"/>
        </w:rPr>
      </w:pPr>
      <w:r w:rsidRPr="008C03E8">
        <w:rPr>
          <w:rFonts w:ascii="Verdana" w:eastAsia="Calibri" w:hAnsi="Verdana" w:cs="Arial"/>
          <w:color w:val="000000" w:themeColor="text1"/>
          <w:lang w:eastAsia="es-ES"/>
        </w:rPr>
        <w:tab/>
      </w:r>
    </w:p>
    <w:p w14:paraId="0E01BE2B" w14:textId="77777777" w:rsidR="004345AB" w:rsidRPr="008C03E8" w:rsidRDefault="004345AB" w:rsidP="004345AB">
      <w:pPr>
        <w:spacing w:after="0" w:line="276" w:lineRule="auto"/>
        <w:jc w:val="both"/>
        <w:rPr>
          <w:rFonts w:ascii="Verdana" w:eastAsia="Calibri" w:hAnsi="Verdana" w:cs="Arial"/>
          <w:i/>
          <w:iCs/>
          <w:lang w:eastAsia="es-ES"/>
        </w:rPr>
      </w:pPr>
      <w:r w:rsidRPr="008C03E8">
        <w:rPr>
          <w:rFonts w:ascii="Verdana" w:eastAsia="Calibri" w:hAnsi="Verdana" w:cs="Arial"/>
          <w:color w:val="000000" w:themeColor="text1"/>
          <w:lang w:eastAsia="es-ES"/>
        </w:rPr>
        <w:t>En ejercicio de la competencia otorgada por los artículos 3, numeral 5º, y 11, numeral 8º, del Decreto Ley 4170 de 2011,</w:t>
      </w:r>
      <w:r w:rsidRPr="008C03E8">
        <w:rPr>
          <w:rFonts w:ascii="Verdana" w:eastAsia="Arial MT" w:hAnsi="Verdana" w:cs="Arial MT"/>
          <w:lang w:eastAsia="es-ES"/>
        </w:rPr>
        <w:t xml:space="preserve"> </w:t>
      </w:r>
      <w:r w:rsidRPr="008C03E8">
        <w:rPr>
          <w:rFonts w:ascii="Verdana" w:hAnsi="Verdana" w:cs="Arial"/>
        </w:rPr>
        <w:t xml:space="preserve">así como lo establecido en el artículo 4 de la Resolución 1707 de 2018 expedida por esta Entidad, </w:t>
      </w:r>
      <w:r w:rsidRPr="008C03E8">
        <w:rPr>
          <w:rFonts w:ascii="Verdana" w:eastAsia="Calibri" w:hAnsi="Verdana" w:cs="Arial"/>
          <w:color w:val="000000" w:themeColor="text1"/>
          <w:lang w:eastAsia="es-ES"/>
        </w:rPr>
        <w:t>la Agencia Nacional de Contratación Pública – Colombia Compra Eficiente responde su solicitud de concepto del 15</w:t>
      </w:r>
      <w:r w:rsidRPr="008C03E8">
        <w:rPr>
          <w:rFonts w:ascii="Verdana" w:eastAsia="Calibri" w:hAnsi="Verdana" w:cs="Arial"/>
          <w:lang w:eastAsia="es-ES"/>
        </w:rPr>
        <w:t xml:space="preserve"> de julio de 2025, en la cual consulta sobre lo siguiente:</w:t>
      </w:r>
      <w:r w:rsidRPr="008C03E8">
        <w:rPr>
          <w:rFonts w:ascii="Verdana" w:eastAsia="Calibri" w:hAnsi="Verdana" w:cs="Arial"/>
          <w:i/>
          <w:iCs/>
          <w:lang w:eastAsia="es-ES"/>
        </w:rPr>
        <w:t xml:space="preserve"> </w:t>
      </w:r>
      <w:bookmarkStart w:id="1" w:name="_Hlk95313578"/>
    </w:p>
    <w:p w14:paraId="73E92FF7" w14:textId="77777777" w:rsidR="004345AB" w:rsidRPr="008C03E8" w:rsidRDefault="004345AB" w:rsidP="004345AB">
      <w:pPr>
        <w:spacing w:after="0" w:line="276" w:lineRule="auto"/>
        <w:jc w:val="both"/>
        <w:rPr>
          <w:rFonts w:ascii="Verdana" w:eastAsia="Calibri" w:hAnsi="Verdana" w:cs="Arial"/>
          <w:i/>
          <w:iCs/>
          <w:lang w:eastAsia="es-ES"/>
        </w:rPr>
      </w:pPr>
    </w:p>
    <w:p w14:paraId="53E20759" w14:textId="77777777" w:rsidR="004345AB" w:rsidRPr="008C03E8" w:rsidRDefault="004345AB" w:rsidP="004345AB">
      <w:pPr>
        <w:spacing w:after="0" w:line="240" w:lineRule="auto"/>
        <w:ind w:left="709" w:right="616"/>
        <w:contextualSpacing/>
        <w:jc w:val="both"/>
        <w:rPr>
          <w:rFonts w:ascii="Verdana" w:eastAsia="Arial" w:hAnsi="Verdana" w:cs="Arial"/>
          <w:iCs/>
          <w:color w:val="000000"/>
          <w:sz w:val="20"/>
          <w:szCs w:val="20"/>
        </w:rPr>
      </w:pPr>
      <w:r w:rsidRPr="008C03E8">
        <w:rPr>
          <w:rFonts w:ascii="Verdana" w:eastAsia="Arial" w:hAnsi="Verdana" w:cs="Arial"/>
          <w:iCs/>
          <w:color w:val="000000"/>
          <w:sz w:val="20"/>
          <w:szCs w:val="20"/>
        </w:rPr>
        <w:t>“</w:t>
      </w:r>
      <w:bookmarkEnd w:id="1"/>
      <w:r w:rsidRPr="008C03E8">
        <w:rPr>
          <w:rFonts w:ascii="Verdana" w:eastAsia="Arial" w:hAnsi="Verdana" w:cs="Arial"/>
          <w:iCs/>
          <w:color w:val="000000"/>
          <w:sz w:val="20"/>
          <w:szCs w:val="20"/>
        </w:rPr>
        <w:t xml:space="preserve">1. ¿Es obligatorio para cada consorcio o unión temporal crear un perfil distinto del SECOP II para cada proceso al que desee presentar oferta o es solo una recomendación que no es causal de rechazo? </w:t>
      </w:r>
    </w:p>
    <w:p w14:paraId="2140BB79" w14:textId="77777777" w:rsidR="004345AB" w:rsidRPr="008C03E8" w:rsidRDefault="004345AB" w:rsidP="004345AB">
      <w:pPr>
        <w:spacing w:after="0" w:line="240" w:lineRule="auto"/>
        <w:ind w:left="709" w:right="616"/>
        <w:contextualSpacing/>
        <w:jc w:val="both"/>
        <w:rPr>
          <w:rFonts w:ascii="Verdana" w:eastAsia="Arial" w:hAnsi="Verdana" w:cs="Arial"/>
          <w:iCs/>
          <w:color w:val="000000"/>
          <w:sz w:val="20"/>
          <w:szCs w:val="20"/>
        </w:rPr>
      </w:pPr>
      <w:r w:rsidRPr="008C03E8">
        <w:rPr>
          <w:rFonts w:ascii="Verdana" w:eastAsia="Arial" w:hAnsi="Verdana" w:cs="Arial"/>
          <w:iCs/>
          <w:color w:val="000000"/>
          <w:sz w:val="20"/>
          <w:szCs w:val="20"/>
        </w:rPr>
        <w:t xml:space="preserve">2. ¿Puede una entidad rechazar válidamente una oferta por el uso de un perfil que ya ha sido utilizado en otros procesos, incluso si el proponente se encuentra plenamente identificado? </w:t>
      </w:r>
    </w:p>
    <w:p w14:paraId="4B64D823" w14:textId="77777777" w:rsidR="004345AB" w:rsidRPr="008C03E8" w:rsidRDefault="004345AB" w:rsidP="004345AB">
      <w:pPr>
        <w:spacing w:after="0" w:line="240" w:lineRule="auto"/>
        <w:ind w:left="709" w:right="616"/>
        <w:contextualSpacing/>
        <w:jc w:val="both"/>
        <w:rPr>
          <w:rFonts w:ascii="Verdana" w:eastAsia="Arial" w:hAnsi="Verdana" w:cs="Arial"/>
          <w:iCs/>
          <w:color w:val="000000"/>
          <w:sz w:val="20"/>
          <w:szCs w:val="20"/>
        </w:rPr>
      </w:pPr>
      <w:r w:rsidRPr="008C03E8">
        <w:rPr>
          <w:rFonts w:ascii="Verdana" w:eastAsia="Arial" w:hAnsi="Verdana" w:cs="Arial"/>
          <w:iCs/>
          <w:color w:val="000000"/>
          <w:sz w:val="20"/>
          <w:szCs w:val="20"/>
        </w:rPr>
        <w:t>3. ¿Cómo debe interpretarse el concepto C</w:t>
      </w:r>
      <w:r w:rsidRPr="008C03E8">
        <w:rPr>
          <w:rFonts w:ascii="Verdana" w:eastAsia="Arial" w:hAnsi="Verdana" w:cs="Arial"/>
          <w:iCs/>
          <w:color w:val="000000"/>
          <w:sz w:val="20"/>
          <w:szCs w:val="20"/>
        </w:rPr>
        <w:noBreakHyphen/>
        <w:t xml:space="preserve">627 de 2024 en armonía con los principios de libre concurrencia, economía, pluralidad y transparencia? </w:t>
      </w:r>
    </w:p>
    <w:p w14:paraId="76C4A5FB" w14:textId="77777777" w:rsidR="004345AB" w:rsidRPr="008C03E8" w:rsidRDefault="004345AB" w:rsidP="004345AB">
      <w:pPr>
        <w:spacing w:after="0" w:line="240" w:lineRule="auto"/>
        <w:ind w:left="709" w:right="616"/>
        <w:contextualSpacing/>
        <w:jc w:val="both"/>
        <w:rPr>
          <w:rFonts w:ascii="Verdana" w:eastAsia="Calibri" w:hAnsi="Verdana" w:cs="Arial"/>
          <w:bCs/>
          <w:iCs/>
          <w:color w:val="000000" w:themeColor="text1"/>
          <w:sz w:val="20"/>
          <w:szCs w:val="20"/>
        </w:rPr>
      </w:pPr>
      <w:r w:rsidRPr="008C03E8">
        <w:rPr>
          <w:rFonts w:ascii="Verdana" w:eastAsia="Arial" w:hAnsi="Verdana" w:cs="Arial"/>
          <w:iCs/>
          <w:color w:val="000000"/>
          <w:sz w:val="20"/>
          <w:szCs w:val="20"/>
        </w:rPr>
        <w:lastRenderedPageBreak/>
        <w:t>4. ¿Se puede exigir, sin soporte normativo expreso, la creación de múltiples perfiles para un mismo consorcio que participa activamente en distintos procesos</w:t>
      </w:r>
      <w:r w:rsidRPr="008C03E8">
        <w:rPr>
          <w:rFonts w:ascii="Verdana" w:eastAsia="Calibri" w:hAnsi="Verdana" w:cs="Arial"/>
          <w:bCs/>
          <w:iCs/>
          <w:color w:val="000000" w:themeColor="text1"/>
          <w:sz w:val="20"/>
          <w:szCs w:val="20"/>
        </w:rPr>
        <w:t>?”.</w:t>
      </w:r>
    </w:p>
    <w:p w14:paraId="71208445" w14:textId="77777777" w:rsidR="004345AB" w:rsidRPr="008C03E8" w:rsidRDefault="004345AB" w:rsidP="004345AB">
      <w:pPr>
        <w:spacing w:after="0" w:line="240" w:lineRule="auto"/>
        <w:ind w:left="709" w:right="616"/>
        <w:contextualSpacing/>
        <w:jc w:val="both"/>
        <w:rPr>
          <w:rFonts w:ascii="Verdana" w:eastAsia="Calibri" w:hAnsi="Verdana" w:cs="Arial"/>
          <w:sz w:val="20"/>
          <w:szCs w:val="20"/>
          <w:lang w:val="es-MX"/>
        </w:rPr>
      </w:pPr>
    </w:p>
    <w:p w14:paraId="077F2F19" w14:textId="77777777" w:rsidR="004345AB" w:rsidRPr="008C03E8" w:rsidRDefault="004345AB" w:rsidP="004345AB">
      <w:pPr>
        <w:spacing w:after="0" w:line="240" w:lineRule="auto"/>
        <w:ind w:left="709" w:right="709"/>
        <w:jc w:val="both"/>
        <w:rPr>
          <w:rFonts w:ascii="Verdana" w:eastAsia="Arial" w:hAnsi="Verdana" w:cs="Arial"/>
          <w:i/>
          <w:color w:val="000000"/>
          <w:sz w:val="20"/>
          <w:szCs w:val="20"/>
        </w:rPr>
      </w:pPr>
    </w:p>
    <w:p w14:paraId="353E9871" w14:textId="77777777" w:rsidR="004345AB" w:rsidRPr="008C03E8" w:rsidRDefault="004345AB" w:rsidP="004345AB">
      <w:pPr>
        <w:spacing w:after="120" w:line="276" w:lineRule="auto"/>
        <w:ind w:firstLine="709"/>
        <w:jc w:val="both"/>
        <w:rPr>
          <w:rFonts w:ascii="Verdana" w:eastAsia="Calibri" w:hAnsi="Verdana" w:cs="Arial"/>
          <w:color w:val="000000"/>
          <w:lang w:eastAsia="es-ES"/>
        </w:rPr>
      </w:pPr>
      <w:r w:rsidRPr="008C03E8">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8C03E8">
        <w:rPr>
          <w:rFonts w:ascii="Verdana" w:eastAsia="Calibri" w:hAnsi="Verdana" w:cs="Arial"/>
          <w:color w:val="000000"/>
          <w:szCs w:val="24"/>
          <w:lang w:eastAsia="es-ES_tradnl"/>
        </w:rPr>
        <w:tab/>
      </w:r>
    </w:p>
    <w:p w14:paraId="3D6AF008" w14:textId="77777777" w:rsidR="004345AB" w:rsidRPr="008C03E8" w:rsidRDefault="004345AB" w:rsidP="004345AB">
      <w:pPr>
        <w:spacing w:after="120" w:line="276" w:lineRule="auto"/>
        <w:ind w:firstLine="709"/>
        <w:jc w:val="both"/>
        <w:rPr>
          <w:rFonts w:ascii="Verdana" w:eastAsia="Calibri" w:hAnsi="Verdana" w:cs="Arial"/>
          <w:color w:val="000000"/>
          <w:lang w:eastAsia="es-ES"/>
        </w:rPr>
      </w:pPr>
      <w:r w:rsidRPr="008C03E8">
        <w:rPr>
          <w:rFonts w:ascii="Verdana" w:eastAsia="Calibri" w:hAnsi="Verdana" w:cs="Arial"/>
          <w:color w:val="000000"/>
          <w:lang w:eastAsia="es-ES"/>
        </w:rPr>
        <w:t>Conforme lo expuesto, en aras de satisfacer el derecho fundamental de petición se resolverá su consulta dentro de los límites de la referida competencia consultiva, esto es, haciendo unas consideraciones sobre las normas generales relacionadas con los</w:t>
      </w:r>
      <w:r w:rsidRPr="008C03E8">
        <w:rPr>
          <w:rFonts w:ascii="Verdana" w:eastAsia="Calibri" w:hAnsi="Verdana" w:cs="Arial"/>
          <w:color w:val="7030A0"/>
          <w:lang w:eastAsia="es-ES"/>
        </w:rPr>
        <w:t xml:space="preserve"> </w:t>
      </w:r>
      <w:r w:rsidRPr="008C03E8">
        <w:rPr>
          <w:rFonts w:ascii="Verdana" w:eastAsia="Calibri" w:hAnsi="Verdana" w:cs="Arial"/>
          <w:color w:val="000000"/>
          <w:lang w:eastAsia="es-ES"/>
        </w:rPr>
        <w:t>problemas</w:t>
      </w:r>
      <w:r w:rsidRPr="008C03E8">
        <w:rPr>
          <w:rFonts w:ascii="Verdana" w:eastAsia="Calibri" w:hAnsi="Verdana" w:cs="Arial"/>
          <w:color w:val="7030A0"/>
          <w:lang w:eastAsia="es-ES"/>
        </w:rPr>
        <w:t xml:space="preserve"> </w:t>
      </w:r>
      <w:r w:rsidRPr="008C03E8">
        <w:rPr>
          <w:rFonts w:ascii="Verdana" w:eastAsia="Calibri" w:hAnsi="Verdana" w:cs="Arial"/>
          <w:color w:val="000000"/>
          <w:lang w:eastAsia="es-ES"/>
        </w:rPr>
        <w:t>jurídicos</w:t>
      </w:r>
      <w:r w:rsidRPr="008C03E8">
        <w:rPr>
          <w:rFonts w:ascii="Verdana" w:eastAsia="Calibri" w:hAnsi="Verdana" w:cs="Arial"/>
          <w:color w:val="7030A0"/>
          <w:lang w:eastAsia="es-ES"/>
        </w:rPr>
        <w:t xml:space="preserve"> </w:t>
      </w:r>
      <w:r w:rsidRPr="008C03E8">
        <w:rPr>
          <w:rFonts w:ascii="Verdana" w:eastAsia="Calibri" w:hAnsi="Verdana" w:cs="Arial"/>
          <w:color w:val="000000"/>
          <w:lang w:eastAsia="es-ES"/>
        </w:rPr>
        <w:t xml:space="preserve">de su consulta. </w:t>
      </w:r>
    </w:p>
    <w:p w14:paraId="4A873999" w14:textId="77777777" w:rsidR="004345AB" w:rsidRPr="008C03E8" w:rsidRDefault="004345AB" w:rsidP="004345AB">
      <w:pPr>
        <w:spacing w:after="0" w:line="276" w:lineRule="auto"/>
        <w:ind w:firstLine="709"/>
        <w:jc w:val="both"/>
        <w:rPr>
          <w:rFonts w:ascii="Verdana" w:eastAsia="Calibri" w:hAnsi="Verdana" w:cs="Arial"/>
          <w:color w:val="000000"/>
          <w:lang w:eastAsia="es-ES"/>
        </w:rPr>
      </w:pPr>
    </w:p>
    <w:p w14:paraId="40B9827E" w14:textId="77777777" w:rsidR="004345AB" w:rsidRPr="008C03E8" w:rsidRDefault="004345AB" w:rsidP="004345AB">
      <w:pPr>
        <w:numPr>
          <w:ilvl w:val="0"/>
          <w:numId w:val="1"/>
        </w:numPr>
        <w:tabs>
          <w:tab w:val="left" w:pos="142"/>
          <w:tab w:val="left" w:pos="284"/>
        </w:tabs>
        <w:spacing w:after="0" w:line="276" w:lineRule="auto"/>
        <w:jc w:val="both"/>
        <w:rPr>
          <w:rFonts w:ascii="Verdana" w:eastAsia="Century Gothic" w:hAnsi="Verdana" w:cs="Century Gothic"/>
          <w:b/>
          <w:bCs/>
        </w:rPr>
      </w:pPr>
      <w:r w:rsidRPr="008C03E8">
        <w:rPr>
          <w:rFonts w:ascii="Verdana" w:eastAsia="Century Gothic" w:hAnsi="Verdana" w:cs="Century Gothic"/>
          <w:b/>
          <w:bCs/>
        </w:rPr>
        <w:t>Problemas planteados:</w:t>
      </w:r>
    </w:p>
    <w:p w14:paraId="27CFE26F" w14:textId="77777777" w:rsidR="004345AB" w:rsidRPr="008C03E8" w:rsidRDefault="004345AB" w:rsidP="004345AB">
      <w:pPr>
        <w:tabs>
          <w:tab w:val="left" w:pos="426"/>
        </w:tabs>
        <w:spacing w:after="0" w:line="276" w:lineRule="auto"/>
        <w:jc w:val="both"/>
        <w:rPr>
          <w:rFonts w:ascii="Verdana" w:eastAsia="Century Gothic" w:hAnsi="Verdana" w:cs="Century Gothic"/>
        </w:rPr>
      </w:pPr>
    </w:p>
    <w:p w14:paraId="6D2E7AD0" w14:textId="77777777" w:rsidR="004345AB" w:rsidRPr="008C03E8" w:rsidRDefault="004345AB" w:rsidP="004345AB">
      <w:pPr>
        <w:spacing w:after="0" w:line="276" w:lineRule="auto"/>
        <w:ind w:right="49"/>
        <w:jc w:val="both"/>
        <w:rPr>
          <w:rFonts w:ascii="Verdana" w:eastAsia="Century Gothic" w:hAnsi="Verdana" w:cs="Century Gothic"/>
          <w:color w:val="000000" w:themeColor="text1"/>
        </w:rPr>
      </w:pPr>
      <w:r w:rsidRPr="008C03E8">
        <w:rPr>
          <w:rFonts w:ascii="Verdana" w:eastAsia="Century Gothic" w:hAnsi="Verdana" w:cs="Century Gothic"/>
        </w:rPr>
        <w:t xml:space="preserve">De acuerdo con el contenido de su solicitud, esta Agencia resolverá el siguiente problema jurídico: </w:t>
      </w:r>
      <w:r w:rsidRPr="008C03E8">
        <w:rPr>
          <w:rFonts w:ascii="Verdana" w:eastAsia="Century Gothic" w:hAnsi="Verdana" w:cs="Century Gothic"/>
          <w:color w:val="000000" w:themeColor="text1"/>
        </w:rPr>
        <w:t>(i) ¿</w:t>
      </w:r>
      <w:r w:rsidRPr="008C03E8">
        <w:rPr>
          <w:rFonts w:ascii="Verdana" w:eastAsia="Century Gothic" w:hAnsi="Verdana" w:cs="Century Gothic"/>
        </w:rPr>
        <w:t>pueden los proponentes plurales participar en varios procesos de contratación pública</w:t>
      </w:r>
      <w:r w:rsidRPr="008C03E8">
        <w:rPr>
          <w:rFonts w:ascii="Verdana" w:eastAsia="Century Gothic" w:hAnsi="Verdana" w:cs="Century Gothic"/>
          <w:color w:val="000000" w:themeColor="text1"/>
        </w:rPr>
        <w:t>? y (</w:t>
      </w:r>
      <w:proofErr w:type="spellStart"/>
      <w:r w:rsidRPr="008C03E8">
        <w:rPr>
          <w:rFonts w:ascii="Verdana" w:eastAsia="Century Gothic" w:hAnsi="Verdana" w:cs="Century Gothic"/>
          <w:color w:val="000000" w:themeColor="text1"/>
        </w:rPr>
        <w:t>ii</w:t>
      </w:r>
      <w:proofErr w:type="spellEnd"/>
      <w:r w:rsidRPr="008C03E8">
        <w:rPr>
          <w:rFonts w:ascii="Verdana" w:eastAsia="Century Gothic" w:hAnsi="Verdana" w:cs="Century Gothic"/>
          <w:color w:val="000000" w:themeColor="text1"/>
        </w:rPr>
        <w:t>) ¿puede ser causal de rechazo que los proponentes plurales se presenten a varios procesos de contratación?</w:t>
      </w:r>
    </w:p>
    <w:p w14:paraId="2B2A6A23" w14:textId="77777777" w:rsidR="004345AB" w:rsidRPr="008C03E8" w:rsidRDefault="004345AB" w:rsidP="004345AB">
      <w:pPr>
        <w:spacing w:after="0" w:line="276" w:lineRule="auto"/>
        <w:jc w:val="both"/>
        <w:rPr>
          <w:rFonts w:ascii="Verdana" w:eastAsia="Calibri" w:hAnsi="Verdana" w:cs="Arial"/>
          <w:color w:val="7030A0"/>
        </w:rPr>
      </w:pPr>
    </w:p>
    <w:p w14:paraId="15367BD6" w14:textId="77777777" w:rsidR="004345AB" w:rsidRPr="008C03E8" w:rsidRDefault="004345AB" w:rsidP="004345AB">
      <w:pPr>
        <w:numPr>
          <w:ilvl w:val="0"/>
          <w:numId w:val="1"/>
        </w:numPr>
        <w:tabs>
          <w:tab w:val="left" w:pos="142"/>
          <w:tab w:val="left" w:pos="284"/>
        </w:tabs>
        <w:spacing w:after="0" w:line="276" w:lineRule="auto"/>
        <w:jc w:val="both"/>
        <w:rPr>
          <w:rFonts w:ascii="Verdana" w:eastAsia="Century Gothic" w:hAnsi="Verdana" w:cs="Century Gothic"/>
          <w:b/>
          <w:bCs/>
        </w:rPr>
      </w:pPr>
      <w:r w:rsidRPr="008C03E8">
        <w:rPr>
          <w:rFonts w:ascii="Verdana" w:eastAsia="Century Gothic" w:hAnsi="Verdana" w:cs="Century Gothic"/>
          <w:b/>
          <w:bCs/>
        </w:rPr>
        <w:t>Respuestas:</w:t>
      </w:r>
    </w:p>
    <w:p w14:paraId="66398048" w14:textId="77777777" w:rsidR="004345AB" w:rsidRPr="008C03E8" w:rsidRDefault="004345AB" w:rsidP="004345AB">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4345AB" w:rsidRPr="008C03E8" w14:paraId="405FBEC5" w14:textId="77777777" w:rsidTr="00E73D27">
        <w:trPr>
          <w:jc w:val="center"/>
        </w:trPr>
        <w:tc>
          <w:tcPr>
            <w:tcW w:w="8828" w:type="dxa"/>
          </w:tcPr>
          <w:p w14:paraId="46FB2532" w14:textId="77777777" w:rsidR="004345AB" w:rsidRPr="008C03E8" w:rsidRDefault="004345AB" w:rsidP="00E73D27">
            <w:pPr>
              <w:spacing w:after="120" w:line="276" w:lineRule="auto"/>
              <w:jc w:val="both"/>
              <w:rPr>
                <w:rFonts w:ascii="Verdana" w:eastAsia="Calibri" w:hAnsi="Verdana" w:cs="Arial"/>
                <w:lang w:val="es-ES" w:eastAsia="es-ES"/>
              </w:rPr>
            </w:pPr>
            <w:bookmarkStart w:id="2" w:name="_Hlk171694685"/>
            <w:r w:rsidRPr="008C03E8">
              <w:rPr>
                <w:rFonts w:ascii="Verdana" w:eastAsia="Calibri" w:hAnsi="Verdana" w:cs="Arial"/>
                <w:lang w:val="es-ES"/>
              </w:rPr>
              <w:t>i. De acuerdo con lo señalado en los numerales 6 y 7 del artículo 7 de la Ley 80 de 1993, el consorcio o la unión temporal se da “[c]</w:t>
            </w:r>
            <w:proofErr w:type="spellStart"/>
            <w:r w:rsidRPr="008C03E8">
              <w:rPr>
                <w:rFonts w:ascii="Verdana" w:eastAsia="Calibri" w:hAnsi="Verdana" w:cs="Arial"/>
                <w:lang w:val="es-ES"/>
              </w:rPr>
              <w:t>uando</w:t>
            </w:r>
            <w:proofErr w:type="spellEnd"/>
            <w:r w:rsidRPr="008C03E8">
              <w:rPr>
                <w:rFonts w:ascii="Verdana" w:eastAsia="Calibri" w:hAnsi="Verdana" w:cs="Arial"/>
                <w:lang w:val="es-ES"/>
              </w:rPr>
              <w:t xml:space="preserve"> dos o más personas en forma conjunta presentan una misma propuesta para la adjudicación, celebración y ejecución de un contrato […]”. Desde esta perspectiva, su capacidad para participar en la adjudicación, celebración y </w:t>
            </w:r>
            <w:r w:rsidRPr="008C03E8">
              <w:rPr>
                <w:rFonts w:ascii="Verdana" w:eastAsia="Calibri" w:hAnsi="Verdana" w:cs="Arial"/>
                <w:lang w:val="es-ES"/>
              </w:rPr>
              <w:lastRenderedPageBreak/>
              <w:t>ejecución de uno o varios contratos estatales dependerá de dos aspectos: (i) que los integrantes de la estructural plural adopten la decisión conjunta de presentar una misma propuesta al proceso de selección; y (</w:t>
            </w:r>
            <w:proofErr w:type="spellStart"/>
            <w:r w:rsidRPr="008C03E8">
              <w:rPr>
                <w:rFonts w:ascii="Verdana" w:eastAsia="Calibri" w:hAnsi="Verdana" w:cs="Arial"/>
                <w:lang w:val="es-ES"/>
              </w:rPr>
              <w:t>ii</w:t>
            </w:r>
            <w:proofErr w:type="spellEnd"/>
            <w:r w:rsidRPr="008C03E8">
              <w:rPr>
                <w:rFonts w:ascii="Verdana" w:eastAsia="Calibri" w:hAnsi="Verdana" w:cs="Arial"/>
                <w:lang w:val="es-ES"/>
              </w:rPr>
              <w:t>) que el objeto del consorcio o unión temporal se encuentre alineado con las actividades a desarrollar en un determinado proceso.</w:t>
            </w:r>
          </w:p>
          <w:p w14:paraId="2BCEBD3E" w14:textId="77777777" w:rsidR="004345AB" w:rsidRPr="008C03E8" w:rsidRDefault="004345AB" w:rsidP="00E73D27">
            <w:pPr>
              <w:spacing w:after="120" w:line="276" w:lineRule="auto"/>
              <w:ind w:firstLine="877"/>
              <w:jc w:val="both"/>
              <w:rPr>
                <w:rFonts w:ascii="Verdana" w:hAnsi="Verdana" w:cs="Arial"/>
                <w:color w:val="000000" w:themeColor="text1"/>
              </w:rPr>
            </w:pPr>
            <w:r w:rsidRPr="008C03E8">
              <w:rPr>
                <w:rFonts w:ascii="Verdana" w:eastAsia="Calibri" w:hAnsi="Verdana" w:cs="Arial"/>
                <w:lang w:val="es-ES" w:eastAsia="es-ES"/>
              </w:rPr>
              <w:t xml:space="preserve">Así las cosas, </w:t>
            </w:r>
            <w:r w:rsidRPr="008C03E8">
              <w:rPr>
                <w:rFonts w:ascii="Verdana" w:eastAsia="Calibri" w:hAnsi="Verdana" w:cs="Arial"/>
                <w:lang w:val="es-ES"/>
              </w:rPr>
              <w:t>conforme con el concepto CU-636 del 2 de julio de 2025 se</w:t>
            </w:r>
            <w:r w:rsidRPr="008C03E8">
              <w:rPr>
                <w:rFonts w:ascii="Verdana" w:eastAsia="Calibri" w:hAnsi="Verdana" w:cs="Arial"/>
                <w:lang w:val="es-ES" w:eastAsia="es-ES"/>
              </w:rPr>
              <w:t xml:space="preserve"> unificó la línea doctrinal en este tema, reiterando la posición de esta Subdirección en el sentido de indicar que </w:t>
            </w:r>
            <w:r w:rsidRPr="008C03E8">
              <w:rPr>
                <w:rFonts w:ascii="Verdana" w:hAnsi="Verdana" w:cs="Arial"/>
                <w:color w:val="000000" w:themeColor="text1"/>
              </w:rPr>
              <w:t xml:space="preserve">es </w:t>
            </w:r>
            <w:r w:rsidRPr="008C03E8">
              <w:rPr>
                <w:rFonts w:ascii="Verdana" w:eastAsia="Calibri" w:hAnsi="Verdana" w:cs="Arial"/>
                <w:lang w:val="es-ES" w:eastAsia="es-ES"/>
              </w:rPr>
              <w:t>jurídicamente viable que los</w:t>
            </w:r>
            <w:r w:rsidRPr="008C03E8">
              <w:rPr>
                <w:rFonts w:ascii="Verdana" w:hAnsi="Verdana" w:cs="Arial"/>
                <w:color w:val="000000" w:themeColor="text1"/>
              </w:rPr>
              <w:t xml:space="preserve"> proponentes plurales presenten propuestas para la adjudicación, celebración y ejecución de contratos estatales con </w:t>
            </w:r>
            <w:r w:rsidRPr="008C03E8">
              <w:rPr>
                <w:rFonts w:ascii="Verdana" w:hAnsi="Verdana" w:cs="Arial"/>
                <w:i/>
                <w:iCs/>
                <w:color w:val="000000" w:themeColor="text1"/>
              </w:rPr>
              <w:t>una o varias</w:t>
            </w:r>
            <w:r w:rsidRPr="008C03E8">
              <w:rPr>
                <w:rFonts w:ascii="Verdana" w:hAnsi="Verdana" w:cs="Arial"/>
                <w:color w:val="000000" w:themeColor="text1"/>
              </w:rPr>
              <w:t xml:space="preserve"> entidades, lo anterior en concordancia con el cumplimiento de los supuestos previamente descritos. En ese orden, las ofertas serán analizadas de acuerdo con los criterios habilitantes y factores de evaluación del pliego de condiciones o documento equivalente de cada proceso, en el marco de las reglas previstas en el Estatuto General de Contratación de la Administración Pública, sus normas complementarias y los reglamentos respectivos. </w:t>
            </w:r>
          </w:p>
          <w:p w14:paraId="353EB157" w14:textId="77777777" w:rsidR="004345AB" w:rsidRPr="008C03E8" w:rsidRDefault="004345AB" w:rsidP="00E73D27">
            <w:pPr>
              <w:spacing w:after="120" w:line="276" w:lineRule="auto"/>
              <w:ind w:firstLine="877"/>
              <w:jc w:val="both"/>
              <w:rPr>
                <w:rFonts w:ascii="Verdana" w:hAnsi="Verdana" w:cs="Arial"/>
                <w:color w:val="000000" w:themeColor="text1"/>
              </w:rPr>
            </w:pPr>
            <w:r w:rsidRPr="008C03E8">
              <w:rPr>
                <w:rFonts w:ascii="Verdana" w:hAnsi="Verdana" w:cs="Arial"/>
                <w:color w:val="000000" w:themeColor="text1"/>
              </w:rPr>
              <w:t>Por último, deberá tenerse en cuenta que la forma de presentar ofertas en el SECOP II se encuentra determinada en los términos y condiciones de uso y en las guías y manuales de dicha plataforma, las cuales indican entre otros, los requisitos, formularios y procedimientos para manifestar interés, crear y presentar las ofertas en línea. En este sentido, en complemento de la postura expuesta en el concepto CU-636 del 2 de julio de 2025, se considera viable que los proponentes plurales puedan emplear la misma cuenta y usuario en el SECOP II para presentarse a los procesos de contratación, siempre que operativamente la plataforma lo permita. En este sentido, es importante que se configure el usuario de tal forma que le permita cumplir con los requisitos del proceso de contratación y adecuarlos a la convocatoria en la cual se presentarán.</w:t>
            </w:r>
          </w:p>
          <w:p w14:paraId="41262AD3" w14:textId="77777777" w:rsidR="004345AB" w:rsidRPr="008C03E8" w:rsidRDefault="004345AB" w:rsidP="00E73D27">
            <w:pPr>
              <w:spacing w:after="120" w:line="276" w:lineRule="auto"/>
              <w:ind w:firstLine="877"/>
              <w:jc w:val="both"/>
              <w:rPr>
                <w:rFonts w:ascii="Verdana" w:hAnsi="Verdana" w:cs="Arial"/>
                <w:color w:val="000000" w:themeColor="text1"/>
              </w:rPr>
            </w:pPr>
            <w:r w:rsidRPr="008C03E8">
              <w:rPr>
                <w:rFonts w:ascii="Verdana" w:hAnsi="Verdana" w:cs="Arial"/>
                <w:color w:val="000000" w:themeColor="text1"/>
              </w:rPr>
              <w:t xml:space="preserve">Para tales efectos, es pertinente señalar que conforme lo dispone la Guía de Creación de Proponentes Plurales en el </w:t>
            </w:r>
            <w:proofErr w:type="spellStart"/>
            <w:r w:rsidRPr="008C03E8">
              <w:rPr>
                <w:rFonts w:ascii="Verdana" w:hAnsi="Verdana" w:cs="Arial"/>
                <w:color w:val="000000" w:themeColor="text1"/>
              </w:rPr>
              <w:t>Secop</w:t>
            </w:r>
            <w:proofErr w:type="spellEnd"/>
            <w:r w:rsidRPr="008C03E8">
              <w:rPr>
                <w:rFonts w:ascii="Verdana" w:hAnsi="Verdana" w:cs="Arial"/>
                <w:color w:val="000000" w:themeColor="text1"/>
              </w:rPr>
              <w:t xml:space="preserve"> II</w:t>
            </w:r>
            <w:r w:rsidRPr="008C03E8">
              <w:t xml:space="preserve"> “</w:t>
            </w:r>
            <w:r w:rsidRPr="008C03E8">
              <w:rPr>
                <w:rFonts w:ascii="Verdana" w:hAnsi="Verdana" w:cs="Arial"/>
                <w:color w:val="000000" w:themeColor="text1"/>
              </w:rPr>
              <w:t xml:space="preserve">Para participar en Procesos de Contratación en el SECOP II como Proponente Plural (ya sea para manifestar interés, enviar observaciones, ofertas o firmar contratos), debe actuar exclusivamente desde su cuenta de Proponente Plural. Cualquier acción realizada desde la cuenta de cualquiera de los integrantes no es válida para el Proponente Plural y quedará a nombre del proponente singular”. Por tanto, </w:t>
            </w:r>
            <w:r w:rsidRPr="008C03E8">
              <w:rPr>
                <w:rFonts w:ascii="Verdana" w:hAnsi="Verdana" w:cs="Arial"/>
                <w:color w:val="000000" w:themeColor="text1"/>
              </w:rPr>
              <w:lastRenderedPageBreak/>
              <w:t xml:space="preserve">para participar en los procesos de contratación el proponente plural deberá actuar directamente desde dicha cuenta. </w:t>
            </w:r>
          </w:p>
          <w:p w14:paraId="7045C0C8" w14:textId="77777777" w:rsidR="004345AB" w:rsidRPr="008C03E8" w:rsidRDefault="004345AB" w:rsidP="00E73D27">
            <w:pPr>
              <w:spacing w:after="120" w:line="276" w:lineRule="auto"/>
              <w:jc w:val="both"/>
              <w:rPr>
                <w:rFonts w:ascii="Verdana" w:hAnsi="Verdana" w:cs="Arial"/>
                <w:bCs/>
                <w:color w:val="000000" w:themeColor="text1"/>
              </w:rPr>
            </w:pPr>
            <w:proofErr w:type="spellStart"/>
            <w:r w:rsidRPr="008C03E8">
              <w:rPr>
                <w:rFonts w:ascii="Verdana" w:eastAsia="Calibri" w:hAnsi="Verdana" w:cs="Arial"/>
              </w:rPr>
              <w:t>ii</w:t>
            </w:r>
            <w:proofErr w:type="spellEnd"/>
            <w:r w:rsidRPr="008C03E8">
              <w:rPr>
                <w:rFonts w:ascii="Verdana" w:eastAsia="Calibri" w:hAnsi="Verdana" w:cs="Arial"/>
              </w:rPr>
              <w:t>. E</w:t>
            </w:r>
            <w:r w:rsidRPr="008C03E8">
              <w:rPr>
                <w:rFonts w:ascii="Verdana" w:eastAsia="Verdana" w:hAnsi="Verdana" w:cs="Verdana"/>
              </w:rPr>
              <w:t xml:space="preserve">s importante resaltar que </w:t>
            </w:r>
            <w:r w:rsidRPr="008C03E8">
              <w:rPr>
                <w:rFonts w:ascii="Verdana" w:eastAsia="Century Gothic" w:hAnsi="Verdana" w:cs="Century Gothic"/>
              </w:rPr>
              <w:t>las causales de rechazo son las establecidas en la ley y las fijadas por la Entidad Estatal en los pliegos de condiciones. N</w:t>
            </w:r>
            <w:r w:rsidRPr="008C03E8">
              <w:rPr>
                <w:rFonts w:ascii="Verdana" w:hAnsi="Verdana" w:cs="Arial"/>
                <w:bCs/>
                <w:color w:val="000000" w:themeColor="text1"/>
              </w:rPr>
              <w:t xml:space="preserve">o existe un impedimento jurídico para que los proponentes puedan presentar ofertas en uno o en varios procesos de contratación. En este sentido, no existe causal en la ley que dé lugar al rechazo en estos supuestos. </w:t>
            </w:r>
          </w:p>
          <w:p w14:paraId="3F01BA95" w14:textId="77777777" w:rsidR="004345AB" w:rsidRPr="008C03E8" w:rsidRDefault="004345AB" w:rsidP="00E73D27">
            <w:pPr>
              <w:spacing w:after="120" w:line="276" w:lineRule="auto"/>
              <w:ind w:firstLine="739"/>
              <w:jc w:val="both"/>
              <w:rPr>
                <w:rFonts w:ascii="Verdana" w:hAnsi="Verdana" w:cs="Arial"/>
                <w:bCs/>
                <w:color w:val="000000" w:themeColor="text1"/>
              </w:rPr>
            </w:pPr>
            <w:r w:rsidRPr="008C03E8">
              <w:rPr>
                <w:rFonts w:ascii="Verdana" w:hAnsi="Verdana" w:cs="Arial"/>
                <w:bCs/>
                <w:color w:val="000000" w:themeColor="text1"/>
              </w:rPr>
              <w:t>Sin embargo, será́ la Entidad Estatal quién determinará en los documentos del proceso las circunstancias que no permitan admitir una propuesta en un proceso de contratación. En el ejercicio de esta facultad, las entidades deben respetar el deber de selección objetiva, de manera que las causales de rechazo que dispongan no impongan barreras injustificadas a la participación, y respondan a principios de proporcionalidad y razonabilidad.</w:t>
            </w:r>
          </w:p>
        </w:tc>
      </w:tr>
    </w:tbl>
    <w:p w14:paraId="342660D6" w14:textId="77777777" w:rsidR="004345AB" w:rsidRPr="008C03E8" w:rsidRDefault="004345AB" w:rsidP="004345AB">
      <w:pPr>
        <w:tabs>
          <w:tab w:val="left" w:pos="142"/>
          <w:tab w:val="left" w:pos="284"/>
        </w:tabs>
        <w:spacing w:after="0" w:line="276" w:lineRule="auto"/>
        <w:jc w:val="both"/>
        <w:rPr>
          <w:rFonts w:ascii="Verdana" w:eastAsia="Century Gothic" w:hAnsi="Verdana" w:cs="Century Gothic"/>
          <w:b/>
          <w:bCs/>
        </w:rPr>
      </w:pPr>
    </w:p>
    <w:bookmarkEnd w:id="2"/>
    <w:p w14:paraId="3F5DC058" w14:textId="77777777" w:rsidR="004345AB" w:rsidRPr="008C03E8" w:rsidRDefault="004345AB" w:rsidP="004345AB">
      <w:pPr>
        <w:numPr>
          <w:ilvl w:val="0"/>
          <w:numId w:val="1"/>
        </w:numPr>
        <w:tabs>
          <w:tab w:val="left" w:pos="142"/>
          <w:tab w:val="left" w:pos="284"/>
        </w:tabs>
        <w:spacing w:after="0" w:line="276" w:lineRule="auto"/>
        <w:jc w:val="both"/>
        <w:rPr>
          <w:rFonts w:ascii="Verdana" w:eastAsia="Century Gothic" w:hAnsi="Verdana" w:cs="Century Gothic"/>
          <w:b/>
          <w:bCs/>
        </w:rPr>
      </w:pPr>
      <w:r w:rsidRPr="008C03E8">
        <w:rPr>
          <w:rFonts w:ascii="Verdana" w:eastAsia="Century Gothic" w:hAnsi="Verdana" w:cs="Century Gothic"/>
          <w:b/>
          <w:bCs/>
        </w:rPr>
        <w:t>Razones de las respuestas:</w:t>
      </w:r>
    </w:p>
    <w:p w14:paraId="0AA8B834" w14:textId="77777777" w:rsidR="004345AB" w:rsidRPr="008C03E8" w:rsidRDefault="004345AB" w:rsidP="004345AB">
      <w:pPr>
        <w:spacing w:after="0" w:line="276" w:lineRule="auto"/>
        <w:jc w:val="both"/>
        <w:rPr>
          <w:rFonts w:ascii="Verdana" w:eastAsia="Calibri" w:hAnsi="Verdana" w:cs="Arial"/>
          <w:color w:val="7030A0"/>
        </w:rPr>
      </w:pPr>
    </w:p>
    <w:p w14:paraId="05AF5A44" w14:textId="77777777" w:rsidR="004345AB" w:rsidRPr="008C03E8" w:rsidRDefault="004345AB" w:rsidP="004345AB">
      <w:pPr>
        <w:spacing w:after="0" w:line="276" w:lineRule="auto"/>
        <w:jc w:val="both"/>
        <w:rPr>
          <w:rFonts w:ascii="Verdana" w:eastAsia="Calibri" w:hAnsi="Verdana" w:cs="Arial"/>
        </w:rPr>
      </w:pPr>
      <w:r w:rsidRPr="008C03E8">
        <w:rPr>
          <w:rFonts w:ascii="Verdana" w:eastAsia="Calibri" w:hAnsi="Verdana" w:cs="Arial"/>
        </w:rPr>
        <w:t>Lo anterior se sustenta en las siguientes consideraciones:</w:t>
      </w:r>
    </w:p>
    <w:p w14:paraId="33269F19" w14:textId="77777777" w:rsidR="004345AB" w:rsidRPr="008C03E8" w:rsidRDefault="004345AB" w:rsidP="004345AB">
      <w:pPr>
        <w:spacing w:after="0" w:line="276" w:lineRule="auto"/>
        <w:jc w:val="both"/>
        <w:rPr>
          <w:rFonts w:ascii="Verdana" w:eastAsia="Calibri" w:hAnsi="Verdana" w:cs="Arial"/>
        </w:rPr>
      </w:pPr>
    </w:p>
    <w:p w14:paraId="6BB244FE" w14:textId="77777777" w:rsidR="004345AB" w:rsidRPr="008C03E8" w:rsidRDefault="004345AB" w:rsidP="004345AB">
      <w:pPr>
        <w:spacing w:before="120" w:after="120" w:line="276" w:lineRule="auto"/>
        <w:jc w:val="both"/>
        <w:rPr>
          <w:rFonts w:ascii="Verdana" w:eastAsia="Calibri" w:hAnsi="Verdana" w:cs="Arial"/>
        </w:rPr>
      </w:pPr>
      <w:r w:rsidRPr="008C03E8">
        <w:rPr>
          <w:rFonts w:ascii="Verdana" w:eastAsia="Calibri" w:hAnsi="Verdana" w:cs="Arial"/>
          <w:color w:val="000000" w:themeColor="text1"/>
        </w:rPr>
        <w:t xml:space="preserve"> </w:t>
      </w:r>
      <w:r w:rsidRPr="008C03E8">
        <w:rPr>
          <w:rFonts w:ascii="Verdana" w:eastAsia="Calibri" w:hAnsi="Verdana" w:cs="Arial"/>
          <w:shd w:val="clear" w:color="auto" w:fill="FFFFFF"/>
        </w:rPr>
        <w:t xml:space="preserve">i. </w:t>
      </w:r>
      <w:r w:rsidRPr="008C03E8">
        <w:rPr>
          <w:rFonts w:ascii="Verdana" w:eastAsia="Calibri" w:hAnsi="Verdana" w:cs="Arial"/>
        </w:rPr>
        <w:t xml:space="preserve">El artículo 6 de la Ley 80 de 1993 señala que pueden celebrar contratos con las Entidades Estatales las personas naturales, las personas jurídicas que tengan dentro de su objeto social actividades relacionadas con el objeto a contratar y, por virtud de la ley, los consorcios y uniones temporales. </w:t>
      </w:r>
    </w:p>
    <w:p w14:paraId="310DA5FB" w14:textId="77777777" w:rsidR="004345AB" w:rsidRPr="008C03E8" w:rsidRDefault="004345AB" w:rsidP="004345AB">
      <w:pPr>
        <w:spacing w:before="120" w:after="120" w:line="276" w:lineRule="auto"/>
        <w:ind w:firstLine="708"/>
        <w:jc w:val="both"/>
        <w:rPr>
          <w:rFonts w:ascii="Verdana" w:eastAsia="Calibri" w:hAnsi="Verdana" w:cs="Arial"/>
          <w:lang w:val="es-MX"/>
        </w:rPr>
      </w:pPr>
      <w:r w:rsidRPr="008C03E8">
        <w:rPr>
          <w:rFonts w:ascii="Verdana" w:eastAsia="Calibri" w:hAnsi="Verdana" w:cs="Arial"/>
          <w:lang w:val="es-MX"/>
        </w:rPr>
        <w:t>La capacidad para contratar y de realizar actos jurídicamente vinculantes, como la presentación de una oferta en un procedimiento de selección de contratistas, se consideró por mucho tiempo uno de los atributos de la personalidad reservado a las personas jurídicas y naturales. No obstante, el progreso en las formas negociales y asociativas hizo necesario reconocer nuevas estructuras plurales y otorgarles atributos que tradicionalmente habían estado reservados a las personas jurídicas. En este sentido, la Corte Constitucional ha sostenido sobre la capacidad para contratar otorgada a los consorcios y uniones temporales:</w:t>
      </w:r>
    </w:p>
    <w:p w14:paraId="73A562A0" w14:textId="77777777" w:rsidR="004345AB" w:rsidRPr="008C03E8" w:rsidRDefault="004345AB" w:rsidP="004345AB">
      <w:pPr>
        <w:spacing w:after="0" w:line="276" w:lineRule="auto"/>
        <w:ind w:firstLine="709"/>
        <w:jc w:val="both"/>
        <w:rPr>
          <w:rFonts w:ascii="Verdana" w:eastAsia="Calibri" w:hAnsi="Verdana" w:cs="Arial"/>
          <w:lang w:val="es-MX"/>
        </w:rPr>
      </w:pPr>
    </w:p>
    <w:p w14:paraId="2AC5892A" w14:textId="77777777" w:rsidR="004345AB" w:rsidRPr="008C03E8" w:rsidRDefault="004345AB" w:rsidP="004345AB">
      <w:pPr>
        <w:spacing w:after="0" w:line="240" w:lineRule="auto"/>
        <w:ind w:left="709" w:right="709"/>
        <w:jc w:val="both"/>
        <w:rPr>
          <w:rFonts w:ascii="Verdana" w:eastAsia="Calibri" w:hAnsi="Verdana" w:cs="Arial"/>
          <w:sz w:val="20"/>
          <w:szCs w:val="20"/>
        </w:rPr>
      </w:pPr>
      <w:r w:rsidRPr="008C03E8">
        <w:rPr>
          <w:rFonts w:ascii="Verdana" w:eastAsia="Calibri" w:hAnsi="Verdana" w:cs="Arial"/>
          <w:sz w:val="20"/>
          <w:szCs w:val="20"/>
        </w:rPr>
        <w:t xml:space="preserve">“Respecto de la capacidad legal para contratar y la personalidad jurídica señala, que la Ley 80 de 1993 al crear las figuras de los consorcios y </w:t>
      </w:r>
      <w:r w:rsidRPr="008C03E8">
        <w:rPr>
          <w:rFonts w:ascii="Verdana" w:eastAsia="Calibri" w:hAnsi="Verdana" w:cs="Arial"/>
          <w:sz w:val="20"/>
          <w:szCs w:val="20"/>
        </w:rPr>
        <w:lastRenderedPageBreak/>
        <w:t>uniones temporales, y construirlas como sujetos de la contratación administrativa, reconoce una realidad del mundo negocial: la necesidad de los contratos de colaboración económica para la efectiva realización de proyectos de contratación pública, altamente especializados e intensivos en capital y, así mismo, indispensables para que el Estado Social de Derecho, cumpla los cometidos para los cuales fue instituido- Preámbulo, artículos 1 y 2 de la Carta Política.</w:t>
      </w:r>
    </w:p>
    <w:p w14:paraId="772BDF9B" w14:textId="77777777" w:rsidR="004345AB" w:rsidRPr="008C03E8" w:rsidRDefault="004345AB" w:rsidP="004345AB">
      <w:pPr>
        <w:spacing w:after="0" w:line="240" w:lineRule="auto"/>
        <w:ind w:left="709" w:right="709"/>
        <w:jc w:val="both"/>
        <w:rPr>
          <w:rFonts w:ascii="Verdana" w:eastAsia="Calibri" w:hAnsi="Verdana" w:cs="Arial"/>
          <w:sz w:val="20"/>
          <w:szCs w:val="20"/>
        </w:rPr>
      </w:pPr>
      <w:r w:rsidRPr="008C03E8">
        <w:rPr>
          <w:rFonts w:ascii="Verdana" w:eastAsia="Calibri" w:hAnsi="Verdana" w:cs="Arial"/>
          <w:sz w:val="20"/>
          <w:szCs w:val="20"/>
        </w:rPr>
        <w:t>[…]</w:t>
      </w:r>
    </w:p>
    <w:p w14:paraId="692E24DB" w14:textId="77777777" w:rsidR="004345AB" w:rsidRPr="008C03E8" w:rsidRDefault="004345AB" w:rsidP="004345AB">
      <w:pPr>
        <w:spacing w:after="0" w:line="240" w:lineRule="auto"/>
        <w:ind w:left="709" w:right="709"/>
        <w:jc w:val="both"/>
        <w:rPr>
          <w:rFonts w:ascii="Verdana" w:eastAsia="Calibri" w:hAnsi="Verdana" w:cs="Arial"/>
          <w:sz w:val="20"/>
          <w:szCs w:val="20"/>
        </w:rPr>
      </w:pPr>
    </w:p>
    <w:p w14:paraId="2A48E6F6" w14:textId="77777777" w:rsidR="004345AB" w:rsidRPr="008C03E8" w:rsidRDefault="004345AB" w:rsidP="004345AB">
      <w:pPr>
        <w:spacing w:after="0" w:line="240" w:lineRule="auto"/>
        <w:ind w:left="709" w:right="709"/>
        <w:jc w:val="both"/>
        <w:rPr>
          <w:rFonts w:ascii="Verdana" w:eastAsia="Calibri" w:hAnsi="Verdana" w:cs="Arial"/>
          <w:sz w:val="20"/>
          <w:szCs w:val="20"/>
        </w:rPr>
      </w:pPr>
      <w:r w:rsidRPr="008C03E8">
        <w:rPr>
          <w:rFonts w:ascii="Verdana" w:eastAsia="Calibri" w:hAnsi="Verdana" w:cs="Arial"/>
          <w:sz w:val="20"/>
          <w:szCs w:val="20"/>
        </w:rPr>
        <w:t>En torno a la capacidad contractual de los consorcios y uniones temporales la jurisprudencia constitucional ha expresado que el Estatuto de contratación les reconoce este atributo sin exigirles como condición de su ejercicio la de ser personas morales. También ha dicho que el consorcio es un convenio de asociación, o mejor, un sistema de mediación que permite a sus miembros organizarse mancomunadamente para la celebración y ejecución de un contrato con el Estado, sin que por ello pierdan su individualidad jurídica, pero asumiendo un grado de responsabilidad solidaria en el cumplimiento de las obligaciones contractuales”</w:t>
      </w:r>
      <w:r w:rsidRPr="008C03E8">
        <w:rPr>
          <w:rFonts w:ascii="Verdana" w:eastAsia="Calibri" w:hAnsi="Verdana" w:cs="Arial"/>
          <w:sz w:val="20"/>
          <w:szCs w:val="20"/>
          <w:vertAlign w:val="superscript"/>
        </w:rPr>
        <w:footnoteReference w:id="2"/>
      </w:r>
      <w:r w:rsidRPr="008C03E8">
        <w:rPr>
          <w:rFonts w:ascii="Verdana" w:eastAsia="Calibri" w:hAnsi="Verdana" w:cs="Arial"/>
          <w:sz w:val="20"/>
          <w:szCs w:val="20"/>
        </w:rPr>
        <w:t>.</w:t>
      </w:r>
    </w:p>
    <w:p w14:paraId="49D13971" w14:textId="77777777" w:rsidR="004345AB" w:rsidRPr="008C03E8" w:rsidRDefault="004345AB" w:rsidP="004345AB">
      <w:pPr>
        <w:spacing w:after="0" w:line="240" w:lineRule="auto"/>
        <w:ind w:left="709" w:right="709"/>
        <w:jc w:val="both"/>
        <w:rPr>
          <w:rFonts w:ascii="Verdana" w:eastAsia="Calibri" w:hAnsi="Verdana" w:cs="Arial"/>
          <w:sz w:val="20"/>
          <w:szCs w:val="20"/>
        </w:rPr>
      </w:pPr>
    </w:p>
    <w:p w14:paraId="7A95883A" w14:textId="77777777" w:rsidR="004345AB" w:rsidRPr="008C03E8" w:rsidRDefault="004345AB" w:rsidP="004345AB">
      <w:pPr>
        <w:spacing w:before="120" w:after="120" w:line="276" w:lineRule="auto"/>
        <w:ind w:firstLine="708"/>
        <w:jc w:val="both"/>
        <w:rPr>
          <w:rFonts w:ascii="Verdana" w:eastAsia="Calibri" w:hAnsi="Verdana"/>
        </w:rPr>
      </w:pPr>
      <w:r w:rsidRPr="008C03E8">
        <w:rPr>
          <w:rFonts w:ascii="Verdana" w:eastAsia="Calibri" w:hAnsi="Verdana"/>
        </w:rPr>
        <w:t>De un lado, la Corte Constitucional destaca que las estructuras plurales son el reconocimiento de una realidad negocial en materia de contratación estatal, de otro, resalta que esta colaboración económica entre sujetos de derecho permite la materialización de los fines del estado, al facilitar la efectiva ejecución de los contratos. Adicionalmente, puntualiza que la capacidad contractual de los consorcios y uniones temporales se reconoce sin necesidad de exigirles como condición de su ejercicio que sean personas morales.</w:t>
      </w:r>
    </w:p>
    <w:p w14:paraId="559813A7" w14:textId="77777777" w:rsidR="004345AB" w:rsidRPr="008C03E8" w:rsidRDefault="004345AB" w:rsidP="004345AB">
      <w:pPr>
        <w:spacing w:before="120" w:after="120" w:line="276" w:lineRule="auto"/>
        <w:ind w:firstLine="708"/>
        <w:jc w:val="both"/>
        <w:rPr>
          <w:rFonts w:ascii="Verdana" w:eastAsia="Calibri" w:hAnsi="Verdana" w:cs="Arial"/>
        </w:rPr>
      </w:pPr>
      <w:r w:rsidRPr="008C03E8">
        <w:rPr>
          <w:rFonts w:ascii="Verdana" w:eastAsia="Calibri" w:hAnsi="Verdana" w:cs="Arial"/>
        </w:rPr>
        <w:t>En línea con lo anterior, los consorcios y las uniones temporales no son personas jurídicas, pero su creación depende de un acuerdo en el que concurre la voluntad de sus integrantes para determinar su objeto, la participación de los miembros, las obligaciones frente al proyecto, su responsabilidad, la forma en que regirán sus relaciones internas y el relacionamiento con la entidad contratante, mediante la designación de un representante. Al respecto, el parágrafo 1 del artículo 7 de la Ley 80 de 1993 dispone que:</w:t>
      </w:r>
    </w:p>
    <w:p w14:paraId="4636CDCD" w14:textId="77777777" w:rsidR="004345AB" w:rsidRPr="008C03E8" w:rsidRDefault="004345AB" w:rsidP="004345AB">
      <w:pPr>
        <w:spacing w:after="0" w:line="276" w:lineRule="auto"/>
        <w:ind w:firstLine="709"/>
        <w:jc w:val="both"/>
        <w:rPr>
          <w:rFonts w:ascii="Verdana" w:eastAsia="Calibri" w:hAnsi="Verdana" w:cs="Arial"/>
        </w:rPr>
      </w:pPr>
    </w:p>
    <w:p w14:paraId="3F820D09" w14:textId="77777777" w:rsidR="004345AB" w:rsidRPr="008C03E8" w:rsidRDefault="004345AB" w:rsidP="004345AB">
      <w:pPr>
        <w:spacing w:after="0" w:line="240" w:lineRule="auto"/>
        <w:ind w:left="709" w:right="616"/>
        <w:contextualSpacing/>
        <w:jc w:val="both"/>
        <w:rPr>
          <w:rFonts w:ascii="Verdana" w:eastAsia="Calibri" w:hAnsi="Verdana" w:cs="Arial"/>
          <w:sz w:val="20"/>
          <w:szCs w:val="20"/>
          <w:lang w:val="es-MX"/>
        </w:rPr>
      </w:pPr>
      <w:r w:rsidRPr="008C03E8">
        <w:rPr>
          <w:rFonts w:ascii="Verdana" w:eastAsia="Calibri" w:hAnsi="Verdana" w:cs="Arial"/>
          <w:bCs/>
          <w:color w:val="000000" w:themeColor="text1"/>
          <w:sz w:val="20"/>
          <w:szCs w:val="20"/>
          <w:lang w:val="es-MX"/>
        </w:rPr>
        <w:t>“</w:t>
      </w:r>
      <w:r w:rsidRPr="008C03E8">
        <w:rPr>
          <w:rFonts w:ascii="Verdana" w:eastAsia="Calibri" w:hAnsi="Verdana" w:cs="Arial"/>
          <w:sz w:val="20"/>
          <w:szCs w:val="20"/>
          <w:lang w:val="es-MX"/>
        </w:rPr>
        <w:t xml:space="preserve">Para los efectos de esta Ley se entiende </w:t>
      </w:r>
      <w:proofErr w:type="gramStart"/>
      <w:r w:rsidRPr="008C03E8">
        <w:rPr>
          <w:rFonts w:ascii="Verdana" w:eastAsia="Calibri" w:hAnsi="Verdana" w:cs="Arial"/>
          <w:sz w:val="20"/>
          <w:szCs w:val="20"/>
          <w:lang w:val="es-MX"/>
        </w:rPr>
        <w:t>por:[</w:t>
      </w:r>
      <w:proofErr w:type="gramEnd"/>
      <w:r w:rsidRPr="008C03E8">
        <w:rPr>
          <w:rFonts w:ascii="Verdana" w:eastAsia="Calibri" w:hAnsi="Verdana" w:cs="Arial"/>
          <w:sz w:val="20"/>
          <w:szCs w:val="20"/>
          <w:lang w:val="es-MX"/>
        </w:rPr>
        <w:t>…]</w:t>
      </w:r>
    </w:p>
    <w:p w14:paraId="7B3AEAC2" w14:textId="77777777" w:rsidR="004345AB" w:rsidRPr="008C03E8" w:rsidRDefault="004345AB" w:rsidP="004345AB">
      <w:pPr>
        <w:spacing w:after="0" w:line="240" w:lineRule="auto"/>
        <w:ind w:left="709" w:right="616"/>
        <w:contextualSpacing/>
        <w:jc w:val="both"/>
        <w:rPr>
          <w:rFonts w:ascii="Verdana" w:eastAsia="Calibri" w:hAnsi="Verdana" w:cs="Arial"/>
          <w:sz w:val="20"/>
          <w:szCs w:val="20"/>
          <w:lang w:val="es-MX"/>
        </w:rPr>
      </w:pPr>
    </w:p>
    <w:p w14:paraId="1E4D022D" w14:textId="77777777" w:rsidR="004345AB" w:rsidRPr="008C03E8" w:rsidRDefault="004345AB" w:rsidP="004345AB">
      <w:pPr>
        <w:spacing w:after="120" w:line="240" w:lineRule="auto"/>
        <w:ind w:left="709" w:right="616"/>
        <w:contextualSpacing/>
        <w:jc w:val="both"/>
        <w:rPr>
          <w:rFonts w:ascii="Verdana" w:eastAsia="Calibri" w:hAnsi="Verdana" w:cs="Arial"/>
          <w:sz w:val="20"/>
          <w:szCs w:val="20"/>
          <w:lang w:val="es-MX"/>
        </w:rPr>
      </w:pPr>
      <w:r w:rsidRPr="008C03E8">
        <w:rPr>
          <w:rFonts w:ascii="Verdana" w:eastAsia="Calibri" w:hAnsi="Verdana" w:cs="Arial"/>
          <w:sz w:val="20"/>
          <w:szCs w:val="20"/>
          <w:lang w:val="es-MX"/>
        </w:rPr>
        <w:lastRenderedPageBreak/>
        <w:t>6. Consorcio: Cuando dos o más personas en forma conjunta presentan una misma propuesta para la adjudicación, celebración y ejecución de un contrato, respondiendo solidariamente de todas y cada una de las obligaciones derivadas de la propuesta y del contrato. En consecuencia, las actuaciones, hechos y omisiones que se presenten en desarrollo de la propuesta y del contrato, afectarán a todos los miembros que lo conforman.</w:t>
      </w:r>
    </w:p>
    <w:p w14:paraId="0B5928D4" w14:textId="77777777" w:rsidR="004345AB" w:rsidRPr="008C03E8" w:rsidRDefault="004345AB" w:rsidP="004345AB">
      <w:pPr>
        <w:spacing w:after="120" w:line="240" w:lineRule="auto"/>
        <w:ind w:left="709" w:right="616"/>
        <w:contextualSpacing/>
        <w:jc w:val="both"/>
        <w:rPr>
          <w:rFonts w:ascii="Verdana" w:eastAsia="Calibri" w:hAnsi="Verdana" w:cs="Arial"/>
          <w:sz w:val="20"/>
          <w:szCs w:val="20"/>
          <w:lang w:val="es-MX"/>
        </w:rPr>
      </w:pPr>
    </w:p>
    <w:p w14:paraId="7680147F" w14:textId="77777777" w:rsidR="004345AB" w:rsidRPr="008C03E8" w:rsidRDefault="004345AB" w:rsidP="004345AB">
      <w:pPr>
        <w:spacing w:after="0" w:line="240" w:lineRule="auto"/>
        <w:ind w:left="709" w:right="616"/>
        <w:contextualSpacing/>
        <w:jc w:val="both"/>
        <w:rPr>
          <w:rFonts w:ascii="Verdana" w:eastAsia="Calibri" w:hAnsi="Verdana" w:cs="Arial"/>
          <w:sz w:val="20"/>
          <w:szCs w:val="20"/>
          <w:lang w:val="es-MX"/>
        </w:rPr>
      </w:pPr>
      <w:r w:rsidRPr="008C03E8">
        <w:rPr>
          <w:rFonts w:ascii="Verdana" w:eastAsia="Calibri" w:hAnsi="Verdana" w:cs="Arial"/>
          <w:sz w:val="20"/>
          <w:szCs w:val="20"/>
          <w:lang w:val="es-MX"/>
        </w:rPr>
        <w:t>7. Unión Temporal: Cuando dos o más personas en forma conjunta presentan una misma propuesta para la adjudicación, celebración y ejecución de un contrato, respondiendo solidariamente por el cumplimiento total de la propuesta y del objeto contratado, pero las sanciones por el incumplimiento de las obligaciones derivadas de la propuesta y del contrato se impondrán de acuerdo con la participación en la ejecución de cada uno de los miembros de la unión temporal. </w:t>
      </w:r>
    </w:p>
    <w:p w14:paraId="2A9F30EB" w14:textId="77777777" w:rsidR="004345AB" w:rsidRPr="008C03E8" w:rsidRDefault="004345AB" w:rsidP="004345AB">
      <w:pPr>
        <w:spacing w:after="0" w:line="240" w:lineRule="auto"/>
        <w:ind w:left="709" w:right="616"/>
        <w:contextualSpacing/>
        <w:jc w:val="both"/>
        <w:rPr>
          <w:rFonts w:ascii="Verdana" w:eastAsia="Calibri" w:hAnsi="Verdana" w:cs="Arial"/>
          <w:bCs/>
          <w:color w:val="000000" w:themeColor="text1"/>
          <w:sz w:val="20"/>
          <w:szCs w:val="20"/>
          <w:lang w:val="es-MX"/>
        </w:rPr>
      </w:pPr>
      <w:r w:rsidRPr="008C03E8">
        <w:rPr>
          <w:rFonts w:ascii="Verdana" w:eastAsia="Calibri" w:hAnsi="Verdana" w:cs="Arial"/>
          <w:bCs/>
          <w:color w:val="000000" w:themeColor="text1"/>
          <w:sz w:val="20"/>
          <w:szCs w:val="20"/>
          <w:lang w:val="es-MX"/>
        </w:rPr>
        <w:t>[…]</w:t>
      </w:r>
    </w:p>
    <w:p w14:paraId="382466B0" w14:textId="77777777" w:rsidR="004345AB" w:rsidRPr="008C03E8" w:rsidRDefault="004345AB" w:rsidP="004345AB">
      <w:pPr>
        <w:spacing w:after="0" w:line="240" w:lineRule="auto"/>
        <w:ind w:left="709" w:right="616"/>
        <w:contextualSpacing/>
        <w:jc w:val="both"/>
        <w:rPr>
          <w:rFonts w:ascii="Verdana" w:eastAsia="Calibri" w:hAnsi="Verdana" w:cs="Arial"/>
          <w:bCs/>
          <w:color w:val="000000" w:themeColor="text1"/>
          <w:sz w:val="20"/>
          <w:szCs w:val="20"/>
          <w:lang w:val="es-MX"/>
        </w:rPr>
      </w:pPr>
    </w:p>
    <w:p w14:paraId="67843411" w14:textId="77777777" w:rsidR="004345AB" w:rsidRPr="008C03E8" w:rsidRDefault="004345AB" w:rsidP="004345AB">
      <w:pPr>
        <w:spacing w:after="0" w:line="240" w:lineRule="auto"/>
        <w:ind w:left="709" w:right="616"/>
        <w:contextualSpacing/>
        <w:jc w:val="both"/>
        <w:rPr>
          <w:rFonts w:ascii="Verdana" w:eastAsia="Calibri" w:hAnsi="Verdana" w:cs="Arial"/>
          <w:bCs/>
          <w:color w:val="000000" w:themeColor="text1"/>
          <w:sz w:val="20"/>
          <w:szCs w:val="20"/>
          <w:lang w:val="es-MX"/>
        </w:rPr>
      </w:pPr>
      <w:r w:rsidRPr="008C03E8">
        <w:rPr>
          <w:rFonts w:ascii="Verdana" w:eastAsia="Calibri" w:hAnsi="Verdana" w:cs="Arial"/>
          <w:bCs/>
          <w:color w:val="000000" w:themeColor="text1"/>
          <w:sz w:val="20"/>
          <w:szCs w:val="20"/>
          <w:lang w:val="es-MX"/>
        </w:rPr>
        <w:t>Parágrafo 1º.- Los proponentes indicarán si su participación es a título de consorcio o unión temporal y, en este último caso, señalarán los términos y extensión de la participación en la propuesta y en su ejecución, los cuales no podrán ser modificados sin el consentimiento previo de la entidad estatal contratante.</w:t>
      </w:r>
    </w:p>
    <w:p w14:paraId="55CE70FA" w14:textId="77777777" w:rsidR="004345AB" w:rsidRPr="008C03E8" w:rsidRDefault="004345AB" w:rsidP="004345AB">
      <w:pPr>
        <w:spacing w:after="0" w:line="240" w:lineRule="auto"/>
        <w:ind w:left="709" w:right="616"/>
        <w:contextualSpacing/>
        <w:jc w:val="both"/>
        <w:rPr>
          <w:rFonts w:ascii="Verdana" w:eastAsia="Calibri" w:hAnsi="Verdana" w:cs="Arial"/>
          <w:bCs/>
          <w:color w:val="000000" w:themeColor="text1"/>
          <w:sz w:val="20"/>
          <w:szCs w:val="20"/>
          <w:lang w:val="es-MX"/>
        </w:rPr>
      </w:pPr>
    </w:p>
    <w:p w14:paraId="6BD109E0" w14:textId="77777777" w:rsidR="004345AB" w:rsidRPr="008C03E8" w:rsidRDefault="004345AB" w:rsidP="004345AB">
      <w:pPr>
        <w:spacing w:after="0" w:line="240" w:lineRule="auto"/>
        <w:ind w:left="709" w:right="616"/>
        <w:contextualSpacing/>
        <w:jc w:val="both"/>
        <w:rPr>
          <w:rFonts w:ascii="Verdana" w:eastAsia="Calibri" w:hAnsi="Verdana" w:cs="Arial"/>
          <w:bCs/>
          <w:color w:val="000000" w:themeColor="text1"/>
          <w:sz w:val="20"/>
          <w:szCs w:val="20"/>
          <w:lang w:val="es-MX"/>
        </w:rPr>
      </w:pPr>
      <w:r w:rsidRPr="008C03E8">
        <w:rPr>
          <w:rFonts w:ascii="Verdana" w:eastAsia="Calibri" w:hAnsi="Verdana" w:cs="Arial"/>
          <w:bCs/>
          <w:color w:val="000000" w:themeColor="text1"/>
          <w:sz w:val="20"/>
          <w:szCs w:val="20"/>
          <w:lang w:val="es-MX"/>
        </w:rPr>
        <w:t>Los miembros del consorcio y de la unión temporal deberán designar la persona que, para todos los efectos, representará al consorcio o unión temporal y señalarán las reglas básicas que regulen las relaciones entre ellos y su responsabilidad.</w:t>
      </w:r>
    </w:p>
    <w:p w14:paraId="4D74B529" w14:textId="77777777" w:rsidR="004345AB" w:rsidRPr="008C03E8" w:rsidRDefault="004345AB" w:rsidP="004345AB">
      <w:pPr>
        <w:spacing w:after="0" w:line="240" w:lineRule="auto"/>
        <w:ind w:left="709" w:right="616"/>
        <w:contextualSpacing/>
        <w:jc w:val="both"/>
        <w:rPr>
          <w:rFonts w:ascii="Verdana" w:eastAsia="Calibri" w:hAnsi="Verdana" w:cs="Arial"/>
          <w:sz w:val="20"/>
          <w:szCs w:val="20"/>
          <w:lang w:val="es-MX"/>
        </w:rPr>
      </w:pPr>
      <w:r w:rsidRPr="008C03E8">
        <w:rPr>
          <w:rFonts w:ascii="Verdana" w:eastAsia="Calibri" w:hAnsi="Verdana" w:cs="Arial"/>
          <w:bCs/>
          <w:color w:val="000000" w:themeColor="text1"/>
          <w:sz w:val="20"/>
          <w:szCs w:val="20"/>
          <w:lang w:val="es-MX"/>
        </w:rPr>
        <w:t>[…]”.</w:t>
      </w:r>
    </w:p>
    <w:p w14:paraId="1156B732" w14:textId="77777777" w:rsidR="004345AB" w:rsidRPr="008C03E8" w:rsidRDefault="004345AB" w:rsidP="004345AB">
      <w:pPr>
        <w:spacing w:after="0" w:line="276" w:lineRule="auto"/>
        <w:ind w:firstLine="709"/>
        <w:jc w:val="both"/>
        <w:rPr>
          <w:rFonts w:ascii="Verdana" w:eastAsia="Calibri" w:hAnsi="Verdana" w:cs="Arial"/>
          <w:sz w:val="20"/>
          <w:szCs w:val="20"/>
        </w:rPr>
      </w:pPr>
    </w:p>
    <w:p w14:paraId="46BEAFB6" w14:textId="77777777" w:rsidR="004345AB" w:rsidRPr="008C03E8" w:rsidRDefault="004345AB" w:rsidP="004345AB">
      <w:pPr>
        <w:spacing w:after="120" w:line="276" w:lineRule="auto"/>
        <w:ind w:firstLine="708"/>
        <w:jc w:val="both"/>
        <w:rPr>
          <w:rFonts w:ascii="Verdana" w:hAnsi="Verdana" w:cs="Arial"/>
          <w:color w:val="000000" w:themeColor="text1"/>
        </w:rPr>
      </w:pPr>
      <w:r w:rsidRPr="008C03E8">
        <w:rPr>
          <w:rFonts w:ascii="Verdana" w:hAnsi="Verdana" w:cs="Arial"/>
          <w:color w:val="000000" w:themeColor="text1"/>
        </w:rPr>
        <w:t xml:space="preserve">Como se observa, el artículo citado señala que el consorcio o la unión temporal se da “Cuando dos o más personas en forma conjunta presentan una misma propuesta para la adjudicación, celebración y ejecución de un contrato […]”. Desde esta perspectiva, su capacidad para participar en la adjudicación, celebración y ejecución de los contratos estatales depende de que los integrantes de la estructura plural adopten la decisión conjunta de presentar una misma propuesta al proceso de selección. Como existe una relación de medio – fin, sin la entrega de la oferta no surge la habilitación legal para todo lo demás. </w:t>
      </w:r>
    </w:p>
    <w:p w14:paraId="1C67BBF3" w14:textId="77777777" w:rsidR="004345AB" w:rsidRPr="008C03E8" w:rsidRDefault="004345AB" w:rsidP="004345AB">
      <w:pPr>
        <w:spacing w:after="120" w:line="276" w:lineRule="auto"/>
        <w:ind w:firstLine="708"/>
        <w:jc w:val="both"/>
        <w:rPr>
          <w:rFonts w:ascii="Verdana" w:hAnsi="Verdana" w:cs="Arial"/>
          <w:color w:val="000000" w:themeColor="text1"/>
        </w:rPr>
      </w:pPr>
      <w:r w:rsidRPr="008C03E8">
        <w:rPr>
          <w:rFonts w:ascii="Verdana" w:hAnsi="Verdana" w:cs="Arial"/>
          <w:color w:val="000000" w:themeColor="text1"/>
        </w:rPr>
        <w:t xml:space="preserve">De esta manera, los consorcios o uniones temporales son convenios de asociación provenientes de la colaboración empresarial, mediante los cuales sus integrantes se unen y se organizan mancomunadamente para lograr con mayor eficacia un fin común de contenido patrimonial y lucrativo, como lo es la obtención del derecho a ser adjudicatarios de un contrato estatal, compartiendo recursos, de toda índole, para su ejecución, así como las utilidades y los riesgos. </w:t>
      </w:r>
      <w:r w:rsidRPr="008C03E8">
        <w:rPr>
          <w:rFonts w:ascii="Verdana" w:hAnsi="Verdana" w:cs="Arial"/>
          <w:color w:val="000000" w:themeColor="text1"/>
        </w:rPr>
        <w:lastRenderedPageBreak/>
        <w:t xml:space="preserve">La diferencia radica en la responsabilidad frente a las eventuales sanciones por el incumplimiento de las obligaciones, toda vez que tratándose de una unión temporal, estas se individualizan según la participación de sus miembros, mientras que en el consorcio los miembros responden solidariamente, con independencia de este aspecto.   </w:t>
      </w:r>
    </w:p>
    <w:p w14:paraId="52A22328" w14:textId="77777777" w:rsidR="004345AB" w:rsidRPr="008C03E8" w:rsidRDefault="004345AB" w:rsidP="004345AB">
      <w:pPr>
        <w:spacing w:after="120" w:line="276" w:lineRule="auto"/>
        <w:ind w:firstLine="708"/>
        <w:jc w:val="both"/>
        <w:rPr>
          <w:rFonts w:ascii="Verdana" w:hAnsi="Verdana" w:cs="Arial"/>
          <w:color w:val="000000" w:themeColor="text1"/>
        </w:rPr>
      </w:pPr>
      <w:r w:rsidRPr="008C03E8">
        <w:rPr>
          <w:rFonts w:ascii="Verdana" w:hAnsi="Verdana" w:cs="Arial"/>
          <w:color w:val="000000" w:themeColor="text1"/>
        </w:rPr>
        <w:t xml:space="preserve">Ahora bien, es importante señalar que mediante concepto unificado CU-636 del 2 de julio de 2025 se alineó el criterio de esta Subdirección en torno a la posibilidad de que los proponentes plurales puedan </w:t>
      </w:r>
      <w:r w:rsidRPr="008C03E8">
        <w:rPr>
          <w:rFonts w:ascii="Verdana" w:eastAsia="Century Gothic" w:hAnsi="Verdana" w:cs="Century Gothic"/>
        </w:rPr>
        <w:t>participar en varios procesos de contratación pública</w:t>
      </w:r>
      <w:r w:rsidRPr="008C03E8">
        <w:rPr>
          <w:rFonts w:ascii="Verdana" w:hAnsi="Verdana" w:cs="Arial"/>
          <w:color w:val="000000" w:themeColor="text1"/>
        </w:rPr>
        <w:t>, para lo cual se expusieron las distintas posturas sobre este tema. Así, se hizo referencia al concepto C-627 del 7 de octubre de 2024, en el cual según la tesis de esta Subdirección no era posible que estos proponentes participaran en varios procesos debido a que “</w:t>
      </w:r>
      <w:r w:rsidRPr="008C03E8">
        <w:rPr>
          <w:rFonts w:ascii="Verdana" w:eastAsia="Calibri" w:hAnsi="Verdana" w:cs="Arial"/>
        </w:rPr>
        <w:t xml:space="preserve">la definición de estos convenios hace especial precisión en que la creación de estos tiene un fin claro y es la facultad de ser adjudicatarios de un contrato estatal”. </w:t>
      </w:r>
    </w:p>
    <w:p w14:paraId="312B931E" w14:textId="77777777" w:rsidR="004345AB" w:rsidRPr="008C03E8" w:rsidRDefault="004345AB" w:rsidP="004345AB">
      <w:pPr>
        <w:spacing w:after="120" w:line="276" w:lineRule="auto"/>
        <w:ind w:firstLine="708"/>
        <w:jc w:val="both"/>
        <w:rPr>
          <w:rFonts w:ascii="Verdana" w:eastAsia="Calibri" w:hAnsi="Verdana" w:cs="Arial"/>
        </w:rPr>
      </w:pPr>
      <w:r w:rsidRPr="008C03E8">
        <w:rPr>
          <w:rFonts w:ascii="Verdana" w:hAnsi="Verdana" w:cs="Arial"/>
          <w:color w:val="000000" w:themeColor="text1"/>
        </w:rPr>
        <w:t>De igual forma, se explicó la postura incluida en el concepto C-727 del 28 de octubre de 2024, reiterada en los conceptos C-805 del 25 de noviembre de 2024, C-016 del 11 de febrero de 2025, C-046 del 30 de enero de 2025, C-226 del 26 de marzo de 2025 y C-295 del 15 de abril de 2025, en la que se cambió la postura del concepto C-627 del 7 de octubre de 2024, al determinar la viabilidad jurídica para que</w:t>
      </w:r>
      <w:r w:rsidRPr="008C03E8">
        <w:rPr>
          <w:rFonts w:ascii="Verdana" w:eastAsia="Calibri" w:hAnsi="Verdana" w:cs="Arial"/>
          <w:lang w:val="es-ES" w:eastAsia="es-ES"/>
        </w:rPr>
        <w:t xml:space="preserve"> los</w:t>
      </w:r>
      <w:r w:rsidRPr="008C03E8">
        <w:rPr>
          <w:rFonts w:ascii="Verdana" w:hAnsi="Verdana" w:cs="Arial"/>
          <w:color w:val="000000" w:themeColor="text1"/>
        </w:rPr>
        <w:t xml:space="preserve"> proponentes plurales presenten propuestas para la adjudicación, celebración y ejecución de contratos estatales con una o varias entidades. El argumento que apoya esta tesis se sustenta en que, de acuerdo con lo señalado en </w:t>
      </w:r>
      <w:bookmarkStart w:id="3" w:name="_Hlk202125829"/>
      <w:r w:rsidRPr="008C03E8">
        <w:rPr>
          <w:rFonts w:ascii="Verdana" w:hAnsi="Verdana" w:cs="Arial"/>
          <w:color w:val="000000" w:themeColor="text1"/>
        </w:rPr>
        <w:t>los numerales 6 y 7 del artículo 7 de la Ley 80 de 1993</w:t>
      </w:r>
      <w:bookmarkEnd w:id="3"/>
      <w:r w:rsidRPr="008C03E8">
        <w:rPr>
          <w:rFonts w:ascii="Verdana" w:hAnsi="Verdana" w:cs="Arial"/>
          <w:color w:val="000000" w:themeColor="text1"/>
        </w:rPr>
        <w:t xml:space="preserve">, la capacidad de los consorcios y uniones temporales para participar en la adjudicación, celebración y ejecución de </w:t>
      </w:r>
      <w:r w:rsidRPr="008C03E8">
        <w:rPr>
          <w:rFonts w:ascii="Verdana" w:hAnsi="Verdana" w:cs="Arial"/>
          <w:i/>
          <w:iCs/>
          <w:color w:val="000000" w:themeColor="text1"/>
        </w:rPr>
        <w:t xml:space="preserve">uno o varios </w:t>
      </w:r>
      <w:r w:rsidRPr="008C03E8">
        <w:rPr>
          <w:rFonts w:ascii="Verdana" w:hAnsi="Verdana" w:cs="Arial"/>
          <w:color w:val="000000" w:themeColor="text1"/>
        </w:rPr>
        <w:t xml:space="preserve">contratos estatales dependerá de dos aspectos: “i) que los integrantes de la estructural plural adopten la decisión conjunta de presentar una misma propuesta al proceso de selección; y </w:t>
      </w:r>
      <w:proofErr w:type="spellStart"/>
      <w:r w:rsidRPr="008C03E8">
        <w:rPr>
          <w:rFonts w:ascii="Verdana" w:hAnsi="Verdana" w:cs="Arial"/>
          <w:color w:val="000000" w:themeColor="text1"/>
        </w:rPr>
        <w:t>ii</w:t>
      </w:r>
      <w:proofErr w:type="spellEnd"/>
      <w:r w:rsidRPr="008C03E8">
        <w:rPr>
          <w:rFonts w:ascii="Verdana" w:hAnsi="Verdana" w:cs="Arial"/>
          <w:color w:val="000000" w:themeColor="text1"/>
        </w:rPr>
        <w:t xml:space="preserve">) que el objeto del consorcio o unión temporal se encuentre alineado con las actividades a desarrollar en un determinado proceso”. Así, </w:t>
      </w:r>
      <w:r w:rsidRPr="008C03E8">
        <w:rPr>
          <w:rFonts w:ascii="Verdana" w:eastAsia="Calibri" w:hAnsi="Verdana" w:cs="Arial"/>
        </w:rPr>
        <w:t>no existe impedimento o prohibición alguna que limite la actividad de los consorcios o uniones temporales a un solo contrato.</w:t>
      </w:r>
    </w:p>
    <w:p w14:paraId="6FB7BAB7" w14:textId="77777777" w:rsidR="004345AB" w:rsidRPr="008C03E8" w:rsidRDefault="004345AB" w:rsidP="004345AB">
      <w:pPr>
        <w:spacing w:after="120" w:line="276" w:lineRule="auto"/>
        <w:ind w:firstLine="709"/>
        <w:jc w:val="both"/>
        <w:rPr>
          <w:rFonts w:ascii="Verdana" w:hAnsi="Verdana" w:cs="Arial"/>
          <w:color w:val="000000" w:themeColor="text1"/>
        </w:rPr>
      </w:pPr>
      <w:r w:rsidRPr="008C03E8">
        <w:rPr>
          <w:rFonts w:ascii="Verdana" w:hAnsi="Verdana" w:cs="Arial"/>
          <w:color w:val="000000" w:themeColor="text1"/>
        </w:rPr>
        <w:t xml:space="preserve">En este contexto, conforme se explica en el CU-636 del 2 de julio de 2025, </w:t>
      </w:r>
      <w:r w:rsidRPr="008C03E8">
        <w:rPr>
          <w:rFonts w:ascii="Verdana" w:hAnsi="Verdana" w:cs="Arial"/>
          <w:szCs w:val="24"/>
          <w:lang w:eastAsia="es-ES_tradnl"/>
        </w:rPr>
        <w:t xml:space="preserve">esta Subdirección considera que la interpretación más adecuada se alinea con la posición expuesta en los conceptos </w:t>
      </w:r>
      <w:r w:rsidRPr="008C03E8">
        <w:rPr>
          <w:rFonts w:ascii="Verdana" w:hAnsi="Verdana" w:cs="Arial"/>
          <w:color w:val="000000" w:themeColor="text1"/>
        </w:rPr>
        <w:t xml:space="preserve">C-727 del 28 de octubre de 2024, C-016 del 11 de febrero de 2025, C-046 del 30 de enero de 2025, C-226 del 26 de marzo </w:t>
      </w:r>
      <w:r w:rsidRPr="008C03E8">
        <w:rPr>
          <w:rFonts w:ascii="Verdana" w:hAnsi="Verdana" w:cs="Arial"/>
          <w:color w:val="000000" w:themeColor="text1"/>
        </w:rPr>
        <w:lastRenderedPageBreak/>
        <w:t xml:space="preserve">de 2025 y C-295 del 15 de abril de 2025, en el sentido de indicar que </w:t>
      </w:r>
      <w:r w:rsidRPr="008C03E8">
        <w:rPr>
          <w:rFonts w:ascii="Verdana" w:hAnsi="Verdana" w:cs="Arial"/>
          <w:szCs w:val="24"/>
          <w:lang w:eastAsia="es-ES_tradnl"/>
        </w:rPr>
        <w:t xml:space="preserve">es </w:t>
      </w:r>
      <w:r w:rsidRPr="008C03E8">
        <w:rPr>
          <w:rFonts w:ascii="Verdana" w:hAnsi="Verdana" w:cs="Arial"/>
          <w:color w:val="000000" w:themeColor="text1"/>
        </w:rPr>
        <w:t xml:space="preserve">jurídicamente viable que los proponentes plurales presenten propuestas para la adjudicación, celebración y ejecución de contratos estatales con </w:t>
      </w:r>
      <w:r w:rsidRPr="008C03E8">
        <w:rPr>
          <w:rFonts w:ascii="Verdana" w:hAnsi="Verdana" w:cs="Arial"/>
          <w:i/>
          <w:iCs/>
          <w:color w:val="000000" w:themeColor="text1"/>
        </w:rPr>
        <w:t>una o varias</w:t>
      </w:r>
      <w:r w:rsidRPr="008C03E8">
        <w:rPr>
          <w:rFonts w:ascii="Verdana" w:hAnsi="Verdana" w:cs="Arial"/>
          <w:color w:val="000000" w:themeColor="text1"/>
        </w:rPr>
        <w:t xml:space="preserve"> entidades, lo anterior, en concordancia con el cumplimiento de los supuestos previamente descritos. En ese orden, las ofertas serán analizadas de acuerdo con los criterios habilitantes y factores de evaluación del pliego de condiciones o documento equivalente, en el marco de las reglas previstas en el Estatuto General de Contratación, sus normas complementarias y los reglamentos respectivos. </w:t>
      </w:r>
    </w:p>
    <w:p w14:paraId="7682EFFE" w14:textId="77777777" w:rsidR="004345AB" w:rsidRPr="008C03E8" w:rsidRDefault="004345AB" w:rsidP="004345AB">
      <w:pPr>
        <w:spacing w:after="120" w:line="276" w:lineRule="auto"/>
        <w:ind w:firstLine="708"/>
        <w:jc w:val="both"/>
        <w:rPr>
          <w:rFonts w:ascii="Verdana" w:eastAsia="Calibri" w:hAnsi="Verdana" w:cs="Arial"/>
        </w:rPr>
      </w:pPr>
      <w:r w:rsidRPr="008C03E8">
        <w:rPr>
          <w:rFonts w:ascii="Verdana" w:eastAsia="Calibri" w:hAnsi="Verdana" w:cs="Arial"/>
        </w:rPr>
        <w:t xml:space="preserve">En efecto, esta interpretación es la que más se ajusta al contenido de </w:t>
      </w:r>
      <w:r w:rsidRPr="008C03E8">
        <w:rPr>
          <w:rFonts w:ascii="Verdana" w:hAnsi="Verdana" w:cs="Arial"/>
          <w:color w:val="000000" w:themeColor="text1"/>
        </w:rPr>
        <w:t>los numerales 6 y 7 del artículo 7 de la Ley 80 de 1993</w:t>
      </w:r>
      <w:r w:rsidRPr="008C03E8">
        <w:rPr>
          <w:rFonts w:ascii="Verdana" w:eastAsia="Calibri" w:hAnsi="Verdana" w:cs="Arial"/>
        </w:rPr>
        <w:t>, en la medida en que en estos no se establece ninguna limitación respecto al número de contratos en los que un consorcio o unión temporal puede participar. Lo anterior, en armonía con la libertad de asociación de los consorcios y uniones temporales que permite que estos se puedan organizar libremente y acordar participar en más de un proceso contractual, mientras cumplan los requisitos legales. Aceptar la tesis contraría, implicaría aplicar una limitación de su participación restringiendo sin sustento legal su libertad de asociación y contratación.</w:t>
      </w:r>
    </w:p>
    <w:p w14:paraId="183DEAAC" w14:textId="77777777" w:rsidR="004345AB" w:rsidRPr="008C03E8" w:rsidRDefault="004345AB" w:rsidP="004345AB">
      <w:pPr>
        <w:spacing w:after="120" w:line="276" w:lineRule="auto"/>
        <w:ind w:firstLine="709"/>
        <w:jc w:val="both"/>
        <w:rPr>
          <w:rFonts w:ascii="Verdana" w:hAnsi="Verdana" w:cs="Arial"/>
          <w:color w:val="000000" w:themeColor="text1"/>
        </w:rPr>
      </w:pPr>
      <w:r w:rsidRPr="008C03E8">
        <w:rPr>
          <w:rFonts w:ascii="Verdana" w:hAnsi="Verdana" w:cs="Arial"/>
          <w:color w:val="000000" w:themeColor="text1"/>
        </w:rPr>
        <w:t xml:space="preserve">Por último, al encontrarse facultados por la ley los consorcios y uniones temporales para suscribir contratos estatales, a estos se les extiende la obligación de registrarse en el SECOP II, con el fin de que, puedan presentar sus respectivas ofertas al proceso de selección de su interés. En ese sentido, deberá tenerse en cuenta que la forma de presentar ofertas en dicha plataforma se encuentra determinada en los términos y condiciones de uso y en las guías de uso del SECOP II, las cuales indican entre otros, los requisitos, formularios y procedimientos para manifestar interés, crear y presentar las ofertas en línea. De esta forma, </w:t>
      </w:r>
      <w:r w:rsidRPr="008C03E8">
        <w:rPr>
          <w:rFonts w:ascii="Verdana" w:eastAsia="Calibri" w:hAnsi="Verdana" w:cs="Arial"/>
        </w:rPr>
        <w:t>en el SECOP II, los proveedores pueden participar en los procesos de contratación como proponente plural y para esto es necesario registrar esta cuenta como “Proveedor” en la plataforma.</w:t>
      </w:r>
    </w:p>
    <w:p w14:paraId="1A6084A8" w14:textId="77777777" w:rsidR="004345AB" w:rsidRPr="008C03E8" w:rsidRDefault="004345AB" w:rsidP="004345AB">
      <w:pPr>
        <w:spacing w:after="120" w:line="276" w:lineRule="auto"/>
        <w:ind w:firstLine="709"/>
        <w:jc w:val="both"/>
        <w:rPr>
          <w:rFonts w:ascii="Verdana" w:hAnsi="Verdana" w:cs="Arial"/>
          <w:color w:val="000000" w:themeColor="text1"/>
        </w:rPr>
      </w:pPr>
      <w:r w:rsidRPr="008C03E8">
        <w:rPr>
          <w:rFonts w:ascii="Verdana" w:hAnsi="Verdana" w:cs="Arial"/>
          <w:color w:val="000000" w:themeColor="text1"/>
        </w:rPr>
        <w:t xml:space="preserve">Por consiguiente, </w:t>
      </w:r>
      <w:bookmarkStart w:id="4" w:name="_Hlk206593936"/>
      <w:r w:rsidRPr="008C03E8">
        <w:rPr>
          <w:rFonts w:ascii="Verdana" w:hAnsi="Verdana" w:cs="Arial"/>
          <w:color w:val="000000" w:themeColor="text1"/>
        </w:rPr>
        <w:t xml:space="preserve">en complemento de la postura expuesta en el concepto CU-636 del 2 de julio de 2025 y teniendo en cuenta la viabilidad jurídica en torno a que los proponentes plurales presenten propuestas para la adjudicación, celebración y ejecución de contratos estatales con </w:t>
      </w:r>
      <w:r w:rsidRPr="008C03E8">
        <w:rPr>
          <w:rFonts w:ascii="Verdana" w:hAnsi="Verdana" w:cs="Arial"/>
          <w:i/>
          <w:iCs/>
          <w:color w:val="000000" w:themeColor="text1"/>
        </w:rPr>
        <w:t>una o varias</w:t>
      </w:r>
      <w:r w:rsidRPr="008C03E8">
        <w:rPr>
          <w:rFonts w:ascii="Verdana" w:hAnsi="Verdana" w:cs="Arial"/>
          <w:color w:val="000000" w:themeColor="text1"/>
        </w:rPr>
        <w:t xml:space="preserve"> entidades, se considera viable que estos puedan emplear la misma cuenta y usuario en el SECOP II para presentarse a los procesos de contratación siempre que </w:t>
      </w:r>
      <w:r w:rsidRPr="008C03E8">
        <w:rPr>
          <w:rFonts w:ascii="Verdana" w:hAnsi="Verdana" w:cs="Arial"/>
          <w:color w:val="000000" w:themeColor="text1"/>
        </w:rPr>
        <w:lastRenderedPageBreak/>
        <w:t>operativamente la plataforma lo permita. En este sentido, es importante que se configuren el usuario de tal forma que le permita cumplir con los requisitos del proceso de contratación y adecuarlos a la convocatoria en la cual se presentarán.</w:t>
      </w:r>
    </w:p>
    <w:p w14:paraId="03CDCF0B" w14:textId="77777777" w:rsidR="004345AB" w:rsidRPr="008C03E8" w:rsidRDefault="004345AB" w:rsidP="004345AB">
      <w:pPr>
        <w:spacing w:after="120" w:line="276" w:lineRule="auto"/>
        <w:ind w:firstLine="877"/>
        <w:jc w:val="both"/>
        <w:rPr>
          <w:rFonts w:ascii="Verdana" w:hAnsi="Verdana" w:cs="Arial"/>
          <w:color w:val="000000" w:themeColor="text1"/>
        </w:rPr>
      </w:pPr>
      <w:r w:rsidRPr="008C03E8">
        <w:rPr>
          <w:rFonts w:ascii="Verdana" w:hAnsi="Verdana" w:cs="Arial"/>
          <w:color w:val="000000" w:themeColor="text1"/>
        </w:rPr>
        <w:t xml:space="preserve">Para tales efectos, es pertinente señalar que conforme lo dispone la Guía de Creación de Proponentes Plurales en el </w:t>
      </w:r>
      <w:proofErr w:type="spellStart"/>
      <w:r w:rsidRPr="008C03E8">
        <w:rPr>
          <w:rFonts w:ascii="Verdana" w:hAnsi="Verdana" w:cs="Arial"/>
          <w:color w:val="000000" w:themeColor="text1"/>
        </w:rPr>
        <w:t>Secop</w:t>
      </w:r>
      <w:proofErr w:type="spellEnd"/>
      <w:r w:rsidRPr="008C03E8">
        <w:rPr>
          <w:rFonts w:ascii="Verdana" w:hAnsi="Verdana" w:cs="Arial"/>
          <w:color w:val="000000" w:themeColor="text1"/>
        </w:rPr>
        <w:t xml:space="preserve"> II</w:t>
      </w:r>
      <w:r w:rsidRPr="008C03E8">
        <w:t xml:space="preserve"> “</w:t>
      </w:r>
      <w:r w:rsidRPr="008C03E8">
        <w:rPr>
          <w:rFonts w:ascii="Verdana" w:hAnsi="Verdana" w:cs="Arial"/>
          <w:color w:val="000000" w:themeColor="text1"/>
        </w:rPr>
        <w:t xml:space="preserve">Para participar en Procesos de Contratación en el SECOP II como Proponente Plural (ya sea para manifestar interés, enviar observaciones, ofertas o firmar contratos), debe actuar exclusivamente desde su cuenta de Proponente Plural. Cualquier acción realizada desde la cuenta de cualquiera de los integrantes no es válida para el Proponente Plural y quedará a nombre del proponente singular”. Por tanto, para participar en los procesos de contratación el proponente plural deberá actuar directamente desde dicha cuenta. </w:t>
      </w:r>
    </w:p>
    <w:bookmarkEnd w:id="4"/>
    <w:p w14:paraId="098C7A58" w14:textId="77777777" w:rsidR="004345AB" w:rsidRPr="008C03E8" w:rsidRDefault="004345AB" w:rsidP="004345AB">
      <w:pPr>
        <w:spacing w:after="120" w:line="276" w:lineRule="auto"/>
        <w:jc w:val="both"/>
        <w:rPr>
          <w:rFonts w:ascii="Verdana" w:eastAsia="Century Gothic" w:hAnsi="Verdana" w:cs="Century Gothic"/>
        </w:rPr>
      </w:pPr>
      <w:r w:rsidRPr="008C03E8">
        <w:rPr>
          <w:rFonts w:ascii="Verdana" w:eastAsia="Verdana" w:hAnsi="Verdana" w:cs="Verdana"/>
        </w:rPr>
        <w:t>(</w:t>
      </w:r>
      <w:proofErr w:type="spellStart"/>
      <w:r w:rsidRPr="008C03E8">
        <w:rPr>
          <w:rFonts w:ascii="Verdana" w:eastAsia="Verdana" w:hAnsi="Verdana" w:cs="Verdana"/>
        </w:rPr>
        <w:t>ii</w:t>
      </w:r>
      <w:proofErr w:type="spellEnd"/>
      <w:r w:rsidRPr="008C03E8">
        <w:rPr>
          <w:rFonts w:ascii="Verdana" w:eastAsia="Verdana" w:hAnsi="Verdana" w:cs="Verdana"/>
        </w:rPr>
        <w:t xml:space="preserve">) Finalmente, es importante resaltar que </w:t>
      </w:r>
      <w:r w:rsidRPr="008C03E8">
        <w:rPr>
          <w:rFonts w:ascii="Verdana" w:eastAsia="Century Gothic" w:hAnsi="Verdana" w:cs="Century Gothic"/>
        </w:rPr>
        <w:t>las causales de rechazo son las establecidas en la ley y las fijadas por la Entidad Estatal en los pliegos de condiciones. No obstante, en el ejercicio de esta facultad las entidades no deben establecer causales de rechazo que afecten la selección objetiva en la contratación. Sobre el particular, el Consejo de Estado</w:t>
      </w:r>
      <w:r w:rsidRPr="008C03E8">
        <w:rPr>
          <w:rFonts w:ascii="Verdana" w:eastAsia="Century Gothic" w:hAnsi="Verdana" w:cs="Century Gothic"/>
          <w:vertAlign w:val="superscript"/>
        </w:rPr>
        <w:footnoteReference w:id="3"/>
      </w:r>
      <w:r w:rsidRPr="008C03E8">
        <w:rPr>
          <w:rFonts w:ascii="Verdana" w:eastAsia="Century Gothic" w:hAnsi="Verdana" w:cs="Century Gothic"/>
        </w:rPr>
        <w:t xml:space="preserve"> señala:</w:t>
      </w:r>
    </w:p>
    <w:p w14:paraId="6D3E2EEC" w14:textId="77777777" w:rsidR="004345AB" w:rsidRPr="008C03E8" w:rsidRDefault="004345AB" w:rsidP="004345AB">
      <w:pPr>
        <w:spacing w:after="0" w:line="240" w:lineRule="auto"/>
        <w:jc w:val="both"/>
        <w:rPr>
          <w:rFonts w:ascii="Verdana" w:eastAsia="Century Gothic" w:hAnsi="Verdana" w:cs="Century Gothic"/>
        </w:rPr>
      </w:pPr>
    </w:p>
    <w:p w14:paraId="059B1357" w14:textId="77777777" w:rsidR="004345AB" w:rsidRPr="008C03E8" w:rsidRDefault="004345AB" w:rsidP="004345AB">
      <w:pPr>
        <w:spacing w:after="0" w:line="240" w:lineRule="auto"/>
        <w:ind w:left="567" w:right="618"/>
        <w:jc w:val="both"/>
        <w:rPr>
          <w:rFonts w:ascii="Verdana" w:eastAsia="Calibri" w:hAnsi="Verdana" w:cs="Arial"/>
          <w:sz w:val="20"/>
          <w:szCs w:val="20"/>
        </w:rPr>
      </w:pPr>
      <w:r w:rsidRPr="008C03E8">
        <w:rPr>
          <w:rFonts w:ascii="Verdana" w:eastAsia="Century Gothic" w:hAnsi="Verdana" w:cs="Century Gothic"/>
          <w:sz w:val="20"/>
          <w:szCs w:val="20"/>
        </w:rPr>
        <w:t>“</w:t>
      </w:r>
      <w:r w:rsidRPr="008C03E8">
        <w:rPr>
          <w:rFonts w:ascii="Verdana" w:eastAsia="Calibri" w:hAnsi="Verdana" w:cs="Arial"/>
          <w:sz w:val="20"/>
          <w:szCs w:val="20"/>
        </w:rPr>
        <w:t xml:space="preserve">Quiere con esto destacar la Sala que las causales de rechazo de las propuestas pueden ser legales y por lo mismo generan el efecto del descarte o exclusión de la oferta </w:t>
      </w:r>
      <w:proofErr w:type="spellStart"/>
      <w:r w:rsidRPr="008C03E8">
        <w:rPr>
          <w:rFonts w:ascii="Verdana" w:eastAsia="Calibri" w:hAnsi="Verdana" w:cs="Arial"/>
          <w:sz w:val="20"/>
          <w:szCs w:val="20"/>
        </w:rPr>
        <w:t>ope</w:t>
      </w:r>
      <w:proofErr w:type="spellEnd"/>
      <w:r w:rsidRPr="008C03E8">
        <w:rPr>
          <w:rFonts w:ascii="Verdana" w:eastAsia="Calibri" w:hAnsi="Verdana" w:cs="Arial"/>
          <w:sz w:val="20"/>
          <w:szCs w:val="20"/>
        </w:rPr>
        <w:t xml:space="preserve"> </w:t>
      </w:r>
      <w:proofErr w:type="spellStart"/>
      <w:r w:rsidRPr="008C03E8">
        <w:rPr>
          <w:rFonts w:ascii="Verdana" w:eastAsia="Calibri" w:hAnsi="Verdana" w:cs="Arial"/>
          <w:sz w:val="20"/>
          <w:szCs w:val="20"/>
        </w:rPr>
        <w:t>legis</w:t>
      </w:r>
      <w:proofErr w:type="spellEnd"/>
      <w:r w:rsidRPr="008C03E8">
        <w:rPr>
          <w:rFonts w:ascii="Verdana" w:eastAsia="Calibri" w:hAnsi="Verdana" w:cs="Arial"/>
          <w:sz w:val="20"/>
          <w:szCs w:val="20"/>
        </w:rPr>
        <w:t>, sin necesidad de que se haga referencia a las mismas en el pliego de condiciones; o también pueden las causales de rechazo de las propuestas ser establecidas expresamente por la entidad en el respectivo pliego de condiciones. Lo cierto es que, sea que las causales de rechazo de la oferta emanen directamente de la ley o del pliego de condiciones, en uno y en otro caso se refieren a defectos, omisiones o circunstancias impeditivas que permiten deducir que la misma no resulta favorable para los intereses de la entidad y los fines de la contratación y que de soslayarse se comprometería el cumplimiento de los principios de transparencia, economía y responsabilidad, así como el deber de selección objetiva en la contratación.”</w:t>
      </w:r>
    </w:p>
    <w:p w14:paraId="2941B0F8" w14:textId="77777777" w:rsidR="004345AB" w:rsidRPr="008C03E8" w:rsidRDefault="004345AB" w:rsidP="004345AB">
      <w:pPr>
        <w:spacing w:after="0" w:line="276" w:lineRule="auto"/>
        <w:ind w:firstLine="709"/>
        <w:jc w:val="both"/>
        <w:rPr>
          <w:rFonts w:ascii="Verdana" w:eastAsia="Century Gothic" w:hAnsi="Verdana" w:cs="Century Gothic"/>
        </w:rPr>
      </w:pPr>
    </w:p>
    <w:p w14:paraId="582EF50E" w14:textId="77777777" w:rsidR="004345AB" w:rsidRPr="008C03E8" w:rsidRDefault="004345AB" w:rsidP="004345AB">
      <w:pPr>
        <w:spacing w:after="120" w:line="276" w:lineRule="auto"/>
        <w:ind w:firstLine="709"/>
        <w:jc w:val="both"/>
        <w:rPr>
          <w:rFonts w:ascii="Verdana" w:eastAsia="Century Gothic" w:hAnsi="Verdana" w:cs="Century Gothic"/>
        </w:rPr>
      </w:pPr>
      <w:r w:rsidRPr="008C03E8">
        <w:rPr>
          <w:rFonts w:ascii="Verdana" w:eastAsia="Century Gothic" w:hAnsi="Verdana" w:cs="Century Gothic"/>
        </w:rPr>
        <w:t xml:space="preserve">De igual forma, esta Agencia ha reiterado la postura del Consejo de Estado, según la cual, por la naturaleza propia de las causales de rechazo, su aplicación es estricta y restrictiva, lo que significa que su interpretación gramatical prevalece sobre una interpretación extensiva o de otra índole, </w:t>
      </w:r>
      <w:r w:rsidRPr="008C03E8">
        <w:rPr>
          <w:rFonts w:ascii="Verdana" w:eastAsia="Century Gothic" w:hAnsi="Verdana" w:cs="Century Gothic"/>
        </w:rPr>
        <w:lastRenderedPageBreak/>
        <w:t>mediante la cual se pretenda ampliar su alcance. Al respecto, el Consejo de Estado</w:t>
      </w:r>
      <w:r w:rsidRPr="008C03E8">
        <w:rPr>
          <w:rFonts w:ascii="Verdana" w:eastAsia="Century Gothic" w:hAnsi="Verdana" w:cs="Century Gothic"/>
          <w:vertAlign w:val="superscript"/>
        </w:rPr>
        <w:footnoteReference w:id="4"/>
      </w:r>
      <w:r w:rsidRPr="008C03E8">
        <w:rPr>
          <w:rFonts w:ascii="Verdana" w:eastAsia="Century Gothic" w:hAnsi="Verdana" w:cs="Century Gothic"/>
        </w:rPr>
        <w:t xml:space="preserve"> sostuvo:</w:t>
      </w:r>
    </w:p>
    <w:p w14:paraId="1C7C078F" w14:textId="77777777" w:rsidR="004345AB" w:rsidRPr="008C03E8" w:rsidRDefault="004345AB" w:rsidP="004345AB">
      <w:pPr>
        <w:spacing w:after="0" w:line="276" w:lineRule="auto"/>
        <w:ind w:firstLine="709"/>
        <w:jc w:val="both"/>
        <w:rPr>
          <w:rFonts w:ascii="Verdana" w:eastAsia="Century Gothic" w:hAnsi="Verdana" w:cs="Century Gothic"/>
        </w:rPr>
      </w:pPr>
    </w:p>
    <w:p w14:paraId="5D3ABAE2" w14:textId="77777777" w:rsidR="004345AB" w:rsidRPr="008C03E8" w:rsidRDefault="004345AB" w:rsidP="004345AB">
      <w:pPr>
        <w:tabs>
          <w:tab w:val="left" w:pos="8222"/>
        </w:tabs>
        <w:spacing w:after="0" w:line="240" w:lineRule="auto"/>
        <w:ind w:left="567" w:right="618"/>
        <w:jc w:val="both"/>
        <w:rPr>
          <w:rFonts w:ascii="Verdana" w:eastAsia="Calibri" w:hAnsi="Verdana" w:cs="Arial"/>
          <w:sz w:val="20"/>
          <w:szCs w:val="20"/>
        </w:rPr>
      </w:pPr>
      <w:r w:rsidRPr="008C03E8">
        <w:rPr>
          <w:rFonts w:ascii="Verdana" w:eastAsia="Century Gothic" w:hAnsi="Verdana" w:cs="Century Gothic"/>
          <w:sz w:val="20"/>
          <w:szCs w:val="20"/>
        </w:rPr>
        <w:t>“</w:t>
      </w:r>
      <w:r w:rsidRPr="008C03E8">
        <w:rPr>
          <w:rFonts w:ascii="Verdana" w:eastAsia="Calibri" w:hAnsi="Verdana" w:cs="Arial"/>
          <w:sz w:val="20"/>
          <w:szCs w:val="20"/>
        </w:rPr>
        <w:t>En esta línea de pensamiento, resulta claro que el rechazo o la descalificación de ofertas no puede depender de la libre discrecionalidad de la administración, en la medida en que el oferente, por el hecho de participar en el proceso licitatorio, adquiere el derecho de participar en el procedimiento de selección y se genera para él una situación jurídica particular; en consecuencia, para rechazar o descalificar una propuesta, la entidad pública debe sujetarse a determinadas reglas consistentes en que las causales que dan lugar a ello se encuentren previamente establecidas en la ley, deriven del incumplimiento de requisitos de la propuesta o de la omisión de documentos referentes a la futura contratación que sean necesarios para la comparación de las propuestas, de conformidad con lo establecido en el numeral 15 del artículo 25 de la Ley 80 de 1993, puesto que la causa excluyente debe ser razonable, esencial y proporcionada, toda vez que no tendría justificación excluir una propuesta por una deficiencia que no tenga incidencia alguna en la contratación”.</w:t>
      </w:r>
    </w:p>
    <w:p w14:paraId="31206A50" w14:textId="77777777" w:rsidR="004345AB" w:rsidRPr="008C03E8" w:rsidRDefault="004345AB" w:rsidP="004345AB">
      <w:pPr>
        <w:spacing w:after="0" w:line="276" w:lineRule="auto"/>
        <w:ind w:firstLine="709"/>
        <w:jc w:val="both"/>
        <w:rPr>
          <w:rFonts w:ascii="Verdana" w:eastAsia="Calibri" w:hAnsi="Verdana" w:cs="Arial"/>
          <w:lang w:val="es-ES"/>
        </w:rPr>
      </w:pPr>
    </w:p>
    <w:p w14:paraId="439B3C5B" w14:textId="77777777" w:rsidR="004345AB" w:rsidRPr="008C03E8" w:rsidRDefault="004345AB" w:rsidP="004345AB">
      <w:pPr>
        <w:spacing w:before="120" w:after="120" w:line="276" w:lineRule="auto"/>
        <w:ind w:firstLine="708"/>
        <w:jc w:val="both"/>
        <w:rPr>
          <w:rFonts w:ascii="Verdana" w:eastAsia="Calibri" w:hAnsi="Verdana" w:cs="Arial"/>
          <w:lang w:val="es-ES"/>
        </w:rPr>
      </w:pPr>
      <w:r w:rsidRPr="008C03E8">
        <w:rPr>
          <w:rFonts w:ascii="Verdana" w:eastAsia="Calibri" w:hAnsi="Verdana" w:cs="Arial"/>
          <w:lang w:val="es-ES"/>
        </w:rPr>
        <w:t>Por lo expuesto, las causales de rechazo deben estar necesariamente nominadas en la Ley o en el pliego de condiciones, y no puede realizarse, frente a su redacción, ninguna interpretación extensiva. Por esta razón si el Estatuto General de Contratación de la Administración Pública o el pliego de condiciones no establecen de manera literal una causal de rechazo, en los términos expuestos, no podrán rechazarse las propuestas.</w:t>
      </w:r>
    </w:p>
    <w:p w14:paraId="356738DD" w14:textId="77777777" w:rsidR="004345AB" w:rsidRPr="008C03E8" w:rsidRDefault="004345AB" w:rsidP="004345AB">
      <w:pPr>
        <w:spacing w:before="120" w:after="120" w:line="276" w:lineRule="auto"/>
        <w:ind w:firstLine="708"/>
        <w:jc w:val="both"/>
        <w:rPr>
          <w:rFonts w:ascii="Verdana" w:eastAsia="Calibri" w:hAnsi="Verdana" w:cs="Arial"/>
          <w:lang w:val="es-ES"/>
        </w:rPr>
      </w:pPr>
      <w:r w:rsidRPr="008C03E8">
        <w:rPr>
          <w:rFonts w:ascii="Verdana" w:eastAsia="Arial" w:hAnsi="Verdana" w:cs="Arial"/>
          <w:color w:val="000000"/>
        </w:rPr>
        <w:t xml:space="preserve">Por otra parte, es importante señalar que, uno de los principios transversales de los procedimientos de selección es el de </w:t>
      </w:r>
      <w:r w:rsidRPr="008C03E8">
        <w:rPr>
          <w:rFonts w:ascii="Verdana" w:eastAsia="Arial" w:hAnsi="Verdana" w:cs="Arial"/>
          <w:i/>
          <w:color w:val="000000"/>
        </w:rPr>
        <w:t>selección objetiva</w:t>
      </w:r>
      <w:r w:rsidRPr="008C03E8">
        <w:rPr>
          <w:rFonts w:ascii="Verdana" w:eastAsia="Arial" w:hAnsi="Verdana" w:cs="Arial"/>
          <w:color w:val="000000"/>
        </w:rPr>
        <w:t>. Se trata del postulado que exige que la escogencia de la oferta ganadora deba fundamentarse en factores objetivos, de carácter técnico, jurídico y financiero, y no en criterios subjetivos, como el afecto, la amistad, el ánimo de ayuda, el interés personal, etc. Si bien dentro de la historia de la contratación pública en Colombia se vislumbran antecedentes normativos que consagraban dicho principio</w:t>
      </w:r>
      <w:r w:rsidRPr="008C03E8">
        <w:rPr>
          <w:rFonts w:ascii="Aptos" w:eastAsia="Aptos" w:hAnsi="Aptos" w:cs="Times New Roman"/>
          <w:sz w:val="24"/>
          <w:szCs w:val="24"/>
          <w:vertAlign w:val="superscript"/>
        </w:rPr>
        <w:footnoteReference w:id="5"/>
      </w:r>
      <w:r w:rsidRPr="008C03E8">
        <w:rPr>
          <w:rFonts w:ascii="Verdana" w:eastAsia="Arial" w:hAnsi="Verdana" w:cs="Arial"/>
          <w:color w:val="000000"/>
        </w:rPr>
        <w:t xml:space="preserve">, en la actualidad la disposición legal que lo prevé de manera más clara </w:t>
      </w:r>
      <w:r w:rsidRPr="008C03E8">
        <w:rPr>
          <w:rFonts w:ascii="Verdana" w:eastAsia="Arial" w:hAnsi="Verdana" w:cs="Arial"/>
          <w:color w:val="000000"/>
        </w:rPr>
        <w:lastRenderedPageBreak/>
        <w:t>y contundente es el artículo 5 de la Ley 1150 de 2007, modificado por el artículo 88 de la Ley 1474 de 2011 y por el artículo 5 de la Ley 1882 de 2018.</w:t>
      </w:r>
    </w:p>
    <w:p w14:paraId="53FD4CE7" w14:textId="77777777" w:rsidR="004345AB" w:rsidRPr="008C03E8" w:rsidRDefault="004345AB" w:rsidP="004345AB">
      <w:pPr>
        <w:spacing w:before="120" w:after="120" w:line="276" w:lineRule="auto"/>
        <w:ind w:firstLine="708"/>
        <w:jc w:val="both"/>
        <w:rPr>
          <w:rFonts w:ascii="Verdana" w:eastAsia="Calibri" w:hAnsi="Verdana" w:cs="Arial"/>
          <w:lang w:val="es-ES"/>
        </w:rPr>
      </w:pPr>
      <w:r w:rsidRPr="008C03E8">
        <w:rPr>
          <w:rFonts w:ascii="Verdana" w:eastAsia="Arial" w:hAnsi="Verdana" w:cs="Arial"/>
          <w:color w:val="000000"/>
        </w:rPr>
        <w:t>Para garantizar la selección objetiva, es necesario, entre otras, que las entidades estatales se abstengan de rechazar las ofertas por el incumplimiento de requisitos meramente formales, sacrificando la favorabilidad que podría representar la oferta que adolezca de estos defectos, si se permitiese su corrección. En otras palabras, la selección objetiva se encuentra ligada a la obligación que tienen las entidades estatales de permitir la subsanación de los requisitos de participación, bajo las condiciones indicadas en la ley, antes de tomar la decisión de rechazar las propuestas que hayan omitido la observancia de requisitos no necesarios para la comparación de las ofertas.</w:t>
      </w:r>
    </w:p>
    <w:p w14:paraId="377C12DC" w14:textId="77777777" w:rsidR="004345AB" w:rsidRPr="008C03E8" w:rsidRDefault="004345AB" w:rsidP="004345AB">
      <w:pPr>
        <w:spacing w:before="120" w:after="120" w:line="276" w:lineRule="auto"/>
        <w:ind w:firstLine="708"/>
        <w:jc w:val="both"/>
        <w:rPr>
          <w:rFonts w:ascii="Verdana" w:hAnsi="Verdana" w:cs="Arial"/>
          <w:bCs/>
          <w:color w:val="000000" w:themeColor="text1"/>
        </w:rPr>
      </w:pPr>
      <w:r w:rsidRPr="008C03E8">
        <w:rPr>
          <w:rFonts w:ascii="Verdana" w:eastAsia="Arial" w:hAnsi="Verdana" w:cs="Arial"/>
          <w:color w:val="000000"/>
        </w:rPr>
        <w:t>La decisión de rechazar, por regla general –salvo en los casos específicos previstos en la ley, como el de la imposibilidad de subsanar la no entrega de la garantía de seriedad de la oferta o de acreditar circunstancias ocurridas con posterioridad al cierre del procedimiento de selección –art. 5, par. 1º y 3º, Ley 1150 de 2007– solo puede tomarse si, previamente, se ha permitido que los proponentes completen o corrijan la información relacionada con los requisitos que no asignan puntaje, como mecanismo para hacer prevalecer el derecho sustancial sobre las formalidades.</w:t>
      </w:r>
      <w:r w:rsidRPr="008C03E8">
        <w:rPr>
          <w:rFonts w:ascii="Verdana" w:hAnsi="Verdana" w:cs="Arial"/>
          <w:bCs/>
          <w:color w:val="000000" w:themeColor="text1"/>
        </w:rPr>
        <w:t xml:space="preserve"> En ese orden de ideas, el rechazo de las ofertas debe provenir entre otros factores, de la imposibilidad de hacer una escogencia favorable a la entidad estatal y a los fines que ella busca en cumplimiento del deber selección objetiva.</w:t>
      </w:r>
    </w:p>
    <w:p w14:paraId="2DEC4CB4" w14:textId="77777777" w:rsidR="004345AB" w:rsidRPr="008C03E8" w:rsidRDefault="004345AB" w:rsidP="004345AB">
      <w:pPr>
        <w:spacing w:before="120" w:after="120" w:line="276" w:lineRule="auto"/>
        <w:ind w:firstLine="708"/>
        <w:jc w:val="both"/>
        <w:rPr>
          <w:rFonts w:ascii="Verdana" w:hAnsi="Verdana" w:cs="Arial"/>
          <w:bCs/>
          <w:color w:val="000000" w:themeColor="text1"/>
        </w:rPr>
      </w:pPr>
      <w:r w:rsidRPr="008C03E8">
        <w:rPr>
          <w:rFonts w:ascii="Verdana" w:hAnsi="Verdana" w:cs="Arial"/>
          <w:bCs/>
          <w:color w:val="000000" w:themeColor="text1"/>
        </w:rPr>
        <w:t xml:space="preserve">Conforme con lo expuesto, se reitera que no existe un impedimento jurídico para que los proponentes puedan presentar ofertas en uno o en varios </w:t>
      </w:r>
      <w:r w:rsidRPr="008C03E8">
        <w:rPr>
          <w:rFonts w:ascii="Verdana" w:hAnsi="Verdana" w:cs="Arial"/>
          <w:bCs/>
          <w:color w:val="000000" w:themeColor="text1"/>
        </w:rPr>
        <w:lastRenderedPageBreak/>
        <w:t xml:space="preserve">procesos de contratación. En este sentido, no existe causal en la ley que dé lugar al rechazo en estos supuestos. </w:t>
      </w:r>
    </w:p>
    <w:p w14:paraId="5D475381" w14:textId="77777777" w:rsidR="004345AB" w:rsidRPr="008C03E8" w:rsidRDefault="004345AB" w:rsidP="004345AB">
      <w:pPr>
        <w:spacing w:line="276" w:lineRule="auto"/>
        <w:ind w:firstLine="708"/>
        <w:jc w:val="both"/>
        <w:rPr>
          <w:rFonts w:ascii="Verdana" w:hAnsi="Verdana"/>
        </w:rPr>
      </w:pPr>
      <w:r w:rsidRPr="008C03E8">
        <w:rPr>
          <w:rFonts w:ascii="Verdana" w:hAnsi="Verdana" w:cs="Arial"/>
          <w:bCs/>
          <w:color w:val="000000" w:themeColor="text1"/>
        </w:rPr>
        <w:t xml:space="preserve">Sin embargo, será́ la Entidad Estatal quién determinará en los documentos del proceso las circunstancias que no permitan admitir una propuesta en un proceso de contratación. Como se señaló antes, en el ejercicio de esta facultad, las entidades deben respetar el deber de selección objetiva, de manera que las causales de rechazo que dispongan no impongan barreras injustificadas a la participación, y respondan a principios de proporcionalidad y razonabilidad. Lo anterior, pues </w:t>
      </w:r>
      <w:r w:rsidRPr="008C03E8">
        <w:rPr>
          <w:rFonts w:ascii="Verdana" w:hAnsi="Verdana"/>
        </w:rPr>
        <w:t>la</w:t>
      </w:r>
      <w:r w:rsidRPr="008C03E8">
        <w:rPr>
          <w:rFonts w:ascii="Verdana" w:hAnsi="Verdana"/>
          <w:spacing w:val="-3"/>
        </w:rPr>
        <w:t xml:space="preserve"> </w:t>
      </w:r>
      <w:r w:rsidRPr="008C03E8">
        <w:rPr>
          <w:rFonts w:ascii="Verdana" w:hAnsi="Verdana"/>
        </w:rPr>
        <w:t>ley</w:t>
      </w:r>
      <w:r w:rsidRPr="008C03E8">
        <w:rPr>
          <w:rFonts w:ascii="Verdana" w:hAnsi="Verdana"/>
          <w:spacing w:val="-3"/>
        </w:rPr>
        <w:t xml:space="preserve"> </w:t>
      </w:r>
      <w:r w:rsidRPr="008C03E8">
        <w:rPr>
          <w:rFonts w:ascii="Verdana" w:hAnsi="Verdana"/>
        </w:rPr>
        <w:t>dispone</w:t>
      </w:r>
      <w:r w:rsidRPr="008C03E8">
        <w:rPr>
          <w:rFonts w:ascii="Verdana" w:hAnsi="Verdana"/>
          <w:spacing w:val="-2"/>
        </w:rPr>
        <w:t xml:space="preserve"> </w:t>
      </w:r>
      <w:r w:rsidRPr="008C03E8">
        <w:rPr>
          <w:rFonts w:ascii="Verdana" w:hAnsi="Verdana"/>
        </w:rPr>
        <w:t>que</w:t>
      </w:r>
      <w:r w:rsidRPr="008C03E8">
        <w:rPr>
          <w:rFonts w:ascii="Verdana" w:hAnsi="Verdana"/>
          <w:spacing w:val="-3"/>
        </w:rPr>
        <w:t xml:space="preserve"> la </w:t>
      </w:r>
      <w:r w:rsidRPr="008C03E8">
        <w:rPr>
          <w:rFonts w:ascii="Verdana" w:hAnsi="Verdana"/>
        </w:rPr>
        <w:t>ausencia de requisitos o la falta de documentos referentes a la futura contratación o al proponente que no son necesarios para la comparación de las</w:t>
      </w:r>
      <w:r w:rsidRPr="008C03E8">
        <w:rPr>
          <w:rFonts w:ascii="Verdana" w:hAnsi="Verdana"/>
          <w:spacing w:val="-3"/>
        </w:rPr>
        <w:t xml:space="preserve"> </w:t>
      </w:r>
      <w:r w:rsidRPr="008C03E8">
        <w:rPr>
          <w:rFonts w:ascii="Verdana" w:hAnsi="Verdana"/>
        </w:rPr>
        <w:t>propuestas, no serán</w:t>
      </w:r>
      <w:r w:rsidRPr="008C03E8">
        <w:rPr>
          <w:rFonts w:ascii="Verdana" w:hAnsi="Verdana"/>
          <w:spacing w:val="-3"/>
        </w:rPr>
        <w:t xml:space="preserve"> </w:t>
      </w:r>
      <w:r w:rsidRPr="008C03E8">
        <w:rPr>
          <w:rFonts w:ascii="Verdana" w:hAnsi="Verdana"/>
        </w:rPr>
        <w:t>título</w:t>
      </w:r>
      <w:r w:rsidRPr="008C03E8">
        <w:rPr>
          <w:rFonts w:ascii="Verdana" w:hAnsi="Verdana"/>
          <w:spacing w:val="-2"/>
        </w:rPr>
        <w:t xml:space="preserve"> </w:t>
      </w:r>
      <w:r w:rsidRPr="008C03E8">
        <w:rPr>
          <w:rFonts w:ascii="Verdana" w:hAnsi="Verdana"/>
        </w:rPr>
        <w:t>suficiente para</w:t>
      </w:r>
      <w:r w:rsidRPr="008C03E8">
        <w:rPr>
          <w:rFonts w:ascii="Verdana" w:hAnsi="Verdana"/>
          <w:spacing w:val="-3"/>
        </w:rPr>
        <w:t xml:space="preserve"> </w:t>
      </w:r>
      <w:r w:rsidRPr="008C03E8">
        <w:rPr>
          <w:rFonts w:ascii="Verdana" w:hAnsi="Verdana"/>
        </w:rPr>
        <w:t>el</w:t>
      </w:r>
      <w:r w:rsidRPr="008C03E8">
        <w:rPr>
          <w:rFonts w:ascii="Verdana" w:hAnsi="Verdana"/>
          <w:spacing w:val="-3"/>
        </w:rPr>
        <w:t xml:space="preserve"> </w:t>
      </w:r>
      <w:r w:rsidRPr="008C03E8">
        <w:rPr>
          <w:rFonts w:ascii="Verdana" w:hAnsi="Verdana"/>
        </w:rPr>
        <w:t>rechazo de las propuestas.</w:t>
      </w:r>
    </w:p>
    <w:p w14:paraId="145B6BF6" w14:textId="77777777" w:rsidR="004345AB" w:rsidRPr="008C03E8" w:rsidRDefault="004345AB" w:rsidP="004345AB">
      <w:pPr>
        <w:spacing w:after="120" w:line="276" w:lineRule="auto"/>
        <w:ind w:firstLine="708"/>
        <w:jc w:val="both"/>
        <w:rPr>
          <w:rFonts w:ascii="Verdana" w:eastAsia="Calibri" w:hAnsi="Verdana" w:cs="Arial"/>
        </w:rPr>
      </w:pPr>
      <w:r w:rsidRPr="008C03E8">
        <w:rPr>
          <w:rFonts w:ascii="Verdana" w:eastAsia="Calibri" w:hAnsi="Verdana" w:cs="Arial"/>
        </w:rPr>
        <w:t xml:space="preserve">Finalmente, debe advertirse que el análisis requerido para resolver problemas específicos en torno a aspectos específicos de la gestión contractual de una entidad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de adoptar la decisión y, en caso de conflicto, a las autoridades judiciales, fiscales y disciplinarias.  </w:t>
      </w:r>
    </w:p>
    <w:p w14:paraId="124965A8" w14:textId="77777777" w:rsidR="004345AB" w:rsidRPr="008C03E8" w:rsidRDefault="004345AB" w:rsidP="004345AB">
      <w:pPr>
        <w:spacing w:after="0" w:line="276" w:lineRule="auto"/>
        <w:ind w:firstLine="709"/>
        <w:jc w:val="both"/>
        <w:rPr>
          <w:rFonts w:ascii="Verdana" w:eastAsia="Calibri" w:hAnsi="Verdana" w:cs="Arial"/>
        </w:rPr>
      </w:pPr>
    </w:p>
    <w:p w14:paraId="24CD94BB" w14:textId="77777777" w:rsidR="004345AB" w:rsidRPr="008C03E8" w:rsidRDefault="004345AB" w:rsidP="004345AB">
      <w:pPr>
        <w:numPr>
          <w:ilvl w:val="0"/>
          <w:numId w:val="1"/>
        </w:numPr>
        <w:tabs>
          <w:tab w:val="left" w:pos="142"/>
          <w:tab w:val="left" w:pos="284"/>
        </w:tabs>
        <w:spacing w:after="0" w:line="276" w:lineRule="auto"/>
        <w:jc w:val="both"/>
        <w:rPr>
          <w:rFonts w:ascii="Verdana" w:eastAsia="Century Gothic" w:hAnsi="Verdana" w:cs="Century Gothic"/>
          <w:b/>
          <w:bCs/>
        </w:rPr>
      </w:pPr>
      <w:r w:rsidRPr="008C03E8">
        <w:rPr>
          <w:rFonts w:ascii="Verdana" w:eastAsia="Century Gothic" w:hAnsi="Verdana" w:cs="Century Gothic"/>
          <w:b/>
          <w:bCs/>
        </w:rPr>
        <w:t>Referencias normativas y jurisprudenciales:</w:t>
      </w:r>
    </w:p>
    <w:p w14:paraId="7DCF9455" w14:textId="77777777" w:rsidR="004345AB" w:rsidRPr="008C03E8" w:rsidRDefault="004345AB" w:rsidP="004345AB">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4345AB" w:rsidRPr="008C03E8" w14:paraId="28107D70" w14:textId="77777777" w:rsidTr="00E73D27">
        <w:trPr>
          <w:trHeight w:val="856"/>
          <w:jc w:val="center"/>
        </w:trPr>
        <w:tc>
          <w:tcPr>
            <w:tcW w:w="8647" w:type="dxa"/>
          </w:tcPr>
          <w:p w14:paraId="1F7A8F3F" w14:textId="77777777" w:rsidR="004345AB" w:rsidRPr="008C03E8" w:rsidRDefault="004345AB" w:rsidP="004345AB">
            <w:pPr>
              <w:widowControl w:val="0"/>
              <w:numPr>
                <w:ilvl w:val="0"/>
                <w:numId w:val="3"/>
              </w:numPr>
              <w:autoSpaceDE w:val="0"/>
              <w:autoSpaceDN w:val="0"/>
              <w:spacing w:after="120" w:line="276" w:lineRule="auto"/>
              <w:ind w:left="318" w:hanging="284"/>
              <w:contextualSpacing/>
              <w:jc w:val="both"/>
              <w:rPr>
                <w:rFonts w:ascii="Verdana" w:hAnsi="Verdana" w:cs="Arial"/>
                <w:lang w:val="es-MX"/>
              </w:rPr>
            </w:pPr>
            <w:r w:rsidRPr="008C03E8">
              <w:rPr>
                <w:rFonts w:ascii="Verdana" w:hAnsi="Verdana" w:cs="Arial"/>
                <w:lang w:val="es-MX"/>
              </w:rPr>
              <w:t>Ley 80 de 1993, artículo 7</w:t>
            </w:r>
          </w:p>
          <w:p w14:paraId="3BD61BDC" w14:textId="77777777" w:rsidR="004345AB" w:rsidRPr="008C03E8" w:rsidRDefault="004345AB" w:rsidP="004345AB">
            <w:pPr>
              <w:widowControl w:val="0"/>
              <w:numPr>
                <w:ilvl w:val="0"/>
                <w:numId w:val="3"/>
              </w:numPr>
              <w:autoSpaceDE w:val="0"/>
              <w:autoSpaceDN w:val="0"/>
              <w:spacing w:after="120" w:line="276" w:lineRule="auto"/>
              <w:ind w:left="318" w:hanging="284"/>
              <w:contextualSpacing/>
              <w:jc w:val="both"/>
              <w:rPr>
                <w:rFonts w:ascii="Verdana" w:hAnsi="Verdana" w:cs="Arial"/>
                <w:sz w:val="24"/>
                <w:lang w:val="es-MX"/>
              </w:rPr>
            </w:pPr>
            <w:r w:rsidRPr="008C03E8">
              <w:rPr>
                <w:rFonts w:ascii="Verdana" w:hAnsi="Verdana" w:cs="Arial"/>
                <w:lang w:val="es-MX"/>
              </w:rPr>
              <w:t>Ley 1150 de 2007, artículo 5º, modificado por la Ley 1474 de 2011 y la Ley 1882 de 2018.</w:t>
            </w:r>
            <w:r w:rsidRPr="008C03E8">
              <w:rPr>
                <w:rFonts w:ascii="Verdana" w:eastAsia="Calibri" w:hAnsi="Verdana" w:cs="Arial"/>
                <w:sz w:val="24"/>
                <w:lang w:val="es-ES"/>
              </w:rPr>
              <w:t xml:space="preserve"> </w:t>
            </w:r>
          </w:p>
          <w:p w14:paraId="1FF794B3" w14:textId="77777777" w:rsidR="004345AB" w:rsidRPr="008C03E8" w:rsidRDefault="004345AB" w:rsidP="004345AB">
            <w:pPr>
              <w:widowControl w:val="0"/>
              <w:numPr>
                <w:ilvl w:val="0"/>
                <w:numId w:val="3"/>
              </w:numPr>
              <w:autoSpaceDE w:val="0"/>
              <w:autoSpaceDN w:val="0"/>
              <w:spacing w:after="120" w:line="276" w:lineRule="auto"/>
              <w:ind w:left="318" w:hanging="284"/>
              <w:contextualSpacing/>
              <w:jc w:val="both"/>
              <w:rPr>
                <w:rFonts w:ascii="Verdana" w:hAnsi="Verdana" w:cs="Arial"/>
                <w:sz w:val="24"/>
                <w:lang w:val="es-MX"/>
              </w:rPr>
            </w:pPr>
            <w:r w:rsidRPr="008C03E8">
              <w:rPr>
                <w:rFonts w:ascii="Verdana" w:eastAsia="Aptos" w:hAnsi="Verdana" w:cs="Arial"/>
              </w:rPr>
              <w:t>Ley 2069 de 2020. Artículo 32</w:t>
            </w:r>
          </w:p>
          <w:p w14:paraId="78105F54" w14:textId="77777777" w:rsidR="004345AB" w:rsidRPr="008C03E8" w:rsidRDefault="004345AB" w:rsidP="004345AB">
            <w:pPr>
              <w:widowControl w:val="0"/>
              <w:numPr>
                <w:ilvl w:val="0"/>
                <w:numId w:val="3"/>
              </w:numPr>
              <w:autoSpaceDE w:val="0"/>
              <w:autoSpaceDN w:val="0"/>
              <w:spacing w:after="120" w:line="276" w:lineRule="auto"/>
              <w:ind w:left="318" w:hanging="284"/>
              <w:contextualSpacing/>
              <w:jc w:val="both"/>
              <w:rPr>
                <w:rFonts w:ascii="Verdana" w:hAnsi="Verdana" w:cs="Arial"/>
                <w:sz w:val="24"/>
                <w:lang w:val="es-MX"/>
              </w:rPr>
            </w:pPr>
            <w:r w:rsidRPr="008C03E8">
              <w:rPr>
                <w:rFonts w:ascii="Verdana" w:eastAsia="Aptos" w:hAnsi="Verdana" w:cs="Arial"/>
              </w:rPr>
              <w:t>Decreto 1860 de 2021. Artículo 5</w:t>
            </w:r>
          </w:p>
          <w:p w14:paraId="27262496" w14:textId="77777777" w:rsidR="004345AB" w:rsidRPr="008C03E8" w:rsidRDefault="004345AB" w:rsidP="004345AB">
            <w:pPr>
              <w:widowControl w:val="0"/>
              <w:numPr>
                <w:ilvl w:val="0"/>
                <w:numId w:val="3"/>
              </w:numPr>
              <w:autoSpaceDE w:val="0"/>
              <w:autoSpaceDN w:val="0"/>
              <w:spacing w:after="120" w:line="276" w:lineRule="auto"/>
              <w:ind w:left="318" w:hanging="284"/>
              <w:contextualSpacing/>
              <w:jc w:val="both"/>
              <w:rPr>
                <w:rFonts w:ascii="Verdana" w:hAnsi="Verdana" w:cs="Arial"/>
                <w:sz w:val="24"/>
                <w:lang w:val="es-MX"/>
              </w:rPr>
            </w:pPr>
            <w:r w:rsidRPr="008C03E8">
              <w:rPr>
                <w:rFonts w:ascii="Verdana" w:eastAsia="Calibri" w:hAnsi="Verdana" w:cs="Arial"/>
                <w:lang w:val="es-ES"/>
              </w:rPr>
              <w:t xml:space="preserve">Decreto 1082. Artículos 2.2.1.2.4.2.14 y </w:t>
            </w:r>
            <w:r w:rsidRPr="008C03E8">
              <w:rPr>
                <w:rFonts w:ascii="Verdana" w:eastAsia="Calibri" w:hAnsi="Verdana" w:cs="Times New Roman"/>
                <w:lang w:val="es-ES"/>
              </w:rPr>
              <w:t>2.2.1.2.4.2.15</w:t>
            </w:r>
          </w:p>
          <w:p w14:paraId="7D5646C3" w14:textId="77777777" w:rsidR="004345AB" w:rsidRPr="008C03E8" w:rsidRDefault="004345AB" w:rsidP="004345AB">
            <w:pPr>
              <w:widowControl w:val="0"/>
              <w:numPr>
                <w:ilvl w:val="0"/>
                <w:numId w:val="3"/>
              </w:numPr>
              <w:autoSpaceDE w:val="0"/>
              <w:autoSpaceDN w:val="0"/>
              <w:spacing w:after="120" w:line="276" w:lineRule="auto"/>
              <w:ind w:left="318" w:hanging="284"/>
              <w:contextualSpacing/>
              <w:jc w:val="both"/>
              <w:rPr>
                <w:rFonts w:ascii="Verdana" w:hAnsi="Verdana" w:cs="Arial"/>
                <w:sz w:val="24"/>
                <w:lang w:val="es-MX"/>
              </w:rPr>
            </w:pPr>
            <w:r w:rsidRPr="008C03E8">
              <w:rPr>
                <w:rFonts w:ascii="Verdana" w:eastAsia="Aptos" w:hAnsi="Verdana" w:cs="Arial"/>
              </w:rPr>
              <w:t>Código Sustantivo del Trabajo. Artículo 32</w:t>
            </w:r>
          </w:p>
          <w:p w14:paraId="71E5907C" w14:textId="77777777" w:rsidR="004345AB" w:rsidRPr="008C03E8" w:rsidRDefault="004345AB" w:rsidP="004345AB">
            <w:pPr>
              <w:widowControl w:val="0"/>
              <w:numPr>
                <w:ilvl w:val="0"/>
                <w:numId w:val="3"/>
              </w:numPr>
              <w:autoSpaceDE w:val="0"/>
              <w:autoSpaceDN w:val="0"/>
              <w:spacing w:after="120" w:line="276" w:lineRule="auto"/>
              <w:ind w:left="318" w:hanging="284"/>
              <w:contextualSpacing/>
              <w:jc w:val="both"/>
              <w:rPr>
                <w:rFonts w:ascii="Verdana" w:hAnsi="Verdana" w:cs="Arial"/>
                <w:lang w:val="es-MX"/>
              </w:rPr>
            </w:pPr>
            <w:r w:rsidRPr="008C03E8">
              <w:rPr>
                <w:rFonts w:ascii="Verdana" w:hAnsi="Verdana"/>
              </w:rPr>
              <w:t xml:space="preserve">CORTE CONSTITUCIONAL. Sentencia C-949 del 5 de septiembre de 2001. M.P. Clara Inés Vargas Hernández.  </w:t>
            </w:r>
          </w:p>
          <w:p w14:paraId="0EE4E9C0" w14:textId="77777777" w:rsidR="004345AB" w:rsidRPr="008C03E8" w:rsidRDefault="004345AB" w:rsidP="004345AB">
            <w:pPr>
              <w:widowControl w:val="0"/>
              <w:numPr>
                <w:ilvl w:val="0"/>
                <w:numId w:val="3"/>
              </w:numPr>
              <w:autoSpaceDE w:val="0"/>
              <w:autoSpaceDN w:val="0"/>
              <w:spacing w:after="120" w:line="276" w:lineRule="auto"/>
              <w:ind w:left="318" w:hanging="284"/>
              <w:contextualSpacing/>
              <w:jc w:val="both"/>
              <w:rPr>
                <w:rFonts w:ascii="Verdana" w:hAnsi="Verdana" w:cs="Arial"/>
                <w:lang w:val="es-MX"/>
              </w:rPr>
            </w:pPr>
            <w:r w:rsidRPr="008C03E8">
              <w:rPr>
                <w:rFonts w:ascii="Verdana" w:hAnsi="Verdana"/>
              </w:rPr>
              <w:t xml:space="preserve">Consejo de Estado. Sección Tercera. Sentencia del 21 de noviembre de 2013 </w:t>
            </w:r>
            <w:proofErr w:type="spellStart"/>
            <w:r w:rsidRPr="008C03E8">
              <w:rPr>
                <w:rFonts w:ascii="Verdana" w:hAnsi="Verdana"/>
              </w:rPr>
              <w:t>Exp</w:t>
            </w:r>
            <w:proofErr w:type="spellEnd"/>
            <w:r w:rsidRPr="008C03E8">
              <w:rPr>
                <w:rFonts w:ascii="Verdana" w:hAnsi="Verdana"/>
              </w:rPr>
              <w:t>. 25397. C.P. Carlos Alberto Zambrano Barrera.</w:t>
            </w:r>
          </w:p>
          <w:p w14:paraId="7EE8123C" w14:textId="77777777" w:rsidR="004345AB" w:rsidRPr="008C03E8" w:rsidRDefault="004345AB" w:rsidP="004345AB">
            <w:pPr>
              <w:widowControl w:val="0"/>
              <w:numPr>
                <w:ilvl w:val="0"/>
                <w:numId w:val="3"/>
              </w:numPr>
              <w:autoSpaceDE w:val="0"/>
              <w:autoSpaceDN w:val="0"/>
              <w:spacing w:after="120" w:line="276" w:lineRule="auto"/>
              <w:ind w:left="318" w:hanging="284"/>
              <w:contextualSpacing/>
              <w:jc w:val="both"/>
              <w:rPr>
                <w:rFonts w:ascii="Verdana" w:hAnsi="Verdana" w:cs="Arial"/>
                <w:lang w:val="es-MX"/>
              </w:rPr>
            </w:pPr>
            <w:r w:rsidRPr="008C03E8">
              <w:rPr>
                <w:rFonts w:ascii="Verdana" w:hAnsi="Verdana"/>
              </w:rPr>
              <w:lastRenderedPageBreak/>
              <w:t xml:space="preserve">Consejo de Estado. Sección Tercera. Sentencia del 27 de abril de 2011. </w:t>
            </w:r>
            <w:proofErr w:type="spellStart"/>
            <w:r w:rsidRPr="008C03E8">
              <w:rPr>
                <w:rFonts w:ascii="Verdana" w:hAnsi="Verdana"/>
              </w:rPr>
              <w:t>Exp</w:t>
            </w:r>
            <w:proofErr w:type="spellEnd"/>
            <w:r w:rsidRPr="008C03E8">
              <w:rPr>
                <w:rFonts w:ascii="Verdana" w:hAnsi="Verdana"/>
              </w:rPr>
              <w:t>. 18.293. C.P. Ruth Stella Correa Palacio.</w:t>
            </w:r>
          </w:p>
        </w:tc>
      </w:tr>
    </w:tbl>
    <w:p w14:paraId="1BA8EC0F" w14:textId="77777777" w:rsidR="004345AB" w:rsidRPr="008C03E8" w:rsidRDefault="004345AB" w:rsidP="004345AB">
      <w:pPr>
        <w:widowControl w:val="0"/>
        <w:autoSpaceDE w:val="0"/>
        <w:autoSpaceDN w:val="0"/>
        <w:spacing w:after="0" w:line="276" w:lineRule="auto"/>
        <w:jc w:val="both"/>
        <w:rPr>
          <w:rFonts w:ascii="Verdana" w:hAnsi="Verdana" w:cs="Arial"/>
        </w:rPr>
      </w:pPr>
    </w:p>
    <w:p w14:paraId="3A74C208" w14:textId="77777777" w:rsidR="004345AB" w:rsidRPr="008C03E8" w:rsidRDefault="004345AB" w:rsidP="004345AB">
      <w:pPr>
        <w:numPr>
          <w:ilvl w:val="0"/>
          <w:numId w:val="1"/>
        </w:numPr>
        <w:tabs>
          <w:tab w:val="left" w:pos="142"/>
          <w:tab w:val="left" w:pos="284"/>
        </w:tabs>
        <w:spacing w:after="0" w:line="276" w:lineRule="auto"/>
        <w:jc w:val="both"/>
        <w:rPr>
          <w:rFonts w:ascii="Verdana" w:eastAsia="Century Gothic" w:hAnsi="Verdana" w:cs="Century Gothic"/>
          <w:b/>
          <w:bCs/>
        </w:rPr>
      </w:pPr>
      <w:r w:rsidRPr="008C03E8">
        <w:rPr>
          <w:rFonts w:ascii="Verdana" w:eastAsia="Century Gothic" w:hAnsi="Verdana" w:cs="Century Gothic"/>
          <w:b/>
          <w:bCs/>
        </w:rPr>
        <w:t>Doctrina de la Agencia Nacional de Contratación Pública:</w:t>
      </w:r>
    </w:p>
    <w:p w14:paraId="2C448ACB" w14:textId="77777777" w:rsidR="004345AB" w:rsidRPr="008C03E8" w:rsidRDefault="004345AB" w:rsidP="004345AB">
      <w:pPr>
        <w:widowControl w:val="0"/>
        <w:autoSpaceDE w:val="0"/>
        <w:autoSpaceDN w:val="0"/>
        <w:spacing w:after="0" w:line="276" w:lineRule="auto"/>
        <w:jc w:val="both"/>
        <w:rPr>
          <w:rFonts w:ascii="Verdana" w:hAnsi="Verdana" w:cs="Arial"/>
        </w:rPr>
      </w:pPr>
    </w:p>
    <w:p w14:paraId="5C8D5813" w14:textId="77777777" w:rsidR="004345AB" w:rsidRPr="008C03E8" w:rsidRDefault="004345AB" w:rsidP="004345AB">
      <w:pPr>
        <w:widowControl w:val="0"/>
        <w:autoSpaceDE w:val="0"/>
        <w:autoSpaceDN w:val="0"/>
        <w:spacing w:after="120" w:line="276" w:lineRule="auto"/>
        <w:jc w:val="both"/>
        <w:rPr>
          <w:rFonts w:ascii="Verdana" w:hAnsi="Verdana" w:cs="Arial"/>
          <w:shd w:val="clear" w:color="auto" w:fill="FFFFFF"/>
          <w:lang w:val="es-ES"/>
        </w:rPr>
      </w:pPr>
      <w:r w:rsidRPr="008C03E8">
        <w:rPr>
          <w:rFonts w:ascii="Verdana" w:hAnsi="Verdana" w:cs="Arial"/>
          <w:shd w:val="clear" w:color="auto" w:fill="FFFFFF"/>
          <w:lang w:val="es-ES"/>
        </w:rPr>
        <w:t xml:space="preserve">Sobre la </w:t>
      </w:r>
      <w:r w:rsidRPr="008C03E8">
        <w:rPr>
          <w:rFonts w:ascii="Verdana" w:hAnsi="Verdana" w:cs="Arial"/>
          <w:color w:val="000000" w:themeColor="text1"/>
        </w:rPr>
        <w:t xml:space="preserve">la posibilidad de que los proponentes plurales puedan </w:t>
      </w:r>
      <w:r w:rsidRPr="008C03E8">
        <w:rPr>
          <w:rFonts w:ascii="Verdana" w:eastAsia="Century Gothic" w:hAnsi="Verdana" w:cs="Century Gothic"/>
        </w:rPr>
        <w:t>participar en varios procesos de contratación pública</w:t>
      </w:r>
      <w:r w:rsidRPr="008C03E8">
        <w:rPr>
          <w:rFonts w:ascii="Verdana" w:hAnsi="Verdana" w:cs="Arial"/>
          <w:shd w:val="clear" w:color="auto" w:fill="FFFFFF"/>
          <w:lang w:val="es-ES"/>
        </w:rPr>
        <w:t xml:space="preserve"> esta Subdirección se ha pronunciado</w:t>
      </w:r>
      <w:r w:rsidRPr="008C03E8">
        <w:rPr>
          <w:rFonts w:ascii="Verdana" w:hAnsi="Verdana" w:cs="Arial"/>
          <w:szCs w:val="24"/>
          <w:lang w:eastAsia="es-ES_tradnl"/>
        </w:rPr>
        <w:t xml:space="preserve"> en los conceptos </w:t>
      </w:r>
      <w:r w:rsidRPr="008C03E8">
        <w:rPr>
          <w:rFonts w:ascii="Verdana" w:hAnsi="Verdana" w:cs="Arial"/>
          <w:color w:val="000000" w:themeColor="text1"/>
        </w:rPr>
        <w:t xml:space="preserve">C-727 del 28 de octubre de 2024, C-016 del 11 de febrero de 2025, C-046 del 30 de enero de 2025, C-226 del 26 de marzo de 2025 y C-295 del 15 de abril de 2025 y CU-636 del 2 de julio de 2025. </w:t>
      </w:r>
      <w:r w:rsidRPr="008C03E8">
        <w:rPr>
          <w:rFonts w:ascii="Verdana" w:hAnsi="Verdana" w:cs="Arial"/>
          <w:shd w:val="clear" w:color="auto" w:fill="FFFFFF"/>
        </w:rPr>
        <w:t>Es</w:t>
      </w:r>
      <w:r w:rsidRPr="008C03E8">
        <w:rPr>
          <w:rFonts w:ascii="Verdana" w:hAnsi="Verdana"/>
        </w:rPr>
        <w:t>tos conceptos se encuentran disponibles para consulta en el Sistema de relatoría de la Agencia, al cual se puede acceder a través del siguiente enlace:</w:t>
      </w:r>
      <w:r w:rsidRPr="008C03E8">
        <w:rPr>
          <w:rFonts w:ascii="Verdana" w:hAnsi="Verdana" w:cs="Arial"/>
          <w:shd w:val="clear" w:color="auto" w:fill="FFFFFF"/>
        </w:rPr>
        <w:t xml:space="preserve"> </w:t>
      </w:r>
      <w:hyperlink r:id="rId13" w:history="1">
        <w:r w:rsidRPr="008C03E8">
          <w:rPr>
            <w:rFonts w:ascii="Verdana" w:hAnsi="Verdana" w:cs="Arial"/>
            <w:color w:val="0563C1" w:themeColor="hyperlink"/>
            <w:u w:val="single"/>
            <w:shd w:val="clear" w:color="auto" w:fill="FFFFFF"/>
          </w:rPr>
          <w:t>https://relatoria.colombiacompra.gov.co/busqueda/conceptos</w:t>
        </w:r>
      </w:hyperlink>
      <w:r w:rsidRPr="008C03E8">
        <w:rPr>
          <w:rFonts w:ascii="Verdana" w:hAnsi="Verdana" w:cs="Arial"/>
          <w:shd w:val="clear" w:color="auto" w:fill="FFFFFF"/>
        </w:rPr>
        <w:t>.</w:t>
      </w:r>
      <w:r w:rsidRPr="008C03E8">
        <w:rPr>
          <w:rFonts w:ascii="Verdana" w:hAnsi="Verdana" w:cs="Arial"/>
          <w:color w:val="FF0000"/>
          <w:shd w:val="clear" w:color="auto" w:fill="FFFFFF"/>
        </w:rPr>
        <w:t xml:space="preserve"> </w:t>
      </w:r>
      <w:r w:rsidRPr="008C03E8">
        <w:rPr>
          <w:rFonts w:ascii="Verdana" w:hAnsi="Verdana" w:cs="Arial"/>
          <w:color w:val="000000" w:themeColor="text1"/>
          <w:shd w:val="clear" w:color="auto" w:fill="FFFFFF"/>
        </w:rPr>
        <w:t>  </w:t>
      </w:r>
    </w:p>
    <w:p w14:paraId="3578B1EF" w14:textId="77777777" w:rsidR="004345AB" w:rsidRPr="008C03E8" w:rsidRDefault="004345AB" w:rsidP="004345AB">
      <w:pPr>
        <w:shd w:val="clear" w:color="auto" w:fill="FFFFFF"/>
        <w:spacing w:after="120" w:line="276" w:lineRule="auto"/>
        <w:jc w:val="both"/>
        <w:textAlignment w:val="baseline"/>
        <w:rPr>
          <w:rFonts w:ascii="Verdana" w:eastAsia="Times New Roman" w:hAnsi="Verdana" w:cs="Times New Roman"/>
          <w:color w:val="242424"/>
          <w:lang w:eastAsia="es-CO"/>
        </w:rPr>
      </w:pPr>
      <w:r w:rsidRPr="008C03E8">
        <w:rPr>
          <w:rFonts w:ascii="Verdana" w:eastAsia="Times New Roman" w:hAnsi="Verdana" w:cs="Times New Roman"/>
          <w:color w:val="000000"/>
          <w:bdr w:val="none" w:sz="0" w:space="0" w:color="auto" w:frame="1"/>
          <w:lang w:eastAsia="es-CO"/>
        </w:rPr>
        <w:t>También le contamos que ya se encuentra disponible la </w:t>
      </w:r>
      <w:r w:rsidRPr="008C03E8">
        <w:rPr>
          <w:rFonts w:ascii="Verdana" w:eastAsia="Times New Roman" w:hAnsi="Verdana" w:cs="Times New Roman"/>
          <w:b/>
          <w:bCs/>
          <w:color w:val="000000"/>
          <w:bdr w:val="none" w:sz="0" w:space="0" w:color="auto" w:frame="1"/>
          <w:lang w:eastAsia="es-CO"/>
        </w:rPr>
        <w:t>Guía de lineamientos de transparencia y selección objetiva para el departamento de La Guajira – Objetivo sexto constitucional de la Sentencia T-302 del 2017. </w:t>
      </w:r>
      <w:r w:rsidRPr="008C03E8">
        <w:rPr>
          <w:rFonts w:ascii="Verdana" w:eastAsia="Times New Roman" w:hAnsi="Verdana" w:cs="Times New Roman"/>
          <w:color w:val="000000"/>
          <w:bdr w:val="none" w:sz="0" w:space="0" w:color="auto" w:frame="1"/>
          <w:lang w:eastAsia="es-CO"/>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8C03E8">
        <w:rPr>
          <w:rFonts w:ascii="Verdana" w:eastAsia="Times New Roman" w:hAnsi="Verdana" w:cs="Times New Roman"/>
          <w:color w:val="000000"/>
          <w:bdr w:val="none" w:sz="0" w:space="0" w:color="auto" w:frame="1"/>
          <w:lang w:eastAsia="es-CO"/>
        </w:rPr>
        <w:t>Wayúu</w:t>
      </w:r>
      <w:proofErr w:type="spellEnd"/>
      <w:r w:rsidRPr="008C03E8">
        <w:rPr>
          <w:rFonts w:ascii="Verdana" w:eastAsia="Times New Roman" w:hAnsi="Verdana" w:cs="Times New Roman"/>
          <w:color w:val="000000"/>
          <w:bdr w:val="none" w:sz="0" w:space="0" w:color="auto" w:frame="1"/>
          <w:lang w:eastAsia="es-CO"/>
        </w:rPr>
        <w:t>. Puede consultar la guía en el siguiente enlace: </w:t>
      </w:r>
      <w:hyperlink r:id="rId14" w:tgtFrame="_blank" w:tooltip="Dirección URL original: https://www.colombiacompra.gov.co/wp-content/uploads/2025/05/GUIA-DE-LINEAMIENTOS-DE-TRANSPARENCIA-Y-SELECCION-OBJETIVA-1.0.pdf. Haga clic o pulse si confía en este vínculo." w:history="1">
        <w:r w:rsidRPr="008C03E8">
          <w:rPr>
            <w:rFonts w:ascii="Verdana" w:eastAsia="Times New Roman" w:hAnsi="Verdana" w:cs="Times New Roman"/>
            <w:color w:val="467886"/>
            <w:u w:val="single"/>
            <w:bdr w:val="none" w:sz="0" w:space="0" w:color="auto" w:frame="1"/>
            <w:lang w:eastAsia="es-CO"/>
          </w:rPr>
          <w:t>Guía de lineamientos de transparencia y selección objetiva para el departamento de La Guajira – Objetivo sexto constitucional de la Sentencia T-302 del 2017</w:t>
        </w:r>
      </w:hyperlink>
      <w:r w:rsidRPr="008C03E8">
        <w:rPr>
          <w:rFonts w:ascii="Verdana" w:eastAsia="Times New Roman" w:hAnsi="Verdana" w:cs="Times New Roman"/>
          <w:color w:val="467886"/>
          <w:u w:val="single"/>
          <w:bdr w:val="none" w:sz="0" w:space="0" w:color="auto" w:frame="1"/>
          <w:lang w:eastAsia="es-CO"/>
        </w:rPr>
        <w:t>"</w:t>
      </w:r>
    </w:p>
    <w:p w14:paraId="724F0047" w14:textId="77777777" w:rsidR="004345AB" w:rsidRPr="008C03E8" w:rsidRDefault="004345AB" w:rsidP="004345AB">
      <w:pPr>
        <w:widowControl w:val="0"/>
        <w:autoSpaceDE w:val="0"/>
        <w:autoSpaceDN w:val="0"/>
        <w:spacing w:after="0" w:line="276" w:lineRule="auto"/>
        <w:jc w:val="both"/>
        <w:rPr>
          <w:rFonts w:ascii="Verdana" w:hAnsi="Verdana" w:cs="Arial"/>
        </w:rPr>
      </w:pPr>
      <w:r w:rsidRPr="008C03E8">
        <w:rPr>
          <w:rFonts w:ascii="Verdana" w:hAnsi="Verdana" w:cs="Ari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5BCA978E" w14:textId="77777777" w:rsidR="004345AB" w:rsidRPr="008C03E8" w:rsidRDefault="004345AB" w:rsidP="004345AB">
      <w:pPr>
        <w:widowControl w:val="0"/>
        <w:autoSpaceDE w:val="0"/>
        <w:autoSpaceDN w:val="0"/>
        <w:spacing w:after="0" w:line="276" w:lineRule="auto"/>
        <w:jc w:val="both"/>
        <w:rPr>
          <w:rFonts w:ascii="Verdana" w:hAnsi="Verdana" w:cs="Arial"/>
        </w:rPr>
      </w:pPr>
    </w:p>
    <w:p w14:paraId="062514DB" w14:textId="77777777" w:rsidR="004345AB" w:rsidRPr="008C03E8" w:rsidRDefault="004345AB" w:rsidP="004345AB">
      <w:pPr>
        <w:spacing w:after="0" w:line="276" w:lineRule="auto"/>
        <w:rPr>
          <w:rFonts w:ascii="Verdana" w:hAnsi="Verdana" w:cs="Arial"/>
          <w:lang w:eastAsia="es-CO"/>
        </w:rPr>
      </w:pPr>
      <w:r w:rsidRPr="008C03E8">
        <w:rPr>
          <w:rFonts w:ascii="Verdana" w:eastAsia="Times New Roman" w:hAnsi="Verdana" w:cs="Arial"/>
          <w:lang w:eastAsia="es-CO"/>
        </w:rPr>
        <w:t>Atentamente,</w:t>
      </w:r>
      <w:r w:rsidRPr="008C03E8">
        <w:rPr>
          <w:rFonts w:ascii="Verdana" w:hAnsi="Verdana" w:cs="Arial"/>
          <w:lang w:eastAsia="es-CO"/>
        </w:rPr>
        <w:t xml:space="preserve"> </w:t>
      </w:r>
    </w:p>
    <w:p w14:paraId="579DC91C" w14:textId="108388AE" w:rsidR="004345AB" w:rsidRPr="008C03E8" w:rsidRDefault="00FD34A6" w:rsidP="004345AB">
      <w:pPr>
        <w:spacing w:line="276" w:lineRule="auto"/>
        <w:jc w:val="center"/>
        <w:rPr>
          <w:rFonts w:ascii="Verdana" w:hAnsi="Verdana" w:cs="Arial"/>
          <w:color w:val="000000"/>
          <w:lang w:eastAsia="es-CO"/>
        </w:rPr>
      </w:pPr>
      <w:r>
        <w:rPr>
          <w:noProof/>
        </w:rPr>
        <w:lastRenderedPageBreak/>
        <w:drawing>
          <wp:inline distT="0" distB="0" distL="0" distR="0" wp14:anchorId="211F40D2" wp14:editId="47068850">
            <wp:extent cx="3771900" cy="1400175"/>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5"/>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4345AB" w:rsidRPr="008C03E8" w14:paraId="2848E56B" w14:textId="77777777" w:rsidTr="00E73D27">
        <w:trPr>
          <w:trHeight w:val="315"/>
        </w:trPr>
        <w:tc>
          <w:tcPr>
            <w:tcW w:w="893" w:type="dxa"/>
            <w:vAlign w:val="center"/>
            <w:hideMark/>
          </w:tcPr>
          <w:p w14:paraId="5B390FD0" w14:textId="77777777" w:rsidR="004345AB" w:rsidRPr="008C03E8" w:rsidRDefault="004345AB" w:rsidP="00E73D27">
            <w:pPr>
              <w:contextualSpacing/>
              <w:rPr>
                <w:rFonts w:ascii="Verdana" w:hAnsi="Verdana" w:cs="Arial"/>
                <w:sz w:val="16"/>
                <w:szCs w:val="16"/>
                <w:lang w:eastAsia="es-ES"/>
              </w:rPr>
            </w:pPr>
            <w:r w:rsidRPr="008C03E8">
              <w:rPr>
                <w:rFonts w:ascii="Verdana" w:hAnsi="Verdana" w:cs="Arial"/>
                <w:sz w:val="16"/>
                <w:szCs w:val="16"/>
                <w:lang w:eastAsia="es-ES"/>
              </w:rPr>
              <w:t>Elaboró:</w:t>
            </w:r>
          </w:p>
        </w:tc>
        <w:tc>
          <w:tcPr>
            <w:tcW w:w="5628" w:type="dxa"/>
            <w:tcBorders>
              <w:top w:val="nil"/>
              <w:left w:val="nil"/>
              <w:bottom w:val="dotted" w:sz="4" w:space="0" w:color="7F7F7F" w:themeColor="text1" w:themeTint="80"/>
              <w:right w:val="nil"/>
            </w:tcBorders>
            <w:vAlign w:val="center"/>
            <w:hideMark/>
          </w:tcPr>
          <w:p w14:paraId="372073D5" w14:textId="77777777" w:rsidR="004345AB" w:rsidRPr="008C03E8" w:rsidRDefault="004345AB" w:rsidP="00E73D27">
            <w:pPr>
              <w:contextualSpacing/>
              <w:rPr>
                <w:rFonts w:ascii="Verdana" w:hAnsi="Verdana"/>
                <w:sz w:val="16"/>
                <w:szCs w:val="16"/>
              </w:rPr>
            </w:pPr>
            <w:r w:rsidRPr="008C03E8">
              <w:rPr>
                <w:rFonts w:ascii="Verdana" w:hAnsi="Verdana"/>
                <w:sz w:val="16"/>
                <w:szCs w:val="16"/>
              </w:rPr>
              <w:t>Tatiana Baquero Iguarán</w:t>
            </w:r>
          </w:p>
          <w:p w14:paraId="730880FA" w14:textId="77777777" w:rsidR="004345AB" w:rsidRPr="008C03E8" w:rsidRDefault="004345AB" w:rsidP="00E73D27">
            <w:pPr>
              <w:contextualSpacing/>
              <w:rPr>
                <w:rFonts w:ascii="Verdana" w:eastAsia="Arial" w:hAnsi="Verdana" w:cs="Arial"/>
                <w:sz w:val="16"/>
                <w:szCs w:val="16"/>
              </w:rPr>
            </w:pPr>
            <w:r w:rsidRPr="008C03E8">
              <w:rPr>
                <w:rFonts w:ascii="Verdana" w:hAnsi="Verdana"/>
                <w:sz w:val="16"/>
                <w:szCs w:val="16"/>
              </w:rPr>
              <w:t>Contratista de la Subdirección de Gestión Contractual</w:t>
            </w:r>
          </w:p>
        </w:tc>
      </w:tr>
      <w:tr w:rsidR="004345AB" w:rsidRPr="008C03E8" w14:paraId="3D63B0E2" w14:textId="77777777" w:rsidTr="00E73D27">
        <w:trPr>
          <w:trHeight w:val="330"/>
        </w:trPr>
        <w:tc>
          <w:tcPr>
            <w:tcW w:w="893" w:type="dxa"/>
            <w:vAlign w:val="center"/>
            <w:hideMark/>
          </w:tcPr>
          <w:p w14:paraId="0F95F13F" w14:textId="77777777" w:rsidR="004345AB" w:rsidRPr="008C03E8" w:rsidRDefault="004345AB" w:rsidP="00E73D27">
            <w:pPr>
              <w:contextualSpacing/>
              <w:rPr>
                <w:rFonts w:ascii="Verdana" w:hAnsi="Verdana" w:cs="Arial"/>
                <w:sz w:val="16"/>
                <w:szCs w:val="16"/>
                <w:lang w:eastAsia="es-ES"/>
              </w:rPr>
            </w:pPr>
            <w:r w:rsidRPr="008C03E8">
              <w:rPr>
                <w:rFonts w:ascii="Verdana" w:hAnsi="Verdana" w:cs="Arial"/>
                <w:sz w:val="16"/>
                <w:szCs w:val="16"/>
                <w:lang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654BA48" w14:textId="77777777" w:rsidR="004345AB" w:rsidRPr="008C03E8" w:rsidRDefault="004345AB" w:rsidP="00E73D27">
            <w:pPr>
              <w:spacing w:before="100" w:beforeAutospacing="1" w:after="100" w:afterAutospacing="1"/>
              <w:contextualSpacing/>
              <w:textAlignment w:val="baseline"/>
              <w:rPr>
                <w:rFonts w:ascii="Verdana" w:eastAsia="Times New Roman" w:hAnsi="Verdana" w:cs="Segoe UI"/>
                <w:sz w:val="16"/>
                <w:szCs w:val="16"/>
                <w:lang w:eastAsia="es-ES_tradnl"/>
              </w:rPr>
            </w:pPr>
            <w:r w:rsidRPr="008C03E8">
              <w:rPr>
                <w:rFonts w:ascii="Verdana" w:eastAsia="Times New Roman" w:hAnsi="Verdana" w:cs="Segoe UI"/>
                <w:sz w:val="16"/>
                <w:szCs w:val="16"/>
                <w:lang w:eastAsia="es-ES_tradnl"/>
              </w:rPr>
              <w:t>Alejandro Raúl Sarmiento Cantillo</w:t>
            </w:r>
          </w:p>
          <w:p w14:paraId="7B7B1F10" w14:textId="77777777" w:rsidR="004345AB" w:rsidRPr="008C03E8" w:rsidRDefault="004345AB" w:rsidP="00E73D27">
            <w:pPr>
              <w:spacing w:before="100" w:beforeAutospacing="1" w:after="100" w:afterAutospacing="1"/>
              <w:contextualSpacing/>
              <w:textAlignment w:val="baseline"/>
              <w:rPr>
                <w:rFonts w:ascii="Verdana" w:eastAsia="Times New Roman" w:hAnsi="Verdana" w:cs="Segoe UI"/>
                <w:sz w:val="16"/>
                <w:szCs w:val="16"/>
                <w:lang w:eastAsia="es-ES_tradnl"/>
              </w:rPr>
            </w:pPr>
            <w:r w:rsidRPr="008C03E8">
              <w:rPr>
                <w:rFonts w:ascii="Verdana" w:eastAsia="Times New Roman" w:hAnsi="Verdana" w:cs="Segoe UI"/>
                <w:sz w:val="16"/>
                <w:szCs w:val="16"/>
                <w:lang w:eastAsia="es-ES_tradnl"/>
              </w:rPr>
              <w:t>Gestor T1-15 de la Subdirección de Gestión Contractual</w:t>
            </w:r>
          </w:p>
        </w:tc>
      </w:tr>
      <w:tr w:rsidR="004345AB" w:rsidRPr="008C03E8" w14:paraId="122A3CB6" w14:textId="77777777" w:rsidTr="00E73D27">
        <w:trPr>
          <w:trHeight w:val="300"/>
        </w:trPr>
        <w:tc>
          <w:tcPr>
            <w:tcW w:w="893" w:type="dxa"/>
            <w:vAlign w:val="center"/>
          </w:tcPr>
          <w:p w14:paraId="3485A28C" w14:textId="77777777" w:rsidR="004345AB" w:rsidRPr="008C03E8" w:rsidRDefault="004345AB" w:rsidP="00E73D27">
            <w:pPr>
              <w:contextualSpacing/>
              <w:rPr>
                <w:rFonts w:ascii="Verdana" w:hAnsi="Verdana" w:cs="Arial"/>
                <w:sz w:val="16"/>
                <w:szCs w:val="16"/>
                <w:lang w:eastAsia="es-ES"/>
              </w:rPr>
            </w:pPr>
            <w:r w:rsidRPr="008C03E8">
              <w:rPr>
                <w:rFonts w:ascii="Verdana" w:hAnsi="Verdana" w:cs="Arial"/>
                <w:sz w:val="16"/>
                <w:szCs w:val="16"/>
                <w:lang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05B9A38A" w14:textId="77777777" w:rsidR="004345AB" w:rsidRPr="008C03E8" w:rsidRDefault="004345AB" w:rsidP="00E73D27">
            <w:pPr>
              <w:contextualSpacing/>
              <w:rPr>
                <w:rFonts w:ascii="Verdana" w:eastAsia="Calibri" w:hAnsi="Verdana" w:cs="Arial"/>
                <w:sz w:val="16"/>
                <w:szCs w:val="16"/>
                <w:lang w:eastAsia="es-ES"/>
              </w:rPr>
            </w:pPr>
            <w:r w:rsidRPr="008C03E8">
              <w:rPr>
                <w:rFonts w:ascii="Verdana" w:eastAsia="Calibri" w:hAnsi="Verdana" w:cs="Arial"/>
                <w:sz w:val="16"/>
                <w:szCs w:val="16"/>
                <w:lang w:eastAsia="es-ES"/>
              </w:rPr>
              <w:t xml:space="preserve">Carolina Quintero </w:t>
            </w:r>
            <w:proofErr w:type="spellStart"/>
            <w:r w:rsidRPr="008C03E8">
              <w:rPr>
                <w:rFonts w:ascii="Verdana" w:eastAsia="Calibri" w:hAnsi="Verdana" w:cs="Arial"/>
                <w:sz w:val="16"/>
                <w:szCs w:val="16"/>
                <w:lang w:eastAsia="es-ES"/>
              </w:rPr>
              <w:t>Gacharná</w:t>
            </w:r>
            <w:proofErr w:type="spellEnd"/>
          </w:p>
          <w:p w14:paraId="3DC38DF8" w14:textId="77777777" w:rsidR="004345AB" w:rsidRPr="008C03E8" w:rsidRDefault="004345AB" w:rsidP="00E73D27">
            <w:pPr>
              <w:contextualSpacing/>
              <w:rPr>
                <w:rFonts w:ascii="Verdana" w:eastAsia="Calibri" w:hAnsi="Verdana" w:cs="Arial"/>
                <w:sz w:val="16"/>
                <w:szCs w:val="16"/>
                <w:lang w:eastAsia="es-ES"/>
              </w:rPr>
            </w:pPr>
            <w:r w:rsidRPr="008C03E8">
              <w:rPr>
                <w:rFonts w:ascii="Verdana" w:eastAsia="Calibri" w:hAnsi="Verdana" w:cs="Arial"/>
                <w:sz w:val="16"/>
                <w:szCs w:val="16"/>
                <w:lang w:eastAsia="es-ES"/>
              </w:rPr>
              <w:t>Subdirectora de Gestión Contractual ANCP – CCE</w:t>
            </w:r>
          </w:p>
        </w:tc>
      </w:tr>
    </w:tbl>
    <w:p w14:paraId="7967CEE1" w14:textId="77777777" w:rsidR="004345AB" w:rsidRPr="008C03E8" w:rsidRDefault="004345AB" w:rsidP="004345AB">
      <w:pPr>
        <w:spacing w:after="0" w:line="240" w:lineRule="auto"/>
        <w:rPr>
          <w:rFonts w:ascii="Verdana" w:eastAsia="Geomanist Light" w:hAnsi="Verdana" w:cs="Arial"/>
          <w:color w:val="000000" w:themeColor="text1"/>
        </w:rPr>
      </w:pPr>
    </w:p>
    <w:p w14:paraId="1E7899DB" w14:textId="77777777" w:rsidR="004345AB" w:rsidRPr="008C03E8" w:rsidRDefault="004345AB" w:rsidP="004345AB">
      <w:pPr>
        <w:spacing w:after="0" w:line="240" w:lineRule="auto"/>
        <w:rPr>
          <w:rFonts w:ascii="Verdana" w:eastAsia="Geomanist Light" w:hAnsi="Verdana" w:cs="Arial"/>
          <w:color w:val="000000" w:themeColor="text1"/>
        </w:rPr>
      </w:pPr>
    </w:p>
    <w:p w14:paraId="13B333D0" w14:textId="77777777" w:rsidR="004345AB" w:rsidRPr="008C03E8" w:rsidRDefault="004345AB" w:rsidP="004345AB">
      <w:pPr>
        <w:spacing w:after="0" w:line="240" w:lineRule="auto"/>
        <w:rPr>
          <w:rFonts w:ascii="Verdana" w:eastAsia="Geomanist Light" w:hAnsi="Verdana" w:cs="Arial"/>
          <w:color w:val="000000" w:themeColor="text1"/>
        </w:rPr>
      </w:pPr>
    </w:p>
    <w:p w14:paraId="5CD77074" w14:textId="77777777" w:rsidR="004345AB" w:rsidRPr="002D4EBE" w:rsidRDefault="004345AB" w:rsidP="004345AB"/>
    <w:p w14:paraId="2E1945CE" w14:textId="77777777" w:rsidR="004345AB" w:rsidRPr="00B078CE" w:rsidRDefault="004345AB" w:rsidP="00530472">
      <w:pPr>
        <w:jc w:val="both"/>
        <w:rPr>
          <w:rFonts w:ascii="Verdana" w:hAnsi="Verdana" w:cs="Arial"/>
          <w:bCs/>
          <w:color w:val="000000" w:themeColor="text1"/>
          <w:sz w:val="20"/>
          <w:szCs w:val="20"/>
        </w:rPr>
      </w:pPr>
    </w:p>
    <w:bookmarkEnd w:id="0"/>
    <w:sectPr w:rsidR="004345AB" w:rsidRPr="00B078CE" w:rsidSect="00C44B4C">
      <w:headerReference w:type="default" r:id="rId16"/>
      <w:footerReference w:type="default" r:id="rId17"/>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92478B" w14:textId="77777777" w:rsidR="004F024F" w:rsidRPr="009B7987" w:rsidRDefault="004F024F" w:rsidP="00B30448">
      <w:pPr>
        <w:spacing w:after="0" w:line="240" w:lineRule="auto"/>
      </w:pPr>
      <w:r w:rsidRPr="009B7987">
        <w:separator/>
      </w:r>
    </w:p>
  </w:endnote>
  <w:endnote w:type="continuationSeparator" w:id="0">
    <w:p w14:paraId="7AACE215" w14:textId="77777777" w:rsidR="004F024F" w:rsidRPr="009B7987" w:rsidRDefault="004F024F" w:rsidP="00B30448">
      <w:pPr>
        <w:spacing w:after="0" w:line="240" w:lineRule="auto"/>
      </w:pPr>
      <w:r w:rsidRPr="009B7987">
        <w:continuationSeparator/>
      </w:r>
    </w:p>
  </w:endnote>
  <w:endnote w:type="continuationNotice" w:id="1">
    <w:p w14:paraId="64EC650E" w14:textId="77777777" w:rsidR="004F024F" w:rsidRPr="009B7987" w:rsidRDefault="004F024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9C0E4" w14:textId="77777777" w:rsidR="00A81E50" w:rsidRPr="009B7987" w:rsidRDefault="00A81E50" w:rsidP="00A81E50">
    <w:pPr>
      <w:pBdr>
        <w:top w:val="single" w:sz="4" w:space="1" w:color="auto"/>
      </w:pBdr>
      <w:spacing w:after="0"/>
      <w:rPr>
        <w:rFonts w:ascii="Verdana" w:hAnsi="Verdana"/>
        <w:b/>
        <w:bCs/>
        <w:sz w:val="20"/>
        <w:szCs w:val="20"/>
      </w:rPr>
    </w:pPr>
    <w:r w:rsidRPr="009B7987">
      <w:rPr>
        <w:rFonts w:ascii="Verdana" w:hAnsi="Verdana"/>
        <w:b/>
        <w:bCs/>
        <w:sz w:val="20"/>
        <w:szCs w:val="20"/>
      </w:rPr>
      <w:t xml:space="preserve">Agencia Nacional de Contratación Pública                                              </w:t>
    </w:r>
    <w:r w:rsidRPr="009B7987">
      <w:rPr>
        <w:rFonts w:ascii="Verdana" w:eastAsiaTheme="majorEastAsia" w:hAnsi="Verdana" w:cstheme="majorBidi"/>
        <w:b/>
        <w:bCs/>
        <w:sz w:val="16"/>
        <w:szCs w:val="16"/>
      </w:rPr>
      <w:t xml:space="preserve">pág. </w:t>
    </w:r>
    <w:r w:rsidRPr="009B7987">
      <w:rPr>
        <w:rFonts w:ascii="Verdana" w:eastAsiaTheme="minorEastAsia" w:hAnsi="Verdana"/>
        <w:b/>
        <w:bCs/>
        <w:sz w:val="16"/>
        <w:szCs w:val="16"/>
      </w:rPr>
      <w:fldChar w:fldCharType="begin"/>
    </w:r>
    <w:r w:rsidRPr="009B7987">
      <w:rPr>
        <w:rFonts w:ascii="Verdana" w:hAnsi="Verdana"/>
        <w:b/>
        <w:bCs/>
        <w:sz w:val="16"/>
        <w:szCs w:val="16"/>
      </w:rPr>
      <w:instrText>PAGE    \* MERGEFORMAT</w:instrText>
    </w:r>
    <w:r w:rsidRPr="009B7987">
      <w:rPr>
        <w:rFonts w:ascii="Verdana" w:eastAsiaTheme="minorEastAsia" w:hAnsi="Verdana"/>
        <w:b/>
        <w:bCs/>
        <w:sz w:val="16"/>
        <w:szCs w:val="16"/>
      </w:rPr>
      <w:fldChar w:fldCharType="separate"/>
    </w:r>
    <w:r w:rsidRPr="009B7987">
      <w:rPr>
        <w:rFonts w:ascii="Verdana" w:eastAsiaTheme="minorEastAsia" w:hAnsi="Verdana"/>
        <w:b/>
        <w:bCs/>
        <w:sz w:val="16"/>
        <w:szCs w:val="16"/>
      </w:rPr>
      <w:t>1</w:t>
    </w:r>
    <w:r w:rsidRPr="009B7987">
      <w:rPr>
        <w:rFonts w:ascii="Verdana" w:eastAsiaTheme="majorEastAsia" w:hAnsi="Verdana" w:cstheme="majorBidi"/>
        <w:b/>
        <w:bCs/>
        <w:sz w:val="16"/>
        <w:szCs w:val="16"/>
      </w:rPr>
      <w:fldChar w:fldCharType="end"/>
    </w:r>
    <w:r w:rsidRPr="009B7987">
      <w:rPr>
        <w:rFonts w:ascii="Verdana" w:hAnsi="Verdana"/>
        <w:b/>
        <w:bCs/>
        <w:sz w:val="20"/>
        <w:szCs w:val="20"/>
      </w:rPr>
      <w:t xml:space="preserve">              Colombia Compra Eficiente                                                            </w:t>
    </w:r>
  </w:p>
  <w:p w14:paraId="4FC9CAA9" w14:textId="77777777" w:rsidR="00A81E50" w:rsidRPr="009B7987" w:rsidRDefault="00A81E50" w:rsidP="00A81E50">
    <w:pPr>
      <w:spacing w:after="0"/>
      <w:jc w:val="both"/>
      <w:rPr>
        <w:rFonts w:ascii="Verdana" w:hAnsi="Verdana"/>
        <w:sz w:val="18"/>
        <w:szCs w:val="18"/>
      </w:rPr>
    </w:pPr>
    <w:r w:rsidRPr="009B7987">
      <w:rPr>
        <w:rFonts w:ascii="Verdana" w:hAnsi="Verdana"/>
        <w:sz w:val="18"/>
        <w:szCs w:val="18"/>
      </w:rPr>
      <w:t>Dirección: Carrera 7 # 26 – 20 - Bogotá, Colombia</w:t>
    </w:r>
  </w:p>
  <w:p w14:paraId="0B709B73" w14:textId="77777777" w:rsidR="00A81E50" w:rsidRPr="009B7987" w:rsidRDefault="00A81E50" w:rsidP="00A81E50">
    <w:pPr>
      <w:spacing w:after="0"/>
      <w:jc w:val="both"/>
      <w:rPr>
        <w:rFonts w:ascii="Verdana" w:hAnsi="Verdana"/>
        <w:sz w:val="18"/>
        <w:szCs w:val="18"/>
      </w:rPr>
    </w:pPr>
    <w:r w:rsidRPr="009B7987">
      <w:rPr>
        <w:rFonts w:ascii="Verdana" w:hAnsi="Verdana"/>
        <w:sz w:val="18"/>
        <w:szCs w:val="18"/>
      </w:rPr>
      <w:t>Mesa de servicio: (+57) 601 7456788</w:t>
    </w:r>
  </w:p>
  <w:p w14:paraId="224AB27F" w14:textId="77777777" w:rsidR="00DD7A2C" w:rsidRPr="009B7987" w:rsidRDefault="00A81E50" w:rsidP="00C00976">
    <w:pPr>
      <w:pBdr>
        <w:top w:val="nil"/>
        <w:left w:val="nil"/>
        <w:bottom w:val="nil"/>
        <w:right w:val="nil"/>
        <w:between w:val="nil"/>
      </w:pBdr>
      <w:tabs>
        <w:tab w:val="center" w:pos="4419"/>
        <w:tab w:val="right" w:pos="8838"/>
        <w:tab w:val="center" w:pos="5400"/>
      </w:tabs>
      <w:spacing w:after="0"/>
      <w:rPr>
        <w:rFonts w:ascii="Verdana" w:hAnsi="Verdana"/>
        <w:sz w:val="20"/>
        <w:szCs w:val="20"/>
      </w:rPr>
    </w:pPr>
    <w:r w:rsidRPr="009B7987">
      <w:rPr>
        <w:rFonts w:ascii="Verdana" w:hAnsi="Verdana"/>
        <w:sz w:val="18"/>
        <w:szCs w:val="18"/>
      </w:rPr>
      <w:t>Atención al ciudadano: (+57) 601 7956600</w:t>
    </w:r>
    <w:r w:rsidRPr="009B7987">
      <w:rPr>
        <w:rFonts w:ascii="Verdana" w:hAnsi="Verdana"/>
        <w:sz w:val="20"/>
        <w:szCs w:val="20"/>
      </w:rPr>
      <w:t xml:space="preserve">         </w:t>
    </w:r>
  </w:p>
  <w:p w14:paraId="2B8DBB2A" w14:textId="26AE77D2" w:rsidR="00A81E50" w:rsidRPr="009B7987" w:rsidRDefault="00A81E50" w:rsidP="00DD7A2C">
    <w:pPr>
      <w:pBdr>
        <w:top w:val="nil"/>
        <w:left w:val="nil"/>
        <w:bottom w:val="nil"/>
        <w:right w:val="nil"/>
        <w:between w:val="nil"/>
      </w:pBdr>
      <w:tabs>
        <w:tab w:val="center" w:pos="4419"/>
        <w:tab w:val="right" w:pos="8838"/>
        <w:tab w:val="center" w:pos="5400"/>
      </w:tabs>
      <w:spacing w:after="0"/>
      <w:jc w:val="right"/>
    </w:pPr>
    <w:r w:rsidRPr="009B7987">
      <w:rPr>
        <w:rFonts w:ascii="Verdana" w:hAnsi="Verdana"/>
        <w:sz w:val="20"/>
        <w:szCs w:val="20"/>
      </w:rPr>
      <w:t xml:space="preserve"> </w:t>
    </w:r>
    <w:r w:rsidRPr="009B7987">
      <w:rPr>
        <w:rFonts w:ascii="Verdana" w:eastAsia="Geo" w:hAnsi="Verdana" w:cs="Geo"/>
        <w:bCs/>
        <w:color w:val="000000"/>
        <w:sz w:val="16"/>
        <w:szCs w:val="16"/>
        <w:lang w:eastAsia="es-CO"/>
      </w:rPr>
      <w:t>Código: CCE-REC-FM-13 Versión</w:t>
    </w:r>
    <w:r w:rsidRPr="009B7987">
      <w:rPr>
        <w:rFonts w:ascii="Verdana" w:eastAsia="Arial Nova" w:hAnsi="Verdana" w:cs="Arial Nova"/>
        <w:bCs/>
        <w:color w:val="000000"/>
        <w:sz w:val="16"/>
        <w:szCs w:val="16"/>
        <w:lang w:eastAsia="es-CO"/>
      </w:rPr>
      <w:t>:</w:t>
    </w:r>
    <w:r w:rsidRPr="009B7987">
      <w:rPr>
        <w:rFonts w:ascii="Verdana" w:eastAsia="Arial Nova" w:hAnsi="Verdana" w:cs="Arial Nova"/>
        <w:b/>
        <w:color w:val="000000"/>
        <w:sz w:val="16"/>
        <w:szCs w:val="16"/>
        <w:lang w:eastAsia="es-CO"/>
      </w:rPr>
      <w:t xml:space="preserve"> </w:t>
    </w:r>
    <w:r w:rsidRPr="009B7987">
      <w:rPr>
        <w:rFonts w:ascii="Verdana" w:eastAsia="Geo" w:hAnsi="Verdana" w:cs="Geo"/>
        <w:sz w:val="16"/>
        <w:szCs w:val="16"/>
        <w:lang w:eastAsia="es-CO"/>
      </w:rPr>
      <w:t>01 Fecha:15-06-2023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ED4B4D" w14:textId="77777777" w:rsidR="004F024F" w:rsidRPr="009B7987" w:rsidRDefault="004F024F" w:rsidP="00B30448">
      <w:pPr>
        <w:spacing w:after="0" w:line="240" w:lineRule="auto"/>
      </w:pPr>
      <w:r w:rsidRPr="009B7987">
        <w:separator/>
      </w:r>
    </w:p>
  </w:footnote>
  <w:footnote w:type="continuationSeparator" w:id="0">
    <w:p w14:paraId="0E18465A" w14:textId="77777777" w:rsidR="004F024F" w:rsidRPr="009B7987" w:rsidRDefault="004F024F" w:rsidP="00B30448">
      <w:pPr>
        <w:spacing w:after="0" w:line="240" w:lineRule="auto"/>
      </w:pPr>
      <w:r w:rsidRPr="009B7987">
        <w:continuationSeparator/>
      </w:r>
    </w:p>
  </w:footnote>
  <w:footnote w:type="continuationNotice" w:id="1">
    <w:p w14:paraId="0E9EC236" w14:textId="77777777" w:rsidR="004F024F" w:rsidRPr="009B7987" w:rsidRDefault="004F024F">
      <w:pPr>
        <w:spacing w:after="0" w:line="240" w:lineRule="auto"/>
      </w:pPr>
    </w:p>
  </w:footnote>
  <w:footnote w:id="2">
    <w:p w14:paraId="4AC795FB" w14:textId="77777777" w:rsidR="004345AB" w:rsidRPr="001E453D" w:rsidRDefault="004345AB" w:rsidP="004345AB">
      <w:pPr>
        <w:pStyle w:val="Textonotapie"/>
        <w:ind w:firstLine="708"/>
        <w:jc w:val="both"/>
        <w:rPr>
          <w:rFonts w:ascii="Verdana" w:hAnsi="Verdana"/>
          <w:sz w:val="16"/>
          <w:szCs w:val="16"/>
          <w:lang w:val="es-ES"/>
        </w:rPr>
      </w:pPr>
      <w:r w:rsidRPr="001E453D">
        <w:rPr>
          <w:rStyle w:val="Refdenotaalpie"/>
          <w:rFonts w:ascii="Verdana" w:hAnsi="Verdana"/>
          <w:sz w:val="16"/>
          <w:szCs w:val="16"/>
        </w:rPr>
        <w:footnoteRef/>
      </w:r>
      <w:r w:rsidRPr="001E453D">
        <w:rPr>
          <w:rFonts w:ascii="Verdana" w:hAnsi="Verdana"/>
          <w:sz w:val="16"/>
          <w:szCs w:val="16"/>
        </w:rPr>
        <w:t xml:space="preserve"> CORTE CONSTITUCIONAL. Sentencia C-949 del 5 de septiembre de 2001. M.P. Clara Inés Vargas Hernández.  </w:t>
      </w:r>
    </w:p>
  </w:footnote>
  <w:footnote w:id="3">
    <w:p w14:paraId="65D1933A" w14:textId="77777777" w:rsidR="004345AB" w:rsidRPr="001E453D" w:rsidRDefault="004345AB" w:rsidP="004345AB">
      <w:pPr>
        <w:pStyle w:val="Textonotapie"/>
        <w:ind w:firstLine="708"/>
        <w:jc w:val="both"/>
        <w:rPr>
          <w:rFonts w:ascii="Verdana" w:hAnsi="Verdana"/>
          <w:sz w:val="16"/>
          <w:szCs w:val="16"/>
          <w:lang w:val="es-ES"/>
        </w:rPr>
      </w:pPr>
      <w:r w:rsidRPr="001E453D">
        <w:rPr>
          <w:rStyle w:val="Refdenotaalpie"/>
          <w:rFonts w:ascii="Verdana" w:hAnsi="Verdana"/>
          <w:sz w:val="16"/>
          <w:szCs w:val="16"/>
        </w:rPr>
        <w:footnoteRef/>
      </w:r>
      <w:r w:rsidRPr="001E453D">
        <w:rPr>
          <w:rFonts w:ascii="Verdana" w:hAnsi="Verdana"/>
          <w:sz w:val="16"/>
          <w:szCs w:val="16"/>
        </w:rPr>
        <w:t xml:space="preserve"> Consejo de Estado. Sección Tercera. Sentencia del 27 de abril de 2011. </w:t>
      </w:r>
      <w:r w:rsidRPr="001E453D">
        <w:rPr>
          <w:rFonts w:ascii="Verdana" w:hAnsi="Verdana"/>
          <w:sz w:val="16"/>
          <w:szCs w:val="16"/>
        </w:rPr>
        <w:t>Exp. 18.293. C.P. Ruth Stella Correa Palacio.</w:t>
      </w:r>
    </w:p>
  </w:footnote>
  <w:footnote w:id="4">
    <w:p w14:paraId="3409F821" w14:textId="77777777" w:rsidR="004345AB" w:rsidRPr="001E453D" w:rsidRDefault="004345AB" w:rsidP="004345AB">
      <w:pPr>
        <w:pStyle w:val="Textonotapie"/>
        <w:ind w:firstLine="708"/>
        <w:jc w:val="both"/>
        <w:rPr>
          <w:rFonts w:ascii="Verdana" w:hAnsi="Verdana"/>
          <w:sz w:val="16"/>
          <w:szCs w:val="16"/>
          <w:lang w:val="es-ES"/>
        </w:rPr>
      </w:pPr>
      <w:r w:rsidRPr="001E453D">
        <w:rPr>
          <w:rStyle w:val="Refdenotaalpie"/>
          <w:rFonts w:ascii="Verdana" w:hAnsi="Verdana"/>
          <w:sz w:val="16"/>
          <w:szCs w:val="16"/>
        </w:rPr>
        <w:footnoteRef/>
      </w:r>
      <w:r w:rsidRPr="001E453D">
        <w:rPr>
          <w:rFonts w:ascii="Verdana" w:hAnsi="Verdana"/>
          <w:sz w:val="16"/>
          <w:szCs w:val="16"/>
        </w:rPr>
        <w:t xml:space="preserve"> Consejo de Estado. Sección Tercera. Sentencia del 21 de noviembre de 2013 Exp. 25397. C.P. Carlos Alberto Zambrano Barrera.</w:t>
      </w:r>
    </w:p>
  </w:footnote>
  <w:footnote w:id="5">
    <w:p w14:paraId="7D80DE94" w14:textId="77777777" w:rsidR="004345AB" w:rsidRPr="001E453D" w:rsidRDefault="004345AB" w:rsidP="004345AB">
      <w:pPr>
        <w:spacing w:after="0" w:line="240" w:lineRule="auto"/>
        <w:ind w:firstLine="708"/>
        <w:jc w:val="both"/>
        <w:rPr>
          <w:rFonts w:ascii="Verdana" w:eastAsia="Arial" w:hAnsi="Verdana" w:cs="Arial"/>
          <w:color w:val="000000"/>
          <w:sz w:val="16"/>
          <w:szCs w:val="16"/>
        </w:rPr>
      </w:pPr>
      <w:r w:rsidRPr="001E453D">
        <w:rPr>
          <w:rFonts w:ascii="Verdana" w:hAnsi="Verdana" w:cs="Arial"/>
          <w:sz w:val="16"/>
          <w:szCs w:val="16"/>
          <w:vertAlign w:val="superscript"/>
        </w:rPr>
        <w:footnoteRef/>
      </w:r>
      <w:r w:rsidRPr="001E453D">
        <w:rPr>
          <w:rFonts w:ascii="Verdana" w:eastAsia="Arial" w:hAnsi="Verdana" w:cs="Arial"/>
          <w:color w:val="000000"/>
          <w:sz w:val="16"/>
          <w:szCs w:val="16"/>
        </w:rPr>
        <w:t xml:space="preserve"> Al respecto, conviene recordar el artículo 29 de la Ley 80 de 1993, derogado por el artículo 32 de la Ley 1150 de 2007, que establecía: “La selección de contratistas será objetiva.</w:t>
      </w:r>
    </w:p>
    <w:p w14:paraId="53E7D6BD" w14:textId="77777777" w:rsidR="004345AB" w:rsidRPr="001E453D" w:rsidRDefault="004345AB" w:rsidP="004345AB">
      <w:pPr>
        <w:spacing w:after="0" w:line="240" w:lineRule="auto"/>
        <w:jc w:val="both"/>
        <w:rPr>
          <w:rFonts w:ascii="Verdana" w:eastAsia="Arial" w:hAnsi="Verdana" w:cs="Arial"/>
          <w:color w:val="000000"/>
          <w:sz w:val="16"/>
          <w:szCs w:val="16"/>
        </w:rPr>
      </w:pPr>
      <w:r w:rsidRPr="001E453D">
        <w:rPr>
          <w:rFonts w:ascii="Verdana" w:eastAsia="Arial" w:hAnsi="Verdana" w:cs="Arial"/>
          <w:color w:val="000000"/>
          <w:sz w:val="16"/>
          <w:szCs w:val="16"/>
        </w:rPr>
        <w:t>Es objetiva la selección en la cual la escogencia se hace al ofrecimiento más favorable a la entidad y a los fines que ella busca, sin tener en consideración factores de afecto o de interés y, en general, cualquier clase de motivación subjetiva.</w:t>
      </w:r>
    </w:p>
    <w:p w14:paraId="0025FDFC" w14:textId="77777777" w:rsidR="004345AB" w:rsidRPr="001E453D" w:rsidRDefault="004345AB" w:rsidP="004345AB">
      <w:pPr>
        <w:spacing w:after="0" w:line="240" w:lineRule="auto"/>
        <w:jc w:val="both"/>
        <w:rPr>
          <w:rFonts w:ascii="Verdana" w:eastAsia="Arial" w:hAnsi="Verdana" w:cs="Arial"/>
          <w:color w:val="000000"/>
          <w:sz w:val="16"/>
          <w:szCs w:val="16"/>
        </w:rPr>
      </w:pPr>
      <w:r w:rsidRPr="001E453D">
        <w:rPr>
          <w:rFonts w:ascii="Verdana" w:eastAsia="Arial" w:hAnsi="Verdana" w:cs="Arial"/>
          <w:color w:val="000000"/>
          <w:sz w:val="16"/>
          <w:szCs w:val="16"/>
        </w:rPr>
        <w:t xml:space="preserve">Ofrecimiento más favorable es aquel que, teniendo en cuenta los factores de escogencia, tales como cumplimiento, experiencia, organización, equipos, plazo, precio y la ponderación precisa, detallada y concreta de los mismos, contenida en los pliegos de condiciones o términos de referencia o en el análisis previo a la suscripción del contrato, si se trata de contratación directa, resulta ser el más ventajoso para la entidad, sin que la favorabilidad la constituyan factores diferentes a los contenidos en dichos documentos, sólo alguno de ellos, el más bajo precio o el plazo ofrecido. El menor plazo que se ofrezca inferior al solicitado en los </w:t>
      </w:r>
      <w:r w:rsidRPr="001E453D">
        <w:rPr>
          <w:rFonts w:ascii="Verdana" w:eastAsia="Arial" w:hAnsi="Verdana" w:cs="Arial"/>
          <w:color w:val="000000"/>
          <w:sz w:val="16"/>
          <w:szCs w:val="16"/>
        </w:rPr>
        <w:t>pliegos, no será objeto de evaluación”.</w:t>
      </w:r>
    </w:p>
    <w:p w14:paraId="4C8D608C" w14:textId="77777777" w:rsidR="004345AB" w:rsidRPr="001E453D" w:rsidRDefault="004345AB" w:rsidP="004345AB">
      <w:pPr>
        <w:spacing w:after="0" w:line="240" w:lineRule="auto"/>
        <w:jc w:val="both"/>
        <w:rPr>
          <w:rFonts w:ascii="Verdana" w:eastAsia="Arial" w:hAnsi="Verdana" w:cs="Arial"/>
          <w:color w:val="000000"/>
          <w:sz w:val="16"/>
          <w:szCs w:val="16"/>
        </w:rPr>
      </w:pPr>
      <w:r w:rsidRPr="001E453D">
        <w:rPr>
          <w:rFonts w:ascii="Verdana" w:eastAsia="Arial" w:hAnsi="Verdana" w:cs="Arial"/>
          <w:color w:val="000000"/>
          <w:sz w:val="16"/>
          <w:szCs w:val="16"/>
        </w:rPr>
        <w:t>El administrador efectuará las comparaciones del caso mediante el cotejo de los diferentes ofrecimientos recibidos, la consulta de precios o condiciones del mercado y los estudios y deducciones de la entidad o de los organismos consultores o asesores designados para ello.</w:t>
      </w:r>
    </w:p>
    <w:p w14:paraId="66BDB6F2" w14:textId="77777777" w:rsidR="004345AB" w:rsidRPr="001E453D" w:rsidRDefault="004345AB" w:rsidP="004345AB">
      <w:pPr>
        <w:spacing w:after="0" w:line="240" w:lineRule="auto"/>
        <w:jc w:val="both"/>
        <w:rPr>
          <w:rFonts w:ascii="Verdana" w:eastAsia="Arial" w:hAnsi="Verdana" w:cs="Arial"/>
          <w:color w:val="000000"/>
          <w:sz w:val="16"/>
          <w:szCs w:val="16"/>
        </w:rPr>
      </w:pPr>
      <w:r w:rsidRPr="001E453D">
        <w:rPr>
          <w:rFonts w:ascii="Verdana" w:eastAsia="Arial" w:hAnsi="Verdana" w:cs="Arial"/>
          <w:color w:val="000000"/>
          <w:sz w:val="16"/>
          <w:szCs w:val="16"/>
        </w:rPr>
        <w:t>En caso de comparación de propuestas nacionales y extranjeras, se incluirán los costos necesarios para la entrega del producto terminado en el lugar de su utilización”.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49BFF" w14:textId="77777777" w:rsidR="00006F59" w:rsidRPr="009B7987" w:rsidRDefault="00006F59" w:rsidP="00006F59">
    <w:pPr>
      <w:pStyle w:val="Encabezado"/>
    </w:pPr>
    <w:r w:rsidRPr="009B7987">
      <w:rPr>
        <w:rFonts w:ascii="Geomanist Bold" w:hAnsi="Geomanist Bold"/>
        <w:b/>
        <w:bCs/>
        <w:noProof/>
        <w:color w:val="002060"/>
        <w:sz w:val="24"/>
        <w:szCs w:val="24"/>
      </w:rPr>
      <w:drawing>
        <wp:anchor distT="0" distB="0" distL="114300" distR="114300" simplePos="0" relativeHeight="251658241" behindDoc="1" locked="0" layoutInCell="1" allowOverlap="1" wp14:anchorId="4812B632" wp14:editId="2E35C64A">
          <wp:simplePos x="0" y="0"/>
          <wp:positionH relativeFrom="margin">
            <wp:align>center</wp:align>
          </wp:positionH>
          <wp:positionV relativeFrom="paragraph">
            <wp:posOffset>-250190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Pr="009B7987">
      <w:rPr>
        <w:rFonts w:ascii="Geomanist Bold" w:hAnsi="Geomanist Bold"/>
        <w:b/>
        <w:bCs/>
        <w:noProof/>
        <w:color w:val="002060"/>
        <w:sz w:val="24"/>
        <w:szCs w:val="24"/>
      </w:rPr>
      <w:drawing>
        <wp:anchor distT="0" distB="0" distL="114300" distR="114300" simplePos="0" relativeHeight="251658240" behindDoc="0" locked="0" layoutInCell="1" allowOverlap="1" wp14:anchorId="292DC36A" wp14:editId="6004C65E">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34B171C2" w14:textId="77777777" w:rsidR="00006F59" w:rsidRPr="009B7987" w:rsidRDefault="00006F59" w:rsidP="00006F59">
    <w:pPr>
      <w:pStyle w:val="Encabezado"/>
      <w:jc w:val="center"/>
    </w:pPr>
  </w:p>
  <w:p w14:paraId="1665FD71" w14:textId="77777777" w:rsidR="00006F59" w:rsidRPr="009B7987" w:rsidRDefault="00006F59" w:rsidP="00006F59">
    <w:pPr>
      <w:pStyle w:val="Encabezado"/>
    </w:pPr>
  </w:p>
  <w:p w14:paraId="61B882FC" w14:textId="77777777" w:rsidR="00006F59" w:rsidRPr="009B7987" w:rsidRDefault="00006F59" w:rsidP="00006F59">
    <w:pPr>
      <w:spacing w:after="0"/>
      <w:rPr>
        <w:rFonts w:ascii="Verdana" w:hAnsi="Verdana"/>
        <w:b/>
        <w:bCs/>
        <w:sz w:val="24"/>
        <w:szCs w:val="24"/>
      </w:rPr>
    </w:pPr>
  </w:p>
  <w:p w14:paraId="701A9D55" w14:textId="29EB49FC" w:rsidR="00006F59" w:rsidRPr="009B7987" w:rsidRDefault="00006F59" w:rsidP="001918F1">
    <w:pPr>
      <w:tabs>
        <w:tab w:val="left" w:pos="6217"/>
      </w:tabs>
      <w:spacing w:after="0"/>
      <w:rPr>
        <w:rFonts w:ascii="Verdana" w:hAnsi="Verdana"/>
        <w:b/>
        <w:bCs/>
        <w:sz w:val="24"/>
        <w:szCs w:val="24"/>
      </w:rPr>
    </w:pPr>
    <w:r w:rsidRPr="009B7987">
      <w:rPr>
        <w:rFonts w:ascii="Verdana" w:hAnsi="Verdana"/>
        <w:b/>
        <w:bCs/>
        <w:sz w:val="24"/>
        <w:szCs w:val="24"/>
      </w:rPr>
      <w:t>FORMATO PQRSD</w:t>
    </w:r>
  </w:p>
  <w:p w14:paraId="68E0C024" w14:textId="62811F13" w:rsidR="00B30448" w:rsidRPr="009B7987" w:rsidRDefault="00B30448" w:rsidP="00006F5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5E83FFA"/>
    <w:multiLevelType w:val="hybridMultilevel"/>
    <w:tmpl w:val="8EF612C4"/>
    <w:lvl w:ilvl="0" w:tplc="DCA0A69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 w15:restartNumberingAfterBreak="0">
    <w:nsid w:val="10EA08ED"/>
    <w:multiLevelType w:val="multilevel"/>
    <w:tmpl w:val="4A46E8C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1287756A"/>
    <w:multiLevelType w:val="multilevel"/>
    <w:tmpl w:val="8D2C41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F33A59"/>
    <w:multiLevelType w:val="multilevel"/>
    <w:tmpl w:val="5664C1C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15F34FE4"/>
    <w:multiLevelType w:val="multilevel"/>
    <w:tmpl w:val="679438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416AAB"/>
    <w:multiLevelType w:val="multilevel"/>
    <w:tmpl w:val="BDB6870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17F83FA5"/>
    <w:multiLevelType w:val="hybridMultilevel"/>
    <w:tmpl w:val="C40A6050"/>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8" w15:restartNumberingAfterBreak="0">
    <w:nsid w:val="223E681F"/>
    <w:multiLevelType w:val="multilevel"/>
    <w:tmpl w:val="531E051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22677ADB"/>
    <w:multiLevelType w:val="multilevel"/>
    <w:tmpl w:val="FA008E7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239D63F5"/>
    <w:multiLevelType w:val="hybridMultilevel"/>
    <w:tmpl w:val="F538EEB4"/>
    <w:lvl w:ilvl="0" w:tplc="DB68C6FA">
      <w:numFmt w:val="bullet"/>
      <w:lvlText w:val="-"/>
      <w:lvlJc w:val="left"/>
      <w:pPr>
        <w:ind w:left="1069" w:hanging="360"/>
      </w:pPr>
      <w:rPr>
        <w:rFonts w:ascii="Verdana" w:eastAsia="Calibri" w:hAnsi="Verdana"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11" w15:restartNumberingAfterBreak="0">
    <w:nsid w:val="2F2143A1"/>
    <w:multiLevelType w:val="hybridMultilevel"/>
    <w:tmpl w:val="4EB84EEC"/>
    <w:lvl w:ilvl="0" w:tplc="5E185100">
      <w:start w:val="1"/>
      <w:numFmt w:val="lowerRoman"/>
      <w:lvlText w:val="%1)"/>
      <w:lvlJc w:val="left"/>
      <w:pPr>
        <w:ind w:left="2136" w:hanging="720"/>
      </w:pPr>
      <w:rPr>
        <w:rFonts w:hint="default"/>
      </w:rPr>
    </w:lvl>
    <w:lvl w:ilvl="1" w:tplc="240A0019" w:tentative="1">
      <w:start w:val="1"/>
      <w:numFmt w:val="lowerLetter"/>
      <w:lvlText w:val="%2."/>
      <w:lvlJc w:val="left"/>
      <w:pPr>
        <w:ind w:left="2496" w:hanging="360"/>
      </w:pPr>
    </w:lvl>
    <w:lvl w:ilvl="2" w:tplc="240A001B" w:tentative="1">
      <w:start w:val="1"/>
      <w:numFmt w:val="lowerRoman"/>
      <w:lvlText w:val="%3."/>
      <w:lvlJc w:val="right"/>
      <w:pPr>
        <w:ind w:left="3216" w:hanging="180"/>
      </w:pPr>
    </w:lvl>
    <w:lvl w:ilvl="3" w:tplc="240A000F" w:tentative="1">
      <w:start w:val="1"/>
      <w:numFmt w:val="decimal"/>
      <w:lvlText w:val="%4."/>
      <w:lvlJc w:val="left"/>
      <w:pPr>
        <w:ind w:left="3936" w:hanging="360"/>
      </w:pPr>
    </w:lvl>
    <w:lvl w:ilvl="4" w:tplc="240A0019" w:tentative="1">
      <w:start w:val="1"/>
      <w:numFmt w:val="lowerLetter"/>
      <w:lvlText w:val="%5."/>
      <w:lvlJc w:val="left"/>
      <w:pPr>
        <w:ind w:left="4656" w:hanging="360"/>
      </w:pPr>
    </w:lvl>
    <w:lvl w:ilvl="5" w:tplc="240A001B" w:tentative="1">
      <w:start w:val="1"/>
      <w:numFmt w:val="lowerRoman"/>
      <w:lvlText w:val="%6."/>
      <w:lvlJc w:val="right"/>
      <w:pPr>
        <w:ind w:left="5376" w:hanging="180"/>
      </w:pPr>
    </w:lvl>
    <w:lvl w:ilvl="6" w:tplc="240A000F" w:tentative="1">
      <w:start w:val="1"/>
      <w:numFmt w:val="decimal"/>
      <w:lvlText w:val="%7."/>
      <w:lvlJc w:val="left"/>
      <w:pPr>
        <w:ind w:left="6096" w:hanging="360"/>
      </w:pPr>
    </w:lvl>
    <w:lvl w:ilvl="7" w:tplc="240A0019" w:tentative="1">
      <w:start w:val="1"/>
      <w:numFmt w:val="lowerLetter"/>
      <w:lvlText w:val="%8."/>
      <w:lvlJc w:val="left"/>
      <w:pPr>
        <w:ind w:left="6816" w:hanging="360"/>
      </w:pPr>
    </w:lvl>
    <w:lvl w:ilvl="8" w:tplc="240A001B" w:tentative="1">
      <w:start w:val="1"/>
      <w:numFmt w:val="lowerRoman"/>
      <w:lvlText w:val="%9."/>
      <w:lvlJc w:val="right"/>
      <w:pPr>
        <w:ind w:left="7536" w:hanging="180"/>
      </w:pPr>
    </w:lvl>
  </w:abstractNum>
  <w:abstractNum w:abstractNumId="12" w15:restartNumberingAfterBreak="0">
    <w:nsid w:val="2F2F4AAF"/>
    <w:multiLevelType w:val="hybridMultilevel"/>
    <w:tmpl w:val="8780C6F4"/>
    <w:lvl w:ilvl="0" w:tplc="55946782">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3" w15:restartNumberingAfterBreak="0">
    <w:nsid w:val="2FD956BC"/>
    <w:multiLevelType w:val="multilevel"/>
    <w:tmpl w:val="7D42BAB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2FDB2676"/>
    <w:multiLevelType w:val="multilevel"/>
    <w:tmpl w:val="6B32E22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6" w15:restartNumberingAfterBreak="0">
    <w:nsid w:val="364F404B"/>
    <w:multiLevelType w:val="multilevel"/>
    <w:tmpl w:val="7862D8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88E5AE1"/>
    <w:multiLevelType w:val="hybridMultilevel"/>
    <w:tmpl w:val="1B62FAF4"/>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39CD3660"/>
    <w:multiLevelType w:val="hybridMultilevel"/>
    <w:tmpl w:val="DCEE24D0"/>
    <w:lvl w:ilvl="0" w:tplc="7D9E7E62">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0" w15:restartNumberingAfterBreak="0">
    <w:nsid w:val="3D5D596E"/>
    <w:multiLevelType w:val="hybridMultilevel"/>
    <w:tmpl w:val="88DE2ABC"/>
    <w:lvl w:ilvl="0" w:tplc="ECF04718">
      <w:start w:val="1"/>
      <w:numFmt w:val="lowerRoman"/>
      <w:lvlText w:val="%1)"/>
      <w:lvlJc w:val="left"/>
      <w:pPr>
        <w:ind w:left="1429" w:hanging="720"/>
      </w:pPr>
      <w:rPr>
        <w:rFonts w:ascii="Verdana" w:eastAsia="Calibri" w:hAnsi="Verdana" w:cs="Arial"/>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1" w15:restartNumberingAfterBreak="0">
    <w:nsid w:val="418679D0"/>
    <w:multiLevelType w:val="hybridMultilevel"/>
    <w:tmpl w:val="F2F430A2"/>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2" w15:restartNumberingAfterBreak="0">
    <w:nsid w:val="474439E1"/>
    <w:multiLevelType w:val="multilevel"/>
    <w:tmpl w:val="7960C4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75C5A77"/>
    <w:multiLevelType w:val="hybridMultilevel"/>
    <w:tmpl w:val="F5321E28"/>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4" w15:restartNumberingAfterBreak="0">
    <w:nsid w:val="4C2578F1"/>
    <w:multiLevelType w:val="hybridMultilevel"/>
    <w:tmpl w:val="1C0C61AA"/>
    <w:lvl w:ilvl="0" w:tplc="0DAE4A5C">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 w15:restartNumberingAfterBreak="0">
    <w:nsid w:val="50A4622B"/>
    <w:multiLevelType w:val="hybridMultilevel"/>
    <w:tmpl w:val="E41ED338"/>
    <w:lvl w:ilvl="0" w:tplc="FBC0C1AE">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6" w15:restartNumberingAfterBreak="0">
    <w:nsid w:val="51060F1F"/>
    <w:multiLevelType w:val="multilevel"/>
    <w:tmpl w:val="7C706A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22C350D"/>
    <w:multiLevelType w:val="hybridMultilevel"/>
    <w:tmpl w:val="89B6917E"/>
    <w:lvl w:ilvl="0" w:tplc="A7B2FCBE">
      <w:start w:val="1"/>
      <w:numFmt w:val="decimal"/>
      <w:lvlText w:val="%1."/>
      <w:lvlJc w:val="left"/>
      <w:pPr>
        <w:ind w:left="1494" w:hanging="360"/>
      </w:pPr>
      <w:rPr>
        <w:rFonts w:hint="default"/>
      </w:rPr>
    </w:lvl>
    <w:lvl w:ilvl="1" w:tplc="240A0019" w:tentative="1">
      <w:start w:val="1"/>
      <w:numFmt w:val="lowerLetter"/>
      <w:lvlText w:val="%2."/>
      <w:lvlJc w:val="left"/>
      <w:pPr>
        <w:ind w:left="2214" w:hanging="360"/>
      </w:pPr>
    </w:lvl>
    <w:lvl w:ilvl="2" w:tplc="240A001B" w:tentative="1">
      <w:start w:val="1"/>
      <w:numFmt w:val="lowerRoman"/>
      <w:lvlText w:val="%3."/>
      <w:lvlJc w:val="right"/>
      <w:pPr>
        <w:ind w:left="2934" w:hanging="180"/>
      </w:pPr>
    </w:lvl>
    <w:lvl w:ilvl="3" w:tplc="240A000F" w:tentative="1">
      <w:start w:val="1"/>
      <w:numFmt w:val="decimal"/>
      <w:lvlText w:val="%4."/>
      <w:lvlJc w:val="left"/>
      <w:pPr>
        <w:ind w:left="3654" w:hanging="360"/>
      </w:pPr>
    </w:lvl>
    <w:lvl w:ilvl="4" w:tplc="240A0019" w:tentative="1">
      <w:start w:val="1"/>
      <w:numFmt w:val="lowerLetter"/>
      <w:lvlText w:val="%5."/>
      <w:lvlJc w:val="left"/>
      <w:pPr>
        <w:ind w:left="4374" w:hanging="360"/>
      </w:pPr>
    </w:lvl>
    <w:lvl w:ilvl="5" w:tplc="240A001B" w:tentative="1">
      <w:start w:val="1"/>
      <w:numFmt w:val="lowerRoman"/>
      <w:lvlText w:val="%6."/>
      <w:lvlJc w:val="right"/>
      <w:pPr>
        <w:ind w:left="5094" w:hanging="180"/>
      </w:pPr>
    </w:lvl>
    <w:lvl w:ilvl="6" w:tplc="240A000F" w:tentative="1">
      <w:start w:val="1"/>
      <w:numFmt w:val="decimal"/>
      <w:lvlText w:val="%7."/>
      <w:lvlJc w:val="left"/>
      <w:pPr>
        <w:ind w:left="5814" w:hanging="360"/>
      </w:pPr>
    </w:lvl>
    <w:lvl w:ilvl="7" w:tplc="240A0019" w:tentative="1">
      <w:start w:val="1"/>
      <w:numFmt w:val="lowerLetter"/>
      <w:lvlText w:val="%8."/>
      <w:lvlJc w:val="left"/>
      <w:pPr>
        <w:ind w:left="6534" w:hanging="360"/>
      </w:pPr>
    </w:lvl>
    <w:lvl w:ilvl="8" w:tplc="240A001B" w:tentative="1">
      <w:start w:val="1"/>
      <w:numFmt w:val="lowerRoman"/>
      <w:lvlText w:val="%9."/>
      <w:lvlJc w:val="right"/>
      <w:pPr>
        <w:ind w:left="7254" w:hanging="180"/>
      </w:pPr>
    </w:lvl>
  </w:abstractNum>
  <w:abstractNum w:abstractNumId="28" w15:restartNumberingAfterBreak="0">
    <w:nsid w:val="540506B6"/>
    <w:multiLevelType w:val="hybridMultilevel"/>
    <w:tmpl w:val="974E041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9" w15:restartNumberingAfterBreak="0">
    <w:nsid w:val="5A676181"/>
    <w:multiLevelType w:val="multilevel"/>
    <w:tmpl w:val="D30E7A7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0" w15:restartNumberingAfterBreak="0">
    <w:nsid w:val="5D373E5A"/>
    <w:multiLevelType w:val="multilevel"/>
    <w:tmpl w:val="6D4C81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04178A9"/>
    <w:multiLevelType w:val="hybridMultilevel"/>
    <w:tmpl w:val="7486A3C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2" w15:restartNumberingAfterBreak="0">
    <w:nsid w:val="620101A4"/>
    <w:multiLevelType w:val="hybridMultilevel"/>
    <w:tmpl w:val="717C38BE"/>
    <w:lvl w:ilvl="0" w:tplc="FFFFFFFF">
      <w:start w:val="1"/>
      <w:numFmt w:val="lowerRoman"/>
      <w:lvlText w:val="%1)"/>
      <w:lvlJc w:val="left"/>
      <w:pPr>
        <w:ind w:left="1429" w:hanging="720"/>
      </w:pPr>
      <w:rPr>
        <w:rFonts w:ascii="Verdana" w:eastAsia="Calibri" w:hAnsi="Verdana" w:cs="Arial"/>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33" w15:restartNumberingAfterBreak="0">
    <w:nsid w:val="6E1F5A1C"/>
    <w:multiLevelType w:val="multilevel"/>
    <w:tmpl w:val="7096C5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7681820"/>
    <w:multiLevelType w:val="hybridMultilevel"/>
    <w:tmpl w:val="978A042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5" w15:restartNumberingAfterBreak="0">
    <w:nsid w:val="7DD23916"/>
    <w:multiLevelType w:val="multilevel"/>
    <w:tmpl w:val="89F2A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30140246">
    <w:abstractNumId w:val="0"/>
  </w:num>
  <w:num w:numId="2" w16cid:durableId="1492209491">
    <w:abstractNumId w:val="15"/>
  </w:num>
  <w:num w:numId="3" w16cid:durableId="679089576">
    <w:abstractNumId w:val="19"/>
  </w:num>
  <w:num w:numId="4" w16cid:durableId="893472101">
    <w:abstractNumId w:val="10"/>
  </w:num>
  <w:num w:numId="5" w16cid:durableId="1982299905">
    <w:abstractNumId w:val="35"/>
  </w:num>
  <w:num w:numId="6" w16cid:durableId="130758360">
    <w:abstractNumId w:val="23"/>
  </w:num>
  <w:num w:numId="7" w16cid:durableId="262541512">
    <w:abstractNumId w:val="34"/>
  </w:num>
  <w:num w:numId="8" w16cid:durableId="1947226218">
    <w:abstractNumId w:val="18"/>
  </w:num>
  <w:num w:numId="9" w16cid:durableId="1180706126">
    <w:abstractNumId w:val="21"/>
  </w:num>
  <w:num w:numId="10" w16cid:durableId="2097506960">
    <w:abstractNumId w:val="31"/>
  </w:num>
  <w:num w:numId="11" w16cid:durableId="1977490869">
    <w:abstractNumId w:val="28"/>
  </w:num>
  <w:num w:numId="12" w16cid:durableId="158663248">
    <w:abstractNumId w:val="27"/>
  </w:num>
  <w:num w:numId="13" w16cid:durableId="2024085788">
    <w:abstractNumId w:val="1"/>
  </w:num>
  <w:num w:numId="14" w16cid:durableId="1885099950">
    <w:abstractNumId w:val="17"/>
  </w:num>
  <w:num w:numId="15" w16cid:durableId="32047459">
    <w:abstractNumId w:val="11"/>
  </w:num>
  <w:num w:numId="16" w16cid:durableId="1192261824">
    <w:abstractNumId w:val="12"/>
  </w:num>
  <w:num w:numId="17" w16cid:durableId="375933272">
    <w:abstractNumId w:val="20"/>
  </w:num>
  <w:num w:numId="18" w16cid:durableId="610939998">
    <w:abstractNumId w:val="32"/>
  </w:num>
  <w:num w:numId="19" w16cid:durableId="456604943">
    <w:abstractNumId w:val="29"/>
  </w:num>
  <w:num w:numId="20" w16cid:durableId="999042847">
    <w:abstractNumId w:val="24"/>
  </w:num>
  <w:num w:numId="21" w16cid:durableId="742532337">
    <w:abstractNumId w:val="25"/>
  </w:num>
  <w:num w:numId="22" w16cid:durableId="556209593">
    <w:abstractNumId w:val="19"/>
  </w:num>
  <w:num w:numId="23" w16cid:durableId="1331369064">
    <w:abstractNumId w:val="26"/>
  </w:num>
  <w:num w:numId="24" w16cid:durableId="62797440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339582111">
    <w:abstractNumId w:val="22"/>
  </w:num>
  <w:num w:numId="26" w16cid:durableId="27918766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91559291">
    <w:abstractNumId w:val="30"/>
  </w:num>
  <w:num w:numId="28" w16cid:durableId="92217713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786198248">
    <w:abstractNumId w:val="33"/>
  </w:num>
  <w:num w:numId="30" w16cid:durableId="9235383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871918868">
    <w:abstractNumId w:val="3"/>
  </w:num>
  <w:num w:numId="32" w16cid:durableId="105500680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957524628">
    <w:abstractNumId w:val="5"/>
  </w:num>
  <w:num w:numId="34" w16cid:durableId="11711384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303465731">
    <w:abstractNumId w:val="16"/>
  </w:num>
  <w:num w:numId="36" w16cid:durableId="9273522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512770824">
    <w:abstractNumId w:val="7"/>
  </w:num>
  <w:num w:numId="38" w16cid:durableId="205666347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1B12"/>
    <w:rsid w:val="00001B99"/>
    <w:rsid w:val="00001E39"/>
    <w:rsid w:val="00002920"/>
    <w:rsid w:val="00002D55"/>
    <w:rsid w:val="0000399A"/>
    <w:rsid w:val="00004C0D"/>
    <w:rsid w:val="00005225"/>
    <w:rsid w:val="000054DB"/>
    <w:rsid w:val="00005683"/>
    <w:rsid w:val="0000587D"/>
    <w:rsid w:val="000059AE"/>
    <w:rsid w:val="00005BB0"/>
    <w:rsid w:val="0000600F"/>
    <w:rsid w:val="00006F59"/>
    <w:rsid w:val="00007382"/>
    <w:rsid w:val="0001025F"/>
    <w:rsid w:val="0001155E"/>
    <w:rsid w:val="00011613"/>
    <w:rsid w:val="00011D3C"/>
    <w:rsid w:val="0001222D"/>
    <w:rsid w:val="00012679"/>
    <w:rsid w:val="00012EDA"/>
    <w:rsid w:val="00013B3F"/>
    <w:rsid w:val="00014981"/>
    <w:rsid w:val="00014B0D"/>
    <w:rsid w:val="00015500"/>
    <w:rsid w:val="00016280"/>
    <w:rsid w:val="0001672C"/>
    <w:rsid w:val="00016F04"/>
    <w:rsid w:val="00017870"/>
    <w:rsid w:val="00021068"/>
    <w:rsid w:val="0002154F"/>
    <w:rsid w:val="00021595"/>
    <w:rsid w:val="000219D1"/>
    <w:rsid w:val="00021C3A"/>
    <w:rsid w:val="0002202D"/>
    <w:rsid w:val="00022088"/>
    <w:rsid w:val="00022C23"/>
    <w:rsid w:val="00023DF7"/>
    <w:rsid w:val="0002412A"/>
    <w:rsid w:val="000265BA"/>
    <w:rsid w:val="000267DD"/>
    <w:rsid w:val="000273EA"/>
    <w:rsid w:val="00027B63"/>
    <w:rsid w:val="00027CA9"/>
    <w:rsid w:val="00030B3D"/>
    <w:rsid w:val="00030BC5"/>
    <w:rsid w:val="00030BFB"/>
    <w:rsid w:val="00031DA1"/>
    <w:rsid w:val="00031EAF"/>
    <w:rsid w:val="00033390"/>
    <w:rsid w:val="00034B01"/>
    <w:rsid w:val="00035E15"/>
    <w:rsid w:val="000361EA"/>
    <w:rsid w:val="000369C0"/>
    <w:rsid w:val="0003731A"/>
    <w:rsid w:val="00037A8B"/>
    <w:rsid w:val="00040372"/>
    <w:rsid w:val="0004066D"/>
    <w:rsid w:val="000408AD"/>
    <w:rsid w:val="00041469"/>
    <w:rsid w:val="0004180C"/>
    <w:rsid w:val="000419D7"/>
    <w:rsid w:val="00042DD7"/>
    <w:rsid w:val="00043075"/>
    <w:rsid w:val="000442CC"/>
    <w:rsid w:val="000442DE"/>
    <w:rsid w:val="00044B24"/>
    <w:rsid w:val="0004508D"/>
    <w:rsid w:val="0004709D"/>
    <w:rsid w:val="000504AA"/>
    <w:rsid w:val="0005086B"/>
    <w:rsid w:val="00050C95"/>
    <w:rsid w:val="00050CAD"/>
    <w:rsid w:val="0005142D"/>
    <w:rsid w:val="00051A3C"/>
    <w:rsid w:val="00051BE4"/>
    <w:rsid w:val="00051E96"/>
    <w:rsid w:val="000526A8"/>
    <w:rsid w:val="000529BB"/>
    <w:rsid w:val="00052EF1"/>
    <w:rsid w:val="0005420B"/>
    <w:rsid w:val="000548F8"/>
    <w:rsid w:val="000551CB"/>
    <w:rsid w:val="0005620B"/>
    <w:rsid w:val="00057392"/>
    <w:rsid w:val="000577A2"/>
    <w:rsid w:val="000577D3"/>
    <w:rsid w:val="00057963"/>
    <w:rsid w:val="000579AB"/>
    <w:rsid w:val="00060AE4"/>
    <w:rsid w:val="00060D81"/>
    <w:rsid w:val="000622B9"/>
    <w:rsid w:val="0006377C"/>
    <w:rsid w:val="00063B4B"/>
    <w:rsid w:val="00064721"/>
    <w:rsid w:val="00064D60"/>
    <w:rsid w:val="00065973"/>
    <w:rsid w:val="00065C6D"/>
    <w:rsid w:val="000663AC"/>
    <w:rsid w:val="000665D3"/>
    <w:rsid w:val="00066646"/>
    <w:rsid w:val="00066C7A"/>
    <w:rsid w:val="00066CF1"/>
    <w:rsid w:val="00070EF9"/>
    <w:rsid w:val="0007144A"/>
    <w:rsid w:val="000716AB"/>
    <w:rsid w:val="00071AB8"/>
    <w:rsid w:val="0007243A"/>
    <w:rsid w:val="000762C0"/>
    <w:rsid w:val="00076436"/>
    <w:rsid w:val="00076737"/>
    <w:rsid w:val="00076C2B"/>
    <w:rsid w:val="00076C73"/>
    <w:rsid w:val="00076F81"/>
    <w:rsid w:val="000779DE"/>
    <w:rsid w:val="000800B6"/>
    <w:rsid w:val="00080FBF"/>
    <w:rsid w:val="00081B03"/>
    <w:rsid w:val="000847A0"/>
    <w:rsid w:val="00084BFD"/>
    <w:rsid w:val="0008503D"/>
    <w:rsid w:val="00087073"/>
    <w:rsid w:val="0008739A"/>
    <w:rsid w:val="000875BD"/>
    <w:rsid w:val="000878E7"/>
    <w:rsid w:val="00087A3B"/>
    <w:rsid w:val="00087C01"/>
    <w:rsid w:val="000903E4"/>
    <w:rsid w:val="000906E3"/>
    <w:rsid w:val="00091D73"/>
    <w:rsid w:val="000933B5"/>
    <w:rsid w:val="000933BC"/>
    <w:rsid w:val="00093544"/>
    <w:rsid w:val="00093D95"/>
    <w:rsid w:val="00094663"/>
    <w:rsid w:val="00095410"/>
    <w:rsid w:val="00095E48"/>
    <w:rsid w:val="00096637"/>
    <w:rsid w:val="0009726B"/>
    <w:rsid w:val="00097285"/>
    <w:rsid w:val="000975EA"/>
    <w:rsid w:val="000A021A"/>
    <w:rsid w:val="000A1828"/>
    <w:rsid w:val="000A1D06"/>
    <w:rsid w:val="000A1F38"/>
    <w:rsid w:val="000A2030"/>
    <w:rsid w:val="000A3202"/>
    <w:rsid w:val="000A37F5"/>
    <w:rsid w:val="000A413A"/>
    <w:rsid w:val="000A4F1E"/>
    <w:rsid w:val="000A5881"/>
    <w:rsid w:val="000A66A1"/>
    <w:rsid w:val="000A69FB"/>
    <w:rsid w:val="000A7E21"/>
    <w:rsid w:val="000B1087"/>
    <w:rsid w:val="000B199A"/>
    <w:rsid w:val="000B1FF7"/>
    <w:rsid w:val="000B2529"/>
    <w:rsid w:val="000B2B7C"/>
    <w:rsid w:val="000B377E"/>
    <w:rsid w:val="000B381D"/>
    <w:rsid w:val="000B3DD4"/>
    <w:rsid w:val="000B4024"/>
    <w:rsid w:val="000B44BA"/>
    <w:rsid w:val="000B5311"/>
    <w:rsid w:val="000B5313"/>
    <w:rsid w:val="000B5C65"/>
    <w:rsid w:val="000B6BE9"/>
    <w:rsid w:val="000B7C9B"/>
    <w:rsid w:val="000C02AD"/>
    <w:rsid w:val="000C060A"/>
    <w:rsid w:val="000C07B0"/>
    <w:rsid w:val="000C09DF"/>
    <w:rsid w:val="000C0AA8"/>
    <w:rsid w:val="000C18BD"/>
    <w:rsid w:val="000C1FC8"/>
    <w:rsid w:val="000C36E1"/>
    <w:rsid w:val="000C42A9"/>
    <w:rsid w:val="000C42C6"/>
    <w:rsid w:val="000C50D6"/>
    <w:rsid w:val="000C557B"/>
    <w:rsid w:val="000C5A85"/>
    <w:rsid w:val="000C5F29"/>
    <w:rsid w:val="000C5F48"/>
    <w:rsid w:val="000C66BF"/>
    <w:rsid w:val="000C6E56"/>
    <w:rsid w:val="000D0372"/>
    <w:rsid w:val="000D0ADE"/>
    <w:rsid w:val="000D1A8F"/>
    <w:rsid w:val="000D2914"/>
    <w:rsid w:val="000D2E60"/>
    <w:rsid w:val="000D2F50"/>
    <w:rsid w:val="000D3275"/>
    <w:rsid w:val="000D3A1B"/>
    <w:rsid w:val="000D3B86"/>
    <w:rsid w:val="000D5008"/>
    <w:rsid w:val="000D52BD"/>
    <w:rsid w:val="000D570C"/>
    <w:rsid w:val="000D5A0F"/>
    <w:rsid w:val="000D5B1E"/>
    <w:rsid w:val="000D5D9B"/>
    <w:rsid w:val="000D5E3F"/>
    <w:rsid w:val="000D6532"/>
    <w:rsid w:val="000D68D4"/>
    <w:rsid w:val="000D6E33"/>
    <w:rsid w:val="000E0622"/>
    <w:rsid w:val="000E07AA"/>
    <w:rsid w:val="000E1D6F"/>
    <w:rsid w:val="000E2420"/>
    <w:rsid w:val="000E2D0D"/>
    <w:rsid w:val="000E3381"/>
    <w:rsid w:val="000E3744"/>
    <w:rsid w:val="000E3CD9"/>
    <w:rsid w:val="000E481D"/>
    <w:rsid w:val="000E4DBF"/>
    <w:rsid w:val="000E4DF2"/>
    <w:rsid w:val="000E77CC"/>
    <w:rsid w:val="000F0144"/>
    <w:rsid w:val="000F0807"/>
    <w:rsid w:val="000F080D"/>
    <w:rsid w:val="000F0B3C"/>
    <w:rsid w:val="000F13D5"/>
    <w:rsid w:val="000F1AD8"/>
    <w:rsid w:val="000F2F4C"/>
    <w:rsid w:val="000F38D9"/>
    <w:rsid w:val="000F3CED"/>
    <w:rsid w:val="000F414C"/>
    <w:rsid w:val="000F64FC"/>
    <w:rsid w:val="000F696E"/>
    <w:rsid w:val="000F6C10"/>
    <w:rsid w:val="000F718E"/>
    <w:rsid w:val="001001F2"/>
    <w:rsid w:val="00100207"/>
    <w:rsid w:val="001003C6"/>
    <w:rsid w:val="00100682"/>
    <w:rsid w:val="001010D3"/>
    <w:rsid w:val="0010144A"/>
    <w:rsid w:val="00101C11"/>
    <w:rsid w:val="00102F4F"/>
    <w:rsid w:val="001034DD"/>
    <w:rsid w:val="001043DA"/>
    <w:rsid w:val="00104425"/>
    <w:rsid w:val="00104B4C"/>
    <w:rsid w:val="001055A2"/>
    <w:rsid w:val="00106502"/>
    <w:rsid w:val="0010682A"/>
    <w:rsid w:val="00106C4C"/>
    <w:rsid w:val="00107DEF"/>
    <w:rsid w:val="00107F47"/>
    <w:rsid w:val="0011037E"/>
    <w:rsid w:val="00110404"/>
    <w:rsid w:val="001109E8"/>
    <w:rsid w:val="00110F73"/>
    <w:rsid w:val="00111E35"/>
    <w:rsid w:val="001128B4"/>
    <w:rsid w:val="00112EBD"/>
    <w:rsid w:val="001132C2"/>
    <w:rsid w:val="0011382D"/>
    <w:rsid w:val="00113AF2"/>
    <w:rsid w:val="00113C17"/>
    <w:rsid w:val="00114051"/>
    <w:rsid w:val="00114973"/>
    <w:rsid w:val="00114CFF"/>
    <w:rsid w:val="00114FDF"/>
    <w:rsid w:val="0011650B"/>
    <w:rsid w:val="00116616"/>
    <w:rsid w:val="00116FC5"/>
    <w:rsid w:val="00117163"/>
    <w:rsid w:val="00117BBD"/>
    <w:rsid w:val="001202DF"/>
    <w:rsid w:val="00120F1B"/>
    <w:rsid w:val="001213E7"/>
    <w:rsid w:val="001224BA"/>
    <w:rsid w:val="001238BC"/>
    <w:rsid w:val="00123AC4"/>
    <w:rsid w:val="00124518"/>
    <w:rsid w:val="001248AB"/>
    <w:rsid w:val="00124981"/>
    <w:rsid w:val="00124B2E"/>
    <w:rsid w:val="001256A1"/>
    <w:rsid w:val="00125D81"/>
    <w:rsid w:val="00126301"/>
    <w:rsid w:val="0012661F"/>
    <w:rsid w:val="001266A0"/>
    <w:rsid w:val="00126966"/>
    <w:rsid w:val="001269B0"/>
    <w:rsid w:val="00126B24"/>
    <w:rsid w:val="00127234"/>
    <w:rsid w:val="001276C4"/>
    <w:rsid w:val="00127941"/>
    <w:rsid w:val="00127C68"/>
    <w:rsid w:val="00127D5B"/>
    <w:rsid w:val="00130431"/>
    <w:rsid w:val="00131373"/>
    <w:rsid w:val="001314A0"/>
    <w:rsid w:val="00131A1F"/>
    <w:rsid w:val="00131A66"/>
    <w:rsid w:val="00131F9C"/>
    <w:rsid w:val="00132336"/>
    <w:rsid w:val="00132425"/>
    <w:rsid w:val="0013280A"/>
    <w:rsid w:val="001332B6"/>
    <w:rsid w:val="0013343F"/>
    <w:rsid w:val="001344F9"/>
    <w:rsid w:val="00134F37"/>
    <w:rsid w:val="00135F76"/>
    <w:rsid w:val="001360E9"/>
    <w:rsid w:val="001360F4"/>
    <w:rsid w:val="001363C7"/>
    <w:rsid w:val="00136E87"/>
    <w:rsid w:val="00137994"/>
    <w:rsid w:val="00140793"/>
    <w:rsid w:val="001422BD"/>
    <w:rsid w:val="0014286D"/>
    <w:rsid w:val="00143B8E"/>
    <w:rsid w:val="00143F21"/>
    <w:rsid w:val="0014420C"/>
    <w:rsid w:val="0014456B"/>
    <w:rsid w:val="001446C3"/>
    <w:rsid w:val="00144834"/>
    <w:rsid w:val="001461A7"/>
    <w:rsid w:val="00146946"/>
    <w:rsid w:val="00146E7C"/>
    <w:rsid w:val="00147B24"/>
    <w:rsid w:val="00150492"/>
    <w:rsid w:val="001513CE"/>
    <w:rsid w:val="00151465"/>
    <w:rsid w:val="00151AD8"/>
    <w:rsid w:val="00151D67"/>
    <w:rsid w:val="00151E77"/>
    <w:rsid w:val="00153287"/>
    <w:rsid w:val="001533E6"/>
    <w:rsid w:val="00153479"/>
    <w:rsid w:val="001538BE"/>
    <w:rsid w:val="00153C33"/>
    <w:rsid w:val="00153FD3"/>
    <w:rsid w:val="00155198"/>
    <w:rsid w:val="00155EF1"/>
    <w:rsid w:val="00156192"/>
    <w:rsid w:val="00156E57"/>
    <w:rsid w:val="0015710D"/>
    <w:rsid w:val="00157338"/>
    <w:rsid w:val="00157CE5"/>
    <w:rsid w:val="00157DEB"/>
    <w:rsid w:val="001610BC"/>
    <w:rsid w:val="00161847"/>
    <w:rsid w:val="00161A74"/>
    <w:rsid w:val="00161E13"/>
    <w:rsid w:val="001629D8"/>
    <w:rsid w:val="00162B2A"/>
    <w:rsid w:val="00162B43"/>
    <w:rsid w:val="00162B8D"/>
    <w:rsid w:val="00162F9F"/>
    <w:rsid w:val="00164803"/>
    <w:rsid w:val="00164AE0"/>
    <w:rsid w:val="00165BF5"/>
    <w:rsid w:val="0016646A"/>
    <w:rsid w:val="00166AF7"/>
    <w:rsid w:val="00167C43"/>
    <w:rsid w:val="001706C9"/>
    <w:rsid w:val="0017120C"/>
    <w:rsid w:val="0017150D"/>
    <w:rsid w:val="001727D7"/>
    <w:rsid w:val="0017298F"/>
    <w:rsid w:val="00172C96"/>
    <w:rsid w:val="00172DDC"/>
    <w:rsid w:val="00172F3A"/>
    <w:rsid w:val="00172FC3"/>
    <w:rsid w:val="00173477"/>
    <w:rsid w:val="0017414F"/>
    <w:rsid w:val="0017432C"/>
    <w:rsid w:val="00174636"/>
    <w:rsid w:val="00174735"/>
    <w:rsid w:val="0017481D"/>
    <w:rsid w:val="00174B1B"/>
    <w:rsid w:val="00174BD8"/>
    <w:rsid w:val="00174D51"/>
    <w:rsid w:val="001750BC"/>
    <w:rsid w:val="001765BB"/>
    <w:rsid w:val="0017667E"/>
    <w:rsid w:val="001766D3"/>
    <w:rsid w:val="00176AE8"/>
    <w:rsid w:val="00176E22"/>
    <w:rsid w:val="00176E76"/>
    <w:rsid w:val="00177570"/>
    <w:rsid w:val="00177E95"/>
    <w:rsid w:val="0018007F"/>
    <w:rsid w:val="001811FC"/>
    <w:rsid w:val="00182338"/>
    <w:rsid w:val="00182348"/>
    <w:rsid w:val="00183F50"/>
    <w:rsid w:val="00184BD9"/>
    <w:rsid w:val="00184ED6"/>
    <w:rsid w:val="00184F13"/>
    <w:rsid w:val="00184FD9"/>
    <w:rsid w:val="001850B3"/>
    <w:rsid w:val="00185830"/>
    <w:rsid w:val="00186037"/>
    <w:rsid w:val="00186AE4"/>
    <w:rsid w:val="00186D14"/>
    <w:rsid w:val="001876D8"/>
    <w:rsid w:val="00187B74"/>
    <w:rsid w:val="00190325"/>
    <w:rsid w:val="00190391"/>
    <w:rsid w:val="0019151E"/>
    <w:rsid w:val="00191593"/>
    <w:rsid w:val="001918F1"/>
    <w:rsid w:val="0019196E"/>
    <w:rsid w:val="00191FF5"/>
    <w:rsid w:val="001926D7"/>
    <w:rsid w:val="00192CCE"/>
    <w:rsid w:val="0019385B"/>
    <w:rsid w:val="00193F1C"/>
    <w:rsid w:val="001945D4"/>
    <w:rsid w:val="001948F5"/>
    <w:rsid w:val="00194958"/>
    <w:rsid w:val="0019600A"/>
    <w:rsid w:val="00196359"/>
    <w:rsid w:val="0019650C"/>
    <w:rsid w:val="001969B9"/>
    <w:rsid w:val="00197205"/>
    <w:rsid w:val="00197632"/>
    <w:rsid w:val="0019793F"/>
    <w:rsid w:val="00197A9D"/>
    <w:rsid w:val="001A08E7"/>
    <w:rsid w:val="001A17D7"/>
    <w:rsid w:val="001A1FDD"/>
    <w:rsid w:val="001A2D8F"/>
    <w:rsid w:val="001A3D89"/>
    <w:rsid w:val="001A5458"/>
    <w:rsid w:val="001A545B"/>
    <w:rsid w:val="001A54DA"/>
    <w:rsid w:val="001A5E69"/>
    <w:rsid w:val="001A6861"/>
    <w:rsid w:val="001A6FEC"/>
    <w:rsid w:val="001A78AA"/>
    <w:rsid w:val="001B08B5"/>
    <w:rsid w:val="001B10F5"/>
    <w:rsid w:val="001B143B"/>
    <w:rsid w:val="001B1532"/>
    <w:rsid w:val="001B1777"/>
    <w:rsid w:val="001B1860"/>
    <w:rsid w:val="001B19C5"/>
    <w:rsid w:val="001B1AFD"/>
    <w:rsid w:val="001B1B6D"/>
    <w:rsid w:val="001B1C93"/>
    <w:rsid w:val="001B21CA"/>
    <w:rsid w:val="001B28D5"/>
    <w:rsid w:val="001B28E4"/>
    <w:rsid w:val="001B2C4A"/>
    <w:rsid w:val="001B35D4"/>
    <w:rsid w:val="001B4446"/>
    <w:rsid w:val="001B4A40"/>
    <w:rsid w:val="001B5A00"/>
    <w:rsid w:val="001B5F59"/>
    <w:rsid w:val="001B616A"/>
    <w:rsid w:val="001B63A7"/>
    <w:rsid w:val="001B6810"/>
    <w:rsid w:val="001B6AAD"/>
    <w:rsid w:val="001B6E89"/>
    <w:rsid w:val="001B73E0"/>
    <w:rsid w:val="001C0125"/>
    <w:rsid w:val="001C03F7"/>
    <w:rsid w:val="001C1074"/>
    <w:rsid w:val="001C21C8"/>
    <w:rsid w:val="001C25F5"/>
    <w:rsid w:val="001C34D0"/>
    <w:rsid w:val="001C4249"/>
    <w:rsid w:val="001C460E"/>
    <w:rsid w:val="001C46E3"/>
    <w:rsid w:val="001C4F27"/>
    <w:rsid w:val="001C6573"/>
    <w:rsid w:val="001C7D03"/>
    <w:rsid w:val="001D00BE"/>
    <w:rsid w:val="001D02C6"/>
    <w:rsid w:val="001D079B"/>
    <w:rsid w:val="001D0D32"/>
    <w:rsid w:val="001D17C9"/>
    <w:rsid w:val="001D1AB9"/>
    <w:rsid w:val="001D1F20"/>
    <w:rsid w:val="001D3017"/>
    <w:rsid w:val="001D3108"/>
    <w:rsid w:val="001D3323"/>
    <w:rsid w:val="001D3566"/>
    <w:rsid w:val="001D3795"/>
    <w:rsid w:val="001D4006"/>
    <w:rsid w:val="001D54BD"/>
    <w:rsid w:val="001D5C72"/>
    <w:rsid w:val="001D626E"/>
    <w:rsid w:val="001D733B"/>
    <w:rsid w:val="001D7674"/>
    <w:rsid w:val="001D7736"/>
    <w:rsid w:val="001E0902"/>
    <w:rsid w:val="001E13E5"/>
    <w:rsid w:val="001E1801"/>
    <w:rsid w:val="001E1C73"/>
    <w:rsid w:val="001E1E05"/>
    <w:rsid w:val="001E22D2"/>
    <w:rsid w:val="001E2343"/>
    <w:rsid w:val="001E2463"/>
    <w:rsid w:val="001E3A17"/>
    <w:rsid w:val="001E3FCB"/>
    <w:rsid w:val="001E453D"/>
    <w:rsid w:val="001E52DF"/>
    <w:rsid w:val="001E588A"/>
    <w:rsid w:val="001E6BCB"/>
    <w:rsid w:val="001E783B"/>
    <w:rsid w:val="001E7FBC"/>
    <w:rsid w:val="001F0822"/>
    <w:rsid w:val="001F08CB"/>
    <w:rsid w:val="001F15F6"/>
    <w:rsid w:val="001F179C"/>
    <w:rsid w:val="001F198E"/>
    <w:rsid w:val="001F24B7"/>
    <w:rsid w:val="001F2649"/>
    <w:rsid w:val="001F3496"/>
    <w:rsid w:val="001F41CA"/>
    <w:rsid w:val="001F4355"/>
    <w:rsid w:val="001F4819"/>
    <w:rsid w:val="001F48BD"/>
    <w:rsid w:val="001F5034"/>
    <w:rsid w:val="001F5116"/>
    <w:rsid w:val="001F61DE"/>
    <w:rsid w:val="001F7054"/>
    <w:rsid w:val="001F7DB7"/>
    <w:rsid w:val="002000AA"/>
    <w:rsid w:val="002007DD"/>
    <w:rsid w:val="00200AD4"/>
    <w:rsid w:val="00200F10"/>
    <w:rsid w:val="00201502"/>
    <w:rsid w:val="0020302A"/>
    <w:rsid w:val="002032A0"/>
    <w:rsid w:val="00203532"/>
    <w:rsid w:val="00203AE0"/>
    <w:rsid w:val="00204106"/>
    <w:rsid w:val="00204109"/>
    <w:rsid w:val="00205041"/>
    <w:rsid w:val="0020524C"/>
    <w:rsid w:val="002059E3"/>
    <w:rsid w:val="002100FF"/>
    <w:rsid w:val="00210B9B"/>
    <w:rsid w:val="002118D1"/>
    <w:rsid w:val="00211DCE"/>
    <w:rsid w:val="00212390"/>
    <w:rsid w:val="00212897"/>
    <w:rsid w:val="00212A0C"/>
    <w:rsid w:val="0021386A"/>
    <w:rsid w:val="00213C44"/>
    <w:rsid w:val="002147EE"/>
    <w:rsid w:val="00215516"/>
    <w:rsid w:val="002159D5"/>
    <w:rsid w:val="00215B64"/>
    <w:rsid w:val="00215C05"/>
    <w:rsid w:val="002161E3"/>
    <w:rsid w:val="00216857"/>
    <w:rsid w:val="00216DF5"/>
    <w:rsid w:val="00216EFA"/>
    <w:rsid w:val="0021798E"/>
    <w:rsid w:val="00217CA1"/>
    <w:rsid w:val="00217DEE"/>
    <w:rsid w:val="002203BF"/>
    <w:rsid w:val="00220C4C"/>
    <w:rsid w:val="00220E95"/>
    <w:rsid w:val="002217FE"/>
    <w:rsid w:val="0022180C"/>
    <w:rsid w:val="00221C72"/>
    <w:rsid w:val="002223E1"/>
    <w:rsid w:val="002225AB"/>
    <w:rsid w:val="00222A58"/>
    <w:rsid w:val="00223062"/>
    <w:rsid w:val="002231B0"/>
    <w:rsid w:val="00224B30"/>
    <w:rsid w:val="002250D1"/>
    <w:rsid w:val="00225549"/>
    <w:rsid w:val="002267D2"/>
    <w:rsid w:val="0023022E"/>
    <w:rsid w:val="00230839"/>
    <w:rsid w:val="00230EE8"/>
    <w:rsid w:val="00231ADB"/>
    <w:rsid w:val="00232178"/>
    <w:rsid w:val="00232248"/>
    <w:rsid w:val="00232D12"/>
    <w:rsid w:val="00233616"/>
    <w:rsid w:val="00233975"/>
    <w:rsid w:val="00233B8C"/>
    <w:rsid w:val="002353E3"/>
    <w:rsid w:val="00235CC0"/>
    <w:rsid w:val="00235F30"/>
    <w:rsid w:val="00236287"/>
    <w:rsid w:val="002363FF"/>
    <w:rsid w:val="00236D10"/>
    <w:rsid w:val="002407CE"/>
    <w:rsid w:val="00240E6B"/>
    <w:rsid w:val="00242325"/>
    <w:rsid w:val="0024294C"/>
    <w:rsid w:val="00243A38"/>
    <w:rsid w:val="0024474F"/>
    <w:rsid w:val="00244761"/>
    <w:rsid w:val="002450F2"/>
    <w:rsid w:val="0024555C"/>
    <w:rsid w:val="00245B7F"/>
    <w:rsid w:val="002469C2"/>
    <w:rsid w:val="00247BDE"/>
    <w:rsid w:val="00247DE2"/>
    <w:rsid w:val="002505DE"/>
    <w:rsid w:val="00250758"/>
    <w:rsid w:val="002514FA"/>
    <w:rsid w:val="00251DAF"/>
    <w:rsid w:val="00252503"/>
    <w:rsid w:val="00252ED7"/>
    <w:rsid w:val="0025393C"/>
    <w:rsid w:val="002549E7"/>
    <w:rsid w:val="00254A7A"/>
    <w:rsid w:val="00254EA4"/>
    <w:rsid w:val="0025509C"/>
    <w:rsid w:val="002552F8"/>
    <w:rsid w:val="0025531E"/>
    <w:rsid w:val="0025575F"/>
    <w:rsid w:val="00256105"/>
    <w:rsid w:val="002563B6"/>
    <w:rsid w:val="002571E3"/>
    <w:rsid w:val="00260496"/>
    <w:rsid w:val="00260542"/>
    <w:rsid w:val="00260BAD"/>
    <w:rsid w:val="0026224C"/>
    <w:rsid w:val="0026257D"/>
    <w:rsid w:val="00263654"/>
    <w:rsid w:val="00264C7C"/>
    <w:rsid w:val="00266060"/>
    <w:rsid w:val="0026650F"/>
    <w:rsid w:val="00266C60"/>
    <w:rsid w:val="00266DC3"/>
    <w:rsid w:val="0027029D"/>
    <w:rsid w:val="00270443"/>
    <w:rsid w:val="00270EE2"/>
    <w:rsid w:val="0027138C"/>
    <w:rsid w:val="0027165A"/>
    <w:rsid w:val="00272787"/>
    <w:rsid w:val="00272826"/>
    <w:rsid w:val="00272A7B"/>
    <w:rsid w:val="00272C44"/>
    <w:rsid w:val="00272DEF"/>
    <w:rsid w:val="00272F05"/>
    <w:rsid w:val="00273527"/>
    <w:rsid w:val="00273F6B"/>
    <w:rsid w:val="002747EF"/>
    <w:rsid w:val="00274B06"/>
    <w:rsid w:val="002751D6"/>
    <w:rsid w:val="002754D3"/>
    <w:rsid w:val="00276944"/>
    <w:rsid w:val="00276964"/>
    <w:rsid w:val="002769AE"/>
    <w:rsid w:val="00276D72"/>
    <w:rsid w:val="002817A6"/>
    <w:rsid w:val="002821E8"/>
    <w:rsid w:val="00282F1D"/>
    <w:rsid w:val="00283215"/>
    <w:rsid w:val="002833F3"/>
    <w:rsid w:val="00284203"/>
    <w:rsid w:val="00285237"/>
    <w:rsid w:val="00285A8B"/>
    <w:rsid w:val="00285E3F"/>
    <w:rsid w:val="0028610D"/>
    <w:rsid w:val="002862CC"/>
    <w:rsid w:val="00286BFE"/>
    <w:rsid w:val="00286C81"/>
    <w:rsid w:val="0028703E"/>
    <w:rsid w:val="0028709F"/>
    <w:rsid w:val="0028717B"/>
    <w:rsid w:val="00287379"/>
    <w:rsid w:val="00287524"/>
    <w:rsid w:val="00290119"/>
    <w:rsid w:val="0029040D"/>
    <w:rsid w:val="002908F8"/>
    <w:rsid w:val="00290A53"/>
    <w:rsid w:val="00290B64"/>
    <w:rsid w:val="00291C35"/>
    <w:rsid w:val="00291CB7"/>
    <w:rsid w:val="00292E91"/>
    <w:rsid w:val="002930AD"/>
    <w:rsid w:val="00293254"/>
    <w:rsid w:val="0029448D"/>
    <w:rsid w:val="00295002"/>
    <w:rsid w:val="0029568E"/>
    <w:rsid w:val="00295E8C"/>
    <w:rsid w:val="002971C7"/>
    <w:rsid w:val="002971F2"/>
    <w:rsid w:val="00297785"/>
    <w:rsid w:val="00297845"/>
    <w:rsid w:val="00297E05"/>
    <w:rsid w:val="002A0444"/>
    <w:rsid w:val="002A0F8D"/>
    <w:rsid w:val="002A12B7"/>
    <w:rsid w:val="002A1311"/>
    <w:rsid w:val="002A1377"/>
    <w:rsid w:val="002A211A"/>
    <w:rsid w:val="002A264B"/>
    <w:rsid w:val="002A38DF"/>
    <w:rsid w:val="002A4A82"/>
    <w:rsid w:val="002A4B33"/>
    <w:rsid w:val="002A4C00"/>
    <w:rsid w:val="002A5311"/>
    <w:rsid w:val="002A5863"/>
    <w:rsid w:val="002A6B31"/>
    <w:rsid w:val="002A6E9B"/>
    <w:rsid w:val="002A6FBB"/>
    <w:rsid w:val="002B05D1"/>
    <w:rsid w:val="002B1933"/>
    <w:rsid w:val="002B20BD"/>
    <w:rsid w:val="002B2611"/>
    <w:rsid w:val="002B27D8"/>
    <w:rsid w:val="002B38D2"/>
    <w:rsid w:val="002B3A46"/>
    <w:rsid w:val="002B3F1C"/>
    <w:rsid w:val="002B401B"/>
    <w:rsid w:val="002B4ED9"/>
    <w:rsid w:val="002B4EF4"/>
    <w:rsid w:val="002B4EFB"/>
    <w:rsid w:val="002B58C5"/>
    <w:rsid w:val="002B5BA5"/>
    <w:rsid w:val="002B6CA2"/>
    <w:rsid w:val="002B6E44"/>
    <w:rsid w:val="002B6E8A"/>
    <w:rsid w:val="002B726F"/>
    <w:rsid w:val="002B744E"/>
    <w:rsid w:val="002B7909"/>
    <w:rsid w:val="002C000B"/>
    <w:rsid w:val="002C016F"/>
    <w:rsid w:val="002C09A8"/>
    <w:rsid w:val="002C103C"/>
    <w:rsid w:val="002C1109"/>
    <w:rsid w:val="002C12C7"/>
    <w:rsid w:val="002C1B0B"/>
    <w:rsid w:val="002C1E93"/>
    <w:rsid w:val="002C29EB"/>
    <w:rsid w:val="002C30F0"/>
    <w:rsid w:val="002C401A"/>
    <w:rsid w:val="002C479B"/>
    <w:rsid w:val="002C532B"/>
    <w:rsid w:val="002C676E"/>
    <w:rsid w:val="002C6D15"/>
    <w:rsid w:val="002C72F4"/>
    <w:rsid w:val="002C7E5B"/>
    <w:rsid w:val="002D0907"/>
    <w:rsid w:val="002D0E9E"/>
    <w:rsid w:val="002D1381"/>
    <w:rsid w:val="002D2D68"/>
    <w:rsid w:val="002D2F69"/>
    <w:rsid w:val="002D3067"/>
    <w:rsid w:val="002D38D9"/>
    <w:rsid w:val="002D3CE3"/>
    <w:rsid w:val="002D4298"/>
    <w:rsid w:val="002D47E8"/>
    <w:rsid w:val="002D4FCC"/>
    <w:rsid w:val="002D5FD5"/>
    <w:rsid w:val="002D62FE"/>
    <w:rsid w:val="002D68F4"/>
    <w:rsid w:val="002D7417"/>
    <w:rsid w:val="002D782B"/>
    <w:rsid w:val="002E0D9C"/>
    <w:rsid w:val="002E1247"/>
    <w:rsid w:val="002E26E8"/>
    <w:rsid w:val="002E2D43"/>
    <w:rsid w:val="002E3DD8"/>
    <w:rsid w:val="002E3ED8"/>
    <w:rsid w:val="002E3F15"/>
    <w:rsid w:val="002E5A01"/>
    <w:rsid w:val="002E5EA3"/>
    <w:rsid w:val="002E6F8C"/>
    <w:rsid w:val="002E717C"/>
    <w:rsid w:val="002E7533"/>
    <w:rsid w:val="002E7A61"/>
    <w:rsid w:val="002F00B8"/>
    <w:rsid w:val="002F0106"/>
    <w:rsid w:val="002F03C8"/>
    <w:rsid w:val="002F182B"/>
    <w:rsid w:val="002F188D"/>
    <w:rsid w:val="002F18A5"/>
    <w:rsid w:val="002F26F3"/>
    <w:rsid w:val="002F317F"/>
    <w:rsid w:val="002F34EE"/>
    <w:rsid w:val="002F51A2"/>
    <w:rsid w:val="002F5304"/>
    <w:rsid w:val="002F5BA8"/>
    <w:rsid w:val="002F5E95"/>
    <w:rsid w:val="002F63CA"/>
    <w:rsid w:val="002F67B4"/>
    <w:rsid w:val="002F6A5D"/>
    <w:rsid w:val="002F6F73"/>
    <w:rsid w:val="002F7AA9"/>
    <w:rsid w:val="003004E3"/>
    <w:rsid w:val="00301C0D"/>
    <w:rsid w:val="00301D7B"/>
    <w:rsid w:val="00301E19"/>
    <w:rsid w:val="003023DE"/>
    <w:rsid w:val="00303A48"/>
    <w:rsid w:val="00303DC4"/>
    <w:rsid w:val="00304676"/>
    <w:rsid w:val="00306BE7"/>
    <w:rsid w:val="003110A2"/>
    <w:rsid w:val="00311B66"/>
    <w:rsid w:val="00311F29"/>
    <w:rsid w:val="003128E7"/>
    <w:rsid w:val="00314036"/>
    <w:rsid w:val="00314347"/>
    <w:rsid w:val="00314C4F"/>
    <w:rsid w:val="00314E81"/>
    <w:rsid w:val="00314FAF"/>
    <w:rsid w:val="003162A5"/>
    <w:rsid w:val="00316591"/>
    <w:rsid w:val="0032084E"/>
    <w:rsid w:val="00320C6D"/>
    <w:rsid w:val="00320CBE"/>
    <w:rsid w:val="003213A8"/>
    <w:rsid w:val="00321FA8"/>
    <w:rsid w:val="00321FFD"/>
    <w:rsid w:val="003225AD"/>
    <w:rsid w:val="00322E18"/>
    <w:rsid w:val="00323C3D"/>
    <w:rsid w:val="00323D1D"/>
    <w:rsid w:val="00323D95"/>
    <w:rsid w:val="00323F8A"/>
    <w:rsid w:val="0032467A"/>
    <w:rsid w:val="00324D73"/>
    <w:rsid w:val="00326011"/>
    <w:rsid w:val="0032643D"/>
    <w:rsid w:val="00326619"/>
    <w:rsid w:val="00326D02"/>
    <w:rsid w:val="00327069"/>
    <w:rsid w:val="00327557"/>
    <w:rsid w:val="00327812"/>
    <w:rsid w:val="00327AFB"/>
    <w:rsid w:val="00327BAF"/>
    <w:rsid w:val="00327D10"/>
    <w:rsid w:val="00331894"/>
    <w:rsid w:val="00332CB8"/>
    <w:rsid w:val="00333428"/>
    <w:rsid w:val="00334B9B"/>
    <w:rsid w:val="003350B6"/>
    <w:rsid w:val="0033595E"/>
    <w:rsid w:val="0033601B"/>
    <w:rsid w:val="003364B6"/>
    <w:rsid w:val="0033764C"/>
    <w:rsid w:val="00337998"/>
    <w:rsid w:val="00337DF3"/>
    <w:rsid w:val="00340039"/>
    <w:rsid w:val="003400D3"/>
    <w:rsid w:val="0034024F"/>
    <w:rsid w:val="00340A77"/>
    <w:rsid w:val="00340D39"/>
    <w:rsid w:val="00340DFB"/>
    <w:rsid w:val="003411C7"/>
    <w:rsid w:val="00341941"/>
    <w:rsid w:val="0034207A"/>
    <w:rsid w:val="0034278F"/>
    <w:rsid w:val="00343B47"/>
    <w:rsid w:val="00343EFC"/>
    <w:rsid w:val="0034404F"/>
    <w:rsid w:val="00344ACC"/>
    <w:rsid w:val="0034584A"/>
    <w:rsid w:val="00345F01"/>
    <w:rsid w:val="0034654F"/>
    <w:rsid w:val="00346B28"/>
    <w:rsid w:val="00347685"/>
    <w:rsid w:val="003509A5"/>
    <w:rsid w:val="003515FD"/>
    <w:rsid w:val="003518A4"/>
    <w:rsid w:val="00351E21"/>
    <w:rsid w:val="00351E2C"/>
    <w:rsid w:val="00352327"/>
    <w:rsid w:val="00354062"/>
    <w:rsid w:val="00354405"/>
    <w:rsid w:val="00355A76"/>
    <w:rsid w:val="00355DEC"/>
    <w:rsid w:val="0035635F"/>
    <w:rsid w:val="00356E0F"/>
    <w:rsid w:val="0035700C"/>
    <w:rsid w:val="00357615"/>
    <w:rsid w:val="003600AA"/>
    <w:rsid w:val="003607EE"/>
    <w:rsid w:val="00360BC8"/>
    <w:rsid w:val="00360E35"/>
    <w:rsid w:val="003617AE"/>
    <w:rsid w:val="00361D61"/>
    <w:rsid w:val="0036215C"/>
    <w:rsid w:val="0036276A"/>
    <w:rsid w:val="003630F7"/>
    <w:rsid w:val="0036332B"/>
    <w:rsid w:val="00363589"/>
    <w:rsid w:val="00363636"/>
    <w:rsid w:val="00363E35"/>
    <w:rsid w:val="003651AC"/>
    <w:rsid w:val="003653AA"/>
    <w:rsid w:val="00366120"/>
    <w:rsid w:val="003661FF"/>
    <w:rsid w:val="003665A5"/>
    <w:rsid w:val="00366A0C"/>
    <w:rsid w:val="00367238"/>
    <w:rsid w:val="00367462"/>
    <w:rsid w:val="003677D5"/>
    <w:rsid w:val="0037034B"/>
    <w:rsid w:val="00370507"/>
    <w:rsid w:val="00370682"/>
    <w:rsid w:val="00370F0B"/>
    <w:rsid w:val="00371715"/>
    <w:rsid w:val="003718D8"/>
    <w:rsid w:val="00371F19"/>
    <w:rsid w:val="00372A01"/>
    <w:rsid w:val="003733DF"/>
    <w:rsid w:val="00373865"/>
    <w:rsid w:val="003739DA"/>
    <w:rsid w:val="00373CE8"/>
    <w:rsid w:val="00374DB0"/>
    <w:rsid w:val="003751C7"/>
    <w:rsid w:val="00375C84"/>
    <w:rsid w:val="00376524"/>
    <w:rsid w:val="00376E3B"/>
    <w:rsid w:val="003776FE"/>
    <w:rsid w:val="00377973"/>
    <w:rsid w:val="00380424"/>
    <w:rsid w:val="00380868"/>
    <w:rsid w:val="00380B9B"/>
    <w:rsid w:val="003818B3"/>
    <w:rsid w:val="003819F5"/>
    <w:rsid w:val="00381A52"/>
    <w:rsid w:val="00381B57"/>
    <w:rsid w:val="00381D47"/>
    <w:rsid w:val="003821CC"/>
    <w:rsid w:val="003835F0"/>
    <w:rsid w:val="00383E33"/>
    <w:rsid w:val="00384D70"/>
    <w:rsid w:val="003853B1"/>
    <w:rsid w:val="003853ED"/>
    <w:rsid w:val="00385EA0"/>
    <w:rsid w:val="0038628F"/>
    <w:rsid w:val="0038629D"/>
    <w:rsid w:val="00386421"/>
    <w:rsid w:val="0038704C"/>
    <w:rsid w:val="00387AA1"/>
    <w:rsid w:val="00387E85"/>
    <w:rsid w:val="003900EA"/>
    <w:rsid w:val="0039082A"/>
    <w:rsid w:val="0039101F"/>
    <w:rsid w:val="00392EDB"/>
    <w:rsid w:val="00392FAE"/>
    <w:rsid w:val="003931AA"/>
    <w:rsid w:val="00393EEE"/>
    <w:rsid w:val="00394CCC"/>
    <w:rsid w:val="00394D45"/>
    <w:rsid w:val="00395132"/>
    <w:rsid w:val="00395D99"/>
    <w:rsid w:val="003968DF"/>
    <w:rsid w:val="003976C3"/>
    <w:rsid w:val="00397A03"/>
    <w:rsid w:val="00397A64"/>
    <w:rsid w:val="003A099A"/>
    <w:rsid w:val="003A1372"/>
    <w:rsid w:val="003A1D46"/>
    <w:rsid w:val="003A2447"/>
    <w:rsid w:val="003A2B82"/>
    <w:rsid w:val="003A3927"/>
    <w:rsid w:val="003A3D2E"/>
    <w:rsid w:val="003A3FF7"/>
    <w:rsid w:val="003A43D1"/>
    <w:rsid w:val="003A4B49"/>
    <w:rsid w:val="003A6A51"/>
    <w:rsid w:val="003A6D8A"/>
    <w:rsid w:val="003A6E29"/>
    <w:rsid w:val="003A7FEA"/>
    <w:rsid w:val="003B0BDB"/>
    <w:rsid w:val="003B0E88"/>
    <w:rsid w:val="003B106E"/>
    <w:rsid w:val="003B153F"/>
    <w:rsid w:val="003B17B0"/>
    <w:rsid w:val="003B1844"/>
    <w:rsid w:val="003B1A5C"/>
    <w:rsid w:val="003B211E"/>
    <w:rsid w:val="003B24EA"/>
    <w:rsid w:val="003B2DA7"/>
    <w:rsid w:val="003B3AB7"/>
    <w:rsid w:val="003B3ABC"/>
    <w:rsid w:val="003B3CDD"/>
    <w:rsid w:val="003B3D8E"/>
    <w:rsid w:val="003B3FED"/>
    <w:rsid w:val="003B3FF1"/>
    <w:rsid w:val="003B4217"/>
    <w:rsid w:val="003B59A1"/>
    <w:rsid w:val="003B6772"/>
    <w:rsid w:val="003B6D11"/>
    <w:rsid w:val="003B74F1"/>
    <w:rsid w:val="003B7541"/>
    <w:rsid w:val="003B7966"/>
    <w:rsid w:val="003B7F07"/>
    <w:rsid w:val="003B7FCE"/>
    <w:rsid w:val="003C0F87"/>
    <w:rsid w:val="003C141E"/>
    <w:rsid w:val="003C1B83"/>
    <w:rsid w:val="003C2084"/>
    <w:rsid w:val="003C210E"/>
    <w:rsid w:val="003C21B3"/>
    <w:rsid w:val="003C30AD"/>
    <w:rsid w:val="003C3503"/>
    <w:rsid w:val="003C40DE"/>
    <w:rsid w:val="003C4523"/>
    <w:rsid w:val="003C4851"/>
    <w:rsid w:val="003C4C96"/>
    <w:rsid w:val="003C55B7"/>
    <w:rsid w:val="003C55E0"/>
    <w:rsid w:val="003C5E39"/>
    <w:rsid w:val="003C683A"/>
    <w:rsid w:val="003C696B"/>
    <w:rsid w:val="003D0079"/>
    <w:rsid w:val="003D017D"/>
    <w:rsid w:val="003D04D6"/>
    <w:rsid w:val="003D10EC"/>
    <w:rsid w:val="003D28DE"/>
    <w:rsid w:val="003D29B9"/>
    <w:rsid w:val="003D2FAE"/>
    <w:rsid w:val="003D3500"/>
    <w:rsid w:val="003D37B6"/>
    <w:rsid w:val="003D3C68"/>
    <w:rsid w:val="003D450D"/>
    <w:rsid w:val="003D503A"/>
    <w:rsid w:val="003D571E"/>
    <w:rsid w:val="003D6505"/>
    <w:rsid w:val="003D71A6"/>
    <w:rsid w:val="003D7709"/>
    <w:rsid w:val="003E004C"/>
    <w:rsid w:val="003E0BAF"/>
    <w:rsid w:val="003E0E25"/>
    <w:rsid w:val="003E1409"/>
    <w:rsid w:val="003E16F2"/>
    <w:rsid w:val="003E2ABD"/>
    <w:rsid w:val="003E4A52"/>
    <w:rsid w:val="003E78A9"/>
    <w:rsid w:val="003E7912"/>
    <w:rsid w:val="003F04E6"/>
    <w:rsid w:val="003F2CDD"/>
    <w:rsid w:val="003F45D7"/>
    <w:rsid w:val="003F4E4F"/>
    <w:rsid w:val="003F5660"/>
    <w:rsid w:val="003F5717"/>
    <w:rsid w:val="003F5A39"/>
    <w:rsid w:val="003F5B56"/>
    <w:rsid w:val="003F5B9F"/>
    <w:rsid w:val="003F5C1A"/>
    <w:rsid w:val="003F6A6A"/>
    <w:rsid w:val="003F6AC7"/>
    <w:rsid w:val="003F738D"/>
    <w:rsid w:val="003F7554"/>
    <w:rsid w:val="003F7FA1"/>
    <w:rsid w:val="004006EA"/>
    <w:rsid w:val="004008DE"/>
    <w:rsid w:val="00400B4E"/>
    <w:rsid w:val="0040130D"/>
    <w:rsid w:val="00402E56"/>
    <w:rsid w:val="00403634"/>
    <w:rsid w:val="00404592"/>
    <w:rsid w:val="00404B58"/>
    <w:rsid w:val="00404B6C"/>
    <w:rsid w:val="00404BAE"/>
    <w:rsid w:val="0040544F"/>
    <w:rsid w:val="00405537"/>
    <w:rsid w:val="00405D87"/>
    <w:rsid w:val="0040625C"/>
    <w:rsid w:val="004069D2"/>
    <w:rsid w:val="00406C5D"/>
    <w:rsid w:val="004072F7"/>
    <w:rsid w:val="004076FF"/>
    <w:rsid w:val="00410982"/>
    <w:rsid w:val="00410E71"/>
    <w:rsid w:val="004110FE"/>
    <w:rsid w:val="00411B17"/>
    <w:rsid w:val="0041222D"/>
    <w:rsid w:val="004124F2"/>
    <w:rsid w:val="00412E6F"/>
    <w:rsid w:val="00413C5C"/>
    <w:rsid w:val="0041413F"/>
    <w:rsid w:val="0041567A"/>
    <w:rsid w:val="00415BAB"/>
    <w:rsid w:val="00415BCF"/>
    <w:rsid w:val="00416297"/>
    <w:rsid w:val="004166B6"/>
    <w:rsid w:val="00417083"/>
    <w:rsid w:val="0042057C"/>
    <w:rsid w:val="00420BDF"/>
    <w:rsid w:val="00421608"/>
    <w:rsid w:val="00421C23"/>
    <w:rsid w:val="0042261E"/>
    <w:rsid w:val="00422749"/>
    <w:rsid w:val="004228F2"/>
    <w:rsid w:val="00422FCE"/>
    <w:rsid w:val="004233DC"/>
    <w:rsid w:val="00423429"/>
    <w:rsid w:val="004245B6"/>
    <w:rsid w:val="00424888"/>
    <w:rsid w:val="004255D9"/>
    <w:rsid w:val="00425763"/>
    <w:rsid w:val="00425C3C"/>
    <w:rsid w:val="00427D1B"/>
    <w:rsid w:val="00427E40"/>
    <w:rsid w:val="004306AB"/>
    <w:rsid w:val="00431278"/>
    <w:rsid w:val="0043159D"/>
    <w:rsid w:val="00431655"/>
    <w:rsid w:val="0043171D"/>
    <w:rsid w:val="00432F78"/>
    <w:rsid w:val="004333C8"/>
    <w:rsid w:val="004334A2"/>
    <w:rsid w:val="004335BC"/>
    <w:rsid w:val="004339E6"/>
    <w:rsid w:val="004345AB"/>
    <w:rsid w:val="00434723"/>
    <w:rsid w:val="00434729"/>
    <w:rsid w:val="0043617B"/>
    <w:rsid w:val="00437D17"/>
    <w:rsid w:val="00437D2F"/>
    <w:rsid w:val="0044046D"/>
    <w:rsid w:val="00440A2B"/>
    <w:rsid w:val="004410D3"/>
    <w:rsid w:val="00441A5B"/>
    <w:rsid w:val="00441DAF"/>
    <w:rsid w:val="0044270D"/>
    <w:rsid w:val="00442E8C"/>
    <w:rsid w:val="0044312A"/>
    <w:rsid w:val="00443310"/>
    <w:rsid w:val="004435D5"/>
    <w:rsid w:val="00443A34"/>
    <w:rsid w:val="00443D38"/>
    <w:rsid w:val="00444140"/>
    <w:rsid w:val="00444BF5"/>
    <w:rsid w:val="00444F43"/>
    <w:rsid w:val="00447C23"/>
    <w:rsid w:val="00450744"/>
    <w:rsid w:val="00450BE7"/>
    <w:rsid w:val="00450FE8"/>
    <w:rsid w:val="0045213A"/>
    <w:rsid w:val="0045230E"/>
    <w:rsid w:val="004528FA"/>
    <w:rsid w:val="00452D67"/>
    <w:rsid w:val="00452E53"/>
    <w:rsid w:val="004542C6"/>
    <w:rsid w:val="0045431D"/>
    <w:rsid w:val="00454EDC"/>
    <w:rsid w:val="00455B00"/>
    <w:rsid w:val="00455B97"/>
    <w:rsid w:val="00456635"/>
    <w:rsid w:val="00456BFD"/>
    <w:rsid w:val="004575D5"/>
    <w:rsid w:val="00457657"/>
    <w:rsid w:val="004577C3"/>
    <w:rsid w:val="00457D49"/>
    <w:rsid w:val="004600BF"/>
    <w:rsid w:val="004607D0"/>
    <w:rsid w:val="00460CE3"/>
    <w:rsid w:val="004612A4"/>
    <w:rsid w:val="0046153C"/>
    <w:rsid w:val="00461716"/>
    <w:rsid w:val="004624D2"/>
    <w:rsid w:val="004625C8"/>
    <w:rsid w:val="00462DCE"/>
    <w:rsid w:val="0046442A"/>
    <w:rsid w:val="00464BF1"/>
    <w:rsid w:val="00466078"/>
    <w:rsid w:val="0046626B"/>
    <w:rsid w:val="004676E4"/>
    <w:rsid w:val="00467AFF"/>
    <w:rsid w:val="00467F49"/>
    <w:rsid w:val="00470183"/>
    <w:rsid w:val="00470265"/>
    <w:rsid w:val="004708C9"/>
    <w:rsid w:val="00470C48"/>
    <w:rsid w:val="0047139F"/>
    <w:rsid w:val="00471429"/>
    <w:rsid w:val="004722B1"/>
    <w:rsid w:val="004722CE"/>
    <w:rsid w:val="004727AF"/>
    <w:rsid w:val="004735B7"/>
    <w:rsid w:val="00473A47"/>
    <w:rsid w:val="00473A4F"/>
    <w:rsid w:val="00473C0A"/>
    <w:rsid w:val="00473EEF"/>
    <w:rsid w:val="00473F32"/>
    <w:rsid w:val="00474219"/>
    <w:rsid w:val="00474415"/>
    <w:rsid w:val="00474BC1"/>
    <w:rsid w:val="00474BD0"/>
    <w:rsid w:val="004771ED"/>
    <w:rsid w:val="0047722F"/>
    <w:rsid w:val="00477459"/>
    <w:rsid w:val="00477CC9"/>
    <w:rsid w:val="0048026E"/>
    <w:rsid w:val="00480303"/>
    <w:rsid w:val="004807A9"/>
    <w:rsid w:val="00480A8A"/>
    <w:rsid w:val="00480F76"/>
    <w:rsid w:val="004810A5"/>
    <w:rsid w:val="004810E0"/>
    <w:rsid w:val="00481318"/>
    <w:rsid w:val="00481363"/>
    <w:rsid w:val="004813EE"/>
    <w:rsid w:val="00481835"/>
    <w:rsid w:val="00482CDC"/>
    <w:rsid w:val="00482FB0"/>
    <w:rsid w:val="00483B03"/>
    <w:rsid w:val="0048444C"/>
    <w:rsid w:val="00485058"/>
    <w:rsid w:val="004851E3"/>
    <w:rsid w:val="00485702"/>
    <w:rsid w:val="004867EC"/>
    <w:rsid w:val="00486A37"/>
    <w:rsid w:val="00487662"/>
    <w:rsid w:val="004876C6"/>
    <w:rsid w:val="0048775B"/>
    <w:rsid w:val="00487D7B"/>
    <w:rsid w:val="00490F7A"/>
    <w:rsid w:val="00490FD5"/>
    <w:rsid w:val="00491241"/>
    <w:rsid w:val="00491813"/>
    <w:rsid w:val="00493278"/>
    <w:rsid w:val="00493855"/>
    <w:rsid w:val="004951D8"/>
    <w:rsid w:val="004952C1"/>
    <w:rsid w:val="00497575"/>
    <w:rsid w:val="004A078B"/>
    <w:rsid w:val="004A12C0"/>
    <w:rsid w:val="004A169A"/>
    <w:rsid w:val="004A18C9"/>
    <w:rsid w:val="004A191A"/>
    <w:rsid w:val="004A1A70"/>
    <w:rsid w:val="004A4027"/>
    <w:rsid w:val="004A419E"/>
    <w:rsid w:val="004A4688"/>
    <w:rsid w:val="004A6354"/>
    <w:rsid w:val="004A6463"/>
    <w:rsid w:val="004A66CE"/>
    <w:rsid w:val="004A6B58"/>
    <w:rsid w:val="004A6DB9"/>
    <w:rsid w:val="004B0535"/>
    <w:rsid w:val="004B06C3"/>
    <w:rsid w:val="004B087F"/>
    <w:rsid w:val="004B0917"/>
    <w:rsid w:val="004B0B09"/>
    <w:rsid w:val="004B140F"/>
    <w:rsid w:val="004B14EB"/>
    <w:rsid w:val="004B21CF"/>
    <w:rsid w:val="004B2DE3"/>
    <w:rsid w:val="004B390A"/>
    <w:rsid w:val="004B3FEA"/>
    <w:rsid w:val="004B53F1"/>
    <w:rsid w:val="004B5D6E"/>
    <w:rsid w:val="004B60BA"/>
    <w:rsid w:val="004B6946"/>
    <w:rsid w:val="004B6D89"/>
    <w:rsid w:val="004B6E81"/>
    <w:rsid w:val="004C0FFE"/>
    <w:rsid w:val="004C136D"/>
    <w:rsid w:val="004C1619"/>
    <w:rsid w:val="004C177F"/>
    <w:rsid w:val="004C1B59"/>
    <w:rsid w:val="004C3C25"/>
    <w:rsid w:val="004C3D54"/>
    <w:rsid w:val="004C3EEA"/>
    <w:rsid w:val="004C4EA2"/>
    <w:rsid w:val="004C596B"/>
    <w:rsid w:val="004C5E41"/>
    <w:rsid w:val="004C60E7"/>
    <w:rsid w:val="004C7BDE"/>
    <w:rsid w:val="004D0090"/>
    <w:rsid w:val="004D020F"/>
    <w:rsid w:val="004D03D1"/>
    <w:rsid w:val="004D0481"/>
    <w:rsid w:val="004D11AF"/>
    <w:rsid w:val="004D1789"/>
    <w:rsid w:val="004D20DD"/>
    <w:rsid w:val="004D2E58"/>
    <w:rsid w:val="004D37D9"/>
    <w:rsid w:val="004D41A2"/>
    <w:rsid w:val="004D502C"/>
    <w:rsid w:val="004D5587"/>
    <w:rsid w:val="004D5758"/>
    <w:rsid w:val="004D5D49"/>
    <w:rsid w:val="004D60A3"/>
    <w:rsid w:val="004D6BCE"/>
    <w:rsid w:val="004D71CA"/>
    <w:rsid w:val="004E016A"/>
    <w:rsid w:val="004E0461"/>
    <w:rsid w:val="004E0D95"/>
    <w:rsid w:val="004E197C"/>
    <w:rsid w:val="004E29B1"/>
    <w:rsid w:val="004E3F87"/>
    <w:rsid w:val="004E461B"/>
    <w:rsid w:val="004E477D"/>
    <w:rsid w:val="004E5890"/>
    <w:rsid w:val="004E79EF"/>
    <w:rsid w:val="004E7B33"/>
    <w:rsid w:val="004E7E5C"/>
    <w:rsid w:val="004F024F"/>
    <w:rsid w:val="004F0368"/>
    <w:rsid w:val="004F0D19"/>
    <w:rsid w:val="004F121B"/>
    <w:rsid w:val="004F140F"/>
    <w:rsid w:val="004F185F"/>
    <w:rsid w:val="004F2811"/>
    <w:rsid w:val="004F2CFA"/>
    <w:rsid w:val="004F3326"/>
    <w:rsid w:val="004F56B6"/>
    <w:rsid w:val="004F586A"/>
    <w:rsid w:val="004F590E"/>
    <w:rsid w:val="004F5966"/>
    <w:rsid w:val="004F6026"/>
    <w:rsid w:val="004F60F4"/>
    <w:rsid w:val="004F62E8"/>
    <w:rsid w:val="004F67C3"/>
    <w:rsid w:val="004F6C17"/>
    <w:rsid w:val="004F7390"/>
    <w:rsid w:val="004F78F8"/>
    <w:rsid w:val="005001A5"/>
    <w:rsid w:val="00500751"/>
    <w:rsid w:val="00500CCD"/>
    <w:rsid w:val="005019AA"/>
    <w:rsid w:val="005032E9"/>
    <w:rsid w:val="00503C3B"/>
    <w:rsid w:val="00503CE7"/>
    <w:rsid w:val="005040C9"/>
    <w:rsid w:val="005042DB"/>
    <w:rsid w:val="0050458E"/>
    <w:rsid w:val="00505928"/>
    <w:rsid w:val="00505CD6"/>
    <w:rsid w:val="005069B2"/>
    <w:rsid w:val="0050741A"/>
    <w:rsid w:val="00510452"/>
    <w:rsid w:val="0051067F"/>
    <w:rsid w:val="005108EC"/>
    <w:rsid w:val="00511F8F"/>
    <w:rsid w:val="00512FA4"/>
    <w:rsid w:val="00513291"/>
    <w:rsid w:val="0051386E"/>
    <w:rsid w:val="00513EA4"/>
    <w:rsid w:val="005147DA"/>
    <w:rsid w:val="00514C20"/>
    <w:rsid w:val="00514D4B"/>
    <w:rsid w:val="00514FBF"/>
    <w:rsid w:val="005153AC"/>
    <w:rsid w:val="005153C3"/>
    <w:rsid w:val="00515745"/>
    <w:rsid w:val="00515862"/>
    <w:rsid w:val="005165FE"/>
    <w:rsid w:val="00516942"/>
    <w:rsid w:val="00516DC0"/>
    <w:rsid w:val="00516DC5"/>
    <w:rsid w:val="0052022A"/>
    <w:rsid w:val="00520A80"/>
    <w:rsid w:val="00520BBA"/>
    <w:rsid w:val="005213E9"/>
    <w:rsid w:val="005225AC"/>
    <w:rsid w:val="005226FA"/>
    <w:rsid w:val="0052312C"/>
    <w:rsid w:val="005233F3"/>
    <w:rsid w:val="0052365C"/>
    <w:rsid w:val="005245D2"/>
    <w:rsid w:val="0052488B"/>
    <w:rsid w:val="00524C98"/>
    <w:rsid w:val="00524C9C"/>
    <w:rsid w:val="00524EDD"/>
    <w:rsid w:val="00525B59"/>
    <w:rsid w:val="005269C4"/>
    <w:rsid w:val="00526A20"/>
    <w:rsid w:val="00527C12"/>
    <w:rsid w:val="00530472"/>
    <w:rsid w:val="00531966"/>
    <w:rsid w:val="005329DA"/>
    <w:rsid w:val="0053322F"/>
    <w:rsid w:val="00533BC1"/>
    <w:rsid w:val="00533DBF"/>
    <w:rsid w:val="00534940"/>
    <w:rsid w:val="00535673"/>
    <w:rsid w:val="00535784"/>
    <w:rsid w:val="00535D6B"/>
    <w:rsid w:val="00536442"/>
    <w:rsid w:val="005374FE"/>
    <w:rsid w:val="0054053D"/>
    <w:rsid w:val="0054126C"/>
    <w:rsid w:val="00541368"/>
    <w:rsid w:val="005415DD"/>
    <w:rsid w:val="005423F3"/>
    <w:rsid w:val="005426DB"/>
    <w:rsid w:val="00542A29"/>
    <w:rsid w:val="0054340B"/>
    <w:rsid w:val="005442F1"/>
    <w:rsid w:val="00544A24"/>
    <w:rsid w:val="0054583C"/>
    <w:rsid w:val="00546227"/>
    <w:rsid w:val="005468E2"/>
    <w:rsid w:val="00546D83"/>
    <w:rsid w:val="00547F1B"/>
    <w:rsid w:val="00550113"/>
    <w:rsid w:val="0055019B"/>
    <w:rsid w:val="005504BE"/>
    <w:rsid w:val="0055082B"/>
    <w:rsid w:val="0055093A"/>
    <w:rsid w:val="00550F00"/>
    <w:rsid w:val="00551BDF"/>
    <w:rsid w:val="00551ED7"/>
    <w:rsid w:val="0055211C"/>
    <w:rsid w:val="0055263A"/>
    <w:rsid w:val="005526EE"/>
    <w:rsid w:val="00552B57"/>
    <w:rsid w:val="00552E53"/>
    <w:rsid w:val="00553324"/>
    <w:rsid w:val="00553E34"/>
    <w:rsid w:val="005547B7"/>
    <w:rsid w:val="005551E9"/>
    <w:rsid w:val="0055680D"/>
    <w:rsid w:val="00556E46"/>
    <w:rsid w:val="00560094"/>
    <w:rsid w:val="00560C62"/>
    <w:rsid w:val="00562A61"/>
    <w:rsid w:val="00562E78"/>
    <w:rsid w:val="005647AF"/>
    <w:rsid w:val="00564E45"/>
    <w:rsid w:val="005652D5"/>
    <w:rsid w:val="00565859"/>
    <w:rsid w:val="00565E52"/>
    <w:rsid w:val="005662DE"/>
    <w:rsid w:val="00567227"/>
    <w:rsid w:val="00567CD0"/>
    <w:rsid w:val="00570C7B"/>
    <w:rsid w:val="00571C77"/>
    <w:rsid w:val="00571CA4"/>
    <w:rsid w:val="00572D5B"/>
    <w:rsid w:val="00573B5C"/>
    <w:rsid w:val="00574614"/>
    <w:rsid w:val="00574A70"/>
    <w:rsid w:val="00574D35"/>
    <w:rsid w:val="00575229"/>
    <w:rsid w:val="00575C75"/>
    <w:rsid w:val="00576C6D"/>
    <w:rsid w:val="005770CF"/>
    <w:rsid w:val="00577904"/>
    <w:rsid w:val="00577922"/>
    <w:rsid w:val="00577AC3"/>
    <w:rsid w:val="00577EBD"/>
    <w:rsid w:val="00580577"/>
    <w:rsid w:val="005815A8"/>
    <w:rsid w:val="00581915"/>
    <w:rsid w:val="00583431"/>
    <w:rsid w:val="005846C0"/>
    <w:rsid w:val="00584D04"/>
    <w:rsid w:val="0058567E"/>
    <w:rsid w:val="00585DE1"/>
    <w:rsid w:val="0058659E"/>
    <w:rsid w:val="005869EE"/>
    <w:rsid w:val="005872DD"/>
    <w:rsid w:val="005875FA"/>
    <w:rsid w:val="00587CF2"/>
    <w:rsid w:val="00587D3A"/>
    <w:rsid w:val="00590346"/>
    <w:rsid w:val="00590BA2"/>
    <w:rsid w:val="00590CA7"/>
    <w:rsid w:val="00590E93"/>
    <w:rsid w:val="005915E1"/>
    <w:rsid w:val="00591C75"/>
    <w:rsid w:val="005920BF"/>
    <w:rsid w:val="00592D10"/>
    <w:rsid w:val="00593879"/>
    <w:rsid w:val="0059388B"/>
    <w:rsid w:val="00593A5F"/>
    <w:rsid w:val="0059404E"/>
    <w:rsid w:val="00594269"/>
    <w:rsid w:val="00594ACC"/>
    <w:rsid w:val="00595539"/>
    <w:rsid w:val="00597108"/>
    <w:rsid w:val="005976DB"/>
    <w:rsid w:val="005A143E"/>
    <w:rsid w:val="005A1577"/>
    <w:rsid w:val="005A3689"/>
    <w:rsid w:val="005A3E82"/>
    <w:rsid w:val="005A4DB0"/>
    <w:rsid w:val="005A5597"/>
    <w:rsid w:val="005A57BF"/>
    <w:rsid w:val="005A6AC2"/>
    <w:rsid w:val="005A7A65"/>
    <w:rsid w:val="005A7B26"/>
    <w:rsid w:val="005A7B8E"/>
    <w:rsid w:val="005B012B"/>
    <w:rsid w:val="005B0C87"/>
    <w:rsid w:val="005B0FE9"/>
    <w:rsid w:val="005B19E2"/>
    <w:rsid w:val="005B2195"/>
    <w:rsid w:val="005B26C7"/>
    <w:rsid w:val="005B2D65"/>
    <w:rsid w:val="005B3877"/>
    <w:rsid w:val="005B3AC8"/>
    <w:rsid w:val="005B3CC1"/>
    <w:rsid w:val="005B4002"/>
    <w:rsid w:val="005B45AB"/>
    <w:rsid w:val="005B4919"/>
    <w:rsid w:val="005B4D8F"/>
    <w:rsid w:val="005B5B6E"/>
    <w:rsid w:val="005B6551"/>
    <w:rsid w:val="005B71A8"/>
    <w:rsid w:val="005B744B"/>
    <w:rsid w:val="005C0A6F"/>
    <w:rsid w:val="005C0FA7"/>
    <w:rsid w:val="005C155F"/>
    <w:rsid w:val="005C1C0E"/>
    <w:rsid w:val="005C2770"/>
    <w:rsid w:val="005C36E2"/>
    <w:rsid w:val="005C3E9E"/>
    <w:rsid w:val="005C400C"/>
    <w:rsid w:val="005C410C"/>
    <w:rsid w:val="005C4BF1"/>
    <w:rsid w:val="005C4BF2"/>
    <w:rsid w:val="005C52D4"/>
    <w:rsid w:val="005C5BED"/>
    <w:rsid w:val="005C5D86"/>
    <w:rsid w:val="005C6167"/>
    <w:rsid w:val="005C6ADB"/>
    <w:rsid w:val="005C6EE2"/>
    <w:rsid w:val="005C7A07"/>
    <w:rsid w:val="005C7DDC"/>
    <w:rsid w:val="005C7F7C"/>
    <w:rsid w:val="005D107D"/>
    <w:rsid w:val="005D123A"/>
    <w:rsid w:val="005D1CFC"/>
    <w:rsid w:val="005D2506"/>
    <w:rsid w:val="005D2DEC"/>
    <w:rsid w:val="005D3677"/>
    <w:rsid w:val="005D3EE1"/>
    <w:rsid w:val="005D4E4C"/>
    <w:rsid w:val="005D5B5E"/>
    <w:rsid w:val="005D5C85"/>
    <w:rsid w:val="005D5CA0"/>
    <w:rsid w:val="005D69AB"/>
    <w:rsid w:val="005D72FC"/>
    <w:rsid w:val="005D7DFC"/>
    <w:rsid w:val="005E035A"/>
    <w:rsid w:val="005E0464"/>
    <w:rsid w:val="005E0681"/>
    <w:rsid w:val="005E11FE"/>
    <w:rsid w:val="005E1218"/>
    <w:rsid w:val="005E18EC"/>
    <w:rsid w:val="005E1B6B"/>
    <w:rsid w:val="005E1F61"/>
    <w:rsid w:val="005E2281"/>
    <w:rsid w:val="005E236C"/>
    <w:rsid w:val="005E351B"/>
    <w:rsid w:val="005E38A8"/>
    <w:rsid w:val="005E39F9"/>
    <w:rsid w:val="005E4828"/>
    <w:rsid w:val="005E5016"/>
    <w:rsid w:val="005E5231"/>
    <w:rsid w:val="005E55BB"/>
    <w:rsid w:val="005E5647"/>
    <w:rsid w:val="005E59FD"/>
    <w:rsid w:val="005E5D11"/>
    <w:rsid w:val="005E667C"/>
    <w:rsid w:val="005E6A1D"/>
    <w:rsid w:val="005E6F12"/>
    <w:rsid w:val="005E733E"/>
    <w:rsid w:val="005E7428"/>
    <w:rsid w:val="005E7773"/>
    <w:rsid w:val="005F0694"/>
    <w:rsid w:val="005F06E1"/>
    <w:rsid w:val="005F077C"/>
    <w:rsid w:val="005F0B88"/>
    <w:rsid w:val="005F1735"/>
    <w:rsid w:val="005F187E"/>
    <w:rsid w:val="005F252A"/>
    <w:rsid w:val="005F3562"/>
    <w:rsid w:val="005F3CE8"/>
    <w:rsid w:val="005F3EDB"/>
    <w:rsid w:val="005F4F41"/>
    <w:rsid w:val="005F566D"/>
    <w:rsid w:val="005F648F"/>
    <w:rsid w:val="005F68C3"/>
    <w:rsid w:val="005F7D87"/>
    <w:rsid w:val="00601140"/>
    <w:rsid w:val="00601794"/>
    <w:rsid w:val="00601E94"/>
    <w:rsid w:val="006021B1"/>
    <w:rsid w:val="006037C5"/>
    <w:rsid w:val="00603A13"/>
    <w:rsid w:val="006040CE"/>
    <w:rsid w:val="0060467D"/>
    <w:rsid w:val="00604D67"/>
    <w:rsid w:val="0060585E"/>
    <w:rsid w:val="00605B9D"/>
    <w:rsid w:val="00606213"/>
    <w:rsid w:val="00606B57"/>
    <w:rsid w:val="00606B85"/>
    <w:rsid w:val="00607390"/>
    <w:rsid w:val="006076D8"/>
    <w:rsid w:val="006079D8"/>
    <w:rsid w:val="00607E6D"/>
    <w:rsid w:val="00607F92"/>
    <w:rsid w:val="0061061D"/>
    <w:rsid w:val="00611816"/>
    <w:rsid w:val="00611A3B"/>
    <w:rsid w:val="006120CA"/>
    <w:rsid w:val="006121E1"/>
    <w:rsid w:val="00612389"/>
    <w:rsid w:val="00612570"/>
    <w:rsid w:val="006127BD"/>
    <w:rsid w:val="00612871"/>
    <w:rsid w:val="00612929"/>
    <w:rsid w:val="00612A44"/>
    <w:rsid w:val="00612A8E"/>
    <w:rsid w:val="00613098"/>
    <w:rsid w:val="006134D9"/>
    <w:rsid w:val="006135DA"/>
    <w:rsid w:val="00613BDC"/>
    <w:rsid w:val="0061504F"/>
    <w:rsid w:val="00615564"/>
    <w:rsid w:val="006155E2"/>
    <w:rsid w:val="00615F26"/>
    <w:rsid w:val="00616618"/>
    <w:rsid w:val="00616CCC"/>
    <w:rsid w:val="006173A3"/>
    <w:rsid w:val="00617A81"/>
    <w:rsid w:val="00617DEC"/>
    <w:rsid w:val="00620579"/>
    <w:rsid w:val="006208AA"/>
    <w:rsid w:val="0062128D"/>
    <w:rsid w:val="00622536"/>
    <w:rsid w:val="0062258F"/>
    <w:rsid w:val="00622732"/>
    <w:rsid w:val="00622E6D"/>
    <w:rsid w:val="00623BC7"/>
    <w:rsid w:val="00623E70"/>
    <w:rsid w:val="006241D0"/>
    <w:rsid w:val="00624425"/>
    <w:rsid w:val="00624665"/>
    <w:rsid w:val="00624A31"/>
    <w:rsid w:val="00625434"/>
    <w:rsid w:val="0062576B"/>
    <w:rsid w:val="00625C5F"/>
    <w:rsid w:val="00626032"/>
    <w:rsid w:val="00627643"/>
    <w:rsid w:val="00627788"/>
    <w:rsid w:val="006300CD"/>
    <w:rsid w:val="0063017E"/>
    <w:rsid w:val="00630723"/>
    <w:rsid w:val="00630EAE"/>
    <w:rsid w:val="006312D0"/>
    <w:rsid w:val="006318A4"/>
    <w:rsid w:val="00631A11"/>
    <w:rsid w:val="00631D4F"/>
    <w:rsid w:val="006321B6"/>
    <w:rsid w:val="006327C6"/>
    <w:rsid w:val="006329A2"/>
    <w:rsid w:val="00633496"/>
    <w:rsid w:val="006338D2"/>
    <w:rsid w:val="00633F92"/>
    <w:rsid w:val="0063435E"/>
    <w:rsid w:val="00634562"/>
    <w:rsid w:val="00634CB2"/>
    <w:rsid w:val="006357E2"/>
    <w:rsid w:val="00635FD8"/>
    <w:rsid w:val="00636651"/>
    <w:rsid w:val="006367A7"/>
    <w:rsid w:val="006368E4"/>
    <w:rsid w:val="00636C5C"/>
    <w:rsid w:val="00636F7B"/>
    <w:rsid w:val="0064019C"/>
    <w:rsid w:val="00640288"/>
    <w:rsid w:val="006402DD"/>
    <w:rsid w:val="006405AC"/>
    <w:rsid w:val="0064099D"/>
    <w:rsid w:val="006412CD"/>
    <w:rsid w:val="006413D8"/>
    <w:rsid w:val="00641610"/>
    <w:rsid w:val="00641B7B"/>
    <w:rsid w:val="00641C55"/>
    <w:rsid w:val="00642405"/>
    <w:rsid w:val="00642645"/>
    <w:rsid w:val="006437E8"/>
    <w:rsid w:val="006438E0"/>
    <w:rsid w:val="00644BED"/>
    <w:rsid w:val="00645405"/>
    <w:rsid w:val="006455CB"/>
    <w:rsid w:val="00645AFC"/>
    <w:rsid w:val="00646FD5"/>
    <w:rsid w:val="006472F8"/>
    <w:rsid w:val="00647680"/>
    <w:rsid w:val="00647743"/>
    <w:rsid w:val="006510C0"/>
    <w:rsid w:val="00652092"/>
    <w:rsid w:val="00652472"/>
    <w:rsid w:val="00652F31"/>
    <w:rsid w:val="0065394E"/>
    <w:rsid w:val="00653B38"/>
    <w:rsid w:val="00656385"/>
    <w:rsid w:val="00656F19"/>
    <w:rsid w:val="00657BB7"/>
    <w:rsid w:val="00660009"/>
    <w:rsid w:val="006600A1"/>
    <w:rsid w:val="00660552"/>
    <w:rsid w:val="00660DBE"/>
    <w:rsid w:val="00661113"/>
    <w:rsid w:val="0066127D"/>
    <w:rsid w:val="00661AB0"/>
    <w:rsid w:val="006623A4"/>
    <w:rsid w:val="0066351C"/>
    <w:rsid w:val="006635BF"/>
    <w:rsid w:val="0066367B"/>
    <w:rsid w:val="00664498"/>
    <w:rsid w:val="00664693"/>
    <w:rsid w:val="00664DC0"/>
    <w:rsid w:val="006651CC"/>
    <w:rsid w:val="0066582B"/>
    <w:rsid w:val="006658DA"/>
    <w:rsid w:val="00665CA1"/>
    <w:rsid w:val="00667421"/>
    <w:rsid w:val="0066780E"/>
    <w:rsid w:val="00667A31"/>
    <w:rsid w:val="00670702"/>
    <w:rsid w:val="006708EB"/>
    <w:rsid w:val="0067147C"/>
    <w:rsid w:val="00672A8A"/>
    <w:rsid w:val="00673BFE"/>
    <w:rsid w:val="00673F50"/>
    <w:rsid w:val="00674EEA"/>
    <w:rsid w:val="0067549D"/>
    <w:rsid w:val="006759B0"/>
    <w:rsid w:val="00676013"/>
    <w:rsid w:val="006765AC"/>
    <w:rsid w:val="00677012"/>
    <w:rsid w:val="006771EA"/>
    <w:rsid w:val="00680D0E"/>
    <w:rsid w:val="00680F00"/>
    <w:rsid w:val="006821E7"/>
    <w:rsid w:val="006825A6"/>
    <w:rsid w:val="006825B4"/>
    <w:rsid w:val="006829BA"/>
    <w:rsid w:val="00682AF2"/>
    <w:rsid w:val="00682E8A"/>
    <w:rsid w:val="00682FB7"/>
    <w:rsid w:val="00683302"/>
    <w:rsid w:val="006837DE"/>
    <w:rsid w:val="00683CE0"/>
    <w:rsid w:val="0068514F"/>
    <w:rsid w:val="0068537F"/>
    <w:rsid w:val="00686104"/>
    <w:rsid w:val="00686334"/>
    <w:rsid w:val="006866E5"/>
    <w:rsid w:val="00686C3A"/>
    <w:rsid w:val="00686EEB"/>
    <w:rsid w:val="00687628"/>
    <w:rsid w:val="00687CFE"/>
    <w:rsid w:val="0069035A"/>
    <w:rsid w:val="00690EB8"/>
    <w:rsid w:val="0069109D"/>
    <w:rsid w:val="006915E5"/>
    <w:rsid w:val="00691796"/>
    <w:rsid w:val="00692401"/>
    <w:rsid w:val="00693B7A"/>
    <w:rsid w:val="006941CC"/>
    <w:rsid w:val="006942BA"/>
    <w:rsid w:val="00694537"/>
    <w:rsid w:val="006945D4"/>
    <w:rsid w:val="00694EC0"/>
    <w:rsid w:val="00695852"/>
    <w:rsid w:val="00695D10"/>
    <w:rsid w:val="00695F56"/>
    <w:rsid w:val="006966A3"/>
    <w:rsid w:val="0069682F"/>
    <w:rsid w:val="0069758B"/>
    <w:rsid w:val="00697F88"/>
    <w:rsid w:val="006A07BA"/>
    <w:rsid w:val="006A0A70"/>
    <w:rsid w:val="006A0B6C"/>
    <w:rsid w:val="006A1015"/>
    <w:rsid w:val="006A1692"/>
    <w:rsid w:val="006A16E1"/>
    <w:rsid w:val="006A188D"/>
    <w:rsid w:val="006A3293"/>
    <w:rsid w:val="006A36DF"/>
    <w:rsid w:val="006A3C8A"/>
    <w:rsid w:val="006A3DF1"/>
    <w:rsid w:val="006A3E61"/>
    <w:rsid w:val="006A5213"/>
    <w:rsid w:val="006A6003"/>
    <w:rsid w:val="006A6737"/>
    <w:rsid w:val="006B0690"/>
    <w:rsid w:val="006B0AE6"/>
    <w:rsid w:val="006B1E08"/>
    <w:rsid w:val="006B2099"/>
    <w:rsid w:val="006B26B1"/>
    <w:rsid w:val="006B2DF7"/>
    <w:rsid w:val="006B2E45"/>
    <w:rsid w:val="006B341B"/>
    <w:rsid w:val="006B3875"/>
    <w:rsid w:val="006B425B"/>
    <w:rsid w:val="006B4555"/>
    <w:rsid w:val="006B545C"/>
    <w:rsid w:val="006B5AC8"/>
    <w:rsid w:val="006B5D32"/>
    <w:rsid w:val="006B758B"/>
    <w:rsid w:val="006B77BD"/>
    <w:rsid w:val="006B7BF8"/>
    <w:rsid w:val="006C01F6"/>
    <w:rsid w:val="006C054E"/>
    <w:rsid w:val="006C0F11"/>
    <w:rsid w:val="006C23E1"/>
    <w:rsid w:val="006C25D5"/>
    <w:rsid w:val="006C25F9"/>
    <w:rsid w:val="006C262B"/>
    <w:rsid w:val="006C31C6"/>
    <w:rsid w:val="006C3A2D"/>
    <w:rsid w:val="006C4666"/>
    <w:rsid w:val="006C49BF"/>
    <w:rsid w:val="006C5CB4"/>
    <w:rsid w:val="006C63D7"/>
    <w:rsid w:val="006C6894"/>
    <w:rsid w:val="006C69D9"/>
    <w:rsid w:val="006C7535"/>
    <w:rsid w:val="006C76A6"/>
    <w:rsid w:val="006C796D"/>
    <w:rsid w:val="006D0525"/>
    <w:rsid w:val="006D08DC"/>
    <w:rsid w:val="006D0C98"/>
    <w:rsid w:val="006D22A9"/>
    <w:rsid w:val="006D2F09"/>
    <w:rsid w:val="006D2FD2"/>
    <w:rsid w:val="006D336E"/>
    <w:rsid w:val="006D33E6"/>
    <w:rsid w:val="006D3DC0"/>
    <w:rsid w:val="006D40C4"/>
    <w:rsid w:val="006D4162"/>
    <w:rsid w:val="006D453E"/>
    <w:rsid w:val="006D50D1"/>
    <w:rsid w:val="006D5303"/>
    <w:rsid w:val="006D5E84"/>
    <w:rsid w:val="006D7A4C"/>
    <w:rsid w:val="006D7C99"/>
    <w:rsid w:val="006E0443"/>
    <w:rsid w:val="006E0C50"/>
    <w:rsid w:val="006E0DCF"/>
    <w:rsid w:val="006E14D6"/>
    <w:rsid w:val="006E1647"/>
    <w:rsid w:val="006E2298"/>
    <w:rsid w:val="006E2F3A"/>
    <w:rsid w:val="006E2FD9"/>
    <w:rsid w:val="006E310A"/>
    <w:rsid w:val="006E3C3E"/>
    <w:rsid w:val="006E3FBD"/>
    <w:rsid w:val="006E40C7"/>
    <w:rsid w:val="006E429F"/>
    <w:rsid w:val="006E468D"/>
    <w:rsid w:val="006E47E0"/>
    <w:rsid w:val="006E50E4"/>
    <w:rsid w:val="006E6F30"/>
    <w:rsid w:val="006E6FE9"/>
    <w:rsid w:val="006E7082"/>
    <w:rsid w:val="006E709F"/>
    <w:rsid w:val="006E749C"/>
    <w:rsid w:val="006E7F73"/>
    <w:rsid w:val="006F030F"/>
    <w:rsid w:val="006F193C"/>
    <w:rsid w:val="006F1B58"/>
    <w:rsid w:val="006F27DC"/>
    <w:rsid w:val="006F2B89"/>
    <w:rsid w:val="006F36F1"/>
    <w:rsid w:val="006F3B81"/>
    <w:rsid w:val="006F4D59"/>
    <w:rsid w:val="006F4F79"/>
    <w:rsid w:val="006F4F80"/>
    <w:rsid w:val="006F5532"/>
    <w:rsid w:val="006F5ADA"/>
    <w:rsid w:val="006F62CC"/>
    <w:rsid w:val="006F644B"/>
    <w:rsid w:val="006F66C1"/>
    <w:rsid w:val="006F681D"/>
    <w:rsid w:val="006F731E"/>
    <w:rsid w:val="006F78E9"/>
    <w:rsid w:val="0070235F"/>
    <w:rsid w:val="00702BC3"/>
    <w:rsid w:val="00702FF3"/>
    <w:rsid w:val="007032AC"/>
    <w:rsid w:val="00703496"/>
    <w:rsid w:val="007036FE"/>
    <w:rsid w:val="00703AB1"/>
    <w:rsid w:val="00704614"/>
    <w:rsid w:val="00704DE5"/>
    <w:rsid w:val="00705B37"/>
    <w:rsid w:val="0070658A"/>
    <w:rsid w:val="00706A32"/>
    <w:rsid w:val="00706B65"/>
    <w:rsid w:val="007071AF"/>
    <w:rsid w:val="00707634"/>
    <w:rsid w:val="00707C1A"/>
    <w:rsid w:val="00710023"/>
    <w:rsid w:val="00710207"/>
    <w:rsid w:val="0071023D"/>
    <w:rsid w:val="007104CB"/>
    <w:rsid w:val="00710530"/>
    <w:rsid w:val="007107BD"/>
    <w:rsid w:val="0071118D"/>
    <w:rsid w:val="00711E77"/>
    <w:rsid w:val="00712912"/>
    <w:rsid w:val="007136C7"/>
    <w:rsid w:val="00713AAC"/>
    <w:rsid w:val="007141DC"/>
    <w:rsid w:val="00714B04"/>
    <w:rsid w:val="00714F75"/>
    <w:rsid w:val="007155CE"/>
    <w:rsid w:val="007168A0"/>
    <w:rsid w:val="00716BC6"/>
    <w:rsid w:val="00716C95"/>
    <w:rsid w:val="00716D7C"/>
    <w:rsid w:val="00717014"/>
    <w:rsid w:val="00717762"/>
    <w:rsid w:val="00717F1A"/>
    <w:rsid w:val="007204DA"/>
    <w:rsid w:val="00721A63"/>
    <w:rsid w:val="00721DED"/>
    <w:rsid w:val="00721FF9"/>
    <w:rsid w:val="0072229E"/>
    <w:rsid w:val="00722F53"/>
    <w:rsid w:val="0072337E"/>
    <w:rsid w:val="00723696"/>
    <w:rsid w:val="0072442F"/>
    <w:rsid w:val="00725189"/>
    <w:rsid w:val="0072541E"/>
    <w:rsid w:val="00725735"/>
    <w:rsid w:val="0072630D"/>
    <w:rsid w:val="00726A2A"/>
    <w:rsid w:val="007271E9"/>
    <w:rsid w:val="007273BC"/>
    <w:rsid w:val="007275FD"/>
    <w:rsid w:val="007276E5"/>
    <w:rsid w:val="007278F6"/>
    <w:rsid w:val="00730943"/>
    <w:rsid w:val="007315FC"/>
    <w:rsid w:val="00731AE1"/>
    <w:rsid w:val="00731D5E"/>
    <w:rsid w:val="00732492"/>
    <w:rsid w:val="00733E5A"/>
    <w:rsid w:val="00733F25"/>
    <w:rsid w:val="0073589E"/>
    <w:rsid w:val="00736395"/>
    <w:rsid w:val="00736459"/>
    <w:rsid w:val="007364C3"/>
    <w:rsid w:val="0073685F"/>
    <w:rsid w:val="00737821"/>
    <w:rsid w:val="00740381"/>
    <w:rsid w:val="00740411"/>
    <w:rsid w:val="0074058F"/>
    <w:rsid w:val="00740E86"/>
    <w:rsid w:val="00741175"/>
    <w:rsid w:val="007419FB"/>
    <w:rsid w:val="00741F1B"/>
    <w:rsid w:val="007424AA"/>
    <w:rsid w:val="00742606"/>
    <w:rsid w:val="00743994"/>
    <w:rsid w:val="007441FF"/>
    <w:rsid w:val="00744EE8"/>
    <w:rsid w:val="00744F42"/>
    <w:rsid w:val="007459F5"/>
    <w:rsid w:val="00745A44"/>
    <w:rsid w:val="00745EFF"/>
    <w:rsid w:val="00746072"/>
    <w:rsid w:val="00746713"/>
    <w:rsid w:val="007467E4"/>
    <w:rsid w:val="00747569"/>
    <w:rsid w:val="00750238"/>
    <w:rsid w:val="0075023C"/>
    <w:rsid w:val="007518E3"/>
    <w:rsid w:val="007518E9"/>
    <w:rsid w:val="00752247"/>
    <w:rsid w:val="007523E7"/>
    <w:rsid w:val="007531CA"/>
    <w:rsid w:val="00754252"/>
    <w:rsid w:val="007546D1"/>
    <w:rsid w:val="007557F2"/>
    <w:rsid w:val="00756033"/>
    <w:rsid w:val="007577B1"/>
    <w:rsid w:val="00757CB3"/>
    <w:rsid w:val="00757D87"/>
    <w:rsid w:val="00760EED"/>
    <w:rsid w:val="0076109F"/>
    <w:rsid w:val="00761399"/>
    <w:rsid w:val="00761615"/>
    <w:rsid w:val="007616DA"/>
    <w:rsid w:val="007619CE"/>
    <w:rsid w:val="00761F4F"/>
    <w:rsid w:val="007620DC"/>
    <w:rsid w:val="00762102"/>
    <w:rsid w:val="0076255D"/>
    <w:rsid w:val="007625F6"/>
    <w:rsid w:val="00762B8B"/>
    <w:rsid w:val="0076325B"/>
    <w:rsid w:val="00764AF9"/>
    <w:rsid w:val="007650AD"/>
    <w:rsid w:val="0076549C"/>
    <w:rsid w:val="00765D18"/>
    <w:rsid w:val="0076640B"/>
    <w:rsid w:val="00770939"/>
    <w:rsid w:val="00770C54"/>
    <w:rsid w:val="00771344"/>
    <w:rsid w:val="00772613"/>
    <w:rsid w:val="00772B41"/>
    <w:rsid w:val="00772CED"/>
    <w:rsid w:val="00773B63"/>
    <w:rsid w:val="00773EA1"/>
    <w:rsid w:val="00775215"/>
    <w:rsid w:val="00775748"/>
    <w:rsid w:val="00776ACC"/>
    <w:rsid w:val="00777AE2"/>
    <w:rsid w:val="00777C71"/>
    <w:rsid w:val="00777D6B"/>
    <w:rsid w:val="00777F20"/>
    <w:rsid w:val="0078080B"/>
    <w:rsid w:val="00781148"/>
    <w:rsid w:val="0078120F"/>
    <w:rsid w:val="00781F98"/>
    <w:rsid w:val="0078265B"/>
    <w:rsid w:val="00782AFE"/>
    <w:rsid w:val="00782E10"/>
    <w:rsid w:val="00784926"/>
    <w:rsid w:val="00784DB8"/>
    <w:rsid w:val="00784FDD"/>
    <w:rsid w:val="0078508F"/>
    <w:rsid w:val="00785EB7"/>
    <w:rsid w:val="00786448"/>
    <w:rsid w:val="007875D7"/>
    <w:rsid w:val="007906B2"/>
    <w:rsid w:val="0079134E"/>
    <w:rsid w:val="007925F0"/>
    <w:rsid w:val="0079278E"/>
    <w:rsid w:val="00792DCA"/>
    <w:rsid w:val="00792E3C"/>
    <w:rsid w:val="007930C1"/>
    <w:rsid w:val="0079315D"/>
    <w:rsid w:val="00793B45"/>
    <w:rsid w:val="00795706"/>
    <w:rsid w:val="007960E3"/>
    <w:rsid w:val="00796F7C"/>
    <w:rsid w:val="00797131"/>
    <w:rsid w:val="00797254"/>
    <w:rsid w:val="00797430"/>
    <w:rsid w:val="00797548"/>
    <w:rsid w:val="007A0F8D"/>
    <w:rsid w:val="007A1078"/>
    <w:rsid w:val="007A1499"/>
    <w:rsid w:val="007A180A"/>
    <w:rsid w:val="007A257D"/>
    <w:rsid w:val="007A2CB0"/>
    <w:rsid w:val="007A343D"/>
    <w:rsid w:val="007A38CE"/>
    <w:rsid w:val="007A3F1C"/>
    <w:rsid w:val="007A4241"/>
    <w:rsid w:val="007A48D8"/>
    <w:rsid w:val="007A5ACE"/>
    <w:rsid w:val="007A5C5C"/>
    <w:rsid w:val="007A6528"/>
    <w:rsid w:val="007A7B48"/>
    <w:rsid w:val="007B18C6"/>
    <w:rsid w:val="007B1946"/>
    <w:rsid w:val="007B19C8"/>
    <w:rsid w:val="007B20C2"/>
    <w:rsid w:val="007B25D5"/>
    <w:rsid w:val="007B27E4"/>
    <w:rsid w:val="007B2910"/>
    <w:rsid w:val="007B301D"/>
    <w:rsid w:val="007B3264"/>
    <w:rsid w:val="007B3405"/>
    <w:rsid w:val="007B35F6"/>
    <w:rsid w:val="007B373F"/>
    <w:rsid w:val="007B3F87"/>
    <w:rsid w:val="007B404F"/>
    <w:rsid w:val="007B44A6"/>
    <w:rsid w:val="007B494E"/>
    <w:rsid w:val="007B4C5E"/>
    <w:rsid w:val="007B7462"/>
    <w:rsid w:val="007B7B52"/>
    <w:rsid w:val="007C02A3"/>
    <w:rsid w:val="007C0C55"/>
    <w:rsid w:val="007C1507"/>
    <w:rsid w:val="007C22F6"/>
    <w:rsid w:val="007C2F60"/>
    <w:rsid w:val="007C3E16"/>
    <w:rsid w:val="007C4D8D"/>
    <w:rsid w:val="007C5144"/>
    <w:rsid w:val="007C5613"/>
    <w:rsid w:val="007C6138"/>
    <w:rsid w:val="007C6153"/>
    <w:rsid w:val="007C6849"/>
    <w:rsid w:val="007C6BC6"/>
    <w:rsid w:val="007C6C12"/>
    <w:rsid w:val="007C73B2"/>
    <w:rsid w:val="007D0435"/>
    <w:rsid w:val="007D116E"/>
    <w:rsid w:val="007D1B24"/>
    <w:rsid w:val="007D267F"/>
    <w:rsid w:val="007D3341"/>
    <w:rsid w:val="007D3A3E"/>
    <w:rsid w:val="007D400A"/>
    <w:rsid w:val="007D4B0E"/>
    <w:rsid w:val="007D4DD2"/>
    <w:rsid w:val="007D5D0F"/>
    <w:rsid w:val="007D6A04"/>
    <w:rsid w:val="007D6EA8"/>
    <w:rsid w:val="007D7B39"/>
    <w:rsid w:val="007E013C"/>
    <w:rsid w:val="007E1247"/>
    <w:rsid w:val="007E1784"/>
    <w:rsid w:val="007E1A44"/>
    <w:rsid w:val="007E2419"/>
    <w:rsid w:val="007E3FF5"/>
    <w:rsid w:val="007E4219"/>
    <w:rsid w:val="007E577E"/>
    <w:rsid w:val="007E5AA3"/>
    <w:rsid w:val="007E635E"/>
    <w:rsid w:val="007E6A9C"/>
    <w:rsid w:val="007E6C0C"/>
    <w:rsid w:val="007E7300"/>
    <w:rsid w:val="007E767B"/>
    <w:rsid w:val="007F038C"/>
    <w:rsid w:val="007F0428"/>
    <w:rsid w:val="007F0F24"/>
    <w:rsid w:val="007F151C"/>
    <w:rsid w:val="007F1755"/>
    <w:rsid w:val="007F222B"/>
    <w:rsid w:val="007F2CBC"/>
    <w:rsid w:val="007F3092"/>
    <w:rsid w:val="007F30F9"/>
    <w:rsid w:val="007F39B8"/>
    <w:rsid w:val="007F3C03"/>
    <w:rsid w:val="007F3E3F"/>
    <w:rsid w:val="007F45B4"/>
    <w:rsid w:val="007F45DF"/>
    <w:rsid w:val="007F4A6F"/>
    <w:rsid w:val="007F4FBC"/>
    <w:rsid w:val="007F5975"/>
    <w:rsid w:val="007F5AB9"/>
    <w:rsid w:val="007F6497"/>
    <w:rsid w:val="007F6836"/>
    <w:rsid w:val="007F7DF2"/>
    <w:rsid w:val="00800187"/>
    <w:rsid w:val="008005E6"/>
    <w:rsid w:val="00800A35"/>
    <w:rsid w:val="00800D91"/>
    <w:rsid w:val="00801270"/>
    <w:rsid w:val="008015F2"/>
    <w:rsid w:val="00801A0E"/>
    <w:rsid w:val="00801DF3"/>
    <w:rsid w:val="00803AF8"/>
    <w:rsid w:val="00803C65"/>
    <w:rsid w:val="008046A8"/>
    <w:rsid w:val="00804BC0"/>
    <w:rsid w:val="00804E3C"/>
    <w:rsid w:val="00804E4C"/>
    <w:rsid w:val="0080662C"/>
    <w:rsid w:val="00806980"/>
    <w:rsid w:val="008070B2"/>
    <w:rsid w:val="00807D79"/>
    <w:rsid w:val="00810102"/>
    <w:rsid w:val="008102BC"/>
    <w:rsid w:val="00810A05"/>
    <w:rsid w:val="008116F3"/>
    <w:rsid w:val="008117C4"/>
    <w:rsid w:val="0081222E"/>
    <w:rsid w:val="00812461"/>
    <w:rsid w:val="008127E0"/>
    <w:rsid w:val="00812810"/>
    <w:rsid w:val="0081398E"/>
    <w:rsid w:val="008149D8"/>
    <w:rsid w:val="00814B1C"/>
    <w:rsid w:val="00815714"/>
    <w:rsid w:val="00815A2A"/>
    <w:rsid w:val="00815E62"/>
    <w:rsid w:val="008170A5"/>
    <w:rsid w:val="0081788A"/>
    <w:rsid w:val="00817927"/>
    <w:rsid w:val="00817CFC"/>
    <w:rsid w:val="00817E82"/>
    <w:rsid w:val="00821D81"/>
    <w:rsid w:val="00822519"/>
    <w:rsid w:val="00822A52"/>
    <w:rsid w:val="00823209"/>
    <w:rsid w:val="00823654"/>
    <w:rsid w:val="00823A90"/>
    <w:rsid w:val="00823B2E"/>
    <w:rsid w:val="00825559"/>
    <w:rsid w:val="00825C68"/>
    <w:rsid w:val="0082757E"/>
    <w:rsid w:val="0082769C"/>
    <w:rsid w:val="00827B29"/>
    <w:rsid w:val="00827B6C"/>
    <w:rsid w:val="00827D77"/>
    <w:rsid w:val="00830561"/>
    <w:rsid w:val="00831115"/>
    <w:rsid w:val="00831199"/>
    <w:rsid w:val="008316DE"/>
    <w:rsid w:val="0083249C"/>
    <w:rsid w:val="00832D42"/>
    <w:rsid w:val="008333A9"/>
    <w:rsid w:val="00833419"/>
    <w:rsid w:val="008342A5"/>
    <w:rsid w:val="00834B7C"/>
    <w:rsid w:val="00834BE2"/>
    <w:rsid w:val="00834DDD"/>
    <w:rsid w:val="00834EA4"/>
    <w:rsid w:val="00835049"/>
    <w:rsid w:val="008354B9"/>
    <w:rsid w:val="00835DCB"/>
    <w:rsid w:val="00836090"/>
    <w:rsid w:val="00836921"/>
    <w:rsid w:val="00836C36"/>
    <w:rsid w:val="00837237"/>
    <w:rsid w:val="008376C0"/>
    <w:rsid w:val="0084035D"/>
    <w:rsid w:val="00840426"/>
    <w:rsid w:val="008405F9"/>
    <w:rsid w:val="0084060B"/>
    <w:rsid w:val="0084139B"/>
    <w:rsid w:val="0084143B"/>
    <w:rsid w:val="008417D4"/>
    <w:rsid w:val="008424F2"/>
    <w:rsid w:val="00842547"/>
    <w:rsid w:val="008427D3"/>
    <w:rsid w:val="0084292F"/>
    <w:rsid w:val="00842946"/>
    <w:rsid w:val="008429CF"/>
    <w:rsid w:val="00842F82"/>
    <w:rsid w:val="0084324C"/>
    <w:rsid w:val="00844307"/>
    <w:rsid w:val="008443A3"/>
    <w:rsid w:val="008451F8"/>
    <w:rsid w:val="008457D2"/>
    <w:rsid w:val="00845AE6"/>
    <w:rsid w:val="00846212"/>
    <w:rsid w:val="008468E0"/>
    <w:rsid w:val="00846CF0"/>
    <w:rsid w:val="00847501"/>
    <w:rsid w:val="0084767E"/>
    <w:rsid w:val="0084790F"/>
    <w:rsid w:val="00847BE7"/>
    <w:rsid w:val="00850EAB"/>
    <w:rsid w:val="00851C80"/>
    <w:rsid w:val="00851D70"/>
    <w:rsid w:val="008529B3"/>
    <w:rsid w:val="00852ADD"/>
    <w:rsid w:val="00853883"/>
    <w:rsid w:val="00853EB9"/>
    <w:rsid w:val="00854CF7"/>
    <w:rsid w:val="00854DA7"/>
    <w:rsid w:val="0085538B"/>
    <w:rsid w:val="008557A0"/>
    <w:rsid w:val="008559E6"/>
    <w:rsid w:val="00856607"/>
    <w:rsid w:val="00860ADD"/>
    <w:rsid w:val="008612EE"/>
    <w:rsid w:val="008616A2"/>
    <w:rsid w:val="00861C6C"/>
    <w:rsid w:val="008635CF"/>
    <w:rsid w:val="00863862"/>
    <w:rsid w:val="00863AAD"/>
    <w:rsid w:val="00864644"/>
    <w:rsid w:val="00866296"/>
    <w:rsid w:val="008665C7"/>
    <w:rsid w:val="00867BB7"/>
    <w:rsid w:val="008707A3"/>
    <w:rsid w:val="00870A36"/>
    <w:rsid w:val="008711AE"/>
    <w:rsid w:val="00871874"/>
    <w:rsid w:val="00871A36"/>
    <w:rsid w:val="00872F21"/>
    <w:rsid w:val="00873736"/>
    <w:rsid w:val="0087378E"/>
    <w:rsid w:val="008737DF"/>
    <w:rsid w:val="008747B4"/>
    <w:rsid w:val="008755E7"/>
    <w:rsid w:val="00875E16"/>
    <w:rsid w:val="00877D03"/>
    <w:rsid w:val="00877E96"/>
    <w:rsid w:val="0088023D"/>
    <w:rsid w:val="0088036B"/>
    <w:rsid w:val="008803CE"/>
    <w:rsid w:val="00880623"/>
    <w:rsid w:val="00882077"/>
    <w:rsid w:val="008820D9"/>
    <w:rsid w:val="00883299"/>
    <w:rsid w:val="00883613"/>
    <w:rsid w:val="008840EB"/>
    <w:rsid w:val="0088557F"/>
    <w:rsid w:val="00886393"/>
    <w:rsid w:val="00886579"/>
    <w:rsid w:val="00886B03"/>
    <w:rsid w:val="00886F19"/>
    <w:rsid w:val="00887289"/>
    <w:rsid w:val="00887865"/>
    <w:rsid w:val="00887B37"/>
    <w:rsid w:val="00890598"/>
    <w:rsid w:val="0089065A"/>
    <w:rsid w:val="00890DEB"/>
    <w:rsid w:val="00890EFE"/>
    <w:rsid w:val="0089177A"/>
    <w:rsid w:val="00891D7A"/>
    <w:rsid w:val="00891DFC"/>
    <w:rsid w:val="00892B98"/>
    <w:rsid w:val="00893422"/>
    <w:rsid w:val="008945D2"/>
    <w:rsid w:val="008949A3"/>
    <w:rsid w:val="008959FC"/>
    <w:rsid w:val="0089605E"/>
    <w:rsid w:val="00896668"/>
    <w:rsid w:val="00896E9A"/>
    <w:rsid w:val="008A1BCC"/>
    <w:rsid w:val="008A1D0E"/>
    <w:rsid w:val="008A25EA"/>
    <w:rsid w:val="008A276E"/>
    <w:rsid w:val="008A2F6A"/>
    <w:rsid w:val="008A31C7"/>
    <w:rsid w:val="008A3215"/>
    <w:rsid w:val="008A3630"/>
    <w:rsid w:val="008A3E8B"/>
    <w:rsid w:val="008A47BE"/>
    <w:rsid w:val="008A4AEC"/>
    <w:rsid w:val="008A4DF4"/>
    <w:rsid w:val="008A5609"/>
    <w:rsid w:val="008A5697"/>
    <w:rsid w:val="008A6DD5"/>
    <w:rsid w:val="008A6DF0"/>
    <w:rsid w:val="008A6FA0"/>
    <w:rsid w:val="008A7A2D"/>
    <w:rsid w:val="008B0FAB"/>
    <w:rsid w:val="008B105C"/>
    <w:rsid w:val="008B15CE"/>
    <w:rsid w:val="008B1C8F"/>
    <w:rsid w:val="008B2570"/>
    <w:rsid w:val="008B2B19"/>
    <w:rsid w:val="008B2F40"/>
    <w:rsid w:val="008B2FCD"/>
    <w:rsid w:val="008B3627"/>
    <w:rsid w:val="008B3EAD"/>
    <w:rsid w:val="008B49B6"/>
    <w:rsid w:val="008B4CAA"/>
    <w:rsid w:val="008B56A0"/>
    <w:rsid w:val="008B5AA1"/>
    <w:rsid w:val="008B5E61"/>
    <w:rsid w:val="008B64CE"/>
    <w:rsid w:val="008B68B4"/>
    <w:rsid w:val="008B7545"/>
    <w:rsid w:val="008B7914"/>
    <w:rsid w:val="008C0B16"/>
    <w:rsid w:val="008C0D0C"/>
    <w:rsid w:val="008C127A"/>
    <w:rsid w:val="008C18BD"/>
    <w:rsid w:val="008C1932"/>
    <w:rsid w:val="008C2C7F"/>
    <w:rsid w:val="008C2F0D"/>
    <w:rsid w:val="008C314A"/>
    <w:rsid w:val="008C364D"/>
    <w:rsid w:val="008C4B98"/>
    <w:rsid w:val="008C500C"/>
    <w:rsid w:val="008C5D2A"/>
    <w:rsid w:val="008C6754"/>
    <w:rsid w:val="008C6C16"/>
    <w:rsid w:val="008C74B4"/>
    <w:rsid w:val="008C74FB"/>
    <w:rsid w:val="008C7AF4"/>
    <w:rsid w:val="008C7DA4"/>
    <w:rsid w:val="008C7F6E"/>
    <w:rsid w:val="008D0210"/>
    <w:rsid w:val="008D033E"/>
    <w:rsid w:val="008D0835"/>
    <w:rsid w:val="008D0851"/>
    <w:rsid w:val="008D0DEF"/>
    <w:rsid w:val="008D0F8F"/>
    <w:rsid w:val="008D0FCD"/>
    <w:rsid w:val="008D1074"/>
    <w:rsid w:val="008D1079"/>
    <w:rsid w:val="008D2643"/>
    <w:rsid w:val="008D280F"/>
    <w:rsid w:val="008D318B"/>
    <w:rsid w:val="008D3994"/>
    <w:rsid w:val="008D3C3D"/>
    <w:rsid w:val="008D478E"/>
    <w:rsid w:val="008D534E"/>
    <w:rsid w:val="008D6E81"/>
    <w:rsid w:val="008D7739"/>
    <w:rsid w:val="008D7A64"/>
    <w:rsid w:val="008D7A92"/>
    <w:rsid w:val="008E0302"/>
    <w:rsid w:val="008E1267"/>
    <w:rsid w:val="008E19FD"/>
    <w:rsid w:val="008E22F8"/>
    <w:rsid w:val="008E39D8"/>
    <w:rsid w:val="008E5D73"/>
    <w:rsid w:val="008E606F"/>
    <w:rsid w:val="008E61C1"/>
    <w:rsid w:val="008E6301"/>
    <w:rsid w:val="008E6AD9"/>
    <w:rsid w:val="008F022A"/>
    <w:rsid w:val="008F06FD"/>
    <w:rsid w:val="008F1172"/>
    <w:rsid w:val="008F1A5D"/>
    <w:rsid w:val="008F27E3"/>
    <w:rsid w:val="008F3485"/>
    <w:rsid w:val="008F3AC3"/>
    <w:rsid w:val="008F3D47"/>
    <w:rsid w:val="008F42DC"/>
    <w:rsid w:val="008F51FF"/>
    <w:rsid w:val="008F52FC"/>
    <w:rsid w:val="008F5DEF"/>
    <w:rsid w:val="008F61F2"/>
    <w:rsid w:val="008F7C0A"/>
    <w:rsid w:val="00900983"/>
    <w:rsid w:val="00900E4F"/>
    <w:rsid w:val="00901DBB"/>
    <w:rsid w:val="009026CB"/>
    <w:rsid w:val="00902876"/>
    <w:rsid w:val="00903415"/>
    <w:rsid w:val="00903FB2"/>
    <w:rsid w:val="00904038"/>
    <w:rsid w:val="009041AF"/>
    <w:rsid w:val="009042AA"/>
    <w:rsid w:val="009049AB"/>
    <w:rsid w:val="009050B7"/>
    <w:rsid w:val="00905130"/>
    <w:rsid w:val="009053BD"/>
    <w:rsid w:val="00905728"/>
    <w:rsid w:val="009061B8"/>
    <w:rsid w:val="009064BF"/>
    <w:rsid w:val="009069B8"/>
    <w:rsid w:val="00907CFC"/>
    <w:rsid w:val="009130CC"/>
    <w:rsid w:val="00913AF7"/>
    <w:rsid w:val="00913B37"/>
    <w:rsid w:val="00914683"/>
    <w:rsid w:val="00914861"/>
    <w:rsid w:val="009148D8"/>
    <w:rsid w:val="00914B5F"/>
    <w:rsid w:val="00914E71"/>
    <w:rsid w:val="0091504C"/>
    <w:rsid w:val="00915897"/>
    <w:rsid w:val="00915B44"/>
    <w:rsid w:val="00915CD5"/>
    <w:rsid w:val="00916093"/>
    <w:rsid w:val="009160E3"/>
    <w:rsid w:val="0091639C"/>
    <w:rsid w:val="00916E99"/>
    <w:rsid w:val="0092002E"/>
    <w:rsid w:val="0092050A"/>
    <w:rsid w:val="00920EC6"/>
    <w:rsid w:val="0092101E"/>
    <w:rsid w:val="009227A1"/>
    <w:rsid w:val="0092383B"/>
    <w:rsid w:val="00923DCE"/>
    <w:rsid w:val="00924119"/>
    <w:rsid w:val="00924E47"/>
    <w:rsid w:val="00925120"/>
    <w:rsid w:val="009255FA"/>
    <w:rsid w:val="009262E4"/>
    <w:rsid w:val="009266D2"/>
    <w:rsid w:val="00927D4E"/>
    <w:rsid w:val="00930AC2"/>
    <w:rsid w:val="00930D2A"/>
    <w:rsid w:val="009312BF"/>
    <w:rsid w:val="00931680"/>
    <w:rsid w:val="00931B84"/>
    <w:rsid w:val="00932188"/>
    <w:rsid w:val="009322B2"/>
    <w:rsid w:val="009328DA"/>
    <w:rsid w:val="00932E7E"/>
    <w:rsid w:val="00933C87"/>
    <w:rsid w:val="0093442D"/>
    <w:rsid w:val="00934CD2"/>
    <w:rsid w:val="00935A35"/>
    <w:rsid w:val="00935F66"/>
    <w:rsid w:val="009375E5"/>
    <w:rsid w:val="00937BC5"/>
    <w:rsid w:val="00937D30"/>
    <w:rsid w:val="00941848"/>
    <w:rsid w:val="0094337A"/>
    <w:rsid w:val="009437F2"/>
    <w:rsid w:val="009442E8"/>
    <w:rsid w:val="00944668"/>
    <w:rsid w:val="00944BA7"/>
    <w:rsid w:val="00945331"/>
    <w:rsid w:val="0094636D"/>
    <w:rsid w:val="00947222"/>
    <w:rsid w:val="0094759C"/>
    <w:rsid w:val="009503FE"/>
    <w:rsid w:val="00950448"/>
    <w:rsid w:val="009507D4"/>
    <w:rsid w:val="00950ACD"/>
    <w:rsid w:val="00950E37"/>
    <w:rsid w:val="00951666"/>
    <w:rsid w:val="0095182F"/>
    <w:rsid w:val="00952524"/>
    <w:rsid w:val="0095278F"/>
    <w:rsid w:val="00953D2D"/>
    <w:rsid w:val="00953EAF"/>
    <w:rsid w:val="0095426C"/>
    <w:rsid w:val="0095570D"/>
    <w:rsid w:val="00955EE9"/>
    <w:rsid w:val="00956BF5"/>
    <w:rsid w:val="009570CF"/>
    <w:rsid w:val="009571C2"/>
    <w:rsid w:val="009575C3"/>
    <w:rsid w:val="0095770C"/>
    <w:rsid w:val="009579AF"/>
    <w:rsid w:val="00957CC8"/>
    <w:rsid w:val="00957EE7"/>
    <w:rsid w:val="0096086A"/>
    <w:rsid w:val="00961453"/>
    <w:rsid w:val="009616D4"/>
    <w:rsid w:val="00962150"/>
    <w:rsid w:val="00964166"/>
    <w:rsid w:val="009645AD"/>
    <w:rsid w:val="0096475C"/>
    <w:rsid w:val="0096546E"/>
    <w:rsid w:val="0096562A"/>
    <w:rsid w:val="00965865"/>
    <w:rsid w:val="00965D77"/>
    <w:rsid w:val="00966096"/>
    <w:rsid w:val="00966A13"/>
    <w:rsid w:val="00967473"/>
    <w:rsid w:val="00967730"/>
    <w:rsid w:val="00970D56"/>
    <w:rsid w:val="00970E50"/>
    <w:rsid w:val="00971074"/>
    <w:rsid w:val="009711D3"/>
    <w:rsid w:val="009725B2"/>
    <w:rsid w:val="009747AA"/>
    <w:rsid w:val="00974B99"/>
    <w:rsid w:val="00974BCB"/>
    <w:rsid w:val="0097529C"/>
    <w:rsid w:val="00975361"/>
    <w:rsid w:val="009758CD"/>
    <w:rsid w:val="00975AEF"/>
    <w:rsid w:val="00975BF2"/>
    <w:rsid w:val="0097616C"/>
    <w:rsid w:val="009763E4"/>
    <w:rsid w:val="0097649D"/>
    <w:rsid w:val="0097654D"/>
    <w:rsid w:val="009766B7"/>
    <w:rsid w:val="009771A5"/>
    <w:rsid w:val="00977C23"/>
    <w:rsid w:val="00980974"/>
    <w:rsid w:val="00980A22"/>
    <w:rsid w:val="00980D85"/>
    <w:rsid w:val="009810A1"/>
    <w:rsid w:val="00981E09"/>
    <w:rsid w:val="00982E49"/>
    <w:rsid w:val="00983094"/>
    <w:rsid w:val="00983599"/>
    <w:rsid w:val="00983A34"/>
    <w:rsid w:val="009843DE"/>
    <w:rsid w:val="0098544F"/>
    <w:rsid w:val="00985A06"/>
    <w:rsid w:val="00985B04"/>
    <w:rsid w:val="00986A6D"/>
    <w:rsid w:val="00986BEF"/>
    <w:rsid w:val="00987298"/>
    <w:rsid w:val="0098756B"/>
    <w:rsid w:val="00987B34"/>
    <w:rsid w:val="00987D84"/>
    <w:rsid w:val="00991DF8"/>
    <w:rsid w:val="00992499"/>
    <w:rsid w:val="00992986"/>
    <w:rsid w:val="009936E2"/>
    <w:rsid w:val="00994B55"/>
    <w:rsid w:val="009954C9"/>
    <w:rsid w:val="00995D86"/>
    <w:rsid w:val="00995FB2"/>
    <w:rsid w:val="0099781E"/>
    <w:rsid w:val="00997A68"/>
    <w:rsid w:val="009A00EA"/>
    <w:rsid w:val="009A0587"/>
    <w:rsid w:val="009A0DA2"/>
    <w:rsid w:val="009A0E84"/>
    <w:rsid w:val="009A1F6B"/>
    <w:rsid w:val="009A2C4C"/>
    <w:rsid w:val="009A2DD8"/>
    <w:rsid w:val="009A30DE"/>
    <w:rsid w:val="009A3D29"/>
    <w:rsid w:val="009A509F"/>
    <w:rsid w:val="009A5453"/>
    <w:rsid w:val="009A5489"/>
    <w:rsid w:val="009A6735"/>
    <w:rsid w:val="009A6A7B"/>
    <w:rsid w:val="009A6D2A"/>
    <w:rsid w:val="009A7532"/>
    <w:rsid w:val="009A7883"/>
    <w:rsid w:val="009B0596"/>
    <w:rsid w:val="009B0F0D"/>
    <w:rsid w:val="009B1D50"/>
    <w:rsid w:val="009B22E2"/>
    <w:rsid w:val="009B237F"/>
    <w:rsid w:val="009B2760"/>
    <w:rsid w:val="009B308D"/>
    <w:rsid w:val="009B38D5"/>
    <w:rsid w:val="009B3B62"/>
    <w:rsid w:val="009B3C8D"/>
    <w:rsid w:val="009B4FFB"/>
    <w:rsid w:val="009B53C7"/>
    <w:rsid w:val="009B6758"/>
    <w:rsid w:val="009B6A0D"/>
    <w:rsid w:val="009B6E33"/>
    <w:rsid w:val="009B7214"/>
    <w:rsid w:val="009B7489"/>
    <w:rsid w:val="009B7987"/>
    <w:rsid w:val="009B7B0A"/>
    <w:rsid w:val="009C07C9"/>
    <w:rsid w:val="009C08D7"/>
    <w:rsid w:val="009C1866"/>
    <w:rsid w:val="009C1FDE"/>
    <w:rsid w:val="009C23FE"/>
    <w:rsid w:val="009C375C"/>
    <w:rsid w:val="009C4BC0"/>
    <w:rsid w:val="009C4E0D"/>
    <w:rsid w:val="009C4F1B"/>
    <w:rsid w:val="009C503B"/>
    <w:rsid w:val="009C503E"/>
    <w:rsid w:val="009C5793"/>
    <w:rsid w:val="009C5816"/>
    <w:rsid w:val="009C61EA"/>
    <w:rsid w:val="009C63EC"/>
    <w:rsid w:val="009C7777"/>
    <w:rsid w:val="009C7DAC"/>
    <w:rsid w:val="009D077D"/>
    <w:rsid w:val="009D08A6"/>
    <w:rsid w:val="009D1915"/>
    <w:rsid w:val="009D1B69"/>
    <w:rsid w:val="009D1EB3"/>
    <w:rsid w:val="009D2ABF"/>
    <w:rsid w:val="009D34F6"/>
    <w:rsid w:val="009D3793"/>
    <w:rsid w:val="009D3AD2"/>
    <w:rsid w:val="009D3E06"/>
    <w:rsid w:val="009D5843"/>
    <w:rsid w:val="009D6154"/>
    <w:rsid w:val="009D638D"/>
    <w:rsid w:val="009D6393"/>
    <w:rsid w:val="009E0885"/>
    <w:rsid w:val="009E1CC8"/>
    <w:rsid w:val="009E2827"/>
    <w:rsid w:val="009E30D2"/>
    <w:rsid w:val="009E42CE"/>
    <w:rsid w:val="009E4885"/>
    <w:rsid w:val="009E508B"/>
    <w:rsid w:val="009E6A00"/>
    <w:rsid w:val="009F0086"/>
    <w:rsid w:val="009F03AB"/>
    <w:rsid w:val="009F0619"/>
    <w:rsid w:val="009F068A"/>
    <w:rsid w:val="009F08C5"/>
    <w:rsid w:val="009F0A85"/>
    <w:rsid w:val="009F1260"/>
    <w:rsid w:val="009F15CA"/>
    <w:rsid w:val="009F17D7"/>
    <w:rsid w:val="009F1B71"/>
    <w:rsid w:val="009F220A"/>
    <w:rsid w:val="009F356A"/>
    <w:rsid w:val="009F36D6"/>
    <w:rsid w:val="009F6575"/>
    <w:rsid w:val="009F6799"/>
    <w:rsid w:val="009F7ADC"/>
    <w:rsid w:val="00A0002A"/>
    <w:rsid w:val="00A00B74"/>
    <w:rsid w:val="00A01056"/>
    <w:rsid w:val="00A0236D"/>
    <w:rsid w:val="00A02413"/>
    <w:rsid w:val="00A02985"/>
    <w:rsid w:val="00A02B2B"/>
    <w:rsid w:val="00A02CFF"/>
    <w:rsid w:val="00A02FA8"/>
    <w:rsid w:val="00A03F1A"/>
    <w:rsid w:val="00A03F74"/>
    <w:rsid w:val="00A03F88"/>
    <w:rsid w:val="00A043EB"/>
    <w:rsid w:val="00A046BF"/>
    <w:rsid w:val="00A05820"/>
    <w:rsid w:val="00A05B25"/>
    <w:rsid w:val="00A05C04"/>
    <w:rsid w:val="00A05EC0"/>
    <w:rsid w:val="00A06254"/>
    <w:rsid w:val="00A06842"/>
    <w:rsid w:val="00A07459"/>
    <w:rsid w:val="00A07D78"/>
    <w:rsid w:val="00A07DB6"/>
    <w:rsid w:val="00A1094D"/>
    <w:rsid w:val="00A10972"/>
    <w:rsid w:val="00A11406"/>
    <w:rsid w:val="00A13205"/>
    <w:rsid w:val="00A132A1"/>
    <w:rsid w:val="00A13422"/>
    <w:rsid w:val="00A15132"/>
    <w:rsid w:val="00A1554D"/>
    <w:rsid w:val="00A15792"/>
    <w:rsid w:val="00A158E3"/>
    <w:rsid w:val="00A1591A"/>
    <w:rsid w:val="00A172E0"/>
    <w:rsid w:val="00A17527"/>
    <w:rsid w:val="00A17635"/>
    <w:rsid w:val="00A211C5"/>
    <w:rsid w:val="00A221A3"/>
    <w:rsid w:val="00A2229A"/>
    <w:rsid w:val="00A223D5"/>
    <w:rsid w:val="00A235E4"/>
    <w:rsid w:val="00A23829"/>
    <w:rsid w:val="00A23F41"/>
    <w:rsid w:val="00A24270"/>
    <w:rsid w:val="00A25169"/>
    <w:rsid w:val="00A25547"/>
    <w:rsid w:val="00A25F76"/>
    <w:rsid w:val="00A3003E"/>
    <w:rsid w:val="00A31E14"/>
    <w:rsid w:val="00A3325E"/>
    <w:rsid w:val="00A334D6"/>
    <w:rsid w:val="00A34276"/>
    <w:rsid w:val="00A34524"/>
    <w:rsid w:val="00A345B6"/>
    <w:rsid w:val="00A35427"/>
    <w:rsid w:val="00A357A4"/>
    <w:rsid w:val="00A35CDF"/>
    <w:rsid w:val="00A36453"/>
    <w:rsid w:val="00A37970"/>
    <w:rsid w:val="00A37A68"/>
    <w:rsid w:val="00A37B0C"/>
    <w:rsid w:val="00A37CE6"/>
    <w:rsid w:val="00A37D1C"/>
    <w:rsid w:val="00A37FFE"/>
    <w:rsid w:val="00A404BE"/>
    <w:rsid w:val="00A40ECF"/>
    <w:rsid w:val="00A411C9"/>
    <w:rsid w:val="00A41FEF"/>
    <w:rsid w:val="00A42476"/>
    <w:rsid w:val="00A433CA"/>
    <w:rsid w:val="00A43870"/>
    <w:rsid w:val="00A43A1A"/>
    <w:rsid w:val="00A43D48"/>
    <w:rsid w:val="00A43F3C"/>
    <w:rsid w:val="00A447A5"/>
    <w:rsid w:val="00A45B83"/>
    <w:rsid w:val="00A4646E"/>
    <w:rsid w:val="00A468FD"/>
    <w:rsid w:val="00A46921"/>
    <w:rsid w:val="00A47249"/>
    <w:rsid w:val="00A47E3B"/>
    <w:rsid w:val="00A501C7"/>
    <w:rsid w:val="00A5058A"/>
    <w:rsid w:val="00A50905"/>
    <w:rsid w:val="00A513FD"/>
    <w:rsid w:val="00A521CF"/>
    <w:rsid w:val="00A52268"/>
    <w:rsid w:val="00A5254B"/>
    <w:rsid w:val="00A52BC1"/>
    <w:rsid w:val="00A5347F"/>
    <w:rsid w:val="00A534A0"/>
    <w:rsid w:val="00A537EA"/>
    <w:rsid w:val="00A5380A"/>
    <w:rsid w:val="00A539AD"/>
    <w:rsid w:val="00A53E3E"/>
    <w:rsid w:val="00A540B2"/>
    <w:rsid w:val="00A5414D"/>
    <w:rsid w:val="00A54A3E"/>
    <w:rsid w:val="00A54C08"/>
    <w:rsid w:val="00A556B7"/>
    <w:rsid w:val="00A562B5"/>
    <w:rsid w:val="00A564A6"/>
    <w:rsid w:val="00A56819"/>
    <w:rsid w:val="00A568AC"/>
    <w:rsid w:val="00A56A78"/>
    <w:rsid w:val="00A6025F"/>
    <w:rsid w:val="00A60E9C"/>
    <w:rsid w:val="00A61196"/>
    <w:rsid w:val="00A6131E"/>
    <w:rsid w:val="00A616AF"/>
    <w:rsid w:val="00A61879"/>
    <w:rsid w:val="00A61F8B"/>
    <w:rsid w:val="00A628B4"/>
    <w:rsid w:val="00A62E6A"/>
    <w:rsid w:val="00A63E4E"/>
    <w:rsid w:val="00A6444F"/>
    <w:rsid w:val="00A652FF"/>
    <w:rsid w:val="00A65A0D"/>
    <w:rsid w:val="00A65C27"/>
    <w:rsid w:val="00A65F3C"/>
    <w:rsid w:val="00A661FD"/>
    <w:rsid w:val="00A66E75"/>
    <w:rsid w:val="00A66FB3"/>
    <w:rsid w:val="00A67832"/>
    <w:rsid w:val="00A67A2C"/>
    <w:rsid w:val="00A709A3"/>
    <w:rsid w:val="00A71216"/>
    <w:rsid w:val="00A714A3"/>
    <w:rsid w:val="00A71B8B"/>
    <w:rsid w:val="00A74DE0"/>
    <w:rsid w:val="00A75089"/>
    <w:rsid w:val="00A75EDC"/>
    <w:rsid w:val="00A7785E"/>
    <w:rsid w:val="00A80404"/>
    <w:rsid w:val="00A80548"/>
    <w:rsid w:val="00A8085F"/>
    <w:rsid w:val="00A80A3D"/>
    <w:rsid w:val="00A817A8"/>
    <w:rsid w:val="00A81E50"/>
    <w:rsid w:val="00A81F1C"/>
    <w:rsid w:val="00A82602"/>
    <w:rsid w:val="00A82DA0"/>
    <w:rsid w:val="00A83E49"/>
    <w:rsid w:val="00A8401C"/>
    <w:rsid w:val="00A8415A"/>
    <w:rsid w:val="00A841A6"/>
    <w:rsid w:val="00A84221"/>
    <w:rsid w:val="00A843CA"/>
    <w:rsid w:val="00A84AAE"/>
    <w:rsid w:val="00A84B7A"/>
    <w:rsid w:val="00A85063"/>
    <w:rsid w:val="00A86359"/>
    <w:rsid w:val="00A86FBC"/>
    <w:rsid w:val="00A879C5"/>
    <w:rsid w:val="00A902AD"/>
    <w:rsid w:val="00A90302"/>
    <w:rsid w:val="00A90584"/>
    <w:rsid w:val="00A9099E"/>
    <w:rsid w:val="00A91447"/>
    <w:rsid w:val="00A916E9"/>
    <w:rsid w:val="00A91FB7"/>
    <w:rsid w:val="00A9298F"/>
    <w:rsid w:val="00A9301E"/>
    <w:rsid w:val="00A93E3A"/>
    <w:rsid w:val="00A95186"/>
    <w:rsid w:val="00A951AD"/>
    <w:rsid w:val="00A95351"/>
    <w:rsid w:val="00A961BD"/>
    <w:rsid w:val="00A973B1"/>
    <w:rsid w:val="00A97FC2"/>
    <w:rsid w:val="00AA027E"/>
    <w:rsid w:val="00AA1224"/>
    <w:rsid w:val="00AA14F2"/>
    <w:rsid w:val="00AA180B"/>
    <w:rsid w:val="00AA1BBC"/>
    <w:rsid w:val="00AA1D43"/>
    <w:rsid w:val="00AA2358"/>
    <w:rsid w:val="00AA2469"/>
    <w:rsid w:val="00AA2CD7"/>
    <w:rsid w:val="00AA2FA4"/>
    <w:rsid w:val="00AA3301"/>
    <w:rsid w:val="00AA3360"/>
    <w:rsid w:val="00AA386B"/>
    <w:rsid w:val="00AA4FFE"/>
    <w:rsid w:val="00AA6220"/>
    <w:rsid w:val="00AA6384"/>
    <w:rsid w:val="00AA6B93"/>
    <w:rsid w:val="00AA75C4"/>
    <w:rsid w:val="00AA7A06"/>
    <w:rsid w:val="00AA7A7F"/>
    <w:rsid w:val="00AB1984"/>
    <w:rsid w:val="00AB1CBB"/>
    <w:rsid w:val="00AB215B"/>
    <w:rsid w:val="00AB3146"/>
    <w:rsid w:val="00AB323C"/>
    <w:rsid w:val="00AB333E"/>
    <w:rsid w:val="00AB37DB"/>
    <w:rsid w:val="00AB3ECC"/>
    <w:rsid w:val="00AB4063"/>
    <w:rsid w:val="00AB54B5"/>
    <w:rsid w:val="00AB5A73"/>
    <w:rsid w:val="00AB5F48"/>
    <w:rsid w:val="00AB7156"/>
    <w:rsid w:val="00AB716D"/>
    <w:rsid w:val="00AB72BB"/>
    <w:rsid w:val="00AB7472"/>
    <w:rsid w:val="00AB7BD0"/>
    <w:rsid w:val="00AB7BF3"/>
    <w:rsid w:val="00AC09D5"/>
    <w:rsid w:val="00AC0D8E"/>
    <w:rsid w:val="00AC175B"/>
    <w:rsid w:val="00AC1AA3"/>
    <w:rsid w:val="00AC1F8E"/>
    <w:rsid w:val="00AC22C1"/>
    <w:rsid w:val="00AC2726"/>
    <w:rsid w:val="00AC2F99"/>
    <w:rsid w:val="00AC374B"/>
    <w:rsid w:val="00AC3798"/>
    <w:rsid w:val="00AC3ED5"/>
    <w:rsid w:val="00AC4CB3"/>
    <w:rsid w:val="00AC4D7C"/>
    <w:rsid w:val="00AC51BE"/>
    <w:rsid w:val="00AC53B0"/>
    <w:rsid w:val="00AC6EF2"/>
    <w:rsid w:val="00AC71A6"/>
    <w:rsid w:val="00AC742F"/>
    <w:rsid w:val="00AC7664"/>
    <w:rsid w:val="00AC774F"/>
    <w:rsid w:val="00AC780D"/>
    <w:rsid w:val="00AC787B"/>
    <w:rsid w:val="00AC78A0"/>
    <w:rsid w:val="00AC7956"/>
    <w:rsid w:val="00AC7E18"/>
    <w:rsid w:val="00AD1B79"/>
    <w:rsid w:val="00AD1C7C"/>
    <w:rsid w:val="00AD31F7"/>
    <w:rsid w:val="00AD3208"/>
    <w:rsid w:val="00AD3437"/>
    <w:rsid w:val="00AD3C00"/>
    <w:rsid w:val="00AD50F8"/>
    <w:rsid w:val="00AD719F"/>
    <w:rsid w:val="00AD7447"/>
    <w:rsid w:val="00AD7D36"/>
    <w:rsid w:val="00AE0A0E"/>
    <w:rsid w:val="00AE0DED"/>
    <w:rsid w:val="00AE12ED"/>
    <w:rsid w:val="00AE1D05"/>
    <w:rsid w:val="00AE2780"/>
    <w:rsid w:val="00AE284A"/>
    <w:rsid w:val="00AE2DBE"/>
    <w:rsid w:val="00AE307E"/>
    <w:rsid w:val="00AE3450"/>
    <w:rsid w:val="00AE392E"/>
    <w:rsid w:val="00AE3E11"/>
    <w:rsid w:val="00AE40B3"/>
    <w:rsid w:val="00AE4BDC"/>
    <w:rsid w:val="00AE4CFD"/>
    <w:rsid w:val="00AE4EA6"/>
    <w:rsid w:val="00AE51FF"/>
    <w:rsid w:val="00AE5507"/>
    <w:rsid w:val="00AE55AD"/>
    <w:rsid w:val="00AE5D8F"/>
    <w:rsid w:val="00AE67D5"/>
    <w:rsid w:val="00AE6AF8"/>
    <w:rsid w:val="00AE78ED"/>
    <w:rsid w:val="00AE7AC2"/>
    <w:rsid w:val="00AE7EC9"/>
    <w:rsid w:val="00AF0852"/>
    <w:rsid w:val="00AF1117"/>
    <w:rsid w:val="00AF150C"/>
    <w:rsid w:val="00AF1555"/>
    <w:rsid w:val="00AF174E"/>
    <w:rsid w:val="00AF18BA"/>
    <w:rsid w:val="00AF1CA5"/>
    <w:rsid w:val="00AF228C"/>
    <w:rsid w:val="00AF2DB9"/>
    <w:rsid w:val="00AF3928"/>
    <w:rsid w:val="00AF3B55"/>
    <w:rsid w:val="00AF3D62"/>
    <w:rsid w:val="00AF4146"/>
    <w:rsid w:val="00AF56FE"/>
    <w:rsid w:val="00AF6AC5"/>
    <w:rsid w:val="00AF7809"/>
    <w:rsid w:val="00AF7CA7"/>
    <w:rsid w:val="00AF7F7B"/>
    <w:rsid w:val="00B00BDE"/>
    <w:rsid w:val="00B0104B"/>
    <w:rsid w:val="00B01EC7"/>
    <w:rsid w:val="00B021E0"/>
    <w:rsid w:val="00B03A30"/>
    <w:rsid w:val="00B03A35"/>
    <w:rsid w:val="00B04F99"/>
    <w:rsid w:val="00B057B6"/>
    <w:rsid w:val="00B05A7C"/>
    <w:rsid w:val="00B06361"/>
    <w:rsid w:val="00B0651D"/>
    <w:rsid w:val="00B06955"/>
    <w:rsid w:val="00B069AA"/>
    <w:rsid w:val="00B07BEA"/>
    <w:rsid w:val="00B07F41"/>
    <w:rsid w:val="00B102F9"/>
    <w:rsid w:val="00B117F4"/>
    <w:rsid w:val="00B11C80"/>
    <w:rsid w:val="00B12152"/>
    <w:rsid w:val="00B12DCA"/>
    <w:rsid w:val="00B13ECB"/>
    <w:rsid w:val="00B1524F"/>
    <w:rsid w:val="00B1555E"/>
    <w:rsid w:val="00B15A54"/>
    <w:rsid w:val="00B15ECF"/>
    <w:rsid w:val="00B169CD"/>
    <w:rsid w:val="00B16C0A"/>
    <w:rsid w:val="00B17F60"/>
    <w:rsid w:val="00B2039A"/>
    <w:rsid w:val="00B20AC8"/>
    <w:rsid w:val="00B215D5"/>
    <w:rsid w:val="00B21D55"/>
    <w:rsid w:val="00B225CB"/>
    <w:rsid w:val="00B22870"/>
    <w:rsid w:val="00B22A22"/>
    <w:rsid w:val="00B22AA6"/>
    <w:rsid w:val="00B23D85"/>
    <w:rsid w:val="00B23F4C"/>
    <w:rsid w:val="00B24233"/>
    <w:rsid w:val="00B246DD"/>
    <w:rsid w:val="00B248D8"/>
    <w:rsid w:val="00B24BA7"/>
    <w:rsid w:val="00B25A6F"/>
    <w:rsid w:val="00B25CD9"/>
    <w:rsid w:val="00B268D0"/>
    <w:rsid w:val="00B269D3"/>
    <w:rsid w:val="00B27F44"/>
    <w:rsid w:val="00B301ED"/>
    <w:rsid w:val="00B3032D"/>
    <w:rsid w:val="00B30448"/>
    <w:rsid w:val="00B3048B"/>
    <w:rsid w:val="00B306A3"/>
    <w:rsid w:val="00B30C49"/>
    <w:rsid w:val="00B30D75"/>
    <w:rsid w:val="00B30DAD"/>
    <w:rsid w:val="00B31315"/>
    <w:rsid w:val="00B31C8A"/>
    <w:rsid w:val="00B3260E"/>
    <w:rsid w:val="00B32C4B"/>
    <w:rsid w:val="00B3407E"/>
    <w:rsid w:val="00B34C84"/>
    <w:rsid w:val="00B34D6A"/>
    <w:rsid w:val="00B35021"/>
    <w:rsid w:val="00B35160"/>
    <w:rsid w:val="00B35749"/>
    <w:rsid w:val="00B35EF5"/>
    <w:rsid w:val="00B3677F"/>
    <w:rsid w:val="00B36872"/>
    <w:rsid w:val="00B3704D"/>
    <w:rsid w:val="00B37071"/>
    <w:rsid w:val="00B40162"/>
    <w:rsid w:val="00B4054D"/>
    <w:rsid w:val="00B40FDB"/>
    <w:rsid w:val="00B41C6D"/>
    <w:rsid w:val="00B420B2"/>
    <w:rsid w:val="00B42800"/>
    <w:rsid w:val="00B42832"/>
    <w:rsid w:val="00B42863"/>
    <w:rsid w:val="00B430F6"/>
    <w:rsid w:val="00B43511"/>
    <w:rsid w:val="00B43CE6"/>
    <w:rsid w:val="00B44053"/>
    <w:rsid w:val="00B45528"/>
    <w:rsid w:val="00B46B6E"/>
    <w:rsid w:val="00B478FA"/>
    <w:rsid w:val="00B50156"/>
    <w:rsid w:val="00B501E8"/>
    <w:rsid w:val="00B502A3"/>
    <w:rsid w:val="00B506D4"/>
    <w:rsid w:val="00B507AA"/>
    <w:rsid w:val="00B50953"/>
    <w:rsid w:val="00B509AE"/>
    <w:rsid w:val="00B50C39"/>
    <w:rsid w:val="00B50C93"/>
    <w:rsid w:val="00B50E13"/>
    <w:rsid w:val="00B51581"/>
    <w:rsid w:val="00B518AD"/>
    <w:rsid w:val="00B51BB6"/>
    <w:rsid w:val="00B52056"/>
    <w:rsid w:val="00B52B0E"/>
    <w:rsid w:val="00B52D81"/>
    <w:rsid w:val="00B5355B"/>
    <w:rsid w:val="00B53923"/>
    <w:rsid w:val="00B5402E"/>
    <w:rsid w:val="00B540E8"/>
    <w:rsid w:val="00B54681"/>
    <w:rsid w:val="00B55852"/>
    <w:rsid w:val="00B560A9"/>
    <w:rsid w:val="00B56866"/>
    <w:rsid w:val="00B569B9"/>
    <w:rsid w:val="00B56CC4"/>
    <w:rsid w:val="00B604BB"/>
    <w:rsid w:val="00B6062A"/>
    <w:rsid w:val="00B60A96"/>
    <w:rsid w:val="00B60DD7"/>
    <w:rsid w:val="00B60EB6"/>
    <w:rsid w:val="00B60EE5"/>
    <w:rsid w:val="00B616A5"/>
    <w:rsid w:val="00B628BE"/>
    <w:rsid w:val="00B6376D"/>
    <w:rsid w:val="00B637FB"/>
    <w:rsid w:val="00B6386F"/>
    <w:rsid w:val="00B654A9"/>
    <w:rsid w:val="00B65D9B"/>
    <w:rsid w:val="00B66684"/>
    <w:rsid w:val="00B66E51"/>
    <w:rsid w:val="00B67346"/>
    <w:rsid w:val="00B6793A"/>
    <w:rsid w:val="00B67AC3"/>
    <w:rsid w:val="00B70880"/>
    <w:rsid w:val="00B71422"/>
    <w:rsid w:val="00B71486"/>
    <w:rsid w:val="00B71607"/>
    <w:rsid w:val="00B71EF7"/>
    <w:rsid w:val="00B72361"/>
    <w:rsid w:val="00B73A29"/>
    <w:rsid w:val="00B74AB0"/>
    <w:rsid w:val="00B75345"/>
    <w:rsid w:val="00B76327"/>
    <w:rsid w:val="00B76400"/>
    <w:rsid w:val="00B76C94"/>
    <w:rsid w:val="00B76D4E"/>
    <w:rsid w:val="00B76D6E"/>
    <w:rsid w:val="00B771AA"/>
    <w:rsid w:val="00B772D0"/>
    <w:rsid w:val="00B804A2"/>
    <w:rsid w:val="00B80A99"/>
    <w:rsid w:val="00B80F12"/>
    <w:rsid w:val="00B80F4E"/>
    <w:rsid w:val="00B814CF"/>
    <w:rsid w:val="00B81A33"/>
    <w:rsid w:val="00B82B2D"/>
    <w:rsid w:val="00B83117"/>
    <w:rsid w:val="00B8319C"/>
    <w:rsid w:val="00B85791"/>
    <w:rsid w:val="00B864A3"/>
    <w:rsid w:val="00B86632"/>
    <w:rsid w:val="00B90351"/>
    <w:rsid w:val="00B906F2"/>
    <w:rsid w:val="00B90D9B"/>
    <w:rsid w:val="00B91259"/>
    <w:rsid w:val="00B91B81"/>
    <w:rsid w:val="00B91FF0"/>
    <w:rsid w:val="00B926A8"/>
    <w:rsid w:val="00B92FFF"/>
    <w:rsid w:val="00B936F8"/>
    <w:rsid w:val="00B9492E"/>
    <w:rsid w:val="00B94E75"/>
    <w:rsid w:val="00B9530C"/>
    <w:rsid w:val="00B95895"/>
    <w:rsid w:val="00B96694"/>
    <w:rsid w:val="00B96799"/>
    <w:rsid w:val="00B96DE5"/>
    <w:rsid w:val="00B976E4"/>
    <w:rsid w:val="00B97A76"/>
    <w:rsid w:val="00BA0166"/>
    <w:rsid w:val="00BA0584"/>
    <w:rsid w:val="00BA0755"/>
    <w:rsid w:val="00BA1E9D"/>
    <w:rsid w:val="00BA249D"/>
    <w:rsid w:val="00BA348A"/>
    <w:rsid w:val="00BA3C66"/>
    <w:rsid w:val="00BA3C80"/>
    <w:rsid w:val="00BA4D00"/>
    <w:rsid w:val="00BA4F9B"/>
    <w:rsid w:val="00BA5665"/>
    <w:rsid w:val="00BA72D9"/>
    <w:rsid w:val="00BA73B2"/>
    <w:rsid w:val="00BB0628"/>
    <w:rsid w:val="00BB0AB5"/>
    <w:rsid w:val="00BB195B"/>
    <w:rsid w:val="00BB1BBA"/>
    <w:rsid w:val="00BB204A"/>
    <w:rsid w:val="00BB31DF"/>
    <w:rsid w:val="00BB33E9"/>
    <w:rsid w:val="00BB34B7"/>
    <w:rsid w:val="00BB3BE4"/>
    <w:rsid w:val="00BB44DB"/>
    <w:rsid w:val="00BB57D3"/>
    <w:rsid w:val="00BB58EE"/>
    <w:rsid w:val="00BB64EC"/>
    <w:rsid w:val="00BB7589"/>
    <w:rsid w:val="00BB7668"/>
    <w:rsid w:val="00BB7B26"/>
    <w:rsid w:val="00BB7DA7"/>
    <w:rsid w:val="00BB7E42"/>
    <w:rsid w:val="00BC077E"/>
    <w:rsid w:val="00BC0E57"/>
    <w:rsid w:val="00BC10BD"/>
    <w:rsid w:val="00BC12A9"/>
    <w:rsid w:val="00BC1F5F"/>
    <w:rsid w:val="00BC21BE"/>
    <w:rsid w:val="00BC2465"/>
    <w:rsid w:val="00BC3E36"/>
    <w:rsid w:val="00BC4B2D"/>
    <w:rsid w:val="00BC4CE8"/>
    <w:rsid w:val="00BC4D54"/>
    <w:rsid w:val="00BC5EBE"/>
    <w:rsid w:val="00BC6E2F"/>
    <w:rsid w:val="00BC728A"/>
    <w:rsid w:val="00BC7632"/>
    <w:rsid w:val="00BC77A4"/>
    <w:rsid w:val="00BC7C9E"/>
    <w:rsid w:val="00BD1E79"/>
    <w:rsid w:val="00BD23A5"/>
    <w:rsid w:val="00BD2937"/>
    <w:rsid w:val="00BD2AFC"/>
    <w:rsid w:val="00BD2CD4"/>
    <w:rsid w:val="00BD3143"/>
    <w:rsid w:val="00BD330C"/>
    <w:rsid w:val="00BD3368"/>
    <w:rsid w:val="00BD359B"/>
    <w:rsid w:val="00BD3663"/>
    <w:rsid w:val="00BD367F"/>
    <w:rsid w:val="00BD4871"/>
    <w:rsid w:val="00BD48A9"/>
    <w:rsid w:val="00BD4B19"/>
    <w:rsid w:val="00BD4B47"/>
    <w:rsid w:val="00BD5712"/>
    <w:rsid w:val="00BD581A"/>
    <w:rsid w:val="00BD5C02"/>
    <w:rsid w:val="00BD658C"/>
    <w:rsid w:val="00BD678A"/>
    <w:rsid w:val="00BD6819"/>
    <w:rsid w:val="00BD70B0"/>
    <w:rsid w:val="00BD79C7"/>
    <w:rsid w:val="00BD7EC6"/>
    <w:rsid w:val="00BE0126"/>
    <w:rsid w:val="00BE063A"/>
    <w:rsid w:val="00BE0897"/>
    <w:rsid w:val="00BE0FF2"/>
    <w:rsid w:val="00BE1345"/>
    <w:rsid w:val="00BE18BC"/>
    <w:rsid w:val="00BE2147"/>
    <w:rsid w:val="00BE239E"/>
    <w:rsid w:val="00BE3998"/>
    <w:rsid w:val="00BE3B83"/>
    <w:rsid w:val="00BE3C67"/>
    <w:rsid w:val="00BE3CF7"/>
    <w:rsid w:val="00BE42FC"/>
    <w:rsid w:val="00BE6085"/>
    <w:rsid w:val="00BE66FC"/>
    <w:rsid w:val="00BE73FA"/>
    <w:rsid w:val="00BE7C64"/>
    <w:rsid w:val="00BF00D1"/>
    <w:rsid w:val="00BF0353"/>
    <w:rsid w:val="00BF090A"/>
    <w:rsid w:val="00BF0918"/>
    <w:rsid w:val="00BF1CD9"/>
    <w:rsid w:val="00BF2001"/>
    <w:rsid w:val="00BF2575"/>
    <w:rsid w:val="00BF31A0"/>
    <w:rsid w:val="00BF323A"/>
    <w:rsid w:val="00BF36C0"/>
    <w:rsid w:val="00BF390A"/>
    <w:rsid w:val="00BF3F0A"/>
    <w:rsid w:val="00BF4AE5"/>
    <w:rsid w:val="00BF4E35"/>
    <w:rsid w:val="00BF5FB3"/>
    <w:rsid w:val="00BF6F82"/>
    <w:rsid w:val="00BF78FE"/>
    <w:rsid w:val="00BF7B9B"/>
    <w:rsid w:val="00BF7F80"/>
    <w:rsid w:val="00C0083F"/>
    <w:rsid w:val="00C00976"/>
    <w:rsid w:val="00C00C47"/>
    <w:rsid w:val="00C020CD"/>
    <w:rsid w:val="00C0290C"/>
    <w:rsid w:val="00C02DA8"/>
    <w:rsid w:val="00C02DDE"/>
    <w:rsid w:val="00C0362D"/>
    <w:rsid w:val="00C0367B"/>
    <w:rsid w:val="00C04E51"/>
    <w:rsid w:val="00C05074"/>
    <w:rsid w:val="00C05AF9"/>
    <w:rsid w:val="00C060A3"/>
    <w:rsid w:val="00C060B0"/>
    <w:rsid w:val="00C06D2C"/>
    <w:rsid w:val="00C072F0"/>
    <w:rsid w:val="00C07344"/>
    <w:rsid w:val="00C079A3"/>
    <w:rsid w:val="00C07C1F"/>
    <w:rsid w:val="00C07C79"/>
    <w:rsid w:val="00C11A79"/>
    <w:rsid w:val="00C11B06"/>
    <w:rsid w:val="00C1211E"/>
    <w:rsid w:val="00C13607"/>
    <w:rsid w:val="00C137B1"/>
    <w:rsid w:val="00C13B43"/>
    <w:rsid w:val="00C15E81"/>
    <w:rsid w:val="00C17034"/>
    <w:rsid w:val="00C174C9"/>
    <w:rsid w:val="00C175AC"/>
    <w:rsid w:val="00C17B6E"/>
    <w:rsid w:val="00C200BA"/>
    <w:rsid w:val="00C20748"/>
    <w:rsid w:val="00C20754"/>
    <w:rsid w:val="00C21378"/>
    <w:rsid w:val="00C220A5"/>
    <w:rsid w:val="00C22307"/>
    <w:rsid w:val="00C22BB2"/>
    <w:rsid w:val="00C22EAF"/>
    <w:rsid w:val="00C23150"/>
    <w:rsid w:val="00C24580"/>
    <w:rsid w:val="00C24908"/>
    <w:rsid w:val="00C250E8"/>
    <w:rsid w:val="00C2515F"/>
    <w:rsid w:val="00C25B30"/>
    <w:rsid w:val="00C25DCF"/>
    <w:rsid w:val="00C26AEA"/>
    <w:rsid w:val="00C26EA3"/>
    <w:rsid w:val="00C276EC"/>
    <w:rsid w:val="00C27C0A"/>
    <w:rsid w:val="00C31AD4"/>
    <w:rsid w:val="00C31C63"/>
    <w:rsid w:val="00C31CD9"/>
    <w:rsid w:val="00C32481"/>
    <w:rsid w:val="00C3394C"/>
    <w:rsid w:val="00C34581"/>
    <w:rsid w:val="00C34AD7"/>
    <w:rsid w:val="00C3516D"/>
    <w:rsid w:val="00C351E4"/>
    <w:rsid w:val="00C361A6"/>
    <w:rsid w:val="00C365C5"/>
    <w:rsid w:val="00C3670F"/>
    <w:rsid w:val="00C36E1A"/>
    <w:rsid w:val="00C371DF"/>
    <w:rsid w:val="00C37818"/>
    <w:rsid w:val="00C37EFC"/>
    <w:rsid w:val="00C37FF9"/>
    <w:rsid w:val="00C40126"/>
    <w:rsid w:val="00C41099"/>
    <w:rsid w:val="00C41425"/>
    <w:rsid w:val="00C41B4A"/>
    <w:rsid w:val="00C4213A"/>
    <w:rsid w:val="00C42739"/>
    <w:rsid w:val="00C42BDD"/>
    <w:rsid w:val="00C42C11"/>
    <w:rsid w:val="00C43ADB"/>
    <w:rsid w:val="00C44949"/>
    <w:rsid w:val="00C44B4C"/>
    <w:rsid w:val="00C450E3"/>
    <w:rsid w:val="00C45830"/>
    <w:rsid w:val="00C45C56"/>
    <w:rsid w:val="00C45CCD"/>
    <w:rsid w:val="00C46734"/>
    <w:rsid w:val="00C46EA8"/>
    <w:rsid w:val="00C47636"/>
    <w:rsid w:val="00C50112"/>
    <w:rsid w:val="00C5105D"/>
    <w:rsid w:val="00C511F0"/>
    <w:rsid w:val="00C513C7"/>
    <w:rsid w:val="00C51639"/>
    <w:rsid w:val="00C53220"/>
    <w:rsid w:val="00C533A0"/>
    <w:rsid w:val="00C537E7"/>
    <w:rsid w:val="00C53AFE"/>
    <w:rsid w:val="00C53E9D"/>
    <w:rsid w:val="00C5426B"/>
    <w:rsid w:val="00C54C18"/>
    <w:rsid w:val="00C573DA"/>
    <w:rsid w:val="00C5772E"/>
    <w:rsid w:val="00C5781B"/>
    <w:rsid w:val="00C61117"/>
    <w:rsid w:val="00C616B4"/>
    <w:rsid w:val="00C621A7"/>
    <w:rsid w:val="00C62AA0"/>
    <w:rsid w:val="00C62BF2"/>
    <w:rsid w:val="00C62D1B"/>
    <w:rsid w:val="00C638A6"/>
    <w:rsid w:val="00C63FB9"/>
    <w:rsid w:val="00C64266"/>
    <w:rsid w:val="00C647DF"/>
    <w:rsid w:val="00C64C9C"/>
    <w:rsid w:val="00C66306"/>
    <w:rsid w:val="00C66CE8"/>
    <w:rsid w:val="00C70074"/>
    <w:rsid w:val="00C70D00"/>
    <w:rsid w:val="00C70DF4"/>
    <w:rsid w:val="00C71252"/>
    <w:rsid w:val="00C7277F"/>
    <w:rsid w:val="00C730E8"/>
    <w:rsid w:val="00C73B23"/>
    <w:rsid w:val="00C73C07"/>
    <w:rsid w:val="00C74930"/>
    <w:rsid w:val="00C74B47"/>
    <w:rsid w:val="00C74D80"/>
    <w:rsid w:val="00C754BD"/>
    <w:rsid w:val="00C75D3A"/>
    <w:rsid w:val="00C769A9"/>
    <w:rsid w:val="00C7734D"/>
    <w:rsid w:val="00C774C9"/>
    <w:rsid w:val="00C77F1B"/>
    <w:rsid w:val="00C80987"/>
    <w:rsid w:val="00C80A3F"/>
    <w:rsid w:val="00C8180E"/>
    <w:rsid w:val="00C818A9"/>
    <w:rsid w:val="00C82436"/>
    <w:rsid w:val="00C827A3"/>
    <w:rsid w:val="00C82933"/>
    <w:rsid w:val="00C82BE2"/>
    <w:rsid w:val="00C83DE2"/>
    <w:rsid w:val="00C84BBF"/>
    <w:rsid w:val="00C84BE9"/>
    <w:rsid w:val="00C85DEF"/>
    <w:rsid w:val="00C85E40"/>
    <w:rsid w:val="00C86D76"/>
    <w:rsid w:val="00C9049A"/>
    <w:rsid w:val="00C910F8"/>
    <w:rsid w:val="00C91106"/>
    <w:rsid w:val="00C9117B"/>
    <w:rsid w:val="00C91D19"/>
    <w:rsid w:val="00C923F2"/>
    <w:rsid w:val="00C939B4"/>
    <w:rsid w:val="00C93B58"/>
    <w:rsid w:val="00C93C2F"/>
    <w:rsid w:val="00C9437C"/>
    <w:rsid w:val="00C946CD"/>
    <w:rsid w:val="00C946E4"/>
    <w:rsid w:val="00C946FF"/>
    <w:rsid w:val="00C94A14"/>
    <w:rsid w:val="00C94CDA"/>
    <w:rsid w:val="00C95BED"/>
    <w:rsid w:val="00C96725"/>
    <w:rsid w:val="00C97A66"/>
    <w:rsid w:val="00CA007B"/>
    <w:rsid w:val="00CA0AA4"/>
    <w:rsid w:val="00CA15B0"/>
    <w:rsid w:val="00CA1C71"/>
    <w:rsid w:val="00CA1D4C"/>
    <w:rsid w:val="00CA1D50"/>
    <w:rsid w:val="00CA1DAB"/>
    <w:rsid w:val="00CA20E0"/>
    <w:rsid w:val="00CA2598"/>
    <w:rsid w:val="00CA3347"/>
    <w:rsid w:val="00CA449E"/>
    <w:rsid w:val="00CA523D"/>
    <w:rsid w:val="00CA5EB7"/>
    <w:rsid w:val="00CA6FDA"/>
    <w:rsid w:val="00CA77CF"/>
    <w:rsid w:val="00CA7B58"/>
    <w:rsid w:val="00CB0836"/>
    <w:rsid w:val="00CB0CB9"/>
    <w:rsid w:val="00CB0DD8"/>
    <w:rsid w:val="00CB11E7"/>
    <w:rsid w:val="00CB1413"/>
    <w:rsid w:val="00CB1766"/>
    <w:rsid w:val="00CB2518"/>
    <w:rsid w:val="00CB27F4"/>
    <w:rsid w:val="00CB3920"/>
    <w:rsid w:val="00CB3938"/>
    <w:rsid w:val="00CB4C4C"/>
    <w:rsid w:val="00CB543C"/>
    <w:rsid w:val="00CB6413"/>
    <w:rsid w:val="00CB696F"/>
    <w:rsid w:val="00CB6A00"/>
    <w:rsid w:val="00CB7097"/>
    <w:rsid w:val="00CB77F4"/>
    <w:rsid w:val="00CC0F1C"/>
    <w:rsid w:val="00CC1374"/>
    <w:rsid w:val="00CC1F78"/>
    <w:rsid w:val="00CC299A"/>
    <w:rsid w:val="00CC3039"/>
    <w:rsid w:val="00CC32B7"/>
    <w:rsid w:val="00CC36DE"/>
    <w:rsid w:val="00CC3A06"/>
    <w:rsid w:val="00CC3FE9"/>
    <w:rsid w:val="00CC4F99"/>
    <w:rsid w:val="00CC5CDC"/>
    <w:rsid w:val="00CC5FC3"/>
    <w:rsid w:val="00CC6369"/>
    <w:rsid w:val="00CC65D6"/>
    <w:rsid w:val="00CC73F3"/>
    <w:rsid w:val="00CC7A60"/>
    <w:rsid w:val="00CC7B85"/>
    <w:rsid w:val="00CD081C"/>
    <w:rsid w:val="00CD0900"/>
    <w:rsid w:val="00CD14DA"/>
    <w:rsid w:val="00CD1B5A"/>
    <w:rsid w:val="00CD1E9C"/>
    <w:rsid w:val="00CD27DB"/>
    <w:rsid w:val="00CD2E70"/>
    <w:rsid w:val="00CD30F6"/>
    <w:rsid w:val="00CD34F9"/>
    <w:rsid w:val="00CD386B"/>
    <w:rsid w:val="00CD3D06"/>
    <w:rsid w:val="00CD4A09"/>
    <w:rsid w:val="00CD4A38"/>
    <w:rsid w:val="00CD4C67"/>
    <w:rsid w:val="00CD4C7B"/>
    <w:rsid w:val="00CD5397"/>
    <w:rsid w:val="00CD5E93"/>
    <w:rsid w:val="00CE151F"/>
    <w:rsid w:val="00CE15AE"/>
    <w:rsid w:val="00CE1CFC"/>
    <w:rsid w:val="00CE22B1"/>
    <w:rsid w:val="00CE235A"/>
    <w:rsid w:val="00CE37A3"/>
    <w:rsid w:val="00CE3814"/>
    <w:rsid w:val="00CE56B7"/>
    <w:rsid w:val="00CE6660"/>
    <w:rsid w:val="00CE6855"/>
    <w:rsid w:val="00CE6B6F"/>
    <w:rsid w:val="00CE7033"/>
    <w:rsid w:val="00CE7075"/>
    <w:rsid w:val="00CE770A"/>
    <w:rsid w:val="00CE7C1B"/>
    <w:rsid w:val="00CF02A6"/>
    <w:rsid w:val="00CF04DB"/>
    <w:rsid w:val="00CF05A6"/>
    <w:rsid w:val="00CF06CF"/>
    <w:rsid w:val="00CF0845"/>
    <w:rsid w:val="00CF101C"/>
    <w:rsid w:val="00CF15C5"/>
    <w:rsid w:val="00CF1B9C"/>
    <w:rsid w:val="00CF28DD"/>
    <w:rsid w:val="00CF2DC1"/>
    <w:rsid w:val="00CF2EE2"/>
    <w:rsid w:val="00CF3948"/>
    <w:rsid w:val="00CF3ACF"/>
    <w:rsid w:val="00CF441D"/>
    <w:rsid w:val="00CF4FCF"/>
    <w:rsid w:val="00CF4FDC"/>
    <w:rsid w:val="00CF56AF"/>
    <w:rsid w:val="00CF5BE0"/>
    <w:rsid w:val="00CF5BF1"/>
    <w:rsid w:val="00CF61CB"/>
    <w:rsid w:val="00CF666F"/>
    <w:rsid w:val="00CF686F"/>
    <w:rsid w:val="00CF6CA7"/>
    <w:rsid w:val="00CF6E7D"/>
    <w:rsid w:val="00CF7053"/>
    <w:rsid w:val="00CF7CDD"/>
    <w:rsid w:val="00D00175"/>
    <w:rsid w:val="00D00223"/>
    <w:rsid w:val="00D008D8"/>
    <w:rsid w:val="00D00DBF"/>
    <w:rsid w:val="00D0148C"/>
    <w:rsid w:val="00D0149B"/>
    <w:rsid w:val="00D01F5D"/>
    <w:rsid w:val="00D01FA9"/>
    <w:rsid w:val="00D03DBE"/>
    <w:rsid w:val="00D03E0F"/>
    <w:rsid w:val="00D03EED"/>
    <w:rsid w:val="00D0597D"/>
    <w:rsid w:val="00D06274"/>
    <w:rsid w:val="00D066D8"/>
    <w:rsid w:val="00D07FB9"/>
    <w:rsid w:val="00D11949"/>
    <w:rsid w:val="00D11A69"/>
    <w:rsid w:val="00D12C98"/>
    <w:rsid w:val="00D12FFC"/>
    <w:rsid w:val="00D13CA3"/>
    <w:rsid w:val="00D1484F"/>
    <w:rsid w:val="00D14BA0"/>
    <w:rsid w:val="00D14D7B"/>
    <w:rsid w:val="00D1516D"/>
    <w:rsid w:val="00D158B0"/>
    <w:rsid w:val="00D1707A"/>
    <w:rsid w:val="00D178BD"/>
    <w:rsid w:val="00D17CC2"/>
    <w:rsid w:val="00D21435"/>
    <w:rsid w:val="00D2242C"/>
    <w:rsid w:val="00D224FA"/>
    <w:rsid w:val="00D23033"/>
    <w:rsid w:val="00D2402F"/>
    <w:rsid w:val="00D245C2"/>
    <w:rsid w:val="00D25660"/>
    <w:rsid w:val="00D258EB"/>
    <w:rsid w:val="00D25AEB"/>
    <w:rsid w:val="00D25CFB"/>
    <w:rsid w:val="00D271CD"/>
    <w:rsid w:val="00D3064E"/>
    <w:rsid w:val="00D315CC"/>
    <w:rsid w:val="00D32067"/>
    <w:rsid w:val="00D327A3"/>
    <w:rsid w:val="00D34806"/>
    <w:rsid w:val="00D34C50"/>
    <w:rsid w:val="00D34C82"/>
    <w:rsid w:val="00D35628"/>
    <w:rsid w:val="00D35EC6"/>
    <w:rsid w:val="00D36550"/>
    <w:rsid w:val="00D379EC"/>
    <w:rsid w:val="00D37C94"/>
    <w:rsid w:val="00D4093F"/>
    <w:rsid w:val="00D41E42"/>
    <w:rsid w:val="00D41F6B"/>
    <w:rsid w:val="00D42380"/>
    <w:rsid w:val="00D42C9B"/>
    <w:rsid w:val="00D4348D"/>
    <w:rsid w:val="00D436D7"/>
    <w:rsid w:val="00D44E42"/>
    <w:rsid w:val="00D44FC3"/>
    <w:rsid w:val="00D450E2"/>
    <w:rsid w:val="00D453D7"/>
    <w:rsid w:val="00D4552D"/>
    <w:rsid w:val="00D45A0E"/>
    <w:rsid w:val="00D462C0"/>
    <w:rsid w:val="00D462D6"/>
    <w:rsid w:val="00D46942"/>
    <w:rsid w:val="00D474AB"/>
    <w:rsid w:val="00D4754E"/>
    <w:rsid w:val="00D47B66"/>
    <w:rsid w:val="00D50961"/>
    <w:rsid w:val="00D50A02"/>
    <w:rsid w:val="00D510E5"/>
    <w:rsid w:val="00D512A1"/>
    <w:rsid w:val="00D52827"/>
    <w:rsid w:val="00D52AB4"/>
    <w:rsid w:val="00D52F26"/>
    <w:rsid w:val="00D531F5"/>
    <w:rsid w:val="00D538C1"/>
    <w:rsid w:val="00D538D5"/>
    <w:rsid w:val="00D53B5C"/>
    <w:rsid w:val="00D544C6"/>
    <w:rsid w:val="00D54640"/>
    <w:rsid w:val="00D55455"/>
    <w:rsid w:val="00D559B5"/>
    <w:rsid w:val="00D56420"/>
    <w:rsid w:val="00D5658A"/>
    <w:rsid w:val="00D56A94"/>
    <w:rsid w:val="00D56C0C"/>
    <w:rsid w:val="00D56D4B"/>
    <w:rsid w:val="00D5798B"/>
    <w:rsid w:val="00D57A70"/>
    <w:rsid w:val="00D60736"/>
    <w:rsid w:val="00D6170E"/>
    <w:rsid w:val="00D61B58"/>
    <w:rsid w:val="00D6307D"/>
    <w:rsid w:val="00D632EE"/>
    <w:rsid w:val="00D63632"/>
    <w:rsid w:val="00D63732"/>
    <w:rsid w:val="00D6373B"/>
    <w:rsid w:val="00D6405D"/>
    <w:rsid w:val="00D6479D"/>
    <w:rsid w:val="00D64E27"/>
    <w:rsid w:val="00D64EE9"/>
    <w:rsid w:val="00D6568E"/>
    <w:rsid w:val="00D65893"/>
    <w:rsid w:val="00D658EC"/>
    <w:rsid w:val="00D6684E"/>
    <w:rsid w:val="00D6729D"/>
    <w:rsid w:val="00D6742A"/>
    <w:rsid w:val="00D67B9B"/>
    <w:rsid w:val="00D71733"/>
    <w:rsid w:val="00D718AC"/>
    <w:rsid w:val="00D719A3"/>
    <w:rsid w:val="00D71E7A"/>
    <w:rsid w:val="00D7200F"/>
    <w:rsid w:val="00D72DE7"/>
    <w:rsid w:val="00D7302F"/>
    <w:rsid w:val="00D73BB2"/>
    <w:rsid w:val="00D74A0B"/>
    <w:rsid w:val="00D74D14"/>
    <w:rsid w:val="00D74F3B"/>
    <w:rsid w:val="00D752E7"/>
    <w:rsid w:val="00D7574B"/>
    <w:rsid w:val="00D75E82"/>
    <w:rsid w:val="00D76270"/>
    <w:rsid w:val="00D769C5"/>
    <w:rsid w:val="00D76E76"/>
    <w:rsid w:val="00D80631"/>
    <w:rsid w:val="00D818EC"/>
    <w:rsid w:val="00D81A20"/>
    <w:rsid w:val="00D81F55"/>
    <w:rsid w:val="00D8321A"/>
    <w:rsid w:val="00D839E4"/>
    <w:rsid w:val="00D84A86"/>
    <w:rsid w:val="00D84D06"/>
    <w:rsid w:val="00D85152"/>
    <w:rsid w:val="00D85F2C"/>
    <w:rsid w:val="00D861BD"/>
    <w:rsid w:val="00D86D55"/>
    <w:rsid w:val="00D87796"/>
    <w:rsid w:val="00D8789C"/>
    <w:rsid w:val="00D87B3F"/>
    <w:rsid w:val="00D9003D"/>
    <w:rsid w:val="00D90558"/>
    <w:rsid w:val="00D9082F"/>
    <w:rsid w:val="00D9085D"/>
    <w:rsid w:val="00D90C79"/>
    <w:rsid w:val="00D914EB"/>
    <w:rsid w:val="00D91B36"/>
    <w:rsid w:val="00D920D5"/>
    <w:rsid w:val="00D92C1E"/>
    <w:rsid w:val="00D9305B"/>
    <w:rsid w:val="00D94085"/>
    <w:rsid w:val="00D9634D"/>
    <w:rsid w:val="00D9652D"/>
    <w:rsid w:val="00D9683D"/>
    <w:rsid w:val="00D96D4F"/>
    <w:rsid w:val="00DA0796"/>
    <w:rsid w:val="00DA1258"/>
    <w:rsid w:val="00DA1806"/>
    <w:rsid w:val="00DA1BD1"/>
    <w:rsid w:val="00DA212B"/>
    <w:rsid w:val="00DA2D30"/>
    <w:rsid w:val="00DA3A76"/>
    <w:rsid w:val="00DA3B5B"/>
    <w:rsid w:val="00DA6D6D"/>
    <w:rsid w:val="00DA73C1"/>
    <w:rsid w:val="00DA7457"/>
    <w:rsid w:val="00DA770D"/>
    <w:rsid w:val="00DA7851"/>
    <w:rsid w:val="00DA7DC1"/>
    <w:rsid w:val="00DB00EE"/>
    <w:rsid w:val="00DB0132"/>
    <w:rsid w:val="00DB0B4D"/>
    <w:rsid w:val="00DB2754"/>
    <w:rsid w:val="00DB2D88"/>
    <w:rsid w:val="00DB3687"/>
    <w:rsid w:val="00DB36C5"/>
    <w:rsid w:val="00DB36CF"/>
    <w:rsid w:val="00DB38D1"/>
    <w:rsid w:val="00DB41CB"/>
    <w:rsid w:val="00DB654F"/>
    <w:rsid w:val="00DB681B"/>
    <w:rsid w:val="00DB7E24"/>
    <w:rsid w:val="00DC0445"/>
    <w:rsid w:val="00DC072F"/>
    <w:rsid w:val="00DC115F"/>
    <w:rsid w:val="00DC2082"/>
    <w:rsid w:val="00DC225F"/>
    <w:rsid w:val="00DC2883"/>
    <w:rsid w:val="00DC2C48"/>
    <w:rsid w:val="00DC3856"/>
    <w:rsid w:val="00DC46B5"/>
    <w:rsid w:val="00DC4B28"/>
    <w:rsid w:val="00DC4B5D"/>
    <w:rsid w:val="00DC525E"/>
    <w:rsid w:val="00DC535C"/>
    <w:rsid w:val="00DC5DCB"/>
    <w:rsid w:val="00DC6C0D"/>
    <w:rsid w:val="00DC7CC7"/>
    <w:rsid w:val="00DD0426"/>
    <w:rsid w:val="00DD074A"/>
    <w:rsid w:val="00DD0D70"/>
    <w:rsid w:val="00DD1941"/>
    <w:rsid w:val="00DD1EEA"/>
    <w:rsid w:val="00DD26A5"/>
    <w:rsid w:val="00DD2812"/>
    <w:rsid w:val="00DD34F2"/>
    <w:rsid w:val="00DD3C6B"/>
    <w:rsid w:val="00DD41EE"/>
    <w:rsid w:val="00DD54ED"/>
    <w:rsid w:val="00DD5D45"/>
    <w:rsid w:val="00DD697F"/>
    <w:rsid w:val="00DD699C"/>
    <w:rsid w:val="00DD739F"/>
    <w:rsid w:val="00DD7631"/>
    <w:rsid w:val="00DD7762"/>
    <w:rsid w:val="00DD781E"/>
    <w:rsid w:val="00DD7A2C"/>
    <w:rsid w:val="00DD7F63"/>
    <w:rsid w:val="00DE0A1B"/>
    <w:rsid w:val="00DE0BCB"/>
    <w:rsid w:val="00DE1238"/>
    <w:rsid w:val="00DE1FFE"/>
    <w:rsid w:val="00DE204F"/>
    <w:rsid w:val="00DE2F9E"/>
    <w:rsid w:val="00DE31B1"/>
    <w:rsid w:val="00DE32E7"/>
    <w:rsid w:val="00DE3BB8"/>
    <w:rsid w:val="00DE40EB"/>
    <w:rsid w:val="00DE42A0"/>
    <w:rsid w:val="00DE5117"/>
    <w:rsid w:val="00DE51F6"/>
    <w:rsid w:val="00DE5648"/>
    <w:rsid w:val="00DE568A"/>
    <w:rsid w:val="00DE595E"/>
    <w:rsid w:val="00DE5CD9"/>
    <w:rsid w:val="00DE6A70"/>
    <w:rsid w:val="00DE70B5"/>
    <w:rsid w:val="00DE7113"/>
    <w:rsid w:val="00DE79B7"/>
    <w:rsid w:val="00DF00F9"/>
    <w:rsid w:val="00DF0576"/>
    <w:rsid w:val="00DF1981"/>
    <w:rsid w:val="00DF1D07"/>
    <w:rsid w:val="00DF1E89"/>
    <w:rsid w:val="00DF2144"/>
    <w:rsid w:val="00DF23A8"/>
    <w:rsid w:val="00DF24D9"/>
    <w:rsid w:val="00DF2E5E"/>
    <w:rsid w:val="00DF2EA5"/>
    <w:rsid w:val="00DF310B"/>
    <w:rsid w:val="00DF3E47"/>
    <w:rsid w:val="00DF41C9"/>
    <w:rsid w:val="00DF50B7"/>
    <w:rsid w:val="00DF56E8"/>
    <w:rsid w:val="00DF6655"/>
    <w:rsid w:val="00DF6665"/>
    <w:rsid w:val="00DF6EB6"/>
    <w:rsid w:val="00DF7133"/>
    <w:rsid w:val="00DF722A"/>
    <w:rsid w:val="00DF764C"/>
    <w:rsid w:val="00DF7FBF"/>
    <w:rsid w:val="00E009BD"/>
    <w:rsid w:val="00E00BB4"/>
    <w:rsid w:val="00E00CAA"/>
    <w:rsid w:val="00E01441"/>
    <w:rsid w:val="00E01682"/>
    <w:rsid w:val="00E0188E"/>
    <w:rsid w:val="00E018B5"/>
    <w:rsid w:val="00E01D4A"/>
    <w:rsid w:val="00E02F4B"/>
    <w:rsid w:val="00E0393F"/>
    <w:rsid w:val="00E03BE8"/>
    <w:rsid w:val="00E03D04"/>
    <w:rsid w:val="00E04332"/>
    <w:rsid w:val="00E043BB"/>
    <w:rsid w:val="00E04ECF"/>
    <w:rsid w:val="00E0502A"/>
    <w:rsid w:val="00E05902"/>
    <w:rsid w:val="00E06769"/>
    <w:rsid w:val="00E067C4"/>
    <w:rsid w:val="00E06A36"/>
    <w:rsid w:val="00E0771A"/>
    <w:rsid w:val="00E11129"/>
    <w:rsid w:val="00E1198B"/>
    <w:rsid w:val="00E126B2"/>
    <w:rsid w:val="00E12724"/>
    <w:rsid w:val="00E127E3"/>
    <w:rsid w:val="00E12D01"/>
    <w:rsid w:val="00E13E8F"/>
    <w:rsid w:val="00E14818"/>
    <w:rsid w:val="00E148E8"/>
    <w:rsid w:val="00E1610C"/>
    <w:rsid w:val="00E162BD"/>
    <w:rsid w:val="00E16660"/>
    <w:rsid w:val="00E16C78"/>
    <w:rsid w:val="00E16D73"/>
    <w:rsid w:val="00E170C7"/>
    <w:rsid w:val="00E17296"/>
    <w:rsid w:val="00E17833"/>
    <w:rsid w:val="00E17981"/>
    <w:rsid w:val="00E17C90"/>
    <w:rsid w:val="00E17CD2"/>
    <w:rsid w:val="00E17E36"/>
    <w:rsid w:val="00E201F2"/>
    <w:rsid w:val="00E206D8"/>
    <w:rsid w:val="00E20A87"/>
    <w:rsid w:val="00E20ED9"/>
    <w:rsid w:val="00E2113A"/>
    <w:rsid w:val="00E21C65"/>
    <w:rsid w:val="00E2307E"/>
    <w:rsid w:val="00E2352B"/>
    <w:rsid w:val="00E23E84"/>
    <w:rsid w:val="00E23F9B"/>
    <w:rsid w:val="00E2439F"/>
    <w:rsid w:val="00E24D23"/>
    <w:rsid w:val="00E24D83"/>
    <w:rsid w:val="00E26285"/>
    <w:rsid w:val="00E26649"/>
    <w:rsid w:val="00E2703D"/>
    <w:rsid w:val="00E271F9"/>
    <w:rsid w:val="00E27F0A"/>
    <w:rsid w:val="00E30712"/>
    <w:rsid w:val="00E309B0"/>
    <w:rsid w:val="00E32143"/>
    <w:rsid w:val="00E326E9"/>
    <w:rsid w:val="00E33106"/>
    <w:rsid w:val="00E345C2"/>
    <w:rsid w:val="00E34D99"/>
    <w:rsid w:val="00E352C3"/>
    <w:rsid w:val="00E35476"/>
    <w:rsid w:val="00E355C0"/>
    <w:rsid w:val="00E359A5"/>
    <w:rsid w:val="00E35C28"/>
    <w:rsid w:val="00E372F7"/>
    <w:rsid w:val="00E37DC0"/>
    <w:rsid w:val="00E37EC6"/>
    <w:rsid w:val="00E40432"/>
    <w:rsid w:val="00E40850"/>
    <w:rsid w:val="00E40D52"/>
    <w:rsid w:val="00E41187"/>
    <w:rsid w:val="00E411B3"/>
    <w:rsid w:val="00E41585"/>
    <w:rsid w:val="00E41E23"/>
    <w:rsid w:val="00E41F94"/>
    <w:rsid w:val="00E421ED"/>
    <w:rsid w:val="00E4220D"/>
    <w:rsid w:val="00E4231E"/>
    <w:rsid w:val="00E4279A"/>
    <w:rsid w:val="00E42BEC"/>
    <w:rsid w:val="00E44AC7"/>
    <w:rsid w:val="00E45B2D"/>
    <w:rsid w:val="00E466DC"/>
    <w:rsid w:val="00E468F2"/>
    <w:rsid w:val="00E478EF"/>
    <w:rsid w:val="00E47A20"/>
    <w:rsid w:val="00E5084C"/>
    <w:rsid w:val="00E50871"/>
    <w:rsid w:val="00E50AD9"/>
    <w:rsid w:val="00E50B4C"/>
    <w:rsid w:val="00E50BF4"/>
    <w:rsid w:val="00E51A01"/>
    <w:rsid w:val="00E52063"/>
    <w:rsid w:val="00E53533"/>
    <w:rsid w:val="00E537ED"/>
    <w:rsid w:val="00E5384D"/>
    <w:rsid w:val="00E53F2E"/>
    <w:rsid w:val="00E54004"/>
    <w:rsid w:val="00E54032"/>
    <w:rsid w:val="00E546C9"/>
    <w:rsid w:val="00E54BB9"/>
    <w:rsid w:val="00E54D3F"/>
    <w:rsid w:val="00E55F1F"/>
    <w:rsid w:val="00E56002"/>
    <w:rsid w:val="00E56414"/>
    <w:rsid w:val="00E56735"/>
    <w:rsid w:val="00E56866"/>
    <w:rsid w:val="00E56904"/>
    <w:rsid w:val="00E57049"/>
    <w:rsid w:val="00E57DFD"/>
    <w:rsid w:val="00E60423"/>
    <w:rsid w:val="00E607E5"/>
    <w:rsid w:val="00E60A16"/>
    <w:rsid w:val="00E610CB"/>
    <w:rsid w:val="00E610D5"/>
    <w:rsid w:val="00E6125B"/>
    <w:rsid w:val="00E6170A"/>
    <w:rsid w:val="00E62ADF"/>
    <w:rsid w:val="00E62FA7"/>
    <w:rsid w:val="00E63397"/>
    <w:rsid w:val="00E637A3"/>
    <w:rsid w:val="00E659FD"/>
    <w:rsid w:val="00E65B0C"/>
    <w:rsid w:val="00E66B16"/>
    <w:rsid w:val="00E66BA2"/>
    <w:rsid w:val="00E677DB"/>
    <w:rsid w:val="00E700F8"/>
    <w:rsid w:val="00E71C2D"/>
    <w:rsid w:val="00E71CD5"/>
    <w:rsid w:val="00E7266C"/>
    <w:rsid w:val="00E72BB6"/>
    <w:rsid w:val="00E72CD0"/>
    <w:rsid w:val="00E730AC"/>
    <w:rsid w:val="00E7310C"/>
    <w:rsid w:val="00E734CE"/>
    <w:rsid w:val="00E73D33"/>
    <w:rsid w:val="00E778DC"/>
    <w:rsid w:val="00E80336"/>
    <w:rsid w:val="00E806E7"/>
    <w:rsid w:val="00E8097E"/>
    <w:rsid w:val="00E80D00"/>
    <w:rsid w:val="00E815CE"/>
    <w:rsid w:val="00E81611"/>
    <w:rsid w:val="00E81800"/>
    <w:rsid w:val="00E81863"/>
    <w:rsid w:val="00E81C42"/>
    <w:rsid w:val="00E81C5C"/>
    <w:rsid w:val="00E81FDB"/>
    <w:rsid w:val="00E82064"/>
    <w:rsid w:val="00E82B6E"/>
    <w:rsid w:val="00E82DC6"/>
    <w:rsid w:val="00E8347E"/>
    <w:rsid w:val="00E835C5"/>
    <w:rsid w:val="00E83A55"/>
    <w:rsid w:val="00E83ACD"/>
    <w:rsid w:val="00E83E15"/>
    <w:rsid w:val="00E848F0"/>
    <w:rsid w:val="00E84D1C"/>
    <w:rsid w:val="00E84D9C"/>
    <w:rsid w:val="00E85AEE"/>
    <w:rsid w:val="00E8620E"/>
    <w:rsid w:val="00E8623E"/>
    <w:rsid w:val="00E8628F"/>
    <w:rsid w:val="00E86888"/>
    <w:rsid w:val="00E87155"/>
    <w:rsid w:val="00E87454"/>
    <w:rsid w:val="00E92C96"/>
    <w:rsid w:val="00E942B8"/>
    <w:rsid w:val="00E944ED"/>
    <w:rsid w:val="00E945AF"/>
    <w:rsid w:val="00E94A0B"/>
    <w:rsid w:val="00E94A2C"/>
    <w:rsid w:val="00E94E29"/>
    <w:rsid w:val="00E9544C"/>
    <w:rsid w:val="00E95799"/>
    <w:rsid w:val="00E95D93"/>
    <w:rsid w:val="00E9683D"/>
    <w:rsid w:val="00E970B7"/>
    <w:rsid w:val="00E974B3"/>
    <w:rsid w:val="00E97D42"/>
    <w:rsid w:val="00E97D95"/>
    <w:rsid w:val="00EA010D"/>
    <w:rsid w:val="00EA04C5"/>
    <w:rsid w:val="00EA0507"/>
    <w:rsid w:val="00EA0BB5"/>
    <w:rsid w:val="00EA1A8A"/>
    <w:rsid w:val="00EA21FA"/>
    <w:rsid w:val="00EA22CA"/>
    <w:rsid w:val="00EA25EB"/>
    <w:rsid w:val="00EA26D5"/>
    <w:rsid w:val="00EA2775"/>
    <w:rsid w:val="00EA2974"/>
    <w:rsid w:val="00EA305D"/>
    <w:rsid w:val="00EA3106"/>
    <w:rsid w:val="00EA3874"/>
    <w:rsid w:val="00EA5AB6"/>
    <w:rsid w:val="00EA5FB0"/>
    <w:rsid w:val="00EA612E"/>
    <w:rsid w:val="00EA761C"/>
    <w:rsid w:val="00EA7D7F"/>
    <w:rsid w:val="00EB0810"/>
    <w:rsid w:val="00EB0B5F"/>
    <w:rsid w:val="00EB1040"/>
    <w:rsid w:val="00EB1CF7"/>
    <w:rsid w:val="00EB25C2"/>
    <w:rsid w:val="00EB2B6F"/>
    <w:rsid w:val="00EB2CAD"/>
    <w:rsid w:val="00EB2FA2"/>
    <w:rsid w:val="00EB3272"/>
    <w:rsid w:val="00EB371A"/>
    <w:rsid w:val="00EB37B2"/>
    <w:rsid w:val="00EB3AB0"/>
    <w:rsid w:val="00EB3FF9"/>
    <w:rsid w:val="00EB5F05"/>
    <w:rsid w:val="00EB5F0B"/>
    <w:rsid w:val="00EB6EF5"/>
    <w:rsid w:val="00EB7352"/>
    <w:rsid w:val="00EB769A"/>
    <w:rsid w:val="00EC11E4"/>
    <w:rsid w:val="00EC14E1"/>
    <w:rsid w:val="00EC2A3F"/>
    <w:rsid w:val="00EC2E64"/>
    <w:rsid w:val="00EC3A35"/>
    <w:rsid w:val="00EC3C52"/>
    <w:rsid w:val="00EC3E69"/>
    <w:rsid w:val="00EC41A7"/>
    <w:rsid w:val="00EC4B19"/>
    <w:rsid w:val="00EC4D63"/>
    <w:rsid w:val="00EC5554"/>
    <w:rsid w:val="00EC572B"/>
    <w:rsid w:val="00EC5B8E"/>
    <w:rsid w:val="00EC7356"/>
    <w:rsid w:val="00EC75F6"/>
    <w:rsid w:val="00EC765C"/>
    <w:rsid w:val="00ED0065"/>
    <w:rsid w:val="00ED17B5"/>
    <w:rsid w:val="00ED1BA0"/>
    <w:rsid w:val="00ED1D2D"/>
    <w:rsid w:val="00ED346A"/>
    <w:rsid w:val="00ED353D"/>
    <w:rsid w:val="00ED588C"/>
    <w:rsid w:val="00ED5AFA"/>
    <w:rsid w:val="00ED6B3D"/>
    <w:rsid w:val="00ED6E7A"/>
    <w:rsid w:val="00ED6EA1"/>
    <w:rsid w:val="00ED741A"/>
    <w:rsid w:val="00ED7A7F"/>
    <w:rsid w:val="00EE060B"/>
    <w:rsid w:val="00EE07AC"/>
    <w:rsid w:val="00EE0891"/>
    <w:rsid w:val="00EE1062"/>
    <w:rsid w:val="00EE17F2"/>
    <w:rsid w:val="00EE188A"/>
    <w:rsid w:val="00EE1B01"/>
    <w:rsid w:val="00EE1DB8"/>
    <w:rsid w:val="00EE2746"/>
    <w:rsid w:val="00EE3EF1"/>
    <w:rsid w:val="00EE4759"/>
    <w:rsid w:val="00EE4C20"/>
    <w:rsid w:val="00EE4F2D"/>
    <w:rsid w:val="00EE524C"/>
    <w:rsid w:val="00EE5C28"/>
    <w:rsid w:val="00EE6755"/>
    <w:rsid w:val="00EE78D6"/>
    <w:rsid w:val="00EF03DC"/>
    <w:rsid w:val="00EF0437"/>
    <w:rsid w:val="00EF0BFE"/>
    <w:rsid w:val="00EF1DE8"/>
    <w:rsid w:val="00EF2AC7"/>
    <w:rsid w:val="00EF3397"/>
    <w:rsid w:val="00EF40BF"/>
    <w:rsid w:val="00EF4557"/>
    <w:rsid w:val="00EF493F"/>
    <w:rsid w:val="00EF5947"/>
    <w:rsid w:val="00EF5E22"/>
    <w:rsid w:val="00EF60CA"/>
    <w:rsid w:val="00EF63C1"/>
    <w:rsid w:val="00EF6476"/>
    <w:rsid w:val="00EF68ED"/>
    <w:rsid w:val="00EF69B7"/>
    <w:rsid w:val="00EF6C2B"/>
    <w:rsid w:val="00EF7824"/>
    <w:rsid w:val="00EF7F79"/>
    <w:rsid w:val="00F00059"/>
    <w:rsid w:val="00F008BD"/>
    <w:rsid w:val="00F0177B"/>
    <w:rsid w:val="00F021A9"/>
    <w:rsid w:val="00F02C54"/>
    <w:rsid w:val="00F02D03"/>
    <w:rsid w:val="00F035DB"/>
    <w:rsid w:val="00F03FEE"/>
    <w:rsid w:val="00F0448C"/>
    <w:rsid w:val="00F0553C"/>
    <w:rsid w:val="00F05AFF"/>
    <w:rsid w:val="00F06BA7"/>
    <w:rsid w:val="00F071BA"/>
    <w:rsid w:val="00F074D1"/>
    <w:rsid w:val="00F117F0"/>
    <w:rsid w:val="00F1279F"/>
    <w:rsid w:val="00F1284F"/>
    <w:rsid w:val="00F136A4"/>
    <w:rsid w:val="00F1377B"/>
    <w:rsid w:val="00F13C5E"/>
    <w:rsid w:val="00F14108"/>
    <w:rsid w:val="00F148D5"/>
    <w:rsid w:val="00F1601A"/>
    <w:rsid w:val="00F160BF"/>
    <w:rsid w:val="00F16173"/>
    <w:rsid w:val="00F1675C"/>
    <w:rsid w:val="00F16A3C"/>
    <w:rsid w:val="00F173A7"/>
    <w:rsid w:val="00F17428"/>
    <w:rsid w:val="00F20046"/>
    <w:rsid w:val="00F20CC1"/>
    <w:rsid w:val="00F20D22"/>
    <w:rsid w:val="00F21A58"/>
    <w:rsid w:val="00F22956"/>
    <w:rsid w:val="00F2302A"/>
    <w:rsid w:val="00F23048"/>
    <w:rsid w:val="00F239CD"/>
    <w:rsid w:val="00F23DCC"/>
    <w:rsid w:val="00F2417A"/>
    <w:rsid w:val="00F24294"/>
    <w:rsid w:val="00F2477C"/>
    <w:rsid w:val="00F24E5D"/>
    <w:rsid w:val="00F24EBB"/>
    <w:rsid w:val="00F25A21"/>
    <w:rsid w:val="00F27F06"/>
    <w:rsid w:val="00F30318"/>
    <w:rsid w:val="00F314E8"/>
    <w:rsid w:val="00F316A2"/>
    <w:rsid w:val="00F323A2"/>
    <w:rsid w:val="00F3281D"/>
    <w:rsid w:val="00F332D4"/>
    <w:rsid w:val="00F33B57"/>
    <w:rsid w:val="00F33CA8"/>
    <w:rsid w:val="00F33D5C"/>
    <w:rsid w:val="00F356D6"/>
    <w:rsid w:val="00F36635"/>
    <w:rsid w:val="00F368CC"/>
    <w:rsid w:val="00F3785D"/>
    <w:rsid w:val="00F378BE"/>
    <w:rsid w:val="00F37D37"/>
    <w:rsid w:val="00F400E3"/>
    <w:rsid w:val="00F4021A"/>
    <w:rsid w:val="00F40876"/>
    <w:rsid w:val="00F43F7B"/>
    <w:rsid w:val="00F44621"/>
    <w:rsid w:val="00F44642"/>
    <w:rsid w:val="00F448AE"/>
    <w:rsid w:val="00F454A2"/>
    <w:rsid w:val="00F45E89"/>
    <w:rsid w:val="00F4754B"/>
    <w:rsid w:val="00F47845"/>
    <w:rsid w:val="00F47B6C"/>
    <w:rsid w:val="00F50039"/>
    <w:rsid w:val="00F50675"/>
    <w:rsid w:val="00F5071D"/>
    <w:rsid w:val="00F50BD6"/>
    <w:rsid w:val="00F50E16"/>
    <w:rsid w:val="00F5116A"/>
    <w:rsid w:val="00F513B2"/>
    <w:rsid w:val="00F51520"/>
    <w:rsid w:val="00F52140"/>
    <w:rsid w:val="00F521E4"/>
    <w:rsid w:val="00F52CCE"/>
    <w:rsid w:val="00F53151"/>
    <w:rsid w:val="00F535A9"/>
    <w:rsid w:val="00F53F92"/>
    <w:rsid w:val="00F5480F"/>
    <w:rsid w:val="00F552F7"/>
    <w:rsid w:val="00F553A7"/>
    <w:rsid w:val="00F554EB"/>
    <w:rsid w:val="00F5562D"/>
    <w:rsid w:val="00F566EA"/>
    <w:rsid w:val="00F567A4"/>
    <w:rsid w:val="00F578EB"/>
    <w:rsid w:val="00F605BE"/>
    <w:rsid w:val="00F60AF6"/>
    <w:rsid w:val="00F60DDC"/>
    <w:rsid w:val="00F60E13"/>
    <w:rsid w:val="00F610A9"/>
    <w:rsid w:val="00F617BE"/>
    <w:rsid w:val="00F61C7A"/>
    <w:rsid w:val="00F625F7"/>
    <w:rsid w:val="00F64483"/>
    <w:rsid w:val="00F64D5A"/>
    <w:rsid w:val="00F6531F"/>
    <w:rsid w:val="00F65399"/>
    <w:rsid w:val="00F65C22"/>
    <w:rsid w:val="00F65EC9"/>
    <w:rsid w:val="00F664BA"/>
    <w:rsid w:val="00F66CB1"/>
    <w:rsid w:val="00F672BD"/>
    <w:rsid w:val="00F67E15"/>
    <w:rsid w:val="00F67FCA"/>
    <w:rsid w:val="00F7073C"/>
    <w:rsid w:val="00F70815"/>
    <w:rsid w:val="00F709F4"/>
    <w:rsid w:val="00F71019"/>
    <w:rsid w:val="00F710A9"/>
    <w:rsid w:val="00F7284D"/>
    <w:rsid w:val="00F72CFE"/>
    <w:rsid w:val="00F72FB0"/>
    <w:rsid w:val="00F73423"/>
    <w:rsid w:val="00F7365E"/>
    <w:rsid w:val="00F737A4"/>
    <w:rsid w:val="00F75481"/>
    <w:rsid w:val="00F765F3"/>
    <w:rsid w:val="00F76A4C"/>
    <w:rsid w:val="00F76AB3"/>
    <w:rsid w:val="00F816A4"/>
    <w:rsid w:val="00F81AE9"/>
    <w:rsid w:val="00F82C78"/>
    <w:rsid w:val="00F82E2E"/>
    <w:rsid w:val="00F83186"/>
    <w:rsid w:val="00F831B3"/>
    <w:rsid w:val="00F831EE"/>
    <w:rsid w:val="00F83601"/>
    <w:rsid w:val="00F837E6"/>
    <w:rsid w:val="00F8389A"/>
    <w:rsid w:val="00F83AE9"/>
    <w:rsid w:val="00F83EC8"/>
    <w:rsid w:val="00F843D4"/>
    <w:rsid w:val="00F84A40"/>
    <w:rsid w:val="00F84B50"/>
    <w:rsid w:val="00F84DBD"/>
    <w:rsid w:val="00F8516E"/>
    <w:rsid w:val="00F852E5"/>
    <w:rsid w:val="00F85A3A"/>
    <w:rsid w:val="00F85C0D"/>
    <w:rsid w:val="00F86741"/>
    <w:rsid w:val="00F86796"/>
    <w:rsid w:val="00F86E7C"/>
    <w:rsid w:val="00F87C3F"/>
    <w:rsid w:val="00F87C5B"/>
    <w:rsid w:val="00F87FEA"/>
    <w:rsid w:val="00F90613"/>
    <w:rsid w:val="00F906F4"/>
    <w:rsid w:val="00F915F3"/>
    <w:rsid w:val="00F91800"/>
    <w:rsid w:val="00F91853"/>
    <w:rsid w:val="00F91987"/>
    <w:rsid w:val="00F9208E"/>
    <w:rsid w:val="00F92571"/>
    <w:rsid w:val="00F93B2F"/>
    <w:rsid w:val="00F93C0A"/>
    <w:rsid w:val="00F93CAE"/>
    <w:rsid w:val="00F954E4"/>
    <w:rsid w:val="00F95CCE"/>
    <w:rsid w:val="00F9692D"/>
    <w:rsid w:val="00F96A34"/>
    <w:rsid w:val="00F978BE"/>
    <w:rsid w:val="00F97D7B"/>
    <w:rsid w:val="00FA0013"/>
    <w:rsid w:val="00FA0288"/>
    <w:rsid w:val="00FA0F71"/>
    <w:rsid w:val="00FA26BC"/>
    <w:rsid w:val="00FA37FA"/>
    <w:rsid w:val="00FA3A97"/>
    <w:rsid w:val="00FA3AEA"/>
    <w:rsid w:val="00FA4219"/>
    <w:rsid w:val="00FA48C7"/>
    <w:rsid w:val="00FA54FF"/>
    <w:rsid w:val="00FA5570"/>
    <w:rsid w:val="00FA59E0"/>
    <w:rsid w:val="00FA5C0B"/>
    <w:rsid w:val="00FA70F5"/>
    <w:rsid w:val="00FA7902"/>
    <w:rsid w:val="00FB005D"/>
    <w:rsid w:val="00FB1467"/>
    <w:rsid w:val="00FB183E"/>
    <w:rsid w:val="00FB1CD3"/>
    <w:rsid w:val="00FB1D54"/>
    <w:rsid w:val="00FB2825"/>
    <w:rsid w:val="00FB2B27"/>
    <w:rsid w:val="00FB3363"/>
    <w:rsid w:val="00FB4048"/>
    <w:rsid w:val="00FB4629"/>
    <w:rsid w:val="00FB577F"/>
    <w:rsid w:val="00FB5E5D"/>
    <w:rsid w:val="00FB5FAC"/>
    <w:rsid w:val="00FB5FC4"/>
    <w:rsid w:val="00FB6327"/>
    <w:rsid w:val="00FB6A07"/>
    <w:rsid w:val="00FB6FB1"/>
    <w:rsid w:val="00FB7460"/>
    <w:rsid w:val="00FB7A10"/>
    <w:rsid w:val="00FC0ED9"/>
    <w:rsid w:val="00FC0F81"/>
    <w:rsid w:val="00FC199B"/>
    <w:rsid w:val="00FC1C95"/>
    <w:rsid w:val="00FC24A5"/>
    <w:rsid w:val="00FC3798"/>
    <w:rsid w:val="00FC59AF"/>
    <w:rsid w:val="00FC59E0"/>
    <w:rsid w:val="00FC5C43"/>
    <w:rsid w:val="00FC5F72"/>
    <w:rsid w:val="00FC60F9"/>
    <w:rsid w:val="00FC62B5"/>
    <w:rsid w:val="00FC6D4E"/>
    <w:rsid w:val="00FC7073"/>
    <w:rsid w:val="00FC736F"/>
    <w:rsid w:val="00FC7B86"/>
    <w:rsid w:val="00FD0AE2"/>
    <w:rsid w:val="00FD0CDB"/>
    <w:rsid w:val="00FD1FA7"/>
    <w:rsid w:val="00FD2D42"/>
    <w:rsid w:val="00FD30B5"/>
    <w:rsid w:val="00FD3453"/>
    <w:rsid w:val="00FD34A6"/>
    <w:rsid w:val="00FD39CF"/>
    <w:rsid w:val="00FD4B7B"/>
    <w:rsid w:val="00FD4D84"/>
    <w:rsid w:val="00FD5468"/>
    <w:rsid w:val="00FD58F5"/>
    <w:rsid w:val="00FD754C"/>
    <w:rsid w:val="00FE0DAE"/>
    <w:rsid w:val="00FE1370"/>
    <w:rsid w:val="00FE1510"/>
    <w:rsid w:val="00FE2121"/>
    <w:rsid w:val="00FE254A"/>
    <w:rsid w:val="00FE321B"/>
    <w:rsid w:val="00FE3D07"/>
    <w:rsid w:val="00FE4B6F"/>
    <w:rsid w:val="00FE6818"/>
    <w:rsid w:val="00FE6BFB"/>
    <w:rsid w:val="00FF0CF5"/>
    <w:rsid w:val="00FF0D6F"/>
    <w:rsid w:val="00FF0E9E"/>
    <w:rsid w:val="00FF1103"/>
    <w:rsid w:val="00FF1712"/>
    <w:rsid w:val="00FF251D"/>
    <w:rsid w:val="00FF37DC"/>
    <w:rsid w:val="00FF37F2"/>
    <w:rsid w:val="00FF43D9"/>
    <w:rsid w:val="00FF5B3C"/>
    <w:rsid w:val="00FF69C8"/>
    <w:rsid w:val="00FF6D3D"/>
    <w:rsid w:val="00FF7866"/>
    <w:rsid w:val="024D7E2C"/>
    <w:rsid w:val="0D2EB883"/>
    <w:rsid w:val="0D8163B6"/>
    <w:rsid w:val="1BB32F19"/>
    <w:rsid w:val="1F2C3AF5"/>
    <w:rsid w:val="1FF4886A"/>
    <w:rsid w:val="22D2584A"/>
    <w:rsid w:val="28751A95"/>
    <w:rsid w:val="29FA8189"/>
    <w:rsid w:val="2C00A012"/>
    <w:rsid w:val="389994B3"/>
    <w:rsid w:val="3B30A011"/>
    <w:rsid w:val="3B93C128"/>
    <w:rsid w:val="3CFBE104"/>
    <w:rsid w:val="467F9A7B"/>
    <w:rsid w:val="510454D8"/>
    <w:rsid w:val="5395A1E2"/>
    <w:rsid w:val="5D8505AD"/>
    <w:rsid w:val="6F81B597"/>
    <w:rsid w:val="71443FBB"/>
    <w:rsid w:val="7563E76A"/>
    <w:rsid w:val="79A615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27A6B"/>
  <w15:docId w15:val="{9003D52C-EAFF-4023-919F-C462EC874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07E5"/>
  </w:style>
  <w:style w:type="paragraph" w:styleId="Ttulo1">
    <w:name w:val="heading 1"/>
    <w:basedOn w:val="Normal"/>
    <w:link w:val="Ttulo1Car"/>
    <w:uiPriority w:val="9"/>
    <w:qFormat/>
    <w:rsid w:val="00CD2E7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customStyle="1" w:styleId="TextonotapieCar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30448"/>
    <w:rPr>
      <w:vertAlign w:val="superscript"/>
    </w:rPr>
  </w:style>
  <w:style w:type="paragraph" w:customStyle="1" w:styleId="Appelnotedebasde">
    <w:name w:val="Appel note de bas de..."/>
    <w:basedOn w:val="Normal"/>
    <w:link w:val="Refdenotaalpie"/>
    <w:uiPriority w:val="99"/>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customStyle="1" w:styleId="TextocomentarioCar">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customStyle="1" w:styleId="AsuntodelcomentarioCar">
    <w:name w:val="Asunto del comentario Car"/>
    <w:basedOn w:val="TextocomentarioCar"/>
    <w:link w:val="Asuntodelcomentario"/>
    <w:uiPriority w:val="99"/>
    <w:semiHidden/>
    <w:rsid w:val="00A37D1C"/>
    <w:rPr>
      <w:b/>
      <w:bCs/>
      <w:sz w:val="20"/>
      <w:szCs w:val="20"/>
    </w:rPr>
  </w:style>
  <w:style w:type="paragraph" w:customStyle="1" w:styleId="Normal11pt">
    <w:name w:val="Normal + 11 pt"/>
    <w:aliases w:val="Negro,Justificado,Izquierda:  -0,95 cm,Derecha:  0,04 cm"/>
    <w:basedOn w:val="Normal"/>
    <w:uiPriority w:val="99"/>
    <w:rsid w:val="00B76C94"/>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64D5A"/>
    <w:pPr>
      <w:spacing w:after="0" w:line="240" w:lineRule="auto"/>
    </w:pPr>
  </w:style>
  <w:style w:type="character" w:customStyle="1" w:styleId="cf01">
    <w:name w:val="cf01"/>
    <w:basedOn w:val="Fuentedeprrafopredeter"/>
    <w:rsid w:val="005019AA"/>
    <w:rPr>
      <w:rFonts w:ascii="Segoe UI" w:hAnsi="Segoe UI" w:cs="Segoe UI" w:hint="default"/>
      <w:i/>
      <w:iCs/>
      <w:sz w:val="18"/>
      <w:szCs w:val="18"/>
    </w:rPr>
  </w:style>
  <w:style w:type="character" w:customStyle="1" w:styleId="normaltextrun">
    <w:name w:val="normaltextrun"/>
    <w:basedOn w:val="Fuentedeprrafopredeter"/>
    <w:rsid w:val="5D8505AD"/>
  </w:style>
  <w:style w:type="character" w:customStyle="1" w:styleId="eop">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E84D1C"/>
    <w:pPr>
      <w:spacing w:after="0" w:line="240" w:lineRule="auto"/>
      <w:ind w:left="720"/>
      <w:contextualSpacing/>
    </w:pPr>
    <w:rPr>
      <w:sz w:val="24"/>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84D1C"/>
    <w:rPr>
      <w:sz w:val="24"/>
      <w:lang w:val="es-MX"/>
    </w:rPr>
  </w:style>
  <w:style w:type="character" w:customStyle="1" w:styleId="Ttulo1Car">
    <w:name w:val="Título 1 Car"/>
    <w:basedOn w:val="Fuentedeprrafopredeter"/>
    <w:link w:val="Ttulo1"/>
    <w:uiPriority w:val="9"/>
    <w:rsid w:val="00CD2E70"/>
    <w:rPr>
      <w:rFonts w:ascii="Times New Roman" w:eastAsia="Times New Roman" w:hAnsi="Times New Roman" w:cs="Times New Roman"/>
      <w:b/>
      <w:bCs/>
      <w:kern w:val="36"/>
      <w:sz w:val="48"/>
      <w:szCs w:val="48"/>
      <w:lang w:eastAsia="es-ES_tradnl"/>
    </w:rPr>
  </w:style>
  <w:style w:type="paragraph" w:customStyle="1" w:styleId="paragraph">
    <w:name w:val="paragraph"/>
    <w:basedOn w:val="Normal"/>
    <w:rsid w:val="00CD2E70"/>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superscript">
    <w:name w:val="superscript"/>
    <w:basedOn w:val="Fuentedeprrafopredeter"/>
    <w:rsid w:val="003651AC"/>
  </w:style>
  <w:style w:type="paragraph" w:styleId="NormalWeb">
    <w:name w:val="Normal (Web)"/>
    <w:basedOn w:val="Normal"/>
    <w:uiPriority w:val="99"/>
    <w:unhideWhenUsed/>
    <w:rsid w:val="00FB5FC4"/>
    <w:rPr>
      <w:rFonts w:ascii="Times New Roman" w:hAnsi="Times New Roman" w:cs="Times New Roman"/>
      <w:sz w:val="24"/>
      <w:szCs w:val="24"/>
    </w:rPr>
  </w:style>
  <w:style w:type="character" w:customStyle="1" w:styleId="Hipervnculo1">
    <w:name w:val="Hipervínculo1"/>
    <w:basedOn w:val="Fuentedeprrafopredeter"/>
    <w:uiPriority w:val="99"/>
    <w:unhideWhenUsed/>
    <w:rsid w:val="00FB5FC4"/>
    <w:rPr>
      <w:color w:val="F2F2F2"/>
      <w:u w:val="single"/>
    </w:rPr>
  </w:style>
  <w:style w:type="character" w:styleId="Textoennegrita">
    <w:name w:val="Strong"/>
    <w:basedOn w:val="Fuentedeprrafopredeter"/>
    <w:uiPriority w:val="22"/>
    <w:qFormat/>
    <w:rsid w:val="00FB5FC4"/>
    <w:rPr>
      <w:b/>
      <w:bCs/>
    </w:rPr>
  </w:style>
  <w:style w:type="character" w:styleId="nfasis">
    <w:name w:val="Emphasis"/>
    <w:basedOn w:val="Fuentedeprrafopredeter"/>
    <w:uiPriority w:val="20"/>
    <w:qFormat/>
    <w:rsid w:val="00FB5FC4"/>
    <w:rPr>
      <w:i/>
      <w:iCs/>
    </w:rPr>
  </w:style>
  <w:style w:type="paragraph" w:customStyle="1" w:styleId="Textoindependiente21">
    <w:name w:val="Texto independiente 21"/>
    <w:basedOn w:val="Normal"/>
    <w:rsid w:val="007A6528"/>
    <w:pPr>
      <w:overflowPunct w:val="0"/>
      <w:autoSpaceDE w:val="0"/>
      <w:autoSpaceDN w:val="0"/>
      <w:adjustRightInd w:val="0"/>
      <w:spacing w:after="0" w:line="360" w:lineRule="auto"/>
      <w:ind w:firstLine="710"/>
      <w:jc w:val="both"/>
      <w:textAlignment w:val="baseline"/>
    </w:pPr>
    <w:rPr>
      <w:rFonts w:ascii="Arial" w:eastAsia="Times New Roman" w:hAnsi="Arial" w:cs="Times New Roman"/>
      <w:sz w:val="24"/>
      <w:szCs w:val="20"/>
      <w:lang w:eastAsia="es-ES"/>
    </w:rPr>
  </w:style>
  <w:style w:type="paragraph" w:styleId="Textoindependiente">
    <w:name w:val="Body Text"/>
    <w:basedOn w:val="Normal"/>
    <w:link w:val="TextoindependienteCar"/>
    <w:uiPriority w:val="99"/>
    <w:unhideWhenUsed/>
    <w:rsid w:val="00002D5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extoindependienteCar">
    <w:name w:val="Texto independiente Car"/>
    <w:basedOn w:val="Fuentedeprrafopredeter"/>
    <w:link w:val="Textoindependiente"/>
    <w:uiPriority w:val="99"/>
    <w:rsid w:val="00002D55"/>
    <w:rPr>
      <w:rFonts w:ascii="Times New Roman" w:eastAsia="Times New Roman" w:hAnsi="Times New Roman" w:cs="Times New Roman"/>
      <w:sz w:val="24"/>
      <w:szCs w:val="24"/>
      <w:lang w:eastAsia="es-CO"/>
    </w:rPr>
  </w:style>
  <w:style w:type="character" w:customStyle="1" w:styleId="FontStyle23">
    <w:name w:val="Font Style23"/>
    <w:basedOn w:val="Fuentedeprrafopredeter"/>
    <w:rsid w:val="0081788A"/>
    <w:rPr>
      <w:rFonts w:ascii="Times New Roman" w:hAnsi="Times New Roman" w:cs="Times New Roman" w:hint="default"/>
      <w:sz w:val="20"/>
      <w:szCs w:val="20"/>
    </w:rPr>
  </w:style>
  <w:style w:type="character" w:customStyle="1" w:styleId="baj">
    <w:name w:val="b_aj"/>
    <w:basedOn w:val="Fuentedeprrafopredeter"/>
    <w:rsid w:val="00B43C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134882">
      <w:bodyDiv w:val="1"/>
      <w:marLeft w:val="0"/>
      <w:marRight w:val="0"/>
      <w:marTop w:val="0"/>
      <w:marBottom w:val="0"/>
      <w:divBdr>
        <w:top w:val="none" w:sz="0" w:space="0" w:color="auto"/>
        <w:left w:val="none" w:sz="0" w:space="0" w:color="auto"/>
        <w:bottom w:val="none" w:sz="0" w:space="0" w:color="auto"/>
        <w:right w:val="none" w:sz="0" w:space="0" w:color="auto"/>
      </w:divBdr>
    </w:div>
    <w:div w:id="39211859">
      <w:bodyDiv w:val="1"/>
      <w:marLeft w:val="0"/>
      <w:marRight w:val="0"/>
      <w:marTop w:val="0"/>
      <w:marBottom w:val="0"/>
      <w:divBdr>
        <w:top w:val="none" w:sz="0" w:space="0" w:color="auto"/>
        <w:left w:val="none" w:sz="0" w:space="0" w:color="auto"/>
        <w:bottom w:val="none" w:sz="0" w:space="0" w:color="auto"/>
        <w:right w:val="none" w:sz="0" w:space="0" w:color="auto"/>
      </w:divBdr>
    </w:div>
    <w:div w:id="46149373">
      <w:bodyDiv w:val="1"/>
      <w:marLeft w:val="0"/>
      <w:marRight w:val="0"/>
      <w:marTop w:val="0"/>
      <w:marBottom w:val="0"/>
      <w:divBdr>
        <w:top w:val="none" w:sz="0" w:space="0" w:color="auto"/>
        <w:left w:val="none" w:sz="0" w:space="0" w:color="auto"/>
        <w:bottom w:val="none" w:sz="0" w:space="0" w:color="auto"/>
        <w:right w:val="none" w:sz="0" w:space="0" w:color="auto"/>
      </w:divBdr>
    </w:div>
    <w:div w:id="66533733">
      <w:bodyDiv w:val="1"/>
      <w:marLeft w:val="0"/>
      <w:marRight w:val="0"/>
      <w:marTop w:val="0"/>
      <w:marBottom w:val="0"/>
      <w:divBdr>
        <w:top w:val="none" w:sz="0" w:space="0" w:color="auto"/>
        <w:left w:val="none" w:sz="0" w:space="0" w:color="auto"/>
        <w:bottom w:val="none" w:sz="0" w:space="0" w:color="auto"/>
        <w:right w:val="none" w:sz="0" w:space="0" w:color="auto"/>
      </w:divBdr>
    </w:div>
    <w:div w:id="102695084">
      <w:bodyDiv w:val="1"/>
      <w:marLeft w:val="0"/>
      <w:marRight w:val="0"/>
      <w:marTop w:val="0"/>
      <w:marBottom w:val="0"/>
      <w:divBdr>
        <w:top w:val="none" w:sz="0" w:space="0" w:color="auto"/>
        <w:left w:val="none" w:sz="0" w:space="0" w:color="auto"/>
        <w:bottom w:val="none" w:sz="0" w:space="0" w:color="auto"/>
        <w:right w:val="none" w:sz="0" w:space="0" w:color="auto"/>
      </w:divBdr>
    </w:div>
    <w:div w:id="107549441">
      <w:bodyDiv w:val="1"/>
      <w:marLeft w:val="0"/>
      <w:marRight w:val="0"/>
      <w:marTop w:val="0"/>
      <w:marBottom w:val="0"/>
      <w:divBdr>
        <w:top w:val="none" w:sz="0" w:space="0" w:color="auto"/>
        <w:left w:val="none" w:sz="0" w:space="0" w:color="auto"/>
        <w:bottom w:val="none" w:sz="0" w:space="0" w:color="auto"/>
        <w:right w:val="none" w:sz="0" w:space="0" w:color="auto"/>
      </w:divBdr>
    </w:div>
    <w:div w:id="112671991">
      <w:bodyDiv w:val="1"/>
      <w:marLeft w:val="0"/>
      <w:marRight w:val="0"/>
      <w:marTop w:val="0"/>
      <w:marBottom w:val="0"/>
      <w:divBdr>
        <w:top w:val="none" w:sz="0" w:space="0" w:color="auto"/>
        <w:left w:val="none" w:sz="0" w:space="0" w:color="auto"/>
        <w:bottom w:val="none" w:sz="0" w:space="0" w:color="auto"/>
        <w:right w:val="none" w:sz="0" w:space="0" w:color="auto"/>
      </w:divBdr>
    </w:div>
    <w:div w:id="125584597">
      <w:bodyDiv w:val="1"/>
      <w:marLeft w:val="0"/>
      <w:marRight w:val="0"/>
      <w:marTop w:val="0"/>
      <w:marBottom w:val="0"/>
      <w:divBdr>
        <w:top w:val="none" w:sz="0" w:space="0" w:color="auto"/>
        <w:left w:val="none" w:sz="0" w:space="0" w:color="auto"/>
        <w:bottom w:val="none" w:sz="0" w:space="0" w:color="auto"/>
        <w:right w:val="none" w:sz="0" w:space="0" w:color="auto"/>
      </w:divBdr>
    </w:div>
    <w:div w:id="139424028">
      <w:bodyDiv w:val="1"/>
      <w:marLeft w:val="0"/>
      <w:marRight w:val="0"/>
      <w:marTop w:val="0"/>
      <w:marBottom w:val="0"/>
      <w:divBdr>
        <w:top w:val="none" w:sz="0" w:space="0" w:color="auto"/>
        <w:left w:val="none" w:sz="0" w:space="0" w:color="auto"/>
        <w:bottom w:val="none" w:sz="0" w:space="0" w:color="auto"/>
        <w:right w:val="none" w:sz="0" w:space="0" w:color="auto"/>
      </w:divBdr>
      <w:divsChild>
        <w:div w:id="1821341347">
          <w:marLeft w:val="0"/>
          <w:marRight w:val="0"/>
          <w:marTop w:val="0"/>
          <w:marBottom w:val="0"/>
          <w:divBdr>
            <w:top w:val="none" w:sz="0" w:space="0" w:color="auto"/>
            <w:left w:val="none" w:sz="0" w:space="0" w:color="auto"/>
            <w:bottom w:val="none" w:sz="0" w:space="0" w:color="auto"/>
            <w:right w:val="none" w:sz="0" w:space="0" w:color="auto"/>
          </w:divBdr>
          <w:divsChild>
            <w:div w:id="91904659">
              <w:marLeft w:val="0"/>
              <w:marRight w:val="0"/>
              <w:marTop w:val="0"/>
              <w:marBottom w:val="0"/>
              <w:divBdr>
                <w:top w:val="none" w:sz="0" w:space="0" w:color="auto"/>
                <w:left w:val="none" w:sz="0" w:space="0" w:color="auto"/>
                <w:bottom w:val="none" w:sz="0" w:space="0" w:color="auto"/>
                <w:right w:val="none" w:sz="0" w:space="0" w:color="auto"/>
              </w:divBdr>
              <w:divsChild>
                <w:div w:id="205610424">
                  <w:marLeft w:val="0"/>
                  <w:marRight w:val="0"/>
                  <w:marTop w:val="0"/>
                  <w:marBottom w:val="0"/>
                  <w:divBdr>
                    <w:top w:val="none" w:sz="0" w:space="0" w:color="auto"/>
                    <w:left w:val="none" w:sz="0" w:space="0" w:color="auto"/>
                    <w:bottom w:val="none" w:sz="0" w:space="0" w:color="auto"/>
                    <w:right w:val="none" w:sz="0" w:space="0" w:color="auto"/>
                  </w:divBdr>
                  <w:divsChild>
                    <w:div w:id="744687126">
                      <w:marLeft w:val="0"/>
                      <w:marRight w:val="0"/>
                      <w:marTop w:val="0"/>
                      <w:marBottom w:val="0"/>
                      <w:divBdr>
                        <w:top w:val="none" w:sz="0" w:space="0" w:color="auto"/>
                        <w:left w:val="none" w:sz="0" w:space="0" w:color="auto"/>
                        <w:bottom w:val="none" w:sz="0" w:space="0" w:color="auto"/>
                        <w:right w:val="none" w:sz="0" w:space="0" w:color="auto"/>
                      </w:divBdr>
                      <w:divsChild>
                        <w:div w:id="658389621">
                          <w:marLeft w:val="0"/>
                          <w:marRight w:val="0"/>
                          <w:marTop w:val="0"/>
                          <w:marBottom w:val="0"/>
                          <w:divBdr>
                            <w:top w:val="none" w:sz="0" w:space="0" w:color="auto"/>
                            <w:left w:val="none" w:sz="0" w:space="0" w:color="auto"/>
                            <w:bottom w:val="none" w:sz="0" w:space="0" w:color="auto"/>
                            <w:right w:val="none" w:sz="0" w:space="0" w:color="auto"/>
                          </w:divBdr>
                          <w:divsChild>
                            <w:div w:id="49117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283863">
      <w:bodyDiv w:val="1"/>
      <w:marLeft w:val="0"/>
      <w:marRight w:val="0"/>
      <w:marTop w:val="0"/>
      <w:marBottom w:val="0"/>
      <w:divBdr>
        <w:top w:val="none" w:sz="0" w:space="0" w:color="auto"/>
        <w:left w:val="none" w:sz="0" w:space="0" w:color="auto"/>
        <w:bottom w:val="none" w:sz="0" w:space="0" w:color="auto"/>
        <w:right w:val="none" w:sz="0" w:space="0" w:color="auto"/>
      </w:divBdr>
    </w:div>
    <w:div w:id="205606860">
      <w:bodyDiv w:val="1"/>
      <w:marLeft w:val="0"/>
      <w:marRight w:val="0"/>
      <w:marTop w:val="0"/>
      <w:marBottom w:val="0"/>
      <w:divBdr>
        <w:top w:val="none" w:sz="0" w:space="0" w:color="auto"/>
        <w:left w:val="none" w:sz="0" w:space="0" w:color="auto"/>
        <w:bottom w:val="none" w:sz="0" w:space="0" w:color="auto"/>
        <w:right w:val="none" w:sz="0" w:space="0" w:color="auto"/>
      </w:divBdr>
    </w:div>
    <w:div w:id="251744638">
      <w:bodyDiv w:val="1"/>
      <w:marLeft w:val="0"/>
      <w:marRight w:val="0"/>
      <w:marTop w:val="0"/>
      <w:marBottom w:val="0"/>
      <w:divBdr>
        <w:top w:val="none" w:sz="0" w:space="0" w:color="auto"/>
        <w:left w:val="none" w:sz="0" w:space="0" w:color="auto"/>
        <w:bottom w:val="none" w:sz="0" w:space="0" w:color="auto"/>
        <w:right w:val="none" w:sz="0" w:space="0" w:color="auto"/>
      </w:divBdr>
    </w:div>
    <w:div w:id="271516540">
      <w:bodyDiv w:val="1"/>
      <w:marLeft w:val="0"/>
      <w:marRight w:val="0"/>
      <w:marTop w:val="0"/>
      <w:marBottom w:val="0"/>
      <w:divBdr>
        <w:top w:val="none" w:sz="0" w:space="0" w:color="auto"/>
        <w:left w:val="none" w:sz="0" w:space="0" w:color="auto"/>
        <w:bottom w:val="none" w:sz="0" w:space="0" w:color="auto"/>
        <w:right w:val="none" w:sz="0" w:space="0" w:color="auto"/>
      </w:divBdr>
    </w:div>
    <w:div w:id="283849664">
      <w:bodyDiv w:val="1"/>
      <w:marLeft w:val="0"/>
      <w:marRight w:val="0"/>
      <w:marTop w:val="0"/>
      <w:marBottom w:val="0"/>
      <w:divBdr>
        <w:top w:val="none" w:sz="0" w:space="0" w:color="auto"/>
        <w:left w:val="none" w:sz="0" w:space="0" w:color="auto"/>
        <w:bottom w:val="none" w:sz="0" w:space="0" w:color="auto"/>
        <w:right w:val="none" w:sz="0" w:space="0" w:color="auto"/>
      </w:divBdr>
    </w:div>
    <w:div w:id="302009774">
      <w:bodyDiv w:val="1"/>
      <w:marLeft w:val="0"/>
      <w:marRight w:val="0"/>
      <w:marTop w:val="0"/>
      <w:marBottom w:val="0"/>
      <w:divBdr>
        <w:top w:val="none" w:sz="0" w:space="0" w:color="auto"/>
        <w:left w:val="none" w:sz="0" w:space="0" w:color="auto"/>
        <w:bottom w:val="none" w:sz="0" w:space="0" w:color="auto"/>
        <w:right w:val="none" w:sz="0" w:space="0" w:color="auto"/>
      </w:divBdr>
    </w:div>
    <w:div w:id="329917147">
      <w:bodyDiv w:val="1"/>
      <w:marLeft w:val="0"/>
      <w:marRight w:val="0"/>
      <w:marTop w:val="0"/>
      <w:marBottom w:val="0"/>
      <w:divBdr>
        <w:top w:val="none" w:sz="0" w:space="0" w:color="auto"/>
        <w:left w:val="none" w:sz="0" w:space="0" w:color="auto"/>
        <w:bottom w:val="none" w:sz="0" w:space="0" w:color="auto"/>
        <w:right w:val="none" w:sz="0" w:space="0" w:color="auto"/>
      </w:divBdr>
    </w:div>
    <w:div w:id="334461891">
      <w:bodyDiv w:val="1"/>
      <w:marLeft w:val="0"/>
      <w:marRight w:val="0"/>
      <w:marTop w:val="0"/>
      <w:marBottom w:val="0"/>
      <w:divBdr>
        <w:top w:val="none" w:sz="0" w:space="0" w:color="auto"/>
        <w:left w:val="none" w:sz="0" w:space="0" w:color="auto"/>
        <w:bottom w:val="none" w:sz="0" w:space="0" w:color="auto"/>
        <w:right w:val="none" w:sz="0" w:space="0" w:color="auto"/>
      </w:divBdr>
    </w:div>
    <w:div w:id="337804836">
      <w:bodyDiv w:val="1"/>
      <w:marLeft w:val="0"/>
      <w:marRight w:val="0"/>
      <w:marTop w:val="0"/>
      <w:marBottom w:val="0"/>
      <w:divBdr>
        <w:top w:val="none" w:sz="0" w:space="0" w:color="auto"/>
        <w:left w:val="none" w:sz="0" w:space="0" w:color="auto"/>
        <w:bottom w:val="none" w:sz="0" w:space="0" w:color="auto"/>
        <w:right w:val="none" w:sz="0" w:space="0" w:color="auto"/>
      </w:divBdr>
    </w:div>
    <w:div w:id="374045247">
      <w:bodyDiv w:val="1"/>
      <w:marLeft w:val="0"/>
      <w:marRight w:val="0"/>
      <w:marTop w:val="0"/>
      <w:marBottom w:val="0"/>
      <w:divBdr>
        <w:top w:val="none" w:sz="0" w:space="0" w:color="auto"/>
        <w:left w:val="none" w:sz="0" w:space="0" w:color="auto"/>
        <w:bottom w:val="none" w:sz="0" w:space="0" w:color="auto"/>
        <w:right w:val="none" w:sz="0" w:space="0" w:color="auto"/>
      </w:divBdr>
      <w:divsChild>
        <w:div w:id="506864930">
          <w:marLeft w:val="0"/>
          <w:marRight w:val="0"/>
          <w:marTop w:val="0"/>
          <w:marBottom w:val="160"/>
          <w:divBdr>
            <w:top w:val="none" w:sz="0" w:space="0" w:color="auto"/>
            <w:left w:val="none" w:sz="0" w:space="0" w:color="auto"/>
            <w:bottom w:val="none" w:sz="0" w:space="0" w:color="auto"/>
            <w:right w:val="none" w:sz="0" w:space="0" w:color="auto"/>
          </w:divBdr>
        </w:div>
        <w:div w:id="563570546">
          <w:marLeft w:val="0"/>
          <w:marRight w:val="0"/>
          <w:marTop w:val="0"/>
          <w:marBottom w:val="160"/>
          <w:divBdr>
            <w:top w:val="none" w:sz="0" w:space="0" w:color="auto"/>
            <w:left w:val="none" w:sz="0" w:space="0" w:color="auto"/>
            <w:bottom w:val="none" w:sz="0" w:space="0" w:color="auto"/>
            <w:right w:val="none" w:sz="0" w:space="0" w:color="auto"/>
          </w:divBdr>
        </w:div>
        <w:div w:id="773287731">
          <w:marLeft w:val="0"/>
          <w:marRight w:val="0"/>
          <w:marTop w:val="0"/>
          <w:marBottom w:val="160"/>
          <w:divBdr>
            <w:top w:val="none" w:sz="0" w:space="0" w:color="auto"/>
            <w:left w:val="none" w:sz="0" w:space="0" w:color="auto"/>
            <w:bottom w:val="none" w:sz="0" w:space="0" w:color="auto"/>
            <w:right w:val="none" w:sz="0" w:space="0" w:color="auto"/>
          </w:divBdr>
        </w:div>
      </w:divsChild>
    </w:div>
    <w:div w:id="411780121">
      <w:bodyDiv w:val="1"/>
      <w:marLeft w:val="0"/>
      <w:marRight w:val="0"/>
      <w:marTop w:val="0"/>
      <w:marBottom w:val="0"/>
      <w:divBdr>
        <w:top w:val="none" w:sz="0" w:space="0" w:color="auto"/>
        <w:left w:val="none" w:sz="0" w:space="0" w:color="auto"/>
        <w:bottom w:val="none" w:sz="0" w:space="0" w:color="auto"/>
        <w:right w:val="none" w:sz="0" w:space="0" w:color="auto"/>
      </w:divBdr>
    </w:div>
    <w:div w:id="432018390">
      <w:bodyDiv w:val="1"/>
      <w:marLeft w:val="0"/>
      <w:marRight w:val="0"/>
      <w:marTop w:val="0"/>
      <w:marBottom w:val="0"/>
      <w:divBdr>
        <w:top w:val="none" w:sz="0" w:space="0" w:color="auto"/>
        <w:left w:val="none" w:sz="0" w:space="0" w:color="auto"/>
        <w:bottom w:val="none" w:sz="0" w:space="0" w:color="auto"/>
        <w:right w:val="none" w:sz="0" w:space="0" w:color="auto"/>
      </w:divBdr>
    </w:div>
    <w:div w:id="438305584">
      <w:bodyDiv w:val="1"/>
      <w:marLeft w:val="0"/>
      <w:marRight w:val="0"/>
      <w:marTop w:val="0"/>
      <w:marBottom w:val="0"/>
      <w:divBdr>
        <w:top w:val="none" w:sz="0" w:space="0" w:color="auto"/>
        <w:left w:val="none" w:sz="0" w:space="0" w:color="auto"/>
        <w:bottom w:val="none" w:sz="0" w:space="0" w:color="auto"/>
        <w:right w:val="none" w:sz="0" w:space="0" w:color="auto"/>
      </w:divBdr>
    </w:div>
    <w:div w:id="497113796">
      <w:bodyDiv w:val="1"/>
      <w:marLeft w:val="0"/>
      <w:marRight w:val="0"/>
      <w:marTop w:val="0"/>
      <w:marBottom w:val="0"/>
      <w:divBdr>
        <w:top w:val="none" w:sz="0" w:space="0" w:color="auto"/>
        <w:left w:val="none" w:sz="0" w:space="0" w:color="auto"/>
        <w:bottom w:val="none" w:sz="0" w:space="0" w:color="auto"/>
        <w:right w:val="none" w:sz="0" w:space="0" w:color="auto"/>
      </w:divBdr>
      <w:divsChild>
        <w:div w:id="932205885">
          <w:marLeft w:val="0"/>
          <w:marRight w:val="0"/>
          <w:marTop w:val="0"/>
          <w:marBottom w:val="0"/>
          <w:divBdr>
            <w:top w:val="none" w:sz="0" w:space="0" w:color="auto"/>
            <w:left w:val="none" w:sz="0" w:space="0" w:color="auto"/>
            <w:bottom w:val="none" w:sz="0" w:space="0" w:color="auto"/>
            <w:right w:val="none" w:sz="0" w:space="0" w:color="auto"/>
          </w:divBdr>
          <w:divsChild>
            <w:div w:id="396978682">
              <w:marLeft w:val="0"/>
              <w:marRight w:val="0"/>
              <w:marTop w:val="0"/>
              <w:marBottom w:val="0"/>
              <w:divBdr>
                <w:top w:val="none" w:sz="0" w:space="0" w:color="auto"/>
                <w:left w:val="none" w:sz="0" w:space="0" w:color="auto"/>
                <w:bottom w:val="none" w:sz="0" w:space="0" w:color="auto"/>
                <w:right w:val="none" w:sz="0" w:space="0" w:color="auto"/>
              </w:divBdr>
              <w:divsChild>
                <w:div w:id="1886520651">
                  <w:marLeft w:val="0"/>
                  <w:marRight w:val="0"/>
                  <w:marTop w:val="0"/>
                  <w:marBottom w:val="0"/>
                  <w:divBdr>
                    <w:top w:val="none" w:sz="0" w:space="0" w:color="auto"/>
                    <w:left w:val="none" w:sz="0" w:space="0" w:color="auto"/>
                    <w:bottom w:val="none" w:sz="0" w:space="0" w:color="auto"/>
                    <w:right w:val="none" w:sz="0" w:space="0" w:color="auto"/>
                  </w:divBdr>
                  <w:divsChild>
                    <w:div w:id="1561600205">
                      <w:marLeft w:val="0"/>
                      <w:marRight w:val="0"/>
                      <w:marTop w:val="0"/>
                      <w:marBottom w:val="0"/>
                      <w:divBdr>
                        <w:top w:val="none" w:sz="0" w:space="0" w:color="auto"/>
                        <w:left w:val="none" w:sz="0" w:space="0" w:color="auto"/>
                        <w:bottom w:val="none" w:sz="0" w:space="0" w:color="auto"/>
                        <w:right w:val="none" w:sz="0" w:space="0" w:color="auto"/>
                      </w:divBdr>
                      <w:divsChild>
                        <w:div w:id="312949149">
                          <w:marLeft w:val="0"/>
                          <w:marRight w:val="0"/>
                          <w:marTop w:val="0"/>
                          <w:marBottom w:val="0"/>
                          <w:divBdr>
                            <w:top w:val="none" w:sz="0" w:space="0" w:color="auto"/>
                            <w:left w:val="none" w:sz="0" w:space="0" w:color="auto"/>
                            <w:bottom w:val="none" w:sz="0" w:space="0" w:color="auto"/>
                            <w:right w:val="none" w:sz="0" w:space="0" w:color="auto"/>
                          </w:divBdr>
                          <w:divsChild>
                            <w:div w:id="1128743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2404418">
      <w:bodyDiv w:val="1"/>
      <w:marLeft w:val="0"/>
      <w:marRight w:val="0"/>
      <w:marTop w:val="0"/>
      <w:marBottom w:val="0"/>
      <w:divBdr>
        <w:top w:val="none" w:sz="0" w:space="0" w:color="auto"/>
        <w:left w:val="none" w:sz="0" w:space="0" w:color="auto"/>
        <w:bottom w:val="none" w:sz="0" w:space="0" w:color="auto"/>
        <w:right w:val="none" w:sz="0" w:space="0" w:color="auto"/>
      </w:divBdr>
    </w:div>
    <w:div w:id="569076646">
      <w:bodyDiv w:val="1"/>
      <w:marLeft w:val="0"/>
      <w:marRight w:val="0"/>
      <w:marTop w:val="0"/>
      <w:marBottom w:val="0"/>
      <w:divBdr>
        <w:top w:val="none" w:sz="0" w:space="0" w:color="auto"/>
        <w:left w:val="none" w:sz="0" w:space="0" w:color="auto"/>
        <w:bottom w:val="none" w:sz="0" w:space="0" w:color="auto"/>
        <w:right w:val="none" w:sz="0" w:space="0" w:color="auto"/>
      </w:divBdr>
    </w:div>
    <w:div w:id="588775434">
      <w:bodyDiv w:val="1"/>
      <w:marLeft w:val="0"/>
      <w:marRight w:val="0"/>
      <w:marTop w:val="0"/>
      <w:marBottom w:val="0"/>
      <w:divBdr>
        <w:top w:val="none" w:sz="0" w:space="0" w:color="auto"/>
        <w:left w:val="none" w:sz="0" w:space="0" w:color="auto"/>
        <w:bottom w:val="none" w:sz="0" w:space="0" w:color="auto"/>
        <w:right w:val="none" w:sz="0" w:space="0" w:color="auto"/>
      </w:divBdr>
      <w:divsChild>
        <w:div w:id="686953851">
          <w:marLeft w:val="0"/>
          <w:marRight w:val="0"/>
          <w:marTop w:val="0"/>
          <w:marBottom w:val="0"/>
          <w:divBdr>
            <w:top w:val="none" w:sz="0" w:space="0" w:color="auto"/>
            <w:left w:val="none" w:sz="0" w:space="0" w:color="auto"/>
            <w:bottom w:val="none" w:sz="0" w:space="0" w:color="auto"/>
            <w:right w:val="none" w:sz="0" w:space="0" w:color="auto"/>
          </w:divBdr>
          <w:divsChild>
            <w:div w:id="172259401">
              <w:marLeft w:val="0"/>
              <w:marRight w:val="0"/>
              <w:marTop w:val="0"/>
              <w:marBottom w:val="0"/>
              <w:divBdr>
                <w:top w:val="none" w:sz="0" w:space="0" w:color="auto"/>
                <w:left w:val="none" w:sz="0" w:space="0" w:color="auto"/>
                <w:bottom w:val="none" w:sz="0" w:space="0" w:color="auto"/>
                <w:right w:val="none" w:sz="0" w:space="0" w:color="auto"/>
              </w:divBdr>
              <w:divsChild>
                <w:div w:id="2105608189">
                  <w:marLeft w:val="0"/>
                  <w:marRight w:val="0"/>
                  <w:marTop w:val="0"/>
                  <w:marBottom w:val="0"/>
                  <w:divBdr>
                    <w:top w:val="none" w:sz="0" w:space="0" w:color="auto"/>
                    <w:left w:val="none" w:sz="0" w:space="0" w:color="auto"/>
                    <w:bottom w:val="none" w:sz="0" w:space="0" w:color="auto"/>
                    <w:right w:val="none" w:sz="0" w:space="0" w:color="auto"/>
                  </w:divBdr>
                  <w:divsChild>
                    <w:div w:id="1691952384">
                      <w:marLeft w:val="0"/>
                      <w:marRight w:val="0"/>
                      <w:marTop w:val="0"/>
                      <w:marBottom w:val="0"/>
                      <w:divBdr>
                        <w:top w:val="none" w:sz="0" w:space="0" w:color="auto"/>
                        <w:left w:val="none" w:sz="0" w:space="0" w:color="auto"/>
                        <w:bottom w:val="none" w:sz="0" w:space="0" w:color="auto"/>
                        <w:right w:val="none" w:sz="0" w:space="0" w:color="auto"/>
                      </w:divBdr>
                      <w:divsChild>
                        <w:div w:id="1490360998">
                          <w:marLeft w:val="0"/>
                          <w:marRight w:val="0"/>
                          <w:marTop w:val="0"/>
                          <w:marBottom w:val="0"/>
                          <w:divBdr>
                            <w:top w:val="none" w:sz="0" w:space="0" w:color="auto"/>
                            <w:left w:val="none" w:sz="0" w:space="0" w:color="auto"/>
                            <w:bottom w:val="none" w:sz="0" w:space="0" w:color="auto"/>
                            <w:right w:val="none" w:sz="0" w:space="0" w:color="auto"/>
                          </w:divBdr>
                          <w:divsChild>
                            <w:div w:id="626544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3080197">
      <w:bodyDiv w:val="1"/>
      <w:marLeft w:val="0"/>
      <w:marRight w:val="0"/>
      <w:marTop w:val="0"/>
      <w:marBottom w:val="0"/>
      <w:divBdr>
        <w:top w:val="none" w:sz="0" w:space="0" w:color="auto"/>
        <w:left w:val="none" w:sz="0" w:space="0" w:color="auto"/>
        <w:bottom w:val="none" w:sz="0" w:space="0" w:color="auto"/>
        <w:right w:val="none" w:sz="0" w:space="0" w:color="auto"/>
      </w:divBdr>
    </w:div>
    <w:div w:id="612518399">
      <w:bodyDiv w:val="1"/>
      <w:marLeft w:val="0"/>
      <w:marRight w:val="0"/>
      <w:marTop w:val="0"/>
      <w:marBottom w:val="0"/>
      <w:divBdr>
        <w:top w:val="none" w:sz="0" w:space="0" w:color="auto"/>
        <w:left w:val="none" w:sz="0" w:space="0" w:color="auto"/>
        <w:bottom w:val="none" w:sz="0" w:space="0" w:color="auto"/>
        <w:right w:val="none" w:sz="0" w:space="0" w:color="auto"/>
      </w:divBdr>
    </w:div>
    <w:div w:id="644244441">
      <w:bodyDiv w:val="1"/>
      <w:marLeft w:val="0"/>
      <w:marRight w:val="0"/>
      <w:marTop w:val="0"/>
      <w:marBottom w:val="0"/>
      <w:divBdr>
        <w:top w:val="none" w:sz="0" w:space="0" w:color="auto"/>
        <w:left w:val="none" w:sz="0" w:space="0" w:color="auto"/>
        <w:bottom w:val="none" w:sz="0" w:space="0" w:color="auto"/>
        <w:right w:val="none" w:sz="0" w:space="0" w:color="auto"/>
      </w:divBdr>
    </w:div>
    <w:div w:id="696200587">
      <w:bodyDiv w:val="1"/>
      <w:marLeft w:val="0"/>
      <w:marRight w:val="0"/>
      <w:marTop w:val="0"/>
      <w:marBottom w:val="0"/>
      <w:divBdr>
        <w:top w:val="none" w:sz="0" w:space="0" w:color="auto"/>
        <w:left w:val="none" w:sz="0" w:space="0" w:color="auto"/>
        <w:bottom w:val="none" w:sz="0" w:space="0" w:color="auto"/>
        <w:right w:val="none" w:sz="0" w:space="0" w:color="auto"/>
      </w:divBdr>
    </w:div>
    <w:div w:id="710807709">
      <w:bodyDiv w:val="1"/>
      <w:marLeft w:val="0"/>
      <w:marRight w:val="0"/>
      <w:marTop w:val="0"/>
      <w:marBottom w:val="0"/>
      <w:divBdr>
        <w:top w:val="none" w:sz="0" w:space="0" w:color="auto"/>
        <w:left w:val="none" w:sz="0" w:space="0" w:color="auto"/>
        <w:bottom w:val="none" w:sz="0" w:space="0" w:color="auto"/>
        <w:right w:val="none" w:sz="0" w:space="0" w:color="auto"/>
      </w:divBdr>
    </w:div>
    <w:div w:id="719481719">
      <w:bodyDiv w:val="1"/>
      <w:marLeft w:val="0"/>
      <w:marRight w:val="0"/>
      <w:marTop w:val="0"/>
      <w:marBottom w:val="0"/>
      <w:divBdr>
        <w:top w:val="none" w:sz="0" w:space="0" w:color="auto"/>
        <w:left w:val="none" w:sz="0" w:space="0" w:color="auto"/>
        <w:bottom w:val="none" w:sz="0" w:space="0" w:color="auto"/>
        <w:right w:val="none" w:sz="0" w:space="0" w:color="auto"/>
      </w:divBdr>
    </w:div>
    <w:div w:id="723599209">
      <w:bodyDiv w:val="1"/>
      <w:marLeft w:val="0"/>
      <w:marRight w:val="0"/>
      <w:marTop w:val="0"/>
      <w:marBottom w:val="0"/>
      <w:divBdr>
        <w:top w:val="none" w:sz="0" w:space="0" w:color="auto"/>
        <w:left w:val="none" w:sz="0" w:space="0" w:color="auto"/>
        <w:bottom w:val="none" w:sz="0" w:space="0" w:color="auto"/>
        <w:right w:val="none" w:sz="0" w:space="0" w:color="auto"/>
      </w:divBdr>
    </w:div>
    <w:div w:id="784926870">
      <w:bodyDiv w:val="1"/>
      <w:marLeft w:val="0"/>
      <w:marRight w:val="0"/>
      <w:marTop w:val="0"/>
      <w:marBottom w:val="0"/>
      <w:divBdr>
        <w:top w:val="none" w:sz="0" w:space="0" w:color="auto"/>
        <w:left w:val="none" w:sz="0" w:space="0" w:color="auto"/>
        <w:bottom w:val="none" w:sz="0" w:space="0" w:color="auto"/>
        <w:right w:val="none" w:sz="0" w:space="0" w:color="auto"/>
      </w:divBdr>
    </w:div>
    <w:div w:id="832256776">
      <w:bodyDiv w:val="1"/>
      <w:marLeft w:val="0"/>
      <w:marRight w:val="0"/>
      <w:marTop w:val="0"/>
      <w:marBottom w:val="0"/>
      <w:divBdr>
        <w:top w:val="none" w:sz="0" w:space="0" w:color="auto"/>
        <w:left w:val="none" w:sz="0" w:space="0" w:color="auto"/>
        <w:bottom w:val="none" w:sz="0" w:space="0" w:color="auto"/>
        <w:right w:val="none" w:sz="0" w:space="0" w:color="auto"/>
      </w:divBdr>
    </w:div>
    <w:div w:id="850341528">
      <w:bodyDiv w:val="1"/>
      <w:marLeft w:val="0"/>
      <w:marRight w:val="0"/>
      <w:marTop w:val="0"/>
      <w:marBottom w:val="0"/>
      <w:divBdr>
        <w:top w:val="none" w:sz="0" w:space="0" w:color="auto"/>
        <w:left w:val="none" w:sz="0" w:space="0" w:color="auto"/>
        <w:bottom w:val="none" w:sz="0" w:space="0" w:color="auto"/>
        <w:right w:val="none" w:sz="0" w:space="0" w:color="auto"/>
      </w:divBdr>
    </w:div>
    <w:div w:id="905454849">
      <w:bodyDiv w:val="1"/>
      <w:marLeft w:val="0"/>
      <w:marRight w:val="0"/>
      <w:marTop w:val="0"/>
      <w:marBottom w:val="0"/>
      <w:divBdr>
        <w:top w:val="none" w:sz="0" w:space="0" w:color="auto"/>
        <w:left w:val="none" w:sz="0" w:space="0" w:color="auto"/>
        <w:bottom w:val="none" w:sz="0" w:space="0" w:color="auto"/>
        <w:right w:val="none" w:sz="0" w:space="0" w:color="auto"/>
      </w:divBdr>
      <w:divsChild>
        <w:div w:id="591283175">
          <w:marLeft w:val="0"/>
          <w:marRight w:val="0"/>
          <w:marTop w:val="0"/>
          <w:marBottom w:val="160"/>
          <w:divBdr>
            <w:top w:val="none" w:sz="0" w:space="0" w:color="auto"/>
            <w:left w:val="none" w:sz="0" w:space="0" w:color="auto"/>
            <w:bottom w:val="none" w:sz="0" w:space="0" w:color="auto"/>
            <w:right w:val="none" w:sz="0" w:space="0" w:color="auto"/>
          </w:divBdr>
        </w:div>
        <w:div w:id="2145074026">
          <w:marLeft w:val="0"/>
          <w:marRight w:val="0"/>
          <w:marTop w:val="0"/>
          <w:marBottom w:val="160"/>
          <w:divBdr>
            <w:top w:val="none" w:sz="0" w:space="0" w:color="auto"/>
            <w:left w:val="none" w:sz="0" w:space="0" w:color="auto"/>
            <w:bottom w:val="none" w:sz="0" w:space="0" w:color="auto"/>
            <w:right w:val="none" w:sz="0" w:space="0" w:color="auto"/>
          </w:divBdr>
        </w:div>
        <w:div w:id="1578511561">
          <w:marLeft w:val="0"/>
          <w:marRight w:val="0"/>
          <w:marTop w:val="0"/>
          <w:marBottom w:val="160"/>
          <w:divBdr>
            <w:top w:val="none" w:sz="0" w:space="0" w:color="auto"/>
            <w:left w:val="none" w:sz="0" w:space="0" w:color="auto"/>
            <w:bottom w:val="none" w:sz="0" w:space="0" w:color="auto"/>
            <w:right w:val="none" w:sz="0" w:space="0" w:color="auto"/>
          </w:divBdr>
        </w:div>
      </w:divsChild>
    </w:div>
    <w:div w:id="935362018">
      <w:bodyDiv w:val="1"/>
      <w:marLeft w:val="0"/>
      <w:marRight w:val="0"/>
      <w:marTop w:val="0"/>
      <w:marBottom w:val="0"/>
      <w:divBdr>
        <w:top w:val="none" w:sz="0" w:space="0" w:color="auto"/>
        <w:left w:val="none" w:sz="0" w:space="0" w:color="auto"/>
        <w:bottom w:val="none" w:sz="0" w:space="0" w:color="auto"/>
        <w:right w:val="none" w:sz="0" w:space="0" w:color="auto"/>
      </w:divBdr>
    </w:div>
    <w:div w:id="951672208">
      <w:bodyDiv w:val="1"/>
      <w:marLeft w:val="0"/>
      <w:marRight w:val="0"/>
      <w:marTop w:val="0"/>
      <w:marBottom w:val="0"/>
      <w:divBdr>
        <w:top w:val="none" w:sz="0" w:space="0" w:color="auto"/>
        <w:left w:val="none" w:sz="0" w:space="0" w:color="auto"/>
        <w:bottom w:val="none" w:sz="0" w:space="0" w:color="auto"/>
        <w:right w:val="none" w:sz="0" w:space="0" w:color="auto"/>
      </w:divBdr>
    </w:div>
    <w:div w:id="956060098">
      <w:bodyDiv w:val="1"/>
      <w:marLeft w:val="0"/>
      <w:marRight w:val="0"/>
      <w:marTop w:val="0"/>
      <w:marBottom w:val="0"/>
      <w:divBdr>
        <w:top w:val="none" w:sz="0" w:space="0" w:color="auto"/>
        <w:left w:val="none" w:sz="0" w:space="0" w:color="auto"/>
        <w:bottom w:val="none" w:sz="0" w:space="0" w:color="auto"/>
        <w:right w:val="none" w:sz="0" w:space="0" w:color="auto"/>
      </w:divBdr>
    </w:div>
    <w:div w:id="975717024">
      <w:bodyDiv w:val="1"/>
      <w:marLeft w:val="0"/>
      <w:marRight w:val="0"/>
      <w:marTop w:val="0"/>
      <w:marBottom w:val="0"/>
      <w:divBdr>
        <w:top w:val="none" w:sz="0" w:space="0" w:color="auto"/>
        <w:left w:val="none" w:sz="0" w:space="0" w:color="auto"/>
        <w:bottom w:val="none" w:sz="0" w:space="0" w:color="auto"/>
        <w:right w:val="none" w:sz="0" w:space="0" w:color="auto"/>
      </w:divBdr>
    </w:div>
    <w:div w:id="985858265">
      <w:bodyDiv w:val="1"/>
      <w:marLeft w:val="0"/>
      <w:marRight w:val="0"/>
      <w:marTop w:val="0"/>
      <w:marBottom w:val="0"/>
      <w:divBdr>
        <w:top w:val="none" w:sz="0" w:space="0" w:color="auto"/>
        <w:left w:val="none" w:sz="0" w:space="0" w:color="auto"/>
        <w:bottom w:val="none" w:sz="0" w:space="0" w:color="auto"/>
        <w:right w:val="none" w:sz="0" w:space="0" w:color="auto"/>
      </w:divBdr>
    </w:div>
    <w:div w:id="1015158801">
      <w:bodyDiv w:val="1"/>
      <w:marLeft w:val="0"/>
      <w:marRight w:val="0"/>
      <w:marTop w:val="0"/>
      <w:marBottom w:val="0"/>
      <w:divBdr>
        <w:top w:val="none" w:sz="0" w:space="0" w:color="auto"/>
        <w:left w:val="none" w:sz="0" w:space="0" w:color="auto"/>
        <w:bottom w:val="none" w:sz="0" w:space="0" w:color="auto"/>
        <w:right w:val="none" w:sz="0" w:space="0" w:color="auto"/>
      </w:divBdr>
    </w:div>
    <w:div w:id="1067846211">
      <w:bodyDiv w:val="1"/>
      <w:marLeft w:val="0"/>
      <w:marRight w:val="0"/>
      <w:marTop w:val="0"/>
      <w:marBottom w:val="0"/>
      <w:divBdr>
        <w:top w:val="none" w:sz="0" w:space="0" w:color="auto"/>
        <w:left w:val="none" w:sz="0" w:space="0" w:color="auto"/>
        <w:bottom w:val="none" w:sz="0" w:space="0" w:color="auto"/>
        <w:right w:val="none" w:sz="0" w:space="0" w:color="auto"/>
      </w:divBdr>
    </w:div>
    <w:div w:id="1078289917">
      <w:bodyDiv w:val="1"/>
      <w:marLeft w:val="0"/>
      <w:marRight w:val="0"/>
      <w:marTop w:val="0"/>
      <w:marBottom w:val="0"/>
      <w:divBdr>
        <w:top w:val="none" w:sz="0" w:space="0" w:color="auto"/>
        <w:left w:val="none" w:sz="0" w:space="0" w:color="auto"/>
        <w:bottom w:val="none" w:sz="0" w:space="0" w:color="auto"/>
        <w:right w:val="none" w:sz="0" w:space="0" w:color="auto"/>
      </w:divBdr>
    </w:div>
    <w:div w:id="1089231679">
      <w:bodyDiv w:val="1"/>
      <w:marLeft w:val="0"/>
      <w:marRight w:val="0"/>
      <w:marTop w:val="0"/>
      <w:marBottom w:val="0"/>
      <w:divBdr>
        <w:top w:val="none" w:sz="0" w:space="0" w:color="auto"/>
        <w:left w:val="none" w:sz="0" w:space="0" w:color="auto"/>
        <w:bottom w:val="none" w:sz="0" w:space="0" w:color="auto"/>
        <w:right w:val="none" w:sz="0" w:space="0" w:color="auto"/>
      </w:divBdr>
    </w:div>
    <w:div w:id="1090585167">
      <w:bodyDiv w:val="1"/>
      <w:marLeft w:val="0"/>
      <w:marRight w:val="0"/>
      <w:marTop w:val="0"/>
      <w:marBottom w:val="0"/>
      <w:divBdr>
        <w:top w:val="none" w:sz="0" w:space="0" w:color="auto"/>
        <w:left w:val="none" w:sz="0" w:space="0" w:color="auto"/>
        <w:bottom w:val="none" w:sz="0" w:space="0" w:color="auto"/>
        <w:right w:val="none" w:sz="0" w:space="0" w:color="auto"/>
      </w:divBdr>
    </w:div>
    <w:div w:id="1107236897">
      <w:bodyDiv w:val="1"/>
      <w:marLeft w:val="0"/>
      <w:marRight w:val="0"/>
      <w:marTop w:val="0"/>
      <w:marBottom w:val="0"/>
      <w:divBdr>
        <w:top w:val="none" w:sz="0" w:space="0" w:color="auto"/>
        <w:left w:val="none" w:sz="0" w:space="0" w:color="auto"/>
        <w:bottom w:val="none" w:sz="0" w:space="0" w:color="auto"/>
        <w:right w:val="none" w:sz="0" w:space="0" w:color="auto"/>
      </w:divBdr>
      <w:divsChild>
        <w:div w:id="477647396">
          <w:marLeft w:val="0"/>
          <w:marRight w:val="0"/>
          <w:marTop w:val="0"/>
          <w:marBottom w:val="0"/>
          <w:divBdr>
            <w:top w:val="none" w:sz="0" w:space="0" w:color="auto"/>
            <w:left w:val="none" w:sz="0" w:space="0" w:color="auto"/>
            <w:bottom w:val="none" w:sz="0" w:space="0" w:color="auto"/>
            <w:right w:val="none" w:sz="0" w:space="0" w:color="auto"/>
          </w:divBdr>
          <w:divsChild>
            <w:div w:id="796800405">
              <w:marLeft w:val="0"/>
              <w:marRight w:val="0"/>
              <w:marTop w:val="0"/>
              <w:marBottom w:val="0"/>
              <w:divBdr>
                <w:top w:val="none" w:sz="0" w:space="0" w:color="auto"/>
                <w:left w:val="none" w:sz="0" w:space="0" w:color="auto"/>
                <w:bottom w:val="none" w:sz="0" w:space="0" w:color="auto"/>
                <w:right w:val="none" w:sz="0" w:space="0" w:color="auto"/>
              </w:divBdr>
              <w:divsChild>
                <w:div w:id="969165727">
                  <w:marLeft w:val="0"/>
                  <w:marRight w:val="0"/>
                  <w:marTop w:val="0"/>
                  <w:marBottom w:val="0"/>
                  <w:divBdr>
                    <w:top w:val="none" w:sz="0" w:space="0" w:color="auto"/>
                    <w:left w:val="none" w:sz="0" w:space="0" w:color="auto"/>
                    <w:bottom w:val="none" w:sz="0" w:space="0" w:color="auto"/>
                    <w:right w:val="none" w:sz="0" w:space="0" w:color="auto"/>
                  </w:divBdr>
                  <w:divsChild>
                    <w:div w:id="324626554">
                      <w:marLeft w:val="0"/>
                      <w:marRight w:val="0"/>
                      <w:marTop w:val="0"/>
                      <w:marBottom w:val="0"/>
                      <w:divBdr>
                        <w:top w:val="none" w:sz="0" w:space="0" w:color="auto"/>
                        <w:left w:val="none" w:sz="0" w:space="0" w:color="auto"/>
                        <w:bottom w:val="none" w:sz="0" w:space="0" w:color="auto"/>
                        <w:right w:val="none" w:sz="0" w:space="0" w:color="auto"/>
                      </w:divBdr>
                      <w:divsChild>
                        <w:div w:id="1435707499">
                          <w:marLeft w:val="0"/>
                          <w:marRight w:val="0"/>
                          <w:marTop w:val="0"/>
                          <w:marBottom w:val="0"/>
                          <w:divBdr>
                            <w:top w:val="none" w:sz="0" w:space="0" w:color="auto"/>
                            <w:left w:val="none" w:sz="0" w:space="0" w:color="auto"/>
                            <w:bottom w:val="none" w:sz="0" w:space="0" w:color="auto"/>
                            <w:right w:val="none" w:sz="0" w:space="0" w:color="auto"/>
                          </w:divBdr>
                          <w:divsChild>
                            <w:div w:id="330301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7263978">
      <w:bodyDiv w:val="1"/>
      <w:marLeft w:val="0"/>
      <w:marRight w:val="0"/>
      <w:marTop w:val="0"/>
      <w:marBottom w:val="0"/>
      <w:divBdr>
        <w:top w:val="none" w:sz="0" w:space="0" w:color="auto"/>
        <w:left w:val="none" w:sz="0" w:space="0" w:color="auto"/>
        <w:bottom w:val="none" w:sz="0" w:space="0" w:color="auto"/>
        <w:right w:val="none" w:sz="0" w:space="0" w:color="auto"/>
      </w:divBdr>
    </w:div>
    <w:div w:id="1153371148">
      <w:bodyDiv w:val="1"/>
      <w:marLeft w:val="0"/>
      <w:marRight w:val="0"/>
      <w:marTop w:val="0"/>
      <w:marBottom w:val="0"/>
      <w:divBdr>
        <w:top w:val="none" w:sz="0" w:space="0" w:color="auto"/>
        <w:left w:val="none" w:sz="0" w:space="0" w:color="auto"/>
        <w:bottom w:val="none" w:sz="0" w:space="0" w:color="auto"/>
        <w:right w:val="none" w:sz="0" w:space="0" w:color="auto"/>
      </w:divBdr>
      <w:divsChild>
        <w:div w:id="578834935">
          <w:marLeft w:val="0"/>
          <w:marRight w:val="0"/>
          <w:marTop w:val="0"/>
          <w:marBottom w:val="160"/>
          <w:divBdr>
            <w:top w:val="none" w:sz="0" w:space="0" w:color="auto"/>
            <w:left w:val="none" w:sz="0" w:space="0" w:color="auto"/>
            <w:bottom w:val="none" w:sz="0" w:space="0" w:color="auto"/>
            <w:right w:val="none" w:sz="0" w:space="0" w:color="auto"/>
          </w:divBdr>
        </w:div>
        <w:div w:id="86193346">
          <w:marLeft w:val="0"/>
          <w:marRight w:val="0"/>
          <w:marTop w:val="0"/>
          <w:marBottom w:val="160"/>
          <w:divBdr>
            <w:top w:val="none" w:sz="0" w:space="0" w:color="auto"/>
            <w:left w:val="none" w:sz="0" w:space="0" w:color="auto"/>
            <w:bottom w:val="none" w:sz="0" w:space="0" w:color="auto"/>
            <w:right w:val="none" w:sz="0" w:space="0" w:color="auto"/>
          </w:divBdr>
        </w:div>
        <w:div w:id="185557124">
          <w:marLeft w:val="0"/>
          <w:marRight w:val="0"/>
          <w:marTop w:val="0"/>
          <w:marBottom w:val="160"/>
          <w:divBdr>
            <w:top w:val="none" w:sz="0" w:space="0" w:color="auto"/>
            <w:left w:val="none" w:sz="0" w:space="0" w:color="auto"/>
            <w:bottom w:val="none" w:sz="0" w:space="0" w:color="auto"/>
            <w:right w:val="none" w:sz="0" w:space="0" w:color="auto"/>
          </w:divBdr>
        </w:div>
      </w:divsChild>
    </w:div>
    <w:div w:id="1158695467">
      <w:bodyDiv w:val="1"/>
      <w:marLeft w:val="0"/>
      <w:marRight w:val="0"/>
      <w:marTop w:val="0"/>
      <w:marBottom w:val="0"/>
      <w:divBdr>
        <w:top w:val="none" w:sz="0" w:space="0" w:color="auto"/>
        <w:left w:val="none" w:sz="0" w:space="0" w:color="auto"/>
        <w:bottom w:val="none" w:sz="0" w:space="0" w:color="auto"/>
        <w:right w:val="none" w:sz="0" w:space="0" w:color="auto"/>
      </w:divBdr>
    </w:div>
    <w:div w:id="1165128992">
      <w:bodyDiv w:val="1"/>
      <w:marLeft w:val="0"/>
      <w:marRight w:val="0"/>
      <w:marTop w:val="0"/>
      <w:marBottom w:val="0"/>
      <w:divBdr>
        <w:top w:val="none" w:sz="0" w:space="0" w:color="auto"/>
        <w:left w:val="none" w:sz="0" w:space="0" w:color="auto"/>
        <w:bottom w:val="none" w:sz="0" w:space="0" w:color="auto"/>
        <w:right w:val="none" w:sz="0" w:space="0" w:color="auto"/>
      </w:divBdr>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243177627">
      <w:bodyDiv w:val="1"/>
      <w:marLeft w:val="0"/>
      <w:marRight w:val="0"/>
      <w:marTop w:val="0"/>
      <w:marBottom w:val="0"/>
      <w:divBdr>
        <w:top w:val="none" w:sz="0" w:space="0" w:color="auto"/>
        <w:left w:val="none" w:sz="0" w:space="0" w:color="auto"/>
        <w:bottom w:val="none" w:sz="0" w:space="0" w:color="auto"/>
        <w:right w:val="none" w:sz="0" w:space="0" w:color="auto"/>
      </w:divBdr>
    </w:div>
    <w:div w:id="1246694436">
      <w:bodyDiv w:val="1"/>
      <w:marLeft w:val="0"/>
      <w:marRight w:val="0"/>
      <w:marTop w:val="0"/>
      <w:marBottom w:val="0"/>
      <w:divBdr>
        <w:top w:val="none" w:sz="0" w:space="0" w:color="auto"/>
        <w:left w:val="none" w:sz="0" w:space="0" w:color="auto"/>
        <w:bottom w:val="none" w:sz="0" w:space="0" w:color="auto"/>
        <w:right w:val="none" w:sz="0" w:space="0" w:color="auto"/>
      </w:divBdr>
    </w:div>
    <w:div w:id="1270119371">
      <w:bodyDiv w:val="1"/>
      <w:marLeft w:val="0"/>
      <w:marRight w:val="0"/>
      <w:marTop w:val="0"/>
      <w:marBottom w:val="0"/>
      <w:divBdr>
        <w:top w:val="none" w:sz="0" w:space="0" w:color="auto"/>
        <w:left w:val="none" w:sz="0" w:space="0" w:color="auto"/>
        <w:bottom w:val="none" w:sz="0" w:space="0" w:color="auto"/>
        <w:right w:val="none" w:sz="0" w:space="0" w:color="auto"/>
      </w:divBdr>
    </w:div>
    <w:div w:id="1270358733">
      <w:bodyDiv w:val="1"/>
      <w:marLeft w:val="0"/>
      <w:marRight w:val="0"/>
      <w:marTop w:val="0"/>
      <w:marBottom w:val="0"/>
      <w:divBdr>
        <w:top w:val="none" w:sz="0" w:space="0" w:color="auto"/>
        <w:left w:val="none" w:sz="0" w:space="0" w:color="auto"/>
        <w:bottom w:val="none" w:sz="0" w:space="0" w:color="auto"/>
        <w:right w:val="none" w:sz="0" w:space="0" w:color="auto"/>
      </w:divBdr>
    </w:div>
    <w:div w:id="1292829531">
      <w:bodyDiv w:val="1"/>
      <w:marLeft w:val="0"/>
      <w:marRight w:val="0"/>
      <w:marTop w:val="0"/>
      <w:marBottom w:val="0"/>
      <w:divBdr>
        <w:top w:val="none" w:sz="0" w:space="0" w:color="auto"/>
        <w:left w:val="none" w:sz="0" w:space="0" w:color="auto"/>
        <w:bottom w:val="none" w:sz="0" w:space="0" w:color="auto"/>
        <w:right w:val="none" w:sz="0" w:space="0" w:color="auto"/>
      </w:divBdr>
    </w:div>
    <w:div w:id="1320504720">
      <w:bodyDiv w:val="1"/>
      <w:marLeft w:val="0"/>
      <w:marRight w:val="0"/>
      <w:marTop w:val="0"/>
      <w:marBottom w:val="0"/>
      <w:divBdr>
        <w:top w:val="none" w:sz="0" w:space="0" w:color="auto"/>
        <w:left w:val="none" w:sz="0" w:space="0" w:color="auto"/>
        <w:bottom w:val="none" w:sz="0" w:space="0" w:color="auto"/>
        <w:right w:val="none" w:sz="0" w:space="0" w:color="auto"/>
      </w:divBdr>
    </w:div>
    <w:div w:id="1343706387">
      <w:bodyDiv w:val="1"/>
      <w:marLeft w:val="0"/>
      <w:marRight w:val="0"/>
      <w:marTop w:val="0"/>
      <w:marBottom w:val="0"/>
      <w:divBdr>
        <w:top w:val="none" w:sz="0" w:space="0" w:color="auto"/>
        <w:left w:val="none" w:sz="0" w:space="0" w:color="auto"/>
        <w:bottom w:val="none" w:sz="0" w:space="0" w:color="auto"/>
        <w:right w:val="none" w:sz="0" w:space="0" w:color="auto"/>
      </w:divBdr>
    </w:div>
    <w:div w:id="1344745113">
      <w:bodyDiv w:val="1"/>
      <w:marLeft w:val="0"/>
      <w:marRight w:val="0"/>
      <w:marTop w:val="0"/>
      <w:marBottom w:val="0"/>
      <w:divBdr>
        <w:top w:val="none" w:sz="0" w:space="0" w:color="auto"/>
        <w:left w:val="none" w:sz="0" w:space="0" w:color="auto"/>
        <w:bottom w:val="none" w:sz="0" w:space="0" w:color="auto"/>
        <w:right w:val="none" w:sz="0" w:space="0" w:color="auto"/>
      </w:divBdr>
    </w:div>
    <w:div w:id="1347245505">
      <w:bodyDiv w:val="1"/>
      <w:marLeft w:val="0"/>
      <w:marRight w:val="0"/>
      <w:marTop w:val="0"/>
      <w:marBottom w:val="0"/>
      <w:divBdr>
        <w:top w:val="none" w:sz="0" w:space="0" w:color="auto"/>
        <w:left w:val="none" w:sz="0" w:space="0" w:color="auto"/>
        <w:bottom w:val="none" w:sz="0" w:space="0" w:color="auto"/>
        <w:right w:val="none" w:sz="0" w:space="0" w:color="auto"/>
      </w:divBdr>
    </w:div>
    <w:div w:id="1350988023">
      <w:bodyDiv w:val="1"/>
      <w:marLeft w:val="0"/>
      <w:marRight w:val="0"/>
      <w:marTop w:val="0"/>
      <w:marBottom w:val="0"/>
      <w:divBdr>
        <w:top w:val="none" w:sz="0" w:space="0" w:color="auto"/>
        <w:left w:val="none" w:sz="0" w:space="0" w:color="auto"/>
        <w:bottom w:val="none" w:sz="0" w:space="0" w:color="auto"/>
        <w:right w:val="none" w:sz="0" w:space="0" w:color="auto"/>
      </w:divBdr>
    </w:div>
    <w:div w:id="1391033297">
      <w:bodyDiv w:val="1"/>
      <w:marLeft w:val="0"/>
      <w:marRight w:val="0"/>
      <w:marTop w:val="0"/>
      <w:marBottom w:val="0"/>
      <w:divBdr>
        <w:top w:val="none" w:sz="0" w:space="0" w:color="auto"/>
        <w:left w:val="none" w:sz="0" w:space="0" w:color="auto"/>
        <w:bottom w:val="none" w:sz="0" w:space="0" w:color="auto"/>
        <w:right w:val="none" w:sz="0" w:space="0" w:color="auto"/>
      </w:divBdr>
      <w:divsChild>
        <w:div w:id="1302231751">
          <w:marLeft w:val="0"/>
          <w:marRight w:val="0"/>
          <w:marTop w:val="0"/>
          <w:marBottom w:val="0"/>
          <w:divBdr>
            <w:top w:val="none" w:sz="0" w:space="0" w:color="auto"/>
            <w:left w:val="none" w:sz="0" w:space="0" w:color="auto"/>
            <w:bottom w:val="none" w:sz="0" w:space="0" w:color="auto"/>
            <w:right w:val="none" w:sz="0" w:space="0" w:color="auto"/>
          </w:divBdr>
          <w:divsChild>
            <w:div w:id="1910311305">
              <w:marLeft w:val="0"/>
              <w:marRight w:val="0"/>
              <w:marTop w:val="0"/>
              <w:marBottom w:val="0"/>
              <w:divBdr>
                <w:top w:val="none" w:sz="0" w:space="0" w:color="auto"/>
                <w:left w:val="none" w:sz="0" w:space="0" w:color="auto"/>
                <w:bottom w:val="none" w:sz="0" w:space="0" w:color="auto"/>
                <w:right w:val="none" w:sz="0" w:space="0" w:color="auto"/>
              </w:divBdr>
              <w:divsChild>
                <w:div w:id="245462431">
                  <w:marLeft w:val="0"/>
                  <w:marRight w:val="0"/>
                  <w:marTop w:val="0"/>
                  <w:marBottom w:val="0"/>
                  <w:divBdr>
                    <w:top w:val="none" w:sz="0" w:space="0" w:color="auto"/>
                    <w:left w:val="none" w:sz="0" w:space="0" w:color="auto"/>
                    <w:bottom w:val="none" w:sz="0" w:space="0" w:color="auto"/>
                    <w:right w:val="none" w:sz="0" w:space="0" w:color="auto"/>
                  </w:divBdr>
                  <w:divsChild>
                    <w:div w:id="1029255869">
                      <w:marLeft w:val="0"/>
                      <w:marRight w:val="0"/>
                      <w:marTop w:val="0"/>
                      <w:marBottom w:val="0"/>
                      <w:divBdr>
                        <w:top w:val="none" w:sz="0" w:space="0" w:color="auto"/>
                        <w:left w:val="none" w:sz="0" w:space="0" w:color="auto"/>
                        <w:bottom w:val="none" w:sz="0" w:space="0" w:color="auto"/>
                        <w:right w:val="none" w:sz="0" w:space="0" w:color="auto"/>
                      </w:divBdr>
                      <w:divsChild>
                        <w:div w:id="613244225">
                          <w:marLeft w:val="0"/>
                          <w:marRight w:val="0"/>
                          <w:marTop w:val="0"/>
                          <w:marBottom w:val="0"/>
                          <w:divBdr>
                            <w:top w:val="none" w:sz="0" w:space="0" w:color="auto"/>
                            <w:left w:val="none" w:sz="0" w:space="0" w:color="auto"/>
                            <w:bottom w:val="none" w:sz="0" w:space="0" w:color="auto"/>
                            <w:right w:val="none" w:sz="0" w:space="0" w:color="auto"/>
                          </w:divBdr>
                          <w:divsChild>
                            <w:div w:id="582883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6247560">
      <w:bodyDiv w:val="1"/>
      <w:marLeft w:val="0"/>
      <w:marRight w:val="0"/>
      <w:marTop w:val="0"/>
      <w:marBottom w:val="0"/>
      <w:divBdr>
        <w:top w:val="none" w:sz="0" w:space="0" w:color="auto"/>
        <w:left w:val="none" w:sz="0" w:space="0" w:color="auto"/>
        <w:bottom w:val="none" w:sz="0" w:space="0" w:color="auto"/>
        <w:right w:val="none" w:sz="0" w:space="0" w:color="auto"/>
      </w:divBdr>
    </w:div>
    <w:div w:id="1442721041">
      <w:bodyDiv w:val="1"/>
      <w:marLeft w:val="0"/>
      <w:marRight w:val="0"/>
      <w:marTop w:val="0"/>
      <w:marBottom w:val="0"/>
      <w:divBdr>
        <w:top w:val="none" w:sz="0" w:space="0" w:color="auto"/>
        <w:left w:val="none" w:sz="0" w:space="0" w:color="auto"/>
        <w:bottom w:val="none" w:sz="0" w:space="0" w:color="auto"/>
        <w:right w:val="none" w:sz="0" w:space="0" w:color="auto"/>
      </w:divBdr>
    </w:div>
    <w:div w:id="1448115632">
      <w:bodyDiv w:val="1"/>
      <w:marLeft w:val="0"/>
      <w:marRight w:val="0"/>
      <w:marTop w:val="0"/>
      <w:marBottom w:val="0"/>
      <w:divBdr>
        <w:top w:val="none" w:sz="0" w:space="0" w:color="auto"/>
        <w:left w:val="none" w:sz="0" w:space="0" w:color="auto"/>
        <w:bottom w:val="none" w:sz="0" w:space="0" w:color="auto"/>
        <w:right w:val="none" w:sz="0" w:space="0" w:color="auto"/>
      </w:divBdr>
    </w:div>
    <w:div w:id="1484617503">
      <w:bodyDiv w:val="1"/>
      <w:marLeft w:val="0"/>
      <w:marRight w:val="0"/>
      <w:marTop w:val="0"/>
      <w:marBottom w:val="0"/>
      <w:divBdr>
        <w:top w:val="none" w:sz="0" w:space="0" w:color="auto"/>
        <w:left w:val="none" w:sz="0" w:space="0" w:color="auto"/>
        <w:bottom w:val="none" w:sz="0" w:space="0" w:color="auto"/>
        <w:right w:val="none" w:sz="0" w:space="0" w:color="auto"/>
      </w:divBdr>
    </w:div>
    <w:div w:id="1498619727">
      <w:bodyDiv w:val="1"/>
      <w:marLeft w:val="0"/>
      <w:marRight w:val="0"/>
      <w:marTop w:val="0"/>
      <w:marBottom w:val="0"/>
      <w:divBdr>
        <w:top w:val="none" w:sz="0" w:space="0" w:color="auto"/>
        <w:left w:val="none" w:sz="0" w:space="0" w:color="auto"/>
        <w:bottom w:val="none" w:sz="0" w:space="0" w:color="auto"/>
        <w:right w:val="none" w:sz="0" w:space="0" w:color="auto"/>
      </w:divBdr>
      <w:divsChild>
        <w:div w:id="797839195">
          <w:marLeft w:val="0"/>
          <w:marRight w:val="0"/>
          <w:marTop w:val="0"/>
          <w:marBottom w:val="160"/>
          <w:divBdr>
            <w:top w:val="none" w:sz="0" w:space="0" w:color="auto"/>
            <w:left w:val="none" w:sz="0" w:space="0" w:color="auto"/>
            <w:bottom w:val="none" w:sz="0" w:space="0" w:color="auto"/>
            <w:right w:val="none" w:sz="0" w:space="0" w:color="auto"/>
          </w:divBdr>
        </w:div>
        <w:div w:id="560681091">
          <w:marLeft w:val="0"/>
          <w:marRight w:val="0"/>
          <w:marTop w:val="0"/>
          <w:marBottom w:val="160"/>
          <w:divBdr>
            <w:top w:val="none" w:sz="0" w:space="0" w:color="auto"/>
            <w:left w:val="none" w:sz="0" w:space="0" w:color="auto"/>
            <w:bottom w:val="none" w:sz="0" w:space="0" w:color="auto"/>
            <w:right w:val="none" w:sz="0" w:space="0" w:color="auto"/>
          </w:divBdr>
        </w:div>
        <w:div w:id="1153833297">
          <w:marLeft w:val="0"/>
          <w:marRight w:val="0"/>
          <w:marTop w:val="0"/>
          <w:marBottom w:val="160"/>
          <w:divBdr>
            <w:top w:val="none" w:sz="0" w:space="0" w:color="auto"/>
            <w:left w:val="none" w:sz="0" w:space="0" w:color="auto"/>
            <w:bottom w:val="none" w:sz="0" w:space="0" w:color="auto"/>
            <w:right w:val="none" w:sz="0" w:space="0" w:color="auto"/>
          </w:divBdr>
        </w:div>
      </w:divsChild>
    </w:div>
    <w:div w:id="1503475624">
      <w:bodyDiv w:val="1"/>
      <w:marLeft w:val="0"/>
      <w:marRight w:val="0"/>
      <w:marTop w:val="0"/>
      <w:marBottom w:val="0"/>
      <w:divBdr>
        <w:top w:val="none" w:sz="0" w:space="0" w:color="auto"/>
        <w:left w:val="none" w:sz="0" w:space="0" w:color="auto"/>
        <w:bottom w:val="none" w:sz="0" w:space="0" w:color="auto"/>
        <w:right w:val="none" w:sz="0" w:space="0" w:color="auto"/>
      </w:divBdr>
    </w:div>
    <w:div w:id="1505320125">
      <w:bodyDiv w:val="1"/>
      <w:marLeft w:val="0"/>
      <w:marRight w:val="0"/>
      <w:marTop w:val="0"/>
      <w:marBottom w:val="0"/>
      <w:divBdr>
        <w:top w:val="none" w:sz="0" w:space="0" w:color="auto"/>
        <w:left w:val="none" w:sz="0" w:space="0" w:color="auto"/>
        <w:bottom w:val="none" w:sz="0" w:space="0" w:color="auto"/>
        <w:right w:val="none" w:sz="0" w:space="0" w:color="auto"/>
      </w:divBdr>
    </w:div>
    <w:div w:id="1541283808">
      <w:bodyDiv w:val="1"/>
      <w:marLeft w:val="0"/>
      <w:marRight w:val="0"/>
      <w:marTop w:val="0"/>
      <w:marBottom w:val="0"/>
      <w:divBdr>
        <w:top w:val="none" w:sz="0" w:space="0" w:color="auto"/>
        <w:left w:val="none" w:sz="0" w:space="0" w:color="auto"/>
        <w:bottom w:val="none" w:sz="0" w:space="0" w:color="auto"/>
        <w:right w:val="none" w:sz="0" w:space="0" w:color="auto"/>
      </w:divBdr>
    </w:div>
    <w:div w:id="1562521597">
      <w:bodyDiv w:val="1"/>
      <w:marLeft w:val="0"/>
      <w:marRight w:val="0"/>
      <w:marTop w:val="0"/>
      <w:marBottom w:val="0"/>
      <w:divBdr>
        <w:top w:val="none" w:sz="0" w:space="0" w:color="auto"/>
        <w:left w:val="none" w:sz="0" w:space="0" w:color="auto"/>
        <w:bottom w:val="none" w:sz="0" w:space="0" w:color="auto"/>
        <w:right w:val="none" w:sz="0" w:space="0" w:color="auto"/>
      </w:divBdr>
    </w:div>
    <w:div w:id="1568610026">
      <w:bodyDiv w:val="1"/>
      <w:marLeft w:val="0"/>
      <w:marRight w:val="0"/>
      <w:marTop w:val="0"/>
      <w:marBottom w:val="0"/>
      <w:divBdr>
        <w:top w:val="none" w:sz="0" w:space="0" w:color="auto"/>
        <w:left w:val="none" w:sz="0" w:space="0" w:color="auto"/>
        <w:bottom w:val="none" w:sz="0" w:space="0" w:color="auto"/>
        <w:right w:val="none" w:sz="0" w:space="0" w:color="auto"/>
      </w:divBdr>
    </w:div>
    <w:div w:id="1569070866">
      <w:bodyDiv w:val="1"/>
      <w:marLeft w:val="0"/>
      <w:marRight w:val="0"/>
      <w:marTop w:val="0"/>
      <w:marBottom w:val="0"/>
      <w:divBdr>
        <w:top w:val="none" w:sz="0" w:space="0" w:color="auto"/>
        <w:left w:val="none" w:sz="0" w:space="0" w:color="auto"/>
        <w:bottom w:val="none" w:sz="0" w:space="0" w:color="auto"/>
        <w:right w:val="none" w:sz="0" w:space="0" w:color="auto"/>
      </w:divBdr>
    </w:div>
    <w:div w:id="1606376211">
      <w:bodyDiv w:val="1"/>
      <w:marLeft w:val="0"/>
      <w:marRight w:val="0"/>
      <w:marTop w:val="0"/>
      <w:marBottom w:val="0"/>
      <w:divBdr>
        <w:top w:val="none" w:sz="0" w:space="0" w:color="auto"/>
        <w:left w:val="none" w:sz="0" w:space="0" w:color="auto"/>
        <w:bottom w:val="none" w:sz="0" w:space="0" w:color="auto"/>
        <w:right w:val="none" w:sz="0" w:space="0" w:color="auto"/>
      </w:divBdr>
      <w:divsChild>
        <w:div w:id="729840230">
          <w:marLeft w:val="0"/>
          <w:marRight w:val="0"/>
          <w:marTop w:val="0"/>
          <w:marBottom w:val="160"/>
          <w:divBdr>
            <w:top w:val="none" w:sz="0" w:space="0" w:color="auto"/>
            <w:left w:val="none" w:sz="0" w:space="0" w:color="auto"/>
            <w:bottom w:val="none" w:sz="0" w:space="0" w:color="auto"/>
            <w:right w:val="none" w:sz="0" w:space="0" w:color="auto"/>
          </w:divBdr>
        </w:div>
        <w:div w:id="1459761652">
          <w:marLeft w:val="0"/>
          <w:marRight w:val="0"/>
          <w:marTop w:val="0"/>
          <w:marBottom w:val="160"/>
          <w:divBdr>
            <w:top w:val="none" w:sz="0" w:space="0" w:color="auto"/>
            <w:left w:val="none" w:sz="0" w:space="0" w:color="auto"/>
            <w:bottom w:val="none" w:sz="0" w:space="0" w:color="auto"/>
            <w:right w:val="none" w:sz="0" w:space="0" w:color="auto"/>
          </w:divBdr>
        </w:div>
        <w:div w:id="2021463511">
          <w:marLeft w:val="0"/>
          <w:marRight w:val="0"/>
          <w:marTop w:val="0"/>
          <w:marBottom w:val="160"/>
          <w:divBdr>
            <w:top w:val="none" w:sz="0" w:space="0" w:color="auto"/>
            <w:left w:val="none" w:sz="0" w:space="0" w:color="auto"/>
            <w:bottom w:val="none" w:sz="0" w:space="0" w:color="auto"/>
            <w:right w:val="none" w:sz="0" w:space="0" w:color="auto"/>
          </w:divBdr>
        </w:div>
      </w:divsChild>
    </w:div>
    <w:div w:id="1607687474">
      <w:bodyDiv w:val="1"/>
      <w:marLeft w:val="0"/>
      <w:marRight w:val="0"/>
      <w:marTop w:val="0"/>
      <w:marBottom w:val="0"/>
      <w:divBdr>
        <w:top w:val="none" w:sz="0" w:space="0" w:color="auto"/>
        <w:left w:val="none" w:sz="0" w:space="0" w:color="auto"/>
        <w:bottom w:val="none" w:sz="0" w:space="0" w:color="auto"/>
        <w:right w:val="none" w:sz="0" w:space="0" w:color="auto"/>
      </w:divBdr>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 w:id="1618826783">
      <w:bodyDiv w:val="1"/>
      <w:marLeft w:val="0"/>
      <w:marRight w:val="0"/>
      <w:marTop w:val="0"/>
      <w:marBottom w:val="0"/>
      <w:divBdr>
        <w:top w:val="none" w:sz="0" w:space="0" w:color="auto"/>
        <w:left w:val="none" w:sz="0" w:space="0" w:color="auto"/>
        <w:bottom w:val="none" w:sz="0" w:space="0" w:color="auto"/>
        <w:right w:val="none" w:sz="0" w:space="0" w:color="auto"/>
      </w:divBdr>
    </w:div>
    <w:div w:id="1626696393">
      <w:bodyDiv w:val="1"/>
      <w:marLeft w:val="0"/>
      <w:marRight w:val="0"/>
      <w:marTop w:val="0"/>
      <w:marBottom w:val="0"/>
      <w:divBdr>
        <w:top w:val="none" w:sz="0" w:space="0" w:color="auto"/>
        <w:left w:val="none" w:sz="0" w:space="0" w:color="auto"/>
        <w:bottom w:val="none" w:sz="0" w:space="0" w:color="auto"/>
        <w:right w:val="none" w:sz="0" w:space="0" w:color="auto"/>
      </w:divBdr>
    </w:div>
    <w:div w:id="1630818964">
      <w:bodyDiv w:val="1"/>
      <w:marLeft w:val="0"/>
      <w:marRight w:val="0"/>
      <w:marTop w:val="0"/>
      <w:marBottom w:val="0"/>
      <w:divBdr>
        <w:top w:val="none" w:sz="0" w:space="0" w:color="auto"/>
        <w:left w:val="none" w:sz="0" w:space="0" w:color="auto"/>
        <w:bottom w:val="none" w:sz="0" w:space="0" w:color="auto"/>
        <w:right w:val="none" w:sz="0" w:space="0" w:color="auto"/>
      </w:divBdr>
    </w:div>
    <w:div w:id="1641811474">
      <w:bodyDiv w:val="1"/>
      <w:marLeft w:val="0"/>
      <w:marRight w:val="0"/>
      <w:marTop w:val="0"/>
      <w:marBottom w:val="0"/>
      <w:divBdr>
        <w:top w:val="none" w:sz="0" w:space="0" w:color="auto"/>
        <w:left w:val="none" w:sz="0" w:space="0" w:color="auto"/>
        <w:bottom w:val="none" w:sz="0" w:space="0" w:color="auto"/>
        <w:right w:val="none" w:sz="0" w:space="0" w:color="auto"/>
      </w:divBdr>
    </w:div>
    <w:div w:id="1647588101">
      <w:bodyDiv w:val="1"/>
      <w:marLeft w:val="0"/>
      <w:marRight w:val="0"/>
      <w:marTop w:val="0"/>
      <w:marBottom w:val="0"/>
      <w:divBdr>
        <w:top w:val="none" w:sz="0" w:space="0" w:color="auto"/>
        <w:left w:val="none" w:sz="0" w:space="0" w:color="auto"/>
        <w:bottom w:val="none" w:sz="0" w:space="0" w:color="auto"/>
        <w:right w:val="none" w:sz="0" w:space="0" w:color="auto"/>
      </w:divBdr>
    </w:div>
    <w:div w:id="1659648322">
      <w:bodyDiv w:val="1"/>
      <w:marLeft w:val="0"/>
      <w:marRight w:val="0"/>
      <w:marTop w:val="0"/>
      <w:marBottom w:val="0"/>
      <w:divBdr>
        <w:top w:val="none" w:sz="0" w:space="0" w:color="auto"/>
        <w:left w:val="none" w:sz="0" w:space="0" w:color="auto"/>
        <w:bottom w:val="none" w:sz="0" w:space="0" w:color="auto"/>
        <w:right w:val="none" w:sz="0" w:space="0" w:color="auto"/>
      </w:divBdr>
    </w:div>
    <w:div w:id="1669096844">
      <w:bodyDiv w:val="1"/>
      <w:marLeft w:val="0"/>
      <w:marRight w:val="0"/>
      <w:marTop w:val="0"/>
      <w:marBottom w:val="0"/>
      <w:divBdr>
        <w:top w:val="none" w:sz="0" w:space="0" w:color="auto"/>
        <w:left w:val="none" w:sz="0" w:space="0" w:color="auto"/>
        <w:bottom w:val="none" w:sz="0" w:space="0" w:color="auto"/>
        <w:right w:val="none" w:sz="0" w:space="0" w:color="auto"/>
      </w:divBdr>
      <w:divsChild>
        <w:div w:id="518936356">
          <w:marLeft w:val="0"/>
          <w:marRight w:val="0"/>
          <w:marTop w:val="0"/>
          <w:marBottom w:val="160"/>
          <w:divBdr>
            <w:top w:val="none" w:sz="0" w:space="0" w:color="auto"/>
            <w:left w:val="none" w:sz="0" w:space="0" w:color="auto"/>
            <w:bottom w:val="none" w:sz="0" w:space="0" w:color="auto"/>
            <w:right w:val="none" w:sz="0" w:space="0" w:color="auto"/>
          </w:divBdr>
        </w:div>
        <w:div w:id="528104072">
          <w:marLeft w:val="0"/>
          <w:marRight w:val="0"/>
          <w:marTop w:val="0"/>
          <w:marBottom w:val="160"/>
          <w:divBdr>
            <w:top w:val="none" w:sz="0" w:space="0" w:color="auto"/>
            <w:left w:val="none" w:sz="0" w:space="0" w:color="auto"/>
            <w:bottom w:val="none" w:sz="0" w:space="0" w:color="auto"/>
            <w:right w:val="none" w:sz="0" w:space="0" w:color="auto"/>
          </w:divBdr>
        </w:div>
        <w:div w:id="273513336">
          <w:marLeft w:val="0"/>
          <w:marRight w:val="0"/>
          <w:marTop w:val="0"/>
          <w:marBottom w:val="160"/>
          <w:divBdr>
            <w:top w:val="none" w:sz="0" w:space="0" w:color="auto"/>
            <w:left w:val="none" w:sz="0" w:space="0" w:color="auto"/>
            <w:bottom w:val="none" w:sz="0" w:space="0" w:color="auto"/>
            <w:right w:val="none" w:sz="0" w:space="0" w:color="auto"/>
          </w:divBdr>
        </w:div>
      </w:divsChild>
    </w:div>
    <w:div w:id="1681544654">
      <w:bodyDiv w:val="1"/>
      <w:marLeft w:val="0"/>
      <w:marRight w:val="0"/>
      <w:marTop w:val="0"/>
      <w:marBottom w:val="0"/>
      <w:divBdr>
        <w:top w:val="none" w:sz="0" w:space="0" w:color="auto"/>
        <w:left w:val="none" w:sz="0" w:space="0" w:color="auto"/>
        <w:bottom w:val="none" w:sz="0" w:space="0" w:color="auto"/>
        <w:right w:val="none" w:sz="0" w:space="0" w:color="auto"/>
      </w:divBdr>
    </w:div>
    <w:div w:id="1695689083">
      <w:bodyDiv w:val="1"/>
      <w:marLeft w:val="0"/>
      <w:marRight w:val="0"/>
      <w:marTop w:val="0"/>
      <w:marBottom w:val="0"/>
      <w:divBdr>
        <w:top w:val="none" w:sz="0" w:space="0" w:color="auto"/>
        <w:left w:val="none" w:sz="0" w:space="0" w:color="auto"/>
        <w:bottom w:val="none" w:sz="0" w:space="0" w:color="auto"/>
        <w:right w:val="none" w:sz="0" w:space="0" w:color="auto"/>
      </w:divBdr>
    </w:div>
    <w:div w:id="1699356438">
      <w:bodyDiv w:val="1"/>
      <w:marLeft w:val="0"/>
      <w:marRight w:val="0"/>
      <w:marTop w:val="0"/>
      <w:marBottom w:val="0"/>
      <w:divBdr>
        <w:top w:val="none" w:sz="0" w:space="0" w:color="auto"/>
        <w:left w:val="none" w:sz="0" w:space="0" w:color="auto"/>
        <w:bottom w:val="none" w:sz="0" w:space="0" w:color="auto"/>
        <w:right w:val="none" w:sz="0" w:space="0" w:color="auto"/>
      </w:divBdr>
    </w:div>
    <w:div w:id="1761637096">
      <w:bodyDiv w:val="1"/>
      <w:marLeft w:val="0"/>
      <w:marRight w:val="0"/>
      <w:marTop w:val="0"/>
      <w:marBottom w:val="0"/>
      <w:divBdr>
        <w:top w:val="none" w:sz="0" w:space="0" w:color="auto"/>
        <w:left w:val="none" w:sz="0" w:space="0" w:color="auto"/>
        <w:bottom w:val="none" w:sz="0" w:space="0" w:color="auto"/>
        <w:right w:val="none" w:sz="0" w:space="0" w:color="auto"/>
      </w:divBdr>
      <w:divsChild>
        <w:div w:id="423385161">
          <w:marLeft w:val="0"/>
          <w:marRight w:val="0"/>
          <w:marTop w:val="0"/>
          <w:marBottom w:val="160"/>
          <w:divBdr>
            <w:top w:val="none" w:sz="0" w:space="0" w:color="auto"/>
            <w:left w:val="none" w:sz="0" w:space="0" w:color="auto"/>
            <w:bottom w:val="none" w:sz="0" w:space="0" w:color="auto"/>
            <w:right w:val="none" w:sz="0" w:space="0" w:color="auto"/>
          </w:divBdr>
        </w:div>
        <w:div w:id="2126801678">
          <w:marLeft w:val="0"/>
          <w:marRight w:val="0"/>
          <w:marTop w:val="0"/>
          <w:marBottom w:val="160"/>
          <w:divBdr>
            <w:top w:val="none" w:sz="0" w:space="0" w:color="auto"/>
            <w:left w:val="none" w:sz="0" w:space="0" w:color="auto"/>
            <w:bottom w:val="none" w:sz="0" w:space="0" w:color="auto"/>
            <w:right w:val="none" w:sz="0" w:space="0" w:color="auto"/>
          </w:divBdr>
        </w:div>
        <w:div w:id="827133892">
          <w:marLeft w:val="0"/>
          <w:marRight w:val="0"/>
          <w:marTop w:val="0"/>
          <w:marBottom w:val="160"/>
          <w:divBdr>
            <w:top w:val="none" w:sz="0" w:space="0" w:color="auto"/>
            <w:left w:val="none" w:sz="0" w:space="0" w:color="auto"/>
            <w:bottom w:val="none" w:sz="0" w:space="0" w:color="auto"/>
            <w:right w:val="none" w:sz="0" w:space="0" w:color="auto"/>
          </w:divBdr>
        </w:div>
      </w:divsChild>
    </w:div>
    <w:div w:id="1799494866">
      <w:bodyDiv w:val="1"/>
      <w:marLeft w:val="0"/>
      <w:marRight w:val="0"/>
      <w:marTop w:val="0"/>
      <w:marBottom w:val="0"/>
      <w:divBdr>
        <w:top w:val="none" w:sz="0" w:space="0" w:color="auto"/>
        <w:left w:val="none" w:sz="0" w:space="0" w:color="auto"/>
        <w:bottom w:val="none" w:sz="0" w:space="0" w:color="auto"/>
        <w:right w:val="none" w:sz="0" w:space="0" w:color="auto"/>
      </w:divBdr>
    </w:div>
    <w:div w:id="1806653743">
      <w:bodyDiv w:val="1"/>
      <w:marLeft w:val="0"/>
      <w:marRight w:val="0"/>
      <w:marTop w:val="0"/>
      <w:marBottom w:val="0"/>
      <w:divBdr>
        <w:top w:val="none" w:sz="0" w:space="0" w:color="auto"/>
        <w:left w:val="none" w:sz="0" w:space="0" w:color="auto"/>
        <w:bottom w:val="none" w:sz="0" w:space="0" w:color="auto"/>
        <w:right w:val="none" w:sz="0" w:space="0" w:color="auto"/>
      </w:divBdr>
    </w:div>
    <w:div w:id="1831869620">
      <w:bodyDiv w:val="1"/>
      <w:marLeft w:val="0"/>
      <w:marRight w:val="0"/>
      <w:marTop w:val="0"/>
      <w:marBottom w:val="0"/>
      <w:divBdr>
        <w:top w:val="none" w:sz="0" w:space="0" w:color="auto"/>
        <w:left w:val="none" w:sz="0" w:space="0" w:color="auto"/>
        <w:bottom w:val="none" w:sz="0" w:space="0" w:color="auto"/>
        <w:right w:val="none" w:sz="0" w:space="0" w:color="auto"/>
      </w:divBdr>
    </w:div>
    <w:div w:id="1838374371">
      <w:bodyDiv w:val="1"/>
      <w:marLeft w:val="0"/>
      <w:marRight w:val="0"/>
      <w:marTop w:val="0"/>
      <w:marBottom w:val="0"/>
      <w:divBdr>
        <w:top w:val="none" w:sz="0" w:space="0" w:color="auto"/>
        <w:left w:val="none" w:sz="0" w:space="0" w:color="auto"/>
        <w:bottom w:val="none" w:sz="0" w:space="0" w:color="auto"/>
        <w:right w:val="none" w:sz="0" w:space="0" w:color="auto"/>
      </w:divBdr>
    </w:div>
    <w:div w:id="1843085015">
      <w:bodyDiv w:val="1"/>
      <w:marLeft w:val="0"/>
      <w:marRight w:val="0"/>
      <w:marTop w:val="0"/>
      <w:marBottom w:val="0"/>
      <w:divBdr>
        <w:top w:val="none" w:sz="0" w:space="0" w:color="auto"/>
        <w:left w:val="none" w:sz="0" w:space="0" w:color="auto"/>
        <w:bottom w:val="none" w:sz="0" w:space="0" w:color="auto"/>
        <w:right w:val="none" w:sz="0" w:space="0" w:color="auto"/>
      </w:divBdr>
    </w:div>
    <w:div w:id="1951625272">
      <w:bodyDiv w:val="1"/>
      <w:marLeft w:val="0"/>
      <w:marRight w:val="0"/>
      <w:marTop w:val="0"/>
      <w:marBottom w:val="0"/>
      <w:divBdr>
        <w:top w:val="none" w:sz="0" w:space="0" w:color="auto"/>
        <w:left w:val="none" w:sz="0" w:space="0" w:color="auto"/>
        <w:bottom w:val="none" w:sz="0" w:space="0" w:color="auto"/>
        <w:right w:val="none" w:sz="0" w:space="0" w:color="auto"/>
      </w:divBdr>
    </w:div>
    <w:div w:id="1958440709">
      <w:bodyDiv w:val="1"/>
      <w:marLeft w:val="0"/>
      <w:marRight w:val="0"/>
      <w:marTop w:val="0"/>
      <w:marBottom w:val="0"/>
      <w:divBdr>
        <w:top w:val="none" w:sz="0" w:space="0" w:color="auto"/>
        <w:left w:val="none" w:sz="0" w:space="0" w:color="auto"/>
        <w:bottom w:val="none" w:sz="0" w:space="0" w:color="auto"/>
        <w:right w:val="none" w:sz="0" w:space="0" w:color="auto"/>
      </w:divBdr>
    </w:div>
    <w:div w:id="2002654589">
      <w:bodyDiv w:val="1"/>
      <w:marLeft w:val="0"/>
      <w:marRight w:val="0"/>
      <w:marTop w:val="0"/>
      <w:marBottom w:val="0"/>
      <w:divBdr>
        <w:top w:val="none" w:sz="0" w:space="0" w:color="auto"/>
        <w:left w:val="none" w:sz="0" w:space="0" w:color="auto"/>
        <w:bottom w:val="none" w:sz="0" w:space="0" w:color="auto"/>
        <w:right w:val="none" w:sz="0" w:space="0" w:color="auto"/>
      </w:divBdr>
    </w:div>
    <w:div w:id="2021278799">
      <w:bodyDiv w:val="1"/>
      <w:marLeft w:val="0"/>
      <w:marRight w:val="0"/>
      <w:marTop w:val="0"/>
      <w:marBottom w:val="0"/>
      <w:divBdr>
        <w:top w:val="none" w:sz="0" w:space="0" w:color="auto"/>
        <w:left w:val="none" w:sz="0" w:space="0" w:color="auto"/>
        <w:bottom w:val="none" w:sz="0" w:space="0" w:color="auto"/>
        <w:right w:val="none" w:sz="0" w:space="0" w:color="auto"/>
      </w:divBdr>
    </w:div>
    <w:div w:id="2067560641">
      <w:bodyDiv w:val="1"/>
      <w:marLeft w:val="0"/>
      <w:marRight w:val="0"/>
      <w:marTop w:val="0"/>
      <w:marBottom w:val="0"/>
      <w:divBdr>
        <w:top w:val="none" w:sz="0" w:space="0" w:color="auto"/>
        <w:left w:val="none" w:sz="0" w:space="0" w:color="auto"/>
        <w:bottom w:val="none" w:sz="0" w:space="0" w:color="auto"/>
        <w:right w:val="none" w:sz="0" w:space="0" w:color="auto"/>
      </w:divBdr>
    </w:div>
    <w:div w:id="2096515038">
      <w:bodyDiv w:val="1"/>
      <w:marLeft w:val="0"/>
      <w:marRight w:val="0"/>
      <w:marTop w:val="0"/>
      <w:marBottom w:val="0"/>
      <w:divBdr>
        <w:top w:val="none" w:sz="0" w:space="0" w:color="auto"/>
        <w:left w:val="none" w:sz="0" w:space="0" w:color="auto"/>
        <w:bottom w:val="none" w:sz="0" w:space="0" w:color="auto"/>
        <w:right w:val="none" w:sz="0" w:space="0" w:color="auto"/>
      </w:divBdr>
    </w:div>
    <w:div w:id="2110271813">
      <w:bodyDiv w:val="1"/>
      <w:marLeft w:val="0"/>
      <w:marRight w:val="0"/>
      <w:marTop w:val="0"/>
      <w:marBottom w:val="0"/>
      <w:divBdr>
        <w:top w:val="none" w:sz="0" w:space="0" w:color="auto"/>
        <w:left w:val="none" w:sz="0" w:space="0" w:color="auto"/>
        <w:bottom w:val="none" w:sz="0" w:space="0" w:color="auto"/>
        <w:right w:val="none" w:sz="0" w:space="0" w:color="auto"/>
      </w:divBdr>
    </w:div>
    <w:div w:id="2111583405">
      <w:bodyDiv w:val="1"/>
      <w:marLeft w:val="0"/>
      <w:marRight w:val="0"/>
      <w:marTop w:val="0"/>
      <w:marBottom w:val="0"/>
      <w:divBdr>
        <w:top w:val="none" w:sz="0" w:space="0" w:color="auto"/>
        <w:left w:val="none" w:sz="0" w:space="0" w:color="auto"/>
        <w:bottom w:val="none" w:sz="0" w:space="0" w:color="auto"/>
        <w:right w:val="none" w:sz="0" w:space="0" w:color="auto"/>
      </w:divBdr>
    </w:div>
    <w:div w:id="2115590451">
      <w:bodyDiv w:val="1"/>
      <w:marLeft w:val="0"/>
      <w:marRight w:val="0"/>
      <w:marTop w:val="0"/>
      <w:marBottom w:val="0"/>
      <w:divBdr>
        <w:top w:val="none" w:sz="0" w:space="0" w:color="auto"/>
        <w:left w:val="none" w:sz="0" w:space="0" w:color="auto"/>
        <w:bottom w:val="none" w:sz="0" w:space="0" w:color="auto"/>
        <w:right w:val="none" w:sz="0" w:space="0" w:color="auto"/>
      </w:divBdr>
      <w:divsChild>
        <w:div w:id="428045146">
          <w:marLeft w:val="0"/>
          <w:marRight w:val="0"/>
          <w:marTop w:val="0"/>
          <w:marBottom w:val="0"/>
          <w:divBdr>
            <w:top w:val="none" w:sz="0" w:space="0" w:color="auto"/>
            <w:left w:val="none" w:sz="0" w:space="0" w:color="auto"/>
            <w:bottom w:val="none" w:sz="0" w:space="0" w:color="auto"/>
            <w:right w:val="none" w:sz="0" w:space="0" w:color="auto"/>
          </w:divBdr>
          <w:divsChild>
            <w:div w:id="1917788406">
              <w:marLeft w:val="0"/>
              <w:marRight w:val="0"/>
              <w:marTop w:val="0"/>
              <w:marBottom w:val="0"/>
              <w:divBdr>
                <w:top w:val="none" w:sz="0" w:space="0" w:color="auto"/>
                <w:left w:val="none" w:sz="0" w:space="0" w:color="auto"/>
                <w:bottom w:val="none" w:sz="0" w:space="0" w:color="auto"/>
                <w:right w:val="none" w:sz="0" w:space="0" w:color="auto"/>
              </w:divBdr>
              <w:divsChild>
                <w:div w:id="109321855">
                  <w:marLeft w:val="0"/>
                  <w:marRight w:val="0"/>
                  <w:marTop w:val="0"/>
                  <w:marBottom w:val="0"/>
                  <w:divBdr>
                    <w:top w:val="none" w:sz="0" w:space="0" w:color="auto"/>
                    <w:left w:val="none" w:sz="0" w:space="0" w:color="auto"/>
                    <w:bottom w:val="none" w:sz="0" w:space="0" w:color="auto"/>
                    <w:right w:val="none" w:sz="0" w:space="0" w:color="auto"/>
                  </w:divBdr>
                  <w:divsChild>
                    <w:div w:id="824205549">
                      <w:marLeft w:val="0"/>
                      <w:marRight w:val="0"/>
                      <w:marTop w:val="0"/>
                      <w:marBottom w:val="0"/>
                      <w:divBdr>
                        <w:top w:val="none" w:sz="0" w:space="0" w:color="auto"/>
                        <w:left w:val="none" w:sz="0" w:space="0" w:color="auto"/>
                        <w:bottom w:val="none" w:sz="0" w:space="0" w:color="auto"/>
                        <w:right w:val="none" w:sz="0" w:space="0" w:color="auto"/>
                      </w:divBdr>
                      <w:divsChild>
                        <w:div w:id="1492217882">
                          <w:marLeft w:val="0"/>
                          <w:marRight w:val="0"/>
                          <w:marTop w:val="0"/>
                          <w:marBottom w:val="0"/>
                          <w:divBdr>
                            <w:top w:val="none" w:sz="0" w:space="0" w:color="auto"/>
                            <w:left w:val="none" w:sz="0" w:space="0" w:color="auto"/>
                            <w:bottom w:val="none" w:sz="0" w:space="0" w:color="auto"/>
                            <w:right w:val="none" w:sz="0" w:space="0" w:color="auto"/>
                          </w:divBdr>
                          <w:divsChild>
                            <w:div w:id="1675567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82362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npabas@gmail.co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image" Target="media/image2.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wp-content%2Fuploads%2F2025%2F05%2FGUIA-DE-LINEAMIENTOS-DE-TRANSPARENCIA-Y-SELECCION-OBJETIVA-1.0.pdf&amp;data=05%7C02%7Ctatiana.baquero%40colombiacompra.gov.co%7C7cfff6dece924643582c08dd97bfed90%7C7b09041e245149d08cb179d5e3d8c1be%7C0%7C0%7C638833572792347448%7CUnknown%7CTWFpbGZsb3d8eyJFbXB0eU1hcGkiOnRydWUsIlYiOiIwLjAuMDAwMCIsIlAiOiJXaW4zMiIsIkFOIjoiTWFpbCIsIldUIjoyfQ%3D%3D%7C0%7C%7C%7C&amp;sdata=K03nwa35iwf9ehvktYrXqXUKICQPG9uZh4Vu1Re28IU%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SharedWithUsers xmlns="a6cb9e4b-f1d1-4245-83ec-6cad768d538a">
      <UserInfo>
        <DisplayName>Alejandro Sarmiento</DisplayName>
        <AccountId>129</AccountId>
        <AccountType/>
      </UserInfo>
    </SharedWithUsers>
  </documentManagement>
</p:properties>
</file>

<file path=customXml/itemProps1.xml><?xml version="1.0" encoding="utf-8"?>
<ds:datastoreItem xmlns:ds="http://schemas.openxmlformats.org/officeDocument/2006/customXml" ds:itemID="{06F8AB61-4B8C-4292-AD00-5B9AA853CC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524EFD2-6506-4654-A0AC-DEF36450FF53}">
  <ds:schemaRefs>
    <ds:schemaRef ds:uri="http://schemas.microsoft.com/sharepoint/v3/contenttype/forms"/>
  </ds:schemaRefs>
</ds:datastoreItem>
</file>

<file path=customXml/itemProps3.xml><?xml version="1.0" encoding="utf-8"?>
<ds:datastoreItem xmlns:ds="http://schemas.openxmlformats.org/officeDocument/2006/customXml" ds:itemID="{206954CD-A18B-4BC8-BDFD-948A7B8E2372}">
  <ds:schemaRefs>
    <ds:schemaRef ds:uri="http://schemas.openxmlformats.org/officeDocument/2006/bibliography"/>
  </ds:schemaRefs>
</ds:datastoreItem>
</file>

<file path=customXml/itemProps4.xml><?xml version="1.0" encoding="utf-8"?>
<ds:datastoreItem xmlns:ds="http://schemas.openxmlformats.org/officeDocument/2006/customXml" ds:itemID="{B3B8AE37-E1F3-4B08-98E9-52F0B3FA79CF}">
  <ds:schemaRefs>
    <ds:schemaRef ds:uri="http://schemas.microsoft.com/office/2006/metadata/properties"/>
    <ds:schemaRef ds:uri="http://purl.org/dc/terms/"/>
    <ds:schemaRef ds:uri="http://www.w3.org/XML/1998/namespace"/>
    <ds:schemaRef ds:uri="http://schemas.microsoft.com/office/2006/documentManagement/types"/>
    <ds:schemaRef ds:uri="9d85dbaf-23eb-4e57-a637-93dcacc8b1a1"/>
    <ds:schemaRef ds:uri="http://schemas.openxmlformats.org/package/2006/metadata/core-properties"/>
    <ds:schemaRef ds:uri="http://purl.org/dc/elements/1.1/"/>
    <ds:schemaRef ds:uri="http://schemas.microsoft.com/office/infopath/2007/PartnerControls"/>
    <ds:schemaRef ds:uri="a6cb9e4b-f1d1-4245-83ec-6cad768d538a"/>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16</Pages>
  <Words>5043</Words>
  <Characters>27740</Characters>
  <Application>Microsoft Office Word</Application>
  <DocSecurity>0</DocSecurity>
  <Lines>231</Lines>
  <Paragraphs>65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32718</CharactersWithSpaces>
  <SharedDoc>false</SharedDoc>
  <HLinks>
    <vt:vector size="48" baseType="variant">
      <vt:variant>
        <vt:i4>5439494</vt:i4>
      </vt:variant>
      <vt:variant>
        <vt:i4>15</vt:i4>
      </vt:variant>
      <vt:variant>
        <vt:i4>0</vt:i4>
      </vt:variant>
      <vt:variant>
        <vt:i4>5</vt:i4>
      </vt:variant>
      <vt:variant>
        <vt:lpwstr>https://www.colombiacompra.gov.co/sala-de-prensa/boletin-digital</vt:lpwstr>
      </vt:variant>
      <vt:variant>
        <vt:lpwstr/>
      </vt:variant>
      <vt:variant>
        <vt:i4>7471218</vt:i4>
      </vt:variant>
      <vt:variant>
        <vt:i4>12</vt:i4>
      </vt:variant>
      <vt:variant>
        <vt:i4>0</vt:i4>
      </vt:variant>
      <vt:variant>
        <vt:i4>5</vt:i4>
      </vt:variant>
      <vt:variant>
        <vt:lpwstr>https://relatoria.colombiacompra.gov.co/busqueda/conceptos</vt:lpwstr>
      </vt:variant>
      <vt:variant>
        <vt:lpwstr/>
      </vt:variant>
      <vt:variant>
        <vt:i4>5111895</vt:i4>
      </vt:variant>
      <vt:variant>
        <vt:i4>9</vt:i4>
      </vt:variant>
      <vt:variant>
        <vt:i4>0</vt:i4>
      </vt:variant>
      <vt:variant>
        <vt:i4>5</vt:i4>
      </vt:variant>
      <vt:variant>
        <vt:lpwstr>https://www.colombiacompra.gov.co/manuales-guias-y-pliegos-tipo/manuales-y-guias</vt:lpwstr>
      </vt:variant>
      <vt:variant>
        <vt:lpwstr/>
      </vt:variant>
      <vt:variant>
        <vt:i4>3801145</vt:i4>
      </vt:variant>
      <vt:variant>
        <vt:i4>6</vt:i4>
      </vt:variant>
      <vt:variant>
        <vt:i4>0</vt:i4>
      </vt:variant>
      <vt:variant>
        <vt:i4>5</vt:i4>
      </vt:variant>
      <vt:variant>
        <vt:lpwstr>https://relatoria.colombiacompra.gov.co/providencias-consejo-de-estado/</vt:lpwstr>
      </vt:variant>
      <vt:variant>
        <vt:lpwstr/>
      </vt:variant>
      <vt:variant>
        <vt:i4>3145787</vt:i4>
      </vt:variant>
      <vt:variant>
        <vt:i4>3</vt:i4>
      </vt:variant>
      <vt:variant>
        <vt:i4>0</vt:i4>
      </vt:variant>
      <vt:variant>
        <vt:i4>5</vt:i4>
      </vt:variant>
      <vt:variant>
        <vt:lpwstr>https://www.colombiacompra.gov.co/content/04-documentos-tipo-de-licitacion-de-obra-publica-para-proyectos-de-infraestructura-social</vt:lpwstr>
      </vt:variant>
      <vt:variant>
        <vt:lpwstr/>
      </vt:variant>
      <vt:variant>
        <vt:i4>7208987</vt:i4>
      </vt:variant>
      <vt:variant>
        <vt:i4>0</vt:i4>
      </vt:variant>
      <vt:variant>
        <vt:i4>0</vt:i4>
      </vt:variant>
      <vt:variant>
        <vt:i4>5</vt:i4>
      </vt:variant>
      <vt:variant>
        <vt:lpwstr>https://www.colombiacompra.gov.co/sites/cce_public/files/cce_circulares/circular_externa_unica_version_3_vf49.pdf</vt:lpwstr>
      </vt:variant>
      <vt:variant>
        <vt:lpwstr/>
      </vt:variant>
      <vt:variant>
        <vt:i4>6619182</vt:i4>
      </vt:variant>
      <vt:variant>
        <vt:i4>3</vt:i4>
      </vt:variant>
      <vt:variant>
        <vt:i4>0</vt:i4>
      </vt:variant>
      <vt:variant>
        <vt:i4>5</vt:i4>
      </vt:variant>
      <vt:variant>
        <vt:lpwstr>https://www.culturarecreacionydeporte.gov.co/es/bogotanitos/bogodatos/las-plazas-de-mercado-de-bogota</vt:lpwstr>
      </vt:variant>
      <vt:variant>
        <vt:lpwstr>:~:text=Muchos%20tienen%20diferentes%20conceptos%20sobre,en%20un%20sitio%20abierto%20o</vt:lpwstr>
      </vt:variant>
      <vt:variant>
        <vt:i4>2883621</vt:i4>
      </vt:variant>
      <vt:variant>
        <vt:i4>0</vt:i4>
      </vt:variant>
      <vt:variant>
        <vt:i4>0</vt:i4>
      </vt:variant>
      <vt:variant>
        <vt:i4>5</vt:i4>
      </vt:variant>
      <vt:variant>
        <vt:lpwstr>https://www.colombiacompra.gov.co/content/03-documentos-tipo-transversales-de-licitacion-de-obra-publica-de-infraestructura-social-con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ANCP-SGC</dc:creator>
  <cp:keywords/>
  <dc:description/>
  <cp:lastModifiedBy>Sergio Andrés Rivera Cano</cp:lastModifiedBy>
  <cp:revision>2</cp:revision>
  <dcterms:created xsi:type="dcterms:W3CDTF">2025-08-25T18:15:00Z</dcterms:created>
  <dcterms:modified xsi:type="dcterms:W3CDTF">2025-08-25T18:15:00Z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