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E4F3D" w14:textId="77777777" w:rsidR="00E826D1" w:rsidRPr="00B53D4E" w:rsidRDefault="00E826D1" w:rsidP="00E826D1">
      <w:pPr>
        <w:spacing w:after="0" w:line="240" w:lineRule="auto"/>
        <w:jc w:val="both"/>
        <w:rPr>
          <w:rFonts w:ascii="Verdana" w:eastAsia="Calibri" w:hAnsi="Verdana" w:cs="Arial"/>
          <w:sz w:val="20"/>
          <w:szCs w:val="20"/>
        </w:rPr>
      </w:pPr>
    </w:p>
    <w:p w14:paraId="5E22D94F" w14:textId="77777777" w:rsidR="00E826D1" w:rsidRPr="00B53D4E" w:rsidRDefault="00E826D1" w:rsidP="00E826D1">
      <w:pPr>
        <w:spacing w:after="0" w:line="240" w:lineRule="auto"/>
        <w:jc w:val="both"/>
        <w:rPr>
          <w:rFonts w:ascii="Verdana" w:eastAsia="Calibri" w:hAnsi="Verdana" w:cs="Arial"/>
          <w:b/>
          <w:bCs/>
        </w:rPr>
      </w:pPr>
      <w:r>
        <w:rPr>
          <w:rFonts w:ascii="Verdana" w:eastAsia="Calibri" w:hAnsi="Verdana" w:cs="Arial"/>
          <w:b/>
          <w:bCs/>
        </w:rPr>
        <w:t>INFORMACIÓN CONTRACTUAL</w:t>
      </w:r>
      <w:r w:rsidRPr="00B53D4E">
        <w:rPr>
          <w:rFonts w:ascii="Verdana" w:eastAsia="Calibri" w:hAnsi="Verdana" w:cs="Arial"/>
          <w:b/>
          <w:bCs/>
        </w:rPr>
        <w:t xml:space="preserve"> – </w:t>
      </w:r>
      <w:r>
        <w:rPr>
          <w:rFonts w:ascii="Verdana" w:eastAsia="Calibri" w:hAnsi="Verdana" w:cs="Arial"/>
          <w:b/>
          <w:bCs/>
        </w:rPr>
        <w:t xml:space="preserve">Publicidad – Alcance </w:t>
      </w:r>
      <w:r w:rsidRPr="00B53D4E">
        <w:rPr>
          <w:rFonts w:ascii="Verdana" w:eastAsia="Calibri" w:hAnsi="Verdana" w:cs="Arial"/>
          <w:b/>
          <w:bCs/>
        </w:rPr>
        <w:t xml:space="preserve"> </w:t>
      </w:r>
    </w:p>
    <w:p w14:paraId="79F7992B" w14:textId="77777777" w:rsidR="00E826D1" w:rsidRPr="00B53D4E" w:rsidRDefault="00E826D1" w:rsidP="00E826D1">
      <w:pPr>
        <w:spacing w:after="0" w:line="240" w:lineRule="auto"/>
        <w:jc w:val="both"/>
        <w:rPr>
          <w:rFonts w:ascii="Verdana" w:eastAsia="Calibri" w:hAnsi="Verdana" w:cs="Arial"/>
          <w:sz w:val="20"/>
          <w:szCs w:val="20"/>
        </w:rPr>
      </w:pPr>
    </w:p>
    <w:p w14:paraId="2ABBEEEC" w14:textId="77777777" w:rsidR="00E826D1" w:rsidRDefault="00E826D1" w:rsidP="00E826D1">
      <w:pPr>
        <w:spacing w:after="0" w:line="240" w:lineRule="auto"/>
        <w:jc w:val="both"/>
        <w:rPr>
          <w:rFonts w:ascii="Verdana" w:eastAsia="Calibri" w:hAnsi="Verdana" w:cs="Arial"/>
          <w:sz w:val="20"/>
          <w:szCs w:val="20"/>
        </w:rPr>
      </w:pPr>
      <w:r>
        <w:rPr>
          <w:rFonts w:ascii="Verdana" w:eastAsia="Calibri" w:hAnsi="Verdana" w:cs="Arial"/>
          <w:sz w:val="20"/>
          <w:szCs w:val="20"/>
        </w:rPr>
        <w:t xml:space="preserve">[…] </w:t>
      </w:r>
      <w:r w:rsidRPr="00FA226F">
        <w:rPr>
          <w:rFonts w:ascii="Verdana" w:eastAsia="Calibri" w:hAnsi="Verdana" w:cs="Arial"/>
          <w:sz w:val="20"/>
          <w:szCs w:val="20"/>
        </w:rPr>
        <w:t>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06C9A795" w14:textId="77777777" w:rsidR="00E826D1" w:rsidRDefault="00E826D1" w:rsidP="00E826D1">
      <w:pPr>
        <w:spacing w:after="0" w:line="240" w:lineRule="auto"/>
        <w:jc w:val="both"/>
        <w:rPr>
          <w:rFonts w:ascii="Verdana" w:eastAsia="Calibri" w:hAnsi="Verdana" w:cs="Arial"/>
          <w:sz w:val="20"/>
          <w:szCs w:val="20"/>
        </w:rPr>
      </w:pPr>
    </w:p>
    <w:p w14:paraId="012EBC6D" w14:textId="77777777" w:rsidR="00E826D1" w:rsidRDefault="00E826D1" w:rsidP="00E826D1">
      <w:pPr>
        <w:spacing w:after="0" w:line="240" w:lineRule="auto"/>
        <w:jc w:val="both"/>
        <w:rPr>
          <w:rFonts w:ascii="Verdana" w:eastAsia="Calibri" w:hAnsi="Verdana" w:cs="Arial"/>
          <w:sz w:val="20"/>
          <w:szCs w:val="20"/>
        </w:rPr>
      </w:pPr>
      <w:r>
        <w:rPr>
          <w:rFonts w:ascii="Verdana" w:eastAsia="Calibri" w:hAnsi="Verdana" w:cs="Arial"/>
          <w:sz w:val="20"/>
          <w:szCs w:val="20"/>
        </w:rPr>
        <w:t xml:space="preserve">[…] </w:t>
      </w:r>
    </w:p>
    <w:p w14:paraId="78FF4509" w14:textId="77777777" w:rsidR="00E826D1" w:rsidRPr="00FA226F" w:rsidRDefault="00E826D1" w:rsidP="00E826D1">
      <w:pPr>
        <w:spacing w:after="0" w:line="240" w:lineRule="auto"/>
        <w:jc w:val="both"/>
        <w:rPr>
          <w:rFonts w:ascii="Verdana" w:eastAsia="Calibri" w:hAnsi="Verdana" w:cs="Arial"/>
          <w:sz w:val="20"/>
          <w:szCs w:val="20"/>
        </w:rPr>
      </w:pPr>
    </w:p>
    <w:p w14:paraId="74086740" w14:textId="77777777" w:rsidR="00E826D1" w:rsidRDefault="00E826D1" w:rsidP="00E826D1">
      <w:pPr>
        <w:spacing w:after="0" w:line="240" w:lineRule="auto"/>
        <w:jc w:val="both"/>
        <w:rPr>
          <w:rFonts w:ascii="Verdana" w:eastAsia="Calibri" w:hAnsi="Verdana" w:cs="Arial"/>
          <w:sz w:val="20"/>
          <w:szCs w:val="20"/>
        </w:rPr>
      </w:pPr>
      <w:r w:rsidRPr="00FA226F">
        <w:rPr>
          <w:rFonts w:ascii="Verdana" w:eastAsia="Calibri" w:hAnsi="Verdana" w:cs="Arial"/>
          <w:sz w:val="20"/>
          <w:szCs w:val="20"/>
        </w:rPr>
        <w:t>Adicionalmente, el deber de publicar la actividad contractual de las entidades estatales no solo está regulado en el artículo 3 de la Ley 1150 de 2007 y en el 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Documentos del Proceso expedidos por la “entidad estatal”</w:t>
      </w:r>
      <w:r w:rsidRPr="00B53D4E">
        <w:rPr>
          <w:rFonts w:ascii="Verdana" w:eastAsia="Calibri" w:hAnsi="Verdana" w:cs="Arial"/>
          <w:sz w:val="20"/>
          <w:szCs w:val="20"/>
        </w:rPr>
        <w:t>.</w:t>
      </w:r>
    </w:p>
    <w:p w14:paraId="016DE6BC" w14:textId="77777777" w:rsidR="00E826D1" w:rsidRPr="00B53D4E" w:rsidRDefault="00E826D1" w:rsidP="00E826D1">
      <w:pPr>
        <w:spacing w:after="0" w:line="240" w:lineRule="auto"/>
        <w:jc w:val="both"/>
        <w:rPr>
          <w:rFonts w:ascii="Verdana" w:eastAsia="Calibri" w:hAnsi="Verdana" w:cs="Arial"/>
          <w:sz w:val="20"/>
          <w:szCs w:val="20"/>
        </w:rPr>
      </w:pPr>
    </w:p>
    <w:p w14:paraId="70395DBC" w14:textId="77777777" w:rsidR="00E826D1" w:rsidRPr="00B53D4E" w:rsidRDefault="00E826D1" w:rsidP="00E826D1">
      <w:pPr>
        <w:pStyle w:val="s16"/>
        <w:spacing w:before="0" w:beforeAutospacing="0" w:after="0" w:afterAutospacing="0"/>
        <w:jc w:val="both"/>
        <w:rPr>
          <w:rFonts w:ascii="Verdana" w:hAnsi="Verdana" w:cs="Arial"/>
          <w:b/>
          <w:bCs/>
          <w:color w:val="000000"/>
          <w:sz w:val="22"/>
          <w:szCs w:val="22"/>
        </w:rPr>
      </w:pPr>
      <w:r w:rsidRPr="00134C8E">
        <w:rPr>
          <w:rStyle w:val="s15"/>
          <w:rFonts w:ascii="Verdana" w:hAnsi="Verdana" w:cs="Arial"/>
          <w:b/>
          <w:bCs/>
          <w:color w:val="000000"/>
          <w:sz w:val="22"/>
          <w:szCs w:val="22"/>
        </w:rPr>
        <w:t>SISTEMA ELECTRÓNICO PARA LA CONTRATACIÓN PÚBLICA</w:t>
      </w:r>
      <w:r>
        <w:rPr>
          <w:rStyle w:val="s15"/>
          <w:rFonts w:ascii="Verdana" w:hAnsi="Verdana" w:cs="Arial"/>
          <w:b/>
          <w:bCs/>
          <w:color w:val="000000"/>
          <w:sz w:val="22"/>
          <w:szCs w:val="22"/>
        </w:rPr>
        <w:t xml:space="preserve"> – Componentes</w:t>
      </w:r>
      <w:r w:rsidRPr="00B53D4E">
        <w:rPr>
          <w:rStyle w:val="s15"/>
          <w:rFonts w:ascii="Verdana" w:hAnsi="Verdana" w:cs="Arial"/>
          <w:b/>
          <w:bCs/>
          <w:color w:val="000000"/>
          <w:sz w:val="22"/>
          <w:szCs w:val="22"/>
        </w:rPr>
        <w:t xml:space="preserve"> – </w:t>
      </w:r>
      <w:r>
        <w:rPr>
          <w:rStyle w:val="s15"/>
          <w:rFonts w:ascii="Verdana" w:hAnsi="Verdana" w:cs="Arial"/>
          <w:b/>
          <w:bCs/>
          <w:color w:val="000000"/>
          <w:sz w:val="22"/>
          <w:szCs w:val="22"/>
        </w:rPr>
        <w:t xml:space="preserve">SECOP II – Expediente físico – Innecesario </w:t>
      </w:r>
    </w:p>
    <w:p w14:paraId="63CDF247" w14:textId="77777777" w:rsidR="00E826D1" w:rsidRDefault="00E826D1" w:rsidP="00E826D1">
      <w:pPr>
        <w:pStyle w:val="s17"/>
        <w:spacing w:before="0" w:beforeAutospacing="0" w:after="0" w:afterAutospacing="0"/>
        <w:jc w:val="both"/>
        <w:rPr>
          <w:rFonts w:ascii="Verdana" w:hAnsi="Verdana" w:cs="Arial"/>
          <w:color w:val="000000"/>
          <w:sz w:val="20"/>
          <w:szCs w:val="20"/>
        </w:rPr>
      </w:pPr>
    </w:p>
    <w:p w14:paraId="6ED47245" w14:textId="77777777" w:rsidR="00E826D1" w:rsidRDefault="00E826D1" w:rsidP="00E826D1">
      <w:pPr>
        <w:pStyle w:val="s17"/>
        <w:spacing w:before="0" w:beforeAutospacing="0" w:after="0" w:afterAutospacing="0"/>
        <w:jc w:val="both"/>
        <w:rPr>
          <w:rFonts w:ascii="Verdana" w:hAnsi="Verdana" w:cs="Arial"/>
          <w:bCs/>
          <w:color w:val="000000"/>
          <w:sz w:val="20"/>
          <w:szCs w:val="20"/>
        </w:rPr>
      </w:pPr>
      <w:r>
        <w:rPr>
          <w:rFonts w:ascii="Verdana" w:hAnsi="Verdana" w:cs="Arial"/>
          <w:color w:val="000000"/>
          <w:sz w:val="20"/>
          <w:szCs w:val="20"/>
        </w:rPr>
        <w:t>E</w:t>
      </w:r>
      <w:r w:rsidRPr="00134C8E">
        <w:rPr>
          <w:rFonts w:ascii="Verdana" w:hAnsi="Verdana" w:cs="Arial"/>
          <w:color w:val="000000"/>
          <w:sz w:val="20"/>
          <w:szCs w:val="20"/>
        </w:rPr>
        <w:t>n los términos de la Circular Externa Única de la ANCP – CCE</w:t>
      </w:r>
      <w:r>
        <w:rPr>
          <w:rFonts w:ascii="Verdana" w:hAnsi="Verdana" w:cs="Arial"/>
          <w:color w:val="000000"/>
          <w:sz w:val="20"/>
          <w:szCs w:val="20"/>
        </w:rPr>
        <w:t>,</w:t>
      </w:r>
      <w:r w:rsidRPr="00134C8E">
        <w:rPr>
          <w:rFonts w:ascii="Verdana" w:hAnsi="Verdana" w:cs="Arial"/>
          <w:color w:val="000000"/>
          <w:sz w:val="20"/>
          <w:szCs w:val="20"/>
        </w:rPr>
        <w:t xml:space="preserve"> </w:t>
      </w:r>
      <w:r>
        <w:rPr>
          <w:rFonts w:ascii="Verdana" w:hAnsi="Verdana" w:cs="Arial"/>
          <w:color w:val="000000"/>
          <w:sz w:val="20"/>
          <w:szCs w:val="20"/>
        </w:rPr>
        <w:t>e</w:t>
      </w:r>
      <w:r w:rsidRPr="00134C8E">
        <w:rPr>
          <w:rFonts w:ascii="Verdana" w:hAnsi="Verdana" w:cs="Arial"/>
          <w:bCs/>
          <w:color w:val="000000"/>
          <w:sz w:val="20"/>
          <w:szCs w:val="20"/>
        </w:rPr>
        <w:t xml:space="preserv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6730B128" w14:textId="77777777" w:rsidR="00E826D1" w:rsidRPr="00134C8E" w:rsidRDefault="00E826D1" w:rsidP="00E826D1">
      <w:pPr>
        <w:pStyle w:val="s17"/>
        <w:spacing w:before="0" w:beforeAutospacing="0" w:after="0" w:afterAutospacing="0"/>
        <w:jc w:val="both"/>
        <w:rPr>
          <w:rFonts w:ascii="Verdana" w:hAnsi="Verdana" w:cs="Arial"/>
          <w:color w:val="000000"/>
          <w:sz w:val="20"/>
          <w:szCs w:val="20"/>
        </w:rPr>
      </w:pPr>
    </w:p>
    <w:p w14:paraId="5209418B" w14:textId="77777777" w:rsidR="00E826D1" w:rsidRDefault="00E826D1" w:rsidP="00E826D1">
      <w:pPr>
        <w:pStyle w:val="s17"/>
        <w:spacing w:before="0" w:beforeAutospacing="0" w:after="0" w:afterAutospacing="0"/>
        <w:jc w:val="both"/>
        <w:rPr>
          <w:rStyle w:val="s18"/>
          <w:rFonts w:ascii="Verdana" w:hAnsi="Verdana" w:cs="Arial"/>
          <w:color w:val="000000"/>
          <w:sz w:val="20"/>
          <w:szCs w:val="20"/>
        </w:rPr>
      </w:pPr>
      <w:r w:rsidRPr="00134C8E">
        <w:rPr>
          <w:rFonts w:ascii="Verdana" w:hAnsi="Verdana" w:cs="Arial"/>
          <w:bCs/>
          <w:color w:val="000000"/>
          <w:sz w:val="20"/>
          <w:szCs w:val="20"/>
        </w:rPr>
        <w:t xml:space="preserve">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w:t>
      </w:r>
      <w:r w:rsidRPr="00134C8E">
        <w:rPr>
          <w:rFonts w:ascii="Verdana" w:hAnsi="Verdana" w:cs="Arial"/>
          <w:bCs/>
          <w:color w:val="000000"/>
          <w:sz w:val="20"/>
          <w:szCs w:val="20"/>
        </w:rPr>
        <w:lastRenderedPageBreak/>
        <w:t>tiempo real de cualquier contrato realizado a través del SECOP II, sin necesidad de tener usuarios creados en la plataforma</w:t>
      </w:r>
      <w:r>
        <w:rPr>
          <w:rFonts w:ascii="Verdana" w:hAnsi="Verdana" w:cs="Arial"/>
          <w:color w:val="000000"/>
          <w:sz w:val="20"/>
          <w:szCs w:val="20"/>
        </w:rPr>
        <w:t>.</w:t>
      </w:r>
      <w:r w:rsidRPr="00977908">
        <w:rPr>
          <w:rStyle w:val="s18"/>
          <w:rFonts w:ascii="Verdana" w:hAnsi="Verdana" w:cs="Arial"/>
          <w:color w:val="000000"/>
          <w:sz w:val="20"/>
          <w:szCs w:val="20"/>
        </w:rPr>
        <w:t xml:space="preserve"> </w:t>
      </w:r>
    </w:p>
    <w:p w14:paraId="3155E1DF"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571B4DDB"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425AA359"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748BB36F"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0A380F48"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0760FEE7"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678A4BAF"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22087C2B"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4CF40CFF"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2056D589"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4F7E4CE0"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3E809378"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3230451D"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02923794"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2470751E"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70EDFC6F"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3A599F80"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52CA58FC"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0B254E55"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3534B59D"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16C575C7"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3CF842E9"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7887E918"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376599C6"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727C1912"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6AA6D2CB"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7B0714AF"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0AD999F5"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24BF364C"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5605F57B"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57D0336D"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7F7A50BA"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1C33C7C1"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7FAD862B"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298D8F0F"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7DCF0969"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0E5DFF43" w14:textId="77777777" w:rsidR="00E826D1" w:rsidRDefault="00E826D1" w:rsidP="007335FC">
      <w:pPr>
        <w:pStyle w:val="s17"/>
        <w:spacing w:before="0" w:beforeAutospacing="0" w:after="0" w:afterAutospacing="0"/>
        <w:jc w:val="both"/>
        <w:rPr>
          <w:rFonts w:ascii="Verdana" w:eastAsia="Geomanist Light" w:hAnsi="Verdana" w:cs="Arial"/>
          <w:color w:val="000000" w:themeColor="text1"/>
        </w:rPr>
      </w:pPr>
    </w:p>
    <w:p w14:paraId="1CCA123E" w14:textId="0AA8F224" w:rsidR="007335FC" w:rsidRPr="00134C8E" w:rsidRDefault="007335FC" w:rsidP="007335FC">
      <w:pPr>
        <w:pStyle w:val="s17"/>
        <w:spacing w:before="0" w:beforeAutospacing="0" w:after="0" w:afterAutospacing="0"/>
        <w:jc w:val="both"/>
        <w:rPr>
          <w:rFonts w:ascii="Verdana" w:hAnsi="Verdana" w:cs="Arial"/>
          <w:color w:val="000000"/>
          <w:sz w:val="20"/>
          <w:szCs w:val="20"/>
        </w:rPr>
      </w:pPr>
      <w:r w:rsidRPr="00593A5F">
        <w:rPr>
          <w:rFonts w:ascii="Verdana" w:eastAsia="Geomanist Light" w:hAnsi="Verdana" w:cs="Arial"/>
          <w:color w:val="000000" w:themeColor="text1"/>
          <w:lang w:val="es-MX"/>
        </w:rPr>
        <w:lastRenderedPageBreak/>
        <w:t>Bogotá D.C., </w:t>
      </w:r>
      <w:r w:rsidR="00770C13" w:rsidRPr="00770C13">
        <w:rPr>
          <w:rFonts w:ascii="Verdana" w:eastAsia="Geomanist Light" w:hAnsi="Verdana" w:cs="Arial"/>
          <w:color w:val="000000" w:themeColor="text1"/>
          <w:lang w:val="es-MX"/>
        </w:rPr>
        <w:t>23 de Julio de 2025</w:t>
      </w:r>
    </w:p>
    <w:p w14:paraId="0F2A9A36" w14:textId="77777777" w:rsidR="007335FC" w:rsidRDefault="007335FC" w:rsidP="007335FC">
      <w:pPr>
        <w:spacing w:after="0" w:line="240" w:lineRule="auto"/>
        <w:jc w:val="both"/>
        <w:rPr>
          <w:rFonts w:ascii="Verdana" w:eastAsia="Calibri" w:hAnsi="Verdana" w:cs="Arial"/>
          <w:color w:val="000000"/>
          <w:lang w:val="es-ES"/>
        </w:rPr>
      </w:pPr>
    </w:p>
    <w:p w14:paraId="14EB6028" w14:textId="3D900D6C" w:rsidR="00770C13" w:rsidRDefault="00770C13" w:rsidP="00770C13">
      <w:pPr>
        <w:spacing w:after="0" w:line="240" w:lineRule="auto"/>
        <w:jc w:val="right"/>
        <w:rPr>
          <w:rFonts w:ascii="Verdana" w:eastAsia="Calibri" w:hAnsi="Verdana" w:cs="Arial"/>
          <w:color w:val="000000"/>
          <w:lang w:val="es-ES"/>
        </w:rPr>
      </w:pPr>
      <w:r w:rsidRPr="00770C13">
        <w:rPr>
          <w:rFonts w:ascii="Verdana" w:eastAsia="Calibri" w:hAnsi="Verdana" w:cs="Arial"/>
          <w:color w:val="000000"/>
          <w:lang w:val="es-ES"/>
        </w:rPr>
        <w:drawing>
          <wp:inline distT="0" distB="0" distL="0" distR="0" wp14:anchorId="5A5FC2F9" wp14:editId="26C7A306">
            <wp:extent cx="2400300" cy="622300"/>
            <wp:effectExtent l="0" t="0" r="0" b="0"/>
            <wp:docPr id="13926573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657342" name=""/>
                    <pic:cNvPicPr/>
                  </pic:nvPicPr>
                  <pic:blipFill>
                    <a:blip r:embed="rId10"/>
                    <a:stretch>
                      <a:fillRect/>
                    </a:stretch>
                  </pic:blipFill>
                  <pic:spPr>
                    <a:xfrm>
                      <a:off x="0" y="0"/>
                      <a:ext cx="2400300" cy="622300"/>
                    </a:xfrm>
                    <a:prstGeom prst="rect">
                      <a:avLst/>
                    </a:prstGeom>
                  </pic:spPr>
                </pic:pic>
              </a:graphicData>
            </a:graphic>
          </wp:inline>
        </w:drawing>
      </w:r>
    </w:p>
    <w:p w14:paraId="706AC5BF" w14:textId="77777777" w:rsidR="007335FC" w:rsidRPr="00593A5F" w:rsidRDefault="007335FC" w:rsidP="007335FC">
      <w:pPr>
        <w:spacing w:after="0" w:line="240" w:lineRule="auto"/>
        <w:jc w:val="both"/>
        <w:rPr>
          <w:rFonts w:ascii="Verdana" w:eastAsia="Calibri" w:hAnsi="Verdana" w:cs="Arial"/>
          <w:color w:val="000000"/>
          <w:lang w:val="es-ES"/>
        </w:rPr>
      </w:pPr>
    </w:p>
    <w:p w14:paraId="4B311474" w14:textId="77777777" w:rsidR="007335FC" w:rsidRPr="00B96799" w:rsidRDefault="007335FC" w:rsidP="007335FC">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34EA8321" w14:textId="77777777" w:rsidR="007335FC" w:rsidRPr="0085423D" w:rsidRDefault="007335FC" w:rsidP="007335FC">
      <w:pPr>
        <w:spacing w:after="0" w:line="240" w:lineRule="auto"/>
        <w:rPr>
          <w:rFonts w:ascii="Verdana" w:eastAsia="Calibri" w:hAnsi="Verdana" w:cs="Arial"/>
          <w:b/>
          <w:lang w:val="es-ES" w:eastAsia="es-ES"/>
        </w:rPr>
      </w:pPr>
      <w:bookmarkStart w:id="0" w:name="OLE_LINK1"/>
      <w:r w:rsidRPr="7EF3A662">
        <w:rPr>
          <w:rFonts w:ascii="Verdana" w:eastAsia="Calibri" w:hAnsi="Verdana" w:cs="Arial"/>
          <w:b/>
          <w:lang w:val="es-ES" w:eastAsia="es-ES"/>
        </w:rPr>
        <w:t xml:space="preserve">Maricela </w:t>
      </w:r>
      <w:proofErr w:type="spellStart"/>
      <w:r w:rsidRPr="7EF3A662">
        <w:rPr>
          <w:rFonts w:ascii="Verdana" w:eastAsia="Calibri" w:hAnsi="Verdana" w:cs="Arial"/>
          <w:b/>
          <w:lang w:val="es-ES" w:eastAsia="es-ES"/>
        </w:rPr>
        <w:t>Guacary</w:t>
      </w:r>
      <w:proofErr w:type="spellEnd"/>
      <w:r w:rsidRPr="7EF3A662">
        <w:rPr>
          <w:rFonts w:ascii="Verdana" w:eastAsia="Calibri" w:hAnsi="Verdana" w:cs="Arial"/>
          <w:b/>
          <w:lang w:val="es-ES" w:eastAsia="es-ES"/>
        </w:rPr>
        <w:t xml:space="preserve">  </w:t>
      </w:r>
    </w:p>
    <w:bookmarkEnd w:id="0"/>
    <w:p w14:paraId="23B54C6D" w14:textId="77777777" w:rsidR="007335FC" w:rsidRPr="00A6315A" w:rsidRDefault="007335FC" w:rsidP="007335FC">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B550A7">
        <w:rPr>
          <w:rFonts w:ascii="Verdana" w:hAnsi="Verdana"/>
        </w:rPr>
        <w:instrText>maricelaguacary@gmail.com</w:instrText>
      </w:r>
      <w:r>
        <w:rPr>
          <w:rFonts w:ascii="Verdana" w:hAnsi="Verdana"/>
        </w:rPr>
        <w:instrText>"</w:instrText>
      </w:r>
      <w:r>
        <w:rPr>
          <w:rFonts w:ascii="Verdana" w:hAnsi="Verdana"/>
        </w:rPr>
      </w:r>
      <w:r>
        <w:rPr>
          <w:rFonts w:ascii="Verdana" w:hAnsi="Verdana"/>
        </w:rPr>
        <w:fldChar w:fldCharType="separate"/>
      </w:r>
      <w:r w:rsidRPr="0097369A">
        <w:rPr>
          <w:rStyle w:val="Hipervnculo"/>
          <w:rFonts w:ascii="Verdana" w:hAnsi="Verdana"/>
        </w:rPr>
        <w:t>maricelaguacary@gmail.com</w:t>
      </w:r>
      <w:r>
        <w:rPr>
          <w:rFonts w:ascii="Verdana" w:hAnsi="Verdana"/>
        </w:rPr>
        <w:fldChar w:fldCharType="end"/>
      </w:r>
      <w:r>
        <w:rPr>
          <w:rFonts w:ascii="Verdana" w:hAnsi="Verdana"/>
        </w:rPr>
        <w:t xml:space="preserve">  </w:t>
      </w:r>
      <w:r w:rsidRPr="00A6315A">
        <w:rPr>
          <w:rFonts w:ascii="Verdana" w:hAnsi="Verdana"/>
        </w:rPr>
        <w:t xml:space="preserve">            </w:t>
      </w:r>
      <w:r w:rsidRPr="00A6315A">
        <w:rPr>
          <w:rFonts w:ascii="Verdana" w:eastAsia="Calibri" w:hAnsi="Verdana" w:cs="Arial"/>
          <w:lang w:val="es-ES" w:eastAsia="es-ES"/>
        </w:rPr>
        <w:t xml:space="preserve">    </w:t>
      </w:r>
    </w:p>
    <w:p w14:paraId="7D41B75A" w14:textId="77777777" w:rsidR="007335FC" w:rsidRDefault="007335FC" w:rsidP="007335FC">
      <w:pPr>
        <w:spacing w:after="0" w:line="240" w:lineRule="auto"/>
        <w:rPr>
          <w:rFonts w:ascii="Verdana" w:eastAsia="Calibri" w:hAnsi="Verdana" w:cs="Arial"/>
          <w:lang w:val="es-ES" w:eastAsia="es-ES"/>
        </w:rPr>
      </w:pPr>
      <w:r>
        <w:rPr>
          <w:rFonts w:ascii="Verdana" w:eastAsia="Calibri" w:hAnsi="Verdana" w:cs="Arial"/>
          <w:lang w:val="es-ES" w:eastAsia="es-ES"/>
        </w:rPr>
        <w:t xml:space="preserve">La Plata, Huila </w:t>
      </w:r>
    </w:p>
    <w:p w14:paraId="5D23FC04" w14:textId="77777777" w:rsidR="007335FC" w:rsidRPr="00593A5F" w:rsidRDefault="007335FC" w:rsidP="007335FC">
      <w:pPr>
        <w:spacing w:after="0" w:line="240" w:lineRule="auto"/>
        <w:rPr>
          <w:rFonts w:ascii="Verdana" w:eastAsia="Calibri" w:hAnsi="Verdana" w:cs="Arial"/>
          <w:b/>
          <w:bCs/>
          <w:color w:val="000000"/>
          <w:lang w:val="es-ES_tradnl" w:eastAsia="es-ES_tradnl"/>
        </w:rPr>
      </w:pPr>
    </w:p>
    <w:p w14:paraId="48881D1D" w14:textId="77777777" w:rsidR="007335FC" w:rsidRPr="00593A5F" w:rsidRDefault="007335FC" w:rsidP="007335F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335FC" w:rsidRPr="00593A5F" w14:paraId="0FBD80C5" w14:textId="77777777" w:rsidTr="00CC1C95">
        <w:trPr>
          <w:trHeight w:val="884"/>
        </w:trPr>
        <w:tc>
          <w:tcPr>
            <w:tcW w:w="2689" w:type="dxa"/>
          </w:tcPr>
          <w:p w14:paraId="28D1BE73" w14:textId="77777777" w:rsidR="007335FC" w:rsidRPr="00C00976" w:rsidRDefault="007335FC" w:rsidP="00CC1C95">
            <w:pPr>
              <w:jc w:val="both"/>
              <w:rPr>
                <w:rFonts w:ascii="Verdana" w:eastAsia="Calibri" w:hAnsi="Verdana" w:cs="Arial"/>
                <w:b/>
                <w:bCs/>
                <w:color w:val="7030A0"/>
                <w:lang w:val="es-ES_tradnl" w:eastAsia="es-ES_tradnl"/>
              </w:rPr>
            </w:pPr>
          </w:p>
        </w:tc>
        <w:tc>
          <w:tcPr>
            <w:tcW w:w="6100" w:type="dxa"/>
          </w:tcPr>
          <w:p w14:paraId="1183FE3F" w14:textId="77777777" w:rsidR="007335FC" w:rsidRPr="00C00976" w:rsidRDefault="007335FC" w:rsidP="00CC1C95">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939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7335FC" w:rsidRPr="00593A5F" w14:paraId="1FBF1AF5" w14:textId="77777777" w:rsidTr="00CC1C95">
        <w:trPr>
          <w:trHeight w:val="884"/>
        </w:trPr>
        <w:tc>
          <w:tcPr>
            <w:tcW w:w="2689" w:type="dxa"/>
          </w:tcPr>
          <w:p w14:paraId="7401BCC9" w14:textId="77777777" w:rsidR="007335FC" w:rsidRPr="00593A5F" w:rsidRDefault="007335FC" w:rsidP="00CC1C95">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1B46635" w14:textId="77777777" w:rsidR="007335FC" w:rsidRPr="00A11406" w:rsidRDefault="007335FC" w:rsidP="00CC1C95">
            <w:pPr>
              <w:spacing w:line="276" w:lineRule="auto"/>
              <w:jc w:val="both"/>
              <w:rPr>
                <w:rFonts w:ascii="Verdana" w:eastAsia="Calibri" w:hAnsi="Verdana" w:cs="Arial"/>
                <w:lang w:val="es-ES" w:eastAsia="es-ES"/>
              </w:rPr>
            </w:pPr>
            <w:r w:rsidRPr="00134C8E">
              <w:rPr>
                <w:rFonts w:ascii="Verdana" w:eastAsia="Calibri" w:hAnsi="Verdana" w:cs="Arial"/>
                <w:lang w:val="es-ES" w:eastAsia="es-ES"/>
              </w:rPr>
              <w:t>INFORMACIÓN CONTRACTUAL – Publicidad – Alcance</w:t>
            </w:r>
            <w:r>
              <w:rPr>
                <w:rFonts w:ascii="Verdana" w:eastAsia="Calibri" w:hAnsi="Verdana" w:cs="Arial"/>
                <w:lang w:val="es-ES" w:eastAsia="es-ES"/>
              </w:rPr>
              <w:t xml:space="preserve"> / </w:t>
            </w:r>
            <w:r w:rsidRPr="00134C8E">
              <w:rPr>
                <w:rFonts w:ascii="Verdana" w:eastAsia="Calibri" w:hAnsi="Verdana" w:cs="Arial"/>
                <w:lang w:val="es-ES" w:eastAsia="es-ES"/>
              </w:rPr>
              <w:t xml:space="preserve">SISTEMA ELECTRÓNICO PARA LA CONTRATACIÓN PÚBLICA – Componentes – SECOP II – Expediente físico – Innecesario </w:t>
            </w:r>
            <w:r w:rsidRPr="006424A3">
              <w:rPr>
                <w:rFonts w:ascii="Verdana" w:eastAsia="Calibri" w:hAnsi="Verdana" w:cs="Arial"/>
                <w:lang w:val="es-ES" w:eastAsia="es-ES"/>
              </w:rPr>
              <w:t xml:space="preserve">   </w:t>
            </w:r>
            <w:r w:rsidRPr="00003886">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00C1A40C" w14:textId="77777777" w:rsidR="007335FC" w:rsidRPr="00593A5F" w:rsidRDefault="007335FC" w:rsidP="00CC1C95">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7335FC" w:rsidRPr="008E6AD9" w14:paraId="0CEFD1AC" w14:textId="77777777" w:rsidTr="00CC1C95">
        <w:tc>
          <w:tcPr>
            <w:tcW w:w="2689" w:type="dxa"/>
          </w:tcPr>
          <w:p w14:paraId="0179F521" w14:textId="77777777" w:rsidR="007335FC" w:rsidRPr="008E6AD9" w:rsidRDefault="007335FC" w:rsidP="00CC1C95">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EBDA856" w14:textId="77777777" w:rsidR="007335FC" w:rsidRPr="00B92340" w:rsidRDefault="007335FC" w:rsidP="00CC1C95">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B550A7">
              <w:rPr>
                <w:rFonts w:ascii="Verdana" w:eastAsia="Calibri" w:hAnsi="Verdana" w:cs="Arial"/>
                <w:lang w:val="es-ES_tradnl" w:eastAsia="es-ES_tradnl"/>
              </w:rPr>
              <w:t>1_2025_07_15_007176</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674B7E09" w14:textId="77777777" w:rsidR="007335FC" w:rsidRPr="00593A5F" w:rsidRDefault="007335FC" w:rsidP="007335FC">
      <w:pPr>
        <w:spacing w:after="0" w:line="240" w:lineRule="auto"/>
        <w:jc w:val="both"/>
        <w:rPr>
          <w:rFonts w:ascii="Verdana" w:eastAsia="Calibri" w:hAnsi="Verdana" w:cs="Arial"/>
          <w:color w:val="000000"/>
          <w:lang w:val="es-ES_tradnl" w:eastAsia="es-ES_tradnl"/>
        </w:rPr>
      </w:pPr>
    </w:p>
    <w:p w14:paraId="562F1535" w14:textId="77777777" w:rsidR="007335FC" w:rsidRPr="00593A5F" w:rsidRDefault="007335FC" w:rsidP="007335FC">
      <w:pPr>
        <w:spacing w:after="0" w:line="240" w:lineRule="auto"/>
        <w:jc w:val="both"/>
        <w:rPr>
          <w:rFonts w:ascii="Verdana" w:eastAsia="Calibri" w:hAnsi="Verdana" w:cs="Arial"/>
          <w:color w:val="000000"/>
          <w:lang w:val="es-ES_tradnl" w:eastAsia="es-ES_tradnl"/>
        </w:rPr>
      </w:pPr>
    </w:p>
    <w:p w14:paraId="674D6858" w14:textId="77777777" w:rsidR="007335FC" w:rsidRPr="008E6AD9" w:rsidRDefault="007335FC" w:rsidP="007335FC">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proofErr w:type="spellStart"/>
      <w:r w:rsidRPr="00B550A7">
        <w:rPr>
          <w:rFonts w:ascii="Verdana" w:eastAsia="Calibri" w:hAnsi="Verdana" w:cs="Arial"/>
          <w:lang w:val="es-ES" w:eastAsia="es-ES"/>
        </w:rPr>
        <w:t>Guacary</w:t>
      </w:r>
      <w:proofErr w:type="spellEnd"/>
      <w:r w:rsidRPr="008E6AD9">
        <w:rPr>
          <w:rFonts w:ascii="Verdana" w:eastAsia="Calibri" w:hAnsi="Verdana" w:cs="Arial"/>
          <w:lang w:val="es-ES" w:eastAsia="es-ES"/>
        </w:rPr>
        <w:t xml:space="preserve">: </w:t>
      </w:r>
    </w:p>
    <w:p w14:paraId="1FA8ECDC" w14:textId="77777777" w:rsidR="007335FC" w:rsidRDefault="007335FC" w:rsidP="007335F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E937530" w14:textId="77777777" w:rsidR="007335FC" w:rsidRPr="00593A5F" w:rsidRDefault="007335FC" w:rsidP="007335F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15 de julio de 2025, en la que manifiesta lo siguiente</w:t>
      </w:r>
      <w:r w:rsidRPr="008E6AD9">
        <w:rPr>
          <w:rFonts w:ascii="Verdana" w:eastAsia="Calibri" w:hAnsi="Verdana" w:cs="Arial"/>
          <w:lang w:val="es-ES" w:eastAsia="es-ES"/>
        </w:rPr>
        <w:t xml:space="preserve">: </w:t>
      </w:r>
    </w:p>
    <w:p w14:paraId="6A036DEE" w14:textId="77777777" w:rsidR="007335FC" w:rsidRPr="00272A7B" w:rsidRDefault="007335FC" w:rsidP="007335FC">
      <w:pPr>
        <w:pStyle w:val="Prrafodelista"/>
        <w:tabs>
          <w:tab w:val="left" w:pos="142"/>
          <w:tab w:val="left" w:pos="284"/>
        </w:tabs>
        <w:spacing w:after="0" w:line="276" w:lineRule="auto"/>
        <w:ind w:left="0"/>
        <w:jc w:val="both"/>
        <w:rPr>
          <w:rFonts w:ascii="Verdana" w:eastAsia="Century Gothic" w:hAnsi="Verdana" w:cs="Century Gothic"/>
          <w:b/>
          <w:bCs/>
        </w:rPr>
      </w:pPr>
    </w:p>
    <w:p w14:paraId="209D25D8" w14:textId="77777777" w:rsidR="007335FC" w:rsidRDefault="007335FC" w:rsidP="007335FC">
      <w:pPr>
        <w:spacing w:after="120" w:line="240" w:lineRule="auto"/>
        <w:ind w:left="709" w:right="709"/>
        <w:jc w:val="both"/>
        <w:rPr>
          <w:rFonts w:ascii="Verdana" w:eastAsia="Century Gothic" w:hAnsi="Verdana" w:cs="Century Gothic"/>
          <w:sz w:val="21"/>
          <w:szCs w:val="21"/>
          <w:lang w:val="es-ES"/>
        </w:rPr>
      </w:pPr>
      <w:bookmarkStart w:id="1" w:name="_Hlk95313578"/>
      <w:r w:rsidRPr="006E7258">
        <w:rPr>
          <w:rFonts w:ascii="Verdana" w:eastAsia="Century Gothic" w:hAnsi="Verdana" w:cs="Century Gothic"/>
          <w:sz w:val="21"/>
          <w:szCs w:val="21"/>
          <w:lang w:val="es-ES"/>
        </w:rPr>
        <w:t>“</w:t>
      </w:r>
      <w:bookmarkEnd w:id="1"/>
      <w:r w:rsidRPr="00B550A7">
        <w:rPr>
          <w:rFonts w:ascii="Verdana" w:eastAsia="Century Gothic" w:hAnsi="Verdana" w:cs="Century Gothic"/>
          <w:sz w:val="21"/>
          <w:szCs w:val="21"/>
          <w:lang w:val="es-ES"/>
        </w:rPr>
        <w:t xml:space="preserve">De manera respetuosa, solicito conceptuar, sobre la necesidad u obligatoriedad del manejo de expediente en medio físico con la información contractual, para las entidades que en la actualidad realizan su gestión contractual a través de la Plataforma </w:t>
      </w:r>
      <w:proofErr w:type="spellStart"/>
      <w:r w:rsidRPr="00B550A7">
        <w:rPr>
          <w:rFonts w:ascii="Verdana" w:eastAsia="Century Gothic" w:hAnsi="Verdana" w:cs="Century Gothic"/>
          <w:sz w:val="21"/>
          <w:szCs w:val="21"/>
          <w:lang w:val="es-ES"/>
        </w:rPr>
        <w:t>Secop</w:t>
      </w:r>
      <w:proofErr w:type="spellEnd"/>
      <w:r w:rsidRPr="00B550A7">
        <w:rPr>
          <w:rFonts w:ascii="Verdana" w:eastAsia="Century Gothic" w:hAnsi="Verdana" w:cs="Century Gothic"/>
          <w:sz w:val="21"/>
          <w:szCs w:val="21"/>
          <w:lang w:val="es-ES"/>
        </w:rPr>
        <w:t xml:space="preserve"> II</w:t>
      </w:r>
      <w:r>
        <w:rPr>
          <w:rFonts w:ascii="Verdana" w:eastAsia="Century Gothic" w:hAnsi="Verdana" w:cs="Century Gothic"/>
          <w:sz w:val="21"/>
          <w:szCs w:val="21"/>
          <w:lang w:val="es-ES"/>
        </w:rPr>
        <w:t>.</w:t>
      </w:r>
    </w:p>
    <w:p w14:paraId="47C195E7" w14:textId="77777777" w:rsidR="007335FC" w:rsidRPr="00A6315A" w:rsidRDefault="007335FC" w:rsidP="007335FC">
      <w:pPr>
        <w:spacing w:after="0" w:line="240" w:lineRule="auto"/>
        <w:ind w:left="709" w:right="709"/>
        <w:jc w:val="both"/>
        <w:rPr>
          <w:rFonts w:ascii="Verdana" w:eastAsia="Century Gothic" w:hAnsi="Verdana" w:cs="Century Gothic"/>
          <w:sz w:val="21"/>
          <w:szCs w:val="21"/>
        </w:rPr>
      </w:pPr>
      <w:r w:rsidRPr="00292CDB">
        <w:rPr>
          <w:rFonts w:ascii="Verdana" w:eastAsia="Century Gothic" w:hAnsi="Verdana" w:cs="Century Gothic"/>
          <w:sz w:val="21"/>
          <w:szCs w:val="21"/>
        </w:rPr>
        <w:t>Lo anterior, toda vez que se pretende ofrecer claridad, sobre la presentación que deban realizar las entidades públicas de sus procesos de contratación, ante los entes de control a nivel interno y externo</w:t>
      </w:r>
      <w:r w:rsidRPr="00A6315A">
        <w:rPr>
          <w:rFonts w:ascii="Verdana" w:eastAsia="Century Gothic" w:hAnsi="Verdana" w:cs="Century Gothic"/>
          <w:sz w:val="21"/>
          <w:szCs w:val="21"/>
        </w:rPr>
        <w:t>”.</w:t>
      </w:r>
    </w:p>
    <w:p w14:paraId="68A08EDD" w14:textId="77777777" w:rsidR="007335FC" w:rsidRPr="008E6AD9" w:rsidRDefault="007335FC" w:rsidP="007335FC">
      <w:pPr>
        <w:pStyle w:val="Prrafodelista"/>
        <w:tabs>
          <w:tab w:val="left" w:pos="142"/>
          <w:tab w:val="left" w:pos="284"/>
        </w:tabs>
        <w:spacing w:after="0" w:line="276" w:lineRule="auto"/>
        <w:ind w:left="0"/>
        <w:jc w:val="both"/>
        <w:rPr>
          <w:rFonts w:ascii="Verdana" w:eastAsia="Century Gothic" w:hAnsi="Verdana" w:cs="Century Gothic"/>
          <w:b/>
          <w:bCs/>
        </w:rPr>
      </w:pPr>
    </w:p>
    <w:p w14:paraId="7295AD37" w14:textId="77777777" w:rsidR="007335FC" w:rsidRPr="00A652FF" w:rsidRDefault="007335FC" w:rsidP="007335FC">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3231DA0" w14:textId="77777777" w:rsidR="007335FC" w:rsidRDefault="007335FC" w:rsidP="007335F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25346CB3" w14:textId="77777777" w:rsidR="007335FC" w:rsidRPr="00593A5F" w:rsidRDefault="007335FC" w:rsidP="007335FC">
      <w:pPr>
        <w:spacing w:after="0" w:line="276" w:lineRule="auto"/>
        <w:ind w:firstLine="709"/>
        <w:jc w:val="both"/>
        <w:rPr>
          <w:rFonts w:ascii="Verdana" w:eastAsia="Calibri" w:hAnsi="Verdana" w:cs="Arial"/>
          <w:color w:val="000000"/>
          <w:lang w:val="es-ES" w:eastAsia="es-ES"/>
        </w:rPr>
      </w:pPr>
    </w:p>
    <w:p w14:paraId="673AE651" w14:textId="77777777" w:rsidR="007335FC" w:rsidRPr="00593A5F" w:rsidRDefault="007335FC" w:rsidP="007335F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9A2A2B7" w14:textId="77777777" w:rsidR="007335FC" w:rsidRPr="00593A5F" w:rsidRDefault="007335FC" w:rsidP="007335FC">
      <w:pPr>
        <w:tabs>
          <w:tab w:val="left" w:pos="426"/>
        </w:tabs>
        <w:spacing w:after="0" w:line="276" w:lineRule="auto"/>
        <w:jc w:val="both"/>
        <w:rPr>
          <w:rFonts w:ascii="Verdana" w:eastAsia="Century Gothic" w:hAnsi="Verdana" w:cs="Century Gothic"/>
          <w:lang w:val="es-ES"/>
        </w:rPr>
      </w:pPr>
    </w:p>
    <w:p w14:paraId="4F4938E5" w14:textId="77777777" w:rsidR="007335FC" w:rsidRPr="00593A5F" w:rsidRDefault="007335FC" w:rsidP="007335FC">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 xml:space="preserve">¿es necesaria la existencia de un expediente físico paralelo en los procesos publicados en SECOP II?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4718910B" w14:textId="77777777" w:rsidR="007335FC" w:rsidRPr="004B140F" w:rsidRDefault="007335FC" w:rsidP="007335FC">
      <w:pPr>
        <w:spacing w:after="0" w:line="276" w:lineRule="auto"/>
        <w:jc w:val="both"/>
        <w:rPr>
          <w:rFonts w:ascii="Verdana" w:eastAsia="Calibri" w:hAnsi="Verdana" w:cs="Arial"/>
          <w:color w:val="7030A0"/>
        </w:rPr>
      </w:pPr>
    </w:p>
    <w:p w14:paraId="14812366" w14:textId="77777777" w:rsidR="007335FC" w:rsidRPr="00593A5F" w:rsidRDefault="007335FC" w:rsidP="007335F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937AFB6" w14:textId="77777777" w:rsidR="007335FC" w:rsidRPr="00593A5F" w:rsidRDefault="007335FC" w:rsidP="007335F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335FC" w:rsidRPr="00593A5F" w14:paraId="5FD5B5AE" w14:textId="77777777" w:rsidTr="00CC1C95">
        <w:trPr>
          <w:jc w:val="center"/>
        </w:trPr>
        <w:tc>
          <w:tcPr>
            <w:tcW w:w="8828" w:type="dxa"/>
            <w:shd w:val="clear" w:color="auto" w:fill="auto"/>
          </w:tcPr>
          <w:p w14:paraId="285CA0AD" w14:textId="77777777" w:rsidR="007335FC" w:rsidRPr="00F95B1D" w:rsidRDefault="007335FC" w:rsidP="00CC1C95">
            <w:pPr>
              <w:spacing w:after="120" w:line="276" w:lineRule="auto"/>
              <w:jc w:val="both"/>
              <w:rPr>
                <w:rFonts w:ascii="Verdana" w:eastAsia="Calibri" w:hAnsi="Verdana" w:cs="Arial"/>
                <w:bCs/>
                <w:color w:val="000000" w:themeColor="text1"/>
                <w:lang w:val="es-ES_tradnl"/>
              </w:rPr>
            </w:pPr>
            <w:bookmarkStart w:id="2" w:name="_Hlk171694685"/>
            <w:r>
              <w:rPr>
                <w:rFonts w:ascii="Verdana" w:eastAsia="Calibri" w:hAnsi="Verdana" w:cs="Arial"/>
                <w:bCs/>
                <w:color w:val="000000" w:themeColor="text1"/>
              </w:rPr>
              <w:t xml:space="preserve">Conforme a la interpretación general de las normas del sistema de compras públicas, en los términos de la Circular Externa Única de la ANCP – CCE, </w:t>
            </w:r>
            <w:r w:rsidRPr="00F95B1D">
              <w:rPr>
                <w:rFonts w:ascii="Verdana" w:eastAsia="Calibri" w:hAnsi="Verdana" w:cs="Arial"/>
                <w:bCs/>
                <w:color w:val="000000" w:themeColor="text1"/>
                <w:lang w:val="es-ES_tradnl"/>
              </w:rPr>
              <w:t xml:space="preserve">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048CD23C" w14:textId="77777777" w:rsidR="007335FC" w:rsidRDefault="007335FC" w:rsidP="00CC1C95">
            <w:pPr>
              <w:spacing w:after="120" w:line="276" w:lineRule="auto"/>
              <w:ind w:firstLine="708"/>
              <w:jc w:val="both"/>
              <w:rPr>
                <w:rFonts w:ascii="Verdana" w:eastAsia="Calibri" w:hAnsi="Verdana" w:cs="Arial"/>
                <w:color w:val="000000" w:themeColor="text1"/>
                <w:lang w:val="es-ES"/>
              </w:rPr>
            </w:pPr>
            <w:r w:rsidRPr="7EF3A662">
              <w:rPr>
                <w:rFonts w:ascii="Verdana" w:eastAsia="Calibri" w:hAnsi="Verdana" w:cs="Arial"/>
                <w:color w:val="000000" w:themeColor="text1"/>
                <w:lang w:val="es-ES"/>
              </w:rPr>
              <w:t xml:space="preserve">En contraste, el SECOP II permite generar contratos en línea y realizar la firma electrónica de los mismos. Tiene funciones que permiten al proveedor </w:t>
            </w:r>
            <w:r w:rsidRPr="7EF3A662">
              <w:rPr>
                <w:rFonts w:ascii="Verdana" w:eastAsia="Calibri" w:hAnsi="Verdana" w:cs="Arial"/>
                <w:color w:val="000000" w:themeColor="text1"/>
                <w:lang w:val="es-ES"/>
              </w:rPr>
              <w:lastRenderedPageBreak/>
              <w:t>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p>
          <w:p w14:paraId="296A02EB" w14:textId="77777777" w:rsidR="007335FC" w:rsidRPr="003D4557" w:rsidRDefault="007335FC" w:rsidP="00CC1C95">
            <w:pPr>
              <w:spacing w:after="120" w:line="276" w:lineRule="auto"/>
              <w:ind w:right="51" w:firstLine="738"/>
              <w:jc w:val="both"/>
              <w:rPr>
                <w:rFonts w:ascii="Verdana" w:eastAsia="Calibri" w:hAnsi="Verdana" w:cs="Arial"/>
                <w:color w:val="000000" w:themeColor="text1"/>
              </w:rPr>
            </w:pPr>
            <w:r>
              <w:rPr>
                <w:rFonts w:ascii="Verdana" w:eastAsia="Calibri" w:hAnsi="Verdana" w:cs="Arial"/>
                <w:bCs/>
                <w:color w:val="000000" w:themeColor="text1"/>
                <w:lang w:val="es-ES_tradnl"/>
              </w:rPr>
              <w:t xml:space="preserve">Para estos efectos, la Circular Externa Única dispone que “[…] </w:t>
            </w:r>
            <w:r w:rsidRPr="00F95B1D">
              <w:rPr>
                <w:rFonts w:ascii="Verdana" w:eastAsia="Calibri" w:hAnsi="Verdana" w:cs="Arial"/>
                <w:bCs/>
                <w:color w:val="000000" w:themeColor="text1"/>
                <w:lang w:val="es-ES_tradnl"/>
              </w:rPr>
              <w:t>Toda la etapa de gestión</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contractual está contenida en la plataforma, lo que significa que la</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Entidad y el Proveedor deben incluir en el SECOP II la información</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correspondiente que no se genere en línea (garantías, facturas, informes</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de supervisión, modificaciones, etc.)</w:t>
            </w:r>
            <w:r>
              <w:rPr>
                <w:rFonts w:ascii="Verdana" w:eastAsia="Calibri" w:hAnsi="Verdana" w:cs="Arial"/>
                <w:bCs/>
                <w:color w:val="000000" w:themeColor="text1"/>
                <w:lang w:val="es-ES_tradnl"/>
              </w:rPr>
              <w:t xml:space="preserve">”. Esto significa que, a diferencia de SECOP I, en SECOP II no es necesario un expediente físico paralelo con la gestión contractual de los procesos adelantados. No obstante, el numeral 2 de la Circular precisa que “[…] </w:t>
            </w:r>
            <w:r w:rsidRPr="00F95B1D">
              <w:rPr>
                <w:rFonts w:ascii="Verdana" w:eastAsia="Calibri" w:hAnsi="Verdana" w:cs="Arial"/>
                <w:bCs/>
                <w:color w:val="000000" w:themeColor="text1"/>
                <w:lang w:val="es-ES_tradnl"/>
              </w:rPr>
              <w:t>En los casos en que el documento original haya sido producido en formato físico,</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la Entidad Estatal debe conservar su original por el tiempo que indiquen las Tablas</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de Retención Documental - TRD, e incorporar una copia digitalizada dentro del</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proceso de contratación en el SECOP II en cumplimiento de la obligación de</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publicidad</w:t>
            </w:r>
            <w:r>
              <w:rPr>
                <w:rFonts w:ascii="Verdana" w:eastAsia="Calibri" w:hAnsi="Verdana" w:cs="Arial"/>
                <w:bCs/>
                <w:color w:val="000000" w:themeColor="text1"/>
                <w:lang w:val="es-ES_tradnl"/>
              </w:rPr>
              <w:t>”</w:t>
            </w:r>
            <w:r w:rsidRPr="00F95B1D">
              <w:rPr>
                <w:rFonts w:ascii="Verdana" w:eastAsia="Calibri" w:hAnsi="Verdana" w:cs="Arial"/>
                <w:bCs/>
                <w:color w:val="000000" w:themeColor="text1"/>
                <w:lang w:val="es-ES_tradnl"/>
              </w:rPr>
              <w:t xml:space="preserve">.  </w:t>
            </w:r>
          </w:p>
          <w:p w14:paraId="62FEB0E9" w14:textId="77777777" w:rsidR="007335FC" w:rsidRPr="001941FD" w:rsidRDefault="007335FC" w:rsidP="00CC1C95">
            <w:pPr>
              <w:spacing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24A7C8A7" w14:textId="77777777" w:rsidR="007335FC" w:rsidRPr="00593A5F" w:rsidRDefault="007335FC" w:rsidP="007335FC">
      <w:pPr>
        <w:tabs>
          <w:tab w:val="left" w:pos="142"/>
          <w:tab w:val="left" w:pos="284"/>
        </w:tabs>
        <w:spacing w:after="0" w:line="276" w:lineRule="auto"/>
        <w:jc w:val="both"/>
        <w:rPr>
          <w:rFonts w:ascii="Verdana" w:eastAsia="Century Gothic" w:hAnsi="Verdana" w:cs="Century Gothic"/>
          <w:b/>
          <w:bCs/>
          <w:lang w:val="es-ES"/>
        </w:rPr>
      </w:pPr>
    </w:p>
    <w:bookmarkEnd w:id="2"/>
    <w:p w14:paraId="53C96C7C" w14:textId="77777777" w:rsidR="007335FC" w:rsidRPr="00593A5F" w:rsidRDefault="007335FC" w:rsidP="007335F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153A543" w14:textId="77777777" w:rsidR="007335FC" w:rsidRPr="00593A5F" w:rsidRDefault="007335FC" w:rsidP="007335FC">
      <w:pPr>
        <w:spacing w:after="0" w:line="276" w:lineRule="auto"/>
        <w:jc w:val="both"/>
        <w:rPr>
          <w:rFonts w:ascii="Verdana" w:eastAsia="Calibri" w:hAnsi="Verdana" w:cs="Arial"/>
          <w:color w:val="7030A0"/>
          <w:lang w:val="es-ES"/>
        </w:rPr>
      </w:pPr>
    </w:p>
    <w:p w14:paraId="30F801D6" w14:textId="77777777" w:rsidR="007335FC" w:rsidRDefault="007335FC" w:rsidP="007335FC">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56B4A61" w14:textId="77777777" w:rsidR="007335FC" w:rsidRPr="00415608" w:rsidRDefault="007335FC" w:rsidP="007335FC">
      <w:pPr>
        <w:spacing w:after="0" w:line="276" w:lineRule="auto"/>
        <w:jc w:val="both"/>
        <w:rPr>
          <w:rFonts w:ascii="Verdana" w:eastAsia="Calibri" w:hAnsi="Verdana" w:cs="Arial"/>
          <w:lang w:val="es-ES"/>
        </w:rPr>
      </w:pPr>
    </w:p>
    <w:p w14:paraId="70114AB2" w14:textId="77777777" w:rsidR="007335FC" w:rsidRPr="00F16D2E" w:rsidRDefault="007335FC" w:rsidP="007335FC">
      <w:pPr>
        <w:widowControl w:val="0"/>
        <w:tabs>
          <w:tab w:val="left" w:pos="728"/>
        </w:tabs>
        <w:autoSpaceDE w:val="0"/>
        <w:autoSpaceDN w:val="0"/>
        <w:spacing w:after="120" w:line="276" w:lineRule="auto"/>
        <w:jc w:val="both"/>
        <w:rPr>
          <w:rFonts w:ascii="Verdana" w:eastAsia="Arial" w:hAnsi="Verdana" w:cs="Arial"/>
          <w:lang w:val="es-ES"/>
        </w:rPr>
      </w:pPr>
      <w:r>
        <w:rPr>
          <w:rFonts w:ascii="Verdana" w:eastAsia="Calibri" w:hAnsi="Verdana" w:cs="Arial"/>
        </w:rPr>
        <w:t xml:space="preserve">i. </w:t>
      </w:r>
      <w:r w:rsidRPr="00F16D2E">
        <w:rPr>
          <w:rFonts w:ascii="Verdana" w:eastAsia="Arial" w:hAnsi="Verdana" w:cs="Arial"/>
          <w:lang w:val="es-ES"/>
        </w:rPr>
        <w:t xml:space="preserve">El principio de publicidad impone a las autoridades administrativas el deber de dar a conocer sus actos, contratos y decisiones, para que se divulguen y eventualmente se controlen las actuaciones. El literal c) del artículo 3 de la Ley 1150 de 2007 dispone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626B783C" w14:textId="77777777" w:rsidR="007335FC" w:rsidRPr="00F16D2E" w:rsidRDefault="007335FC" w:rsidP="007335FC">
      <w:pPr>
        <w:widowControl w:val="0"/>
        <w:tabs>
          <w:tab w:val="left" w:pos="728"/>
        </w:tabs>
        <w:autoSpaceDE w:val="0"/>
        <w:autoSpaceDN w:val="0"/>
        <w:spacing w:after="120" w:line="276" w:lineRule="auto"/>
        <w:jc w:val="both"/>
        <w:rPr>
          <w:rFonts w:ascii="Verdana" w:eastAsia="Arial" w:hAnsi="Verdana" w:cs="Arial"/>
          <w:lang w:val="es-ES"/>
        </w:rPr>
      </w:pPr>
      <w:r w:rsidRPr="00F16D2E">
        <w:rPr>
          <w:rFonts w:ascii="Verdana" w:eastAsia="Arial" w:hAnsi="Verdana" w:cs="Arial"/>
          <w:lang w:val="es-ES"/>
        </w:rPr>
        <w:tab/>
        <w:t xml:space="preserve">De otra parte, la Ley 1712 de 2014 identifica como principios que orientan el acceso a la información pública el de máxima publicidad y el de transparencia en la información. El primero establece que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4FF09373" w14:textId="77777777" w:rsidR="007335FC" w:rsidRPr="00F16D2E" w:rsidRDefault="007335FC" w:rsidP="007335FC">
      <w:pPr>
        <w:widowControl w:val="0"/>
        <w:tabs>
          <w:tab w:val="left" w:pos="728"/>
        </w:tabs>
        <w:autoSpaceDE w:val="0"/>
        <w:autoSpaceDN w:val="0"/>
        <w:spacing w:after="120" w:line="276" w:lineRule="auto"/>
        <w:jc w:val="both"/>
        <w:rPr>
          <w:rFonts w:ascii="Verdana" w:eastAsia="Arial" w:hAnsi="Verdana" w:cs="Arial"/>
          <w:lang w:val="es-ES"/>
        </w:rPr>
      </w:pPr>
      <w:r w:rsidRPr="00F16D2E">
        <w:rPr>
          <w:rFonts w:ascii="Verdana" w:eastAsia="Arial" w:hAnsi="Verdana" w:cs="Arial"/>
          <w:lang w:val="es-ES"/>
        </w:rPr>
        <w:tab/>
        <w:t xml:space="preserve">La ley citada dispone, en el literal </w:t>
      </w:r>
      <w:r>
        <w:rPr>
          <w:rFonts w:ascii="Verdana" w:eastAsia="Arial" w:hAnsi="Verdana" w:cs="Arial"/>
          <w:lang w:val="es-ES"/>
        </w:rPr>
        <w:t>a</w:t>
      </w:r>
      <w:r w:rsidRPr="00F16D2E">
        <w:rPr>
          <w:rFonts w:ascii="Verdana" w:eastAsia="Arial" w:hAnsi="Verdana" w:cs="Arial"/>
          <w:lang w:val="es-ES"/>
        </w:rPr>
        <w:t xml:space="preserve">) del artículo </w:t>
      </w:r>
      <w:r>
        <w:rPr>
          <w:rFonts w:ascii="Verdana" w:eastAsia="Arial" w:hAnsi="Verdana" w:cs="Arial"/>
          <w:lang w:val="es-ES"/>
        </w:rPr>
        <w:t>5</w:t>
      </w:r>
      <w:r w:rsidRPr="00F16D2E">
        <w:rPr>
          <w:rFonts w:ascii="Verdana" w:eastAsia="Arial" w:hAnsi="Verdana" w:cs="Arial"/>
          <w:lang w:val="es-ES"/>
        </w:rPr>
        <w:t>, que los sujetos obligados, que son todas las entidades públicas</w:t>
      </w:r>
      <w:r w:rsidRPr="00F16D2E">
        <w:rPr>
          <w:rFonts w:ascii="Verdana" w:eastAsia="Arial" w:hAnsi="Verdana" w:cs="Arial"/>
          <w:vertAlign w:val="superscript"/>
          <w:lang w:val="es-ES"/>
        </w:rPr>
        <w:footnoteReference w:id="2"/>
      </w:r>
      <w:r w:rsidRPr="00F16D2E">
        <w:rPr>
          <w:rFonts w:ascii="Verdana" w:eastAsia="Arial" w:hAnsi="Verdana" w:cs="Arial"/>
          <w:lang w:val="es-ES"/>
        </w:rPr>
        <w:t>, deben publicar la información relativa a su contratación. Esta obligación fue en principio desarrollada por el Decreto 103 de 2015, compilado en el Decreto 1081 de 2015, el cual dispuso que la publicación de la información contractual de los sujetos obligados, que contratan con cargo a recursos públicos, debe hacerse en el Sistema Electrónico de Contratación Pública –SECOP–</w:t>
      </w:r>
      <w:r w:rsidRPr="00F16D2E">
        <w:rPr>
          <w:rFonts w:ascii="Verdana" w:eastAsia="Arial" w:hAnsi="Verdana" w:cs="Arial"/>
          <w:vertAlign w:val="superscript"/>
          <w:lang w:val="es-ES"/>
        </w:rPr>
        <w:footnoteReference w:id="3"/>
      </w:r>
      <w:r w:rsidRPr="00F16D2E">
        <w:rPr>
          <w:rFonts w:ascii="Verdana" w:eastAsia="Arial" w:hAnsi="Verdana" w:cs="Arial"/>
          <w:lang w:val="es-ES"/>
        </w:rPr>
        <w:t>.</w:t>
      </w:r>
    </w:p>
    <w:p w14:paraId="5B559411" w14:textId="77777777" w:rsidR="007335FC" w:rsidRPr="00F16D2E" w:rsidRDefault="007335FC" w:rsidP="007335FC">
      <w:pPr>
        <w:widowControl w:val="0"/>
        <w:tabs>
          <w:tab w:val="left" w:pos="728"/>
        </w:tabs>
        <w:autoSpaceDE w:val="0"/>
        <w:autoSpaceDN w:val="0"/>
        <w:spacing w:after="120" w:line="276" w:lineRule="auto"/>
        <w:jc w:val="both"/>
        <w:rPr>
          <w:rFonts w:ascii="Verdana" w:eastAsia="Arial" w:hAnsi="Verdana" w:cs="Arial"/>
          <w:lang w:val="es-ES"/>
        </w:rPr>
      </w:pPr>
      <w:r w:rsidRPr="00F16D2E">
        <w:rPr>
          <w:rFonts w:ascii="Verdana" w:eastAsia="Arial" w:hAnsi="Verdana" w:cs="Arial"/>
          <w:lang w:val="es-ES"/>
        </w:rPr>
        <w:lastRenderedPageBreak/>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7D1E4296" w14:textId="77777777" w:rsidR="007335FC" w:rsidRPr="00F16D2E" w:rsidRDefault="007335FC" w:rsidP="007335FC">
      <w:pPr>
        <w:widowControl w:val="0"/>
        <w:tabs>
          <w:tab w:val="left" w:pos="728"/>
        </w:tabs>
        <w:autoSpaceDE w:val="0"/>
        <w:autoSpaceDN w:val="0"/>
        <w:spacing w:after="120" w:line="276" w:lineRule="auto"/>
        <w:jc w:val="both"/>
        <w:rPr>
          <w:rFonts w:ascii="Verdana" w:hAnsi="Verdana" w:cs="Arial"/>
          <w:lang w:val="es-ES"/>
        </w:rPr>
      </w:pPr>
      <w:r w:rsidRPr="00F16D2E">
        <w:rPr>
          <w:rFonts w:ascii="Verdana" w:eastAsia="Arial" w:hAnsi="Verdana" w:cs="Arial"/>
          <w:lang w:val="es-ES"/>
        </w:rPr>
        <w:tab/>
      </w:r>
      <w:r w:rsidRPr="00F16D2E">
        <w:rPr>
          <w:rFonts w:ascii="Verdana" w:hAnsi="Verdana" w:cs="Arial"/>
          <w:lang w:val="es-ES"/>
        </w:rPr>
        <w:t>El deber de publicidad que se desprende del artículo 3 de la Ley 1150 de 2007 está reglamentado por el artículo 2.2.1.1.1.7.1 del Decreto 1082 de 2015, el cual dispone los documentos que deben publicarse y al SECOP como medio de publicación</w:t>
      </w:r>
      <w:r w:rsidRPr="00F16D2E">
        <w:rPr>
          <w:rFonts w:ascii="Verdana" w:hAnsi="Verdana" w:cs="Arial"/>
          <w:vertAlign w:val="superscript"/>
          <w:lang w:val="es-ES"/>
        </w:rPr>
        <w:footnoteReference w:id="4"/>
      </w:r>
      <w:r w:rsidRPr="00F16D2E">
        <w:rPr>
          <w:rFonts w:ascii="Verdana" w:hAnsi="Verdana" w:cs="Arial"/>
          <w:lang w:val="es-ES"/>
        </w:rPr>
        <w:t>. 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w:t>
      </w:r>
    </w:p>
    <w:p w14:paraId="089B66E8" w14:textId="45CBF755" w:rsidR="7EF3A662" w:rsidRDefault="007335FC" w:rsidP="003E06AD">
      <w:pPr>
        <w:widowControl w:val="0"/>
        <w:tabs>
          <w:tab w:val="left" w:pos="728"/>
        </w:tabs>
        <w:autoSpaceDE w:val="0"/>
        <w:autoSpaceDN w:val="0"/>
        <w:spacing w:after="120" w:line="276" w:lineRule="auto"/>
        <w:jc w:val="both"/>
        <w:rPr>
          <w:rFonts w:ascii="Verdana" w:hAnsi="Verdana" w:cs="Arial"/>
          <w:lang w:val="es-ES"/>
        </w:rPr>
      </w:pPr>
      <w:r w:rsidRPr="00F16D2E">
        <w:rPr>
          <w:rFonts w:ascii="Verdana" w:hAnsi="Verdana" w:cs="Arial"/>
          <w:lang w:val="es-ES"/>
        </w:rPr>
        <w:tab/>
        <w:t>Ahora bien, 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0EBC2A28" w14:textId="77777777" w:rsidR="007335FC" w:rsidRPr="00F16D2E" w:rsidRDefault="007335FC" w:rsidP="007335FC">
      <w:pPr>
        <w:widowControl w:val="0"/>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En efecto, además de los documentos enlistados, el artículo </w:t>
      </w:r>
      <w:r w:rsidRPr="00F16D2E">
        <w:rPr>
          <w:rFonts w:ascii="Verdana" w:eastAsia="Arial" w:hAnsi="Verdana" w:cs="Arial"/>
          <w:lang w:val="es-ES"/>
        </w:rPr>
        <w:lastRenderedPageBreak/>
        <w:t xml:space="preserve">2.2.1.1.1.3.1 </w:t>
      </w:r>
      <w:proofErr w:type="spellStart"/>
      <w:r w:rsidRPr="00F16D2E">
        <w:rPr>
          <w:rFonts w:ascii="Verdana" w:eastAsia="Arial" w:hAnsi="Verdana" w:cs="Arial"/>
          <w:i/>
          <w:iCs/>
          <w:lang w:val="es-ES"/>
        </w:rPr>
        <w:t>Ibídem</w:t>
      </w:r>
      <w:proofErr w:type="spellEnd"/>
      <w:r w:rsidRPr="00F16D2E">
        <w:rPr>
          <w:rFonts w:ascii="Verdana" w:eastAsia="Arial" w:hAnsi="Verdana" w:cs="Arial"/>
          <w:lang w:val="es-ES"/>
        </w:rPr>
        <w:t xml:space="preserve"> recoge en la noción de </w:t>
      </w:r>
      <w:r w:rsidRPr="00F16D2E">
        <w:rPr>
          <w:rFonts w:ascii="Verdana" w:eastAsia="Arial" w:hAnsi="Verdana" w:cs="Arial"/>
          <w:i/>
          <w:iCs/>
          <w:lang w:val="es-ES"/>
        </w:rPr>
        <w:t>Documentos del Proceso</w:t>
      </w:r>
      <w:r w:rsidRPr="00F16D2E">
        <w:rPr>
          <w:rFonts w:ascii="Verdana" w:eastAsia="Arial" w:hAnsi="Verdana" w:cs="Arial"/>
          <w:lang w:val="es-ES"/>
        </w:rPr>
        <w:t xml:space="preserve"> “cualquier otro documento expedido por la Entidad Estatal durante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Este mismo artículo define la expresión </w:t>
      </w:r>
      <w:r w:rsidRPr="00F16D2E">
        <w:rPr>
          <w:rFonts w:ascii="Verdana" w:eastAsia="Arial" w:hAnsi="Verdana" w:cs="Arial"/>
          <w:i/>
          <w:iCs/>
          <w:lang w:val="es-ES"/>
        </w:rPr>
        <w:t>Proceso de Contratación</w:t>
      </w:r>
      <w:r w:rsidRPr="00F16D2E">
        <w:rPr>
          <w:rFonts w:ascii="Verdana" w:eastAsia="Arial" w:hAnsi="Verdana"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325826F9" w14:textId="69863665" w:rsidR="7EF3A662" w:rsidRDefault="007335FC" w:rsidP="0028522A">
      <w:pPr>
        <w:widowControl w:val="0"/>
        <w:autoSpaceDE w:val="0"/>
        <w:autoSpaceDN w:val="0"/>
        <w:spacing w:after="120" w:line="276" w:lineRule="auto"/>
        <w:ind w:firstLine="708"/>
        <w:jc w:val="both"/>
        <w:rPr>
          <w:rFonts w:ascii="Verdana" w:eastAsia="Arial" w:hAnsi="Verdana" w:cs="Arial"/>
          <w:lang w:val="es-ES"/>
        </w:rPr>
      </w:pPr>
      <w:r w:rsidRPr="00F16D2E">
        <w:rPr>
          <w:rFonts w:ascii="Verdana" w:eastAsia="Arial" w:hAnsi="Verdana" w:cs="Arial"/>
          <w:lang w:val="es-ES"/>
        </w:rPr>
        <w:t xml:space="preserve">En todo caso, de conformidad con la segunda parte del inciso primero del artículo 2.2.1.1.1.7.1 </w:t>
      </w:r>
      <w:r w:rsidRPr="00F16D2E">
        <w:rPr>
          <w:rFonts w:ascii="Verdana" w:eastAsia="Arial" w:hAnsi="Verdana" w:cs="Arial"/>
          <w:i/>
          <w:iCs/>
          <w:lang w:val="es-ES"/>
        </w:rPr>
        <w:t>Ibidem</w:t>
      </w:r>
      <w:r w:rsidRPr="00F16D2E">
        <w:rPr>
          <w:rFonts w:ascii="Verdana" w:eastAsia="Arial" w:hAnsi="Verdana"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F16D2E">
        <w:rPr>
          <w:rFonts w:ascii="Verdana" w:eastAsia="Arial" w:hAnsi="Verdana" w:cs="Arial"/>
          <w:i/>
          <w:iCs/>
          <w:lang w:val="es-ES"/>
        </w:rPr>
        <w:t xml:space="preserve"> </w:t>
      </w:r>
      <w:r w:rsidRPr="00F16D2E">
        <w:rPr>
          <w:rFonts w:ascii="Verdana" w:eastAsia="Arial" w:hAnsi="Verdana" w:cs="Arial"/>
          <w:lang w:val="es-ES"/>
        </w:rPr>
        <w:t>Del deber de publicidad, de conformidad con la tercera parte del inciso primero de la referida norma, también se encuentran exentos los documentos de las operaciones que se realicen en bolsa de productos.</w:t>
      </w:r>
    </w:p>
    <w:p w14:paraId="097028FF" w14:textId="77777777" w:rsidR="007335FC" w:rsidRPr="00F16D2E" w:rsidRDefault="007335FC" w:rsidP="007335FC">
      <w:pPr>
        <w:widowControl w:val="0"/>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De lo anterior puede concluirse que, en virtud de lo dispuesto en el artículo 3 de la Ley 1150 de 2007, desarrollado por el artículo 2.2.1.1.1.7.1. del Decreto 1082 de 2015, las entidades están obligadas a publicar en el SECOP todos los documentos relacionados con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expedidos durante las etapas precontractual, de ejecución y </w:t>
      </w:r>
      <w:proofErr w:type="spellStart"/>
      <w:r w:rsidRPr="00F16D2E">
        <w:rPr>
          <w:rFonts w:ascii="Verdana" w:eastAsia="Arial" w:hAnsi="Verdana" w:cs="Arial"/>
          <w:lang w:val="es-ES"/>
        </w:rPr>
        <w:t>postcontractual</w:t>
      </w:r>
      <w:proofErr w:type="spellEnd"/>
      <w:r w:rsidRPr="00F16D2E">
        <w:rPr>
          <w:rFonts w:ascii="Verdana" w:eastAsia="Arial" w:hAnsi="Verdana" w:cs="Arial"/>
          <w:lang w:val="es-ES"/>
        </w:rPr>
        <w:t xml:space="preserve">. Este deber aplica a todas las modalidades de selección y entidades regidas por el Estatuto General de Contratación de la Administración Pública, y solo se encuentran excluidas las ofertas perdedoras y los documentos expedidos en el marco de operaciones de bolsa de productos. </w:t>
      </w:r>
    </w:p>
    <w:p w14:paraId="1007A4FE" w14:textId="138D5524" w:rsidR="7EF3A662" w:rsidRDefault="007335FC" w:rsidP="0028522A">
      <w:pPr>
        <w:spacing w:before="120" w:after="120" w:line="276" w:lineRule="auto"/>
        <w:ind w:firstLine="709"/>
        <w:jc w:val="both"/>
        <w:rPr>
          <w:rFonts w:ascii="Verdana" w:eastAsia="Arial" w:hAnsi="Verdana" w:cs="Arial"/>
          <w:lang w:val="es-ES"/>
        </w:rPr>
      </w:pPr>
      <w:r w:rsidRPr="00F16D2E">
        <w:rPr>
          <w:rFonts w:ascii="Verdana" w:eastAsia="Calibri" w:hAnsi="Verdana" w:cs="Arial"/>
          <w:lang w:val="es-ES"/>
        </w:rPr>
        <w:t xml:space="preserve">Adicionalmente, el deber de publicar la actividad contractual de las entidades estatales no solo está regulado en el artículo 3 de la Ley 1150 de 2007 y en el </w:t>
      </w:r>
      <w:r w:rsidRPr="00F16D2E">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16D2E">
        <w:rPr>
          <w:rFonts w:ascii="Verdana" w:eastAsia="Arial" w:hAnsi="Verdana" w:cs="Arial"/>
          <w:i/>
          <w:iCs/>
          <w:lang w:val="es-ES"/>
        </w:rPr>
        <w:t xml:space="preserve">Documentos del Proceso </w:t>
      </w:r>
      <w:r w:rsidRPr="00F16D2E">
        <w:rPr>
          <w:rFonts w:ascii="Verdana" w:eastAsia="Arial" w:hAnsi="Verdana" w:cs="Arial"/>
          <w:lang w:val="es-ES"/>
        </w:rPr>
        <w:t xml:space="preserve">expedidos por la “entidad estatal”. </w:t>
      </w:r>
    </w:p>
    <w:p w14:paraId="068A7B94" w14:textId="5CEFC32F" w:rsidR="7EF3A662" w:rsidRDefault="007335FC" w:rsidP="0028522A">
      <w:pPr>
        <w:spacing w:before="120"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Es necesario tener en cuenta que la Ley de Transparencia define el concepto de información pública. Por un lado, el literal a) del artículo 6 de la Ley 1712 de 2014 dispone que la </w:t>
      </w:r>
      <w:r w:rsidRPr="00F16D2E">
        <w:rPr>
          <w:rFonts w:ascii="Verdana" w:eastAsia="Arial" w:hAnsi="Verdana" w:cs="Arial"/>
          <w:i/>
          <w:iCs/>
          <w:lang w:val="es-ES"/>
        </w:rPr>
        <w:t>información</w:t>
      </w:r>
      <w:r w:rsidRPr="00F16D2E">
        <w:rPr>
          <w:rFonts w:ascii="Verdana" w:eastAsia="Arial" w:hAnsi="Verdana" w:cs="Arial"/>
          <w:lang w:val="es-ES"/>
        </w:rPr>
        <w:t xml:space="preserve"> se “Se refiere a un conjunto organizado </w:t>
      </w:r>
      <w:r w:rsidRPr="00F16D2E">
        <w:rPr>
          <w:rFonts w:ascii="Verdana" w:eastAsia="Arial" w:hAnsi="Verdana" w:cs="Arial"/>
          <w:lang w:val="es-ES"/>
        </w:rPr>
        <w:lastRenderedPageBreak/>
        <w:t xml:space="preserve">de datos contenido en cualquier documento que los sujetos obligados generen, obtengan, adquieran, transformen o controlen”. Además, el literal b) </w:t>
      </w:r>
      <w:r w:rsidRPr="00F16D2E">
        <w:rPr>
          <w:rFonts w:ascii="Verdana" w:eastAsia="Arial" w:hAnsi="Verdana" w:cs="Arial"/>
          <w:i/>
          <w:iCs/>
          <w:lang w:val="es-ES"/>
        </w:rPr>
        <w:t>ibidem</w:t>
      </w:r>
      <w:r w:rsidRPr="00F16D2E">
        <w:rPr>
          <w:rFonts w:ascii="Verdana" w:eastAsia="Arial" w:hAnsi="Verdana" w:cs="Arial"/>
          <w:lang w:val="es-ES"/>
        </w:rPr>
        <w:t xml:space="preserve"> define la </w:t>
      </w:r>
      <w:r w:rsidRPr="00F16D2E">
        <w:rPr>
          <w:rFonts w:ascii="Verdana" w:eastAsia="Arial" w:hAnsi="Verdana" w:cs="Arial"/>
          <w:i/>
          <w:iCs/>
          <w:lang w:val="es-ES"/>
        </w:rPr>
        <w:t>información pública</w:t>
      </w:r>
      <w:r w:rsidRPr="00F16D2E">
        <w:rPr>
          <w:rFonts w:ascii="Verdana" w:eastAsia="Arial" w:hAnsi="Verdana" w:cs="Arial"/>
          <w:lang w:val="es-ES"/>
        </w:rPr>
        <w:t xml:space="preserve"> como “[…] toda información que un sujeto obligado </w:t>
      </w:r>
      <w:proofErr w:type="gramStart"/>
      <w:r w:rsidRPr="00F16D2E">
        <w:rPr>
          <w:rFonts w:ascii="Verdana" w:eastAsia="Arial" w:hAnsi="Verdana" w:cs="Arial"/>
          <w:lang w:val="es-ES"/>
        </w:rPr>
        <w:t>genere,</w:t>
      </w:r>
      <w:proofErr w:type="gramEnd"/>
      <w:r w:rsidRPr="00F16D2E">
        <w:rPr>
          <w:rFonts w:ascii="Verdana" w:eastAsia="Arial" w:hAnsi="Verdana" w:cs="Arial"/>
          <w:lang w:val="es-ES"/>
        </w:rPr>
        <w:t xml:space="preserve"> obtenga, adquiera, o controle en su calidad de tal”.</w:t>
      </w:r>
    </w:p>
    <w:p w14:paraId="3E766A83" w14:textId="77777777" w:rsidR="007335FC" w:rsidRPr="00F16D2E" w:rsidRDefault="007335FC" w:rsidP="007335FC">
      <w:pPr>
        <w:spacing w:before="120" w:after="120" w:line="276" w:lineRule="auto"/>
        <w:ind w:firstLine="709"/>
        <w:jc w:val="both"/>
        <w:rPr>
          <w:rFonts w:ascii="Verdana" w:eastAsia="Calibri" w:hAnsi="Verdana" w:cs="Arial"/>
          <w:lang w:val="es-ES"/>
        </w:rPr>
      </w:pPr>
      <w:r w:rsidRPr="00F16D2E">
        <w:rPr>
          <w:rFonts w:ascii="Verdana" w:eastAsia="Calibri" w:hAnsi="Verdana" w:cs="Arial"/>
          <w:lang w:val="es-ES"/>
        </w:rPr>
        <w:t xml:space="preserve">Las publicaciones que corresponde efectuar a las entidades estatales, como sujetos obligados por la normativa de la transparencia y acceso a la información pública, antes que una derogación o subrogación del contenido del deber de publicidad regulado por el EGCAP, suponen una ampliación de su alcance, que lo extiende de la simple publicación de la información “producida por la entidad estatal” asociada a la noción de </w:t>
      </w:r>
      <w:r w:rsidRPr="00F16D2E">
        <w:rPr>
          <w:rFonts w:ascii="Verdana" w:eastAsia="Calibri" w:hAnsi="Verdana" w:cs="Arial"/>
          <w:i/>
          <w:iCs/>
          <w:lang w:val="es-ES"/>
        </w:rPr>
        <w:t>Documentos del Proceso</w:t>
      </w:r>
      <w:r w:rsidRPr="00F16D2E">
        <w:rPr>
          <w:rFonts w:ascii="Verdana" w:eastAsia="Calibri" w:hAnsi="Verdana" w:cs="Arial"/>
          <w:lang w:val="es-ES"/>
        </w:rPr>
        <w:t xml:space="preserve">. Esto implica que la publicación que corresponde a las entidades estatales, como sujetos obligados en el marco de la Ley 1712 de 2014, se extiende a todo el desarrollo del procedimiento, desde la etapa de planeación hasta el vencimiento de las garantías, incluyendo cada actuación que se produzca en ese lapso.  </w:t>
      </w:r>
    </w:p>
    <w:p w14:paraId="5FE0FEA0" w14:textId="77777777" w:rsidR="007335FC" w:rsidRPr="00F16D2E" w:rsidRDefault="007335FC" w:rsidP="007335FC">
      <w:pPr>
        <w:spacing w:line="276" w:lineRule="auto"/>
        <w:ind w:firstLine="709"/>
        <w:contextualSpacing/>
        <w:jc w:val="both"/>
        <w:rPr>
          <w:rFonts w:ascii="Verdana" w:eastAsia="Calibri" w:hAnsi="Verdana" w:cs="Arial"/>
          <w:lang w:val="es-ES_tradnl" w:eastAsia="es-ES_tradnl"/>
        </w:rPr>
      </w:pPr>
      <w:r w:rsidRPr="00F16D2E">
        <w:rPr>
          <w:rFonts w:ascii="Verdana" w:hAnsi="Verdana" w:cs="Arial"/>
          <w:lang w:val="es-ES"/>
        </w:rPr>
        <w:t xml:space="preserve">Para los contratos de régimen exceptuado, el deber de publicidad y transparencia </w:t>
      </w:r>
      <w:bookmarkStart w:id="3" w:name="_Hlk114572097"/>
      <w:bookmarkStart w:id="4" w:name="_Hlk112856043"/>
      <w:bookmarkStart w:id="5" w:name="_Hlk112245356"/>
      <w:r w:rsidRPr="00F16D2E">
        <w:rPr>
          <w:rFonts w:ascii="Verdana" w:hAnsi="Verdana" w:cs="Arial"/>
          <w:lang w:val="es-ES"/>
        </w:rPr>
        <w:t>fue complementado</w:t>
      </w:r>
      <w:r w:rsidRPr="00F16D2E">
        <w:rPr>
          <w:rFonts w:ascii="Verdana" w:hAnsi="Verdana" w:cs="Arial"/>
        </w:rPr>
        <w:t xml:space="preserve"> con la Ley 2195 de 2022. </w:t>
      </w:r>
      <w:r w:rsidRPr="00F16D2E">
        <w:rPr>
          <w:rFonts w:ascii="Verdana" w:eastAsia="Calibri" w:hAnsi="Verdana" w:cs="Arial"/>
          <w:lang w:val="es-ES_tradnl" w:eastAsia="es-ES_tradnl"/>
        </w:rPr>
        <w:t>Según el artículo 1, esta Ley “</w:t>
      </w:r>
      <w:r w:rsidRPr="00F16D2E">
        <w:rPr>
          <w:rFonts w:ascii="Verdana" w:eastAsia="Times New Roman" w:hAnsi="Verdana" w:cs="Arial"/>
          <w:lang w:val="es-ES_tradnl" w:eastAsia="es-ES_tradnl"/>
        </w:rPr>
        <w:t xml:space="preserve">[…] </w:t>
      </w:r>
      <w:r w:rsidRPr="00F16D2E">
        <w:rPr>
          <w:rFonts w:ascii="Verdana" w:eastAsia="Calibri" w:hAnsi="Verdana"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55953490" w14:textId="77777777" w:rsidR="007335FC" w:rsidRPr="00F16D2E" w:rsidRDefault="007335FC" w:rsidP="007335FC">
      <w:pPr>
        <w:spacing w:line="276" w:lineRule="auto"/>
        <w:ind w:firstLine="709"/>
        <w:contextualSpacing/>
        <w:jc w:val="both"/>
        <w:rPr>
          <w:rFonts w:ascii="Verdana" w:eastAsia="Calibri" w:hAnsi="Verdana" w:cs="Arial"/>
          <w:sz w:val="12"/>
          <w:szCs w:val="12"/>
          <w:lang w:val="es-ES_tradnl" w:eastAsia="es-ES_tradnl"/>
        </w:rPr>
      </w:pPr>
    </w:p>
    <w:p w14:paraId="580E5C7E" w14:textId="77777777" w:rsidR="007335FC" w:rsidRPr="00F16D2E" w:rsidRDefault="007335FC" w:rsidP="007335FC">
      <w:pPr>
        <w:spacing w:line="276" w:lineRule="auto"/>
        <w:ind w:firstLine="709"/>
        <w:contextualSpacing/>
        <w:jc w:val="both"/>
        <w:rPr>
          <w:rFonts w:ascii="Verdana" w:hAnsi="Verdana" w:cs="Arial"/>
        </w:rPr>
      </w:pPr>
      <w:r w:rsidRPr="00F16D2E">
        <w:rPr>
          <w:rFonts w:ascii="Verdana" w:eastAsia="Calibri" w:hAnsi="Verdana" w:cs="Arial"/>
          <w:lang w:val="es-ES_tradnl" w:eastAsia="es-ES_tradnl"/>
        </w:rPr>
        <w:t xml:space="preserve">Dentro del capítulo VIII, por el cual se expiden “Disposiciones en materia contractual para la moralización y la transparencia”, se ubica </w:t>
      </w:r>
      <w:r w:rsidRPr="00F16D2E">
        <w:rPr>
          <w:rFonts w:ascii="Verdana" w:hAnsi="Verdana" w:cs="Arial"/>
        </w:rPr>
        <w:t>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–SECOP II– o la plataforma transaccional que haga sus veces.</w:t>
      </w:r>
      <w:bookmarkEnd w:id="3"/>
      <w:r w:rsidRPr="00F16D2E">
        <w:rPr>
          <w:rFonts w:ascii="Verdana" w:hAnsi="Verdana" w:cs="Arial"/>
        </w:rPr>
        <w:t xml:space="preserve"> </w:t>
      </w:r>
      <w:bookmarkEnd w:id="4"/>
      <w:bookmarkEnd w:id="5"/>
      <w:r w:rsidRPr="00F16D2E">
        <w:rPr>
          <w:rFonts w:ascii="Verdana" w:hAnsi="Verdana" w:cs="Arial"/>
        </w:rPr>
        <w:t>Al respecto, la norma citada dispone lo siguiente:</w:t>
      </w:r>
    </w:p>
    <w:p w14:paraId="39FF21FE" w14:textId="77777777" w:rsidR="007335FC" w:rsidRPr="00F16D2E" w:rsidRDefault="007335FC" w:rsidP="007335FC">
      <w:pPr>
        <w:spacing w:line="276" w:lineRule="auto"/>
        <w:ind w:firstLine="301"/>
        <w:contextualSpacing/>
        <w:rPr>
          <w:rFonts w:ascii="Verdana" w:hAnsi="Verdana" w:cs="Arial"/>
        </w:rPr>
      </w:pPr>
    </w:p>
    <w:p w14:paraId="0BC7ED69" w14:textId="77777777" w:rsidR="007335FC" w:rsidRPr="00F16D2E" w:rsidRDefault="007335FC" w:rsidP="007335FC">
      <w:pPr>
        <w:spacing w:line="240" w:lineRule="auto"/>
        <w:ind w:left="709" w:right="709"/>
        <w:contextualSpacing/>
        <w:jc w:val="both"/>
        <w:rPr>
          <w:rFonts w:ascii="Verdana" w:eastAsia="Calibri" w:hAnsi="Verdana" w:cs="Arial"/>
          <w:sz w:val="21"/>
          <w:szCs w:val="21"/>
        </w:rPr>
      </w:pPr>
      <w:r w:rsidRPr="00F16D2E">
        <w:rPr>
          <w:rFonts w:ascii="Verdana" w:eastAsia="Calibri" w:hAnsi="Verdana" w:cs="Arial"/>
          <w:sz w:val="21"/>
          <w:szCs w:val="21"/>
        </w:rPr>
        <w:t>“Adiciónese los siguientes incisos al artículo 13 de la Ley 1150 de 2007, el cual quedará así:</w:t>
      </w:r>
    </w:p>
    <w:p w14:paraId="0FEB8A59" w14:textId="77777777" w:rsidR="007335FC" w:rsidRPr="00F16D2E" w:rsidRDefault="007335FC" w:rsidP="007335FC">
      <w:pPr>
        <w:spacing w:line="240" w:lineRule="auto"/>
        <w:ind w:left="709" w:right="709"/>
        <w:contextualSpacing/>
        <w:jc w:val="both"/>
        <w:rPr>
          <w:rFonts w:ascii="Verdana" w:eastAsia="Calibri" w:hAnsi="Verdana" w:cs="Arial"/>
          <w:sz w:val="12"/>
          <w:szCs w:val="12"/>
        </w:rPr>
      </w:pPr>
    </w:p>
    <w:p w14:paraId="5A272A75" w14:textId="77777777" w:rsidR="007335FC" w:rsidRPr="00F16D2E" w:rsidRDefault="007335FC" w:rsidP="007335FC">
      <w:pPr>
        <w:spacing w:line="240" w:lineRule="auto"/>
        <w:ind w:left="709" w:right="709"/>
        <w:contextualSpacing/>
        <w:jc w:val="both"/>
        <w:rPr>
          <w:rFonts w:ascii="Verdana" w:eastAsia="Calibri" w:hAnsi="Verdana" w:cs="Arial"/>
          <w:sz w:val="21"/>
          <w:szCs w:val="21"/>
        </w:rPr>
      </w:pPr>
      <w:r w:rsidRPr="00F16D2E">
        <w:rPr>
          <w:rFonts w:ascii="Verdana" w:eastAsia="Calibri" w:hAnsi="Verdana" w:cs="Arial"/>
          <w:sz w:val="21"/>
          <w:szCs w:val="21"/>
        </w:rPr>
        <w:t xml:space="preserve">Artículo 13. PRINCIPIOS GENERALES DE LA ACTIVIDAD CONTRACTUAL PARA ENTIDADES NO SOMETIDAS AL ESTATUTO GENERAL DE CONTRATACIÓN DE LA ADMINISTRACIÓN PÚBLICA. Las entidades estatales que por disposición legal cuenten con un régimen contractual </w:t>
      </w:r>
      <w:r w:rsidRPr="00F16D2E">
        <w:rPr>
          <w:rFonts w:ascii="Verdana" w:eastAsia="Calibri" w:hAnsi="Verdana" w:cs="Arial"/>
          <w:sz w:val="21"/>
          <w:szCs w:val="21"/>
        </w:rPr>
        <w:lastRenderedPageBreak/>
        <w:t>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B94B833" w14:textId="77777777" w:rsidR="007335FC" w:rsidRPr="00F16D2E" w:rsidRDefault="007335FC" w:rsidP="007335FC">
      <w:pPr>
        <w:spacing w:line="240" w:lineRule="auto"/>
        <w:ind w:left="709" w:right="709"/>
        <w:contextualSpacing/>
        <w:jc w:val="both"/>
        <w:rPr>
          <w:rFonts w:ascii="Verdana" w:eastAsia="Calibri" w:hAnsi="Verdana" w:cs="Arial"/>
          <w:sz w:val="12"/>
          <w:szCs w:val="12"/>
        </w:rPr>
      </w:pPr>
    </w:p>
    <w:p w14:paraId="036B5360" w14:textId="77777777" w:rsidR="007335FC" w:rsidRPr="00F16D2E" w:rsidRDefault="007335FC" w:rsidP="007335FC">
      <w:pPr>
        <w:spacing w:line="240" w:lineRule="auto"/>
        <w:ind w:left="709" w:right="709"/>
        <w:contextualSpacing/>
        <w:jc w:val="both"/>
        <w:rPr>
          <w:rFonts w:ascii="Verdana" w:eastAsia="Calibri" w:hAnsi="Verdana" w:cs="Arial"/>
          <w:i/>
          <w:iCs/>
          <w:sz w:val="21"/>
          <w:szCs w:val="21"/>
        </w:rPr>
      </w:pPr>
      <w:r w:rsidRPr="00F16D2E">
        <w:rPr>
          <w:rFonts w:ascii="Verdana" w:eastAsia="Calibri" w:hAnsi="Verdana" w:cs="Arial"/>
          <w:i/>
          <w:iCs/>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F16D2E">
        <w:rPr>
          <w:rFonts w:ascii="Verdana" w:eastAsia="Calibri" w:hAnsi="Verdana" w:cs="Arial"/>
          <w:i/>
          <w:iCs/>
          <w:sz w:val="21"/>
          <w:szCs w:val="21"/>
        </w:rPr>
        <w:t>postcontractual</w:t>
      </w:r>
      <w:proofErr w:type="spellEnd"/>
      <w:r w:rsidRPr="00F16D2E">
        <w:rPr>
          <w:rFonts w:ascii="Verdana" w:eastAsia="Calibri" w:hAnsi="Verdana" w:cs="Arial"/>
          <w:i/>
          <w:iCs/>
          <w:sz w:val="21"/>
          <w:szCs w:val="21"/>
        </w:rPr>
        <w:t>.</w:t>
      </w:r>
    </w:p>
    <w:p w14:paraId="476A2AFE" w14:textId="77777777" w:rsidR="007335FC" w:rsidRPr="00F16D2E" w:rsidRDefault="007335FC" w:rsidP="007335FC">
      <w:pPr>
        <w:spacing w:line="240" w:lineRule="auto"/>
        <w:ind w:left="709" w:right="709"/>
        <w:contextualSpacing/>
        <w:jc w:val="both"/>
        <w:rPr>
          <w:rFonts w:ascii="Verdana" w:eastAsia="Calibri" w:hAnsi="Verdana" w:cs="Arial"/>
          <w:i/>
          <w:iCs/>
          <w:sz w:val="12"/>
          <w:szCs w:val="12"/>
        </w:rPr>
      </w:pPr>
    </w:p>
    <w:p w14:paraId="4F00370D" w14:textId="77777777" w:rsidR="007335FC" w:rsidRPr="00F16D2E" w:rsidRDefault="007335FC" w:rsidP="007335FC">
      <w:pPr>
        <w:spacing w:line="240" w:lineRule="auto"/>
        <w:ind w:left="709" w:right="709"/>
        <w:contextualSpacing/>
        <w:jc w:val="both"/>
        <w:rPr>
          <w:rFonts w:ascii="Verdana" w:eastAsia="Calibri" w:hAnsi="Verdana" w:cs="Arial"/>
          <w:sz w:val="21"/>
          <w:szCs w:val="21"/>
        </w:rPr>
      </w:pPr>
      <w:r w:rsidRPr="00F16D2E">
        <w:rPr>
          <w:rFonts w:ascii="Verdana" w:eastAsia="Calibri" w:hAnsi="Verdana" w:cs="Arial"/>
          <w:sz w:val="21"/>
          <w:szCs w:val="21"/>
        </w:rPr>
        <w:t>A partir de la entrada en vigencia de la presente Ley, se establecerá un periodo de transición de seis (6) meses, para que las entidades den cumplimiento efectivo a lo aquí establecido” (Énfasis fuera de texto).</w:t>
      </w:r>
    </w:p>
    <w:p w14:paraId="564CD353" w14:textId="77777777" w:rsidR="007335FC" w:rsidRPr="00F16D2E" w:rsidRDefault="007335FC" w:rsidP="007335FC">
      <w:pPr>
        <w:spacing w:line="276" w:lineRule="auto"/>
        <w:ind w:firstLine="709"/>
        <w:contextualSpacing/>
        <w:jc w:val="both"/>
        <w:rPr>
          <w:rFonts w:ascii="Verdana" w:eastAsia="Calibri" w:hAnsi="Verdana" w:cs="Arial"/>
          <w:lang w:val="es-ES_tradnl"/>
        </w:rPr>
      </w:pPr>
    </w:p>
    <w:p w14:paraId="5C53FCAE" w14:textId="77777777" w:rsidR="007335FC" w:rsidRPr="00F16D2E" w:rsidRDefault="007335FC" w:rsidP="007335FC">
      <w:pPr>
        <w:spacing w:after="120" w:line="276" w:lineRule="auto"/>
        <w:ind w:firstLine="709"/>
        <w:jc w:val="both"/>
        <w:rPr>
          <w:rFonts w:ascii="Verdana" w:eastAsia="Calibri" w:hAnsi="Verdana" w:cs="Arial"/>
          <w:lang w:val="es-ES_tradnl" w:eastAsia="es-ES_tradnl"/>
        </w:rPr>
      </w:pPr>
      <w:r w:rsidRPr="00F16D2E">
        <w:rPr>
          <w:rFonts w:ascii="Verdana" w:eastAsia="Calibri" w:hAnsi="Verdana" w:cs="Arial"/>
          <w:lang w:val="es-ES_tradnl"/>
        </w:rPr>
        <w:t xml:space="preserve">Cabe destacar que cuando la norma trascrita hace referencia a que el mencionado deber de publicidad debe cumplirse en el SECOP II o </w:t>
      </w:r>
      <w:r w:rsidRPr="00F16D2E">
        <w:rPr>
          <w:rFonts w:ascii="Verdana" w:hAnsi="Verdana" w:cs="Arial"/>
        </w:rPr>
        <w:t>“</w:t>
      </w:r>
      <w:r w:rsidRPr="00F16D2E">
        <w:rPr>
          <w:rFonts w:ascii="Verdana" w:eastAsia="Calibri" w:hAnsi="Verdana" w:cs="Arial"/>
          <w:lang w:val="es-ES_tradnl"/>
        </w:rPr>
        <w:t xml:space="preserve">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Pr="00F16D2E">
        <w:rPr>
          <w:rFonts w:ascii="Verdana" w:hAnsi="Verdana" w:cs="Arial"/>
        </w:rPr>
        <w:t>“</w:t>
      </w:r>
      <w:r w:rsidRPr="00F16D2E">
        <w:rPr>
          <w:rFonts w:ascii="Verdana" w:eastAsia="Calibri" w:hAnsi="Verdana" w:cs="Arial"/>
          <w:lang w:val="es-ES_tradnl"/>
        </w:rPr>
        <w:t>la plataforma que haga sus veces</w:t>
      </w:r>
      <w:r w:rsidRPr="00F16D2E">
        <w:rPr>
          <w:rFonts w:ascii="Verdana" w:hAnsi="Verdana" w:cs="Arial"/>
        </w:rPr>
        <w:t>”</w:t>
      </w:r>
      <w:r w:rsidRPr="00F16D2E">
        <w:rPr>
          <w:rFonts w:ascii="Verdana" w:eastAsia="Calibri" w:hAnsi="Verdana" w:cs="Arial"/>
          <w:lang w:val="es-ES_tradnl"/>
        </w:rPr>
        <w:t xml:space="preserve"> no puede interpretarse como una autorización para que las entidades obligadas en virtud del artículo 53 de la Ley 2195 de 2022 puedan emplear sus páginas web o sus propios portales electrónicos para cumplir con el deber de publicidad que les asiste. </w:t>
      </w:r>
      <w:r w:rsidRPr="00F16D2E">
        <w:rPr>
          <w:rFonts w:ascii="Verdana" w:eastAsia="Calibri" w:hAnsi="Verdana" w:cs="Arial"/>
          <w:lang w:val="es-ES_tradnl" w:eastAsia="es-ES_tradnl"/>
        </w:rPr>
        <w:t>Con esto se logra que la ciudadanía pueda encontrar en un mismo sistema la gestión de la actividad contractual del Estado, garantizándose en mayor grado la transparencia y el acceso a la información y documentación pública.</w:t>
      </w:r>
    </w:p>
    <w:p w14:paraId="1D117DC6" w14:textId="77777777" w:rsidR="007335FC" w:rsidRPr="00E62340" w:rsidRDefault="007335FC" w:rsidP="007335FC">
      <w:pPr>
        <w:spacing w:before="120" w:after="0" w:line="276" w:lineRule="auto"/>
        <w:ind w:firstLine="709"/>
        <w:jc w:val="both"/>
        <w:rPr>
          <w:rFonts w:ascii="Verdana" w:eastAsia="Calibri" w:hAnsi="Verdana" w:cs="Arial"/>
          <w:lang w:val="es-ES_tradnl"/>
        </w:rPr>
      </w:pPr>
      <w:bookmarkStart w:id="6" w:name="_Hlk109111956"/>
      <w:bookmarkStart w:id="7" w:name="_Hlk112245392"/>
      <w:r w:rsidRPr="00F16D2E">
        <w:rPr>
          <w:rFonts w:ascii="Verdana" w:eastAsia="Calibri" w:hAnsi="Verdana" w:cs="Arial"/>
          <w:lang w:val="es-ES_tradnl"/>
        </w:rPr>
        <w:t xml:space="preserve">En cuanto a los documentos que deben publicarse en el SECOP II, la norma citada hace referencia a los documentos relacionados con su </w:t>
      </w:r>
      <w:r w:rsidRPr="00F16D2E">
        <w:rPr>
          <w:rFonts w:ascii="Verdana" w:eastAsia="Calibri" w:hAnsi="Verdana" w:cs="Arial"/>
          <w:i/>
          <w:iCs/>
          <w:lang w:val="es-ES_tradnl"/>
        </w:rPr>
        <w:t>actividad contractual,</w:t>
      </w:r>
      <w:r w:rsidRPr="00F16D2E">
        <w:rPr>
          <w:rFonts w:ascii="Verdana" w:eastAsia="Calibri" w:hAnsi="Verdana" w:cs="Arial"/>
          <w:lang w:val="es-ES_tradnl"/>
        </w:rPr>
        <w:t xml:space="preserve"> es decir, “[…] los documentos, contratos, actos e información generada por oferentes, contratista, contratante, supervisor o interventor, tanto en la etapa precontractual, como en la contractual y la </w:t>
      </w:r>
      <w:proofErr w:type="spellStart"/>
      <w:r w:rsidRPr="00F16D2E">
        <w:rPr>
          <w:rFonts w:ascii="Verdana" w:eastAsia="Calibri" w:hAnsi="Verdana" w:cs="Arial"/>
          <w:lang w:val="es-ES_tradnl"/>
        </w:rPr>
        <w:t>postcontractual</w:t>
      </w:r>
      <w:proofErr w:type="spellEnd"/>
      <w:r w:rsidRPr="00F16D2E">
        <w:rPr>
          <w:rFonts w:ascii="Verdana" w:eastAsia="Calibri" w:hAnsi="Verdana" w:cs="Arial"/>
          <w:lang w:val="es-ES_tradnl"/>
        </w:rPr>
        <w:t xml:space="preserve">”. En ese </w:t>
      </w:r>
      <w:r w:rsidRPr="00F16D2E">
        <w:rPr>
          <w:rFonts w:ascii="Verdana" w:eastAsia="Calibri" w:hAnsi="Verdana" w:cs="Arial"/>
          <w:lang w:val="es-ES_tradnl"/>
        </w:rPr>
        <w:lastRenderedPageBreak/>
        <w:t xml:space="preserve">sentido, el artículo 53 de la Ley 2195 de 2022 establece el deber de publicar toda aquella información relacionada con el respectivo contrato, sin incluir ninguna excepción relacionada con la naturaleza u objeto. Por </w:t>
      </w:r>
      <w:bookmarkEnd w:id="6"/>
      <w:r w:rsidRPr="00F16D2E">
        <w:rPr>
          <w:rFonts w:ascii="Verdana" w:eastAsia="Calibri" w:hAnsi="Verdana" w:cs="Arial"/>
          <w:lang w:val="es-ES_tradnl"/>
        </w:rPr>
        <w:t xml:space="preserve">lo tanto, la publicidad de los contratos exceptuados del Estatuto General de que trata el artículo 53 de la Ley 2195 de 2022, requiere que se publique en el SECOP II todo documento expedido durante las diferentes etapas del proceso contractual, abarcando desde la fase previa a su celebración, pasando por la ejecución y hasta la fase posterior a su ejecución. </w:t>
      </w:r>
      <w:r w:rsidRPr="00F16D2E">
        <w:rPr>
          <w:rFonts w:ascii="Verdana" w:eastAsia="Calibri" w:hAnsi="Verdana" w:cs="Arial"/>
          <w:lang w:val="es-ES"/>
        </w:rPr>
        <w:t xml:space="preserve"> </w:t>
      </w:r>
      <w:bookmarkEnd w:id="7"/>
    </w:p>
    <w:p w14:paraId="4312D13F" w14:textId="77777777" w:rsidR="007335FC" w:rsidRDefault="007335FC" w:rsidP="007335FC">
      <w:pPr>
        <w:spacing w:after="0" w:line="276" w:lineRule="auto"/>
        <w:jc w:val="both"/>
        <w:rPr>
          <w:rFonts w:ascii="Verdana" w:eastAsia="Calibri" w:hAnsi="Verdana" w:cs="Arial"/>
          <w:lang w:val="es-ES_tradnl"/>
        </w:rPr>
      </w:pPr>
    </w:p>
    <w:p w14:paraId="43F24031" w14:textId="77777777" w:rsidR="007335FC" w:rsidRPr="00F95B1D" w:rsidRDefault="007335FC" w:rsidP="007335FC">
      <w:pPr>
        <w:spacing w:after="120" w:line="276" w:lineRule="auto"/>
        <w:jc w:val="both"/>
        <w:rPr>
          <w:rFonts w:ascii="Verdana" w:eastAsia="Calibri" w:hAnsi="Verdana" w:cs="Arial"/>
          <w:color w:val="000000" w:themeColor="text1"/>
          <w:lang w:val="es-ES"/>
        </w:rPr>
      </w:pPr>
      <w:proofErr w:type="spellStart"/>
      <w:r w:rsidRPr="7EF3A662">
        <w:rPr>
          <w:rFonts w:ascii="Verdana" w:eastAsia="Calibri" w:hAnsi="Verdana" w:cs="Arial"/>
          <w:lang w:val="es-ES"/>
        </w:rPr>
        <w:t>ii</w:t>
      </w:r>
      <w:proofErr w:type="spellEnd"/>
      <w:r w:rsidRPr="7EF3A662">
        <w:rPr>
          <w:rFonts w:ascii="Verdana" w:eastAsia="Calibri" w:hAnsi="Verdana" w:cs="Arial"/>
          <w:lang w:val="es-ES"/>
        </w:rPr>
        <w:t xml:space="preserve">. </w:t>
      </w:r>
      <w:r w:rsidRPr="7EF3A662">
        <w:rPr>
          <w:rFonts w:ascii="Verdana" w:eastAsia="Calibri" w:hAnsi="Verdana" w:cs="Arial"/>
          <w:color w:val="000000" w:themeColor="text1"/>
          <w:lang w:val="es-ES"/>
        </w:rPr>
        <w:t xml:space="preserve">Hace varios años el Estado tiende a la eliminación de los trámites innecesarios relacionados con las actuaciones que se adelantan ante las </w:t>
      </w:r>
      <w:proofErr w:type="gramStart"/>
      <w:r w:rsidRPr="7EF3A662">
        <w:rPr>
          <w:rFonts w:ascii="Verdana" w:eastAsia="Calibri" w:hAnsi="Verdana" w:cs="Arial"/>
          <w:color w:val="000000" w:themeColor="text1"/>
          <w:lang w:val="es-ES"/>
        </w:rPr>
        <w:t>autoridades públicas</w:t>
      </w:r>
      <w:proofErr w:type="gramEnd"/>
      <w:r w:rsidRPr="7EF3A662">
        <w:rPr>
          <w:rFonts w:ascii="Verdana" w:eastAsia="Calibri" w:hAnsi="Verdana" w:cs="Arial"/>
          <w:color w:val="000000" w:themeColor="text1"/>
          <w:lang w:val="es-ES"/>
        </w:rPr>
        <w:t xml:space="preserve">, buscando que las personas tengan una mejor calidad de vida, de manera que puedan utilizar el tiempo en otras actividades. Anteriormente las actuaciones oficiales, es decir, las que se realizan ante las entidades públicas, debían surtirse de manera presencial o a través del envío de documentación física, muchas veces cumpliendo con el requisito de la presentación personal. En la actualidad, se produce una inversión en la lógica que rige la relación de los ciudadanos con el Estado: i) en lugar de la presencialidad, se ha comenzado a privilegiar la virtualidad y </w:t>
      </w:r>
      <w:proofErr w:type="spellStart"/>
      <w:r w:rsidRPr="7EF3A662">
        <w:rPr>
          <w:rFonts w:ascii="Verdana" w:eastAsia="Calibri" w:hAnsi="Verdana" w:cs="Arial"/>
          <w:color w:val="000000" w:themeColor="text1"/>
          <w:lang w:val="es-ES"/>
        </w:rPr>
        <w:t>ii</w:t>
      </w:r>
      <w:proofErr w:type="spellEnd"/>
      <w:r w:rsidRPr="7EF3A662">
        <w:rPr>
          <w:rFonts w:ascii="Verdana" w:eastAsia="Calibri" w:hAnsi="Verdana" w:cs="Arial"/>
          <w:color w:val="000000" w:themeColor="text1"/>
          <w:lang w:val="es-ES"/>
        </w:rPr>
        <w:t>) del reconocimiento de validez y autenticidad, exclusivamente, a la documentación física, se ha pasado a admitir dichos atributos respecto de la documentación electrónica.</w:t>
      </w:r>
    </w:p>
    <w:p w14:paraId="3F957DA1" w14:textId="77777777" w:rsidR="007335FC" w:rsidRPr="00F95B1D" w:rsidRDefault="007335FC" w:rsidP="007335FC">
      <w:pPr>
        <w:spacing w:after="120" w:line="276" w:lineRule="auto"/>
        <w:ind w:firstLine="708"/>
        <w:jc w:val="both"/>
        <w:rPr>
          <w:rFonts w:ascii="Verdana" w:eastAsia="Calibri" w:hAnsi="Verdana" w:cs="Arial"/>
          <w:color w:val="000000" w:themeColor="text1"/>
          <w:lang w:val="es-ES"/>
        </w:rPr>
      </w:pPr>
      <w:r w:rsidRPr="7EF3A662">
        <w:rPr>
          <w:rFonts w:ascii="Verdana" w:eastAsia="Calibri" w:hAnsi="Verdana" w:cs="Arial"/>
          <w:color w:val="000000" w:themeColor="text1"/>
          <w:lang w:val="es-ES"/>
        </w:rPr>
        <w:t>En este cambio de paradigma, la función de las normas “</w:t>
      </w:r>
      <w:proofErr w:type="spellStart"/>
      <w:r w:rsidRPr="7EF3A662">
        <w:rPr>
          <w:rFonts w:ascii="Verdana" w:eastAsia="Calibri" w:hAnsi="Verdana" w:cs="Arial"/>
          <w:color w:val="000000" w:themeColor="text1"/>
          <w:lang w:val="es-ES"/>
        </w:rPr>
        <w:t>antitrámites</w:t>
      </w:r>
      <w:proofErr w:type="spellEnd"/>
      <w:r w:rsidRPr="7EF3A662">
        <w:rPr>
          <w:rFonts w:ascii="Verdana" w:eastAsia="Calibri" w:hAnsi="Verdana" w:cs="Arial"/>
          <w:color w:val="000000" w:themeColor="text1"/>
          <w:lang w:val="es-ES"/>
        </w:rPr>
        <w:t>” –como la Ley 962 de 2005, el Decreto Ley 019 de 2012, así como el Decreto 2106 de 2019– ha sido decisiva. Pero no solo estas disposiciones han permitido o exigido el uso de medios electrónicos en las actuaciones administrativas. También lo han hecho la Ley 527 de 1999, la Ley 1150 de 2007 y la Ley 1437 de 2011.</w:t>
      </w:r>
    </w:p>
    <w:p w14:paraId="65015D8E" w14:textId="77777777" w:rsidR="007335FC" w:rsidRPr="00F95B1D" w:rsidRDefault="007335FC" w:rsidP="007335FC">
      <w:pPr>
        <w:spacing w:before="120" w:after="120" w:line="276" w:lineRule="auto"/>
        <w:ind w:firstLine="709"/>
        <w:jc w:val="both"/>
        <w:rPr>
          <w:rFonts w:ascii="Verdana" w:eastAsia="Calibri" w:hAnsi="Verdana" w:cs="Arial"/>
          <w:color w:val="000000" w:themeColor="text1"/>
          <w:lang w:val="es-ES_tradnl"/>
        </w:rPr>
      </w:pPr>
      <w:r w:rsidRPr="00F95B1D">
        <w:rPr>
          <w:rFonts w:ascii="Verdana" w:eastAsia="Calibri" w:hAnsi="Verdana" w:cs="Arial"/>
          <w:color w:val="000000" w:themeColor="text1"/>
          <w:lang w:val="es-ES_tradnl"/>
        </w:rPr>
        <w:t xml:space="preserve">En efecto, </w:t>
      </w:r>
      <w:bookmarkStart w:id="8" w:name="_Hlk56157243"/>
      <w:r w:rsidRPr="00F95B1D">
        <w:rPr>
          <w:rFonts w:ascii="Verdana" w:eastAsia="Calibri" w:hAnsi="Verdana" w:cs="Arial"/>
          <w:color w:val="000000" w:themeColor="text1"/>
          <w:lang w:val="es-ES_tradnl"/>
        </w:rPr>
        <w:t xml:space="preserve">el artículo 10 de la Ley 527 de 1999, “Por medio de la cual se define y reglamenta el acceso y uso de los mensajes de datos, del comercio electrónico y de las firmas digitales, y se establecen las entidades de certificación y se dictan otras disposiciones”, dispone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w:t>
      </w:r>
    </w:p>
    <w:p w14:paraId="006F0926" w14:textId="77777777" w:rsidR="007335FC" w:rsidRPr="00F95B1D" w:rsidRDefault="007335FC" w:rsidP="007335FC">
      <w:pPr>
        <w:spacing w:before="120" w:after="120" w:line="276" w:lineRule="auto"/>
        <w:ind w:firstLine="709"/>
        <w:jc w:val="both"/>
        <w:rPr>
          <w:rFonts w:ascii="Verdana" w:eastAsia="Calibri" w:hAnsi="Verdana" w:cs="Arial"/>
          <w:color w:val="000000" w:themeColor="text1"/>
          <w:lang w:val="es-ES"/>
        </w:rPr>
      </w:pPr>
      <w:r w:rsidRPr="7EF3A662">
        <w:rPr>
          <w:rFonts w:ascii="Verdana" w:eastAsia="Calibri" w:hAnsi="Verdana" w:cs="Arial"/>
          <w:color w:val="000000" w:themeColor="text1"/>
          <w:lang w:val="es-ES"/>
        </w:rPr>
        <w:lastRenderedPageBreak/>
        <w:t>De igual manera, el artículo 2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w:t>
      </w:r>
      <w:proofErr w:type="spellStart"/>
      <w:r w:rsidRPr="7EF3A662">
        <w:rPr>
          <w:rFonts w:ascii="Verdana" w:eastAsia="Calibri" w:hAnsi="Verdana" w:cs="Arial"/>
          <w:color w:val="000000" w:themeColor="text1"/>
          <w:lang w:val="es-ES"/>
        </w:rPr>
        <w:t>lit.</w:t>
      </w:r>
      <w:proofErr w:type="spellEnd"/>
      <w:r w:rsidRPr="7EF3A662">
        <w:rPr>
          <w:rFonts w:ascii="Verdana" w:eastAsia="Calibri" w:hAnsi="Verdana" w:cs="Arial"/>
          <w:color w:val="000000" w:themeColor="text1"/>
          <w:lang w:val="es-ES"/>
        </w:rPr>
        <w:t xml:space="preserve"> a)– y “sistema de información” como “todo sistema utilizado para generar, enviar, recibir, archivar o procesar de alguna otra forma mensajes de datos” –</w:t>
      </w:r>
      <w:proofErr w:type="spellStart"/>
      <w:r w:rsidRPr="7EF3A662">
        <w:rPr>
          <w:rFonts w:ascii="Verdana" w:eastAsia="Calibri" w:hAnsi="Verdana" w:cs="Arial"/>
          <w:color w:val="000000" w:themeColor="text1"/>
          <w:lang w:val="es-ES"/>
        </w:rPr>
        <w:t>lit.</w:t>
      </w:r>
      <w:proofErr w:type="spellEnd"/>
      <w:r w:rsidRPr="7EF3A662">
        <w:rPr>
          <w:rFonts w:ascii="Verdana" w:eastAsia="Calibri" w:hAnsi="Verdana" w:cs="Arial"/>
          <w:color w:val="000000" w:themeColor="text1"/>
          <w:lang w:val="es-ES"/>
        </w:rPr>
        <w:t xml:space="preserve"> f)–. Bajo este entendido, las aplicaciones web, que posibilitan el envío de mensajes de datos escritos o audiovisuales, como </w:t>
      </w:r>
      <w:r w:rsidRPr="7EF3A662">
        <w:rPr>
          <w:rFonts w:ascii="Verdana" w:eastAsia="Calibri" w:hAnsi="Verdana" w:cs="Arial"/>
          <w:i/>
          <w:color w:val="000000" w:themeColor="text1"/>
          <w:lang w:val="es-ES"/>
        </w:rPr>
        <w:t>Skype</w:t>
      </w:r>
      <w:r w:rsidRPr="7EF3A662">
        <w:rPr>
          <w:rFonts w:ascii="Verdana" w:eastAsia="Calibri" w:hAnsi="Verdana" w:cs="Arial"/>
          <w:color w:val="000000" w:themeColor="text1"/>
          <w:lang w:val="es-ES"/>
        </w:rPr>
        <w:t xml:space="preserve">, </w:t>
      </w:r>
      <w:proofErr w:type="spellStart"/>
      <w:r w:rsidRPr="7EF3A662">
        <w:rPr>
          <w:rFonts w:ascii="Verdana" w:eastAsia="Calibri" w:hAnsi="Verdana" w:cs="Arial"/>
          <w:i/>
          <w:color w:val="000000" w:themeColor="text1"/>
          <w:lang w:val="es-ES"/>
        </w:rPr>
        <w:t>Facetime</w:t>
      </w:r>
      <w:proofErr w:type="spellEnd"/>
      <w:r w:rsidRPr="7EF3A662">
        <w:rPr>
          <w:rFonts w:ascii="Verdana" w:eastAsia="Calibri" w:hAnsi="Verdana" w:cs="Arial"/>
          <w:color w:val="000000" w:themeColor="text1"/>
          <w:lang w:val="es-ES"/>
        </w:rPr>
        <w:t xml:space="preserve">, </w:t>
      </w:r>
      <w:proofErr w:type="spellStart"/>
      <w:r w:rsidRPr="7EF3A662">
        <w:rPr>
          <w:rFonts w:ascii="Verdana" w:eastAsia="Calibri" w:hAnsi="Verdana" w:cs="Arial"/>
          <w:i/>
          <w:color w:val="000000" w:themeColor="text1"/>
          <w:lang w:val="es-ES"/>
        </w:rPr>
        <w:t>Whatsapp</w:t>
      </w:r>
      <w:proofErr w:type="spellEnd"/>
      <w:r w:rsidRPr="7EF3A662">
        <w:rPr>
          <w:rFonts w:ascii="Verdana" w:eastAsia="Calibri" w:hAnsi="Verdana" w:cs="Arial"/>
          <w:color w:val="000000" w:themeColor="text1"/>
          <w:lang w:val="es-ES"/>
        </w:rPr>
        <w:t xml:space="preserve">, </w:t>
      </w:r>
      <w:proofErr w:type="spellStart"/>
      <w:r w:rsidRPr="7EF3A662">
        <w:rPr>
          <w:rFonts w:ascii="Verdana" w:eastAsia="Calibri" w:hAnsi="Verdana" w:cs="Arial"/>
          <w:i/>
          <w:color w:val="000000" w:themeColor="text1"/>
          <w:lang w:val="es-ES"/>
        </w:rPr>
        <w:t>Teams</w:t>
      </w:r>
      <w:proofErr w:type="spellEnd"/>
      <w:r w:rsidRPr="7EF3A662">
        <w:rPr>
          <w:rFonts w:ascii="Verdana" w:eastAsia="Calibri" w:hAnsi="Verdana" w:cs="Arial"/>
          <w:color w:val="000000" w:themeColor="text1"/>
          <w:lang w:val="es-ES"/>
        </w:rPr>
        <w:t>, entre otras, constituyen sistemas de información, permitidos por el legislador en las actuaciones administrativas.</w:t>
      </w:r>
    </w:p>
    <w:p w14:paraId="3EBEB43F" w14:textId="77777777" w:rsidR="007335FC" w:rsidRPr="00F95B1D" w:rsidRDefault="007335FC" w:rsidP="007335FC">
      <w:pPr>
        <w:spacing w:before="120" w:after="0" w:line="276" w:lineRule="auto"/>
        <w:ind w:firstLine="709"/>
        <w:jc w:val="both"/>
        <w:rPr>
          <w:rFonts w:ascii="Verdana" w:eastAsia="Calibri" w:hAnsi="Verdana" w:cs="Arial"/>
          <w:color w:val="000000" w:themeColor="text1"/>
          <w:lang w:val="es-ES_tradnl"/>
        </w:rPr>
      </w:pPr>
      <w:r w:rsidRPr="00F95B1D">
        <w:rPr>
          <w:rFonts w:ascii="Verdana" w:eastAsia="Calibri" w:hAnsi="Verdana" w:cs="Arial"/>
          <w:color w:val="000000" w:themeColor="text1"/>
          <w:lang w:val="es-ES_tradnl"/>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w:t>
      </w:r>
      <w:bookmarkEnd w:id="8"/>
      <w:r w:rsidRPr="00F95B1D">
        <w:rPr>
          <w:rFonts w:ascii="Verdana" w:eastAsia="Calibri" w:hAnsi="Verdana" w:cs="Arial"/>
          <w:color w:val="000000" w:themeColor="text1"/>
          <w:lang w:val="es-ES_tradnl"/>
        </w:rPr>
        <w:t>. Así se infiere del artículo 3, el cual dispone lo siguiente:</w:t>
      </w:r>
    </w:p>
    <w:p w14:paraId="3515ACA1" w14:textId="77777777" w:rsidR="007335FC" w:rsidRPr="00F95B1D" w:rsidRDefault="007335FC" w:rsidP="007335FC">
      <w:pPr>
        <w:spacing w:after="0"/>
        <w:ind w:left="709" w:right="709"/>
        <w:jc w:val="both"/>
        <w:rPr>
          <w:rFonts w:ascii="Verdana" w:eastAsia="Calibri" w:hAnsi="Verdana" w:cs="Arial"/>
          <w:color w:val="000000" w:themeColor="text1"/>
          <w:sz w:val="21"/>
          <w:szCs w:val="21"/>
          <w:lang w:val="es-ES_tradnl"/>
        </w:rPr>
      </w:pPr>
    </w:p>
    <w:p w14:paraId="1B8C7654" w14:textId="77777777" w:rsidR="007335FC" w:rsidRPr="00F95B1D" w:rsidRDefault="007335FC" w:rsidP="007335FC">
      <w:pPr>
        <w:spacing w:after="120" w:line="240" w:lineRule="auto"/>
        <w:ind w:left="709" w:right="709"/>
        <w:jc w:val="both"/>
        <w:rPr>
          <w:rFonts w:ascii="Verdana" w:eastAsia="Calibri" w:hAnsi="Verdana" w:cs="Arial"/>
          <w:color w:val="000000" w:themeColor="text1"/>
          <w:sz w:val="21"/>
          <w:szCs w:val="21"/>
          <w:lang w:val="es-ES"/>
        </w:rPr>
      </w:pPr>
      <w:bookmarkStart w:id="9" w:name="_Hlk56071452"/>
      <w:r w:rsidRPr="7EF3A662">
        <w:rPr>
          <w:rFonts w:ascii="Verdana" w:eastAsia="Calibri" w:hAnsi="Verdana" w:cs="Arial"/>
          <w:color w:val="000000" w:themeColor="text1"/>
          <w:sz w:val="21"/>
          <w:szCs w:val="21"/>
          <w:lang w:val="es-ES"/>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w:t>
      </w:r>
      <w:bookmarkEnd w:id="9"/>
      <w:r w:rsidRPr="7EF3A662">
        <w:rPr>
          <w:rFonts w:ascii="Verdana" w:eastAsia="Calibri" w:hAnsi="Verdana" w:cs="Arial"/>
          <w:color w:val="000000" w:themeColor="text1"/>
          <w:sz w:val="21"/>
          <w:szCs w:val="21"/>
          <w:lang w:val="es-ES"/>
        </w:rPr>
        <w:t>.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6A4462F" w14:textId="77777777" w:rsidR="007335FC" w:rsidRPr="00F95B1D" w:rsidRDefault="007335FC" w:rsidP="007335FC">
      <w:pPr>
        <w:spacing w:after="120" w:line="240" w:lineRule="auto"/>
        <w:ind w:left="709" w:right="709"/>
        <w:jc w:val="both"/>
        <w:rPr>
          <w:rFonts w:ascii="Verdana" w:eastAsia="Calibri" w:hAnsi="Verdana" w:cs="Arial"/>
          <w:color w:val="000000" w:themeColor="text1"/>
          <w:sz w:val="21"/>
          <w:szCs w:val="21"/>
          <w:lang w:val="es-ES_tradnl"/>
        </w:rPr>
      </w:pPr>
      <w:r w:rsidRPr="00F95B1D">
        <w:rPr>
          <w:rFonts w:ascii="Verdana" w:eastAsia="Calibri" w:hAnsi="Verdana" w:cs="Arial"/>
          <w:color w:val="000000" w:themeColor="text1"/>
          <w:sz w:val="21"/>
          <w:szCs w:val="21"/>
          <w:lang w:val="es-ES_tradnl"/>
        </w:rPr>
        <w:t>Lo anterior, sin perjuicio de las publicaciones previstas en el numeral 3 del artículo 30 de la Ley 80 de 1993.</w:t>
      </w:r>
    </w:p>
    <w:p w14:paraId="172578D4" w14:textId="77777777" w:rsidR="007335FC" w:rsidRPr="00F95B1D" w:rsidRDefault="007335FC" w:rsidP="007335FC">
      <w:pPr>
        <w:spacing w:after="120" w:line="240" w:lineRule="auto"/>
        <w:ind w:left="709" w:right="709"/>
        <w:jc w:val="both"/>
        <w:rPr>
          <w:rFonts w:ascii="Verdana" w:eastAsia="Calibri" w:hAnsi="Verdana" w:cs="Arial"/>
          <w:color w:val="000000" w:themeColor="text1"/>
          <w:sz w:val="21"/>
          <w:szCs w:val="21"/>
          <w:lang w:val="es-ES"/>
        </w:rPr>
      </w:pPr>
      <w:r w:rsidRPr="7EF3A662">
        <w:rPr>
          <w:rFonts w:ascii="Verdana" w:eastAsia="Calibri" w:hAnsi="Verdana" w:cs="Arial"/>
          <w:color w:val="000000" w:themeColor="text1"/>
          <w:sz w:val="21"/>
          <w:szCs w:val="21"/>
          <w:lang w:val="es-ES"/>
        </w:rPr>
        <w:t xml:space="preserve">Con el fin de materializar los objetivos a que se refiere el inciso anterior, el Gobierno Nacional desarrollará el </w:t>
      </w:r>
      <w:bookmarkStart w:id="10" w:name="_Hlk55988851"/>
      <w:r w:rsidRPr="7EF3A662">
        <w:rPr>
          <w:rFonts w:ascii="Verdana" w:eastAsia="Calibri" w:hAnsi="Verdana" w:cs="Arial"/>
          <w:color w:val="000000" w:themeColor="text1"/>
          <w:sz w:val="21"/>
          <w:szCs w:val="21"/>
          <w:lang w:val="es-ES"/>
        </w:rPr>
        <w:t>Sistema Electrónico para la Contratación Pública</w:t>
      </w:r>
      <w:bookmarkEnd w:id="10"/>
      <w:r w:rsidRPr="7EF3A662">
        <w:rPr>
          <w:rFonts w:ascii="Verdana" w:eastAsia="Calibri" w:hAnsi="Verdana" w:cs="Arial"/>
          <w:color w:val="000000" w:themeColor="text1"/>
          <w:sz w:val="21"/>
          <w:szCs w:val="21"/>
          <w:lang w:val="es-ES"/>
        </w:rPr>
        <w:t xml:space="preserve">, </w:t>
      </w:r>
      <w:proofErr w:type="spellStart"/>
      <w:r w:rsidRPr="7EF3A662">
        <w:rPr>
          <w:rFonts w:ascii="Verdana" w:eastAsia="Calibri" w:hAnsi="Verdana" w:cs="Arial"/>
          <w:color w:val="000000" w:themeColor="text1"/>
          <w:sz w:val="21"/>
          <w:szCs w:val="21"/>
          <w:lang w:val="es-ES"/>
        </w:rPr>
        <w:t>Secop</w:t>
      </w:r>
      <w:proofErr w:type="spellEnd"/>
      <w:r w:rsidRPr="7EF3A662">
        <w:rPr>
          <w:rFonts w:ascii="Verdana" w:eastAsia="Calibri" w:hAnsi="Verdana" w:cs="Arial"/>
          <w:color w:val="000000" w:themeColor="text1"/>
          <w:sz w:val="21"/>
          <w:szCs w:val="21"/>
          <w:lang w:val="es-ES"/>
        </w:rPr>
        <w:t>, el cual:</w:t>
      </w:r>
    </w:p>
    <w:p w14:paraId="13992B52" w14:textId="77777777" w:rsidR="007335FC" w:rsidRPr="00F95B1D" w:rsidRDefault="007335FC" w:rsidP="007335FC">
      <w:pPr>
        <w:spacing w:after="120" w:line="240" w:lineRule="auto"/>
        <w:ind w:left="709" w:right="709"/>
        <w:jc w:val="both"/>
        <w:rPr>
          <w:rFonts w:ascii="Verdana" w:eastAsia="Calibri" w:hAnsi="Verdana" w:cs="Arial"/>
          <w:color w:val="000000" w:themeColor="text1"/>
          <w:sz w:val="21"/>
          <w:szCs w:val="21"/>
          <w:lang w:val="es-ES_tradnl"/>
        </w:rPr>
      </w:pPr>
      <w:r w:rsidRPr="00F95B1D">
        <w:rPr>
          <w:rFonts w:ascii="Verdana" w:eastAsia="Calibri" w:hAnsi="Verdana"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761F9525" w14:textId="77777777" w:rsidR="007335FC" w:rsidRPr="00F95B1D" w:rsidRDefault="007335FC" w:rsidP="007335FC">
      <w:pPr>
        <w:spacing w:after="120" w:line="240" w:lineRule="auto"/>
        <w:ind w:left="709" w:right="709"/>
        <w:jc w:val="both"/>
        <w:rPr>
          <w:rFonts w:ascii="Verdana" w:eastAsia="Calibri" w:hAnsi="Verdana" w:cs="Arial"/>
          <w:color w:val="000000" w:themeColor="text1"/>
          <w:sz w:val="21"/>
          <w:szCs w:val="21"/>
          <w:lang w:val="es-ES_tradnl"/>
        </w:rPr>
      </w:pPr>
      <w:r w:rsidRPr="00F95B1D">
        <w:rPr>
          <w:rFonts w:ascii="Verdana" w:eastAsia="Calibri" w:hAnsi="Verdana" w:cs="Arial"/>
          <w:color w:val="000000" w:themeColor="text1"/>
          <w:sz w:val="21"/>
          <w:szCs w:val="21"/>
          <w:lang w:val="es-ES_tradnl"/>
        </w:rPr>
        <w:t>b) Servirá de punto único de ingreso de información y de generación de reportes para las entidades estatales y la ciudadanía;</w:t>
      </w:r>
    </w:p>
    <w:p w14:paraId="34A99AA9" w14:textId="77777777" w:rsidR="007335FC" w:rsidRPr="00F95B1D" w:rsidRDefault="007335FC" w:rsidP="007335FC">
      <w:pPr>
        <w:spacing w:after="120" w:line="240" w:lineRule="auto"/>
        <w:ind w:left="709" w:right="709"/>
        <w:jc w:val="both"/>
        <w:rPr>
          <w:rFonts w:ascii="Verdana" w:eastAsia="Calibri" w:hAnsi="Verdana" w:cs="Arial"/>
          <w:color w:val="000000" w:themeColor="text1"/>
          <w:sz w:val="21"/>
          <w:szCs w:val="21"/>
          <w:lang w:val="es-ES_tradnl"/>
        </w:rPr>
      </w:pPr>
      <w:r w:rsidRPr="00F95B1D">
        <w:rPr>
          <w:rFonts w:ascii="Verdana" w:eastAsia="Calibri" w:hAnsi="Verdana"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699F26B9" w14:textId="77777777" w:rsidR="007335FC" w:rsidRPr="00F95B1D" w:rsidRDefault="007335FC" w:rsidP="007335FC">
      <w:pPr>
        <w:spacing w:after="120" w:line="240" w:lineRule="auto"/>
        <w:ind w:left="709" w:right="709"/>
        <w:jc w:val="both"/>
        <w:rPr>
          <w:rFonts w:ascii="Verdana" w:eastAsia="Calibri" w:hAnsi="Verdana" w:cs="Arial"/>
          <w:color w:val="000000" w:themeColor="text1"/>
          <w:sz w:val="21"/>
          <w:szCs w:val="21"/>
          <w:lang w:val="es-ES"/>
        </w:rPr>
      </w:pPr>
      <w:r w:rsidRPr="7EF3A662">
        <w:rPr>
          <w:rFonts w:ascii="Verdana" w:eastAsia="Calibri" w:hAnsi="Verdana" w:cs="Arial"/>
          <w:color w:val="000000" w:themeColor="text1"/>
          <w:sz w:val="21"/>
          <w:szCs w:val="21"/>
          <w:lang w:val="es-ES"/>
        </w:rPr>
        <w:lastRenderedPageBreak/>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199D858A" w14:textId="77777777" w:rsidR="007335FC" w:rsidRPr="00F95B1D" w:rsidRDefault="007335FC" w:rsidP="007335FC">
      <w:pPr>
        <w:spacing w:after="120" w:line="240" w:lineRule="auto"/>
        <w:ind w:left="709" w:right="709"/>
        <w:jc w:val="both"/>
        <w:rPr>
          <w:rFonts w:ascii="Verdana" w:eastAsia="Calibri" w:hAnsi="Verdana" w:cs="Arial"/>
          <w:color w:val="000000" w:themeColor="text1"/>
          <w:sz w:val="21"/>
          <w:szCs w:val="21"/>
          <w:lang w:val="es-ES"/>
        </w:rPr>
      </w:pPr>
      <w:r w:rsidRPr="7EF3A662">
        <w:rPr>
          <w:rFonts w:ascii="Verdana" w:eastAsia="Calibri" w:hAnsi="Verdana" w:cs="Arial"/>
          <w:color w:val="000000" w:themeColor="text1"/>
          <w:sz w:val="21"/>
          <w:szCs w:val="21"/>
          <w:lang w:val="es-ES"/>
        </w:rPr>
        <w:t xml:space="preserve">PARÁGRAFO 1o. En ningún caso la administración del </w:t>
      </w:r>
      <w:proofErr w:type="spellStart"/>
      <w:r w:rsidRPr="7EF3A662">
        <w:rPr>
          <w:rFonts w:ascii="Verdana" w:eastAsia="Calibri" w:hAnsi="Verdana" w:cs="Arial"/>
          <w:color w:val="000000" w:themeColor="text1"/>
          <w:sz w:val="21"/>
          <w:szCs w:val="21"/>
          <w:lang w:val="es-ES"/>
        </w:rPr>
        <w:t>Secop</w:t>
      </w:r>
      <w:proofErr w:type="spellEnd"/>
      <w:r w:rsidRPr="7EF3A662">
        <w:rPr>
          <w:rFonts w:ascii="Verdana" w:eastAsia="Calibri" w:hAnsi="Verdana" w:cs="Arial"/>
          <w:color w:val="000000" w:themeColor="text1"/>
          <w:sz w:val="21"/>
          <w:szCs w:val="21"/>
          <w:lang w:val="es-ES"/>
        </w:rPr>
        <w:t xml:space="preserve"> supondrá la creación de una nueva entidad.</w:t>
      </w:r>
    </w:p>
    <w:p w14:paraId="4B18BC0D" w14:textId="77777777" w:rsidR="007335FC" w:rsidRPr="00F95B1D" w:rsidRDefault="007335FC" w:rsidP="007335FC">
      <w:pPr>
        <w:spacing w:after="0" w:line="240" w:lineRule="auto"/>
        <w:ind w:left="709" w:right="709"/>
        <w:jc w:val="both"/>
        <w:rPr>
          <w:rFonts w:ascii="Verdana" w:eastAsia="Calibri" w:hAnsi="Verdana" w:cs="Arial"/>
          <w:color w:val="000000" w:themeColor="text1"/>
          <w:sz w:val="21"/>
          <w:szCs w:val="21"/>
          <w:lang w:val="es-ES"/>
        </w:rPr>
      </w:pPr>
      <w:r w:rsidRPr="7EF3A662">
        <w:rPr>
          <w:rFonts w:ascii="Verdana" w:eastAsia="Calibri" w:hAnsi="Verdana" w:cs="Arial"/>
          <w:color w:val="000000" w:themeColor="text1"/>
          <w:sz w:val="21"/>
          <w:szCs w:val="21"/>
          <w:lang w:val="es-ES"/>
        </w:rPr>
        <w:t xml:space="preserve">El </w:t>
      </w:r>
      <w:proofErr w:type="spellStart"/>
      <w:r w:rsidRPr="7EF3A662">
        <w:rPr>
          <w:rFonts w:ascii="Verdana" w:eastAsia="Calibri" w:hAnsi="Verdana" w:cs="Arial"/>
          <w:color w:val="000000" w:themeColor="text1"/>
          <w:sz w:val="21"/>
          <w:szCs w:val="21"/>
          <w:lang w:val="es-ES"/>
        </w:rPr>
        <w:t>Secop</w:t>
      </w:r>
      <w:proofErr w:type="spellEnd"/>
      <w:r w:rsidRPr="7EF3A662">
        <w:rPr>
          <w:rFonts w:ascii="Verdana" w:eastAsia="Calibri" w:hAnsi="Verdana" w:cs="Arial"/>
          <w:color w:val="000000" w:themeColor="text1"/>
          <w:sz w:val="21"/>
          <w:szCs w:val="21"/>
          <w:lang w:val="es-ES"/>
        </w:rPr>
        <w:t xml:space="preserve"> será administrado por el organismo que designe el Gobierno Nacional, sin perjuicio de la autonomía que respecto del SICE confiere la Ley 598 de 2000 a la Contraloría General de la República.</w:t>
      </w:r>
    </w:p>
    <w:p w14:paraId="0EF30C0D" w14:textId="77777777" w:rsidR="007335FC" w:rsidRPr="00F95B1D" w:rsidRDefault="007335FC" w:rsidP="007335FC">
      <w:pPr>
        <w:spacing w:after="0" w:line="276" w:lineRule="auto"/>
        <w:ind w:firstLine="709"/>
        <w:jc w:val="both"/>
        <w:rPr>
          <w:rFonts w:ascii="Verdana" w:eastAsia="Calibri" w:hAnsi="Verdana" w:cs="Arial"/>
          <w:color w:val="000000" w:themeColor="text1"/>
          <w:szCs w:val="24"/>
          <w:lang w:val="es-ES_tradnl"/>
        </w:rPr>
      </w:pPr>
    </w:p>
    <w:p w14:paraId="1D221396" w14:textId="77777777" w:rsidR="007335FC" w:rsidRPr="00F95B1D" w:rsidRDefault="007335FC" w:rsidP="007335FC">
      <w:pPr>
        <w:spacing w:after="120" w:line="276" w:lineRule="auto"/>
        <w:ind w:firstLine="708"/>
        <w:jc w:val="both"/>
        <w:rPr>
          <w:rFonts w:ascii="Verdana" w:eastAsia="Calibri" w:hAnsi="Verdana" w:cs="Arial"/>
          <w:color w:val="000000" w:themeColor="text1"/>
          <w:lang w:val="es-ES_tradnl"/>
        </w:rPr>
      </w:pPr>
      <w:bookmarkStart w:id="11" w:name="_Hlk56157422"/>
      <w:r w:rsidRPr="00F95B1D">
        <w:rPr>
          <w:rFonts w:ascii="Verdana" w:eastAsia="Calibri" w:hAnsi="Verdana" w:cs="Arial"/>
          <w:color w:val="000000" w:themeColor="text1"/>
          <w:lang w:val="es-ES_tradnl"/>
        </w:rPr>
        <w:t>Como se observa, la norma citada introduce en la contratación estatal la regulación contenida en la Ley 527 de 1999, permitiendo que el trámite de los procedimientos contractuales se realice por medios electrónicos; medios en los que cabe, como se indicó, el uso de sistemas de información para el envío de mensajes de datos</w:t>
      </w:r>
      <w:bookmarkEnd w:id="11"/>
      <w:r w:rsidRPr="00F95B1D">
        <w:rPr>
          <w:rFonts w:ascii="Verdana" w:eastAsia="Calibri" w:hAnsi="Verdana" w:cs="Arial"/>
          <w:color w:val="000000" w:themeColor="text1"/>
          <w:lang w:val="es-ES_tradnl"/>
        </w:rPr>
        <w:t>.</w:t>
      </w:r>
    </w:p>
    <w:p w14:paraId="3F561232" w14:textId="77777777" w:rsidR="007335FC" w:rsidRPr="00F95B1D" w:rsidRDefault="007335FC" w:rsidP="007335FC">
      <w:pPr>
        <w:spacing w:after="120" w:line="276" w:lineRule="auto"/>
        <w:ind w:firstLine="709"/>
        <w:jc w:val="both"/>
        <w:rPr>
          <w:rFonts w:ascii="Verdana" w:eastAsia="Calibri" w:hAnsi="Verdana" w:cs="Arial"/>
          <w:color w:val="000000" w:themeColor="text1"/>
          <w:lang w:val="es-ES_tradnl"/>
        </w:rPr>
      </w:pPr>
      <w:r w:rsidRPr="00F95B1D">
        <w:rPr>
          <w:rFonts w:ascii="Verdana" w:eastAsia="Calibri" w:hAnsi="Verdana" w:cs="Arial"/>
          <w:color w:val="000000" w:themeColor="text1"/>
          <w:lang w:val="es-ES_tradnl"/>
        </w:rPr>
        <w:t xml:space="preserve">Incluso, la Ley 1437 de 2011, “Por la cual se expide el Código de Procedimiento Administrativo y de lo Contencioso Administrativo” continúan la 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de las autoridades de “Tramitar las peticiones que lleguen vía fax o por medios electrónicos”, previsto en el artículo 7º, numeral 6. </w:t>
      </w:r>
    </w:p>
    <w:p w14:paraId="6404E48C" w14:textId="77777777" w:rsidR="007335FC" w:rsidRPr="00F95B1D" w:rsidRDefault="007335FC" w:rsidP="007335FC">
      <w:pPr>
        <w:spacing w:line="276" w:lineRule="auto"/>
        <w:ind w:firstLine="708"/>
        <w:jc w:val="both"/>
        <w:rPr>
          <w:rFonts w:ascii="Verdana" w:eastAsia="Calibri" w:hAnsi="Verdana" w:cs="Arial"/>
          <w:lang w:val="es-ES"/>
        </w:rPr>
      </w:pPr>
      <w:r w:rsidRPr="7EF3A662">
        <w:rPr>
          <w:rFonts w:ascii="Verdana" w:eastAsia="Calibri" w:hAnsi="Verdana" w:cs="Arial"/>
          <w:color w:val="000000" w:themeColor="text1"/>
          <w:lang w:val="es-ES"/>
        </w:rPr>
        <w:t xml:space="preserve">Asimismo,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w:t>
      </w:r>
      <w:proofErr w:type="spellStart"/>
      <w:r w:rsidRPr="7EF3A662">
        <w:rPr>
          <w:rFonts w:ascii="Verdana" w:eastAsia="Calibri" w:hAnsi="Verdana" w:cs="Arial"/>
          <w:color w:val="000000" w:themeColor="text1"/>
          <w:lang w:val="es-ES"/>
        </w:rPr>
        <w:t>ii</w:t>
      </w:r>
      <w:proofErr w:type="spellEnd"/>
      <w:r w:rsidRPr="7EF3A662">
        <w:rPr>
          <w:rFonts w:ascii="Verdana" w:eastAsia="Calibri" w:hAnsi="Verdana" w:cs="Arial"/>
          <w:color w:val="000000" w:themeColor="text1"/>
          <w:lang w:val="es-ES"/>
        </w:rPr>
        <w:t xml:space="preserve">) el registro para el uso de medios electrónicos, </w:t>
      </w:r>
      <w:proofErr w:type="spellStart"/>
      <w:r w:rsidRPr="7EF3A662">
        <w:rPr>
          <w:rFonts w:ascii="Verdana" w:eastAsia="Calibri" w:hAnsi="Verdana" w:cs="Arial"/>
          <w:color w:val="000000" w:themeColor="text1"/>
          <w:lang w:val="es-ES"/>
        </w:rPr>
        <w:t>iii</w:t>
      </w:r>
      <w:proofErr w:type="spellEnd"/>
      <w:r w:rsidRPr="7EF3A662">
        <w:rPr>
          <w:rFonts w:ascii="Verdana" w:eastAsia="Calibri" w:hAnsi="Verdana" w:cs="Arial"/>
          <w:color w:val="000000" w:themeColor="text1"/>
          <w:lang w:val="es-ES"/>
        </w:rPr>
        <w:t xml:space="preserve">) el documento público por medio electrónico, </w:t>
      </w:r>
      <w:proofErr w:type="spellStart"/>
      <w:r w:rsidRPr="7EF3A662">
        <w:rPr>
          <w:rFonts w:ascii="Verdana" w:eastAsia="Calibri" w:hAnsi="Verdana" w:cs="Arial"/>
          <w:color w:val="000000" w:themeColor="text1"/>
          <w:lang w:val="es-ES"/>
        </w:rPr>
        <w:t>iv</w:t>
      </w:r>
      <w:proofErr w:type="spellEnd"/>
      <w:r w:rsidRPr="7EF3A662">
        <w:rPr>
          <w:rFonts w:ascii="Verdana" w:eastAsia="Calibri" w:hAnsi="Verdana" w:cs="Arial"/>
          <w:color w:val="000000" w:themeColor="text1"/>
          <w:lang w:val="es-ES"/>
        </w:rPr>
        <w:t xml:space="preserve">) la notificación electrónica, v) el acto administrativo electrónico, vi) el archivo electrónico de documentos, </w:t>
      </w:r>
      <w:proofErr w:type="spellStart"/>
      <w:r w:rsidRPr="7EF3A662">
        <w:rPr>
          <w:rFonts w:ascii="Verdana" w:eastAsia="Calibri" w:hAnsi="Verdana" w:cs="Arial"/>
          <w:color w:val="000000" w:themeColor="text1"/>
          <w:lang w:val="es-ES"/>
        </w:rPr>
        <w:t>vii</w:t>
      </w:r>
      <w:proofErr w:type="spellEnd"/>
      <w:r w:rsidRPr="7EF3A662">
        <w:rPr>
          <w:rFonts w:ascii="Verdana" w:eastAsia="Calibri" w:hAnsi="Verdana" w:cs="Arial"/>
          <w:color w:val="000000" w:themeColor="text1"/>
          <w:lang w:val="es-ES"/>
        </w:rPr>
        <w:t xml:space="preserve">) el expediente electrónico, </w:t>
      </w:r>
      <w:proofErr w:type="spellStart"/>
      <w:r w:rsidRPr="7EF3A662">
        <w:rPr>
          <w:rFonts w:ascii="Verdana" w:eastAsia="Calibri" w:hAnsi="Verdana" w:cs="Arial"/>
          <w:color w:val="000000" w:themeColor="text1"/>
          <w:lang w:val="es-ES"/>
        </w:rPr>
        <w:t>viii</w:t>
      </w:r>
      <w:proofErr w:type="spellEnd"/>
      <w:r w:rsidRPr="7EF3A662">
        <w:rPr>
          <w:rFonts w:ascii="Verdana" w:eastAsia="Calibri" w:hAnsi="Verdana" w:cs="Arial"/>
          <w:color w:val="000000" w:themeColor="text1"/>
          <w:lang w:val="es-ES"/>
        </w:rPr>
        <w:t xml:space="preserve">) la sede electrónica, </w:t>
      </w:r>
      <w:proofErr w:type="spellStart"/>
      <w:r w:rsidRPr="7EF3A662">
        <w:rPr>
          <w:rFonts w:ascii="Verdana" w:eastAsia="Calibri" w:hAnsi="Verdana" w:cs="Arial"/>
          <w:color w:val="000000" w:themeColor="text1"/>
          <w:lang w:val="es-ES"/>
        </w:rPr>
        <w:t>ix</w:t>
      </w:r>
      <w:proofErr w:type="spellEnd"/>
      <w:r w:rsidRPr="7EF3A662">
        <w:rPr>
          <w:rFonts w:ascii="Verdana" w:eastAsia="Calibri" w:hAnsi="Verdana" w:cs="Arial"/>
          <w:color w:val="000000" w:themeColor="text1"/>
          <w:lang w:val="es-ES"/>
        </w:rPr>
        <w:t xml:space="preserve">) la recepción de documentos electrónicos por parte de las autoridades, x) la prueba </w:t>
      </w:r>
      <w:r w:rsidRPr="7EF3A662">
        <w:rPr>
          <w:rFonts w:ascii="Verdana" w:eastAsia="Calibri" w:hAnsi="Verdana" w:cs="Arial"/>
          <w:color w:val="000000" w:themeColor="text1"/>
          <w:lang w:val="es-ES"/>
        </w:rPr>
        <w:lastRenderedPageBreak/>
        <w:t xml:space="preserve">de recepción en envío de mensajes de datos por la autoridad, xi) las sesiones virtuales y </w:t>
      </w:r>
      <w:proofErr w:type="spellStart"/>
      <w:r w:rsidRPr="7EF3A662">
        <w:rPr>
          <w:rFonts w:ascii="Verdana" w:eastAsia="Calibri" w:hAnsi="Verdana" w:cs="Arial"/>
          <w:color w:val="000000" w:themeColor="text1"/>
          <w:lang w:val="es-ES"/>
        </w:rPr>
        <w:t>xii</w:t>
      </w:r>
      <w:proofErr w:type="spellEnd"/>
      <w:r w:rsidRPr="7EF3A662">
        <w:rPr>
          <w:rFonts w:ascii="Verdana" w:eastAsia="Calibri" w:hAnsi="Verdana" w:cs="Arial"/>
          <w:color w:val="000000" w:themeColor="text1"/>
          <w:lang w:val="es-ES"/>
        </w:rPr>
        <w:t xml:space="preserve">) los estándares y protocolos. </w:t>
      </w:r>
      <w:r w:rsidRPr="7EF3A662">
        <w:rPr>
          <w:rFonts w:ascii="Verdana" w:eastAsia="Calibri" w:hAnsi="Verdana" w:cs="Arial"/>
          <w:lang w:val="es-ES"/>
        </w:rPr>
        <w:t>La utilización de los medios electrónicos regulados en la Ley 1437 de 2011 en la contratación estatal es posible, a partir de la remisión del artículo 77 de la Ley 80 de 1993 a las normas del CPACA</w:t>
      </w:r>
      <w:r w:rsidRPr="7EF3A662">
        <w:rPr>
          <w:rStyle w:val="Refdenotaalpie"/>
          <w:rFonts w:ascii="Verdana" w:eastAsia="Calibri" w:hAnsi="Verdana" w:cs="Arial"/>
          <w:lang w:val="es-ES"/>
        </w:rPr>
        <w:footnoteReference w:id="5"/>
      </w:r>
      <w:r w:rsidRPr="7EF3A662">
        <w:rPr>
          <w:rFonts w:ascii="Verdana" w:eastAsia="Calibri" w:hAnsi="Verdana" w:cs="Arial"/>
          <w:lang w:val="es-ES"/>
        </w:rPr>
        <w:t xml:space="preserve">, </w:t>
      </w:r>
      <w:proofErr w:type="gramStart"/>
      <w:r w:rsidRPr="7EF3A662">
        <w:rPr>
          <w:rFonts w:ascii="Verdana" w:eastAsia="Calibri" w:hAnsi="Verdana" w:cs="Arial"/>
          <w:lang w:val="es-ES"/>
        </w:rPr>
        <w:t>que</w:t>
      </w:r>
      <w:proofErr w:type="gramEnd"/>
      <w:r w:rsidRPr="7EF3A662">
        <w:rPr>
          <w:rFonts w:ascii="Verdana" w:eastAsia="Calibri" w:hAnsi="Verdana" w:cs="Arial"/>
          <w:lang w:val="es-ES"/>
        </w:rPr>
        <w:t xml:space="preserve"> a su vez, como se indicó, remite a las disposiciones de la Ley 527 de 1999. </w:t>
      </w:r>
    </w:p>
    <w:p w14:paraId="2AC0CDA4" w14:textId="77777777" w:rsidR="007335FC" w:rsidRPr="00F95B1D" w:rsidRDefault="007335FC" w:rsidP="007335FC">
      <w:pPr>
        <w:spacing w:after="120" w:line="276" w:lineRule="auto"/>
        <w:ind w:firstLine="708"/>
        <w:jc w:val="both"/>
        <w:rPr>
          <w:rFonts w:ascii="Verdana" w:eastAsia="Calibri" w:hAnsi="Verdana" w:cs="Arial"/>
          <w:lang w:val="es-ES_tradnl"/>
        </w:rPr>
      </w:pPr>
      <w:r w:rsidRPr="00F95B1D">
        <w:rPr>
          <w:rFonts w:ascii="Verdana" w:eastAsia="Calibri" w:hAnsi="Verdana" w:cs="Arial"/>
          <w:lang w:val="es-ES_tradnl"/>
        </w:rPr>
        <w:t xml:space="preserve">Concretamente, el precitado artículo 3 de la Ley 1150 de 2007 crea </w:t>
      </w:r>
      <w:bookmarkStart w:id="12" w:name="_Hlk56073112"/>
      <w:r w:rsidRPr="00F95B1D">
        <w:rPr>
          <w:rFonts w:ascii="Verdana" w:eastAsia="Calibri" w:hAnsi="Verdana" w:cs="Arial"/>
          <w:lang w:val="es-ES_tradnl"/>
        </w:rPr>
        <w:t>el Sistema Electrónico para la Contratación Pública</w:t>
      </w:r>
      <w:bookmarkEnd w:id="12"/>
      <w:r w:rsidRPr="00F95B1D">
        <w:rPr>
          <w:rFonts w:ascii="Verdana" w:eastAsia="Calibri" w:hAnsi="Verdana" w:cs="Arial"/>
          <w:lang w:val="es-ES_tradnl"/>
        </w:rPr>
        <w:t xml:space="preserve">, el cual –de conformidad con el artículo 3.8 del Decreto 4170 de 2011– es administrado por esta Agencia. Esta plataforma no solo es un canal de publicidad de la gestión contractual de las entidades públicas, pues también es un medio transaccional para la suscripción de contratos electrónicos. A estas dos (2) facetas del SECOP se refiere la ley citada cuando dispone, respectivamente, que “De conformidad con lo dispuesto en la Ley 527 de 1999, […] la expedición de los […] contratos y en general los actos derivados de la actividad precontractual y contractual, podrán tener lugar por medios electrónicos” y que “Contará con la información oficial de la contratación realizada con dineros públicos, para lo cual establecerá los patrones a que haya lugar y se encargará de su difusión a través de canales electrónicos”. </w:t>
      </w:r>
    </w:p>
    <w:p w14:paraId="419DCCF1" w14:textId="77777777" w:rsidR="007335FC" w:rsidRPr="00F95B1D" w:rsidRDefault="007335FC" w:rsidP="007335FC">
      <w:pPr>
        <w:spacing w:before="120" w:after="120" w:line="276" w:lineRule="auto"/>
        <w:jc w:val="both"/>
        <w:rPr>
          <w:rFonts w:ascii="Verdana" w:eastAsia="Calibri" w:hAnsi="Verdana" w:cs="Arial"/>
          <w:bCs/>
          <w:color w:val="000000" w:themeColor="text1"/>
          <w:lang w:val="es-ES_tradnl"/>
        </w:rPr>
      </w:pPr>
      <w:r w:rsidRPr="00F95B1D">
        <w:rPr>
          <w:rFonts w:ascii="Verdana" w:eastAsia="Calibri" w:hAnsi="Verdana" w:cs="Arial"/>
          <w:lang w:val="es-ES_tradnl"/>
        </w:rPr>
        <w:tab/>
        <w:t xml:space="preserve">El numeral 1.2 </w:t>
      </w:r>
      <w:r w:rsidRPr="00F95B1D">
        <w:rPr>
          <w:rFonts w:ascii="Verdana" w:eastAsia="Calibri" w:hAnsi="Verdana" w:cs="Arial"/>
        </w:rPr>
        <w:t>de la Circular Externa Única de la Agencia Nacional de Contratación Pública – Colombia Compra Eficiente dispone que el Sistema Electrónico para la Contratación Pública</w:t>
      </w:r>
      <w:r w:rsidRPr="00F95B1D">
        <w:rPr>
          <w:rFonts w:ascii="Verdana" w:eastAsia="Calibri" w:hAnsi="Verdana" w:cs="Arial"/>
          <w:lang w:val="es-ES_tradnl"/>
        </w:rPr>
        <w:t xml:space="preserve"> está compuesto por el SECOP I, el SECOP II y la Tienda Virtual del Estado Colombiano. Conforme a lo explicado en el párrafo precedente</w:t>
      </w:r>
      <w:r w:rsidRPr="00F95B1D">
        <w:rPr>
          <w:rFonts w:ascii="Verdana" w:eastAsia="Calibri" w:hAnsi="Verdana" w:cs="Arial"/>
          <w:bCs/>
          <w:color w:val="000000" w:themeColor="text1"/>
          <w:lang w:val="es-ES_tradnl"/>
        </w:rPr>
        <w:t xml:space="preserve">, 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5DCC1483" w14:textId="77777777" w:rsidR="007335FC" w:rsidRDefault="007335FC" w:rsidP="007335FC">
      <w:pPr>
        <w:spacing w:after="120" w:line="276" w:lineRule="auto"/>
        <w:ind w:firstLine="708"/>
        <w:jc w:val="both"/>
        <w:rPr>
          <w:rFonts w:ascii="Verdana" w:eastAsia="Calibri" w:hAnsi="Verdana" w:cs="Arial"/>
          <w:color w:val="000000" w:themeColor="text1"/>
          <w:lang w:val="es-ES"/>
        </w:rPr>
      </w:pPr>
      <w:r w:rsidRPr="7EF3A662">
        <w:rPr>
          <w:rFonts w:ascii="Verdana" w:eastAsia="Calibri" w:hAnsi="Verdana" w:cs="Arial"/>
          <w:color w:val="000000" w:themeColor="text1"/>
          <w:lang w:val="es-ES"/>
        </w:rPr>
        <w:lastRenderedPageBreak/>
        <w:t>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p>
    <w:p w14:paraId="793BD30F" w14:textId="77777777" w:rsidR="007335FC" w:rsidRPr="00F95B1D" w:rsidRDefault="007335FC" w:rsidP="007335FC">
      <w:pPr>
        <w:spacing w:after="0" w:line="276" w:lineRule="auto"/>
        <w:ind w:firstLine="708"/>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Para estos efectos, la Circular Externa Única dispone que “[…] </w:t>
      </w:r>
      <w:r w:rsidRPr="00F95B1D">
        <w:rPr>
          <w:rFonts w:ascii="Verdana" w:eastAsia="Calibri" w:hAnsi="Verdana" w:cs="Arial"/>
          <w:bCs/>
          <w:color w:val="000000" w:themeColor="text1"/>
          <w:lang w:val="es-ES_tradnl"/>
        </w:rPr>
        <w:t>Toda la etapa de gestión</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contractual está contenida en la plataforma, lo que significa que la</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Entidad y el Proveedor deben incluir en el SECOP II la información</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correspondiente que no se genere en línea (garantías, facturas, informes</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de supervisión, modificaciones, etc.)</w:t>
      </w:r>
      <w:r>
        <w:rPr>
          <w:rFonts w:ascii="Verdana" w:eastAsia="Calibri" w:hAnsi="Verdana" w:cs="Arial"/>
          <w:bCs/>
          <w:color w:val="000000" w:themeColor="text1"/>
          <w:lang w:val="es-ES_tradnl"/>
        </w:rPr>
        <w:t xml:space="preserve">”. Esto significa que, a diferencia de SECOP I, en SECOP II no es necesario un expediente físico paralelo con la gestión contractual de los procesos adelantados. No obstante, el numeral 2 de la Circular precisa que “[…] </w:t>
      </w:r>
      <w:r w:rsidRPr="00F95B1D">
        <w:rPr>
          <w:rFonts w:ascii="Verdana" w:eastAsia="Calibri" w:hAnsi="Verdana" w:cs="Arial"/>
          <w:bCs/>
          <w:color w:val="000000" w:themeColor="text1"/>
          <w:lang w:val="es-ES_tradnl"/>
        </w:rPr>
        <w:t>En los casos en que el documento original haya sido producido en formato físico,</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la Entidad Estatal debe conservar su original por el tiempo que indiquen las Tablas</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de Retención Documental - TRD, e incorporar una copia digitalizada dentro del</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proceso de contratación en el SECOP II en cumplimiento de la obligación de</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publicidad</w:t>
      </w:r>
      <w:r>
        <w:rPr>
          <w:rFonts w:ascii="Verdana" w:eastAsia="Calibri" w:hAnsi="Verdana" w:cs="Arial"/>
          <w:bCs/>
          <w:color w:val="000000" w:themeColor="text1"/>
          <w:lang w:val="es-ES_tradnl"/>
        </w:rPr>
        <w:t>”</w:t>
      </w:r>
      <w:r w:rsidRPr="00F95B1D">
        <w:rPr>
          <w:rFonts w:ascii="Verdana" w:eastAsia="Calibri" w:hAnsi="Verdana" w:cs="Arial"/>
          <w:bCs/>
          <w:color w:val="000000" w:themeColor="text1"/>
          <w:lang w:val="es-ES_tradnl"/>
        </w:rPr>
        <w:t xml:space="preserve">.  </w:t>
      </w:r>
    </w:p>
    <w:p w14:paraId="071CCEC1" w14:textId="77777777" w:rsidR="007335FC" w:rsidRPr="00F95B1D" w:rsidRDefault="007335FC" w:rsidP="007335FC">
      <w:pPr>
        <w:spacing w:after="0" w:line="276" w:lineRule="auto"/>
        <w:jc w:val="both"/>
        <w:rPr>
          <w:rFonts w:ascii="Verdana" w:eastAsia="Calibri" w:hAnsi="Verdana" w:cs="Arial"/>
          <w:bCs/>
          <w:color w:val="000000" w:themeColor="text1"/>
          <w:lang w:val="es-ES_tradnl"/>
        </w:rPr>
      </w:pPr>
    </w:p>
    <w:p w14:paraId="77346F97" w14:textId="77777777" w:rsidR="007335FC" w:rsidRDefault="007335FC" w:rsidP="007335FC">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iii</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E853DE">
        <w:rPr>
          <w:rFonts w:ascii="Verdana" w:eastAsia="Calibri" w:hAnsi="Verdana" w:cs="Arial"/>
          <w:bCs/>
          <w:color w:val="000000" w:themeColor="text1"/>
        </w:rPr>
        <w:lastRenderedPageBreak/>
        <w:t>correspondiente y, en caso de conflicto, a las autoridades judiciales, fiscales y disciplinarias.</w:t>
      </w:r>
    </w:p>
    <w:p w14:paraId="31A9FDE0" w14:textId="77777777" w:rsidR="007335FC" w:rsidRPr="00185EE9" w:rsidRDefault="007335FC" w:rsidP="007335FC">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617D442D" w14:textId="77777777" w:rsidR="007335FC" w:rsidRPr="00182C89" w:rsidRDefault="007335FC" w:rsidP="007335FC">
      <w:pPr>
        <w:tabs>
          <w:tab w:val="left" w:pos="709"/>
        </w:tabs>
        <w:spacing w:after="0" w:line="276" w:lineRule="auto"/>
        <w:jc w:val="both"/>
        <w:rPr>
          <w:rFonts w:ascii="Verdana" w:eastAsia="Calibri" w:hAnsi="Verdana" w:cs="Arial"/>
          <w:color w:val="000000" w:themeColor="text1"/>
        </w:rPr>
      </w:pPr>
    </w:p>
    <w:p w14:paraId="1DAD6F55" w14:textId="77777777" w:rsidR="007335FC" w:rsidRPr="00593A5F" w:rsidRDefault="007335FC" w:rsidP="007335F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194C275" w14:textId="77777777" w:rsidR="007335FC" w:rsidRPr="00593A5F" w:rsidRDefault="007335FC" w:rsidP="007335F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335FC" w:rsidRPr="002407CE" w14:paraId="0CB6A017" w14:textId="77777777" w:rsidTr="00CC1C95">
        <w:trPr>
          <w:trHeight w:val="870"/>
          <w:jc w:val="center"/>
        </w:trPr>
        <w:tc>
          <w:tcPr>
            <w:tcW w:w="8647" w:type="dxa"/>
          </w:tcPr>
          <w:p w14:paraId="62F4CD48" w14:textId="77777777" w:rsidR="007335FC" w:rsidRDefault="007335FC" w:rsidP="00CC1C9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80 de 1993, artículo 77.</w:t>
            </w:r>
          </w:p>
          <w:p w14:paraId="647427A2" w14:textId="77777777" w:rsidR="007335FC" w:rsidRPr="00686372" w:rsidRDefault="007335FC" w:rsidP="00CC1C9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527 de 1999, artículos 2 y 10.</w:t>
            </w:r>
          </w:p>
          <w:p w14:paraId="572161F1" w14:textId="77777777" w:rsidR="007335FC" w:rsidRPr="00686372" w:rsidRDefault="007335FC" w:rsidP="00CC1C9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 xml:space="preserve">Ley 1150 de 2007, artículos 3 y 13. </w:t>
            </w:r>
          </w:p>
          <w:p w14:paraId="36B75090" w14:textId="77777777" w:rsidR="007335FC" w:rsidRPr="00FF09AA" w:rsidRDefault="007335FC" w:rsidP="00CC1C9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Ley 1437 de 2011, artículos 5, 7, 35, 53 a 64.</w:t>
            </w:r>
          </w:p>
          <w:p w14:paraId="319A8160" w14:textId="77777777" w:rsidR="007335FC" w:rsidRDefault="007335FC" w:rsidP="00CC1C9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1712 de 2014, artículos 5, 6 y 11.</w:t>
            </w:r>
          </w:p>
          <w:p w14:paraId="0F620A48" w14:textId="77777777" w:rsidR="007335FC" w:rsidRDefault="007335FC" w:rsidP="00CC1C9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2195 de 2022, artículo 53.</w:t>
            </w:r>
          </w:p>
          <w:p w14:paraId="3F312DCB" w14:textId="77777777" w:rsidR="007335FC" w:rsidRDefault="007335FC" w:rsidP="00CC1C9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 xml:space="preserve">Decreto 1081 de 2015, artículo </w:t>
            </w:r>
            <w:r w:rsidRPr="00454E5F">
              <w:rPr>
                <w:rFonts w:ascii="Verdana" w:hAnsi="Verdana" w:cs="Arial"/>
                <w:color w:val="000000" w:themeColor="text1"/>
                <w:lang w:val="es-ES_tradnl"/>
              </w:rPr>
              <w:t>2.1.1.2.1.7</w:t>
            </w:r>
            <w:r>
              <w:rPr>
                <w:rFonts w:ascii="Verdana" w:hAnsi="Verdana" w:cs="Arial"/>
                <w:color w:val="000000" w:themeColor="text1"/>
                <w:lang w:val="es-ES_tradnl"/>
              </w:rPr>
              <w:t>.</w:t>
            </w:r>
          </w:p>
          <w:p w14:paraId="5CB6A314" w14:textId="77777777" w:rsidR="007335FC" w:rsidRPr="00686372" w:rsidRDefault="007335FC" w:rsidP="00CC1C9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 xml:space="preserve">Decreto 1082 de 2015, artículos </w:t>
            </w:r>
            <w:r w:rsidRPr="00BB3117">
              <w:rPr>
                <w:rFonts w:ascii="Verdana" w:hAnsi="Verdana" w:cs="Arial"/>
                <w:color w:val="000000" w:themeColor="text1"/>
                <w:lang w:val="es-ES_tradnl"/>
              </w:rPr>
              <w:t>2.2.1.1.1.3.1</w:t>
            </w:r>
            <w:r>
              <w:rPr>
                <w:rFonts w:ascii="Verdana" w:hAnsi="Verdana" w:cs="Arial"/>
                <w:color w:val="000000" w:themeColor="text1"/>
                <w:lang w:val="es-ES_tradnl"/>
              </w:rPr>
              <w:t xml:space="preserve"> y </w:t>
            </w:r>
            <w:r w:rsidRPr="00F16D2E">
              <w:rPr>
                <w:rFonts w:ascii="Verdana" w:hAnsi="Verdana" w:cs="Arial"/>
              </w:rPr>
              <w:t>2.2.1.1.1.7.1</w:t>
            </w:r>
            <w:r>
              <w:rPr>
                <w:rFonts w:ascii="Verdana" w:hAnsi="Verdana" w:cs="Arial"/>
              </w:rPr>
              <w:t>.</w:t>
            </w:r>
          </w:p>
          <w:p w14:paraId="659B2A67" w14:textId="77777777" w:rsidR="007335FC" w:rsidRPr="00FF09AA" w:rsidRDefault="007335FC" w:rsidP="00CC1C95">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sidRPr="005615D6">
              <w:rPr>
                <w:rFonts w:ascii="Verdana" w:hAnsi="Verdana" w:cs="Arial"/>
                <w:color w:val="000000" w:themeColor="text1"/>
                <w:lang w:val="es-ES_tradnl"/>
              </w:rPr>
              <w:t xml:space="preserve">Circular Externa Única del 27 de diciembre de 2023. Disponible en: </w:t>
            </w:r>
            <w:hyperlink r:id="rId11" w:history="1">
              <w:r w:rsidRPr="0097369A">
                <w:rPr>
                  <w:rStyle w:val="Hipervnculo"/>
                  <w:rFonts w:ascii="Verdana" w:hAnsi="Verdana" w:cs="Arial"/>
                  <w:lang w:val="es-ES_tradnl"/>
                </w:rPr>
                <w:t>https://www.colombiacompra.gov.co/wp-content/uploads/2024/08/circular_externa_unica_version_3_vf49.pdf</w:t>
              </w:r>
            </w:hyperlink>
            <w:r>
              <w:rPr>
                <w:rFonts w:ascii="Verdana" w:hAnsi="Verdana" w:cs="Arial"/>
                <w:color w:val="000000" w:themeColor="text1"/>
                <w:lang w:val="es-ES_tradnl"/>
              </w:rPr>
              <w:t xml:space="preserve">. </w:t>
            </w:r>
          </w:p>
        </w:tc>
      </w:tr>
    </w:tbl>
    <w:p w14:paraId="552850B2" w14:textId="77777777" w:rsidR="007335FC" w:rsidRPr="002407CE" w:rsidRDefault="007335FC" w:rsidP="007335FC">
      <w:pPr>
        <w:widowControl w:val="0"/>
        <w:autoSpaceDE w:val="0"/>
        <w:autoSpaceDN w:val="0"/>
        <w:spacing w:after="0" w:line="276" w:lineRule="auto"/>
        <w:jc w:val="both"/>
        <w:rPr>
          <w:rFonts w:ascii="Verdana" w:hAnsi="Verdana" w:cs="Arial"/>
        </w:rPr>
      </w:pPr>
    </w:p>
    <w:p w14:paraId="06AC9B4D" w14:textId="77777777" w:rsidR="007335FC" w:rsidRPr="00593A5F" w:rsidRDefault="007335FC" w:rsidP="007335F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6CE9C43" w14:textId="77777777" w:rsidR="007335FC" w:rsidRPr="00593A5F" w:rsidRDefault="007335FC" w:rsidP="007335FC">
      <w:pPr>
        <w:widowControl w:val="0"/>
        <w:autoSpaceDE w:val="0"/>
        <w:autoSpaceDN w:val="0"/>
        <w:spacing w:after="0" w:line="276" w:lineRule="auto"/>
        <w:jc w:val="both"/>
        <w:rPr>
          <w:rFonts w:ascii="Verdana" w:hAnsi="Verdana" w:cs="Arial"/>
        </w:rPr>
      </w:pPr>
    </w:p>
    <w:p w14:paraId="5F4D6E29" w14:textId="77777777" w:rsidR="007335FC" w:rsidRPr="00003886" w:rsidRDefault="007335FC" w:rsidP="007335FC">
      <w:pPr>
        <w:widowControl w:val="0"/>
        <w:autoSpaceDE w:val="0"/>
        <w:autoSpaceDN w:val="0"/>
        <w:spacing w:after="0" w:line="276" w:lineRule="auto"/>
        <w:jc w:val="both"/>
        <w:rPr>
          <w:rStyle w:val="normaltextrun"/>
          <w:rFonts w:ascii="Verdana" w:hAnsi="Verdana" w:cs="Arial"/>
          <w:shd w:val="clear" w:color="auto" w:fill="FFFFFF"/>
        </w:rPr>
      </w:pPr>
      <w:r w:rsidRPr="00003886">
        <w:rPr>
          <w:rFonts w:ascii="Verdana" w:hAnsi="Verdana" w:cs="Arial"/>
          <w:shd w:val="clear" w:color="auto" w:fill="FFFFFF"/>
        </w:rPr>
        <w:t xml:space="preserve">Esta Subdirección </w:t>
      </w:r>
      <w:r w:rsidRPr="00FF112F">
        <w:rPr>
          <w:rFonts w:ascii="Verdana" w:hAnsi="Verdana" w:cs="Arial"/>
          <w:shd w:val="clear" w:color="auto" w:fill="FFFFFF"/>
        </w:rPr>
        <w:t>se ha pronunciado sobre los fundamentos normativos del deber de publicar la documentación contractual en las Sistema Electrónico de Contratación Pública–SECOP–, han sido materia de estudio de la doctrina de esta Subdirección en los Conceptos CU-003 del 15 de enero de 2020 y CU-367 del 23 de julio de 2020, reiterado</w:t>
      </w:r>
      <w:r>
        <w:rPr>
          <w:rFonts w:ascii="Verdana" w:hAnsi="Verdana" w:cs="Arial"/>
          <w:shd w:val="clear" w:color="auto" w:fill="FFFFFF"/>
        </w:rPr>
        <w:t>s</w:t>
      </w:r>
      <w:r w:rsidRPr="00FF112F">
        <w:rPr>
          <w:rFonts w:ascii="Verdana" w:hAnsi="Verdana" w:cs="Arial"/>
          <w:shd w:val="clear" w:color="auto" w:fill="FFFFFF"/>
        </w:rPr>
        <w:t xml:space="preserve"> en los Conceptos C-433 de 24 de julio de 2020, C-</w:t>
      </w:r>
      <w:r w:rsidRPr="00FF112F">
        <w:rPr>
          <w:rFonts w:ascii="Verdana" w:hAnsi="Verdana" w:cs="Arial"/>
          <w:shd w:val="clear" w:color="auto" w:fill="FFFFFF"/>
        </w:rPr>
        <w:lastRenderedPageBreak/>
        <w:t>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C-124 del 22 de marzo de 2022, C-457 del 24 de octubre de 2023, C-460 del 30 de noviembre de 2023 y C-592 del 7 de octubre de 2024</w:t>
      </w:r>
      <w:r>
        <w:rPr>
          <w:rFonts w:ascii="Verdana" w:hAnsi="Verdana"/>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8880119" w14:textId="77777777" w:rsidR="007335FC" w:rsidRPr="00096788" w:rsidRDefault="007335FC" w:rsidP="007335FC">
      <w:pPr>
        <w:widowControl w:val="0"/>
        <w:autoSpaceDE w:val="0"/>
        <w:autoSpaceDN w:val="0"/>
        <w:spacing w:after="0" w:line="276" w:lineRule="auto"/>
        <w:jc w:val="both"/>
        <w:rPr>
          <w:rFonts w:ascii="Verdana" w:hAnsi="Verdana" w:cs="Arial"/>
          <w:color w:val="000000" w:themeColor="text1"/>
          <w:shd w:val="clear" w:color="auto" w:fill="FFFFFF"/>
        </w:rPr>
      </w:pPr>
    </w:p>
    <w:p w14:paraId="549EECA1" w14:textId="77777777" w:rsidR="007335FC" w:rsidRPr="001205D1" w:rsidRDefault="007335FC" w:rsidP="007335FC">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6FE8C071" w14:textId="77777777" w:rsidR="007335FC" w:rsidRPr="009C4035" w:rsidRDefault="007335FC" w:rsidP="007335FC">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4F2B94BA" w14:textId="77777777" w:rsidR="007335FC" w:rsidRPr="00593A5F" w:rsidRDefault="007335FC" w:rsidP="007335F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5F59024" w14:textId="77777777" w:rsidR="007335FC" w:rsidRPr="00593A5F" w:rsidRDefault="007335FC" w:rsidP="007335FC">
      <w:pPr>
        <w:widowControl w:val="0"/>
        <w:autoSpaceDE w:val="0"/>
        <w:autoSpaceDN w:val="0"/>
        <w:spacing w:after="0" w:line="276" w:lineRule="auto"/>
        <w:jc w:val="both"/>
        <w:rPr>
          <w:rFonts w:ascii="Verdana" w:hAnsi="Verdana" w:cs="Arial"/>
        </w:rPr>
      </w:pPr>
    </w:p>
    <w:p w14:paraId="48A7967C" w14:textId="77777777" w:rsidR="007335FC" w:rsidRPr="00593A5F" w:rsidRDefault="007335FC" w:rsidP="007335F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E908C9D" w14:textId="6081C117" w:rsidR="0EE81B0A" w:rsidRDefault="00AE2E24" w:rsidP="00AE2E24">
      <w:pPr>
        <w:spacing w:after="0" w:line="240" w:lineRule="auto"/>
        <w:jc w:val="center"/>
        <w:rPr>
          <w:rFonts w:ascii="Verdana" w:hAnsi="Verdana" w:cs="Arial"/>
          <w:lang w:eastAsia="es-CO"/>
        </w:rPr>
      </w:pPr>
      <w:r w:rsidRPr="00C07C60">
        <w:rPr>
          <w:rFonts w:ascii="Verdana" w:hAnsi="Verdana" w:cs="Arial"/>
          <w:noProof/>
          <w:lang w:eastAsia="es-CO"/>
        </w:rPr>
        <w:lastRenderedPageBreak/>
        <w:drawing>
          <wp:inline distT="0" distB="0" distL="0" distR="0" wp14:anchorId="6CD98B36" wp14:editId="70BE7A1F">
            <wp:extent cx="4241800" cy="1778000"/>
            <wp:effectExtent l="0" t="0" r="0" b="0"/>
            <wp:docPr id="10848952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95296" name=""/>
                    <pic:cNvPicPr/>
                  </pic:nvPicPr>
                  <pic:blipFill>
                    <a:blip r:embed="rId14"/>
                    <a:stretch>
                      <a:fillRect/>
                    </a:stretch>
                  </pic:blipFill>
                  <pic:spPr>
                    <a:xfrm>
                      <a:off x="0" y="0"/>
                      <a:ext cx="4241800" cy="1778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335FC" w:rsidRPr="00593A5F" w14:paraId="0C823E1E" w14:textId="77777777" w:rsidTr="00CC1C95">
        <w:trPr>
          <w:trHeight w:val="315"/>
        </w:trPr>
        <w:tc>
          <w:tcPr>
            <w:tcW w:w="893" w:type="dxa"/>
            <w:vAlign w:val="center"/>
            <w:hideMark/>
          </w:tcPr>
          <w:p w14:paraId="50040958" w14:textId="77777777" w:rsidR="007335FC" w:rsidRPr="003751C7" w:rsidRDefault="007335FC" w:rsidP="00CC1C9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5E742AB" w14:textId="77777777" w:rsidR="007335FC" w:rsidRPr="00254A7A" w:rsidRDefault="007335FC" w:rsidP="00CC1C95">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53F581D2" w14:textId="77777777" w:rsidR="007335FC" w:rsidRPr="00254A7A" w:rsidRDefault="007335FC" w:rsidP="00CC1C95">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7335FC" w:rsidRPr="00593A5F" w14:paraId="71DE314E" w14:textId="77777777" w:rsidTr="00CC1C95">
        <w:trPr>
          <w:trHeight w:val="330"/>
        </w:trPr>
        <w:tc>
          <w:tcPr>
            <w:tcW w:w="893" w:type="dxa"/>
            <w:vAlign w:val="center"/>
            <w:hideMark/>
          </w:tcPr>
          <w:p w14:paraId="7B95BCCB" w14:textId="77777777" w:rsidR="007335FC" w:rsidRPr="003751C7" w:rsidRDefault="007335FC" w:rsidP="00CC1C9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A78A4EB" w14:textId="77777777" w:rsidR="007335FC" w:rsidRPr="001B6B73" w:rsidRDefault="007335FC" w:rsidP="00CC1C95">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415B97E0" w14:textId="77777777" w:rsidR="007335FC" w:rsidRPr="00254A7A" w:rsidRDefault="007335FC" w:rsidP="00CC1C95">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7335FC" w:rsidRPr="00593A5F" w14:paraId="446A5469" w14:textId="77777777" w:rsidTr="00CC1C95">
        <w:trPr>
          <w:trHeight w:val="300"/>
        </w:trPr>
        <w:tc>
          <w:tcPr>
            <w:tcW w:w="893" w:type="dxa"/>
            <w:vAlign w:val="center"/>
          </w:tcPr>
          <w:p w14:paraId="741681BB" w14:textId="77777777" w:rsidR="007335FC" w:rsidRPr="003751C7" w:rsidRDefault="007335FC" w:rsidP="00CC1C9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E7BE1A4" w14:textId="77777777" w:rsidR="007335FC" w:rsidRPr="00A30D42" w:rsidRDefault="007335FC" w:rsidP="00CC1C95">
            <w:pPr>
              <w:contextualSpacing/>
              <w:rPr>
                <w:rFonts w:ascii="Verdana" w:eastAsia="Calibri" w:hAnsi="Verdana" w:cs="Arial"/>
                <w:sz w:val="16"/>
                <w:szCs w:val="16"/>
                <w:lang w:val="es-ES_tradnl" w:eastAsia="es-ES"/>
              </w:rPr>
            </w:pPr>
            <w:r w:rsidRPr="00A30D42">
              <w:rPr>
                <w:rFonts w:ascii="Verdana" w:eastAsia="Calibri" w:hAnsi="Verdana" w:cs="Arial"/>
                <w:sz w:val="16"/>
                <w:szCs w:val="16"/>
                <w:lang w:val="es-ES_tradnl" w:eastAsia="es-ES"/>
              </w:rPr>
              <w:t>Ana María Tolosa Rico</w:t>
            </w:r>
          </w:p>
          <w:p w14:paraId="118C0A0D" w14:textId="77777777" w:rsidR="007335FC" w:rsidRPr="003751C7" w:rsidRDefault="007335FC" w:rsidP="00CC1C95">
            <w:pPr>
              <w:contextualSpacing/>
              <w:rPr>
                <w:rFonts w:ascii="Verdana" w:eastAsia="Calibri" w:hAnsi="Verdana" w:cs="Arial"/>
                <w:sz w:val="16"/>
                <w:szCs w:val="16"/>
                <w:lang w:val="pt-BR" w:eastAsia="es-ES"/>
              </w:rPr>
            </w:pPr>
            <w:r w:rsidRPr="00A30D42">
              <w:rPr>
                <w:rFonts w:ascii="Verdana" w:eastAsia="Calibri" w:hAnsi="Verdana" w:cs="Arial"/>
                <w:sz w:val="16"/>
                <w:szCs w:val="16"/>
                <w:lang w:val="es-ES_tradnl" w:eastAsia="es-ES"/>
              </w:rPr>
              <w:t>Subdirectora de Gestión Contractual (E)</w:t>
            </w:r>
          </w:p>
        </w:tc>
      </w:tr>
    </w:tbl>
    <w:p w14:paraId="18775019" w14:textId="77777777" w:rsidR="007335FC" w:rsidRPr="00543BFE" w:rsidRDefault="007335FC" w:rsidP="007335FC"/>
    <w:p w14:paraId="3900974D" w14:textId="77777777" w:rsidR="003D5B0D" w:rsidRPr="00D96900" w:rsidRDefault="003D5B0D" w:rsidP="00D96900"/>
    <w:sectPr w:rsidR="003D5B0D" w:rsidRPr="00D96900"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04A1F" w14:textId="77777777" w:rsidR="00F128EA" w:rsidRDefault="00F128EA" w:rsidP="004A1847">
      <w:pPr>
        <w:spacing w:after="0" w:line="240" w:lineRule="auto"/>
      </w:pPr>
      <w:r>
        <w:separator/>
      </w:r>
    </w:p>
  </w:endnote>
  <w:endnote w:type="continuationSeparator" w:id="0">
    <w:p w14:paraId="0D24D3FE" w14:textId="77777777" w:rsidR="00F128EA" w:rsidRDefault="00F128EA" w:rsidP="004A1847">
      <w:pPr>
        <w:spacing w:after="0" w:line="240" w:lineRule="auto"/>
      </w:pPr>
      <w:r>
        <w:continuationSeparator/>
      </w:r>
    </w:p>
  </w:endnote>
  <w:endnote w:type="continuationNotice" w:id="1">
    <w:p w14:paraId="738DC14F" w14:textId="77777777" w:rsidR="00F128EA" w:rsidRDefault="00F128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03095" w14:textId="77777777" w:rsidR="00F128EA" w:rsidRDefault="00F128EA" w:rsidP="004A1847">
      <w:pPr>
        <w:spacing w:after="0" w:line="240" w:lineRule="auto"/>
      </w:pPr>
      <w:r>
        <w:separator/>
      </w:r>
    </w:p>
  </w:footnote>
  <w:footnote w:type="continuationSeparator" w:id="0">
    <w:p w14:paraId="1D1A802B" w14:textId="77777777" w:rsidR="00F128EA" w:rsidRDefault="00F128EA" w:rsidP="004A1847">
      <w:pPr>
        <w:spacing w:after="0" w:line="240" w:lineRule="auto"/>
      </w:pPr>
      <w:r>
        <w:continuationSeparator/>
      </w:r>
    </w:p>
  </w:footnote>
  <w:footnote w:type="continuationNotice" w:id="1">
    <w:p w14:paraId="3632BAD4" w14:textId="77777777" w:rsidR="00F128EA" w:rsidRDefault="00F128EA">
      <w:pPr>
        <w:spacing w:after="0" w:line="240" w:lineRule="auto"/>
      </w:pPr>
    </w:p>
  </w:footnote>
  <w:footnote w:id="2">
    <w:p w14:paraId="34488DA6" w14:textId="77777777" w:rsidR="007335FC" w:rsidRPr="00F16D2E" w:rsidRDefault="007335FC" w:rsidP="007335FC">
      <w:pPr>
        <w:pStyle w:val="Textonotapie"/>
        <w:ind w:right="49" w:firstLine="709"/>
        <w:jc w:val="both"/>
        <w:rPr>
          <w:rFonts w:ascii="Verdana" w:hAnsi="Verdana" w:cs="Arial"/>
          <w:color w:val="000000" w:themeColor="text1"/>
          <w:sz w:val="16"/>
          <w:szCs w:val="16"/>
        </w:rPr>
      </w:pPr>
      <w:r w:rsidRPr="00F16D2E">
        <w:rPr>
          <w:rStyle w:val="Refdenotaalpie"/>
          <w:rFonts w:ascii="Verdana" w:hAnsi="Verdana" w:cs="Arial"/>
          <w:color w:val="000000" w:themeColor="text1"/>
          <w:sz w:val="16"/>
          <w:szCs w:val="16"/>
        </w:rPr>
        <w:footnoteRef/>
      </w:r>
      <w:r w:rsidRPr="00F16D2E">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5E6EE67B" w14:textId="77777777" w:rsidR="007335FC" w:rsidRPr="00F16D2E" w:rsidRDefault="007335FC" w:rsidP="007335FC">
      <w:pPr>
        <w:pStyle w:val="Textonotapie"/>
        <w:ind w:right="49" w:firstLine="709"/>
        <w:jc w:val="both"/>
        <w:rPr>
          <w:rFonts w:ascii="Verdana" w:hAnsi="Verdana" w:cs="Arial"/>
          <w:color w:val="000000" w:themeColor="text1"/>
          <w:sz w:val="16"/>
          <w:szCs w:val="16"/>
        </w:rPr>
      </w:pPr>
      <w:r w:rsidRPr="00F16D2E">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3">
    <w:p w14:paraId="5F8CD9F8" w14:textId="77777777" w:rsidR="007335FC" w:rsidRPr="00F16D2E" w:rsidRDefault="007335FC" w:rsidP="007335FC">
      <w:pPr>
        <w:pStyle w:val="Textonotapie"/>
        <w:ind w:right="49" w:firstLine="709"/>
        <w:jc w:val="both"/>
        <w:rPr>
          <w:rFonts w:ascii="Verdana" w:hAnsi="Verdana" w:cs="Arial"/>
          <w:color w:val="000000" w:themeColor="text1"/>
          <w:sz w:val="16"/>
          <w:szCs w:val="16"/>
        </w:rPr>
      </w:pPr>
      <w:r w:rsidRPr="00F16D2E">
        <w:rPr>
          <w:rFonts w:ascii="Verdana" w:hAnsi="Verdana" w:cs="Arial"/>
          <w:color w:val="000000" w:themeColor="text1"/>
          <w:sz w:val="16"/>
          <w:szCs w:val="16"/>
          <w:vertAlign w:val="superscript"/>
          <w:lang w:val="es-ES" w:eastAsia="es-ES"/>
        </w:rPr>
        <w:footnoteRef/>
      </w:r>
      <w:r w:rsidRPr="00F16D2E">
        <w:rPr>
          <w:rFonts w:ascii="Verdana" w:hAnsi="Verdana" w:cs="Arial"/>
          <w:color w:val="000000" w:themeColor="text1"/>
          <w:sz w:val="16"/>
          <w:szCs w:val="16"/>
          <w:vertAlign w:val="superscript"/>
          <w:lang w:val="es-ES" w:eastAsia="es-ES"/>
        </w:rPr>
        <w:t xml:space="preserve"> </w:t>
      </w:r>
      <w:r w:rsidRPr="00F16D2E">
        <w:rPr>
          <w:rFonts w:ascii="Verdana" w:hAnsi="Verdana" w:cs="Arial"/>
          <w:color w:val="000000" w:themeColor="text1"/>
          <w:sz w:val="16"/>
          <w:szCs w:val="16"/>
          <w:lang w:val="es-ES" w:eastAsia="es-ES"/>
        </w:rPr>
        <w:t>“</w:t>
      </w:r>
      <w:r w:rsidRPr="00F16D2E">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992DE67" w14:textId="77777777" w:rsidR="007335FC" w:rsidRPr="00F16D2E" w:rsidRDefault="007335FC" w:rsidP="007335FC">
      <w:pPr>
        <w:pStyle w:val="Textonotapie"/>
        <w:ind w:right="49" w:firstLine="709"/>
        <w:jc w:val="both"/>
        <w:rPr>
          <w:rFonts w:ascii="Verdana" w:hAnsi="Verdana" w:cs="Arial"/>
          <w:color w:val="000000" w:themeColor="text1"/>
          <w:sz w:val="16"/>
          <w:szCs w:val="16"/>
          <w:lang w:val="es-ES" w:eastAsia="es-ES"/>
        </w:rPr>
      </w:pPr>
      <w:r w:rsidRPr="00F16D2E">
        <w:rPr>
          <w:rFonts w:ascii="Verdana" w:hAnsi="Verdana" w:cs="Arial"/>
          <w:color w:val="000000" w:themeColor="text1"/>
          <w:sz w:val="16"/>
          <w:szCs w:val="16"/>
        </w:rPr>
        <w:t>[…].</w:t>
      </w:r>
    </w:p>
    <w:p w14:paraId="526AF10E" w14:textId="77777777" w:rsidR="007335FC" w:rsidRPr="00F16D2E" w:rsidRDefault="007335FC" w:rsidP="007335FC">
      <w:pPr>
        <w:pStyle w:val="Textonotapie"/>
        <w:ind w:right="49" w:firstLine="709"/>
        <w:jc w:val="both"/>
        <w:rPr>
          <w:rFonts w:ascii="Verdana" w:hAnsi="Verdana" w:cs="Arial"/>
          <w:color w:val="000000" w:themeColor="text1"/>
          <w:sz w:val="16"/>
          <w:szCs w:val="16"/>
          <w:lang w:val="es-ES" w:eastAsia="es-ES"/>
        </w:rPr>
      </w:pPr>
      <w:r w:rsidRPr="00F16D2E">
        <w:rPr>
          <w:rFonts w:ascii="Verdana" w:hAnsi="Verdana" w:cs="Arial"/>
          <w:color w:val="000000" w:themeColor="text1"/>
          <w:sz w:val="16"/>
          <w:szCs w:val="16"/>
          <w:lang w:val="es-ES" w:eastAsia="es-ES"/>
        </w:rPr>
        <w:t xml:space="preserve">Los sujetos obligados que contratan con recursos públicos y recursos </w:t>
      </w:r>
      <w:proofErr w:type="gramStart"/>
      <w:r w:rsidRPr="00F16D2E">
        <w:rPr>
          <w:rFonts w:ascii="Verdana" w:hAnsi="Verdana" w:cs="Arial"/>
          <w:color w:val="000000" w:themeColor="text1"/>
          <w:sz w:val="16"/>
          <w:szCs w:val="16"/>
          <w:lang w:val="es-ES" w:eastAsia="es-ES"/>
        </w:rPr>
        <w:t>privados,</w:t>
      </w:r>
      <w:proofErr w:type="gramEnd"/>
      <w:r w:rsidRPr="00F16D2E">
        <w:rPr>
          <w:rFonts w:ascii="Verdana" w:hAnsi="Verdana" w:cs="Arial"/>
          <w:color w:val="000000" w:themeColor="text1"/>
          <w:sz w:val="16"/>
          <w:szCs w:val="16"/>
          <w:lang w:val="es-ES" w:eastAsia="es-ES"/>
        </w:rPr>
        <w:t xml:space="preserve"> deben publicar la información de su gestión contractual con cargo a recursos públicos en el Sistema Electrónico para la Contratación Pública [SECOP]”.</w:t>
      </w:r>
    </w:p>
  </w:footnote>
  <w:footnote w:id="4">
    <w:p w14:paraId="6BAE858B" w14:textId="77777777" w:rsidR="007335FC" w:rsidRPr="00F16D2E" w:rsidRDefault="007335FC" w:rsidP="007335FC">
      <w:pPr>
        <w:pStyle w:val="Textonotapie"/>
        <w:ind w:right="49" w:firstLine="708"/>
        <w:jc w:val="both"/>
        <w:rPr>
          <w:rFonts w:ascii="Verdana" w:hAnsi="Verdana" w:cs="Arial"/>
          <w:color w:val="000000" w:themeColor="text1"/>
          <w:sz w:val="16"/>
          <w:szCs w:val="16"/>
        </w:rPr>
      </w:pPr>
      <w:r w:rsidRPr="00F16D2E">
        <w:rPr>
          <w:rStyle w:val="Refdenotaalpie"/>
          <w:rFonts w:ascii="Verdana" w:hAnsi="Verdana" w:cs="Arial"/>
          <w:color w:val="000000" w:themeColor="text1"/>
          <w:sz w:val="16"/>
          <w:szCs w:val="16"/>
        </w:rPr>
        <w:footnoteRef/>
      </w:r>
      <w:r w:rsidRPr="00F16D2E">
        <w:rPr>
          <w:rFonts w:ascii="Verdana" w:hAnsi="Verdana" w:cs="Arial"/>
          <w:color w:val="000000" w:themeColor="text1"/>
          <w:sz w:val="16"/>
          <w:szCs w:val="16"/>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21460F12" w14:textId="77777777" w:rsidR="007335FC" w:rsidRPr="00F16D2E" w:rsidRDefault="007335FC" w:rsidP="007335FC">
      <w:pPr>
        <w:pStyle w:val="Textonotapie"/>
        <w:ind w:right="49" w:firstLine="708"/>
        <w:jc w:val="both"/>
        <w:rPr>
          <w:rFonts w:ascii="Verdana" w:hAnsi="Verdana" w:cs="Arial"/>
          <w:color w:val="000000" w:themeColor="text1"/>
          <w:sz w:val="16"/>
          <w:szCs w:val="16"/>
          <w:lang w:val="es-ES"/>
        </w:rPr>
      </w:pPr>
      <w:r w:rsidRPr="00F16D2E">
        <w:rPr>
          <w:rFonts w:ascii="Verdana" w:hAnsi="Verdana" w:cs="Arial"/>
          <w:color w:val="000000" w:themeColor="text1"/>
          <w:sz w:val="16"/>
          <w:szCs w:val="16"/>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5">
    <w:p w14:paraId="17BCFCD5" w14:textId="77777777" w:rsidR="007335FC" w:rsidRDefault="007335FC" w:rsidP="007335FC">
      <w:pPr>
        <w:pStyle w:val="Textonotapie"/>
        <w:ind w:firstLine="709"/>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483C424F" w14:textId="77777777" w:rsidR="007335FC" w:rsidRDefault="007335FC" w:rsidP="007335FC">
      <w:pPr>
        <w:pStyle w:val="Textonotapie"/>
        <w:ind w:firstLine="709"/>
        <w:jc w:val="both"/>
        <w:rPr>
          <w:rFonts w:ascii="Arial" w:hAnsi="Arial" w:cs="Arial"/>
          <w:sz w:val="19"/>
          <w:szCs w:val="19"/>
        </w:rPr>
      </w:pPr>
      <w:r>
        <w:rPr>
          <w:rFonts w:ascii="Arial" w:hAnsi="Arial" w:cs="Arial"/>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4AC89CC0" w14:textId="77777777" w:rsidR="007335FC" w:rsidRDefault="007335FC" w:rsidP="007335FC">
      <w:pPr>
        <w:pStyle w:val="Textonotapie"/>
        <w:ind w:firstLine="709"/>
        <w:jc w:val="both"/>
        <w:rPr>
          <w:rFonts w:ascii="Arial" w:hAnsi="Arial" w:cs="Arial"/>
          <w:sz w:val="19"/>
          <w:szCs w:val="19"/>
        </w:rPr>
      </w:pP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9"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8522A"/>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E06AD"/>
    <w:rsid w:val="003F3941"/>
    <w:rsid w:val="00406575"/>
    <w:rsid w:val="00414C74"/>
    <w:rsid w:val="00415056"/>
    <w:rsid w:val="0042722E"/>
    <w:rsid w:val="0044528D"/>
    <w:rsid w:val="004A1847"/>
    <w:rsid w:val="004A305D"/>
    <w:rsid w:val="004B5267"/>
    <w:rsid w:val="004F21C4"/>
    <w:rsid w:val="004F685F"/>
    <w:rsid w:val="005566E8"/>
    <w:rsid w:val="00574867"/>
    <w:rsid w:val="00591460"/>
    <w:rsid w:val="005B3816"/>
    <w:rsid w:val="005C3777"/>
    <w:rsid w:val="005C5CDC"/>
    <w:rsid w:val="005D476C"/>
    <w:rsid w:val="006219F8"/>
    <w:rsid w:val="00664B94"/>
    <w:rsid w:val="00665D70"/>
    <w:rsid w:val="006900D9"/>
    <w:rsid w:val="00706C16"/>
    <w:rsid w:val="007335FC"/>
    <w:rsid w:val="00734FCC"/>
    <w:rsid w:val="00756841"/>
    <w:rsid w:val="007649AB"/>
    <w:rsid w:val="00770C13"/>
    <w:rsid w:val="00771D0C"/>
    <w:rsid w:val="007833AC"/>
    <w:rsid w:val="007B268C"/>
    <w:rsid w:val="007B7171"/>
    <w:rsid w:val="007C0C0F"/>
    <w:rsid w:val="007C3DC2"/>
    <w:rsid w:val="007E5497"/>
    <w:rsid w:val="00806F5F"/>
    <w:rsid w:val="00812B86"/>
    <w:rsid w:val="00820278"/>
    <w:rsid w:val="00826B96"/>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E2E24"/>
    <w:rsid w:val="00B01B1A"/>
    <w:rsid w:val="00B66319"/>
    <w:rsid w:val="00B72CD3"/>
    <w:rsid w:val="00B72FFF"/>
    <w:rsid w:val="00BC3D36"/>
    <w:rsid w:val="00BD7F72"/>
    <w:rsid w:val="00BE13DA"/>
    <w:rsid w:val="00BE3C84"/>
    <w:rsid w:val="00C04FB3"/>
    <w:rsid w:val="00C330EB"/>
    <w:rsid w:val="00C41061"/>
    <w:rsid w:val="00C754BE"/>
    <w:rsid w:val="00C76B1C"/>
    <w:rsid w:val="00CB6357"/>
    <w:rsid w:val="00CC1B26"/>
    <w:rsid w:val="00D423A2"/>
    <w:rsid w:val="00D520D8"/>
    <w:rsid w:val="00D63AC2"/>
    <w:rsid w:val="00D7383B"/>
    <w:rsid w:val="00D96900"/>
    <w:rsid w:val="00DA231B"/>
    <w:rsid w:val="00DC39FC"/>
    <w:rsid w:val="00DF5254"/>
    <w:rsid w:val="00E16408"/>
    <w:rsid w:val="00E20894"/>
    <w:rsid w:val="00E245AB"/>
    <w:rsid w:val="00E2764C"/>
    <w:rsid w:val="00E27F2E"/>
    <w:rsid w:val="00E50AFE"/>
    <w:rsid w:val="00E75C92"/>
    <w:rsid w:val="00E771DC"/>
    <w:rsid w:val="00E826D1"/>
    <w:rsid w:val="00E8772A"/>
    <w:rsid w:val="00E90F6B"/>
    <w:rsid w:val="00E92C27"/>
    <w:rsid w:val="00EA0E3D"/>
    <w:rsid w:val="00EC38A7"/>
    <w:rsid w:val="00ED7384"/>
    <w:rsid w:val="00EE1AA8"/>
    <w:rsid w:val="00F128EA"/>
    <w:rsid w:val="00F31EDC"/>
    <w:rsid w:val="00F462B3"/>
    <w:rsid w:val="00F5664F"/>
    <w:rsid w:val="00F666C4"/>
    <w:rsid w:val="00F76AFC"/>
    <w:rsid w:val="00F823EE"/>
    <w:rsid w:val="00FA47C0"/>
    <w:rsid w:val="00FB5DD1"/>
    <w:rsid w:val="00FC2B5D"/>
    <w:rsid w:val="00FF1449"/>
    <w:rsid w:val="0384228A"/>
    <w:rsid w:val="04AF872A"/>
    <w:rsid w:val="0EE81B0A"/>
    <w:rsid w:val="0F5F9527"/>
    <w:rsid w:val="165E9519"/>
    <w:rsid w:val="2C1A402A"/>
    <w:rsid w:val="382536D9"/>
    <w:rsid w:val="3EFBC5A9"/>
    <w:rsid w:val="4BA06C37"/>
    <w:rsid w:val="57A51509"/>
    <w:rsid w:val="6EFDAB80"/>
    <w:rsid w:val="78A10148"/>
    <w:rsid w:val="7B6AA7A6"/>
    <w:rsid w:val="7C183931"/>
    <w:rsid w:val="7EF3A6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335F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335FC"/>
    <w:rPr>
      <w:rFonts w:ascii="Geomanist Light" w:hAnsi="Geomanist Light"/>
      <w:lang w:val="es-ES"/>
    </w:rPr>
  </w:style>
  <w:style w:type="character" w:customStyle="1" w:styleId="s15">
    <w:name w:val="s15"/>
    <w:basedOn w:val="Fuentedeprrafopredeter"/>
    <w:rsid w:val="007335FC"/>
  </w:style>
  <w:style w:type="character" w:customStyle="1" w:styleId="apple-converted-space">
    <w:name w:val="apple-converted-space"/>
    <w:basedOn w:val="Fuentedeprrafopredeter"/>
    <w:rsid w:val="007335FC"/>
  </w:style>
  <w:style w:type="paragraph" w:customStyle="1" w:styleId="s16">
    <w:name w:val="s16"/>
    <w:basedOn w:val="Normal"/>
    <w:rsid w:val="007335F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7335F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733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6699494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wp-content/uploads/2024/08/circular_externa_unica_version_3_vf49.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1724288-1390-4588-A0AB-5FA956AE7359}"/>
</file>

<file path=docProps/app.xml><?xml version="1.0" encoding="utf-8"?>
<Properties xmlns="http://schemas.openxmlformats.org/officeDocument/2006/extended-properties" xmlns:vt="http://schemas.openxmlformats.org/officeDocument/2006/docPropsVTypes">
  <Template>Normal.dotm</Template>
  <TotalTime>4</TotalTime>
  <Pages>18</Pages>
  <Words>5864</Words>
  <Characters>32256</Characters>
  <Application>Microsoft Office Word</Application>
  <DocSecurity>0</DocSecurity>
  <Lines>268</Lines>
  <Paragraphs>76</Paragraphs>
  <ScaleCrop>false</ScaleCrop>
  <Company/>
  <LinksUpToDate>false</LinksUpToDate>
  <CharactersWithSpaces>38044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2025-07-23T19:16:00Z</dcterms:created>
  <dcterms:modified xsi:type="dcterms:W3CDTF">2025-07-24T00:47:00Z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