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A918F" w14:textId="77777777" w:rsidR="00036F9C" w:rsidRPr="00036F9C" w:rsidRDefault="00036F9C" w:rsidP="00036F9C">
      <w:pPr>
        <w:spacing w:after="0" w:line="240" w:lineRule="auto"/>
        <w:jc w:val="both"/>
        <w:rPr>
          <w:rFonts w:ascii="Arial" w:eastAsia="Calibri" w:hAnsi="Arial" w:cs="Arial"/>
          <w:b/>
          <w:szCs w:val="24"/>
          <w:lang w:val="es-ES_tradnl" w:eastAsia="es-ES_tradnl"/>
        </w:rPr>
      </w:pPr>
      <w:r w:rsidRPr="00036F9C">
        <w:rPr>
          <w:rFonts w:ascii="Arial" w:eastAsia="Calibri" w:hAnsi="Arial" w:cs="Arial"/>
          <w:b/>
          <w:szCs w:val="24"/>
          <w:lang w:val="es-ES_tradnl" w:eastAsia="es-ES_tradnl"/>
        </w:rPr>
        <w:t xml:space="preserve">ENTIDADES EXCEPTUADAS – Régimen especial – Derecho privado – Manuales de contratación </w:t>
      </w:r>
    </w:p>
    <w:p w14:paraId="5D2EEE58" w14:textId="77777777" w:rsidR="00036F9C" w:rsidRPr="00036F9C" w:rsidRDefault="00036F9C" w:rsidP="00036F9C">
      <w:pPr>
        <w:spacing w:after="0" w:line="240" w:lineRule="auto"/>
        <w:rPr>
          <w:rFonts w:ascii="Verdana" w:eastAsia="Times New Roman" w:hAnsi="Verdana" w:cs="Arial"/>
          <w:sz w:val="20"/>
          <w:szCs w:val="20"/>
          <w:lang w:val="es-ES_tradnl" w:eastAsia="es-ES_tradnl"/>
        </w:rPr>
      </w:pPr>
    </w:p>
    <w:p w14:paraId="6C7A862D" w14:textId="77777777" w:rsidR="00036F9C" w:rsidRPr="00036F9C" w:rsidRDefault="00036F9C" w:rsidP="00036F9C">
      <w:pPr>
        <w:spacing w:after="0" w:line="240" w:lineRule="auto"/>
        <w:jc w:val="both"/>
        <w:rPr>
          <w:rFonts w:ascii="Verdana" w:eastAsia="Times New Roman" w:hAnsi="Verdana" w:cs="Arial"/>
          <w:iCs/>
          <w:color w:val="000000"/>
          <w:sz w:val="20"/>
          <w:szCs w:val="20"/>
          <w:lang w:val="es-ES_tradnl" w:eastAsia="es-ES_tradnl"/>
        </w:rPr>
      </w:pPr>
      <w:r w:rsidRPr="00036F9C">
        <w:rPr>
          <w:rFonts w:ascii="Verdana" w:eastAsia="Times New Roman" w:hAnsi="Verdana" w:cs="Arial"/>
          <w:iCs/>
          <w:color w:val="000000"/>
          <w:sz w:val="20"/>
          <w:szCs w:val="20"/>
          <w:lang w:val="es-ES_tradnl" w:eastAsia="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337A4EE1" w14:textId="77777777" w:rsidR="00036F9C" w:rsidRPr="00036F9C" w:rsidRDefault="00036F9C" w:rsidP="00036F9C">
      <w:pPr>
        <w:spacing w:after="0" w:line="240" w:lineRule="auto"/>
        <w:jc w:val="both"/>
        <w:rPr>
          <w:rFonts w:ascii="Verdana" w:eastAsia="Times New Roman" w:hAnsi="Verdana" w:cs="Arial"/>
          <w:iCs/>
          <w:color w:val="000000"/>
          <w:sz w:val="20"/>
          <w:szCs w:val="20"/>
          <w:lang w:val="es-ES_tradnl" w:eastAsia="es-ES_tradnl"/>
        </w:rPr>
      </w:pPr>
    </w:p>
    <w:p w14:paraId="7630E22E" w14:textId="77777777" w:rsidR="00036F9C" w:rsidRPr="00085A6F" w:rsidRDefault="00036F9C" w:rsidP="00036F9C">
      <w:pPr>
        <w:spacing w:after="0" w:line="240" w:lineRule="auto"/>
        <w:jc w:val="both"/>
        <w:rPr>
          <w:rFonts w:ascii="Verdana" w:eastAsia="Times New Roman" w:hAnsi="Verdana" w:cs="Arial"/>
          <w:iCs/>
          <w:color w:val="000000"/>
          <w:sz w:val="20"/>
          <w:szCs w:val="20"/>
          <w:lang w:val="es-ES_tradnl" w:eastAsia="es-ES_tradnl"/>
        </w:rPr>
      </w:pPr>
      <w:r w:rsidRPr="00036F9C">
        <w:rPr>
          <w:rFonts w:ascii="Verdana" w:eastAsia="Times New Roman" w:hAnsi="Verdana" w:cs="Arial"/>
          <w:iCs/>
          <w:color w:val="000000"/>
          <w:sz w:val="20"/>
          <w:szCs w:val="20"/>
          <w:lang w:val="es-ES_tradnl" w:eastAsia="es-ES_tradnl"/>
        </w:rPr>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3641C251" w14:textId="77777777" w:rsidR="00036F9C" w:rsidRPr="00036F9C" w:rsidRDefault="00036F9C" w:rsidP="00036F9C">
      <w:pPr>
        <w:spacing w:after="0" w:line="240" w:lineRule="auto"/>
        <w:jc w:val="both"/>
        <w:rPr>
          <w:rFonts w:ascii="Arial" w:eastAsia="Times New Roman" w:hAnsi="Arial" w:cs="Arial"/>
          <w:iCs/>
          <w:color w:val="000000"/>
          <w:sz w:val="20"/>
          <w:szCs w:val="20"/>
          <w:lang w:val="es-ES_tradnl" w:eastAsia="es-ES_tradnl"/>
        </w:rPr>
      </w:pPr>
    </w:p>
    <w:p w14:paraId="116B326B" w14:textId="04258EAD" w:rsidR="00085A6F" w:rsidRDefault="00036F9C" w:rsidP="00085A6F">
      <w:pPr>
        <w:tabs>
          <w:tab w:val="left" w:pos="709"/>
        </w:tabs>
        <w:spacing w:after="0" w:line="240" w:lineRule="auto"/>
        <w:jc w:val="both"/>
        <w:rPr>
          <w:rFonts w:ascii="Verdana" w:eastAsia="Calibri" w:hAnsi="Verdana" w:cs="Arial"/>
          <w:b/>
          <w:lang w:val="es-ES" w:eastAsia="es-ES_tradnl"/>
        </w:rPr>
      </w:pPr>
      <w:r w:rsidRPr="00036F9C">
        <w:rPr>
          <w:rFonts w:ascii="Verdana" w:eastAsia="Calibri" w:hAnsi="Verdana" w:cs="Arial"/>
          <w:b/>
          <w:lang w:val="es-ES_tradnl" w:eastAsia="es-ES_tradnl"/>
        </w:rPr>
        <w:t>SECOP –Ley 2195 de 2022 – Entidades exceptuadas</w:t>
      </w:r>
      <w:r w:rsidRPr="00036F9C">
        <w:rPr>
          <w:rFonts w:ascii="Verdana" w:eastAsia="Calibri" w:hAnsi="Verdana" w:cs="Arial"/>
          <w:b/>
          <w:lang w:val="es-ES" w:eastAsia="es-ES_tradnl"/>
        </w:rPr>
        <w:t xml:space="preserve"> </w:t>
      </w:r>
    </w:p>
    <w:p w14:paraId="1E5CA08C" w14:textId="77777777" w:rsidR="00085A6F" w:rsidRPr="00085A6F" w:rsidRDefault="00085A6F" w:rsidP="00085A6F">
      <w:pPr>
        <w:tabs>
          <w:tab w:val="left" w:pos="709"/>
        </w:tabs>
        <w:spacing w:after="0" w:line="240" w:lineRule="auto"/>
        <w:jc w:val="both"/>
        <w:rPr>
          <w:rFonts w:ascii="Verdana" w:eastAsia="Calibri" w:hAnsi="Verdana" w:cs="Arial"/>
          <w:b/>
          <w:lang w:val="es-ES" w:eastAsia="es-ES_tradnl"/>
        </w:rPr>
      </w:pPr>
    </w:p>
    <w:p w14:paraId="18AD8C5B" w14:textId="6E0A04E8" w:rsidR="00085A6F" w:rsidRDefault="00085A6F" w:rsidP="00085A6F">
      <w:pPr>
        <w:spacing w:after="0" w:line="240" w:lineRule="auto"/>
        <w:jc w:val="both"/>
        <w:rPr>
          <w:rFonts w:ascii="Verdana" w:eastAsia="Calibri" w:hAnsi="Verdana" w:cs="Arial"/>
          <w:color w:val="000000" w:themeColor="text1"/>
          <w:sz w:val="20"/>
          <w:szCs w:val="20"/>
          <w:lang w:val="es-ES_tradnl"/>
        </w:rPr>
      </w:pPr>
      <w:r w:rsidRPr="00085A6F">
        <w:rPr>
          <w:rFonts w:ascii="Verdana" w:eastAsia="Calibri" w:hAnsi="Verdana" w:cs="Arial"/>
          <w:color w:val="000000" w:themeColor="text1"/>
          <w:sz w:val="20"/>
          <w:szCs w:val="20"/>
          <w:lang w:val="es-ES_tradnl"/>
        </w:rPr>
        <w:t xml:space="preserve">Como puede observarse, el artículo 53 de la Ley 2195 de 2022 –que modifica el artículo 13 de la Ley 1150 de 2007– establece la obligación de emplear el SECOP II para la publicación de los documentos relacionados con la actividad contractual.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 </w:t>
      </w:r>
    </w:p>
    <w:p w14:paraId="4219935F" w14:textId="77777777" w:rsidR="00085A6F" w:rsidRPr="00085A6F" w:rsidRDefault="00085A6F" w:rsidP="00085A6F">
      <w:pPr>
        <w:spacing w:after="0" w:line="240" w:lineRule="auto"/>
        <w:jc w:val="both"/>
        <w:rPr>
          <w:rFonts w:ascii="Verdana" w:eastAsia="Calibri" w:hAnsi="Verdana" w:cs="Arial"/>
          <w:color w:val="000000" w:themeColor="text1"/>
          <w:sz w:val="20"/>
          <w:szCs w:val="20"/>
          <w:lang w:val="es-ES_tradnl"/>
        </w:rPr>
      </w:pPr>
    </w:p>
    <w:p w14:paraId="54EE4A96" w14:textId="77777777" w:rsidR="00085A6F" w:rsidRPr="00085A6F" w:rsidRDefault="00085A6F" w:rsidP="00085A6F">
      <w:pPr>
        <w:spacing w:after="0" w:line="240" w:lineRule="auto"/>
        <w:jc w:val="both"/>
        <w:rPr>
          <w:rFonts w:ascii="Verdana" w:eastAsia="Calibri" w:hAnsi="Verdana" w:cs="Arial"/>
          <w:color w:val="000000" w:themeColor="text1"/>
          <w:sz w:val="20"/>
          <w:szCs w:val="20"/>
          <w:lang w:val="es-ES_tradnl"/>
        </w:rPr>
      </w:pPr>
      <w:r w:rsidRPr="00085A6F">
        <w:rPr>
          <w:rFonts w:ascii="Verdana" w:eastAsia="Calibri" w:hAnsi="Verdana" w:cs="Arial"/>
          <w:color w:val="000000" w:themeColor="text1"/>
          <w:sz w:val="20"/>
          <w:szCs w:val="20"/>
        </w:rPr>
        <w:t xml:space="preserve">Cabe destacar que cuando la norma trascrita hace referencia a que el mencionado deber de publicidad debe cumplirse en el SECOP II </w:t>
      </w:r>
      <w:r w:rsidRPr="00085A6F">
        <w:rPr>
          <w:rFonts w:ascii="Verdana" w:eastAsia="Calibri" w:hAnsi="Verdana" w:cs="Arial"/>
          <w:color w:val="000000" w:themeColor="text1"/>
          <w:sz w:val="20"/>
          <w:szCs w:val="20"/>
          <w:lang w:val="es-ES_tradnl"/>
        </w:rPr>
        <w:t>«o la plataforma transaccional que haga sus veces» esto debe interpretarse en el sentido en que a pesar de que en la actualidad es el SECOP II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w:t>
      </w:r>
      <w:r w:rsidRPr="00085A6F">
        <w:rPr>
          <w:rFonts w:ascii="Verdana" w:hAnsi="Verdana"/>
          <w:sz w:val="20"/>
          <w:szCs w:val="20"/>
        </w:rPr>
        <w:t xml:space="preserve"> </w:t>
      </w:r>
      <w:r w:rsidRPr="00085A6F">
        <w:rPr>
          <w:rFonts w:ascii="Verdana" w:eastAsia="Calibri" w:hAnsi="Verdana" w:cs="Arial"/>
          <w:color w:val="000000" w:themeColor="text1"/>
          <w:sz w:val="20"/>
          <w:szCs w:val="20"/>
        </w:rPr>
        <w:t>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00DF1079" w14:textId="5B776536" w:rsidR="00E103B5" w:rsidRPr="003E2CCE" w:rsidRDefault="00E103B5" w:rsidP="00E103B5">
      <w:pPr>
        <w:spacing w:after="0" w:line="240" w:lineRule="auto"/>
        <w:jc w:val="both"/>
        <w:rPr>
          <w:rFonts w:ascii="Verdana" w:hAnsi="Verdana" w:cs="Arial"/>
          <w:color w:val="000000" w:themeColor="text1"/>
          <w:sz w:val="20"/>
          <w:szCs w:val="20"/>
        </w:rPr>
      </w:pPr>
    </w:p>
    <w:p w14:paraId="08879554" w14:textId="669EF1CB" w:rsidR="00E103B5" w:rsidRPr="003E2CCE" w:rsidRDefault="00085A6F" w:rsidP="00E103B5">
      <w:pPr>
        <w:tabs>
          <w:tab w:val="left" w:pos="709"/>
        </w:tabs>
        <w:spacing w:after="0" w:line="240" w:lineRule="auto"/>
        <w:jc w:val="both"/>
        <w:rPr>
          <w:rFonts w:ascii="Verdana" w:eastAsia="Calibri" w:hAnsi="Verdana" w:cs="Arial"/>
          <w:b/>
          <w:color w:val="000000" w:themeColor="text1"/>
        </w:rPr>
      </w:pPr>
      <w:r w:rsidRPr="00085A6F">
        <w:rPr>
          <w:rFonts w:ascii="Verdana" w:eastAsia="Calibri" w:hAnsi="Verdana" w:cs="Arial"/>
          <w:b/>
          <w:lang w:val="es-ES_tradnl" w:eastAsia="es-ES_tradnl"/>
        </w:rPr>
        <w:lastRenderedPageBreak/>
        <w:t xml:space="preserve">CIRCULAR 002 de 2024 – Recursos públicos </w:t>
      </w:r>
    </w:p>
    <w:p w14:paraId="547860CD" w14:textId="77777777" w:rsidR="00E103B5" w:rsidRPr="003E2CCE" w:rsidRDefault="00E103B5" w:rsidP="00E103B5">
      <w:pPr>
        <w:spacing w:after="0" w:line="240" w:lineRule="auto"/>
        <w:jc w:val="both"/>
        <w:rPr>
          <w:rFonts w:ascii="Verdana" w:eastAsia="Calibri" w:hAnsi="Verdana" w:cs="Arial"/>
          <w:bCs/>
          <w:sz w:val="20"/>
          <w:szCs w:val="20"/>
          <w:lang w:val="es-ES_tradnl" w:eastAsia="es-ES_tradnl"/>
        </w:rPr>
      </w:pPr>
    </w:p>
    <w:p w14:paraId="19A17A8E" w14:textId="44D227C5" w:rsidR="00085A6F" w:rsidRPr="00085A6F" w:rsidRDefault="00085A6F" w:rsidP="00085A6F">
      <w:pPr>
        <w:spacing w:after="0" w:line="240" w:lineRule="auto"/>
        <w:jc w:val="both"/>
        <w:rPr>
          <w:rFonts w:ascii="Verdana" w:eastAsia="Calibri" w:hAnsi="Verdana" w:cs="Arial"/>
          <w:bCs/>
          <w:color w:val="000000" w:themeColor="text1"/>
          <w:sz w:val="20"/>
          <w:szCs w:val="20"/>
          <w:lang w:val="es-ES_tradnl"/>
        </w:rPr>
      </w:pPr>
      <w:r>
        <w:rPr>
          <w:rFonts w:ascii="Verdana" w:eastAsia="Calibri" w:hAnsi="Verdana" w:cs="Arial"/>
          <w:bCs/>
          <w:color w:val="000000" w:themeColor="text1"/>
          <w:sz w:val="20"/>
          <w:szCs w:val="20"/>
          <w:lang w:val="es-ES_tradnl"/>
        </w:rPr>
        <w:t>S</w:t>
      </w:r>
      <w:r w:rsidRPr="00085A6F">
        <w:rPr>
          <w:rFonts w:ascii="Verdana" w:eastAsia="Calibri" w:hAnsi="Verdana" w:cs="Arial"/>
          <w:bCs/>
          <w:color w:val="000000" w:themeColor="text1"/>
          <w:sz w:val="20"/>
          <w:szCs w:val="20"/>
          <w:lang w:val="es-ES_tradnl"/>
        </w:rPr>
        <w:t xml:space="preserve">obre la procedencia de los recursos para efectos de la publicidad de la actividad contractual de las entidades exceptuadas, es preciso indicar que la Agencia Nacional de Contratación Pública – Colombia Compra Eficiente expidió Circular Externa 002 del 23 de agosto de 2024, en la cual señaló lo siguiente: </w:t>
      </w:r>
    </w:p>
    <w:p w14:paraId="0C948763" w14:textId="77777777" w:rsidR="00085A6F" w:rsidRDefault="00085A6F" w:rsidP="00085A6F">
      <w:pPr>
        <w:spacing w:after="0" w:line="240" w:lineRule="auto"/>
        <w:jc w:val="both"/>
        <w:rPr>
          <w:rFonts w:ascii="Verdana" w:eastAsia="Calibri" w:hAnsi="Verdana" w:cs="Arial"/>
          <w:bCs/>
          <w:color w:val="000000" w:themeColor="text1"/>
          <w:sz w:val="20"/>
          <w:szCs w:val="20"/>
          <w:lang w:val="es-ES_tradnl"/>
        </w:rPr>
      </w:pPr>
    </w:p>
    <w:p w14:paraId="3F0EF190" w14:textId="4D4C8B9B" w:rsidR="00085A6F" w:rsidRDefault="00085A6F" w:rsidP="00085A6F">
      <w:pPr>
        <w:spacing w:after="0" w:line="240" w:lineRule="auto"/>
        <w:jc w:val="both"/>
        <w:rPr>
          <w:rFonts w:ascii="Verdana" w:eastAsia="Calibri" w:hAnsi="Verdana" w:cs="Arial"/>
          <w:bCs/>
          <w:color w:val="000000" w:themeColor="text1"/>
          <w:sz w:val="20"/>
          <w:szCs w:val="20"/>
          <w:lang w:val="es-ES_tradnl"/>
        </w:rPr>
      </w:pPr>
      <w:r w:rsidRPr="00085A6F">
        <w:rPr>
          <w:rFonts w:ascii="Verdana" w:eastAsia="Calibri" w:hAnsi="Verdana" w:cs="Arial"/>
          <w:bCs/>
          <w:color w:val="000000" w:themeColor="text1"/>
          <w:sz w:val="20"/>
          <w:szCs w:val="20"/>
          <w:lang w:val="es-ES_tradnl"/>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w:t>
      </w:r>
    </w:p>
    <w:p w14:paraId="69395237" w14:textId="77777777" w:rsidR="005E347B" w:rsidRDefault="005E347B" w:rsidP="00CE37A3">
      <w:pPr>
        <w:spacing w:after="0" w:line="240" w:lineRule="auto"/>
        <w:rPr>
          <w:rFonts w:ascii="Verdana" w:eastAsia="Calibri" w:hAnsi="Verdana" w:cs="Arial"/>
          <w:bCs/>
          <w:color w:val="000000" w:themeColor="text1"/>
          <w:sz w:val="20"/>
          <w:szCs w:val="20"/>
          <w:lang w:val="es-ES_tradnl"/>
        </w:rPr>
      </w:pPr>
    </w:p>
    <w:p w14:paraId="38CBAF9C" w14:textId="77777777" w:rsidR="00085A6F" w:rsidRDefault="00085A6F" w:rsidP="00CE37A3">
      <w:pPr>
        <w:spacing w:after="0" w:line="240" w:lineRule="auto"/>
        <w:rPr>
          <w:rFonts w:ascii="Verdana" w:eastAsia="Calibri" w:hAnsi="Verdana" w:cs="Arial"/>
          <w:bCs/>
          <w:color w:val="000000" w:themeColor="text1"/>
          <w:sz w:val="20"/>
          <w:szCs w:val="20"/>
          <w:lang w:val="es-ES_tradnl"/>
        </w:rPr>
      </w:pPr>
    </w:p>
    <w:p w14:paraId="5EAF0729" w14:textId="77777777" w:rsidR="00085A6F" w:rsidRDefault="00085A6F" w:rsidP="00CE37A3">
      <w:pPr>
        <w:spacing w:after="0" w:line="240" w:lineRule="auto"/>
        <w:rPr>
          <w:rFonts w:ascii="Verdana" w:eastAsia="Calibri" w:hAnsi="Verdana" w:cs="Arial"/>
          <w:bCs/>
          <w:color w:val="000000" w:themeColor="text1"/>
          <w:sz w:val="20"/>
          <w:szCs w:val="20"/>
          <w:lang w:val="es-ES_tradnl"/>
        </w:rPr>
      </w:pPr>
    </w:p>
    <w:p w14:paraId="0D492CBA" w14:textId="77777777" w:rsidR="00085A6F" w:rsidRDefault="00085A6F" w:rsidP="00CE37A3">
      <w:pPr>
        <w:spacing w:after="0" w:line="240" w:lineRule="auto"/>
        <w:rPr>
          <w:rFonts w:ascii="Verdana" w:eastAsia="Calibri" w:hAnsi="Verdana" w:cs="Arial"/>
          <w:bCs/>
          <w:color w:val="000000" w:themeColor="text1"/>
          <w:sz w:val="20"/>
          <w:szCs w:val="20"/>
          <w:lang w:val="es-ES_tradnl"/>
        </w:rPr>
      </w:pPr>
    </w:p>
    <w:p w14:paraId="49846EE4" w14:textId="77777777" w:rsidR="00085A6F" w:rsidRPr="003E2CCE" w:rsidRDefault="00085A6F" w:rsidP="00CE37A3">
      <w:pPr>
        <w:spacing w:after="0" w:line="240" w:lineRule="auto"/>
        <w:rPr>
          <w:rFonts w:ascii="Verdana" w:hAnsi="Verdana"/>
          <w:sz w:val="20"/>
          <w:szCs w:val="20"/>
        </w:rPr>
      </w:pPr>
    </w:p>
    <w:p w14:paraId="33A2463E" w14:textId="77777777" w:rsidR="005E347B" w:rsidRPr="003E2CCE" w:rsidRDefault="005E347B" w:rsidP="00CE37A3">
      <w:pPr>
        <w:spacing w:after="0" w:line="240" w:lineRule="auto"/>
        <w:rPr>
          <w:rFonts w:ascii="Verdana" w:hAnsi="Verdana"/>
          <w:sz w:val="20"/>
          <w:szCs w:val="20"/>
        </w:rPr>
      </w:pPr>
    </w:p>
    <w:p w14:paraId="4C7DF800" w14:textId="77777777" w:rsidR="005E347B" w:rsidRPr="003E2CCE" w:rsidRDefault="005E347B" w:rsidP="00CE37A3">
      <w:pPr>
        <w:spacing w:after="0" w:line="240" w:lineRule="auto"/>
        <w:rPr>
          <w:rFonts w:ascii="Verdana" w:hAnsi="Verdana"/>
          <w:sz w:val="20"/>
          <w:szCs w:val="20"/>
        </w:rPr>
      </w:pPr>
    </w:p>
    <w:p w14:paraId="54EA0CBB" w14:textId="77777777" w:rsidR="004E2E2A" w:rsidRPr="003E2CCE" w:rsidRDefault="004E2E2A" w:rsidP="00CE37A3">
      <w:pPr>
        <w:spacing w:after="0" w:line="240" w:lineRule="auto"/>
        <w:rPr>
          <w:rFonts w:ascii="Verdana" w:hAnsi="Verdana"/>
          <w:sz w:val="20"/>
          <w:szCs w:val="20"/>
        </w:rPr>
      </w:pPr>
    </w:p>
    <w:p w14:paraId="14E69913" w14:textId="77777777" w:rsidR="00E103B5" w:rsidRPr="003E2CCE" w:rsidRDefault="00E103B5" w:rsidP="00CE37A3">
      <w:pPr>
        <w:spacing w:after="0" w:line="240" w:lineRule="auto"/>
        <w:rPr>
          <w:rFonts w:ascii="Verdana" w:hAnsi="Verdana"/>
          <w:sz w:val="20"/>
          <w:szCs w:val="20"/>
        </w:rPr>
      </w:pPr>
    </w:p>
    <w:p w14:paraId="0ED1294D" w14:textId="77777777" w:rsidR="00E103B5" w:rsidRPr="003E2CCE" w:rsidRDefault="00E103B5" w:rsidP="00CE37A3">
      <w:pPr>
        <w:spacing w:after="0" w:line="240" w:lineRule="auto"/>
        <w:rPr>
          <w:rFonts w:ascii="Verdana" w:hAnsi="Verdana"/>
          <w:sz w:val="20"/>
          <w:szCs w:val="20"/>
        </w:rPr>
      </w:pPr>
    </w:p>
    <w:p w14:paraId="2F9DF147" w14:textId="77777777" w:rsidR="00E103B5" w:rsidRPr="003E2CCE" w:rsidRDefault="00E103B5" w:rsidP="00CE37A3">
      <w:pPr>
        <w:spacing w:after="0" w:line="240" w:lineRule="auto"/>
        <w:rPr>
          <w:rFonts w:ascii="Verdana" w:hAnsi="Verdana"/>
          <w:sz w:val="20"/>
          <w:szCs w:val="20"/>
        </w:rPr>
      </w:pPr>
    </w:p>
    <w:p w14:paraId="3D0AF070" w14:textId="77777777" w:rsidR="00E103B5" w:rsidRPr="003E2CCE" w:rsidRDefault="00E103B5" w:rsidP="00CE37A3">
      <w:pPr>
        <w:spacing w:after="0" w:line="240" w:lineRule="auto"/>
        <w:rPr>
          <w:rFonts w:ascii="Verdana" w:hAnsi="Verdana"/>
          <w:sz w:val="20"/>
          <w:szCs w:val="20"/>
        </w:rPr>
      </w:pPr>
    </w:p>
    <w:p w14:paraId="69787094" w14:textId="77777777" w:rsidR="00E103B5" w:rsidRPr="003E2CCE" w:rsidRDefault="00E103B5" w:rsidP="00CE37A3">
      <w:pPr>
        <w:spacing w:after="0" w:line="240" w:lineRule="auto"/>
        <w:rPr>
          <w:rFonts w:ascii="Verdana" w:hAnsi="Verdana"/>
          <w:sz w:val="20"/>
          <w:szCs w:val="20"/>
        </w:rPr>
      </w:pPr>
    </w:p>
    <w:p w14:paraId="76DF27AE" w14:textId="77777777" w:rsidR="00E103B5" w:rsidRPr="003E2CCE" w:rsidRDefault="00E103B5" w:rsidP="00CE37A3">
      <w:pPr>
        <w:spacing w:after="0" w:line="240" w:lineRule="auto"/>
        <w:rPr>
          <w:rFonts w:ascii="Verdana" w:hAnsi="Verdana"/>
          <w:sz w:val="20"/>
          <w:szCs w:val="20"/>
        </w:rPr>
      </w:pPr>
    </w:p>
    <w:p w14:paraId="7315BAC5" w14:textId="77777777" w:rsidR="00E103B5" w:rsidRPr="003E2CCE" w:rsidRDefault="00E103B5" w:rsidP="00CE37A3">
      <w:pPr>
        <w:spacing w:after="0" w:line="240" w:lineRule="auto"/>
        <w:rPr>
          <w:rFonts w:ascii="Verdana" w:hAnsi="Verdana"/>
          <w:sz w:val="20"/>
          <w:szCs w:val="20"/>
        </w:rPr>
      </w:pPr>
    </w:p>
    <w:p w14:paraId="736E6CE6" w14:textId="77777777" w:rsidR="00E103B5" w:rsidRPr="003E2CCE" w:rsidRDefault="00E103B5" w:rsidP="00CE37A3">
      <w:pPr>
        <w:spacing w:after="0" w:line="240" w:lineRule="auto"/>
        <w:rPr>
          <w:rFonts w:ascii="Verdana" w:hAnsi="Verdana"/>
          <w:sz w:val="20"/>
          <w:szCs w:val="20"/>
        </w:rPr>
      </w:pPr>
    </w:p>
    <w:p w14:paraId="3EE634D0" w14:textId="77777777" w:rsidR="00E103B5" w:rsidRPr="003E2CCE" w:rsidRDefault="00E103B5" w:rsidP="00CE37A3">
      <w:pPr>
        <w:spacing w:after="0" w:line="240" w:lineRule="auto"/>
        <w:rPr>
          <w:rFonts w:ascii="Verdana" w:hAnsi="Verdana"/>
          <w:sz w:val="20"/>
          <w:szCs w:val="20"/>
        </w:rPr>
      </w:pPr>
    </w:p>
    <w:p w14:paraId="250970F5" w14:textId="77777777" w:rsidR="00E103B5" w:rsidRDefault="00E103B5" w:rsidP="00CE37A3">
      <w:pPr>
        <w:spacing w:after="0" w:line="240" w:lineRule="auto"/>
        <w:rPr>
          <w:rFonts w:ascii="Verdana" w:hAnsi="Verdana"/>
          <w:sz w:val="20"/>
          <w:szCs w:val="20"/>
        </w:rPr>
      </w:pPr>
    </w:p>
    <w:p w14:paraId="6CF36153" w14:textId="77777777" w:rsidR="00085A6F" w:rsidRDefault="00085A6F" w:rsidP="00CE37A3">
      <w:pPr>
        <w:spacing w:after="0" w:line="240" w:lineRule="auto"/>
        <w:rPr>
          <w:rFonts w:ascii="Verdana" w:hAnsi="Verdana"/>
          <w:sz w:val="20"/>
          <w:szCs w:val="20"/>
        </w:rPr>
      </w:pPr>
    </w:p>
    <w:p w14:paraId="4E6ADEBF" w14:textId="77777777" w:rsidR="00085A6F" w:rsidRDefault="00085A6F" w:rsidP="00CE37A3">
      <w:pPr>
        <w:spacing w:after="0" w:line="240" w:lineRule="auto"/>
        <w:rPr>
          <w:rFonts w:ascii="Verdana" w:hAnsi="Verdana"/>
          <w:sz w:val="20"/>
          <w:szCs w:val="20"/>
        </w:rPr>
      </w:pPr>
    </w:p>
    <w:p w14:paraId="3932F988" w14:textId="77777777" w:rsidR="00085A6F" w:rsidRDefault="00085A6F" w:rsidP="00CE37A3">
      <w:pPr>
        <w:spacing w:after="0" w:line="240" w:lineRule="auto"/>
        <w:rPr>
          <w:rFonts w:ascii="Verdana" w:hAnsi="Verdana"/>
          <w:sz w:val="20"/>
          <w:szCs w:val="20"/>
        </w:rPr>
      </w:pPr>
    </w:p>
    <w:p w14:paraId="33781895" w14:textId="77777777" w:rsidR="00085A6F" w:rsidRPr="003E2CCE" w:rsidRDefault="00085A6F" w:rsidP="00CE37A3">
      <w:pPr>
        <w:spacing w:after="0" w:line="240" w:lineRule="auto"/>
        <w:rPr>
          <w:rFonts w:ascii="Verdana" w:hAnsi="Verdana"/>
          <w:sz w:val="20"/>
          <w:szCs w:val="20"/>
        </w:rPr>
      </w:pPr>
    </w:p>
    <w:p w14:paraId="6DF8F194" w14:textId="77777777" w:rsidR="00E103B5" w:rsidRPr="003E2CCE" w:rsidRDefault="00E103B5" w:rsidP="00CE37A3">
      <w:pPr>
        <w:spacing w:after="0" w:line="240" w:lineRule="auto"/>
        <w:rPr>
          <w:rFonts w:ascii="Verdana" w:hAnsi="Verdana"/>
          <w:sz w:val="20"/>
          <w:szCs w:val="20"/>
        </w:rPr>
      </w:pPr>
    </w:p>
    <w:p w14:paraId="75FEDE1D" w14:textId="77777777" w:rsidR="004E2E2A" w:rsidRPr="003E2CCE" w:rsidRDefault="004E2E2A" w:rsidP="00CE37A3">
      <w:pPr>
        <w:spacing w:after="0" w:line="240" w:lineRule="auto"/>
        <w:rPr>
          <w:rFonts w:ascii="Verdana" w:hAnsi="Verdana"/>
          <w:sz w:val="20"/>
          <w:szCs w:val="20"/>
        </w:rPr>
      </w:pPr>
    </w:p>
    <w:p w14:paraId="74492D40" w14:textId="77777777" w:rsidR="004E2E2A" w:rsidRPr="003E2CCE" w:rsidRDefault="004E2E2A" w:rsidP="00CE37A3">
      <w:pPr>
        <w:spacing w:after="0" w:line="240" w:lineRule="auto"/>
        <w:rPr>
          <w:rFonts w:ascii="Verdana" w:hAnsi="Verdana"/>
          <w:sz w:val="20"/>
          <w:szCs w:val="20"/>
        </w:rPr>
      </w:pPr>
    </w:p>
    <w:p w14:paraId="30BB62B9" w14:textId="77777777" w:rsidR="004E2E2A" w:rsidRPr="003E2CCE" w:rsidRDefault="004E2E2A" w:rsidP="00CE37A3">
      <w:pPr>
        <w:spacing w:after="0" w:line="240" w:lineRule="auto"/>
        <w:rPr>
          <w:rFonts w:ascii="Verdana" w:hAnsi="Verdana"/>
          <w:sz w:val="20"/>
          <w:szCs w:val="20"/>
        </w:rPr>
      </w:pPr>
    </w:p>
    <w:p w14:paraId="3526AD68" w14:textId="77777777" w:rsidR="004E2E2A" w:rsidRPr="003E2CCE" w:rsidRDefault="004E2E2A" w:rsidP="00CE37A3">
      <w:pPr>
        <w:spacing w:after="0" w:line="240" w:lineRule="auto"/>
        <w:rPr>
          <w:rFonts w:ascii="Verdana" w:hAnsi="Verdana"/>
          <w:sz w:val="20"/>
          <w:szCs w:val="20"/>
        </w:rPr>
      </w:pPr>
    </w:p>
    <w:p w14:paraId="069449C2" w14:textId="77777777" w:rsidR="004E2E2A" w:rsidRPr="003E2CCE" w:rsidRDefault="004E2E2A" w:rsidP="00CE37A3">
      <w:pPr>
        <w:spacing w:after="0" w:line="240" w:lineRule="auto"/>
        <w:rPr>
          <w:rFonts w:ascii="Verdana" w:hAnsi="Verdana"/>
          <w:sz w:val="20"/>
          <w:szCs w:val="20"/>
        </w:rPr>
      </w:pPr>
    </w:p>
    <w:p w14:paraId="5E0BB774" w14:textId="77777777" w:rsidR="005E347B" w:rsidRPr="003E2CCE" w:rsidRDefault="005E347B" w:rsidP="00CE37A3">
      <w:pPr>
        <w:spacing w:after="0" w:line="240" w:lineRule="auto"/>
        <w:rPr>
          <w:rFonts w:ascii="Verdana" w:hAnsi="Verdana"/>
          <w:sz w:val="20"/>
          <w:szCs w:val="20"/>
        </w:rPr>
      </w:pPr>
    </w:p>
    <w:p w14:paraId="28047E8C" w14:textId="321E64CA" w:rsidR="00B30448" w:rsidRPr="003E2CCE" w:rsidRDefault="00B30448" w:rsidP="00CE37A3">
      <w:pPr>
        <w:spacing w:after="0" w:line="240" w:lineRule="auto"/>
        <w:rPr>
          <w:rFonts w:ascii="Verdana" w:eastAsia="Geomanist Light" w:hAnsi="Verdana" w:cs="Arial"/>
          <w:color w:val="201F1E"/>
          <w:lang w:val="es-MX"/>
        </w:rPr>
      </w:pPr>
      <w:r w:rsidRPr="003E2CCE">
        <w:rPr>
          <w:rFonts w:ascii="Verdana" w:eastAsia="Geomanist Light" w:hAnsi="Verdana" w:cs="Arial"/>
          <w:color w:val="000000" w:themeColor="text1"/>
          <w:lang w:val="es-MX"/>
        </w:rPr>
        <w:lastRenderedPageBreak/>
        <w:t>Bogotá D.C., </w:t>
      </w:r>
      <w:r w:rsidR="003964D3">
        <w:rPr>
          <w:rFonts w:ascii="Verdana" w:eastAsia="Geomanist Light" w:hAnsi="Verdana" w:cs="Arial"/>
          <w:color w:val="201F1E"/>
          <w:lang w:val="es-MX"/>
        </w:rPr>
        <w:t>30 de diciembre de 2024</w:t>
      </w:r>
    </w:p>
    <w:p w14:paraId="1715E5B1" w14:textId="0ED43AD0" w:rsidR="00B30448" w:rsidRPr="003E2CCE" w:rsidRDefault="00B30448" w:rsidP="00CE37A3">
      <w:pPr>
        <w:spacing w:after="0" w:line="240" w:lineRule="auto"/>
        <w:jc w:val="both"/>
        <w:rPr>
          <w:rFonts w:ascii="Verdana" w:eastAsia="Calibri" w:hAnsi="Verdana" w:cs="Arial"/>
          <w:color w:val="000000"/>
          <w:lang w:val="es-ES"/>
        </w:rPr>
      </w:pPr>
    </w:p>
    <w:p w14:paraId="62AA4AF4" w14:textId="56C203D4" w:rsidR="00BB3BE4" w:rsidRPr="003E2CCE" w:rsidRDefault="003964D3" w:rsidP="003964D3">
      <w:pPr>
        <w:spacing w:after="0" w:line="240" w:lineRule="auto"/>
        <w:jc w:val="right"/>
        <w:rPr>
          <w:rFonts w:ascii="Verdana" w:eastAsia="Calibri" w:hAnsi="Verdana" w:cs="Arial"/>
          <w:color w:val="000000"/>
          <w:lang w:val="es-ES"/>
        </w:rPr>
      </w:pPr>
      <w:r w:rsidRPr="003964D3">
        <w:rPr>
          <w:rFonts w:ascii="Verdana" w:eastAsia="Calibri" w:hAnsi="Verdana" w:cs="Arial"/>
          <w:noProof/>
          <w:color w:val="000000"/>
          <w:lang w:val="es-ES"/>
        </w:rPr>
        <w:drawing>
          <wp:inline distT="0" distB="0" distL="0" distR="0" wp14:anchorId="594F6E67" wp14:editId="5BCEE72E">
            <wp:extent cx="2819400" cy="990600"/>
            <wp:effectExtent l="0" t="0" r="0" b="0"/>
            <wp:docPr id="12034677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9400" cy="990600"/>
                    </a:xfrm>
                    <a:prstGeom prst="rect">
                      <a:avLst/>
                    </a:prstGeom>
                    <a:noFill/>
                    <a:ln>
                      <a:noFill/>
                    </a:ln>
                  </pic:spPr>
                </pic:pic>
              </a:graphicData>
            </a:graphic>
          </wp:inline>
        </w:drawing>
      </w:r>
    </w:p>
    <w:p w14:paraId="02CC2859" w14:textId="0C2DC4D9" w:rsidR="00B30448" w:rsidRPr="003E2CCE" w:rsidRDefault="00B30448" w:rsidP="00CE37A3">
      <w:pPr>
        <w:spacing w:after="0" w:line="240" w:lineRule="auto"/>
        <w:jc w:val="both"/>
        <w:rPr>
          <w:rFonts w:ascii="Verdana" w:eastAsia="Calibri" w:hAnsi="Verdana" w:cs="Arial"/>
          <w:lang w:val="es-ES" w:eastAsia="es-ES"/>
        </w:rPr>
      </w:pPr>
      <w:r w:rsidRPr="003E2CCE">
        <w:rPr>
          <w:rFonts w:ascii="Verdana" w:eastAsia="Calibri" w:hAnsi="Verdana" w:cs="Arial"/>
          <w:lang w:val="es-ES" w:eastAsia="es-ES"/>
        </w:rPr>
        <w:t>Señor</w:t>
      </w:r>
      <w:r w:rsidR="008221DC" w:rsidRPr="003E2CCE">
        <w:rPr>
          <w:rFonts w:ascii="Verdana" w:eastAsia="Calibri" w:hAnsi="Verdana" w:cs="Arial"/>
          <w:lang w:val="es-ES" w:eastAsia="es-ES"/>
        </w:rPr>
        <w:t>a</w:t>
      </w:r>
    </w:p>
    <w:p w14:paraId="1F7917CC" w14:textId="6B66A141" w:rsidR="006D7C99" w:rsidRPr="003E2CCE" w:rsidRDefault="008221DC" w:rsidP="00E80D00">
      <w:pPr>
        <w:spacing w:after="0" w:line="240" w:lineRule="auto"/>
        <w:rPr>
          <w:rFonts w:ascii="Verdana" w:eastAsia="Calibri" w:hAnsi="Verdana" w:cs="Arial"/>
          <w:b/>
          <w:lang w:val="es-ES_tradnl" w:eastAsia="es-ES_tradnl"/>
        </w:rPr>
      </w:pPr>
      <w:r w:rsidRPr="003E2CCE">
        <w:rPr>
          <w:rFonts w:ascii="Verdana" w:eastAsia="Calibri" w:hAnsi="Verdana" w:cs="Arial"/>
          <w:b/>
          <w:lang w:val="es-ES_tradnl" w:eastAsia="es-ES_tradnl"/>
        </w:rPr>
        <w:t xml:space="preserve">Brenda Daniela Cortes </w:t>
      </w:r>
      <w:r w:rsidR="00F6138F" w:rsidRPr="003E2CCE">
        <w:rPr>
          <w:rFonts w:ascii="Verdana" w:eastAsia="Calibri" w:hAnsi="Verdana" w:cs="Arial"/>
          <w:b/>
          <w:lang w:val="es-ES_tradnl" w:eastAsia="es-ES_tradnl"/>
        </w:rPr>
        <w:t>Quimbaya</w:t>
      </w:r>
    </w:p>
    <w:p w14:paraId="626862D2" w14:textId="6B308654" w:rsidR="002C67DA" w:rsidRPr="003E2CCE" w:rsidRDefault="002C67DA" w:rsidP="00CE37A3">
      <w:pPr>
        <w:spacing w:after="0" w:line="240" w:lineRule="auto"/>
        <w:rPr>
          <w:rFonts w:ascii="Verdana" w:hAnsi="Verdana"/>
        </w:rPr>
      </w:pPr>
      <w:r w:rsidRPr="003E2CCE">
        <w:rPr>
          <w:rFonts w:ascii="Verdana" w:hAnsi="Verdana"/>
        </w:rPr>
        <w:t>brendadanielacortes@hotmail.com</w:t>
      </w:r>
    </w:p>
    <w:p w14:paraId="083F7B5B" w14:textId="33908746" w:rsidR="00497575" w:rsidRPr="003E2CCE" w:rsidRDefault="00A51192" w:rsidP="00CE37A3">
      <w:pPr>
        <w:spacing w:after="0" w:line="240" w:lineRule="auto"/>
        <w:rPr>
          <w:rFonts w:ascii="Verdana" w:eastAsia="Calibri" w:hAnsi="Verdana" w:cs="Arial"/>
          <w:b/>
          <w:bCs/>
          <w:color w:val="000000"/>
          <w:lang w:val="es-ES_tradnl" w:eastAsia="es-ES_tradnl"/>
        </w:rPr>
      </w:pPr>
      <w:r w:rsidRPr="003E2CCE">
        <w:rPr>
          <w:rFonts w:ascii="Verdana" w:eastAsia="Calibri" w:hAnsi="Verdana" w:cs="Arial"/>
          <w:lang w:val="es-ES" w:eastAsia="es-ES"/>
        </w:rPr>
        <w:t>Bogotá D.C</w:t>
      </w:r>
    </w:p>
    <w:p w14:paraId="63F71607" w14:textId="77777777" w:rsidR="00B30448" w:rsidRPr="003E2CCE" w:rsidRDefault="00B30448"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3E2CCE" w14:paraId="32935393" w14:textId="77777777" w:rsidTr="000F1AD8">
        <w:trPr>
          <w:trHeight w:val="884"/>
        </w:trPr>
        <w:tc>
          <w:tcPr>
            <w:tcW w:w="2689" w:type="dxa"/>
          </w:tcPr>
          <w:p w14:paraId="5615C8B0" w14:textId="77777777" w:rsidR="00CE37A3" w:rsidRPr="003E2CCE" w:rsidRDefault="00CE37A3" w:rsidP="00CE37A3">
            <w:pPr>
              <w:jc w:val="both"/>
              <w:rPr>
                <w:rFonts w:ascii="Verdana" w:eastAsia="Calibri" w:hAnsi="Verdana" w:cs="Arial"/>
                <w:b/>
                <w:bCs/>
                <w:color w:val="7030A0"/>
                <w:lang w:val="es-ES_tradnl" w:eastAsia="es-ES_tradnl"/>
              </w:rPr>
            </w:pPr>
          </w:p>
        </w:tc>
        <w:tc>
          <w:tcPr>
            <w:tcW w:w="6100" w:type="dxa"/>
          </w:tcPr>
          <w:p w14:paraId="1CC0FC14" w14:textId="3AB3AA2A" w:rsidR="00CE37A3" w:rsidRPr="003E2CCE" w:rsidRDefault="00CE37A3" w:rsidP="00CE37A3">
            <w:pPr>
              <w:jc w:val="both"/>
              <w:rPr>
                <w:rFonts w:ascii="Verdana" w:eastAsia="Calibri" w:hAnsi="Verdana" w:cs="Arial"/>
                <w:b/>
                <w:bCs/>
                <w:lang w:val="es-ES" w:eastAsia="es-ES"/>
              </w:rPr>
            </w:pPr>
            <w:r w:rsidRPr="003E2CCE">
              <w:rPr>
                <w:rFonts w:ascii="Verdana" w:eastAsia="Calibri" w:hAnsi="Verdana" w:cs="Arial"/>
                <w:b/>
                <w:bCs/>
                <w:lang w:val="es-ES" w:eastAsia="es-ES"/>
              </w:rPr>
              <w:t>Concepto C</w:t>
            </w:r>
            <w:r w:rsidR="008E6AD9" w:rsidRPr="003E2CCE">
              <w:rPr>
                <w:rFonts w:ascii="Verdana" w:eastAsia="Calibri" w:hAnsi="Verdana" w:cs="Arial"/>
                <w:b/>
                <w:bCs/>
                <w:lang w:val="es-ES" w:eastAsia="es-ES"/>
              </w:rPr>
              <w:t xml:space="preserve"> –</w:t>
            </w:r>
            <w:r w:rsidRPr="003E2CCE">
              <w:rPr>
                <w:rFonts w:ascii="Verdana" w:eastAsia="Calibri" w:hAnsi="Verdana" w:cs="Arial"/>
                <w:b/>
                <w:bCs/>
                <w:lang w:val="es-ES" w:eastAsia="es-ES"/>
              </w:rPr>
              <w:t xml:space="preserve"> </w:t>
            </w:r>
            <w:r w:rsidR="00A51192" w:rsidRPr="003E2CCE">
              <w:rPr>
                <w:rFonts w:ascii="Verdana" w:eastAsia="Calibri" w:hAnsi="Verdana" w:cs="Arial"/>
                <w:b/>
                <w:bCs/>
                <w:lang w:val="es-ES" w:eastAsia="es-ES"/>
              </w:rPr>
              <w:t>941</w:t>
            </w:r>
            <w:r w:rsidRPr="003E2CCE">
              <w:rPr>
                <w:rFonts w:ascii="Verdana" w:eastAsia="Calibri" w:hAnsi="Verdana" w:cs="Arial"/>
                <w:b/>
                <w:bCs/>
                <w:lang w:val="es-ES" w:eastAsia="es-ES"/>
              </w:rPr>
              <w:t xml:space="preserve"> de 2024</w:t>
            </w:r>
          </w:p>
        </w:tc>
      </w:tr>
      <w:tr w:rsidR="00B30448" w:rsidRPr="003E2CCE" w14:paraId="52EC412F" w14:textId="77777777" w:rsidTr="000F1AD8">
        <w:trPr>
          <w:trHeight w:val="884"/>
        </w:trPr>
        <w:tc>
          <w:tcPr>
            <w:tcW w:w="2689" w:type="dxa"/>
          </w:tcPr>
          <w:p w14:paraId="752B683B" w14:textId="77777777" w:rsidR="00B30448" w:rsidRPr="003E2CCE" w:rsidRDefault="00B30448" w:rsidP="00CE37A3">
            <w:pPr>
              <w:jc w:val="both"/>
              <w:rPr>
                <w:rFonts w:ascii="Verdana" w:eastAsia="Calibri" w:hAnsi="Verdana" w:cs="Arial"/>
                <w:color w:val="000000"/>
                <w:lang w:val="es-ES_tradnl" w:eastAsia="es-ES_tradnl"/>
              </w:rPr>
            </w:pPr>
            <w:r w:rsidRPr="003E2CCE">
              <w:rPr>
                <w:rFonts w:ascii="Verdana" w:eastAsia="Calibri" w:hAnsi="Verdana" w:cs="Arial"/>
                <w:b/>
                <w:color w:val="000000"/>
                <w:lang w:val="es-ES_tradnl" w:eastAsia="es-ES_tradnl"/>
              </w:rPr>
              <w:t>Temas:</w:t>
            </w:r>
            <w:r w:rsidRPr="003E2CCE">
              <w:rPr>
                <w:rFonts w:ascii="Verdana" w:eastAsia="Calibri" w:hAnsi="Verdana" w:cs="Arial"/>
                <w:color w:val="000000"/>
                <w:lang w:val="es-ES_tradnl" w:eastAsia="es-ES_tradnl"/>
              </w:rPr>
              <w:t xml:space="preserve">                   </w:t>
            </w:r>
          </w:p>
        </w:tc>
        <w:tc>
          <w:tcPr>
            <w:tcW w:w="6100" w:type="dxa"/>
          </w:tcPr>
          <w:p w14:paraId="64B1D2E6" w14:textId="12FCEC84" w:rsidR="00D1484F" w:rsidRPr="00036F9C" w:rsidRDefault="00177B2B" w:rsidP="001F3548">
            <w:pPr>
              <w:spacing w:line="276" w:lineRule="auto"/>
              <w:jc w:val="both"/>
              <w:rPr>
                <w:rFonts w:ascii="Verdana" w:eastAsia="Calibri" w:hAnsi="Verdana" w:cs="Arial"/>
                <w:lang w:val="es-ES_tradnl" w:eastAsia="es-ES"/>
              </w:rPr>
            </w:pPr>
            <w:r w:rsidRPr="00177B2B">
              <w:rPr>
                <w:rFonts w:ascii="Verdana" w:eastAsia="Calibri" w:hAnsi="Verdana" w:cs="Arial"/>
                <w:lang w:val="es-ES_tradnl" w:eastAsia="es-ES"/>
              </w:rPr>
              <w:t>ENTIDADES EXCEPTUADAS – Régimen especial – Derecho privado</w:t>
            </w:r>
            <w:r w:rsidR="00036F9C">
              <w:rPr>
                <w:rFonts w:ascii="Verdana" w:eastAsia="Calibri" w:hAnsi="Verdana" w:cs="Arial"/>
                <w:lang w:val="es-ES_tradnl" w:eastAsia="es-ES"/>
              </w:rPr>
              <w:t xml:space="preserve"> </w:t>
            </w:r>
            <w:r w:rsidRPr="00177B2B">
              <w:rPr>
                <w:rFonts w:ascii="Verdana" w:eastAsia="Calibri" w:hAnsi="Verdana" w:cs="Arial"/>
                <w:lang w:val="es-ES_tradnl" w:eastAsia="es-ES"/>
              </w:rPr>
              <w:t xml:space="preserve">/ </w:t>
            </w:r>
            <w:bookmarkStart w:id="0" w:name="_Hlk186232848"/>
            <w:r w:rsidRPr="00177B2B">
              <w:rPr>
                <w:rFonts w:ascii="Verdana" w:eastAsia="Calibri" w:hAnsi="Verdana" w:cs="Arial"/>
                <w:lang w:val="es-ES_tradnl" w:eastAsia="es-ES"/>
              </w:rPr>
              <w:t>SECOP –Ley 2195 de 2022 – Entidades exceptuadas</w:t>
            </w:r>
            <w:r w:rsidR="001F3548" w:rsidRPr="003E2CCE">
              <w:rPr>
                <w:rFonts w:ascii="Verdana" w:eastAsia="Calibri" w:hAnsi="Verdana" w:cs="Arial"/>
                <w:lang w:val="es-ES" w:eastAsia="es-ES"/>
              </w:rPr>
              <w:t xml:space="preserve"> </w:t>
            </w:r>
            <w:bookmarkEnd w:id="0"/>
            <w:r w:rsidR="00260A38" w:rsidRPr="00177B2B">
              <w:rPr>
                <w:rFonts w:ascii="Verdana" w:eastAsia="Calibri" w:hAnsi="Verdana" w:cs="Arial"/>
                <w:lang w:val="es-ES_tradnl" w:eastAsia="es-ES"/>
              </w:rPr>
              <w:t xml:space="preserve">/ </w:t>
            </w:r>
            <w:bookmarkStart w:id="1" w:name="_Hlk186233013"/>
            <w:r w:rsidR="00260A38">
              <w:rPr>
                <w:rFonts w:ascii="Verdana" w:eastAsia="Calibri" w:hAnsi="Verdana" w:cs="Arial"/>
                <w:lang w:val="es-ES_tradnl" w:eastAsia="es-ES"/>
              </w:rPr>
              <w:t>CIRCULA</w:t>
            </w:r>
            <w:r w:rsidR="00085A6F">
              <w:rPr>
                <w:rFonts w:ascii="Verdana" w:eastAsia="Calibri" w:hAnsi="Verdana" w:cs="Arial"/>
                <w:lang w:val="es-ES_tradnl" w:eastAsia="es-ES"/>
              </w:rPr>
              <w:t>R</w:t>
            </w:r>
            <w:r w:rsidR="00260A38">
              <w:rPr>
                <w:rFonts w:ascii="Verdana" w:eastAsia="Calibri" w:hAnsi="Verdana" w:cs="Arial"/>
                <w:lang w:val="es-ES_tradnl" w:eastAsia="es-ES"/>
              </w:rPr>
              <w:t xml:space="preserve"> 002 de 2024 </w:t>
            </w:r>
            <w:r w:rsidR="00260A38" w:rsidRPr="00177B2B">
              <w:rPr>
                <w:rFonts w:ascii="Verdana" w:eastAsia="Calibri" w:hAnsi="Verdana" w:cs="Arial"/>
                <w:lang w:val="es-ES_tradnl" w:eastAsia="es-ES"/>
              </w:rPr>
              <w:t xml:space="preserve">– </w:t>
            </w:r>
            <w:r>
              <w:rPr>
                <w:rFonts w:ascii="Verdana" w:eastAsia="Calibri" w:hAnsi="Verdana" w:cs="Arial"/>
                <w:lang w:val="es-ES_tradnl" w:eastAsia="es-ES"/>
              </w:rPr>
              <w:t>Recursos públicos</w:t>
            </w:r>
            <w:bookmarkEnd w:id="1"/>
          </w:p>
          <w:p w14:paraId="1D4AA017" w14:textId="6AB07B79" w:rsidR="001F3548" w:rsidRPr="003E2CCE" w:rsidRDefault="001F3548" w:rsidP="001F3548">
            <w:pPr>
              <w:spacing w:line="276" w:lineRule="auto"/>
              <w:jc w:val="both"/>
              <w:rPr>
                <w:rFonts w:ascii="Verdana" w:eastAsia="Calibri" w:hAnsi="Verdana" w:cs="Arial"/>
                <w:lang w:val="es-ES" w:eastAsia="es-ES"/>
              </w:rPr>
            </w:pPr>
          </w:p>
        </w:tc>
      </w:tr>
      <w:tr w:rsidR="008E6AD9" w:rsidRPr="003E2CCE" w14:paraId="496C9430" w14:textId="77777777" w:rsidTr="000F1AD8">
        <w:tc>
          <w:tcPr>
            <w:tcW w:w="2689" w:type="dxa"/>
          </w:tcPr>
          <w:p w14:paraId="4C8D9612" w14:textId="77777777" w:rsidR="00B30448" w:rsidRPr="003E2CCE" w:rsidRDefault="00B30448" w:rsidP="00CE37A3">
            <w:pPr>
              <w:jc w:val="both"/>
              <w:rPr>
                <w:rFonts w:ascii="Verdana" w:eastAsia="Calibri" w:hAnsi="Verdana" w:cs="Arial"/>
                <w:b/>
                <w:lang w:val="es-ES_tradnl" w:eastAsia="es-ES_tradnl"/>
              </w:rPr>
            </w:pPr>
            <w:r w:rsidRPr="003E2CCE">
              <w:rPr>
                <w:rFonts w:ascii="Verdana" w:eastAsia="Calibri" w:hAnsi="Verdana" w:cs="Arial"/>
                <w:b/>
                <w:lang w:val="es-ES_tradnl" w:eastAsia="es-ES_tradnl"/>
              </w:rPr>
              <w:t>Radicación:</w:t>
            </w:r>
            <w:r w:rsidRPr="003E2CCE">
              <w:rPr>
                <w:rFonts w:ascii="Verdana" w:eastAsia="Calibri" w:hAnsi="Verdana" w:cs="Arial"/>
                <w:lang w:val="es-ES_tradnl" w:eastAsia="es-ES_tradnl"/>
              </w:rPr>
              <w:t xml:space="preserve">               </w:t>
            </w:r>
          </w:p>
        </w:tc>
        <w:tc>
          <w:tcPr>
            <w:tcW w:w="6100" w:type="dxa"/>
          </w:tcPr>
          <w:p w14:paraId="6EC2FCE3" w14:textId="33CE8A55" w:rsidR="00B30448" w:rsidRPr="003E2CCE" w:rsidRDefault="00B30448" w:rsidP="00CE37A3">
            <w:pPr>
              <w:jc w:val="both"/>
              <w:rPr>
                <w:rFonts w:ascii="Verdana" w:eastAsia="Calibri" w:hAnsi="Verdana" w:cs="Arial"/>
                <w:lang w:eastAsia="es-ES_tradnl"/>
              </w:rPr>
            </w:pPr>
            <w:r w:rsidRPr="003E2CCE">
              <w:rPr>
                <w:rFonts w:ascii="Verdana" w:eastAsia="Calibri" w:hAnsi="Verdana" w:cs="Arial"/>
                <w:lang w:val="es-ES_tradnl" w:eastAsia="es-ES_tradnl"/>
              </w:rPr>
              <w:t xml:space="preserve">Respuesta a </w:t>
            </w:r>
            <w:r w:rsidR="00B71607" w:rsidRPr="003E2CCE">
              <w:rPr>
                <w:rFonts w:ascii="Verdana" w:eastAsia="Calibri" w:hAnsi="Verdana" w:cs="Arial"/>
                <w:lang w:val="es-ES_tradnl" w:eastAsia="es-ES_tradnl"/>
              </w:rPr>
              <w:t xml:space="preserve">la </w:t>
            </w:r>
            <w:r w:rsidRPr="003E2CCE">
              <w:rPr>
                <w:rFonts w:ascii="Verdana" w:eastAsia="Calibri" w:hAnsi="Verdana" w:cs="Arial"/>
                <w:lang w:val="es-ES_tradnl" w:eastAsia="es-ES_tradnl"/>
              </w:rPr>
              <w:t>consulta</w:t>
            </w:r>
            <w:r w:rsidR="009A5453" w:rsidRPr="003E2CCE">
              <w:rPr>
                <w:rFonts w:ascii="Verdana" w:eastAsia="Calibri" w:hAnsi="Verdana" w:cs="Arial"/>
                <w:lang w:val="es-ES_tradnl" w:eastAsia="es-ES_tradnl"/>
              </w:rPr>
              <w:t xml:space="preserve"> con radicado No.</w:t>
            </w:r>
            <w:r w:rsidRPr="003E2CCE">
              <w:rPr>
                <w:rFonts w:ascii="Verdana" w:eastAsia="Calibri" w:hAnsi="Verdana" w:cs="Arial"/>
                <w:lang w:val="es-ES_tradnl" w:eastAsia="es-ES_tradnl"/>
              </w:rPr>
              <w:t xml:space="preserve"> </w:t>
            </w:r>
            <w:r w:rsidR="00760D3F" w:rsidRPr="003E2CCE">
              <w:rPr>
                <w:rFonts w:ascii="Verdana" w:eastAsia="Calibri" w:hAnsi="Verdana" w:cs="Arial"/>
                <w:lang w:val="es-ES_tradnl" w:eastAsia="es-ES_tradnl"/>
              </w:rPr>
              <w:t>P20241127011948</w:t>
            </w:r>
            <w:r w:rsidR="006F69D6" w:rsidRPr="003E2CCE">
              <w:rPr>
                <w:rFonts w:ascii="Verdana" w:eastAsia="Calibri" w:hAnsi="Verdana" w:cs="Arial"/>
                <w:lang w:val="es-ES_tradnl" w:eastAsia="es-ES_tradnl"/>
              </w:rPr>
              <w:t xml:space="preserve"> </w:t>
            </w:r>
            <w:r w:rsidR="008E6AD9" w:rsidRPr="003E2CCE">
              <w:rPr>
                <w:rFonts w:ascii="Verdana" w:eastAsia="Calibri" w:hAnsi="Verdana" w:cs="Arial"/>
                <w:lang w:val="es-ES_tradnl" w:eastAsia="es-ES_tradnl"/>
              </w:rPr>
              <w:t xml:space="preserve">                                   </w:t>
            </w:r>
          </w:p>
        </w:tc>
      </w:tr>
    </w:tbl>
    <w:p w14:paraId="657DDBDD" w14:textId="77777777" w:rsidR="00B30448" w:rsidRPr="003E2CCE"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3E2CCE" w:rsidRDefault="00B30448" w:rsidP="00CE37A3">
      <w:pPr>
        <w:spacing w:after="0" w:line="240" w:lineRule="auto"/>
        <w:jc w:val="both"/>
        <w:rPr>
          <w:rFonts w:ascii="Verdana" w:eastAsia="Calibri" w:hAnsi="Verdana" w:cs="Arial"/>
          <w:color w:val="000000"/>
          <w:lang w:val="es-ES_tradnl" w:eastAsia="es-ES_tradnl"/>
        </w:rPr>
      </w:pPr>
    </w:p>
    <w:p w14:paraId="4ED23440" w14:textId="44D3747A" w:rsidR="00B30448" w:rsidRPr="003E2CCE" w:rsidRDefault="00B30448" w:rsidP="00E84D1C">
      <w:pPr>
        <w:spacing w:after="0" w:line="276" w:lineRule="auto"/>
        <w:jc w:val="both"/>
        <w:rPr>
          <w:rFonts w:ascii="Verdana" w:eastAsia="Calibri" w:hAnsi="Verdana" w:cs="Arial"/>
          <w:lang w:val="es-ES" w:eastAsia="es-ES"/>
        </w:rPr>
      </w:pPr>
      <w:r w:rsidRPr="003E2CCE">
        <w:rPr>
          <w:rFonts w:ascii="Verdana" w:eastAsia="Calibri" w:hAnsi="Verdana" w:cs="Arial"/>
          <w:lang w:val="es-ES" w:eastAsia="es-ES"/>
        </w:rPr>
        <w:t>Estimad</w:t>
      </w:r>
      <w:r w:rsidR="00FA0F71" w:rsidRPr="003E2CCE">
        <w:rPr>
          <w:rFonts w:ascii="Verdana" w:eastAsia="Calibri" w:hAnsi="Verdana" w:cs="Arial"/>
          <w:lang w:val="es-ES" w:eastAsia="es-ES"/>
        </w:rPr>
        <w:t>o</w:t>
      </w:r>
      <w:r w:rsidRPr="003E2CCE">
        <w:rPr>
          <w:rFonts w:ascii="Verdana" w:eastAsia="Calibri" w:hAnsi="Verdana" w:cs="Arial"/>
          <w:lang w:val="es-ES" w:eastAsia="es-ES"/>
        </w:rPr>
        <w:t xml:space="preserve"> señor</w:t>
      </w:r>
      <w:r w:rsidR="009452E7" w:rsidRPr="003E2CCE">
        <w:rPr>
          <w:rFonts w:ascii="Verdana" w:eastAsia="Calibri" w:hAnsi="Verdana" w:cs="Arial"/>
          <w:lang w:val="es-ES" w:eastAsia="es-ES"/>
        </w:rPr>
        <w:t>a</w:t>
      </w:r>
      <w:r w:rsidR="00270443" w:rsidRPr="003E2CCE">
        <w:rPr>
          <w:rFonts w:ascii="Verdana" w:eastAsia="Calibri" w:hAnsi="Verdana" w:cs="Arial"/>
          <w:lang w:val="es-ES" w:eastAsia="es-ES"/>
        </w:rPr>
        <w:t xml:space="preserve"> </w:t>
      </w:r>
      <w:r w:rsidR="009452E7" w:rsidRPr="003E2CCE">
        <w:rPr>
          <w:rFonts w:ascii="Verdana" w:eastAsia="Calibri" w:hAnsi="Verdana" w:cs="Arial"/>
          <w:lang w:val="es-ES" w:eastAsia="es-ES"/>
        </w:rPr>
        <w:t>Cortes Quimbaya</w:t>
      </w:r>
      <w:r w:rsidRPr="003E2CCE">
        <w:rPr>
          <w:rFonts w:ascii="Verdana" w:eastAsia="Calibri" w:hAnsi="Verdana" w:cs="Arial"/>
          <w:lang w:val="es-ES" w:eastAsia="es-ES"/>
        </w:rPr>
        <w:t xml:space="preserve">: </w:t>
      </w:r>
    </w:p>
    <w:p w14:paraId="47D52CB6" w14:textId="28FC249B" w:rsidR="0013343F" w:rsidRPr="003E2CCE"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3E2CCE">
        <w:rPr>
          <w:rFonts w:ascii="Verdana" w:eastAsia="Calibri" w:hAnsi="Verdana" w:cs="Arial"/>
          <w:color w:val="000000" w:themeColor="text1"/>
          <w:lang w:val="es-ES" w:eastAsia="es-ES"/>
        </w:rPr>
        <w:tab/>
      </w:r>
    </w:p>
    <w:p w14:paraId="7A40824C" w14:textId="1823EF62" w:rsidR="009442E8" w:rsidRPr="003E2CCE" w:rsidRDefault="00B30448" w:rsidP="00E84D1C">
      <w:pPr>
        <w:spacing w:after="0" w:line="276" w:lineRule="auto"/>
        <w:jc w:val="both"/>
        <w:rPr>
          <w:rFonts w:ascii="Verdana" w:eastAsia="Calibri" w:hAnsi="Verdana" w:cs="Arial"/>
          <w:color w:val="7030A0"/>
          <w:lang w:val="es-ES" w:eastAsia="es-ES"/>
        </w:rPr>
      </w:pPr>
      <w:r w:rsidRPr="003E2CCE">
        <w:rPr>
          <w:rFonts w:ascii="Verdana" w:eastAsia="Calibri" w:hAnsi="Verdana" w:cs="Arial"/>
          <w:color w:val="000000" w:themeColor="text1"/>
          <w:lang w:val="es-ES" w:eastAsia="es-ES"/>
        </w:rPr>
        <w:t xml:space="preserve">En ejercicio de la competencia otorgada por </w:t>
      </w:r>
      <w:r w:rsidR="009A5453" w:rsidRPr="003E2CCE">
        <w:rPr>
          <w:rFonts w:ascii="Verdana" w:eastAsia="Calibri" w:hAnsi="Verdana" w:cs="Arial"/>
          <w:color w:val="000000" w:themeColor="text1"/>
          <w:lang w:val="es-ES" w:eastAsia="es-ES"/>
        </w:rPr>
        <w:t>los artículo</w:t>
      </w:r>
      <w:r w:rsidR="00AB1984" w:rsidRPr="003E2CCE">
        <w:rPr>
          <w:rFonts w:ascii="Verdana" w:eastAsia="Calibri" w:hAnsi="Verdana" w:cs="Arial"/>
          <w:color w:val="000000" w:themeColor="text1"/>
          <w:lang w:val="es-ES" w:eastAsia="es-ES"/>
        </w:rPr>
        <w:t>s</w:t>
      </w:r>
      <w:r w:rsidR="009A5453" w:rsidRPr="003E2CCE">
        <w:rPr>
          <w:rFonts w:ascii="Verdana" w:eastAsia="Calibri" w:hAnsi="Verdana" w:cs="Arial"/>
          <w:color w:val="000000" w:themeColor="text1"/>
          <w:lang w:val="es-ES" w:eastAsia="es-ES"/>
        </w:rPr>
        <w:t xml:space="preserve"> 3,</w:t>
      </w:r>
      <w:r w:rsidRPr="003E2CCE">
        <w:rPr>
          <w:rFonts w:ascii="Verdana" w:eastAsia="Calibri" w:hAnsi="Verdana" w:cs="Arial"/>
          <w:color w:val="000000" w:themeColor="text1"/>
          <w:lang w:val="es-ES" w:eastAsia="es-ES"/>
        </w:rPr>
        <w:t xml:space="preserve"> numeral </w:t>
      </w:r>
      <w:r w:rsidR="009A5453" w:rsidRPr="003E2CCE">
        <w:rPr>
          <w:rFonts w:ascii="Verdana" w:eastAsia="Calibri" w:hAnsi="Verdana" w:cs="Arial"/>
          <w:color w:val="000000" w:themeColor="text1"/>
          <w:lang w:val="es-ES" w:eastAsia="es-ES"/>
        </w:rPr>
        <w:t>5</w:t>
      </w:r>
      <w:r w:rsidR="00215516" w:rsidRPr="003E2CCE">
        <w:rPr>
          <w:rFonts w:ascii="Verdana" w:eastAsia="Calibri" w:hAnsi="Verdana" w:cs="Arial"/>
          <w:color w:val="000000" w:themeColor="text1"/>
          <w:lang w:val="es-ES" w:eastAsia="es-ES"/>
        </w:rPr>
        <w:t>º</w:t>
      </w:r>
      <w:r w:rsidR="00F64D5A" w:rsidRPr="003E2CCE">
        <w:rPr>
          <w:rFonts w:ascii="Verdana" w:eastAsia="Calibri" w:hAnsi="Verdana" w:cs="Arial"/>
          <w:color w:val="000000" w:themeColor="text1"/>
          <w:lang w:val="es-ES" w:eastAsia="es-ES"/>
        </w:rPr>
        <w:t>,</w:t>
      </w:r>
      <w:r w:rsidRPr="003E2CCE">
        <w:rPr>
          <w:rFonts w:ascii="Verdana" w:eastAsia="Calibri" w:hAnsi="Verdana" w:cs="Arial"/>
          <w:color w:val="000000" w:themeColor="text1"/>
          <w:lang w:val="es-ES" w:eastAsia="es-ES"/>
        </w:rPr>
        <w:t xml:space="preserve"> </w:t>
      </w:r>
      <w:r w:rsidR="009A5453" w:rsidRPr="003E2CCE">
        <w:rPr>
          <w:rFonts w:ascii="Verdana" w:eastAsia="Calibri" w:hAnsi="Verdana" w:cs="Arial"/>
          <w:color w:val="000000" w:themeColor="text1"/>
          <w:lang w:val="es-ES" w:eastAsia="es-ES"/>
        </w:rPr>
        <w:t>y</w:t>
      </w:r>
      <w:r w:rsidRPr="003E2CCE">
        <w:rPr>
          <w:rFonts w:ascii="Verdana" w:eastAsia="Calibri" w:hAnsi="Verdana" w:cs="Arial"/>
          <w:color w:val="000000" w:themeColor="text1"/>
          <w:lang w:val="es-ES" w:eastAsia="es-ES"/>
        </w:rPr>
        <w:t xml:space="preserve"> 11</w:t>
      </w:r>
      <w:r w:rsidR="00F64D5A" w:rsidRPr="003E2CCE">
        <w:rPr>
          <w:rFonts w:ascii="Verdana" w:eastAsia="Calibri" w:hAnsi="Verdana" w:cs="Arial"/>
          <w:color w:val="000000" w:themeColor="text1"/>
          <w:lang w:val="es-ES" w:eastAsia="es-ES"/>
        </w:rPr>
        <w:t>,</w:t>
      </w:r>
      <w:r w:rsidR="00AB1984" w:rsidRPr="003E2CCE">
        <w:rPr>
          <w:rFonts w:ascii="Verdana" w:eastAsia="Calibri" w:hAnsi="Verdana" w:cs="Arial"/>
          <w:color w:val="000000" w:themeColor="text1"/>
          <w:lang w:val="es-ES" w:eastAsia="es-ES"/>
        </w:rPr>
        <w:t xml:space="preserve"> </w:t>
      </w:r>
      <w:r w:rsidRPr="003E2CCE">
        <w:rPr>
          <w:rFonts w:ascii="Verdana" w:eastAsia="Calibri" w:hAnsi="Verdana" w:cs="Arial"/>
          <w:color w:val="000000" w:themeColor="text1"/>
          <w:lang w:val="es-ES" w:eastAsia="es-ES"/>
        </w:rPr>
        <w:t xml:space="preserve">numeral </w:t>
      </w:r>
      <w:r w:rsidR="00AB1984" w:rsidRPr="003E2CCE">
        <w:rPr>
          <w:rFonts w:ascii="Verdana" w:eastAsia="Calibri" w:hAnsi="Verdana" w:cs="Arial"/>
          <w:color w:val="000000" w:themeColor="text1"/>
          <w:lang w:val="es-ES" w:eastAsia="es-ES"/>
        </w:rPr>
        <w:t>8</w:t>
      </w:r>
      <w:r w:rsidR="00215516" w:rsidRPr="003E2CCE">
        <w:rPr>
          <w:rFonts w:ascii="Verdana" w:eastAsia="Calibri" w:hAnsi="Verdana" w:cs="Arial"/>
          <w:color w:val="000000" w:themeColor="text1"/>
          <w:lang w:val="es-ES" w:eastAsia="es-ES"/>
        </w:rPr>
        <w:t>º</w:t>
      </w:r>
      <w:r w:rsidR="00F64D5A" w:rsidRPr="003E2CCE">
        <w:rPr>
          <w:rFonts w:ascii="Verdana" w:eastAsia="Calibri" w:hAnsi="Verdana" w:cs="Arial"/>
          <w:color w:val="000000" w:themeColor="text1"/>
          <w:lang w:val="es-ES" w:eastAsia="es-ES"/>
        </w:rPr>
        <w:t>,</w:t>
      </w:r>
      <w:r w:rsidRPr="003E2CCE">
        <w:rPr>
          <w:rFonts w:ascii="Verdana" w:eastAsia="Calibri" w:hAnsi="Verdana" w:cs="Arial"/>
          <w:color w:val="000000" w:themeColor="text1"/>
          <w:lang w:val="es-ES" w:eastAsia="es-ES"/>
        </w:rPr>
        <w:t xml:space="preserve"> del Decreto Ley 4170 de 2011,</w:t>
      </w:r>
      <w:r w:rsidRPr="003E2CCE">
        <w:rPr>
          <w:rFonts w:ascii="Verdana" w:eastAsia="Arial MT" w:hAnsi="Verdana" w:cs="Arial MT"/>
          <w:lang w:val="es-ES" w:eastAsia="es-ES"/>
        </w:rPr>
        <w:t xml:space="preserve"> </w:t>
      </w:r>
      <w:r w:rsidR="002A0F8D" w:rsidRPr="003E2CCE">
        <w:rPr>
          <w:rFonts w:ascii="Verdana" w:hAnsi="Verdana" w:cs="Arial"/>
        </w:rPr>
        <w:t xml:space="preserve">así como lo establecido en </w:t>
      </w:r>
      <w:r w:rsidR="00DC2C48" w:rsidRPr="003E2CCE">
        <w:rPr>
          <w:rFonts w:ascii="Verdana" w:hAnsi="Verdana" w:cs="Arial"/>
        </w:rPr>
        <w:t xml:space="preserve">el artículo 4 de </w:t>
      </w:r>
      <w:r w:rsidR="002A0F8D" w:rsidRPr="003E2CCE">
        <w:rPr>
          <w:rFonts w:ascii="Verdana" w:hAnsi="Verdana" w:cs="Arial"/>
        </w:rPr>
        <w:t xml:space="preserve">la Resolución 1707 de 2018 expedida por esta Entidad, </w:t>
      </w:r>
      <w:r w:rsidRPr="003E2CCE">
        <w:rPr>
          <w:rFonts w:ascii="Verdana" w:eastAsia="Calibri" w:hAnsi="Verdana" w:cs="Arial"/>
          <w:color w:val="000000" w:themeColor="text1"/>
          <w:lang w:val="es-ES" w:eastAsia="es-ES"/>
        </w:rPr>
        <w:t xml:space="preserve">la Agencia Nacional de Contratación Pública – Colombia Compra Eficiente responde su solicitud </w:t>
      </w:r>
      <w:r w:rsidR="009452E7" w:rsidRPr="003E2CCE">
        <w:rPr>
          <w:rFonts w:ascii="Verdana" w:eastAsia="Calibri" w:hAnsi="Verdana" w:cs="Arial"/>
          <w:color w:val="000000" w:themeColor="text1"/>
          <w:lang w:val="es-ES" w:eastAsia="es-ES"/>
        </w:rPr>
        <w:t>d</w:t>
      </w:r>
      <w:r w:rsidR="00291EC3" w:rsidRPr="003E2CCE">
        <w:rPr>
          <w:rFonts w:ascii="Verdana" w:eastAsia="Calibri" w:hAnsi="Verdana" w:cs="Arial"/>
          <w:color w:val="000000" w:themeColor="text1"/>
          <w:lang w:val="es-ES" w:eastAsia="es-ES"/>
        </w:rPr>
        <w:t>el</w:t>
      </w:r>
      <w:r w:rsidR="00DC2C48" w:rsidRPr="003E2CCE">
        <w:rPr>
          <w:rFonts w:ascii="Verdana" w:eastAsia="Calibri" w:hAnsi="Verdana" w:cs="Arial"/>
          <w:color w:val="000000" w:themeColor="text1"/>
          <w:lang w:val="es-ES" w:eastAsia="es-ES"/>
        </w:rPr>
        <w:t xml:space="preserve"> </w:t>
      </w:r>
      <w:r w:rsidR="009452E7" w:rsidRPr="003E2CCE">
        <w:rPr>
          <w:rFonts w:ascii="Verdana" w:eastAsia="Calibri" w:hAnsi="Verdana" w:cs="Arial"/>
          <w:lang w:val="es-ES" w:eastAsia="es-ES"/>
        </w:rPr>
        <w:t>27</w:t>
      </w:r>
      <w:r w:rsidR="0050386D" w:rsidRPr="003E2CCE">
        <w:rPr>
          <w:rFonts w:ascii="Verdana" w:eastAsia="Calibri" w:hAnsi="Verdana" w:cs="Arial"/>
          <w:lang w:val="es-ES" w:eastAsia="es-ES"/>
        </w:rPr>
        <w:t xml:space="preserve"> </w:t>
      </w:r>
      <w:r w:rsidR="00772B41" w:rsidRPr="003E2CCE">
        <w:rPr>
          <w:rFonts w:ascii="Verdana" w:eastAsia="Calibri" w:hAnsi="Verdana" w:cs="Arial"/>
          <w:lang w:val="es-ES" w:eastAsia="es-ES"/>
        </w:rPr>
        <w:t xml:space="preserve">de </w:t>
      </w:r>
      <w:r w:rsidR="0050386D" w:rsidRPr="003E2CCE">
        <w:rPr>
          <w:rFonts w:ascii="Verdana" w:eastAsia="Calibri" w:hAnsi="Verdana" w:cs="Arial"/>
          <w:lang w:val="es-ES" w:eastAsia="es-ES"/>
        </w:rPr>
        <w:t>noviembre</w:t>
      </w:r>
      <w:r w:rsidRPr="003E2CCE">
        <w:rPr>
          <w:rFonts w:ascii="Verdana" w:eastAsia="Calibri" w:hAnsi="Verdana" w:cs="Arial"/>
          <w:lang w:val="es-ES" w:eastAsia="es-ES"/>
        </w:rPr>
        <w:t xml:space="preserve"> de 20</w:t>
      </w:r>
      <w:r w:rsidR="008E6AD9" w:rsidRPr="003E2CCE">
        <w:rPr>
          <w:rFonts w:ascii="Verdana" w:eastAsia="Calibri" w:hAnsi="Verdana" w:cs="Arial"/>
          <w:lang w:val="es-ES" w:eastAsia="es-ES"/>
        </w:rPr>
        <w:t>24</w:t>
      </w:r>
      <w:r w:rsidR="00057963" w:rsidRPr="003E2CCE">
        <w:rPr>
          <w:rFonts w:ascii="Verdana" w:eastAsia="Calibri" w:hAnsi="Verdana" w:cs="Arial"/>
          <w:lang w:val="es-ES" w:eastAsia="es-ES"/>
        </w:rPr>
        <w:t>,</w:t>
      </w:r>
      <w:r w:rsidR="00772B41" w:rsidRPr="003E2CCE">
        <w:rPr>
          <w:rFonts w:ascii="Verdana" w:eastAsia="Calibri" w:hAnsi="Verdana" w:cs="Arial"/>
          <w:lang w:val="es-ES" w:eastAsia="es-ES"/>
        </w:rPr>
        <w:t xml:space="preserve"> </w:t>
      </w:r>
      <w:r w:rsidR="00057963" w:rsidRPr="003E2CCE">
        <w:rPr>
          <w:rFonts w:ascii="Verdana" w:eastAsia="Calibri" w:hAnsi="Verdana" w:cs="Arial"/>
          <w:lang w:val="es-ES" w:eastAsia="es-ES"/>
        </w:rPr>
        <w:t>en la cua</w:t>
      </w:r>
      <w:r w:rsidR="008E6AD9" w:rsidRPr="003E2CCE">
        <w:rPr>
          <w:rFonts w:ascii="Verdana" w:eastAsia="Calibri" w:hAnsi="Verdana" w:cs="Arial"/>
          <w:lang w:val="es-ES" w:eastAsia="es-ES"/>
        </w:rPr>
        <w:t xml:space="preserve">l </w:t>
      </w:r>
      <w:r w:rsidR="00F535A9" w:rsidRPr="003E2CCE">
        <w:rPr>
          <w:rFonts w:ascii="Verdana" w:eastAsia="Calibri" w:hAnsi="Verdana" w:cs="Arial"/>
          <w:lang w:val="es-ES" w:eastAsia="es-ES"/>
        </w:rPr>
        <w:t>pregunta sobre</w:t>
      </w:r>
      <w:r w:rsidR="006021B1" w:rsidRPr="003E2CCE">
        <w:rPr>
          <w:rFonts w:ascii="Verdana" w:eastAsia="Calibri" w:hAnsi="Verdana" w:cs="Arial"/>
          <w:lang w:val="es-ES" w:eastAsia="es-ES"/>
        </w:rPr>
        <w:t xml:space="preserve"> lo siguiente</w:t>
      </w:r>
      <w:r w:rsidR="00057963" w:rsidRPr="003E2CCE">
        <w:rPr>
          <w:rFonts w:ascii="Verdana" w:eastAsia="Calibri" w:hAnsi="Verdana" w:cs="Arial"/>
          <w:lang w:val="es-ES" w:eastAsia="es-ES"/>
        </w:rPr>
        <w:t xml:space="preserve">: </w:t>
      </w:r>
    </w:p>
    <w:p w14:paraId="38A0ECFE" w14:textId="24979823" w:rsidR="00057963" w:rsidRPr="003E2CCE"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131DD995" w14:textId="6E2605E6" w:rsidR="006B0927" w:rsidRPr="003E2CCE" w:rsidRDefault="006B0927" w:rsidP="006B0927">
      <w:pPr>
        <w:pStyle w:val="Prrafodelista"/>
        <w:ind w:left="709" w:right="709"/>
        <w:jc w:val="both"/>
        <w:rPr>
          <w:rFonts w:ascii="Verdana" w:eastAsia="Century Gothic" w:hAnsi="Verdana" w:cs="Century Gothic"/>
          <w:i/>
          <w:iCs/>
          <w:sz w:val="21"/>
          <w:szCs w:val="21"/>
          <w:lang w:val="es-CO"/>
        </w:rPr>
      </w:pPr>
      <w:r w:rsidRPr="003E2CCE">
        <w:rPr>
          <w:rFonts w:ascii="Verdana" w:eastAsia="Century Gothic" w:hAnsi="Verdana" w:cs="Century Gothic"/>
          <w:i/>
          <w:iCs/>
          <w:sz w:val="21"/>
          <w:szCs w:val="21"/>
          <w:lang w:val="es-CO"/>
        </w:rPr>
        <w:t xml:space="preserve">Por medio del presente me permito solicitar información sobre la obligatoriedad de publicar toda la actividad contractual de los fondos mixtos, que son entidades sin ánimo de lucro, dotadas de personería jurídica, constituidas por aportes públicos y privados y regidos en su dirección, administración y contratación por el Derecho Privado sin perjuicio del control fiscal que ejercen las respectivas Contralorías sobre los dineros públicos; en este sentido quisiera claridad, si la </w:t>
      </w:r>
      <w:r w:rsidRPr="003E2CCE">
        <w:rPr>
          <w:rFonts w:ascii="Verdana" w:eastAsia="Century Gothic" w:hAnsi="Verdana" w:cs="Century Gothic"/>
          <w:i/>
          <w:iCs/>
          <w:sz w:val="21"/>
          <w:szCs w:val="21"/>
          <w:lang w:val="es-CO"/>
        </w:rPr>
        <w:lastRenderedPageBreak/>
        <w:t>publicidad debe versar sobre toda la contratación o aquellos que únicamente que involucre dineros públicos.</w:t>
      </w:r>
    </w:p>
    <w:p w14:paraId="4CBD153F" w14:textId="7A2F4A07" w:rsidR="00291EC3" w:rsidRPr="003E2CCE" w:rsidRDefault="00291EC3" w:rsidP="006B0927">
      <w:pPr>
        <w:pStyle w:val="Prrafodelista"/>
        <w:ind w:left="1429" w:right="709"/>
        <w:jc w:val="both"/>
        <w:rPr>
          <w:rFonts w:ascii="Verdana" w:eastAsia="Century Gothic" w:hAnsi="Verdana" w:cs="Century Gothic"/>
          <w:i/>
          <w:iCs/>
          <w:sz w:val="21"/>
          <w:szCs w:val="21"/>
        </w:rPr>
      </w:pPr>
    </w:p>
    <w:p w14:paraId="4001D734" w14:textId="527E7727" w:rsidR="00FC6D4E" w:rsidRPr="003E2CCE" w:rsidRDefault="00FC6D4E"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ACC697B" w14:textId="03ADFEDB" w:rsidR="00992986" w:rsidRPr="003E2CCE" w:rsidRDefault="008F27E3" w:rsidP="00A652FF">
      <w:pPr>
        <w:spacing w:after="120" w:line="276" w:lineRule="auto"/>
        <w:ind w:firstLine="709"/>
        <w:jc w:val="both"/>
        <w:rPr>
          <w:rFonts w:ascii="Verdana" w:eastAsia="Calibri" w:hAnsi="Verdana" w:cs="Arial"/>
          <w:color w:val="000000"/>
          <w:lang w:val="es-ES" w:eastAsia="es-ES"/>
        </w:rPr>
      </w:pPr>
      <w:r w:rsidRPr="003E2CCE">
        <w:rPr>
          <w:rFonts w:ascii="Verdana" w:eastAsia="Calibri" w:hAnsi="Verdana" w:cs="Arial"/>
          <w:color w:val="000000"/>
          <w:lang w:val="es-ES" w:eastAsia="es-ES"/>
        </w:rPr>
        <w:t>De manera preliminar</w:t>
      </w:r>
      <w:r w:rsidR="00FC6D4E" w:rsidRPr="003E2CCE">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3E2CCE">
        <w:rPr>
          <w:rFonts w:ascii="Verdana" w:eastAsia="Calibri" w:hAnsi="Verdana" w:cs="Arial"/>
          <w:color w:val="000000"/>
          <w:szCs w:val="24"/>
          <w:lang w:val="es-ES_tradnl" w:eastAsia="es-ES_tradnl"/>
        </w:rPr>
        <w:tab/>
      </w:r>
    </w:p>
    <w:p w14:paraId="07856852" w14:textId="3C3CEEED" w:rsidR="00FC6D4E" w:rsidRPr="003E2CCE" w:rsidRDefault="00FC6D4E" w:rsidP="001918F1">
      <w:pPr>
        <w:spacing w:after="0" w:line="276" w:lineRule="auto"/>
        <w:ind w:firstLine="709"/>
        <w:jc w:val="both"/>
        <w:rPr>
          <w:rFonts w:ascii="Verdana" w:eastAsia="Calibri" w:hAnsi="Verdana" w:cs="Arial"/>
          <w:color w:val="000000"/>
          <w:lang w:val="es-ES" w:eastAsia="es-ES"/>
        </w:rPr>
      </w:pPr>
      <w:r w:rsidRPr="003E2CC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3E2CCE">
        <w:rPr>
          <w:rFonts w:ascii="Verdana" w:eastAsia="Calibri" w:hAnsi="Verdana" w:cs="Arial"/>
          <w:color w:val="000000"/>
          <w:lang w:val="es-ES" w:eastAsia="es-ES"/>
        </w:rPr>
        <w:t>s circunstancias</w:t>
      </w:r>
      <w:r w:rsidRPr="003E2CCE">
        <w:rPr>
          <w:rFonts w:ascii="Verdana" w:eastAsia="Calibri" w:hAnsi="Verdana" w:cs="Arial"/>
          <w:color w:val="000000"/>
          <w:lang w:val="es-ES" w:eastAsia="es-ES"/>
        </w:rPr>
        <w:t xml:space="preserve"> particular</w:t>
      </w:r>
      <w:r w:rsidR="00992986" w:rsidRPr="003E2CCE">
        <w:rPr>
          <w:rFonts w:ascii="Verdana" w:eastAsia="Calibri" w:hAnsi="Verdana" w:cs="Arial"/>
          <w:color w:val="000000"/>
          <w:lang w:val="es-ES" w:eastAsia="es-ES"/>
        </w:rPr>
        <w:t>es</w:t>
      </w:r>
      <w:r w:rsidRPr="003E2CCE">
        <w:rPr>
          <w:rFonts w:ascii="Verdana" w:eastAsia="Calibri" w:hAnsi="Verdana" w:cs="Arial"/>
          <w:color w:val="000000"/>
          <w:lang w:val="es-ES" w:eastAsia="es-ES"/>
        </w:rPr>
        <w:t xml:space="preserve"> y concreta</w:t>
      </w:r>
      <w:r w:rsidR="00992986" w:rsidRPr="003E2CCE">
        <w:rPr>
          <w:rFonts w:ascii="Verdana" w:eastAsia="Calibri" w:hAnsi="Verdana" w:cs="Arial"/>
          <w:color w:val="000000"/>
          <w:lang w:val="es-ES" w:eastAsia="es-ES"/>
        </w:rPr>
        <w:t>s</w:t>
      </w:r>
      <w:r w:rsidRPr="003E2CCE">
        <w:rPr>
          <w:rFonts w:ascii="Verdana" w:eastAsia="Calibri" w:hAnsi="Verdana" w:cs="Arial"/>
          <w:color w:val="000000"/>
          <w:lang w:val="es-ES" w:eastAsia="es-ES"/>
        </w:rPr>
        <w:t xml:space="preserve"> mencionada</w:t>
      </w:r>
      <w:r w:rsidR="00992986" w:rsidRPr="003E2CCE">
        <w:rPr>
          <w:rFonts w:ascii="Verdana" w:eastAsia="Calibri" w:hAnsi="Verdana" w:cs="Arial"/>
          <w:color w:val="000000"/>
          <w:lang w:val="es-ES" w:eastAsia="es-ES"/>
        </w:rPr>
        <w:t>s</w:t>
      </w:r>
      <w:r w:rsidRPr="003E2CCE">
        <w:rPr>
          <w:rFonts w:ascii="Verdana" w:eastAsia="Calibri" w:hAnsi="Verdana" w:cs="Arial"/>
          <w:color w:val="000000"/>
          <w:lang w:val="es-ES" w:eastAsia="es-ES"/>
        </w:rPr>
        <w:t xml:space="preserve"> en </w:t>
      </w:r>
      <w:r w:rsidR="00C638A6" w:rsidRPr="003E2CCE">
        <w:rPr>
          <w:rFonts w:ascii="Verdana" w:eastAsia="Calibri" w:hAnsi="Verdana" w:cs="Arial"/>
          <w:color w:val="000000"/>
          <w:lang w:val="es-ES" w:eastAsia="es-ES"/>
        </w:rPr>
        <w:t>la</w:t>
      </w:r>
      <w:r w:rsidR="00D76E76" w:rsidRPr="003E2CCE">
        <w:rPr>
          <w:rFonts w:ascii="Verdana" w:eastAsia="Calibri" w:hAnsi="Verdana" w:cs="Arial"/>
          <w:color w:val="000000"/>
          <w:lang w:val="es-ES" w:eastAsia="es-ES"/>
        </w:rPr>
        <w:t xml:space="preserve">s </w:t>
      </w:r>
      <w:r w:rsidR="00C638A6" w:rsidRPr="003E2CCE">
        <w:rPr>
          <w:rFonts w:ascii="Verdana" w:eastAsia="Calibri" w:hAnsi="Verdana" w:cs="Arial"/>
          <w:color w:val="000000"/>
          <w:lang w:val="es-ES" w:eastAsia="es-ES"/>
        </w:rPr>
        <w:t>pregunta</w:t>
      </w:r>
      <w:r w:rsidR="00D76E76" w:rsidRPr="003E2CCE">
        <w:rPr>
          <w:rFonts w:ascii="Verdana" w:eastAsia="Calibri" w:hAnsi="Verdana" w:cs="Arial"/>
          <w:color w:val="000000"/>
          <w:lang w:val="es-ES" w:eastAsia="es-ES"/>
        </w:rPr>
        <w:t>s</w:t>
      </w:r>
      <w:r w:rsidR="00C638A6" w:rsidRPr="003E2CCE">
        <w:rPr>
          <w:rFonts w:ascii="Verdana" w:eastAsia="Calibri" w:hAnsi="Verdana" w:cs="Arial"/>
          <w:color w:val="000000"/>
          <w:lang w:val="es-ES" w:eastAsia="es-ES"/>
        </w:rPr>
        <w:t xml:space="preserve"> de la</w:t>
      </w:r>
      <w:r w:rsidRPr="003E2CCE">
        <w:rPr>
          <w:rFonts w:ascii="Verdana" w:eastAsia="Calibri" w:hAnsi="Verdana" w:cs="Arial"/>
          <w:color w:val="000000"/>
          <w:lang w:val="es-ES" w:eastAsia="es-ES"/>
        </w:rPr>
        <w:t xml:space="preserve"> petición, pero haciendo unas consideraciones sobre las normas generales relacionadas con </w:t>
      </w:r>
      <w:r w:rsidR="00A513FD" w:rsidRPr="003E2CCE">
        <w:rPr>
          <w:rFonts w:ascii="Verdana" w:eastAsia="Calibri" w:hAnsi="Verdana" w:cs="Arial"/>
          <w:color w:val="000000"/>
          <w:lang w:val="es-ES" w:eastAsia="es-ES"/>
        </w:rPr>
        <w:t>el</w:t>
      </w:r>
      <w:r w:rsidR="00A513FD" w:rsidRPr="003E2CCE">
        <w:rPr>
          <w:rFonts w:ascii="Verdana" w:eastAsia="Calibri" w:hAnsi="Verdana" w:cs="Arial"/>
          <w:color w:val="7030A0"/>
          <w:lang w:val="es-ES" w:eastAsia="es-ES"/>
        </w:rPr>
        <w:t xml:space="preserve"> </w:t>
      </w:r>
      <w:r w:rsidR="00A513FD" w:rsidRPr="003E2CCE">
        <w:rPr>
          <w:rFonts w:ascii="Verdana" w:eastAsia="Calibri" w:hAnsi="Verdana" w:cs="Arial"/>
          <w:color w:val="000000"/>
          <w:lang w:val="es-ES" w:eastAsia="es-ES"/>
        </w:rPr>
        <w:t>problema</w:t>
      </w:r>
      <w:r w:rsidR="00A513FD" w:rsidRPr="003E2CCE">
        <w:rPr>
          <w:rFonts w:ascii="Verdana" w:eastAsia="Calibri" w:hAnsi="Verdana" w:cs="Arial"/>
          <w:color w:val="7030A0"/>
          <w:lang w:val="es-ES" w:eastAsia="es-ES"/>
        </w:rPr>
        <w:t xml:space="preserve"> </w:t>
      </w:r>
      <w:r w:rsidR="00A513FD" w:rsidRPr="003E2CCE">
        <w:rPr>
          <w:rFonts w:ascii="Verdana" w:eastAsia="Calibri" w:hAnsi="Verdana" w:cs="Arial"/>
          <w:color w:val="000000"/>
          <w:lang w:val="es-ES" w:eastAsia="es-ES"/>
        </w:rPr>
        <w:t>jurídico</w:t>
      </w:r>
      <w:r w:rsidR="00A513FD" w:rsidRPr="003E2CCE">
        <w:rPr>
          <w:rFonts w:ascii="Verdana" w:eastAsia="Calibri" w:hAnsi="Verdana" w:cs="Arial"/>
          <w:color w:val="7030A0"/>
          <w:lang w:val="es-ES" w:eastAsia="es-ES"/>
        </w:rPr>
        <w:t xml:space="preserve"> </w:t>
      </w:r>
      <w:r w:rsidR="00343B47" w:rsidRPr="003E2CCE">
        <w:rPr>
          <w:rFonts w:ascii="Verdana" w:eastAsia="Calibri" w:hAnsi="Verdana" w:cs="Arial"/>
          <w:color w:val="000000"/>
          <w:lang w:val="es-ES" w:eastAsia="es-ES"/>
        </w:rPr>
        <w:t>de su</w:t>
      </w:r>
      <w:r w:rsidRPr="003E2CCE">
        <w:rPr>
          <w:rFonts w:ascii="Verdana" w:eastAsia="Calibri" w:hAnsi="Verdana" w:cs="Arial"/>
          <w:color w:val="000000"/>
          <w:lang w:val="es-ES" w:eastAsia="es-ES"/>
        </w:rPr>
        <w:t xml:space="preserve"> consulta. </w:t>
      </w:r>
    </w:p>
    <w:p w14:paraId="10320261" w14:textId="77777777" w:rsidR="001918F1" w:rsidRPr="003E2CCE"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3E2CCE"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Problema</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 xml:space="preserve"> planteado</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w:t>
      </w:r>
    </w:p>
    <w:p w14:paraId="3981D497" w14:textId="77777777" w:rsidR="00E84D1C" w:rsidRPr="003E2CCE" w:rsidRDefault="00E84D1C" w:rsidP="00E84D1C">
      <w:pPr>
        <w:tabs>
          <w:tab w:val="left" w:pos="426"/>
        </w:tabs>
        <w:spacing w:after="0" w:line="276" w:lineRule="auto"/>
        <w:jc w:val="both"/>
        <w:rPr>
          <w:rFonts w:ascii="Verdana" w:eastAsia="Century Gothic" w:hAnsi="Verdana" w:cs="Century Gothic"/>
          <w:lang w:val="es-ES"/>
        </w:rPr>
      </w:pPr>
    </w:p>
    <w:p w14:paraId="348E2D36" w14:textId="1D06FF8C" w:rsidR="00E84D1C" w:rsidRPr="003E2CCE" w:rsidRDefault="008F27E3" w:rsidP="00E84D1C">
      <w:pPr>
        <w:spacing w:after="0" w:line="276" w:lineRule="auto"/>
        <w:jc w:val="both"/>
        <w:rPr>
          <w:rFonts w:ascii="Verdana" w:eastAsia="Century Gothic" w:hAnsi="Verdana" w:cs="Century Gothic"/>
        </w:rPr>
      </w:pPr>
      <w:r w:rsidRPr="003E2CCE">
        <w:rPr>
          <w:rFonts w:ascii="Verdana" w:eastAsia="Century Gothic" w:hAnsi="Verdana" w:cs="Century Gothic"/>
        </w:rPr>
        <w:t>D</w:t>
      </w:r>
      <w:r w:rsidR="00343B47" w:rsidRPr="003E2CCE">
        <w:rPr>
          <w:rFonts w:ascii="Verdana" w:eastAsia="Century Gothic" w:hAnsi="Verdana" w:cs="Century Gothic"/>
        </w:rPr>
        <w:t xml:space="preserve">e acuerdo con el contenido de </w:t>
      </w:r>
      <w:r w:rsidR="00FC6D4E" w:rsidRPr="003E2CCE">
        <w:rPr>
          <w:rFonts w:ascii="Verdana" w:eastAsia="Century Gothic" w:hAnsi="Verdana" w:cs="Century Gothic"/>
        </w:rPr>
        <w:t xml:space="preserve">su solicitud, esta Agencia resolverá </w:t>
      </w:r>
      <w:r w:rsidR="00E37346" w:rsidRPr="003E2CCE">
        <w:rPr>
          <w:rFonts w:ascii="Verdana" w:eastAsia="Century Gothic" w:hAnsi="Verdana" w:cs="Century Gothic"/>
        </w:rPr>
        <w:t>el</w:t>
      </w:r>
      <w:r w:rsidR="00CF5BE0" w:rsidRPr="003E2CCE">
        <w:rPr>
          <w:rFonts w:ascii="Verdana" w:eastAsia="Century Gothic" w:hAnsi="Verdana" w:cs="Century Gothic"/>
        </w:rPr>
        <w:t xml:space="preserve"> siguient</w:t>
      </w:r>
      <w:r w:rsidR="000870EF" w:rsidRPr="003E2CCE">
        <w:rPr>
          <w:rFonts w:ascii="Verdana" w:eastAsia="Century Gothic" w:hAnsi="Verdana" w:cs="Century Gothic"/>
        </w:rPr>
        <w:t>e</w:t>
      </w:r>
      <w:r w:rsidR="00D86D55" w:rsidRPr="003E2CCE">
        <w:rPr>
          <w:rFonts w:ascii="Verdana" w:eastAsia="Century Gothic" w:hAnsi="Verdana" w:cs="Century Gothic"/>
        </w:rPr>
        <w:t xml:space="preserve"> </w:t>
      </w:r>
      <w:r w:rsidR="00FC6D4E" w:rsidRPr="003E2CCE">
        <w:rPr>
          <w:rFonts w:ascii="Verdana" w:eastAsia="Century Gothic" w:hAnsi="Verdana" w:cs="Century Gothic"/>
        </w:rPr>
        <w:t>problema jurídico</w:t>
      </w:r>
      <w:r w:rsidR="00E37346" w:rsidRPr="003E2CCE">
        <w:rPr>
          <w:rFonts w:ascii="Verdana" w:eastAsia="Century Gothic" w:hAnsi="Verdana" w:cs="Century Gothic"/>
        </w:rPr>
        <w:t xml:space="preserve">: </w:t>
      </w:r>
      <w:r w:rsidR="000870EF" w:rsidRPr="003E2CCE">
        <w:rPr>
          <w:rFonts w:ascii="Verdana" w:eastAsia="Century Gothic" w:hAnsi="Verdana" w:cs="Century Gothic"/>
        </w:rPr>
        <w:t>¿</w:t>
      </w:r>
      <w:r w:rsidR="00E54781" w:rsidRPr="003E2CCE">
        <w:rPr>
          <w:rFonts w:ascii="Verdana" w:eastAsia="Century Gothic" w:hAnsi="Verdana" w:cs="Century Gothic"/>
          <w:sz w:val="21"/>
          <w:szCs w:val="21"/>
        </w:rPr>
        <w:t xml:space="preserve">Las entidades con régimen </w:t>
      </w:r>
      <w:r w:rsidR="008325CA" w:rsidRPr="003E2CCE">
        <w:rPr>
          <w:rFonts w:ascii="Verdana" w:eastAsia="Century Gothic" w:hAnsi="Verdana" w:cs="Century Gothic"/>
          <w:sz w:val="21"/>
          <w:szCs w:val="21"/>
        </w:rPr>
        <w:t>e</w:t>
      </w:r>
      <w:r w:rsidR="008325CA">
        <w:rPr>
          <w:rFonts w:ascii="Verdana" w:eastAsia="Century Gothic" w:hAnsi="Verdana" w:cs="Century Gothic"/>
          <w:sz w:val="21"/>
          <w:szCs w:val="21"/>
        </w:rPr>
        <w:t>xceptuado</w:t>
      </w:r>
      <w:r w:rsidR="00EA0D5C">
        <w:rPr>
          <w:rFonts w:ascii="Verdana" w:eastAsia="Century Gothic" w:hAnsi="Verdana" w:cs="Century Gothic"/>
          <w:sz w:val="21"/>
          <w:szCs w:val="21"/>
        </w:rPr>
        <w:t xml:space="preserve"> del Estatuto General de Contratación de la Administración pública </w:t>
      </w:r>
      <w:r w:rsidR="00E54781" w:rsidRPr="003E2CCE">
        <w:rPr>
          <w:rFonts w:ascii="Verdana" w:eastAsia="Century Gothic" w:hAnsi="Verdana" w:cs="Century Gothic"/>
          <w:sz w:val="21"/>
          <w:szCs w:val="21"/>
        </w:rPr>
        <w:t xml:space="preserve">están obligadas a publicar en el SECOP II </w:t>
      </w:r>
      <w:r w:rsidR="008325CA">
        <w:rPr>
          <w:rFonts w:ascii="Verdana" w:eastAsia="Century Gothic" w:hAnsi="Verdana" w:cs="Century Gothic"/>
          <w:sz w:val="21"/>
          <w:szCs w:val="21"/>
        </w:rPr>
        <w:t xml:space="preserve">toda </w:t>
      </w:r>
      <w:r w:rsidR="00E54781" w:rsidRPr="003E2CCE">
        <w:rPr>
          <w:rFonts w:ascii="Verdana" w:eastAsia="Century Gothic" w:hAnsi="Verdana" w:cs="Century Gothic"/>
          <w:sz w:val="21"/>
          <w:szCs w:val="21"/>
        </w:rPr>
        <w:t>la actividad contractual</w:t>
      </w:r>
      <w:r w:rsidR="00A77C94" w:rsidRPr="003E2CCE">
        <w:rPr>
          <w:rFonts w:ascii="Verdana" w:eastAsia="Century Gothic" w:hAnsi="Verdana" w:cs="Century Gothic"/>
          <w:sz w:val="21"/>
          <w:szCs w:val="21"/>
        </w:rPr>
        <w:t xml:space="preserve">? </w:t>
      </w:r>
    </w:p>
    <w:p w14:paraId="31CA4CF9" w14:textId="77777777" w:rsidR="00E84D1C" w:rsidRPr="003E2CCE" w:rsidRDefault="00E84D1C" w:rsidP="00E84D1C">
      <w:pPr>
        <w:spacing w:after="0" w:line="276" w:lineRule="auto"/>
        <w:jc w:val="both"/>
        <w:rPr>
          <w:rFonts w:ascii="Verdana" w:eastAsia="Calibri" w:hAnsi="Verdana" w:cs="Arial"/>
          <w:color w:val="7030A0"/>
        </w:rPr>
      </w:pPr>
    </w:p>
    <w:p w14:paraId="74205EE3" w14:textId="46C13E2B" w:rsidR="00E84D1C" w:rsidRPr="003E2CCE"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Respuesta</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w:t>
      </w:r>
    </w:p>
    <w:p w14:paraId="4FCBB89E" w14:textId="1BF4BDFA" w:rsidR="00E84D1C" w:rsidRPr="003E2CCE"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3E2CCE" w14:paraId="0E1945DC" w14:textId="77777777" w:rsidTr="006E429F">
        <w:trPr>
          <w:jc w:val="center"/>
        </w:trPr>
        <w:tc>
          <w:tcPr>
            <w:tcW w:w="8828" w:type="dxa"/>
            <w:shd w:val="clear" w:color="auto" w:fill="auto"/>
          </w:tcPr>
          <w:p w14:paraId="6C50A8B3" w14:textId="2328ED97" w:rsidR="009C303B" w:rsidRDefault="00AC286B" w:rsidP="00AC286B">
            <w:pPr>
              <w:spacing w:after="120" w:line="276" w:lineRule="auto"/>
              <w:ind w:right="79"/>
              <w:jc w:val="both"/>
              <w:rPr>
                <w:rFonts w:ascii="Verdana" w:hAnsi="Verdana" w:cs="Arial"/>
              </w:rPr>
            </w:pPr>
            <w:bookmarkStart w:id="2" w:name="_Hlk171694685"/>
            <w:r w:rsidRPr="00AC286B">
              <w:rPr>
                <w:rFonts w:ascii="Verdana" w:hAnsi="Verdana" w:cs="Arial"/>
              </w:rPr>
              <w:t>De acuerdo con el artículo 53 de la Ley 2195 de 2022,</w:t>
            </w:r>
            <w:r w:rsidR="009526A8">
              <w:rPr>
                <w:rFonts w:ascii="Verdana" w:hAnsi="Verdana" w:cs="Arial"/>
              </w:rPr>
              <w:t xml:space="preserve"> </w:t>
            </w:r>
            <w:r w:rsidRPr="00AC286B">
              <w:rPr>
                <w:rFonts w:ascii="Verdana" w:hAnsi="Verdana" w:cs="Arial"/>
              </w:rPr>
              <w:t>las entidades exceptuadas de la Ley 80 de 1993 deberán publicar en el SECOP II –o la plataforma transaccional que haga sus veces– los documentos relacionados con su actividad contractual</w:t>
            </w:r>
            <w:r w:rsidR="009E7F53">
              <w:rPr>
                <w:rFonts w:ascii="Verdana" w:hAnsi="Verdana" w:cs="Arial"/>
              </w:rPr>
              <w:t>.</w:t>
            </w:r>
            <w:r w:rsidR="009E7F53" w:rsidRPr="009E7F53">
              <w:t xml:space="preserve"> </w:t>
            </w:r>
            <w:r w:rsidR="009E7F53" w:rsidRPr="009E7F53">
              <w:rPr>
                <w:rFonts w:ascii="Verdana" w:hAnsi="Verdana" w:cs="Arial"/>
              </w:rPr>
              <w:t xml:space="preserve">Dicha expresión se concreta en “[…] los </w:t>
            </w:r>
            <w:r w:rsidR="009E7F53" w:rsidRPr="009E7F53">
              <w:rPr>
                <w:rFonts w:ascii="Verdana" w:hAnsi="Verdana" w:cs="Arial"/>
              </w:rPr>
              <w:lastRenderedPageBreak/>
              <w:t xml:space="preserve">documentos, contratos, actos e información generada por oferentes, contratista, contratante, supervisor o interventor, tanto en la etapa precontractual, como en la contractual y la </w:t>
            </w:r>
            <w:proofErr w:type="spellStart"/>
            <w:r w:rsidR="009E7F53" w:rsidRPr="009E7F53">
              <w:rPr>
                <w:rFonts w:ascii="Verdana" w:hAnsi="Verdana" w:cs="Arial"/>
              </w:rPr>
              <w:t>postcontractual</w:t>
            </w:r>
            <w:proofErr w:type="spellEnd"/>
            <w:r w:rsidR="009E7F53" w:rsidRPr="009E7F53">
              <w:rPr>
                <w:rFonts w:ascii="Verdana" w:hAnsi="Verdana" w:cs="Arial"/>
              </w:rPr>
              <w:t>”.</w:t>
            </w:r>
          </w:p>
          <w:p w14:paraId="6294076E" w14:textId="01EFB0ED" w:rsidR="00D72C13" w:rsidRDefault="00FF1365" w:rsidP="00CF0A97">
            <w:pPr>
              <w:spacing w:after="120" w:line="276" w:lineRule="auto"/>
              <w:ind w:right="79" w:firstLine="601"/>
              <w:jc w:val="both"/>
              <w:rPr>
                <w:rFonts w:ascii="Verdana" w:eastAsia="Calibri" w:hAnsi="Verdana" w:cs="Arial"/>
                <w:color w:val="000000"/>
              </w:rPr>
            </w:pPr>
            <w:r>
              <w:rPr>
                <w:rFonts w:ascii="Verdana" w:eastAsia="Calibri" w:hAnsi="Verdana" w:cs="Arial"/>
                <w:color w:val="000000"/>
              </w:rPr>
              <w:t>Sin embargo, s</w:t>
            </w:r>
            <w:r w:rsidR="00BE7A60">
              <w:rPr>
                <w:rFonts w:ascii="Verdana" w:eastAsia="Calibri" w:hAnsi="Verdana" w:cs="Arial"/>
                <w:color w:val="000000"/>
              </w:rPr>
              <w:t xml:space="preserve">obre </w:t>
            </w:r>
            <w:r w:rsidR="00D72C13">
              <w:rPr>
                <w:rFonts w:ascii="Verdana" w:eastAsia="Calibri" w:hAnsi="Verdana" w:cs="Arial"/>
                <w:color w:val="000000"/>
              </w:rPr>
              <w:t>la procedencia de los recursos para efectos de la publicidad de la actividad contractual de las entidades exceptuadas</w:t>
            </w:r>
            <w:r w:rsidR="007B18D2">
              <w:rPr>
                <w:rFonts w:ascii="Verdana" w:eastAsia="Calibri" w:hAnsi="Verdana" w:cs="Arial"/>
                <w:color w:val="000000"/>
              </w:rPr>
              <w:t xml:space="preserve"> del EGCAP</w:t>
            </w:r>
            <w:r w:rsidR="00D72C13">
              <w:rPr>
                <w:rFonts w:ascii="Verdana" w:eastAsia="Calibri" w:hAnsi="Verdana" w:cs="Arial"/>
                <w:color w:val="000000"/>
              </w:rPr>
              <w:t xml:space="preserve">, es preciso indicar que </w:t>
            </w:r>
            <w:r w:rsidR="00D72C13" w:rsidRPr="003E2CCE">
              <w:rPr>
                <w:rFonts w:ascii="Verdana" w:eastAsia="Calibri" w:hAnsi="Verdana" w:cs="Arial"/>
                <w:color w:val="000000"/>
                <w:lang w:val="es-ES_tradnl"/>
              </w:rPr>
              <w:t xml:space="preserve">la Agencia Nacional de Contratación Pública – Colombia Compra Eficiente </w:t>
            </w:r>
            <w:r w:rsidR="00D72C13">
              <w:rPr>
                <w:rFonts w:ascii="Verdana" w:eastAsia="Calibri" w:hAnsi="Verdana" w:cs="Arial"/>
                <w:color w:val="000000"/>
                <w:lang w:val="es-ES_tradnl"/>
              </w:rPr>
              <w:t>expidió</w:t>
            </w:r>
            <w:r w:rsidR="00D72C13">
              <w:rPr>
                <w:rFonts w:ascii="Verdana" w:eastAsia="Calibri" w:hAnsi="Verdana" w:cs="Arial"/>
                <w:color w:val="000000"/>
              </w:rPr>
              <w:t xml:space="preserve"> </w:t>
            </w:r>
            <w:r w:rsidR="00D72C13" w:rsidRPr="003E2CCE">
              <w:rPr>
                <w:rFonts w:ascii="Verdana" w:eastAsia="Calibri" w:hAnsi="Verdana" w:cs="Arial"/>
                <w:color w:val="000000"/>
              </w:rPr>
              <w:t>Circular</w:t>
            </w:r>
            <w:r w:rsidR="00D72C13" w:rsidRPr="003E2CCE">
              <w:rPr>
                <w:rFonts w:ascii="Verdana" w:eastAsia="Calibri" w:hAnsi="Verdana" w:cs="Arial"/>
                <w:color w:val="000000"/>
                <w:lang w:val="es-ES_tradnl"/>
              </w:rPr>
              <w:t xml:space="preserve"> Externa 00</w:t>
            </w:r>
            <w:r w:rsidR="00D72C13">
              <w:rPr>
                <w:rFonts w:ascii="Verdana" w:eastAsia="Calibri" w:hAnsi="Verdana" w:cs="Arial"/>
                <w:color w:val="000000"/>
                <w:lang w:val="es-ES_tradnl"/>
              </w:rPr>
              <w:t>2</w:t>
            </w:r>
            <w:r w:rsidR="00D72C13" w:rsidRPr="003E2CCE">
              <w:rPr>
                <w:rFonts w:ascii="Verdana" w:eastAsia="Calibri" w:hAnsi="Verdana" w:cs="Arial"/>
                <w:color w:val="000000"/>
                <w:lang w:val="es-ES_tradnl"/>
              </w:rPr>
              <w:t xml:space="preserve"> del </w:t>
            </w:r>
            <w:r w:rsidR="00D72C13">
              <w:rPr>
                <w:rFonts w:ascii="Verdana" w:eastAsia="Calibri" w:hAnsi="Verdana" w:cs="Arial"/>
                <w:color w:val="000000"/>
                <w:lang w:val="es-ES_tradnl"/>
              </w:rPr>
              <w:t>23</w:t>
            </w:r>
            <w:r w:rsidR="00D72C13" w:rsidRPr="003E2CCE">
              <w:rPr>
                <w:rFonts w:ascii="Verdana" w:eastAsia="Calibri" w:hAnsi="Verdana" w:cs="Arial"/>
                <w:color w:val="000000"/>
                <w:lang w:val="es-ES_tradnl"/>
              </w:rPr>
              <w:t xml:space="preserve"> de </w:t>
            </w:r>
            <w:r w:rsidR="00D72C13">
              <w:rPr>
                <w:rFonts w:ascii="Verdana" w:eastAsia="Calibri" w:hAnsi="Verdana" w:cs="Arial"/>
                <w:color w:val="000000"/>
                <w:lang w:val="es-ES_tradnl"/>
              </w:rPr>
              <w:t>agosto</w:t>
            </w:r>
            <w:r w:rsidR="00D72C13" w:rsidRPr="003E2CCE">
              <w:rPr>
                <w:rFonts w:ascii="Verdana" w:eastAsia="Calibri" w:hAnsi="Verdana" w:cs="Arial"/>
                <w:color w:val="000000"/>
                <w:lang w:val="es-ES_tradnl"/>
              </w:rPr>
              <w:t xml:space="preserve"> de 202</w:t>
            </w:r>
            <w:r w:rsidR="00D72C13">
              <w:rPr>
                <w:rFonts w:ascii="Verdana" w:eastAsia="Calibri" w:hAnsi="Verdana" w:cs="Arial"/>
                <w:color w:val="000000"/>
                <w:lang w:val="es-ES_tradnl"/>
              </w:rPr>
              <w:t>4</w:t>
            </w:r>
            <w:r w:rsidR="0002083C">
              <w:rPr>
                <w:rFonts w:ascii="Verdana" w:eastAsia="Calibri" w:hAnsi="Verdana" w:cs="Arial"/>
                <w:color w:val="000000"/>
                <w:lang w:val="es-ES_tradnl"/>
              </w:rPr>
              <w:t xml:space="preserve"> en la cual </w:t>
            </w:r>
            <w:r w:rsidR="008B7FCB">
              <w:rPr>
                <w:rFonts w:ascii="Verdana" w:eastAsia="Calibri" w:hAnsi="Verdana" w:cs="Arial"/>
                <w:color w:val="000000"/>
                <w:lang w:val="es-ES_tradnl"/>
              </w:rPr>
              <w:t xml:space="preserve">señaló que </w:t>
            </w:r>
            <w:r w:rsidR="007B18D2">
              <w:rPr>
                <w:rFonts w:ascii="Verdana" w:eastAsia="Calibri" w:hAnsi="Verdana" w:cs="Arial"/>
                <w:color w:val="000000"/>
                <w:lang w:val="es-ES_tradnl"/>
              </w:rPr>
              <w:t>l</w:t>
            </w:r>
            <w:r w:rsidR="00006F93" w:rsidRPr="007911FF">
              <w:rPr>
                <w:rFonts w:ascii="Verdana" w:eastAsia="Calibri" w:hAnsi="Verdana" w:cs="Arial"/>
                <w:color w:val="000000"/>
                <w:sz w:val="21"/>
                <w:szCs w:val="21"/>
              </w:rPr>
              <w:t>a obligación de publicar la actividad contractual siempre ha estado encaminada a que se publique aquella información relacionada con la ejecución de dineros públicos. Por tal razón,</w:t>
            </w:r>
            <w:r w:rsidR="00571BC2">
              <w:rPr>
                <w:rFonts w:ascii="Verdana" w:eastAsia="Calibri" w:hAnsi="Verdana" w:cs="Arial"/>
                <w:color w:val="000000"/>
                <w:sz w:val="21"/>
                <w:szCs w:val="21"/>
              </w:rPr>
              <w:t xml:space="preserve"> se concluyó que </w:t>
            </w:r>
            <w:r w:rsidR="00046DC1" w:rsidRPr="00046DC1">
              <w:rPr>
                <w:rFonts w:ascii="Verdana" w:eastAsia="Calibri" w:hAnsi="Verdana" w:cs="Arial"/>
                <w:color w:val="000000"/>
              </w:rPr>
              <w:t xml:space="preserve">a la luz de las disposiciones que regulan la materia, </w:t>
            </w:r>
            <w:r w:rsidR="00122164">
              <w:rPr>
                <w:rFonts w:ascii="Verdana" w:eastAsia="Calibri" w:hAnsi="Verdana" w:cs="Arial"/>
                <w:color w:val="000000"/>
              </w:rPr>
              <w:t>“</w:t>
            </w:r>
            <w:r w:rsidR="00046DC1" w:rsidRPr="00046DC1">
              <w:rPr>
                <w:rFonts w:ascii="Verdana" w:eastAsia="Calibri" w:hAnsi="Verdana" w:cs="Arial"/>
                <w:color w:val="000000"/>
              </w:rPr>
              <w:t>el artículo 53 –al ampliar la obligación de las entidades con regímenes especiales de publicar su actividad contractual en el SECOP II– se refiere a aquella actividad contractual cuya fuente de financiación provenga de recursos públicos</w:t>
            </w:r>
            <w:r w:rsidR="008B7FCB">
              <w:rPr>
                <w:rFonts w:ascii="Verdana" w:eastAsia="Calibri" w:hAnsi="Verdana" w:cs="Arial"/>
                <w:color w:val="000000"/>
              </w:rPr>
              <w:t>”.</w:t>
            </w:r>
          </w:p>
          <w:p w14:paraId="073EC507" w14:textId="44B48F01" w:rsidR="00D72C13" w:rsidRPr="003E2CCE" w:rsidRDefault="00FE3C42" w:rsidP="0086308A">
            <w:pPr>
              <w:spacing w:after="120" w:line="276" w:lineRule="auto"/>
              <w:ind w:right="79" w:firstLine="601"/>
              <w:jc w:val="both"/>
              <w:rPr>
                <w:rFonts w:ascii="Verdana" w:hAnsi="Verdana" w:cs="Arial"/>
              </w:rPr>
            </w:pPr>
            <w:r>
              <w:rPr>
                <w:rFonts w:ascii="Verdana" w:hAnsi="Verdana" w:cs="Arial"/>
              </w:rPr>
              <w:t>En este sentido, comoquiera que las normas señal</w:t>
            </w:r>
            <w:r w:rsidR="0086308A">
              <w:rPr>
                <w:rFonts w:ascii="Verdana" w:hAnsi="Verdana" w:cs="Arial"/>
              </w:rPr>
              <w:t>adas</w:t>
            </w:r>
            <w:r w:rsidR="00C228C4">
              <w:rPr>
                <w:rFonts w:ascii="Verdana" w:hAnsi="Verdana" w:cs="Arial"/>
              </w:rPr>
              <w:t xml:space="preserve"> en este concepto</w:t>
            </w:r>
            <w:r>
              <w:rPr>
                <w:rFonts w:ascii="Verdana" w:hAnsi="Verdana" w:cs="Arial"/>
              </w:rPr>
              <w:t xml:space="preserve"> se refieren a la publicidad de información contractual realizada con cargo a recursos públicos, se colige que las entidades exceptuadas del EGCAP tienen obligación de publicar en el SECOP II la actividad contractual </w:t>
            </w:r>
            <w:r w:rsidRPr="007911FF">
              <w:rPr>
                <w:rFonts w:ascii="Verdana" w:eastAsia="Calibri" w:hAnsi="Verdana" w:cs="Arial"/>
                <w:color w:val="000000"/>
                <w:sz w:val="21"/>
                <w:szCs w:val="21"/>
              </w:rPr>
              <w:t>realizada con recursos públicos</w:t>
            </w:r>
            <w:r w:rsidR="0086308A">
              <w:rPr>
                <w:rFonts w:ascii="Verdana" w:eastAsia="Calibri" w:hAnsi="Verdana" w:cs="Arial"/>
                <w:color w:val="000000"/>
                <w:sz w:val="21"/>
                <w:szCs w:val="21"/>
              </w:rPr>
              <w:t>.</w:t>
            </w:r>
          </w:p>
        </w:tc>
      </w:tr>
    </w:tbl>
    <w:p w14:paraId="1728E2BC" w14:textId="77777777" w:rsidR="00E84D1C" w:rsidRPr="003E2CCE" w:rsidRDefault="00E84D1C" w:rsidP="00E84D1C">
      <w:pPr>
        <w:tabs>
          <w:tab w:val="left" w:pos="142"/>
          <w:tab w:val="left" w:pos="284"/>
        </w:tabs>
        <w:spacing w:after="0" w:line="276" w:lineRule="auto"/>
        <w:jc w:val="both"/>
        <w:rPr>
          <w:rFonts w:ascii="Verdana" w:eastAsia="Century Gothic" w:hAnsi="Verdana" w:cs="Century Gothic"/>
          <w:b/>
          <w:bCs/>
          <w:lang w:val="es-ES"/>
        </w:rPr>
      </w:pPr>
    </w:p>
    <w:bookmarkEnd w:id="2"/>
    <w:p w14:paraId="7BD5B662" w14:textId="4AC7D643" w:rsidR="00E84D1C" w:rsidRPr="003E2CCE"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Razones de la</w:t>
      </w:r>
      <w:r w:rsidR="000C42A9"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 xml:space="preserve"> respuesta</w:t>
      </w:r>
      <w:r w:rsidR="000C42A9" w:rsidRPr="003E2CCE">
        <w:rPr>
          <w:rFonts w:ascii="Verdana" w:eastAsia="Century Gothic" w:hAnsi="Verdana" w:cs="Century Gothic"/>
          <w:b/>
          <w:bCs/>
          <w:sz w:val="22"/>
          <w:lang w:val="es-ES"/>
        </w:rPr>
        <w:t>s</w:t>
      </w:r>
      <w:r w:rsidR="00E84D1C" w:rsidRPr="003E2CCE">
        <w:rPr>
          <w:rFonts w:ascii="Verdana" w:eastAsia="Century Gothic" w:hAnsi="Verdana" w:cs="Century Gothic"/>
          <w:b/>
          <w:bCs/>
          <w:sz w:val="22"/>
          <w:lang w:val="es-ES"/>
        </w:rPr>
        <w:t>:</w:t>
      </w:r>
    </w:p>
    <w:p w14:paraId="267A31E4" w14:textId="77777777" w:rsidR="00FB5FC4" w:rsidRPr="003E2CCE" w:rsidRDefault="00FB5FC4" w:rsidP="00E84D1C">
      <w:pPr>
        <w:spacing w:after="0" w:line="276" w:lineRule="auto"/>
        <w:jc w:val="both"/>
        <w:rPr>
          <w:rFonts w:ascii="Verdana" w:eastAsia="Calibri" w:hAnsi="Verdana" w:cs="Arial"/>
          <w:color w:val="7030A0"/>
          <w:lang w:val="es-ES"/>
        </w:rPr>
      </w:pPr>
    </w:p>
    <w:p w14:paraId="71802283" w14:textId="026D0B12" w:rsidR="0025575F" w:rsidRPr="003E2CCE" w:rsidRDefault="00C00976" w:rsidP="001B47A4">
      <w:pPr>
        <w:spacing w:after="0" w:line="276" w:lineRule="auto"/>
        <w:jc w:val="both"/>
        <w:rPr>
          <w:rFonts w:ascii="Verdana" w:eastAsia="Calibri" w:hAnsi="Verdana" w:cs="Arial"/>
          <w:lang w:val="es-ES"/>
        </w:rPr>
      </w:pPr>
      <w:r w:rsidRPr="003E2CCE">
        <w:rPr>
          <w:rFonts w:ascii="Verdana" w:eastAsia="Calibri" w:hAnsi="Verdana" w:cs="Arial"/>
          <w:lang w:val="es-ES"/>
        </w:rPr>
        <w:t>L</w:t>
      </w:r>
      <w:r w:rsidR="00D5798B" w:rsidRPr="003E2CCE">
        <w:rPr>
          <w:rFonts w:ascii="Verdana" w:eastAsia="Calibri" w:hAnsi="Verdana" w:cs="Arial"/>
          <w:lang w:val="es-ES"/>
        </w:rPr>
        <w:t>o</w:t>
      </w:r>
      <w:r w:rsidRPr="003E2CCE">
        <w:rPr>
          <w:rFonts w:ascii="Verdana" w:eastAsia="Calibri" w:hAnsi="Verdana" w:cs="Arial"/>
          <w:lang w:val="es-ES"/>
        </w:rPr>
        <w:t xml:space="preserve"> anterior</w:t>
      </w:r>
      <w:r w:rsidR="00F95CCE" w:rsidRPr="003E2CCE">
        <w:rPr>
          <w:rFonts w:ascii="Verdana" w:eastAsia="Calibri" w:hAnsi="Verdana" w:cs="Arial"/>
          <w:lang w:val="es-ES"/>
        </w:rPr>
        <w:t xml:space="preserve"> </w:t>
      </w:r>
      <w:r w:rsidR="00E84D1C" w:rsidRPr="003E2CCE">
        <w:rPr>
          <w:rFonts w:ascii="Verdana" w:eastAsia="Calibri" w:hAnsi="Verdana" w:cs="Arial"/>
          <w:lang w:val="es-ES"/>
        </w:rPr>
        <w:t xml:space="preserve">se </w:t>
      </w:r>
      <w:r w:rsidRPr="003E2CCE">
        <w:rPr>
          <w:rFonts w:ascii="Verdana" w:eastAsia="Calibri" w:hAnsi="Verdana" w:cs="Arial"/>
          <w:lang w:val="es-ES"/>
        </w:rPr>
        <w:t xml:space="preserve">sustenta en </w:t>
      </w:r>
      <w:r w:rsidR="00E84D1C" w:rsidRPr="003E2CCE">
        <w:rPr>
          <w:rFonts w:ascii="Verdana" w:eastAsia="Calibri" w:hAnsi="Verdana" w:cs="Arial"/>
          <w:lang w:val="es-ES"/>
        </w:rPr>
        <w:t>las siguientes consideraciones:</w:t>
      </w:r>
    </w:p>
    <w:p w14:paraId="5732945E" w14:textId="77777777" w:rsidR="001B47A4" w:rsidRPr="003E2CCE" w:rsidRDefault="001B47A4" w:rsidP="001B47A4">
      <w:pPr>
        <w:spacing w:after="0" w:line="276" w:lineRule="auto"/>
        <w:jc w:val="both"/>
        <w:rPr>
          <w:rFonts w:ascii="Verdana" w:eastAsia="Calibri" w:hAnsi="Verdana" w:cs="Arial"/>
          <w:lang w:val="es-ES"/>
        </w:rPr>
      </w:pPr>
    </w:p>
    <w:p w14:paraId="64700F35" w14:textId="77777777" w:rsidR="00E876D4" w:rsidRPr="003E2CCE" w:rsidRDefault="00E876D4" w:rsidP="00E876D4">
      <w:pPr>
        <w:spacing w:after="120" w:line="276" w:lineRule="auto"/>
        <w:jc w:val="both"/>
        <w:rPr>
          <w:rFonts w:ascii="Verdana" w:eastAsia="Calibri" w:hAnsi="Verdana" w:cs="Arial"/>
          <w:lang w:val="es-ES"/>
        </w:rPr>
      </w:pPr>
      <w:r w:rsidRPr="003E2CCE">
        <w:rPr>
          <w:rFonts w:ascii="Verdana" w:eastAsia="Calibri" w:hAnsi="Verdana" w:cs="Arial"/>
          <w:lang w:val="es-ES"/>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3A045BFD" w14:textId="247DCFE2" w:rsidR="00E876D4" w:rsidRPr="003E2CCE" w:rsidRDefault="00E876D4" w:rsidP="00E876D4">
      <w:pPr>
        <w:spacing w:after="120" w:line="276" w:lineRule="auto"/>
        <w:jc w:val="both"/>
        <w:rPr>
          <w:rFonts w:ascii="Verdana" w:eastAsia="Calibri" w:hAnsi="Verdana" w:cs="Arial"/>
          <w:lang w:val="es-ES"/>
        </w:rPr>
      </w:pPr>
      <w:r w:rsidRPr="003E2CCE">
        <w:rPr>
          <w:rFonts w:ascii="Verdana" w:eastAsia="Calibri" w:hAnsi="Verdana" w:cs="Arial"/>
          <w:lang w:val="es-ES"/>
        </w:rPr>
        <w:tab/>
        <w:t xml:space="preserve">Teniendo en cuenta que las entidades de régimen especial están facultadas legalmente para aplicar reglas distintas a las establecidas en la Ley 80 de 1993 y sus normas complementarias, su régimen contractual estará </w:t>
      </w:r>
      <w:r w:rsidRPr="003E2CCE">
        <w:rPr>
          <w:rFonts w:ascii="Verdana" w:eastAsia="Calibri" w:hAnsi="Verdana" w:cs="Arial"/>
          <w:lang w:val="es-ES"/>
        </w:rPr>
        <w:lastRenderedPageBreak/>
        <w:t>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367123C1" w14:textId="77777777" w:rsidR="00386313" w:rsidRPr="003E2CCE" w:rsidRDefault="00E876D4" w:rsidP="00386313">
      <w:pPr>
        <w:spacing w:after="120" w:line="276" w:lineRule="auto"/>
        <w:jc w:val="both"/>
        <w:rPr>
          <w:rFonts w:ascii="Verdana" w:eastAsia="Calibri" w:hAnsi="Verdana" w:cs="Arial"/>
          <w:lang w:val="es-ES"/>
        </w:rPr>
      </w:pPr>
      <w:r w:rsidRPr="003E2CCE">
        <w:rPr>
          <w:rFonts w:ascii="Verdana" w:eastAsia="Calibri" w:hAnsi="Verdana" w:cs="Arial"/>
          <w:lang w:val="es-ES"/>
        </w:rPr>
        <w:tab/>
        <w:t xml:space="preserve">No </w:t>
      </w:r>
      <w:proofErr w:type="gramStart"/>
      <w:r w:rsidRPr="003E2CCE">
        <w:rPr>
          <w:rFonts w:ascii="Verdana" w:eastAsia="Calibri" w:hAnsi="Verdana" w:cs="Arial"/>
          <w:lang w:val="es-ES"/>
        </w:rPr>
        <w:t>obstante</w:t>
      </w:r>
      <w:proofErr w:type="gramEnd"/>
      <w:r w:rsidRPr="003E2CCE">
        <w:rPr>
          <w:rFonts w:ascii="Verdana" w:eastAsia="Calibri" w:hAnsi="Verdana" w:cs="Arial"/>
          <w:lang w:val="es-ES"/>
        </w:rPr>
        <w:t xml:space="preserve"> lo anterior,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w:t>
      </w:r>
    </w:p>
    <w:p w14:paraId="355426B3" w14:textId="77777777" w:rsidR="00386313" w:rsidRPr="003E2CCE" w:rsidRDefault="00386313" w:rsidP="00386313">
      <w:pPr>
        <w:spacing w:after="120" w:line="276" w:lineRule="auto"/>
        <w:ind w:firstLine="709"/>
        <w:jc w:val="both"/>
        <w:rPr>
          <w:rFonts w:ascii="Verdana" w:eastAsia="Calibri" w:hAnsi="Verdana" w:cs="Arial"/>
          <w:lang w:val="es-ES"/>
        </w:rPr>
      </w:pPr>
      <w:r w:rsidRPr="003E2CCE">
        <w:rPr>
          <w:rFonts w:ascii="Verdana" w:eastAsia="Calibri" w:hAnsi="Verdana" w:cs="Arial"/>
          <w:lang w:val="es-ES"/>
        </w:rPr>
        <w:t>Considerando que las entidades de régimen especial administran recursos públicos, sus manuales de contratación deben ajustarse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C6BB504" w14:textId="48EC8918" w:rsidR="00386313" w:rsidRPr="003E2CCE" w:rsidRDefault="00386313" w:rsidP="008F28C5">
      <w:pPr>
        <w:spacing w:after="120" w:line="276" w:lineRule="auto"/>
        <w:ind w:firstLine="709"/>
        <w:jc w:val="both"/>
        <w:rPr>
          <w:rFonts w:ascii="Verdana" w:eastAsia="Calibri" w:hAnsi="Verdana" w:cs="Arial"/>
          <w:lang w:val="es-ES"/>
        </w:rPr>
      </w:pPr>
      <w:r w:rsidRPr="003E2CCE">
        <w:rPr>
          <w:rFonts w:ascii="Verdana" w:eastAsia="Calibri" w:hAnsi="Verdana" w:cs="Arial"/>
          <w:lang w:val="es-ES"/>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69A1FC2D" w14:textId="63B540D0" w:rsidR="00E4364B" w:rsidRPr="003E2CCE" w:rsidRDefault="003F162C" w:rsidP="008F28C5">
      <w:pPr>
        <w:spacing w:after="120" w:line="276" w:lineRule="auto"/>
        <w:ind w:firstLine="709"/>
        <w:jc w:val="both"/>
        <w:rPr>
          <w:rFonts w:ascii="Verdana" w:eastAsia="Calibri" w:hAnsi="Verdana" w:cs="Arial"/>
          <w:color w:val="000000" w:themeColor="text1"/>
          <w:lang w:val="es-ES_tradnl"/>
        </w:rPr>
      </w:pPr>
      <w:r w:rsidRPr="003E2CCE">
        <w:rPr>
          <w:rFonts w:ascii="Verdana" w:eastAsia="Calibri" w:hAnsi="Verdana" w:cs="Arial"/>
          <w:lang w:val="es-ES"/>
        </w:rPr>
        <w:t xml:space="preserve">En relación con la publicación en el SECOP II, es preciso indicar que </w:t>
      </w:r>
      <w:r w:rsidR="00E4364B" w:rsidRPr="003E2CCE">
        <w:rPr>
          <w:rFonts w:ascii="Verdana" w:eastAsia="Calibri" w:hAnsi="Verdana" w:cs="Arial"/>
          <w:color w:val="000000" w:themeColor="text1"/>
          <w:lang w:val="es-ES_tradnl"/>
        </w:rPr>
        <w:t>el artículo 53 de la Ley 2195 de 2022 hace obligatorio el SECOP II para las entidades exceptuadas del Estatuto General de Contratación de la Administración Pública. En efecto, esta norma dispone:</w:t>
      </w:r>
    </w:p>
    <w:p w14:paraId="06543E0A" w14:textId="77777777" w:rsidR="00E4364B" w:rsidRPr="003E2CCE" w:rsidRDefault="00E4364B" w:rsidP="00E4364B">
      <w:pPr>
        <w:spacing w:after="120"/>
        <w:ind w:left="709" w:right="709"/>
        <w:jc w:val="both"/>
        <w:rPr>
          <w:rFonts w:ascii="Verdana" w:eastAsia="Calibri" w:hAnsi="Verdana" w:cs="Arial"/>
          <w:sz w:val="21"/>
          <w:szCs w:val="21"/>
        </w:rPr>
      </w:pPr>
      <w:r w:rsidRPr="003E2CCE">
        <w:rPr>
          <w:rFonts w:ascii="Verdana" w:eastAsia="Calibri" w:hAnsi="Verdana" w:cs="Arial"/>
          <w:sz w:val="21"/>
          <w:szCs w:val="21"/>
        </w:rPr>
        <w:lastRenderedPageBreak/>
        <w:t>Adiciónese los siguientes incisos al artículo 13 de la Ley 1150 de 2007, el cual quedará así:</w:t>
      </w:r>
    </w:p>
    <w:p w14:paraId="68DCCA7D" w14:textId="77777777" w:rsidR="00E4364B" w:rsidRPr="003E2CCE" w:rsidRDefault="00E4364B" w:rsidP="00E4364B">
      <w:pPr>
        <w:spacing w:after="120"/>
        <w:ind w:left="709" w:right="709"/>
        <w:jc w:val="both"/>
        <w:rPr>
          <w:rFonts w:ascii="Verdana" w:eastAsia="Calibri" w:hAnsi="Verdana" w:cs="Arial"/>
          <w:sz w:val="21"/>
          <w:szCs w:val="21"/>
        </w:rPr>
      </w:pPr>
      <w:r w:rsidRPr="003E2CCE">
        <w:rPr>
          <w:rFonts w:ascii="Verdana" w:eastAsia="Calibri" w:hAnsi="Verdana"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9511AD6" w14:textId="77777777" w:rsidR="00E4364B" w:rsidRPr="003E2CCE" w:rsidRDefault="00E4364B" w:rsidP="00E4364B">
      <w:pPr>
        <w:spacing w:after="120"/>
        <w:ind w:left="709" w:right="709"/>
        <w:jc w:val="both"/>
        <w:rPr>
          <w:rFonts w:ascii="Verdana" w:eastAsia="Calibri" w:hAnsi="Verdana" w:cs="Arial"/>
          <w:sz w:val="21"/>
          <w:szCs w:val="21"/>
        </w:rPr>
      </w:pPr>
      <w:r w:rsidRPr="003E2CCE">
        <w:rPr>
          <w:rFonts w:ascii="Verdana" w:eastAsia="Calibri" w:hAnsi="Verdana" w:cs="Arial"/>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3E2CCE">
        <w:rPr>
          <w:rFonts w:ascii="Verdana" w:eastAsia="Calibri" w:hAnsi="Verdana" w:cs="Arial"/>
          <w:sz w:val="21"/>
          <w:szCs w:val="21"/>
        </w:rPr>
        <w:t>postcontractual</w:t>
      </w:r>
      <w:proofErr w:type="spellEnd"/>
      <w:r w:rsidRPr="003E2CCE">
        <w:rPr>
          <w:rFonts w:ascii="Verdana" w:eastAsia="Calibri" w:hAnsi="Verdana" w:cs="Arial"/>
          <w:sz w:val="21"/>
          <w:szCs w:val="21"/>
        </w:rPr>
        <w:t>.</w:t>
      </w:r>
    </w:p>
    <w:p w14:paraId="32576844" w14:textId="25BBCD8A" w:rsidR="00E4364B" w:rsidRPr="003E2CCE" w:rsidRDefault="00E4364B" w:rsidP="00E4364B">
      <w:pPr>
        <w:ind w:left="709" w:right="709"/>
        <w:jc w:val="both"/>
        <w:rPr>
          <w:rFonts w:ascii="Verdana" w:eastAsia="Calibri" w:hAnsi="Verdana" w:cs="Arial"/>
          <w:sz w:val="21"/>
          <w:szCs w:val="21"/>
        </w:rPr>
      </w:pPr>
      <w:r w:rsidRPr="003E2CCE">
        <w:rPr>
          <w:rFonts w:ascii="Verdana" w:eastAsia="Calibri" w:hAnsi="Verdana" w:cs="Arial"/>
          <w:sz w:val="21"/>
          <w:szCs w:val="21"/>
        </w:rPr>
        <w:t xml:space="preserve">A partir de la </w:t>
      </w:r>
      <w:proofErr w:type="gramStart"/>
      <w:r w:rsidRPr="003E2CCE">
        <w:rPr>
          <w:rFonts w:ascii="Verdana" w:eastAsia="Calibri" w:hAnsi="Verdana" w:cs="Arial"/>
          <w:sz w:val="21"/>
          <w:szCs w:val="21"/>
        </w:rPr>
        <w:t>entrada en vigencia</w:t>
      </w:r>
      <w:proofErr w:type="gramEnd"/>
      <w:r w:rsidRPr="003E2CCE">
        <w:rPr>
          <w:rFonts w:ascii="Verdana" w:eastAsia="Calibri" w:hAnsi="Verdana" w:cs="Arial"/>
          <w:sz w:val="21"/>
          <w:szCs w:val="21"/>
        </w:rPr>
        <w:t xml:space="preserve"> de la presente Ley, se establecerá un periodo de transición de seis (6) meses, para que las entidades den cumplimiento efectivo a lo aquí establecido.</w:t>
      </w:r>
    </w:p>
    <w:p w14:paraId="5E47C009" w14:textId="5A4B0C39" w:rsidR="00E4364B" w:rsidRPr="003E2CCE" w:rsidRDefault="00E4364B" w:rsidP="008F28C5">
      <w:pPr>
        <w:spacing w:after="120" w:line="276" w:lineRule="auto"/>
        <w:ind w:firstLine="709"/>
        <w:jc w:val="both"/>
        <w:rPr>
          <w:rFonts w:ascii="Verdana" w:eastAsia="Calibri" w:hAnsi="Verdana" w:cs="Arial"/>
          <w:color w:val="000000" w:themeColor="text1"/>
          <w:lang w:val="es-ES_tradnl"/>
        </w:rPr>
      </w:pPr>
      <w:r w:rsidRPr="003E2CCE">
        <w:rPr>
          <w:rFonts w:ascii="Verdana" w:eastAsia="Calibri" w:hAnsi="Verdana" w:cs="Arial"/>
          <w:color w:val="000000" w:themeColor="text1"/>
          <w:lang w:val="es-ES_tradnl"/>
        </w:rPr>
        <w:t>Como puede observarse, el artículo 53 de la Ley 2195 de 2022 –que modifica el artículo 13 de la Ley 1150 de 2007–</w:t>
      </w:r>
      <w:r w:rsidR="00394E4F" w:rsidRPr="003E2CCE">
        <w:rPr>
          <w:rFonts w:ascii="Verdana" w:eastAsia="Calibri" w:hAnsi="Verdana" w:cs="Arial"/>
          <w:color w:val="000000" w:themeColor="text1"/>
          <w:lang w:val="es-ES_tradnl"/>
        </w:rPr>
        <w:t xml:space="preserve"> </w:t>
      </w:r>
      <w:r w:rsidR="00953AD4" w:rsidRPr="003E2CCE">
        <w:rPr>
          <w:rFonts w:ascii="Verdana" w:eastAsia="Calibri" w:hAnsi="Verdana" w:cs="Arial"/>
          <w:color w:val="000000" w:themeColor="text1"/>
          <w:lang w:val="es-ES_tradnl"/>
        </w:rPr>
        <w:t xml:space="preserve">establece </w:t>
      </w:r>
      <w:r w:rsidR="006D40CB" w:rsidRPr="003E2CCE">
        <w:rPr>
          <w:rFonts w:ascii="Verdana" w:eastAsia="Calibri" w:hAnsi="Verdana" w:cs="Arial"/>
          <w:color w:val="000000" w:themeColor="text1"/>
          <w:lang w:val="es-ES_tradnl"/>
        </w:rPr>
        <w:t>la obligación</w:t>
      </w:r>
      <w:r w:rsidRPr="003E2CCE">
        <w:rPr>
          <w:rFonts w:ascii="Verdana" w:eastAsia="Calibri" w:hAnsi="Verdana" w:cs="Arial"/>
          <w:color w:val="000000" w:themeColor="text1"/>
          <w:lang w:val="es-ES_tradnl"/>
        </w:rPr>
        <w:t xml:space="preserve"> de emplear el SECOP II</w:t>
      </w:r>
      <w:r w:rsidR="006D40CB" w:rsidRPr="003E2CCE">
        <w:rPr>
          <w:rFonts w:ascii="Verdana" w:eastAsia="Calibri" w:hAnsi="Verdana" w:cs="Arial"/>
          <w:color w:val="000000" w:themeColor="text1"/>
          <w:lang w:val="es-ES_tradnl"/>
        </w:rPr>
        <w:t xml:space="preserve"> para la publicación de</w:t>
      </w:r>
      <w:r w:rsidR="00394E4F" w:rsidRPr="003E2CCE">
        <w:rPr>
          <w:rFonts w:ascii="Verdana" w:eastAsia="Calibri" w:hAnsi="Verdana" w:cs="Arial"/>
          <w:color w:val="000000" w:themeColor="text1"/>
          <w:lang w:val="es-ES_tradnl"/>
        </w:rPr>
        <w:t xml:space="preserve"> </w:t>
      </w:r>
      <w:r w:rsidR="006D40CB" w:rsidRPr="003E2CCE">
        <w:rPr>
          <w:rFonts w:ascii="Verdana" w:eastAsia="Calibri" w:hAnsi="Verdana" w:cs="Arial"/>
          <w:color w:val="000000" w:themeColor="text1"/>
          <w:lang w:val="es-ES_tradnl"/>
        </w:rPr>
        <w:t>los documentos relacionados con la actividad contractual</w:t>
      </w:r>
      <w:r w:rsidRPr="003E2CCE">
        <w:rPr>
          <w:rFonts w:ascii="Verdana" w:eastAsia="Calibri" w:hAnsi="Verdana" w:cs="Arial"/>
          <w:color w:val="000000" w:themeColor="text1"/>
          <w:lang w:val="es-ES_tradnl"/>
        </w:rPr>
        <w:t xml:space="preserve">.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 </w:t>
      </w:r>
    </w:p>
    <w:p w14:paraId="0B25BD9C" w14:textId="2694506F" w:rsidR="00CB6D4C" w:rsidRPr="003E2CCE" w:rsidRDefault="008A3CA6" w:rsidP="008F28C5">
      <w:pPr>
        <w:spacing w:after="120" w:line="276" w:lineRule="auto"/>
        <w:ind w:firstLine="709"/>
        <w:jc w:val="both"/>
        <w:rPr>
          <w:rFonts w:ascii="Verdana" w:eastAsia="Calibri" w:hAnsi="Verdana" w:cs="Arial"/>
          <w:color w:val="000000" w:themeColor="text1"/>
          <w:lang w:val="es-ES_tradnl"/>
        </w:rPr>
      </w:pPr>
      <w:r w:rsidRPr="003E2CCE">
        <w:rPr>
          <w:rFonts w:ascii="Verdana" w:eastAsia="Calibri" w:hAnsi="Verdana" w:cs="Arial"/>
          <w:color w:val="000000" w:themeColor="text1"/>
        </w:rPr>
        <w:t xml:space="preserve">Cabe destacar que cuando la norma trascrita hace referencia a que el mencionado deber de publicidad debe cumplirse en el SECOP II </w:t>
      </w:r>
      <w:r w:rsidR="00CB6D4C" w:rsidRPr="003E2CCE">
        <w:rPr>
          <w:rFonts w:ascii="Verdana" w:eastAsia="Calibri" w:hAnsi="Verdana" w:cs="Arial"/>
          <w:color w:val="000000" w:themeColor="text1"/>
          <w:lang w:val="es-ES_tradnl"/>
        </w:rPr>
        <w:t xml:space="preserve">«o la plataforma transaccional que haga sus veces» esto debe interpretarse en el sentido en que a pesar de que en la actualidad es el SECOP II la plataforma transaccional vigente en el Estado colombiano, si en el futuro esta es reemplazada por otra </w:t>
      </w:r>
      <w:r w:rsidR="00CB6D4C" w:rsidRPr="003E2CCE">
        <w:rPr>
          <w:rFonts w:ascii="Verdana" w:eastAsia="Calibri" w:hAnsi="Verdana" w:cs="Arial"/>
          <w:color w:val="000000" w:themeColor="text1"/>
          <w:lang w:val="es-ES_tradnl"/>
        </w:rPr>
        <w:lastRenderedPageBreak/>
        <w:t>que tenga otra denominación, las entidades que tienen un régimen especial de contratación pública deben continuar publicando la documentación de su actividad transaccional en la nueva plataforma.</w:t>
      </w:r>
      <w:r w:rsidR="005B0D20" w:rsidRPr="003E2CCE">
        <w:rPr>
          <w:rFonts w:ascii="Verdana" w:hAnsi="Verdana"/>
        </w:rPr>
        <w:t xml:space="preserve"> </w:t>
      </w:r>
      <w:r w:rsidR="005B0D20" w:rsidRPr="003E2CCE">
        <w:rPr>
          <w:rFonts w:ascii="Verdana" w:eastAsia="Calibri" w:hAnsi="Verdana" w:cs="Arial"/>
          <w:color w:val="000000" w:themeColor="text1"/>
        </w:rPr>
        <w:t>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5E0C54B5" w14:textId="44750AA4" w:rsidR="00971E8B" w:rsidRPr="003E2CCE" w:rsidRDefault="00971E8B" w:rsidP="008F28C5">
      <w:pPr>
        <w:spacing w:after="120" w:line="276" w:lineRule="auto"/>
        <w:ind w:firstLine="709"/>
        <w:jc w:val="both"/>
        <w:rPr>
          <w:rFonts w:ascii="Verdana" w:eastAsia="Calibri" w:hAnsi="Verdana" w:cs="Arial"/>
          <w:color w:val="000000" w:themeColor="text1"/>
        </w:rPr>
      </w:pPr>
      <w:r w:rsidRPr="003E2CCE">
        <w:rPr>
          <w:rFonts w:ascii="Verdana" w:eastAsia="Calibri" w:hAnsi="Verdana" w:cs="Arial"/>
          <w:color w:val="000000" w:themeColor="text1"/>
        </w:rPr>
        <w:t xml:space="preserve">En cuanto a los documentos que deben publicarse en el SECOP II, la norma citada hace referencia a los documentos relacionados con su actividad contractual, es decir, “[…] los documentos, contratos, actos e información generada por oferentes, contratista, contratante, supervisor o interventor, tanto en la etapa precontractual, como en la contractual y la </w:t>
      </w:r>
      <w:proofErr w:type="spellStart"/>
      <w:r w:rsidRPr="003E2CCE">
        <w:rPr>
          <w:rFonts w:ascii="Verdana" w:eastAsia="Calibri" w:hAnsi="Verdana" w:cs="Arial"/>
          <w:color w:val="000000" w:themeColor="text1"/>
        </w:rPr>
        <w:t>postcontractual</w:t>
      </w:r>
      <w:proofErr w:type="spellEnd"/>
      <w:r w:rsidRPr="003E2CCE">
        <w:rPr>
          <w:rFonts w:ascii="Verdana" w:eastAsia="Calibri" w:hAnsi="Verdana" w:cs="Arial"/>
          <w:color w:val="000000" w:themeColor="text1"/>
        </w:rPr>
        <w:t>”. En ese sentido, el artículo 53 de la Ley 2195 de 2022 establece el deber de publicar toda aquella información relacionada con el respectivo contrato, sin incluir ninguna excepción relacionada con la naturaleza u objeto. Por 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w:t>
      </w:r>
    </w:p>
    <w:p w14:paraId="0A2C6FCD" w14:textId="38A9E18A" w:rsidR="003417FA" w:rsidRPr="003E2CCE" w:rsidRDefault="003417FA" w:rsidP="008F28C5">
      <w:pPr>
        <w:spacing w:after="120" w:line="276" w:lineRule="auto"/>
        <w:ind w:firstLine="709"/>
        <w:jc w:val="both"/>
        <w:rPr>
          <w:rFonts w:ascii="Verdana" w:eastAsia="Calibri" w:hAnsi="Verdana" w:cs="Arial"/>
          <w:color w:val="000000" w:themeColor="text1"/>
        </w:rPr>
      </w:pPr>
      <w:r w:rsidRPr="003E2CCE">
        <w:rPr>
          <w:rFonts w:ascii="Verdana" w:eastAsia="Calibri" w:hAnsi="Verdana" w:cs="Arial"/>
          <w:color w:val="000000" w:themeColor="text1"/>
        </w:rPr>
        <w:t>Sin perjuicio de lo anterior,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r w:rsidRPr="003E2CCE">
        <w:rPr>
          <w:rStyle w:val="Refdenotaalpie"/>
          <w:rFonts w:ascii="Verdana" w:eastAsia="Calibri" w:hAnsi="Verdana" w:cs="Arial"/>
          <w:color w:val="000000" w:themeColor="text1"/>
        </w:rPr>
        <w:footnoteReference w:id="2"/>
      </w:r>
      <w:r w:rsidRPr="003E2CCE">
        <w:rPr>
          <w:rFonts w:ascii="Verdana" w:eastAsia="Calibri" w:hAnsi="Verdana" w:cs="Arial"/>
          <w:color w:val="000000" w:themeColor="text1"/>
        </w:rPr>
        <w:t>.</w:t>
      </w:r>
    </w:p>
    <w:p w14:paraId="366626D0" w14:textId="610F0AFB" w:rsidR="005E1DB7" w:rsidRPr="003E2CCE" w:rsidRDefault="005E1DB7" w:rsidP="008F28C5">
      <w:pPr>
        <w:spacing w:after="120" w:line="276" w:lineRule="auto"/>
        <w:ind w:firstLine="709"/>
        <w:jc w:val="both"/>
        <w:rPr>
          <w:rFonts w:ascii="Verdana" w:eastAsia="Calibri" w:hAnsi="Verdana" w:cs="Arial"/>
          <w:color w:val="000000" w:themeColor="text1"/>
        </w:rPr>
      </w:pPr>
      <w:r w:rsidRPr="003E2CCE">
        <w:rPr>
          <w:rFonts w:ascii="Verdana" w:eastAsia="Calibri" w:hAnsi="Verdana" w:cs="Arial"/>
          <w:color w:val="000000" w:themeColor="text1"/>
        </w:rPr>
        <w:lastRenderedPageBreak/>
        <w:t xml:space="preserve">Por otro lado, el inciso final del artículo 53 dispone que “A partir de la </w:t>
      </w:r>
      <w:proofErr w:type="gramStart"/>
      <w:r w:rsidRPr="003E2CCE">
        <w:rPr>
          <w:rFonts w:ascii="Verdana" w:eastAsia="Calibri" w:hAnsi="Verdana" w:cs="Arial"/>
          <w:color w:val="000000" w:themeColor="text1"/>
        </w:rPr>
        <w:t>entrada en vigencia</w:t>
      </w:r>
      <w:proofErr w:type="gramEnd"/>
      <w:r w:rsidRPr="003E2CCE">
        <w:rPr>
          <w:rFonts w:ascii="Verdana" w:eastAsia="Calibri" w:hAnsi="Verdana" w:cs="Arial"/>
          <w:color w:val="000000" w:themeColor="text1"/>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trascurrió del 18 de enero al 18 de julio de 2022.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3E2CCE">
        <w:rPr>
          <w:rStyle w:val="Refdenotaalpie"/>
          <w:rFonts w:ascii="Verdana" w:eastAsia="Calibri" w:hAnsi="Verdana" w:cs="Arial"/>
          <w:color w:val="000000" w:themeColor="text1"/>
        </w:rPr>
        <w:footnoteReference w:id="3"/>
      </w:r>
      <w:r w:rsidRPr="003E2CCE">
        <w:rPr>
          <w:rFonts w:ascii="Verdana" w:eastAsia="Calibri" w:hAnsi="Verdana" w:cs="Arial"/>
          <w:color w:val="000000" w:themeColor="text1"/>
        </w:rPr>
        <w:t>.</w:t>
      </w:r>
    </w:p>
    <w:p w14:paraId="593B517D" w14:textId="0EEAD761" w:rsidR="00EF232D" w:rsidRPr="00A9456D" w:rsidRDefault="00A9456D" w:rsidP="008F28C5">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Ahora bien, sobre la procedencia de los recursos </w:t>
      </w:r>
      <w:r w:rsidR="007911FF">
        <w:rPr>
          <w:rFonts w:ascii="Verdana" w:eastAsia="Calibri" w:hAnsi="Verdana" w:cs="Arial"/>
          <w:color w:val="000000"/>
        </w:rPr>
        <w:t>para efectos de la publicidad de la actividad contractual</w:t>
      </w:r>
      <w:r w:rsidR="00420787">
        <w:rPr>
          <w:rFonts w:ascii="Verdana" w:eastAsia="Calibri" w:hAnsi="Verdana" w:cs="Arial"/>
          <w:color w:val="000000"/>
        </w:rPr>
        <w:t xml:space="preserve"> de las entidades exceptuadas</w:t>
      </w:r>
      <w:r w:rsidR="002C3640">
        <w:rPr>
          <w:rFonts w:ascii="Verdana" w:eastAsia="Calibri" w:hAnsi="Verdana" w:cs="Arial"/>
          <w:color w:val="000000"/>
        </w:rPr>
        <w:t>,</w:t>
      </w:r>
      <w:r w:rsidR="007911FF">
        <w:rPr>
          <w:rFonts w:ascii="Verdana" w:eastAsia="Calibri" w:hAnsi="Verdana" w:cs="Arial"/>
          <w:color w:val="000000"/>
        </w:rPr>
        <w:t xml:space="preserve"> </w:t>
      </w:r>
      <w:r>
        <w:rPr>
          <w:rFonts w:ascii="Verdana" w:eastAsia="Calibri" w:hAnsi="Verdana" w:cs="Arial"/>
          <w:color w:val="000000"/>
        </w:rPr>
        <w:t>e</w:t>
      </w:r>
      <w:r w:rsidR="00F17C8A">
        <w:rPr>
          <w:rFonts w:ascii="Verdana" w:eastAsia="Calibri" w:hAnsi="Verdana" w:cs="Arial"/>
          <w:color w:val="000000"/>
        </w:rPr>
        <w:t xml:space="preserve">s </w:t>
      </w:r>
      <w:r w:rsidR="00594E32">
        <w:rPr>
          <w:rFonts w:ascii="Verdana" w:eastAsia="Calibri" w:hAnsi="Verdana" w:cs="Arial"/>
          <w:color w:val="000000"/>
        </w:rPr>
        <w:t>preciso i</w:t>
      </w:r>
      <w:r>
        <w:rPr>
          <w:rFonts w:ascii="Verdana" w:eastAsia="Calibri" w:hAnsi="Verdana" w:cs="Arial"/>
          <w:color w:val="000000"/>
        </w:rPr>
        <w:t xml:space="preserve">ndicar que </w:t>
      </w:r>
      <w:r w:rsidR="00AF6373" w:rsidRPr="003E2CCE">
        <w:rPr>
          <w:rFonts w:ascii="Verdana" w:eastAsia="Calibri" w:hAnsi="Verdana" w:cs="Arial"/>
          <w:color w:val="000000"/>
          <w:lang w:val="es-ES_tradnl"/>
        </w:rPr>
        <w:t xml:space="preserve">la Agencia Nacional de Contratación Pública – Colombia Compra </w:t>
      </w:r>
      <w:r w:rsidR="00AF6373" w:rsidRPr="003E2CCE">
        <w:rPr>
          <w:rFonts w:ascii="Verdana" w:eastAsia="Calibri" w:hAnsi="Verdana" w:cs="Arial"/>
          <w:color w:val="000000"/>
          <w:lang w:val="es-ES_tradnl"/>
        </w:rPr>
        <w:lastRenderedPageBreak/>
        <w:t xml:space="preserve">Eficiente </w:t>
      </w:r>
      <w:r w:rsidR="00E06BE9">
        <w:rPr>
          <w:rFonts w:ascii="Verdana" w:eastAsia="Calibri" w:hAnsi="Verdana" w:cs="Arial"/>
          <w:color w:val="000000"/>
          <w:lang w:val="es-ES_tradnl"/>
        </w:rPr>
        <w:t>expidió</w:t>
      </w:r>
      <w:r>
        <w:rPr>
          <w:rFonts w:ascii="Verdana" w:eastAsia="Calibri" w:hAnsi="Verdana" w:cs="Arial"/>
          <w:color w:val="000000"/>
        </w:rPr>
        <w:t xml:space="preserve"> </w:t>
      </w:r>
      <w:r w:rsidR="00FC57C4" w:rsidRPr="003E2CCE">
        <w:rPr>
          <w:rFonts w:ascii="Verdana" w:eastAsia="Calibri" w:hAnsi="Verdana" w:cs="Arial"/>
          <w:color w:val="000000"/>
        </w:rPr>
        <w:t>C</w:t>
      </w:r>
      <w:r w:rsidR="009011C7" w:rsidRPr="003E2CCE">
        <w:rPr>
          <w:rFonts w:ascii="Verdana" w:eastAsia="Calibri" w:hAnsi="Verdana" w:cs="Arial"/>
          <w:color w:val="000000"/>
        </w:rPr>
        <w:t>ircular</w:t>
      </w:r>
      <w:r w:rsidR="00EF232D" w:rsidRPr="003E2CCE">
        <w:rPr>
          <w:rFonts w:ascii="Verdana" w:eastAsia="Calibri" w:hAnsi="Verdana" w:cs="Arial"/>
          <w:color w:val="000000"/>
          <w:lang w:val="es-ES_tradnl"/>
        </w:rPr>
        <w:t xml:space="preserve"> Externa 00</w:t>
      </w:r>
      <w:r w:rsidR="00F86EDD">
        <w:rPr>
          <w:rFonts w:ascii="Verdana" w:eastAsia="Calibri" w:hAnsi="Verdana" w:cs="Arial"/>
          <w:color w:val="000000"/>
          <w:lang w:val="es-ES_tradnl"/>
        </w:rPr>
        <w:t>2</w:t>
      </w:r>
      <w:r w:rsidR="00EF232D" w:rsidRPr="003E2CCE">
        <w:rPr>
          <w:rFonts w:ascii="Verdana" w:eastAsia="Calibri" w:hAnsi="Verdana" w:cs="Arial"/>
          <w:color w:val="000000"/>
          <w:lang w:val="es-ES_tradnl"/>
        </w:rPr>
        <w:t xml:space="preserve"> del </w:t>
      </w:r>
      <w:r w:rsidR="00ED3F40">
        <w:rPr>
          <w:rFonts w:ascii="Verdana" w:eastAsia="Calibri" w:hAnsi="Verdana" w:cs="Arial"/>
          <w:color w:val="000000"/>
          <w:lang w:val="es-ES_tradnl"/>
        </w:rPr>
        <w:t>23</w:t>
      </w:r>
      <w:r w:rsidR="00EF232D" w:rsidRPr="003E2CCE">
        <w:rPr>
          <w:rFonts w:ascii="Verdana" w:eastAsia="Calibri" w:hAnsi="Verdana" w:cs="Arial"/>
          <w:color w:val="000000"/>
          <w:lang w:val="es-ES_tradnl"/>
        </w:rPr>
        <w:t xml:space="preserve"> de </w:t>
      </w:r>
      <w:r w:rsidR="00ED3F40">
        <w:rPr>
          <w:rFonts w:ascii="Verdana" w:eastAsia="Calibri" w:hAnsi="Verdana" w:cs="Arial"/>
          <w:color w:val="000000"/>
          <w:lang w:val="es-ES_tradnl"/>
        </w:rPr>
        <w:t>agosto</w:t>
      </w:r>
      <w:r w:rsidR="00EF232D" w:rsidRPr="003E2CCE">
        <w:rPr>
          <w:rFonts w:ascii="Verdana" w:eastAsia="Calibri" w:hAnsi="Verdana" w:cs="Arial"/>
          <w:color w:val="000000"/>
          <w:lang w:val="es-ES_tradnl"/>
        </w:rPr>
        <w:t xml:space="preserve"> de 202</w:t>
      </w:r>
      <w:r w:rsidR="00ED3F40">
        <w:rPr>
          <w:rFonts w:ascii="Verdana" w:eastAsia="Calibri" w:hAnsi="Verdana" w:cs="Arial"/>
          <w:color w:val="000000"/>
          <w:lang w:val="es-ES_tradnl"/>
        </w:rPr>
        <w:t>4</w:t>
      </w:r>
      <w:r w:rsidR="005E58E0">
        <w:rPr>
          <w:rFonts w:ascii="Verdana" w:eastAsia="Calibri" w:hAnsi="Verdana" w:cs="Arial"/>
          <w:color w:val="000000"/>
          <w:lang w:val="es-ES_tradnl"/>
        </w:rPr>
        <w:t xml:space="preserve">, </w:t>
      </w:r>
      <w:r w:rsidR="00E06BE9">
        <w:rPr>
          <w:rFonts w:ascii="Verdana" w:eastAsia="Calibri" w:hAnsi="Verdana" w:cs="Arial"/>
          <w:color w:val="000000"/>
        </w:rPr>
        <w:t>en la cual</w:t>
      </w:r>
      <w:r w:rsidR="00EF232D" w:rsidRPr="003E2CCE">
        <w:rPr>
          <w:rFonts w:ascii="Verdana" w:eastAsia="Calibri" w:hAnsi="Verdana" w:cs="Arial"/>
          <w:color w:val="000000"/>
          <w:lang w:val="es-ES_tradnl"/>
        </w:rPr>
        <w:t xml:space="preserve"> </w:t>
      </w:r>
      <w:r w:rsidR="007911FF">
        <w:rPr>
          <w:rFonts w:ascii="Verdana" w:eastAsia="Calibri" w:hAnsi="Verdana" w:cs="Arial"/>
          <w:color w:val="000000"/>
          <w:lang w:val="es-ES_tradnl"/>
        </w:rPr>
        <w:t>señal</w:t>
      </w:r>
      <w:r w:rsidR="00E06BE9">
        <w:rPr>
          <w:rFonts w:ascii="Verdana" w:eastAsia="Calibri" w:hAnsi="Verdana" w:cs="Arial"/>
          <w:color w:val="000000"/>
          <w:lang w:val="es-ES_tradnl"/>
        </w:rPr>
        <w:t>ó</w:t>
      </w:r>
      <w:r w:rsidR="007911FF">
        <w:rPr>
          <w:rFonts w:ascii="Verdana" w:eastAsia="Calibri" w:hAnsi="Verdana" w:cs="Arial"/>
          <w:color w:val="000000"/>
          <w:lang w:val="es-ES_tradnl"/>
        </w:rPr>
        <w:t xml:space="preserve"> lo siguiente: </w:t>
      </w:r>
    </w:p>
    <w:p w14:paraId="25164855" w14:textId="30C001BC" w:rsidR="00FC57C4" w:rsidRPr="00743D9D" w:rsidRDefault="00F0091A" w:rsidP="007911FF">
      <w:pPr>
        <w:spacing w:before="120" w:line="276" w:lineRule="auto"/>
        <w:ind w:left="709" w:right="616"/>
        <w:jc w:val="both"/>
        <w:rPr>
          <w:rFonts w:ascii="Verdana" w:eastAsia="Calibri" w:hAnsi="Verdana" w:cs="Arial"/>
          <w:color w:val="000000"/>
          <w:sz w:val="21"/>
          <w:szCs w:val="21"/>
          <w:lang w:val="es-ES_tradnl"/>
        </w:rPr>
      </w:pPr>
      <w:r w:rsidRPr="00743D9D">
        <w:rPr>
          <w:rFonts w:ascii="Verdana" w:eastAsia="Calibri" w:hAnsi="Verdana" w:cs="Arial"/>
          <w:color w:val="000000"/>
          <w:sz w:val="21"/>
          <w:szCs w:val="21"/>
        </w:rPr>
        <w:t>“</w:t>
      </w:r>
      <w:r w:rsidR="007911FF" w:rsidRPr="007911FF">
        <w:rPr>
          <w:rFonts w:ascii="Verdana" w:eastAsia="Calibri" w:hAnsi="Verdana" w:cs="Arial"/>
          <w:color w:val="000000"/>
          <w:sz w:val="21"/>
          <w:szCs w:val="21"/>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Ley 1150 de 2007, debe entenderse que la contratación a la que se refiere es aquella </w:t>
      </w:r>
      <w:bookmarkStart w:id="3" w:name="_Hlk186230457"/>
      <w:r w:rsidR="007911FF" w:rsidRPr="007911FF">
        <w:rPr>
          <w:rFonts w:ascii="Verdana" w:eastAsia="Calibri" w:hAnsi="Verdana" w:cs="Arial"/>
          <w:color w:val="000000"/>
          <w:sz w:val="21"/>
          <w:szCs w:val="21"/>
        </w:rPr>
        <w:t>realizada con recursos públicos</w:t>
      </w:r>
      <w:bookmarkEnd w:id="3"/>
      <w:r w:rsidR="007911FF" w:rsidRPr="007911FF">
        <w:rPr>
          <w:rFonts w:ascii="Verdana" w:eastAsia="Calibri" w:hAnsi="Verdana" w:cs="Arial"/>
          <w:color w:val="000000"/>
          <w:sz w:val="21"/>
          <w:szCs w:val="21"/>
        </w:rPr>
        <w:t>, cuya información es la que debe publicarse en el SECOP II.</w:t>
      </w:r>
      <w:r w:rsidR="007911FF">
        <w:rPr>
          <w:rFonts w:ascii="Verdana" w:eastAsia="Calibri" w:hAnsi="Verdana" w:cs="Arial"/>
          <w:color w:val="000000"/>
          <w:sz w:val="21"/>
          <w:szCs w:val="21"/>
        </w:rPr>
        <w:t xml:space="preserve">” </w:t>
      </w:r>
    </w:p>
    <w:p w14:paraId="61DDB152" w14:textId="77777777" w:rsidR="00492B75" w:rsidRDefault="00BC5EF6" w:rsidP="008F28C5">
      <w:pPr>
        <w:spacing w:after="120" w:line="276" w:lineRule="auto"/>
        <w:ind w:firstLine="709"/>
        <w:jc w:val="both"/>
        <w:rPr>
          <w:rFonts w:ascii="Verdana" w:hAnsi="Verdana" w:cs="Arial"/>
        </w:rPr>
      </w:pPr>
      <w:r w:rsidRPr="003E2CCE">
        <w:rPr>
          <w:rFonts w:ascii="Verdana" w:hAnsi="Verdana" w:cs="Arial"/>
        </w:rPr>
        <w:t>Conforme a lo anterior,</w:t>
      </w:r>
      <w:r w:rsidR="008335D4">
        <w:rPr>
          <w:rFonts w:ascii="Verdana" w:hAnsi="Verdana" w:cs="Arial"/>
        </w:rPr>
        <w:t xml:space="preserve"> </w:t>
      </w:r>
      <w:r w:rsidR="00FB178B">
        <w:rPr>
          <w:rFonts w:ascii="Verdana" w:hAnsi="Verdana" w:cs="Arial"/>
        </w:rPr>
        <w:t xml:space="preserve">el entendimiento de </w:t>
      </w:r>
      <w:r w:rsidR="0095290A">
        <w:rPr>
          <w:rFonts w:ascii="Verdana" w:hAnsi="Verdana" w:cs="Arial"/>
        </w:rPr>
        <w:t xml:space="preserve">esta Agencia </w:t>
      </w:r>
      <w:r w:rsidR="006F084B">
        <w:rPr>
          <w:rFonts w:ascii="Verdana" w:eastAsia="Calibri" w:hAnsi="Verdana" w:cs="Arial"/>
          <w:color w:val="000000"/>
          <w:lang w:val="es-ES_tradnl"/>
        </w:rPr>
        <w:t>sobre</w:t>
      </w:r>
      <w:r w:rsidR="003B5716">
        <w:rPr>
          <w:rFonts w:ascii="Verdana" w:eastAsia="Calibri" w:hAnsi="Verdana" w:cs="Arial"/>
          <w:color w:val="000000"/>
          <w:lang w:val="es-ES_tradnl"/>
        </w:rPr>
        <w:t xml:space="preserve"> la </w:t>
      </w:r>
      <w:r w:rsidR="003B5716">
        <w:rPr>
          <w:rFonts w:ascii="Verdana" w:eastAsia="Calibri" w:hAnsi="Verdana" w:cs="Arial"/>
          <w:color w:val="000000"/>
        </w:rPr>
        <w:t>a</w:t>
      </w:r>
      <w:r w:rsidR="003B5716" w:rsidRPr="005E58E0">
        <w:rPr>
          <w:rFonts w:ascii="Verdana" w:eastAsia="Calibri" w:hAnsi="Verdana" w:cs="Arial"/>
          <w:color w:val="000000"/>
        </w:rPr>
        <w:t xml:space="preserve">plicación del artículo 53 de la </w:t>
      </w:r>
      <w:bookmarkStart w:id="4" w:name="_Hlk186230347"/>
      <w:r w:rsidR="003B5716" w:rsidRPr="005E58E0">
        <w:rPr>
          <w:rFonts w:ascii="Verdana" w:eastAsia="Calibri" w:hAnsi="Verdana" w:cs="Arial"/>
          <w:color w:val="000000"/>
        </w:rPr>
        <w:t>Ley 2195 de 2022</w:t>
      </w:r>
      <w:bookmarkEnd w:id="4"/>
      <w:r w:rsidR="003B5716" w:rsidRPr="005E58E0">
        <w:rPr>
          <w:rFonts w:ascii="Verdana" w:eastAsia="Calibri" w:hAnsi="Verdana" w:cs="Arial"/>
          <w:color w:val="000000"/>
        </w:rPr>
        <w:t>,</w:t>
      </w:r>
      <w:r w:rsidR="003B5716">
        <w:rPr>
          <w:rFonts w:ascii="Verdana" w:eastAsia="Calibri" w:hAnsi="Verdana" w:cs="Arial"/>
          <w:color w:val="000000"/>
        </w:rPr>
        <w:t xml:space="preserve"> </w:t>
      </w:r>
      <w:r w:rsidR="0095290A">
        <w:rPr>
          <w:rFonts w:ascii="Verdana" w:hAnsi="Verdana" w:cs="Arial"/>
        </w:rPr>
        <w:t>es que</w:t>
      </w:r>
      <w:r w:rsidRPr="003E2CCE">
        <w:rPr>
          <w:rFonts w:ascii="Verdana" w:hAnsi="Verdana" w:cs="Arial"/>
        </w:rPr>
        <w:t xml:space="preserve"> las entidades exceptuadas se encuentran obligadas a publicar </w:t>
      </w:r>
      <w:r w:rsidR="00E76295">
        <w:rPr>
          <w:rFonts w:ascii="Verdana" w:hAnsi="Verdana" w:cs="Arial"/>
        </w:rPr>
        <w:t xml:space="preserve">en el SECOP II </w:t>
      </w:r>
      <w:r w:rsidRPr="003E2CCE">
        <w:rPr>
          <w:rFonts w:ascii="Verdana" w:hAnsi="Verdana" w:cs="Arial"/>
        </w:rPr>
        <w:t>los documentos de su actividad contractual</w:t>
      </w:r>
      <w:r w:rsidR="007D0643">
        <w:rPr>
          <w:rFonts w:ascii="Verdana" w:hAnsi="Verdana" w:cs="Arial"/>
        </w:rPr>
        <w:t xml:space="preserve"> </w:t>
      </w:r>
      <w:r w:rsidR="00060F19">
        <w:rPr>
          <w:rFonts w:ascii="Verdana" w:hAnsi="Verdana" w:cs="Arial"/>
        </w:rPr>
        <w:t>cuya fuente de financiación sea</w:t>
      </w:r>
      <w:r w:rsidR="009F3519">
        <w:rPr>
          <w:rFonts w:ascii="Verdana" w:hAnsi="Verdana" w:cs="Arial"/>
        </w:rPr>
        <w:t xml:space="preserve"> con recursos públicos</w:t>
      </w:r>
      <w:r w:rsidRPr="003E2CCE">
        <w:rPr>
          <w:rFonts w:ascii="Verdana" w:hAnsi="Verdana" w:cs="Arial"/>
        </w:rPr>
        <w:t>,</w:t>
      </w:r>
      <w:r w:rsidR="008E4703">
        <w:rPr>
          <w:rFonts w:ascii="Verdana" w:hAnsi="Verdana" w:cs="Arial"/>
        </w:rPr>
        <w:t xml:space="preserve"> </w:t>
      </w:r>
      <w:r w:rsidRPr="003E2CCE">
        <w:rPr>
          <w:rFonts w:ascii="Verdana" w:hAnsi="Verdana" w:cs="Arial"/>
        </w:rPr>
        <w:t>sin perjuicio de estar sometidas a regímenes de derecho privado.</w:t>
      </w:r>
      <w:r w:rsidR="00CD7051">
        <w:rPr>
          <w:rFonts w:ascii="Verdana" w:hAnsi="Verdana" w:cs="Arial"/>
        </w:rPr>
        <w:t xml:space="preserve"> </w:t>
      </w:r>
    </w:p>
    <w:p w14:paraId="11B8300E" w14:textId="29B00C89" w:rsidR="00C96647" w:rsidRDefault="00815E69" w:rsidP="008F28C5">
      <w:pPr>
        <w:spacing w:after="120" w:line="276" w:lineRule="auto"/>
        <w:ind w:firstLine="709"/>
        <w:jc w:val="both"/>
        <w:rPr>
          <w:rFonts w:ascii="Verdana" w:hAnsi="Verdana" w:cs="Arial"/>
        </w:rPr>
      </w:pPr>
      <w:r>
        <w:rPr>
          <w:rFonts w:ascii="Verdana" w:hAnsi="Verdana" w:cs="Arial"/>
        </w:rPr>
        <w:t>Lo expuesto</w:t>
      </w:r>
      <w:r w:rsidR="0055786C">
        <w:rPr>
          <w:rFonts w:ascii="Verdana" w:hAnsi="Verdana" w:cs="Arial"/>
        </w:rPr>
        <w:t xml:space="preserve"> encuentra</w:t>
      </w:r>
      <w:r w:rsidR="002E6727">
        <w:rPr>
          <w:rFonts w:ascii="Verdana" w:hAnsi="Verdana" w:cs="Arial"/>
        </w:rPr>
        <w:t xml:space="preserve"> sustento</w:t>
      </w:r>
      <w:r w:rsidR="006713F2">
        <w:rPr>
          <w:rFonts w:ascii="Verdana" w:hAnsi="Verdana" w:cs="Arial"/>
        </w:rPr>
        <w:t xml:space="preserve"> en el </w:t>
      </w:r>
      <w:r w:rsidR="00DA62D7">
        <w:rPr>
          <w:rFonts w:ascii="Verdana" w:hAnsi="Verdana" w:cs="Arial"/>
        </w:rPr>
        <w:t>literal c del artículo 3 de la Ley 1150 de 2007 que establece que</w:t>
      </w:r>
      <w:r w:rsidR="00D44CEC" w:rsidRPr="00D44CEC">
        <w:rPr>
          <w:rFonts w:ascii="Verdana" w:hAnsi="Verdana" w:cs="Arial"/>
        </w:rPr>
        <w:t xml:space="preserve"> el Gobierno Nacional desarrollará </w:t>
      </w:r>
      <w:r w:rsidR="001A44DD">
        <w:rPr>
          <w:rFonts w:ascii="Verdana" w:hAnsi="Verdana" w:cs="Arial"/>
        </w:rPr>
        <w:t xml:space="preserve">el </w:t>
      </w:r>
      <w:proofErr w:type="spellStart"/>
      <w:r w:rsidR="00D44CEC" w:rsidRPr="00D44CEC">
        <w:rPr>
          <w:rFonts w:ascii="Verdana" w:hAnsi="Verdana" w:cs="Arial"/>
        </w:rPr>
        <w:t>Secop</w:t>
      </w:r>
      <w:proofErr w:type="spellEnd"/>
      <w:r w:rsidR="00D44CEC" w:rsidRPr="00D44CEC">
        <w:rPr>
          <w:rFonts w:ascii="Verdana" w:hAnsi="Verdana" w:cs="Arial"/>
        </w:rPr>
        <w:t>,</w:t>
      </w:r>
      <w:r w:rsidR="009147B8">
        <w:rPr>
          <w:rFonts w:ascii="Verdana" w:hAnsi="Verdana" w:cs="Arial"/>
        </w:rPr>
        <w:t xml:space="preserve"> que</w:t>
      </w:r>
      <w:r w:rsidR="00D44CEC" w:rsidRPr="00D44CEC">
        <w:rPr>
          <w:rFonts w:ascii="Verdana" w:hAnsi="Verdana" w:cs="Arial"/>
        </w:rPr>
        <w:t xml:space="preserve"> </w:t>
      </w:r>
      <w:r w:rsidR="009147B8">
        <w:rPr>
          <w:rFonts w:ascii="Verdana" w:hAnsi="Verdana" w:cs="Arial"/>
        </w:rPr>
        <w:t>c</w:t>
      </w:r>
      <w:r w:rsidR="00D44CEC" w:rsidRPr="00D44CEC">
        <w:rPr>
          <w:rFonts w:ascii="Verdana" w:hAnsi="Verdana" w:cs="Arial"/>
        </w:rPr>
        <w:t xml:space="preserve">ontará con la información oficial de la contratación </w:t>
      </w:r>
      <w:r w:rsidR="00D44CEC" w:rsidRPr="00D44CEC">
        <w:rPr>
          <w:rFonts w:ascii="Verdana" w:hAnsi="Verdana" w:cs="Arial"/>
          <w:i/>
          <w:iCs/>
        </w:rPr>
        <w:t>realizada con dineros públicos</w:t>
      </w:r>
      <w:r w:rsidR="00C96647" w:rsidRPr="00C96647">
        <w:rPr>
          <w:rFonts w:ascii="Verdana" w:hAnsi="Verdana" w:cs="Arial"/>
        </w:rPr>
        <w:t>.</w:t>
      </w:r>
      <w:r w:rsidR="00626743">
        <w:rPr>
          <w:rFonts w:ascii="Verdana" w:hAnsi="Verdana" w:cs="Arial"/>
        </w:rPr>
        <w:t xml:space="preserve"> Asimismo, </w:t>
      </w:r>
      <w:r>
        <w:rPr>
          <w:rFonts w:ascii="Verdana" w:hAnsi="Verdana" w:cs="Arial"/>
          <w:shd w:val="clear" w:color="auto" w:fill="FFFFFF"/>
        </w:rPr>
        <w:t xml:space="preserve">la Ley 1712 de 2014 –ley estatutaria que regula la transparencia y el derecho de acceso a la información y a los documentos públicos–; </w:t>
      </w:r>
      <w:r w:rsidR="00A52E3C" w:rsidRPr="00A52E3C">
        <w:rPr>
          <w:rFonts w:ascii="Verdana" w:hAnsi="Verdana" w:cs="Arial"/>
          <w:lang w:val="es-ES_tradnl"/>
        </w:rPr>
        <w:t xml:space="preserve">en el literal e) del artículo 9, </w:t>
      </w:r>
      <w:r w:rsidR="00941208">
        <w:rPr>
          <w:rFonts w:ascii="Verdana" w:hAnsi="Verdana" w:cs="Arial"/>
          <w:lang w:val="es-ES_tradnl"/>
        </w:rPr>
        <w:t xml:space="preserve">señala </w:t>
      </w:r>
      <w:r w:rsidR="00A52E3C" w:rsidRPr="00A52E3C">
        <w:rPr>
          <w:rFonts w:ascii="Verdana" w:hAnsi="Verdana" w:cs="Arial"/>
          <w:lang w:val="es-ES_tradnl"/>
        </w:rPr>
        <w:t>que los sujetos obligados, que son todas las entidades públicas</w:t>
      </w:r>
      <w:r w:rsidR="00A52E3C" w:rsidRPr="00A52E3C">
        <w:rPr>
          <w:rFonts w:ascii="Verdana" w:hAnsi="Verdana" w:cs="Arial"/>
          <w:vertAlign w:val="superscript"/>
          <w:lang w:val="es-ES_tradnl"/>
        </w:rPr>
        <w:footnoteReference w:id="4"/>
      </w:r>
      <w:r w:rsidR="00A52E3C" w:rsidRPr="00A52E3C">
        <w:rPr>
          <w:rFonts w:ascii="Verdana" w:hAnsi="Verdana" w:cs="Arial"/>
          <w:lang w:val="es-ES_tradnl"/>
        </w:rPr>
        <w:t>, deben publicar la información relativa a su contratación. Esta obligación fue desarrollada por el Decreto Único Reglamentario 1082 de 2015</w:t>
      </w:r>
      <w:r w:rsidR="00A52E3C" w:rsidRPr="00A52E3C">
        <w:rPr>
          <w:rFonts w:ascii="Verdana" w:hAnsi="Verdana" w:cs="Arial"/>
          <w:vertAlign w:val="superscript"/>
          <w:lang w:val="es-ES_tradnl"/>
        </w:rPr>
        <w:footnoteReference w:id="5"/>
      </w:r>
      <w:r w:rsidR="00A52E3C" w:rsidRPr="00A52E3C">
        <w:rPr>
          <w:rFonts w:ascii="Verdana" w:hAnsi="Verdana" w:cs="Arial"/>
          <w:lang w:val="es-ES_tradnl"/>
        </w:rPr>
        <w:t xml:space="preserve">, el cual dispuso que </w:t>
      </w:r>
      <w:r w:rsidR="00BB6675">
        <w:rPr>
          <w:rFonts w:ascii="Verdana" w:hAnsi="Verdana" w:cs="Arial"/>
          <w:lang w:val="es-ES_tradnl"/>
        </w:rPr>
        <w:t>“</w:t>
      </w:r>
      <w:r w:rsidR="00941208" w:rsidRPr="00941208">
        <w:rPr>
          <w:rFonts w:ascii="Verdana" w:hAnsi="Verdana" w:cs="Arial"/>
          <w:lang w:val="es-ES"/>
        </w:rPr>
        <w:t xml:space="preserve">Los sujetos obligados que </w:t>
      </w:r>
      <w:r w:rsidR="00941208" w:rsidRPr="00941208">
        <w:rPr>
          <w:rFonts w:ascii="Verdana" w:hAnsi="Verdana" w:cs="Arial"/>
          <w:lang w:val="es-ES"/>
        </w:rPr>
        <w:lastRenderedPageBreak/>
        <w:t xml:space="preserve">contratan con recursos públicos y recursos privados, deben publicar la información de su gestión contractual con </w:t>
      </w:r>
      <w:r w:rsidR="00941208" w:rsidRPr="001159AD">
        <w:rPr>
          <w:rFonts w:ascii="Verdana" w:hAnsi="Verdana" w:cs="Arial"/>
          <w:i/>
          <w:iCs/>
          <w:lang w:val="es-ES"/>
        </w:rPr>
        <w:t>cargo a recursos públicos</w:t>
      </w:r>
      <w:r w:rsidR="00941208" w:rsidRPr="00941208">
        <w:rPr>
          <w:rFonts w:ascii="Verdana" w:hAnsi="Verdana" w:cs="Arial"/>
          <w:lang w:val="es-ES"/>
        </w:rPr>
        <w:t xml:space="preserve"> en el Sistema Electrónico para la Contratación Pública</w:t>
      </w:r>
      <w:r w:rsidR="00BB6675">
        <w:rPr>
          <w:rFonts w:ascii="Verdana" w:hAnsi="Verdana" w:cs="Arial"/>
          <w:lang w:val="es-ES"/>
        </w:rPr>
        <w:t>”.</w:t>
      </w:r>
    </w:p>
    <w:p w14:paraId="75544E23" w14:textId="5587A374" w:rsidR="00074510" w:rsidRPr="00305087" w:rsidRDefault="00D56071" w:rsidP="008F28C5">
      <w:pPr>
        <w:spacing w:after="120" w:line="276" w:lineRule="auto"/>
        <w:ind w:firstLine="709"/>
        <w:jc w:val="both"/>
        <w:rPr>
          <w:rFonts w:ascii="Verdana" w:hAnsi="Verdana" w:cs="Arial"/>
        </w:rPr>
      </w:pPr>
      <w:r>
        <w:rPr>
          <w:rFonts w:ascii="Verdana" w:hAnsi="Verdana" w:cs="Arial"/>
        </w:rPr>
        <w:t xml:space="preserve">En este sentido, </w:t>
      </w:r>
      <w:r w:rsidR="00E550AA">
        <w:rPr>
          <w:rFonts w:ascii="Verdana" w:hAnsi="Verdana" w:cs="Arial"/>
        </w:rPr>
        <w:t>comoquiera que las normas señalas se refieren a la publicidad de información contractual realizada con cargo a recursos público</w:t>
      </w:r>
      <w:r w:rsidR="00F31199">
        <w:rPr>
          <w:rFonts w:ascii="Verdana" w:hAnsi="Verdana" w:cs="Arial"/>
        </w:rPr>
        <w:t xml:space="preserve">s, se colige que </w:t>
      </w:r>
      <w:r w:rsidR="00C76814">
        <w:rPr>
          <w:rFonts w:ascii="Verdana" w:hAnsi="Verdana" w:cs="Arial"/>
        </w:rPr>
        <w:t>las entidades exceptuadas</w:t>
      </w:r>
      <w:r w:rsidR="000C6B4C">
        <w:rPr>
          <w:rFonts w:ascii="Verdana" w:hAnsi="Verdana" w:cs="Arial"/>
        </w:rPr>
        <w:t xml:space="preserve"> del EGCAP</w:t>
      </w:r>
      <w:r w:rsidR="006A6107">
        <w:rPr>
          <w:rFonts w:ascii="Verdana" w:hAnsi="Verdana" w:cs="Arial"/>
        </w:rPr>
        <w:t xml:space="preserve"> tienen</w:t>
      </w:r>
      <w:r w:rsidR="00C76814">
        <w:rPr>
          <w:rFonts w:ascii="Verdana" w:hAnsi="Verdana" w:cs="Arial"/>
        </w:rPr>
        <w:t xml:space="preserve"> obligación de publicar </w:t>
      </w:r>
      <w:r w:rsidR="006A6107">
        <w:rPr>
          <w:rFonts w:ascii="Verdana" w:hAnsi="Verdana" w:cs="Arial"/>
        </w:rPr>
        <w:t xml:space="preserve">en el SECOP II </w:t>
      </w:r>
      <w:r w:rsidR="00C76814">
        <w:rPr>
          <w:rFonts w:ascii="Verdana" w:hAnsi="Verdana" w:cs="Arial"/>
        </w:rPr>
        <w:t>la actividad contractual</w:t>
      </w:r>
      <w:r w:rsidR="00A233B6">
        <w:rPr>
          <w:rFonts w:ascii="Verdana" w:hAnsi="Verdana" w:cs="Arial"/>
        </w:rPr>
        <w:t xml:space="preserve"> </w:t>
      </w:r>
      <w:r w:rsidR="00A233B6" w:rsidRPr="007911FF">
        <w:rPr>
          <w:rFonts w:ascii="Verdana" w:eastAsia="Calibri" w:hAnsi="Verdana" w:cs="Arial"/>
          <w:color w:val="000000"/>
          <w:sz w:val="21"/>
          <w:szCs w:val="21"/>
        </w:rPr>
        <w:t>realizada con recursos públicos</w:t>
      </w:r>
      <w:r w:rsidR="00A233B6">
        <w:rPr>
          <w:rFonts w:ascii="Verdana" w:hAnsi="Verdana" w:cs="Arial"/>
        </w:rPr>
        <w:t xml:space="preserve">. </w:t>
      </w:r>
      <w:r w:rsidR="00F31199">
        <w:rPr>
          <w:rFonts w:ascii="Verdana" w:hAnsi="Verdana" w:cs="Arial"/>
        </w:rPr>
        <w:t>Por</w:t>
      </w:r>
      <w:r w:rsidR="00A233B6">
        <w:rPr>
          <w:rFonts w:ascii="Verdana" w:hAnsi="Verdana" w:cs="Arial"/>
        </w:rPr>
        <w:t xml:space="preserve"> tanto</w:t>
      </w:r>
      <w:r w:rsidR="00F31199">
        <w:rPr>
          <w:rFonts w:ascii="Verdana" w:hAnsi="Verdana" w:cs="Arial"/>
        </w:rPr>
        <w:t xml:space="preserve">, </w:t>
      </w:r>
      <w:r>
        <w:rPr>
          <w:rFonts w:ascii="Verdana" w:hAnsi="Verdana" w:cs="Arial"/>
        </w:rPr>
        <w:t xml:space="preserve">en </w:t>
      </w:r>
      <w:r w:rsidR="00F31199">
        <w:rPr>
          <w:rFonts w:ascii="Verdana" w:hAnsi="Verdana" w:cs="Arial"/>
        </w:rPr>
        <w:t xml:space="preserve">la </w:t>
      </w:r>
      <w:r w:rsidR="00C96647">
        <w:rPr>
          <w:rFonts w:ascii="Verdana" w:hAnsi="Verdana" w:cs="Arial"/>
        </w:rPr>
        <w:t>C</w:t>
      </w:r>
      <w:r>
        <w:rPr>
          <w:rFonts w:ascii="Verdana" w:hAnsi="Verdana" w:cs="Arial"/>
        </w:rPr>
        <w:t xml:space="preserve">ircular </w:t>
      </w:r>
      <w:r w:rsidR="00F31199">
        <w:rPr>
          <w:rFonts w:ascii="Verdana" w:hAnsi="Verdana" w:cs="Arial"/>
        </w:rPr>
        <w:t xml:space="preserve">002 de 2024 </w:t>
      </w:r>
      <w:r>
        <w:rPr>
          <w:rFonts w:ascii="Verdana" w:hAnsi="Verdana" w:cs="Arial"/>
        </w:rPr>
        <w:t xml:space="preserve">esta Agencia exhortó </w:t>
      </w:r>
      <w:r w:rsidRPr="00D56071">
        <w:rPr>
          <w:rFonts w:ascii="Verdana" w:hAnsi="Verdana" w:cs="Arial"/>
        </w:rPr>
        <w:t>a todas las entidades con regímenes exceptuados, es decir, aquellas que no se encuentran obligadas a la aplicación del Estatuto General de Contratación de la Administración Pública</w:t>
      </w:r>
      <w:r w:rsidR="004A0AD9">
        <w:rPr>
          <w:rFonts w:ascii="Verdana" w:hAnsi="Verdana" w:cs="Arial"/>
        </w:rPr>
        <w:t xml:space="preserve">, que tengas a su </w:t>
      </w:r>
      <w:r w:rsidR="004A0AD9" w:rsidRPr="004A0AD9">
        <w:rPr>
          <w:rFonts w:ascii="Verdana" w:hAnsi="Verdana" w:cs="Arial"/>
        </w:rPr>
        <w:t>cargo el manejo de recursos públicos, a publicar toda su actividad contractual en el SECOP II, en aras de cumplir con los principios de la contratación estatal, principalmente el de transparencia</w:t>
      </w:r>
      <w:r w:rsidR="004A0AD9">
        <w:rPr>
          <w:rFonts w:ascii="Verdana" w:hAnsi="Verdana" w:cs="Arial"/>
        </w:rPr>
        <w:t xml:space="preserve">. </w:t>
      </w:r>
    </w:p>
    <w:p w14:paraId="450B1F84" w14:textId="11BACD51" w:rsidR="00CD2E70" w:rsidRPr="003E2CCE"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Referencia</w:t>
      </w:r>
      <w:r w:rsidR="00CE37A3"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 xml:space="preserve"> normativa</w:t>
      </w:r>
      <w:r w:rsidR="00CE37A3" w:rsidRPr="003E2CCE">
        <w:rPr>
          <w:rFonts w:ascii="Verdana" w:eastAsia="Century Gothic" w:hAnsi="Verdana" w:cs="Century Gothic"/>
          <w:b/>
          <w:bCs/>
          <w:sz w:val="22"/>
          <w:lang w:val="es-ES"/>
        </w:rPr>
        <w:t>s</w:t>
      </w:r>
      <w:r w:rsidRPr="003E2CCE">
        <w:rPr>
          <w:rFonts w:ascii="Verdana" w:eastAsia="Century Gothic" w:hAnsi="Verdana" w:cs="Century Gothic"/>
          <w:b/>
          <w:bCs/>
          <w:sz w:val="22"/>
          <w:lang w:val="es-ES"/>
        </w:rPr>
        <w:t>:</w:t>
      </w:r>
    </w:p>
    <w:p w14:paraId="61D4F996" w14:textId="1A993A87" w:rsidR="00CD2E70" w:rsidRPr="003E2CCE"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3E2CCE" w14:paraId="28F1D869" w14:textId="77777777" w:rsidTr="006E429F">
        <w:trPr>
          <w:trHeight w:val="870"/>
          <w:jc w:val="center"/>
        </w:trPr>
        <w:tc>
          <w:tcPr>
            <w:tcW w:w="8647" w:type="dxa"/>
          </w:tcPr>
          <w:p w14:paraId="2A6F6889" w14:textId="77777777" w:rsidR="00CB4923" w:rsidRPr="00CB4923" w:rsidRDefault="00CB4923" w:rsidP="00CB4923">
            <w:pPr>
              <w:pStyle w:val="Prrafodelista"/>
              <w:widowControl w:val="0"/>
              <w:numPr>
                <w:ilvl w:val="0"/>
                <w:numId w:val="7"/>
              </w:numPr>
              <w:autoSpaceDE w:val="0"/>
              <w:autoSpaceDN w:val="0"/>
              <w:spacing w:line="276" w:lineRule="auto"/>
              <w:jc w:val="both"/>
              <w:rPr>
                <w:rFonts w:ascii="Verdana" w:hAnsi="Verdana" w:cs="Arial"/>
                <w:sz w:val="22"/>
              </w:rPr>
            </w:pPr>
            <w:r w:rsidRPr="00CB4923">
              <w:rPr>
                <w:rFonts w:ascii="Verdana" w:hAnsi="Verdana" w:cs="Arial"/>
                <w:sz w:val="22"/>
              </w:rPr>
              <w:t>Ley 1150 de 2007. Literal c), artículo 3</w:t>
            </w:r>
          </w:p>
          <w:p w14:paraId="0F0A2C89" w14:textId="77777777" w:rsidR="00CB4923" w:rsidRPr="00CB4923" w:rsidRDefault="00CB4923" w:rsidP="00CB4923">
            <w:pPr>
              <w:pStyle w:val="Prrafodelista"/>
              <w:widowControl w:val="0"/>
              <w:numPr>
                <w:ilvl w:val="0"/>
                <w:numId w:val="7"/>
              </w:numPr>
              <w:autoSpaceDE w:val="0"/>
              <w:autoSpaceDN w:val="0"/>
              <w:spacing w:line="276" w:lineRule="auto"/>
              <w:jc w:val="both"/>
              <w:rPr>
                <w:rFonts w:ascii="Verdana" w:hAnsi="Verdana" w:cs="Arial"/>
                <w:sz w:val="22"/>
              </w:rPr>
            </w:pPr>
            <w:r w:rsidRPr="00CB4923">
              <w:rPr>
                <w:rFonts w:ascii="Verdana" w:hAnsi="Verdana" w:cs="Arial"/>
                <w:sz w:val="22"/>
              </w:rPr>
              <w:t>Ley 1712 de 2014. Literal e), artículo 9</w:t>
            </w:r>
          </w:p>
          <w:p w14:paraId="2E16238E" w14:textId="77777777" w:rsidR="00CB4923" w:rsidRPr="00CB4923" w:rsidRDefault="00CB4923" w:rsidP="00CB4923">
            <w:pPr>
              <w:pStyle w:val="Prrafodelista"/>
              <w:widowControl w:val="0"/>
              <w:numPr>
                <w:ilvl w:val="0"/>
                <w:numId w:val="7"/>
              </w:numPr>
              <w:autoSpaceDE w:val="0"/>
              <w:autoSpaceDN w:val="0"/>
              <w:spacing w:line="276" w:lineRule="auto"/>
              <w:jc w:val="both"/>
              <w:rPr>
                <w:rFonts w:ascii="Verdana" w:hAnsi="Verdana" w:cs="Arial"/>
                <w:sz w:val="22"/>
              </w:rPr>
            </w:pPr>
            <w:r w:rsidRPr="00CB4923">
              <w:rPr>
                <w:rFonts w:ascii="Verdana" w:hAnsi="Verdana" w:cs="Arial"/>
                <w:sz w:val="22"/>
              </w:rPr>
              <w:t>Ley 2195 de 2022. Artículo 53</w:t>
            </w:r>
          </w:p>
          <w:p w14:paraId="225EDA73" w14:textId="77777777" w:rsidR="00CB4923" w:rsidRPr="00CB4923" w:rsidRDefault="00CB4923" w:rsidP="00CB4923">
            <w:pPr>
              <w:pStyle w:val="Prrafodelista"/>
              <w:widowControl w:val="0"/>
              <w:numPr>
                <w:ilvl w:val="0"/>
                <w:numId w:val="7"/>
              </w:numPr>
              <w:autoSpaceDE w:val="0"/>
              <w:autoSpaceDN w:val="0"/>
              <w:spacing w:line="276" w:lineRule="auto"/>
              <w:jc w:val="both"/>
              <w:rPr>
                <w:rFonts w:ascii="Verdana" w:hAnsi="Verdana" w:cs="Arial"/>
                <w:sz w:val="22"/>
              </w:rPr>
            </w:pPr>
            <w:r w:rsidRPr="00CB4923">
              <w:rPr>
                <w:rFonts w:ascii="Verdana" w:hAnsi="Verdana" w:cs="Arial"/>
                <w:sz w:val="22"/>
              </w:rPr>
              <w:t>Decreto 1081 de 2015. Artículo 2.1.1.2.1.7</w:t>
            </w:r>
          </w:p>
          <w:p w14:paraId="3E9D05BC" w14:textId="78C5EB23" w:rsidR="004A0B15" w:rsidRPr="00CB4923" w:rsidRDefault="00CB4923" w:rsidP="00CB4923">
            <w:pPr>
              <w:pStyle w:val="Prrafodelista"/>
              <w:widowControl w:val="0"/>
              <w:numPr>
                <w:ilvl w:val="0"/>
                <w:numId w:val="7"/>
              </w:numPr>
              <w:autoSpaceDE w:val="0"/>
              <w:autoSpaceDN w:val="0"/>
              <w:spacing w:line="276" w:lineRule="auto"/>
              <w:jc w:val="both"/>
              <w:rPr>
                <w:rFonts w:ascii="Verdana" w:hAnsi="Verdana" w:cs="Arial"/>
                <w:sz w:val="22"/>
              </w:rPr>
            </w:pPr>
            <w:r w:rsidRPr="00CB4923">
              <w:rPr>
                <w:rFonts w:ascii="Verdana" w:hAnsi="Verdana" w:cs="Arial"/>
                <w:sz w:val="22"/>
              </w:rPr>
              <w:t>Circular Externa No. 002 del 23 de agosto de 2024</w:t>
            </w:r>
          </w:p>
        </w:tc>
      </w:tr>
    </w:tbl>
    <w:p w14:paraId="30F3A1CE" w14:textId="77777777" w:rsidR="00CD2E70" w:rsidRPr="003E2CCE"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3E2CCE"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3E2CCE">
        <w:rPr>
          <w:rFonts w:ascii="Verdana" w:eastAsia="Century Gothic" w:hAnsi="Verdana" w:cs="Century Gothic"/>
          <w:b/>
          <w:bCs/>
          <w:sz w:val="22"/>
          <w:lang w:val="es-ES"/>
        </w:rPr>
        <w:t>Doctrina de la Agencia Nacional de Contratación Pública</w:t>
      </w:r>
      <w:r w:rsidR="00057963" w:rsidRPr="003E2CCE">
        <w:rPr>
          <w:rFonts w:ascii="Verdana" w:eastAsia="Century Gothic" w:hAnsi="Verdana" w:cs="Century Gothic"/>
          <w:b/>
          <w:bCs/>
          <w:sz w:val="22"/>
          <w:lang w:val="es-ES"/>
        </w:rPr>
        <w:t>:</w:t>
      </w:r>
    </w:p>
    <w:p w14:paraId="2E26A5BD" w14:textId="31F0C1BB" w:rsidR="00E84D1C" w:rsidRPr="003E2CCE" w:rsidRDefault="00E84D1C" w:rsidP="00E84D1C">
      <w:pPr>
        <w:widowControl w:val="0"/>
        <w:autoSpaceDE w:val="0"/>
        <w:autoSpaceDN w:val="0"/>
        <w:spacing w:after="0" w:line="276" w:lineRule="auto"/>
        <w:jc w:val="both"/>
        <w:rPr>
          <w:rFonts w:ascii="Verdana" w:hAnsi="Verdana" w:cs="Arial"/>
        </w:rPr>
      </w:pPr>
    </w:p>
    <w:p w14:paraId="3FA1F51C" w14:textId="7D2333D2" w:rsidR="00BD658C" w:rsidRDefault="007C6DAA" w:rsidP="00785491">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eastAsia="Aptos" w:hAnsi="Verdana" w:cs="Arial"/>
          <w:shd w:val="clear" w:color="auto" w:fill="FFFFFF"/>
          <w:lang w:val="es-ES"/>
        </w:rPr>
        <w:t xml:space="preserve">Sobre el Sistema Electrónico para la Contratación Pública – SECOP, esta Subdirección se ha referido en los Conceptos </w:t>
      </w:r>
      <w:r>
        <w:rPr>
          <w:rFonts w:ascii="Verdana" w:eastAsia="Calibri" w:hAnsi="Verdana" w:cs="Arial"/>
          <w:lang w:val="es-ES_tradnl" w:eastAsia="es-MX"/>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w:t>
      </w:r>
      <w:r>
        <w:rPr>
          <w:rFonts w:ascii="Verdana" w:eastAsia="Calibri" w:hAnsi="Verdana" w:cs="Arial"/>
          <w:lang w:val="es-ES_tradnl" w:eastAsia="es-MX"/>
        </w:rPr>
        <w:lastRenderedPageBreak/>
        <w:t>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y C-071 del 28 de marzo de 2023</w:t>
      </w:r>
      <w:r>
        <w:rPr>
          <w:rFonts w:ascii="Verdana" w:eastAsia="Aptos" w:hAnsi="Verdana" w:cs="Arial"/>
          <w:shd w:val="clear" w:color="auto" w:fill="FFFFFF"/>
          <w:lang w:val="es-ES"/>
        </w:rPr>
        <w:t xml:space="preserve">, entre otros. </w:t>
      </w:r>
      <w:r w:rsidR="00A82DA0" w:rsidRPr="003E2CCE">
        <w:rPr>
          <w:rStyle w:val="normaltextrun"/>
          <w:rFonts w:ascii="Verdana" w:hAnsi="Verdana" w:cs="Arial"/>
          <w:shd w:val="clear" w:color="auto" w:fill="FFFFFF"/>
          <w:lang w:val="es-ES"/>
        </w:rPr>
        <w:t>Es</w:t>
      </w:r>
      <w:r w:rsidR="00A82DA0" w:rsidRPr="003E2CCE">
        <w:rPr>
          <w:rFonts w:ascii="Verdana" w:hAnsi="Verdana"/>
        </w:rPr>
        <w:t>t</w:t>
      </w:r>
      <w:r>
        <w:rPr>
          <w:rFonts w:ascii="Verdana" w:hAnsi="Verdana"/>
        </w:rPr>
        <w:t>os</w:t>
      </w:r>
      <w:r w:rsidR="00A82DA0" w:rsidRPr="003E2CCE">
        <w:rPr>
          <w:rFonts w:ascii="Verdana" w:hAnsi="Verdana"/>
        </w:rPr>
        <w:t xml:space="preserve"> y otros conceptos se encuentran disponibles para consulta en el Sistema de relatoría de la Agencia, al cual se puede acceder a través del siguiente enlace</w:t>
      </w:r>
      <w:r w:rsidR="00D8321A" w:rsidRPr="003E2CCE">
        <w:rPr>
          <w:rFonts w:ascii="Verdana" w:hAnsi="Verdana"/>
        </w:rPr>
        <w:t>:</w:t>
      </w:r>
      <w:r w:rsidR="00DC525E" w:rsidRPr="003E2CCE">
        <w:rPr>
          <w:rStyle w:val="normaltextrun"/>
          <w:rFonts w:ascii="Verdana" w:hAnsi="Verdana" w:cs="Arial"/>
          <w:shd w:val="clear" w:color="auto" w:fill="FFFFFF"/>
          <w:lang w:val="es-ES"/>
        </w:rPr>
        <w:t xml:space="preserve"> </w:t>
      </w:r>
      <w:hyperlink r:id="rId12" w:history="1">
        <w:r w:rsidR="00D8321A" w:rsidRPr="003E2CCE">
          <w:rPr>
            <w:rStyle w:val="Hipervnculo"/>
            <w:rFonts w:ascii="Verdana" w:hAnsi="Verdana" w:cs="Arial"/>
            <w:shd w:val="clear" w:color="auto" w:fill="FFFFFF"/>
            <w:lang w:val="es-ES"/>
          </w:rPr>
          <w:t>https://relatoria.colombiacompra.gov.co/busqueda/conceptos</w:t>
        </w:r>
      </w:hyperlink>
      <w:r w:rsidR="008D1079" w:rsidRPr="003E2CCE">
        <w:rPr>
          <w:rStyle w:val="normaltextrun"/>
          <w:rFonts w:ascii="Verdana" w:hAnsi="Verdana" w:cs="Arial"/>
          <w:shd w:val="clear" w:color="auto" w:fill="FFFFFF"/>
          <w:lang w:val="es-ES"/>
        </w:rPr>
        <w:t>.</w:t>
      </w:r>
      <w:r w:rsidR="008D1079" w:rsidRPr="003E2CCE">
        <w:rPr>
          <w:rStyle w:val="normaltextrun"/>
          <w:rFonts w:ascii="Verdana" w:hAnsi="Verdana" w:cs="Arial"/>
          <w:color w:val="FF0000"/>
          <w:shd w:val="clear" w:color="auto" w:fill="FFFFFF"/>
          <w:lang w:val="es-ES"/>
        </w:rPr>
        <w:t xml:space="preserve"> </w:t>
      </w:r>
      <w:r w:rsidR="00BD658C" w:rsidRPr="003E2CCE">
        <w:rPr>
          <w:rFonts w:ascii="Verdana" w:hAnsi="Verdana" w:cs="Arial"/>
          <w:color w:val="000000" w:themeColor="text1"/>
          <w:shd w:val="clear" w:color="auto" w:fill="FFFFFF"/>
        </w:rPr>
        <w:t>  </w:t>
      </w:r>
    </w:p>
    <w:p w14:paraId="13277EB1" w14:textId="77777777" w:rsidR="00E37E18" w:rsidRPr="003E2CCE" w:rsidRDefault="00E37E18" w:rsidP="00785491">
      <w:pPr>
        <w:widowControl w:val="0"/>
        <w:autoSpaceDE w:val="0"/>
        <w:autoSpaceDN w:val="0"/>
        <w:spacing w:after="0" w:line="276" w:lineRule="auto"/>
        <w:jc w:val="both"/>
        <w:rPr>
          <w:rFonts w:ascii="Verdana" w:hAnsi="Verdana" w:cs="Arial"/>
          <w:color w:val="000000" w:themeColor="text1"/>
          <w:shd w:val="clear" w:color="auto" w:fill="FFFFFF"/>
        </w:rPr>
      </w:pPr>
    </w:p>
    <w:p w14:paraId="0F4BE0E8" w14:textId="77777777" w:rsidR="00E37E18"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5989707" w14:textId="77777777" w:rsidR="00E37E18" w:rsidRPr="00E37E18"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p>
    <w:p w14:paraId="6CFFEC96" w14:textId="77777777" w:rsidR="00E37E18" w:rsidRPr="00E37E18"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E37E18">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31241B32" w14:textId="77777777" w:rsidR="00E37E18"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E37E18">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E37E18">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7F27841E" w14:textId="77777777" w:rsidR="00E37E18" w:rsidRPr="00E37E18" w:rsidRDefault="00E37E18" w:rsidP="00E37E18">
      <w:pPr>
        <w:widowControl w:val="0"/>
        <w:autoSpaceDE w:val="0"/>
        <w:autoSpaceDN w:val="0"/>
        <w:spacing w:after="0" w:line="276" w:lineRule="auto"/>
        <w:ind w:left="720"/>
        <w:jc w:val="both"/>
        <w:rPr>
          <w:rFonts w:ascii="Verdana" w:hAnsi="Verdana" w:cs="Arial"/>
          <w:color w:val="000000" w:themeColor="text1"/>
          <w:shd w:val="clear" w:color="auto" w:fill="FFFFFF"/>
        </w:rPr>
      </w:pPr>
    </w:p>
    <w:p w14:paraId="07589F35" w14:textId="41DE8BFA" w:rsidR="007853B2" w:rsidRPr="003E2CCE" w:rsidRDefault="00E37E18" w:rsidP="007853B2">
      <w:pPr>
        <w:widowControl w:val="0"/>
        <w:autoSpaceDE w:val="0"/>
        <w:autoSpaceDN w:val="0"/>
        <w:spacing w:after="0" w:line="276" w:lineRule="auto"/>
        <w:jc w:val="both"/>
        <w:rPr>
          <w:rFonts w:ascii="Verdana" w:hAnsi="Verdana" w:cs="Arial"/>
          <w:color w:val="000000" w:themeColor="text1"/>
          <w:shd w:val="clear" w:color="auto" w:fill="FFFFFF"/>
        </w:rPr>
      </w:pPr>
      <w:r w:rsidRPr="00E37E18">
        <w:rPr>
          <w:rFonts w:ascii="Verdana" w:hAnsi="Verdana" w:cs="Arial"/>
          <w:color w:val="000000" w:themeColor="text1"/>
          <w:shd w:val="clear" w:color="auto" w:fill="FFFFFF"/>
        </w:rPr>
        <w:t>También, te contamos que ya publicamos </w:t>
      </w:r>
      <w:r w:rsidRPr="00E37E18">
        <w:rPr>
          <w:rFonts w:ascii="Verdana" w:hAnsi="Verdana" w:cs="Arial"/>
          <w:b/>
          <w:bCs/>
          <w:color w:val="000000" w:themeColor="text1"/>
          <w:shd w:val="clear" w:color="auto" w:fill="FFFFFF"/>
        </w:rPr>
        <w:t>la nueva Guía de Contratación Pública Sostenible y Socialmente Responsable</w:t>
      </w:r>
      <w:r w:rsidRPr="00E37E18">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E37E18">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0034497" w14:textId="77777777" w:rsidR="007853B2" w:rsidRPr="003E2CCE"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p>
    <w:p w14:paraId="61A80AFE" w14:textId="51B759DF" w:rsidR="00A91FB7" w:rsidRPr="003E2CCE" w:rsidRDefault="00A91FB7" w:rsidP="00A91FB7">
      <w:pPr>
        <w:widowControl w:val="0"/>
        <w:autoSpaceDE w:val="0"/>
        <w:autoSpaceDN w:val="0"/>
        <w:spacing w:after="0" w:line="276" w:lineRule="auto"/>
        <w:jc w:val="both"/>
        <w:rPr>
          <w:rFonts w:ascii="Verdana" w:hAnsi="Verdana" w:cs="Arial"/>
          <w:lang w:val="es-ES_tradnl"/>
        </w:rPr>
      </w:pPr>
      <w:r w:rsidRPr="003E2CCE">
        <w:rPr>
          <w:rFonts w:ascii="Verdana" w:hAnsi="Verdana" w:cs="Arial"/>
        </w:rPr>
        <w:lastRenderedPageBreak/>
        <w:t>Este concepto tiene el alcance previsto en el artículo 28 del Código de Procedimiento Administrativo y de lo Contencioso Administrativo</w:t>
      </w:r>
      <w:r w:rsidR="00172F3A" w:rsidRPr="003E2CCE">
        <w:rPr>
          <w:rFonts w:ascii="Verdana" w:hAnsi="Verdana" w:cs="Arial"/>
        </w:rPr>
        <w:t xml:space="preserve"> </w:t>
      </w:r>
      <w:r w:rsidR="00172F3A" w:rsidRPr="003E2CCE">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3E2CCE"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3E2CCE" w:rsidRDefault="00A91FB7" w:rsidP="00CD2E70">
      <w:pPr>
        <w:spacing w:after="0" w:line="240" w:lineRule="auto"/>
        <w:rPr>
          <w:rFonts w:ascii="Verdana" w:hAnsi="Verdana" w:cs="Arial"/>
          <w:lang w:eastAsia="es-CO"/>
        </w:rPr>
      </w:pPr>
      <w:r w:rsidRPr="003E2CCE">
        <w:rPr>
          <w:rFonts w:ascii="Verdana" w:eastAsia="Times New Roman" w:hAnsi="Verdana" w:cs="Arial"/>
          <w:lang w:eastAsia="es-CO"/>
        </w:rPr>
        <w:t>Atentamente,</w:t>
      </w:r>
      <w:r w:rsidR="00CD2E70" w:rsidRPr="003E2CCE">
        <w:rPr>
          <w:rFonts w:ascii="Verdana" w:hAnsi="Verdana" w:cs="Arial"/>
          <w:lang w:eastAsia="es-CO"/>
        </w:rPr>
        <w:t xml:space="preserve"> </w:t>
      </w:r>
    </w:p>
    <w:p w14:paraId="5ED111D5" w14:textId="3E09F286" w:rsidR="00CD2E70" w:rsidRPr="003E2CCE" w:rsidRDefault="003964D3" w:rsidP="00CD2E70">
      <w:pPr>
        <w:spacing w:line="276" w:lineRule="auto"/>
        <w:jc w:val="center"/>
        <w:rPr>
          <w:rFonts w:ascii="Verdana" w:hAnsi="Verdana" w:cs="Arial"/>
          <w:color w:val="000000"/>
          <w:lang w:val="es-ES_tradnl" w:eastAsia="es-CO"/>
        </w:rPr>
      </w:pPr>
      <w:r>
        <w:rPr>
          <w:noProof/>
        </w:rPr>
        <w:drawing>
          <wp:inline distT="0" distB="0" distL="0" distR="0" wp14:anchorId="1EA9DDB1" wp14:editId="75AA8F10">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3E2CCE" w14:paraId="2DBC770D" w14:textId="77777777" w:rsidTr="003751C7">
        <w:trPr>
          <w:trHeight w:val="315"/>
        </w:trPr>
        <w:tc>
          <w:tcPr>
            <w:tcW w:w="893" w:type="dxa"/>
            <w:vAlign w:val="center"/>
            <w:hideMark/>
          </w:tcPr>
          <w:p w14:paraId="15A5F5BE" w14:textId="77777777" w:rsidR="00CD2E70" w:rsidRPr="003E2CCE" w:rsidRDefault="00CD2E70" w:rsidP="0044122F">
            <w:pPr>
              <w:contextualSpacing/>
              <w:rPr>
                <w:rFonts w:ascii="Verdana" w:hAnsi="Verdana" w:cs="Arial"/>
                <w:sz w:val="16"/>
                <w:szCs w:val="16"/>
                <w:lang w:val="es-ES" w:eastAsia="es-ES"/>
              </w:rPr>
            </w:pPr>
            <w:r w:rsidRPr="003E2CC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3E2CCE" w:rsidRDefault="00490FD5" w:rsidP="00254A7A">
            <w:pPr>
              <w:contextualSpacing/>
              <w:rPr>
                <w:rStyle w:val="normaltextrun"/>
                <w:rFonts w:ascii="Verdana" w:hAnsi="Verdana"/>
                <w:sz w:val="16"/>
                <w:szCs w:val="16"/>
              </w:rPr>
            </w:pPr>
            <w:r w:rsidRPr="003E2CCE">
              <w:rPr>
                <w:rStyle w:val="normaltextrun"/>
                <w:rFonts w:ascii="Verdana" w:hAnsi="Verdana"/>
                <w:sz w:val="16"/>
                <w:szCs w:val="16"/>
              </w:rPr>
              <w:t>Tatiana Baquero Iguarán</w:t>
            </w:r>
          </w:p>
          <w:p w14:paraId="6AB49B73" w14:textId="0FA4CDFF" w:rsidR="00CD2E70" w:rsidRPr="003E2CCE" w:rsidRDefault="00254A7A" w:rsidP="00254A7A">
            <w:pPr>
              <w:contextualSpacing/>
              <w:rPr>
                <w:rFonts w:ascii="Verdana" w:eastAsia="Arial" w:hAnsi="Verdana" w:cs="Arial"/>
                <w:sz w:val="16"/>
                <w:szCs w:val="16"/>
              </w:rPr>
            </w:pPr>
            <w:r w:rsidRPr="003E2CCE">
              <w:rPr>
                <w:rStyle w:val="normaltextrun"/>
                <w:rFonts w:ascii="Verdana" w:hAnsi="Verdana"/>
                <w:sz w:val="16"/>
                <w:szCs w:val="16"/>
              </w:rPr>
              <w:t>Contratista de la Subdirección de Gestión Contractual</w:t>
            </w:r>
          </w:p>
        </w:tc>
      </w:tr>
      <w:tr w:rsidR="00CD2E70" w:rsidRPr="003E2CCE" w14:paraId="54ECFA9D" w14:textId="77777777" w:rsidTr="003751C7">
        <w:trPr>
          <w:trHeight w:val="330"/>
        </w:trPr>
        <w:tc>
          <w:tcPr>
            <w:tcW w:w="893" w:type="dxa"/>
            <w:vAlign w:val="center"/>
            <w:hideMark/>
          </w:tcPr>
          <w:p w14:paraId="322FF342" w14:textId="77777777" w:rsidR="00CD2E70" w:rsidRPr="003E2CCE" w:rsidRDefault="00CD2E70" w:rsidP="0044122F">
            <w:pPr>
              <w:contextualSpacing/>
              <w:rPr>
                <w:rFonts w:ascii="Verdana" w:hAnsi="Verdana" w:cs="Arial"/>
                <w:sz w:val="16"/>
                <w:szCs w:val="16"/>
                <w:lang w:val="es-ES" w:eastAsia="es-ES"/>
              </w:rPr>
            </w:pPr>
            <w:r w:rsidRPr="003E2CC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3E2CCE" w:rsidRDefault="00254A7A" w:rsidP="00254A7A">
            <w:pPr>
              <w:pStyle w:val="paragraph"/>
              <w:spacing w:after="0"/>
              <w:contextualSpacing/>
              <w:textAlignment w:val="baseline"/>
              <w:rPr>
                <w:rStyle w:val="normaltextrun"/>
                <w:rFonts w:ascii="Verdana" w:hAnsi="Verdana" w:cs="Arial"/>
                <w:sz w:val="16"/>
                <w:szCs w:val="16"/>
                <w:lang w:val="es-ES"/>
              </w:rPr>
            </w:pPr>
            <w:r w:rsidRPr="003E2CCE">
              <w:rPr>
                <w:rStyle w:val="normaltextrun"/>
                <w:rFonts w:ascii="Verdana" w:hAnsi="Verdana" w:cs="Arial"/>
                <w:sz w:val="16"/>
                <w:szCs w:val="16"/>
                <w:lang w:val="es-ES"/>
              </w:rPr>
              <w:t>Alejandro Sarmiento Cantillo</w:t>
            </w:r>
          </w:p>
          <w:p w14:paraId="6B05B490" w14:textId="5284924E" w:rsidR="00CD2E70" w:rsidRPr="003E2CCE" w:rsidRDefault="00254A7A" w:rsidP="00254A7A">
            <w:pPr>
              <w:pStyle w:val="paragraph"/>
              <w:spacing w:before="0" w:beforeAutospacing="0" w:after="0" w:afterAutospacing="0"/>
              <w:contextualSpacing/>
              <w:textAlignment w:val="baseline"/>
              <w:rPr>
                <w:rFonts w:ascii="Verdana" w:hAnsi="Verdana" w:cs="Segoe UI"/>
                <w:sz w:val="16"/>
                <w:szCs w:val="16"/>
              </w:rPr>
            </w:pPr>
            <w:r w:rsidRPr="003E2CCE">
              <w:rPr>
                <w:rStyle w:val="normaltextrun"/>
                <w:rFonts w:ascii="Verdana" w:hAnsi="Verdana" w:cs="Arial"/>
                <w:sz w:val="16"/>
                <w:szCs w:val="16"/>
                <w:lang w:val="es-ES"/>
              </w:rPr>
              <w:t>Gestor T1 ‒ 15 de la Subdirección de Gestión Contractual</w:t>
            </w:r>
            <w:r w:rsidR="00CD2E70" w:rsidRPr="003E2CCE">
              <w:rPr>
                <w:rStyle w:val="eop"/>
                <w:rFonts w:ascii="Verdana" w:hAnsi="Verdana" w:cs="Arial"/>
                <w:sz w:val="16"/>
                <w:szCs w:val="16"/>
              </w:rPr>
              <w:t> </w:t>
            </w:r>
          </w:p>
        </w:tc>
      </w:tr>
      <w:tr w:rsidR="00CD2E70" w:rsidRPr="003E2CCE" w14:paraId="3D2C2D00" w14:textId="77777777" w:rsidTr="003751C7">
        <w:trPr>
          <w:trHeight w:val="300"/>
        </w:trPr>
        <w:tc>
          <w:tcPr>
            <w:tcW w:w="893" w:type="dxa"/>
            <w:vAlign w:val="center"/>
          </w:tcPr>
          <w:p w14:paraId="22572E15" w14:textId="77777777" w:rsidR="00CD2E70" w:rsidRPr="003E2CCE" w:rsidRDefault="00CD2E70" w:rsidP="0044122F">
            <w:pPr>
              <w:contextualSpacing/>
              <w:rPr>
                <w:rFonts w:ascii="Verdana" w:hAnsi="Verdana" w:cs="Arial"/>
                <w:sz w:val="16"/>
                <w:szCs w:val="16"/>
                <w:lang w:val="es-ES" w:eastAsia="es-ES"/>
              </w:rPr>
            </w:pPr>
            <w:r w:rsidRPr="003E2CC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3E2CCE" w:rsidRDefault="00CD2E70" w:rsidP="0044122F">
            <w:pPr>
              <w:contextualSpacing/>
              <w:rPr>
                <w:rFonts w:ascii="Verdana" w:eastAsia="Calibri" w:hAnsi="Verdana" w:cs="Arial"/>
                <w:sz w:val="16"/>
                <w:szCs w:val="16"/>
                <w:lang w:val="pt-BR" w:eastAsia="es-ES"/>
              </w:rPr>
            </w:pPr>
            <w:r w:rsidRPr="003E2CCE">
              <w:rPr>
                <w:rFonts w:ascii="Verdana" w:eastAsia="Calibri" w:hAnsi="Verdana" w:cs="Arial"/>
                <w:sz w:val="16"/>
                <w:szCs w:val="16"/>
                <w:lang w:val="pt-BR" w:eastAsia="es-ES"/>
              </w:rPr>
              <w:t xml:space="preserve">Carolina Quintero </w:t>
            </w:r>
            <w:proofErr w:type="spellStart"/>
            <w:r w:rsidRPr="003E2CCE">
              <w:rPr>
                <w:rFonts w:ascii="Verdana" w:eastAsia="Calibri" w:hAnsi="Verdana" w:cs="Arial"/>
                <w:sz w:val="16"/>
                <w:szCs w:val="16"/>
                <w:lang w:val="pt-BR" w:eastAsia="es-ES"/>
              </w:rPr>
              <w:t>Gacharná</w:t>
            </w:r>
            <w:proofErr w:type="spellEnd"/>
          </w:p>
          <w:p w14:paraId="706065BE" w14:textId="77777777" w:rsidR="00CD2E70" w:rsidRPr="003E2CCE" w:rsidRDefault="00CD2E70" w:rsidP="0044122F">
            <w:pPr>
              <w:contextualSpacing/>
              <w:rPr>
                <w:rFonts w:ascii="Verdana" w:eastAsia="Calibri" w:hAnsi="Verdana" w:cs="Arial"/>
                <w:sz w:val="16"/>
                <w:szCs w:val="16"/>
                <w:lang w:val="pt-BR" w:eastAsia="es-ES"/>
              </w:rPr>
            </w:pPr>
            <w:r w:rsidRPr="003E2CCE">
              <w:rPr>
                <w:rFonts w:ascii="Verdana" w:eastAsia="Calibri" w:hAnsi="Verdana" w:cs="Arial"/>
                <w:sz w:val="16"/>
                <w:szCs w:val="16"/>
                <w:lang w:eastAsia="es-ES"/>
              </w:rPr>
              <w:t>Subdirectora</w:t>
            </w:r>
            <w:r w:rsidRPr="003E2CCE">
              <w:rPr>
                <w:rFonts w:ascii="Verdana" w:eastAsia="Calibri" w:hAnsi="Verdana" w:cs="Arial"/>
                <w:sz w:val="16"/>
                <w:szCs w:val="16"/>
                <w:lang w:val="pt-BR" w:eastAsia="es-ES"/>
              </w:rPr>
              <w:t xml:space="preserve"> de Gestión </w:t>
            </w:r>
            <w:proofErr w:type="spellStart"/>
            <w:r w:rsidRPr="003E2CCE">
              <w:rPr>
                <w:rFonts w:ascii="Verdana" w:eastAsia="Calibri" w:hAnsi="Verdana" w:cs="Arial"/>
                <w:sz w:val="16"/>
                <w:szCs w:val="16"/>
                <w:lang w:val="pt-BR" w:eastAsia="es-ES"/>
              </w:rPr>
              <w:t>Contractual</w:t>
            </w:r>
            <w:proofErr w:type="spellEnd"/>
            <w:r w:rsidRPr="003E2CCE">
              <w:rPr>
                <w:rFonts w:ascii="Verdana" w:eastAsia="Calibri" w:hAnsi="Verdana" w:cs="Arial"/>
                <w:sz w:val="16"/>
                <w:szCs w:val="16"/>
                <w:lang w:val="pt-BR" w:eastAsia="es-ES"/>
              </w:rPr>
              <w:t xml:space="preserve"> ANCP – CCE</w:t>
            </w:r>
          </w:p>
        </w:tc>
      </w:tr>
    </w:tbl>
    <w:p w14:paraId="0083C991" w14:textId="62C71FF5" w:rsidR="5D8505AD" w:rsidRPr="003E2CCE" w:rsidRDefault="5D8505AD" w:rsidP="00BE73FA">
      <w:pPr>
        <w:spacing w:after="0" w:line="240" w:lineRule="auto"/>
        <w:rPr>
          <w:rFonts w:ascii="Verdana" w:eastAsia="Times New Roman" w:hAnsi="Verdana" w:cs="Arial"/>
          <w:sz w:val="24"/>
          <w:szCs w:val="24"/>
          <w:lang w:eastAsia="es-ES"/>
        </w:rPr>
      </w:pPr>
    </w:p>
    <w:sectPr w:rsidR="5D8505AD" w:rsidRPr="003E2CCE"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6C949" w14:textId="77777777" w:rsidR="009A2CDC" w:rsidRDefault="009A2CDC" w:rsidP="00B30448">
      <w:pPr>
        <w:spacing w:after="0" w:line="240" w:lineRule="auto"/>
      </w:pPr>
      <w:r>
        <w:separator/>
      </w:r>
    </w:p>
  </w:endnote>
  <w:endnote w:type="continuationSeparator" w:id="0">
    <w:p w14:paraId="46FDE8FE" w14:textId="77777777" w:rsidR="009A2CDC" w:rsidRDefault="009A2CDC" w:rsidP="00B30448">
      <w:pPr>
        <w:spacing w:after="0" w:line="240" w:lineRule="auto"/>
      </w:pPr>
      <w:r>
        <w:continuationSeparator/>
      </w:r>
    </w:p>
  </w:endnote>
  <w:endnote w:type="continuationNotice" w:id="1">
    <w:p w14:paraId="56DDBDF6" w14:textId="77777777" w:rsidR="009A2CDC" w:rsidRDefault="009A2C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036F9C">
      <w:rPr>
        <w:rFonts w:ascii="Verdana" w:eastAsia="MS Gothic" w:hAnsi="Verdana" w:cs="Times New Roman"/>
        <w:b/>
        <w:bCs/>
        <w:sz w:val="16"/>
        <w:szCs w:val="16"/>
        <w:lang w:val="es-ES"/>
      </w:rPr>
      <w:t xml:space="preserve">pág. </w:t>
    </w:r>
    <w:r w:rsidRPr="00036F9C">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036F9C">
      <w:rPr>
        <w:rFonts w:ascii="Verdana" w:eastAsia="MS Mincho" w:hAnsi="Verdana"/>
        <w:b/>
        <w:bCs/>
        <w:sz w:val="16"/>
        <w:szCs w:val="16"/>
      </w:rPr>
      <w:fldChar w:fldCharType="separate"/>
    </w:r>
    <w:r w:rsidRPr="00036F9C">
      <w:rPr>
        <w:rFonts w:ascii="Verdana" w:eastAsia="MS Mincho" w:hAnsi="Verdana"/>
        <w:b/>
        <w:bCs/>
        <w:sz w:val="16"/>
        <w:szCs w:val="16"/>
      </w:rPr>
      <w:t>1</w:t>
    </w:r>
    <w:r w:rsidRPr="00036F9C">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FB19" w14:textId="77777777" w:rsidR="009A2CDC" w:rsidRDefault="009A2CDC" w:rsidP="00B30448">
      <w:pPr>
        <w:spacing w:after="0" w:line="240" w:lineRule="auto"/>
      </w:pPr>
      <w:r>
        <w:separator/>
      </w:r>
    </w:p>
  </w:footnote>
  <w:footnote w:type="continuationSeparator" w:id="0">
    <w:p w14:paraId="5B094690" w14:textId="77777777" w:rsidR="009A2CDC" w:rsidRDefault="009A2CDC" w:rsidP="00B30448">
      <w:pPr>
        <w:spacing w:after="0" w:line="240" w:lineRule="auto"/>
      </w:pPr>
      <w:r>
        <w:continuationSeparator/>
      </w:r>
    </w:p>
  </w:footnote>
  <w:footnote w:type="continuationNotice" w:id="1">
    <w:p w14:paraId="205D1027" w14:textId="77777777" w:rsidR="009A2CDC" w:rsidRDefault="009A2CDC">
      <w:pPr>
        <w:spacing w:after="0" w:line="240" w:lineRule="auto"/>
      </w:pPr>
    </w:p>
  </w:footnote>
  <w:footnote w:id="2">
    <w:p w14:paraId="51ED43B8" w14:textId="3B258766" w:rsidR="00404B7A" w:rsidRPr="00D61139" w:rsidRDefault="003417FA" w:rsidP="00D61139">
      <w:pPr>
        <w:pStyle w:val="Textonotapie"/>
        <w:ind w:firstLine="709"/>
        <w:jc w:val="both"/>
        <w:rPr>
          <w:rFonts w:ascii="Verdana" w:hAnsi="Verdana"/>
          <w:sz w:val="16"/>
          <w:szCs w:val="16"/>
        </w:rPr>
      </w:pPr>
      <w:r w:rsidRPr="00404B7A">
        <w:rPr>
          <w:rStyle w:val="Refdenotaalpie"/>
          <w:rFonts w:ascii="Verdana" w:hAnsi="Verdana"/>
          <w:sz w:val="16"/>
          <w:szCs w:val="16"/>
        </w:rPr>
        <w:footnoteRef/>
      </w:r>
      <w:r w:rsidRPr="00404B7A">
        <w:rPr>
          <w:rFonts w:ascii="Verdana" w:hAnsi="Verdana"/>
          <w:sz w:val="16"/>
          <w:szCs w:val="16"/>
        </w:rPr>
        <w:t xml:space="preserve"> </w:t>
      </w:r>
      <w:r w:rsidR="00404B7A" w:rsidRPr="00D61139">
        <w:rPr>
          <w:rFonts w:ascii="Verdana" w:hAnsi="Verdana"/>
          <w:sz w:val="16"/>
          <w:szCs w:val="16"/>
        </w:rPr>
        <w:t xml:space="preserve">Ley 1437 de 2011: “Artículo 24. Informaciones y documentos reservados. Solo tendrán carácter reservado las informaciones y documentos expresamente sometidos a reserva por la Constitución Política o la ley, y en especial:   </w:t>
      </w:r>
    </w:p>
    <w:p w14:paraId="164BCA0E" w14:textId="77777777" w:rsidR="00404B7A" w:rsidRPr="00D61139" w:rsidRDefault="00404B7A" w:rsidP="00D61139">
      <w:pPr>
        <w:pStyle w:val="Textonotapie"/>
        <w:ind w:firstLine="709"/>
        <w:jc w:val="both"/>
        <w:rPr>
          <w:rFonts w:ascii="Verdana" w:hAnsi="Verdana"/>
          <w:sz w:val="16"/>
          <w:szCs w:val="16"/>
        </w:rPr>
      </w:pPr>
      <w:r w:rsidRPr="00D61139">
        <w:rPr>
          <w:rFonts w:ascii="Verdana" w:hAnsi="Verdana"/>
          <w:sz w:val="16"/>
          <w:szCs w:val="16"/>
        </w:rPr>
        <w:t xml:space="preserve">1. Los relacionados con la defensa o seguridad nacionales.   </w:t>
      </w:r>
    </w:p>
    <w:p w14:paraId="74933740" w14:textId="77777777" w:rsidR="00404B7A" w:rsidRPr="00D61139" w:rsidRDefault="00404B7A" w:rsidP="00D61139">
      <w:pPr>
        <w:pStyle w:val="Textonotapie"/>
        <w:ind w:firstLine="709"/>
        <w:jc w:val="both"/>
        <w:rPr>
          <w:rFonts w:ascii="Verdana" w:hAnsi="Verdana"/>
          <w:sz w:val="16"/>
          <w:szCs w:val="16"/>
        </w:rPr>
      </w:pPr>
      <w:r w:rsidRPr="00D61139">
        <w:rPr>
          <w:rFonts w:ascii="Verdana" w:hAnsi="Verdana"/>
          <w:sz w:val="16"/>
          <w:szCs w:val="16"/>
        </w:rPr>
        <w:t xml:space="preserve">2. Las instrucciones en materia diplomática o sobre negociaciones reservadas.   </w:t>
      </w:r>
    </w:p>
    <w:p w14:paraId="38B7BBAD" w14:textId="36750AAE" w:rsidR="00404B7A" w:rsidRPr="00D61139" w:rsidRDefault="00404B7A" w:rsidP="00D61139">
      <w:pPr>
        <w:pStyle w:val="Textonotapie"/>
        <w:ind w:firstLine="709"/>
        <w:jc w:val="both"/>
        <w:rPr>
          <w:rFonts w:ascii="Verdana" w:hAnsi="Verdana"/>
          <w:sz w:val="16"/>
          <w:szCs w:val="16"/>
        </w:rPr>
      </w:pPr>
      <w:r w:rsidRPr="00D61139">
        <w:rPr>
          <w:rFonts w:ascii="Verdana" w:hAnsi="Verdana"/>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3D2A4A0" w14:textId="77777777" w:rsidR="00D61139" w:rsidRPr="00D61139" w:rsidRDefault="00404B7A" w:rsidP="00D61139">
      <w:pPr>
        <w:pStyle w:val="Textonotapie"/>
        <w:ind w:firstLine="709"/>
        <w:jc w:val="both"/>
        <w:rPr>
          <w:rFonts w:ascii="Verdana" w:hAnsi="Verdana"/>
          <w:sz w:val="16"/>
          <w:szCs w:val="16"/>
        </w:rPr>
      </w:pPr>
      <w:r w:rsidRPr="00D61139">
        <w:rPr>
          <w:rFonts w:ascii="Verdana" w:hAnsi="Verdana"/>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58CF404A" w14:textId="77777777" w:rsidR="00D61139" w:rsidRPr="00D61139" w:rsidRDefault="00D61139" w:rsidP="00D61139">
      <w:pPr>
        <w:pStyle w:val="Textonotapie"/>
        <w:ind w:firstLine="709"/>
        <w:jc w:val="both"/>
        <w:rPr>
          <w:rFonts w:ascii="Verdana" w:hAnsi="Verdana"/>
          <w:sz w:val="16"/>
          <w:szCs w:val="16"/>
        </w:rPr>
      </w:pPr>
      <w:r w:rsidRPr="00D61139">
        <w:rPr>
          <w:rFonts w:ascii="Verdana" w:hAnsi="Verdana"/>
          <w:sz w:val="16"/>
          <w:szCs w:val="16"/>
        </w:rPr>
        <w:t xml:space="preserve">5. Los datos referentes a la información financiera y comercial, en los términos de la Ley Estatutaria 1266 de 2008. </w:t>
      </w:r>
    </w:p>
    <w:p w14:paraId="7DC47741" w14:textId="77777777" w:rsidR="00D61139" w:rsidRPr="00D61139" w:rsidRDefault="00D61139" w:rsidP="00D61139">
      <w:pPr>
        <w:pStyle w:val="Textonotapie"/>
        <w:ind w:firstLine="709"/>
        <w:jc w:val="both"/>
        <w:rPr>
          <w:rFonts w:ascii="Verdana" w:hAnsi="Verdana"/>
          <w:sz w:val="16"/>
          <w:szCs w:val="16"/>
        </w:rPr>
      </w:pPr>
      <w:r w:rsidRPr="00D61139">
        <w:rPr>
          <w:rFonts w:ascii="Verdana" w:hAnsi="Verdana"/>
          <w:sz w:val="16"/>
          <w:szCs w:val="16"/>
        </w:rPr>
        <w:t xml:space="preserve">6. Los protegidos por el secreto comercial o industrial, así como los planes estratégicos de las empresas públicas de servicios públicos. </w:t>
      </w:r>
    </w:p>
    <w:p w14:paraId="667C7CF7" w14:textId="77777777" w:rsidR="00D61139" w:rsidRPr="00D61139" w:rsidRDefault="00D61139" w:rsidP="00D61139">
      <w:pPr>
        <w:pStyle w:val="Textonotapie"/>
        <w:ind w:firstLine="709"/>
        <w:jc w:val="both"/>
        <w:rPr>
          <w:rFonts w:ascii="Verdana" w:hAnsi="Verdana"/>
          <w:sz w:val="16"/>
          <w:szCs w:val="16"/>
        </w:rPr>
      </w:pPr>
      <w:r w:rsidRPr="00D61139">
        <w:rPr>
          <w:rFonts w:ascii="Verdana" w:hAnsi="Verdana"/>
          <w:sz w:val="16"/>
          <w:szCs w:val="16"/>
        </w:rPr>
        <w:t xml:space="preserve">7. Los amparados por el secreto profesional. </w:t>
      </w:r>
    </w:p>
    <w:p w14:paraId="17BC39AA" w14:textId="751FF810" w:rsidR="003417FA" w:rsidRPr="00D61139" w:rsidRDefault="00D61139" w:rsidP="00D61139">
      <w:pPr>
        <w:pStyle w:val="Textonotapie"/>
        <w:ind w:firstLine="709"/>
        <w:jc w:val="both"/>
        <w:rPr>
          <w:rFonts w:ascii="Verdana" w:hAnsi="Verdana"/>
          <w:sz w:val="16"/>
          <w:szCs w:val="16"/>
        </w:rPr>
      </w:pPr>
      <w:r w:rsidRPr="00D61139">
        <w:rPr>
          <w:rFonts w:ascii="Verdana" w:hAnsi="Verdana"/>
          <w:sz w:val="16"/>
          <w:szCs w:val="16"/>
        </w:rPr>
        <w:t>8. Los datos genéticos humanos. 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footnote>
  <w:footnote w:id="3">
    <w:p w14:paraId="19251BCC" w14:textId="1567EC70" w:rsidR="005E1DB7" w:rsidRPr="005E1DB7" w:rsidRDefault="005E1DB7" w:rsidP="00611565">
      <w:pPr>
        <w:pStyle w:val="Textonotapie"/>
        <w:ind w:firstLine="709"/>
        <w:jc w:val="both"/>
        <w:rPr>
          <w:lang w:val="es-CO"/>
        </w:rPr>
      </w:pPr>
      <w:r w:rsidRPr="00D61139">
        <w:rPr>
          <w:rStyle w:val="Refdenotaalpie"/>
          <w:rFonts w:ascii="Verdana" w:hAnsi="Verdana"/>
        </w:rPr>
        <w:footnoteRef/>
      </w:r>
      <w:r>
        <w:t xml:space="preserve"> </w:t>
      </w:r>
      <w:r w:rsidR="00611565" w:rsidRPr="00611565">
        <w:rPr>
          <w:rFonts w:ascii="Verdana" w:hAnsi="Verdana" w:cs="Arial"/>
          <w:sz w:val="16"/>
          <w:szCs w:val="16"/>
        </w:rPr>
        <w:t>Respecto al periodo de transición establecido en la norma objeto de estudio, la Circular Externa Única de Colombia Compra Eficiente señaló que “De acuerdo con el artículo 53 de Ley 2195 de 2022, las Entidades Estatales que, por disposición legal, cuenten con un régimen contractual excepcional al del Estatuto General de Contratación de la Administración Pública tienen un período de transición de seis (6) meses para publicar todos los documentos relacionados con su actividad contractual en la plataforma del SECOP II. En consecuencia, su uso obligatorio empezará a regir después de las 23:59 horas del 17 de julio de 2022, sin que sea posible, por vía reglamentaria o a través de los manuales internos de contratación, extender el plazo previsto en la Ley de Transparencia. Todos los procesos de contratación creados en el SECOP I antes de las 23:59 horas del 17 de julio de 2022, por parte de estas Entidades Estatales, podrán continuar siendo gestionados en esta plataforma”.</w:t>
      </w:r>
    </w:p>
  </w:footnote>
  <w:footnote w:id="4">
    <w:p w14:paraId="4B9A6B0F" w14:textId="77777777" w:rsidR="00A52E3C" w:rsidRDefault="00A52E3C" w:rsidP="00A52E3C">
      <w:pPr>
        <w:pStyle w:val="Textonotapie"/>
        <w:ind w:firstLine="709"/>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7E0A0B77" w14:textId="77777777" w:rsidR="00A52E3C" w:rsidRDefault="00A52E3C" w:rsidP="00A52E3C">
      <w:pPr>
        <w:pStyle w:val="Textonotapie"/>
        <w:ind w:firstLine="709"/>
        <w:jc w:val="both"/>
        <w:rPr>
          <w:rFonts w:ascii="Verdana" w:hAnsi="Verdana" w:cs="Arial"/>
          <w:color w:val="000000" w:themeColor="text1"/>
          <w:sz w:val="16"/>
          <w:szCs w:val="16"/>
        </w:rPr>
      </w:pPr>
      <w:r>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266DF72" w14:textId="77777777" w:rsidR="00A52E3C" w:rsidRDefault="00A52E3C" w:rsidP="00A52E3C">
      <w:pPr>
        <w:pStyle w:val="Textonotapie"/>
        <w:ind w:firstLine="709"/>
        <w:jc w:val="both"/>
        <w:rPr>
          <w:rFonts w:ascii="Verdana" w:hAnsi="Verdana" w:cs="Arial"/>
          <w:color w:val="000000" w:themeColor="text1"/>
          <w:sz w:val="16"/>
          <w:szCs w:val="16"/>
          <w:lang w:val="es-CO"/>
        </w:rPr>
      </w:pPr>
    </w:p>
  </w:footnote>
  <w:footnote w:id="5">
    <w:p w14:paraId="1F970523" w14:textId="77777777" w:rsidR="00A52E3C" w:rsidRDefault="00A52E3C" w:rsidP="00A52E3C">
      <w:pPr>
        <w:pStyle w:val="Textonotapie"/>
        <w:ind w:firstLine="709"/>
        <w:jc w:val="both"/>
        <w:rPr>
          <w:rFonts w:ascii="Verdana" w:hAnsi="Verdana" w:cs="Arial"/>
          <w:color w:val="000000"/>
          <w:sz w:val="16"/>
          <w:szCs w:val="16"/>
        </w:rPr>
      </w:pPr>
      <w:r>
        <w:rPr>
          <w:rFonts w:ascii="Verdana" w:eastAsia="Times New Roman" w:hAnsi="Verdana" w:cs="Arial"/>
          <w:color w:val="000000"/>
          <w:sz w:val="16"/>
          <w:szCs w:val="16"/>
          <w:vertAlign w:val="superscript"/>
          <w:lang w:val="es-ES" w:eastAsia="es-ES"/>
        </w:rPr>
        <w:footnoteRef/>
      </w:r>
      <w:r>
        <w:rPr>
          <w:rFonts w:ascii="Verdana" w:eastAsia="Times New Roman" w:hAnsi="Verdana" w:cs="Arial"/>
          <w:color w:val="000000"/>
          <w:sz w:val="16"/>
          <w:szCs w:val="16"/>
          <w:vertAlign w:val="superscript"/>
          <w:lang w:val="es-ES" w:eastAsia="es-ES"/>
        </w:rPr>
        <w:t xml:space="preserve"> </w:t>
      </w:r>
      <w:r>
        <w:rPr>
          <w:rFonts w:ascii="Verdana" w:eastAsia="Times New Roman" w:hAnsi="Verdana" w:cs="Arial"/>
          <w:color w:val="000000"/>
          <w:sz w:val="16"/>
          <w:szCs w:val="16"/>
          <w:lang w:val="es-ES" w:eastAsia="es-ES"/>
        </w:rPr>
        <w:t>“</w:t>
      </w:r>
      <w:r>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FACD8B1" w14:textId="77777777" w:rsidR="00A52E3C" w:rsidRDefault="00A52E3C" w:rsidP="00A52E3C">
      <w:pPr>
        <w:pStyle w:val="Textonotapie"/>
        <w:ind w:firstLine="709"/>
        <w:jc w:val="both"/>
        <w:rPr>
          <w:rFonts w:ascii="Verdana" w:eastAsia="Times New Roman" w:hAnsi="Verdana" w:cs="Arial"/>
          <w:color w:val="000000"/>
          <w:sz w:val="16"/>
          <w:szCs w:val="16"/>
          <w:lang w:val="es-ES" w:eastAsia="es-ES"/>
        </w:rPr>
      </w:pPr>
      <w:r>
        <w:rPr>
          <w:rFonts w:ascii="Verdana" w:hAnsi="Verdana" w:cs="Arial"/>
          <w:color w:val="000000"/>
          <w:sz w:val="16"/>
          <w:szCs w:val="16"/>
        </w:rPr>
        <w:t>[…].</w:t>
      </w:r>
    </w:p>
    <w:p w14:paraId="2501FB5C" w14:textId="77777777" w:rsidR="00A52E3C" w:rsidRDefault="00A52E3C" w:rsidP="00A52E3C">
      <w:pPr>
        <w:pStyle w:val="Textonotapie"/>
        <w:ind w:firstLine="709"/>
        <w:jc w:val="both"/>
        <w:rPr>
          <w:rFonts w:ascii="Verdana" w:eastAsia="Times New Roman" w:hAnsi="Verdana" w:cs="Arial"/>
          <w:color w:val="000000"/>
          <w:sz w:val="16"/>
          <w:szCs w:val="16"/>
          <w:lang w:val="es-ES" w:eastAsia="es-ES"/>
        </w:rPr>
      </w:pPr>
      <w:bookmarkStart w:id="5" w:name="_Hlk186230064"/>
      <w:r>
        <w:rPr>
          <w:rFonts w:ascii="Verdana" w:eastAsia="Times New Roman" w:hAnsi="Verdana" w:cs="Arial"/>
          <w:color w:val="000000"/>
          <w:sz w:val="16"/>
          <w:szCs w:val="16"/>
          <w:lang w:val="es-ES" w:eastAsia="es-ES"/>
        </w:rPr>
        <w:t xml:space="preserve">Los sujetos obligados que contratan con recursos públicos y recursos </w:t>
      </w:r>
      <w:proofErr w:type="gramStart"/>
      <w:r>
        <w:rPr>
          <w:rFonts w:ascii="Verdana" w:eastAsia="Times New Roman" w:hAnsi="Verdana" w:cs="Arial"/>
          <w:color w:val="000000"/>
          <w:sz w:val="16"/>
          <w:szCs w:val="16"/>
          <w:lang w:val="es-ES" w:eastAsia="es-ES"/>
        </w:rPr>
        <w:t>privados,</w:t>
      </w:r>
      <w:proofErr w:type="gramEnd"/>
      <w:r>
        <w:rPr>
          <w:rFonts w:ascii="Verdana" w:eastAsia="Times New Roman" w:hAnsi="Verdana" w:cs="Arial"/>
          <w:color w:val="000000"/>
          <w:sz w:val="16"/>
          <w:szCs w:val="16"/>
          <w:lang w:val="es-ES" w:eastAsia="es-ES"/>
        </w:rPr>
        <w:t xml:space="preserve"> deben publicar la información de su gestión contractual con cargo a recursos públicos en el Sistema Electrónico para la Contratación Pública </w:t>
      </w:r>
      <w:bookmarkEnd w:id="5"/>
      <w:r>
        <w:rPr>
          <w:rFonts w:ascii="Verdana" w:eastAsia="Times New Roman" w:hAnsi="Verdana" w:cs="Arial"/>
          <w:color w:val="000000"/>
          <w:sz w:val="16"/>
          <w:szCs w:val="16"/>
          <w:lang w:val="es-ES" w:eastAsia="es-ES"/>
        </w:rPr>
        <w:t>[SECOP]”.</w:t>
      </w:r>
    </w:p>
    <w:p w14:paraId="5814B20A" w14:textId="77777777" w:rsidR="00A52E3C" w:rsidRDefault="00A52E3C" w:rsidP="00A52E3C">
      <w:pPr>
        <w:pStyle w:val="Textonotapie"/>
        <w:ind w:firstLine="709"/>
        <w:jc w:val="both"/>
        <w:rPr>
          <w:rFonts w:ascii="Verdana" w:eastAsia="Times New Roman" w:hAnsi="Verdana" w:cs="Arial"/>
          <w:color w:val="000000"/>
          <w:sz w:val="16"/>
          <w:szCs w:val="16"/>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A497730"/>
    <w:multiLevelType w:val="multilevel"/>
    <w:tmpl w:val="7558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FAE5CC4"/>
    <w:multiLevelType w:val="hybridMultilevel"/>
    <w:tmpl w:val="4274E4EA"/>
    <w:lvl w:ilvl="0" w:tplc="779C095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4"/>
  </w:num>
  <w:num w:numId="3" w16cid:durableId="679089576">
    <w:abstractNumId w:val="5"/>
  </w:num>
  <w:num w:numId="4" w16cid:durableId="893472101">
    <w:abstractNumId w:val="2"/>
  </w:num>
  <w:num w:numId="5" w16cid:durableId="120923485">
    <w:abstractNumId w:val="1"/>
  </w:num>
  <w:num w:numId="6" w16cid:durableId="1178350876">
    <w:abstractNumId w:val="6"/>
  </w:num>
  <w:num w:numId="7" w16cid:durableId="262541512">
    <w:abstractNumId w:val="7"/>
  </w:num>
  <w:num w:numId="8" w16cid:durableId="277570398">
    <w:abstractNumId w:val="3"/>
  </w:num>
  <w:num w:numId="9" w16cid:durableId="19822999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06F93"/>
    <w:rsid w:val="0001025F"/>
    <w:rsid w:val="0001155E"/>
    <w:rsid w:val="00011613"/>
    <w:rsid w:val="0001222D"/>
    <w:rsid w:val="00013B3F"/>
    <w:rsid w:val="00016280"/>
    <w:rsid w:val="00016F04"/>
    <w:rsid w:val="0002083C"/>
    <w:rsid w:val="000219D1"/>
    <w:rsid w:val="00021C3A"/>
    <w:rsid w:val="0002202D"/>
    <w:rsid w:val="000267DD"/>
    <w:rsid w:val="00030B3D"/>
    <w:rsid w:val="00030BFB"/>
    <w:rsid w:val="00031EAF"/>
    <w:rsid w:val="00033390"/>
    <w:rsid w:val="000361EA"/>
    <w:rsid w:val="000369C0"/>
    <w:rsid w:val="00036E27"/>
    <w:rsid w:val="00036F9C"/>
    <w:rsid w:val="00037A8B"/>
    <w:rsid w:val="000408AD"/>
    <w:rsid w:val="00041469"/>
    <w:rsid w:val="00042B71"/>
    <w:rsid w:val="00042DD7"/>
    <w:rsid w:val="000442CC"/>
    <w:rsid w:val="00044B24"/>
    <w:rsid w:val="00046DC1"/>
    <w:rsid w:val="00050C95"/>
    <w:rsid w:val="00050CAD"/>
    <w:rsid w:val="000526A8"/>
    <w:rsid w:val="00053626"/>
    <w:rsid w:val="0005420B"/>
    <w:rsid w:val="0005620B"/>
    <w:rsid w:val="00057392"/>
    <w:rsid w:val="000577D3"/>
    <w:rsid w:val="00057963"/>
    <w:rsid w:val="000579AB"/>
    <w:rsid w:val="00060F19"/>
    <w:rsid w:val="00061C31"/>
    <w:rsid w:val="0006223F"/>
    <w:rsid w:val="000622B9"/>
    <w:rsid w:val="00063375"/>
    <w:rsid w:val="00064721"/>
    <w:rsid w:val="00065C6D"/>
    <w:rsid w:val="00066646"/>
    <w:rsid w:val="00066A9F"/>
    <w:rsid w:val="00066C7A"/>
    <w:rsid w:val="00067108"/>
    <w:rsid w:val="000716AB"/>
    <w:rsid w:val="00071AB8"/>
    <w:rsid w:val="0007243A"/>
    <w:rsid w:val="00073024"/>
    <w:rsid w:val="00074510"/>
    <w:rsid w:val="000762C0"/>
    <w:rsid w:val="00076C2B"/>
    <w:rsid w:val="00076F81"/>
    <w:rsid w:val="00080D93"/>
    <w:rsid w:val="00085A6F"/>
    <w:rsid w:val="00087073"/>
    <w:rsid w:val="000870EF"/>
    <w:rsid w:val="000878E7"/>
    <w:rsid w:val="00087B05"/>
    <w:rsid w:val="00087C01"/>
    <w:rsid w:val="0009000D"/>
    <w:rsid w:val="000903E4"/>
    <w:rsid w:val="00091D73"/>
    <w:rsid w:val="000933BC"/>
    <w:rsid w:val="000934C3"/>
    <w:rsid w:val="00093544"/>
    <w:rsid w:val="00094663"/>
    <w:rsid w:val="00095410"/>
    <w:rsid w:val="00096637"/>
    <w:rsid w:val="00097347"/>
    <w:rsid w:val="000A1F38"/>
    <w:rsid w:val="000A2030"/>
    <w:rsid w:val="000A413A"/>
    <w:rsid w:val="000A5356"/>
    <w:rsid w:val="000B1FF7"/>
    <w:rsid w:val="000B2529"/>
    <w:rsid w:val="000B2B7C"/>
    <w:rsid w:val="000B2C62"/>
    <w:rsid w:val="000B381D"/>
    <w:rsid w:val="000B4024"/>
    <w:rsid w:val="000B688A"/>
    <w:rsid w:val="000C02AD"/>
    <w:rsid w:val="000C060A"/>
    <w:rsid w:val="000C09DF"/>
    <w:rsid w:val="000C0AA8"/>
    <w:rsid w:val="000C42A9"/>
    <w:rsid w:val="000C557B"/>
    <w:rsid w:val="000C5F29"/>
    <w:rsid w:val="000C6B4C"/>
    <w:rsid w:val="000D0372"/>
    <w:rsid w:val="000D0BEA"/>
    <w:rsid w:val="000D2914"/>
    <w:rsid w:val="000D2AE8"/>
    <w:rsid w:val="000D3A1B"/>
    <w:rsid w:val="000D570C"/>
    <w:rsid w:val="000D5A0F"/>
    <w:rsid w:val="000D5B1E"/>
    <w:rsid w:val="000D5E3F"/>
    <w:rsid w:val="000D6532"/>
    <w:rsid w:val="000E0622"/>
    <w:rsid w:val="000E1D6F"/>
    <w:rsid w:val="000E3381"/>
    <w:rsid w:val="000E3744"/>
    <w:rsid w:val="000E3CD9"/>
    <w:rsid w:val="000F0144"/>
    <w:rsid w:val="000F0807"/>
    <w:rsid w:val="000F10B6"/>
    <w:rsid w:val="000F1AD8"/>
    <w:rsid w:val="000F2F4C"/>
    <w:rsid w:val="000F38D9"/>
    <w:rsid w:val="000F414C"/>
    <w:rsid w:val="000F64FC"/>
    <w:rsid w:val="000F6583"/>
    <w:rsid w:val="000F718E"/>
    <w:rsid w:val="00100207"/>
    <w:rsid w:val="001010D3"/>
    <w:rsid w:val="00101C11"/>
    <w:rsid w:val="00102F4F"/>
    <w:rsid w:val="00103421"/>
    <w:rsid w:val="001034DD"/>
    <w:rsid w:val="0011037E"/>
    <w:rsid w:val="00110F73"/>
    <w:rsid w:val="00111E35"/>
    <w:rsid w:val="001128B4"/>
    <w:rsid w:val="00112EBD"/>
    <w:rsid w:val="001132C2"/>
    <w:rsid w:val="00113AF2"/>
    <w:rsid w:val="001159AD"/>
    <w:rsid w:val="00116616"/>
    <w:rsid w:val="00116FC5"/>
    <w:rsid w:val="00117BBD"/>
    <w:rsid w:val="00121E9E"/>
    <w:rsid w:val="00122164"/>
    <w:rsid w:val="001248AB"/>
    <w:rsid w:val="00124B2E"/>
    <w:rsid w:val="00125D81"/>
    <w:rsid w:val="0012611D"/>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51465"/>
    <w:rsid w:val="00151AD8"/>
    <w:rsid w:val="00153287"/>
    <w:rsid w:val="00153C33"/>
    <w:rsid w:val="001548B7"/>
    <w:rsid w:val="00154CD5"/>
    <w:rsid w:val="00155EF1"/>
    <w:rsid w:val="00156192"/>
    <w:rsid w:val="00156E57"/>
    <w:rsid w:val="0015710D"/>
    <w:rsid w:val="00157DEB"/>
    <w:rsid w:val="00161171"/>
    <w:rsid w:val="00161847"/>
    <w:rsid w:val="00161E13"/>
    <w:rsid w:val="00162B8D"/>
    <w:rsid w:val="00164803"/>
    <w:rsid w:val="00164AE0"/>
    <w:rsid w:val="0016646A"/>
    <w:rsid w:val="00167C43"/>
    <w:rsid w:val="0017120C"/>
    <w:rsid w:val="00172C96"/>
    <w:rsid w:val="00172DDC"/>
    <w:rsid w:val="00172F3A"/>
    <w:rsid w:val="00173477"/>
    <w:rsid w:val="0017414F"/>
    <w:rsid w:val="00174636"/>
    <w:rsid w:val="00174BD8"/>
    <w:rsid w:val="001752B9"/>
    <w:rsid w:val="0017667E"/>
    <w:rsid w:val="00176AE8"/>
    <w:rsid w:val="00177B2B"/>
    <w:rsid w:val="00177E95"/>
    <w:rsid w:val="001811FC"/>
    <w:rsid w:val="00183F50"/>
    <w:rsid w:val="00186037"/>
    <w:rsid w:val="00186D14"/>
    <w:rsid w:val="001918F1"/>
    <w:rsid w:val="0019196E"/>
    <w:rsid w:val="00191FF5"/>
    <w:rsid w:val="001926D7"/>
    <w:rsid w:val="00192CCE"/>
    <w:rsid w:val="00192FE9"/>
    <w:rsid w:val="0019385B"/>
    <w:rsid w:val="00193F1C"/>
    <w:rsid w:val="00196131"/>
    <w:rsid w:val="00197205"/>
    <w:rsid w:val="001A2D8F"/>
    <w:rsid w:val="001A3D89"/>
    <w:rsid w:val="001A3F68"/>
    <w:rsid w:val="001A44DD"/>
    <w:rsid w:val="001A54DA"/>
    <w:rsid w:val="001A5789"/>
    <w:rsid w:val="001A6861"/>
    <w:rsid w:val="001B143B"/>
    <w:rsid w:val="001B1777"/>
    <w:rsid w:val="001B19C5"/>
    <w:rsid w:val="001B1B6D"/>
    <w:rsid w:val="001B1C93"/>
    <w:rsid w:val="001B21CA"/>
    <w:rsid w:val="001B47A4"/>
    <w:rsid w:val="001B5A00"/>
    <w:rsid w:val="001B5F59"/>
    <w:rsid w:val="001B63A7"/>
    <w:rsid w:val="001B6EBF"/>
    <w:rsid w:val="001C0461"/>
    <w:rsid w:val="001C1074"/>
    <w:rsid w:val="001C20B3"/>
    <w:rsid w:val="001C25F5"/>
    <w:rsid w:val="001C4249"/>
    <w:rsid w:val="001C6573"/>
    <w:rsid w:val="001C6785"/>
    <w:rsid w:val="001C7D03"/>
    <w:rsid w:val="001D0D32"/>
    <w:rsid w:val="001D17C9"/>
    <w:rsid w:val="001D1AB9"/>
    <w:rsid w:val="001D3795"/>
    <w:rsid w:val="001D4006"/>
    <w:rsid w:val="001D54BD"/>
    <w:rsid w:val="001D626E"/>
    <w:rsid w:val="001D733B"/>
    <w:rsid w:val="001E0902"/>
    <w:rsid w:val="001E1801"/>
    <w:rsid w:val="001E3A17"/>
    <w:rsid w:val="001E3FCB"/>
    <w:rsid w:val="001E6BCB"/>
    <w:rsid w:val="001E7FBC"/>
    <w:rsid w:val="001F0822"/>
    <w:rsid w:val="001F15F6"/>
    <w:rsid w:val="001F179C"/>
    <w:rsid w:val="001F228B"/>
    <w:rsid w:val="001F2649"/>
    <w:rsid w:val="001F3496"/>
    <w:rsid w:val="001F3548"/>
    <w:rsid w:val="001F41CA"/>
    <w:rsid w:val="001F4355"/>
    <w:rsid w:val="001F61DE"/>
    <w:rsid w:val="002000AA"/>
    <w:rsid w:val="0020302A"/>
    <w:rsid w:val="002032A0"/>
    <w:rsid w:val="00203532"/>
    <w:rsid w:val="00204106"/>
    <w:rsid w:val="00204109"/>
    <w:rsid w:val="002059E3"/>
    <w:rsid w:val="00212390"/>
    <w:rsid w:val="00212897"/>
    <w:rsid w:val="0021386A"/>
    <w:rsid w:val="00215516"/>
    <w:rsid w:val="00216EFA"/>
    <w:rsid w:val="0021798E"/>
    <w:rsid w:val="0022180C"/>
    <w:rsid w:val="002221CD"/>
    <w:rsid w:val="002225AB"/>
    <w:rsid w:val="002250D1"/>
    <w:rsid w:val="002267D2"/>
    <w:rsid w:val="002307B6"/>
    <w:rsid w:val="00230839"/>
    <w:rsid w:val="00232178"/>
    <w:rsid w:val="00232D12"/>
    <w:rsid w:val="00232DD1"/>
    <w:rsid w:val="002353E3"/>
    <w:rsid w:val="00235F30"/>
    <w:rsid w:val="00236287"/>
    <w:rsid w:val="002407CE"/>
    <w:rsid w:val="00243A38"/>
    <w:rsid w:val="0024474F"/>
    <w:rsid w:val="002450F2"/>
    <w:rsid w:val="00245B7F"/>
    <w:rsid w:val="002469C2"/>
    <w:rsid w:val="00247BDE"/>
    <w:rsid w:val="002514FA"/>
    <w:rsid w:val="002521BD"/>
    <w:rsid w:val="00252503"/>
    <w:rsid w:val="00252ED7"/>
    <w:rsid w:val="00254A7A"/>
    <w:rsid w:val="00254EA4"/>
    <w:rsid w:val="0025575F"/>
    <w:rsid w:val="002571E3"/>
    <w:rsid w:val="00260496"/>
    <w:rsid w:val="00260542"/>
    <w:rsid w:val="00260A38"/>
    <w:rsid w:val="00261651"/>
    <w:rsid w:val="00264C7C"/>
    <w:rsid w:val="00270443"/>
    <w:rsid w:val="00270EE2"/>
    <w:rsid w:val="00272A7B"/>
    <w:rsid w:val="00273527"/>
    <w:rsid w:val="002747EF"/>
    <w:rsid w:val="00274B06"/>
    <w:rsid w:val="002769AE"/>
    <w:rsid w:val="00285237"/>
    <w:rsid w:val="00285E3F"/>
    <w:rsid w:val="00286BFE"/>
    <w:rsid w:val="00286C81"/>
    <w:rsid w:val="0028709F"/>
    <w:rsid w:val="00290119"/>
    <w:rsid w:val="002908F8"/>
    <w:rsid w:val="00291EC3"/>
    <w:rsid w:val="00295002"/>
    <w:rsid w:val="002971F2"/>
    <w:rsid w:val="00297785"/>
    <w:rsid w:val="002A0444"/>
    <w:rsid w:val="002A0F8D"/>
    <w:rsid w:val="002A264B"/>
    <w:rsid w:val="002A4B33"/>
    <w:rsid w:val="002A5311"/>
    <w:rsid w:val="002B05D1"/>
    <w:rsid w:val="002B0A72"/>
    <w:rsid w:val="002B1933"/>
    <w:rsid w:val="002B20BD"/>
    <w:rsid w:val="002B28EA"/>
    <w:rsid w:val="002B3A46"/>
    <w:rsid w:val="002B3F1C"/>
    <w:rsid w:val="002B4EF4"/>
    <w:rsid w:val="002B6CA2"/>
    <w:rsid w:val="002B6E44"/>
    <w:rsid w:val="002B726F"/>
    <w:rsid w:val="002B7A68"/>
    <w:rsid w:val="002C103C"/>
    <w:rsid w:val="002C10B3"/>
    <w:rsid w:val="002C12C7"/>
    <w:rsid w:val="002C30F0"/>
    <w:rsid w:val="002C3640"/>
    <w:rsid w:val="002C3E53"/>
    <w:rsid w:val="002C401A"/>
    <w:rsid w:val="002C67DA"/>
    <w:rsid w:val="002C6D15"/>
    <w:rsid w:val="002C7E5B"/>
    <w:rsid w:val="002D0907"/>
    <w:rsid w:val="002D0E9E"/>
    <w:rsid w:val="002D2D68"/>
    <w:rsid w:val="002D38D9"/>
    <w:rsid w:val="002D4012"/>
    <w:rsid w:val="002D7417"/>
    <w:rsid w:val="002E26E8"/>
    <w:rsid w:val="002E38D8"/>
    <w:rsid w:val="002E3DD8"/>
    <w:rsid w:val="002E5A01"/>
    <w:rsid w:val="002E6727"/>
    <w:rsid w:val="002E717C"/>
    <w:rsid w:val="002E7A61"/>
    <w:rsid w:val="002F0106"/>
    <w:rsid w:val="002F03C8"/>
    <w:rsid w:val="002F188D"/>
    <w:rsid w:val="002F18A5"/>
    <w:rsid w:val="002F317F"/>
    <w:rsid w:val="002F40AF"/>
    <w:rsid w:val="002F6D2E"/>
    <w:rsid w:val="002F7AA9"/>
    <w:rsid w:val="00301C0D"/>
    <w:rsid w:val="00302A61"/>
    <w:rsid w:val="00305087"/>
    <w:rsid w:val="00311B66"/>
    <w:rsid w:val="003126D5"/>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7FA"/>
    <w:rsid w:val="00341941"/>
    <w:rsid w:val="0034278F"/>
    <w:rsid w:val="00343B47"/>
    <w:rsid w:val="0034404F"/>
    <w:rsid w:val="00344ACC"/>
    <w:rsid w:val="00345647"/>
    <w:rsid w:val="00345F01"/>
    <w:rsid w:val="003463DA"/>
    <w:rsid w:val="0034654F"/>
    <w:rsid w:val="00347685"/>
    <w:rsid w:val="00351E21"/>
    <w:rsid w:val="0035200F"/>
    <w:rsid w:val="00352327"/>
    <w:rsid w:val="00354405"/>
    <w:rsid w:val="0035635F"/>
    <w:rsid w:val="00356BFD"/>
    <w:rsid w:val="003607EE"/>
    <w:rsid w:val="003617AE"/>
    <w:rsid w:val="003630F7"/>
    <w:rsid w:val="003651AC"/>
    <w:rsid w:val="00365E28"/>
    <w:rsid w:val="00366120"/>
    <w:rsid w:val="003661FF"/>
    <w:rsid w:val="00366A0C"/>
    <w:rsid w:val="00367462"/>
    <w:rsid w:val="00370507"/>
    <w:rsid w:val="00372A01"/>
    <w:rsid w:val="003733DF"/>
    <w:rsid w:val="003751C7"/>
    <w:rsid w:val="00375C84"/>
    <w:rsid w:val="00376524"/>
    <w:rsid w:val="00380DBB"/>
    <w:rsid w:val="003819F5"/>
    <w:rsid w:val="00381D47"/>
    <w:rsid w:val="003835F0"/>
    <w:rsid w:val="003853ED"/>
    <w:rsid w:val="00386313"/>
    <w:rsid w:val="0039082A"/>
    <w:rsid w:val="0039101F"/>
    <w:rsid w:val="00393EEE"/>
    <w:rsid w:val="0039493D"/>
    <w:rsid w:val="00394E4F"/>
    <w:rsid w:val="00395752"/>
    <w:rsid w:val="00395D99"/>
    <w:rsid w:val="003964D3"/>
    <w:rsid w:val="003968DF"/>
    <w:rsid w:val="003A3927"/>
    <w:rsid w:val="003A6E29"/>
    <w:rsid w:val="003B1844"/>
    <w:rsid w:val="003B2041"/>
    <w:rsid w:val="003B211E"/>
    <w:rsid w:val="003B24EA"/>
    <w:rsid w:val="003B3FF1"/>
    <w:rsid w:val="003B4217"/>
    <w:rsid w:val="003B5716"/>
    <w:rsid w:val="003B71F4"/>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1F2E"/>
    <w:rsid w:val="003E2CCE"/>
    <w:rsid w:val="003E723C"/>
    <w:rsid w:val="003E7912"/>
    <w:rsid w:val="003F162C"/>
    <w:rsid w:val="003F5717"/>
    <w:rsid w:val="003F5A39"/>
    <w:rsid w:val="003F5B56"/>
    <w:rsid w:val="003F5B9F"/>
    <w:rsid w:val="003F6A6A"/>
    <w:rsid w:val="003F738D"/>
    <w:rsid w:val="00402E56"/>
    <w:rsid w:val="00403634"/>
    <w:rsid w:val="00404592"/>
    <w:rsid w:val="00404B58"/>
    <w:rsid w:val="00404B7A"/>
    <w:rsid w:val="0040544F"/>
    <w:rsid w:val="0040625C"/>
    <w:rsid w:val="00411B17"/>
    <w:rsid w:val="0041222D"/>
    <w:rsid w:val="00413F2C"/>
    <w:rsid w:val="00417083"/>
    <w:rsid w:val="00417215"/>
    <w:rsid w:val="0042057C"/>
    <w:rsid w:val="00420787"/>
    <w:rsid w:val="00421608"/>
    <w:rsid w:val="0042261E"/>
    <w:rsid w:val="00422749"/>
    <w:rsid w:val="004233DC"/>
    <w:rsid w:val="00424B32"/>
    <w:rsid w:val="00432F78"/>
    <w:rsid w:val="004334A2"/>
    <w:rsid w:val="00434723"/>
    <w:rsid w:val="00437D17"/>
    <w:rsid w:val="00437D2F"/>
    <w:rsid w:val="0044046D"/>
    <w:rsid w:val="004410D3"/>
    <w:rsid w:val="00441DAF"/>
    <w:rsid w:val="00443A34"/>
    <w:rsid w:val="00443D38"/>
    <w:rsid w:val="00444140"/>
    <w:rsid w:val="00444F43"/>
    <w:rsid w:val="00450744"/>
    <w:rsid w:val="00450BE7"/>
    <w:rsid w:val="0045230E"/>
    <w:rsid w:val="004528FA"/>
    <w:rsid w:val="00452D67"/>
    <w:rsid w:val="00452E53"/>
    <w:rsid w:val="00453739"/>
    <w:rsid w:val="00455B00"/>
    <w:rsid w:val="00455B97"/>
    <w:rsid w:val="00456BFD"/>
    <w:rsid w:val="004607D0"/>
    <w:rsid w:val="00460CE3"/>
    <w:rsid w:val="004612A4"/>
    <w:rsid w:val="00464BF1"/>
    <w:rsid w:val="004676E4"/>
    <w:rsid w:val="00467790"/>
    <w:rsid w:val="00470C48"/>
    <w:rsid w:val="00471429"/>
    <w:rsid w:val="00473C0A"/>
    <w:rsid w:val="00474415"/>
    <w:rsid w:val="0047550D"/>
    <w:rsid w:val="00477459"/>
    <w:rsid w:val="0048026E"/>
    <w:rsid w:val="004807A9"/>
    <w:rsid w:val="00481318"/>
    <w:rsid w:val="004813EE"/>
    <w:rsid w:val="00482CDC"/>
    <w:rsid w:val="004834D9"/>
    <w:rsid w:val="00483B03"/>
    <w:rsid w:val="00485702"/>
    <w:rsid w:val="004867EC"/>
    <w:rsid w:val="00487662"/>
    <w:rsid w:val="004876C6"/>
    <w:rsid w:val="00487D7B"/>
    <w:rsid w:val="00490F7A"/>
    <w:rsid w:val="00490FD5"/>
    <w:rsid w:val="00491241"/>
    <w:rsid w:val="00491813"/>
    <w:rsid w:val="00492AA7"/>
    <w:rsid w:val="00492B75"/>
    <w:rsid w:val="00492CA3"/>
    <w:rsid w:val="00493278"/>
    <w:rsid w:val="00497575"/>
    <w:rsid w:val="0049764B"/>
    <w:rsid w:val="004A08FB"/>
    <w:rsid w:val="004A0AD9"/>
    <w:rsid w:val="004A0B15"/>
    <w:rsid w:val="004A12C0"/>
    <w:rsid w:val="004A191A"/>
    <w:rsid w:val="004A1A70"/>
    <w:rsid w:val="004A419E"/>
    <w:rsid w:val="004A6B58"/>
    <w:rsid w:val="004A7F06"/>
    <w:rsid w:val="004B06C3"/>
    <w:rsid w:val="004B0B09"/>
    <w:rsid w:val="004B140F"/>
    <w:rsid w:val="004B53F1"/>
    <w:rsid w:val="004B5D6E"/>
    <w:rsid w:val="004B60BA"/>
    <w:rsid w:val="004C016E"/>
    <w:rsid w:val="004C1619"/>
    <w:rsid w:val="004C1B59"/>
    <w:rsid w:val="004C3E31"/>
    <w:rsid w:val="004C3E59"/>
    <w:rsid w:val="004C4EA2"/>
    <w:rsid w:val="004C596B"/>
    <w:rsid w:val="004C60E7"/>
    <w:rsid w:val="004D020F"/>
    <w:rsid w:val="004D03D1"/>
    <w:rsid w:val="004D11AF"/>
    <w:rsid w:val="004D40A8"/>
    <w:rsid w:val="004D502C"/>
    <w:rsid w:val="004D5B3E"/>
    <w:rsid w:val="004D60A3"/>
    <w:rsid w:val="004E016A"/>
    <w:rsid w:val="004E0461"/>
    <w:rsid w:val="004E29B1"/>
    <w:rsid w:val="004E2E2A"/>
    <w:rsid w:val="004E461B"/>
    <w:rsid w:val="004E477D"/>
    <w:rsid w:val="004E54AE"/>
    <w:rsid w:val="004E5890"/>
    <w:rsid w:val="004E7B33"/>
    <w:rsid w:val="004F01B1"/>
    <w:rsid w:val="004F0D19"/>
    <w:rsid w:val="004F121B"/>
    <w:rsid w:val="004F2811"/>
    <w:rsid w:val="004F54A3"/>
    <w:rsid w:val="004F60F4"/>
    <w:rsid w:val="004F62E8"/>
    <w:rsid w:val="004F78B1"/>
    <w:rsid w:val="004F78F8"/>
    <w:rsid w:val="005001A5"/>
    <w:rsid w:val="00500958"/>
    <w:rsid w:val="005019AA"/>
    <w:rsid w:val="00501F0D"/>
    <w:rsid w:val="0050386D"/>
    <w:rsid w:val="00503C3B"/>
    <w:rsid w:val="00503CE7"/>
    <w:rsid w:val="005042DB"/>
    <w:rsid w:val="0050458E"/>
    <w:rsid w:val="00510452"/>
    <w:rsid w:val="005108EC"/>
    <w:rsid w:val="005147DA"/>
    <w:rsid w:val="005153C3"/>
    <w:rsid w:val="00515745"/>
    <w:rsid w:val="00515862"/>
    <w:rsid w:val="00516942"/>
    <w:rsid w:val="00516DC0"/>
    <w:rsid w:val="0051740E"/>
    <w:rsid w:val="005233F3"/>
    <w:rsid w:val="0052365C"/>
    <w:rsid w:val="005245D2"/>
    <w:rsid w:val="00524C98"/>
    <w:rsid w:val="00524C9C"/>
    <w:rsid w:val="00524EDD"/>
    <w:rsid w:val="00525B59"/>
    <w:rsid w:val="005269C4"/>
    <w:rsid w:val="00533DBF"/>
    <w:rsid w:val="00536442"/>
    <w:rsid w:val="00536919"/>
    <w:rsid w:val="005415DD"/>
    <w:rsid w:val="005423F3"/>
    <w:rsid w:val="005426DB"/>
    <w:rsid w:val="00542C2D"/>
    <w:rsid w:val="00550113"/>
    <w:rsid w:val="0055082B"/>
    <w:rsid w:val="00550F00"/>
    <w:rsid w:val="00551ED7"/>
    <w:rsid w:val="0055211C"/>
    <w:rsid w:val="0055263A"/>
    <w:rsid w:val="00552B57"/>
    <w:rsid w:val="00553E34"/>
    <w:rsid w:val="005551E9"/>
    <w:rsid w:val="0055786C"/>
    <w:rsid w:val="00560C62"/>
    <w:rsid w:val="00562A61"/>
    <w:rsid w:val="005652D5"/>
    <w:rsid w:val="00571BC2"/>
    <w:rsid w:val="00574614"/>
    <w:rsid w:val="00574A70"/>
    <w:rsid w:val="005759D1"/>
    <w:rsid w:val="00575C75"/>
    <w:rsid w:val="00577AC3"/>
    <w:rsid w:val="00577D57"/>
    <w:rsid w:val="00577FF1"/>
    <w:rsid w:val="005811EC"/>
    <w:rsid w:val="005815A8"/>
    <w:rsid w:val="00583431"/>
    <w:rsid w:val="005846C0"/>
    <w:rsid w:val="00584D04"/>
    <w:rsid w:val="0058567E"/>
    <w:rsid w:val="0058659E"/>
    <w:rsid w:val="005872DD"/>
    <w:rsid w:val="00587D3A"/>
    <w:rsid w:val="00590346"/>
    <w:rsid w:val="00590E93"/>
    <w:rsid w:val="005915E1"/>
    <w:rsid w:val="00591C75"/>
    <w:rsid w:val="00592A87"/>
    <w:rsid w:val="00592D10"/>
    <w:rsid w:val="00593A5F"/>
    <w:rsid w:val="0059404E"/>
    <w:rsid w:val="00594269"/>
    <w:rsid w:val="00594E32"/>
    <w:rsid w:val="00595539"/>
    <w:rsid w:val="005A2E02"/>
    <w:rsid w:val="005A3E82"/>
    <w:rsid w:val="005A4DB0"/>
    <w:rsid w:val="005A5597"/>
    <w:rsid w:val="005A6AC2"/>
    <w:rsid w:val="005A7A65"/>
    <w:rsid w:val="005A7B26"/>
    <w:rsid w:val="005A7B8E"/>
    <w:rsid w:val="005B012B"/>
    <w:rsid w:val="005B0C87"/>
    <w:rsid w:val="005B0D20"/>
    <w:rsid w:val="005B2195"/>
    <w:rsid w:val="005B2441"/>
    <w:rsid w:val="005B2D65"/>
    <w:rsid w:val="005B3877"/>
    <w:rsid w:val="005B3CC1"/>
    <w:rsid w:val="005B442C"/>
    <w:rsid w:val="005B45AB"/>
    <w:rsid w:val="005B4D8F"/>
    <w:rsid w:val="005B610B"/>
    <w:rsid w:val="005B6551"/>
    <w:rsid w:val="005B71A8"/>
    <w:rsid w:val="005C3D2C"/>
    <w:rsid w:val="005C3E9E"/>
    <w:rsid w:val="005C410C"/>
    <w:rsid w:val="005C4BF1"/>
    <w:rsid w:val="005C4BF2"/>
    <w:rsid w:val="005C5BED"/>
    <w:rsid w:val="005C5D86"/>
    <w:rsid w:val="005C6167"/>
    <w:rsid w:val="005C6EE2"/>
    <w:rsid w:val="005C7A07"/>
    <w:rsid w:val="005C7DDC"/>
    <w:rsid w:val="005D123A"/>
    <w:rsid w:val="005D2506"/>
    <w:rsid w:val="005D4923"/>
    <w:rsid w:val="005D5605"/>
    <w:rsid w:val="005D5B5E"/>
    <w:rsid w:val="005D5C85"/>
    <w:rsid w:val="005D70D3"/>
    <w:rsid w:val="005D72FC"/>
    <w:rsid w:val="005E035A"/>
    <w:rsid w:val="005E1218"/>
    <w:rsid w:val="005E1B6B"/>
    <w:rsid w:val="005E1DB7"/>
    <w:rsid w:val="005E2281"/>
    <w:rsid w:val="005E347B"/>
    <w:rsid w:val="005E38A8"/>
    <w:rsid w:val="005E39F9"/>
    <w:rsid w:val="005E55BB"/>
    <w:rsid w:val="005E58E0"/>
    <w:rsid w:val="005E5D11"/>
    <w:rsid w:val="005E667C"/>
    <w:rsid w:val="005E6A1D"/>
    <w:rsid w:val="005E6F12"/>
    <w:rsid w:val="005F077C"/>
    <w:rsid w:val="005F3678"/>
    <w:rsid w:val="005F3CE8"/>
    <w:rsid w:val="005F4F41"/>
    <w:rsid w:val="005F56DB"/>
    <w:rsid w:val="005F68C3"/>
    <w:rsid w:val="00601E94"/>
    <w:rsid w:val="006021B1"/>
    <w:rsid w:val="006037C5"/>
    <w:rsid w:val="006040CE"/>
    <w:rsid w:val="0060467D"/>
    <w:rsid w:val="00605B9D"/>
    <w:rsid w:val="0060676F"/>
    <w:rsid w:val="00606B57"/>
    <w:rsid w:val="00606B85"/>
    <w:rsid w:val="00607390"/>
    <w:rsid w:val="006076D8"/>
    <w:rsid w:val="00607E6D"/>
    <w:rsid w:val="00611565"/>
    <w:rsid w:val="00612871"/>
    <w:rsid w:val="00612A8E"/>
    <w:rsid w:val="006135DA"/>
    <w:rsid w:val="006155E2"/>
    <w:rsid w:val="00615F26"/>
    <w:rsid w:val="00620579"/>
    <w:rsid w:val="00621FB4"/>
    <w:rsid w:val="00623BC7"/>
    <w:rsid w:val="006241D0"/>
    <w:rsid w:val="00625434"/>
    <w:rsid w:val="00626032"/>
    <w:rsid w:val="00626743"/>
    <w:rsid w:val="00627643"/>
    <w:rsid w:val="00627788"/>
    <w:rsid w:val="006300CD"/>
    <w:rsid w:val="0063017E"/>
    <w:rsid w:val="006306D3"/>
    <w:rsid w:val="00631D4F"/>
    <w:rsid w:val="00633496"/>
    <w:rsid w:val="006338D2"/>
    <w:rsid w:val="00635FD8"/>
    <w:rsid w:val="00636F7B"/>
    <w:rsid w:val="0064019C"/>
    <w:rsid w:val="00640288"/>
    <w:rsid w:val="006405AC"/>
    <w:rsid w:val="00640606"/>
    <w:rsid w:val="006413D8"/>
    <w:rsid w:val="00641C55"/>
    <w:rsid w:val="00642405"/>
    <w:rsid w:val="00642645"/>
    <w:rsid w:val="00644BED"/>
    <w:rsid w:val="00652092"/>
    <w:rsid w:val="00652472"/>
    <w:rsid w:val="006556BD"/>
    <w:rsid w:val="00656385"/>
    <w:rsid w:val="00660DBE"/>
    <w:rsid w:val="0066127D"/>
    <w:rsid w:val="006619B9"/>
    <w:rsid w:val="00661AEE"/>
    <w:rsid w:val="0066351C"/>
    <w:rsid w:val="00664693"/>
    <w:rsid w:val="00664DC0"/>
    <w:rsid w:val="006651CC"/>
    <w:rsid w:val="00665CA1"/>
    <w:rsid w:val="006663E0"/>
    <w:rsid w:val="00667A31"/>
    <w:rsid w:val="00670702"/>
    <w:rsid w:val="006713F2"/>
    <w:rsid w:val="0067147C"/>
    <w:rsid w:val="00672A8A"/>
    <w:rsid w:val="00673F50"/>
    <w:rsid w:val="0067462C"/>
    <w:rsid w:val="006759B0"/>
    <w:rsid w:val="00677012"/>
    <w:rsid w:val="00680D0E"/>
    <w:rsid w:val="006825B4"/>
    <w:rsid w:val="006829BA"/>
    <w:rsid w:val="00682AF2"/>
    <w:rsid w:val="006837DE"/>
    <w:rsid w:val="00684040"/>
    <w:rsid w:val="0068537F"/>
    <w:rsid w:val="00687628"/>
    <w:rsid w:val="00687CFE"/>
    <w:rsid w:val="00690EB8"/>
    <w:rsid w:val="006915E5"/>
    <w:rsid w:val="00692401"/>
    <w:rsid w:val="0069758B"/>
    <w:rsid w:val="006A07DF"/>
    <w:rsid w:val="006A0B6C"/>
    <w:rsid w:val="006A16E1"/>
    <w:rsid w:val="006A3C8A"/>
    <w:rsid w:val="006A3E61"/>
    <w:rsid w:val="006A590B"/>
    <w:rsid w:val="006A6107"/>
    <w:rsid w:val="006A6737"/>
    <w:rsid w:val="006B0927"/>
    <w:rsid w:val="006B236C"/>
    <w:rsid w:val="006B26B1"/>
    <w:rsid w:val="006B2E45"/>
    <w:rsid w:val="006B441C"/>
    <w:rsid w:val="006B5D32"/>
    <w:rsid w:val="006B758B"/>
    <w:rsid w:val="006B7BF8"/>
    <w:rsid w:val="006C01C8"/>
    <w:rsid w:val="006C0783"/>
    <w:rsid w:val="006C25D5"/>
    <w:rsid w:val="006C262B"/>
    <w:rsid w:val="006C27EB"/>
    <w:rsid w:val="006C3A2D"/>
    <w:rsid w:val="006C4666"/>
    <w:rsid w:val="006C49BF"/>
    <w:rsid w:val="006C63D7"/>
    <w:rsid w:val="006C7535"/>
    <w:rsid w:val="006D2F09"/>
    <w:rsid w:val="006D3DC0"/>
    <w:rsid w:val="006D403A"/>
    <w:rsid w:val="006D40CB"/>
    <w:rsid w:val="006D5A5F"/>
    <w:rsid w:val="006D5E84"/>
    <w:rsid w:val="006D7271"/>
    <w:rsid w:val="006D7C99"/>
    <w:rsid w:val="006E0443"/>
    <w:rsid w:val="006E0B61"/>
    <w:rsid w:val="006E0DCF"/>
    <w:rsid w:val="006E1647"/>
    <w:rsid w:val="006E310A"/>
    <w:rsid w:val="006E3C3E"/>
    <w:rsid w:val="006E429F"/>
    <w:rsid w:val="006E6F30"/>
    <w:rsid w:val="006E7082"/>
    <w:rsid w:val="006F030F"/>
    <w:rsid w:val="006F084B"/>
    <w:rsid w:val="006F193C"/>
    <w:rsid w:val="006F1B58"/>
    <w:rsid w:val="006F2B89"/>
    <w:rsid w:val="006F3B81"/>
    <w:rsid w:val="006F4D59"/>
    <w:rsid w:val="006F4F79"/>
    <w:rsid w:val="006F4F80"/>
    <w:rsid w:val="006F5532"/>
    <w:rsid w:val="006F5F22"/>
    <w:rsid w:val="006F62CC"/>
    <w:rsid w:val="006F681D"/>
    <w:rsid w:val="006F69D6"/>
    <w:rsid w:val="006F7B1F"/>
    <w:rsid w:val="0070235F"/>
    <w:rsid w:val="00702BC3"/>
    <w:rsid w:val="007032B5"/>
    <w:rsid w:val="00703496"/>
    <w:rsid w:val="007036FE"/>
    <w:rsid w:val="00705B37"/>
    <w:rsid w:val="0070658A"/>
    <w:rsid w:val="00706B65"/>
    <w:rsid w:val="00707C1A"/>
    <w:rsid w:val="0071023D"/>
    <w:rsid w:val="00710530"/>
    <w:rsid w:val="00712912"/>
    <w:rsid w:val="00716395"/>
    <w:rsid w:val="007168A0"/>
    <w:rsid w:val="00716C95"/>
    <w:rsid w:val="00717762"/>
    <w:rsid w:val="00721A63"/>
    <w:rsid w:val="00721FF9"/>
    <w:rsid w:val="00725735"/>
    <w:rsid w:val="00731224"/>
    <w:rsid w:val="00734BB9"/>
    <w:rsid w:val="00736395"/>
    <w:rsid w:val="00736459"/>
    <w:rsid w:val="00737821"/>
    <w:rsid w:val="00741175"/>
    <w:rsid w:val="007419FB"/>
    <w:rsid w:val="00742606"/>
    <w:rsid w:val="00743575"/>
    <w:rsid w:val="00743D9D"/>
    <w:rsid w:val="007441FF"/>
    <w:rsid w:val="00744B0E"/>
    <w:rsid w:val="00744EE8"/>
    <w:rsid w:val="007467E4"/>
    <w:rsid w:val="00747569"/>
    <w:rsid w:val="00750238"/>
    <w:rsid w:val="0075023C"/>
    <w:rsid w:val="007523E7"/>
    <w:rsid w:val="00754252"/>
    <w:rsid w:val="0075482A"/>
    <w:rsid w:val="007577B1"/>
    <w:rsid w:val="00757D87"/>
    <w:rsid w:val="00760D3F"/>
    <w:rsid w:val="00760EED"/>
    <w:rsid w:val="0076109F"/>
    <w:rsid w:val="007619CE"/>
    <w:rsid w:val="00761F4F"/>
    <w:rsid w:val="007620DC"/>
    <w:rsid w:val="00762102"/>
    <w:rsid w:val="0076255D"/>
    <w:rsid w:val="007625F6"/>
    <w:rsid w:val="00762B8B"/>
    <w:rsid w:val="00764AF9"/>
    <w:rsid w:val="00765D18"/>
    <w:rsid w:val="00770C54"/>
    <w:rsid w:val="00772613"/>
    <w:rsid w:val="00772B41"/>
    <w:rsid w:val="00777617"/>
    <w:rsid w:val="00777D6B"/>
    <w:rsid w:val="0078265B"/>
    <w:rsid w:val="00782E10"/>
    <w:rsid w:val="007853B2"/>
    <w:rsid w:val="00785491"/>
    <w:rsid w:val="00786448"/>
    <w:rsid w:val="00790A93"/>
    <w:rsid w:val="007911FF"/>
    <w:rsid w:val="0079134E"/>
    <w:rsid w:val="0079278E"/>
    <w:rsid w:val="00792E3C"/>
    <w:rsid w:val="007930C1"/>
    <w:rsid w:val="007960E3"/>
    <w:rsid w:val="00796F7C"/>
    <w:rsid w:val="00797131"/>
    <w:rsid w:val="007A343D"/>
    <w:rsid w:val="007A5ACE"/>
    <w:rsid w:val="007A6528"/>
    <w:rsid w:val="007A7B48"/>
    <w:rsid w:val="007B18C6"/>
    <w:rsid w:val="007B18D2"/>
    <w:rsid w:val="007B20C2"/>
    <w:rsid w:val="007B27E4"/>
    <w:rsid w:val="007B35F6"/>
    <w:rsid w:val="007B3F87"/>
    <w:rsid w:val="007B404F"/>
    <w:rsid w:val="007B5B15"/>
    <w:rsid w:val="007B6E28"/>
    <w:rsid w:val="007B7B52"/>
    <w:rsid w:val="007C2F60"/>
    <w:rsid w:val="007C5613"/>
    <w:rsid w:val="007C6BC6"/>
    <w:rsid w:val="007C6DAA"/>
    <w:rsid w:val="007C73B2"/>
    <w:rsid w:val="007D0435"/>
    <w:rsid w:val="007D0643"/>
    <w:rsid w:val="007D400A"/>
    <w:rsid w:val="007D4B0E"/>
    <w:rsid w:val="007D4DD2"/>
    <w:rsid w:val="007E2419"/>
    <w:rsid w:val="007E3FF5"/>
    <w:rsid w:val="007E4219"/>
    <w:rsid w:val="007E577E"/>
    <w:rsid w:val="007E635E"/>
    <w:rsid w:val="007E6C0C"/>
    <w:rsid w:val="007F038C"/>
    <w:rsid w:val="007F0F24"/>
    <w:rsid w:val="007F222B"/>
    <w:rsid w:val="007F3092"/>
    <w:rsid w:val="007F39B8"/>
    <w:rsid w:val="007F4A6F"/>
    <w:rsid w:val="007F4FBC"/>
    <w:rsid w:val="007F5975"/>
    <w:rsid w:val="007F7DF2"/>
    <w:rsid w:val="00800A35"/>
    <w:rsid w:val="00801A0E"/>
    <w:rsid w:val="00804E4C"/>
    <w:rsid w:val="0080662C"/>
    <w:rsid w:val="008070B2"/>
    <w:rsid w:val="00807D79"/>
    <w:rsid w:val="00810102"/>
    <w:rsid w:val="00811079"/>
    <w:rsid w:val="008117C4"/>
    <w:rsid w:val="0081344A"/>
    <w:rsid w:val="008149D8"/>
    <w:rsid w:val="00815E69"/>
    <w:rsid w:val="00817C07"/>
    <w:rsid w:val="00817CFC"/>
    <w:rsid w:val="00821D81"/>
    <w:rsid w:val="008221DC"/>
    <w:rsid w:val="00823654"/>
    <w:rsid w:val="00823A90"/>
    <w:rsid w:val="0082757E"/>
    <w:rsid w:val="00827D77"/>
    <w:rsid w:val="00830561"/>
    <w:rsid w:val="00831115"/>
    <w:rsid w:val="008325CA"/>
    <w:rsid w:val="00832D42"/>
    <w:rsid w:val="00833419"/>
    <w:rsid w:val="008335D4"/>
    <w:rsid w:val="008342A5"/>
    <w:rsid w:val="00834BE2"/>
    <w:rsid w:val="00834EA4"/>
    <w:rsid w:val="00835DCB"/>
    <w:rsid w:val="0084139B"/>
    <w:rsid w:val="0084143B"/>
    <w:rsid w:val="00842547"/>
    <w:rsid w:val="008427D3"/>
    <w:rsid w:val="0084324C"/>
    <w:rsid w:val="008451F8"/>
    <w:rsid w:val="008457D2"/>
    <w:rsid w:val="00846212"/>
    <w:rsid w:val="008468E0"/>
    <w:rsid w:val="00847BE7"/>
    <w:rsid w:val="00850EAB"/>
    <w:rsid w:val="00851DA2"/>
    <w:rsid w:val="008529B3"/>
    <w:rsid w:val="00852ADD"/>
    <w:rsid w:val="00853883"/>
    <w:rsid w:val="00860D70"/>
    <w:rsid w:val="008616A2"/>
    <w:rsid w:val="00861C6C"/>
    <w:rsid w:val="00861CAC"/>
    <w:rsid w:val="0086308A"/>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1D7A"/>
    <w:rsid w:val="00891DFC"/>
    <w:rsid w:val="00892B98"/>
    <w:rsid w:val="00894EA4"/>
    <w:rsid w:val="008959FC"/>
    <w:rsid w:val="008A1D0E"/>
    <w:rsid w:val="008A31C7"/>
    <w:rsid w:val="008A3CA6"/>
    <w:rsid w:val="008A4AEC"/>
    <w:rsid w:val="008A5609"/>
    <w:rsid w:val="008A6DF0"/>
    <w:rsid w:val="008A6FA0"/>
    <w:rsid w:val="008B2B19"/>
    <w:rsid w:val="008B2F40"/>
    <w:rsid w:val="008B3627"/>
    <w:rsid w:val="008B540C"/>
    <w:rsid w:val="008B5E61"/>
    <w:rsid w:val="008B7914"/>
    <w:rsid w:val="008B7FCB"/>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4703"/>
    <w:rsid w:val="008E606F"/>
    <w:rsid w:val="008E6AD9"/>
    <w:rsid w:val="008F022A"/>
    <w:rsid w:val="008F22A6"/>
    <w:rsid w:val="008F27E3"/>
    <w:rsid w:val="008F28C5"/>
    <w:rsid w:val="008F29F0"/>
    <w:rsid w:val="008F3485"/>
    <w:rsid w:val="008F3AC3"/>
    <w:rsid w:val="008F51FF"/>
    <w:rsid w:val="008F5DEF"/>
    <w:rsid w:val="009004EC"/>
    <w:rsid w:val="009011BE"/>
    <w:rsid w:val="009011C7"/>
    <w:rsid w:val="009026CB"/>
    <w:rsid w:val="00904038"/>
    <w:rsid w:val="009041AF"/>
    <w:rsid w:val="009049AB"/>
    <w:rsid w:val="009050B7"/>
    <w:rsid w:val="00905130"/>
    <w:rsid w:val="009061B8"/>
    <w:rsid w:val="009105B8"/>
    <w:rsid w:val="009130CC"/>
    <w:rsid w:val="00914683"/>
    <w:rsid w:val="009147B8"/>
    <w:rsid w:val="00914861"/>
    <w:rsid w:val="009148D8"/>
    <w:rsid w:val="0091583E"/>
    <w:rsid w:val="00915CD5"/>
    <w:rsid w:val="00916093"/>
    <w:rsid w:val="009160E3"/>
    <w:rsid w:val="0091639C"/>
    <w:rsid w:val="00922BF0"/>
    <w:rsid w:val="009255FA"/>
    <w:rsid w:val="009262E4"/>
    <w:rsid w:val="00927D4E"/>
    <w:rsid w:val="00930D2A"/>
    <w:rsid w:val="00931B84"/>
    <w:rsid w:val="00931F90"/>
    <w:rsid w:val="00932E7E"/>
    <w:rsid w:val="0093442D"/>
    <w:rsid w:val="00934CD2"/>
    <w:rsid w:val="009375E5"/>
    <w:rsid w:val="00941208"/>
    <w:rsid w:val="00941848"/>
    <w:rsid w:val="009437F2"/>
    <w:rsid w:val="009442E8"/>
    <w:rsid w:val="009452E7"/>
    <w:rsid w:val="0094759C"/>
    <w:rsid w:val="00951666"/>
    <w:rsid w:val="00952524"/>
    <w:rsid w:val="009526A8"/>
    <w:rsid w:val="0095278F"/>
    <w:rsid w:val="0095290A"/>
    <w:rsid w:val="00953AD4"/>
    <w:rsid w:val="0095426C"/>
    <w:rsid w:val="00956BF5"/>
    <w:rsid w:val="009571C2"/>
    <w:rsid w:val="0095770C"/>
    <w:rsid w:val="00957CC8"/>
    <w:rsid w:val="00957EE7"/>
    <w:rsid w:val="00961453"/>
    <w:rsid w:val="009616D4"/>
    <w:rsid w:val="00964166"/>
    <w:rsid w:val="0096429B"/>
    <w:rsid w:val="0096475C"/>
    <w:rsid w:val="0096546E"/>
    <w:rsid w:val="0096562A"/>
    <w:rsid w:val="00965644"/>
    <w:rsid w:val="00965865"/>
    <w:rsid w:val="00967730"/>
    <w:rsid w:val="00970E50"/>
    <w:rsid w:val="00971074"/>
    <w:rsid w:val="00971E8B"/>
    <w:rsid w:val="009747AA"/>
    <w:rsid w:val="00974BCB"/>
    <w:rsid w:val="0097507B"/>
    <w:rsid w:val="009763E4"/>
    <w:rsid w:val="00980A22"/>
    <w:rsid w:val="00983599"/>
    <w:rsid w:val="00983C94"/>
    <w:rsid w:val="00985B04"/>
    <w:rsid w:val="00986BEF"/>
    <w:rsid w:val="00992499"/>
    <w:rsid w:val="009927F5"/>
    <w:rsid w:val="00992986"/>
    <w:rsid w:val="00994B55"/>
    <w:rsid w:val="00995D86"/>
    <w:rsid w:val="009A1C63"/>
    <w:rsid w:val="009A1F6B"/>
    <w:rsid w:val="009A2C4C"/>
    <w:rsid w:val="009A2CDC"/>
    <w:rsid w:val="009A2DD8"/>
    <w:rsid w:val="009A30DE"/>
    <w:rsid w:val="009A5453"/>
    <w:rsid w:val="009A7883"/>
    <w:rsid w:val="009B2760"/>
    <w:rsid w:val="009B308D"/>
    <w:rsid w:val="009B3B62"/>
    <w:rsid w:val="009B4FFB"/>
    <w:rsid w:val="009B7489"/>
    <w:rsid w:val="009B7B0A"/>
    <w:rsid w:val="009C07C9"/>
    <w:rsid w:val="009C08D7"/>
    <w:rsid w:val="009C255E"/>
    <w:rsid w:val="009C303B"/>
    <w:rsid w:val="009C4E0D"/>
    <w:rsid w:val="009C4F1B"/>
    <w:rsid w:val="009C503B"/>
    <w:rsid w:val="009D07C4"/>
    <w:rsid w:val="009D0C5A"/>
    <w:rsid w:val="009D3AD2"/>
    <w:rsid w:val="009D3E06"/>
    <w:rsid w:val="009D638D"/>
    <w:rsid w:val="009E11AB"/>
    <w:rsid w:val="009E1CC8"/>
    <w:rsid w:val="009E30D2"/>
    <w:rsid w:val="009E4885"/>
    <w:rsid w:val="009E508B"/>
    <w:rsid w:val="009E6457"/>
    <w:rsid w:val="009E7F53"/>
    <w:rsid w:val="009F0A85"/>
    <w:rsid w:val="009F1B71"/>
    <w:rsid w:val="009F220A"/>
    <w:rsid w:val="009F3519"/>
    <w:rsid w:val="009F36D6"/>
    <w:rsid w:val="009F708E"/>
    <w:rsid w:val="00A02FA8"/>
    <w:rsid w:val="00A03525"/>
    <w:rsid w:val="00A03F74"/>
    <w:rsid w:val="00A05C04"/>
    <w:rsid w:val="00A07DB6"/>
    <w:rsid w:val="00A10BA7"/>
    <w:rsid w:val="00A11406"/>
    <w:rsid w:val="00A132A1"/>
    <w:rsid w:val="00A1554D"/>
    <w:rsid w:val="00A158E3"/>
    <w:rsid w:val="00A172E0"/>
    <w:rsid w:val="00A221A3"/>
    <w:rsid w:val="00A223D5"/>
    <w:rsid w:val="00A233B6"/>
    <w:rsid w:val="00A23E0E"/>
    <w:rsid w:val="00A23F41"/>
    <w:rsid w:val="00A25547"/>
    <w:rsid w:val="00A31E14"/>
    <w:rsid w:val="00A36CEB"/>
    <w:rsid w:val="00A37B0C"/>
    <w:rsid w:val="00A37D1C"/>
    <w:rsid w:val="00A37FFE"/>
    <w:rsid w:val="00A41FEF"/>
    <w:rsid w:val="00A42476"/>
    <w:rsid w:val="00A433CA"/>
    <w:rsid w:val="00A43F3C"/>
    <w:rsid w:val="00A468FD"/>
    <w:rsid w:val="00A46921"/>
    <w:rsid w:val="00A47249"/>
    <w:rsid w:val="00A501C7"/>
    <w:rsid w:val="00A51192"/>
    <w:rsid w:val="00A513FD"/>
    <w:rsid w:val="00A52BC1"/>
    <w:rsid w:val="00A52E3C"/>
    <w:rsid w:val="00A534A0"/>
    <w:rsid w:val="00A539AD"/>
    <w:rsid w:val="00A540B2"/>
    <w:rsid w:val="00A56819"/>
    <w:rsid w:val="00A60E9C"/>
    <w:rsid w:val="00A61879"/>
    <w:rsid w:val="00A6444F"/>
    <w:rsid w:val="00A652FF"/>
    <w:rsid w:val="00A65A0D"/>
    <w:rsid w:val="00A65C27"/>
    <w:rsid w:val="00A65F3C"/>
    <w:rsid w:val="00A714A3"/>
    <w:rsid w:val="00A71B8B"/>
    <w:rsid w:val="00A75089"/>
    <w:rsid w:val="00A75EDC"/>
    <w:rsid w:val="00A77C94"/>
    <w:rsid w:val="00A80404"/>
    <w:rsid w:val="00A817A8"/>
    <w:rsid w:val="00A81E50"/>
    <w:rsid w:val="00A82DA0"/>
    <w:rsid w:val="00A831DE"/>
    <w:rsid w:val="00A83E49"/>
    <w:rsid w:val="00A8415A"/>
    <w:rsid w:val="00A841A6"/>
    <w:rsid w:val="00A84221"/>
    <w:rsid w:val="00A84B7A"/>
    <w:rsid w:val="00A86FBC"/>
    <w:rsid w:val="00A902AD"/>
    <w:rsid w:val="00A9099E"/>
    <w:rsid w:val="00A91FB7"/>
    <w:rsid w:val="00A9298F"/>
    <w:rsid w:val="00A9301E"/>
    <w:rsid w:val="00A940B1"/>
    <w:rsid w:val="00A9456D"/>
    <w:rsid w:val="00A95186"/>
    <w:rsid w:val="00AA1224"/>
    <w:rsid w:val="00AA14F2"/>
    <w:rsid w:val="00AA180B"/>
    <w:rsid w:val="00AA1D43"/>
    <w:rsid w:val="00AA3301"/>
    <w:rsid w:val="00AA3360"/>
    <w:rsid w:val="00AA6B93"/>
    <w:rsid w:val="00AA7A06"/>
    <w:rsid w:val="00AB1984"/>
    <w:rsid w:val="00AB1CBB"/>
    <w:rsid w:val="00AB215B"/>
    <w:rsid w:val="00AB333E"/>
    <w:rsid w:val="00AB37DB"/>
    <w:rsid w:val="00AB3C07"/>
    <w:rsid w:val="00AB4952"/>
    <w:rsid w:val="00AB5F48"/>
    <w:rsid w:val="00AB716D"/>
    <w:rsid w:val="00AB7BF3"/>
    <w:rsid w:val="00AC1AA3"/>
    <w:rsid w:val="00AC1F8E"/>
    <w:rsid w:val="00AC286B"/>
    <w:rsid w:val="00AC4CB3"/>
    <w:rsid w:val="00AC4D7C"/>
    <w:rsid w:val="00AC6EF2"/>
    <w:rsid w:val="00AC71A6"/>
    <w:rsid w:val="00AC742F"/>
    <w:rsid w:val="00AC754B"/>
    <w:rsid w:val="00AC774F"/>
    <w:rsid w:val="00AC780D"/>
    <w:rsid w:val="00AC787B"/>
    <w:rsid w:val="00AC7956"/>
    <w:rsid w:val="00AC7E18"/>
    <w:rsid w:val="00AD0B5C"/>
    <w:rsid w:val="00AD1B79"/>
    <w:rsid w:val="00AD50F8"/>
    <w:rsid w:val="00AE3E11"/>
    <w:rsid w:val="00AE4BDC"/>
    <w:rsid w:val="00AE55AD"/>
    <w:rsid w:val="00AE6D49"/>
    <w:rsid w:val="00AE78ED"/>
    <w:rsid w:val="00AF1117"/>
    <w:rsid w:val="00AF1555"/>
    <w:rsid w:val="00AF18BA"/>
    <w:rsid w:val="00AF228C"/>
    <w:rsid w:val="00AF2DB9"/>
    <w:rsid w:val="00AF3B55"/>
    <w:rsid w:val="00AF3D62"/>
    <w:rsid w:val="00AF6373"/>
    <w:rsid w:val="00AF6AC5"/>
    <w:rsid w:val="00AF7809"/>
    <w:rsid w:val="00AF7F7B"/>
    <w:rsid w:val="00B0104B"/>
    <w:rsid w:val="00B021E0"/>
    <w:rsid w:val="00B03A35"/>
    <w:rsid w:val="00B04F99"/>
    <w:rsid w:val="00B057B6"/>
    <w:rsid w:val="00B0675E"/>
    <w:rsid w:val="00B07F41"/>
    <w:rsid w:val="00B11C80"/>
    <w:rsid w:val="00B12DCA"/>
    <w:rsid w:val="00B13ECB"/>
    <w:rsid w:val="00B1524F"/>
    <w:rsid w:val="00B15D58"/>
    <w:rsid w:val="00B215D5"/>
    <w:rsid w:val="00B22870"/>
    <w:rsid w:val="00B22A22"/>
    <w:rsid w:val="00B2328E"/>
    <w:rsid w:val="00B23F4C"/>
    <w:rsid w:val="00B24BA7"/>
    <w:rsid w:val="00B268D0"/>
    <w:rsid w:val="00B269D3"/>
    <w:rsid w:val="00B30448"/>
    <w:rsid w:val="00B30D75"/>
    <w:rsid w:val="00B31315"/>
    <w:rsid w:val="00B34D6A"/>
    <w:rsid w:val="00B35749"/>
    <w:rsid w:val="00B35EF5"/>
    <w:rsid w:val="00B3704D"/>
    <w:rsid w:val="00B40162"/>
    <w:rsid w:val="00B40FDB"/>
    <w:rsid w:val="00B430F6"/>
    <w:rsid w:val="00B45528"/>
    <w:rsid w:val="00B478FA"/>
    <w:rsid w:val="00B50156"/>
    <w:rsid w:val="00B509AE"/>
    <w:rsid w:val="00B50E13"/>
    <w:rsid w:val="00B51581"/>
    <w:rsid w:val="00B518AD"/>
    <w:rsid w:val="00B52D81"/>
    <w:rsid w:val="00B56866"/>
    <w:rsid w:val="00B604BB"/>
    <w:rsid w:val="00B60A96"/>
    <w:rsid w:val="00B60DD7"/>
    <w:rsid w:val="00B60EB6"/>
    <w:rsid w:val="00B61023"/>
    <w:rsid w:val="00B6386F"/>
    <w:rsid w:val="00B67346"/>
    <w:rsid w:val="00B6793A"/>
    <w:rsid w:val="00B71607"/>
    <w:rsid w:val="00B72361"/>
    <w:rsid w:val="00B75345"/>
    <w:rsid w:val="00B76327"/>
    <w:rsid w:val="00B76400"/>
    <w:rsid w:val="00B76C94"/>
    <w:rsid w:val="00B76D4E"/>
    <w:rsid w:val="00B76F42"/>
    <w:rsid w:val="00B771AA"/>
    <w:rsid w:val="00B772D0"/>
    <w:rsid w:val="00B83117"/>
    <w:rsid w:val="00B8319C"/>
    <w:rsid w:val="00B834A5"/>
    <w:rsid w:val="00B906F2"/>
    <w:rsid w:val="00B90D9B"/>
    <w:rsid w:val="00B91B81"/>
    <w:rsid w:val="00B91FF0"/>
    <w:rsid w:val="00B92FFF"/>
    <w:rsid w:val="00B951B8"/>
    <w:rsid w:val="00B96799"/>
    <w:rsid w:val="00B96DE5"/>
    <w:rsid w:val="00B9741B"/>
    <w:rsid w:val="00B97A76"/>
    <w:rsid w:val="00BA0166"/>
    <w:rsid w:val="00BA0584"/>
    <w:rsid w:val="00BA1E78"/>
    <w:rsid w:val="00BA249D"/>
    <w:rsid w:val="00BA4D00"/>
    <w:rsid w:val="00BA5665"/>
    <w:rsid w:val="00BB0AB5"/>
    <w:rsid w:val="00BB33E9"/>
    <w:rsid w:val="00BB3BE4"/>
    <w:rsid w:val="00BB57D3"/>
    <w:rsid w:val="00BB58EE"/>
    <w:rsid w:val="00BB6675"/>
    <w:rsid w:val="00BB7589"/>
    <w:rsid w:val="00BC077E"/>
    <w:rsid w:val="00BC5EF6"/>
    <w:rsid w:val="00BC7632"/>
    <w:rsid w:val="00BC7C9E"/>
    <w:rsid w:val="00BD15B8"/>
    <w:rsid w:val="00BD1E79"/>
    <w:rsid w:val="00BD23A5"/>
    <w:rsid w:val="00BD2937"/>
    <w:rsid w:val="00BD2AFC"/>
    <w:rsid w:val="00BD48A9"/>
    <w:rsid w:val="00BD5712"/>
    <w:rsid w:val="00BD658C"/>
    <w:rsid w:val="00BD7EC6"/>
    <w:rsid w:val="00BE0FF2"/>
    <w:rsid w:val="00BE1345"/>
    <w:rsid w:val="00BE2147"/>
    <w:rsid w:val="00BE3C67"/>
    <w:rsid w:val="00BE73FA"/>
    <w:rsid w:val="00BE7A60"/>
    <w:rsid w:val="00BF0353"/>
    <w:rsid w:val="00BF1C5F"/>
    <w:rsid w:val="00BF2001"/>
    <w:rsid w:val="00BF2575"/>
    <w:rsid w:val="00BF3F0A"/>
    <w:rsid w:val="00BF4E35"/>
    <w:rsid w:val="00BF57FE"/>
    <w:rsid w:val="00C0083F"/>
    <w:rsid w:val="00C00976"/>
    <w:rsid w:val="00C03E74"/>
    <w:rsid w:val="00C04E51"/>
    <w:rsid w:val="00C060B0"/>
    <w:rsid w:val="00C072F0"/>
    <w:rsid w:val="00C07344"/>
    <w:rsid w:val="00C07C1F"/>
    <w:rsid w:val="00C11A79"/>
    <w:rsid w:val="00C13607"/>
    <w:rsid w:val="00C136B5"/>
    <w:rsid w:val="00C137B1"/>
    <w:rsid w:val="00C13B43"/>
    <w:rsid w:val="00C15A01"/>
    <w:rsid w:val="00C15E81"/>
    <w:rsid w:val="00C174C9"/>
    <w:rsid w:val="00C17B6E"/>
    <w:rsid w:val="00C20754"/>
    <w:rsid w:val="00C22307"/>
    <w:rsid w:val="00C22573"/>
    <w:rsid w:val="00C228C4"/>
    <w:rsid w:val="00C22A2C"/>
    <w:rsid w:val="00C23150"/>
    <w:rsid w:val="00C24533"/>
    <w:rsid w:val="00C24908"/>
    <w:rsid w:val="00C2515F"/>
    <w:rsid w:val="00C26AEA"/>
    <w:rsid w:val="00C276EC"/>
    <w:rsid w:val="00C311F1"/>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1425"/>
    <w:rsid w:val="00C41B4A"/>
    <w:rsid w:val="00C42C11"/>
    <w:rsid w:val="00C43ADB"/>
    <w:rsid w:val="00C44B4C"/>
    <w:rsid w:val="00C45CCD"/>
    <w:rsid w:val="00C46734"/>
    <w:rsid w:val="00C503B5"/>
    <w:rsid w:val="00C5105D"/>
    <w:rsid w:val="00C511F0"/>
    <w:rsid w:val="00C51639"/>
    <w:rsid w:val="00C53220"/>
    <w:rsid w:val="00C533A0"/>
    <w:rsid w:val="00C53E9D"/>
    <w:rsid w:val="00C5781B"/>
    <w:rsid w:val="00C621A7"/>
    <w:rsid w:val="00C62BF2"/>
    <w:rsid w:val="00C62D1B"/>
    <w:rsid w:val="00C638A6"/>
    <w:rsid w:val="00C64266"/>
    <w:rsid w:val="00C647DF"/>
    <w:rsid w:val="00C66CE8"/>
    <w:rsid w:val="00C67B0C"/>
    <w:rsid w:val="00C67B80"/>
    <w:rsid w:val="00C70DF4"/>
    <w:rsid w:val="00C71252"/>
    <w:rsid w:val="00C7277F"/>
    <w:rsid w:val="00C74930"/>
    <w:rsid w:val="00C74B47"/>
    <w:rsid w:val="00C754BD"/>
    <w:rsid w:val="00C76814"/>
    <w:rsid w:val="00C769A9"/>
    <w:rsid w:val="00C80524"/>
    <w:rsid w:val="00C80987"/>
    <w:rsid w:val="00C82933"/>
    <w:rsid w:val="00C82BE2"/>
    <w:rsid w:val="00C85DEF"/>
    <w:rsid w:val="00C91106"/>
    <w:rsid w:val="00C91D19"/>
    <w:rsid w:val="00C94A14"/>
    <w:rsid w:val="00C96647"/>
    <w:rsid w:val="00CA007B"/>
    <w:rsid w:val="00CA0AA4"/>
    <w:rsid w:val="00CA1D4C"/>
    <w:rsid w:val="00CA3247"/>
    <w:rsid w:val="00CA3347"/>
    <w:rsid w:val="00CA6FDA"/>
    <w:rsid w:val="00CA77CF"/>
    <w:rsid w:val="00CA7B58"/>
    <w:rsid w:val="00CB08EA"/>
    <w:rsid w:val="00CB2518"/>
    <w:rsid w:val="00CB3920"/>
    <w:rsid w:val="00CB4923"/>
    <w:rsid w:val="00CB6413"/>
    <w:rsid w:val="00CB696F"/>
    <w:rsid w:val="00CB6D4C"/>
    <w:rsid w:val="00CC0F1C"/>
    <w:rsid w:val="00CC299A"/>
    <w:rsid w:val="00CC3E43"/>
    <w:rsid w:val="00CC4F99"/>
    <w:rsid w:val="00CC6369"/>
    <w:rsid w:val="00CC73F3"/>
    <w:rsid w:val="00CD11B5"/>
    <w:rsid w:val="00CD1B5A"/>
    <w:rsid w:val="00CD1E9C"/>
    <w:rsid w:val="00CD2A5A"/>
    <w:rsid w:val="00CD2E70"/>
    <w:rsid w:val="00CD3D06"/>
    <w:rsid w:val="00CD4A09"/>
    <w:rsid w:val="00CD4C7B"/>
    <w:rsid w:val="00CD5397"/>
    <w:rsid w:val="00CD5E93"/>
    <w:rsid w:val="00CD7051"/>
    <w:rsid w:val="00CE221C"/>
    <w:rsid w:val="00CE37A3"/>
    <w:rsid w:val="00CE5990"/>
    <w:rsid w:val="00CE60E6"/>
    <w:rsid w:val="00CE6855"/>
    <w:rsid w:val="00CE6B6F"/>
    <w:rsid w:val="00CE7033"/>
    <w:rsid w:val="00CE770A"/>
    <w:rsid w:val="00CF02A6"/>
    <w:rsid w:val="00CF06CF"/>
    <w:rsid w:val="00CF0A97"/>
    <w:rsid w:val="00CF2DC1"/>
    <w:rsid w:val="00CF2EE2"/>
    <w:rsid w:val="00CF3948"/>
    <w:rsid w:val="00CF3ACF"/>
    <w:rsid w:val="00CF441D"/>
    <w:rsid w:val="00CF4FCF"/>
    <w:rsid w:val="00CF4FDC"/>
    <w:rsid w:val="00CF52F8"/>
    <w:rsid w:val="00CF56AF"/>
    <w:rsid w:val="00CF5BE0"/>
    <w:rsid w:val="00CF61CB"/>
    <w:rsid w:val="00D00DBF"/>
    <w:rsid w:val="00D01084"/>
    <w:rsid w:val="00D01F5D"/>
    <w:rsid w:val="00D03DBE"/>
    <w:rsid w:val="00D03EED"/>
    <w:rsid w:val="00D0530C"/>
    <w:rsid w:val="00D0597D"/>
    <w:rsid w:val="00D062E9"/>
    <w:rsid w:val="00D11949"/>
    <w:rsid w:val="00D11A69"/>
    <w:rsid w:val="00D146E9"/>
    <w:rsid w:val="00D1484F"/>
    <w:rsid w:val="00D1707A"/>
    <w:rsid w:val="00D21435"/>
    <w:rsid w:val="00D2242C"/>
    <w:rsid w:val="00D22BC4"/>
    <w:rsid w:val="00D25660"/>
    <w:rsid w:val="00D258EB"/>
    <w:rsid w:val="00D271CD"/>
    <w:rsid w:val="00D315CC"/>
    <w:rsid w:val="00D327A3"/>
    <w:rsid w:val="00D34C82"/>
    <w:rsid w:val="00D36550"/>
    <w:rsid w:val="00D379EC"/>
    <w:rsid w:val="00D41E42"/>
    <w:rsid w:val="00D41F6B"/>
    <w:rsid w:val="00D4348D"/>
    <w:rsid w:val="00D44CEC"/>
    <w:rsid w:val="00D44E42"/>
    <w:rsid w:val="00D44FC3"/>
    <w:rsid w:val="00D50130"/>
    <w:rsid w:val="00D50961"/>
    <w:rsid w:val="00D50A02"/>
    <w:rsid w:val="00D512A1"/>
    <w:rsid w:val="00D52AB4"/>
    <w:rsid w:val="00D538D5"/>
    <w:rsid w:val="00D54258"/>
    <w:rsid w:val="00D54640"/>
    <w:rsid w:val="00D559B5"/>
    <w:rsid w:val="00D56071"/>
    <w:rsid w:val="00D56420"/>
    <w:rsid w:val="00D56C0C"/>
    <w:rsid w:val="00D57626"/>
    <w:rsid w:val="00D5798B"/>
    <w:rsid w:val="00D60736"/>
    <w:rsid w:val="00D61139"/>
    <w:rsid w:val="00D6307D"/>
    <w:rsid w:val="00D63632"/>
    <w:rsid w:val="00D64601"/>
    <w:rsid w:val="00D65893"/>
    <w:rsid w:val="00D658EC"/>
    <w:rsid w:val="00D6742A"/>
    <w:rsid w:val="00D67B9B"/>
    <w:rsid w:val="00D71733"/>
    <w:rsid w:val="00D718AC"/>
    <w:rsid w:val="00D72C13"/>
    <w:rsid w:val="00D7302F"/>
    <w:rsid w:val="00D74D14"/>
    <w:rsid w:val="00D75E82"/>
    <w:rsid w:val="00D767B6"/>
    <w:rsid w:val="00D769C5"/>
    <w:rsid w:val="00D76CEA"/>
    <w:rsid w:val="00D76E76"/>
    <w:rsid w:val="00D80631"/>
    <w:rsid w:val="00D80FB6"/>
    <w:rsid w:val="00D818EC"/>
    <w:rsid w:val="00D81A20"/>
    <w:rsid w:val="00D81F55"/>
    <w:rsid w:val="00D8321A"/>
    <w:rsid w:val="00D86D55"/>
    <w:rsid w:val="00D8789C"/>
    <w:rsid w:val="00D90558"/>
    <w:rsid w:val="00D914EB"/>
    <w:rsid w:val="00D94085"/>
    <w:rsid w:val="00D9642B"/>
    <w:rsid w:val="00D96D4F"/>
    <w:rsid w:val="00DA1357"/>
    <w:rsid w:val="00DA1806"/>
    <w:rsid w:val="00DA2D09"/>
    <w:rsid w:val="00DA3A76"/>
    <w:rsid w:val="00DA4DBC"/>
    <w:rsid w:val="00DA62D7"/>
    <w:rsid w:val="00DA73C1"/>
    <w:rsid w:val="00DA770D"/>
    <w:rsid w:val="00DB00EE"/>
    <w:rsid w:val="00DB3687"/>
    <w:rsid w:val="00DC0445"/>
    <w:rsid w:val="00DC2C48"/>
    <w:rsid w:val="00DC46B5"/>
    <w:rsid w:val="00DC525E"/>
    <w:rsid w:val="00DC535C"/>
    <w:rsid w:val="00DC5DCB"/>
    <w:rsid w:val="00DD074A"/>
    <w:rsid w:val="00DD1941"/>
    <w:rsid w:val="00DD2159"/>
    <w:rsid w:val="00DD26A5"/>
    <w:rsid w:val="00DD34F2"/>
    <w:rsid w:val="00DD3C6B"/>
    <w:rsid w:val="00DD6739"/>
    <w:rsid w:val="00DD7631"/>
    <w:rsid w:val="00DD781E"/>
    <w:rsid w:val="00DD7A2C"/>
    <w:rsid w:val="00DE1238"/>
    <w:rsid w:val="00DE1FFE"/>
    <w:rsid w:val="00DE32E7"/>
    <w:rsid w:val="00DE3BB8"/>
    <w:rsid w:val="00DE5117"/>
    <w:rsid w:val="00DE560B"/>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1D76"/>
    <w:rsid w:val="00E02671"/>
    <w:rsid w:val="00E04ECF"/>
    <w:rsid w:val="00E067C4"/>
    <w:rsid w:val="00E06BE9"/>
    <w:rsid w:val="00E07855"/>
    <w:rsid w:val="00E103B5"/>
    <w:rsid w:val="00E126B2"/>
    <w:rsid w:val="00E127E3"/>
    <w:rsid w:val="00E14818"/>
    <w:rsid w:val="00E148E8"/>
    <w:rsid w:val="00E158A3"/>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146"/>
    <w:rsid w:val="00E372F7"/>
    <w:rsid w:val="00E37346"/>
    <w:rsid w:val="00E37DC0"/>
    <w:rsid w:val="00E37E18"/>
    <w:rsid w:val="00E37EC6"/>
    <w:rsid w:val="00E40432"/>
    <w:rsid w:val="00E40D52"/>
    <w:rsid w:val="00E41262"/>
    <w:rsid w:val="00E4220D"/>
    <w:rsid w:val="00E4231E"/>
    <w:rsid w:val="00E4279A"/>
    <w:rsid w:val="00E42D00"/>
    <w:rsid w:val="00E4364B"/>
    <w:rsid w:val="00E44AC7"/>
    <w:rsid w:val="00E45B2D"/>
    <w:rsid w:val="00E47A20"/>
    <w:rsid w:val="00E5084C"/>
    <w:rsid w:val="00E508C8"/>
    <w:rsid w:val="00E5384D"/>
    <w:rsid w:val="00E53F2E"/>
    <w:rsid w:val="00E54781"/>
    <w:rsid w:val="00E54BB9"/>
    <w:rsid w:val="00E54D3F"/>
    <w:rsid w:val="00E550AA"/>
    <w:rsid w:val="00E55895"/>
    <w:rsid w:val="00E55F1F"/>
    <w:rsid w:val="00E56866"/>
    <w:rsid w:val="00E57DFD"/>
    <w:rsid w:val="00E60423"/>
    <w:rsid w:val="00E607E5"/>
    <w:rsid w:val="00E60A16"/>
    <w:rsid w:val="00E60F02"/>
    <w:rsid w:val="00E6125B"/>
    <w:rsid w:val="00E6170A"/>
    <w:rsid w:val="00E62ADF"/>
    <w:rsid w:val="00E637A3"/>
    <w:rsid w:val="00E66BA2"/>
    <w:rsid w:val="00E677DB"/>
    <w:rsid w:val="00E71C2D"/>
    <w:rsid w:val="00E72BB6"/>
    <w:rsid w:val="00E75156"/>
    <w:rsid w:val="00E76295"/>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876D4"/>
    <w:rsid w:val="00E87D53"/>
    <w:rsid w:val="00E942B8"/>
    <w:rsid w:val="00E945AF"/>
    <w:rsid w:val="00E94A0B"/>
    <w:rsid w:val="00E94A2C"/>
    <w:rsid w:val="00E94C85"/>
    <w:rsid w:val="00E95799"/>
    <w:rsid w:val="00E9683D"/>
    <w:rsid w:val="00E970B7"/>
    <w:rsid w:val="00EA010D"/>
    <w:rsid w:val="00EA0507"/>
    <w:rsid w:val="00EA0D5C"/>
    <w:rsid w:val="00EA25EB"/>
    <w:rsid w:val="00EA2775"/>
    <w:rsid w:val="00EA585A"/>
    <w:rsid w:val="00EA612E"/>
    <w:rsid w:val="00EA761C"/>
    <w:rsid w:val="00EA7D7F"/>
    <w:rsid w:val="00EB0B5F"/>
    <w:rsid w:val="00EB1CF7"/>
    <w:rsid w:val="00EB2B6F"/>
    <w:rsid w:val="00EB2FA2"/>
    <w:rsid w:val="00EB3272"/>
    <w:rsid w:val="00EB769A"/>
    <w:rsid w:val="00EC11E4"/>
    <w:rsid w:val="00EC14E1"/>
    <w:rsid w:val="00EC242A"/>
    <w:rsid w:val="00EC2A3F"/>
    <w:rsid w:val="00EC2E64"/>
    <w:rsid w:val="00EC2F81"/>
    <w:rsid w:val="00EC3A35"/>
    <w:rsid w:val="00EC3E69"/>
    <w:rsid w:val="00EC5554"/>
    <w:rsid w:val="00EC6C35"/>
    <w:rsid w:val="00EC75F6"/>
    <w:rsid w:val="00ED0065"/>
    <w:rsid w:val="00ED353D"/>
    <w:rsid w:val="00ED3F40"/>
    <w:rsid w:val="00ED588C"/>
    <w:rsid w:val="00ED5FDC"/>
    <w:rsid w:val="00EE1062"/>
    <w:rsid w:val="00EE17F2"/>
    <w:rsid w:val="00EE188A"/>
    <w:rsid w:val="00EE1B01"/>
    <w:rsid w:val="00EE2746"/>
    <w:rsid w:val="00EE2ADC"/>
    <w:rsid w:val="00EE391B"/>
    <w:rsid w:val="00EE6755"/>
    <w:rsid w:val="00EF0199"/>
    <w:rsid w:val="00EF0338"/>
    <w:rsid w:val="00EF03DC"/>
    <w:rsid w:val="00EF0437"/>
    <w:rsid w:val="00EF12DE"/>
    <w:rsid w:val="00EF232D"/>
    <w:rsid w:val="00EF2AC7"/>
    <w:rsid w:val="00EF35EF"/>
    <w:rsid w:val="00EF493F"/>
    <w:rsid w:val="00F0091A"/>
    <w:rsid w:val="00F02C54"/>
    <w:rsid w:val="00F0448C"/>
    <w:rsid w:val="00F1377B"/>
    <w:rsid w:val="00F1601A"/>
    <w:rsid w:val="00F1675C"/>
    <w:rsid w:val="00F17428"/>
    <w:rsid w:val="00F17C8A"/>
    <w:rsid w:val="00F20046"/>
    <w:rsid w:val="00F20D22"/>
    <w:rsid w:val="00F21A58"/>
    <w:rsid w:val="00F27F06"/>
    <w:rsid w:val="00F30A39"/>
    <w:rsid w:val="00F31199"/>
    <w:rsid w:val="00F314E8"/>
    <w:rsid w:val="00F316A2"/>
    <w:rsid w:val="00F323A2"/>
    <w:rsid w:val="00F33B57"/>
    <w:rsid w:val="00F33D5C"/>
    <w:rsid w:val="00F356D6"/>
    <w:rsid w:val="00F37D37"/>
    <w:rsid w:val="00F400E3"/>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38F"/>
    <w:rsid w:val="00F61C7A"/>
    <w:rsid w:val="00F625F7"/>
    <w:rsid w:val="00F64D5A"/>
    <w:rsid w:val="00F65EC9"/>
    <w:rsid w:val="00F66CB1"/>
    <w:rsid w:val="00F70815"/>
    <w:rsid w:val="00F709F4"/>
    <w:rsid w:val="00F710A9"/>
    <w:rsid w:val="00F7284D"/>
    <w:rsid w:val="00F72CFE"/>
    <w:rsid w:val="00F72FB0"/>
    <w:rsid w:val="00F73423"/>
    <w:rsid w:val="00F737A4"/>
    <w:rsid w:val="00F73D92"/>
    <w:rsid w:val="00F75481"/>
    <w:rsid w:val="00F76A4C"/>
    <w:rsid w:val="00F82D62"/>
    <w:rsid w:val="00F82E2E"/>
    <w:rsid w:val="00F83601"/>
    <w:rsid w:val="00F837E6"/>
    <w:rsid w:val="00F8389A"/>
    <w:rsid w:val="00F83AE9"/>
    <w:rsid w:val="00F843D4"/>
    <w:rsid w:val="00F8516E"/>
    <w:rsid w:val="00F86561"/>
    <w:rsid w:val="00F86741"/>
    <w:rsid w:val="00F86EDD"/>
    <w:rsid w:val="00F90613"/>
    <w:rsid w:val="00F906F4"/>
    <w:rsid w:val="00F915F3"/>
    <w:rsid w:val="00F91800"/>
    <w:rsid w:val="00F91853"/>
    <w:rsid w:val="00F91987"/>
    <w:rsid w:val="00F9208E"/>
    <w:rsid w:val="00F93797"/>
    <w:rsid w:val="00F95CCE"/>
    <w:rsid w:val="00F9692D"/>
    <w:rsid w:val="00F97D7B"/>
    <w:rsid w:val="00FA0F71"/>
    <w:rsid w:val="00FA220E"/>
    <w:rsid w:val="00FA3A7D"/>
    <w:rsid w:val="00FA3A97"/>
    <w:rsid w:val="00FA3AEA"/>
    <w:rsid w:val="00FA3EC2"/>
    <w:rsid w:val="00FA4219"/>
    <w:rsid w:val="00FA4245"/>
    <w:rsid w:val="00FA48C7"/>
    <w:rsid w:val="00FA50AC"/>
    <w:rsid w:val="00FA54FF"/>
    <w:rsid w:val="00FA5570"/>
    <w:rsid w:val="00FA5C0B"/>
    <w:rsid w:val="00FA70F5"/>
    <w:rsid w:val="00FB005D"/>
    <w:rsid w:val="00FB178B"/>
    <w:rsid w:val="00FB183E"/>
    <w:rsid w:val="00FB4629"/>
    <w:rsid w:val="00FB577F"/>
    <w:rsid w:val="00FB5FC4"/>
    <w:rsid w:val="00FB6A07"/>
    <w:rsid w:val="00FB6FB1"/>
    <w:rsid w:val="00FC57C4"/>
    <w:rsid w:val="00FC6761"/>
    <w:rsid w:val="00FC6D4E"/>
    <w:rsid w:val="00FC736F"/>
    <w:rsid w:val="00FD1D53"/>
    <w:rsid w:val="00FD39CF"/>
    <w:rsid w:val="00FE012C"/>
    <w:rsid w:val="00FE1370"/>
    <w:rsid w:val="00FE1510"/>
    <w:rsid w:val="00FE2121"/>
    <w:rsid w:val="00FE321B"/>
    <w:rsid w:val="00FE3C42"/>
    <w:rsid w:val="00FE3D07"/>
    <w:rsid w:val="00FE4B6F"/>
    <w:rsid w:val="00FE6818"/>
    <w:rsid w:val="00FF0CF5"/>
    <w:rsid w:val="00FF0D6F"/>
    <w:rsid w:val="00FF1365"/>
    <w:rsid w:val="00FF1712"/>
    <w:rsid w:val="00FF2EFA"/>
    <w:rsid w:val="00FF37DC"/>
    <w:rsid w:val="00FF37F2"/>
    <w:rsid w:val="00FF4DF7"/>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unhideWhenUsed/>
    <w:qFormat/>
    <w:rsid w:val="009412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94120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447">
      <w:bodyDiv w:val="1"/>
      <w:marLeft w:val="0"/>
      <w:marRight w:val="0"/>
      <w:marTop w:val="0"/>
      <w:marBottom w:val="0"/>
      <w:divBdr>
        <w:top w:val="none" w:sz="0" w:space="0" w:color="auto"/>
        <w:left w:val="none" w:sz="0" w:space="0" w:color="auto"/>
        <w:bottom w:val="none" w:sz="0" w:space="0" w:color="auto"/>
        <w:right w:val="none" w:sz="0" w:space="0" w:color="auto"/>
      </w:divBdr>
    </w:div>
    <w:div w:id="53281144">
      <w:bodyDiv w:val="1"/>
      <w:marLeft w:val="0"/>
      <w:marRight w:val="0"/>
      <w:marTop w:val="0"/>
      <w:marBottom w:val="0"/>
      <w:divBdr>
        <w:top w:val="none" w:sz="0" w:space="0" w:color="auto"/>
        <w:left w:val="none" w:sz="0" w:space="0" w:color="auto"/>
        <w:bottom w:val="none" w:sz="0" w:space="0" w:color="auto"/>
        <w:right w:val="none" w:sz="0" w:space="0" w:color="auto"/>
      </w:divBdr>
    </w:div>
    <w:div w:id="83454939">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46291302">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24611609">
      <w:bodyDiv w:val="1"/>
      <w:marLeft w:val="0"/>
      <w:marRight w:val="0"/>
      <w:marTop w:val="0"/>
      <w:marBottom w:val="0"/>
      <w:divBdr>
        <w:top w:val="none" w:sz="0" w:space="0" w:color="auto"/>
        <w:left w:val="none" w:sz="0" w:space="0" w:color="auto"/>
        <w:bottom w:val="none" w:sz="0" w:space="0" w:color="auto"/>
        <w:right w:val="none" w:sz="0" w:space="0" w:color="auto"/>
      </w:divBdr>
    </w:div>
    <w:div w:id="304701363">
      <w:bodyDiv w:val="1"/>
      <w:marLeft w:val="0"/>
      <w:marRight w:val="0"/>
      <w:marTop w:val="0"/>
      <w:marBottom w:val="0"/>
      <w:divBdr>
        <w:top w:val="none" w:sz="0" w:space="0" w:color="auto"/>
        <w:left w:val="none" w:sz="0" w:space="0" w:color="auto"/>
        <w:bottom w:val="none" w:sz="0" w:space="0" w:color="auto"/>
        <w:right w:val="none" w:sz="0" w:space="0" w:color="auto"/>
      </w:divBdr>
      <w:divsChild>
        <w:div w:id="1342392508">
          <w:marLeft w:val="0"/>
          <w:marRight w:val="0"/>
          <w:marTop w:val="0"/>
          <w:marBottom w:val="160"/>
          <w:divBdr>
            <w:top w:val="none" w:sz="0" w:space="0" w:color="auto"/>
            <w:left w:val="none" w:sz="0" w:space="0" w:color="auto"/>
            <w:bottom w:val="none" w:sz="0" w:space="0" w:color="auto"/>
            <w:right w:val="none" w:sz="0" w:space="0" w:color="auto"/>
          </w:divBdr>
        </w:div>
        <w:div w:id="792361768">
          <w:marLeft w:val="0"/>
          <w:marRight w:val="0"/>
          <w:marTop w:val="0"/>
          <w:marBottom w:val="0"/>
          <w:divBdr>
            <w:top w:val="none" w:sz="0" w:space="0" w:color="auto"/>
            <w:left w:val="none" w:sz="0" w:space="0" w:color="auto"/>
            <w:bottom w:val="none" w:sz="0" w:space="0" w:color="auto"/>
            <w:right w:val="none" w:sz="0" w:space="0" w:color="auto"/>
          </w:divBdr>
        </w:div>
        <w:div w:id="1275290444">
          <w:marLeft w:val="0"/>
          <w:marRight w:val="0"/>
          <w:marTop w:val="0"/>
          <w:marBottom w:val="0"/>
          <w:divBdr>
            <w:top w:val="none" w:sz="0" w:space="0" w:color="auto"/>
            <w:left w:val="none" w:sz="0" w:space="0" w:color="auto"/>
            <w:bottom w:val="none" w:sz="0" w:space="0" w:color="auto"/>
            <w:right w:val="none" w:sz="0" w:space="0" w:color="auto"/>
          </w:divBdr>
        </w:div>
      </w:divsChild>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628560024">
      <w:bodyDiv w:val="1"/>
      <w:marLeft w:val="0"/>
      <w:marRight w:val="0"/>
      <w:marTop w:val="0"/>
      <w:marBottom w:val="0"/>
      <w:divBdr>
        <w:top w:val="none" w:sz="0" w:space="0" w:color="auto"/>
        <w:left w:val="none" w:sz="0" w:space="0" w:color="auto"/>
        <w:bottom w:val="none" w:sz="0" w:space="0" w:color="auto"/>
        <w:right w:val="none" w:sz="0" w:space="0" w:color="auto"/>
      </w:divBdr>
    </w:div>
    <w:div w:id="751506518">
      <w:bodyDiv w:val="1"/>
      <w:marLeft w:val="0"/>
      <w:marRight w:val="0"/>
      <w:marTop w:val="0"/>
      <w:marBottom w:val="0"/>
      <w:divBdr>
        <w:top w:val="none" w:sz="0" w:space="0" w:color="auto"/>
        <w:left w:val="none" w:sz="0" w:space="0" w:color="auto"/>
        <w:bottom w:val="none" w:sz="0" w:space="0" w:color="auto"/>
        <w:right w:val="none" w:sz="0" w:space="0" w:color="auto"/>
      </w:divBdr>
    </w:div>
    <w:div w:id="788938886">
      <w:bodyDiv w:val="1"/>
      <w:marLeft w:val="0"/>
      <w:marRight w:val="0"/>
      <w:marTop w:val="0"/>
      <w:marBottom w:val="0"/>
      <w:divBdr>
        <w:top w:val="none" w:sz="0" w:space="0" w:color="auto"/>
        <w:left w:val="none" w:sz="0" w:space="0" w:color="auto"/>
        <w:bottom w:val="none" w:sz="0" w:space="0" w:color="auto"/>
        <w:right w:val="none" w:sz="0" w:space="0" w:color="auto"/>
      </w:divBdr>
    </w:div>
    <w:div w:id="824780668">
      <w:bodyDiv w:val="1"/>
      <w:marLeft w:val="0"/>
      <w:marRight w:val="0"/>
      <w:marTop w:val="0"/>
      <w:marBottom w:val="0"/>
      <w:divBdr>
        <w:top w:val="none" w:sz="0" w:space="0" w:color="auto"/>
        <w:left w:val="none" w:sz="0" w:space="0" w:color="auto"/>
        <w:bottom w:val="none" w:sz="0" w:space="0" w:color="auto"/>
        <w:right w:val="none" w:sz="0" w:space="0" w:color="auto"/>
      </w:divBdr>
    </w:div>
    <w:div w:id="873225882">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95841486">
      <w:bodyDiv w:val="1"/>
      <w:marLeft w:val="0"/>
      <w:marRight w:val="0"/>
      <w:marTop w:val="0"/>
      <w:marBottom w:val="0"/>
      <w:divBdr>
        <w:top w:val="none" w:sz="0" w:space="0" w:color="auto"/>
        <w:left w:val="none" w:sz="0" w:space="0" w:color="auto"/>
        <w:bottom w:val="none" w:sz="0" w:space="0" w:color="auto"/>
        <w:right w:val="none" w:sz="0" w:space="0" w:color="auto"/>
      </w:divBdr>
    </w:div>
    <w:div w:id="1017928047">
      <w:bodyDiv w:val="1"/>
      <w:marLeft w:val="0"/>
      <w:marRight w:val="0"/>
      <w:marTop w:val="0"/>
      <w:marBottom w:val="0"/>
      <w:divBdr>
        <w:top w:val="none" w:sz="0" w:space="0" w:color="auto"/>
        <w:left w:val="none" w:sz="0" w:space="0" w:color="auto"/>
        <w:bottom w:val="none" w:sz="0" w:space="0" w:color="auto"/>
        <w:right w:val="none" w:sz="0" w:space="0" w:color="auto"/>
      </w:divBdr>
    </w:div>
    <w:div w:id="110758337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3915828">
      <w:bodyDiv w:val="1"/>
      <w:marLeft w:val="0"/>
      <w:marRight w:val="0"/>
      <w:marTop w:val="0"/>
      <w:marBottom w:val="0"/>
      <w:divBdr>
        <w:top w:val="none" w:sz="0" w:space="0" w:color="auto"/>
        <w:left w:val="none" w:sz="0" w:space="0" w:color="auto"/>
        <w:bottom w:val="none" w:sz="0" w:space="0" w:color="auto"/>
        <w:right w:val="none" w:sz="0" w:space="0" w:color="auto"/>
      </w:divBdr>
      <w:divsChild>
        <w:div w:id="625045676">
          <w:marLeft w:val="0"/>
          <w:marRight w:val="0"/>
          <w:marTop w:val="0"/>
          <w:marBottom w:val="160"/>
          <w:divBdr>
            <w:top w:val="none" w:sz="0" w:space="0" w:color="auto"/>
            <w:left w:val="none" w:sz="0" w:space="0" w:color="auto"/>
            <w:bottom w:val="none" w:sz="0" w:space="0" w:color="auto"/>
            <w:right w:val="none" w:sz="0" w:space="0" w:color="auto"/>
          </w:divBdr>
        </w:div>
        <w:div w:id="1433821828">
          <w:marLeft w:val="0"/>
          <w:marRight w:val="0"/>
          <w:marTop w:val="0"/>
          <w:marBottom w:val="0"/>
          <w:divBdr>
            <w:top w:val="none" w:sz="0" w:space="0" w:color="auto"/>
            <w:left w:val="none" w:sz="0" w:space="0" w:color="auto"/>
            <w:bottom w:val="none" w:sz="0" w:space="0" w:color="auto"/>
            <w:right w:val="none" w:sz="0" w:space="0" w:color="auto"/>
          </w:divBdr>
        </w:div>
        <w:div w:id="2019118024">
          <w:marLeft w:val="0"/>
          <w:marRight w:val="0"/>
          <w:marTop w:val="0"/>
          <w:marBottom w:val="0"/>
          <w:divBdr>
            <w:top w:val="none" w:sz="0" w:space="0" w:color="auto"/>
            <w:left w:val="none" w:sz="0" w:space="0" w:color="auto"/>
            <w:bottom w:val="none" w:sz="0" w:space="0" w:color="auto"/>
            <w:right w:val="none" w:sz="0" w:space="0" w:color="auto"/>
          </w:divBdr>
        </w:div>
      </w:divsChild>
    </w:div>
    <w:div w:id="1158882792">
      <w:bodyDiv w:val="1"/>
      <w:marLeft w:val="0"/>
      <w:marRight w:val="0"/>
      <w:marTop w:val="0"/>
      <w:marBottom w:val="0"/>
      <w:divBdr>
        <w:top w:val="none" w:sz="0" w:space="0" w:color="auto"/>
        <w:left w:val="none" w:sz="0" w:space="0" w:color="auto"/>
        <w:bottom w:val="none" w:sz="0" w:space="0" w:color="auto"/>
        <w:right w:val="none" w:sz="0" w:space="0" w:color="auto"/>
      </w:divBdr>
    </w:div>
    <w:div w:id="1174763162">
      <w:bodyDiv w:val="1"/>
      <w:marLeft w:val="0"/>
      <w:marRight w:val="0"/>
      <w:marTop w:val="0"/>
      <w:marBottom w:val="0"/>
      <w:divBdr>
        <w:top w:val="none" w:sz="0" w:space="0" w:color="auto"/>
        <w:left w:val="none" w:sz="0" w:space="0" w:color="auto"/>
        <w:bottom w:val="none" w:sz="0" w:space="0" w:color="auto"/>
        <w:right w:val="none" w:sz="0" w:space="0" w:color="auto"/>
      </w:divBdr>
    </w:div>
    <w:div w:id="1199778934">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31056652">
      <w:bodyDiv w:val="1"/>
      <w:marLeft w:val="0"/>
      <w:marRight w:val="0"/>
      <w:marTop w:val="0"/>
      <w:marBottom w:val="0"/>
      <w:divBdr>
        <w:top w:val="none" w:sz="0" w:space="0" w:color="auto"/>
        <w:left w:val="none" w:sz="0" w:space="0" w:color="auto"/>
        <w:bottom w:val="none" w:sz="0" w:space="0" w:color="auto"/>
        <w:right w:val="none" w:sz="0" w:space="0" w:color="auto"/>
      </w:divBdr>
    </w:div>
    <w:div w:id="135792565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504147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46666864">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895584965">
      <w:bodyDiv w:val="1"/>
      <w:marLeft w:val="0"/>
      <w:marRight w:val="0"/>
      <w:marTop w:val="0"/>
      <w:marBottom w:val="0"/>
      <w:divBdr>
        <w:top w:val="none" w:sz="0" w:space="0" w:color="auto"/>
        <w:left w:val="none" w:sz="0" w:space="0" w:color="auto"/>
        <w:bottom w:val="none" w:sz="0" w:space="0" w:color="auto"/>
        <w:right w:val="none" w:sz="0" w:space="0" w:color="auto"/>
      </w:divBdr>
    </w:div>
    <w:div w:id="199694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4171</Words>
  <Characters>22942</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27059</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 Iguaran</cp:lastModifiedBy>
  <cp:revision>3</cp:revision>
  <dcterms:created xsi:type="dcterms:W3CDTF">2024-12-31T16:06:00Z</dcterms:created>
  <dcterms:modified xsi:type="dcterms:W3CDTF">2024-12-31T16:09:00Z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