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5287C" w14:textId="77777777" w:rsidR="005B66DB" w:rsidRPr="0023526F" w:rsidRDefault="005B66DB" w:rsidP="005B66DB">
      <w:pPr>
        <w:spacing w:after="0" w:line="240" w:lineRule="auto"/>
        <w:rPr>
          <w:rFonts w:ascii="Verdana" w:eastAsia="Times New Roman" w:hAnsi="Verdana" w:cs="Arial"/>
          <w:b/>
          <w:lang w:eastAsia="es-ES_tradnl"/>
        </w:rPr>
      </w:pPr>
      <w:bookmarkStart w:id="0" w:name="_Hlk189391789"/>
      <w:r w:rsidRPr="0023526F">
        <w:rPr>
          <w:rFonts w:ascii="Verdana" w:eastAsia="Times New Roman" w:hAnsi="Verdana" w:cs="Arial"/>
          <w:b/>
          <w:lang w:eastAsia="es-ES_tradnl"/>
        </w:rPr>
        <w:t>PLANEACIÓN – Estudios previos</w:t>
      </w:r>
    </w:p>
    <w:p w14:paraId="56EF0918" w14:textId="77777777" w:rsidR="005B66DB" w:rsidRDefault="005B66DB" w:rsidP="005B66DB">
      <w:pPr>
        <w:spacing w:after="0" w:line="240" w:lineRule="auto"/>
        <w:rPr>
          <w:rFonts w:ascii="Verdana" w:eastAsia="Times New Roman" w:hAnsi="Verdana" w:cs="Arial"/>
          <w:bCs/>
          <w:lang w:eastAsia="es-ES_tradnl"/>
        </w:rPr>
      </w:pPr>
    </w:p>
    <w:p w14:paraId="2B3CB4DD" w14:textId="77777777" w:rsidR="005B66DB" w:rsidRDefault="005B66DB" w:rsidP="005B66DB">
      <w:pPr>
        <w:spacing w:after="0" w:line="240" w:lineRule="auto"/>
        <w:jc w:val="both"/>
        <w:rPr>
          <w:rFonts w:ascii="Verdana" w:eastAsia="Calibri" w:hAnsi="Verdana" w:cs="Arial"/>
          <w:bCs/>
          <w:sz w:val="20"/>
          <w:szCs w:val="20"/>
          <w:lang w:val="es-ES_tradnl"/>
        </w:rPr>
      </w:pPr>
      <w:r w:rsidRPr="0023526F">
        <w:rPr>
          <w:rFonts w:ascii="Verdana" w:eastAsia="Calibri" w:hAnsi="Verdana" w:cs="Arial"/>
          <w:bCs/>
          <w:sz w:val="20"/>
          <w:szCs w:val="20"/>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52F33F47" w14:textId="77777777" w:rsidR="005B66DB" w:rsidRDefault="005B66DB" w:rsidP="005B66DB">
      <w:pPr>
        <w:spacing w:after="0" w:line="240" w:lineRule="auto"/>
        <w:jc w:val="both"/>
        <w:rPr>
          <w:rFonts w:ascii="Verdana" w:eastAsia="Calibri" w:hAnsi="Verdana" w:cs="Arial"/>
          <w:bCs/>
          <w:sz w:val="20"/>
          <w:szCs w:val="20"/>
          <w:lang w:val="es-ES_tradnl"/>
        </w:rPr>
      </w:pPr>
    </w:p>
    <w:p w14:paraId="58CF5B16" w14:textId="77777777" w:rsidR="005B66DB" w:rsidRDefault="005B66DB" w:rsidP="005B66DB">
      <w:pPr>
        <w:spacing w:after="0" w:line="240" w:lineRule="auto"/>
        <w:jc w:val="both"/>
        <w:rPr>
          <w:rFonts w:ascii="Verdana" w:eastAsia="Times New Roman" w:hAnsi="Verdana" w:cs="Arial"/>
          <w:b/>
          <w:lang w:eastAsia="es-ES_tradnl"/>
        </w:rPr>
      </w:pPr>
      <w:r w:rsidRPr="0023526F">
        <w:rPr>
          <w:rFonts w:ascii="Verdana" w:eastAsia="Times New Roman" w:hAnsi="Verdana" w:cs="Arial"/>
          <w:b/>
          <w:lang w:eastAsia="es-ES_tradnl"/>
        </w:rPr>
        <w:t>ESTUDIOS PREVIOS – Planeación – Análisis del sector – Requisitos habilitantes y ponderables</w:t>
      </w:r>
    </w:p>
    <w:p w14:paraId="25E64218" w14:textId="77777777" w:rsidR="005B66DB" w:rsidRDefault="005B66DB" w:rsidP="005B66DB">
      <w:pPr>
        <w:spacing w:after="0" w:line="240" w:lineRule="auto"/>
        <w:jc w:val="both"/>
        <w:rPr>
          <w:rFonts w:ascii="Verdana" w:eastAsia="Times New Roman" w:hAnsi="Verdana" w:cs="Arial"/>
          <w:b/>
          <w:lang w:eastAsia="es-ES_tradnl"/>
        </w:rPr>
      </w:pPr>
    </w:p>
    <w:p w14:paraId="0D826A2A" w14:textId="77777777" w:rsidR="005B66DB" w:rsidRPr="0023526F" w:rsidRDefault="005B66DB" w:rsidP="005B66DB">
      <w:pPr>
        <w:spacing w:before="120" w:after="0" w:line="240" w:lineRule="auto"/>
        <w:jc w:val="both"/>
        <w:rPr>
          <w:rFonts w:ascii="Verdana" w:hAnsi="Verdana" w:cs="Arial"/>
          <w:sz w:val="20"/>
          <w:szCs w:val="20"/>
          <w:lang w:val="es-MX"/>
        </w:rPr>
      </w:pPr>
      <w:r w:rsidRPr="0023526F">
        <w:rPr>
          <w:rFonts w:ascii="Verdana" w:hAnsi="Verdana" w:cs="Arial"/>
          <w:bCs/>
          <w:sz w:val="20"/>
          <w:szCs w:val="20"/>
          <w:lang w:val="es-MX"/>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5F2F7FC2" w14:textId="77777777" w:rsidR="005B66DB" w:rsidRDefault="005B66DB" w:rsidP="005B66DB">
      <w:pPr>
        <w:spacing w:after="0" w:line="240" w:lineRule="auto"/>
        <w:jc w:val="both"/>
        <w:rPr>
          <w:rFonts w:ascii="Verdana" w:hAnsi="Verdana" w:cs="Arial"/>
          <w:lang w:val="es-MX"/>
        </w:rPr>
      </w:pPr>
    </w:p>
    <w:p w14:paraId="3C451FA7" w14:textId="77777777" w:rsidR="005B66DB" w:rsidRDefault="005B66DB" w:rsidP="005B66DB">
      <w:pPr>
        <w:spacing w:after="0" w:line="240" w:lineRule="auto"/>
        <w:jc w:val="both"/>
        <w:rPr>
          <w:rFonts w:ascii="Verdana" w:eastAsia="Calibri" w:hAnsi="Verdana" w:cs="Arial"/>
          <w:b/>
          <w:lang w:val="es-ES" w:eastAsia="es-ES"/>
        </w:rPr>
      </w:pPr>
      <w:r w:rsidRPr="0023526F">
        <w:rPr>
          <w:rFonts w:ascii="Verdana" w:eastAsia="Calibri" w:hAnsi="Verdana" w:cs="Arial"/>
          <w:b/>
          <w:lang w:val="es-ES" w:eastAsia="es-ES"/>
        </w:rPr>
        <w:t>PLIEGO DE CONDICIONES – Naturaleza jurídica</w:t>
      </w:r>
    </w:p>
    <w:p w14:paraId="42DC0BE8" w14:textId="77777777" w:rsidR="005B66DB" w:rsidRDefault="005B66DB" w:rsidP="005B66DB">
      <w:pPr>
        <w:spacing w:after="0" w:line="240" w:lineRule="auto"/>
        <w:jc w:val="both"/>
        <w:rPr>
          <w:rFonts w:ascii="Verdana" w:eastAsia="Calibri" w:hAnsi="Verdana" w:cs="Arial"/>
          <w:b/>
          <w:lang w:val="es-ES" w:eastAsia="es-ES"/>
        </w:rPr>
      </w:pPr>
    </w:p>
    <w:p w14:paraId="0EC18CA4" w14:textId="77777777" w:rsidR="005B66DB" w:rsidRPr="0023526F" w:rsidRDefault="005B66DB" w:rsidP="005B66DB">
      <w:pPr>
        <w:spacing w:after="120" w:line="240" w:lineRule="auto"/>
        <w:jc w:val="both"/>
        <w:rPr>
          <w:rFonts w:ascii="Verdana" w:hAnsi="Verdana"/>
          <w:sz w:val="20"/>
          <w:szCs w:val="20"/>
          <w:lang w:val="es-MX"/>
        </w:rPr>
      </w:pPr>
      <w:r w:rsidRPr="0023526F">
        <w:rPr>
          <w:rFonts w:ascii="Verdana" w:hAnsi="Verdana"/>
          <w:sz w:val="20"/>
          <w:szCs w:val="20"/>
          <w:lang w:val="es-MX"/>
        </w:rPr>
        <w:t xml:space="preserve">Mas allá del cumplimiento de la normativa, </w:t>
      </w:r>
      <w:r w:rsidRPr="0023526F">
        <w:rPr>
          <w:rFonts w:ascii="Verdana" w:hAnsi="Verdana"/>
          <w:i/>
          <w:iCs/>
          <w:sz w:val="20"/>
          <w:szCs w:val="20"/>
          <w:lang w:val="es-MX"/>
        </w:rPr>
        <w:t>“los estudios y documentos previos son el soporte para elaborar el proyecto de pliegos, los pliegos de condiciones, y el contrato”,</w:t>
      </w:r>
      <w:r w:rsidRPr="0023526F">
        <w:rPr>
          <w:rFonts w:ascii="Verdana" w:hAnsi="Verdana"/>
          <w:sz w:val="20"/>
          <w:szCs w:val="20"/>
          <w:lang w:val="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323D1C63" w14:textId="77777777" w:rsidR="005B66DB" w:rsidRDefault="005B66DB" w:rsidP="005B66DB">
      <w:pPr>
        <w:spacing w:after="0" w:line="240" w:lineRule="auto"/>
        <w:jc w:val="both"/>
        <w:rPr>
          <w:rFonts w:ascii="Verdana" w:hAnsi="Verdana"/>
          <w:sz w:val="20"/>
          <w:szCs w:val="20"/>
          <w:lang w:val="es-MX"/>
        </w:rPr>
      </w:pPr>
      <w:r w:rsidRPr="0023526F">
        <w:rPr>
          <w:rFonts w:ascii="Verdana" w:hAnsi="Verdana"/>
          <w:sz w:val="20"/>
          <w:szCs w:val="20"/>
          <w:lang w:val="es-MX"/>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w:t>
      </w:r>
      <w:r>
        <w:rPr>
          <w:rFonts w:ascii="Verdana" w:hAnsi="Verdana"/>
          <w:sz w:val="20"/>
          <w:szCs w:val="20"/>
          <w:lang w:val="es-MX"/>
        </w:rPr>
        <w:t>o.</w:t>
      </w:r>
    </w:p>
    <w:p w14:paraId="6D76CD44" w14:textId="77777777" w:rsidR="005B66DB" w:rsidRDefault="005B66DB" w:rsidP="005B66DB">
      <w:pPr>
        <w:spacing w:after="0" w:line="240" w:lineRule="auto"/>
        <w:jc w:val="both"/>
        <w:rPr>
          <w:rFonts w:ascii="Verdana" w:hAnsi="Verdana"/>
          <w:sz w:val="20"/>
          <w:szCs w:val="20"/>
          <w:lang w:val="es-MX"/>
        </w:rPr>
      </w:pPr>
    </w:p>
    <w:p w14:paraId="01AD989A" w14:textId="77777777" w:rsidR="005B66DB" w:rsidRPr="0023526F" w:rsidRDefault="005B66DB" w:rsidP="005B66DB">
      <w:pPr>
        <w:spacing w:after="0" w:line="240" w:lineRule="auto"/>
        <w:jc w:val="both"/>
        <w:rPr>
          <w:rFonts w:ascii="Verdana" w:eastAsia="Calibri" w:hAnsi="Verdana" w:cs="Arial"/>
          <w:b/>
          <w:sz w:val="20"/>
          <w:szCs w:val="20"/>
          <w:lang w:val="es-ES" w:eastAsia="es-ES"/>
        </w:rPr>
      </w:pPr>
      <w:r w:rsidRPr="0023526F">
        <w:rPr>
          <w:rFonts w:ascii="Verdana" w:eastAsia="Arial" w:hAnsi="Verdana" w:cs="Arial"/>
          <w:b/>
          <w:lang w:val="es-MX" w:eastAsia="es-ES"/>
        </w:rPr>
        <w:t>PLIEGO DE CONDICIONES – Contenido – Carácter prevalente – Selección objetiva</w:t>
      </w:r>
    </w:p>
    <w:p w14:paraId="7BC3F8D3" w14:textId="77777777" w:rsidR="005B66DB" w:rsidRDefault="005B66DB" w:rsidP="005B66DB">
      <w:pPr>
        <w:spacing w:after="0"/>
        <w:jc w:val="both"/>
        <w:rPr>
          <w:rFonts w:ascii="Verdana" w:eastAsia="Calibri" w:hAnsi="Verdana" w:cs="Arial"/>
          <w:b/>
          <w:lang w:val="es-ES" w:eastAsia="es-ES"/>
        </w:rPr>
      </w:pPr>
    </w:p>
    <w:p w14:paraId="282DAF4B" w14:textId="77777777" w:rsidR="005B66DB" w:rsidRPr="007357C7" w:rsidRDefault="005B66DB" w:rsidP="005B66DB">
      <w:pPr>
        <w:spacing w:after="0" w:line="240" w:lineRule="auto"/>
        <w:jc w:val="both"/>
        <w:rPr>
          <w:rFonts w:ascii="Verdana" w:eastAsia="Calibri" w:hAnsi="Verdana" w:cs="Arial"/>
          <w:bCs/>
          <w:sz w:val="20"/>
          <w:szCs w:val="20"/>
          <w:lang w:val="es-ES_tradnl"/>
        </w:rPr>
      </w:pPr>
      <w:r w:rsidRPr="007357C7">
        <w:rPr>
          <w:rFonts w:ascii="Verdana" w:eastAsia="Calibri" w:hAnsi="Verdana" w:cs="Arial"/>
          <w:bCs/>
          <w:sz w:val="20"/>
          <w:szCs w:val="20"/>
          <w:lang w:val="es-ES_tradnl"/>
        </w:rPr>
        <w:t>De otra parte, es necesario explicar que, el pliego de condiciones es la hoja de ruta o plan sobre el cual se diseña, estructura y concreta el proceso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p>
    <w:p w14:paraId="7BAA855E" w14:textId="77777777" w:rsidR="005B66DB" w:rsidRPr="007357C7" w:rsidRDefault="005B66DB" w:rsidP="005B66DB">
      <w:pPr>
        <w:spacing w:after="0" w:line="240" w:lineRule="auto"/>
        <w:jc w:val="both"/>
        <w:rPr>
          <w:rFonts w:ascii="Verdana" w:eastAsia="Calibri" w:hAnsi="Verdana" w:cs="Arial"/>
          <w:sz w:val="20"/>
          <w:szCs w:val="20"/>
          <w:lang w:val="es-ES"/>
        </w:rPr>
      </w:pPr>
      <w:r w:rsidRPr="18E441F1">
        <w:rPr>
          <w:rFonts w:ascii="Verdana" w:eastAsia="Calibri" w:hAnsi="Verdana" w:cs="Arial"/>
          <w:sz w:val="20"/>
          <w:szCs w:val="20"/>
          <w:lang w:val="es-ES"/>
        </w:rPr>
        <w:lastRenderedPageBreak/>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18E441F1">
        <w:rPr>
          <w:rFonts w:ascii="Verdana" w:eastAsia="Calibri" w:hAnsi="Verdana" w:cs="Arial"/>
          <w:sz w:val="20"/>
          <w:szCs w:val="20"/>
          <w:lang w:val="es-ES"/>
        </w:rPr>
        <w:t>iter</w:t>
      </w:r>
      <w:proofErr w:type="spellEnd"/>
      <w:r w:rsidRPr="18E441F1">
        <w:rPr>
          <w:rFonts w:ascii="Verdana" w:eastAsia="Calibri" w:hAnsi="Verdana" w:cs="Arial"/>
          <w:sz w:val="20"/>
          <w:szCs w:val="20"/>
          <w:lang w:val="es-ES"/>
        </w:rPr>
        <w:t xml:space="preserve"> contractual.</w:t>
      </w:r>
    </w:p>
    <w:p w14:paraId="57CB5F08" w14:textId="77777777" w:rsidR="005B66DB" w:rsidRPr="007357C7" w:rsidRDefault="005B66DB" w:rsidP="005B66DB">
      <w:pPr>
        <w:spacing w:after="0" w:line="240" w:lineRule="auto"/>
        <w:jc w:val="both"/>
        <w:rPr>
          <w:rFonts w:ascii="Verdana" w:eastAsia="Calibri" w:hAnsi="Verdana" w:cs="Arial"/>
          <w:bCs/>
          <w:sz w:val="20"/>
          <w:szCs w:val="20"/>
          <w:lang w:val="es-ES_tradnl"/>
        </w:rPr>
      </w:pPr>
    </w:p>
    <w:p w14:paraId="3009A7B9" w14:textId="77777777" w:rsidR="005B66DB" w:rsidRDefault="005B66DB" w:rsidP="005B66DB">
      <w:pPr>
        <w:spacing w:after="0" w:line="240" w:lineRule="auto"/>
        <w:jc w:val="both"/>
        <w:rPr>
          <w:rFonts w:ascii="Verdana" w:eastAsia="Times New Roman" w:hAnsi="Verdana" w:cs="Arial"/>
          <w:b/>
          <w:lang w:val="es-ES_tradnl" w:eastAsia="es-ES"/>
        </w:rPr>
      </w:pPr>
    </w:p>
    <w:p w14:paraId="7D743AAC" w14:textId="77777777" w:rsidR="005B66DB" w:rsidRDefault="005B66DB" w:rsidP="005B66DB">
      <w:pPr>
        <w:spacing w:after="0" w:line="240" w:lineRule="auto"/>
        <w:jc w:val="both"/>
        <w:rPr>
          <w:rFonts w:ascii="Verdana" w:eastAsia="Times New Roman" w:hAnsi="Verdana" w:cs="Arial"/>
          <w:b/>
          <w:lang w:val="es-ES_tradnl" w:eastAsia="es-ES"/>
        </w:rPr>
      </w:pPr>
    </w:p>
    <w:p w14:paraId="6EFBC9D9" w14:textId="77777777" w:rsidR="005B66DB" w:rsidRDefault="005B66DB" w:rsidP="005B66DB">
      <w:pPr>
        <w:spacing w:after="0" w:line="240" w:lineRule="auto"/>
        <w:jc w:val="both"/>
        <w:rPr>
          <w:rFonts w:ascii="Verdana" w:eastAsia="Times New Roman" w:hAnsi="Verdana" w:cs="Arial"/>
          <w:b/>
          <w:lang w:val="es-ES_tradnl" w:eastAsia="es-ES"/>
        </w:rPr>
      </w:pPr>
    </w:p>
    <w:p w14:paraId="4C7B834A" w14:textId="77777777" w:rsidR="005B66DB" w:rsidRDefault="005B66DB" w:rsidP="005B66DB">
      <w:pPr>
        <w:spacing w:after="0" w:line="240" w:lineRule="auto"/>
        <w:jc w:val="both"/>
        <w:rPr>
          <w:rFonts w:ascii="Verdana" w:eastAsia="Times New Roman" w:hAnsi="Verdana" w:cs="Arial"/>
          <w:b/>
          <w:lang w:val="es-ES_tradnl" w:eastAsia="es-ES"/>
        </w:rPr>
      </w:pPr>
    </w:p>
    <w:p w14:paraId="396898A8" w14:textId="77777777" w:rsidR="005B66DB" w:rsidRDefault="005B66DB" w:rsidP="005B66DB">
      <w:pPr>
        <w:spacing w:after="0" w:line="240" w:lineRule="auto"/>
        <w:jc w:val="both"/>
        <w:rPr>
          <w:rFonts w:ascii="Verdana" w:eastAsia="Times New Roman" w:hAnsi="Verdana" w:cs="Arial"/>
          <w:b/>
          <w:lang w:val="es-ES_tradnl" w:eastAsia="es-ES"/>
        </w:rPr>
      </w:pPr>
    </w:p>
    <w:p w14:paraId="7CB538A6" w14:textId="77777777" w:rsidR="005B66DB" w:rsidRDefault="005B66DB" w:rsidP="005B66DB">
      <w:pPr>
        <w:spacing w:after="0" w:line="240" w:lineRule="auto"/>
        <w:jc w:val="both"/>
        <w:rPr>
          <w:rFonts w:ascii="Verdana" w:eastAsia="Times New Roman" w:hAnsi="Verdana" w:cs="Arial"/>
          <w:b/>
          <w:lang w:val="es-ES_tradnl" w:eastAsia="es-ES"/>
        </w:rPr>
      </w:pPr>
    </w:p>
    <w:p w14:paraId="4F4B2D6B" w14:textId="77777777" w:rsidR="005B66DB" w:rsidRDefault="005B66DB" w:rsidP="005B66DB">
      <w:pPr>
        <w:spacing w:after="0" w:line="240" w:lineRule="auto"/>
        <w:jc w:val="both"/>
        <w:rPr>
          <w:rFonts w:ascii="Verdana" w:eastAsia="Times New Roman" w:hAnsi="Verdana" w:cs="Arial"/>
          <w:b/>
          <w:lang w:val="es-ES_tradnl" w:eastAsia="es-ES"/>
        </w:rPr>
      </w:pPr>
    </w:p>
    <w:p w14:paraId="121A381E" w14:textId="77777777" w:rsidR="005B66DB" w:rsidRDefault="005B66DB" w:rsidP="005B66DB">
      <w:pPr>
        <w:spacing w:after="0" w:line="240" w:lineRule="auto"/>
        <w:jc w:val="both"/>
        <w:rPr>
          <w:rFonts w:ascii="Verdana" w:eastAsia="Times New Roman" w:hAnsi="Verdana" w:cs="Arial"/>
          <w:b/>
          <w:lang w:val="es-ES_tradnl" w:eastAsia="es-ES"/>
        </w:rPr>
      </w:pPr>
    </w:p>
    <w:p w14:paraId="12E78D00" w14:textId="77777777" w:rsidR="005B66DB" w:rsidRDefault="005B66DB" w:rsidP="005B66DB">
      <w:pPr>
        <w:spacing w:after="0" w:line="240" w:lineRule="auto"/>
        <w:jc w:val="both"/>
        <w:rPr>
          <w:rFonts w:ascii="Verdana" w:eastAsia="Times New Roman" w:hAnsi="Verdana" w:cs="Arial"/>
          <w:b/>
          <w:lang w:val="es-ES_tradnl" w:eastAsia="es-ES"/>
        </w:rPr>
      </w:pPr>
    </w:p>
    <w:p w14:paraId="5818F205" w14:textId="77777777" w:rsidR="005B66DB" w:rsidRDefault="005B66DB" w:rsidP="005B66DB">
      <w:pPr>
        <w:spacing w:after="0" w:line="240" w:lineRule="auto"/>
        <w:jc w:val="both"/>
        <w:rPr>
          <w:rFonts w:ascii="Verdana" w:eastAsia="Times New Roman" w:hAnsi="Verdana" w:cs="Arial"/>
          <w:b/>
          <w:lang w:val="es-ES_tradnl" w:eastAsia="es-ES"/>
        </w:rPr>
      </w:pPr>
    </w:p>
    <w:p w14:paraId="50098C6C" w14:textId="77777777" w:rsidR="005B66DB" w:rsidRDefault="005B66DB" w:rsidP="005B66DB">
      <w:pPr>
        <w:spacing w:after="0" w:line="240" w:lineRule="auto"/>
        <w:jc w:val="both"/>
        <w:rPr>
          <w:rFonts w:ascii="Verdana" w:eastAsia="Times New Roman" w:hAnsi="Verdana" w:cs="Arial"/>
          <w:b/>
          <w:lang w:val="es-ES_tradnl" w:eastAsia="es-ES"/>
        </w:rPr>
      </w:pPr>
    </w:p>
    <w:p w14:paraId="195CE693" w14:textId="77777777" w:rsidR="005B66DB" w:rsidRDefault="005B66DB" w:rsidP="005B66DB">
      <w:pPr>
        <w:spacing w:after="0" w:line="240" w:lineRule="auto"/>
        <w:jc w:val="both"/>
        <w:rPr>
          <w:rFonts w:ascii="Verdana" w:eastAsia="Times New Roman" w:hAnsi="Verdana" w:cs="Arial"/>
          <w:b/>
          <w:lang w:val="es-ES_tradnl" w:eastAsia="es-ES"/>
        </w:rPr>
      </w:pPr>
    </w:p>
    <w:p w14:paraId="1C0658FD" w14:textId="77777777" w:rsidR="005B66DB" w:rsidRDefault="005B66DB" w:rsidP="005B66DB">
      <w:pPr>
        <w:spacing w:after="0" w:line="240" w:lineRule="auto"/>
        <w:jc w:val="both"/>
        <w:rPr>
          <w:rFonts w:ascii="Verdana" w:eastAsia="Times New Roman" w:hAnsi="Verdana" w:cs="Arial"/>
          <w:b/>
          <w:lang w:val="es-ES_tradnl" w:eastAsia="es-ES"/>
        </w:rPr>
      </w:pPr>
    </w:p>
    <w:p w14:paraId="3A90B59B" w14:textId="77777777" w:rsidR="005B66DB" w:rsidRDefault="005B66DB" w:rsidP="005B66DB">
      <w:pPr>
        <w:spacing w:after="0" w:line="240" w:lineRule="auto"/>
        <w:jc w:val="both"/>
        <w:rPr>
          <w:rFonts w:ascii="Verdana" w:eastAsia="Times New Roman" w:hAnsi="Verdana" w:cs="Arial"/>
          <w:b/>
          <w:lang w:val="es-ES_tradnl" w:eastAsia="es-ES"/>
        </w:rPr>
      </w:pPr>
    </w:p>
    <w:p w14:paraId="5C93D106" w14:textId="77777777" w:rsidR="005B66DB" w:rsidRDefault="005B66DB" w:rsidP="005B66DB">
      <w:pPr>
        <w:spacing w:after="0" w:line="240" w:lineRule="auto"/>
        <w:jc w:val="both"/>
        <w:rPr>
          <w:rFonts w:ascii="Verdana" w:eastAsia="Times New Roman" w:hAnsi="Verdana" w:cs="Arial"/>
          <w:b/>
          <w:lang w:val="es-ES_tradnl" w:eastAsia="es-ES"/>
        </w:rPr>
      </w:pPr>
    </w:p>
    <w:p w14:paraId="2DC6CB97" w14:textId="77777777" w:rsidR="005B66DB" w:rsidRDefault="005B66DB" w:rsidP="005B66DB">
      <w:pPr>
        <w:spacing w:after="0" w:line="240" w:lineRule="auto"/>
        <w:jc w:val="both"/>
        <w:rPr>
          <w:rFonts w:ascii="Verdana" w:eastAsia="Times New Roman" w:hAnsi="Verdana" w:cs="Arial"/>
          <w:b/>
          <w:lang w:val="es-ES_tradnl" w:eastAsia="es-ES"/>
        </w:rPr>
      </w:pPr>
    </w:p>
    <w:p w14:paraId="3E7D35B9" w14:textId="77777777" w:rsidR="005B66DB" w:rsidRDefault="005B66DB" w:rsidP="005B66DB">
      <w:pPr>
        <w:spacing w:after="0" w:line="240" w:lineRule="auto"/>
        <w:jc w:val="both"/>
        <w:rPr>
          <w:rFonts w:ascii="Verdana" w:eastAsia="Times New Roman" w:hAnsi="Verdana" w:cs="Arial"/>
          <w:b/>
          <w:lang w:val="es-ES_tradnl" w:eastAsia="es-ES"/>
        </w:rPr>
      </w:pPr>
    </w:p>
    <w:p w14:paraId="6482DA30" w14:textId="77777777" w:rsidR="005B66DB" w:rsidRDefault="005B66DB" w:rsidP="005B66DB">
      <w:pPr>
        <w:spacing w:after="0" w:line="240" w:lineRule="auto"/>
        <w:jc w:val="both"/>
        <w:rPr>
          <w:rFonts w:ascii="Verdana" w:eastAsia="Times New Roman" w:hAnsi="Verdana" w:cs="Arial"/>
          <w:b/>
          <w:lang w:val="es-ES_tradnl" w:eastAsia="es-ES"/>
        </w:rPr>
      </w:pPr>
    </w:p>
    <w:p w14:paraId="0AF9576E" w14:textId="77777777" w:rsidR="005B66DB" w:rsidRDefault="005B66DB" w:rsidP="005B66DB">
      <w:pPr>
        <w:spacing w:after="0" w:line="240" w:lineRule="auto"/>
        <w:jc w:val="both"/>
        <w:rPr>
          <w:rFonts w:ascii="Verdana" w:eastAsia="Times New Roman" w:hAnsi="Verdana" w:cs="Arial"/>
          <w:b/>
          <w:lang w:val="es-ES_tradnl" w:eastAsia="es-ES"/>
        </w:rPr>
      </w:pPr>
    </w:p>
    <w:p w14:paraId="1A9BD155" w14:textId="77777777" w:rsidR="005B66DB" w:rsidRDefault="005B66DB" w:rsidP="005B66DB">
      <w:pPr>
        <w:spacing w:after="0" w:line="240" w:lineRule="auto"/>
        <w:jc w:val="both"/>
        <w:rPr>
          <w:rFonts w:ascii="Verdana" w:eastAsia="Times New Roman" w:hAnsi="Verdana" w:cs="Arial"/>
          <w:b/>
          <w:lang w:val="es-ES_tradnl" w:eastAsia="es-ES"/>
        </w:rPr>
      </w:pPr>
    </w:p>
    <w:p w14:paraId="66BA7076" w14:textId="77777777" w:rsidR="005B66DB" w:rsidRDefault="005B66DB" w:rsidP="005B66DB">
      <w:pPr>
        <w:spacing w:after="0" w:line="240" w:lineRule="auto"/>
        <w:jc w:val="both"/>
        <w:rPr>
          <w:rFonts w:ascii="Verdana" w:eastAsia="Times New Roman" w:hAnsi="Verdana" w:cs="Arial"/>
          <w:b/>
          <w:lang w:val="es-ES_tradnl" w:eastAsia="es-ES"/>
        </w:rPr>
      </w:pPr>
    </w:p>
    <w:p w14:paraId="19793CC1" w14:textId="77777777" w:rsidR="005B66DB" w:rsidRDefault="005B66DB" w:rsidP="005B66DB">
      <w:pPr>
        <w:spacing w:after="0" w:line="240" w:lineRule="auto"/>
        <w:jc w:val="both"/>
        <w:rPr>
          <w:rFonts w:ascii="Verdana" w:eastAsia="Times New Roman" w:hAnsi="Verdana" w:cs="Arial"/>
          <w:b/>
          <w:lang w:val="es-ES_tradnl" w:eastAsia="es-ES"/>
        </w:rPr>
      </w:pPr>
    </w:p>
    <w:p w14:paraId="5B1C8271" w14:textId="77777777" w:rsidR="005B66DB" w:rsidRDefault="005B66DB" w:rsidP="005B66DB">
      <w:pPr>
        <w:spacing w:after="0" w:line="240" w:lineRule="auto"/>
        <w:jc w:val="both"/>
        <w:rPr>
          <w:rFonts w:ascii="Verdana" w:eastAsia="Times New Roman" w:hAnsi="Verdana" w:cs="Arial"/>
          <w:b/>
          <w:lang w:val="es-ES_tradnl" w:eastAsia="es-ES"/>
        </w:rPr>
      </w:pPr>
    </w:p>
    <w:p w14:paraId="6FC50A15" w14:textId="77777777" w:rsidR="005B66DB" w:rsidRDefault="005B66DB" w:rsidP="005B66DB">
      <w:pPr>
        <w:spacing w:after="0" w:line="240" w:lineRule="auto"/>
        <w:jc w:val="both"/>
        <w:rPr>
          <w:rFonts w:ascii="Verdana" w:eastAsia="Times New Roman" w:hAnsi="Verdana" w:cs="Arial"/>
          <w:b/>
          <w:lang w:val="es-ES_tradnl" w:eastAsia="es-ES"/>
        </w:rPr>
      </w:pPr>
    </w:p>
    <w:p w14:paraId="7520AA15" w14:textId="77777777" w:rsidR="005B66DB" w:rsidRPr="00652078" w:rsidRDefault="005B66DB" w:rsidP="005B66DB">
      <w:pPr>
        <w:spacing w:after="0" w:line="240" w:lineRule="auto"/>
        <w:jc w:val="both"/>
        <w:rPr>
          <w:rFonts w:ascii="Verdana" w:eastAsia="Times New Roman" w:hAnsi="Verdana" w:cs="Arial"/>
          <w:b/>
          <w:lang w:val="es-ES_tradnl" w:eastAsia="es-ES"/>
        </w:rPr>
      </w:pPr>
    </w:p>
    <w:p w14:paraId="0129DB8C" w14:textId="77777777" w:rsidR="005B66DB" w:rsidRDefault="005B66DB" w:rsidP="005B66DB">
      <w:pPr>
        <w:spacing w:after="0" w:line="240" w:lineRule="auto"/>
        <w:rPr>
          <w:rFonts w:ascii="Verdana" w:hAnsi="Verdana"/>
          <w:lang w:val="es-ES"/>
        </w:rPr>
      </w:pPr>
    </w:p>
    <w:p w14:paraId="3DD83D56" w14:textId="77777777" w:rsidR="005B66DB" w:rsidRDefault="005B66DB" w:rsidP="005B66DB">
      <w:pPr>
        <w:spacing w:after="0" w:line="240" w:lineRule="auto"/>
        <w:rPr>
          <w:rFonts w:ascii="Verdana" w:hAnsi="Verdana"/>
          <w:lang w:val="es-ES"/>
        </w:rPr>
      </w:pPr>
    </w:p>
    <w:p w14:paraId="2BB5DDEB" w14:textId="77777777" w:rsidR="005B66DB" w:rsidRDefault="005B66DB" w:rsidP="005B66DB">
      <w:pPr>
        <w:spacing w:after="0" w:line="240" w:lineRule="auto"/>
        <w:rPr>
          <w:rFonts w:ascii="Verdana" w:hAnsi="Verdana"/>
          <w:lang w:val="es-ES"/>
        </w:rPr>
      </w:pPr>
    </w:p>
    <w:p w14:paraId="7B0F3EDC" w14:textId="77777777" w:rsidR="005B66DB" w:rsidRDefault="005B66DB" w:rsidP="005B66DB">
      <w:pPr>
        <w:spacing w:after="0" w:line="240" w:lineRule="auto"/>
        <w:rPr>
          <w:rFonts w:ascii="Verdana" w:hAnsi="Verdana"/>
          <w:lang w:val="es-ES"/>
        </w:rPr>
      </w:pPr>
    </w:p>
    <w:p w14:paraId="12EB6A7F" w14:textId="77777777" w:rsidR="005B66DB" w:rsidRDefault="005B66DB" w:rsidP="005B66DB">
      <w:pPr>
        <w:spacing w:after="0" w:line="240" w:lineRule="auto"/>
        <w:rPr>
          <w:rFonts w:ascii="Verdana" w:hAnsi="Verdana"/>
          <w:lang w:val="es-ES"/>
        </w:rPr>
      </w:pPr>
    </w:p>
    <w:p w14:paraId="6C614541" w14:textId="77777777" w:rsidR="005B66DB" w:rsidRDefault="005B66DB" w:rsidP="005B66DB">
      <w:pPr>
        <w:spacing w:after="0" w:line="240" w:lineRule="auto"/>
        <w:rPr>
          <w:rFonts w:ascii="Verdana" w:hAnsi="Verdana"/>
          <w:lang w:val="es-ES"/>
        </w:rPr>
      </w:pPr>
    </w:p>
    <w:p w14:paraId="6AAAB483" w14:textId="77777777" w:rsidR="005B66DB" w:rsidRDefault="005B66DB" w:rsidP="005B66DB">
      <w:pPr>
        <w:spacing w:after="0" w:line="240" w:lineRule="auto"/>
        <w:rPr>
          <w:rFonts w:ascii="Verdana" w:hAnsi="Verdana"/>
          <w:lang w:val="es-ES"/>
        </w:rPr>
      </w:pPr>
    </w:p>
    <w:p w14:paraId="31DC06FE" w14:textId="77777777" w:rsidR="005B66DB" w:rsidRDefault="005B66DB" w:rsidP="005B66DB">
      <w:pPr>
        <w:spacing w:after="0" w:line="240" w:lineRule="auto"/>
        <w:rPr>
          <w:rFonts w:ascii="Verdana" w:hAnsi="Verdana"/>
          <w:lang w:val="es-ES"/>
        </w:rPr>
      </w:pPr>
    </w:p>
    <w:p w14:paraId="61050C59" w14:textId="77777777" w:rsidR="005B66DB" w:rsidRDefault="005B66DB" w:rsidP="005B66DB">
      <w:pPr>
        <w:spacing w:after="0" w:line="240" w:lineRule="auto"/>
        <w:rPr>
          <w:rFonts w:ascii="Verdana" w:hAnsi="Verdana"/>
          <w:lang w:val="es-ES"/>
        </w:rPr>
      </w:pPr>
    </w:p>
    <w:p w14:paraId="19B79684" w14:textId="77777777" w:rsidR="005B66DB" w:rsidRDefault="005B66DB" w:rsidP="005B66DB">
      <w:pPr>
        <w:spacing w:after="0" w:line="240" w:lineRule="auto"/>
        <w:rPr>
          <w:rFonts w:ascii="Verdana" w:hAnsi="Verdana"/>
          <w:lang w:val="es-ES"/>
        </w:rPr>
      </w:pPr>
    </w:p>
    <w:p w14:paraId="3315F3CF" w14:textId="77777777" w:rsidR="005B66DB" w:rsidRPr="00A40919" w:rsidRDefault="005B66DB" w:rsidP="005B66DB">
      <w:pPr>
        <w:spacing w:after="0" w:line="240" w:lineRule="auto"/>
        <w:rPr>
          <w:rFonts w:ascii="Verdana" w:hAnsi="Verdana"/>
          <w:lang w:val="es-ES"/>
        </w:rPr>
      </w:pPr>
    </w:p>
    <w:p w14:paraId="6C372C54" w14:textId="77777777" w:rsidR="005B66DB" w:rsidRDefault="005B66DB" w:rsidP="005B66DB">
      <w:pPr>
        <w:spacing w:after="0" w:line="240" w:lineRule="auto"/>
        <w:rPr>
          <w:rFonts w:ascii="Verdana" w:hAnsi="Verdana"/>
        </w:rPr>
      </w:pPr>
    </w:p>
    <w:p w14:paraId="1BAC9472" w14:textId="77777777" w:rsidR="005B66DB" w:rsidRDefault="005B66DB" w:rsidP="005B66DB">
      <w:pPr>
        <w:spacing w:after="0" w:line="240" w:lineRule="auto"/>
        <w:rPr>
          <w:rFonts w:ascii="Verdana" w:hAnsi="Verdana"/>
        </w:rPr>
      </w:pPr>
    </w:p>
    <w:p w14:paraId="46C78BB1" w14:textId="3CEDB742" w:rsidR="005B66DB" w:rsidRPr="00F337AB" w:rsidRDefault="005B66DB" w:rsidP="005B66DB">
      <w:pPr>
        <w:spacing w:after="0" w:line="240" w:lineRule="auto"/>
        <w:rPr>
          <w:rFonts w:ascii="Verdana" w:hAnsi="Verdana"/>
          <w:lang w:val="pt-BR"/>
        </w:rPr>
      </w:pPr>
      <w:r w:rsidRPr="00F337AB">
        <w:rPr>
          <w:rFonts w:ascii="Verdana" w:hAnsi="Verdana"/>
          <w:lang w:val="pt-BR"/>
        </w:rPr>
        <w:lastRenderedPageBreak/>
        <w:t xml:space="preserve">Bogotá D.C., </w:t>
      </w:r>
      <w:r w:rsidR="000C3A74" w:rsidRPr="00F337AB">
        <w:rPr>
          <w:rFonts w:ascii="Verdana" w:hAnsi="Verdana"/>
          <w:lang w:val="pt-BR"/>
        </w:rPr>
        <w:t>25 de agosto de 2025</w:t>
      </w:r>
      <w:r w:rsidRPr="00F337AB">
        <w:rPr>
          <w:rFonts w:ascii="Verdana" w:hAnsi="Verdana"/>
          <w:lang w:val="pt-BR"/>
        </w:rPr>
        <w:tab/>
      </w:r>
    </w:p>
    <w:p w14:paraId="7046DA91" w14:textId="77777777" w:rsidR="005B66DB" w:rsidRPr="00F337AB" w:rsidRDefault="005B66DB" w:rsidP="005B66DB">
      <w:pPr>
        <w:spacing w:after="0" w:line="240" w:lineRule="auto"/>
        <w:jc w:val="right"/>
        <w:rPr>
          <w:rFonts w:ascii="Verdana" w:eastAsia="Times New Roman" w:hAnsi="Verdana" w:cs="Arial"/>
          <w:lang w:val="pt-BR" w:eastAsia="es-ES_tradnl"/>
        </w:rPr>
      </w:pPr>
    </w:p>
    <w:p w14:paraId="3E84C49F" w14:textId="79818CEE" w:rsidR="000C3A74" w:rsidRPr="00242B0B" w:rsidRDefault="000C3A74" w:rsidP="000C3A74">
      <w:pPr>
        <w:spacing w:after="0" w:line="240" w:lineRule="auto"/>
        <w:jc w:val="right"/>
        <w:rPr>
          <w:rFonts w:ascii="Verdana" w:eastAsia="Times New Roman" w:hAnsi="Verdana" w:cs="Arial"/>
          <w:lang w:eastAsia="es-ES_tradnl"/>
        </w:rPr>
      </w:pPr>
      <w:r w:rsidRPr="000C3A74">
        <w:rPr>
          <w:rFonts w:ascii="Verdana" w:eastAsia="Times New Roman" w:hAnsi="Verdana" w:cs="Arial"/>
          <w:lang w:eastAsia="es-ES_tradnl"/>
        </w:rPr>
        <w:drawing>
          <wp:inline distT="0" distB="0" distL="0" distR="0" wp14:anchorId="7A08834A" wp14:editId="6E146B65">
            <wp:extent cx="3421380" cy="892315"/>
            <wp:effectExtent l="0" t="0" r="762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32896" cy="895318"/>
                    </a:xfrm>
                    <a:prstGeom prst="rect">
                      <a:avLst/>
                    </a:prstGeom>
                  </pic:spPr>
                </pic:pic>
              </a:graphicData>
            </a:graphic>
          </wp:inline>
        </w:drawing>
      </w:r>
    </w:p>
    <w:p w14:paraId="693BE1A3" w14:textId="77777777" w:rsidR="005B66DB" w:rsidRPr="00E76CD6" w:rsidRDefault="005B66DB" w:rsidP="005B66DB">
      <w:pPr>
        <w:spacing w:after="0" w:line="240" w:lineRule="auto"/>
        <w:jc w:val="right"/>
        <w:rPr>
          <w:rFonts w:ascii="Verdana" w:eastAsia="Calibri" w:hAnsi="Verdana" w:cs="Arial"/>
          <w:lang w:eastAsia="es-ES_tradnl"/>
        </w:rPr>
      </w:pPr>
    </w:p>
    <w:p w14:paraId="394C18E2" w14:textId="77777777" w:rsidR="005B66DB" w:rsidRPr="00E76CD6" w:rsidRDefault="005B66DB" w:rsidP="005B66DB">
      <w:pPr>
        <w:spacing w:after="0" w:line="240" w:lineRule="auto"/>
        <w:jc w:val="both"/>
        <w:rPr>
          <w:rFonts w:ascii="Verdana" w:eastAsia="Calibri" w:hAnsi="Verdana" w:cs="Arial"/>
          <w:lang w:eastAsia="es-ES_tradnl"/>
        </w:rPr>
      </w:pPr>
      <w:r w:rsidRPr="00E76CD6">
        <w:rPr>
          <w:rFonts w:ascii="Verdana" w:eastAsia="Calibri" w:hAnsi="Verdana" w:cs="Arial"/>
          <w:lang w:eastAsia="es-ES_tradnl"/>
        </w:rPr>
        <w:t>Señor</w:t>
      </w:r>
    </w:p>
    <w:p w14:paraId="37637ACE" w14:textId="77777777" w:rsidR="005B66DB" w:rsidRPr="00A35877" w:rsidRDefault="005B66DB" w:rsidP="005B66DB">
      <w:pPr>
        <w:spacing w:after="0" w:line="240" w:lineRule="auto"/>
        <w:rPr>
          <w:rFonts w:ascii="Verdana" w:eastAsia="Calibri" w:hAnsi="Verdana" w:cs="Arial"/>
          <w:b/>
          <w:lang w:eastAsia="es-ES_tradnl"/>
        </w:rPr>
      </w:pPr>
      <w:r w:rsidRPr="00A35877">
        <w:rPr>
          <w:rFonts w:ascii="Verdana" w:eastAsia="Calibri" w:hAnsi="Verdana" w:cs="Arial"/>
          <w:b/>
          <w:lang w:eastAsia="es-ES_tradnl"/>
        </w:rPr>
        <w:t>Iván Darío</w:t>
      </w:r>
      <w:r w:rsidRPr="004B78A0">
        <w:rPr>
          <w:rFonts w:ascii="Verdana" w:hAnsi="Verdana"/>
        </w:rPr>
        <w:t xml:space="preserve"> </w:t>
      </w:r>
      <w:r w:rsidRPr="00A35877">
        <w:rPr>
          <w:rFonts w:ascii="Verdana" w:eastAsia="Calibri" w:hAnsi="Verdana" w:cs="Arial"/>
          <w:b/>
          <w:lang w:eastAsia="es-ES_tradnl"/>
        </w:rPr>
        <w:t>Gutiérrez Cardozo</w:t>
      </w:r>
    </w:p>
    <w:p w14:paraId="7E6B0F78" w14:textId="77777777" w:rsidR="005B66DB" w:rsidRPr="00E76CD6" w:rsidRDefault="00F369BE" w:rsidP="005B66DB">
      <w:pPr>
        <w:spacing w:after="0" w:line="240" w:lineRule="auto"/>
        <w:rPr>
          <w:rFonts w:ascii="Verdana" w:eastAsia="Calibri" w:hAnsi="Verdana" w:cs="Arial"/>
          <w:lang w:eastAsia="es-ES_tradnl"/>
        </w:rPr>
      </w:pPr>
      <w:hyperlink r:id="rId8" w:history="1">
        <w:r w:rsidR="005B66DB" w:rsidRPr="00A35877">
          <w:rPr>
            <w:rStyle w:val="Hipervnculo"/>
            <w:rFonts w:ascii="Verdana" w:eastAsia="Calibri" w:hAnsi="Verdana" w:cs="Arial"/>
            <w:lang w:eastAsia="es-ES_tradnl"/>
          </w:rPr>
          <w:t>ivandariog@hotmail.com</w:t>
        </w:r>
      </w:hyperlink>
    </w:p>
    <w:p w14:paraId="6C3D583E" w14:textId="77777777" w:rsidR="005B66DB" w:rsidRPr="00A35877" w:rsidRDefault="005B66DB" w:rsidP="005B66DB">
      <w:pPr>
        <w:spacing w:after="0" w:line="240" w:lineRule="auto"/>
        <w:rPr>
          <w:rFonts w:ascii="Verdana" w:eastAsia="Calibri" w:hAnsi="Verdana" w:cs="Arial"/>
          <w:lang w:val="pt-BR" w:eastAsia="es-ES_tradnl"/>
        </w:rPr>
      </w:pPr>
      <w:r w:rsidRPr="00A35877">
        <w:rPr>
          <w:rFonts w:ascii="Verdana" w:eastAsia="Calibri" w:hAnsi="Verdana" w:cs="Arial"/>
          <w:lang w:val="pt-BR" w:eastAsia="es-ES_tradnl"/>
        </w:rPr>
        <w:t xml:space="preserve">Neiva, </w:t>
      </w:r>
      <w:proofErr w:type="spellStart"/>
      <w:r w:rsidRPr="00A35877">
        <w:rPr>
          <w:rFonts w:ascii="Verdana" w:eastAsia="Calibri" w:hAnsi="Verdana" w:cs="Arial"/>
          <w:lang w:val="pt-BR" w:eastAsia="es-ES_tradnl"/>
        </w:rPr>
        <w:t>Huila</w:t>
      </w:r>
      <w:proofErr w:type="spellEnd"/>
    </w:p>
    <w:p w14:paraId="086F20DD" w14:textId="77777777" w:rsidR="005B66DB" w:rsidRPr="00A35877" w:rsidRDefault="005B66DB" w:rsidP="005B66DB">
      <w:pPr>
        <w:spacing w:after="0" w:line="240" w:lineRule="auto"/>
        <w:rPr>
          <w:rFonts w:ascii="Verdana" w:eastAsia="Calibri" w:hAnsi="Verdana" w:cs="Arial"/>
          <w:lang w:val="pt-BR" w:eastAsia="es-ES_tradnl"/>
        </w:rPr>
      </w:pPr>
    </w:p>
    <w:p w14:paraId="2A4C65C6" w14:textId="77777777" w:rsidR="005B66DB" w:rsidRPr="00A35877" w:rsidRDefault="005B66DB" w:rsidP="005B66DB">
      <w:pPr>
        <w:spacing w:after="0" w:line="240" w:lineRule="auto"/>
        <w:rPr>
          <w:rFonts w:ascii="Verdana" w:eastAsia="Calibri" w:hAnsi="Verdana" w:cs="Arial"/>
          <w:lang w:val="pt-BR" w:eastAsia="es-ES_tradnl"/>
        </w:rPr>
      </w:pPr>
    </w:p>
    <w:p w14:paraId="4FE92C34" w14:textId="77777777" w:rsidR="005B66DB" w:rsidRPr="00E76CD6" w:rsidRDefault="005B66DB" w:rsidP="005B66DB">
      <w:pPr>
        <w:spacing w:after="0" w:line="240" w:lineRule="auto"/>
        <w:ind w:left="2694"/>
        <w:rPr>
          <w:rFonts w:ascii="Verdana" w:eastAsia="Calibri" w:hAnsi="Verdana" w:cs="Arial"/>
          <w:b/>
          <w:bCs/>
          <w:lang w:eastAsia="es-ES_tradnl"/>
        </w:rPr>
      </w:pPr>
      <w:r w:rsidRPr="00E76CD6">
        <w:rPr>
          <w:rFonts w:ascii="Verdana" w:eastAsia="Calibri" w:hAnsi="Verdana" w:cs="Arial"/>
          <w:b/>
          <w:bCs/>
          <w:lang w:eastAsia="es-ES_tradnl"/>
        </w:rPr>
        <w:t>Concepto C-</w:t>
      </w:r>
      <w:r w:rsidRPr="00A35877">
        <w:rPr>
          <w:rFonts w:ascii="Verdana" w:eastAsia="Calibri" w:hAnsi="Verdana" w:cs="Arial"/>
          <w:b/>
          <w:bCs/>
          <w:lang w:eastAsia="es-ES_tradnl"/>
        </w:rPr>
        <w:t>943</w:t>
      </w:r>
      <w:r w:rsidRPr="00E76CD6">
        <w:rPr>
          <w:rFonts w:ascii="Verdana" w:eastAsia="Calibri" w:hAnsi="Verdana" w:cs="Arial"/>
          <w:b/>
          <w:bCs/>
          <w:lang w:eastAsia="es-ES_tradnl"/>
        </w:rPr>
        <w:t xml:space="preserve"> de 2025</w:t>
      </w:r>
    </w:p>
    <w:p w14:paraId="3F51A779" w14:textId="77777777" w:rsidR="005B66DB" w:rsidRPr="00E76CD6" w:rsidRDefault="005B66DB" w:rsidP="005B66DB">
      <w:pPr>
        <w:spacing w:after="0" w:line="240" w:lineRule="auto"/>
        <w:jc w:val="both"/>
        <w:rPr>
          <w:rFonts w:ascii="Verdana" w:eastAsia="Calibri" w:hAnsi="Verdana" w:cs="Arial"/>
          <w:lang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5B66DB" w:rsidRPr="00E76CD6" w14:paraId="7B0F7B92" w14:textId="77777777" w:rsidTr="000C3A74">
        <w:trPr>
          <w:trHeight w:val="1350"/>
          <w:jc w:val="right"/>
        </w:trPr>
        <w:tc>
          <w:tcPr>
            <w:tcW w:w="2547" w:type="dxa"/>
          </w:tcPr>
          <w:p w14:paraId="3A92ABF7" w14:textId="77777777" w:rsidR="005B66DB" w:rsidRPr="00E76CD6" w:rsidRDefault="005B66DB" w:rsidP="00B75C03">
            <w:pPr>
              <w:jc w:val="center"/>
              <w:rPr>
                <w:rFonts w:ascii="Verdana" w:eastAsia="Calibri" w:hAnsi="Verdana" w:cs="Arial"/>
                <w:lang w:eastAsia="es-ES_tradnl"/>
              </w:rPr>
            </w:pPr>
            <w:r w:rsidRPr="00E76CD6">
              <w:rPr>
                <w:rFonts w:ascii="Verdana" w:eastAsia="Calibri" w:hAnsi="Verdana" w:cs="Arial"/>
                <w:b/>
                <w:lang w:eastAsia="es-ES_tradnl"/>
              </w:rPr>
              <w:t>Temas:</w:t>
            </w:r>
          </w:p>
        </w:tc>
        <w:tc>
          <w:tcPr>
            <w:tcW w:w="6237" w:type="dxa"/>
          </w:tcPr>
          <w:p w14:paraId="27DC08DC" w14:textId="77777777" w:rsidR="005B66DB" w:rsidRDefault="005B66DB" w:rsidP="00B75C03">
            <w:pPr>
              <w:jc w:val="both"/>
              <w:rPr>
                <w:rFonts w:ascii="Verdana" w:eastAsia="Times New Roman" w:hAnsi="Verdana" w:cs="Arial"/>
                <w:lang w:eastAsia="es-ES"/>
              </w:rPr>
            </w:pPr>
            <w:r w:rsidRPr="00A35877">
              <w:rPr>
                <w:rFonts w:ascii="Verdana" w:eastAsia="Times New Roman" w:hAnsi="Verdana" w:cs="Arial"/>
                <w:lang w:eastAsia="es-ES"/>
              </w:rPr>
              <w:t>PLANEACIÓN – Estudios previos / ESTUDIOS PREVIOS – Planeación – Análisis del sector – Requisitos habilitantes y ponderables / PLIEGO DE CONDICIONES – Naturaleza jurídica / PLIEGO DE CONDICIONES – Contenido – Carácter prevalente – Selección objetiva</w:t>
            </w:r>
          </w:p>
          <w:p w14:paraId="3F4CA980" w14:textId="77777777" w:rsidR="005B66DB" w:rsidRPr="00A35877" w:rsidRDefault="005B66DB" w:rsidP="00B75C03">
            <w:pPr>
              <w:jc w:val="both"/>
              <w:rPr>
                <w:rFonts w:ascii="Verdana" w:eastAsia="Times New Roman" w:hAnsi="Verdana" w:cs="Arial"/>
                <w:lang w:val="es-MX" w:eastAsia="es-ES_tradnl"/>
              </w:rPr>
            </w:pPr>
          </w:p>
        </w:tc>
      </w:tr>
      <w:tr w:rsidR="005B66DB" w:rsidRPr="00E76CD6" w14:paraId="703EDCD3" w14:textId="77777777" w:rsidTr="00B75C03">
        <w:trPr>
          <w:jc w:val="right"/>
        </w:trPr>
        <w:tc>
          <w:tcPr>
            <w:tcW w:w="2547" w:type="dxa"/>
          </w:tcPr>
          <w:p w14:paraId="1C049BB5" w14:textId="77777777" w:rsidR="005B66DB" w:rsidRPr="00E76CD6" w:rsidRDefault="005B66DB" w:rsidP="00B75C03">
            <w:pPr>
              <w:jc w:val="center"/>
              <w:rPr>
                <w:rFonts w:ascii="Verdana" w:eastAsia="Calibri" w:hAnsi="Verdana" w:cs="Arial"/>
                <w:b/>
                <w:lang w:eastAsia="es-ES_tradnl"/>
              </w:rPr>
            </w:pPr>
            <w:r w:rsidRPr="00E76CD6">
              <w:rPr>
                <w:rFonts w:ascii="Verdana" w:eastAsia="Calibri" w:hAnsi="Verdana" w:cs="Arial"/>
                <w:b/>
                <w:lang w:eastAsia="es-ES_tradnl"/>
              </w:rPr>
              <w:t>Radicación:</w:t>
            </w:r>
          </w:p>
        </w:tc>
        <w:tc>
          <w:tcPr>
            <w:tcW w:w="6237" w:type="dxa"/>
          </w:tcPr>
          <w:p w14:paraId="77D63868" w14:textId="77777777" w:rsidR="005B66DB" w:rsidRPr="00E76CD6" w:rsidRDefault="005B66DB" w:rsidP="00B75C03">
            <w:pPr>
              <w:jc w:val="both"/>
              <w:rPr>
                <w:rFonts w:ascii="Verdana" w:eastAsia="Calibri" w:hAnsi="Verdana" w:cs="Arial"/>
                <w:lang w:eastAsia="es-ES_tradnl"/>
              </w:rPr>
            </w:pPr>
            <w:r w:rsidRPr="00E76CD6">
              <w:rPr>
                <w:rFonts w:ascii="Verdana" w:eastAsia="Calibri" w:hAnsi="Verdana" w:cs="Arial"/>
                <w:lang w:eastAsia="es-ES_tradnl"/>
              </w:rPr>
              <w:t xml:space="preserve">Respuesta a consulta radicado No. </w:t>
            </w:r>
            <w:r w:rsidRPr="00E309A6">
              <w:rPr>
                <w:rFonts w:ascii="Verdana" w:eastAsia="Times New Roman" w:hAnsi="Verdana" w:cs="Arial"/>
                <w:lang w:eastAsia="es-ES_tradnl"/>
              </w:rPr>
              <w:t>1_2025_07_</w:t>
            </w:r>
            <w:r w:rsidRPr="00A35877">
              <w:rPr>
                <w:rFonts w:ascii="Verdana" w:eastAsia="Times New Roman" w:hAnsi="Verdana" w:cs="Arial"/>
                <w:lang w:eastAsia="es-ES_tradnl"/>
              </w:rPr>
              <w:t>14_007145</w:t>
            </w:r>
          </w:p>
        </w:tc>
      </w:tr>
    </w:tbl>
    <w:p w14:paraId="36AA6BFC" w14:textId="77777777" w:rsidR="005B66DB" w:rsidRPr="00E76CD6" w:rsidRDefault="005B66DB" w:rsidP="005B66DB">
      <w:pPr>
        <w:spacing w:after="0" w:line="240" w:lineRule="auto"/>
        <w:jc w:val="both"/>
        <w:rPr>
          <w:rFonts w:ascii="Verdana" w:eastAsia="Calibri" w:hAnsi="Verdana" w:cs="Arial"/>
          <w:lang w:eastAsia="es-ES_tradnl"/>
        </w:rPr>
      </w:pPr>
    </w:p>
    <w:p w14:paraId="42FD7A96" w14:textId="77777777" w:rsidR="005B66DB" w:rsidRPr="00E76CD6" w:rsidRDefault="005B66DB" w:rsidP="005B66DB">
      <w:pPr>
        <w:spacing w:after="0" w:line="240" w:lineRule="auto"/>
        <w:jc w:val="both"/>
        <w:rPr>
          <w:rFonts w:ascii="Verdana" w:eastAsia="Calibri" w:hAnsi="Verdana" w:cs="Arial"/>
          <w:lang w:eastAsia="es-ES_tradnl"/>
        </w:rPr>
      </w:pPr>
    </w:p>
    <w:p w14:paraId="1154B6BE" w14:textId="77777777" w:rsidR="005B66DB" w:rsidRPr="00E76CD6" w:rsidRDefault="005B66DB" w:rsidP="005B66DB">
      <w:pPr>
        <w:spacing w:after="0" w:line="276" w:lineRule="auto"/>
        <w:jc w:val="both"/>
        <w:rPr>
          <w:rFonts w:ascii="Verdana" w:eastAsia="Calibri" w:hAnsi="Verdana" w:cs="Arial"/>
          <w:bCs/>
          <w:lang w:eastAsia="es-ES_tradnl"/>
        </w:rPr>
      </w:pPr>
      <w:r w:rsidRPr="00E76CD6">
        <w:rPr>
          <w:rFonts w:ascii="Verdana" w:eastAsia="Calibri" w:hAnsi="Verdana" w:cs="Arial"/>
          <w:lang w:eastAsia="es-ES_tradnl"/>
        </w:rPr>
        <w:t xml:space="preserve">Estimado señor </w:t>
      </w:r>
      <w:r w:rsidRPr="00D20A9F">
        <w:rPr>
          <w:rFonts w:ascii="Verdana" w:eastAsia="Calibri" w:hAnsi="Verdana" w:cs="Arial"/>
          <w:lang w:eastAsia="es-ES_tradnl"/>
        </w:rPr>
        <w:t>Gutiérrez Cardozo</w:t>
      </w:r>
      <w:r w:rsidRPr="00E76CD6">
        <w:rPr>
          <w:rFonts w:ascii="Verdana" w:eastAsia="Calibri" w:hAnsi="Verdana" w:cs="Arial"/>
          <w:bCs/>
          <w:lang w:eastAsia="es-ES_tradnl"/>
        </w:rPr>
        <w:t xml:space="preserve">, </w:t>
      </w:r>
    </w:p>
    <w:p w14:paraId="79F3603A" w14:textId="77777777" w:rsidR="005B66DB" w:rsidRPr="00E76CD6" w:rsidRDefault="005B66DB" w:rsidP="005B66DB">
      <w:pPr>
        <w:spacing w:after="0" w:line="276" w:lineRule="auto"/>
        <w:jc w:val="both"/>
        <w:rPr>
          <w:rFonts w:ascii="Verdana" w:eastAsia="Calibri" w:hAnsi="Verdana" w:cs="Arial"/>
          <w:lang w:eastAsia="es-ES_tradnl"/>
        </w:rPr>
      </w:pPr>
    </w:p>
    <w:p w14:paraId="08BF7CAC" w14:textId="77777777" w:rsidR="005B66DB" w:rsidRPr="00E76CD6" w:rsidRDefault="005B66DB" w:rsidP="005B66DB">
      <w:pPr>
        <w:spacing w:after="0" w:line="276" w:lineRule="auto"/>
        <w:jc w:val="both"/>
        <w:rPr>
          <w:rFonts w:ascii="Verdana" w:eastAsia="Calibri" w:hAnsi="Verdana" w:cs="Arial"/>
          <w:lang w:eastAsia="es-ES_tradnl"/>
        </w:rPr>
      </w:pPr>
      <w:r w:rsidRPr="00E76CD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consulta radicada el </w:t>
      </w:r>
      <w:r>
        <w:rPr>
          <w:rFonts w:ascii="Verdana" w:eastAsia="Calibri" w:hAnsi="Verdana" w:cs="Arial"/>
          <w:lang w:eastAsia="es-ES_tradnl"/>
        </w:rPr>
        <w:t>14</w:t>
      </w:r>
      <w:r w:rsidRPr="00E76CD6">
        <w:rPr>
          <w:rFonts w:ascii="Verdana" w:eastAsia="Calibri" w:hAnsi="Verdana" w:cs="Arial"/>
          <w:lang w:eastAsia="es-ES_tradnl"/>
        </w:rPr>
        <w:t xml:space="preserve"> de ju</w:t>
      </w:r>
      <w:r>
        <w:rPr>
          <w:rFonts w:ascii="Verdana" w:eastAsia="Calibri" w:hAnsi="Verdana" w:cs="Arial"/>
          <w:lang w:eastAsia="es-ES_tradnl"/>
        </w:rPr>
        <w:t>l</w:t>
      </w:r>
      <w:r w:rsidRPr="00E76CD6">
        <w:rPr>
          <w:rFonts w:ascii="Verdana" w:eastAsia="Calibri" w:hAnsi="Verdana" w:cs="Arial"/>
          <w:lang w:eastAsia="es-ES_tradnl"/>
        </w:rPr>
        <w:t>io de 2025, consulta formulada en los siguientes términos:</w:t>
      </w:r>
    </w:p>
    <w:p w14:paraId="351E7FAB" w14:textId="77777777" w:rsidR="005B66DB" w:rsidRPr="00E76CD6" w:rsidRDefault="005B66DB" w:rsidP="005B66DB">
      <w:pPr>
        <w:spacing w:after="0" w:line="276" w:lineRule="auto"/>
        <w:jc w:val="both"/>
        <w:rPr>
          <w:rFonts w:ascii="Verdana" w:eastAsia="Calibri" w:hAnsi="Verdana" w:cs="Arial"/>
          <w:lang w:eastAsia="es-ES_tradnl"/>
        </w:rPr>
      </w:pPr>
    </w:p>
    <w:p w14:paraId="6E148AE6" w14:textId="77777777" w:rsidR="005B66DB" w:rsidRPr="004B78A0" w:rsidRDefault="005B66DB" w:rsidP="005B66DB">
      <w:pPr>
        <w:spacing w:after="0" w:line="240" w:lineRule="auto"/>
        <w:ind w:left="709" w:right="709"/>
        <w:jc w:val="both"/>
        <w:rPr>
          <w:rFonts w:ascii="Verdana" w:eastAsia="Times New Roman" w:hAnsi="Verdana" w:cs="Arial"/>
          <w:i/>
          <w:sz w:val="20"/>
          <w:szCs w:val="20"/>
          <w:lang w:eastAsia="es-ES_tradnl"/>
        </w:rPr>
      </w:pPr>
      <w:r w:rsidRPr="004B78A0">
        <w:rPr>
          <w:rFonts w:ascii="Verdana" w:eastAsia="Times New Roman" w:hAnsi="Verdana" w:cs="Arial"/>
          <w:iCs/>
          <w:sz w:val="20"/>
          <w:szCs w:val="20"/>
          <w:lang w:eastAsia="es-ES_tradnl"/>
        </w:rPr>
        <w:t xml:space="preserve">“[…] </w:t>
      </w:r>
      <w:r w:rsidRPr="004B78A0">
        <w:rPr>
          <w:rFonts w:ascii="Verdana" w:hAnsi="Verdana"/>
          <w:i/>
          <w:iCs/>
          <w:sz w:val="20"/>
          <w:szCs w:val="20"/>
        </w:rPr>
        <w:t>cuando hay diferencias entre el estudio previo, el pliego de condiciones y la minuta del contrato, cual tiene mayor relevancia de cara a resolver conflictos contractuales</w:t>
      </w:r>
      <w:r w:rsidRPr="004B78A0">
        <w:rPr>
          <w:rFonts w:ascii="Verdana" w:eastAsia="Times New Roman" w:hAnsi="Verdana" w:cs="Arial"/>
          <w:iCs/>
          <w:sz w:val="20"/>
          <w:szCs w:val="20"/>
          <w:lang w:eastAsia="es-ES_tradnl"/>
        </w:rPr>
        <w:t>” [SIC].</w:t>
      </w:r>
    </w:p>
    <w:p w14:paraId="25219A35" w14:textId="77777777" w:rsidR="005B66DB" w:rsidRPr="00E76CD6" w:rsidRDefault="005B66DB" w:rsidP="005B66DB">
      <w:pPr>
        <w:spacing w:after="0" w:line="240" w:lineRule="auto"/>
        <w:ind w:left="709" w:right="709"/>
        <w:jc w:val="both"/>
        <w:rPr>
          <w:rFonts w:ascii="Verdana" w:eastAsia="Times New Roman" w:hAnsi="Verdana" w:cs="Arial"/>
          <w:i/>
          <w:lang w:eastAsia="es-ES_tradnl"/>
        </w:rPr>
      </w:pPr>
    </w:p>
    <w:p w14:paraId="1525B873" w14:textId="77777777" w:rsidR="005B66DB" w:rsidRPr="00E76CD6" w:rsidRDefault="005B66DB" w:rsidP="005B66DB">
      <w:pPr>
        <w:spacing w:after="120" w:line="276" w:lineRule="auto"/>
        <w:ind w:firstLine="709"/>
        <w:jc w:val="both"/>
        <w:rPr>
          <w:rFonts w:ascii="Verdana" w:eastAsia="Calibri" w:hAnsi="Verdana" w:cs="Arial"/>
          <w:color w:val="000000"/>
          <w:szCs w:val="24"/>
          <w:lang w:eastAsia="es-ES_tradnl"/>
        </w:rPr>
      </w:pPr>
      <w:r w:rsidRPr="00E76CD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E76CD6">
        <w:rPr>
          <w:rFonts w:ascii="Verdana" w:eastAsia="Calibri" w:hAnsi="Verdana" w:cs="Arial"/>
          <w:color w:val="000000"/>
          <w:lang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76CD6">
        <w:rPr>
          <w:rFonts w:ascii="Verdana" w:eastAsia="Calibri" w:hAnsi="Verdana" w:cs="Arial"/>
          <w:color w:val="000000"/>
          <w:szCs w:val="24"/>
          <w:lang w:eastAsia="es-ES_tradnl"/>
        </w:rPr>
        <w:tab/>
      </w:r>
    </w:p>
    <w:p w14:paraId="6321DB68" w14:textId="77777777" w:rsidR="005B66DB" w:rsidRPr="00E76CD6" w:rsidRDefault="005B66DB" w:rsidP="005B66DB">
      <w:pPr>
        <w:spacing w:after="0" w:line="276" w:lineRule="auto"/>
        <w:ind w:firstLine="709"/>
        <w:jc w:val="both"/>
        <w:rPr>
          <w:rFonts w:ascii="Verdana" w:eastAsia="Calibri" w:hAnsi="Verdana" w:cs="Arial"/>
          <w:lang w:eastAsia="es-ES"/>
        </w:rPr>
      </w:pPr>
      <w:r w:rsidRPr="00E76CD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24EB1780" w14:textId="77777777" w:rsidR="005B66DB" w:rsidRPr="00E76CD6" w:rsidRDefault="005B66DB" w:rsidP="005B66DB">
      <w:pPr>
        <w:spacing w:after="0" w:line="276" w:lineRule="auto"/>
        <w:contextualSpacing/>
        <w:jc w:val="both"/>
        <w:rPr>
          <w:rFonts w:ascii="Verdana" w:eastAsia="Times New Roman" w:hAnsi="Verdana" w:cs="Arial"/>
          <w:szCs w:val="24"/>
          <w:lang w:eastAsia="es-ES_tradnl"/>
        </w:rPr>
      </w:pPr>
    </w:p>
    <w:p w14:paraId="69F1407F" w14:textId="77777777" w:rsidR="005B66DB" w:rsidRPr="00E76CD6" w:rsidRDefault="005B66DB" w:rsidP="005B66DB">
      <w:pPr>
        <w:tabs>
          <w:tab w:val="left" w:pos="0"/>
          <w:tab w:val="left" w:pos="284"/>
        </w:tabs>
        <w:spacing w:after="0" w:line="276" w:lineRule="auto"/>
        <w:contextualSpacing/>
        <w:jc w:val="both"/>
        <w:rPr>
          <w:rFonts w:ascii="Verdana" w:eastAsia="Calibri" w:hAnsi="Verdana" w:cs="Arial"/>
          <w:b/>
        </w:rPr>
      </w:pPr>
      <w:r w:rsidRPr="00E76CD6">
        <w:rPr>
          <w:rFonts w:ascii="Verdana" w:eastAsia="Calibri" w:hAnsi="Verdana" w:cs="Arial"/>
          <w:b/>
        </w:rPr>
        <w:t>1. Problema planteado:</w:t>
      </w:r>
    </w:p>
    <w:p w14:paraId="67442E69" w14:textId="77777777" w:rsidR="005B66DB" w:rsidRPr="00E76CD6" w:rsidRDefault="005B66DB" w:rsidP="005B66DB">
      <w:pPr>
        <w:tabs>
          <w:tab w:val="left" w:pos="0"/>
          <w:tab w:val="left" w:pos="284"/>
        </w:tabs>
        <w:spacing w:after="0" w:line="276" w:lineRule="auto"/>
        <w:contextualSpacing/>
        <w:jc w:val="both"/>
        <w:rPr>
          <w:rFonts w:ascii="Verdana" w:eastAsia="Calibri" w:hAnsi="Verdana" w:cs="Arial"/>
          <w:b/>
        </w:rPr>
      </w:pPr>
    </w:p>
    <w:p w14:paraId="3DB57006" w14:textId="77777777" w:rsidR="005B66DB" w:rsidRDefault="005B66DB" w:rsidP="005B66DB">
      <w:pPr>
        <w:spacing w:after="0" w:line="276" w:lineRule="auto"/>
        <w:jc w:val="both"/>
        <w:rPr>
          <w:rFonts w:ascii="Verdana" w:eastAsia="Century Gothic" w:hAnsi="Verdana" w:cs="Century Gothic"/>
        </w:rPr>
      </w:pPr>
      <w:r w:rsidRPr="00E76CD6">
        <w:rPr>
          <w:rFonts w:ascii="Verdana" w:hAnsi="Verdana"/>
        </w:rPr>
        <w:t xml:space="preserve">De acuerdo con el contenido de su solicitud, esta Agencia resolverá </w:t>
      </w:r>
      <w:r>
        <w:rPr>
          <w:rFonts w:ascii="Verdana" w:hAnsi="Verdana"/>
        </w:rPr>
        <w:t>el</w:t>
      </w:r>
      <w:r w:rsidRPr="00E76CD6">
        <w:rPr>
          <w:rFonts w:ascii="Verdana" w:hAnsi="Verdana"/>
        </w:rPr>
        <w:t xml:space="preserve"> </w:t>
      </w:r>
      <w:r>
        <w:rPr>
          <w:rFonts w:ascii="Verdana" w:hAnsi="Verdana"/>
        </w:rPr>
        <w:t xml:space="preserve">siguiente </w:t>
      </w:r>
      <w:r w:rsidRPr="00E76CD6">
        <w:rPr>
          <w:rFonts w:ascii="Verdana" w:hAnsi="Verdana"/>
        </w:rPr>
        <w:t xml:space="preserve">interrogante: </w:t>
      </w:r>
      <w:r w:rsidRPr="00D92F59">
        <w:rPr>
          <w:rFonts w:ascii="Verdana" w:eastAsia="Century Gothic" w:hAnsi="Verdana" w:cs="Century Gothic"/>
        </w:rPr>
        <w:t>¿Qué debe prevalecer ante las inconsistencias entre el pliego de condiciones y demás documentos contractuales?</w:t>
      </w:r>
    </w:p>
    <w:p w14:paraId="74977603" w14:textId="77777777" w:rsidR="005B66DB" w:rsidRPr="00E76CD6" w:rsidRDefault="005B66DB" w:rsidP="005B66DB">
      <w:pPr>
        <w:spacing w:after="0" w:line="276" w:lineRule="auto"/>
        <w:jc w:val="both"/>
        <w:rPr>
          <w:rFonts w:ascii="Verdana" w:eastAsia="Calibri" w:hAnsi="Verdana" w:cs="Arial"/>
          <w:lang w:eastAsia="es-ES_tradnl"/>
        </w:rPr>
      </w:pPr>
    </w:p>
    <w:p w14:paraId="71973724" w14:textId="77777777" w:rsidR="005B66DB" w:rsidRPr="00E76CD6" w:rsidRDefault="005B66DB" w:rsidP="005B66DB">
      <w:pPr>
        <w:tabs>
          <w:tab w:val="left" w:pos="142"/>
          <w:tab w:val="left" w:pos="284"/>
        </w:tabs>
        <w:spacing w:after="0" w:line="276" w:lineRule="auto"/>
        <w:jc w:val="both"/>
        <w:rPr>
          <w:rFonts w:ascii="Verdana" w:eastAsia="Century Gothic" w:hAnsi="Verdana" w:cs="Century Gothic"/>
          <w:b/>
          <w:bCs/>
        </w:rPr>
      </w:pPr>
      <w:r w:rsidRPr="00E76CD6">
        <w:rPr>
          <w:rFonts w:ascii="Verdana" w:eastAsia="Century Gothic" w:hAnsi="Verdana" w:cs="Century Gothic"/>
          <w:b/>
          <w:bCs/>
        </w:rPr>
        <w:t>2. Respuesta:</w:t>
      </w:r>
    </w:p>
    <w:p w14:paraId="512B4934" w14:textId="77777777" w:rsidR="005B66DB" w:rsidRPr="00E76CD6" w:rsidRDefault="005B66DB" w:rsidP="005B66D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66DB" w:rsidRPr="00E76CD6" w14:paraId="137EF4BC" w14:textId="77777777" w:rsidTr="00B75C03">
        <w:tc>
          <w:tcPr>
            <w:tcW w:w="8828" w:type="dxa"/>
          </w:tcPr>
          <w:p w14:paraId="04A423BD" w14:textId="77777777" w:rsidR="005B66DB" w:rsidRDefault="005B66DB" w:rsidP="00B75C03">
            <w:pPr>
              <w:widowControl w:val="0"/>
              <w:autoSpaceDE w:val="0"/>
              <w:autoSpaceDN w:val="0"/>
              <w:spacing w:after="120" w:line="276" w:lineRule="auto"/>
              <w:jc w:val="both"/>
              <w:rPr>
                <w:rFonts w:ascii="Verdana" w:eastAsia="Calibri" w:hAnsi="Verdana"/>
                <w:lang w:val="es-ES"/>
              </w:rPr>
            </w:pPr>
            <w:r w:rsidRPr="00305AB1">
              <w:rPr>
                <w:rFonts w:ascii="Verdana" w:hAnsi="Verdana" w:cs="Calibri"/>
                <w:shd w:val="clear" w:color="auto" w:fill="FFFFFF"/>
              </w:rPr>
              <w:t xml:space="preserve">De acuerdo con lo establecido en la jurisprudencia de la Sección Tercera del Consejo de Estado y la doctrina nacional, el carácter normativo del </w:t>
            </w:r>
            <w:r w:rsidRPr="00305AB1">
              <w:rPr>
                <w:rFonts w:ascii="Verdana" w:eastAsia="Calibri" w:hAnsi="Verdana"/>
                <w:lang w:val="es-ES"/>
              </w:rPr>
              <w:t xml:space="preserve">pliego de condiciones dota al mismo de un carácter prevalente respecto de los demás documentos contractuales, en la medida en que los efectos que devienen de él irradian el desarrollo del proceso de selección, la celebración del contrato y su ejecución. </w:t>
            </w:r>
          </w:p>
          <w:p w14:paraId="27FBC6F4" w14:textId="77777777" w:rsidR="005B66DB" w:rsidRDefault="005B66DB" w:rsidP="00B75C03">
            <w:pPr>
              <w:spacing w:before="120" w:after="120" w:line="276" w:lineRule="auto"/>
              <w:ind w:firstLine="709"/>
              <w:jc w:val="both"/>
              <w:rPr>
                <w:rFonts w:ascii="Verdana" w:eastAsia="Calibri" w:hAnsi="Verdana"/>
                <w:lang w:val="es-ES"/>
              </w:rPr>
            </w:pPr>
            <w:r>
              <w:rPr>
                <w:rFonts w:ascii="Verdana" w:eastAsia="Calibri" w:hAnsi="Verdana"/>
                <w:lang w:val="es-ES"/>
              </w:rPr>
              <w:t>Recientemente, conceptos emitidos por Colombia Compra Eficiente han adherido a dicha tesis, sosteniendo que: si existe contradicción entre los documentos precontractuales y el contrato, prevalece el contenido del pliego de condiciones, en razón a que es fuente principal de interpretación de la voluntad de la Administración y se adhiere al contenido de la minuta del contrato.</w:t>
            </w:r>
          </w:p>
          <w:p w14:paraId="010C4873" w14:textId="77777777" w:rsidR="005B66DB" w:rsidRDefault="005B66DB" w:rsidP="00B75C03">
            <w:pPr>
              <w:spacing w:before="120" w:after="120" w:line="276" w:lineRule="auto"/>
              <w:ind w:firstLine="709"/>
              <w:jc w:val="both"/>
              <w:rPr>
                <w:rFonts w:ascii="Verdana" w:eastAsia="Calibri" w:hAnsi="Verdana"/>
                <w:lang w:val="es-ES"/>
              </w:rPr>
            </w:pPr>
            <w:r>
              <w:rPr>
                <w:rFonts w:ascii="Verdana" w:eastAsia="Calibri" w:hAnsi="Verdana"/>
                <w:lang w:val="es-ES"/>
              </w:rPr>
              <w:t xml:space="preserve">La base de la tesis anterior se fundamenta en que, desde la perspectiva de la naturaleza jurídica, el pliego de condiciones ha sido considerado </w:t>
            </w:r>
            <w:r w:rsidRPr="00816400">
              <w:rPr>
                <w:rFonts w:ascii="Verdana" w:eastAsia="Calibri" w:hAnsi="Verdana"/>
                <w:i/>
                <w:iCs/>
                <w:lang w:val="es-ES"/>
              </w:rPr>
              <w:t xml:space="preserve">como un acto jurídico mixto que nace como un acto administrativo de carácter </w:t>
            </w:r>
            <w:r w:rsidRPr="00816400">
              <w:rPr>
                <w:rFonts w:ascii="Verdana" w:eastAsia="Calibri" w:hAnsi="Verdana"/>
                <w:i/>
                <w:iCs/>
                <w:lang w:val="es-ES"/>
              </w:rPr>
              <w:lastRenderedPageBreak/>
              <w:t>general, y que, con la adjudicación y suscripción del contrato estatal, algunos de sus contenidos se transforman para incorporarse al texto del negocio jurídico y, por consiguiente, se convierten en cláusulas vinculantes del mismo</w:t>
            </w:r>
            <w:r w:rsidRPr="00816400">
              <w:rPr>
                <w:rFonts w:ascii="Verdana" w:eastAsia="Calibri" w:hAnsi="Verdana"/>
                <w:lang w:val="es-ES"/>
              </w:rPr>
              <w:t>, donde se establecen</w:t>
            </w:r>
            <w:r>
              <w:rPr>
                <w:rFonts w:ascii="Verdana" w:eastAsia="Calibri" w:hAnsi="Verdana"/>
                <w:lang w:val="es-ES"/>
              </w:rPr>
              <w:t xml:space="preserve"> reglas </w:t>
            </w:r>
            <w:r w:rsidRPr="00135BFF">
              <w:rPr>
                <w:rFonts w:ascii="Verdana" w:eastAsia="Calibri" w:hAnsi="Verdana"/>
                <w:lang w:val="es-ES"/>
              </w:rPr>
              <w:t>y procedimientos claros y justos,</w:t>
            </w:r>
            <w:r>
              <w:rPr>
                <w:rFonts w:ascii="Verdana" w:eastAsia="Calibri" w:hAnsi="Verdana"/>
                <w:lang w:val="es-ES"/>
              </w:rPr>
              <w:t xml:space="preserve"> </w:t>
            </w:r>
            <w:r w:rsidRPr="00135BFF">
              <w:rPr>
                <w:rFonts w:ascii="Verdana" w:eastAsia="Calibri" w:hAnsi="Verdana"/>
                <w:lang w:val="es-ES"/>
              </w:rPr>
              <w:t>que permit</w:t>
            </w:r>
            <w:r>
              <w:rPr>
                <w:rFonts w:ascii="Verdana" w:eastAsia="Calibri" w:hAnsi="Verdana"/>
                <w:lang w:val="es-ES"/>
              </w:rPr>
              <w:t>e</w:t>
            </w:r>
            <w:r w:rsidRPr="00135BFF">
              <w:rPr>
                <w:rFonts w:ascii="Verdana" w:eastAsia="Calibri" w:hAnsi="Verdana"/>
                <w:lang w:val="es-ES"/>
              </w:rPr>
              <w:t>n la mejor escogencia del contratista con arreglo a las necesidades</w:t>
            </w:r>
            <w:r>
              <w:rPr>
                <w:rFonts w:ascii="Verdana" w:eastAsia="Calibri" w:hAnsi="Verdana"/>
                <w:lang w:val="es-ES"/>
              </w:rPr>
              <w:t xml:space="preserve"> </w:t>
            </w:r>
            <w:r w:rsidRPr="00135BFF">
              <w:rPr>
                <w:rFonts w:ascii="Verdana" w:eastAsia="Calibri" w:hAnsi="Verdana"/>
                <w:lang w:val="es-ES"/>
              </w:rPr>
              <w:t>públicas y el interés general.</w:t>
            </w:r>
          </w:p>
          <w:p w14:paraId="4F441408" w14:textId="77777777" w:rsidR="005B66DB" w:rsidRPr="00A97101" w:rsidRDefault="005B66DB" w:rsidP="00B75C03">
            <w:pPr>
              <w:spacing w:before="120" w:after="120" w:line="276" w:lineRule="auto"/>
              <w:ind w:firstLine="709"/>
              <w:jc w:val="both"/>
              <w:rPr>
                <w:rFonts w:ascii="Verdana" w:eastAsia="Calibri" w:hAnsi="Verdana"/>
                <w:lang w:val="es-ES"/>
              </w:rPr>
            </w:pPr>
            <w:r>
              <w:rPr>
                <w:rFonts w:ascii="Verdana" w:eastAsia="Calibri" w:hAnsi="Verdana"/>
                <w:lang w:val="es-ES"/>
              </w:rPr>
              <w:t xml:space="preserve">Como se puede observar, el pliego de condiciones </w:t>
            </w:r>
            <w:r w:rsidRPr="00A97101">
              <w:rPr>
                <w:rFonts w:ascii="Verdana" w:eastAsia="Calibri" w:hAnsi="Verdana"/>
                <w:lang w:val="es-ES"/>
              </w:rPr>
              <w:t xml:space="preserve">constituye el acto jurídico fundamental que estructura y orienta la etapa precontractual en los procesos de selección de contratistas, pues en él se establecen los elementos esenciales del negocio jurídico a suscribir, tales como el objeto del contrato, la causa </w:t>
            </w:r>
            <w:proofErr w:type="gramStart"/>
            <w:r w:rsidRPr="00A97101">
              <w:rPr>
                <w:rFonts w:ascii="Verdana" w:eastAsia="Calibri" w:hAnsi="Verdana"/>
                <w:lang w:val="es-ES"/>
              </w:rPr>
              <w:t>del mismo</w:t>
            </w:r>
            <w:proofErr w:type="gramEnd"/>
            <w:r w:rsidRPr="00A97101">
              <w:rPr>
                <w:rFonts w:ascii="Verdana" w:eastAsia="Calibri" w:hAnsi="Verdana"/>
                <w:lang w:val="es-ES"/>
              </w:rPr>
              <w:t>, el procedimiento aplicable para la evaluación objetiva de las ofertas y los plazos que regirán la actuación administrativa.</w:t>
            </w:r>
          </w:p>
          <w:p w14:paraId="01C14FDA" w14:textId="77777777" w:rsidR="005B66DB" w:rsidRPr="00A97101" w:rsidRDefault="005B66DB" w:rsidP="00B75C03">
            <w:pPr>
              <w:spacing w:before="120" w:after="120" w:line="276" w:lineRule="auto"/>
              <w:ind w:firstLine="709"/>
              <w:jc w:val="both"/>
              <w:rPr>
                <w:rFonts w:ascii="Verdana" w:eastAsia="Calibri" w:hAnsi="Verdana"/>
                <w:lang w:val="es-ES"/>
              </w:rPr>
            </w:pPr>
            <w:r w:rsidRPr="00A97101">
              <w:rPr>
                <w:rFonts w:ascii="Verdana" w:eastAsia="Calibri" w:hAnsi="Verdana"/>
                <w:lang w:val="es-ES"/>
              </w:rPr>
              <w:t>De esta forma, el pliego de condiciones materializa los principios de planeación contractual y de transparencia, en tanto su adecuada formulación garantiza que la selección del contratista se realice con base en parámetros objetivos, previamente definidos y conformes al marco legal vigente, permitiendo así la observancia del principio de selección objetiva previsto en el artículo 29 de la Ley 80 de 1993 (derogado por el artículo 32 de la Ley 1150 de 2007 y modificado por el artículo 88 de la Ley 1474 de 2011).</w:t>
            </w:r>
          </w:p>
          <w:p w14:paraId="70210E12" w14:textId="77777777" w:rsidR="005B66DB" w:rsidRPr="00A97101" w:rsidRDefault="005B66DB" w:rsidP="00B75C03">
            <w:pPr>
              <w:spacing w:before="120" w:after="120" w:line="276" w:lineRule="auto"/>
              <w:ind w:firstLine="709"/>
              <w:jc w:val="both"/>
              <w:rPr>
                <w:rFonts w:ascii="Verdana" w:eastAsia="Calibri" w:hAnsi="Verdana"/>
                <w:lang w:val="es-ES"/>
              </w:rPr>
            </w:pPr>
            <w:r w:rsidRPr="00A97101">
              <w:rPr>
                <w:rFonts w:ascii="Verdana" w:eastAsia="Calibri" w:hAnsi="Verdana"/>
                <w:lang w:val="es-ES"/>
              </w:rPr>
              <w:t>En esa medida, el pliego de condiciones adquiere la connotación de ser la “</w:t>
            </w:r>
            <w:r w:rsidRPr="00182CE4">
              <w:rPr>
                <w:rFonts w:ascii="Verdana" w:eastAsia="Calibri" w:hAnsi="Verdana"/>
                <w:lang w:val="es-ES"/>
              </w:rPr>
              <w:t>ley del procedimiento de selección y del contrato</w:t>
            </w:r>
            <w:r w:rsidRPr="00A97101">
              <w:rPr>
                <w:rFonts w:ascii="Verdana" w:eastAsia="Calibri" w:hAnsi="Verdana"/>
                <w:lang w:val="es-ES"/>
              </w:rPr>
              <w:t>”, en cuanto fija reglas obligatorias tanto para la administración como para los oferentes. Para la entidad estatal, implica el deber de ajustar su actuación a los parámetros que ella misma ha definido en ejercicio de su potestad de configuración, mientras que para los proponentes constituye la garantía de participar en un proceso que se desarrollará con igualdad de condiciones, transparencia y plena seguridad jurídica.</w:t>
            </w:r>
          </w:p>
          <w:p w14:paraId="3F25CB5E" w14:textId="77777777" w:rsidR="005B66DB" w:rsidRDefault="005B66DB" w:rsidP="00B75C03">
            <w:pPr>
              <w:spacing w:before="120" w:after="120" w:line="276" w:lineRule="auto"/>
              <w:ind w:firstLine="709"/>
              <w:jc w:val="both"/>
              <w:rPr>
                <w:rFonts w:ascii="Verdana" w:eastAsia="Calibri" w:hAnsi="Verdana"/>
                <w:lang w:val="es-ES"/>
              </w:rPr>
            </w:pPr>
            <w:r>
              <w:rPr>
                <w:rFonts w:ascii="Verdana" w:eastAsia="Calibri" w:hAnsi="Verdana"/>
                <w:lang w:val="es-ES"/>
              </w:rPr>
              <w:t>Es por esa razón que, ante</w:t>
            </w:r>
            <w:r w:rsidRPr="00A97101">
              <w:rPr>
                <w:rFonts w:ascii="Verdana" w:eastAsia="Calibri" w:hAnsi="Verdana"/>
                <w:lang w:val="es-ES"/>
              </w:rPr>
              <w:t xml:space="preserve"> cualquier actuación </w:t>
            </w:r>
            <w:r>
              <w:rPr>
                <w:rFonts w:ascii="Verdana" w:eastAsia="Calibri" w:hAnsi="Verdana"/>
                <w:lang w:val="es-ES"/>
              </w:rPr>
              <w:t>en donde</w:t>
            </w:r>
            <w:r w:rsidRPr="00A97101">
              <w:rPr>
                <w:rFonts w:ascii="Verdana" w:eastAsia="Calibri" w:hAnsi="Verdana"/>
                <w:lang w:val="es-ES"/>
              </w:rPr>
              <w:t xml:space="preserve"> la entidad contratante desco</w:t>
            </w:r>
            <w:r>
              <w:rPr>
                <w:rFonts w:ascii="Verdana" w:eastAsia="Calibri" w:hAnsi="Verdana"/>
                <w:lang w:val="es-ES"/>
              </w:rPr>
              <w:t>noce</w:t>
            </w:r>
            <w:r w:rsidRPr="00A97101">
              <w:rPr>
                <w:rFonts w:ascii="Verdana" w:eastAsia="Calibri" w:hAnsi="Verdana"/>
                <w:lang w:val="es-ES"/>
              </w:rPr>
              <w:t xml:space="preserve"> lo previsto en el pliego de condiciones, ya sea en la etapa de selección o en la ejecución contractual, puede </w:t>
            </w:r>
            <w:r>
              <w:rPr>
                <w:rFonts w:ascii="Verdana" w:eastAsia="Calibri" w:hAnsi="Verdana"/>
                <w:lang w:val="es-ES"/>
              </w:rPr>
              <w:t xml:space="preserve">llegar a </w:t>
            </w:r>
            <w:r w:rsidRPr="00A97101">
              <w:rPr>
                <w:rFonts w:ascii="Verdana" w:eastAsia="Calibri" w:hAnsi="Verdana"/>
                <w:lang w:val="es-ES"/>
              </w:rPr>
              <w:t>comprometer la validez del procedimiento y del contrato derivado, al vulnerar principios estructurales del sistema de contratación pública como la planeación, la transparencia, la selección objetiva y la igualdad de oportunidades para los oferentes.</w:t>
            </w:r>
          </w:p>
          <w:p w14:paraId="27F7A540" w14:textId="77777777" w:rsidR="005B66DB" w:rsidRDefault="005B66DB" w:rsidP="00B75C03">
            <w:pPr>
              <w:spacing w:before="120" w:after="120" w:line="276" w:lineRule="auto"/>
              <w:ind w:firstLine="709"/>
              <w:jc w:val="both"/>
              <w:rPr>
                <w:rFonts w:ascii="Verdana" w:eastAsia="Calibri" w:hAnsi="Verdana"/>
                <w:lang w:val="es-ES"/>
              </w:rPr>
            </w:pPr>
            <w:r w:rsidRPr="00852B5C">
              <w:rPr>
                <w:rFonts w:ascii="Verdana" w:eastAsia="Calibri" w:hAnsi="Verdana"/>
              </w:rPr>
              <w:t xml:space="preserve">En ese sentido, la Entidad Estatal no puede ejercer la autonomía de la voluntad para incluir en la minuta disposiciones que contravengan las reglas o </w:t>
            </w:r>
            <w:r w:rsidRPr="00852B5C">
              <w:rPr>
                <w:rFonts w:ascii="Verdana" w:eastAsia="Calibri" w:hAnsi="Verdana"/>
              </w:rPr>
              <w:lastRenderedPageBreak/>
              <w:t>elementos esenciales del negocio jurídico que debe perfeccionarse como resultado del Proceso de Contratación.</w:t>
            </w:r>
            <w:r>
              <w:rPr>
                <w:rFonts w:ascii="Verdana" w:eastAsia="Calibri" w:hAnsi="Verdana"/>
                <w:lang w:val="es-ES"/>
              </w:rPr>
              <w:t xml:space="preserve"> </w:t>
            </w:r>
            <w:r w:rsidRPr="00305AB1">
              <w:rPr>
                <w:rFonts w:ascii="Verdana" w:eastAsia="Calibri" w:hAnsi="Verdana"/>
                <w:lang w:val="es-ES"/>
              </w:rPr>
              <w:t>Sin embargo, dicho carácter prevalente del pliego de condiciones no puede servir para transgredir el interés general y la selección objetiva, ni para desconocer las características del negocio jurídico determinadas en el marco de la etapa de planeación, ni requisitos que resultan de obligatoria aplicación en virtud de la ley.</w:t>
            </w:r>
          </w:p>
          <w:p w14:paraId="628B4264" w14:textId="77777777" w:rsidR="005B66DB" w:rsidRPr="00E76CD6" w:rsidRDefault="005B66DB" w:rsidP="00B75C03">
            <w:pPr>
              <w:spacing w:before="120"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No obstante, ante contradicciones entre el contrato y los demás documentos precontractuales, tanto l</w:t>
            </w:r>
            <w:r w:rsidRPr="00EB2F86">
              <w:rPr>
                <w:rFonts w:ascii="Verdana" w:eastAsia="Arial MT" w:hAnsi="Verdana" w:cs="Arial"/>
                <w:lang w:eastAsia="es-ES" w:bidi="es-ES"/>
              </w:rPr>
              <w:t>a entidad,</w:t>
            </w:r>
            <w:r>
              <w:rPr>
                <w:rFonts w:ascii="Verdana" w:eastAsia="Arial MT" w:hAnsi="Verdana" w:cs="Arial"/>
                <w:lang w:eastAsia="es-ES" w:bidi="es-ES"/>
              </w:rPr>
              <w:t xml:space="preserve"> como los </w:t>
            </w:r>
            <w:r w:rsidRPr="00EB2F86">
              <w:rPr>
                <w:rFonts w:ascii="Verdana" w:eastAsia="Arial MT" w:hAnsi="Verdana" w:cs="Arial"/>
                <w:lang w:eastAsia="es-ES" w:bidi="es-ES"/>
              </w:rPr>
              <w:t>proponentes o contratistas pueden acudir a las reglas de interpretación de los artículos 1618 a 1624 del Código Civil: objetivas (primacía de la intención sobre lo literal, interpretación sistemática, aplicación práctica, sentido ejemplificativo y restricción de términos generales) y subjetivas (preferencia por el sentido útil, naturaleza del contrato, interpretación a favor del deudor y contra quien generó la ambigüedad</w:t>
            </w:r>
            <w:r>
              <w:rPr>
                <w:rFonts w:ascii="Verdana" w:eastAsia="Arial MT" w:hAnsi="Verdana" w:cs="Arial"/>
                <w:lang w:eastAsia="es-ES" w:bidi="es-ES"/>
              </w:rPr>
              <w:t xml:space="preserve">), </w:t>
            </w:r>
            <w:r w:rsidRPr="00EB2F86">
              <w:rPr>
                <w:rFonts w:ascii="Verdana" w:eastAsia="Arial MT" w:hAnsi="Verdana" w:cs="Arial"/>
                <w:lang w:eastAsia="es-ES" w:bidi="es-ES"/>
              </w:rPr>
              <w:t xml:space="preserve">según las circunstancias del caso, garantizando que las ambigüedades </w:t>
            </w:r>
            <w:r>
              <w:rPr>
                <w:rFonts w:ascii="Verdana" w:eastAsia="Arial MT" w:hAnsi="Verdana" w:cs="Arial"/>
                <w:lang w:eastAsia="es-ES" w:bidi="es-ES"/>
              </w:rPr>
              <w:t xml:space="preserve">entre los documentos precontractuales y la minuta </w:t>
            </w:r>
            <w:r w:rsidRPr="00EB2F86">
              <w:rPr>
                <w:rFonts w:ascii="Verdana" w:eastAsia="Arial MT" w:hAnsi="Verdana" w:cs="Arial"/>
                <w:lang w:eastAsia="es-ES" w:bidi="es-ES"/>
              </w:rPr>
              <w:t xml:space="preserve">no perjudiquen </w:t>
            </w:r>
            <w:r>
              <w:rPr>
                <w:rFonts w:ascii="Verdana" w:eastAsia="Arial MT" w:hAnsi="Verdana" w:cs="Arial"/>
                <w:lang w:eastAsia="es-ES" w:bidi="es-ES"/>
              </w:rPr>
              <w:t>sus intereses</w:t>
            </w:r>
            <w:r w:rsidRPr="00EB2F86">
              <w:rPr>
                <w:rFonts w:ascii="Verdana" w:eastAsia="Arial MT" w:hAnsi="Verdana" w:cs="Arial"/>
                <w:lang w:eastAsia="es-ES" w:bidi="es-ES"/>
              </w:rPr>
              <w:t xml:space="preserve">. </w:t>
            </w:r>
            <w:r>
              <w:rPr>
                <w:rFonts w:ascii="Verdana" w:eastAsia="Arial MT" w:hAnsi="Verdana" w:cs="Arial"/>
                <w:lang w:eastAsia="es-ES" w:bidi="es-ES"/>
              </w:rPr>
              <w:t>Ahora bien, si persiste el desacuerdo</w:t>
            </w:r>
            <w:r w:rsidRPr="00EB2F86">
              <w:rPr>
                <w:rFonts w:ascii="Verdana" w:eastAsia="Arial MT" w:hAnsi="Verdana" w:cs="Arial"/>
                <w:lang w:eastAsia="es-ES" w:bidi="es-ES"/>
              </w:rPr>
              <w:t>, corresponde a la jurisdicción contencioso-administrativa definir la interpretación y prevalencia de los documentos contractuales, cuya validez solo puede establecerse caso por caso.</w:t>
            </w:r>
          </w:p>
        </w:tc>
      </w:tr>
    </w:tbl>
    <w:p w14:paraId="087F9430" w14:textId="77777777" w:rsidR="005B66DB" w:rsidRPr="00E76CD6" w:rsidRDefault="005B66DB" w:rsidP="005B66DB">
      <w:pPr>
        <w:spacing w:after="0" w:line="276" w:lineRule="auto"/>
        <w:jc w:val="both"/>
        <w:rPr>
          <w:rFonts w:ascii="Verdana" w:eastAsia="Times New Roman" w:hAnsi="Verdana" w:cs="Arial"/>
          <w:lang w:eastAsia="es-ES_tradnl"/>
        </w:rPr>
      </w:pPr>
    </w:p>
    <w:p w14:paraId="21649848" w14:textId="77777777" w:rsidR="005B66DB" w:rsidRPr="00E76CD6" w:rsidRDefault="005B66DB" w:rsidP="005B66D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76CD6">
        <w:rPr>
          <w:rFonts w:ascii="Verdana" w:eastAsia="Century Gothic" w:hAnsi="Verdana" w:cs="Century Gothic"/>
          <w:b/>
          <w:bCs/>
        </w:rPr>
        <w:t>3. Razones de la respuesta:</w:t>
      </w:r>
    </w:p>
    <w:p w14:paraId="2B32C764" w14:textId="77777777" w:rsidR="005B66DB" w:rsidRPr="00E76CD6" w:rsidRDefault="005B66DB" w:rsidP="005B66DB">
      <w:pPr>
        <w:spacing w:after="0" w:line="276" w:lineRule="auto"/>
        <w:jc w:val="both"/>
        <w:rPr>
          <w:rFonts w:ascii="Verdana" w:eastAsia="Calibri" w:hAnsi="Verdana" w:cs="Arial"/>
          <w:color w:val="7030A0"/>
        </w:rPr>
      </w:pPr>
    </w:p>
    <w:p w14:paraId="56181ADF" w14:textId="77777777" w:rsidR="005B66DB" w:rsidRPr="00B96799" w:rsidRDefault="005B66DB" w:rsidP="005B66DB">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5CBCB27" w14:textId="77777777" w:rsidR="005B66DB" w:rsidRPr="00593A5F" w:rsidRDefault="005B66DB" w:rsidP="005B66DB">
      <w:pPr>
        <w:spacing w:after="0" w:line="276" w:lineRule="auto"/>
        <w:jc w:val="both"/>
        <w:rPr>
          <w:rFonts w:ascii="Verdana" w:eastAsia="Calibri" w:hAnsi="Verdana" w:cs="Arial"/>
          <w:color w:val="7030A0"/>
          <w:lang w:val="es-ES"/>
        </w:rPr>
      </w:pPr>
    </w:p>
    <w:p w14:paraId="263D97D2" w14:textId="77777777" w:rsidR="005B66DB" w:rsidRPr="00305AB1" w:rsidRDefault="005B66DB" w:rsidP="005B66DB">
      <w:pPr>
        <w:spacing w:after="0" w:line="276" w:lineRule="auto"/>
        <w:jc w:val="both"/>
        <w:rPr>
          <w:rFonts w:ascii="Verdana" w:hAnsi="Verdana"/>
          <w:sz w:val="24"/>
          <w:lang w:val="es-MX"/>
        </w:rPr>
      </w:pPr>
      <w:bookmarkStart w:id="1" w:name="_Hlk54011258"/>
      <w:r w:rsidRPr="00305AB1">
        <w:rPr>
          <w:rFonts w:ascii="Verdana" w:eastAsia="Calibri" w:hAnsi="Verdana" w:cs="Arial"/>
          <w:bCs/>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1"/>
      <w:r w:rsidRPr="00305AB1">
        <w:rPr>
          <w:rFonts w:ascii="Verdana" w:eastAsia="Calibri" w:hAnsi="Verdana" w:cs="Arial"/>
          <w:bCs/>
          <w:sz w:val="21"/>
          <w:szCs w:val="21"/>
          <w:lang w:val="es-ES_tradnl"/>
        </w:rPr>
        <w:t>.</w:t>
      </w:r>
    </w:p>
    <w:p w14:paraId="23F6287C" w14:textId="77777777" w:rsidR="005B66DB" w:rsidRPr="00305AB1" w:rsidRDefault="005B66DB" w:rsidP="005B66DB">
      <w:pPr>
        <w:spacing w:before="120" w:after="0" w:line="276" w:lineRule="auto"/>
        <w:ind w:firstLine="708"/>
        <w:jc w:val="both"/>
        <w:rPr>
          <w:rFonts w:ascii="Verdana" w:hAnsi="Verdana" w:cs="Arial"/>
          <w:bCs/>
          <w:lang w:val="es-ES"/>
        </w:rPr>
      </w:pPr>
      <w:r w:rsidRPr="00305AB1">
        <w:rPr>
          <w:rFonts w:ascii="Verdana" w:hAnsi="Verdana" w:cs="Arial"/>
          <w:bCs/>
          <w:lang w:val="es-MX"/>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w:t>
      </w:r>
      <w:r w:rsidRPr="00305AB1">
        <w:rPr>
          <w:rFonts w:ascii="Verdana" w:hAnsi="Verdana" w:cs="Arial"/>
          <w:bCs/>
          <w:lang w:val="es-MX"/>
        </w:rPr>
        <w:lastRenderedPageBreak/>
        <w:t xml:space="preserve">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357BE4AE" w14:textId="77777777" w:rsidR="005B66DB" w:rsidRPr="00305AB1" w:rsidRDefault="005B66DB" w:rsidP="005B66DB">
      <w:pPr>
        <w:spacing w:after="0" w:line="276" w:lineRule="auto"/>
        <w:ind w:firstLine="708"/>
        <w:jc w:val="both"/>
        <w:rPr>
          <w:rFonts w:ascii="Verdana" w:hAnsi="Verdana" w:cs="Arial"/>
          <w:bCs/>
          <w:lang w:val="es-ES"/>
        </w:rPr>
      </w:pPr>
    </w:p>
    <w:p w14:paraId="6D00B38F" w14:textId="77777777" w:rsidR="005B66DB" w:rsidRPr="00305AB1" w:rsidRDefault="005B66DB" w:rsidP="005B66DB">
      <w:pPr>
        <w:spacing w:after="0" w:line="240" w:lineRule="auto"/>
        <w:ind w:left="709" w:right="709"/>
        <w:jc w:val="both"/>
        <w:rPr>
          <w:rFonts w:ascii="Verdana" w:hAnsi="Verdana" w:cs="Arial"/>
          <w:sz w:val="20"/>
          <w:szCs w:val="20"/>
          <w:lang w:val="es-MX"/>
        </w:rPr>
      </w:pPr>
      <w:r w:rsidRPr="00305AB1">
        <w:rPr>
          <w:rFonts w:ascii="Verdana"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4EF578AC" w14:textId="77777777" w:rsidR="005B66DB" w:rsidRPr="00305AB1" w:rsidRDefault="005B66DB" w:rsidP="005B66DB">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w:t>
      </w:r>
    </w:p>
    <w:p w14:paraId="3A2344E9" w14:textId="77777777" w:rsidR="005B66DB" w:rsidRPr="00305AB1" w:rsidRDefault="005B66DB" w:rsidP="005B66DB">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6178418" w14:textId="77777777" w:rsidR="005B66DB" w:rsidRPr="00305AB1" w:rsidRDefault="005B66DB" w:rsidP="005B66DB">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F338AAB" w14:textId="77777777" w:rsidR="005B66DB" w:rsidRPr="00305AB1" w:rsidRDefault="005B66DB" w:rsidP="005B66DB">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775BCF5C" w14:textId="77777777" w:rsidR="005B66DB" w:rsidRPr="00305AB1" w:rsidRDefault="005B66DB" w:rsidP="005B66DB">
      <w:pPr>
        <w:spacing w:after="0" w:line="240" w:lineRule="auto"/>
        <w:ind w:left="709" w:right="709"/>
        <w:jc w:val="both"/>
        <w:rPr>
          <w:rFonts w:ascii="Verdana" w:hAnsi="Verdana" w:cs="Arial"/>
          <w:sz w:val="20"/>
          <w:szCs w:val="20"/>
          <w:lang w:val="es-MX"/>
        </w:rPr>
      </w:pPr>
      <w:r w:rsidRPr="00305AB1">
        <w:rPr>
          <w:rFonts w:ascii="Verdana" w:hAnsi="Verdana" w:cs="Arial"/>
          <w:sz w:val="20"/>
          <w:szCs w:val="20"/>
          <w:lang w:val="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182EE566" w14:textId="77777777" w:rsidR="005B66DB" w:rsidRPr="00305AB1" w:rsidRDefault="005B66DB" w:rsidP="005B66DB">
      <w:pPr>
        <w:spacing w:after="0" w:line="276" w:lineRule="auto"/>
        <w:ind w:left="709" w:right="709"/>
        <w:jc w:val="both"/>
        <w:rPr>
          <w:rFonts w:ascii="Verdana" w:hAnsi="Verdana" w:cs="Arial"/>
          <w:lang w:val="es-MX"/>
        </w:rPr>
      </w:pPr>
    </w:p>
    <w:p w14:paraId="5A233FF6" w14:textId="77777777" w:rsidR="005B66DB" w:rsidRPr="00305AB1" w:rsidRDefault="005B66DB" w:rsidP="005B66DB">
      <w:pPr>
        <w:spacing w:after="120" w:line="276" w:lineRule="auto"/>
        <w:ind w:firstLine="709"/>
        <w:jc w:val="both"/>
        <w:rPr>
          <w:rFonts w:ascii="Verdana" w:hAnsi="Verdana" w:cs="Arial"/>
          <w:lang w:val="es-MX"/>
        </w:rPr>
      </w:pPr>
      <w:r w:rsidRPr="00305AB1">
        <w:rPr>
          <w:rFonts w:ascii="Verdana" w:hAnsi="Verdana" w:cs="Arial"/>
          <w:lang w:val="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w:t>
      </w:r>
      <w:r>
        <w:rPr>
          <w:rFonts w:ascii="Verdana" w:hAnsi="Verdana" w:cs="Arial"/>
          <w:lang w:val="es-MX"/>
        </w:rPr>
        <w:t xml:space="preserve">“[...] </w:t>
      </w:r>
      <w:r w:rsidRPr="00305AB1">
        <w:rPr>
          <w:rFonts w:ascii="Verdana" w:hAnsi="Verdana" w:cs="Arial"/>
          <w:lang w:val="es-MX"/>
        </w:rPr>
        <w:t xml:space="preserve">genera prácticas indebidas, revocatoria de actos administrativos de apertura, declaratorias de desierta de procesos de selección, comisión de </w:t>
      </w:r>
      <w:r w:rsidRPr="00305AB1">
        <w:rPr>
          <w:rFonts w:ascii="Verdana" w:hAnsi="Verdana" w:cs="Arial"/>
          <w:lang w:val="es-MX"/>
        </w:rPr>
        <w:lastRenderedPageBreak/>
        <w:t>faltas disciplinarias, mayores costos o mayor permanencia de la obra y, en general, el fracaso en la ejecución de contratos estatales</w:t>
      </w:r>
      <w:r>
        <w:rPr>
          <w:rFonts w:ascii="Verdana" w:hAnsi="Verdana" w:cs="Arial"/>
          <w:lang w:val="es-MX"/>
        </w:rPr>
        <w:t>”</w:t>
      </w:r>
      <w:r w:rsidRPr="00305AB1">
        <w:rPr>
          <w:rFonts w:ascii="Verdana" w:hAnsi="Verdana"/>
          <w:vertAlign w:val="superscript"/>
          <w:lang w:val="es-MX"/>
        </w:rPr>
        <w:footnoteReference w:id="1"/>
      </w:r>
      <w:r w:rsidRPr="00305AB1">
        <w:rPr>
          <w:rFonts w:ascii="Verdana" w:hAnsi="Verdana" w:cs="Arial"/>
          <w:lang w:val="es-MX"/>
        </w:rPr>
        <w:t>.</w:t>
      </w:r>
    </w:p>
    <w:p w14:paraId="1559AC44" w14:textId="77777777" w:rsidR="005B66DB" w:rsidRPr="00305AB1" w:rsidRDefault="005B66DB" w:rsidP="005B66DB">
      <w:pPr>
        <w:spacing w:after="0" w:line="276" w:lineRule="auto"/>
        <w:ind w:firstLine="709"/>
        <w:jc w:val="both"/>
        <w:rPr>
          <w:rFonts w:ascii="Verdana" w:hAnsi="Verdana" w:cs="Arial"/>
          <w:lang w:val="es-MX"/>
        </w:rPr>
      </w:pPr>
      <w:r w:rsidRPr="00305AB1">
        <w:rPr>
          <w:rFonts w:ascii="Verdana" w:hAnsi="Verdana" w:cs="Arial"/>
          <w:lang w:val="es-MX"/>
        </w:rPr>
        <w:t>Con base en la norma enunciada de la Ley 80 de 1993, el Decreto Único Reglamentario del Sector Administrativo de Planeación Nacional –Decreto 1082 de 2015–, establece en el artículo 2.2.1.1.2.1.1. el contenido mínimo de los estudios y documentos previos:</w:t>
      </w:r>
    </w:p>
    <w:p w14:paraId="2C3275C2" w14:textId="77777777" w:rsidR="005B66DB" w:rsidRPr="00305AB1" w:rsidRDefault="005B66DB" w:rsidP="005B66DB">
      <w:pPr>
        <w:widowControl w:val="0"/>
        <w:autoSpaceDE w:val="0"/>
        <w:autoSpaceDN w:val="0"/>
        <w:spacing w:before="3" w:after="0" w:line="240" w:lineRule="auto"/>
        <w:ind w:left="709" w:right="709"/>
        <w:rPr>
          <w:rFonts w:ascii="Verdana" w:eastAsia="Arial" w:hAnsi="Verdana" w:cs="Arial"/>
          <w:lang w:val="es-ES"/>
        </w:rPr>
      </w:pPr>
    </w:p>
    <w:p w14:paraId="26DC7124" w14:textId="77777777" w:rsidR="005B66DB" w:rsidRPr="00305AB1" w:rsidRDefault="005B66DB" w:rsidP="005B66DB">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“Artículo 2.2.1.1.2.1.1.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w:t>
      </w:r>
      <w:r w:rsidRPr="00305AB1">
        <w:rPr>
          <w:rFonts w:ascii="Verdana" w:hAnsi="Verdana" w:cs="Arial"/>
          <w:spacing w:val="-15"/>
          <w:sz w:val="20"/>
          <w:szCs w:val="20"/>
          <w:lang w:val="es-MX"/>
        </w:rPr>
        <w:t xml:space="preserve"> </w:t>
      </w:r>
      <w:r w:rsidRPr="00305AB1">
        <w:rPr>
          <w:rFonts w:ascii="Verdana" w:hAnsi="Verdana" w:cs="Arial"/>
          <w:sz w:val="20"/>
          <w:szCs w:val="20"/>
          <w:lang w:val="es-MX"/>
        </w:rPr>
        <w:t>selección:</w:t>
      </w:r>
    </w:p>
    <w:p w14:paraId="71ED2780" w14:textId="77777777" w:rsidR="005B66DB" w:rsidRPr="00305AB1" w:rsidRDefault="005B66DB" w:rsidP="005B66DB">
      <w:pPr>
        <w:widowControl w:val="0"/>
        <w:tabs>
          <w:tab w:val="left" w:pos="1223"/>
        </w:tabs>
        <w:autoSpaceDE w:val="0"/>
        <w:autoSpaceDN w:val="0"/>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1. La descripción de la necesidad que la Entidad Estatal pretende satisfacer con el Proceso de</w:t>
      </w:r>
      <w:r w:rsidRPr="00305AB1">
        <w:rPr>
          <w:rFonts w:ascii="Verdana" w:hAnsi="Verdana" w:cs="Arial"/>
          <w:spacing w:val="-2"/>
          <w:sz w:val="20"/>
          <w:szCs w:val="20"/>
          <w:lang w:val="es-MX"/>
        </w:rPr>
        <w:t xml:space="preserve"> </w:t>
      </w:r>
      <w:r w:rsidRPr="00305AB1">
        <w:rPr>
          <w:rFonts w:ascii="Verdana" w:hAnsi="Verdana" w:cs="Arial"/>
          <w:sz w:val="20"/>
          <w:szCs w:val="20"/>
          <w:lang w:val="es-MX"/>
        </w:rPr>
        <w:t>Contratación.</w:t>
      </w:r>
    </w:p>
    <w:p w14:paraId="321146E5" w14:textId="77777777" w:rsidR="005B66DB" w:rsidRPr="00305AB1" w:rsidRDefault="005B66DB" w:rsidP="005B66DB">
      <w:pPr>
        <w:widowControl w:val="0"/>
        <w:tabs>
          <w:tab w:val="left" w:pos="1283"/>
        </w:tabs>
        <w:autoSpaceDE w:val="0"/>
        <w:autoSpaceDN w:val="0"/>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2. El objeto a contratar, con sus especificaciones, las autorizaciones, permisos y licencias requeridos para su ejecución, y cuando el contrato incluye diseño y construcción, los documentos técnicos para el desarrollo del</w:t>
      </w:r>
      <w:r w:rsidRPr="00305AB1">
        <w:rPr>
          <w:rFonts w:ascii="Verdana" w:hAnsi="Verdana" w:cs="Arial"/>
          <w:spacing w:val="-12"/>
          <w:sz w:val="20"/>
          <w:szCs w:val="20"/>
          <w:lang w:val="es-MX"/>
        </w:rPr>
        <w:t xml:space="preserve"> </w:t>
      </w:r>
      <w:r w:rsidRPr="00305AB1">
        <w:rPr>
          <w:rFonts w:ascii="Verdana" w:hAnsi="Verdana" w:cs="Arial"/>
          <w:sz w:val="20"/>
          <w:szCs w:val="20"/>
          <w:lang w:val="es-MX"/>
        </w:rPr>
        <w:t>proyecto.</w:t>
      </w:r>
    </w:p>
    <w:p w14:paraId="5BD9A086" w14:textId="77777777" w:rsidR="005B66DB" w:rsidRPr="00305AB1" w:rsidRDefault="005B66DB" w:rsidP="005B66DB">
      <w:pPr>
        <w:widowControl w:val="0"/>
        <w:tabs>
          <w:tab w:val="left" w:pos="1378"/>
        </w:tabs>
        <w:autoSpaceDE w:val="0"/>
        <w:autoSpaceDN w:val="0"/>
        <w:spacing w:after="120" w:line="240" w:lineRule="auto"/>
        <w:ind w:left="709" w:right="709"/>
        <w:jc w:val="both"/>
        <w:rPr>
          <w:rFonts w:ascii="Verdana" w:hAnsi="Verdana" w:cs="Arial"/>
          <w:sz w:val="20"/>
          <w:szCs w:val="20"/>
          <w:lang w:val="es-MX"/>
        </w:rPr>
      </w:pPr>
      <w:r w:rsidRPr="00305AB1">
        <w:rPr>
          <w:rFonts w:ascii="Verdana" w:hAnsi="Verdana"/>
          <w:sz w:val="20"/>
          <w:szCs w:val="20"/>
          <w:lang w:val="es-MX"/>
        </w:rPr>
        <w:t xml:space="preserve">3. </w:t>
      </w:r>
      <w:r w:rsidRPr="00305AB1">
        <w:rPr>
          <w:rFonts w:ascii="Verdana" w:hAnsi="Verdana" w:cs="Arial"/>
          <w:sz w:val="20"/>
          <w:szCs w:val="20"/>
          <w:lang w:val="es-MX"/>
        </w:rPr>
        <w:t>La modalidad de selección del contratista y su justificación, incluyendo los fundamentos jurídicos.</w:t>
      </w:r>
    </w:p>
    <w:p w14:paraId="46F00CA5" w14:textId="77777777" w:rsidR="005B66DB" w:rsidRPr="00305AB1" w:rsidRDefault="005B66DB" w:rsidP="005B66DB">
      <w:pPr>
        <w:widowControl w:val="0"/>
        <w:tabs>
          <w:tab w:val="left" w:pos="1273"/>
        </w:tabs>
        <w:autoSpaceDE w:val="0"/>
        <w:autoSpaceDN w:val="0"/>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 xml:space="preserve">4. El valor estimado del contrato y la justificación </w:t>
      </w:r>
      <w:proofErr w:type="gramStart"/>
      <w:r w:rsidRPr="00305AB1">
        <w:rPr>
          <w:rFonts w:ascii="Verdana" w:hAnsi="Verdana" w:cs="Arial"/>
          <w:sz w:val="20"/>
          <w:szCs w:val="20"/>
          <w:lang w:val="es-MX"/>
        </w:rPr>
        <w:t>del mismo</w:t>
      </w:r>
      <w:proofErr w:type="gramEnd"/>
      <w:r w:rsidRPr="00305AB1">
        <w:rPr>
          <w:rFonts w:ascii="Verdana" w:hAnsi="Verdana" w:cs="Arial"/>
          <w:sz w:val="20"/>
          <w:szCs w:val="20"/>
          <w:lang w:val="es-MX"/>
        </w:rPr>
        <w:t>. Cuando el valor del contrato esté determinado por precios unitarios, la Entidad Estatal debe incluir la forma</w:t>
      </w:r>
      <w:r w:rsidRPr="00305AB1">
        <w:rPr>
          <w:rFonts w:ascii="Verdana" w:hAnsi="Verdana" w:cs="Arial"/>
          <w:spacing w:val="8"/>
          <w:sz w:val="20"/>
          <w:szCs w:val="20"/>
          <w:lang w:val="es-MX"/>
        </w:rPr>
        <w:t xml:space="preserve"> </w:t>
      </w:r>
      <w:r w:rsidRPr="00305AB1">
        <w:rPr>
          <w:rFonts w:ascii="Verdana" w:hAnsi="Verdana" w:cs="Arial"/>
          <w:sz w:val="20"/>
          <w:szCs w:val="20"/>
          <w:lang w:val="es-MX"/>
        </w:rPr>
        <w:t>como</w:t>
      </w:r>
      <w:r w:rsidRPr="00305AB1">
        <w:rPr>
          <w:rFonts w:ascii="Verdana" w:hAnsi="Verdana" w:cs="Arial"/>
          <w:spacing w:val="7"/>
          <w:sz w:val="20"/>
          <w:szCs w:val="20"/>
          <w:lang w:val="es-MX"/>
        </w:rPr>
        <w:t xml:space="preserve"> </w:t>
      </w:r>
      <w:r w:rsidRPr="00305AB1">
        <w:rPr>
          <w:rFonts w:ascii="Verdana" w:hAnsi="Verdana" w:cs="Arial"/>
          <w:sz w:val="20"/>
          <w:szCs w:val="20"/>
          <w:lang w:val="es-MX"/>
        </w:rPr>
        <w:t>los</w:t>
      </w:r>
      <w:r w:rsidRPr="00305AB1">
        <w:rPr>
          <w:rFonts w:ascii="Verdana" w:hAnsi="Verdana" w:cs="Arial"/>
          <w:spacing w:val="9"/>
          <w:sz w:val="20"/>
          <w:szCs w:val="20"/>
          <w:lang w:val="es-MX"/>
        </w:rPr>
        <w:t xml:space="preserve"> </w:t>
      </w:r>
      <w:r w:rsidRPr="00305AB1">
        <w:rPr>
          <w:rFonts w:ascii="Verdana" w:hAnsi="Verdana" w:cs="Arial"/>
          <w:sz w:val="20"/>
          <w:szCs w:val="20"/>
          <w:lang w:val="es-MX"/>
        </w:rPr>
        <w:t>calculó</w:t>
      </w:r>
      <w:r w:rsidRPr="00305AB1">
        <w:rPr>
          <w:rFonts w:ascii="Verdana" w:hAnsi="Verdana" w:cs="Arial"/>
          <w:spacing w:val="14"/>
          <w:sz w:val="20"/>
          <w:szCs w:val="20"/>
          <w:lang w:val="es-MX"/>
        </w:rPr>
        <w:t xml:space="preserve"> </w:t>
      </w:r>
      <w:r w:rsidRPr="00305AB1">
        <w:rPr>
          <w:rFonts w:ascii="Verdana" w:hAnsi="Verdana" w:cs="Arial"/>
          <w:sz w:val="20"/>
          <w:szCs w:val="20"/>
          <w:lang w:val="es-MX"/>
        </w:rPr>
        <w:t>y</w:t>
      </w:r>
      <w:r w:rsidRPr="00305AB1">
        <w:rPr>
          <w:rFonts w:ascii="Verdana" w:hAnsi="Verdana" w:cs="Arial"/>
          <w:spacing w:val="7"/>
          <w:sz w:val="20"/>
          <w:szCs w:val="20"/>
          <w:lang w:val="es-MX"/>
        </w:rPr>
        <w:t xml:space="preserve"> </w:t>
      </w:r>
      <w:r w:rsidRPr="00305AB1">
        <w:rPr>
          <w:rFonts w:ascii="Verdana" w:hAnsi="Verdana" w:cs="Arial"/>
          <w:sz w:val="20"/>
          <w:szCs w:val="20"/>
          <w:lang w:val="es-MX"/>
        </w:rPr>
        <w:t>soportar</w:t>
      </w:r>
      <w:r w:rsidRPr="00305AB1">
        <w:rPr>
          <w:rFonts w:ascii="Verdana" w:hAnsi="Verdana" w:cs="Arial"/>
          <w:spacing w:val="10"/>
          <w:sz w:val="20"/>
          <w:szCs w:val="20"/>
          <w:lang w:val="es-MX"/>
        </w:rPr>
        <w:t xml:space="preserve"> </w:t>
      </w:r>
      <w:r w:rsidRPr="00305AB1">
        <w:rPr>
          <w:rFonts w:ascii="Verdana" w:hAnsi="Verdana" w:cs="Arial"/>
          <w:sz w:val="20"/>
          <w:szCs w:val="20"/>
          <w:lang w:val="es-MX"/>
        </w:rPr>
        <w:t>sus</w:t>
      </w:r>
      <w:r w:rsidRPr="00305AB1">
        <w:rPr>
          <w:rFonts w:ascii="Verdana" w:hAnsi="Verdana" w:cs="Arial"/>
          <w:spacing w:val="9"/>
          <w:sz w:val="20"/>
          <w:szCs w:val="20"/>
          <w:lang w:val="es-MX"/>
        </w:rPr>
        <w:t xml:space="preserve"> </w:t>
      </w:r>
      <w:r w:rsidRPr="00305AB1">
        <w:rPr>
          <w:rFonts w:ascii="Verdana" w:hAnsi="Verdana" w:cs="Arial"/>
          <w:sz w:val="20"/>
          <w:szCs w:val="20"/>
          <w:lang w:val="es-MX"/>
        </w:rPr>
        <w:t>cálculos</w:t>
      </w:r>
      <w:r w:rsidRPr="00305AB1">
        <w:rPr>
          <w:rFonts w:ascii="Verdana" w:hAnsi="Verdana" w:cs="Arial"/>
          <w:spacing w:val="12"/>
          <w:sz w:val="20"/>
          <w:szCs w:val="20"/>
          <w:lang w:val="es-MX"/>
        </w:rPr>
        <w:t xml:space="preserve"> </w:t>
      </w:r>
      <w:r w:rsidRPr="00305AB1">
        <w:rPr>
          <w:rFonts w:ascii="Verdana" w:hAnsi="Verdana" w:cs="Arial"/>
          <w:sz w:val="20"/>
          <w:szCs w:val="20"/>
          <w:lang w:val="es-MX"/>
        </w:rPr>
        <w:t>de</w:t>
      </w:r>
      <w:r w:rsidRPr="00305AB1">
        <w:rPr>
          <w:rFonts w:ascii="Verdana" w:hAnsi="Verdana" w:cs="Arial"/>
          <w:spacing w:val="11"/>
          <w:sz w:val="20"/>
          <w:szCs w:val="20"/>
          <w:lang w:val="es-MX"/>
        </w:rPr>
        <w:t xml:space="preserve"> </w:t>
      </w:r>
      <w:r w:rsidRPr="00305AB1">
        <w:rPr>
          <w:rFonts w:ascii="Verdana" w:hAnsi="Verdana" w:cs="Arial"/>
          <w:sz w:val="20"/>
          <w:szCs w:val="20"/>
          <w:lang w:val="es-MX"/>
        </w:rPr>
        <w:t>presupuesto</w:t>
      </w:r>
      <w:r w:rsidRPr="00305AB1">
        <w:rPr>
          <w:rFonts w:ascii="Verdana" w:hAnsi="Verdana" w:cs="Arial"/>
          <w:spacing w:val="10"/>
          <w:sz w:val="20"/>
          <w:szCs w:val="20"/>
          <w:lang w:val="es-MX"/>
        </w:rPr>
        <w:t xml:space="preserve"> </w:t>
      </w:r>
      <w:r w:rsidRPr="00305AB1">
        <w:rPr>
          <w:rFonts w:ascii="Verdana" w:hAnsi="Verdana" w:cs="Arial"/>
          <w:sz w:val="20"/>
          <w:szCs w:val="20"/>
          <w:lang w:val="es-MX"/>
        </w:rPr>
        <w:t>en</w:t>
      </w:r>
      <w:r w:rsidRPr="00305AB1">
        <w:rPr>
          <w:rFonts w:ascii="Verdana" w:hAnsi="Verdana" w:cs="Arial"/>
          <w:spacing w:val="8"/>
          <w:sz w:val="20"/>
          <w:szCs w:val="20"/>
          <w:lang w:val="es-MX"/>
        </w:rPr>
        <w:t xml:space="preserve"> </w:t>
      </w:r>
      <w:r w:rsidRPr="00305AB1">
        <w:rPr>
          <w:rFonts w:ascii="Verdana" w:hAnsi="Verdana" w:cs="Arial"/>
          <w:sz w:val="20"/>
          <w:szCs w:val="20"/>
          <w:lang w:val="es-MX"/>
        </w:rPr>
        <w:t>la</w:t>
      </w:r>
      <w:r w:rsidRPr="00305AB1">
        <w:rPr>
          <w:rFonts w:ascii="Verdana" w:hAnsi="Verdana" w:cs="Arial"/>
          <w:spacing w:val="11"/>
          <w:sz w:val="20"/>
          <w:szCs w:val="20"/>
          <w:lang w:val="es-MX"/>
        </w:rPr>
        <w:t xml:space="preserve"> </w:t>
      </w:r>
      <w:r w:rsidRPr="00305AB1">
        <w:rPr>
          <w:rFonts w:ascii="Verdana" w:hAnsi="Verdana" w:cs="Arial"/>
          <w:sz w:val="20"/>
          <w:szCs w:val="20"/>
          <w:lang w:val="es-MX"/>
        </w:rPr>
        <w:t>estimación</w:t>
      </w:r>
      <w:r w:rsidRPr="00305AB1">
        <w:rPr>
          <w:rFonts w:ascii="Verdana" w:hAnsi="Verdana" w:cs="Arial"/>
          <w:spacing w:val="11"/>
          <w:sz w:val="20"/>
          <w:szCs w:val="20"/>
          <w:lang w:val="es-MX"/>
        </w:rPr>
        <w:t xml:space="preserve"> </w:t>
      </w:r>
      <w:r w:rsidRPr="00305AB1">
        <w:rPr>
          <w:rFonts w:ascii="Verdana" w:hAnsi="Verdana" w:cs="Arial"/>
          <w:sz w:val="20"/>
          <w:szCs w:val="20"/>
          <w:lang w:val="es-MX"/>
        </w:rPr>
        <w:t>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p>
    <w:p w14:paraId="0221F93A" w14:textId="77777777" w:rsidR="005B66DB" w:rsidRPr="00305AB1" w:rsidRDefault="005B66DB" w:rsidP="005B66DB">
      <w:pPr>
        <w:widowControl w:val="0"/>
        <w:tabs>
          <w:tab w:val="left" w:pos="1217"/>
        </w:tabs>
        <w:autoSpaceDE w:val="0"/>
        <w:autoSpaceDN w:val="0"/>
        <w:spacing w:after="120" w:line="240" w:lineRule="auto"/>
        <w:ind w:left="709" w:right="709"/>
        <w:rPr>
          <w:rFonts w:ascii="Verdana" w:hAnsi="Verdana" w:cs="Arial"/>
          <w:sz w:val="20"/>
          <w:szCs w:val="20"/>
          <w:lang w:val="es-MX"/>
        </w:rPr>
      </w:pPr>
      <w:r w:rsidRPr="00305AB1">
        <w:rPr>
          <w:rFonts w:ascii="Verdana" w:hAnsi="Verdana" w:cs="Arial"/>
          <w:sz w:val="20"/>
          <w:szCs w:val="20"/>
          <w:lang w:val="es-MX"/>
        </w:rPr>
        <w:t>5. Los criterios para seleccionar la oferta más</w:t>
      </w:r>
      <w:r w:rsidRPr="00305AB1">
        <w:rPr>
          <w:rFonts w:ascii="Verdana" w:hAnsi="Verdana" w:cs="Arial"/>
          <w:spacing w:val="-7"/>
          <w:sz w:val="20"/>
          <w:szCs w:val="20"/>
          <w:lang w:val="es-MX"/>
        </w:rPr>
        <w:t xml:space="preserve"> </w:t>
      </w:r>
      <w:r w:rsidRPr="00305AB1">
        <w:rPr>
          <w:rFonts w:ascii="Verdana" w:hAnsi="Verdana" w:cs="Arial"/>
          <w:sz w:val="20"/>
          <w:szCs w:val="20"/>
          <w:lang w:val="es-MX"/>
        </w:rPr>
        <w:t>favorable.</w:t>
      </w:r>
    </w:p>
    <w:p w14:paraId="6C62CD08" w14:textId="77777777" w:rsidR="005B66DB" w:rsidRPr="00305AB1" w:rsidRDefault="005B66DB" w:rsidP="005B66DB">
      <w:pPr>
        <w:widowControl w:val="0"/>
        <w:tabs>
          <w:tab w:val="left" w:pos="1217"/>
        </w:tabs>
        <w:autoSpaceDE w:val="0"/>
        <w:autoSpaceDN w:val="0"/>
        <w:spacing w:after="120" w:line="240" w:lineRule="auto"/>
        <w:ind w:left="709" w:right="709"/>
        <w:rPr>
          <w:rFonts w:ascii="Verdana" w:hAnsi="Verdana" w:cs="Arial"/>
          <w:sz w:val="20"/>
          <w:szCs w:val="20"/>
          <w:lang w:val="es-MX"/>
        </w:rPr>
      </w:pPr>
      <w:r w:rsidRPr="00305AB1">
        <w:rPr>
          <w:rFonts w:ascii="Verdana" w:hAnsi="Verdana" w:cs="Arial"/>
          <w:sz w:val="20"/>
          <w:szCs w:val="20"/>
          <w:lang w:val="es-MX"/>
        </w:rPr>
        <w:t>6. El análisis de Riesgo y la forma de</w:t>
      </w:r>
      <w:r w:rsidRPr="00305AB1">
        <w:rPr>
          <w:rFonts w:ascii="Verdana" w:hAnsi="Verdana" w:cs="Arial"/>
          <w:spacing w:val="-8"/>
          <w:sz w:val="20"/>
          <w:szCs w:val="20"/>
          <w:lang w:val="es-MX"/>
        </w:rPr>
        <w:t xml:space="preserve"> </w:t>
      </w:r>
      <w:r w:rsidRPr="00305AB1">
        <w:rPr>
          <w:rFonts w:ascii="Verdana" w:hAnsi="Verdana" w:cs="Arial"/>
          <w:sz w:val="20"/>
          <w:szCs w:val="20"/>
          <w:lang w:val="es-MX"/>
        </w:rPr>
        <w:t>mitigarlo.</w:t>
      </w:r>
    </w:p>
    <w:p w14:paraId="25609722" w14:textId="77777777" w:rsidR="005B66DB" w:rsidRPr="00305AB1" w:rsidRDefault="005B66DB" w:rsidP="005B66DB">
      <w:pPr>
        <w:widowControl w:val="0"/>
        <w:tabs>
          <w:tab w:val="left" w:pos="1443"/>
        </w:tabs>
        <w:autoSpaceDE w:val="0"/>
        <w:autoSpaceDN w:val="0"/>
        <w:spacing w:after="120" w:line="240" w:lineRule="auto"/>
        <w:ind w:left="709" w:right="709"/>
        <w:rPr>
          <w:rFonts w:ascii="Verdana" w:hAnsi="Verdana" w:cs="Arial"/>
          <w:sz w:val="20"/>
          <w:szCs w:val="20"/>
          <w:lang w:val="es-MX"/>
        </w:rPr>
      </w:pPr>
      <w:r w:rsidRPr="00305AB1">
        <w:rPr>
          <w:rFonts w:ascii="Verdana" w:hAnsi="Verdana" w:cs="Arial"/>
          <w:sz w:val="20"/>
          <w:szCs w:val="20"/>
          <w:lang w:val="es-MX"/>
        </w:rPr>
        <w:t>7. Las garantías que la Entidad Estatal contempla exigir en el Proceso de Contratación.</w:t>
      </w:r>
    </w:p>
    <w:p w14:paraId="0592BB10" w14:textId="77777777" w:rsidR="005B66DB" w:rsidRPr="00305AB1" w:rsidRDefault="005B66DB" w:rsidP="005B66DB">
      <w:pPr>
        <w:widowControl w:val="0"/>
        <w:tabs>
          <w:tab w:val="left" w:pos="1305"/>
        </w:tabs>
        <w:autoSpaceDE w:val="0"/>
        <w:autoSpaceDN w:val="0"/>
        <w:spacing w:after="120" w:line="240" w:lineRule="auto"/>
        <w:ind w:left="709" w:right="709"/>
        <w:rPr>
          <w:rFonts w:ascii="Verdana" w:hAnsi="Verdana" w:cs="Arial"/>
          <w:sz w:val="20"/>
          <w:szCs w:val="20"/>
          <w:lang w:val="es-MX"/>
        </w:rPr>
      </w:pPr>
      <w:r w:rsidRPr="00305AB1">
        <w:rPr>
          <w:rFonts w:ascii="Verdana" w:hAnsi="Verdana" w:cs="Arial"/>
          <w:sz w:val="20"/>
          <w:szCs w:val="20"/>
          <w:lang w:val="es-MX"/>
        </w:rPr>
        <w:t>8. La indicación de si el Proceso de Contratación está cobijado por un Acuerdo Comercial”.</w:t>
      </w:r>
    </w:p>
    <w:p w14:paraId="691F01C4" w14:textId="77777777" w:rsidR="005B66DB" w:rsidRPr="00305AB1" w:rsidRDefault="005B66DB" w:rsidP="005B66DB">
      <w:pPr>
        <w:widowControl w:val="0"/>
        <w:tabs>
          <w:tab w:val="left" w:pos="1305"/>
        </w:tabs>
        <w:autoSpaceDE w:val="0"/>
        <w:autoSpaceDN w:val="0"/>
        <w:spacing w:after="0" w:line="240" w:lineRule="auto"/>
        <w:ind w:left="828" w:right="822"/>
        <w:rPr>
          <w:rFonts w:ascii="Verdana" w:hAnsi="Verdana" w:cs="Arial"/>
          <w:sz w:val="21"/>
          <w:szCs w:val="21"/>
          <w:lang w:val="es-MX"/>
        </w:rPr>
      </w:pPr>
    </w:p>
    <w:p w14:paraId="6593BBCE" w14:textId="77777777" w:rsidR="005B66DB" w:rsidRPr="00305AB1" w:rsidRDefault="005B66DB" w:rsidP="005B66DB">
      <w:pPr>
        <w:spacing w:after="120" w:line="276" w:lineRule="auto"/>
        <w:ind w:firstLine="709"/>
        <w:jc w:val="both"/>
        <w:rPr>
          <w:rFonts w:ascii="Verdana" w:hAnsi="Verdana"/>
          <w:lang w:val="es-MX"/>
        </w:rPr>
      </w:pPr>
      <w:bookmarkStart w:id="2" w:name="_Hlk54011351"/>
      <w:r w:rsidRPr="00305AB1">
        <w:rPr>
          <w:rFonts w:ascii="Verdana" w:hAnsi="Verdana"/>
          <w:lang w:val="es-MX"/>
        </w:rPr>
        <w:t xml:space="preserve">De esta manera, antes de iniciar un procedimiento de selección, la entidad estatal podrá determinar con los estudios previos: i) la verdadera necesidad de </w:t>
      </w:r>
      <w:r w:rsidRPr="00305AB1">
        <w:rPr>
          <w:rFonts w:ascii="Verdana" w:hAnsi="Verdana"/>
          <w:lang w:val="es-MX"/>
        </w:rPr>
        <w:lastRenderedPageBreak/>
        <w:t xml:space="preserve">la celebración del contrato; </w:t>
      </w:r>
      <w:proofErr w:type="spellStart"/>
      <w:r w:rsidRPr="00305AB1">
        <w:rPr>
          <w:rFonts w:ascii="Verdana" w:hAnsi="Verdana"/>
          <w:lang w:val="es-MX"/>
        </w:rPr>
        <w:t>ii</w:t>
      </w:r>
      <w:proofErr w:type="spellEnd"/>
      <w:r w:rsidRPr="00305AB1">
        <w:rPr>
          <w:rFonts w:ascii="Verdana" w:hAnsi="Verdana"/>
          <w:lang w:val="es-MX"/>
        </w:rPr>
        <w:t xml:space="preserve">) las modalidades existentes para satisfacer esa necesidad y las razones que justifiquen la modalidad o tipo contractual que se escoja; </w:t>
      </w:r>
      <w:proofErr w:type="spellStart"/>
      <w:r w:rsidRPr="00305AB1">
        <w:rPr>
          <w:rFonts w:ascii="Verdana" w:hAnsi="Verdana"/>
          <w:lang w:val="es-MX"/>
        </w:rPr>
        <w:t>iii</w:t>
      </w:r>
      <w:proofErr w:type="spellEnd"/>
      <w:r w:rsidRPr="00305AB1">
        <w:rPr>
          <w:rFonts w:ascii="Verdana" w:hAnsi="Verdana"/>
          <w:lang w:val="es-MX"/>
        </w:rPr>
        <w:t xml:space="preserve">) las calidades, especificaciones, cantidades y demás características que puedan o deban reunir los bienes, las obras, los servicios, etcétera, cuya contratación, se haya determinado necesaria, </w:t>
      </w:r>
      <w:proofErr w:type="spellStart"/>
      <w:r w:rsidRPr="00305AB1">
        <w:rPr>
          <w:rFonts w:ascii="Verdana" w:hAnsi="Verdana"/>
          <w:lang w:val="es-MX"/>
        </w:rPr>
        <w:t>iv</w:t>
      </w:r>
      <w:proofErr w:type="spellEnd"/>
      <w:r w:rsidRPr="00305AB1">
        <w:rPr>
          <w:rFonts w:ascii="Verdana" w:hAnsi="Verdana"/>
          <w:lang w:val="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305AB1">
        <w:rPr>
          <w:rFonts w:ascii="Verdana" w:hAnsi="Verdana"/>
          <w:lang w:val="es-MX"/>
        </w:rPr>
        <w:t>vii</w:t>
      </w:r>
      <w:proofErr w:type="spellEnd"/>
      <w:r w:rsidRPr="00305AB1">
        <w:rPr>
          <w:rFonts w:ascii="Verdana" w:hAnsi="Verdana"/>
          <w:lang w:val="es-MX"/>
        </w:rPr>
        <w:t>) los procedimientos, trámites y requisitos que deban satisfacerse, reunirse u obtenerse para llevar a cabo la selección del respectivo contratista y la celebración del contrato que se pretenda celebrar.</w:t>
      </w:r>
    </w:p>
    <w:bookmarkEnd w:id="2"/>
    <w:p w14:paraId="6F98B47C" w14:textId="77777777" w:rsidR="005B66DB" w:rsidRPr="00305AB1" w:rsidRDefault="005B66DB" w:rsidP="005B66DB">
      <w:pPr>
        <w:spacing w:after="120" w:line="276" w:lineRule="auto"/>
        <w:ind w:firstLine="709"/>
        <w:jc w:val="both"/>
        <w:rPr>
          <w:rFonts w:ascii="Verdana" w:hAnsi="Verdana"/>
          <w:lang w:val="es-MX"/>
        </w:rPr>
      </w:pPr>
      <w:r w:rsidRPr="00305AB1">
        <w:rPr>
          <w:rFonts w:ascii="Verdana" w:hAnsi="Verdana"/>
          <w:lang w:val="es-MX"/>
        </w:rPr>
        <w:t xml:space="preserve">Cuando las entidades cumplen con los elementos mínimos establecidos en la norma y aquellos adicionales que identifiquen en la etapa de planeación de los </w:t>
      </w:r>
      <w:r w:rsidRPr="00305AB1">
        <w:rPr>
          <w:rFonts w:ascii="Verdana" w:eastAsia="Calibri" w:hAnsi="Verdana"/>
          <w:bCs/>
          <w:lang w:val="es-ES_tradnl"/>
        </w:rPr>
        <w:t xml:space="preserve">procedimientos de contratación, permiten que los contratos resultantes cuenten con el sustento técnico, económico y jurídico que incidirá </w:t>
      </w:r>
      <w:r w:rsidRPr="00305AB1">
        <w:rPr>
          <w:rFonts w:ascii="Verdana" w:hAnsi="Verdana"/>
          <w:lang w:val="es-MX"/>
        </w:rPr>
        <w:t>en una adecuada ejecución.</w:t>
      </w:r>
    </w:p>
    <w:p w14:paraId="5050F367" w14:textId="77777777" w:rsidR="005B66DB" w:rsidRPr="00305AB1" w:rsidRDefault="005B66DB" w:rsidP="005B66DB">
      <w:pPr>
        <w:spacing w:after="120" w:line="276" w:lineRule="auto"/>
        <w:ind w:firstLine="709"/>
        <w:jc w:val="both"/>
        <w:rPr>
          <w:rFonts w:ascii="Verdana" w:hAnsi="Verdana"/>
          <w:lang w:val="es-MX"/>
        </w:rPr>
      </w:pPr>
      <w:r w:rsidRPr="00305AB1">
        <w:rPr>
          <w:rFonts w:ascii="Verdana" w:hAnsi="Verdana"/>
          <w:lang w:val="es-MX"/>
        </w:rPr>
        <w:t>Mas allá del cumplimiento de la normativa,</w:t>
      </w:r>
      <w:r>
        <w:rPr>
          <w:rFonts w:ascii="Verdana" w:hAnsi="Verdana"/>
          <w:lang w:val="es-MX"/>
        </w:rPr>
        <w:t xml:space="preserve"> </w:t>
      </w:r>
      <w:r w:rsidRPr="00305AB1">
        <w:rPr>
          <w:rFonts w:ascii="Verdana" w:hAnsi="Verdana"/>
          <w:i/>
          <w:iCs/>
          <w:lang w:val="es-MX"/>
        </w:rPr>
        <w:t>“los estudios y documentos previos son el soporte para elaborar el proyecto de pliegos, los pliegos de condiciones, y el contrato”</w:t>
      </w:r>
      <w:r w:rsidRPr="00305AB1">
        <w:rPr>
          <w:rFonts w:ascii="Verdana" w:hAnsi="Verdana"/>
          <w:i/>
          <w:iCs/>
          <w:vertAlign w:val="superscript"/>
          <w:lang w:val="es-MX"/>
        </w:rPr>
        <w:footnoteReference w:id="2"/>
      </w:r>
      <w:r w:rsidRPr="00305AB1">
        <w:rPr>
          <w:rFonts w:ascii="Verdana" w:hAnsi="Verdana"/>
          <w:i/>
          <w:iCs/>
          <w:lang w:val="es-MX"/>
        </w:rPr>
        <w:t>,</w:t>
      </w:r>
      <w:r w:rsidRPr="00305AB1">
        <w:rPr>
          <w:rFonts w:ascii="Verdana" w:hAnsi="Verdana"/>
          <w:lang w:val="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4C96A815" w14:textId="77777777" w:rsidR="005B66DB" w:rsidRPr="00BE4CED" w:rsidRDefault="005B66DB" w:rsidP="005B66DB">
      <w:pPr>
        <w:spacing w:after="120" w:line="276" w:lineRule="auto"/>
        <w:ind w:right="105" w:firstLine="709"/>
        <w:jc w:val="both"/>
        <w:rPr>
          <w:rFonts w:ascii="Verdana" w:hAnsi="Verdana"/>
          <w:lang w:val="es-MX"/>
        </w:rPr>
      </w:pPr>
      <w:bookmarkStart w:id="4" w:name="_Hlk54011438"/>
      <w:r w:rsidRPr="00305AB1">
        <w:rPr>
          <w:rFonts w:ascii="Verdana" w:hAnsi="Verdana"/>
          <w:lang w:val="es-MX"/>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4"/>
      <w:r w:rsidRPr="00305AB1">
        <w:rPr>
          <w:rFonts w:ascii="Verdana" w:hAnsi="Verdana"/>
          <w:vertAlign w:val="superscript"/>
          <w:lang w:val="es-MX"/>
        </w:rPr>
        <w:footnoteReference w:id="3"/>
      </w:r>
      <w:r w:rsidRPr="00305AB1">
        <w:rPr>
          <w:rFonts w:ascii="Verdana" w:hAnsi="Verdana"/>
          <w:lang w:val="es-MX"/>
        </w:rPr>
        <w:t>.</w:t>
      </w:r>
    </w:p>
    <w:p w14:paraId="4ABB1C86" w14:textId="77777777" w:rsidR="005B66DB" w:rsidRPr="00305AB1" w:rsidRDefault="005B66DB" w:rsidP="005B66DB">
      <w:pPr>
        <w:pStyle w:val="Textoindependiente"/>
        <w:spacing w:line="276" w:lineRule="auto"/>
        <w:ind w:right="108" w:firstLine="708"/>
        <w:jc w:val="both"/>
        <w:rPr>
          <w:rFonts w:ascii="Verdana" w:hAnsi="Verdana"/>
        </w:rPr>
      </w:pPr>
      <w:r w:rsidRPr="00305AB1">
        <w:rPr>
          <w:rFonts w:ascii="Verdana" w:hAnsi="Verdana"/>
        </w:rPr>
        <w:lastRenderedPageBreak/>
        <w:t>De otra parte, es necesario explicar que, el pliego de condiciones es la hoja de ruta o plan</w:t>
      </w:r>
      <w:r w:rsidRPr="00305AB1">
        <w:rPr>
          <w:rStyle w:val="Refdenotaalpie"/>
          <w:rFonts w:ascii="Verdana" w:hAnsi="Verdana"/>
        </w:rPr>
        <w:footnoteReference w:id="4"/>
      </w:r>
      <w:r w:rsidRPr="00305AB1">
        <w:rPr>
          <w:rFonts w:ascii="Verdana" w:hAnsi="Verdana"/>
        </w:rPr>
        <w:t xml:space="preserve"> sobre el cual se diseña, estructura y concreta el proceso de selección de contratistas. El mismo ha sido definido como un </w:t>
      </w:r>
      <w:r>
        <w:rPr>
          <w:rFonts w:ascii="Verdana" w:hAnsi="Verdana"/>
        </w:rPr>
        <w:t>“</w:t>
      </w:r>
      <w:r w:rsidRPr="00305AB1">
        <w:rPr>
          <w:rFonts w:ascii="Verdana" w:hAnsi="Verdana"/>
        </w:rPr>
        <w:t>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Pr>
          <w:rFonts w:ascii="Verdana" w:hAnsi="Verdana"/>
        </w:rPr>
        <w:t>”</w:t>
      </w:r>
      <w:r w:rsidRPr="00305AB1">
        <w:rPr>
          <w:rStyle w:val="Refdenotaalpie"/>
          <w:rFonts w:ascii="Verdana" w:hAnsi="Verdana"/>
        </w:rPr>
        <w:footnoteReference w:id="5"/>
      </w:r>
      <w:r w:rsidRPr="00305AB1">
        <w:rPr>
          <w:rFonts w:ascii="Verdana" w:hAnsi="Verdana"/>
        </w:rPr>
        <w:t>.</w:t>
      </w:r>
    </w:p>
    <w:p w14:paraId="074213EE" w14:textId="77777777" w:rsidR="005B66DB" w:rsidRPr="00305AB1" w:rsidRDefault="005B66DB" w:rsidP="005B66DB">
      <w:pPr>
        <w:pStyle w:val="Textoindependiente"/>
        <w:spacing w:line="276" w:lineRule="auto"/>
        <w:ind w:right="108" w:firstLine="708"/>
        <w:jc w:val="both"/>
        <w:rPr>
          <w:rFonts w:ascii="Verdana" w:hAnsi="Verdana"/>
        </w:rPr>
      </w:pPr>
      <w:r w:rsidRPr="00305AB1">
        <w:rPr>
          <w:rFonts w:ascii="Verdana" w:hAnsi="Verdana"/>
        </w:rPr>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305AB1">
        <w:rPr>
          <w:rFonts w:ascii="Verdana" w:hAnsi="Verdana"/>
          <w:i/>
          <w:iCs/>
        </w:rPr>
        <w:t>iter</w:t>
      </w:r>
      <w:proofErr w:type="spellEnd"/>
      <w:r w:rsidRPr="00305AB1">
        <w:rPr>
          <w:rFonts w:ascii="Verdana" w:hAnsi="Verdana"/>
        </w:rPr>
        <w:t xml:space="preserve"> contractual. Su contenido</w:t>
      </w:r>
      <w:r w:rsidRPr="00305AB1">
        <w:rPr>
          <w:rStyle w:val="Refdenotaalpie"/>
          <w:rFonts w:ascii="Verdana" w:hAnsi="Verdana"/>
        </w:rPr>
        <w:footnoteReference w:id="6"/>
      </w:r>
      <w:r w:rsidRPr="00305AB1">
        <w:rPr>
          <w:rFonts w:ascii="Verdana" w:hAnsi="Verdana"/>
        </w:rPr>
        <w:t xml:space="preserve"> está previsto en el numeral 5 del artículo 24 de la Ley 80 de 1993, que establece algunas directrices que deben tenerse en cuenta en su elaboración:</w:t>
      </w:r>
    </w:p>
    <w:p w14:paraId="0D033D5F" w14:textId="77777777" w:rsidR="005B66DB" w:rsidRPr="00305AB1" w:rsidRDefault="005B66DB" w:rsidP="005B66DB">
      <w:pPr>
        <w:pStyle w:val="Textoindependiente"/>
        <w:ind w:left="709" w:right="709"/>
        <w:rPr>
          <w:rFonts w:ascii="Verdana" w:hAnsi="Verdana"/>
          <w:sz w:val="20"/>
          <w:szCs w:val="20"/>
        </w:rPr>
      </w:pPr>
      <w:r w:rsidRPr="00305AB1">
        <w:rPr>
          <w:rFonts w:ascii="Verdana" w:hAnsi="Verdana"/>
          <w:sz w:val="20"/>
          <w:szCs w:val="20"/>
        </w:rPr>
        <w:t>“[…] 5o. En los pliegos de condiciones:</w:t>
      </w:r>
    </w:p>
    <w:p w14:paraId="505629EC" w14:textId="77777777" w:rsidR="005B66DB" w:rsidRPr="00305AB1" w:rsidRDefault="005B66DB" w:rsidP="005B66DB">
      <w:pPr>
        <w:pStyle w:val="Prrafodelista"/>
        <w:widowControl w:val="0"/>
        <w:numPr>
          <w:ilvl w:val="2"/>
          <w:numId w:val="3"/>
        </w:numPr>
        <w:tabs>
          <w:tab w:val="left" w:pos="1126"/>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indicarán los requisitos objetivos necesarios para participar en el correspondiente proceso de</w:t>
      </w:r>
      <w:r w:rsidRPr="00305AB1">
        <w:rPr>
          <w:rFonts w:ascii="Verdana" w:hAnsi="Verdana" w:cs="Arial"/>
          <w:spacing w:val="-2"/>
          <w:sz w:val="20"/>
          <w:szCs w:val="20"/>
        </w:rPr>
        <w:t xml:space="preserve"> </w:t>
      </w:r>
      <w:r w:rsidRPr="00305AB1">
        <w:rPr>
          <w:rFonts w:ascii="Verdana" w:hAnsi="Verdana" w:cs="Arial"/>
          <w:sz w:val="20"/>
          <w:szCs w:val="20"/>
        </w:rPr>
        <w:t>selección.</w:t>
      </w:r>
    </w:p>
    <w:p w14:paraId="1493165B" w14:textId="77777777" w:rsidR="005B66DB" w:rsidRPr="00305AB1" w:rsidRDefault="005B66DB" w:rsidP="005B66DB">
      <w:pPr>
        <w:pStyle w:val="Prrafodelista"/>
        <w:widowControl w:val="0"/>
        <w:numPr>
          <w:ilvl w:val="2"/>
          <w:numId w:val="3"/>
        </w:numPr>
        <w:tabs>
          <w:tab w:val="left" w:pos="1088"/>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definirán reglas objetivas, justas, claras y completas que permitan la confección de ofrecimientos de la misma índole, aseguren una escogencia objetiva y eviten las declaratorias de desierta de la</w:t>
      </w:r>
      <w:r w:rsidRPr="00305AB1">
        <w:rPr>
          <w:rFonts w:ascii="Verdana" w:hAnsi="Verdana" w:cs="Arial"/>
          <w:spacing w:val="-16"/>
          <w:sz w:val="20"/>
          <w:szCs w:val="20"/>
        </w:rPr>
        <w:t xml:space="preserve"> </w:t>
      </w:r>
      <w:r w:rsidRPr="00305AB1">
        <w:rPr>
          <w:rFonts w:ascii="Verdana" w:hAnsi="Verdana" w:cs="Arial"/>
          <w:sz w:val="20"/>
          <w:szCs w:val="20"/>
        </w:rPr>
        <w:t>licitación.</w:t>
      </w:r>
    </w:p>
    <w:p w14:paraId="69CD6FCE" w14:textId="77777777" w:rsidR="005B66DB" w:rsidRPr="00305AB1" w:rsidRDefault="005B66DB" w:rsidP="005B66DB">
      <w:pPr>
        <w:pStyle w:val="Prrafodelista"/>
        <w:widowControl w:val="0"/>
        <w:numPr>
          <w:ilvl w:val="2"/>
          <w:numId w:val="3"/>
        </w:numPr>
        <w:tabs>
          <w:tab w:val="left" w:pos="1108"/>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definirán con precisión las condiciones de costo y calidad de los bienes, obras o servicios necesarios para la ejecución del objeto del</w:t>
      </w:r>
      <w:r w:rsidRPr="00305AB1">
        <w:rPr>
          <w:rFonts w:ascii="Verdana" w:hAnsi="Verdana" w:cs="Arial"/>
          <w:spacing w:val="-43"/>
          <w:sz w:val="20"/>
          <w:szCs w:val="20"/>
        </w:rPr>
        <w:t xml:space="preserve"> </w:t>
      </w:r>
      <w:r w:rsidRPr="00305AB1">
        <w:rPr>
          <w:rFonts w:ascii="Verdana" w:hAnsi="Verdana" w:cs="Arial"/>
          <w:sz w:val="20"/>
          <w:szCs w:val="20"/>
        </w:rPr>
        <w:t>contrato.</w:t>
      </w:r>
    </w:p>
    <w:p w14:paraId="09472E5F" w14:textId="77777777" w:rsidR="005B66DB" w:rsidRPr="00305AB1" w:rsidRDefault="005B66DB" w:rsidP="005B66DB">
      <w:pPr>
        <w:pStyle w:val="Prrafodelista"/>
        <w:widowControl w:val="0"/>
        <w:numPr>
          <w:ilvl w:val="2"/>
          <w:numId w:val="3"/>
        </w:numPr>
        <w:tabs>
          <w:tab w:val="left" w:pos="1108"/>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No se incluirán condiciones y exigencias de imposible cumplimiento, ni exenciones de la responsabilidad derivada de los datos, informes y documentos que se suministren.</w:t>
      </w:r>
    </w:p>
    <w:p w14:paraId="0ACAA1A5" w14:textId="77777777" w:rsidR="005B66DB" w:rsidRPr="00305AB1" w:rsidRDefault="005B66DB" w:rsidP="005B66DB">
      <w:pPr>
        <w:pStyle w:val="Prrafodelista"/>
        <w:widowControl w:val="0"/>
        <w:numPr>
          <w:ilvl w:val="2"/>
          <w:numId w:val="3"/>
        </w:numPr>
        <w:tabs>
          <w:tab w:val="left" w:pos="1151"/>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definirán reglas que no induzcan a error a los proponentes y contratistas y que impidan la Formulación de ofrecimientos de extensión ilimitada o que dependan de la voluntad exclusiva de la</w:t>
      </w:r>
      <w:r w:rsidRPr="00305AB1">
        <w:rPr>
          <w:rFonts w:ascii="Verdana" w:hAnsi="Verdana" w:cs="Arial"/>
          <w:spacing w:val="-20"/>
          <w:sz w:val="20"/>
          <w:szCs w:val="20"/>
        </w:rPr>
        <w:t xml:space="preserve"> </w:t>
      </w:r>
      <w:r w:rsidRPr="00305AB1">
        <w:rPr>
          <w:rFonts w:ascii="Verdana" w:hAnsi="Verdana" w:cs="Arial"/>
          <w:sz w:val="20"/>
          <w:szCs w:val="20"/>
        </w:rPr>
        <w:t>entidad.</w:t>
      </w:r>
    </w:p>
    <w:p w14:paraId="1AA7F416" w14:textId="77777777" w:rsidR="005B66DB" w:rsidRPr="00305AB1" w:rsidRDefault="005B66DB" w:rsidP="005B66DB">
      <w:pPr>
        <w:pStyle w:val="Prrafodelista"/>
        <w:widowControl w:val="0"/>
        <w:numPr>
          <w:ilvl w:val="2"/>
          <w:numId w:val="3"/>
        </w:numPr>
        <w:tabs>
          <w:tab w:val="left" w:pos="1016"/>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 xml:space="preserve">Se definirá el plazo para la liquidación del contrato, cuando a ello </w:t>
      </w:r>
      <w:r w:rsidRPr="00305AB1">
        <w:rPr>
          <w:rFonts w:ascii="Verdana" w:hAnsi="Verdana" w:cs="Arial"/>
          <w:sz w:val="20"/>
          <w:szCs w:val="20"/>
        </w:rPr>
        <w:lastRenderedPageBreak/>
        <w:t>hubiere lugar, teniendo en cuenta su objeto, naturaleza y</w:t>
      </w:r>
      <w:r w:rsidRPr="00305AB1">
        <w:rPr>
          <w:rFonts w:ascii="Verdana" w:hAnsi="Verdana" w:cs="Arial"/>
          <w:spacing w:val="-13"/>
          <w:sz w:val="20"/>
          <w:szCs w:val="20"/>
        </w:rPr>
        <w:t xml:space="preserve"> </w:t>
      </w:r>
      <w:r w:rsidRPr="00305AB1">
        <w:rPr>
          <w:rFonts w:ascii="Verdana" w:hAnsi="Verdana" w:cs="Arial"/>
          <w:sz w:val="20"/>
          <w:szCs w:val="20"/>
        </w:rPr>
        <w:t>cuantía.</w:t>
      </w:r>
    </w:p>
    <w:p w14:paraId="384BABDC" w14:textId="77777777" w:rsidR="005B66DB" w:rsidRPr="00305AB1" w:rsidRDefault="005B66DB" w:rsidP="005B66DB">
      <w:pPr>
        <w:pStyle w:val="Textoindependiente"/>
        <w:ind w:left="709" w:right="709"/>
        <w:jc w:val="both"/>
        <w:rPr>
          <w:rFonts w:ascii="Verdana" w:hAnsi="Verdana"/>
          <w:sz w:val="20"/>
          <w:szCs w:val="20"/>
        </w:rPr>
      </w:pPr>
      <w:r w:rsidRPr="00305AB1">
        <w:rPr>
          <w:rFonts w:ascii="Verdana" w:hAnsi="Verdana"/>
          <w:sz w:val="20"/>
          <w:szCs w:val="20"/>
        </w:rPr>
        <w:t>Serán ineficaces de pleno derecho las estipulaciones de los pliegos y de los contratos que contravengan lo dispuesto en este numeral, o dispongan renuncias a reclamaciones por la ocurrencia de los hechos aquí enunciados”.</w:t>
      </w:r>
    </w:p>
    <w:p w14:paraId="4A0CF5C8" w14:textId="77777777" w:rsidR="005B66DB" w:rsidRPr="00305AB1" w:rsidRDefault="005B66DB" w:rsidP="005B66DB">
      <w:pPr>
        <w:spacing w:line="276" w:lineRule="auto"/>
        <w:ind w:firstLine="708"/>
        <w:jc w:val="both"/>
        <w:rPr>
          <w:rFonts w:ascii="Verdana" w:hAnsi="Verdana" w:cs="Arial"/>
          <w:color w:val="000000" w:themeColor="text1"/>
          <w:sz w:val="20"/>
          <w:szCs w:val="20"/>
        </w:rPr>
      </w:pPr>
      <w:r w:rsidRPr="00305AB1">
        <w:rPr>
          <w:rFonts w:ascii="Verdana" w:eastAsia="Calibri" w:hAnsi="Verdana" w:cs="Arial"/>
          <w:color w:val="000000" w:themeColor="text1"/>
        </w:rPr>
        <w:t>Sumado a lo anterior, la Corte Constitucional ha señalado, frente a la selección objetiva, que la entidad no puede establecer reglas subjetivas, sino que deben ser razonables, de acuerdo con las normas que rigen la actividad contractual</w:t>
      </w:r>
      <w:r w:rsidRPr="00305AB1">
        <w:rPr>
          <w:rStyle w:val="Refdenotaalpie"/>
          <w:rFonts w:ascii="Verdana" w:eastAsia="Calibri" w:hAnsi="Verdana" w:cs="Arial"/>
          <w:color w:val="000000" w:themeColor="text1"/>
        </w:rPr>
        <w:footnoteReference w:id="7"/>
      </w:r>
      <w:r w:rsidRPr="00305AB1">
        <w:rPr>
          <w:rFonts w:ascii="Verdana" w:eastAsia="Calibri" w:hAnsi="Verdana" w:cs="Arial"/>
          <w:color w:val="000000" w:themeColor="text1"/>
        </w:rPr>
        <w:t>; y en otro pronunciamiento, el Consejo de Estado consideró que la autonomía que tienen las entidades frente a la configuración de los pliegos de condiciones y los criterios de selección de los procedimientos de contratación no es absoluta, y debe tener relación con los fines de la contratación estatal:</w:t>
      </w:r>
      <w:r w:rsidRPr="00305AB1">
        <w:rPr>
          <w:rFonts w:ascii="Verdana" w:hAnsi="Verdana" w:cs="Arial"/>
          <w:color w:val="000000" w:themeColor="text1"/>
          <w:sz w:val="20"/>
          <w:szCs w:val="20"/>
        </w:rPr>
        <w:t xml:space="preserve"> </w:t>
      </w:r>
    </w:p>
    <w:p w14:paraId="6E3DD1D8" w14:textId="77777777" w:rsidR="005B66DB" w:rsidRPr="00305AB1" w:rsidRDefault="005B66DB" w:rsidP="005B66DB">
      <w:pPr>
        <w:spacing w:after="0"/>
        <w:ind w:left="709" w:right="709"/>
        <w:jc w:val="both"/>
        <w:rPr>
          <w:rFonts w:ascii="Verdana" w:hAnsi="Verdana" w:cs="Arial"/>
          <w:color w:val="000000" w:themeColor="text1"/>
          <w:sz w:val="20"/>
          <w:szCs w:val="20"/>
        </w:rPr>
      </w:pPr>
      <w:r w:rsidRPr="00305AB1">
        <w:rPr>
          <w:rFonts w:ascii="Verdana" w:hAnsi="Verdana" w:cs="Arial"/>
          <w:color w:val="000000" w:themeColor="text1"/>
          <w:sz w:val="20"/>
          <w:szCs w:val="20"/>
        </w:rPr>
        <w:t>“Si bien la Administración goza de una amplia facultad de configuración en relación con los requisitos, las exigencias y, en general, con las reglas que se adopten mediante los pliegos de condiciones, de acuerdo con sus particulares necesidades, no es menos cierto que esa facultad de configuración está enmarcada por y para los fines de la contratación estatal 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305AB1">
        <w:rPr>
          <w:rStyle w:val="Refdenotaalpie"/>
          <w:rFonts w:ascii="Verdana" w:hAnsi="Verdana" w:cs="Arial"/>
          <w:color w:val="000000" w:themeColor="text1"/>
          <w:sz w:val="20"/>
          <w:szCs w:val="20"/>
        </w:rPr>
        <w:footnoteReference w:id="8"/>
      </w:r>
      <w:r w:rsidRPr="00305AB1">
        <w:rPr>
          <w:rFonts w:ascii="Verdana" w:hAnsi="Verdana" w:cs="Arial"/>
          <w:color w:val="000000" w:themeColor="text1"/>
          <w:sz w:val="20"/>
          <w:szCs w:val="20"/>
        </w:rPr>
        <w:t>.</w:t>
      </w:r>
    </w:p>
    <w:p w14:paraId="54A843A7" w14:textId="77777777" w:rsidR="005B66DB" w:rsidRDefault="005B66DB" w:rsidP="005B66DB">
      <w:pPr>
        <w:spacing w:after="0" w:line="276" w:lineRule="auto"/>
        <w:ind w:firstLine="708"/>
        <w:jc w:val="both"/>
        <w:rPr>
          <w:rFonts w:ascii="Verdana" w:eastAsia="Calibri" w:hAnsi="Verdana" w:cs="Arial"/>
          <w:color w:val="000000" w:themeColor="text1"/>
        </w:rPr>
      </w:pPr>
    </w:p>
    <w:p w14:paraId="563844FE" w14:textId="77777777" w:rsidR="005B66DB" w:rsidRPr="00E861C6" w:rsidRDefault="005B66DB" w:rsidP="005B66DB">
      <w:pPr>
        <w:spacing w:after="120" w:line="276" w:lineRule="auto"/>
        <w:ind w:firstLine="708"/>
        <w:jc w:val="both"/>
        <w:rPr>
          <w:rFonts w:ascii="Verdana" w:eastAsia="Calibri" w:hAnsi="Verdana" w:cs="Arial"/>
          <w:color w:val="000000" w:themeColor="text1"/>
        </w:rPr>
      </w:pPr>
      <w:r w:rsidRPr="00305AB1">
        <w:rPr>
          <w:rFonts w:ascii="Verdana" w:eastAsia="Calibri" w:hAnsi="Verdana" w:cs="Arial"/>
          <w:color w:val="000000" w:themeColor="text1"/>
        </w:rPr>
        <w:t>También, el Consejo de Estado ha determinado que el pliego de condiciones es ley para las partes, y en él se debe establecer la regulación del procedimiento de contratación, conforme a la ley, garantizando la selección objetiva del contratista</w:t>
      </w:r>
      <w:r w:rsidRPr="00305AB1">
        <w:rPr>
          <w:rStyle w:val="Refdenotaalpie"/>
          <w:rFonts w:ascii="Verdana" w:eastAsia="Calibri" w:hAnsi="Verdana" w:cs="Arial"/>
          <w:color w:val="000000" w:themeColor="text1"/>
        </w:rPr>
        <w:footnoteReference w:id="9"/>
      </w:r>
      <w:r w:rsidRPr="00305AB1">
        <w:rPr>
          <w:rFonts w:ascii="Verdana" w:eastAsia="Calibri" w:hAnsi="Verdana" w:cs="Arial"/>
          <w:color w:val="000000" w:themeColor="text1"/>
        </w:rPr>
        <w:t xml:space="preserve">. El artículo 2.2.1.1.2.1.3. del Decreto 1082 de 2015 </w:t>
      </w:r>
      <w:r w:rsidRPr="00305AB1">
        <w:rPr>
          <w:rFonts w:ascii="Verdana" w:eastAsia="Calibri" w:hAnsi="Verdana" w:cs="Arial"/>
          <w:color w:val="000000" w:themeColor="text1"/>
        </w:rPr>
        <w:lastRenderedPageBreak/>
        <w:t xml:space="preserve">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305AB1">
        <w:rPr>
          <w:rFonts w:ascii="Verdana" w:eastAsia="Calibri" w:hAnsi="Verdana" w:cs="Arial"/>
          <w:color w:val="000000" w:themeColor="text1"/>
        </w:rPr>
        <w:t>ii</w:t>
      </w:r>
      <w:proofErr w:type="spellEnd"/>
      <w:r w:rsidRPr="00305AB1">
        <w:rPr>
          <w:rFonts w:ascii="Verdana" w:eastAsia="Calibri" w:hAnsi="Verdana" w:cs="Arial"/>
          <w:color w:val="000000" w:themeColor="text1"/>
        </w:rPr>
        <w:t xml:space="preserve">) modalidad y criterios de selección, </w:t>
      </w:r>
      <w:proofErr w:type="spellStart"/>
      <w:r w:rsidRPr="00305AB1">
        <w:rPr>
          <w:rFonts w:ascii="Verdana" w:eastAsia="Calibri" w:hAnsi="Verdana" w:cs="Arial"/>
          <w:color w:val="000000" w:themeColor="text1"/>
        </w:rPr>
        <w:t>iii</w:t>
      </w:r>
      <w:proofErr w:type="spellEnd"/>
      <w:r w:rsidRPr="00305AB1">
        <w:rPr>
          <w:rFonts w:ascii="Verdana" w:eastAsia="Calibri" w:hAnsi="Verdana" w:cs="Arial"/>
          <w:color w:val="000000" w:themeColor="text1"/>
        </w:rPr>
        <w:t xml:space="preserve">) valoración económica del bien, obra o servicio, </w:t>
      </w:r>
      <w:proofErr w:type="spellStart"/>
      <w:r w:rsidRPr="00305AB1">
        <w:rPr>
          <w:rFonts w:ascii="Verdana" w:eastAsia="Calibri" w:hAnsi="Verdana" w:cs="Arial"/>
          <w:color w:val="000000" w:themeColor="text1"/>
        </w:rPr>
        <w:t>iv</w:t>
      </w:r>
      <w:proofErr w:type="spellEnd"/>
      <w:r w:rsidRPr="00305AB1">
        <w:rPr>
          <w:rFonts w:ascii="Verdana" w:eastAsia="Calibri" w:hAnsi="Verdana" w:cs="Arial"/>
          <w:color w:val="000000" w:themeColor="text1"/>
        </w:rPr>
        <w:t>) reglas de la presentación y manejo de las ofertas, v) riesgos y garantías, entre otros aspectos del contrato</w:t>
      </w:r>
      <w:r w:rsidRPr="00305AB1">
        <w:rPr>
          <w:rStyle w:val="Refdenotaalpie"/>
          <w:rFonts w:ascii="Verdana" w:eastAsia="Calibri" w:hAnsi="Verdana" w:cs="Arial"/>
          <w:color w:val="000000" w:themeColor="text1"/>
        </w:rPr>
        <w:footnoteReference w:id="10"/>
      </w:r>
      <w:r w:rsidRPr="00305AB1">
        <w:rPr>
          <w:rFonts w:ascii="Verdana" w:eastAsia="Calibri" w:hAnsi="Verdana" w:cs="Arial"/>
          <w:color w:val="000000" w:themeColor="text1"/>
        </w:rPr>
        <w:t>.</w:t>
      </w:r>
    </w:p>
    <w:p w14:paraId="47BBB09F" w14:textId="77777777" w:rsidR="005B66DB" w:rsidRDefault="005B66DB" w:rsidP="005B66DB">
      <w:pPr>
        <w:spacing w:after="120" w:line="276" w:lineRule="auto"/>
        <w:ind w:right="105" w:firstLine="709"/>
        <w:jc w:val="both"/>
        <w:rPr>
          <w:rFonts w:ascii="Verdana" w:hAnsi="Verdana"/>
        </w:rPr>
      </w:pPr>
      <w:r>
        <w:rPr>
          <w:rFonts w:ascii="Verdana" w:hAnsi="Verdana"/>
        </w:rPr>
        <w:t xml:space="preserve">En todo caso, sin perjuicio de la discrecionalidad de las Entidades Estatales para determinar las reglas de participación y escogencia que resulten más razonables para el objeto a contratar, estas deben configurar el pliego de condiciones garantizando la selección objetiva, de acuerdo con el artículo 5 de la Ley 1150 de 2007. Esto supone establecer requisitos habilitantes y ponderables, adecuados y proporcionales para el objeto del contrato, así como la aplicación de la normativa que resulte relevante para los procesos de contratación, como, por ejemplo, la referente a criterios diferenciales adoptados por la Ley 2069 de 2020 –arts. 31 y 32– o el Decreto 392 de 2018, cuestiones que son temas de los estudios previos y el análisis del sector, razón por la cual el pliego de condiciones debe reflejar el contenido de dichos documentos precontractuales. </w:t>
      </w:r>
    </w:p>
    <w:p w14:paraId="06739044" w14:textId="77777777" w:rsidR="005B66DB" w:rsidRDefault="005B66DB" w:rsidP="005B66DB">
      <w:pPr>
        <w:spacing w:after="120" w:line="276" w:lineRule="auto"/>
        <w:ind w:right="105" w:firstLine="709"/>
        <w:jc w:val="both"/>
        <w:rPr>
          <w:rFonts w:ascii="Verdana" w:hAnsi="Verdana"/>
        </w:rPr>
      </w:pPr>
      <w:r>
        <w:rPr>
          <w:rFonts w:ascii="Verdana" w:hAnsi="Verdana"/>
        </w:rPr>
        <w:t xml:space="preserve">En consideración a esto, el Estatuto General de Contratación de la Administración Pública, fuera de la potestad exorbitante de interpretación unilateral establecida en el artículo 14, el componente del principio de economía </w:t>
      </w:r>
      <w:r>
        <w:rPr>
          <w:rFonts w:ascii="Verdana" w:hAnsi="Verdana"/>
        </w:rPr>
        <w:lastRenderedPageBreak/>
        <w:t>referido por el numeral 2° del artículo 25</w:t>
      </w:r>
      <w:r>
        <w:rPr>
          <w:rStyle w:val="Refdenotaalpie"/>
          <w:rFonts w:ascii="Verdana" w:hAnsi="Verdana"/>
        </w:rPr>
        <w:footnoteReference w:id="11"/>
      </w:r>
      <w:r>
        <w:rPr>
          <w:rFonts w:ascii="Verdana" w:hAnsi="Verdana"/>
        </w:rPr>
        <w:t xml:space="preserve"> y la regla general de interpretación consagrada en el artículo 28 de la Ley 80 de 1993</w:t>
      </w:r>
      <w:r>
        <w:rPr>
          <w:rStyle w:val="Refdenotaalpie"/>
          <w:rFonts w:ascii="Verdana" w:hAnsi="Verdana"/>
        </w:rPr>
        <w:footnoteReference w:id="12"/>
      </w:r>
      <w:r>
        <w:rPr>
          <w:rFonts w:ascii="Verdana" w:hAnsi="Verdana"/>
        </w:rPr>
        <w:t xml:space="preserve">, no establece una disposición que prevea la posibilidad de interpretar discrepancias entre los documentos precontractuales, el pliego de condiciones y la minuta del contrato documentos precontractuales.   </w:t>
      </w:r>
    </w:p>
    <w:p w14:paraId="1A7245A4" w14:textId="77777777" w:rsidR="005B66DB" w:rsidRDefault="005B66DB" w:rsidP="005B66DB">
      <w:pPr>
        <w:spacing w:after="0" w:line="276" w:lineRule="auto"/>
        <w:ind w:right="105" w:firstLine="709"/>
        <w:jc w:val="both"/>
        <w:rPr>
          <w:rFonts w:ascii="Verdana" w:hAnsi="Verdana"/>
        </w:rPr>
      </w:pPr>
      <w:r>
        <w:rPr>
          <w:rFonts w:ascii="Verdana" w:hAnsi="Verdana"/>
        </w:rPr>
        <w:t>No obstante, la jurisprudencia contenciosa administrativa ha sido enfática en reconocer el carácter prevalente del pliego de condiciones respecto de los demás documentos del contrato. Al respecto, en providencia del 29 de enero de 2004 la Sección Tercera del Consejo de Estado indicó lo siguiente:</w:t>
      </w:r>
    </w:p>
    <w:p w14:paraId="2CE65C40" w14:textId="77777777" w:rsidR="005B66DB" w:rsidRDefault="005B66DB" w:rsidP="005B66DB">
      <w:pPr>
        <w:spacing w:after="0" w:line="276" w:lineRule="auto"/>
        <w:ind w:right="105" w:firstLine="709"/>
        <w:jc w:val="both"/>
        <w:rPr>
          <w:rFonts w:ascii="Verdana" w:hAnsi="Verdana"/>
        </w:rPr>
      </w:pPr>
      <w:r>
        <w:rPr>
          <w:rFonts w:ascii="Verdana" w:hAnsi="Verdana"/>
        </w:rPr>
        <w:t xml:space="preserve"> </w:t>
      </w:r>
    </w:p>
    <w:p w14:paraId="1C6DDB85" w14:textId="77777777" w:rsidR="005B66DB" w:rsidRPr="00305AB1" w:rsidRDefault="005B66DB" w:rsidP="005B66DB">
      <w:pPr>
        <w:spacing w:after="0" w:line="240" w:lineRule="auto"/>
        <w:ind w:left="709" w:right="709"/>
        <w:jc w:val="both"/>
        <w:rPr>
          <w:rFonts w:ascii="Verdana" w:hAnsi="Verdana"/>
          <w:iCs/>
          <w:sz w:val="20"/>
          <w:szCs w:val="20"/>
        </w:rPr>
      </w:pPr>
      <w:r w:rsidRPr="00305AB1">
        <w:rPr>
          <w:rFonts w:ascii="Verdana" w:hAnsi="Verdana" w:cs="Arial"/>
          <w:bCs/>
          <w:iCs/>
          <w:sz w:val="20"/>
          <w:szCs w:val="20"/>
          <w:lang w:val="es-ES"/>
        </w:rPr>
        <w:t>“</w:t>
      </w:r>
      <w:r>
        <w:rPr>
          <w:rFonts w:ascii="Verdana" w:hAnsi="Verdana" w:cs="Arial"/>
          <w:bCs/>
          <w:iCs/>
          <w:sz w:val="20"/>
          <w:szCs w:val="20"/>
          <w:lang w:val="es-ES"/>
        </w:rPr>
        <w:t>[</w:t>
      </w:r>
      <w:r w:rsidRPr="00305AB1">
        <w:rPr>
          <w:rFonts w:ascii="Verdana" w:hAnsi="Verdana" w:cs="Arial"/>
          <w:bCs/>
          <w:iCs/>
          <w:sz w:val="20"/>
          <w:szCs w:val="20"/>
          <w:lang w:val="es-ES"/>
        </w:rPr>
        <w:t>…</w:t>
      </w:r>
      <w:r>
        <w:rPr>
          <w:rFonts w:ascii="Verdana" w:hAnsi="Verdana" w:cs="Arial"/>
          <w:bCs/>
          <w:iCs/>
          <w:sz w:val="20"/>
          <w:szCs w:val="20"/>
          <w:lang w:val="es-ES"/>
        </w:rPr>
        <w:t xml:space="preserve">] </w:t>
      </w:r>
      <w:r w:rsidRPr="00305AB1">
        <w:rPr>
          <w:rFonts w:ascii="Verdana" w:hAnsi="Verdana" w:cs="Arial"/>
          <w:iCs/>
          <w:sz w:val="20"/>
          <w:szCs w:val="20"/>
        </w:rPr>
        <w:t xml:space="preserve">los pliegos de condiciones forman parte esencial del contrato porque son la fuente principal de los derechos y obligaciones de las partes y son la base para la interpretación e integración del contrato, en la medida que contienen la voluntad de la administración a la que se someten por adhesión los proponentes y el contratista que resulte favorecido. </w:t>
      </w:r>
      <w:r w:rsidRPr="00305AB1">
        <w:rPr>
          <w:rFonts w:ascii="Verdana" w:hAnsi="Verdana" w:cs="Arial"/>
          <w:i/>
          <w:sz w:val="20"/>
          <w:szCs w:val="20"/>
        </w:rPr>
        <w:t>Por tal motivo, las reglas de los pliegos de condiciones deben prevalecer sobre los demás documentos del contrato y en particular sobre la minuta, la cual debe limitarse a formalizar el acuerdo de voluntades y a plasmar en forma fidedigna la regulación del objeto contractual y los derechos y obligaciones a cargo de las partes</w:t>
      </w:r>
      <w:r w:rsidRPr="00305AB1">
        <w:rPr>
          <w:rFonts w:ascii="Verdana" w:hAnsi="Verdana" w:cs="Arial"/>
          <w:iCs/>
          <w:sz w:val="20"/>
          <w:szCs w:val="20"/>
        </w:rPr>
        <w:t>”</w:t>
      </w:r>
      <w:r w:rsidRPr="00305AB1">
        <w:rPr>
          <w:rStyle w:val="Refdenotaalpie"/>
          <w:rFonts w:ascii="Verdana" w:hAnsi="Verdana" w:cs="Arial"/>
          <w:iCs/>
          <w:sz w:val="20"/>
          <w:szCs w:val="20"/>
        </w:rPr>
        <w:footnoteReference w:id="13"/>
      </w:r>
      <w:r>
        <w:rPr>
          <w:rFonts w:ascii="Verdana" w:hAnsi="Verdana" w:cs="Arial"/>
          <w:iCs/>
          <w:sz w:val="20"/>
          <w:szCs w:val="20"/>
        </w:rPr>
        <w:t xml:space="preserve"> </w:t>
      </w:r>
      <w:r w:rsidRPr="00305AB1">
        <w:rPr>
          <w:rFonts w:ascii="Verdana" w:hAnsi="Verdana" w:cs="Arial"/>
          <w:iCs/>
        </w:rPr>
        <w:t>[Énfasis fuera de texto].</w:t>
      </w:r>
    </w:p>
    <w:p w14:paraId="3D8B2FBE" w14:textId="77777777" w:rsidR="005B66DB" w:rsidRDefault="005B66DB" w:rsidP="005B66DB">
      <w:pPr>
        <w:spacing w:after="0" w:line="240" w:lineRule="auto"/>
        <w:ind w:left="709" w:right="709"/>
        <w:jc w:val="both"/>
        <w:rPr>
          <w:rFonts w:ascii="Verdana" w:hAnsi="Verdana"/>
        </w:rPr>
      </w:pPr>
    </w:p>
    <w:p w14:paraId="1FB36F3B" w14:textId="77777777" w:rsidR="005B66DB" w:rsidRDefault="005B66DB" w:rsidP="005B66DB">
      <w:pPr>
        <w:spacing w:after="0" w:line="276" w:lineRule="auto"/>
        <w:ind w:right="49" w:firstLine="708"/>
        <w:jc w:val="both"/>
        <w:rPr>
          <w:rFonts w:ascii="Verdana" w:hAnsi="Verdana"/>
        </w:rPr>
      </w:pPr>
      <w:r>
        <w:rPr>
          <w:rFonts w:ascii="Verdana" w:hAnsi="Verdana"/>
        </w:rPr>
        <w:t>En el mismo sentido, la referida corporación judicial realizó las siguientes consideraciones en sentencia del 10 de marzo de 2011:</w:t>
      </w:r>
    </w:p>
    <w:p w14:paraId="41BEF0CB" w14:textId="77777777" w:rsidR="005B66DB" w:rsidRDefault="005B66DB" w:rsidP="005B66DB">
      <w:pPr>
        <w:spacing w:after="0" w:line="240" w:lineRule="auto"/>
        <w:ind w:left="709" w:right="709"/>
        <w:jc w:val="both"/>
        <w:rPr>
          <w:rFonts w:ascii="Verdana" w:hAnsi="Verdana"/>
        </w:rPr>
      </w:pPr>
    </w:p>
    <w:p w14:paraId="552864BA" w14:textId="77777777" w:rsidR="005B66DB" w:rsidRPr="00305AB1" w:rsidRDefault="005B66DB" w:rsidP="005B66DB">
      <w:pPr>
        <w:spacing w:after="0" w:line="240" w:lineRule="auto"/>
        <w:ind w:left="709" w:right="709"/>
        <w:jc w:val="both"/>
        <w:rPr>
          <w:rFonts w:ascii="Verdana" w:hAnsi="Verdana"/>
          <w:sz w:val="20"/>
          <w:szCs w:val="20"/>
        </w:rPr>
      </w:pPr>
      <w:r w:rsidRPr="00305AB1">
        <w:rPr>
          <w:rFonts w:ascii="Verdana" w:hAnsi="Verdana"/>
          <w:sz w:val="20"/>
          <w:szCs w:val="20"/>
        </w:rPr>
        <w:t xml:space="preserve">“El contenido del contrato fruto de un proceso licitatorio como el que es objeto de la presente litis, debe coincidir con los términos anunciados en el respectivo pliego de condiciones, el cual constituye no solo la ley del proceso de selección, por establecer todas las normas de participación, evaluación y adjudicación de la respectiva licitación o concurso, sino también la ley del futuro contrato, en la medida en que debe establecer el contenido del negocio jurídico que se celebrará como resultado de la licitación y especificar los derechos y obligaciones que surgirán para las partes del contrato a adjudicar. Así lo ha considerado la jurisprudencia de la corporación, para la cual, </w:t>
      </w:r>
      <w:r w:rsidRPr="00305AB1">
        <w:rPr>
          <w:rFonts w:ascii="Verdana" w:hAnsi="Verdana"/>
          <w:i/>
          <w:iCs/>
          <w:sz w:val="20"/>
          <w:szCs w:val="20"/>
        </w:rPr>
        <w:t xml:space="preserve">una vez suscrito el contrato, las disposiciones </w:t>
      </w:r>
      <w:r w:rsidRPr="00305AB1">
        <w:rPr>
          <w:rFonts w:ascii="Verdana" w:hAnsi="Verdana"/>
          <w:i/>
          <w:iCs/>
          <w:sz w:val="20"/>
          <w:szCs w:val="20"/>
        </w:rPr>
        <w:lastRenderedPageBreak/>
        <w:t>del pliego hacen parte integral de su clausulado y se imponen sobre las pactadas en el contrato mismo</w:t>
      </w:r>
      <w:r w:rsidRPr="00305AB1">
        <w:rPr>
          <w:rFonts w:ascii="Verdana" w:hAnsi="Verdana"/>
          <w:sz w:val="20"/>
          <w:szCs w:val="20"/>
        </w:rPr>
        <w:t>”</w:t>
      </w:r>
      <w:r w:rsidRPr="00305AB1">
        <w:rPr>
          <w:rStyle w:val="Refdenotaalpie"/>
          <w:rFonts w:ascii="Verdana" w:hAnsi="Verdana"/>
          <w:sz w:val="20"/>
          <w:szCs w:val="20"/>
        </w:rPr>
        <w:footnoteReference w:id="14"/>
      </w:r>
      <w:r>
        <w:rPr>
          <w:rFonts w:ascii="Verdana" w:hAnsi="Verdana"/>
          <w:sz w:val="20"/>
          <w:szCs w:val="20"/>
        </w:rPr>
        <w:t>.</w:t>
      </w:r>
      <w:r w:rsidRPr="00305AB1">
        <w:rPr>
          <w:rFonts w:ascii="Verdana" w:hAnsi="Verdana"/>
          <w:sz w:val="20"/>
          <w:szCs w:val="20"/>
        </w:rPr>
        <w:t xml:space="preserve"> </w:t>
      </w:r>
      <w:r w:rsidRPr="009E161B">
        <w:rPr>
          <w:rFonts w:ascii="Verdana" w:hAnsi="Verdana" w:cs="Arial"/>
          <w:iCs/>
        </w:rPr>
        <w:t>[Énfasis fuera de texto].</w:t>
      </w:r>
    </w:p>
    <w:p w14:paraId="09AD0A44" w14:textId="77777777" w:rsidR="005B66DB" w:rsidRDefault="005B66DB" w:rsidP="005B66DB">
      <w:pPr>
        <w:spacing w:after="0" w:line="240" w:lineRule="auto"/>
        <w:ind w:left="709"/>
        <w:jc w:val="both"/>
        <w:rPr>
          <w:rFonts w:ascii="Verdana" w:eastAsia="Times New Roman" w:hAnsi="Verdana" w:cs="Arial"/>
          <w:i/>
          <w:iCs/>
          <w:sz w:val="20"/>
          <w:szCs w:val="20"/>
          <w:lang w:eastAsia="es-ES_tradnl"/>
        </w:rPr>
      </w:pPr>
    </w:p>
    <w:p w14:paraId="4E6F8C3F" w14:textId="77777777" w:rsidR="005B66DB" w:rsidRPr="002C5611" w:rsidRDefault="005B66DB" w:rsidP="005B66DB">
      <w:pPr>
        <w:spacing w:after="0" w:line="276" w:lineRule="auto"/>
        <w:ind w:firstLine="352"/>
        <w:jc w:val="both"/>
        <w:rPr>
          <w:rFonts w:ascii="Verdana" w:eastAsia="Calibri" w:hAnsi="Verdana"/>
          <w:lang w:val="es-ES"/>
        </w:rPr>
      </w:pPr>
      <w:r>
        <w:rPr>
          <w:rFonts w:ascii="Verdana" w:eastAsia="Calibri" w:hAnsi="Verdana"/>
          <w:color w:val="7030A0"/>
          <w:lang w:val="es-ES"/>
        </w:rPr>
        <w:tab/>
      </w:r>
      <w:r w:rsidRPr="002C5611">
        <w:rPr>
          <w:rFonts w:ascii="Verdana" w:eastAsia="Calibri" w:hAnsi="Verdana"/>
          <w:lang w:val="es-ES"/>
        </w:rPr>
        <w:t xml:space="preserve">Tal prevalencia otorgada al pliego de condiciones respecto de los demás documentos contractuales tiene que ver con el carácter normativo de este acto, el cual condiciona la relación contractual que surge del proceso de selección que regula. Sobre el particular la doctrina nacional ha señalado: </w:t>
      </w:r>
    </w:p>
    <w:p w14:paraId="286439E9" w14:textId="77777777" w:rsidR="005B66DB" w:rsidRPr="002C5611" w:rsidRDefault="005B66DB" w:rsidP="005B66DB">
      <w:pPr>
        <w:spacing w:after="0" w:line="276" w:lineRule="auto"/>
        <w:ind w:firstLine="352"/>
        <w:jc w:val="both"/>
        <w:rPr>
          <w:rFonts w:ascii="Verdana" w:eastAsia="Calibri" w:hAnsi="Verdana"/>
          <w:lang w:val="es-ES"/>
        </w:rPr>
      </w:pPr>
    </w:p>
    <w:p w14:paraId="280E5E23" w14:textId="77777777" w:rsidR="005B66DB" w:rsidRPr="002C5611" w:rsidRDefault="005B66DB" w:rsidP="005B66DB">
      <w:pPr>
        <w:spacing w:after="0" w:line="240" w:lineRule="auto"/>
        <w:ind w:left="709" w:right="709"/>
        <w:jc w:val="both"/>
        <w:rPr>
          <w:rFonts w:ascii="Verdana" w:eastAsia="Calibri" w:hAnsi="Verdana"/>
          <w:sz w:val="20"/>
          <w:szCs w:val="20"/>
        </w:rPr>
      </w:pPr>
      <w:r w:rsidRPr="002C5611">
        <w:rPr>
          <w:rFonts w:ascii="Verdana" w:eastAsia="Calibri" w:hAnsi="Verdana"/>
          <w:sz w:val="20"/>
          <w:szCs w:val="20"/>
          <w:lang w:val="es-ES"/>
        </w:rPr>
        <w:t>“</w:t>
      </w:r>
      <w:r w:rsidRPr="002C5611">
        <w:rPr>
          <w:rFonts w:ascii="Verdana" w:eastAsia="Calibri" w:hAnsi="Verdana"/>
          <w:sz w:val="20"/>
          <w:szCs w:val="20"/>
        </w:rPr>
        <w:t>Las sentencias de la Sección Tercera, en múltiples oportunidades ha destacado la característica fundamental del pliego de condiciones, esto es su carácter prevalente respecto del mismo contenido contractual.</w:t>
      </w:r>
    </w:p>
    <w:p w14:paraId="4A3E2AEC" w14:textId="77777777" w:rsidR="005B66DB" w:rsidRPr="002C5611" w:rsidRDefault="005B66DB" w:rsidP="005B66DB">
      <w:pPr>
        <w:spacing w:after="0" w:line="240" w:lineRule="auto"/>
        <w:ind w:left="709" w:right="709"/>
        <w:jc w:val="both"/>
        <w:rPr>
          <w:rFonts w:ascii="Verdana" w:eastAsia="Calibri" w:hAnsi="Verdana"/>
          <w:sz w:val="20"/>
          <w:szCs w:val="20"/>
        </w:rPr>
      </w:pPr>
    </w:p>
    <w:p w14:paraId="4E018124" w14:textId="77777777" w:rsidR="005B66DB" w:rsidRPr="002C5611" w:rsidRDefault="005B66DB" w:rsidP="005B66DB">
      <w:pPr>
        <w:spacing w:after="0" w:line="240" w:lineRule="auto"/>
        <w:ind w:left="709" w:right="709"/>
        <w:jc w:val="both"/>
        <w:rPr>
          <w:rFonts w:ascii="Verdana" w:eastAsia="Calibri" w:hAnsi="Verdana"/>
          <w:sz w:val="20"/>
          <w:szCs w:val="20"/>
        </w:rPr>
      </w:pPr>
      <w:r w:rsidRPr="002C5611">
        <w:rPr>
          <w:rFonts w:ascii="Verdana" w:eastAsia="Calibri" w:hAnsi="Verdana"/>
          <w:sz w:val="20"/>
          <w:szCs w:val="20"/>
        </w:rPr>
        <w:t>La razón es evidente: si la mejor oferta para ejecutar el contrato es seleccionada con fundamento en los requisitos ponderables y habilitantes exigidos en el pliego de condiciones, una vez perfeccionado el mismo, las condiciones de su ejecución deben corresponder al cumplimiento de esos requisitos iniciales exigidos en el pliego, tanto sobre las calidades del contratista y de su grupo de trabajo, como las derivadas del objeto y las condiciones de tiempo, lugar y modo para su cumplimiento.</w:t>
      </w:r>
    </w:p>
    <w:p w14:paraId="2AC42104" w14:textId="77777777" w:rsidR="005B66DB" w:rsidRPr="002C5611" w:rsidRDefault="005B66DB" w:rsidP="005B66DB">
      <w:pPr>
        <w:spacing w:after="0" w:line="240" w:lineRule="auto"/>
        <w:ind w:left="709" w:right="709"/>
        <w:jc w:val="both"/>
        <w:rPr>
          <w:rFonts w:ascii="Verdana" w:eastAsia="Calibri" w:hAnsi="Verdana"/>
          <w:sz w:val="20"/>
          <w:szCs w:val="20"/>
        </w:rPr>
      </w:pPr>
      <w:r w:rsidRPr="002C5611">
        <w:rPr>
          <w:rFonts w:ascii="Verdana" w:eastAsia="Calibri" w:hAnsi="Verdana"/>
          <w:sz w:val="20"/>
          <w:szCs w:val="20"/>
        </w:rPr>
        <w:br/>
        <w:t>Si tales condiciones variaran sin una razón justificable y sobreviniente, dejaría sin razón de ser el pliego y el mismo proceso de selección, pues la ejecución del contrato no correspondería a las reglas sobre las cuales se edificó el procedimiento y el mismo pliego.</w:t>
      </w:r>
    </w:p>
    <w:p w14:paraId="41334F40" w14:textId="77777777" w:rsidR="005B66DB" w:rsidRPr="002C5611" w:rsidRDefault="005B66DB" w:rsidP="005B66DB">
      <w:pPr>
        <w:spacing w:after="0" w:line="240" w:lineRule="auto"/>
        <w:ind w:left="709" w:right="709"/>
        <w:jc w:val="both"/>
        <w:rPr>
          <w:rFonts w:ascii="Verdana" w:eastAsia="Calibri" w:hAnsi="Verdana"/>
          <w:sz w:val="20"/>
          <w:szCs w:val="20"/>
        </w:rPr>
      </w:pPr>
      <w:r w:rsidRPr="002C5611">
        <w:rPr>
          <w:rFonts w:ascii="Verdana" w:eastAsia="Calibri" w:hAnsi="Verdana"/>
          <w:sz w:val="20"/>
          <w:szCs w:val="20"/>
        </w:rPr>
        <w:br/>
      </w:r>
      <w:r w:rsidRPr="002C5611">
        <w:rPr>
          <w:rFonts w:ascii="Verdana" w:eastAsia="Calibri" w:hAnsi="Verdana"/>
          <w:i/>
          <w:iCs/>
          <w:sz w:val="20"/>
          <w:szCs w:val="20"/>
        </w:rPr>
        <w:t>Cuando se presenten contradicciones entre el pliego de condiciones y el contrato, es necesario afirmar la prevalencia del primero, independiente de las menciones que se hagan en el mismo cuerpo contractual, pues su obligatoriedad y preeminencia no dependen del acuerdo de voluntades, sino de su carácter normativo que se impone como orientador del acuerdo entre ellas</w:t>
      </w:r>
      <w:r w:rsidRPr="002C5611">
        <w:rPr>
          <w:rFonts w:ascii="Verdana" w:eastAsia="Calibri" w:hAnsi="Verdana"/>
          <w:sz w:val="20"/>
          <w:szCs w:val="20"/>
        </w:rPr>
        <w:t>”</w:t>
      </w:r>
      <w:r w:rsidRPr="002C5611">
        <w:rPr>
          <w:rStyle w:val="Refdenotaalpie"/>
          <w:rFonts w:ascii="Verdana" w:eastAsia="Calibri" w:hAnsi="Verdana"/>
          <w:sz w:val="20"/>
          <w:szCs w:val="20"/>
        </w:rPr>
        <w:footnoteReference w:id="15"/>
      </w:r>
      <w:r w:rsidRPr="002C5611">
        <w:rPr>
          <w:rFonts w:ascii="Verdana" w:eastAsia="Calibri" w:hAnsi="Verdana"/>
          <w:sz w:val="20"/>
          <w:szCs w:val="20"/>
        </w:rPr>
        <w:t xml:space="preserve"> </w:t>
      </w:r>
      <w:r w:rsidRPr="002C5611">
        <w:rPr>
          <w:rFonts w:ascii="Verdana" w:hAnsi="Verdana" w:cs="Arial"/>
          <w:iCs/>
        </w:rPr>
        <w:t>[Énfasis fuera de texto].</w:t>
      </w:r>
    </w:p>
    <w:p w14:paraId="687417F3" w14:textId="77777777" w:rsidR="005B66DB" w:rsidRPr="002C5611" w:rsidRDefault="005B66DB" w:rsidP="005B66DB">
      <w:pPr>
        <w:spacing w:after="0" w:line="276" w:lineRule="auto"/>
        <w:ind w:firstLine="352"/>
        <w:jc w:val="both"/>
        <w:rPr>
          <w:rFonts w:ascii="Verdana" w:eastAsia="Calibri" w:hAnsi="Verdana"/>
          <w:lang w:val="es-ES"/>
        </w:rPr>
      </w:pPr>
    </w:p>
    <w:p w14:paraId="48C7ACFA" w14:textId="77777777" w:rsidR="005B66DB" w:rsidRPr="002C5611" w:rsidRDefault="005B66DB" w:rsidP="005B66DB">
      <w:pPr>
        <w:spacing w:after="120" w:line="276" w:lineRule="auto"/>
        <w:jc w:val="both"/>
        <w:rPr>
          <w:rFonts w:ascii="Verdana" w:eastAsia="Calibri" w:hAnsi="Verdana"/>
          <w:lang w:val="es-ES"/>
        </w:rPr>
      </w:pPr>
      <w:r w:rsidRPr="002C5611">
        <w:rPr>
          <w:rFonts w:ascii="Verdana" w:eastAsia="Calibri" w:hAnsi="Verdana"/>
          <w:lang w:val="es-ES"/>
        </w:rPr>
        <w:tab/>
        <w:t xml:space="preserve">Conforme a lo anterior, la jurisprudencia y la doctrina coinciden en señalar la prevalencia del pliego de condiciones respecto de los demás documentos contractuales, en la medida en que los efectos que devienen de su naturaleza normativa irradian el desarrollo del proceso de selección, la celebración del contrato y su ejecución. Debido a esto, no resulta posible la Entidad Estatal ejerzan la autonomía de la voluntad contraviniendo en la minuta las reglas o </w:t>
      </w:r>
      <w:r w:rsidRPr="002C5611">
        <w:rPr>
          <w:rFonts w:ascii="Verdana" w:eastAsia="Calibri" w:hAnsi="Verdana"/>
          <w:lang w:val="es-ES"/>
        </w:rPr>
        <w:lastRenderedPageBreak/>
        <w:t xml:space="preserve">elementos del negocio jurídico que debe consolidarse como resultado del Proceso de Contratación.   </w:t>
      </w:r>
    </w:p>
    <w:p w14:paraId="2F43DBA5" w14:textId="77777777" w:rsidR="005B66DB" w:rsidRDefault="005B66DB" w:rsidP="005B66DB">
      <w:pPr>
        <w:spacing w:after="0" w:line="276" w:lineRule="auto"/>
        <w:ind w:firstLine="709"/>
        <w:jc w:val="both"/>
        <w:rPr>
          <w:rFonts w:ascii="Verdana" w:eastAsia="Calibri" w:hAnsi="Verdana"/>
          <w:lang w:val="es-ES"/>
        </w:rPr>
      </w:pPr>
      <w:r w:rsidRPr="002C5611">
        <w:rPr>
          <w:rFonts w:ascii="Verdana" w:eastAsia="Calibri" w:hAnsi="Verdana"/>
          <w:lang w:val="es-ES"/>
        </w:rPr>
        <w:t xml:space="preserve">Sin embargo, el carácter prevalente del pliego de condiciones no puede alegarse con la finalidad de transgredir el interés general o el ordenamiento. Sobre este punto el Consejo de Estado ha indicado: </w:t>
      </w:r>
    </w:p>
    <w:p w14:paraId="594E2733" w14:textId="77777777" w:rsidR="005B66DB" w:rsidRPr="002C5611" w:rsidRDefault="005B66DB" w:rsidP="005B66DB">
      <w:pPr>
        <w:spacing w:after="0" w:line="276" w:lineRule="auto"/>
        <w:ind w:firstLine="709"/>
        <w:jc w:val="both"/>
        <w:rPr>
          <w:rFonts w:ascii="Verdana" w:eastAsia="Calibri" w:hAnsi="Verdana"/>
          <w:lang w:val="es-ES"/>
        </w:rPr>
      </w:pPr>
    </w:p>
    <w:p w14:paraId="2642BCB3" w14:textId="77777777" w:rsidR="005B66DB" w:rsidRDefault="005B66DB" w:rsidP="005B66DB">
      <w:pPr>
        <w:spacing w:after="0" w:line="240" w:lineRule="auto"/>
        <w:ind w:left="709" w:right="709"/>
        <w:jc w:val="both"/>
        <w:rPr>
          <w:rFonts w:ascii="Verdana" w:hAnsi="Verdana" w:cs="Arial"/>
          <w:iCs/>
        </w:rPr>
      </w:pPr>
      <w:r w:rsidRPr="002C5611">
        <w:rPr>
          <w:rFonts w:ascii="Verdana" w:eastAsia="Calibri" w:hAnsi="Verdana"/>
          <w:sz w:val="20"/>
          <w:szCs w:val="20"/>
        </w:rPr>
        <w:t>“Se ha sostenido que, en lo que al contenido respecta, las cláusulas de los pliegos de condiciones admiten una suerte de categorización, en tanto un grupo o categoría de cláusulas cumplen la función práctico-jurídica de determinar las reglas generales con arreglo a las cuales el contrato habrá de ejecutarse, en tanto otro grupo o categoría está orientado a disciplinar el reglamento que habrá de regir el proceso de selección del oferente.</w:t>
      </w:r>
      <w:r w:rsidRPr="002C5611">
        <w:rPr>
          <w:rFonts w:ascii="Verdana" w:eastAsia="Calibri" w:hAnsi="Verdana"/>
          <w:sz w:val="20"/>
          <w:szCs w:val="20"/>
        </w:rPr>
        <w:br/>
      </w:r>
      <w:r w:rsidRPr="002C5611">
        <w:rPr>
          <w:rFonts w:ascii="Verdana" w:eastAsia="Calibri" w:hAnsi="Verdana"/>
          <w:i/>
          <w:iCs/>
          <w:sz w:val="20"/>
          <w:szCs w:val="20"/>
        </w:rPr>
        <w:t>Pues bien, sea que se trate de las cláusulas cuya función es disciplinar el procedimiento de selección exclusivamente, ya se trate de aquellas que se integran al contenido del contrato estatal, es lo cierto que la Administración no puede establecer criterios irrazonables que no consulten el interés general presente tanto en el proceso de selección como en la ejecución del contrato estatal, so pena de ineficacia de dichas cláusulas predispuestas ante casos de violación mayúscula del ordenamiento jurídico -v. gr., contravención de norma de orden público-, o de exponerse a un control riguroso de contenido por parte del juez del contrato</w:t>
      </w:r>
      <w:r w:rsidRPr="002C5611">
        <w:rPr>
          <w:rFonts w:ascii="Verdana" w:eastAsia="Calibri" w:hAnsi="Verdana"/>
          <w:sz w:val="20"/>
          <w:szCs w:val="20"/>
        </w:rPr>
        <w:t>, quien por la vía de la cláusula general de buena fe o, bajo la óptica del principio de objetividad o de igualdad, puede corregir o ajustar el contenido de la cláusula, con el propósito de preservar la eficacia vinculante de la que ha sido predispuesta, garantizando así, en todo caso, la aplicación cabal de los principios informadores de la contratación estatal”</w:t>
      </w:r>
      <w:r w:rsidRPr="002C5611">
        <w:rPr>
          <w:rStyle w:val="Refdenotaalpie"/>
          <w:rFonts w:ascii="Verdana" w:eastAsia="Calibri" w:hAnsi="Verdana"/>
          <w:sz w:val="20"/>
          <w:szCs w:val="20"/>
        </w:rPr>
        <w:footnoteReference w:id="16"/>
      </w:r>
      <w:r w:rsidRPr="002C5611">
        <w:rPr>
          <w:rFonts w:ascii="Verdana" w:eastAsia="Calibri" w:hAnsi="Verdana"/>
          <w:sz w:val="20"/>
          <w:szCs w:val="20"/>
        </w:rPr>
        <w:t>.</w:t>
      </w:r>
      <w:r w:rsidRPr="002C5611">
        <w:rPr>
          <w:rFonts w:ascii="Verdana" w:eastAsia="Calibri" w:hAnsi="Verdana"/>
          <w:sz w:val="20"/>
          <w:szCs w:val="20"/>
          <w:lang w:val="es-ES"/>
        </w:rPr>
        <w:t xml:space="preserve"> [</w:t>
      </w:r>
      <w:r w:rsidRPr="002C5611">
        <w:rPr>
          <w:rFonts w:ascii="Verdana" w:hAnsi="Verdana" w:cs="Arial"/>
          <w:iCs/>
        </w:rPr>
        <w:t>Énfasis fuera de texto].</w:t>
      </w:r>
    </w:p>
    <w:p w14:paraId="694DEB74" w14:textId="77777777" w:rsidR="005B66DB" w:rsidRPr="002C5611" w:rsidRDefault="005B66DB" w:rsidP="005B66DB">
      <w:pPr>
        <w:spacing w:after="0" w:line="240" w:lineRule="auto"/>
        <w:ind w:left="709" w:right="709"/>
        <w:jc w:val="both"/>
        <w:rPr>
          <w:rFonts w:ascii="Verdana" w:eastAsia="Calibri" w:hAnsi="Verdana"/>
          <w:sz w:val="20"/>
          <w:szCs w:val="20"/>
          <w:lang w:val="es-ES"/>
        </w:rPr>
      </w:pPr>
    </w:p>
    <w:p w14:paraId="6D4EA578" w14:textId="77777777" w:rsidR="005B66DB" w:rsidRPr="002C5611" w:rsidRDefault="005B66DB" w:rsidP="005B66DB">
      <w:pPr>
        <w:spacing w:after="120" w:line="276" w:lineRule="auto"/>
        <w:ind w:firstLine="709"/>
        <w:jc w:val="both"/>
        <w:rPr>
          <w:rFonts w:ascii="Verdana" w:eastAsia="Calibri" w:hAnsi="Verdana"/>
          <w:lang w:val="es-ES"/>
        </w:rPr>
      </w:pPr>
      <w:r w:rsidRPr="002C5611">
        <w:rPr>
          <w:rFonts w:ascii="Verdana" w:eastAsia="Calibri" w:hAnsi="Verdana"/>
          <w:lang w:val="es-ES"/>
        </w:rPr>
        <w:t xml:space="preserve">De acuerdo con lo anterior, es importante tener en cuenta que el pliego de condiciones definitivo es un acto que surge como resultado de una fase previa de planeación en el marco de la cual se establece su contenido. Tal planeación se expresa en el análisis del sector, ejercicio en el marco del cual, de acuerdo el artículo 2.2.1.1.1.6.2 del Decreto 1082 de 2015, se deben determinar los requisitos habilitantes, así como en los estudios y documentos previos, dentro de los cuales se deben establecer </w:t>
      </w:r>
      <w:r w:rsidRPr="002C5611">
        <w:rPr>
          <w:rFonts w:ascii="Verdana" w:eastAsia="Calibri" w:hAnsi="Verdana"/>
        </w:rPr>
        <w:t xml:space="preserve">los criterios para seleccionar la oferta más favorable, según lo indicado en el numeral 5 del artículo </w:t>
      </w:r>
      <w:r w:rsidRPr="002C5611">
        <w:rPr>
          <w:rFonts w:ascii="Verdana" w:eastAsia="Calibri" w:hAnsi="Verdana"/>
          <w:lang w:val="es-ES"/>
        </w:rPr>
        <w:t xml:space="preserve">2.2.1.1.2.1.1 del Decreto 1082 de 2015. En ese sentido, sin perjuicio de las modificaciones que puedan realizarse en respuesta a las observaciones al proyecto de pliego de condiciones, es claro que los requisitos de participación y adjudicación que deben expresarse en el mismo deben guardar relación con lo establecido en los </w:t>
      </w:r>
      <w:r w:rsidRPr="002C5611">
        <w:rPr>
          <w:rFonts w:ascii="Verdana" w:eastAsia="Calibri" w:hAnsi="Verdana"/>
          <w:lang w:val="es-ES"/>
        </w:rPr>
        <w:lastRenderedPageBreak/>
        <w:t xml:space="preserve">documentos precontractuales expedidos el marco de la planeación, garantizando la selección objetiva. </w:t>
      </w:r>
    </w:p>
    <w:p w14:paraId="7D2ECEBF" w14:textId="77777777" w:rsidR="005B66DB" w:rsidRPr="002C5611" w:rsidRDefault="005B66DB" w:rsidP="005B66DB">
      <w:pPr>
        <w:spacing w:after="120" w:line="276" w:lineRule="auto"/>
        <w:ind w:firstLine="709"/>
        <w:jc w:val="both"/>
        <w:rPr>
          <w:rFonts w:ascii="Verdana" w:eastAsia="Calibri" w:hAnsi="Verdana"/>
          <w:lang w:val="es-ES"/>
        </w:rPr>
      </w:pPr>
      <w:r w:rsidRPr="002C5611">
        <w:rPr>
          <w:rFonts w:ascii="Verdana" w:eastAsia="Calibri" w:hAnsi="Verdana"/>
          <w:lang w:val="es-ES"/>
        </w:rPr>
        <w:t xml:space="preserve">Esto significa que, el carácter prevalente del pliego de condiciones no puede servir para desconocer las características del negocio jurídico determinadas en el marco de la etapa de planeación, ni requisitos que resultan de obligatoria aplicación en virtud de la ley, como, por ejemplo, los requisitos habilitantes diferenciales y puntajes adicionales para emprendimientos y empresas de mujeres, regulados en los artículos 32 de la Ley 2069 de 2020 y 2.2.1.2.4.2.15 del Decreto 1082 de 2015, los cuales son de obligatoria aplicación en los procesos de selección adelantados en las modalidades de licitación pública, selección abreviada de menor cuantía y concurso de méritos.   </w:t>
      </w:r>
    </w:p>
    <w:p w14:paraId="07BE73CB" w14:textId="77777777" w:rsidR="005B66DB" w:rsidRDefault="005B66DB" w:rsidP="005B66DB">
      <w:pPr>
        <w:spacing w:after="120" w:line="276" w:lineRule="auto"/>
        <w:ind w:firstLine="709"/>
        <w:jc w:val="both"/>
        <w:rPr>
          <w:rFonts w:ascii="Verdana" w:eastAsia="Arial" w:hAnsi="Verdana" w:cs="Arial"/>
        </w:rPr>
      </w:pPr>
      <w:r w:rsidRPr="00305AB1">
        <w:rPr>
          <w:rFonts w:ascii="Verdana" w:eastAsia="Arial" w:hAnsi="Verdana" w:cs="Arial"/>
        </w:rPr>
        <w:t>Con todo, corresponde a las Entidades Estatales</w:t>
      </w:r>
      <w:r w:rsidRPr="00305AB1">
        <w:rPr>
          <w:rFonts w:ascii="Verdana" w:eastAsia="Arial" w:hAnsi="Verdana" w:cs="Arial"/>
          <w:spacing w:val="1"/>
        </w:rPr>
        <w:t xml:space="preserve"> </w:t>
      </w:r>
      <w:r w:rsidRPr="00305AB1">
        <w:rPr>
          <w:rFonts w:ascii="Verdana" w:eastAsia="Arial" w:hAnsi="Verdana" w:cs="Arial"/>
        </w:rPr>
        <w:t xml:space="preserve">contratantes </w:t>
      </w:r>
      <w:r>
        <w:rPr>
          <w:rFonts w:ascii="Verdana" w:eastAsia="Arial" w:hAnsi="Verdana" w:cs="Arial"/>
        </w:rPr>
        <w:t xml:space="preserve">analizar </w:t>
      </w:r>
      <w:r w:rsidRPr="00305AB1">
        <w:rPr>
          <w:rFonts w:ascii="Verdana" w:eastAsia="Arial" w:hAnsi="Verdana" w:cs="Arial"/>
        </w:rPr>
        <w:t>en cada caso concreto</w:t>
      </w:r>
      <w:r>
        <w:rPr>
          <w:rFonts w:ascii="Verdana" w:eastAsia="Arial" w:hAnsi="Verdana" w:cs="Arial"/>
        </w:rPr>
        <w:t xml:space="preserve"> si en efecto se presentan contradicciones entre el contenido de los diferentes los Documentos del Proceso, en aras de determinar el tratamiento interpretativo del que deben ser objeto las mismas en aras de preservar la legalidad del Proceso de Contratación. </w:t>
      </w:r>
    </w:p>
    <w:p w14:paraId="306CF6B5" w14:textId="77777777" w:rsidR="005B66DB" w:rsidRDefault="005B66DB" w:rsidP="005B66DB">
      <w:pPr>
        <w:spacing w:after="120" w:line="276" w:lineRule="auto"/>
        <w:ind w:firstLine="708"/>
        <w:jc w:val="both"/>
        <w:rPr>
          <w:rFonts w:ascii="Verdana" w:eastAsia="Batang" w:hAnsi="Verdana" w:cs="Arial"/>
          <w:lang w:val="es-MX"/>
        </w:rPr>
      </w:pPr>
      <w:r>
        <w:rPr>
          <w:rFonts w:ascii="Verdana" w:eastAsia="Arial" w:hAnsi="Verdana" w:cs="Arial"/>
        </w:rPr>
        <w:t xml:space="preserve">Igualmente, como lo expresó esta Subdirección en el Concepto C-751 del 24 de julio de 2025, </w:t>
      </w:r>
      <w:r>
        <w:rPr>
          <w:rFonts w:ascii="Verdana" w:eastAsia="Batang" w:hAnsi="Verdana" w:cs="Arial"/>
        </w:rPr>
        <w:t>en casos de contradicción entre el contrato y los demás documentos precontractuales</w:t>
      </w:r>
      <w:r w:rsidRPr="001D2DAA">
        <w:rPr>
          <w:rFonts w:ascii="Verdana" w:eastAsia="Batang" w:hAnsi="Verdana" w:cs="Arial"/>
        </w:rPr>
        <w:t xml:space="preserve">, </w:t>
      </w:r>
      <w:r>
        <w:rPr>
          <w:rFonts w:ascii="Verdana" w:eastAsia="Batang" w:hAnsi="Verdana" w:cs="Arial"/>
        </w:rPr>
        <w:t>resulta viable que se apliquen</w:t>
      </w:r>
      <w:r w:rsidRPr="001D2DAA">
        <w:rPr>
          <w:rFonts w:ascii="Verdana" w:eastAsia="Batang" w:hAnsi="Verdana" w:cs="Arial"/>
        </w:rPr>
        <w:t xml:space="preserve"> las reglas de interpretación contractual previstas en el Código Civil, privilegiando la intención de las partes, la finalidad del contrato y el principio de legalidad del gasto público</w:t>
      </w:r>
      <w:r>
        <w:rPr>
          <w:rFonts w:ascii="Verdana" w:eastAsia="Batang" w:hAnsi="Verdana" w:cs="Arial"/>
        </w:rPr>
        <w:t>, como se pasa a explicar</w:t>
      </w:r>
      <w:r w:rsidRPr="001D2DAA">
        <w:rPr>
          <w:rFonts w:ascii="Verdana" w:eastAsia="Batang" w:hAnsi="Verdana" w:cs="Arial"/>
        </w:rPr>
        <w:t>.</w:t>
      </w:r>
    </w:p>
    <w:p w14:paraId="5F414DED" w14:textId="77777777" w:rsidR="005B66DB" w:rsidRPr="002379AA" w:rsidRDefault="005B66DB" w:rsidP="005B66DB">
      <w:pPr>
        <w:spacing w:after="120" w:line="276" w:lineRule="auto"/>
        <w:ind w:firstLine="708"/>
        <w:jc w:val="both"/>
        <w:rPr>
          <w:rFonts w:ascii="Verdana" w:eastAsia="Batang" w:hAnsi="Verdana" w:cs="Arial"/>
        </w:rPr>
      </w:pPr>
      <w:r>
        <w:rPr>
          <w:rFonts w:ascii="Verdana" w:eastAsia="Batang" w:hAnsi="Verdana" w:cs="Arial"/>
        </w:rPr>
        <w:t>En efecto</w:t>
      </w:r>
      <w:r w:rsidRPr="002379AA">
        <w:rPr>
          <w:rFonts w:ascii="Verdana" w:eastAsia="Batang" w:hAnsi="Verdana" w:cs="Arial"/>
        </w:rPr>
        <w:t xml:space="preserve">, la entidad, proponentes o contratista podrán acudir, en lo pertinente, a las reglas de interpretación </w:t>
      </w:r>
      <w:r w:rsidRPr="002379AA">
        <w:rPr>
          <w:rFonts w:ascii="Verdana" w:eastAsia="Batang" w:hAnsi="Verdana" w:cs="Arial"/>
          <w:lang w:val="es-MX"/>
        </w:rPr>
        <w:t>objetivas y subjetivas</w:t>
      </w:r>
      <w:r w:rsidRPr="002379AA">
        <w:rPr>
          <w:rFonts w:ascii="Verdana" w:eastAsia="Batang" w:hAnsi="Verdana" w:cs="Arial"/>
          <w:vertAlign w:val="superscript"/>
          <w:lang w:val="es-MX"/>
        </w:rPr>
        <w:footnoteReference w:id="17"/>
      </w:r>
      <w:r w:rsidRPr="002379AA">
        <w:rPr>
          <w:rFonts w:ascii="Verdana" w:eastAsia="Batang" w:hAnsi="Verdana" w:cs="Arial"/>
          <w:lang w:val="es-MX"/>
        </w:rPr>
        <w:t xml:space="preserve"> conforme a los artículos 1618 a 1624 del Código Civil. Por una parte, las </w:t>
      </w:r>
      <w:r w:rsidRPr="002379AA">
        <w:rPr>
          <w:rFonts w:ascii="Verdana" w:eastAsia="Batang" w:hAnsi="Verdana" w:cs="Arial"/>
          <w:i/>
          <w:iCs/>
          <w:lang w:val="es-MX"/>
        </w:rPr>
        <w:t>objetivas</w:t>
      </w:r>
      <w:r w:rsidRPr="002379AA">
        <w:rPr>
          <w:rFonts w:ascii="Verdana" w:eastAsia="Batang" w:hAnsi="Verdana" w:cs="Arial"/>
          <w:lang w:val="es-MX"/>
        </w:rPr>
        <w:t xml:space="preserve"> son las siguientes: i) una vez conocida la intención de los contratantes ha de estarse más a ella que a lo literal de las palabras (artículo 1618 del Código Civil); </w:t>
      </w:r>
      <w:proofErr w:type="spellStart"/>
      <w:r w:rsidRPr="002379AA">
        <w:rPr>
          <w:rFonts w:ascii="Verdana" w:eastAsia="Batang" w:hAnsi="Verdana" w:cs="Arial"/>
          <w:lang w:val="es-MX"/>
        </w:rPr>
        <w:t>ii</w:t>
      </w:r>
      <w:proofErr w:type="spellEnd"/>
      <w:r w:rsidRPr="002379AA">
        <w:rPr>
          <w:rFonts w:ascii="Verdana" w:eastAsia="Batang" w:hAnsi="Verdana" w:cs="Arial"/>
          <w:lang w:val="es-MX"/>
        </w:rPr>
        <w:t xml:space="preserve">) </w:t>
      </w:r>
      <w:r w:rsidRPr="002379AA">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r w:rsidRPr="002379AA">
        <w:rPr>
          <w:rFonts w:ascii="Verdana" w:eastAsia="Batang" w:hAnsi="Verdana" w:cs="Arial"/>
          <w:i/>
          <w:iCs/>
        </w:rPr>
        <w:t>ibídem</w:t>
      </w:r>
      <w:bookmarkStart w:id="5" w:name="_Hlk96265254"/>
      <w:r w:rsidRPr="002379AA">
        <w:rPr>
          <w:rFonts w:ascii="Verdana" w:eastAsia="Batang" w:hAnsi="Verdana" w:cs="Arial"/>
        </w:rPr>
        <w:t xml:space="preserve">); </w:t>
      </w:r>
      <w:proofErr w:type="spellStart"/>
      <w:r w:rsidRPr="002379AA">
        <w:rPr>
          <w:rFonts w:ascii="Verdana" w:eastAsia="Batang" w:hAnsi="Verdana" w:cs="Arial"/>
        </w:rPr>
        <w:t>iii</w:t>
      </w:r>
      <w:proofErr w:type="spellEnd"/>
      <w:r w:rsidRPr="002379AA">
        <w:rPr>
          <w:rFonts w:ascii="Verdana" w:eastAsia="Batang" w:hAnsi="Verdana" w:cs="Arial"/>
        </w:rPr>
        <w:t xml:space="preserve">) las cláusulas deben interpretarse unas por otras, dándole a cada una el sentido que más convenga al contrato en su totalidad (artículo 1622, inciso 1 </w:t>
      </w:r>
      <w:r w:rsidRPr="002379AA">
        <w:rPr>
          <w:rFonts w:ascii="Verdana" w:eastAsia="Batang" w:hAnsi="Verdana" w:cs="Arial"/>
          <w:i/>
          <w:iCs/>
        </w:rPr>
        <w:t>ibídem</w:t>
      </w:r>
      <w:r w:rsidRPr="002379AA">
        <w:rPr>
          <w:rFonts w:ascii="Verdana" w:eastAsia="Batang" w:hAnsi="Verdana" w:cs="Arial"/>
        </w:rPr>
        <w:t xml:space="preserve">); </w:t>
      </w:r>
      <w:proofErr w:type="spellStart"/>
      <w:r w:rsidRPr="002379AA">
        <w:rPr>
          <w:rFonts w:ascii="Verdana" w:eastAsia="Batang" w:hAnsi="Verdana" w:cs="Arial"/>
        </w:rPr>
        <w:t>iv</w:t>
      </w:r>
      <w:proofErr w:type="spellEnd"/>
      <w:r w:rsidRPr="002379AA">
        <w:rPr>
          <w:rFonts w:ascii="Verdana" w:eastAsia="Batang" w:hAnsi="Verdana" w:cs="Arial"/>
        </w:rPr>
        <w:t xml:space="preserve">) si en un contrato se expresa un caso para explicar la obligación se entiende que esa mención no es restrictiva sino ejemplificativa (artículo 1623 </w:t>
      </w:r>
      <w:r w:rsidRPr="002379AA">
        <w:rPr>
          <w:rFonts w:ascii="Verdana" w:eastAsia="Batang" w:hAnsi="Verdana" w:cs="Arial"/>
          <w:i/>
          <w:iCs/>
        </w:rPr>
        <w:t>ibídem</w:t>
      </w:r>
      <w:r w:rsidRPr="002379AA">
        <w:rPr>
          <w:rFonts w:ascii="Verdana" w:eastAsia="Batang" w:hAnsi="Verdana" w:cs="Arial"/>
        </w:rPr>
        <w:t xml:space="preserve">); y v) se entiende que </w:t>
      </w:r>
      <w:r w:rsidRPr="002379AA">
        <w:rPr>
          <w:rFonts w:ascii="Verdana" w:eastAsia="Batang" w:hAnsi="Verdana" w:cs="Arial"/>
        </w:rPr>
        <w:lastRenderedPageBreak/>
        <w:t xml:space="preserve">las expresiones generales contenidas en el negocio únicamente se aplican a la materia sobre la que se ha contratado (artículo 1619, inciso 2 </w:t>
      </w:r>
      <w:r w:rsidRPr="002379AA">
        <w:rPr>
          <w:rFonts w:ascii="Verdana" w:eastAsia="Batang" w:hAnsi="Verdana" w:cs="Arial"/>
          <w:i/>
          <w:iCs/>
        </w:rPr>
        <w:t>ibídem</w:t>
      </w:r>
      <w:r w:rsidRPr="002379AA">
        <w:rPr>
          <w:rFonts w:ascii="Verdana" w:eastAsia="Batang" w:hAnsi="Verdana" w:cs="Arial"/>
        </w:rPr>
        <w:t xml:space="preserve">). </w:t>
      </w:r>
    </w:p>
    <w:p w14:paraId="67576492" w14:textId="77777777" w:rsidR="005B66DB" w:rsidRDefault="005B66DB" w:rsidP="005B66DB">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Por su parte, las reglas </w:t>
      </w:r>
      <w:r w:rsidRPr="002379AA">
        <w:rPr>
          <w:rFonts w:ascii="Verdana" w:eastAsia="Batang" w:hAnsi="Verdana" w:cs="Arial"/>
          <w:i/>
          <w:iCs/>
        </w:rPr>
        <w:t>subjetivas</w:t>
      </w:r>
      <w:r w:rsidRPr="002379AA">
        <w:rPr>
          <w:rFonts w:ascii="Verdana" w:eastAsia="Batang" w:hAnsi="Verdana" w:cs="Arial"/>
        </w:rPr>
        <w:t xml:space="preserve"> de interpretación se refieren a las siguientes: vi) </w:t>
      </w:r>
      <w:r w:rsidRPr="002379AA">
        <w:rPr>
          <w:rFonts w:ascii="Verdana" w:eastAsia="Batang" w:hAnsi="Verdana" w:cs="Arial"/>
          <w:lang w:val="es-MX"/>
        </w:rPr>
        <w:t xml:space="preserve">el sentido en que una cláusula pueda producir algún efecto deberá preferirse a aquel en que no produzca efecto alguno </w:t>
      </w:r>
      <w:r w:rsidRPr="002379AA">
        <w:rPr>
          <w:rFonts w:ascii="Verdana" w:eastAsia="Batang" w:hAnsi="Verdana" w:cs="Arial"/>
        </w:rPr>
        <w:t xml:space="preserve">(artículo 1620 </w:t>
      </w:r>
      <w:r w:rsidRPr="002379AA">
        <w:rPr>
          <w:rFonts w:ascii="Verdana" w:eastAsia="Batang" w:hAnsi="Verdana" w:cs="Arial"/>
          <w:i/>
          <w:iCs/>
        </w:rPr>
        <w:t>ibídem</w:t>
      </w:r>
      <w:r w:rsidRPr="002379AA">
        <w:rPr>
          <w:rFonts w:ascii="Verdana" w:eastAsia="Batang" w:hAnsi="Verdana" w:cs="Arial"/>
        </w:rPr>
        <w:t xml:space="preserve">); </w:t>
      </w:r>
      <w:proofErr w:type="spellStart"/>
      <w:r w:rsidRPr="002379AA">
        <w:rPr>
          <w:rFonts w:ascii="Verdana" w:eastAsia="Batang" w:hAnsi="Verdana" w:cs="Arial"/>
        </w:rPr>
        <w:t>vii</w:t>
      </w:r>
      <w:proofErr w:type="spellEnd"/>
      <w:r w:rsidRPr="002379AA">
        <w:rPr>
          <w:rFonts w:ascii="Verdana" w:eastAsia="Batang" w:hAnsi="Verdana" w:cs="Arial"/>
        </w:rPr>
        <w:t>)</w:t>
      </w:r>
      <w:r w:rsidRPr="002379AA">
        <w:rPr>
          <w:rFonts w:ascii="Verdana" w:eastAsia="Batang" w:hAnsi="Verdana" w:cs="Arial"/>
          <w:lang w:val="es-MX"/>
        </w:rPr>
        <w:t xml:space="preserve"> deberá estarse a la interpretación que mejor cuadre con la naturaleza del contrato </w:t>
      </w:r>
      <w:r w:rsidRPr="002379AA">
        <w:rPr>
          <w:rFonts w:ascii="Verdana" w:eastAsia="Batang" w:hAnsi="Verdana" w:cs="Arial"/>
        </w:rPr>
        <w:t xml:space="preserve">(artículo 1621 </w:t>
      </w:r>
      <w:r w:rsidRPr="002379AA">
        <w:rPr>
          <w:rFonts w:ascii="Verdana" w:eastAsia="Batang" w:hAnsi="Verdana" w:cs="Arial"/>
          <w:i/>
          <w:iCs/>
        </w:rPr>
        <w:t>ibídem</w:t>
      </w:r>
      <w:r w:rsidRPr="002379AA">
        <w:rPr>
          <w:rFonts w:ascii="Verdana" w:eastAsia="Batang" w:hAnsi="Verdana" w:cs="Arial"/>
        </w:rPr>
        <w:t>)</w:t>
      </w:r>
      <w:r w:rsidRPr="002379AA">
        <w:rPr>
          <w:rFonts w:ascii="Verdana" w:eastAsia="Batang" w:hAnsi="Verdana" w:cs="Arial"/>
          <w:lang w:val="es-MX"/>
        </w:rPr>
        <w:t xml:space="preserve">; </w:t>
      </w:r>
      <w:proofErr w:type="spellStart"/>
      <w:r w:rsidRPr="002379AA">
        <w:rPr>
          <w:rFonts w:ascii="Verdana" w:eastAsia="Batang" w:hAnsi="Verdana" w:cs="Arial"/>
          <w:lang w:val="es-MX"/>
        </w:rPr>
        <w:t>viii</w:t>
      </w:r>
      <w:proofErr w:type="spellEnd"/>
      <w:r w:rsidRPr="002379AA">
        <w:rPr>
          <w:rFonts w:ascii="Verdana" w:eastAsia="Batang" w:hAnsi="Verdana" w:cs="Arial"/>
          <w:lang w:val="es-MX"/>
        </w:rPr>
        <w:t xml:space="preserve">) las cláusulas ambiguas se interpretan a favor del deudor </w:t>
      </w:r>
      <w:r w:rsidRPr="002379AA">
        <w:rPr>
          <w:rFonts w:ascii="Verdana" w:eastAsia="Batang" w:hAnsi="Verdana" w:cs="Arial"/>
        </w:rPr>
        <w:t xml:space="preserve">(artículo 1624, inciso 1 ibídem); y </w:t>
      </w:r>
      <w:proofErr w:type="spellStart"/>
      <w:r w:rsidRPr="002379AA">
        <w:rPr>
          <w:rFonts w:ascii="Verdana" w:eastAsia="Batang" w:hAnsi="Verdana" w:cs="Arial"/>
        </w:rPr>
        <w:t>ix</w:t>
      </w:r>
      <w:proofErr w:type="spellEnd"/>
      <w:r w:rsidRPr="002379AA">
        <w:rPr>
          <w:rFonts w:ascii="Verdana" w:eastAsia="Batang" w:hAnsi="Verdana" w:cs="Arial"/>
          <w:i/>
          <w:iCs/>
        </w:rPr>
        <w:t>)</w:t>
      </w:r>
      <w:r w:rsidRPr="002379AA">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2379AA">
        <w:rPr>
          <w:rFonts w:ascii="Verdana" w:eastAsia="Batang" w:hAnsi="Verdana" w:cs="Arial"/>
          <w:lang w:val="es-MX"/>
        </w:rPr>
        <w:t xml:space="preserve"> </w:t>
      </w:r>
      <w:r w:rsidRPr="002379AA">
        <w:rPr>
          <w:rFonts w:ascii="Verdana" w:eastAsia="Batang" w:hAnsi="Verdana" w:cs="Arial"/>
        </w:rPr>
        <w:t xml:space="preserve">(artículo 1624, inciso 2 </w:t>
      </w:r>
      <w:r w:rsidRPr="002379AA">
        <w:rPr>
          <w:rFonts w:ascii="Verdana" w:eastAsia="Batang" w:hAnsi="Verdana" w:cs="Arial"/>
          <w:i/>
          <w:iCs/>
        </w:rPr>
        <w:t>ibídem</w:t>
      </w:r>
      <w:r w:rsidRPr="002379AA">
        <w:rPr>
          <w:rFonts w:ascii="Verdana" w:eastAsia="Batang" w:hAnsi="Verdana" w:cs="Arial"/>
        </w:rPr>
        <w:t>)</w:t>
      </w:r>
      <w:r w:rsidRPr="002379AA">
        <w:rPr>
          <w:rFonts w:ascii="Verdana" w:eastAsia="Batang" w:hAnsi="Verdana" w:cs="Arial"/>
          <w:lang w:val="es-MX"/>
        </w:rPr>
        <w:t xml:space="preserve">. </w:t>
      </w:r>
      <w:bookmarkEnd w:id="5"/>
    </w:p>
    <w:p w14:paraId="1EBA2F53" w14:textId="77777777" w:rsidR="005B66DB" w:rsidRDefault="005B66DB" w:rsidP="005B66DB">
      <w:pPr>
        <w:spacing w:after="120" w:line="276" w:lineRule="auto"/>
        <w:ind w:firstLine="708"/>
        <w:jc w:val="both"/>
        <w:rPr>
          <w:rFonts w:ascii="Verdana" w:eastAsia="Batang" w:hAnsi="Verdana" w:cs="Arial"/>
          <w:lang w:val="es-MX"/>
        </w:rPr>
      </w:pPr>
      <w:r>
        <w:rPr>
          <w:rFonts w:ascii="Verdana" w:eastAsia="Batang" w:hAnsi="Verdana" w:cs="Arial"/>
        </w:rPr>
        <w:t>Ahora bien</w:t>
      </w:r>
      <w:r w:rsidRPr="002379AA">
        <w:rPr>
          <w:rFonts w:ascii="Verdana" w:eastAsia="Batang" w:hAnsi="Verdana" w:cs="Arial"/>
        </w:rPr>
        <w:t xml:space="preserve">, </w:t>
      </w:r>
      <w:bookmarkStart w:id="6" w:name="_Hlk96265891"/>
      <w:r w:rsidRPr="002379AA">
        <w:rPr>
          <w:rFonts w:ascii="Verdana" w:eastAsia="Batang" w:hAnsi="Verdana" w:cs="Arial"/>
        </w:rPr>
        <w:t xml:space="preserve">la aplicación de estos criterios siempre deberá tener en cuenta las circunstancias concretas de cada caso en particular, de manera que la entidad pueda optar por la interpretación que más se adecúe a la finalidad que persigue con el documento y sus anexos. </w:t>
      </w:r>
      <w:r w:rsidRPr="002379AA">
        <w:rPr>
          <w:rFonts w:ascii="Verdana" w:eastAsia="Batang" w:hAnsi="Verdana"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2379AA">
        <w:rPr>
          <w:rFonts w:ascii="Verdana" w:eastAsia="Batang" w:hAnsi="Verdana" w:cs="Arial"/>
          <w:i/>
          <w:iCs/>
          <w:lang w:val="es-MX"/>
        </w:rPr>
        <w:t xml:space="preserve">ex ante </w:t>
      </w:r>
      <w:r w:rsidRPr="002379AA">
        <w:rPr>
          <w:rFonts w:ascii="Verdana" w:eastAsia="Batang" w:hAnsi="Verdana" w:cs="Arial"/>
          <w:lang w:val="es-MX"/>
        </w:rPr>
        <w:t>la validez o prevalencia jurídica de los documentos contractuales, pues estos deben valorarse integralmente, de acuerdo con las reglas anteriormente expuestas</w:t>
      </w:r>
      <w:bookmarkEnd w:id="6"/>
      <w:r w:rsidRPr="002379AA">
        <w:rPr>
          <w:rFonts w:ascii="Verdana" w:eastAsia="Batang" w:hAnsi="Verdana" w:cs="Arial"/>
          <w:lang w:val="es-MX"/>
        </w:rPr>
        <w:t xml:space="preserve"> </w:t>
      </w:r>
      <w:r w:rsidRPr="002379AA">
        <w:rPr>
          <w:rFonts w:ascii="Verdana" w:eastAsia="Calibri" w:hAnsi="Verdana" w:cs="Arial"/>
          <w:lang w:val="es-MX"/>
        </w:rPr>
        <w:t>y atendiendo a las circunstancias adicionales de cada proceso</w:t>
      </w:r>
      <w:r w:rsidRPr="002379AA">
        <w:rPr>
          <w:rFonts w:ascii="Verdana" w:eastAsia="Batang" w:hAnsi="Verdana" w:cs="Arial"/>
          <w:vertAlign w:val="superscript"/>
          <w:lang w:val="es-MX"/>
        </w:rPr>
        <w:footnoteReference w:id="18"/>
      </w:r>
      <w:r w:rsidRPr="002379AA">
        <w:rPr>
          <w:rFonts w:ascii="Verdana" w:eastAsia="Batang" w:hAnsi="Verdana" w:cs="Arial"/>
          <w:lang w:val="es-MX"/>
        </w:rPr>
        <w:t>.</w:t>
      </w:r>
    </w:p>
    <w:p w14:paraId="67B64769" w14:textId="77777777" w:rsidR="005B66DB" w:rsidRDefault="005B66DB" w:rsidP="005B66DB">
      <w:pPr>
        <w:spacing w:after="120" w:line="276" w:lineRule="auto"/>
        <w:ind w:firstLine="708"/>
        <w:jc w:val="both"/>
        <w:rPr>
          <w:rFonts w:ascii="Verdana" w:eastAsia="Batang" w:hAnsi="Verdana" w:cs="Arial"/>
        </w:rPr>
      </w:pPr>
      <w:r>
        <w:rPr>
          <w:rFonts w:ascii="Verdana" w:eastAsia="Batang" w:hAnsi="Verdana" w:cs="Arial"/>
        </w:rPr>
        <w:t xml:space="preserve">Finalmente, debe señalarse que, </w:t>
      </w:r>
      <w:r w:rsidRPr="002379AA">
        <w:rPr>
          <w:rFonts w:ascii="Verdana" w:eastAsia="Calibri" w:hAnsi="Verdana" w:cs="Arial"/>
          <w:lang w:val="es-MX"/>
        </w:rPr>
        <w:t>ante una contradicción entre la información contemplada en</w:t>
      </w:r>
      <w:r w:rsidRPr="002379AA">
        <w:rPr>
          <w:rFonts w:ascii="Verdana" w:eastAsia="Calibri" w:hAnsi="Verdana" w:cs="Arial"/>
          <w:color w:val="000000"/>
          <w:lang w:val="es-ES" w:bidi="es-ES"/>
        </w:rPr>
        <w:t xml:space="preserve"> </w:t>
      </w:r>
      <w:r w:rsidRPr="002379AA">
        <w:rPr>
          <w:rFonts w:ascii="Verdana" w:eastAsia="Calibri" w:hAnsi="Verdana" w:cs="Arial"/>
          <w:color w:val="000000"/>
          <w:lang w:val="es-MX"/>
        </w:rPr>
        <w:t>alguno de los formatos que integran los documentos del proceso</w:t>
      </w:r>
      <w:r>
        <w:rPr>
          <w:rFonts w:ascii="Verdana" w:eastAsia="Calibri" w:hAnsi="Verdana" w:cs="Arial"/>
          <w:lang w:val="es-MX"/>
        </w:rPr>
        <w:t xml:space="preserve">, </w:t>
      </w:r>
      <w:r w:rsidRPr="002379AA">
        <w:rPr>
          <w:rFonts w:ascii="Verdana" w:eastAsia="Calibri" w:hAnsi="Verdana" w:cs="Arial"/>
          <w:lang w:val="es-MX"/>
        </w:rPr>
        <w:t>la información contenida en el respectivo pliego de condiciones</w:t>
      </w:r>
      <w:r>
        <w:rPr>
          <w:rFonts w:ascii="Verdana" w:eastAsia="Calibri" w:hAnsi="Verdana" w:cs="Arial"/>
          <w:lang w:val="es-MX"/>
        </w:rPr>
        <w:t xml:space="preserve"> o en la minuta contractual</w:t>
      </w:r>
      <w:r w:rsidRPr="002379AA">
        <w:rPr>
          <w:rFonts w:ascii="Verdana" w:eastAsia="Calibri" w:hAnsi="Verdana" w:cs="Arial"/>
          <w:lang w:val="es-MX"/>
        </w:rPr>
        <w:t xml:space="preserve">, se </w:t>
      </w:r>
      <w:r>
        <w:rPr>
          <w:rFonts w:ascii="Verdana" w:eastAsia="Calibri" w:hAnsi="Verdana" w:cs="Arial"/>
          <w:lang w:val="es-MX"/>
        </w:rPr>
        <w:t xml:space="preserve">deberán </w:t>
      </w:r>
      <w:r w:rsidRPr="002379AA">
        <w:rPr>
          <w:rFonts w:ascii="Verdana" w:eastAsia="Calibri" w:hAnsi="Verdana" w:cs="Arial"/>
          <w:lang w:val="es-MX"/>
        </w:rPr>
        <w:t>analizar las circunstancias en concreto de cara a los principios de la contratación estatal</w:t>
      </w:r>
      <w:r>
        <w:rPr>
          <w:rFonts w:ascii="Verdana" w:eastAsia="Calibri" w:hAnsi="Verdana" w:cs="Arial"/>
          <w:lang w:val="es-MX"/>
        </w:rPr>
        <w:t xml:space="preserve"> y a las reglas de interpretación de los contratos. D</w:t>
      </w:r>
      <w:r w:rsidRPr="002379AA">
        <w:rPr>
          <w:rFonts w:ascii="Verdana" w:eastAsia="Calibri" w:hAnsi="Verdana" w:cs="Arial"/>
          <w:lang w:val="es-MX"/>
        </w:rPr>
        <w:t xml:space="preserve">e manera que la entidad adoptará la decisión que más se ajuste a la finalidad del proceso de contratación, resaltando que aquellas disposiciones o situaciones </w:t>
      </w:r>
      <w:r w:rsidRPr="002379AA">
        <w:rPr>
          <w:rFonts w:ascii="Verdana" w:eastAsia="Batang" w:hAnsi="Verdana" w:cs="Arial"/>
        </w:rPr>
        <w:t xml:space="preserve">oscuras que hayan sido extendidas o dictadas por una parte se interpretarán contra ella si la ambigüedad proviene de una explicación que ésta ha debido dar de conformidad con el artículo 1624 del Código Civil, en ese sentido, dichas contradicciones o ambigüedades no pueden afectar a los proponentes o contratistas en el ejercicio de sus derechos. </w:t>
      </w:r>
    </w:p>
    <w:p w14:paraId="56DE7331" w14:textId="77777777" w:rsidR="005B66DB" w:rsidRPr="00305AB1" w:rsidRDefault="005B66DB" w:rsidP="005B66DB">
      <w:pPr>
        <w:spacing w:after="0" w:line="276" w:lineRule="auto"/>
        <w:ind w:firstLine="708"/>
        <w:jc w:val="both"/>
        <w:rPr>
          <w:rFonts w:ascii="Verdana" w:eastAsia="Arial" w:hAnsi="Verdana" w:cs="Arial"/>
        </w:rPr>
      </w:pPr>
      <w:r>
        <w:rPr>
          <w:rFonts w:ascii="Verdana" w:eastAsia="Batang" w:hAnsi="Verdana" w:cs="Arial"/>
        </w:rPr>
        <w:lastRenderedPageBreak/>
        <w:t xml:space="preserve">Lo anterior, en concordancia con </w:t>
      </w:r>
      <w:r w:rsidRPr="00727DD6">
        <w:rPr>
          <w:rFonts w:ascii="Verdana" w:hAnsi="Verdana" w:cs="Arial"/>
        </w:rPr>
        <w:t>el principio constitucional</w:t>
      </w:r>
      <w:r>
        <w:rPr>
          <w:rFonts w:ascii="Verdana" w:hAnsi="Verdana" w:cs="Arial"/>
        </w:rPr>
        <w:t xml:space="preserve"> de prevalencia del derecho sustancial sobre las formas. Al respecto</w:t>
      </w:r>
      <w:r w:rsidRPr="00727DD6">
        <w:rPr>
          <w:rFonts w:ascii="Verdana" w:hAnsi="Verdana" w:cs="Arial"/>
        </w:rPr>
        <w:t>, la Corte Constitucional ha señalado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4A52F0">
        <w:rPr>
          <w:rStyle w:val="Refdenotaalpie"/>
          <w:rFonts w:ascii="Verdana" w:hAnsi="Verdana" w:cs="Arial"/>
        </w:rPr>
        <w:footnoteReference w:id="19"/>
      </w:r>
      <w:r w:rsidRPr="00727DD6">
        <w:rPr>
          <w:rFonts w:ascii="Verdana" w:hAnsi="Verdana" w:cs="Arial"/>
        </w:rPr>
        <w:t>. 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14:paraId="2EF5F5CB" w14:textId="77777777" w:rsidR="005B66DB" w:rsidRPr="00593A5F" w:rsidRDefault="005B66DB" w:rsidP="005B66DB">
      <w:pPr>
        <w:widowControl w:val="0"/>
        <w:autoSpaceDE w:val="0"/>
        <w:autoSpaceDN w:val="0"/>
        <w:spacing w:after="0" w:line="276" w:lineRule="auto"/>
        <w:jc w:val="both"/>
        <w:rPr>
          <w:rFonts w:ascii="Verdana" w:hAnsi="Verdana" w:cs="Arial"/>
        </w:rPr>
      </w:pPr>
    </w:p>
    <w:p w14:paraId="2CE3422A" w14:textId="77777777" w:rsidR="005B66DB" w:rsidRPr="00593A5F" w:rsidRDefault="005B66DB" w:rsidP="005B66DB">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56E21CC" w14:textId="77777777" w:rsidR="005B66DB" w:rsidRPr="00593A5F" w:rsidRDefault="005B66DB" w:rsidP="005B66D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B66DB" w:rsidRPr="00593A5F" w14:paraId="5CBD7F74" w14:textId="77777777" w:rsidTr="00B75C03">
        <w:trPr>
          <w:trHeight w:val="870"/>
        </w:trPr>
        <w:tc>
          <w:tcPr>
            <w:tcW w:w="8647" w:type="dxa"/>
          </w:tcPr>
          <w:p w14:paraId="0D134F1A" w14:textId="77777777" w:rsidR="005B66DB" w:rsidRDefault="005B66DB" w:rsidP="005B66DB">
            <w:pPr>
              <w:pStyle w:val="Prrafodelista"/>
              <w:widowControl w:val="0"/>
              <w:numPr>
                <w:ilvl w:val="0"/>
                <w:numId w:val="1"/>
              </w:numPr>
              <w:autoSpaceDE w:val="0"/>
              <w:autoSpaceDN w:val="0"/>
              <w:spacing w:line="276" w:lineRule="auto"/>
              <w:ind w:left="714" w:hanging="357"/>
              <w:contextualSpacing w:val="0"/>
              <w:jc w:val="both"/>
              <w:rPr>
                <w:rFonts w:ascii="Verdana" w:hAnsi="Verdana" w:cs="Arial"/>
                <w:noProof/>
              </w:rPr>
            </w:pPr>
            <w:proofErr w:type="spellStart"/>
            <w:r w:rsidRPr="00052501">
              <w:rPr>
                <w:rFonts w:ascii="Verdana" w:hAnsi="Verdana" w:cs="Arial"/>
              </w:rPr>
              <w:t>Constitucion</w:t>
            </w:r>
            <w:proofErr w:type="spellEnd"/>
            <w:r>
              <w:rPr>
                <w:rFonts w:ascii="Verdana" w:hAnsi="Verdana" w:cs="Arial"/>
                <w:noProof/>
              </w:rPr>
              <w:t xml:space="preserve"> Politica de Colombia: Artículo 228.</w:t>
            </w:r>
          </w:p>
          <w:p w14:paraId="38CE5091" w14:textId="77777777" w:rsidR="005B66DB" w:rsidRPr="00052501" w:rsidRDefault="005B66DB" w:rsidP="005B66DB">
            <w:pPr>
              <w:pStyle w:val="Prrafodelista"/>
              <w:widowControl w:val="0"/>
              <w:numPr>
                <w:ilvl w:val="0"/>
                <w:numId w:val="1"/>
              </w:numPr>
              <w:autoSpaceDE w:val="0"/>
              <w:autoSpaceDN w:val="0"/>
              <w:spacing w:line="276" w:lineRule="auto"/>
              <w:ind w:left="714" w:hanging="357"/>
              <w:contextualSpacing w:val="0"/>
              <w:jc w:val="both"/>
              <w:rPr>
                <w:rFonts w:ascii="Verdana" w:hAnsi="Verdana" w:cs="Arial"/>
              </w:rPr>
            </w:pPr>
            <w:r w:rsidRPr="00052501">
              <w:rPr>
                <w:rFonts w:ascii="Verdana" w:hAnsi="Verdana" w:cs="Arial"/>
                <w:noProof/>
              </w:rPr>
              <w:t>Código Civil: Artículos 1618 a 1624.</w:t>
            </w:r>
          </w:p>
          <w:p w14:paraId="5DF5A663" w14:textId="77777777" w:rsidR="005B66DB" w:rsidRDefault="005B66DB" w:rsidP="005B66DB">
            <w:pPr>
              <w:pStyle w:val="Prrafodelista"/>
              <w:widowControl w:val="0"/>
              <w:numPr>
                <w:ilvl w:val="0"/>
                <w:numId w:val="1"/>
              </w:numPr>
              <w:autoSpaceDE w:val="0"/>
              <w:autoSpaceDN w:val="0"/>
              <w:spacing w:line="276" w:lineRule="auto"/>
              <w:ind w:left="714" w:hanging="357"/>
              <w:contextualSpacing w:val="0"/>
              <w:jc w:val="both"/>
              <w:rPr>
                <w:rFonts w:ascii="Verdana" w:hAnsi="Verdana" w:cs="Arial"/>
              </w:rPr>
            </w:pPr>
            <w:r>
              <w:rPr>
                <w:rFonts w:ascii="Verdana" w:hAnsi="Verdana" w:cs="Arial"/>
              </w:rPr>
              <w:t>Ley 80 de 1993, artículos 25, numeral 2.</w:t>
            </w:r>
          </w:p>
          <w:p w14:paraId="33FD0A65" w14:textId="77777777" w:rsidR="005B66DB" w:rsidRDefault="005B66DB" w:rsidP="005B66DB">
            <w:pPr>
              <w:pStyle w:val="Prrafodelista"/>
              <w:widowControl w:val="0"/>
              <w:numPr>
                <w:ilvl w:val="0"/>
                <w:numId w:val="1"/>
              </w:numPr>
              <w:autoSpaceDE w:val="0"/>
              <w:autoSpaceDN w:val="0"/>
              <w:spacing w:line="276" w:lineRule="auto"/>
              <w:ind w:left="714" w:hanging="357"/>
              <w:contextualSpacing w:val="0"/>
              <w:jc w:val="both"/>
              <w:rPr>
                <w:rFonts w:ascii="Verdana" w:hAnsi="Verdana" w:cs="Arial"/>
              </w:rPr>
            </w:pPr>
            <w:r w:rsidRPr="009B3C96">
              <w:rPr>
                <w:rFonts w:ascii="Verdana" w:hAnsi="Verdana" w:cs="Arial"/>
              </w:rPr>
              <w:t>Ley 1150 de 2007</w:t>
            </w:r>
            <w:r>
              <w:rPr>
                <w:rFonts w:ascii="Verdana" w:hAnsi="Verdana" w:cs="Arial"/>
              </w:rPr>
              <w:t xml:space="preserve">, artículo 5.   </w:t>
            </w:r>
          </w:p>
          <w:p w14:paraId="0D8483C9" w14:textId="77777777" w:rsidR="005B66DB" w:rsidRDefault="005B66DB" w:rsidP="005B66DB">
            <w:pPr>
              <w:pStyle w:val="Prrafodelista"/>
              <w:widowControl w:val="0"/>
              <w:numPr>
                <w:ilvl w:val="0"/>
                <w:numId w:val="1"/>
              </w:numPr>
              <w:autoSpaceDE w:val="0"/>
              <w:autoSpaceDN w:val="0"/>
              <w:spacing w:line="276" w:lineRule="auto"/>
              <w:ind w:left="714" w:hanging="357"/>
              <w:contextualSpacing w:val="0"/>
              <w:jc w:val="both"/>
              <w:rPr>
                <w:rFonts w:ascii="Verdana" w:hAnsi="Verdana" w:cs="Arial"/>
              </w:rPr>
            </w:pPr>
            <w:r w:rsidRPr="009B3C96">
              <w:rPr>
                <w:rFonts w:ascii="Verdana" w:hAnsi="Verdana" w:cs="Arial"/>
              </w:rPr>
              <w:t>Ley 2069 de 202</w:t>
            </w:r>
            <w:r>
              <w:rPr>
                <w:rFonts w:ascii="Verdana" w:hAnsi="Verdana" w:cs="Arial"/>
              </w:rPr>
              <w:t>0, a</w:t>
            </w:r>
            <w:r w:rsidRPr="009B3C96">
              <w:rPr>
                <w:rFonts w:ascii="Verdana" w:hAnsi="Verdana" w:cs="Arial"/>
              </w:rPr>
              <w:t>rt</w:t>
            </w:r>
            <w:r>
              <w:rPr>
                <w:rFonts w:ascii="Verdana" w:hAnsi="Verdana" w:cs="Arial"/>
              </w:rPr>
              <w:t>í</w:t>
            </w:r>
            <w:r w:rsidRPr="009B3C96">
              <w:rPr>
                <w:rFonts w:ascii="Verdana" w:hAnsi="Verdana" w:cs="Arial"/>
              </w:rPr>
              <w:t>culo 32</w:t>
            </w:r>
            <w:r>
              <w:rPr>
                <w:rFonts w:ascii="Verdana" w:hAnsi="Verdana" w:cs="Arial"/>
              </w:rPr>
              <w:t>.</w:t>
            </w:r>
          </w:p>
          <w:p w14:paraId="2FC06740" w14:textId="77777777" w:rsidR="005B66DB" w:rsidRDefault="005B66DB" w:rsidP="005B66DB">
            <w:pPr>
              <w:pStyle w:val="Prrafodelista"/>
              <w:widowControl w:val="0"/>
              <w:numPr>
                <w:ilvl w:val="0"/>
                <w:numId w:val="1"/>
              </w:numPr>
              <w:autoSpaceDE w:val="0"/>
              <w:autoSpaceDN w:val="0"/>
              <w:spacing w:line="276" w:lineRule="auto"/>
              <w:ind w:left="714" w:hanging="357"/>
              <w:contextualSpacing w:val="0"/>
              <w:jc w:val="both"/>
              <w:rPr>
                <w:rFonts w:ascii="Verdana" w:hAnsi="Verdana" w:cs="Arial"/>
              </w:rPr>
            </w:pPr>
            <w:r w:rsidRPr="009B3C96">
              <w:rPr>
                <w:rFonts w:ascii="Verdana" w:hAnsi="Verdana" w:cs="Arial"/>
              </w:rPr>
              <w:t>Decreto 1082 de 2015</w:t>
            </w:r>
            <w:r>
              <w:rPr>
                <w:rFonts w:ascii="Verdana" w:hAnsi="Verdana" w:cs="Arial"/>
              </w:rPr>
              <w:t>, a</w:t>
            </w:r>
            <w:r w:rsidRPr="009B3C96">
              <w:rPr>
                <w:rFonts w:ascii="Verdana" w:hAnsi="Verdana" w:cs="Arial"/>
              </w:rPr>
              <w:t xml:space="preserve">rtículos </w:t>
            </w:r>
            <w:r w:rsidRPr="006A74CA">
              <w:rPr>
                <w:rFonts w:ascii="Verdana" w:eastAsia="Calibri" w:hAnsi="Verdana"/>
              </w:rPr>
              <w:t xml:space="preserve">2.2.1.1.1.6.2, </w:t>
            </w:r>
            <w:r w:rsidRPr="009B3C96">
              <w:rPr>
                <w:rFonts w:ascii="Verdana" w:hAnsi="Verdana" w:cs="Arial"/>
              </w:rPr>
              <w:t>2.2.1.1.2.1.1</w:t>
            </w:r>
            <w:r>
              <w:rPr>
                <w:rFonts w:ascii="Verdana" w:hAnsi="Verdana" w:cs="Arial"/>
              </w:rPr>
              <w:t xml:space="preserve">, </w:t>
            </w:r>
            <w:r w:rsidRPr="009B3C96">
              <w:rPr>
                <w:rFonts w:ascii="Verdana" w:hAnsi="Verdana" w:cs="Arial"/>
              </w:rPr>
              <w:t xml:space="preserve">2.2.1.1.2.1.3 </w:t>
            </w:r>
            <w:r>
              <w:rPr>
                <w:rFonts w:ascii="Verdana" w:hAnsi="Verdana" w:cs="Arial"/>
              </w:rPr>
              <w:t>y</w:t>
            </w:r>
            <w:r w:rsidRPr="009B3C96">
              <w:rPr>
                <w:rFonts w:ascii="Verdana" w:hAnsi="Verdana" w:cs="Arial"/>
              </w:rPr>
              <w:t xml:space="preserve"> 2.2.1.2.4.2.15</w:t>
            </w:r>
            <w:r>
              <w:rPr>
                <w:rFonts w:ascii="Verdana" w:hAnsi="Verdana" w:cs="Arial"/>
              </w:rPr>
              <w:t>.</w:t>
            </w:r>
          </w:p>
          <w:p w14:paraId="0345C2B1" w14:textId="77777777" w:rsidR="005B66DB" w:rsidRDefault="005B66DB" w:rsidP="005B66DB">
            <w:pPr>
              <w:pStyle w:val="Prrafodelista"/>
              <w:widowControl w:val="0"/>
              <w:numPr>
                <w:ilvl w:val="0"/>
                <w:numId w:val="1"/>
              </w:numPr>
              <w:autoSpaceDE w:val="0"/>
              <w:autoSpaceDN w:val="0"/>
              <w:spacing w:line="276" w:lineRule="auto"/>
              <w:ind w:left="714" w:hanging="357"/>
              <w:contextualSpacing w:val="0"/>
              <w:jc w:val="both"/>
              <w:rPr>
                <w:rFonts w:ascii="Verdana" w:hAnsi="Verdana" w:cs="Arial"/>
              </w:rPr>
            </w:pPr>
            <w:r w:rsidRPr="009B3C96">
              <w:rPr>
                <w:rFonts w:ascii="Verdana" w:hAnsi="Verdana" w:cs="Arial"/>
              </w:rPr>
              <w:t>Decreto 1860 de 2021</w:t>
            </w:r>
            <w:r>
              <w:rPr>
                <w:rFonts w:ascii="Verdana" w:hAnsi="Verdana" w:cs="Arial"/>
              </w:rPr>
              <w:t xml:space="preserve">, artículo 3. </w:t>
            </w:r>
          </w:p>
          <w:p w14:paraId="264ABBDF" w14:textId="77777777" w:rsidR="005B66DB" w:rsidRPr="00BD23AC" w:rsidRDefault="005B66DB" w:rsidP="005B66DB">
            <w:pPr>
              <w:pStyle w:val="Textonotapie"/>
              <w:numPr>
                <w:ilvl w:val="0"/>
                <w:numId w:val="1"/>
              </w:numPr>
              <w:jc w:val="both"/>
              <w:rPr>
                <w:rFonts w:ascii="Verdana" w:hAnsi="Verdana"/>
              </w:rPr>
            </w:pPr>
            <w:r w:rsidRPr="00BD23AC">
              <w:rPr>
                <w:rFonts w:ascii="Verdana" w:hAnsi="Verdana" w:cs="Arial"/>
                <w:color w:val="000000" w:themeColor="text1"/>
                <w:sz w:val="22"/>
                <w:szCs w:val="22"/>
                <w:lang w:val="pt-BR"/>
              </w:rPr>
              <w:t xml:space="preserve">CORTE CONSTITUCIONAL. Sentencia C-128 de 2003. </w:t>
            </w:r>
            <w:r w:rsidRPr="00BD23AC">
              <w:rPr>
                <w:rFonts w:ascii="Verdana" w:hAnsi="Verdana" w:cs="Arial"/>
                <w:color w:val="000000" w:themeColor="text1"/>
                <w:sz w:val="22"/>
                <w:szCs w:val="22"/>
              </w:rPr>
              <w:t>M.P. Álvaro Tafur Galvis.</w:t>
            </w:r>
          </w:p>
          <w:p w14:paraId="1C161D01" w14:textId="77777777" w:rsidR="005B66DB" w:rsidRPr="00BD23AC" w:rsidRDefault="005B66DB" w:rsidP="005B66DB">
            <w:pPr>
              <w:pStyle w:val="Prrafodelista"/>
              <w:numPr>
                <w:ilvl w:val="0"/>
                <w:numId w:val="1"/>
              </w:numPr>
              <w:jc w:val="both"/>
              <w:rPr>
                <w:rFonts w:ascii="Verdana" w:hAnsi="Verdana"/>
              </w:rPr>
            </w:pPr>
            <w:r w:rsidRPr="00BD23AC">
              <w:rPr>
                <w:rFonts w:ascii="Verdana" w:hAnsi="Verdana"/>
              </w:rPr>
              <w:t xml:space="preserve">CONSEJO DE ESTADO, Sección Tercera, Sentencia del 3 de mayo de 1999, </w:t>
            </w:r>
            <w:proofErr w:type="spellStart"/>
            <w:r w:rsidRPr="00BD23AC">
              <w:rPr>
                <w:rFonts w:ascii="Verdana" w:hAnsi="Verdana"/>
              </w:rPr>
              <w:t>Exp</w:t>
            </w:r>
            <w:proofErr w:type="spellEnd"/>
            <w:r w:rsidRPr="00BD23AC">
              <w:rPr>
                <w:rFonts w:ascii="Verdana" w:hAnsi="Verdana"/>
              </w:rPr>
              <w:t>. No. 12344, C.P. Daniel Suarez Hernández.</w:t>
            </w:r>
          </w:p>
          <w:p w14:paraId="17636251" w14:textId="77777777" w:rsidR="005B66DB" w:rsidRPr="00BD23AC" w:rsidRDefault="005B66DB" w:rsidP="005B66DB">
            <w:pPr>
              <w:pStyle w:val="Textonotapie"/>
              <w:numPr>
                <w:ilvl w:val="0"/>
                <w:numId w:val="1"/>
              </w:numPr>
              <w:jc w:val="both"/>
              <w:rPr>
                <w:rFonts w:ascii="Verdana" w:hAnsi="Verdana" w:cs="Arial"/>
                <w:sz w:val="22"/>
                <w:szCs w:val="22"/>
                <w:lang w:val="es-CO"/>
              </w:rPr>
            </w:pPr>
            <w:r w:rsidRPr="00BD23AC">
              <w:rPr>
                <w:rFonts w:ascii="Verdana" w:hAnsi="Verdana"/>
                <w:sz w:val="22"/>
                <w:szCs w:val="22"/>
              </w:rPr>
              <w:t xml:space="preserve">CONSEJO DE ESTADO, Sección Tercera, Sentencia del 29 de enero de 2004, C.P. Alier Eduardo Hernández Enríquez, </w:t>
            </w:r>
            <w:proofErr w:type="spellStart"/>
            <w:r w:rsidRPr="00BD23AC">
              <w:rPr>
                <w:rFonts w:ascii="Verdana" w:hAnsi="Verdana"/>
                <w:sz w:val="22"/>
                <w:szCs w:val="22"/>
              </w:rPr>
              <w:t>Exp</w:t>
            </w:r>
            <w:proofErr w:type="spellEnd"/>
            <w:r w:rsidRPr="00BD23AC">
              <w:rPr>
                <w:rFonts w:ascii="Verdana" w:hAnsi="Verdana"/>
                <w:sz w:val="22"/>
                <w:szCs w:val="22"/>
              </w:rPr>
              <w:t>. No. 10.779.</w:t>
            </w:r>
          </w:p>
          <w:p w14:paraId="5ABF84AE" w14:textId="77777777" w:rsidR="005B66DB" w:rsidRPr="00BD23AC" w:rsidRDefault="005B66DB" w:rsidP="005B66DB">
            <w:pPr>
              <w:pStyle w:val="Textonotapie"/>
              <w:numPr>
                <w:ilvl w:val="0"/>
                <w:numId w:val="1"/>
              </w:numPr>
              <w:jc w:val="both"/>
              <w:rPr>
                <w:rFonts w:ascii="Verdana" w:hAnsi="Verdana" w:cs="Arial"/>
                <w:sz w:val="22"/>
                <w:szCs w:val="22"/>
              </w:rPr>
            </w:pPr>
            <w:r w:rsidRPr="00BD23AC">
              <w:rPr>
                <w:rFonts w:ascii="Verdana" w:hAnsi="Verdana" w:cs="Arial"/>
                <w:sz w:val="22"/>
                <w:szCs w:val="22"/>
              </w:rPr>
              <w:t xml:space="preserve">CONSEJO DE ESTADO. Sección Tercera. Sentencia de 30 de noviembre de 2006. </w:t>
            </w:r>
            <w:proofErr w:type="spellStart"/>
            <w:r w:rsidRPr="00BD23AC">
              <w:rPr>
                <w:rFonts w:ascii="Verdana" w:hAnsi="Verdana" w:cs="Arial"/>
                <w:sz w:val="22"/>
                <w:szCs w:val="22"/>
              </w:rPr>
              <w:t>Exp</w:t>
            </w:r>
            <w:proofErr w:type="spellEnd"/>
            <w:r w:rsidRPr="00BD23AC">
              <w:rPr>
                <w:rFonts w:ascii="Verdana" w:hAnsi="Verdana" w:cs="Arial"/>
                <w:sz w:val="22"/>
                <w:szCs w:val="22"/>
              </w:rPr>
              <w:t>. 18.059. M.P. Alier Hernández Enríquez.</w:t>
            </w:r>
          </w:p>
          <w:p w14:paraId="0051FD74" w14:textId="77777777" w:rsidR="005B66DB" w:rsidRPr="00BD23AC" w:rsidRDefault="005B66DB" w:rsidP="005B66DB">
            <w:pPr>
              <w:pStyle w:val="Textonotapie"/>
              <w:numPr>
                <w:ilvl w:val="0"/>
                <w:numId w:val="1"/>
              </w:numPr>
              <w:jc w:val="both"/>
              <w:rPr>
                <w:rFonts w:ascii="Verdana" w:hAnsi="Verdana" w:cs="Arial"/>
                <w:color w:val="000000" w:themeColor="text1"/>
                <w:sz w:val="22"/>
                <w:szCs w:val="22"/>
              </w:rPr>
            </w:pPr>
            <w:r w:rsidRPr="00BD23AC">
              <w:rPr>
                <w:rFonts w:ascii="Verdana" w:hAnsi="Verdana" w:cs="Arial"/>
                <w:color w:val="000000" w:themeColor="text1"/>
                <w:sz w:val="22"/>
                <w:szCs w:val="22"/>
              </w:rPr>
              <w:t xml:space="preserve">CONSEJO DE ESTADO. Sección Tercera. Sentencia del 11 de noviembre de 2009. </w:t>
            </w:r>
            <w:proofErr w:type="spellStart"/>
            <w:r w:rsidRPr="00BD23AC">
              <w:rPr>
                <w:rFonts w:ascii="Verdana" w:hAnsi="Verdana" w:cs="Arial"/>
                <w:color w:val="000000" w:themeColor="text1"/>
                <w:sz w:val="22"/>
                <w:szCs w:val="22"/>
              </w:rPr>
              <w:t>Exp</w:t>
            </w:r>
            <w:proofErr w:type="spellEnd"/>
            <w:r w:rsidRPr="00BD23AC">
              <w:rPr>
                <w:rFonts w:ascii="Verdana" w:hAnsi="Verdana" w:cs="Arial"/>
                <w:color w:val="000000" w:themeColor="text1"/>
                <w:sz w:val="22"/>
                <w:szCs w:val="22"/>
              </w:rPr>
              <w:t>. 17.366. C.P. Mauricio Fajardo Gómez.</w:t>
            </w:r>
          </w:p>
          <w:p w14:paraId="6474F061" w14:textId="77777777" w:rsidR="005B66DB" w:rsidRPr="00BD23AC" w:rsidRDefault="005B66DB" w:rsidP="005B66DB">
            <w:pPr>
              <w:pStyle w:val="Textonotapie"/>
              <w:numPr>
                <w:ilvl w:val="0"/>
                <w:numId w:val="1"/>
              </w:numPr>
              <w:spacing w:before="1"/>
              <w:ind w:right="108"/>
              <w:jc w:val="both"/>
              <w:rPr>
                <w:rFonts w:ascii="Verdana" w:hAnsi="Verdana"/>
              </w:rPr>
            </w:pPr>
            <w:r w:rsidRPr="00BD23AC">
              <w:rPr>
                <w:rFonts w:ascii="Verdana" w:hAnsi="Verdana"/>
                <w:sz w:val="22"/>
                <w:szCs w:val="22"/>
              </w:rPr>
              <w:t xml:space="preserve">CONSEJO DE ESTADO, Sección Tercera, Sentencia del 10 de marzo de 2011, C.P. Danilo Rojas </w:t>
            </w:r>
            <w:proofErr w:type="spellStart"/>
            <w:r w:rsidRPr="00BD23AC">
              <w:rPr>
                <w:rFonts w:ascii="Verdana" w:hAnsi="Verdana"/>
                <w:sz w:val="22"/>
                <w:szCs w:val="22"/>
              </w:rPr>
              <w:t>Betancourth</w:t>
            </w:r>
            <w:proofErr w:type="spellEnd"/>
            <w:r w:rsidRPr="00BD23AC">
              <w:rPr>
                <w:rFonts w:ascii="Verdana" w:hAnsi="Verdana"/>
                <w:sz w:val="22"/>
                <w:szCs w:val="22"/>
              </w:rPr>
              <w:t xml:space="preserve">, </w:t>
            </w:r>
            <w:proofErr w:type="spellStart"/>
            <w:r w:rsidRPr="00BD23AC">
              <w:rPr>
                <w:rFonts w:ascii="Verdana" w:hAnsi="Verdana"/>
                <w:sz w:val="22"/>
                <w:szCs w:val="22"/>
              </w:rPr>
              <w:t>Exp</w:t>
            </w:r>
            <w:proofErr w:type="spellEnd"/>
            <w:r w:rsidRPr="00BD23AC">
              <w:rPr>
                <w:rFonts w:ascii="Verdana" w:hAnsi="Verdana"/>
                <w:sz w:val="22"/>
                <w:szCs w:val="22"/>
              </w:rPr>
              <w:t xml:space="preserve">. No. 15.666. </w:t>
            </w:r>
          </w:p>
          <w:p w14:paraId="75369DA4" w14:textId="77777777" w:rsidR="005B66DB" w:rsidRPr="00BD23AC" w:rsidRDefault="005B66DB" w:rsidP="005B66DB">
            <w:pPr>
              <w:pStyle w:val="Textoindependiente"/>
              <w:numPr>
                <w:ilvl w:val="0"/>
                <w:numId w:val="1"/>
              </w:numPr>
              <w:spacing w:before="1" w:after="0"/>
              <w:ind w:right="108"/>
              <w:jc w:val="both"/>
              <w:rPr>
                <w:rFonts w:ascii="Verdana" w:hAnsi="Verdana"/>
              </w:rPr>
            </w:pPr>
            <w:r w:rsidRPr="00BD23AC">
              <w:rPr>
                <w:rFonts w:ascii="Verdana" w:hAnsi="Verdana"/>
              </w:rPr>
              <w:t xml:space="preserve">CONSEJO DE ESTADO, Sección Tercera, Sentencia de 31 de agosto de 2011, </w:t>
            </w:r>
            <w:proofErr w:type="spellStart"/>
            <w:r w:rsidRPr="00BD23AC">
              <w:rPr>
                <w:rFonts w:ascii="Verdana" w:hAnsi="Verdana"/>
              </w:rPr>
              <w:t>Exp</w:t>
            </w:r>
            <w:proofErr w:type="spellEnd"/>
            <w:r w:rsidRPr="00BD23AC">
              <w:rPr>
                <w:rFonts w:ascii="Verdana" w:hAnsi="Verdana"/>
              </w:rPr>
              <w:t xml:space="preserve">. No. 18080, C.P. Ruth Stella Correa Palacio. </w:t>
            </w:r>
          </w:p>
          <w:p w14:paraId="4B4A9417" w14:textId="77777777" w:rsidR="005B66DB" w:rsidRPr="00BD23AC" w:rsidRDefault="005B66DB" w:rsidP="005B66DB">
            <w:pPr>
              <w:pStyle w:val="Textonotapie"/>
              <w:numPr>
                <w:ilvl w:val="0"/>
                <w:numId w:val="1"/>
              </w:numPr>
              <w:jc w:val="both"/>
              <w:rPr>
                <w:rFonts w:ascii="Verdana" w:hAnsi="Verdana" w:cs="Arial"/>
                <w:color w:val="000000" w:themeColor="text1"/>
              </w:rPr>
            </w:pPr>
            <w:r w:rsidRPr="00BD23AC">
              <w:rPr>
                <w:rFonts w:ascii="Verdana" w:hAnsi="Verdana" w:cs="Arial"/>
                <w:color w:val="000000" w:themeColor="text1"/>
                <w:sz w:val="22"/>
                <w:szCs w:val="22"/>
              </w:rPr>
              <w:lastRenderedPageBreak/>
              <w:t xml:space="preserve">CONSEJO DE ESTADO. Sección Tercera. Sentencia del 24 de julio de 2013. </w:t>
            </w:r>
            <w:proofErr w:type="spellStart"/>
            <w:r w:rsidRPr="00BD23AC">
              <w:rPr>
                <w:rFonts w:ascii="Verdana" w:hAnsi="Verdana" w:cs="Arial"/>
                <w:color w:val="000000" w:themeColor="text1"/>
                <w:sz w:val="22"/>
                <w:szCs w:val="22"/>
              </w:rPr>
              <w:t>Exp</w:t>
            </w:r>
            <w:proofErr w:type="spellEnd"/>
            <w:r w:rsidRPr="00BD23AC">
              <w:rPr>
                <w:rFonts w:ascii="Verdana" w:hAnsi="Verdana" w:cs="Arial"/>
                <w:color w:val="000000" w:themeColor="text1"/>
                <w:sz w:val="22"/>
                <w:szCs w:val="22"/>
              </w:rPr>
              <w:t xml:space="preserve">. 25.642. C.P. Enrique Gil Botero. </w:t>
            </w:r>
          </w:p>
          <w:p w14:paraId="07200569" w14:textId="77777777" w:rsidR="005B66DB" w:rsidRPr="00BD23AC" w:rsidRDefault="005B66DB" w:rsidP="005B66DB">
            <w:pPr>
              <w:pStyle w:val="Textonotapie"/>
              <w:numPr>
                <w:ilvl w:val="0"/>
                <w:numId w:val="1"/>
              </w:numPr>
              <w:jc w:val="both"/>
              <w:rPr>
                <w:rFonts w:ascii="Verdana" w:hAnsi="Verdana" w:cs="Arial"/>
                <w:sz w:val="22"/>
                <w:szCs w:val="22"/>
              </w:rPr>
            </w:pPr>
            <w:r w:rsidRPr="00BD23AC">
              <w:rPr>
                <w:rFonts w:ascii="Verdana" w:hAnsi="Verdana" w:cs="Arial"/>
                <w:color w:val="000000" w:themeColor="text1"/>
                <w:sz w:val="22"/>
                <w:szCs w:val="22"/>
              </w:rPr>
              <w:t xml:space="preserve">DEIK ACOSTAMADIEDO, Carolina, Guía de Contratación Estatal: Deber de planeación y modalidades de selección, Buenos Aires, </w:t>
            </w:r>
            <w:proofErr w:type="spellStart"/>
            <w:r w:rsidRPr="00BD23AC">
              <w:rPr>
                <w:rFonts w:ascii="Verdana" w:hAnsi="Verdana" w:cs="Arial"/>
                <w:color w:val="000000" w:themeColor="text1"/>
                <w:sz w:val="22"/>
                <w:szCs w:val="22"/>
                <w:lang w:val="es-CO"/>
              </w:rPr>
              <w:t>Juritextos</w:t>
            </w:r>
            <w:proofErr w:type="spellEnd"/>
            <w:r w:rsidRPr="00BD23AC">
              <w:rPr>
                <w:rFonts w:ascii="Verdana" w:hAnsi="Verdana" w:cs="Arial"/>
                <w:color w:val="000000" w:themeColor="text1"/>
                <w:sz w:val="22"/>
                <w:szCs w:val="22"/>
                <w:lang w:val="es-CO"/>
              </w:rPr>
              <w:t xml:space="preserve"> Ediciones, </w:t>
            </w:r>
            <w:r w:rsidRPr="00BD23AC">
              <w:rPr>
                <w:rFonts w:ascii="Verdana" w:hAnsi="Verdana" w:cs="Arial"/>
                <w:color w:val="000000" w:themeColor="text1"/>
                <w:sz w:val="22"/>
                <w:szCs w:val="22"/>
              </w:rPr>
              <w:t>2019.</w:t>
            </w:r>
          </w:p>
          <w:p w14:paraId="727C3275" w14:textId="77777777" w:rsidR="005B66DB" w:rsidRPr="00BD23AC" w:rsidRDefault="005B66DB" w:rsidP="005B66DB">
            <w:pPr>
              <w:pStyle w:val="Textonotapie"/>
              <w:numPr>
                <w:ilvl w:val="0"/>
                <w:numId w:val="1"/>
              </w:numPr>
              <w:jc w:val="both"/>
              <w:rPr>
                <w:rFonts w:ascii="Verdana" w:hAnsi="Verdana"/>
                <w:sz w:val="22"/>
                <w:szCs w:val="22"/>
              </w:rPr>
            </w:pPr>
            <w:r w:rsidRPr="00BD23AC">
              <w:rPr>
                <w:rFonts w:ascii="Verdana" w:hAnsi="Verdana" w:cs="Arial"/>
                <w:sz w:val="22"/>
                <w:szCs w:val="22"/>
              </w:rPr>
              <w:t xml:space="preserve">OSPINA MENA, Jesús Marino. Régimen de la Contratación Estatal. Un salto a la contratación líquida. Bogotá: Ed. 1ª. </w:t>
            </w:r>
            <w:proofErr w:type="spellStart"/>
            <w:r w:rsidRPr="00BD23AC">
              <w:rPr>
                <w:rFonts w:ascii="Verdana" w:hAnsi="Verdana" w:cs="Arial"/>
                <w:sz w:val="22"/>
                <w:szCs w:val="22"/>
              </w:rPr>
              <w:t>Diké</w:t>
            </w:r>
            <w:proofErr w:type="spellEnd"/>
            <w:r w:rsidRPr="00BD23AC">
              <w:rPr>
                <w:rFonts w:ascii="Verdana" w:hAnsi="Verdana" w:cs="Arial"/>
                <w:sz w:val="22"/>
                <w:szCs w:val="22"/>
              </w:rPr>
              <w:t>, 2020.</w:t>
            </w:r>
          </w:p>
          <w:p w14:paraId="21A89DE1" w14:textId="77777777" w:rsidR="005B66DB" w:rsidRPr="00784698" w:rsidRDefault="005B66DB" w:rsidP="005B66DB">
            <w:pPr>
              <w:pStyle w:val="Textonotapie"/>
              <w:numPr>
                <w:ilvl w:val="0"/>
                <w:numId w:val="1"/>
              </w:numPr>
              <w:jc w:val="both"/>
              <w:rPr>
                <w:rFonts w:ascii="Verdana" w:hAnsi="Verdana" w:cs="Arial"/>
              </w:rPr>
            </w:pPr>
            <w:r w:rsidRPr="00305AB1">
              <w:rPr>
                <w:rFonts w:ascii="Verdana" w:hAnsi="Verdana"/>
                <w:sz w:val="22"/>
                <w:szCs w:val="22"/>
              </w:rPr>
              <w:t>GONZÁLEZ LÓPEZ, Edgar, Los contratos estatales. El proceso de selección y la modificación de los contratos, Bogotá, Universidad Externado de Colombia, Ed. Tirant lo Blanch, 2023</w:t>
            </w:r>
            <w:r>
              <w:rPr>
                <w:rFonts w:ascii="Verdana" w:hAnsi="Verdana"/>
                <w:sz w:val="22"/>
                <w:szCs w:val="22"/>
              </w:rPr>
              <w:t>.</w:t>
            </w:r>
          </w:p>
        </w:tc>
      </w:tr>
    </w:tbl>
    <w:p w14:paraId="6CCF6040" w14:textId="77777777" w:rsidR="005B66DB" w:rsidRDefault="005B66DB" w:rsidP="005B66DB">
      <w:pPr>
        <w:pStyle w:val="Prrafodelista"/>
        <w:tabs>
          <w:tab w:val="left" w:pos="142"/>
          <w:tab w:val="left" w:pos="284"/>
        </w:tabs>
        <w:spacing w:after="0" w:line="276" w:lineRule="auto"/>
        <w:ind w:left="0"/>
        <w:contextualSpacing w:val="0"/>
        <w:jc w:val="both"/>
        <w:rPr>
          <w:rFonts w:ascii="Verdana" w:eastAsia="Century Gothic" w:hAnsi="Verdana" w:cs="Century Gothic"/>
          <w:b/>
        </w:rPr>
      </w:pPr>
    </w:p>
    <w:p w14:paraId="6AAC72A8" w14:textId="77777777" w:rsidR="005B66DB" w:rsidRPr="00E76CD6" w:rsidRDefault="005B66DB" w:rsidP="005B66D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76CD6">
        <w:rPr>
          <w:rFonts w:ascii="Verdana" w:eastAsia="Century Gothic" w:hAnsi="Verdana" w:cs="Century Gothic"/>
          <w:b/>
          <w:bCs/>
        </w:rPr>
        <w:t>5. Doctrina de la Agencia Nacional de Contratación Pública:</w:t>
      </w:r>
    </w:p>
    <w:p w14:paraId="74B77729" w14:textId="77777777" w:rsidR="005B66DB" w:rsidRPr="00E76CD6" w:rsidRDefault="005B66DB" w:rsidP="005B66DB">
      <w:pPr>
        <w:spacing w:after="0" w:line="276" w:lineRule="auto"/>
        <w:ind w:firstLine="709"/>
        <w:jc w:val="both"/>
        <w:rPr>
          <w:rFonts w:ascii="Verdana" w:eastAsia="Times New Roman" w:hAnsi="Verdana" w:cs="Arial"/>
          <w:lang w:eastAsia="es-ES_tradnl"/>
        </w:rPr>
      </w:pPr>
    </w:p>
    <w:p w14:paraId="3D6361D2" w14:textId="77777777" w:rsidR="005B66DB" w:rsidRDefault="005B66DB" w:rsidP="005B66DB">
      <w:pPr>
        <w:widowControl w:val="0"/>
        <w:autoSpaceDE w:val="0"/>
        <w:autoSpaceDN w:val="0"/>
        <w:spacing w:after="0" w:line="276" w:lineRule="auto"/>
        <w:jc w:val="both"/>
        <w:rPr>
          <w:rFonts w:ascii="Verdana" w:hAnsi="Verdana" w:cs="Arial"/>
          <w:shd w:val="clear" w:color="auto" w:fill="FFFFFF"/>
        </w:rPr>
      </w:pPr>
      <w:r w:rsidRPr="005048BD">
        <w:rPr>
          <w:rStyle w:val="normaltextrun"/>
          <w:rFonts w:ascii="Verdana" w:hAnsi="Verdana" w:cs="Arial"/>
          <w:shd w:val="clear" w:color="auto" w:fill="FFFFFF"/>
          <w:lang w:val="es-ES"/>
        </w:rPr>
        <w:t xml:space="preserve">Sobre </w:t>
      </w:r>
      <w:r w:rsidRPr="005048BD">
        <w:rPr>
          <w:rFonts w:ascii="Verdana" w:eastAsia="Times New Roman" w:hAnsi="Verdana" w:cs="Arial"/>
          <w:bCs/>
          <w:lang w:eastAsia="es-ES_tradnl"/>
        </w:rPr>
        <w:t>los estudios previos, planeación en los procesos de contratación pública</w:t>
      </w:r>
      <w:r w:rsidRPr="005048BD">
        <w:rPr>
          <w:rFonts w:ascii="Verdana" w:eastAsia="Times New Roman" w:hAnsi="Verdana" w:cs="Arial"/>
          <w:bCs/>
          <w:lang w:val="es-ES_tradnl" w:eastAsia="es-ES_tradnl"/>
        </w:rPr>
        <w:t xml:space="preserve">, </w:t>
      </w:r>
      <w:r w:rsidRPr="005048BD">
        <w:rPr>
          <w:rFonts w:ascii="Verdana" w:eastAsia="Calibri" w:hAnsi="Verdana" w:cs="Arial"/>
          <w:bCs/>
          <w:lang w:val="es-ES" w:eastAsia="es-ES"/>
        </w:rPr>
        <w:t>pliego de condiciones, su naturaleza,</w:t>
      </w:r>
      <w:r w:rsidRPr="005048BD">
        <w:rPr>
          <w:rFonts w:ascii="Verdana" w:eastAsia="Arial" w:hAnsi="Verdana" w:cs="Arial"/>
          <w:bCs/>
          <w:lang w:val="es-MX" w:eastAsia="es-ES"/>
        </w:rPr>
        <w:t xml:space="preserve"> claridad y precisión de su contenido</w:t>
      </w:r>
      <w:r w:rsidRPr="005048BD">
        <w:rPr>
          <w:rStyle w:val="normaltextrun"/>
          <w:rFonts w:ascii="Verdana" w:hAnsi="Verdana" w:cs="Arial"/>
          <w:shd w:val="clear" w:color="auto" w:fill="FFFFFF"/>
          <w:lang w:val="es-ES"/>
        </w:rPr>
        <w:t xml:space="preserve"> se pronunció esta Subdirección en los conceptos</w:t>
      </w:r>
      <w:r w:rsidRPr="005048BD">
        <w:rPr>
          <w:rStyle w:val="normaltextrun"/>
          <w:rFonts w:ascii="Verdana" w:hAnsi="Verdana" w:cs="Calibri"/>
          <w:shd w:val="clear" w:color="auto" w:fill="FFFFFF"/>
        </w:rPr>
        <w:t xml:space="preserve"> C-218 de</w:t>
      </w:r>
      <w:r>
        <w:rPr>
          <w:rStyle w:val="normaltextrun"/>
          <w:rFonts w:ascii="Verdana" w:hAnsi="Verdana" w:cs="Calibri"/>
          <w:shd w:val="clear" w:color="auto" w:fill="FFFFFF"/>
        </w:rPr>
        <w:t xml:space="preserve"> 13</w:t>
      </w:r>
      <w:r w:rsidRPr="005048BD">
        <w:rPr>
          <w:rStyle w:val="normaltextrun"/>
          <w:rFonts w:ascii="Verdana" w:hAnsi="Verdana" w:cs="Calibri"/>
          <w:shd w:val="clear" w:color="auto" w:fill="FFFFFF"/>
        </w:rPr>
        <w:t xml:space="preserve"> julio del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C-274 de</w:t>
      </w:r>
      <w:r>
        <w:rPr>
          <w:rStyle w:val="normaltextrun"/>
          <w:rFonts w:ascii="Verdana" w:hAnsi="Verdana" w:cs="Calibri"/>
          <w:shd w:val="clear" w:color="auto" w:fill="FFFFFF"/>
        </w:rPr>
        <w:t xml:space="preserve"> 14</w:t>
      </w:r>
      <w:r w:rsidRPr="005048BD">
        <w:rPr>
          <w:rStyle w:val="normaltextrun"/>
          <w:rFonts w:ascii="Verdana" w:hAnsi="Verdana" w:cs="Calibri"/>
          <w:shd w:val="clear" w:color="auto" w:fill="FFFFFF"/>
        </w:rPr>
        <w:t xml:space="preserve"> julio </w:t>
      </w:r>
      <w:r>
        <w:rPr>
          <w:rStyle w:val="normaltextrun"/>
          <w:rFonts w:ascii="Verdana" w:hAnsi="Verdana" w:cs="Calibri"/>
          <w:shd w:val="clear" w:color="auto" w:fill="FFFFFF"/>
        </w:rPr>
        <w:t xml:space="preserve">del </w:t>
      </w:r>
      <w:r w:rsidRPr="005048BD">
        <w:rPr>
          <w:rStyle w:val="normaltextrun"/>
          <w:rFonts w:ascii="Verdana" w:hAnsi="Verdana" w:cs="Calibri"/>
          <w:shd w:val="clear" w:color="auto" w:fill="FFFFFF"/>
        </w:rPr>
        <w:t>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C-309 de</w:t>
      </w:r>
      <w:r>
        <w:rPr>
          <w:rStyle w:val="normaltextrun"/>
          <w:rFonts w:ascii="Verdana" w:hAnsi="Verdana" w:cs="Calibri"/>
          <w:shd w:val="clear" w:color="auto" w:fill="FFFFFF"/>
        </w:rPr>
        <w:t xml:space="preserve"> 28</w:t>
      </w:r>
      <w:r w:rsidRPr="005048BD">
        <w:rPr>
          <w:rStyle w:val="normaltextrun"/>
          <w:rFonts w:ascii="Verdana" w:hAnsi="Verdana" w:cs="Calibri"/>
          <w:shd w:val="clear" w:color="auto" w:fill="FFFFFF"/>
        </w:rPr>
        <w:t xml:space="preserve"> julio</w:t>
      </w:r>
      <w:r>
        <w:rPr>
          <w:rStyle w:val="normaltextrun"/>
          <w:rFonts w:ascii="Verdana" w:hAnsi="Verdana" w:cs="Calibri"/>
          <w:shd w:val="clear" w:color="auto" w:fill="FFFFFF"/>
        </w:rPr>
        <w:t xml:space="preserve"> del</w:t>
      </w:r>
      <w:r w:rsidRPr="005048BD">
        <w:rPr>
          <w:rStyle w:val="normaltextrun"/>
          <w:rFonts w:ascii="Verdana" w:hAnsi="Verdana" w:cs="Calibri"/>
          <w:shd w:val="clear" w:color="auto" w:fill="FFFFFF"/>
        </w:rPr>
        <w:t xml:space="preserve"> 2023, C-344 de</w:t>
      </w:r>
      <w:r>
        <w:rPr>
          <w:rStyle w:val="normaltextrun"/>
          <w:rFonts w:ascii="Verdana" w:hAnsi="Verdana" w:cs="Calibri"/>
          <w:shd w:val="clear" w:color="auto" w:fill="FFFFFF"/>
        </w:rPr>
        <w:t xml:space="preserve"> 18</w:t>
      </w:r>
      <w:r w:rsidRPr="005048BD">
        <w:rPr>
          <w:rStyle w:val="normaltextrun"/>
          <w:rFonts w:ascii="Verdana" w:hAnsi="Verdana" w:cs="Calibri"/>
          <w:shd w:val="clear" w:color="auto" w:fill="FFFFFF"/>
        </w:rPr>
        <w:t xml:space="preserve"> agosto</w:t>
      </w:r>
      <w:r>
        <w:rPr>
          <w:rStyle w:val="normaltextrun"/>
          <w:rFonts w:ascii="Verdana" w:hAnsi="Verdana" w:cs="Calibri"/>
          <w:shd w:val="clear" w:color="auto" w:fill="FFFFFF"/>
        </w:rPr>
        <w:t xml:space="preserve"> del</w:t>
      </w:r>
      <w:r w:rsidRPr="005048BD">
        <w:rPr>
          <w:rStyle w:val="normaltextrun"/>
          <w:rFonts w:ascii="Verdana" w:hAnsi="Verdana" w:cs="Calibri"/>
          <w:shd w:val="clear" w:color="auto" w:fill="FFFFFF"/>
        </w:rPr>
        <w:t xml:space="preserve">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 xml:space="preserve">C-346 de </w:t>
      </w:r>
      <w:r>
        <w:rPr>
          <w:rStyle w:val="normaltextrun"/>
          <w:rFonts w:ascii="Verdana" w:hAnsi="Verdana" w:cs="Calibri"/>
          <w:shd w:val="clear" w:color="auto" w:fill="FFFFFF"/>
        </w:rPr>
        <w:t xml:space="preserve">25 </w:t>
      </w:r>
      <w:r w:rsidRPr="005048BD">
        <w:rPr>
          <w:rStyle w:val="normaltextrun"/>
          <w:rFonts w:ascii="Verdana" w:hAnsi="Verdana" w:cs="Calibri"/>
          <w:shd w:val="clear" w:color="auto" w:fill="FFFFFF"/>
        </w:rPr>
        <w:t>agosto del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C-297 de</w:t>
      </w:r>
      <w:r>
        <w:rPr>
          <w:rStyle w:val="normaltextrun"/>
          <w:rFonts w:ascii="Verdana" w:hAnsi="Verdana" w:cs="Calibri"/>
          <w:shd w:val="clear" w:color="auto" w:fill="FFFFFF"/>
        </w:rPr>
        <w:t xml:space="preserve"> 3</w:t>
      </w:r>
      <w:r w:rsidRPr="005048BD">
        <w:rPr>
          <w:rStyle w:val="normaltextrun"/>
          <w:rFonts w:ascii="Verdana" w:hAnsi="Verdana" w:cs="Calibri"/>
          <w:shd w:val="clear" w:color="auto" w:fill="FFFFFF"/>
        </w:rPr>
        <w:t xml:space="preserve"> octubre</w:t>
      </w:r>
      <w:r>
        <w:rPr>
          <w:rStyle w:val="normaltextrun"/>
          <w:rFonts w:ascii="Verdana" w:hAnsi="Verdana" w:cs="Calibri"/>
          <w:shd w:val="clear" w:color="auto" w:fill="FFFFFF"/>
        </w:rPr>
        <w:t xml:space="preserve"> del</w:t>
      </w:r>
      <w:r w:rsidRPr="005048BD">
        <w:rPr>
          <w:rStyle w:val="normaltextrun"/>
          <w:rFonts w:ascii="Verdana" w:hAnsi="Verdana" w:cs="Calibri"/>
          <w:shd w:val="clear" w:color="auto" w:fill="FFFFFF"/>
        </w:rPr>
        <w:t xml:space="preserve">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C-201 de</w:t>
      </w:r>
      <w:r>
        <w:rPr>
          <w:rStyle w:val="normaltextrun"/>
          <w:rFonts w:ascii="Verdana" w:hAnsi="Verdana" w:cs="Calibri"/>
          <w:shd w:val="clear" w:color="auto" w:fill="FFFFFF"/>
        </w:rPr>
        <w:t xml:space="preserve"> 26</w:t>
      </w:r>
      <w:r w:rsidRPr="005048BD">
        <w:rPr>
          <w:rStyle w:val="normaltextrun"/>
          <w:rFonts w:ascii="Verdana" w:hAnsi="Verdana" w:cs="Calibri"/>
          <w:shd w:val="clear" w:color="auto" w:fill="FFFFFF"/>
        </w:rPr>
        <w:t xml:space="preserve"> octubre</w:t>
      </w:r>
      <w:r>
        <w:rPr>
          <w:rStyle w:val="normaltextrun"/>
          <w:rFonts w:ascii="Verdana" w:hAnsi="Verdana" w:cs="Calibri"/>
          <w:shd w:val="clear" w:color="auto" w:fill="FFFFFF"/>
        </w:rPr>
        <w:t xml:space="preserve"> de</w:t>
      </w:r>
      <w:r w:rsidRPr="005048BD">
        <w:rPr>
          <w:rStyle w:val="normaltextrun"/>
          <w:rFonts w:ascii="Verdana" w:hAnsi="Verdana" w:cs="Calibri"/>
          <w:shd w:val="clear" w:color="auto" w:fill="FFFFFF"/>
        </w:rPr>
        <w:t xml:space="preserve">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C-144 de</w:t>
      </w:r>
      <w:r>
        <w:rPr>
          <w:rStyle w:val="normaltextrun"/>
          <w:rFonts w:ascii="Verdana" w:hAnsi="Verdana" w:cs="Calibri"/>
          <w:shd w:val="clear" w:color="auto" w:fill="FFFFFF"/>
        </w:rPr>
        <w:t xml:space="preserve"> 6</w:t>
      </w:r>
      <w:r w:rsidRPr="005048BD">
        <w:rPr>
          <w:rStyle w:val="normaltextrun"/>
          <w:rFonts w:ascii="Verdana" w:hAnsi="Verdana" w:cs="Calibri"/>
          <w:shd w:val="clear" w:color="auto" w:fill="FFFFFF"/>
        </w:rPr>
        <w:t xml:space="preserve"> diciembre </w:t>
      </w:r>
      <w:r>
        <w:rPr>
          <w:rStyle w:val="normaltextrun"/>
          <w:rFonts w:ascii="Verdana" w:hAnsi="Verdana" w:cs="Calibri"/>
          <w:shd w:val="clear" w:color="auto" w:fill="FFFFFF"/>
        </w:rPr>
        <w:t xml:space="preserve">del </w:t>
      </w:r>
      <w:r w:rsidRPr="005048BD">
        <w:rPr>
          <w:rStyle w:val="normaltextrun"/>
          <w:rFonts w:ascii="Verdana" w:hAnsi="Verdana" w:cs="Calibri"/>
          <w:shd w:val="clear" w:color="auto" w:fill="FFFFFF"/>
        </w:rPr>
        <w:t>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C-440 de</w:t>
      </w:r>
      <w:r>
        <w:rPr>
          <w:rStyle w:val="normaltextrun"/>
          <w:rFonts w:ascii="Verdana" w:hAnsi="Verdana" w:cs="Calibri"/>
          <w:shd w:val="clear" w:color="auto" w:fill="FFFFFF"/>
        </w:rPr>
        <w:t xml:space="preserve"> 12</w:t>
      </w:r>
      <w:r w:rsidRPr="005048BD">
        <w:rPr>
          <w:rStyle w:val="normaltextrun"/>
          <w:rFonts w:ascii="Verdana" w:hAnsi="Verdana" w:cs="Calibri"/>
          <w:shd w:val="clear" w:color="auto" w:fill="FFFFFF"/>
        </w:rPr>
        <w:t xml:space="preserve"> diciembre</w:t>
      </w:r>
      <w:r>
        <w:rPr>
          <w:rStyle w:val="normaltextrun"/>
          <w:rFonts w:ascii="Verdana" w:hAnsi="Verdana" w:cs="Calibri"/>
          <w:shd w:val="clear" w:color="auto" w:fill="FFFFFF"/>
        </w:rPr>
        <w:t xml:space="preserve"> del </w:t>
      </w:r>
      <w:r w:rsidRPr="005048BD">
        <w:rPr>
          <w:rStyle w:val="normaltextrun"/>
          <w:rFonts w:ascii="Verdana" w:hAnsi="Verdana" w:cs="Calibri"/>
          <w:shd w:val="clear" w:color="auto" w:fill="FFFFFF"/>
        </w:rPr>
        <w:t>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C-001 de</w:t>
      </w:r>
      <w:r>
        <w:rPr>
          <w:rStyle w:val="normaltextrun"/>
          <w:rFonts w:ascii="Verdana" w:hAnsi="Verdana" w:cs="Calibri"/>
          <w:shd w:val="clear" w:color="auto" w:fill="FFFFFF"/>
        </w:rPr>
        <w:t xml:space="preserve"> 25</w:t>
      </w:r>
      <w:r w:rsidRPr="005048BD">
        <w:rPr>
          <w:rStyle w:val="normaltextrun"/>
          <w:rFonts w:ascii="Verdana" w:hAnsi="Verdana" w:cs="Calibri"/>
          <w:shd w:val="clear" w:color="auto" w:fill="FFFFFF"/>
        </w:rPr>
        <w:t xml:space="preserve"> enero del 2024</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C-030 de</w:t>
      </w:r>
      <w:r>
        <w:rPr>
          <w:rStyle w:val="normaltextrun"/>
          <w:rFonts w:ascii="Verdana" w:hAnsi="Verdana" w:cs="Calibri"/>
          <w:shd w:val="clear" w:color="auto" w:fill="FFFFFF"/>
        </w:rPr>
        <w:t xml:space="preserve"> 9</w:t>
      </w:r>
      <w:r w:rsidRPr="005048BD">
        <w:rPr>
          <w:rStyle w:val="normaltextrun"/>
          <w:rFonts w:ascii="Verdana" w:hAnsi="Verdana" w:cs="Calibri"/>
          <w:shd w:val="clear" w:color="auto" w:fill="FFFFFF"/>
        </w:rPr>
        <w:t xml:space="preserve"> abril del 2024</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C-053 de</w:t>
      </w:r>
      <w:r>
        <w:rPr>
          <w:rStyle w:val="normaltextrun"/>
          <w:rFonts w:ascii="Verdana" w:hAnsi="Verdana" w:cs="Calibri"/>
          <w:shd w:val="clear" w:color="auto" w:fill="FFFFFF"/>
        </w:rPr>
        <w:t xml:space="preserve"> 7</w:t>
      </w:r>
      <w:r w:rsidRPr="005048BD">
        <w:rPr>
          <w:rStyle w:val="normaltextrun"/>
          <w:rFonts w:ascii="Verdana" w:hAnsi="Verdana" w:cs="Calibri"/>
          <w:shd w:val="clear" w:color="auto" w:fill="FFFFFF"/>
        </w:rPr>
        <w:t xml:space="preserve"> mayo de</w:t>
      </w:r>
      <w:r>
        <w:rPr>
          <w:rStyle w:val="normaltextrun"/>
          <w:rFonts w:ascii="Verdana" w:hAnsi="Verdana" w:cs="Calibri"/>
          <w:shd w:val="clear" w:color="auto" w:fill="FFFFFF"/>
        </w:rPr>
        <w:t>l</w:t>
      </w:r>
      <w:r w:rsidRPr="005048BD">
        <w:rPr>
          <w:rStyle w:val="normaltextrun"/>
          <w:rFonts w:ascii="Verdana" w:hAnsi="Verdana" w:cs="Calibri"/>
          <w:shd w:val="clear" w:color="auto" w:fill="FFFFFF"/>
        </w:rPr>
        <w:t xml:space="preserve"> 2024</w:t>
      </w:r>
      <w:r>
        <w:rPr>
          <w:rFonts w:ascii="Verdana" w:hAnsi="Verdana" w:cs="Arial"/>
          <w:shd w:val="clear" w:color="auto" w:fill="FFFFFF"/>
          <w:lang w:val="es-ES"/>
        </w:rPr>
        <w:t xml:space="preserve">, </w:t>
      </w:r>
      <w:r w:rsidRPr="00A74C36">
        <w:rPr>
          <w:rFonts w:ascii="Verdana" w:hAnsi="Verdana" w:cs="Arial"/>
          <w:shd w:val="clear" w:color="auto" w:fill="FFFFFF"/>
          <w:lang w:val="es-ES"/>
        </w:rPr>
        <w:t>entre otros</w:t>
      </w:r>
      <w:r w:rsidRPr="00A74C36">
        <w:rPr>
          <w:rFonts w:ascii="Verdana" w:hAnsi="Verdana" w:cs="Arial"/>
          <w:shd w:val="clear" w:color="auto" w:fill="FFFFFF"/>
        </w:rPr>
        <w:t xml:space="preserve">. </w:t>
      </w:r>
    </w:p>
    <w:p w14:paraId="28AC8DEE" w14:textId="77777777" w:rsidR="005B66DB" w:rsidRPr="00E76CD6" w:rsidRDefault="005B66DB" w:rsidP="005B66DB">
      <w:pPr>
        <w:widowControl w:val="0"/>
        <w:autoSpaceDE w:val="0"/>
        <w:autoSpaceDN w:val="0"/>
        <w:spacing w:after="0" w:line="276" w:lineRule="auto"/>
        <w:jc w:val="both"/>
        <w:rPr>
          <w:rFonts w:ascii="Verdana" w:eastAsia="Calibri" w:hAnsi="Verdana" w:cs="Arial"/>
          <w:lang w:eastAsia="es-ES"/>
        </w:rPr>
      </w:pPr>
    </w:p>
    <w:p w14:paraId="7ECDB8BA" w14:textId="77777777" w:rsidR="005B66DB" w:rsidRPr="00E76CD6" w:rsidRDefault="005B66DB" w:rsidP="005B66DB">
      <w:pPr>
        <w:widowControl w:val="0"/>
        <w:autoSpaceDE w:val="0"/>
        <w:autoSpaceDN w:val="0"/>
        <w:spacing w:after="0" w:line="276" w:lineRule="auto"/>
        <w:jc w:val="both"/>
        <w:rPr>
          <w:rFonts w:ascii="Verdana" w:hAnsi="Verdana"/>
        </w:rPr>
      </w:pPr>
      <w:r w:rsidRPr="00E76CD6">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p>
    <w:p w14:paraId="3534AC89" w14:textId="77777777" w:rsidR="005B66DB" w:rsidRPr="00E76CD6" w:rsidRDefault="005B66DB" w:rsidP="005B66DB">
      <w:pPr>
        <w:widowControl w:val="0"/>
        <w:autoSpaceDE w:val="0"/>
        <w:autoSpaceDN w:val="0"/>
        <w:spacing w:after="0" w:line="276" w:lineRule="auto"/>
        <w:jc w:val="both"/>
        <w:rPr>
          <w:rStyle w:val="normaltextrun"/>
          <w:rFonts w:ascii="Verdana" w:hAnsi="Verdana"/>
          <w:color w:val="000000"/>
        </w:rPr>
      </w:pPr>
    </w:p>
    <w:p w14:paraId="40CBCC13" w14:textId="77777777" w:rsidR="005B66DB" w:rsidRPr="00E76CD6" w:rsidRDefault="00F369BE" w:rsidP="005B66DB">
      <w:pPr>
        <w:widowControl w:val="0"/>
        <w:autoSpaceDE w:val="0"/>
        <w:autoSpaceDN w:val="0"/>
        <w:spacing w:after="0" w:line="276" w:lineRule="auto"/>
        <w:jc w:val="both"/>
        <w:rPr>
          <w:rFonts w:ascii="Verdana" w:eastAsia="Calibri" w:hAnsi="Verdana" w:cs="Arial"/>
          <w:lang w:eastAsia="es-ES_tradnl"/>
        </w:rPr>
      </w:pPr>
      <w:hyperlink r:id="rId9" w:history="1">
        <w:r w:rsidR="005B66DB" w:rsidRPr="00E76CD6">
          <w:rPr>
            <w:rStyle w:val="Hipervnculo"/>
            <w:rFonts w:ascii="Verdana" w:eastAsia="Calibri" w:hAnsi="Verdana" w:cs="Arial"/>
            <w:lang w:eastAsia="es-ES_tradnl"/>
          </w:rPr>
          <w:t>https://relatoria.colombiacompra.gov.co/</w:t>
        </w:r>
      </w:hyperlink>
      <w:r w:rsidR="005B66DB" w:rsidRPr="00E76CD6">
        <w:rPr>
          <w:rFonts w:ascii="Verdana" w:eastAsia="Calibri" w:hAnsi="Verdana" w:cs="Arial"/>
          <w:lang w:eastAsia="es-ES_tradnl"/>
        </w:rPr>
        <w:t> </w:t>
      </w:r>
    </w:p>
    <w:p w14:paraId="6560D99B" w14:textId="77777777" w:rsidR="005B66DB" w:rsidRPr="00E76CD6" w:rsidRDefault="005B66DB" w:rsidP="005B66DB">
      <w:pPr>
        <w:widowControl w:val="0"/>
        <w:autoSpaceDE w:val="0"/>
        <w:autoSpaceDN w:val="0"/>
        <w:spacing w:after="0" w:line="276" w:lineRule="auto"/>
        <w:jc w:val="both"/>
        <w:rPr>
          <w:rFonts w:ascii="Verdana" w:eastAsia="Calibri" w:hAnsi="Verdana" w:cs="Arial"/>
          <w:lang w:eastAsia="es-ES_tradnl"/>
        </w:rPr>
      </w:pPr>
    </w:p>
    <w:p w14:paraId="4F88EDF1" w14:textId="77777777" w:rsidR="005B66DB" w:rsidRPr="00E76CD6" w:rsidRDefault="005B66DB" w:rsidP="005B66DB">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E76CD6">
        <w:rPr>
          <w:rFonts w:ascii="Verdana" w:eastAsia="Times New Roman" w:hAnsi="Verdana" w:cs="Times New Roman"/>
          <w:color w:val="000000"/>
          <w:bdr w:val="none" w:sz="0" w:space="0" w:color="auto" w:frame="1"/>
          <w:lang w:eastAsia="es-CO"/>
        </w:rPr>
        <w:t xml:space="preserve">También le contamos que ya se encuentra disponible la </w:t>
      </w:r>
      <w:r w:rsidRPr="00E76CD6">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E76CD6">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76CD6">
        <w:rPr>
          <w:rFonts w:ascii="Verdana" w:eastAsia="Times New Roman" w:hAnsi="Verdana" w:cs="Times New Roman"/>
          <w:color w:val="000000"/>
          <w:bdr w:val="none" w:sz="0" w:space="0" w:color="auto" w:frame="1"/>
          <w:lang w:eastAsia="es-CO"/>
        </w:rPr>
        <w:t>Wayúu</w:t>
      </w:r>
      <w:proofErr w:type="spellEnd"/>
      <w:r w:rsidRPr="00E76CD6">
        <w:rPr>
          <w:rFonts w:ascii="Verdana" w:eastAsia="Times New Roman" w:hAnsi="Verdana" w:cs="Times New Roman"/>
          <w:color w:val="000000"/>
          <w:bdr w:val="none" w:sz="0" w:space="0" w:color="auto" w:frame="1"/>
          <w:lang w:eastAsia="es-CO"/>
        </w:rPr>
        <w:t xml:space="preserve">. Puede consultar la guía en el siguiente enlace: </w:t>
      </w:r>
    </w:p>
    <w:p w14:paraId="531D2033" w14:textId="77777777" w:rsidR="005B66DB" w:rsidRPr="00E76CD6" w:rsidRDefault="005B66DB" w:rsidP="005B66DB">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1F6922B7" w14:textId="77777777" w:rsidR="005B66DB" w:rsidRPr="00E76CD6" w:rsidRDefault="00F369BE" w:rsidP="005B66DB">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hyperlink r:id="rId10" w:tgtFrame="_blank" w:tooltip="Dirección URL original: https://www.colombiacompra.gov.co/wp-content/uploads/2025/05/GUIA-DE-LINEAMIENTOS-DE-TRANSPARENCIA-Y-SELECCION-OBJETIVA-1.0.pdf. Haga clic o pulse si confía en este vínculo." w:history="1">
        <w:r w:rsidR="005B66DB" w:rsidRPr="00E76CD6">
          <w:rPr>
            <w:rStyle w:val="Hipervnculo"/>
            <w:rFonts w:ascii="Verdana" w:eastAsia="Times New Roman" w:hAnsi="Verdana"/>
            <w:bdr w:val="none" w:sz="0" w:space="0" w:color="auto" w:frame="1"/>
            <w:lang w:eastAsia="es-CO"/>
          </w:rPr>
          <w:t>Guía de lineamientos de transparencia y selección objetiva para el departamento de La Guajira – Objetivo sexto constitucional de la Sentencia T-302 del 2017</w:t>
        </w:r>
      </w:hyperlink>
    </w:p>
    <w:p w14:paraId="1F658652" w14:textId="77777777" w:rsidR="005B66DB" w:rsidRPr="00E76CD6" w:rsidRDefault="005B66DB" w:rsidP="005B66DB">
      <w:pPr>
        <w:widowControl w:val="0"/>
        <w:autoSpaceDE w:val="0"/>
        <w:autoSpaceDN w:val="0"/>
        <w:spacing w:after="0" w:line="276" w:lineRule="auto"/>
        <w:jc w:val="both"/>
        <w:rPr>
          <w:rFonts w:ascii="Verdana" w:hAnsi="Verdana" w:cs="Arial"/>
        </w:rPr>
      </w:pPr>
    </w:p>
    <w:p w14:paraId="14DEC857" w14:textId="77777777" w:rsidR="005B66DB" w:rsidRPr="00E76CD6" w:rsidRDefault="005B66DB" w:rsidP="005B66DB">
      <w:pPr>
        <w:spacing w:after="0" w:line="276" w:lineRule="auto"/>
        <w:jc w:val="both"/>
        <w:rPr>
          <w:rFonts w:ascii="Verdana" w:hAnsi="Verdana"/>
        </w:rPr>
      </w:pPr>
      <w:r w:rsidRPr="00E76CD6">
        <w:rPr>
          <w:rFonts w:ascii="Verdana" w:hAnsi="Verdana"/>
        </w:rPr>
        <w:t xml:space="preserve">Por último, lo invitamos a seguirnos en las redes sociales en las cuales se difunde información institucional: </w:t>
      </w:r>
    </w:p>
    <w:p w14:paraId="41B86F32" w14:textId="77777777" w:rsidR="005B66DB" w:rsidRPr="00E76CD6" w:rsidRDefault="005B66DB" w:rsidP="005B66DB">
      <w:pPr>
        <w:spacing w:after="0" w:line="276" w:lineRule="auto"/>
        <w:jc w:val="both"/>
        <w:rPr>
          <w:rFonts w:ascii="Verdana" w:hAnsi="Verdana"/>
        </w:rPr>
      </w:pPr>
    </w:p>
    <w:p w14:paraId="5B8EB6D7" w14:textId="77777777" w:rsidR="005B66DB" w:rsidRPr="00E76CD6" w:rsidRDefault="005B66DB" w:rsidP="005B66DB">
      <w:pPr>
        <w:spacing w:after="0" w:line="276" w:lineRule="auto"/>
        <w:jc w:val="both"/>
        <w:rPr>
          <w:rFonts w:ascii="Verdana" w:hAnsi="Verdana"/>
        </w:rPr>
      </w:pPr>
      <w:r w:rsidRPr="00E76CD6">
        <w:rPr>
          <w:rFonts w:ascii="Verdana" w:hAnsi="Verdana"/>
        </w:rPr>
        <w:t xml:space="preserve">Twitter: </w:t>
      </w:r>
      <w:r w:rsidRPr="00E76CD6">
        <w:rPr>
          <w:rStyle w:val="Hipervnculo"/>
          <w:rFonts w:ascii="Verdana" w:hAnsi="Verdana"/>
          <w:color w:val="4472C4" w:themeColor="accent1"/>
        </w:rPr>
        <w:t>@colombiacompra</w:t>
      </w:r>
      <w:r w:rsidRPr="00E76CD6">
        <w:rPr>
          <w:rFonts w:ascii="Verdana" w:hAnsi="Verdana"/>
          <w:color w:val="4472C4" w:themeColor="accent1"/>
        </w:rPr>
        <w:t xml:space="preserve"> </w:t>
      </w:r>
    </w:p>
    <w:p w14:paraId="0D09429B" w14:textId="77777777" w:rsidR="005B66DB" w:rsidRPr="00E76CD6" w:rsidRDefault="005B66DB" w:rsidP="005B66DB">
      <w:pPr>
        <w:spacing w:after="0" w:line="276" w:lineRule="auto"/>
        <w:jc w:val="both"/>
        <w:rPr>
          <w:rFonts w:ascii="Verdana" w:hAnsi="Verdana"/>
        </w:rPr>
      </w:pPr>
      <w:r w:rsidRPr="00E76CD6">
        <w:rPr>
          <w:rFonts w:ascii="Verdana" w:hAnsi="Verdana"/>
        </w:rPr>
        <w:t xml:space="preserve">Facebook: </w:t>
      </w:r>
      <w:proofErr w:type="spellStart"/>
      <w:r w:rsidRPr="00E76CD6">
        <w:rPr>
          <w:rStyle w:val="Hipervnculo"/>
          <w:rFonts w:ascii="Verdana" w:hAnsi="Verdana"/>
          <w:color w:val="4472C4" w:themeColor="accent1"/>
        </w:rPr>
        <w:t>ColombiaCompraEficiente</w:t>
      </w:r>
      <w:proofErr w:type="spellEnd"/>
    </w:p>
    <w:p w14:paraId="374CE862" w14:textId="77777777" w:rsidR="005B66DB" w:rsidRPr="00E76CD6" w:rsidRDefault="005B66DB" w:rsidP="005B66DB">
      <w:pPr>
        <w:spacing w:after="0" w:line="276" w:lineRule="auto"/>
        <w:jc w:val="both"/>
        <w:rPr>
          <w:rFonts w:ascii="Verdana" w:hAnsi="Verdana"/>
        </w:rPr>
      </w:pPr>
      <w:r w:rsidRPr="00E76CD6">
        <w:rPr>
          <w:rFonts w:ascii="Verdana" w:hAnsi="Verdana"/>
        </w:rPr>
        <w:t xml:space="preserve">LinkedIn: </w:t>
      </w:r>
      <w:r w:rsidRPr="00E76CD6">
        <w:rPr>
          <w:rStyle w:val="Hipervnculo"/>
          <w:rFonts w:ascii="Verdana" w:hAnsi="Verdana"/>
          <w:color w:val="4472C4" w:themeColor="accent1"/>
        </w:rPr>
        <w:t>Agencia Nacional de Contratación Pública - Colombia Compra Eficiente</w:t>
      </w:r>
      <w:r w:rsidRPr="00E76CD6">
        <w:rPr>
          <w:rFonts w:ascii="Verdana" w:hAnsi="Verdana"/>
          <w:color w:val="4472C4" w:themeColor="accent1"/>
        </w:rPr>
        <w:t xml:space="preserve"> </w:t>
      </w:r>
      <w:r w:rsidRPr="00E76CD6">
        <w:rPr>
          <w:rFonts w:ascii="Verdana" w:hAnsi="Verdana"/>
        </w:rPr>
        <w:t xml:space="preserve">Instagram: </w:t>
      </w:r>
      <w:r w:rsidRPr="00E76CD6">
        <w:rPr>
          <w:rStyle w:val="Hipervnculo"/>
          <w:rFonts w:ascii="Verdana" w:hAnsi="Verdana"/>
          <w:color w:val="4472C4" w:themeColor="accent1"/>
        </w:rPr>
        <w:t>@colombiacompraeficiente_cce</w:t>
      </w:r>
    </w:p>
    <w:p w14:paraId="1C7BDAA9" w14:textId="77777777" w:rsidR="005B66DB" w:rsidRPr="00E76CD6" w:rsidRDefault="005B66DB" w:rsidP="005B66DB">
      <w:pPr>
        <w:widowControl w:val="0"/>
        <w:autoSpaceDE w:val="0"/>
        <w:autoSpaceDN w:val="0"/>
        <w:spacing w:after="0" w:line="276" w:lineRule="auto"/>
        <w:jc w:val="both"/>
        <w:rPr>
          <w:rFonts w:ascii="Verdana" w:hAnsi="Verdana"/>
        </w:rPr>
      </w:pPr>
    </w:p>
    <w:p w14:paraId="56803DD1" w14:textId="77777777" w:rsidR="005B66DB" w:rsidRPr="00E76CD6" w:rsidRDefault="005B66DB" w:rsidP="005B66DB">
      <w:pPr>
        <w:widowControl w:val="0"/>
        <w:autoSpaceDE w:val="0"/>
        <w:autoSpaceDN w:val="0"/>
        <w:spacing w:after="0" w:line="276" w:lineRule="auto"/>
        <w:jc w:val="both"/>
        <w:rPr>
          <w:rFonts w:ascii="Verdana" w:hAnsi="Verdana" w:cs="Arial"/>
        </w:rPr>
      </w:pPr>
      <w:r w:rsidRPr="00E76CD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0D04C27" w14:textId="77777777" w:rsidR="005B66DB" w:rsidRPr="00E76CD6" w:rsidRDefault="005B66DB" w:rsidP="005B66DB">
      <w:pPr>
        <w:spacing w:after="0" w:line="276" w:lineRule="auto"/>
        <w:ind w:firstLine="709"/>
        <w:jc w:val="both"/>
        <w:rPr>
          <w:rFonts w:ascii="Verdana" w:eastAsia="Times New Roman" w:hAnsi="Verdana" w:cs="Arial"/>
          <w:lang w:eastAsia="es-ES_tradnl"/>
        </w:rPr>
      </w:pPr>
    </w:p>
    <w:p w14:paraId="220623C0" w14:textId="77777777" w:rsidR="005B66DB" w:rsidRDefault="005B66DB" w:rsidP="005B66DB">
      <w:pPr>
        <w:spacing w:after="0" w:line="276" w:lineRule="auto"/>
        <w:jc w:val="both"/>
        <w:rPr>
          <w:rFonts w:ascii="Verdana" w:eastAsia="Times New Roman" w:hAnsi="Verdana" w:cs="Arial"/>
          <w:lang w:eastAsia="es-CO"/>
        </w:rPr>
      </w:pPr>
      <w:bookmarkStart w:id="7" w:name="_Hlk117695077"/>
      <w:r w:rsidRPr="00E76CD6">
        <w:rPr>
          <w:rFonts w:ascii="Verdana" w:eastAsia="Times New Roman" w:hAnsi="Verdana" w:cs="Arial"/>
          <w:lang w:eastAsia="es-CO"/>
        </w:rPr>
        <w:t>Atentamente,</w:t>
      </w:r>
      <w:bookmarkEnd w:id="7"/>
    </w:p>
    <w:p w14:paraId="60963D56" w14:textId="77777777" w:rsidR="005B66DB" w:rsidRDefault="005B66DB" w:rsidP="005B66DB">
      <w:pPr>
        <w:spacing w:after="0" w:line="276" w:lineRule="auto"/>
        <w:jc w:val="both"/>
        <w:rPr>
          <w:rFonts w:ascii="Verdana" w:eastAsia="Times New Roman" w:hAnsi="Verdana" w:cs="Arial"/>
          <w:lang w:eastAsia="es-CO"/>
        </w:rPr>
      </w:pPr>
    </w:p>
    <w:p w14:paraId="7EBBFC1B" w14:textId="5AC86576" w:rsidR="005B66DB" w:rsidRPr="00E76CD6" w:rsidRDefault="00F337AB" w:rsidP="00F337AB">
      <w:pPr>
        <w:spacing w:after="0" w:line="276"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54E93EA7" wp14:editId="13155DE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B66DB" w:rsidRPr="00E76CD6" w14:paraId="1324EF55" w14:textId="77777777" w:rsidTr="00B75C03">
        <w:trPr>
          <w:trHeight w:val="315"/>
        </w:trPr>
        <w:tc>
          <w:tcPr>
            <w:tcW w:w="893" w:type="dxa"/>
            <w:vAlign w:val="center"/>
            <w:hideMark/>
          </w:tcPr>
          <w:bookmarkEnd w:id="0"/>
          <w:p w14:paraId="0CC39F48" w14:textId="77777777" w:rsidR="005B66DB" w:rsidRPr="00E76CD6" w:rsidRDefault="005B66DB" w:rsidP="00B75C03">
            <w:pPr>
              <w:contextualSpacing/>
              <w:rPr>
                <w:rFonts w:ascii="Verdana" w:hAnsi="Verdana" w:cs="Arial"/>
                <w:sz w:val="16"/>
                <w:szCs w:val="16"/>
                <w:lang w:eastAsia="es-ES"/>
              </w:rPr>
            </w:pPr>
            <w:r w:rsidRPr="00E76CD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7C25038" w14:textId="77777777" w:rsidR="005B66DB" w:rsidRPr="00E76CD6" w:rsidRDefault="005B66DB" w:rsidP="00B75C03">
            <w:pPr>
              <w:contextualSpacing/>
              <w:rPr>
                <w:rFonts w:ascii="Verdana" w:hAnsi="Verdana"/>
                <w:sz w:val="16"/>
                <w:szCs w:val="16"/>
              </w:rPr>
            </w:pPr>
            <w:r w:rsidRPr="00E76CD6">
              <w:rPr>
                <w:rFonts w:ascii="Verdana" w:hAnsi="Verdana"/>
                <w:sz w:val="16"/>
                <w:szCs w:val="16"/>
              </w:rPr>
              <w:t>Sergio Enrique Caballero Lesmes</w:t>
            </w:r>
          </w:p>
          <w:p w14:paraId="048C3DA1" w14:textId="77777777" w:rsidR="005B66DB" w:rsidRPr="00E76CD6" w:rsidRDefault="005B66DB" w:rsidP="00B75C03">
            <w:pPr>
              <w:contextualSpacing/>
              <w:rPr>
                <w:rFonts w:ascii="Verdana" w:eastAsia="Arial" w:hAnsi="Verdana" w:cs="Arial"/>
                <w:sz w:val="16"/>
                <w:szCs w:val="16"/>
              </w:rPr>
            </w:pPr>
            <w:r w:rsidRPr="00E76CD6">
              <w:rPr>
                <w:rFonts w:ascii="Verdana" w:hAnsi="Verdana"/>
                <w:sz w:val="16"/>
                <w:szCs w:val="16"/>
              </w:rPr>
              <w:t>Analista T2-02 de la Subdirección de Gestión Contractual</w:t>
            </w:r>
          </w:p>
        </w:tc>
      </w:tr>
      <w:tr w:rsidR="005B66DB" w:rsidRPr="00E76CD6" w14:paraId="2F551832" w14:textId="77777777" w:rsidTr="00B75C03">
        <w:trPr>
          <w:trHeight w:val="330"/>
        </w:trPr>
        <w:tc>
          <w:tcPr>
            <w:tcW w:w="893" w:type="dxa"/>
            <w:vAlign w:val="center"/>
            <w:hideMark/>
          </w:tcPr>
          <w:p w14:paraId="0AFE38F1" w14:textId="77777777" w:rsidR="005B66DB" w:rsidRPr="00E76CD6" w:rsidRDefault="005B66DB" w:rsidP="00B75C03">
            <w:pPr>
              <w:contextualSpacing/>
              <w:rPr>
                <w:rFonts w:ascii="Verdana" w:hAnsi="Verdana" w:cs="Arial"/>
                <w:sz w:val="16"/>
                <w:szCs w:val="16"/>
                <w:lang w:eastAsia="es-ES"/>
              </w:rPr>
            </w:pPr>
            <w:r w:rsidRPr="00E76CD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5DB3DB5" w14:textId="77777777" w:rsidR="005B66DB" w:rsidRPr="00E76CD6" w:rsidRDefault="005B66DB" w:rsidP="00B75C03">
            <w:pPr>
              <w:contextualSpacing/>
              <w:rPr>
                <w:rFonts w:ascii="Verdana" w:hAnsi="Verdana"/>
                <w:sz w:val="16"/>
                <w:szCs w:val="16"/>
              </w:rPr>
            </w:pPr>
            <w:r>
              <w:rPr>
                <w:rFonts w:ascii="Verdana" w:hAnsi="Verdana"/>
                <w:sz w:val="16"/>
                <w:szCs w:val="16"/>
              </w:rPr>
              <w:t>Diana Lucía Saavedra Castañeda</w:t>
            </w:r>
          </w:p>
          <w:p w14:paraId="56DB1F85" w14:textId="77777777" w:rsidR="005B66DB" w:rsidRPr="00E76CD6" w:rsidRDefault="005B66DB" w:rsidP="00B75C03">
            <w:pPr>
              <w:pStyle w:val="paragraph"/>
              <w:spacing w:before="0" w:beforeAutospacing="0" w:after="0" w:afterAutospacing="0"/>
              <w:contextualSpacing/>
              <w:textAlignment w:val="baseline"/>
              <w:rPr>
                <w:rFonts w:ascii="Verdana" w:hAnsi="Verdana" w:cs="Segoe UI"/>
                <w:sz w:val="16"/>
                <w:szCs w:val="16"/>
              </w:rPr>
            </w:pPr>
            <w:r w:rsidRPr="00E76CD6">
              <w:rPr>
                <w:rStyle w:val="normaltextrun"/>
                <w:rFonts w:ascii="Verdana" w:hAnsi="Verdana" w:cs="Arial"/>
                <w:sz w:val="16"/>
                <w:szCs w:val="16"/>
              </w:rPr>
              <w:t>Contratista de la Subdirección de Gestión Contractual</w:t>
            </w:r>
            <w:r w:rsidRPr="00E76CD6">
              <w:rPr>
                <w:rStyle w:val="eop"/>
                <w:rFonts w:ascii="Verdana" w:eastAsiaTheme="majorEastAsia" w:hAnsi="Verdana" w:cs="Arial"/>
                <w:sz w:val="16"/>
                <w:szCs w:val="16"/>
              </w:rPr>
              <w:t> </w:t>
            </w:r>
          </w:p>
        </w:tc>
      </w:tr>
      <w:tr w:rsidR="005B66DB" w:rsidRPr="00E76CD6" w14:paraId="3694C46E" w14:textId="77777777" w:rsidTr="00B75C03">
        <w:trPr>
          <w:trHeight w:val="300"/>
        </w:trPr>
        <w:tc>
          <w:tcPr>
            <w:tcW w:w="893" w:type="dxa"/>
            <w:vAlign w:val="center"/>
          </w:tcPr>
          <w:p w14:paraId="6E8DF8B3" w14:textId="77777777" w:rsidR="005B66DB" w:rsidRPr="00E76CD6" w:rsidRDefault="005B66DB" w:rsidP="00B75C03">
            <w:pPr>
              <w:contextualSpacing/>
              <w:rPr>
                <w:rFonts w:ascii="Verdana" w:hAnsi="Verdana" w:cs="Arial"/>
                <w:sz w:val="16"/>
                <w:szCs w:val="16"/>
                <w:lang w:eastAsia="es-ES"/>
              </w:rPr>
            </w:pPr>
            <w:r w:rsidRPr="00E76CD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8AD041" w14:textId="77777777" w:rsidR="005B66DB" w:rsidRPr="00E76CD6" w:rsidRDefault="005B66DB" w:rsidP="00B75C03">
            <w:r w:rsidRPr="00E76CD6">
              <w:rPr>
                <w:rFonts w:ascii="Verdana" w:eastAsia="Calibri" w:hAnsi="Verdana" w:cs="Arial"/>
                <w:sz w:val="16"/>
                <w:szCs w:val="16"/>
                <w:lang w:eastAsia="es-ES"/>
              </w:rPr>
              <w:t>Carolina Quintero Gacharná</w:t>
            </w:r>
          </w:p>
          <w:p w14:paraId="036436BE" w14:textId="77777777" w:rsidR="005B66DB" w:rsidRPr="00E76CD6" w:rsidRDefault="005B66DB" w:rsidP="00B75C03">
            <w:pPr>
              <w:contextualSpacing/>
              <w:rPr>
                <w:rFonts w:ascii="Verdana" w:eastAsia="Calibri" w:hAnsi="Verdana" w:cs="Arial"/>
                <w:sz w:val="16"/>
                <w:szCs w:val="16"/>
                <w:lang w:eastAsia="es-ES"/>
              </w:rPr>
            </w:pPr>
            <w:r w:rsidRPr="00E76CD6">
              <w:rPr>
                <w:rFonts w:ascii="Verdana" w:eastAsia="Calibri" w:hAnsi="Verdana" w:cs="Arial"/>
                <w:sz w:val="16"/>
                <w:szCs w:val="16"/>
                <w:lang w:eastAsia="es-ES"/>
              </w:rPr>
              <w:t xml:space="preserve">Subdirectora de Gestión Contractual ANCP – CCE </w:t>
            </w:r>
          </w:p>
        </w:tc>
      </w:tr>
    </w:tbl>
    <w:p w14:paraId="04408CA7" w14:textId="77777777" w:rsidR="005B66DB" w:rsidRPr="00E76CD6" w:rsidRDefault="005B66DB" w:rsidP="005B66DB"/>
    <w:p w14:paraId="3B608A3B" w14:textId="77777777" w:rsidR="005B66DB" w:rsidRPr="00B075B4" w:rsidRDefault="005B66DB" w:rsidP="005B66DB"/>
    <w:p w14:paraId="3CC07E9A" w14:textId="77777777" w:rsidR="00C24FFE" w:rsidRPr="005B66DB" w:rsidRDefault="00C24FFE" w:rsidP="005B66DB"/>
    <w:sectPr w:rsidR="00C24FFE" w:rsidRPr="005B66DB" w:rsidSect="005B66DB">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83901" w14:textId="77777777" w:rsidR="005B66DB" w:rsidRDefault="005B66DB" w:rsidP="005B66DB">
      <w:pPr>
        <w:spacing w:after="0" w:line="240" w:lineRule="auto"/>
      </w:pPr>
      <w:r>
        <w:separator/>
      </w:r>
    </w:p>
  </w:endnote>
  <w:endnote w:type="continuationSeparator" w:id="0">
    <w:p w14:paraId="3B37FD82" w14:textId="77777777" w:rsidR="005B66DB" w:rsidRDefault="005B66DB" w:rsidP="005B6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2493B" w14:textId="77777777" w:rsidR="005B66DB" w:rsidRDefault="005B66DB">
    <w:pPr>
      <w:pStyle w:val="Piedepgina"/>
    </w:pPr>
  </w:p>
  <w:p w14:paraId="20402052" w14:textId="77777777" w:rsidR="005B66DB" w:rsidRPr="00174B77" w:rsidRDefault="005B66D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724B2FE" w14:textId="77777777" w:rsidR="005B66DB" w:rsidRDefault="005B66D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5F3A5DF" w14:textId="77777777" w:rsidR="005B66DB" w:rsidRPr="00E41027" w:rsidRDefault="005B66DB" w:rsidP="00D520D8">
    <w:pPr>
      <w:spacing w:after="0"/>
      <w:jc w:val="both"/>
      <w:rPr>
        <w:rFonts w:ascii="Verdana" w:hAnsi="Verdana"/>
        <w:sz w:val="18"/>
        <w:szCs w:val="18"/>
      </w:rPr>
    </w:pPr>
    <w:r w:rsidRPr="00E41027">
      <w:rPr>
        <w:rFonts w:ascii="Verdana" w:hAnsi="Verdana"/>
        <w:sz w:val="18"/>
        <w:szCs w:val="18"/>
      </w:rPr>
      <w:t>Mesa de servicio: (+57) 601 7456788</w:t>
    </w:r>
  </w:p>
  <w:p w14:paraId="5F2F2F8E" w14:textId="77777777" w:rsidR="005B66DB" w:rsidRDefault="005B66D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889DB" w14:textId="77777777" w:rsidR="005B66DB" w:rsidRDefault="005B66DB" w:rsidP="005B66DB">
      <w:pPr>
        <w:spacing w:after="0" w:line="240" w:lineRule="auto"/>
      </w:pPr>
      <w:r>
        <w:separator/>
      </w:r>
    </w:p>
  </w:footnote>
  <w:footnote w:type="continuationSeparator" w:id="0">
    <w:p w14:paraId="2D0E0C9E" w14:textId="77777777" w:rsidR="005B66DB" w:rsidRDefault="005B66DB" w:rsidP="005B66DB">
      <w:pPr>
        <w:spacing w:after="0" w:line="240" w:lineRule="auto"/>
      </w:pPr>
      <w:r>
        <w:continuationSeparator/>
      </w:r>
    </w:p>
  </w:footnote>
  <w:footnote w:id="1">
    <w:p w14:paraId="64764215" w14:textId="77777777" w:rsidR="005B66DB" w:rsidRPr="0005438A" w:rsidRDefault="005B66DB" w:rsidP="005B66DB">
      <w:pPr>
        <w:spacing w:after="0" w:line="244" w:lineRule="auto"/>
        <w:ind w:left="120" w:firstLine="707"/>
        <w:jc w:val="both"/>
        <w:rPr>
          <w:rFonts w:ascii="Verdana" w:hAnsi="Verdana" w:cs="Arial"/>
          <w:sz w:val="14"/>
          <w:szCs w:val="14"/>
        </w:rPr>
      </w:pPr>
      <w:r w:rsidRPr="0005438A">
        <w:rPr>
          <w:rStyle w:val="Refdenotaalpie"/>
          <w:rFonts w:ascii="Verdana" w:hAnsi="Verdana" w:cs="Arial"/>
          <w:sz w:val="14"/>
          <w:szCs w:val="14"/>
        </w:rPr>
        <w:footnoteRef/>
      </w:r>
      <w:r w:rsidRPr="0005438A">
        <w:rPr>
          <w:rFonts w:ascii="Verdana" w:hAnsi="Verdana" w:cs="Arial"/>
          <w:position w:val="6"/>
          <w:sz w:val="14"/>
          <w:szCs w:val="14"/>
        </w:rPr>
        <w:t xml:space="preserve"> </w:t>
      </w:r>
      <w:r w:rsidRPr="0005438A">
        <w:rPr>
          <w:rFonts w:ascii="Verdana" w:hAnsi="Verdana" w:cs="Arial"/>
          <w:sz w:val="14"/>
          <w:szCs w:val="14"/>
        </w:rPr>
        <w:t>DEIK ACOSTAMADIEDO, Carolina, Guía de Contratación Estatal: Deber de planeación y modalidades de selección, Buenos Aires, 2015, p. 59.</w:t>
      </w:r>
    </w:p>
    <w:p w14:paraId="27D20DBC" w14:textId="77777777" w:rsidR="005B66DB" w:rsidRPr="0005438A" w:rsidRDefault="005B66DB" w:rsidP="005B66DB">
      <w:pPr>
        <w:pStyle w:val="Textonotapie"/>
        <w:jc w:val="both"/>
        <w:rPr>
          <w:rFonts w:ascii="Verdana" w:hAnsi="Verdana"/>
          <w:sz w:val="14"/>
          <w:szCs w:val="14"/>
        </w:rPr>
      </w:pPr>
    </w:p>
  </w:footnote>
  <w:footnote w:id="2">
    <w:p w14:paraId="4065A151" w14:textId="77777777" w:rsidR="005B66DB" w:rsidRPr="0005438A" w:rsidRDefault="005B66DB" w:rsidP="005B66DB">
      <w:pPr>
        <w:pStyle w:val="Textoindependiente"/>
        <w:spacing w:after="0"/>
        <w:ind w:right="103" w:firstLine="709"/>
        <w:jc w:val="both"/>
        <w:rPr>
          <w:rFonts w:ascii="Verdana" w:hAnsi="Verdana"/>
          <w:sz w:val="14"/>
          <w:szCs w:val="14"/>
        </w:rPr>
      </w:pPr>
      <w:r w:rsidRPr="0005438A">
        <w:rPr>
          <w:rStyle w:val="Refdenotaalpie"/>
          <w:rFonts w:ascii="Verdana" w:hAnsi="Verdana"/>
          <w:sz w:val="14"/>
          <w:szCs w:val="14"/>
        </w:rPr>
        <w:footnoteRef/>
      </w:r>
      <w:r w:rsidRPr="0005438A">
        <w:rPr>
          <w:rFonts w:ascii="Verdana" w:hAnsi="Verdana"/>
          <w:sz w:val="14"/>
          <w:szCs w:val="14"/>
        </w:rPr>
        <w:t xml:space="preserve"> </w:t>
      </w:r>
      <w:r w:rsidRPr="0005438A">
        <w:rPr>
          <w:rFonts w:ascii="Verdana" w:hAnsi="Verdana"/>
          <w:position w:val="6"/>
          <w:sz w:val="14"/>
          <w:szCs w:val="14"/>
        </w:rPr>
        <w:t xml:space="preserve"> </w:t>
      </w:r>
      <w:r w:rsidRPr="0005438A">
        <w:rPr>
          <w:rFonts w:ascii="Verdana" w:hAnsi="Verdana"/>
          <w:sz w:val="14"/>
          <w:szCs w:val="14"/>
        </w:rPr>
        <w:t xml:space="preserve">“Artículo </w:t>
      </w:r>
      <w:bookmarkStart w:id="3" w:name="_Hlk54173885"/>
      <w:r w:rsidRPr="0005438A">
        <w:rPr>
          <w:rFonts w:ascii="Verdana" w:hAnsi="Verdana"/>
          <w:sz w:val="14"/>
          <w:szCs w:val="14"/>
        </w:rPr>
        <w:t>2.2.1.1.2.1.1</w:t>
      </w:r>
      <w:bookmarkEnd w:id="3"/>
      <w:r w:rsidRPr="0005438A">
        <w:rPr>
          <w:rFonts w:ascii="Verdana" w:hAnsi="Verdana"/>
          <w:sz w:val="14"/>
          <w:szCs w:val="14"/>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15EA66DC" w14:textId="77777777" w:rsidR="005B66DB" w:rsidRPr="0005438A" w:rsidRDefault="005B66DB" w:rsidP="005B66DB">
      <w:pPr>
        <w:pStyle w:val="Textonotapie"/>
        <w:ind w:firstLine="709"/>
        <w:jc w:val="both"/>
        <w:rPr>
          <w:rFonts w:ascii="Verdana" w:hAnsi="Verdana" w:cs="Arial"/>
          <w:sz w:val="14"/>
          <w:szCs w:val="14"/>
        </w:rPr>
      </w:pPr>
    </w:p>
  </w:footnote>
  <w:footnote w:id="3">
    <w:p w14:paraId="5C78D5DE" w14:textId="77777777" w:rsidR="005B66DB" w:rsidRPr="0005438A" w:rsidRDefault="005B66DB" w:rsidP="005B66DB">
      <w:pPr>
        <w:pStyle w:val="Textoindependiente"/>
        <w:spacing w:before="1" w:after="0"/>
        <w:ind w:right="108" w:firstLine="709"/>
        <w:jc w:val="both"/>
        <w:rPr>
          <w:rFonts w:ascii="Verdana" w:hAnsi="Verdana"/>
          <w:sz w:val="14"/>
          <w:szCs w:val="14"/>
        </w:rPr>
      </w:pPr>
      <w:r w:rsidRPr="0005438A">
        <w:rPr>
          <w:rStyle w:val="Refdenotaalpie"/>
          <w:rFonts w:ascii="Verdana" w:hAnsi="Verdana"/>
          <w:sz w:val="14"/>
          <w:szCs w:val="14"/>
        </w:rPr>
        <w:footnoteRef/>
      </w:r>
      <w:r w:rsidRPr="0005438A">
        <w:rPr>
          <w:rFonts w:ascii="Verdana" w:hAnsi="Verdana"/>
          <w:sz w:val="14"/>
          <w:szCs w:val="14"/>
        </w:rPr>
        <w:t xml:space="preserve"> Consejo de Estado, Sección Tercera, Subsección B, 31 de agosto de 2011, </w:t>
      </w:r>
      <w:proofErr w:type="spellStart"/>
      <w:r w:rsidRPr="0005438A">
        <w:rPr>
          <w:rFonts w:ascii="Verdana" w:hAnsi="Verdana"/>
          <w:sz w:val="14"/>
          <w:szCs w:val="14"/>
        </w:rPr>
        <w:t>Exp</w:t>
      </w:r>
      <w:proofErr w:type="spellEnd"/>
      <w:r w:rsidRPr="0005438A">
        <w:rPr>
          <w:rFonts w:ascii="Verdana" w:hAnsi="Verdana"/>
          <w:sz w:val="14"/>
          <w:szCs w:val="14"/>
        </w:rPr>
        <w:t>. No.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22B19E96" w14:textId="77777777" w:rsidR="005B66DB" w:rsidRPr="0005438A" w:rsidRDefault="005B66DB" w:rsidP="005B66DB">
      <w:pPr>
        <w:pStyle w:val="Textonotapie"/>
        <w:jc w:val="both"/>
        <w:rPr>
          <w:rFonts w:ascii="Verdana" w:hAnsi="Verdana"/>
          <w:sz w:val="14"/>
          <w:szCs w:val="14"/>
          <w:lang w:val="es-CO"/>
        </w:rPr>
      </w:pPr>
    </w:p>
  </w:footnote>
  <w:footnote w:id="4">
    <w:p w14:paraId="131D9A6A" w14:textId="77777777" w:rsidR="005B66DB" w:rsidRPr="0005438A" w:rsidRDefault="005B66DB" w:rsidP="005B66DB">
      <w:pPr>
        <w:pStyle w:val="Textonotapie"/>
        <w:ind w:firstLine="708"/>
        <w:jc w:val="both"/>
        <w:rPr>
          <w:rFonts w:ascii="Verdana" w:hAnsi="Verdana" w:cs="Arial"/>
          <w:sz w:val="14"/>
          <w:szCs w:val="14"/>
        </w:rPr>
      </w:pPr>
      <w:r w:rsidRPr="0005438A">
        <w:rPr>
          <w:rStyle w:val="Refdenotaalpie"/>
          <w:rFonts w:ascii="Verdana" w:hAnsi="Verdana" w:cs="Arial"/>
          <w:sz w:val="14"/>
          <w:szCs w:val="14"/>
        </w:rPr>
        <w:footnoteRef/>
      </w:r>
      <w:r w:rsidRPr="0005438A">
        <w:rPr>
          <w:rFonts w:ascii="Verdana" w:hAnsi="Verdana" w:cs="Arial"/>
          <w:sz w:val="14"/>
          <w:szCs w:val="14"/>
        </w:rPr>
        <w:t xml:space="preserve"> OSPINA MENA, Jesús Marino. Régimen de la Contratación Estatal. Un salto a la contratación líquida. Bogotá: Ed. 1ª. </w:t>
      </w:r>
      <w:proofErr w:type="spellStart"/>
      <w:r w:rsidRPr="0005438A">
        <w:rPr>
          <w:rFonts w:ascii="Verdana" w:hAnsi="Verdana" w:cs="Arial"/>
          <w:sz w:val="14"/>
          <w:szCs w:val="14"/>
        </w:rPr>
        <w:t>Diké</w:t>
      </w:r>
      <w:proofErr w:type="spellEnd"/>
      <w:r w:rsidRPr="0005438A">
        <w:rPr>
          <w:rFonts w:ascii="Verdana" w:hAnsi="Verdana" w:cs="Arial"/>
          <w:sz w:val="14"/>
          <w:szCs w:val="14"/>
        </w:rPr>
        <w:t>, 2020. p. 383.</w:t>
      </w:r>
    </w:p>
    <w:p w14:paraId="71B997A4" w14:textId="77777777" w:rsidR="005B66DB" w:rsidRPr="0005438A" w:rsidRDefault="005B66DB" w:rsidP="005B66DB">
      <w:pPr>
        <w:pStyle w:val="Textonotapie"/>
        <w:ind w:firstLine="708"/>
        <w:jc w:val="both"/>
        <w:rPr>
          <w:rFonts w:ascii="Verdana" w:hAnsi="Verdana" w:cs="Arial"/>
          <w:sz w:val="14"/>
          <w:szCs w:val="14"/>
        </w:rPr>
      </w:pPr>
    </w:p>
  </w:footnote>
  <w:footnote w:id="5">
    <w:p w14:paraId="77FB6530" w14:textId="77777777" w:rsidR="005B66DB" w:rsidRPr="0005438A" w:rsidRDefault="005B66DB" w:rsidP="005B66DB">
      <w:pPr>
        <w:pStyle w:val="Textonotapie"/>
        <w:ind w:firstLine="708"/>
        <w:jc w:val="both"/>
        <w:rPr>
          <w:rFonts w:ascii="Verdana" w:hAnsi="Verdana" w:cs="Arial"/>
          <w:sz w:val="14"/>
          <w:szCs w:val="14"/>
        </w:rPr>
      </w:pPr>
      <w:r w:rsidRPr="0005438A">
        <w:rPr>
          <w:rStyle w:val="Refdenotaalpie"/>
          <w:rFonts w:ascii="Verdana" w:hAnsi="Verdana" w:cs="Arial"/>
          <w:sz w:val="14"/>
          <w:szCs w:val="14"/>
        </w:rPr>
        <w:footnoteRef/>
      </w:r>
      <w:r w:rsidRPr="0005438A">
        <w:rPr>
          <w:rFonts w:ascii="Verdana" w:hAnsi="Verdana" w:cs="Arial"/>
          <w:sz w:val="14"/>
          <w:szCs w:val="14"/>
        </w:rPr>
        <w:t xml:space="preserve"> CONSEJO DE ESTADO. Sección Tercera. Sentencia de 30 de noviembre de 2006. </w:t>
      </w:r>
      <w:proofErr w:type="spellStart"/>
      <w:r w:rsidRPr="0005438A">
        <w:rPr>
          <w:rFonts w:ascii="Verdana" w:hAnsi="Verdana" w:cs="Arial"/>
          <w:sz w:val="14"/>
          <w:szCs w:val="14"/>
        </w:rPr>
        <w:t>Exp</w:t>
      </w:r>
      <w:proofErr w:type="spellEnd"/>
      <w:r w:rsidRPr="0005438A">
        <w:rPr>
          <w:rFonts w:ascii="Verdana" w:hAnsi="Verdana" w:cs="Arial"/>
          <w:sz w:val="14"/>
          <w:szCs w:val="14"/>
        </w:rPr>
        <w:t>. 18.059. M.P. Alier Hernández Enríquez.</w:t>
      </w:r>
    </w:p>
    <w:p w14:paraId="0265D0F6" w14:textId="77777777" w:rsidR="005B66DB" w:rsidRPr="0005438A" w:rsidRDefault="005B66DB" w:rsidP="005B66DB">
      <w:pPr>
        <w:pStyle w:val="Textonotapie"/>
        <w:jc w:val="both"/>
        <w:rPr>
          <w:rFonts w:ascii="Verdana" w:hAnsi="Verdana" w:cs="Arial"/>
          <w:sz w:val="14"/>
          <w:szCs w:val="14"/>
        </w:rPr>
      </w:pPr>
    </w:p>
  </w:footnote>
  <w:footnote w:id="6">
    <w:p w14:paraId="170E1DD9" w14:textId="77777777" w:rsidR="005B66DB" w:rsidRPr="0005438A" w:rsidRDefault="005B66DB" w:rsidP="005B66DB">
      <w:pPr>
        <w:pStyle w:val="Textonotapie"/>
        <w:ind w:firstLine="708"/>
        <w:jc w:val="both"/>
        <w:rPr>
          <w:rFonts w:ascii="Verdana" w:hAnsi="Verdana"/>
          <w:sz w:val="14"/>
          <w:szCs w:val="14"/>
        </w:rPr>
      </w:pPr>
      <w:r w:rsidRPr="0005438A">
        <w:rPr>
          <w:rStyle w:val="Refdenotaalpie"/>
          <w:rFonts w:ascii="Verdana" w:hAnsi="Verdana" w:cs="Arial"/>
          <w:sz w:val="14"/>
          <w:szCs w:val="14"/>
        </w:rPr>
        <w:footnoteRef/>
      </w:r>
      <w:r w:rsidRPr="0005438A">
        <w:rPr>
          <w:rFonts w:ascii="Verdana" w:hAnsi="Verdana" w:cs="Arial"/>
          <w:sz w:val="14"/>
          <w:szCs w:val="14"/>
        </w:rPr>
        <w:t xml:space="preserve"> Sin perjuicio de los dispuesto en el artículo 2.2.1.1.2.1.3. del Decreto 1082 de 2015 sobre el contenido del pliego de condiciones, donde se desarrolla de forma más exhaustiva cada uno de sus componentes mínimos.</w:t>
      </w:r>
    </w:p>
  </w:footnote>
  <w:footnote w:id="7">
    <w:p w14:paraId="139BD552"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Style w:val="Refdenotaalpie"/>
          <w:rFonts w:ascii="Verdana" w:hAnsi="Verdana" w:cs="Arial"/>
          <w:color w:val="000000" w:themeColor="text1"/>
          <w:sz w:val="14"/>
          <w:szCs w:val="14"/>
        </w:rPr>
        <w:footnoteRef/>
      </w:r>
      <w:r w:rsidRPr="0005438A">
        <w:rPr>
          <w:rFonts w:ascii="Verdana" w:hAnsi="Verdana" w:cs="Arial"/>
          <w:color w:val="000000" w:themeColor="text1"/>
          <w:sz w:val="14"/>
          <w:szCs w:val="14"/>
          <w:lang w:val="pt-BR"/>
        </w:rPr>
        <w:t xml:space="preserve"> CORTE CONSTITUCIONAL. Sentencia C-128 de 2003. </w:t>
      </w:r>
      <w:r w:rsidRPr="0005438A">
        <w:rPr>
          <w:rFonts w:ascii="Verdana" w:hAnsi="Verdana" w:cs="Arial"/>
          <w:color w:val="000000" w:themeColor="text1"/>
          <w:sz w:val="14"/>
          <w:szCs w:val="14"/>
        </w:rPr>
        <w:t>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p w14:paraId="5C5359D8" w14:textId="77777777" w:rsidR="005B66DB" w:rsidRPr="0005438A" w:rsidRDefault="005B66DB" w:rsidP="005B66DB">
      <w:pPr>
        <w:pStyle w:val="Textonotapie"/>
        <w:ind w:firstLine="708"/>
        <w:jc w:val="both"/>
        <w:rPr>
          <w:rFonts w:ascii="Verdana" w:hAnsi="Verdana" w:cs="Arial"/>
          <w:color w:val="000000" w:themeColor="text1"/>
          <w:sz w:val="14"/>
          <w:szCs w:val="14"/>
          <w:lang w:val="es-ES"/>
        </w:rPr>
      </w:pPr>
    </w:p>
  </w:footnote>
  <w:footnote w:id="8">
    <w:p w14:paraId="04AA9002" w14:textId="77777777" w:rsidR="005B66DB" w:rsidRPr="0005438A" w:rsidRDefault="005B66DB" w:rsidP="005B66DB">
      <w:pPr>
        <w:pStyle w:val="Textonotapie"/>
        <w:ind w:firstLine="709"/>
        <w:jc w:val="both"/>
        <w:rPr>
          <w:rFonts w:ascii="Verdana" w:hAnsi="Verdana" w:cs="Arial"/>
          <w:color w:val="000000" w:themeColor="text1"/>
          <w:sz w:val="14"/>
          <w:szCs w:val="14"/>
          <w:lang w:val="es-ES"/>
        </w:rPr>
      </w:pPr>
      <w:r w:rsidRPr="0005438A">
        <w:rPr>
          <w:rStyle w:val="Refdenotaalpie"/>
          <w:rFonts w:ascii="Verdana" w:hAnsi="Verdana" w:cs="Arial"/>
          <w:color w:val="000000" w:themeColor="text1"/>
          <w:sz w:val="14"/>
          <w:szCs w:val="14"/>
        </w:rPr>
        <w:footnoteRef/>
      </w:r>
      <w:r w:rsidRPr="0005438A">
        <w:rPr>
          <w:rFonts w:ascii="Verdana" w:hAnsi="Verdana" w:cs="Arial"/>
          <w:color w:val="000000" w:themeColor="text1"/>
          <w:sz w:val="14"/>
          <w:szCs w:val="14"/>
        </w:rPr>
        <w:t xml:space="preserve"> CONSEJO DE ESTADO, Sección Tercera. Sentencia del 11 de noviembre de 2009. </w:t>
      </w:r>
      <w:proofErr w:type="spellStart"/>
      <w:r w:rsidRPr="0005438A">
        <w:rPr>
          <w:rFonts w:ascii="Verdana" w:hAnsi="Verdana" w:cs="Arial"/>
          <w:color w:val="000000" w:themeColor="text1"/>
          <w:sz w:val="14"/>
          <w:szCs w:val="14"/>
        </w:rPr>
        <w:t>Exp</w:t>
      </w:r>
      <w:proofErr w:type="spellEnd"/>
      <w:r w:rsidRPr="0005438A">
        <w:rPr>
          <w:rFonts w:ascii="Verdana" w:hAnsi="Verdana" w:cs="Arial"/>
          <w:color w:val="000000" w:themeColor="text1"/>
          <w:sz w:val="14"/>
          <w:szCs w:val="14"/>
        </w:rPr>
        <w:t>. 17.366. C.P. Mauricio Fajardo Gómez.</w:t>
      </w:r>
    </w:p>
  </w:footnote>
  <w:footnote w:id="9">
    <w:p w14:paraId="1E635CB8" w14:textId="77777777" w:rsidR="005B66DB" w:rsidRPr="0005438A" w:rsidRDefault="005B66DB" w:rsidP="005B66DB">
      <w:pPr>
        <w:pStyle w:val="Textonotapie"/>
        <w:ind w:firstLine="709"/>
        <w:jc w:val="both"/>
        <w:rPr>
          <w:rFonts w:ascii="Verdana" w:hAnsi="Verdana" w:cs="Arial"/>
          <w:color w:val="000000" w:themeColor="text1"/>
          <w:sz w:val="14"/>
          <w:szCs w:val="14"/>
        </w:rPr>
      </w:pPr>
    </w:p>
    <w:p w14:paraId="64E8B6F7" w14:textId="77777777" w:rsidR="005B66DB" w:rsidRPr="0005438A" w:rsidRDefault="005B66DB" w:rsidP="005B66DB">
      <w:pPr>
        <w:pStyle w:val="Textonotapie"/>
        <w:ind w:firstLine="709"/>
        <w:jc w:val="both"/>
        <w:rPr>
          <w:rFonts w:ascii="Verdana" w:hAnsi="Verdana" w:cs="Arial"/>
          <w:color w:val="000000" w:themeColor="text1"/>
          <w:sz w:val="14"/>
          <w:szCs w:val="14"/>
        </w:rPr>
      </w:pPr>
      <w:r w:rsidRPr="0005438A">
        <w:rPr>
          <w:rStyle w:val="Refdenotaalpie"/>
          <w:rFonts w:ascii="Verdana" w:hAnsi="Verdana" w:cs="Arial"/>
          <w:color w:val="000000" w:themeColor="text1"/>
          <w:sz w:val="14"/>
          <w:szCs w:val="14"/>
        </w:rPr>
        <w:footnoteRef/>
      </w:r>
      <w:r w:rsidRPr="0005438A">
        <w:rPr>
          <w:rFonts w:ascii="Verdana" w:hAnsi="Verdana" w:cs="Arial"/>
          <w:color w:val="000000" w:themeColor="text1"/>
          <w:sz w:val="14"/>
          <w:szCs w:val="14"/>
        </w:rPr>
        <w:t xml:space="preserve"> CONSEJO DE ESTADO. Sección Tercera, Sentencia del 24 de julio de 2013. </w:t>
      </w:r>
      <w:proofErr w:type="spellStart"/>
      <w:r w:rsidRPr="0005438A">
        <w:rPr>
          <w:rFonts w:ascii="Verdana" w:hAnsi="Verdana" w:cs="Arial"/>
          <w:color w:val="000000" w:themeColor="text1"/>
          <w:sz w:val="14"/>
          <w:szCs w:val="14"/>
        </w:rPr>
        <w:t>Exp</w:t>
      </w:r>
      <w:proofErr w:type="spellEnd"/>
      <w:r w:rsidRPr="0005438A">
        <w:rPr>
          <w:rFonts w:ascii="Verdana" w:hAnsi="Verdana" w:cs="Arial"/>
          <w:color w:val="000000" w:themeColor="text1"/>
          <w:sz w:val="14"/>
          <w:szCs w:val="14"/>
        </w:rPr>
        <w:t>.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p w14:paraId="4EBFFD71" w14:textId="77777777" w:rsidR="005B66DB" w:rsidRPr="0005438A" w:rsidRDefault="005B66DB" w:rsidP="005B66DB">
      <w:pPr>
        <w:pStyle w:val="Textonotapie"/>
        <w:ind w:firstLine="709"/>
        <w:jc w:val="both"/>
        <w:rPr>
          <w:rFonts w:ascii="Verdana" w:hAnsi="Verdana" w:cs="Arial"/>
          <w:color w:val="000000" w:themeColor="text1"/>
          <w:sz w:val="14"/>
          <w:szCs w:val="14"/>
          <w:lang w:val="es-ES"/>
        </w:rPr>
      </w:pPr>
    </w:p>
  </w:footnote>
  <w:footnote w:id="10">
    <w:p w14:paraId="366ABE7B" w14:textId="77777777" w:rsidR="005B66DB" w:rsidRPr="0005438A" w:rsidRDefault="005B66DB" w:rsidP="005B66DB">
      <w:pPr>
        <w:pStyle w:val="Textonotapie"/>
        <w:ind w:firstLine="709"/>
        <w:jc w:val="both"/>
        <w:rPr>
          <w:rFonts w:ascii="Verdana" w:hAnsi="Verdana" w:cs="Arial"/>
          <w:color w:val="000000" w:themeColor="text1"/>
          <w:sz w:val="14"/>
          <w:szCs w:val="14"/>
        </w:rPr>
      </w:pPr>
      <w:r w:rsidRPr="0005438A">
        <w:rPr>
          <w:rStyle w:val="Refdenotaalpie"/>
          <w:rFonts w:ascii="Verdana" w:hAnsi="Verdana" w:cs="Arial"/>
          <w:color w:val="000000" w:themeColor="text1"/>
          <w:sz w:val="14"/>
          <w:szCs w:val="14"/>
        </w:rPr>
        <w:footnoteRef/>
      </w:r>
      <w:r w:rsidRPr="0005438A">
        <w:rPr>
          <w:rFonts w:ascii="Verdana" w:hAnsi="Verdana" w:cs="Arial"/>
          <w:color w:val="000000" w:themeColor="text1"/>
          <w:sz w:val="14"/>
          <w:szCs w:val="14"/>
        </w:rPr>
        <w:t xml:space="preserve"> Decreto 1082 de 2015: “Artículo 2.2.1.1.2.1.3. Pliegos de condiciones. Los pliegos de condiciones deben contener por lo menos la siguiente información:</w:t>
      </w:r>
    </w:p>
    <w:p w14:paraId="381A33C6" w14:textId="77777777" w:rsidR="005B66DB" w:rsidRPr="0005438A" w:rsidRDefault="005B66DB" w:rsidP="005B66DB">
      <w:pPr>
        <w:pStyle w:val="Textonotapie"/>
        <w:ind w:firstLine="709"/>
        <w:jc w:val="both"/>
        <w:rPr>
          <w:rFonts w:ascii="Verdana" w:hAnsi="Verdana" w:cs="Arial"/>
          <w:color w:val="000000" w:themeColor="text1"/>
          <w:sz w:val="14"/>
          <w:szCs w:val="14"/>
        </w:rPr>
      </w:pPr>
      <w:r w:rsidRPr="0005438A">
        <w:rPr>
          <w:rFonts w:ascii="Verdana" w:hAnsi="Verdana" w:cs="Arial"/>
          <w:color w:val="000000" w:themeColor="text1"/>
          <w:sz w:val="14"/>
          <w:szCs w:val="14"/>
        </w:rPr>
        <w:t>1. La descripción técnica, detallada y completa del bien o servicio objeto del contrato, identificado con el cuarto nivel del Clasificador de Bienes y Servicios, de ser posible o de lo contrario con el tercer nivel del mismo.</w:t>
      </w:r>
    </w:p>
    <w:p w14:paraId="60410A85" w14:textId="77777777" w:rsidR="005B66DB" w:rsidRPr="0005438A" w:rsidRDefault="005B66DB" w:rsidP="005B66DB">
      <w:pPr>
        <w:pStyle w:val="Textonotapie"/>
        <w:ind w:firstLine="709"/>
        <w:jc w:val="both"/>
        <w:rPr>
          <w:rFonts w:ascii="Verdana" w:hAnsi="Verdana" w:cs="Arial"/>
          <w:color w:val="000000" w:themeColor="text1"/>
          <w:sz w:val="14"/>
          <w:szCs w:val="14"/>
        </w:rPr>
      </w:pPr>
      <w:r w:rsidRPr="0005438A">
        <w:rPr>
          <w:rFonts w:ascii="Verdana" w:hAnsi="Verdana" w:cs="Arial"/>
          <w:color w:val="000000" w:themeColor="text1"/>
          <w:sz w:val="14"/>
          <w:szCs w:val="14"/>
        </w:rPr>
        <w:t>2. La modalidad del proceso de selección y su justificación.</w:t>
      </w:r>
    </w:p>
    <w:p w14:paraId="3A3D771E" w14:textId="77777777" w:rsidR="005B66DB" w:rsidRPr="0005438A" w:rsidRDefault="005B66DB" w:rsidP="005B66DB">
      <w:pPr>
        <w:pStyle w:val="Textonotapie"/>
        <w:ind w:firstLine="709"/>
        <w:jc w:val="both"/>
        <w:rPr>
          <w:rFonts w:ascii="Verdana" w:hAnsi="Verdana" w:cs="Arial"/>
          <w:color w:val="000000" w:themeColor="text1"/>
          <w:sz w:val="14"/>
          <w:szCs w:val="14"/>
        </w:rPr>
      </w:pPr>
      <w:r w:rsidRPr="0005438A">
        <w:rPr>
          <w:rFonts w:ascii="Verdana" w:hAnsi="Verdana" w:cs="Arial"/>
          <w:color w:val="000000" w:themeColor="text1"/>
          <w:sz w:val="14"/>
          <w:szCs w:val="14"/>
        </w:rPr>
        <w:t>3. Los criterios de selección, incluyendo los factores de desempate y los incentivos cuando a ello haya lugar.</w:t>
      </w:r>
    </w:p>
    <w:p w14:paraId="630F9BD4"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4. Las condiciones de costo y/o calidad que la Entidad Estatal debe tener en cuenta para la selección objetiva, de acuerdo con la modalidad de selección del contratista.</w:t>
      </w:r>
    </w:p>
    <w:p w14:paraId="68D9FD5D"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5.    Las reglas aplicables a la presentación de las ofertas, su evaluación y a la adjudicación del contrato.</w:t>
      </w:r>
    </w:p>
    <w:p w14:paraId="0DD9C177"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6. Las causas que dan lugar a rechazar una oferta.</w:t>
      </w:r>
    </w:p>
    <w:p w14:paraId="75DF9C30"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7. El valor del contrato, el plazo, el cronograma de pagos y la determinación de si debe haber lugar a la entrega de anticipo, y si hubiere, indicar su valor, el cual debe tener en cuenta los rendimientos que este pueda generar.</w:t>
      </w:r>
    </w:p>
    <w:p w14:paraId="1E77D2DA"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8. Los Riesgos asociados al contrato, la forma de mitigarlos y la asignación del Riesgo entre las partes contratantes.</w:t>
      </w:r>
    </w:p>
    <w:p w14:paraId="75E0C0F2"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9. Las garantías exigidas en el Proceso de Contratación y sus condiciones.</w:t>
      </w:r>
    </w:p>
    <w:p w14:paraId="4A56F641"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10. La mención de si la Entidad Estatal y el contrato objeto de los pliegos de condiciones están cubiertos por un Acuerdo Comercial.</w:t>
      </w:r>
    </w:p>
    <w:p w14:paraId="0531FCA6"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11. Los términos, condiciones y minuta del contrato.</w:t>
      </w:r>
    </w:p>
    <w:p w14:paraId="69B62865"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12. Los términos de la supervisión y/o de la interventoría del contrato.</w:t>
      </w:r>
    </w:p>
    <w:p w14:paraId="0C389E76"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13. El plazo dentro del cual la Entidad Estatal puede expedir Adendas.</w:t>
      </w:r>
    </w:p>
    <w:p w14:paraId="7323BA54" w14:textId="77777777" w:rsidR="005B66DB" w:rsidRPr="0005438A" w:rsidRDefault="005B66DB" w:rsidP="005B66DB">
      <w:pPr>
        <w:pStyle w:val="Textonotapie"/>
        <w:ind w:firstLine="708"/>
        <w:jc w:val="both"/>
        <w:rPr>
          <w:rFonts w:ascii="Verdana" w:hAnsi="Verdana" w:cs="Arial"/>
          <w:color w:val="000000" w:themeColor="text1"/>
          <w:sz w:val="14"/>
          <w:szCs w:val="14"/>
        </w:rPr>
      </w:pPr>
      <w:r w:rsidRPr="0005438A">
        <w:rPr>
          <w:rFonts w:ascii="Verdana" w:hAnsi="Verdana" w:cs="Arial"/>
          <w:color w:val="000000" w:themeColor="text1"/>
          <w:sz w:val="14"/>
          <w:szCs w:val="14"/>
        </w:rPr>
        <w:t>14. El Cronograma”.</w:t>
      </w:r>
    </w:p>
    <w:p w14:paraId="3CB021D3" w14:textId="77777777" w:rsidR="005B66DB" w:rsidRPr="0005438A" w:rsidRDefault="005B66DB" w:rsidP="005B66DB">
      <w:pPr>
        <w:pStyle w:val="Textonotapie"/>
        <w:jc w:val="both"/>
        <w:rPr>
          <w:rFonts w:ascii="Verdana" w:hAnsi="Verdana" w:cs="Arial"/>
          <w:color w:val="000000" w:themeColor="text1"/>
          <w:sz w:val="14"/>
          <w:szCs w:val="14"/>
        </w:rPr>
      </w:pPr>
    </w:p>
  </w:footnote>
  <w:footnote w:id="11">
    <w:p w14:paraId="4C0E787D" w14:textId="77777777" w:rsidR="005B66DB" w:rsidRPr="0005438A" w:rsidRDefault="005B66DB" w:rsidP="005B66DB">
      <w:pPr>
        <w:pStyle w:val="Textonotapie"/>
        <w:ind w:firstLine="708"/>
        <w:jc w:val="both"/>
        <w:rPr>
          <w:rFonts w:ascii="Verdana" w:hAnsi="Verdana"/>
          <w:sz w:val="14"/>
          <w:szCs w:val="14"/>
          <w:lang w:val="es-CO"/>
        </w:rPr>
      </w:pPr>
      <w:r w:rsidRPr="0005438A">
        <w:rPr>
          <w:rStyle w:val="Refdenotaalpie"/>
          <w:rFonts w:ascii="Verdana" w:hAnsi="Verdana"/>
          <w:sz w:val="14"/>
          <w:szCs w:val="14"/>
        </w:rPr>
        <w:footnoteRef/>
      </w:r>
      <w:r w:rsidRPr="0005438A">
        <w:rPr>
          <w:rFonts w:ascii="Verdana" w:hAnsi="Verdana"/>
          <w:sz w:val="14"/>
          <w:szCs w:val="14"/>
        </w:rPr>
        <w:t xml:space="preserve"> “</w:t>
      </w:r>
      <w:r w:rsidRPr="0005438A">
        <w:rPr>
          <w:rFonts w:ascii="Verdana" w:hAnsi="Verdana"/>
          <w:sz w:val="14"/>
          <w:szCs w:val="14"/>
          <w:lang w:val="es-CO"/>
        </w:rPr>
        <w:t>Artículo 25. del Principio de economía. En virtud de este principio: </w:t>
      </w:r>
    </w:p>
    <w:p w14:paraId="62312F45" w14:textId="77777777" w:rsidR="005B66DB" w:rsidRPr="0005438A" w:rsidRDefault="005B66DB" w:rsidP="005B66DB">
      <w:pPr>
        <w:pStyle w:val="Textonotapie"/>
        <w:ind w:firstLine="708"/>
        <w:jc w:val="both"/>
        <w:rPr>
          <w:rFonts w:ascii="Verdana" w:hAnsi="Verdana"/>
          <w:sz w:val="14"/>
          <w:szCs w:val="14"/>
          <w:lang w:val="es-CO"/>
        </w:rPr>
      </w:pPr>
      <w:r w:rsidRPr="0005438A">
        <w:rPr>
          <w:rFonts w:ascii="Verdana" w:hAnsi="Verdana"/>
          <w:sz w:val="14"/>
          <w:szCs w:val="14"/>
          <w:lang w:val="es-CO"/>
        </w:rPr>
        <w:t>  […]</w:t>
      </w:r>
    </w:p>
    <w:p w14:paraId="13EF5E6F" w14:textId="77777777" w:rsidR="005B66DB" w:rsidRPr="0005438A" w:rsidRDefault="005B66DB" w:rsidP="005B66DB">
      <w:pPr>
        <w:pStyle w:val="Textonotapie"/>
        <w:ind w:firstLine="708"/>
        <w:jc w:val="both"/>
        <w:rPr>
          <w:rFonts w:ascii="Verdana" w:hAnsi="Verdana"/>
          <w:sz w:val="14"/>
          <w:szCs w:val="14"/>
        </w:rPr>
      </w:pPr>
      <w:r w:rsidRPr="0005438A">
        <w:rPr>
          <w:rFonts w:ascii="Verdana" w:hAnsi="Verdana"/>
          <w:sz w:val="14"/>
          <w:szCs w:val="14"/>
          <w:lang w:val="es-CO"/>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 </w:t>
      </w:r>
    </w:p>
  </w:footnote>
  <w:footnote w:id="12">
    <w:p w14:paraId="61067F2C" w14:textId="77777777" w:rsidR="005B66DB" w:rsidRPr="0005438A" w:rsidRDefault="005B66DB" w:rsidP="005B66DB">
      <w:pPr>
        <w:pStyle w:val="Textonotapie"/>
        <w:ind w:firstLine="708"/>
        <w:jc w:val="both"/>
        <w:rPr>
          <w:rFonts w:ascii="Verdana" w:hAnsi="Verdana"/>
          <w:sz w:val="14"/>
          <w:szCs w:val="14"/>
        </w:rPr>
      </w:pPr>
    </w:p>
    <w:p w14:paraId="51499353" w14:textId="77777777" w:rsidR="005B66DB" w:rsidRPr="0005438A" w:rsidRDefault="005B66DB" w:rsidP="005B66DB">
      <w:pPr>
        <w:pStyle w:val="Textonotapie"/>
        <w:ind w:firstLine="708"/>
        <w:jc w:val="both"/>
        <w:rPr>
          <w:rFonts w:ascii="Verdana" w:hAnsi="Verdana"/>
          <w:sz w:val="14"/>
          <w:szCs w:val="14"/>
        </w:rPr>
      </w:pPr>
      <w:r w:rsidRPr="0005438A">
        <w:rPr>
          <w:rStyle w:val="Refdenotaalpie"/>
          <w:rFonts w:ascii="Verdana" w:hAnsi="Verdana"/>
          <w:sz w:val="14"/>
          <w:szCs w:val="14"/>
        </w:rPr>
        <w:footnoteRef/>
      </w:r>
      <w:r w:rsidRPr="0005438A">
        <w:rPr>
          <w:rFonts w:ascii="Verdana" w:hAnsi="Verdana"/>
          <w:sz w:val="14"/>
          <w:szCs w:val="14"/>
        </w:rPr>
        <w:t xml:space="preserve"> “</w:t>
      </w:r>
      <w:r w:rsidRPr="0005438A">
        <w:rPr>
          <w:rFonts w:ascii="Verdana" w:hAnsi="Verdana"/>
          <w:sz w:val="14"/>
          <w:szCs w:val="14"/>
          <w:lang w:val="es-CO"/>
        </w:rPr>
        <w:t>Artículo 28. De la interpretación de las reglas contractuales.</w:t>
      </w:r>
      <w:r w:rsidRPr="0005438A">
        <w:rPr>
          <w:rFonts w:ascii="Verdana" w:hAnsi="Verdana"/>
          <w:b/>
          <w:bCs/>
          <w:sz w:val="14"/>
          <w:szCs w:val="14"/>
          <w:lang w:val="es-CO"/>
        </w:rPr>
        <w:t> </w:t>
      </w:r>
      <w:r w:rsidRPr="0005438A">
        <w:rPr>
          <w:rFonts w:ascii="Verdana" w:hAnsi="Verdana"/>
          <w:sz w:val="14"/>
          <w:szCs w:val="14"/>
          <w:lang w:val="es-CO"/>
        </w:rPr>
        <w:t>En la interpretación de las normas sobre contratos estatales, relativas a procedimientos de selección y escogencia de contratistas y en la de las cláusulas y estipulaciones de los contratos, se tendrá en consideración los fines y los principios de que trata esta ley, los mandatos de la buena fe y la igualdad y equilibrio entre prestaciones y derechos que caracteriza a los contratos conmutativos”. </w:t>
      </w:r>
    </w:p>
  </w:footnote>
  <w:footnote w:id="13">
    <w:p w14:paraId="0EA5B6EA" w14:textId="77777777" w:rsidR="005B66DB" w:rsidRPr="0005438A" w:rsidRDefault="005B66DB" w:rsidP="005B66DB">
      <w:pPr>
        <w:pStyle w:val="Textonotapie"/>
        <w:ind w:firstLine="708"/>
        <w:jc w:val="both"/>
        <w:rPr>
          <w:rFonts w:ascii="Verdana" w:hAnsi="Verdana"/>
          <w:sz w:val="14"/>
          <w:szCs w:val="14"/>
        </w:rPr>
      </w:pPr>
    </w:p>
    <w:p w14:paraId="0666E7BB" w14:textId="77777777" w:rsidR="005B66DB" w:rsidRPr="0005438A" w:rsidRDefault="005B66DB" w:rsidP="005B66DB">
      <w:pPr>
        <w:pStyle w:val="Textonotapie"/>
        <w:ind w:firstLine="708"/>
        <w:jc w:val="both"/>
        <w:rPr>
          <w:rFonts w:ascii="Verdana" w:hAnsi="Verdana"/>
          <w:sz w:val="14"/>
          <w:szCs w:val="14"/>
        </w:rPr>
      </w:pPr>
      <w:r w:rsidRPr="0005438A">
        <w:rPr>
          <w:rStyle w:val="Refdenotaalpie"/>
          <w:rFonts w:ascii="Verdana" w:hAnsi="Verdana"/>
          <w:sz w:val="14"/>
          <w:szCs w:val="14"/>
        </w:rPr>
        <w:footnoteRef/>
      </w:r>
      <w:r w:rsidRPr="0005438A">
        <w:rPr>
          <w:rFonts w:ascii="Verdana" w:hAnsi="Verdana"/>
          <w:sz w:val="14"/>
          <w:szCs w:val="14"/>
        </w:rPr>
        <w:t xml:space="preserve"> CONSEJO DE ESTADO, Sección Tercera, Sentencia del 29 de enero de 2004, C.P. Alier Eduardo Hernández Enríquez, </w:t>
      </w:r>
      <w:proofErr w:type="spellStart"/>
      <w:r w:rsidRPr="0005438A">
        <w:rPr>
          <w:rFonts w:ascii="Verdana" w:hAnsi="Verdana"/>
          <w:sz w:val="14"/>
          <w:szCs w:val="14"/>
        </w:rPr>
        <w:t>Exp</w:t>
      </w:r>
      <w:proofErr w:type="spellEnd"/>
      <w:r w:rsidRPr="0005438A">
        <w:rPr>
          <w:rFonts w:ascii="Verdana" w:hAnsi="Verdana"/>
          <w:sz w:val="14"/>
          <w:szCs w:val="14"/>
        </w:rPr>
        <w:t xml:space="preserve">. No. 10.779.  </w:t>
      </w:r>
    </w:p>
  </w:footnote>
  <w:footnote w:id="14">
    <w:p w14:paraId="34D4B7AB" w14:textId="77777777" w:rsidR="005B66DB" w:rsidRPr="0005438A" w:rsidRDefault="005B66DB" w:rsidP="005B66DB">
      <w:pPr>
        <w:pStyle w:val="Textonotapie"/>
        <w:ind w:firstLine="708"/>
        <w:jc w:val="both"/>
        <w:rPr>
          <w:rFonts w:ascii="Verdana" w:hAnsi="Verdana"/>
          <w:sz w:val="14"/>
          <w:szCs w:val="14"/>
        </w:rPr>
      </w:pPr>
      <w:r w:rsidRPr="0005438A">
        <w:rPr>
          <w:rStyle w:val="Refdenotaalpie"/>
          <w:rFonts w:ascii="Verdana" w:hAnsi="Verdana"/>
          <w:sz w:val="14"/>
          <w:szCs w:val="14"/>
        </w:rPr>
        <w:footnoteRef/>
      </w:r>
      <w:r w:rsidRPr="0005438A">
        <w:rPr>
          <w:rFonts w:ascii="Verdana" w:hAnsi="Verdana"/>
          <w:sz w:val="14"/>
          <w:szCs w:val="14"/>
        </w:rPr>
        <w:t xml:space="preserve"> CONSEJO DE ESTADO. Sección Tercera, Sentencia del 10 de marzo de 2011, C.P. Danilo Rojas </w:t>
      </w:r>
      <w:proofErr w:type="spellStart"/>
      <w:r w:rsidRPr="0005438A">
        <w:rPr>
          <w:rFonts w:ascii="Verdana" w:hAnsi="Verdana"/>
          <w:sz w:val="14"/>
          <w:szCs w:val="14"/>
        </w:rPr>
        <w:t>Betancourth</w:t>
      </w:r>
      <w:proofErr w:type="spellEnd"/>
      <w:r w:rsidRPr="0005438A">
        <w:rPr>
          <w:rFonts w:ascii="Verdana" w:hAnsi="Verdana"/>
          <w:sz w:val="14"/>
          <w:szCs w:val="14"/>
        </w:rPr>
        <w:t xml:space="preserve">, </w:t>
      </w:r>
      <w:proofErr w:type="spellStart"/>
      <w:r w:rsidRPr="0005438A">
        <w:rPr>
          <w:rFonts w:ascii="Verdana" w:hAnsi="Verdana"/>
          <w:sz w:val="14"/>
          <w:szCs w:val="14"/>
        </w:rPr>
        <w:t>Exp</w:t>
      </w:r>
      <w:proofErr w:type="spellEnd"/>
      <w:r w:rsidRPr="0005438A">
        <w:rPr>
          <w:rFonts w:ascii="Verdana" w:hAnsi="Verdana"/>
          <w:sz w:val="14"/>
          <w:szCs w:val="14"/>
        </w:rPr>
        <w:t xml:space="preserve">. No. 15.666. </w:t>
      </w:r>
    </w:p>
    <w:p w14:paraId="5F96E094" w14:textId="77777777" w:rsidR="005B66DB" w:rsidRPr="0005438A" w:rsidRDefault="005B66DB" w:rsidP="005B66DB">
      <w:pPr>
        <w:pStyle w:val="Textonotapie"/>
        <w:ind w:firstLine="708"/>
        <w:jc w:val="both"/>
        <w:rPr>
          <w:rFonts w:ascii="Verdana" w:hAnsi="Verdana"/>
          <w:sz w:val="14"/>
          <w:szCs w:val="14"/>
        </w:rPr>
      </w:pPr>
    </w:p>
  </w:footnote>
  <w:footnote w:id="15">
    <w:p w14:paraId="3A327637" w14:textId="77777777" w:rsidR="005B66DB" w:rsidRPr="0005438A" w:rsidRDefault="005B66DB" w:rsidP="005B66DB">
      <w:pPr>
        <w:pStyle w:val="Textonotapie"/>
        <w:ind w:firstLine="709"/>
        <w:jc w:val="both"/>
        <w:rPr>
          <w:rFonts w:ascii="Verdana" w:hAnsi="Verdana"/>
          <w:sz w:val="14"/>
          <w:szCs w:val="14"/>
        </w:rPr>
      </w:pPr>
      <w:r w:rsidRPr="0005438A">
        <w:rPr>
          <w:rStyle w:val="Refdenotaalpie"/>
          <w:rFonts w:ascii="Verdana" w:hAnsi="Verdana"/>
          <w:sz w:val="14"/>
          <w:szCs w:val="14"/>
        </w:rPr>
        <w:footnoteRef/>
      </w:r>
      <w:r w:rsidRPr="0005438A">
        <w:rPr>
          <w:rFonts w:ascii="Verdana" w:hAnsi="Verdana"/>
          <w:sz w:val="14"/>
          <w:szCs w:val="14"/>
        </w:rPr>
        <w:t xml:space="preserve"> GONZÁLEZ LÓPEZ, Edgar. Los contratos estatales. El proceso de selección y la modificación de los contratos, Bogotá, Universidad Externado de Colombia, Ed. Tirant lo Blanch, 2023, pp. 813-814.</w:t>
      </w:r>
    </w:p>
  </w:footnote>
  <w:footnote w:id="16">
    <w:p w14:paraId="3CEDFDC3" w14:textId="77777777" w:rsidR="005B66DB" w:rsidRPr="0005438A" w:rsidRDefault="005B66DB" w:rsidP="005B66DB">
      <w:pPr>
        <w:pStyle w:val="Textonotapie"/>
        <w:ind w:firstLine="708"/>
        <w:rPr>
          <w:rFonts w:ascii="Verdana" w:hAnsi="Verdana"/>
          <w:sz w:val="14"/>
          <w:szCs w:val="14"/>
        </w:rPr>
      </w:pPr>
      <w:r w:rsidRPr="0005438A">
        <w:rPr>
          <w:rStyle w:val="Refdenotaalpie"/>
          <w:rFonts w:ascii="Verdana" w:hAnsi="Verdana"/>
          <w:sz w:val="14"/>
          <w:szCs w:val="14"/>
        </w:rPr>
        <w:footnoteRef/>
      </w:r>
      <w:r w:rsidRPr="0005438A">
        <w:rPr>
          <w:rFonts w:ascii="Verdana" w:hAnsi="Verdana"/>
          <w:sz w:val="14"/>
          <w:szCs w:val="14"/>
        </w:rPr>
        <w:t xml:space="preserve"> CONSEJO DE ESTADO, Sección Tercera, Sentencia del 3 de mayo de 1999, </w:t>
      </w:r>
      <w:proofErr w:type="spellStart"/>
      <w:r w:rsidRPr="0005438A">
        <w:rPr>
          <w:rFonts w:ascii="Verdana" w:hAnsi="Verdana"/>
          <w:sz w:val="14"/>
          <w:szCs w:val="14"/>
        </w:rPr>
        <w:t>Exp</w:t>
      </w:r>
      <w:proofErr w:type="spellEnd"/>
      <w:r w:rsidRPr="0005438A">
        <w:rPr>
          <w:rFonts w:ascii="Verdana" w:hAnsi="Verdana"/>
          <w:sz w:val="14"/>
          <w:szCs w:val="14"/>
        </w:rPr>
        <w:t xml:space="preserve">. No. 12344, C.P. Daniel Suarez Hernández. </w:t>
      </w:r>
    </w:p>
  </w:footnote>
  <w:footnote w:id="17">
    <w:p w14:paraId="112CFD41" w14:textId="77777777" w:rsidR="005B66DB" w:rsidRDefault="005B66DB" w:rsidP="005B66DB">
      <w:pPr>
        <w:pStyle w:val="Textonotapie"/>
        <w:ind w:firstLine="708"/>
        <w:contextualSpacing/>
        <w:jc w:val="both"/>
        <w:rPr>
          <w:rFonts w:ascii="Verdana" w:hAnsi="Verdana" w:cs="Arial"/>
          <w:sz w:val="16"/>
          <w:szCs w:val="16"/>
        </w:rPr>
      </w:pPr>
      <w:r w:rsidRPr="00727DD6">
        <w:rPr>
          <w:rStyle w:val="Refdenotaalpie"/>
          <w:rFonts w:ascii="Verdana" w:hAnsi="Verdana" w:cs="Arial"/>
          <w:sz w:val="16"/>
          <w:szCs w:val="16"/>
        </w:rPr>
        <w:footnoteRef/>
      </w:r>
      <w:r w:rsidRPr="00727DD6">
        <w:rPr>
          <w:rFonts w:ascii="Verdana" w:hAnsi="Verdana" w:cs="Arial"/>
          <w:sz w:val="16"/>
          <w:szCs w:val="16"/>
          <w:lang w:val="pt-PT"/>
        </w:rPr>
        <w:t xml:space="preserve"> </w:t>
      </w:r>
      <w:r w:rsidRPr="00727DD6">
        <w:rPr>
          <w:rFonts w:ascii="Verdana" w:hAnsi="Verdana" w:cs="Arial"/>
          <w:sz w:val="16"/>
          <w:szCs w:val="16"/>
          <w:lang w:val="pt-PT"/>
        </w:rPr>
        <w:t xml:space="preserve">SANTOFIMIO GAMBÓA, Jaime Orlando. Compendio de Derecho Administrativo. </w:t>
      </w:r>
      <w:r w:rsidRPr="00727DD6">
        <w:rPr>
          <w:rFonts w:ascii="Verdana" w:hAnsi="Verdana" w:cs="Arial"/>
          <w:sz w:val="16"/>
          <w:szCs w:val="16"/>
        </w:rPr>
        <w:t>Editorial Universidad Externado de Colombia. Págs. 672-673. Bogotá, 2017.</w:t>
      </w:r>
    </w:p>
    <w:p w14:paraId="05FC712C" w14:textId="77777777" w:rsidR="005B66DB" w:rsidRPr="00727DD6" w:rsidRDefault="005B66DB" w:rsidP="005B66DB">
      <w:pPr>
        <w:pStyle w:val="Textonotapie"/>
        <w:ind w:firstLine="708"/>
        <w:contextualSpacing/>
        <w:jc w:val="both"/>
        <w:rPr>
          <w:rFonts w:ascii="Verdana" w:hAnsi="Verdana" w:cs="Arial"/>
          <w:sz w:val="16"/>
          <w:szCs w:val="16"/>
        </w:rPr>
      </w:pPr>
    </w:p>
  </w:footnote>
  <w:footnote w:id="18">
    <w:p w14:paraId="408E4E32" w14:textId="77777777" w:rsidR="005B66DB" w:rsidRDefault="005B66DB" w:rsidP="005B66DB">
      <w:pPr>
        <w:pStyle w:val="Textonotapie"/>
        <w:ind w:firstLine="708"/>
        <w:contextualSpacing/>
        <w:jc w:val="both"/>
        <w:rPr>
          <w:rFonts w:ascii="Verdana" w:hAnsi="Verdana" w:cs="Arial"/>
          <w:sz w:val="16"/>
          <w:szCs w:val="16"/>
        </w:rPr>
      </w:pPr>
      <w:r w:rsidRPr="00727DD6">
        <w:rPr>
          <w:rStyle w:val="Refdenotaalpie"/>
          <w:rFonts w:ascii="Verdana" w:hAnsi="Verdana" w:cs="Arial"/>
          <w:sz w:val="16"/>
          <w:szCs w:val="16"/>
        </w:rPr>
        <w:footnoteRef/>
      </w:r>
      <w:r w:rsidRPr="00727DD6">
        <w:rPr>
          <w:rFonts w:ascii="Verdana" w:hAnsi="Verdana" w:cs="Arial"/>
          <w:sz w:val="16"/>
          <w:szCs w:val="16"/>
        </w:rPr>
        <w:t xml:space="preserve"> Agencia Nacional de Contratación Pública – Colombia Compra Eficiente. Concepto </w:t>
      </w:r>
      <w:r w:rsidRPr="00727DD6">
        <w:rPr>
          <w:rFonts w:ascii="Verdana" w:hAnsi="Verdana" w:cs="Arial"/>
          <w:bCs/>
          <w:color w:val="000000"/>
          <w:sz w:val="16"/>
          <w:szCs w:val="16"/>
          <w:lang w:val="es-ES"/>
        </w:rPr>
        <w:t>C-030 de 2022</w:t>
      </w:r>
      <w:r w:rsidRPr="00727DD6">
        <w:rPr>
          <w:rFonts w:ascii="Verdana" w:hAnsi="Verdana" w:cs="Arial"/>
          <w:sz w:val="16"/>
          <w:szCs w:val="16"/>
        </w:rPr>
        <w:t>.</w:t>
      </w:r>
    </w:p>
    <w:p w14:paraId="2E5AAA42" w14:textId="77777777" w:rsidR="005B66DB" w:rsidRPr="00727DD6" w:rsidRDefault="005B66DB" w:rsidP="005B66DB">
      <w:pPr>
        <w:pStyle w:val="Textonotapie"/>
        <w:ind w:firstLine="708"/>
        <w:contextualSpacing/>
        <w:jc w:val="both"/>
        <w:rPr>
          <w:rFonts w:ascii="Verdana" w:hAnsi="Verdana" w:cs="Arial"/>
          <w:sz w:val="16"/>
          <w:szCs w:val="16"/>
        </w:rPr>
      </w:pPr>
    </w:p>
  </w:footnote>
  <w:footnote w:id="19">
    <w:p w14:paraId="67427480" w14:textId="77777777" w:rsidR="005B66DB" w:rsidRPr="00727DD6" w:rsidRDefault="005B66DB" w:rsidP="005B66DB">
      <w:pPr>
        <w:spacing w:after="0" w:line="240" w:lineRule="auto"/>
        <w:contextualSpacing/>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3A1F" w14:textId="77777777" w:rsidR="005B66DB" w:rsidRDefault="005B66DB">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210A41E" wp14:editId="5374C27A">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155A946" wp14:editId="0E4BC2F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7CEBF7B" w14:textId="77777777" w:rsidR="005B66DB" w:rsidRDefault="005B66DB">
    <w:pPr>
      <w:pStyle w:val="Encabezado"/>
    </w:pPr>
  </w:p>
  <w:p w14:paraId="0194B438" w14:textId="77777777" w:rsidR="005B66DB" w:rsidRDefault="005B66DB" w:rsidP="004A305D">
    <w:pPr>
      <w:spacing w:after="0"/>
      <w:rPr>
        <w:rFonts w:ascii="Verdana" w:hAnsi="Verdana"/>
        <w:b/>
        <w:bCs/>
      </w:rPr>
    </w:pPr>
  </w:p>
  <w:p w14:paraId="40D2765A" w14:textId="77777777" w:rsidR="005B66DB" w:rsidRPr="004A305D" w:rsidRDefault="005B66DB" w:rsidP="00B01B1A">
    <w:pPr>
      <w:spacing w:after="0" w:line="120" w:lineRule="auto"/>
      <w:rPr>
        <w:rFonts w:ascii="Century Gothic" w:eastAsia="Geo" w:hAnsi="Century Gothic" w:cs="Geo"/>
        <w:sz w:val="16"/>
        <w:szCs w:val="16"/>
        <w:lang w:eastAsia="es-CO"/>
      </w:rPr>
    </w:pPr>
  </w:p>
  <w:p w14:paraId="65132267" w14:textId="77777777" w:rsidR="005B66DB" w:rsidRDefault="005B66D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679089576">
    <w:abstractNumId w:val="1"/>
  </w:num>
  <w:num w:numId="2" w16cid:durableId="434518033">
    <w:abstractNumId w:val="0"/>
  </w:num>
  <w:num w:numId="3" w16cid:durableId="1355153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6DB"/>
    <w:rsid w:val="000C3A74"/>
    <w:rsid w:val="00474DF4"/>
    <w:rsid w:val="00485D25"/>
    <w:rsid w:val="004F471F"/>
    <w:rsid w:val="005B66DB"/>
    <w:rsid w:val="00A348BB"/>
    <w:rsid w:val="00C24FFE"/>
    <w:rsid w:val="00F337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27991"/>
  <w15:chartTrackingRefBased/>
  <w15:docId w15:val="{DB106817-74A0-4BD7-979B-12C35A77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DB"/>
    <w:rPr>
      <w:kern w:val="0"/>
      <w14:ligatures w14:val="none"/>
    </w:rPr>
  </w:style>
  <w:style w:type="paragraph" w:styleId="Ttulo1">
    <w:name w:val="heading 1"/>
    <w:basedOn w:val="Normal"/>
    <w:next w:val="Normal"/>
    <w:link w:val="Ttulo1Car"/>
    <w:uiPriority w:val="9"/>
    <w:qFormat/>
    <w:rsid w:val="005B66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B66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B66D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B66D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B66D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B66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66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66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66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66D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B66D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B66D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B66D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B66D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B66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66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66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66DB"/>
    <w:rPr>
      <w:rFonts w:eastAsiaTheme="majorEastAsia" w:cstheme="majorBidi"/>
      <w:color w:val="272727" w:themeColor="text1" w:themeTint="D8"/>
    </w:rPr>
  </w:style>
  <w:style w:type="paragraph" w:styleId="Ttulo">
    <w:name w:val="Title"/>
    <w:basedOn w:val="Normal"/>
    <w:next w:val="Normal"/>
    <w:link w:val="TtuloCar"/>
    <w:uiPriority w:val="10"/>
    <w:qFormat/>
    <w:rsid w:val="005B6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66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66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66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66DB"/>
    <w:pPr>
      <w:spacing w:before="160"/>
      <w:jc w:val="center"/>
    </w:pPr>
    <w:rPr>
      <w:i/>
      <w:iCs/>
      <w:color w:val="404040" w:themeColor="text1" w:themeTint="BF"/>
    </w:rPr>
  </w:style>
  <w:style w:type="character" w:customStyle="1" w:styleId="CitaCar">
    <w:name w:val="Cita Car"/>
    <w:basedOn w:val="Fuentedeprrafopredeter"/>
    <w:link w:val="Cita"/>
    <w:uiPriority w:val="29"/>
    <w:rsid w:val="005B66DB"/>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B66DB"/>
    <w:pPr>
      <w:ind w:left="720"/>
      <w:contextualSpacing/>
    </w:pPr>
  </w:style>
  <w:style w:type="character" w:styleId="nfasisintenso">
    <w:name w:val="Intense Emphasis"/>
    <w:basedOn w:val="Fuentedeprrafopredeter"/>
    <w:uiPriority w:val="21"/>
    <w:qFormat/>
    <w:rsid w:val="005B66DB"/>
    <w:rPr>
      <w:i/>
      <w:iCs/>
      <w:color w:val="2F5496" w:themeColor="accent1" w:themeShade="BF"/>
    </w:rPr>
  </w:style>
  <w:style w:type="paragraph" w:styleId="Citadestacada">
    <w:name w:val="Intense Quote"/>
    <w:basedOn w:val="Normal"/>
    <w:next w:val="Normal"/>
    <w:link w:val="CitadestacadaCar"/>
    <w:uiPriority w:val="30"/>
    <w:qFormat/>
    <w:rsid w:val="005B66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B66DB"/>
    <w:rPr>
      <w:i/>
      <w:iCs/>
      <w:color w:val="2F5496" w:themeColor="accent1" w:themeShade="BF"/>
    </w:rPr>
  </w:style>
  <w:style w:type="character" w:styleId="Referenciaintensa">
    <w:name w:val="Intense Reference"/>
    <w:basedOn w:val="Fuentedeprrafopredeter"/>
    <w:uiPriority w:val="32"/>
    <w:qFormat/>
    <w:rsid w:val="005B66DB"/>
    <w:rPr>
      <w:b/>
      <w:bCs/>
      <w:smallCaps/>
      <w:color w:val="2F5496" w:themeColor="accent1" w:themeShade="BF"/>
      <w:spacing w:val="5"/>
    </w:rPr>
  </w:style>
  <w:style w:type="paragraph" w:styleId="Encabezado">
    <w:name w:val="header"/>
    <w:basedOn w:val="Normal"/>
    <w:link w:val="EncabezadoCar"/>
    <w:uiPriority w:val="99"/>
    <w:unhideWhenUsed/>
    <w:rsid w:val="005B66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B66DB"/>
    <w:rPr>
      <w:kern w:val="0"/>
      <w14:ligatures w14:val="none"/>
    </w:rPr>
  </w:style>
  <w:style w:type="paragraph" w:styleId="Piedepgina">
    <w:name w:val="footer"/>
    <w:basedOn w:val="Normal"/>
    <w:link w:val="PiedepginaCar"/>
    <w:uiPriority w:val="99"/>
    <w:unhideWhenUsed/>
    <w:rsid w:val="005B66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66DB"/>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B66D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B66D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B66D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5B66DB"/>
    <w:rPr>
      <w:vertAlign w:val="superscript"/>
    </w:rPr>
  </w:style>
  <w:style w:type="character" w:customStyle="1" w:styleId="normaltextrun">
    <w:name w:val="normaltextrun"/>
    <w:basedOn w:val="Fuentedeprrafopredeter"/>
    <w:rsid w:val="005B66DB"/>
  </w:style>
  <w:style w:type="table" w:styleId="Tablaconcuadrcula">
    <w:name w:val="Table Grid"/>
    <w:basedOn w:val="Tablanormal"/>
    <w:uiPriority w:val="39"/>
    <w:qFormat/>
    <w:rsid w:val="005B66D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B66DB"/>
    <w:rPr>
      <w:color w:val="0000FF"/>
      <w:u w:val="single"/>
    </w:rPr>
  </w:style>
  <w:style w:type="paragraph" w:customStyle="1" w:styleId="paragraph">
    <w:name w:val="paragraph"/>
    <w:basedOn w:val="Normal"/>
    <w:rsid w:val="005B66D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5B66DB"/>
  </w:style>
  <w:style w:type="paragraph" w:customStyle="1" w:styleId="Appelnotedebasde">
    <w:name w:val="Appel note de bas de..."/>
    <w:basedOn w:val="Normal"/>
    <w:link w:val="Refdenotaalpie"/>
    <w:rsid w:val="005B66DB"/>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B66DB"/>
  </w:style>
  <w:style w:type="paragraph" w:styleId="Textoindependiente">
    <w:name w:val="Body Text"/>
    <w:basedOn w:val="Normal"/>
    <w:link w:val="TextoindependienteCar"/>
    <w:uiPriority w:val="1"/>
    <w:unhideWhenUsed/>
    <w:qFormat/>
    <w:rsid w:val="005B66DB"/>
    <w:pPr>
      <w:spacing w:after="120"/>
    </w:pPr>
  </w:style>
  <w:style w:type="character" w:customStyle="1" w:styleId="TextoindependienteCar">
    <w:name w:val="Texto independiente Car"/>
    <w:basedOn w:val="Fuentedeprrafopredeter"/>
    <w:link w:val="Textoindependiente"/>
    <w:uiPriority w:val="1"/>
    <w:rsid w:val="005B66D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ndariog@hot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43027E-1A34-49AC-B116-8F047E0B4909}"/>
</file>

<file path=customXml/itemProps2.xml><?xml version="1.0" encoding="utf-8"?>
<ds:datastoreItem xmlns:ds="http://schemas.openxmlformats.org/officeDocument/2006/customXml" ds:itemID="{F61C0718-9C31-4215-AC8E-B31FE6FF0C32}"/>
</file>

<file path=customXml/itemProps3.xml><?xml version="1.0" encoding="utf-8"?>
<ds:datastoreItem xmlns:ds="http://schemas.openxmlformats.org/officeDocument/2006/customXml" ds:itemID="{A5469074-638E-4AF1-BA21-FDC770598CC1}"/>
</file>

<file path=docProps/app.xml><?xml version="1.0" encoding="utf-8"?>
<Properties xmlns="http://schemas.openxmlformats.org/officeDocument/2006/extended-properties" xmlns:vt="http://schemas.openxmlformats.org/officeDocument/2006/docPropsVTypes">
  <Template>Normal</Template>
  <TotalTime>1</TotalTime>
  <Pages>20</Pages>
  <Words>6593</Words>
  <Characters>36266</Characters>
  <Application>Microsoft Office Word</Application>
  <DocSecurity>0</DocSecurity>
  <Lines>302</Lines>
  <Paragraphs>85</Paragraphs>
  <ScaleCrop>false</ScaleCrop>
  <Company/>
  <LinksUpToDate>false</LinksUpToDate>
  <CharactersWithSpaces>42774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2025-08-25T22:34:00Z</dcterms:created>
  <dcterms:modified xsi:type="dcterms:W3CDTF">2025-08-25T22:34:00Z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