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6305C"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lang w:val="es-ES_tradnl" w:eastAsia="es-ES_tradnl"/>
        </w:rPr>
      </w:pPr>
      <w:r w:rsidRPr="0093158E">
        <w:rPr>
          <w:rFonts w:ascii="Arial" w:eastAsia="Calibri" w:hAnsi="Arial" w:cs="Arial"/>
          <w:b/>
          <w:lang w:val="es-ES_tradnl" w:eastAsia="es-ES_tradnl"/>
        </w:rPr>
        <w:t>DOCUMENTOS TIPO</w:t>
      </w:r>
      <w:r w:rsidRPr="00423E72">
        <w:rPr>
          <w:rFonts w:ascii="Arial" w:eastAsia="Calibri" w:hAnsi="Arial" w:cs="Arial"/>
          <w:b/>
          <w:lang w:val="es-ES_tradnl" w:eastAsia="es-ES_tradnl"/>
        </w:rPr>
        <w:t xml:space="preserve"> – Fundamento normativo – </w:t>
      </w:r>
      <w:r w:rsidRPr="00547C6B">
        <w:rPr>
          <w:rFonts w:ascii="Arial" w:eastAsia="Calibri" w:hAnsi="Arial" w:cs="Arial"/>
          <w:b/>
          <w:lang w:val="es-ES_tradnl" w:eastAsia="es-ES_tradnl"/>
        </w:rPr>
        <w:t>Ley 2022 de 2020</w:t>
      </w:r>
    </w:p>
    <w:p w14:paraId="0EBA040E"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sz w:val="20"/>
          <w:szCs w:val="20"/>
          <w:lang w:val="es-ES_tradnl" w:eastAsia="es-ES_tradnl"/>
        </w:rPr>
      </w:pPr>
    </w:p>
    <w:p w14:paraId="113A3D45" w14:textId="77777777" w:rsidR="00B51C42" w:rsidRPr="00423E72" w:rsidRDefault="00B51C42" w:rsidP="00B51C42">
      <w:pPr>
        <w:spacing w:after="0" w:line="240" w:lineRule="auto"/>
        <w:contextualSpacing/>
        <w:jc w:val="both"/>
        <w:rPr>
          <w:rFonts w:ascii="Arial" w:eastAsia="Calibri" w:hAnsi="Arial" w:cs="Arial"/>
          <w:sz w:val="20"/>
          <w:szCs w:val="20"/>
          <w:lang w:val="es-ES" w:eastAsia="es-ES"/>
        </w:rPr>
      </w:pPr>
      <w:r w:rsidRPr="00423E72">
        <w:rPr>
          <w:rFonts w:ascii="Arial" w:eastAsia="Times New Roman" w:hAnsi="Arial" w:cs="Arial"/>
          <w:sz w:val="20"/>
          <w:szCs w:val="20"/>
          <w:lang w:val="es-ES_tradnl" w:eastAsia="es-ES"/>
        </w:rPr>
        <w:t xml:space="preserve">[…] posteriormente fue expedida la Ley 2022 de 2020 «Por la cual modifica el artículo 4 de la ley 1882 de 2018 y se dictan otras disposiciones». En su artículo 1, esta norma modificó el Articulo 4 de la Ley 1882 de 2018, estableciendo a cargo de esta Agencia la adopción de documentos tipo que serán de obligatorio cumplimiento en la actividad contractual de todas las entidades sometidas al Estatuto General de Contratación de la Administración Pública. </w:t>
      </w:r>
      <w:r w:rsidRPr="00423E72">
        <w:rPr>
          <w:rFonts w:ascii="Arial" w:eastAsia="Calibri" w:hAnsi="Arial" w:cs="Arial"/>
          <w:sz w:val="20"/>
          <w:szCs w:val="20"/>
          <w:lang w:val="es-ES"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24D2BAE"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sz w:val="20"/>
          <w:szCs w:val="20"/>
          <w:lang w:val="es-ES_tradnl" w:eastAsia="es-ES_tradnl"/>
        </w:rPr>
      </w:pPr>
    </w:p>
    <w:p w14:paraId="65915ABF"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lang w:val="es-ES_tradnl" w:eastAsia="es-ES_tradnl"/>
        </w:rPr>
      </w:pPr>
      <w:r w:rsidRPr="00423E72">
        <w:rPr>
          <w:rFonts w:ascii="Arial" w:eastAsia="Arial MT" w:hAnsi="Arial" w:cs="Arial"/>
          <w:b/>
          <w:lang w:val="es-ES" w:eastAsia="es-ES_tradnl"/>
        </w:rPr>
        <w:t xml:space="preserve">DOCUMENTOS TIPO DE CONSULTORÍA – </w:t>
      </w:r>
      <w:r w:rsidRPr="00423E72">
        <w:rPr>
          <w:rFonts w:ascii="Arial" w:eastAsia="Calibri" w:hAnsi="Arial" w:cs="Arial"/>
          <w:b/>
          <w:lang w:val="es-ES_tradnl" w:eastAsia="es-ES_tradnl"/>
        </w:rPr>
        <w:t>Ámbito de aplicación</w:t>
      </w:r>
    </w:p>
    <w:p w14:paraId="1453357F"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sz w:val="20"/>
          <w:szCs w:val="20"/>
          <w:lang w:val="es-ES_tradnl" w:eastAsia="es-ES_tradnl"/>
        </w:rPr>
      </w:pPr>
    </w:p>
    <w:p w14:paraId="57380707" w14:textId="77777777" w:rsidR="00B51C42" w:rsidRPr="00423E72" w:rsidRDefault="00B51C42" w:rsidP="00B51C42">
      <w:pPr>
        <w:spacing w:after="0" w:line="240" w:lineRule="auto"/>
        <w:contextualSpacing/>
        <w:jc w:val="both"/>
        <w:rPr>
          <w:rFonts w:ascii="Arial" w:hAnsi="Arial" w:cs="Arial"/>
          <w:sz w:val="20"/>
          <w:szCs w:val="20"/>
          <w:lang w:val="es-ES_tradnl"/>
        </w:rPr>
      </w:pPr>
      <w:r w:rsidRPr="00423E72">
        <w:rPr>
          <w:rFonts w:ascii="Arial" w:hAnsi="Arial" w:cs="Arial"/>
          <w:sz w:val="20"/>
          <w:szCs w:val="20"/>
          <w:lang w:val="es-ES_tradnl"/>
        </w:rPr>
        <w:t>Como se indicó anteriormente, en ejercicio de la competencia otorgada por el artículo 1 de la Ley 2022 de 2020, la Agencia Nacional de Contratación Pública – Colombia Compra Eficiente expidió la Resolución No. 193 del 14 de julio de 2021, «Por la cual se adoptan los documentos tipo para los procesos de selección de concurso de méritos, para contratar la consultoría de estudios de ingeniería de infraestructura de transporte», la cual ha sido modificada por la Resolución 304 de 2021 y Resolución 275 del 28 de junio de 2022. El artículo 5 de dicha Resolución 193 de 2021 dispuso que los documentos tipo que adoptó se deben aplicar «a los procedimientos de selección cuyo aviso de convocatoria se publique el 9 de agosto de 2021 o en una fecha posterior».</w:t>
      </w:r>
    </w:p>
    <w:p w14:paraId="1B7272BC" w14:textId="77777777" w:rsidR="00B51C42" w:rsidRPr="00423E72" w:rsidRDefault="00B51C42" w:rsidP="00B51C42">
      <w:pPr>
        <w:spacing w:after="0" w:line="240" w:lineRule="auto"/>
        <w:contextualSpacing/>
        <w:jc w:val="both"/>
        <w:rPr>
          <w:rFonts w:ascii="Arial" w:hAnsi="Arial" w:cs="Arial"/>
          <w:sz w:val="20"/>
          <w:szCs w:val="20"/>
          <w:lang w:val="es-ES_tradnl"/>
        </w:rPr>
      </w:pPr>
    </w:p>
    <w:p w14:paraId="10A84BF3" w14:textId="77777777" w:rsidR="00B51C42" w:rsidRDefault="00B51C42" w:rsidP="00B51C42">
      <w:pPr>
        <w:widowControl w:val="0"/>
        <w:autoSpaceDE w:val="0"/>
        <w:autoSpaceDN w:val="0"/>
        <w:spacing w:after="0" w:line="240" w:lineRule="auto"/>
        <w:contextualSpacing/>
        <w:jc w:val="both"/>
        <w:rPr>
          <w:rFonts w:ascii="Arial" w:eastAsia="Calibri" w:hAnsi="Arial" w:cs="Arial"/>
          <w:sz w:val="20"/>
          <w:szCs w:val="20"/>
          <w:lang w:val="es-ES"/>
        </w:rPr>
      </w:pPr>
      <w:r w:rsidRPr="00423E72">
        <w:rPr>
          <w:rFonts w:ascii="Arial" w:eastAsia="Calibri" w:hAnsi="Arial" w:cs="Arial"/>
          <w:sz w:val="20"/>
          <w:szCs w:val="20"/>
          <w:lang w:val="es-ES"/>
        </w:rPr>
        <w:t xml:space="preserve">Por tanto, el ámbito de aplicación de los Documentos Tipo adoptados por </w:t>
      </w:r>
      <w:r w:rsidRPr="00423E72">
        <w:rPr>
          <w:rFonts w:ascii="Arial" w:eastAsia="Calibri" w:hAnsi="Arial" w:cs="Arial"/>
          <w:sz w:val="20"/>
          <w:szCs w:val="20"/>
          <w:lang w:val="es-ES" w:eastAsia="es-ES"/>
        </w:rPr>
        <w:t xml:space="preserve">Resolución 193 del 14 de julio de 2021 </w:t>
      </w:r>
      <w:r w:rsidRPr="00423E72">
        <w:rPr>
          <w:rFonts w:ascii="Arial" w:eastAsia="Calibri" w:hAnsi="Arial" w:cs="Arial"/>
          <w:sz w:val="20"/>
          <w:szCs w:val="20"/>
          <w:lang w:val="es-ES"/>
        </w:rPr>
        <w:t xml:space="preserve">está determinado por los siguientes aspectos que deberá estudiar cada entidad estatal para definir si procede su aplicación obligatoria. En primer lugar, se deberá verificar si el proyecto a contratar corresponde a la ejecución de un contrato de consultoría. Para esto, se considera pertinente remitirse a la definición contenida en el numeral 2º del artículo 32 de la Ley 80 de 1993. </w:t>
      </w:r>
    </w:p>
    <w:p w14:paraId="23765EDA" w14:textId="77777777" w:rsidR="00B51C42" w:rsidRDefault="00B51C42" w:rsidP="00B51C42">
      <w:pPr>
        <w:widowControl w:val="0"/>
        <w:autoSpaceDE w:val="0"/>
        <w:autoSpaceDN w:val="0"/>
        <w:spacing w:after="0" w:line="240" w:lineRule="auto"/>
        <w:contextualSpacing/>
        <w:jc w:val="both"/>
        <w:rPr>
          <w:rFonts w:ascii="Arial" w:eastAsia="Calibri" w:hAnsi="Arial" w:cs="Arial"/>
          <w:sz w:val="20"/>
          <w:szCs w:val="20"/>
          <w:lang w:val="es-ES"/>
        </w:rPr>
      </w:pPr>
    </w:p>
    <w:p w14:paraId="0F21A62B"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sz w:val="20"/>
          <w:szCs w:val="20"/>
          <w:lang w:val="es-ES"/>
        </w:rPr>
      </w:pPr>
      <w:r w:rsidRPr="00423E72">
        <w:rPr>
          <w:rFonts w:ascii="Arial" w:eastAsia="Calibri" w:hAnsi="Arial" w:cs="Arial"/>
          <w:sz w:val="20"/>
          <w:szCs w:val="20"/>
          <w:lang w:val="es-ES"/>
        </w:rPr>
        <w:t>[…]</w:t>
      </w:r>
    </w:p>
    <w:p w14:paraId="18F0725A"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sz w:val="20"/>
          <w:szCs w:val="20"/>
          <w:lang w:val="es-ES"/>
        </w:rPr>
      </w:pPr>
    </w:p>
    <w:p w14:paraId="5B5F990C" w14:textId="77777777" w:rsidR="00B51C42" w:rsidRPr="00423E72" w:rsidRDefault="00B51C42" w:rsidP="00B51C42">
      <w:pPr>
        <w:pStyle w:val="xmsonospacing"/>
        <w:spacing w:before="0" w:beforeAutospacing="0" w:after="0" w:afterAutospacing="0"/>
        <w:contextualSpacing/>
        <w:jc w:val="both"/>
        <w:rPr>
          <w:rFonts w:ascii="Arial" w:eastAsia="Calibri" w:hAnsi="Arial" w:cs="Arial"/>
          <w:bCs/>
          <w:sz w:val="20"/>
          <w:szCs w:val="20"/>
          <w:lang w:val="es-MX"/>
        </w:rPr>
      </w:pPr>
      <w:r w:rsidRPr="00423E72">
        <w:rPr>
          <w:rFonts w:ascii="Arial" w:eastAsia="Calibri" w:hAnsi="Arial" w:cs="Arial"/>
          <w:bCs/>
          <w:sz w:val="20"/>
          <w:szCs w:val="20"/>
          <w:lang w:val="es-MX"/>
        </w:rPr>
        <w:t xml:space="preserve">En segundo lugar, la Entidad Estatal debe analizar si la consultoría a contratar se relaciona con proyectos de infraestructura de transporte. Así, </w:t>
      </w:r>
      <w:r w:rsidRPr="00423E72">
        <w:rPr>
          <w:rFonts w:ascii="Arial" w:eastAsia="Calibri" w:hAnsi="Arial" w:cs="Arial"/>
          <w:sz w:val="20"/>
          <w:szCs w:val="20"/>
          <w:lang w:val="es-ES" w:eastAsia="en-GB"/>
        </w:rPr>
        <w:t xml:space="preserve">la Ley 1682 de 2013 es útil para determinar si se está ante una infraestructura de transporte o no. En efecto, el artículo 2 de la citada ley, definió la infraestructura de transporte como un «[…] sistema de movilidad integrado por un conjunto de bienes tangibles, intangibles y aquellos que se encuentren relacionados con este, el cual está bajo la vigilancia y control del Estado […]». Por su lado, el artículo 4 enumera los elementos que conforman el sistema de infraestructura de transporte. </w:t>
      </w:r>
    </w:p>
    <w:p w14:paraId="7D7F3D98"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Cs/>
          <w:sz w:val="20"/>
          <w:szCs w:val="20"/>
          <w:lang w:val="es-ES_tradnl" w:eastAsia="es-ES_tradnl"/>
        </w:rPr>
      </w:pPr>
    </w:p>
    <w:p w14:paraId="156AE110"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Cs/>
          <w:sz w:val="20"/>
          <w:szCs w:val="20"/>
          <w:lang w:val="es-ES_tradnl" w:eastAsia="es-ES_tradnl"/>
        </w:rPr>
      </w:pPr>
      <w:r w:rsidRPr="00423E72">
        <w:rPr>
          <w:rFonts w:ascii="Arial" w:eastAsia="Calibri" w:hAnsi="Arial" w:cs="Arial"/>
          <w:bCs/>
          <w:sz w:val="20"/>
          <w:szCs w:val="20"/>
          <w:lang w:val="es-ES_tradnl" w:eastAsia="es-ES_tradnl"/>
        </w:rPr>
        <w:t>[…]</w:t>
      </w:r>
    </w:p>
    <w:p w14:paraId="4048EB91" w14:textId="77777777" w:rsidR="00B51C42" w:rsidRPr="00423E72" w:rsidRDefault="00B51C42" w:rsidP="00B51C42">
      <w:pPr>
        <w:pStyle w:val="xmsonospacing"/>
        <w:spacing w:before="0" w:beforeAutospacing="0" w:after="0" w:afterAutospacing="0"/>
        <w:contextualSpacing/>
        <w:jc w:val="both"/>
        <w:rPr>
          <w:rFonts w:ascii="Arial" w:eastAsia="Calibri" w:hAnsi="Arial" w:cs="Arial"/>
          <w:sz w:val="20"/>
          <w:szCs w:val="20"/>
          <w:lang w:val="es-ES"/>
        </w:rPr>
      </w:pPr>
    </w:p>
    <w:p w14:paraId="488201D3" w14:textId="77777777" w:rsidR="00B51C42" w:rsidRPr="00423E72" w:rsidRDefault="00B51C42" w:rsidP="00B51C42">
      <w:pPr>
        <w:pStyle w:val="xmsonospacing"/>
        <w:spacing w:before="0" w:beforeAutospacing="0" w:after="0" w:afterAutospacing="0"/>
        <w:contextualSpacing/>
        <w:jc w:val="both"/>
        <w:rPr>
          <w:rFonts w:ascii="Arial" w:hAnsi="Arial" w:cs="Arial"/>
          <w:sz w:val="20"/>
          <w:szCs w:val="20"/>
          <w:shd w:val="clear" w:color="auto" w:fill="FFFFFF"/>
          <w:lang w:val="es-ES"/>
        </w:rPr>
      </w:pPr>
      <w:r w:rsidRPr="00423E72">
        <w:rPr>
          <w:rFonts w:ascii="Arial" w:eastAsia="Calibri" w:hAnsi="Arial" w:cs="Arial"/>
          <w:sz w:val="20"/>
          <w:szCs w:val="20"/>
          <w:lang w:val="es-ES"/>
        </w:rPr>
        <w:t>De forma más precisa, p</w:t>
      </w:r>
      <w:r w:rsidRPr="00423E72">
        <w:rPr>
          <w:rFonts w:ascii="Arial" w:hAnsi="Arial" w:cs="Arial"/>
          <w:sz w:val="20"/>
          <w:szCs w:val="20"/>
          <w:shd w:val="clear" w:color="auto" w:fill="FFFFFF"/>
          <w:lang w:val="es-ES"/>
        </w:rPr>
        <w:t>ara determinar si la entidad regida por el EGCAP está obligada a aplicar los documentos tipo para la respectiva contratación, habrá que determinar si el objeto a contratar se encuadra dentro de los tipos de infraestructura y actividades establecidas dentro de la respectiva Matriz 1, documento que además estandariza los requisitos de experiencia exigibles para cada uno de los objetos contractuales que deben contratarse aplicando Documentos Tipo.</w:t>
      </w:r>
    </w:p>
    <w:p w14:paraId="3E8CE7ED"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sz w:val="20"/>
          <w:szCs w:val="20"/>
          <w:lang w:val="es-ES_tradnl" w:eastAsia="es-ES_tradnl"/>
        </w:rPr>
      </w:pPr>
    </w:p>
    <w:p w14:paraId="3EAA34A2" w14:textId="77777777" w:rsidR="00B51C42" w:rsidRPr="00423E72" w:rsidRDefault="00B51C42" w:rsidP="00B51C42">
      <w:pPr>
        <w:widowControl w:val="0"/>
        <w:autoSpaceDE w:val="0"/>
        <w:autoSpaceDN w:val="0"/>
        <w:spacing w:after="0" w:line="240" w:lineRule="auto"/>
        <w:contextualSpacing/>
        <w:jc w:val="both"/>
        <w:rPr>
          <w:rFonts w:ascii="Arial" w:eastAsia="Times New Roman" w:hAnsi="Arial" w:cs="Arial"/>
          <w:b/>
          <w:lang w:val="es-ES_tradnl" w:eastAsia="es-ES_tradnl"/>
        </w:rPr>
      </w:pPr>
      <w:r w:rsidRPr="00423E72">
        <w:rPr>
          <w:rFonts w:ascii="Arial" w:eastAsia="Arial MT" w:hAnsi="Arial" w:cs="Arial"/>
          <w:b/>
          <w:lang w:val="es-ES" w:eastAsia="es-ES_tradnl"/>
        </w:rPr>
        <w:t xml:space="preserve">DOCUMENTOS TIPO DE CONSULTORÍA </w:t>
      </w:r>
      <w:r w:rsidRPr="00423E72">
        <w:rPr>
          <w:rFonts w:ascii="Arial" w:eastAsia="Times New Roman" w:hAnsi="Arial" w:cs="Arial"/>
          <w:b/>
          <w:lang w:val="es-ES_tradnl" w:eastAsia="es-ES_tradnl"/>
        </w:rPr>
        <w:t xml:space="preserve">– Consideraciones para la válides de la oferta </w:t>
      </w:r>
      <w:r w:rsidRPr="00423E72">
        <w:rPr>
          <w:rFonts w:ascii="Arial" w:hAnsi="Arial" w:cs="Arial"/>
          <w:b/>
        </w:rPr>
        <w:t>del proponente</w:t>
      </w:r>
    </w:p>
    <w:p w14:paraId="22B1F3E9" w14:textId="77777777" w:rsidR="00B51C42" w:rsidRPr="00423E72" w:rsidRDefault="00B51C42" w:rsidP="00B51C42">
      <w:pPr>
        <w:widowControl w:val="0"/>
        <w:autoSpaceDE w:val="0"/>
        <w:autoSpaceDN w:val="0"/>
        <w:spacing w:after="0" w:line="240" w:lineRule="auto"/>
        <w:contextualSpacing/>
        <w:jc w:val="both"/>
        <w:rPr>
          <w:rFonts w:ascii="Arial" w:eastAsia="Times New Roman" w:hAnsi="Arial" w:cs="Arial"/>
          <w:bCs/>
          <w:sz w:val="20"/>
          <w:szCs w:val="20"/>
          <w:lang w:val="es-ES_tradnl" w:eastAsia="es-ES_tradnl"/>
        </w:rPr>
      </w:pPr>
    </w:p>
    <w:p w14:paraId="1FE6E8F2" w14:textId="77777777" w:rsidR="00B51C42" w:rsidRPr="00423E72" w:rsidRDefault="00B51C42" w:rsidP="00B51C42">
      <w:pPr>
        <w:spacing w:after="0" w:line="240" w:lineRule="auto"/>
        <w:contextualSpacing/>
        <w:jc w:val="both"/>
        <w:rPr>
          <w:rFonts w:ascii="Arial" w:hAnsi="Arial" w:cs="Arial"/>
          <w:sz w:val="20"/>
          <w:szCs w:val="20"/>
        </w:rPr>
      </w:pPr>
      <w:r w:rsidRPr="00423E72">
        <w:rPr>
          <w:rFonts w:ascii="Arial" w:eastAsia="Times New Roman" w:hAnsi="Arial" w:cs="Arial"/>
          <w:bCs/>
          <w:sz w:val="20"/>
          <w:szCs w:val="20"/>
          <w:lang w:val="es-ES_tradnl" w:eastAsia="es-ES_tradnl"/>
        </w:rPr>
        <w:t xml:space="preserve">[…] </w:t>
      </w:r>
      <w:r w:rsidRPr="00423E72">
        <w:rPr>
          <w:rFonts w:ascii="Arial" w:eastAsia="Times New Roman" w:hAnsi="Arial" w:cs="Arial"/>
          <w:kern w:val="0"/>
          <w:sz w:val="20"/>
          <w:szCs w:val="20"/>
          <w:lang w:eastAsia="es-ES_tradnl"/>
          <w14:ligatures w14:val="none"/>
        </w:rPr>
        <w:t xml:space="preserve">Conforme se denota de la transcripción de las dos disposiciones, en la primera versión de </w:t>
      </w:r>
      <w:r w:rsidRPr="00423E72">
        <w:rPr>
          <w:rFonts w:ascii="Arial" w:hAnsi="Arial" w:cs="Arial"/>
          <w:sz w:val="20"/>
          <w:szCs w:val="20"/>
          <w:lang w:val="es-ES_tradnl"/>
        </w:rPr>
        <w:t xml:space="preserve">adoptan los documentos tipo para los procesos de selección de concurso de méritos, para contratar la consultoría de estudios de ingeniería de infraestructura de transporte establecía que </w:t>
      </w:r>
      <w:r w:rsidRPr="00423E72">
        <w:rPr>
          <w:rFonts w:ascii="Arial" w:hAnsi="Arial" w:cs="Arial"/>
          <w:sz w:val="20"/>
          <w:szCs w:val="20"/>
        </w:rPr>
        <w:t xml:space="preserve">en los eventos </w:t>
      </w:r>
      <w:r w:rsidRPr="00423E72">
        <w:rPr>
          <w:rFonts w:ascii="Arial" w:hAnsi="Arial" w:cs="Arial"/>
          <w:sz w:val="20"/>
          <w:szCs w:val="20"/>
        </w:rPr>
        <w:lastRenderedPageBreak/>
        <w:t xml:space="preserve">en que el contrato que se pretendiera acreditar como experiencia contuviera varias actividades, de las cuales solo algunas se ajustan a lo exigido por la </w:t>
      </w:r>
      <w:r w:rsidRPr="00423E72">
        <w:rPr>
          <w:rFonts w:ascii="Arial" w:eastAsia="Times New Roman" w:hAnsi="Arial" w:cs="Arial"/>
          <w:kern w:val="0"/>
          <w:sz w:val="20"/>
          <w:szCs w:val="20"/>
          <w:lang w:eastAsia="es-ES_tradnl"/>
          <w14:ligatures w14:val="none"/>
        </w:rPr>
        <w:t>«</w:t>
      </w:r>
      <w:r w:rsidRPr="00423E72">
        <w:rPr>
          <w:rFonts w:ascii="Arial" w:hAnsi="Arial" w:cs="Arial"/>
          <w:sz w:val="20"/>
          <w:szCs w:val="20"/>
        </w:rPr>
        <w:t>Matriz 1 – Experiencia</w:t>
      </w:r>
      <w:r w:rsidRPr="00423E72">
        <w:rPr>
          <w:rFonts w:ascii="Arial" w:eastAsia="Times New Roman" w:hAnsi="Arial" w:cs="Arial"/>
          <w:kern w:val="0"/>
          <w:sz w:val="20"/>
          <w:szCs w:val="20"/>
          <w:lang w:eastAsia="es-ES_tradnl"/>
          <w14:ligatures w14:val="none"/>
        </w:rPr>
        <w:t>»</w:t>
      </w:r>
      <w:r w:rsidRPr="00423E72">
        <w:rPr>
          <w:rFonts w:ascii="Arial" w:hAnsi="Arial" w:cs="Arial"/>
          <w:sz w:val="20"/>
          <w:szCs w:val="20"/>
        </w:rPr>
        <w:t xml:space="preserve"> asociado con actividades de consultoría, la entidad debía descontar los valores del contrato, dimensiones y magnitudes relacionadas con las actividades que se encuentran por fuera del requisito de experiencia a través de los documentos válidos aportados. Y señala que en el caso que no fuera posible identificar el valor de las actividades correspondientes a través de los documentos válidos aportados, la entidad tendría en cuenta únicamente el diez (10%) del valor total del contrato aportado conforme a la suma registrada en el RUP, sin que fuera procedente requerir al oferente para la subsanación de la información solicitada. </w:t>
      </w:r>
    </w:p>
    <w:p w14:paraId="78834156" w14:textId="77777777" w:rsidR="00B51C42" w:rsidRPr="00423E72" w:rsidRDefault="00B51C42" w:rsidP="00B51C42">
      <w:pPr>
        <w:widowControl w:val="0"/>
        <w:autoSpaceDE w:val="0"/>
        <w:autoSpaceDN w:val="0"/>
        <w:spacing w:after="0" w:line="240" w:lineRule="auto"/>
        <w:contextualSpacing/>
        <w:jc w:val="both"/>
        <w:rPr>
          <w:rFonts w:ascii="Arial" w:eastAsia="Times New Roman" w:hAnsi="Arial" w:cs="Arial"/>
          <w:b/>
          <w:sz w:val="20"/>
          <w:szCs w:val="20"/>
          <w:lang w:val="es-ES_tradnl" w:eastAsia="es-ES_tradnl"/>
        </w:rPr>
      </w:pPr>
    </w:p>
    <w:p w14:paraId="5E6E6DA3" w14:textId="77777777" w:rsidR="00B51C42" w:rsidRPr="00423E72" w:rsidRDefault="00B51C42" w:rsidP="00B51C42">
      <w:pPr>
        <w:widowControl w:val="0"/>
        <w:autoSpaceDE w:val="0"/>
        <w:autoSpaceDN w:val="0"/>
        <w:spacing w:after="0" w:line="240" w:lineRule="auto"/>
        <w:contextualSpacing/>
        <w:jc w:val="both"/>
        <w:rPr>
          <w:rFonts w:ascii="Arial" w:eastAsia="Calibri" w:hAnsi="Arial" w:cs="Arial"/>
          <w:b/>
          <w:lang w:val="es-ES_tradnl" w:eastAsia="es-ES_tradnl"/>
        </w:rPr>
      </w:pPr>
      <w:r w:rsidRPr="00423E72">
        <w:rPr>
          <w:rFonts w:ascii="Arial" w:eastAsia="Arial MT" w:hAnsi="Arial" w:cs="Arial"/>
          <w:b/>
          <w:lang w:val="es-ES" w:eastAsia="es-ES_tradnl"/>
        </w:rPr>
        <w:t xml:space="preserve">DOCUMENTOS TIPO DE CONSULTORÍA </w:t>
      </w:r>
      <w:r w:rsidRPr="00423E72">
        <w:rPr>
          <w:rFonts w:ascii="Arial" w:eastAsia="Times New Roman" w:hAnsi="Arial" w:cs="Arial"/>
          <w:b/>
          <w:lang w:val="es-ES_tradnl" w:eastAsia="es-ES_tradnl"/>
        </w:rPr>
        <w:t>– Versión 1, 2 y 3 – Modificaciones</w:t>
      </w:r>
    </w:p>
    <w:p w14:paraId="4D70E78C" w14:textId="77777777" w:rsidR="00B51C42" w:rsidRPr="00423E72" w:rsidRDefault="00B51C42" w:rsidP="00B51C42">
      <w:pPr>
        <w:spacing w:after="0" w:line="240" w:lineRule="auto"/>
        <w:contextualSpacing/>
        <w:jc w:val="both"/>
        <w:rPr>
          <w:rFonts w:ascii="Arial" w:hAnsi="Arial" w:cs="Arial"/>
          <w:sz w:val="20"/>
          <w:szCs w:val="20"/>
        </w:rPr>
      </w:pPr>
    </w:p>
    <w:p w14:paraId="7F6FBDD2" w14:textId="77777777" w:rsidR="00B51C42" w:rsidRDefault="00B51C42" w:rsidP="00B51C42">
      <w:pPr>
        <w:spacing w:after="0" w:line="240" w:lineRule="auto"/>
        <w:contextualSpacing/>
        <w:jc w:val="both"/>
        <w:rPr>
          <w:rFonts w:ascii="Arial" w:hAnsi="Arial" w:cs="Arial"/>
          <w:sz w:val="20"/>
          <w:szCs w:val="20"/>
        </w:rPr>
      </w:pPr>
      <w:r w:rsidRPr="00423E72">
        <w:rPr>
          <w:rFonts w:ascii="Arial" w:hAnsi="Arial" w:cs="Arial"/>
          <w:sz w:val="20"/>
          <w:szCs w:val="20"/>
        </w:rPr>
        <w:t xml:space="preserve">Como se observa, a partir de la expedición de la Resolución 304 de 2021, la Agencia Nacional de Contratación Pública, modificó el literal K) del numeral 10.1.2 «Consideraciones para la validez de la experiencia requerida» en los documentos tipo de infraestructura de transporte adelantados bajo la modalidad de concurso de méritos, a través de la cual se aclara la manera en que se acredita la experiencia cuando en un contrato se ejecutan varias actividades de las cuales solo algunas se ajustan a lo exigido en la «Matriz 1 – Experiencia». De este modo, establece que, si un contrato contiene varias actividades, de las cuales solo algunas de ellas se ajustan a lo exigido por la Matriz 1 – Experiencia, la entidad deberá descontar los valores del contrato, dimensiones y longitudes relacionadas. </w:t>
      </w:r>
    </w:p>
    <w:p w14:paraId="7CD22AEE" w14:textId="77777777" w:rsidR="00B51C42" w:rsidRPr="00423E72" w:rsidRDefault="00B51C42" w:rsidP="00B51C42">
      <w:pPr>
        <w:spacing w:after="0" w:line="240" w:lineRule="auto"/>
        <w:contextualSpacing/>
        <w:jc w:val="both"/>
        <w:rPr>
          <w:rFonts w:ascii="Arial" w:hAnsi="Arial" w:cs="Arial"/>
          <w:sz w:val="20"/>
          <w:szCs w:val="20"/>
        </w:rPr>
      </w:pPr>
    </w:p>
    <w:p w14:paraId="25C5E03A" w14:textId="77777777" w:rsidR="00B51C42" w:rsidRPr="00423E72" w:rsidRDefault="00B51C42" w:rsidP="00B51C42">
      <w:pPr>
        <w:spacing w:after="0" w:line="240" w:lineRule="auto"/>
        <w:contextualSpacing/>
        <w:rPr>
          <w:rFonts w:ascii="Arial" w:hAnsi="Arial" w:cs="Arial"/>
          <w:sz w:val="20"/>
          <w:szCs w:val="20"/>
        </w:rPr>
      </w:pPr>
      <w:r w:rsidRPr="00423E72">
        <w:rPr>
          <w:rFonts w:ascii="Arial" w:hAnsi="Arial" w:cs="Arial"/>
          <w:sz w:val="20"/>
          <w:szCs w:val="20"/>
        </w:rPr>
        <w:t>[…]</w:t>
      </w:r>
    </w:p>
    <w:p w14:paraId="3337DCF9" w14:textId="77777777" w:rsidR="00B51C42" w:rsidRPr="00423E72" w:rsidRDefault="00B51C42" w:rsidP="00B51C42">
      <w:pPr>
        <w:spacing w:after="0" w:line="240" w:lineRule="auto"/>
        <w:contextualSpacing/>
        <w:rPr>
          <w:rFonts w:ascii="Arial" w:hAnsi="Arial" w:cs="Arial"/>
          <w:sz w:val="20"/>
          <w:szCs w:val="20"/>
        </w:rPr>
      </w:pPr>
    </w:p>
    <w:p w14:paraId="01251660" w14:textId="77777777" w:rsidR="00B51C42" w:rsidRPr="00423E72" w:rsidRDefault="00B51C42" w:rsidP="00B51C42">
      <w:pPr>
        <w:spacing w:after="0" w:line="240" w:lineRule="auto"/>
        <w:contextualSpacing/>
        <w:jc w:val="both"/>
        <w:rPr>
          <w:rFonts w:ascii="Arial" w:eastAsia="Times New Roman" w:hAnsi="Arial" w:cs="Arial"/>
          <w:b/>
          <w:bCs/>
          <w:kern w:val="0"/>
          <w:sz w:val="20"/>
          <w:szCs w:val="20"/>
          <w:lang w:eastAsia="es-ES_tradnl"/>
          <w14:ligatures w14:val="none"/>
        </w:rPr>
      </w:pPr>
      <w:r w:rsidRPr="00423E72">
        <w:rPr>
          <w:rFonts w:ascii="Arial" w:hAnsi="Arial" w:cs="Arial"/>
          <w:sz w:val="20"/>
          <w:szCs w:val="20"/>
        </w:rPr>
        <w:t>De igual forma, se concluye que cuando los contratos aportados como experiencia contengan actividades de obra y de consultoría de estudios y diseños, la entidad estatal solo tendrá en cuenta los valores relacionados con la consultoría de estudios de ingeniería de infraestructura de transporte. Para ello, el oferente deberá acreditar los valores ejecutados empleando alguno de los documentos válidos aportados establecidos en el numeral 10.1.5 del pliego de condiciones.</w:t>
      </w:r>
    </w:p>
    <w:p w14:paraId="06D81328" w14:textId="77777777" w:rsidR="00B51C42" w:rsidRPr="00423E72" w:rsidRDefault="00B51C42" w:rsidP="00B51C42">
      <w:pPr>
        <w:spacing w:after="0" w:line="240" w:lineRule="auto"/>
        <w:contextualSpacing/>
        <w:rPr>
          <w:rFonts w:ascii="Arial" w:hAnsi="Arial" w:cs="Arial"/>
          <w:sz w:val="20"/>
          <w:szCs w:val="20"/>
        </w:rPr>
      </w:pPr>
    </w:p>
    <w:p w14:paraId="170F268A" w14:textId="77777777" w:rsidR="00B51C42" w:rsidRDefault="00B51C42">
      <w:pPr>
        <w:rPr>
          <w:rFonts w:ascii="Arial" w:hAnsi="Arial" w:cs="Arial"/>
          <w:kern w:val="0"/>
          <w:lang w:val="es-ES_tradnl"/>
          <w14:ligatures w14:val="none"/>
        </w:rPr>
      </w:pPr>
      <w:r>
        <w:rPr>
          <w:rFonts w:ascii="Arial" w:hAnsi="Arial" w:cs="Arial"/>
          <w:kern w:val="0"/>
          <w:lang w:val="es-ES_tradnl"/>
          <w14:ligatures w14:val="none"/>
        </w:rPr>
        <w:br w:type="page"/>
      </w:r>
    </w:p>
    <w:p w14:paraId="162EAC22" w14:textId="64AFAD70" w:rsidR="00D62F37" w:rsidRPr="006327AB" w:rsidRDefault="00583264" w:rsidP="00BE19DE">
      <w:pPr>
        <w:spacing w:after="0" w:line="276" w:lineRule="auto"/>
        <w:contextualSpacing/>
        <w:jc w:val="both"/>
        <w:rPr>
          <w:rFonts w:ascii="Arial" w:hAnsi="Arial" w:cs="Arial"/>
          <w:kern w:val="0"/>
          <w:lang w:val="es-ES_tradnl"/>
          <w14:ligatures w14:val="none"/>
        </w:rPr>
      </w:pPr>
      <w:r>
        <w:rPr>
          <w:rFonts w:ascii="Arial" w:hAnsi="Arial" w:cs="Arial"/>
          <w:noProof/>
          <w:kern w:val="0"/>
          <w:lang w:val="es-ES"/>
          <w14:ligatures w14:val="none"/>
        </w:rPr>
        <w:lastRenderedPageBreak/>
        <w:drawing>
          <wp:anchor distT="0" distB="0" distL="114300" distR="114300" simplePos="0" relativeHeight="251657216" behindDoc="1" locked="0" layoutInCell="1" allowOverlap="1" wp14:anchorId="2D53A864" wp14:editId="43EA728C">
            <wp:simplePos x="0" y="0"/>
            <wp:positionH relativeFrom="column">
              <wp:posOffset>3158490</wp:posOffset>
            </wp:positionH>
            <wp:positionV relativeFrom="paragraph">
              <wp:posOffset>0</wp:posOffset>
            </wp:positionV>
            <wp:extent cx="2486025" cy="650240"/>
            <wp:effectExtent l="0" t="0" r="9525" b="0"/>
            <wp:wrapTight wrapText="bothSides">
              <wp:wrapPolygon edited="0">
                <wp:start x="0" y="0"/>
                <wp:lineTo x="0" y="20883"/>
                <wp:lineTo x="21517" y="20883"/>
                <wp:lineTo x="21517"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025" cy="650240"/>
                    </a:xfrm>
                    <a:prstGeom prst="rect">
                      <a:avLst/>
                    </a:prstGeom>
                    <a:noFill/>
                  </pic:spPr>
                </pic:pic>
              </a:graphicData>
            </a:graphic>
            <wp14:sizeRelH relativeFrom="margin">
              <wp14:pctWidth>0</wp14:pctWidth>
            </wp14:sizeRelH>
            <wp14:sizeRelV relativeFrom="margin">
              <wp14:pctHeight>0</wp14:pctHeight>
            </wp14:sizeRelV>
          </wp:anchor>
        </w:drawing>
      </w:r>
      <w:r w:rsidR="00644B52" w:rsidRPr="4FE585E3">
        <w:rPr>
          <w:rFonts w:ascii="Arial" w:hAnsi="Arial" w:cs="Arial"/>
          <w:kern w:val="0"/>
          <w:lang w:val="es-ES"/>
          <w14:ligatures w14:val="none"/>
        </w:rPr>
        <w:t>B</w:t>
      </w:r>
      <w:r w:rsidR="00647172" w:rsidRPr="4FE585E3">
        <w:rPr>
          <w:rFonts w:ascii="Arial" w:hAnsi="Arial" w:cs="Arial"/>
          <w:kern w:val="0"/>
          <w:lang w:val="es-ES"/>
          <w14:ligatures w14:val="none"/>
        </w:rPr>
        <w:t>ogotá, 17 de febrero de 2022</w:t>
      </w:r>
    </w:p>
    <w:p w14:paraId="1391BF6B" w14:textId="3408047F" w:rsidR="00647172" w:rsidRPr="00647172" w:rsidRDefault="50CA4447" w:rsidP="4FE585E3">
      <w:pPr>
        <w:spacing w:after="0" w:line="276" w:lineRule="auto"/>
        <w:contextualSpacing/>
        <w:jc w:val="right"/>
      </w:pPr>
      <w:r>
        <w:t xml:space="preserve">  </w:t>
      </w:r>
    </w:p>
    <w:p w14:paraId="0F3D1E64" w14:textId="11DB7F08" w:rsidR="00647172" w:rsidRPr="00647172" w:rsidRDefault="50CA4447" w:rsidP="4FE585E3">
      <w:pPr>
        <w:spacing w:after="0" w:line="276" w:lineRule="auto"/>
        <w:contextualSpacing/>
        <w:jc w:val="right"/>
      </w:pPr>
      <w:r>
        <w:t xml:space="preserve">  </w:t>
      </w:r>
    </w:p>
    <w:p w14:paraId="4FED48C7" w14:textId="2A697387" w:rsidR="00647172" w:rsidRPr="00647172" w:rsidRDefault="00647172" w:rsidP="00BE19DE">
      <w:pPr>
        <w:spacing w:after="0" w:line="276" w:lineRule="auto"/>
        <w:contextualSpacing/>
        <w:jc w:val="both"/>
        <w:rPr>
          <w:rFonts w:ascii="Arial" w:eastAsia="Calibri" w:hAnsi="Arial" w:cs="Arial"/>
          <w:kern w:val="0"/>
          <w:lang w:val="es-ES_tradnl" w:eastAsia="es-ES_tradnl"/>
          <w14:ligatures w14:val="none"/>
        </w:rPr>
      </w:pPr>
      <w:r w:rsidRPr="00644B52">
        <w:rPr>
          <w:rFonts w:ascii="Arial" w:eastAsia="Calibri" w:hAnsi="Arial" w:cs="Arial"/>
          <w:kern w:val="0"/>
          <w:lang w:val="es-ES_tradnl" w:eastAsia="es-ES_tradnl"/>
          <w14:ligatures w14:val="none"/>
        </w:rPr>
        <w:t>Señora</w:t>
      </w:r>
    </w:p>
    <w:p w14:paraId="5D0DEC7B" w14:textId="5EF602C3" w:rsidR="00647172" w:rsidRPr="00644B52" w:rsidRDefault="00647172" w:rsidP="00BE19DE">
      <w:pPr>
        <w:spacing w:after="0" w:line="276" w:lineRule="auto"/>
        <w:contextualSpacing/>
        <w:jc w:val="both"/>
        <w:rPr>
          <w:rFonts w:ascii="Arial" w:eastAsia="Times New Roman" w:hAnsi="Arial" w:cs="Arial"/>
          <w:b/>
          <w:bCs/>
          <w:kern w:val="0"/>
          <w:lang w:eastAsia="es-ES_tradnl"/>
          <w14:ligatures w14:val="none"/>
        </w:rPr>
      </w:pPr>
      <w:r w:rsidRPr="00644B52">
        <w:rPr>
          <w:rFonts w:ascii="Arial" w:eastAsia="Times New Roman" w:hAnsi="Arial" w:cs="Arial"/>
          <w:b/>
          <w:bCs/>
          <w:kern w:val="0"/>
          <w:lang w:eastAsia="es-ES_tradnl"/>
          <w14:ligatures w14:val="none"/>
        </w:rPr>
        <w:t>Sara Taborda Morales</w:t>
      </w:r>
    </w:p>
    <w:p w14:paraId="1ED4E1F6" w14:textId="6019102B" w:rsidR="00647172" w:rsidRPr="00647172" w:rsidRDefault="00647172" w:rsidP="00BE19DE">
      <w:pPr>
        <w:spacing w:after="0" w:line="276" w:lineRule="auto"/>
        <w:contextualSpacing/>
        <w:jc w:val="both"/>
        <w:rPr>
          <w:rFonts w:ascii="Arial" w:eastAsia="Calibri" w:hAnsi="Arial" w:cs="Arial"/>
          <w:kern w:val="0"/>
          <w:lang w:val="es-ES_tradnl" w:eastAsia="es-ES_tradnl"/>
          <w14:ligatures w14:val="none"/>
        </w:rPr>
      </w:pPr>
      <w:r w:rsidRPr="00644B52">
        <w:rPr>
          <w:rFonts w:ascii="Arial" w:eastAsia="Times New Roman" w:hAnsi="Arial" w:cs="Arial"/>
          <w:kern w:val="0"/>
          <w:lang w:eastAsia="es-ES_tradnl"/>
          <w14:ligatures w14:val="none"/>
        </w:rPr>
        <w:t>Profesional Comercial MAB Ingeniería de Valor</w:t>
      </w:r>
    </w:p>
    <w:p w14:paraId="7A3623FD" w14:textId="6698F30E" w:rsidR="00647172" w:rsidRPr="00647172" w:rsidRDefault="00647172" w:rsidP="00BE19DE">
      <w:pPr>
        <w:spacing w:after="0" w:line="276" w:lineRule="auto"/>
        <w:contextualSpacing/>
        <w:jc w:val="both"/>
        <w:rPr>
          <w:rFonts w:ascii="Arial" w:eastAsia="Calibri" w:hAnsi="Arial" w:cs="Arial"/>
          <w:kern w:val="0"/>
          <w:lang w:val="es-ES_tradnl" w:eastAsia="es-ES_tradnl"/>
          <w14:ligatures w14:val="none"/>
        </w:rPr>
      </w:pPr>
      <w:r w:rsidRPr="00644B52">
        <w:rPr>
          <w:rFonts w:ascii="Arial" w:eastAsia="Calibri" w:hAnsi="Arial" w:cs="Arial"/>
          <w:kern w:val="0"/>
          <w:lang w:val="es-ES_tradnl" w:eastAsia="es-ES_tradnl"/>
          <w14:ligatures w14:val="none"/>
        </w:rPr>
        <w:t>Bogotá D.C.</w:t>
      </w:r>
    </w:p>
    <w:p w14:paraId="1514C251" w14:textId="77777777" w:rsidR="00647172" w:rsidRPr="00647172" w:rsidRDefault="00647172" w:rsidP="00BE19DE">
      <w:pPr>
        <w:spacing w:after="0" w:line="276" w:lineRule="auto"/>
        <w:contextualSpacing/>
        <w:rPr>
          <w:rFonts w:ascii="Arial" w:eastAsia="Calibri" w:hAnsi="Arial" w:cs="Arial"/>
          <w:b/>
          <w:bCs/>
          <w:kern w:val="0"/>
          <w:lang w:val="es-ES_tradnl" w:eastAsia="es-ES_tradnl"/>
          <w14:ligatures w14:val="none"/>
        </w:rPr>
      </w:pPr>
    </w:p>
    <w:p w14:paraId="586F571F" w14:textId="77777777" w:rsidR="00647172" w:rsidRPr="00647172" w:rsidRDefault="00647172" w:rsidP="00BE19DE">
      <w:pPr>
        <w:spacing w:after="0" w:line="276" w:lineRule="auto"/>
        <w:contextualSpacing/>
        <w:rPr>
          <w:rFonts w:ascii="Arial" w:eastAsia="Calibri" w:hAnsi="Arial" w:cs="Arial"/>
          <w:b/>
          <w:bCs/>
          <w:kern w:val="0"/>
          <w:lang w:val="es-ES_tradnl" w:eastAsia="es-ES_tradnl"/>
          <w14:ligatures w14:val="none"/>
        </w:rPr>
      </w:pPr>
    </w:p>
    <w:p w14:paraId="426E14DB" w14:textId="2CDC67AF" w:rsidR="00647172" w:rsidRPr="00647172" w:rsidRDefault="00647172" w:rsidP="4FE585E3">
      <w:pPr>
        <w:spacing w:after="0" w:line="240" w:lineRule="auto"/>
        <w:ind w:left="2124" w:firstLine="708"/>
        <w:contextualSpacing/>
        <w:rPr>
          <w:rFonts w:ascii="Arial" w:eastAsia="Calibri" w:hAnsi="Arial" w:cs="Arial"/>
          <w:b/>
          <w:bCs/>
          <w:kern w:val="0"/>
          <w:lang w:val="es-ES" w:eastAsia="es-ES"/>
          <w14:ligatures w14:val="none"/>
        </w:rPr>
      </w:pPr>
      <w:r w:rsidRPr="4FE585E3">
        <w:rPr>
          <w:rFonts w:ascii="Arial" w:eastAsia="Calibri" w:hAnsi="Arial" w:cs="Arial"/>
          <w:b/>
          <w:bCs/>
          <w:kern w:val="0"/>
          <w:lang w:val="es-ES" w:eastAsia="es-ES"/>
          <w14:ligatures w14:val="none"/>
        </w:rPr>
        <w:t>Concepto C ‒ 945 de 202</w:t>
      </w:r>
      <w:r w:rsidR="5EC6EBDA" w:rsidRPr="4FE585E3">
        <w:rPr>
          <w:rFonts w:ascii="Arial" w:eastAsia="Calibri" w:hAnsi="Arial" w:cs="Arial"/>
          <w:b/>
          <w:bCs/>
          <w:kern w:val="0"/>
          <w:lang w:val="es-ES" w:eastAsia="es-ES"/>
          <w14:ligatures w14:val="none"/>
        </w:rPr>
        <w:t>2</w:t>
      </w:r>
    </w:p>
    <w:p w14:paraId="7B481FE9" w14:textId="77777777" w:rsidR="00647172" w:rsidRPr="00647172" w:rsidRDefault="00647172" w:rsidP="00083D68">
      <w:pPr>
        <w:spacing w:after="0" w:line="240" w:lineRule="auto"/>
        <w:contextualSpacing/>
        <w:jc w:val="both"/>
        <w:rPr>
          <w:rFonts w:ascii="Arial" w:eastAsia="Calibri" w:hAnsi="Arial" w:cs="Arial"/>
          <w:kern w:val="0"/>
          <w:lang w:val="es-ES_tradnl" w:eastAsia="es-ES_tradnl"/>
          <w14:ligatures w14:val="none"/>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658"/>
      </w:tblGrid>
      <w:tr w:rsidR="00644B52" w:rsidRPr="00644B52" w14:paraId="660378CF" w14:textId="77777777" w:rsidTr="4FE585E3">
        <w:trPr>
          <w:trHeight w:val="1875"/>
        </w:trPr>
        <w:tc>
          <w:tcPr>
            <w:tcW w:w="2268" w:type="dxa"/>
          </w:tcPr>
          <w:p w14:paraId="18FD3019" w14:textId="77777777" w:rsidR="00647172" w:rsidRPr="00647172" w:rsidRDefault="00647172" w:rsidP="00647172">
            <w:pPr>
              <w:contextualSpacing/>
              <w:rPr>
                <w:rFonts w:ascii="Arial" w:eastAsia="Calibri" w:hAnsi="Arial" w:cs="Arial"/>
                <w:lang w:val="es-ES_tradnl" w:eastAsia="es-ES_tradnl"/>
              </w:rPr>
            </w:pPr>
            <w:r w:rsidRPr="00647172">
              <w:rPr>
                <w:rFonts w:ascii="Arial" w:eastAsia="Calibri" w:hAnsi="Arial" w:cs="Arial"/>
                <w:b/>
                <w:lang w:val="es-ES_tradnl" w:eastAsia="es-ES_tradnl"/>
              </w:rPr>
              <w:t>Temas:</w:t>
            </w:r>
            <w:r w:rsidRPr="00647172">
              <w:rPr>
                <w:rFonts w:ascii="Arial" w:eastAsia="Calibri" w:hAnsi="Arial" w:cs="Arial"/>
                <w:lang w:val="es-ES_tradnl" w:eastAsia="es-ES_tradnl"/>
              </w:rPr>
              <w:t xml:space="preserve">                                      </w:t>
            </w:r>
          </w:p>
        </w:tc>
        <w:tc>
          <w:tcPr>
            <w:tcW w:w="6658" w:type="dxa"/>
          </w:tcPr>
          <w:p w14:paraId="442AEBB3" w14:textId="2C8F9FA6" w:rsidR="00647172" w:rsidRPr="00647172" w:rsidRDefault="00647172" w:rsidP="00647172">
            <w:pPr>
              <w:widowControl w:val="0"/>
              <w:autoSpaceDE w:val="0"/>
              <w:autoSpaceDN w:val="0"/>
              <w:contextualSpacing/>
              <w:jc w:val="both"/>
              <w:rPr>
                <w:rFonts w:ascii="Arial" w:eastAsia="Calibri" w:hAnsi="Arial" w:cs="Arial"/>
                <w:b/>
                <w:lang w:val="es-ES_tradnl" w:eastAsia="es-ES_tradnl"/>
              </w:rPr>
            </w:pPr>
            <w:r w:rsidRPr="00647172">
              <w:rPr>
                <w:rFonts w:ascii="Arial" w:eastAsia="Calibri" w:hAnsi="Arial" w:cs="Arial"/>
                <w:bCs/>
                <w:lang w:val="es-ES_tradnl" w:eastAsia="es-ES_tradnl"/>
              </w:rPr>
              <w:t xml:space="preserve">DOCUMENTOS TIPO – Fundamento normativo – Ley 2022 de 2020 / </w:t>
            </w:r>
            <w:r w:rsidRPr="00647172">
              <w:rPr>
                <w:rFonts w:ascii="Arial" w:eastAsia="Arial MT" w:hAnsi="Arial" w:cs="Arial"/>
                <w:bCs/>
                <w:lang w:val="es-ES" w:eastAsia="es-ES_tradnl"/>
              </w:rPr>
              <w:t xml:space="preserve">DOCUMENTOS TIPO DE CONSULTORÍA </w:t>
            </w:r>
            <w:r w:rsidR="00644B52" w:rsidRPr="00644B52">
              <w:rPr>
                <w:rFonts w:ascii="Arial" w:eastAsia="Arial MT" w:hAnsi="Arial" w:cs="Arial"/>
                <w:bCs/>
                <w:lang w:val="es-ES" w:eastAsia="es-ES_tradnl"/>
              </w:rPr>
              <w:t>–</w:t>
            </w:r>
            <w:r w:rsidRPr="00647172">
              <w:rPr>
                <w:rFonts w:ascii="Arial" w:eastAsia="Arial MT" w:hAnsi="Arial" w:cs="Arial"/>
                <w:bCs/>
                <w:lang w:val="es-ES" w:eastAsia="es-ES_tradnl"/>
              </w:rPr>
              <w:t xml:space="preserve"> </w:t>
            </w:r>
            <w:r w:rsidR="00644B52" w:rsidRPr="00644B52">
              <w:rPr>
                <w:rFonts w:ascii="Arial" w:eastAsia="Calibri" w:hAnsi="Arial" w:cs="Arial"/>
                <w:bCs/>
                <w:lang w:val="es-ES_tradnl" w:eastAsia="es-ES_tradnl"/>
              </w:rPr>
              <w:t>Ámbito de aplicación</w:t>
            </w:r>
            <w:r w:rsidRPr="00647172">
              <w:rPr>
                <w:rFonts w:ascii="Arial" w:eastAsia="Calibri" w:hAnsi="Arial" w:cs="Arial"/>
                <w:bCs/>
                <w:lang w:val="es-ES_tradnl" w:eastAsia="es-ES_tradnl"/>
              </w:rPr>
              <w:t xml:space="preserve"> </w:t>
            </w:r>
            <w:r w:rsidRPr="00647172">
              <w:rPr>
                <w:rFonts w:ascii="Arial" w:eastAsia="Times New Roman" w:hAnsi="Arial" w:cs="Arial"/>
                <w:bCs/>
                <w:lang w:val="es-ES_tradnl" w:eastAsia="es-ES_tradnl"/>
              </w:rPr>
              <w:t xml:space="preserve">/ </w:t>
            </w:r>
            <w:r w:rsidRPr="00647172">
              <w:rPr>
                <w:rFonts w:ascii="Arial" w:eastAsia="Arial MT" w:hAnsi="Arial" w:cs="Arial"/>
                <w:bCs/>
                <w:lang w:val="es-ES" w:eastAsia="es-ES_tradnl"/>
              </w:rPr>
              <w:t>DOCUMENTOS TIPO DE CONSULTORÍA</w:t>
            </w:r>
            <w:r w:rsidR="00644B52" w:rsidRPr="00644B52">
              <w:rPr>
                <w:rFonts w:ascii="Arial" w:eastAsia="Arial MT" w:hAnsi="Arial" w:cs="Arial"/>
                <w:bCs/>
                <w:lang w:val="es-ES" w:eastAsia="es-ES_tradnl"/>
              </w:rPr>
              <w:t xml:space="preserve"> </w:t>
            </w:r>
            <w:r w:rsidRPr="00647172">
              <w:rPr>
                <w:rFonts w:ascii="Arial" w:eastAsia="Times New Roman" w:hAnsi="Arial" w:cs="Arial"/>
                <w:bCs/>
                <w:lang w:val="es-ES_tradnl" w:eastAsia="es-ES_tradnl"/>
              </w:rPr>
              <w:t>–</w:t>
            </w:r>
            <w:r w:rsidR="00644B52" w:rsidRPr="00644B52">
              <w:rPr>
                <w:rFonts w:ascii="Arial" w:eastAsia="Times New Roman" w:hAnsi="Arial" w:cs="Arial"/>
                <w:bCs/>
                <w:lang w:val="es-ES_tradnl" w:eastAsia="es-ES_tradnl"/>
              </w:rPr>
              <w:t xml:space="preserve"> Consideraciones para la válides de la oferta </w:t>
            </w:r>
            <w:r w:rsidR="00644B52" w:rsidRPr="00644B52">
              <w:rPr>
                <w:rFonts w:ascii="Arial" w:hAnsi="Arial" w:cs="Arial"/>
              </w:rPr>
              <w:t>del proponente</w:t>
            </w:r>
            <w:r w:rsidR="00644B52" w:rsidRPr="00644B52">
              <w:rPr>
                <w:rFonts w:ascii="Arial" w:eastAsia="Times New Roman" w:hAnsi="Arial" w:cs="Arial"/>
                <w:bCs/>
                <w:lang w:val="es-ES_tradnl" w:eastAsia="es-ES_tradnl"/>
              </w:rPr>
              <w:t xml:space="preserve"> / </w:t>
            </w:r>
            <w:r w:rsidR="00644B52" w:rsidRPr="00647172">
              <w:rPr>
                <w:rFonts w:ascii="Arial" w:eastAsia="Arial MT" w:hAnsi="Arial" w:cs="Arial"/>
                <w:bCs/>
                <w:lang w:val="es-ES" w:eastAsia="es-ES_tradnl"/>
              </w:rPr>
              <w:t>DOCUMENTOS TIPO DE CONSULTORÍA</w:t>
            </w:r>
            <w:r w:rsidR="00644B52" w:rsidRPr="00644B52">
              <w:rPr>
                <w:rFonts w:ascii="Arial" w:eastAsia="Arial MT" w:hAnsi="Arial" w:cs="Arial"/>
                <w:bCs/>
                <w:lang w:val="es-ES" w:eastAsia="es-ES_tradnl"/>
              </w:rPr>
              <w:t xml:space="preserve"> </w:t>
            </w:r>
            <w:r w:rsidR="00644B52" w:rsidRPr="00647172">
              <w:rPr>
                <w:rFonts w:ascii="Arial" w:eastAsia="Times New Roman" w:hAnsi="Arial" w:cs="Arial"/>
                <w:bCs/>
                <w:lang w:val="es-ES_tradnl" w:eastAsia="es-ES_tradnl"/>
              </w:rPr>
              <w:t>–</w:t>
            </w:r>
            <w:r w:rsidR="00644B52" w:rsidRPr="00644B52">
              <w:rPr>
                <w:rFonts w:ascii="Arial" w:eastAsia="Times New Roman" w:hAnsi="Arial" w:cs="Arial"/>
                <w:bCs/>
                <w:lang w:val="es-ES_tradnl" w:eastAsia="es-ES_tradnl"/>
              </w:rPr>
              <w:t xml:space="preserve"> Versión 1, 2 y 3 – Modificaciones</w:t>
            </w:r>
          </w:p>
          <w:p w14:paraId="3DA109D8" w14:textId="77777777" w:rsidR="00647172" w:rsidRPr="00647172" w:rsidRDefault="00647172" w:rsidP="00647172">
            <w:pPr>
              <w:contextualSpacing/>
              <w:rPr>
                <w:rFonts w:ascii="Arial" w:eastAsia="Calibri" w:hAnsi="Arial" w:cs="Arial"/>
                <w:lang w:val="es-ES_tradnl" w:eastAsia="es-ES_tradnl"/>
              </w:rPr>
            </w:pPr>
          </w:p>
        </w:tc>
      </w:tr>
      <w:tr w:rsidR="00644B52" w:rsidRPr="00644B52" w14:paraId="7C45EB0D" w14:textId="77777777" w:rsidTr="4FE585E3">
        <w:tc>
          <w:tcPr>
            <w:tcW w:w="2268" w:type="dxa"/>
          </w:tcPr>
          <w:p w14:paraId="2E3E9922" w14:textId="77777777" w:rsidR="00647172" w:rsidRPr="00647172" w:rsidRDefault="00647172" w:rsidP="00647172">
            <w:pPr>
              <w:contextualSpacing/>
              <w:rPr>
                <w:rFonts w:ascii="Arial" w:eastAsia="Calibri" w:hAnsi="Arial" w:cs="Arial"/>
                <w:b/>
                <w:lang w:val="es-ES_tradnl" w:eastAsia="es-ES_tradnl"/>
              </w:rPr>
            </w:pPr>
            <w:r w:rsidRPr="00647172">
              <w:rPr>
                <w:rFonts w:ascii="Arial" w:eastAsia="Calibri" w:hAnsi="Arial" w:cs="Arial"/>
                <w:b/>
                <w:lang w:val="es-ES_tradnl" w:eastAsia="es-ES_tradnl"/>
              </w:rPr>
              <w:t>Radicación:</w:t>
            </w:r>
            <w:r w:rsidRPr="00647172">
              <w:rPr>
                <w:rFonts w:ascii="Arial" w:eastAsia="Calibri" w:hAnsi="Arial" w:cs="Arial"/>
                <w:lang w:val="es-ES_tradnl" w:eastAsia="es-ES_tradnl"/>
              </w:rPr>
              <w:t xml:space="preserve">                              </w:t>
            </w:r>
          </w:p>
        </w:tc>
        <w:tc>
          <w:tcPr>
            <w:tcW w:w="6658" w:type="dxa"/>
          </w:tcPr>
          <w:p w14:paraId="445E99FA" w14:textId="3950321B" w:rsidR="00647172" w:rsidRPr="00647172" w:rsidRDefault="00647172" w:rsidP="00647172">
            <w:pPr>
              <w:contextualSpacing/>
              <w:rPr>
                <w:rFonts w:ascii="Arial" w:eastAsia="Calibri" w:hAnsi="Arial" w:cs="Arial"/>
                <w:lang w:val="es-ES_tradnl" w:eastAsia="es-ES_tradnl"/>
              </w:rPr>
            </w:pPr>
            <w:r w:rsidRPr="00647172">
              <w:rPr>
                <w:rFonts w:ascii="Arial" w:eastAsia="Calibri" w:hAnsi="Arial" w:cs="Arial"/>
                <w:lang w:val="es-ES_tradnl" w:eastAsia="es-ES_tradnl"/>
              </w:rPr>
              <w:t xml:space="preserve">Respuesta a consulta </w:t>
            </w:r>
            <w:r w:rsidRPr="00644B52">
              <w:rPr>
                <w:rFonts w:ascii="Arial" w:eastAsia="Calibri" w:hAnsi="Arial" w:cs="Arial"/>
                <w:lang w:val="es-ES_tradnl" w:eastAsia="es-ES_tradnl"/>
              </w:rPr>
              <w:t>radicado P20221207012083</w:t>
            </w:r>
          </w:p>
        </w:tc>
      </w:tr>
    </w:tbl>
    <w:p w14:paraId="21574CC2" w14:textId="008D5D09" w:rsidR="00647172" w:rsidRPr="00644B52" w:rsidRDefault="00647172" w:rsidP="007C6C87">
      <w:pPr>
        <w:spacing w:after="0" w:line="276" w:lineRule="auto"/>
        <w:contextualSpacing/>
        <w:jc w:val="both"/>
        <w:rPr>
          <w:rFonts w:ascii="Arial" w:eastAsia="Calibri" w:hAnsi="Arial" w:cs="Arial"/>
          <w:kern w:val="0"/>
          <w:lang w:val="es-ES_tradnl" w:eastAsia="es-ES_tradnl"/>
          <w14:ligatures w14:val="none"/>
        </w:rPr>
      </w:pPr>
    </w:p>
    <w:p w14:paraId="4A36CD34" w14:textId="77777777" w:rsidR="00647172" w:rsidRPr="00647172" w:rsidRDefault="00647172" w:rsidP="007C6C87">
      <w:pPr>
        <w:spacing w:after="0" w:line="276" w:lineRule="auto"/>
        <w:contextualSpacing/>
        <w:jc w:val="both"/>
        <w:rPr>
          <w:rFonts w:ascii="Arial" w:eastAsia="Calibri" w:hAnsi="Arial" w:cs="Arial"/>
          <w:kern w:val="0"/>
          <w:lang w:val="es-ES_tradnl" w:eastAsia="es-ES_tradnl"/>
          <w14:ligatures w14:val="none"/>
        </w:rPr>
      </w:pPr>
    </w:p>
    <w:p w14:paraId="2D286BD8" w14:textId="5A2E1A00" w:rsidR="00647172" w:rsidRPr="00647172" w:rsidRDefault="00647172" w:rsidP="007C6C87">
      <w:pPr>
        <w:spacing w:after="0" w:line="276" w:lineRule="auto"/>
        <w:contextualSpacing/>
        <w:jc w:val="both"/>
        <w:rPr>
          <w:rFonts w:ascii="Arial" w:eastAsia="Calibri" w:hAnsi="Arial" w:cs="Arial"/>
          <w:kern w:val="0"/>
          <w:lang w:val="es-ES_tradnl" w:eastAsia="es-ES_tradnl"/>
          <w14:ligatures w14:val="none"/>
        </w:rPr>
      </w:pPr>
      <w:r w:rsidRPr="00647172">
        <w:rPr>
          <w:rFonts w:ascii="Arial" w:eastAsia="Calibri" w:hAnsi="Arial" w:cs="Arial"/>
          <w:kern w:val="0"/>
          <w:lang w:val="es-ES_tradnl" w:eastAsia="es-ES_tradnl"/>
          <w14:ligatures w14:val="none"/>
        </w:rPr>
        <w:t>Estimad</w:t>
      </w:r>
      <w:r w:rsidRPr="00644B52">
        <w:rPr>
          <w:rFonts w:ascii="Arial" w:eastAsia="Calibri" w:hAnsi="Arial" w:cs="Arial"/>
          <w:kern w:val="0"/>
          <w:lang w:val="es-ES_tradnl" w:eastAsia="es-ES_tradnl"/>
          <w14:ligatures w14:val="none"/>
        </w:rPr>
        <w:t>a</w:t>
      </w:r>
      <w:r w:rsidRPr="00647172">
        <w:rPr>
          <w:rFonts w:ascii="Arial" w:eastAsia="Calibri" w:hAnsi="Arial" w:cs="Arial"/>
          <w:kern w:val="0"/>
          <w:lang w:val="es-ES_tradnl" w:eastAsia="es-ES_tradnl"/>
          <w14:ligatures w14:val="none"/>
        </w:rPr>
        <w:t xml:space="preserve"> señor</w:t>
      </w:r>
      <w:r w:rsidRPr="00644B52">
        <w:rPr>
          <w:rFonts w:ascii="Arial" w:eastAsia="Times New Roman" w:hAnsi="Arial" w:cs="Arial"/>
          <w:kern w:val="0"/>
          <w:lang w:eastAsia="es-ES_tradnl"/>
          <w14:ligatures w14:val="none"/>
        </w:rPr>
        <w:t>a Taborda:</w:t>
      </w:r>
    </w:p>
    <w:p w14:paraId="02BE0E3F" w14:textId="77777777" w:rsidR="00647172" w:rsidRPr="00647172" w:rsidRDefault="00647172" w:rsidP="00015C44">
      <w:pPr>
        <w:spacing w:after="0" w:line="276" w:lineRule="auto"/>
        <w:contextualSpacing/>
        <w:jc w:val="both"/>
        <w:rPr>
          <w:rFonts w:ascii="Arial" w:eastAsia="Calibri" w:hAnsi="Arial" w:cs="Arial"/>
          <w:kern w:val="0"/>
          <w:lang w:val="es-ES_tradnl" w:eastAsia="es-ES_tradnl"/>
          <w14:ligatures w14:val="none"/>
        </w:rPr>
      </w:pPr>
    </w:p>
    <w:p w14:paraId="50353305" w14:textId="37FE6822" w:rsidR="00647172" w:rsidRPr="00647172" w:rsidRDefault="00647172" w:rsidP="00015C44">
      <w:pPr>
        <w:spacing w:after="0" w:line="276" w:lineRule="auto"/>
        <w:contextualSpacing/>
        <w:jc w:val="both"/>
        <w:rPr>
          <w:rFonts w:ascii="Arial" w:eastAsia="Calibri" w:hAnsi="Arial" w:cs="Arial"/>
          <w:kern w:val="0"/>
          <w:lang w:val="es-ES_tradnl" w:eastAsia="es-ES_tradnl"/>
          <w14:ligatures w14:val="none"/>
        </w:rPr>
      </w:pPr>
      <w:r w:rsidRPr="00647172">
        <w:rPr>
          <w:rFonts w:ascii="Arial" w:eastAsia="Calibri" w:hAnsi="Arial" w:cs="Arial"/>
          <w:kern w:val="0"/>
          <w:lang w:val="es-ES_tradnl" w:eastAsia="es-ES_tradnl"/>
          <w14:ligatures w14:val="none"/>
        </w:rPr>
        <w:t xml:space="preserve">En ejercicio de la competencia otorgada por el numeral 8 del artículo 11 y el numeral 5 del artículo 3 del Decreto Ley 4170 de 2011, la Agencia Nacional de Contratación Pública ― Colombia Compra Eficiente responde su consulta del </w:t>
      </w:r>
      <w:r w:rsidR="00704080" w:rsidRPr="00644B52">
        <w:rPr>
          <w:rFonts w:ascii="Arial" w:eastAsia="Calibri" w:hAnsi="Arial" w:cs="Arial"/>
          <w:kern w:val="0"/>
          <w:lang w:val="es-ES_tradnl" w:eastAsia="es-ES_tradnl"/>
          <w14:ligatures w14:val="none"/>
        </w:rPr>
        <w:t>7 de diciembre</w:t>
      </w:r>
      <w:r w:rsidRPr="00647172">
        <w:rPr>
          <w:rFonts w:ascii="Arial" w:eastAsia="Calibri" w:hAnsi="Arial" w:cs="Arial"/>
          <w:kern w:val="0"/>
          <w:lang w:val="es-ES_tradnl" w:eastAsia="es-ES_tradnl"/>
          <w14:ligatures w14:val="none"/>
        </w:rPr>
        <w:t xml:space="preserve"> del 2022.</w:t>
      </w:r>
    </w:p>
    <w:p w14:paraId="23F32023" w14:textId="77777777" w:rsidR="00647172" w:rsidRPr="00647172" w:rsidRDefault="00647172" w:rsidP="00015C44">
      <w:pPr>
        <w:spacing w:after="0" w:line="276" w:lineRule="auto"/>
        <w:contextualSpacing/>
        <w:jc w:val="both"/>
        <w:rPr>
          <w:rFonts w:ascii="Arial" w:eastAsia="Calibri" w:hAnsi="Arial" w:cs="Arial"/>
          <w:b/>
          <w:kern w:val="0"/>
          <w:lang w:val="es-ES_tradnl" w:eastAsia="es-ES_tradnl"/>
          <w14:ligatures w14:val="none"/>
        </w:rPr>
      </w:pPr>
    </w:p>
    <w:p w14:paraId="4124969D" w14:textId="77777777" w:rsidR="00647172" w:rsidRPr="00647172" w:rsidRDefault="00647172" w:rsidP="00015C44">
      <w:pPr>
        <w:tabs>
          <w:tab w:val="left" w:pos="-142"/>
        </w:tabs>
        <w:autoSpaceDE w:val="0"/>
        <w:autoSpaceDN w:val="0"/>
        <w:adjustRightInd w:val="0"/>
        <w:spacing w:after="0" w:line="276" w:lineRule="auto"/>
        <w:contextualSpacing/>
        <w:jc w:val="both"/>
        <w:rPr>
          <w:rFonts w:ascii="Arial" w:eastAsia="Calibri" w:hAnsi="Arial" w:cs="Arial"/>
          <w:b/>
          <w:bCs/>
          <w:kern w:val="0"/>
          <w:lang w:val="x-none" w:eastAsia="es-ES"/>
          <w14:ligatures w14:val="none"/>
        </w:rPr>
      </w:pPr>
      <w:r w:rsidRPr="00647172">
        <w:rPr>
          <w:rFonts w:ascii="Arial" w:eastAsia="Calibri" w:hAnsi="Arial" w:cs="Arial"/>
          <w:b/>
          <w:bCs/>
          <w:kern w:val="0"/>
          <w:lang w:eastAsia="es-ES"/>
          <w14:ligatures w14:val="none"/>
        </w:rPr>
        <w:t xml:space="preserve">1. </w:t>
      </w:r>
      <w:r w:rsidRPr="00647172">
        <w:rPr>
          <w:rFonts w:ascii="Arial" w:eastAsia="Calibri" w:hAnsi="Arial" w:cs="Arial"/>
          <w:b/>
          <w:bCs/>
          <w:kern w:val="0"/>
          <w:lang w:val="x-none" w:eastAsia="es-ES"/>
          <w14:ligatures w14:val="none"/>
        </w:rPr>
        <w:t xml:space="preserve">Problema planteado </w:t>
      </w:r>
    </w:p>
    <w:p w14:paraId="33B2CBD8" w14:textId="77777777" w:rsidR="00647172" w:rsidRPr="00647172" w:rsidRDefault="00647172" w:rsidP="00015C44">
      <w:pPr>
        <w:spacing w:after="0" w:line="276" w:lineRule="auto"/>
        <w:contextualSpacing/>
        <w:jc w:val="both"/>
        <w:rPr>
          <w:rFonts w:ascii="Arial" w:eastAsia="Calibri" w:hAnsi="Arial" w:cs="Arial"/>
          <w:kern w:val="0"/>
          <w:lang w:val="es-ES_tradnl" w:eastAsia="es-ES_tradnl"/>
          <w14:ligatures w14:val="none"/>
        </w:rPr>
      </w:pPr>
    </w:p>
    <w:p w14:paraId="6D42E9E5" w14:textId="0FB89D30" w:rsidR="00647172" w:rsidRPr="00647172" w:rsidRDefault="00647172" w:rsidP="00015C44">
      <w:pPr>
        <w:spacing w:after="0" w:line="276" w:lineRule="auto"/>
        <w:contextualSpacing/>
        <w:jc w:val="both"/>
        <w:rPr>
          <w:rFonts w:ascii="Arial" w:eastAsia="Times New Roman" w:hAnsi="Arial" w:cs="Arial"/>
          <w:kern w:val="0"/>
          <w:lang w:eastAsia="es-ES_tradnl"/>
          <w14:ligatures w14:val="none"/>
        </w:rPr>
      </w:pPr>
      <w:r w:rsidRPr="00647172">
        <w:rPr>
          <w:rFonts w:ascii="Arial" w:eastAsia="Calibri" w:hAnsi="Arial" w:cs="Arial"/>
          <w:kern w:val="0"/>
          <w:lang w:val="es-ES_tradnl" w:eastAsia="es-ES_tradnl"/>
          <w14:ligatures w14:val="none"/>
        </w:rPr>
        <w:t xml:space="preserve">En relación con los </w:t>
      </w:r>
      <w:r w:rsidR="009B5909" w:rsidRPr="00644B52">
        <w:rPr>
          <w:rFonts w:ascii="Arial" w:eastAsia="Calibri" w:hAnsi="Arial" w:cs="Arial"/>
          <w:kern w:val="0"/>
          <w:lang w:val="es-ES_tradnl" w:eastAsia="es-ES_tradnl"/>
          <w14:ligatures w14:val="none"/>
        </w:rPr>
        <w:t xml:space="preserve">Documentos Tipo </w:t>
      </w:r>
      <w:r w:rsidRPr="00647172">
        <w:rPr>
          <w:rFonts w:ascii="Arial" w:eastAsia="Calibri" w:hAnsi="Arial" w:cs="Arial"/>
          <w:kern w:val="0"/>
          <w:lang w:val="es-ES_tradnl" w:eastAsia="es-ES_tradnl"/>
          <w14:ligatures w14:val="none"/>
        </w:rPr>
        <w:t xml:space="preserve">de </w:t>
      </w:r>
      <w:r w:rsidR="009B5909" w:rsidRPr="00644B52">
        <w:rPr>
          <w:rFonts w:ascii="Arial" w:eastAsia="Calibri" w:hAnsi="Arial" w:cs="Arial"/>
          <w:kern w:val="0"/>
          <w:lang w:val="es-ES_tradnl" w:eastAsia="es-ES_tradnl"/>
          <w14:ligatures w14:val="none"/>
        </w:rPr>
        <w:t xml:space="preserve">Concurso </w:t>
      </w:r>
      <w:r w:rsidRPr="00647172">
        <w:rPr>
          <w:rFonts w:ascii="Arial" w:eastAsia="Calibri" w:hAnsi="Arial" w:cs="Arial"/>
          <w:kern w:val="0"/>
          <w:lang w:val="es-ES_tradnl" w:eastAsia="es-ES_tradnl"/>
          <w14:ligatures w14:val="none"/>
        </w:rPr>
        <w:t xml:space="preserve">de </w:t>
      </w:r>
      <w:r w:rsidR="009B5909" w:rsidRPr="00644B52">
        <w:rPr>
          <w:rFonts w:ascii="Arial" w:eastAsia="Calibri" w:hAnsi="Arial" w:cs="Arial"/>
          <w:kern w:val="0"/>
          <w:lang w:val="es-ES_tradnl" w:eastAsia="es-ES_tradnl"/>
          <w14:ligatures w14:val="none"/>
        </w:rPr>
        <w:t xml:space="preserve">Méritos </w:t>
      </w:r>
      <w:r w:rsidRPr="00647172">
        <w:rPr>
          <w:rFonts w:ascii="Arial" w:eastAsia="Calibri" w:hAnsi="Arial" w:cs="Arial"/>
          <w:kern w:val="0"/>
          <w:lang w:val="es-ES_tradnl" w:eastAsia="es-ES_tradnl"/>
          <w14:ligatures w14:val="none"/>
        </w:rPr>
        <w:t xml:space="preserve">para </w:t>
      </w:r>
      <w:r w:rsidR="009B5909" w:rsidRPr="00644B52">
        <w:rPr>
          <w:rFonts w:ascii="Arial" w:eastAsia="Calibri" w:hAnsi="Arial" w:cs="Arial"/>
          <w:kern w:val="0"/>
          <w:lang w:val="es-ES_tradnl" w:eastAsia="es-ES_tradnl"/>
          <w14:ligatures w14:val="none"/>
        </w:rPr>
        <w:t xml:space="preserve">Consultoría </w:t>
      </w:r>
      <w:r w:rsidRPr="00647172">
        <w:rPr>
          <w:rFonts w:ascii="Arial" w:eastAsia="Calibri" w:hAnsi="Arial" w:cs="Arial"/>
          <w:kern w:val="0"/>
          <w:lang w:val="es-ES_tradnl" w:eastAsia="es-ES_tradnl"/>
          <w14:ligatures w14:val="none"/>
        </w:rPr>
        <w:t xml:space="preserve">de </w:t>
      </w:r>
      <w:r w:rsidR="009B5909" w:rsidRPr="00644B52">
        <w:rPr>
          <w:rFonts w:ascii="Arial" w:eastAsia="Calibri" w:hAnsi="Arial" w:cs="Arial"/>
          <w:kern w:val="0"/>
          <w:lang w:val="es-ES_tradnl" w:eastAsia="es-ES_tradnl"/>
          <w14:ligatures w14:val="none"/>
        </w:rPr>
        <w:t xml:space="preserve">Estudios </w:t>
      </w:r>
      <w:r w:rsidRPr="00647172">
        <w:rPr>
          <w:rFonts w:ascii="Arial" w:eastAsia="Calibri" w:hAnsi="Arial" w:cs="Arial"/>
          <w:kern w:val="0"/>
          <w:lang w:val="es-ES_tradnl" w:eastAsia="es-ES_tradnl"/>
          <w14:ligatures w14:val="none"/>
        </w:rPr>
        <w:t xml:space="preserve">de </w:t>
      </w:r>
      <w:r w:rsidR="009B5909" w:rsidRPr="00644B52">
        <w:rPr>
          <w:rFonts w:ascii="Arial" w:eastAsia="Calibri" w:hAnsi="Arial" w:cs="Arial"/>
          <w:kern w:val="0"/>
          <w:lang w:val="es-ES_tradnl" w:eastAsia="es-ES_tradnl"/>
          <w14:ligatures w14:val="none"/>
        </w:rPr>
        <w:t xml:space="preserve">Ingeniería </w:t>
      </w:r>
      <w:r w:rsidRPr="00647172">
        <w:rPr>
          <w:rFonts w:ascii="Arial" w:eastAsia="Calibri" w:hAnsi="Arial" w:cs="Arial"/>
          <w:kern w:val="0"/>
          <w:lang w:val="es-ES_tradnl" w:eastAsia="es-ES_tradnl"/>
          <w14:ligatures w14:val="none"/>
        </w:rPr>
        <w:t xml:space="preserve">para </w:t>
      </w:r>
      <w:r w:rsidR="009B5909" w:rsidRPr="00644B52">
        <w:rPr>
          <w:rFonts w:ascii="Arial" w:eastAsia="Calibri" w:hAnsi="Arial" w:cs="Arial"/>
          <w:kern w:val="0"/>
          <w:lang w:val="es-ES_tradnl" w:eastAsia="es-ES_tradnl"/>
          <w14:ligatures w14:val="none"/>
        </w:rPr>
        <w:t xml:space="preserve">Infraestructura </w:t>
      </w:r>
      <w:r w:rsidRPr="00647172">
        <w:rPr>
          <w:rFonts w:ascii="Arial" w:eastAsia="Calibri" w:hAnsi="Arial" w:cs="Arial"/>
          <w:kern w:val="0"/>
          <w:lang w:val="es-ES_tradnl" w:eastAsia="es-ES_tradnl"/>
          <w14:ligatures w14:val="none"/>
        </w:rPr>
        <w:t xml:space="preserve">de </w:t>
      </w:r>
      <w:r w:rsidR="009B5909" w:rsidRPr="00644B52">
        <w:rPr>
          <w:rFonts w:ascii="Arial" w:eastAsia="Calibri" w:hAnsi="Arial" w:cs="Arial"/>
          <w:kern w:val="0"/>
          <w:lang w:val="es-ES_tradnl" w:eastAsia="es-ES_tradnl"/>
          <w14:ligatures w14:val="none"/>
        </w:rPr>
        <w:t xml:space="preserve">Transporte </w:t>
      </w:r>
      <w:r w:rsidR="00704080" w:rsidRPr="00644B52">
        <w:rPr>
          <w:rFonts w:ascii="Arial" w:eastAsia="Calibri" w:hAnsi="Arial" w:cs="Arial"/>
          <w:kern w:val="0"/>
          <w:lang w:val="es-ES_tradnl" w:eastAsia="es-ES_tradnl"/>
          <w14:ligatures w14:val="none"/>
        </w:rPr>
        <w:t xml:space="preserve">- </w:t>
      </w:r>
      <w:r w:rsidR="009B5909" w:rsidRPr="00644B52">
        <w:rPr>
          <w:rFonts w:ascii="Arial" w:eastAsia="Calibri" w:hAnsi="Arial" w:cs="Arial"/>
          <w:kern w:val="0"/>
          <w:lang w:val="es-ES_tradnl" w:eastAsia="es-ES_tradnl"/>
          <w14:ligatures w14:val="none"/>
        </w:rPr>
        <w:t xml:space="preserve">Versión </w:t>
      </w:r>
      <w:r w:rsidR="00704080" w:rsidRPr="00644B52">
        <w:rPr>
          <w:rFonts w:ascii="Arial" w:eastAsia="Calibri" w:hAnsi="Arial" w:cs="Arial"/>
          <w:kern w:val="0"/>
          <w:lang w:val="es-ES_tradnl" w:eastAsia="es-ES_tradnl"/>
          <w14:ligatures w14:val="none"/>
        </w:rPr>
        <w:t>3</w:t>
      </w:r>
      <w:r w:rsidRPr="00647172">
        <w:rPr>
          <w:rFonts w:ascii="Arial" w:eastAsia="Times New Roman" w:hAnsi="Arial" w:cs="Arial"/>
          <w:kern w:val="0"/>
          <w:lang w:eastAsia="es-ES_tradnl"/>
          <w14:ligatures w14:val="none"/>
        </w:rPr>
        <w:t xml:space="preserve">, </w:t>
      </w:r>
      <w:r w:rsidRPr="00647172">
        <w:rPr>
          <w:rFonts w:ascii="Arial" w:eastAsia="Calibri" w:hAnsi="Arial" w:cs="Arial"/>
          <w:kern w:val="0"/>
          <w:lang w:val="es-ES_tradnl" w:eastAsia="es-ES_tradnl"/>
          <w14:ligatures w14:val="none"/>
        </w:rPr>
        <w:t xml:space="preserve">en </w:t>
      </w:r>
      <w:r w:rsidR="000D2F7B" w:rsidRPr="00644B52">
        <w:rPr>
          <w:rFonts w:ascii="Arial" w:eastAsia="Calibri" w:hAnsi="Arial" w:cs="Arial"/>
          <w:kern w:val="0"/>
          <w:lang w:val="es-ES_tradnl" w:eastAsia="es-ES_tradnl"/>
          <w14:ligatures w14:val="none"/>
        </w:rPr>
        <w:t xml:space="preserve">especial, </w:t>
      </w:r>
      <w:r w:rsidRPr="00647172">
        <w:rPr>
          <w:rFonts w:ascii="Arial" w:eastAsia="Times New Roman" w:hAnsi="Arial" w:cs="Arial"/>
          <w:kern w:val="0"/>
          <w:lang w:eastAsia="es-ES_tradnl"/>
          <w14:ligatures w14:val="none"/>
        </w:rPr>
        <w:t xml:space="preserve">lo dispuesto en el </w:t>
      </w:r>
      <w:r w:rsidR="00D05069" w:rsidRPr="00644B52">
        <w:rPr>
          <w:rFonts w:ascii="Arial" w:eastAsia="Times New Roman" w:hAnsi="Arial" w:cs="Arial"/>
          <w:kern w:val="0"/>
          <w:lang w:eastAsia="es-ES_tradnl"/>
          <w14:ligatures w14:val="none"/>
        </w:rPr>
        <w:t xml:space="preserve">literal K) del </w:t>
      </w:r>
      <w:r w:rsidR="00135BF6" w:rsidRPr="00644B52">
        <w:rPr>
          <w:rFonts w:ascii="Arial" w:eastAsia="Times New Roman" w:hAnsi="Arial" w:cs="Arial"/>
          <w:kern w:val="0"/>
          <w:lang w:eastAsia="es-ES_tradnl"/>
          <w14:ligatures w14:val="none"/>
        </w:rPr>
        <w:t xml:space="preserve">numeral 10.1.2 </w:t>
      </w:r>
      <w:r w:rsidRPr="00647172">
        <w:rPr>
          <w:rFonts w:ascii="Arial" w:eastAsia="Times New Roman" w:hAnsi="Arial" w:cs="Arial"/>
          <w:kern w:val="0"/>
          <w:lang w:eastAsia="es-ES_tradnl"/>
          <w14:ligatures w14:val="none"/>
        </w:rPr>
        <w:t>«</w:t>
      </w:r>
      <w:r w:rsidR="00D05069" w:rsidRPr="00644B52">
        <w:rPr>
          <w:rFonts w:ascii="Arial" w:hAnsi="Arial" w:cs="Arial"/>
        </w:rPr>
        <w:t>CONSIDERACIONES PARA LA VALIDEZ DE LA EXPERIENCIA DEL PROPONENTE</w:t>
      </w:r>
      <w:r w:rsidRPr="00647172">
        <w:rPr>
          <w:rFonts w:ascii="Arial" w:eastAsia="Times New Roman" w:hAnsi="Arial" w:cs="Arial"/>
          <w:kern w:val="0"/>
          <w:lang w:eastAsia="es-ES_tradnl"/>
          <w14:ligatures w14:val="none"/>
        </w:rPr>
        <w:t>» del Documento Base, concretamente, frente a la fórmula de la media aritmética alta, usted pide la siguiente aclaración:</w:t>
      </w:r>
    </w:p>
    <w:p w14:paraId="3B13DA85" w14:textId="77777777" w:rsidR="00647172" w:rsidRPr="00647172" w:rsidRDefault="00647172" w:rsidP="00015C44">
      <w:pPr>
        <w:spacing w:after="0" w:line="276" w:lineRule="auto"/>
        <w:contextualSpacing/>
        <w:rPr>
          <w:rFonts w:ascii="Arial" w:eastAsia="Times New Roman" w:hAnsi="Arial" w:cs="Arial"/>
          <w:kern w:val="0"/>
          <w:lang w:eastAsia="es-ES_tradnl"/>
          <w14:ligatures w14:val="none"/>
        </w:rPr>
      </w:pPr>
    </w:p>
    <w:p w14:paraId="03B3028D" w14:textId="414B94E7" w:rsidR="00647172" w:rsidRPr="00647172" w:rsidRDefault="00647172" w:rsidP="00572E9F">
      <w:pPr>
        <w:tabs>
          <w:tab w:val="left" w:pos="1545"/>
        </w:tabs>
        <w:spacing w:after="0" w:line="240" w:lineRule="auto"/>
        <w:ind w:left="709" w:right="709"/>
        <w:contextualSpacing/>
        <w:jc w:val="both"/>
        <w:rPr>
          <w:rFonts w:ascii="Arial" w:eastAsia="Times New Roman" w:hAnsi="Arial" w:cs="Arial"/>
          <w:kern w:val="0"/>
          <w:sz w:val="21"/>
          <w:szCs w:val="21"/>
          <w:lang w:eastAsia="es-ES_tradnl"/>
          <w14:ligatures w14:val="none"/>
        </w:rPr>
      </w:pPr>
      <w:r w:rsidRPr="00647172">
        <w:rPr>
          <w:rFonts w:ascii="Arial" w:eastAsia="Times New Roman" w:hAnsi="Arial" w:cs="Arial"/>
          <w:kern w:val="0"/>
          <w:sz w:val="21"/>
          <w:szCs w:val="21"/>
          <w:lang w:eastAsia="es-ES_tradnl"/>
          <w14:ligatures w14:val="none"/>
        </w:rPr>
        <w:t xml:space="preserve">«[…] </w:t>
      </w:r>
      <w:r w:rsidR="005A0FA6" w:rsidRPr="00644B52">
        <w:rPr>
          <w:rFonts w:ascii="Arial" w:hAnsi="Arial" w:cs="Arial"/>
          <w:sz w:val="21"/>
          <w:szCs w:val="21"/>
        </w:rPr>
        <w:t>En atención a la versión 3 de los pliegos tipo para CONSULTORÍA DE ESTUDIOS DE INGENIERÍA DE INFRAESTRUCTURA DE TRANSPORTE, en los cuales se establece en el numeral 10.1.2 CONSIDERACIONES PARA LA VALIDEZ DE LA EXPERIENCIA DEL PROPONENTE literal K lo siguiente:</w:t>
      </w:r>
      <w:r w:rsidR="005A0FA6" w:rsidRPr="00644B52">
        <w:rPr>
          <w:rFonts w:ascii="Arial" w:hAnsi="Arial" w:cs="Arial"/>
          <w:sz w:val="21"/>
          <w:szCs w:val="21"/>
        </w:rPr>
        <w:br/>
      </w:r>
      <w:r w:rsidR="005A0FA6" w:rsidRPr="00644B52">
        <w:rPr>
          <w:rFonts w:ascii="Arial" w:hAnsi="Arial" w:cs="Arial"/>
          <w:sz w:val="21"/>
          <w:szCs w:val="21"/>
        </w:rPr>
        <w:br/>
        <w:t>"En los contratos aportados como experiencia que contengan actividades ejecutadas de obra y de consultoría de estudios y diseños, la Entidad Estatal solo tendrá en cuenta los valores ejecutados relacionados con la consultoría de estudios de ingeniería de infraestructura de transporte.</w:t>
      </w:r>
      <w:r w:rsidR="005A0FA6" w:rsidRPr="00644B52">
        <w:rPr>
          <w:rFonts w:ascii="Arial" w:hAnsi="Arial" w:cs="Arial"/>
          <w:sz w:val="21"/>
          <w:szCs w:val="21"/>
        </w:rPr>
        <w:br/>
      </w:r>
      <w:r w:rsidR="005A0FA6" w:rsidRPr="00644B52">
        <w:rPr>
          <w:rFonts w:ascii="Arial" w:hAnsi="Arial" w:cs="Arial"/>
          <w:sz w:val="21"/>
          <w:szCs w:val="21"/>
        </w:rPr>
        <w:br/>
      </w:r>
      <w:r w:rsidR="005A0FA6" w:rsidRPr="00644B52">
        <w:rPr>
          <w:rFonts w:ascii="Arial" w:hAnsi="Arial" w:cs="Arial"/>
          <w:sz w:val="21"/>
          <w:szCs w:val="21"/>
        </w:rPr>
        <w:lastRenderedPageBreak/>
        <w:t>Para estos efectos, el oferente deberá acreditar los valores ejecutados dentro del respectivo contrato correspondientes a la consultoría, empleando alguno de los documentos válidos establecidos en el numeral 10.1.5 del Pliego de Condiciones. En los casos en que el proponente no cumpla esta exigencia, la Entidad Estatal permitirá la subsanación, en los términos del numeral 1.6 del Pliego de Condiciones, requiriendo al Proponente para que acredite los valores ejecutados. En caso de que el Proponente subsane, en relación con este contrato se aplicará lo dispuesto en el literal A) del numeral 4.1 del Pliego de Condiciones. De no lograrse la discriminación de los valores ejecutados en el marco del respectivo contrato, la Entidad Estatal no lo tendrá en cuenta para la evaluación."</w:t>
      </w:r>
      <w:r w:rsidR="005A0FA6" w:rsidRPr="00644B52">
        <w:rPr>
          <w:rFonts w:ascii="Arial" w:hAnsi="Arial" w:cs="Arial"/>
          <w:sz w:val="21"/>
          <w:szCs w:val="21"/>
        </w:rPr>
        <w:br/>
      </w:r>
      <w:r w:rsidR="005A0FA6" w:rsidRPr="00644B52">
        <w:rPr>
          <w:rFonts w:ascii="Arial" w:hAnsi="Arial" w:cs="Arial"/>
          <w:sz w:val="21"/>
          <w:szCs w:val="21"/>
        </w:rPr>
        <w:br/>
        <w:t>En versiones anteriores de los pliegos de condiciones se establecía de forma adicional a la situación planteada en el numeral K,  se tomaba el valor total del contrato al incluir en el objeto o alcance los estudios y diseños o en su defecto se establecía un porcentaje de acreditación del valor del contrato en caso de no contar con el desglose de los valores correspondientes a ESTUDIOS Y DISEÑOS, el cual era el 10% del valor registrado en el RUP. Entendiendo que no todas las entidades realizan el desglose de los componentes de ESTUDIOS Y DISEÑOS Y DE OBRA, agradecemos por favor pronunciamiento frente a esta situación que genera confusión y se presenta repetitivamente, ya que no hay claridad en los pliegos tipo en la versión actual.</w:t>
      </w:r>
      <w:r w:rsidR="005A0FA6" w:rsidRPr="00644B52">
        <w:rPr>
          <w:rFonts w:ascii="Arial" w:hAnsi="Arial" w:cs="Arial"/>
          <w:sz w:val="21"/>
          <w:szCs w:val="21"/>
        </w:rPr>
        <w:br/>
      </w:r>
      <w:r w:rsidR="005A0FA6" w:rsidRPr="00644B52">
        <w:rPr>
          <w:rFonts w:ascii="Arial" w:hAnsi="Arial" w:cs="Arial"/>
          <w:sz w:val="21"/>
          <w:szCs w:val="21"/>
        </w:rPr>
        <w:br/>
        <w:t xml:space="preserve">Adicional a lo anterior, es claro que al no incluir diferenciación en los casos que no se tiene el desglose, se están desconociendo las actividades adicionales que realizan los consultores en proyectos que incluyen en su objeto la interventoría de los estudios y diseños y la obra en un solo contrato, por lo cual se está limitando la participación de los oferentes en este tipo de procesos al no tener una orientación clara en las situaciones no contempladas en esta versión de los pliegos tipo. Solicitamos se emita un concepto claro en el cual se acepte la totalidad del valor de los contratos que incluyan en su objeto o alcance los estudios y diseños o se determine un porcentaje del contrato a tener en consideración al no tener el desglose </w:t>
      </w:r>
      <w:proofErr w:type="gramStart"/>
      <w:r w:rsidR="005A0FA6" w:rsidRPr="00644B52">
        <w:rPr>
          <w:rFonts w:ascii="Arial" w:hAnsi="Arial" w:cs="Arial"/>
          <w:sz w:val="21"/>
          <w:szCs w:val="21"/>
        </w:rPr>
        <w:t>del mismo</w:t>
      </w:r>
      <w:proofErr w:type="gramEnd"/>
      <w:r w:rsidR="005A0FA6" w:rsidRPr="00644B52">
        <w:rPr>
          <w:rFonts w:ascii="Arial" w:hAnsi="Arial" w:cs="Arial"/>
          <w:sz w:val="21"/>
          <w:szCs w:val="21"/>
        </w:rPr>
        <w:t>.</w:t>
      </w:r>
      <w:r w:rsidR="005A0FA6" w:rsidRPr="00644B52">
        <w:rPr>
          <w:rFonts w:ascii="Arial" w:eastAsia="Times New Roman" w:hAnsi="Arial" w:cs="Arial"/>
          <w:kern w:val="0"/>
          <w:sz w:val="21"/>
          <w:szCs w:val="21"/>
          <w:lang w:eastAsia="es-ES_tradnl"/>
          <w14:ligatures w14:val="none"/>
        </w:rPr>
        <w:t xml:space="preserve"> </w:t>
      </w:r>
      <w:r w:rsidRPr="00647172">
        <w:rPr>
          <w:rFonts w:ascii="Arial" w:eastAsia="Times New Roman" w:hAnsi="Arial" w:cs="Arial"/>
          <w:kern w:val="0"/>
          <w:sz w:val="21"/>
          <w:szCs w:val="21"/>
          <w:lang w:eastAsia="es-ES_tradnl"/>
          <w14:ligatures w14:val="none"/>
        </w:rPr>
        <w:t>[…]».</w:t>
      </w:r>
    </w:p>
    <w:p w14:paraId="057593B9" w14:textId="77777777" w:rsidR="00647172" w:rsidRPr="00647172" w:rsidRDefault="00647172" w:rsidP="00572E9F">
      <w:pPr>
        <w:tabs>
          <w:tab w:val="left" w:pos="1545"/>
        </w:tabs>
        <w:spacing w:after="0" w:line="276" w:lineRule="auto"/>
        <w:ind w:left="709" w:right="709"/>
        <w:contextualSpacing/>
        <w:jc w:val="both"/>
        <w:rPr>
          <w:rFonts w:ascii="Arial" w:eastAsia="Times New Roman" w:hAnsi="Arial" w:cs="Arial"/>
          <w:kern w:val="0"/>
          <w:lang w:eastAsia="es-ES_tradnl"/>
          <w14:ligatures w14:val="none"/>
        </w:rPr>
      </w:pPr>
    </w:p>
    <w:p w14:paraId="0AB0D20A" w14:textId="77777777" w:rsidR="00647172" w:rsidRPr="00647172" w:rsidRDefault="00647172" w:rsidP="00572E9F">
      <w:pPr>
        <w:tabs>
          <w:tab w:val="left" w:pos="426"/>
        </w:tabs>
        <w:spacing w:after="0" w:line="276" w:lineRule="auto"/>
        <w:contextualSpacing/>
        <w:jc w:val="both"/>
        <w:rPr>
          <w:rFonts w:ascii="Arial" w:eastAsia="Calibri" w:hAnsi="Arial" w:cs="Arial"/>
          <w:b/>
          <w:kern w:val="0"/>
          <w:lang w:val="es-ES_tradnl" w:eastAsia="es-ES_tradnl"/>
          <w14:ligatures w14:val="none"/>
        </w:rPr>
      </w:pPr>
      <w:r w:rsidRPr="00647172">
        <w:rPr>
          <w:rFonts w:ascii="Arial" w:eastAsia="Calibri" w:hAnsi="Arial" w:cs="Arial"/>
          <w:b/>
          <w:kern w:val="0"/>
          <w:lang w:val="es-ES_tradnl" w:eastAsia="es-ES_tradnl"/>
          <w14:ligatures w14:val="none"/>
        </w:rPr>
        <w:t>2. Consideraciones</w:t>
      </w:r>
    </w:p>
    <w:p w14:paraId="3C767517" w14:textId="77777777" w:rsidR="00647172" w:rsidRPr="00647172" w:rsidRDefault="00647172" w:rsidP="00572E9F">
      <w:pPr>
        <w:tabs>
          <w:tab w:val="left" w:pos="426"/>
        </w:tabs>
        <w:spacing w:after="0" w:line="276" w:lineRule="auto"/>
        <w:ind w:left="284"/>
        <w:contextualSpacing/>
        <w:jc w:val="both"/>
        <w:rPr>
          <w:rFonts w:ascii="Arial" w:eastAsia="Calibri" w:hAnsi="Arial" w:cs="Arial"/>
          <w:b/>
          <w:kern w:val="0"/>
          <w:lang w:val="es-ES_tradnl" w:eastAsia="es-ES_tradnl"/>
          <w14:ligatures w14:val="none"/>
        </w:rPr>
      </w:pPr>
    </w:p>
    <w:p w14:paraId="0BA4AE99" w14:textId="7FD6AA19" w:rsidR="007C1451" w:rsidRPr="00644B52" w:rsidRDefault="00647172" w:rsidP="00572E9F">
      <w:pPr>
        <w:pStyle w:val="xmsonospacing"/>
        <w:spacing w:before="0" w:beforeAutospacing="0" w:after="120" w:afterAutospacing="0" w:line="276" w:lineRule="auto"/>
        <w:jc w:val="both"/>
        <w:rPr>
          <w:rFonts w:ascii="Arial" w:hAnsi="Arial" w:cs="Arial"/>
          <w:b/>
          <w:bCs/>
          <w:sz w:val="22"/>
          <w:szCs w:val="22"/>
          <w:lang w:eastAsia="es-ES_tradnl"/>
        </w:rPr>
      </w:pPr>
      <w:r w:rsidRPr="00647172">
        <w:rPr>
          <w:rFonts w:ascii="Arial" w:hAnsi="Arial" w:cs="Arial"/>
          <w:sz w:val="22"/>
          <w:szCs w:val="22"/>
          <w:lang w:val="es-ES" w:eastAsia="es-ES_tradnl"/>
        </w:rPr>
        <w:t>Para absolver los interrogantes formulados en su consulta, esta dependencia analizará los siguientes temas:</w:t>
      </w:r>
      <w:r w:rsidRPr="00647172">
        <w:rPr>
          <w:rFonts w:ascii="Arial" w:eastAsia="Calibri" w:hAnsi="Arial" w:cs="Arial"/>
          <w:sz w:val="22"/>
          <w:szCs w:val="22"/>
          <w:lang w:val="es-ES_tradnl" w:eastAsia="es-ES_tradnl"/>
        </w:rPr>
        <w:t xml:space="preserve"> i) fundamento normativo de los documentos tipo</w:t>
      </w:r>
      <w:r w:rsidRPr="00647172">
        <w:rPr>
          <w:rFonts w:ascii="Arial" w:eastAsia="Arial" w:hAnsi="Arial" w:cs="Arial"/>
          <w:sz w:val="22"/>
          <w:szCs w:val="22"/>
          <w:lang w:val="es-ES_tradnl" w:eastAsia="es-ES_tradnl"/>
        </w:rPr>
        <w:t xml:space="preserve">; </w:t>
      </w:r>
      <w:proofErr w:type="spellStart"/>
      <w:r w:rsidRPr="00647172">
        <w:rPr>
          <w:rFonts w:ascii="Arial" w:eastAsia="Calibri" w:hAnsi="Arial" w:cs="Arial"/>
          <w:sz w:val="22"/>
          <w:szCs w:val="22"/>
          <w:lang w:val="es-ES_tradnl" w:eastAsia="es-ES_tradnl"/>
        </w:rPr>
        <w:t>ii</w:t>
      </w:r>
      <w:proofErr w:type="spellEnd"/>
      <w:r w:rsidRPr="00647172">
        <w:rPr>
          <w:rFonts w:ascii="Arial" w:eastAsia="Calibri" w:hAnsi="Arial" w:cs="Arial"/>
          <w:sz w:val="22"/>
          <w:szCs w:val="22"/>
          <w:lang w:val="es-ES_tradnl" w:eastAsia="es-ES_tradnl"/>
        </w:rPr>
        <w:t xml:space="preserve">) </w:t>
      </w:r>
      <w:r w:rsidR="00BE08FA" w:rsidRPr="00644B52">
        <w:rPr>
          <w:rFonts w:ascii="Arial" w:hAnsi="Arial" w:cs="Arial"/>
          <w:sz w:val="22"/>
          <w:szCs w:val="22"/>
          <w:bdr w:val="none" w:sz="0" w:space="0" w:color="auto" w:frame="1"/>
        </w:rPr>
        <w:t xml:space="preserve">ámbito de aplicación de los documentos tipo </w:t>
      </w:r>
      <w:r w:rsidR="00BE08FA" w:rsidRPr="00644B52">
        <w:rPr>
          <w:rFonts w:ascii="Arial" w:eastAsia="Calibri" w:hAnsi="Arial" w:cs="Arial"/>
          <w:sz w:val="22"/>
          <w:szCs w:val="22"/>
          <w:lang w:val="es-ES"/>
        </w:rPr>
        <w:t>de consultoría de estudios de ingeniería de infraestructura de transporte</w:t>
      </w:r>
      <w:r w:rsidR="007C1451" w:rsidRPr="00644B52">
        <w:rPr>
          <w:rFonts w:ascii="Arial" w:eastAsia="Calibri" w:hAnsi="Arial" w:cs="Arial"/>
          <w:sz w:val="22"/>
          <w:szCs w:val="22"/>
          <w:lang w:val="es-ES"/>
        </w:rPr>
        <w:t xml:space="preserve"> y</w:t>
      </w:r>
      <w:r w:rsidR="00D46EEB" w:rsidRPr="00644B52">
        <w:rPr>
          <w:rFonts w:ascii="Arial" w:eastAsia="Calibri" w:hAnsi="Arial" w:cs="Arial"/>
          <w:sz w:val="22"/>
          <w:szCs w:val="22"/>
          <w:lang w:val="es-ES"/>
        </w:rPr>
        <w:t>;</w:t>
      </w:r>
      <w:r w:rsidR="007C1451" w:rsidRPr="00644B52">
        <w:rPr>
          <w:rFonts w:ascii="Arial" w:eastAsia="Calibri" w:hAnsi="Arial" w:cs="Arial"/>
          <w:sz w:val="22"/>
          <w:szCs w:val="22"/>
          <w:lang w:val="es-ES"/>
        </w:rPr>
        <w:t xml:space="preserve"> </w:t>
      </w:r>
      <w:proofErr w:type="spellStart"/>
      <w:r w:rsidR="007C1451" w:rsidRPr="00644B52">
        <w:rPr>
          <w:rFonts w:ascii="Arial" w:eastAsia="Calibri" w:hAnsi="Arial" w:cs="Arial"/>
          <w:sz w:val="22"/>
          <w:szCs w:val="22"/>
          <w:lang w:val="es-ES"/>
        </w:rPr>
        <w:t>iii</w:t>
      </w:r>
      <w:proofErr w:type="spellEnd"/>
      <w:r w:rsidR="007C1451" w:rsidRPr="00644B52">
        <w:rPr>
          <w:rFonts w:ascii="Arial" w:eastAsia="Calibri" w:hAnsi="Arial" w:cs="Arial"/>
          <w:sz w:val="22"/>
          <w:szCs w:val="22"/>
          <w:lang w:val="es-ES"/>
        </w:rPr>
        <w:t xml:space="preserve">) </w:t>
      </w:r>
      <w:r w:rsidR="00012292" w:rsidRPr="00644B52">
        <w:rPr>
          <w:rFonts w:ascii="Arial" w:hAnsi="Arial" w:cs="Arial"/>
          <w:sz w:val="22"/>
          <w:szCs w:val="22"/>
          <w:lang w:eastAsia="es-ES_tradnl"/>
        </w:rPr>
        <w:t>a</w:t>
      </w:r>
      <w:r w:rsidR="007C1451" w:rsidRPr="00644B52">
        <w:rPr>
          <w:rFonts w:ascii="Arial" w:hAnsi="Arial" w:cs="Arial"/>
          <w:sz w:val="22"/>
          <w:szCs w:val="22"/>
          <w:lang w:eastAsia="es-ES_tradnl"/>
        </w:rPr>
        <w:t xml:space="preserve">nálisis del literal K) del numeral 10.1.2. de </w:t>
      </w:r>
      <w:r w:rsidR="007C1451" w:rsidRPr="00644B52">
        <w:rPr>
          <w:rFonts w:ascii="Arial" w:hAnsi="Arial" w:cs="Arial"/>
          <w:sz w:val="22"/>
          <w:szCs w:val="22"/>
          <w:lang w:val="es-ES_tradnl"/>
        </w:rPr>
        <w:t>los documentos tipo para los procesos de selección de concurso de méritos, para contratar la consultoría de estudios de ingeniería de infraestructura de transporte.</w:t>
      </w:r>
    </w:p>
    <w:p w14:paraId="35ACB213" w14:textId="7E353ED7" w:rsidR="00647172" w:rsidRPr="00647172" w:rsidRDefault="00647172" w:rsidP="00572E9F">
      <w:pPr>
        <w:tabs>
          <w:tab w:val="left" w:pos="-142"/>
        </w:tabs>
        <w:autoSpaceDE w:val="0"/>
        <w:autoSpaceDN w:val="0"/>
        <w:adjustRightInd w:val="0"/>
        <w:spacing w:after="0" w:line="276" w:lineRule="auto"/>
        <w:contextualSpacing/>
        <w:jc w:val="both"/>
        <w:rPr>
          <w:rFonts w:ascii="Arial" w:eastAsia="Arial" w:hAnsi="Arial" w:cs="Arial"/>
          <w:kern w:val="0"/>
          <w:lang w:val="es-ES_tradnl" w:eastAsia="es-ES_tradnl"/>
          <w14:ligatures w14:val="none"/>
        </w:rPr>
      </w:pPr>
      <w:r w:rsidRPr="00647172">
        <w:rPr>
          <w:rFonts w:ascii="Arial" w:eastAsia="Times New Roman" w:hAnsi="Arial" w:cs="Arial"/>
          <w:noProof/>
          <w:kern w:val="0"/>
          <w:lang w:val="es-ES_tradnl" w:eastAsia="es-ES_tradnl"/>
          <w14:ligatures w14:val="none"/>
        </w:rPr>
        <w:tab/>
        <w:t xml:space="preserve">La Agencia Nacional de Contratación Pública – Colombia Compra Eficiente se pronunció sobre </w:t>
      </w:r>
      <w:r w:rsidRPr="00647172">
        <w:rPr>
          <w:rFonts w:ascii="Arial" w:eastAsia="Arial" w:hAnsi="Arial" w:cs="Arial"/>
          <w:kern w:val="0"/>
          <w:lang w:val="es-ES_tradnl" w:eastAsia="es-ES_tradnl"/>
          <w14:ligatures w14:val="none"/>
        </w:rPr>
        <w:t>los documentos tipo en la contratación estatal en los siguientes conceptos: C-294 del 18 de mayo de 2020, C-276 y C-277 del 26 de mayo de 2020; C–380 y C–381 del 1 de junio de 2020; C-404 del 12 de junio de 2020, C-352 del 30 de junio de 2020, C-430 del 7 de julio de 2020, C-481 del 27 de julio de 2020, C-502 del 29 de julio de 2020, C-</w:t>
      </w:r>
      <w:r w:rsidRPr="00647172">
        <w:rPr>
          <w:rFonts w:ascii="Arial" w:eastAsia="Arial" w:hAnsi="Arial" w:cs="Arial"/>
          <w:kern w:val="0"/>
          <w:lang w:val="es-ES_tradnl" w:eastAsia="es-ES_tradnl"/>
          <w14:ligatures w14:val="none"/>
        </w:rPr>
        <w:lastRenderedPageBreak/>
        <w:t xml:space="preserve">500 del 3 de agosto de 2020, C-563 del 26 de agosto de 2020, C-570 del 27 de agosto de 2020, C-713 del 2 de diciembre de 2020 y C-744 del 22 de diciembre de 2020, C-179 del 28 de abril de 2021, C-188 del 29 de abril de 20212 y C-332 del 7 de mayo de 2021. </w:t>
      </w:r>
      <w:r w:rsidRPr="00647172">
        <w:rPr>
          <w:rFonts w:ascii="Arial" w:eastAsia="Calibri" w:hAnsi="Arial" w:cs="Arial"/>
          <w:kern w:val="0"/>
          <w:lang w:val="es-ES_tradnl" w:eastAsia="es-ES_tradnl"/>
          <w14:ligatures w14:val="none"/>
        </w:rPr>
        <w:t xml:space="preserve">Así mismo, en relación con la acreditación de la experiencia en los documentos tipo se expidió el concepto </w:t>
      </w:r>
      <w:r w:rsidRPr="00647172">
        <w:rPr>
          <w:rFonts w:ascii="Arial" w:eastAsia="Times New Roman" w:hAnsi="Arial" w:cs="Arial"/>
          <w:kern w:val="0"/>
          <w:lang w:eastAsia="es-ES_tradnl"/>
          <w14:ligatures w14:val="none"/>
        </w:rPr>
        <w:t>C-323 del 6 de julio de 2021</w:t>
      </w:r>
      <w:r w:rsidRPr="00647172">
        <w:rPr>
          <w:rFonts w:ascii="Arial" w:eastAsia="Calibri" w:hAnsi="Arial" w:cs="Arial"/>
          <w:kern w:val="0"/>
          <w:lang w:val="es-ES_tradnl" w:eastAsia="es-ES_tradnl"/>
          <w14:ligatures w14:val="none"/>
        </w:rPr>
        <w:t>. Algunas de las consideraciones de estos conceptos se reiteran a continuación y se complementan en lo pertinente.</w:t>
      </w:r>
    </w:p>
    <w:p w14:paraId="3D3860F0" w14:textId="77777777" w:rsidR="00647172" w:rsidRPr="00647172" w:rsidRDefault="00647172" w:rsidP="00572E9F">
      <w:pPr>
        <w:spacing w:after="0" w:line="276" w:lineRule="auto"/>
        <w:contextualSpacing/>
        <w:jc w:val="both"/>
        <w:rPr>
          <w:rFonts w:ascii="Arial" w:eastAsia="Arial" w:hAnsi="Arial" w:cs="Arial"/>
          <w:b/>
          <w:bCs/>
          <w:kern w:val="0"/>
          <w:lang w:val="es-ES_tradnl" w:eastAsia="es-ES_tradnl"/>
          <w14:ligatures w14:val="none"/>
        </w:rPr>
      </w:pPr>
    </w:p>
    <w:p w14:paraId="36EBAF74" w14:textId="77777777" w:rsidR="00647172" w:rsidRPr="00647172" w:rsidRDefault="00647172" w:rsidP="00572E9F">
      <w:pPr>
        <w:spacing w:after="0" w:line="276" w:lineRule="auto"/>
        <w:contextualSpacing/>
        <w:jc w:val="both"/>
        <w:rPr>
          <w:rFonts w:ascii="Arial" w:eastAsia="Arial" w:hAnsi="Arial" w:cs="Arial"/>
          <w:b/>
          <w:bCs/>
          <w:kern w:val="0"/>
          <w:lang w:val="es-ES_tradnl" w:eastAsia="es-ES_tradnl"/>
          <w14:ligatures w14:val="none"/>
        </w:rPr>
      </w:pPr>
      <w:r w:rsidRPr="00647172">
        <w:rPr>
          <w:rFonts w:ascii="Arial" w:eastAsia="Arial" w:hAnsi="Arial" w:cs="Arial"/>
          <w:b/>
          <w:bCs/>
          <w:kern w:val="0"/>
          <w:lang w:val="es-ES_tradnl" w:eastAsia="es-ES_tradnl"/>
          <w14:ligatures w14:val="none"/>
        </w:rPr>
        <w:t xml:space="preserve">2.1. Fundamento normativo de los documentos tipo </w:t>
      </w:r>
    </w:p>
    <w:p w14:paraId="0AB6CDEF" w14:textId="20A4DB9F" w:rsidR="00647172" w:rsidRPr="00644B52" w:rsidRDefault="00647172" w:rsidP="00572E9F">
      <w:pPr>
        <w:spacing w:after="0" w:line="276" w:lineRule="auto"/>
        <w:contextualSpacing/>
        <w:jc w:val="both"/>
        <w:rPr>
          <w:rFonts w:ascii="Arial" w:eastAsia="Arial" w:hAnsi="Arial" w:cs="Arial"/>
          <w:b/>
          <w:bCs/>
          <w:kern w:val="0"/>
          <w:lang w:val="es-ES_tradnl" w:eastAsia="es-ES_tradnl"/>
          <w14:ligatures w14:val="none"/>
        </w:rPr>
      </w:pPr>
    </w:p>
    <w:p w14:paraId="24803A6A" w14:textId="53A26E7C" w:rsidR="00D22E29" w:rsidRPr="00644B52" w:rsidRDefault="00D22E29" w:rsidP="00572E9F">
      <w:pPr>
        <w:spacing w:after="120" w:line="276" w:lineRule="auto"/>
        <w:jc w:val="both"/>
        <w:rPr>
          <w:rFonts w:ascii="Arial" w:eastAsia="Calibri" w:hAnsi="Arial" w:cs="Arial"/>
          <w:lang w:val="es-ES"/>
        </w:rPr>
      </w:pPr>
      <w:bookmarkStart w:id="0" w:name="_Hlk113267191"/>
      <w:r w:rsidRPr="00644B52">
        <w:rPr>
          <w:rFonts w:ascii="Arial" w:eastAsia="Calibri" w:hAnsi="Arial" w:cs="Arial"/>
          <w:lang w:val="es-ES"/>
        </w:rPr>
        <w:t>La adopción de los documentos tipo obligatorios en el ordenamiento jurídico colombiano se incluyó por primera vez en el parágrafo 3 del artículo 2 de la Ley 1150 de 2007</w:t>
      </w:r>
      <w:r w:rsidRPr="00644B52">
        <w:rPr>
          <w:rStyle w:val="Refdenotaalpie"/>
          <w:rFonts w:ascii="Arial" w:hAnsi="Arial" w:cs="Arial"/>
        </w:rPr>
        <w:footnoteReference w:id="2"/>
      </w:r>
      <w:r w:rsidRPr="00644B52">
        <w:rPr>
          <w:rFonts w:ascii="Arial" w:eastAsia="Calibri" w:hAnsi="Arial" w:cs="Arial"/>
          <w:lang w:val="es-ES"/>
        </w:rPr>
        <w:t>, que facultó al gobierno nacional para expedirlos, pero solo cuando se tratara de la adquisición o suministro de bienes y servicios de características técnicas uniformes y de común utilización</w:t>
      </w:r>
      <w:r w:rsidR="00772D0A" w:rsidRPr="00644B52">
        <w:rPr>
          <w:rFonts w:ascii="Arial" w:eastAsia="Calibri" w:hAnsi="Arial" w:cs="Arial"/>
          <w:lang w:val="es-ES"/>
        </w:rPr>
        <w:t>, no obstante</w:t>
      </w:r>
      <w:r w:rsidR="00B52521" w:rsidRPr="00644B52">
        <w:rPr>
          <w:rFonts w:ascii="Arial" w:eastAsia="Calibri" w:hAnsi="Arial" w:cs="Arial"/>
          <w:lang w:val="es-ES"/>
        </w:rPr>
        <w:t>,</w:t>
      </w:r>
      <w:r w:rsidR="00772D0A" w:rsidRPr="00644B52">
        <w:rPr>
          <w:rFonts w:ascii="Arial" w:eastAsia="Calibri" w:hAnsi="Arial" w:cs="Arial"/>
          <w:lang w:val="es-ES"/>
        </w:rPr>
        <w:t xml:space="preserve"> esta</w:t>
      </w:r>
      <w:r w:rsidRPr="00644B52">
        <w:rPr>
          <w:rFonts w:ascii="Arial" w:eastAsia="Calibri" w:hAnsi="Arial" w:cs="Arial"/>
          <w:lang w:val="es-ES"/>
        </w:rPr>
        <w:t xml:space="preserve"> facultad que no ha sido ejercida hasta la actualidad. </w:t>
      </w:r>
    </w:p>
    <w:p w14:paraId="664DB35F" w14:textId="12A5630A" w:rsidR="00D22E29" w:rsidRPr="00644B52" w:rsidRDefault="00D22E29" w:rsidP="00572E9F">
      <w:pPr>
        <w:spacing w:after="120" w:line="276" w:lineRule="auto"/>
        <w:ind w:firstLine="708"/>
        <w:jc w:val="both"/>
        <w:rPr>
          <w:rFonts w:ascii="Arial" w:eastAsia="Calibri" w:hAnsi="Arial" w:cs="Arial"/>
          <w:lang w:val="es-ES"/>
        </w:rPr>
      </w:pPr>
      <w:r w:rsidRPr="00644B52">
        <w:rPr>
          <w:rFonts w:ascii="Arial" w:eastAsia="Calibri" w:hAnsi="Arial" w:cs="Arial"/>
          <w:lang w:val="es-ES"/>
        </w:rPr>
        <w:t>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w:t>
      </w:r>
      <w:r w:rsidR="00BB0AB0" w:rsidRPr="00644B52">
        <w:rPr>
          <w:rFonts w:ascii="Arial" w:eastAsia="Calibri" w:hAnsi="Arial" w:cs="Arial"/>
          <w:lang w:val="es-ES"/>
        </w:rPr>
        <w:t xml:space="preserve"> – en adelante EG</w:t>
      </w:r>
      <w:r w:rsidR="00B52521" w:rsidRPr="00644B52">
        <w:rPr>
          <w:rFonts w:ascii="Arial" w:eastAsia="Calibri" w:hAnsi="Arial" w:cs="Arial"/>
          <w:lang w:val="es-ES"/>
        </w:rPr>
        <w:t>CAP</w:t>
      </w:r>
      <w:r w:rsidR="00315F2E" w:rsidRPr="00644B52">
        <w:rPr>
          <w:rFonts w:ascii="Arial" w:eastAsia="Calibri" w:hAnsi="Arial" w:cs="Arial"/>
          <w:lang w:val="es-ES"/>
        </w:rPr>
        <w:t xml:space="preserve"> –</w:t>
      </w:r>
      <w:r w:rsidRPr="00644B52">
        <w:rPr>
          <w:rFonts w:ascii="Arial" w:eastAsia="Calibri" w:hAnsi="Arial" w:cs="Arial"/>
          <w:lang w:val="es-ES"/>
        </w:rPr>
        <w:t xml:space="preserve"> de aplicar los documentos tipo adoptados por el gobierno nacional. En virtud de las competencias atribuidas por la Ley 1882 de 2018 se expidieron varios documentos tipo para el sector de infraestructura de transporte. </w:t>
      </w:r>
      <w:r w:rsidR="002F6042" w:rsidRPr="00644B52">
        <w:rPr>
          <w:rFonts w:ascii="Arial" w:eastAsia="Calibri" w:hAnsi="Arial" w:cs="Arial"/>
          <w:lang w:val="es-ES"/>
        </w:rPr>
        <w:t xml:space="preserve"> </w:t>
      </w:r>
    </w:p>
    <w:p w14:paraId="4DE72C90" w14:textId="361CF113" w:rsidR="00D22E29" w:rsidRPr="00644B52" w:rsidRDefault="00D22E29" w:rsidP="00572E9F">
      <w:pPr>
        <w:spacing w:after="120" w:line="276" w:lineRule="auto"/>
        <w:ind w:firstLine="708"/>
        <w:jc w:val="both"/>
        <w:rPr>
          <w:rFonts w:ascii="Arial" w:eastAsia="Calibri" w:hAnsi="Arial" w:cs="Arial"/>
          <w:lang w:val="es-ES"/>
        </w:rPr>
      </w:pPr>
      <w:r w:rsidRPr="00644B52">
        <w:rPr>
          <w:rFonts w:ascii="Arial" w:eastAsia="Calibri" w:hAnsi="Arial" w:cs="Arial"/>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EGCAP en los procesos de selección que adelantaran</w:t>
      </w:r>
      <w:r w:rsidRPr="00644B52">
        <w:rPr>
          <w:rStyle w:val="Refdenotaalpie"/>
          <w:rFonts w:ascii="Arial" w:hAnsi="Arial" w:cs="Arial"/>
        </w:rPr>
        <w:footnoteReference w:id="3"/>
      </w:r>
      <w:r w:rsidRPr="00644B52">
        <w:rPr>
          <w:rFonts w:ascii="Arial" w:eastAsia="Calibri" w:hAnsi="Arial" w:cs="Arial"/>
          <w:lang w:val="es-ES"/>
        </w:rPr>
        <w:t>.</w:t>
      </w:r>
    </w:p>
    <w:bookmarkEnd w:id="0"/>
    <w:p w14:paraId="38A55D1D" w14:textId="77777777" w:rsidR="00D22E29" w:rsidRPr="00644B52" w:rsidRDefault="00D22E29" w:rsidP="00572E9F">
      <w:pPr>
        <w:spacing w:after="120" w:line="276" w:lineRule="auto"/>
        <w:jc w:val="both"/>
        <w:rPr>
          <w:rFonts w:ascii="Arial" w:eastAsia="Calibri" w:hAnsi="Arial" w:cs="Arial"/>
          <w:lang w:val="es-ES"/>
        </w:rPr>
      </w:pPr>
      <w:r w:rsidRPr="00644B52">
        <w:rPr>
          <w:rFonts w:ascii="Arial" w:eastAsia="Calibri" w:hAnsi="Arial" w:cs="Arial"/>
          <w:lang w:val="es-ES"/>
        </w:rPr>
        <w:lastRenderedPageBreak/>
        <w:tab/>
        <w:t xml:space="preserve">Así 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AF20258" w14:textId="5415D38A" w:rsidR="00D22E29" w:rsidRPr="00644B52" w:rsidRDefault="00D22E29" w:rsidP="00572E9F">
      <w:pPr>
        <w:spacing w:after="120" w:line="276" w:lineRule="auto"/>
        <w:jc w:val="both"/>
        <w:rPr>
          <w:rFonts w:ascii="Arial" w:eastAsia="Calibri" w:hAnsi="Arial" w:cs="Arial"/>
          <w:lang w:val="es-ES"/>
        </w:rPr>
      </w:pPr>
      <w:r w:rsidRPr="00644B52">
        <w:rPr>
          <w:rFonts w:ascii="Arial" w:eastAsia="Calibri" w:hAnsi="Arial" w:cs="Arial"/>
          <w:lang w:val="es-ES"/>
        </w:rPr>
        <w:tab/>
        <w:t xml:space="preserve">De la norma descrita se concluía lo siguiente: i) la adopción de los documentos tipo estaba en cabeza del gobierno nacional; </w:t>
      </w:r>
      <w:proofErr w:type="spellStart"/>
      <w:r w:rsidRPr="00644B52">
        <w:rPr>
          <w:rFonts w:ascii="Arial" w:eastAsia="Calibri" w:hAnsi="Arial" w:cs="Arial"/>
          <w:lang w:val="es-ES"/>
        </w:rPr>
        <w:t>ii</w:t>
      </w:r>
      <w:proofErr w:type="spellEnd"/>
      <w:r w:rsidRPr="00644B52">
        <w:rPr>
          <w:rFonts w:ascii="Arial" w:eastAsia="Calibri" w:hAnsi="Arial" w:cs="Arial"/>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644B52">
        <w:rPr>
          <w:rFonts w:ascii="Arial" w:eastAsia="Calibri" w:hAnsi="Arial" w:cs="Arial"/>
          <w:lang w:val="es-ES"/>
        </w:rPr>
        <w:t>iii</w:t>
      </w:r>
      <w:proofErr w:type="spellEnd"/>
      <w:r w:rsidRPr="00644B52">
        <w:rPr>
          <w:rFonts w:ascii="Arial" w:eastAsia="Calibri" w:hAnsi="Arial" w:cs="Arial"/>
          <w:lang w:val="es-ES"/>
        </w:rPr>
        <w:t xml:space="preserve">) eran de obligatorio cumplimiento por parte de todas las entidades sometidas al </w:t>
      </w:r>
      <w:r w:rsidR="00CA2F62" w:rsidRPr="00644B52">
        <w:rPr>
          <w:rFonts w:ascii="Arial" w:eastAsia="Calibri" w:hAnsi="Arial" w:cs="Arial"/>
          <w:lang w:val="es-ES"/>
        </w:rPr>
        <w:t>EGCAP</w:t>
      </w:r>
      <w:r w:rsidRPr="00644B52">
        <w:rPr>
          <w:rFonts w:ascii="Arial" w:eastAsia="Calibri" w:hAnsi="Arial" w:cs="Arial"/>
          <w:lang w:val="es-ES"/>
        </w:rPr>
        <w:t xml:space="preserve">; </w:t>
      </w:r>
      <w:proofErr w:type="spellStart"/>
      <w:r w:rsidRPr="00644B52">
        <w:rPr>
          <w:rFonts w:ascii="Arial" w:eastAsia="Calibri" w:hAnsi="Arial" w:cs="Arial"/>
          <w:lang w:val="es-ES"/>
        </w:rPr>
        <w:t>iv</w:t>
      </w:r>
      <w:proofErr w:type="spellEnd"/>
      <w:r w:rsidRPr="00644B52">
        <w:rPr>
          <w:rFonts w:ascii="Arial" w:eastAsia="Calibri" w:hAnsi="Arial" w:cs="Arial"/>
          <w:lang w:val="es-ES"/>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w:t>
      </w:r>
      <w:r w:rsidR="00D1150A" w:rsidRPr="00644B52">
        <w:rPr>
          <w:rFonts w:ascii="Arial" w:eastAsia="Calibri" w:hAnsi="Arial" w:cs="Arial"/>
          <w:lang w:val="es-ES"/>
        </w:rPr>
        <w:t>;</w:t>
      </w:r>
      <w:r w:rsidRPr="00644B52">
        <w:rPr>
          <w:rFonts w:ascii="Arial" w:eastAsia="Calibri" w:hAnsi="Arial" w:cs="Arial"/>
          <w:lang w:val="es-ES"/>
        </w:rPr>
        <w:t xml:space="preserve"> vi) los documentos tipo serían adoptados por categorías de acuerdo con la cuantía de la contratación. </w:t>
      </w:r>
    </w:p>
    <w:p w14:paraId="7150B784" w14:textId="7DCFC996" w:rsidR="00D22E29" w:rsidRPr="00644B52" w:rsidRDefault="00D22E29" w:rsidP="00572E9F">
      <w:pPr>
        <w:spacing w:after="120" w:line="276" w:lineRule="auto"/>
        <w:jc w:val="both"/>
        <w:rPr>
          <w:rFonts w:ascii="Arial" w:eastAsia="Calibri" w:hAnsi="Arial" w:cs="Arial"/>
          <w:lang w:val="es-ES"/>
        </w:rPr>
      </w:pPr>
      <w:r w:rsidRPr="00644B52">
        <w:rPr>
          <w:rFonts w:ascii="Arial" w:eastAsia="Calibri" w:hAnsi="Arial" w:cs="Arial"/>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644B52">
        <w:rPr>
          <w:rStyle w:val="Refdenotaalpie"/>
          <w:rFonts w:ascii="Arial" w:hAnsi="Arial" w:cs="Arial"/>
        </w:rPr>
        <w:footnoteReference w:id="4"/>
      </w:r>
      <w:r w:rsidRPr="00644B52">
        <w:rPr>
          <w:rFonts w:ascii="Arial" w:eastAsia="Calibri" w:hAnsi="Arial" w:cs="Arial"/>
          <w:lang w:val="es-ES"/>
        </w:rPr>
        <w:t>.</w:t>
      </w:r>
    </w:p>
    <w:p w14:paraId="409D4315" w14:textId="422BBE21" w:rsidR="00D22E29" w:rsidRPr="00644B52" w:rsidRDefault="00D22E29" w:rsidP="00572E9F">
      <w:pPr>
        <w:spacing w:after="120" w:line="276" w:lineRule="auto"/>
        <w:jc w:val="both"/>
        <w:rPr>
          <w:rFonts w:ascii="Arial" w:eastAsia="Calibri" w:hAnsi="Arial" w:cs="Arial"/>
          <w:lang w:val="es-ES"/>
        </w:rPr>
      </w:pPr>
      <w:r w:rsidRPr="00644B52">
        <w:rPr>
          <w:rFonts w:ascii="Arial" w:eastAsia="Calibri" w:hAnsi="Arial" w:cs="Arial"/>
          <w:lang w:val="es-ES"/>
        </w:rPr>
        <w:tab/>
        <w:t xml:space="preserve">De este modo, los documentos tipo no afectan la autonomía de las entidades territoriales. Lo anterior, debido a que la definición de los requisitos habilitantes y de </w:t>
      </w:r>
      <w:r w:rsidRPr="00644B52">
        <w:rPr>
          <w:rFonts w:ascii="Arial" w:eastAsia="Calibri" w:hAnsi="Arial" w:cs="Arial"/>
          <w:lang w:val="es-ES"/>
        </w:rPr>
        <w:lastRenderedPageBreak/>
        <w:t>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w:t>
      </w:r>
      <w:r w:rsidR="00657EAF" w:rsidRPr="00644B52">
        <w:rPr>
          <w:rFonts w:ascii="Arial" w:eastAsia="Calibri" w:hAnsi="Arial" w:cs="Arial"/>
          <w:lang w:val="es-ES"/>
        </w:rPr>
        <w:t>,</w:t>
      </w:r>
      <w:r w:rsidRPr="00644B52">
        <w:rPr>
          <w:rFonts w:ascii="Arial" w:eastAsia="Calibri" w:hAnsi="Arial" w:cs="Arial"/>
          <w:lang w:val="es-ES"/>
        </w:rPr>
        <w:t xml:space="preserve"> además</w:t>
      </w:r>
      <w:r w:rsidR="00657EAF" w:rsidRPr="00644B52">
        <w:rPr>
          <w:rFonts w:ascii="Arial" w:eastAsia="Calibri" w:hAnsi="Arial" w:cs="Arial"/>
          <w:lang w:val="es-ES"/>
        </w:rPr>
        <w:t>,</w:t>
      </w:r>
      <w:r w:rsidRPr="00644B52">
        <w:rPr>
          <w:rFonts w:ascii="Arial" w:eastAsia="Calibri" w:hAnsi="Arial" w:cs="Arial"/>
          <w:lang w:val="es-ES"/>
        </w:rPr>
        <w:t xml:space="preserve"> se incluyen en la minuta del contrato las condiciones particulares del negocio jurídico a celebrar.</w:t>
      </w:r>
    </w:p>
    <w:p w14:paraId="2705F9EB" w14:textId="77777777" w:rsidR="00177417" w:rsidRPr="00644B52" w:rsidRDefault="00177417" w:rsidP="00572E9F">
      <w:pPr>
        <w:spacing w:after="120" w:line="276" w:lineRule="auto"/>
        <w:ind w:firstLine="708"/>
        <w:jc w:val="both"/>
        <w:rPr>
          <w:rFonts w:ascii="Arial" w:eastAsia="Times New Roman" w:hAnsi="Arial" w:cs="Arial"/>
          <w:lang w:val="es-ES" w:eastAsia="es-MX"/>
        </w:rPr>
      </w:pPr>
      <w:r w:rsidRPr="00644B52">
        <w:rPr>
          <w:rFonts w:ascii="Arial" w:eastAsia="Times New Roman" w:hAnsi="Arial" w:cs="Arial"/>
          <w:lang w:val="es-ES" w:eastAsia="es-MX"/>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B51610C" w14:textId="77777777" w:rsidR="00177417" w:rsidRPr="00644B52" w:rsidRDefault="00177417" w:rsidP="00572E9F">
      <w:pPr>
        <w:spacing w:after="120" w:line="276" w:lineRule="auto"/>
        <w:ind w:firstLine="709"/>
        <w:jc w:val="both"/>
        <w:rPr>
          <w:rFonts w:ascii="Arial" w:eastAsia="Times New Roman" w:hAnsi="Arial" w:cs="Arial"/>
          <w:lang w:val="es-ES" w:eastAsia="es-MX"/>
        </w:rPr>
      </w:pPr>
      <w:r w:rsidRPr="00644B52">
        <w:rPr>
          <w:rFonts w:ascii="Arial" w:eastAsia="Times New Roman" w:hAnsi="Arial" w:cs="Arial"/>
          <w:lang w:val="es-ES" w:eastAsia="es-MX"/>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644B52" w:rsidDel="00A434AB">
        <w:rPr>
          <w:rFonts w:ascii="Arial" w:eastAsia="Times New Roman" w:hAnsi="Arial" w:cs="Arial"/>
          <w:lang w:val="es-ES" w:eastAsia="es-MX"/>
        </w:rPr>
        <w:t xml:space="preserve"> </w:t>
      </w:r>
      <w:r w:rsidRPr="00644B52">
        <w:rPr>
          <w:rFonts w:ascii="Arial" w:eastAsia="Times New Roman" w:hAnsi="Arial" w:cs="Arial"/>
          <w:lang w:val="es-ES" w:eastAsia="es-MX"/>
        </w:rPr>
        <w:t xml:space="preserve">de infraestructura de transporte que se surtieran por la modalidad de mínima cuantía. Estos documentos fueron implementados y desarrollados por la Agencia Nacional de Contratación Pública </w:t>
      </w:r>
      <w:bookmarkStart w:id="1" w:name="_Hlk37841850"/>
      <w:r w:rsidRPr="00644B52">
        <w:rPr>
          <w:rFonts w:ascii="Arial" w:eastAsia="Times New Roman" w:hAnsi="Arial" w:cs="Arial"/>
          <w:lang w:val="es-ES" w:eastAsia="es-MX"/>
        </w:rPr>
        <w:t xml:space="preserve">– Colombia Compra Eficiente, </w:t>
      </w:r>
      <w:bookmarkEnd w:id="1"/>
      <w:r w:rsidRPr="00644B52">
        <w:rPr>
          <w:rFonts w:ascii="Arial" w:eastAsia="Times New Roman" w:hAnsi="Arial" w:cs="Arial"/>
          <w:lang w:val="es-ES" w:eastAsia="es-MX"/>
        </w:rPr>
        <w:t>por medio de la Resolución 1798 de 1 de abril de 2019 –derogada por la Resolución 045 del 14 de febrero de 2020–, la Resolución 044 del 14 de febrero de 2020 y la Resolución 094 del 21 de mayo de 2020.</w:t>
      </w:r>
    </w:p>
    <w:p w14:paraId="6C04D76F" w14:textId="77777777" w:rsidR="00177417" w:rsidRPr="00644B52" w:rsidRDefault="00177417" w:rsidP="00572E9F">
      <w:pPr>
        <w:spacing w:after="120" w:line="276" w:lineRule="auto"/>
        <w:ind w:firstLine="709"/>
        <w:jc w:val="both"/>
        <w:rPr>
          <w:rFonts w:ascii="Arial" w:eastAsia="Calibri" w:hAnsi="Arial" w:cs="Arial"/>
          <w:lang w:val="es-ES" w:eastAsia="es-ES"/>
        </w:rPr>
      </w:pPr>
      <w:r w:rsidRPr="00644B52">
        <w:rPr>
          <w:rFonts w:ascii="Arial" w:eastAsia="Calibri" w:hAnsi="Arial" w:cs="Arial"/>
          <w:lang w:val="es-ES" w:eastAsia="es-ES"/>
        </w:rPr>
        <w:t>Por otra parte</w:t>
      </w:r>
      <w:r w:rsidRPr="00644B52">
        <w:rPr>
          <w:rFonts w:ascii="Arial" w:eastAsia="Calibri" w:hAnsi="Arial" w:cs="Arial"/>
          <w:i/>
          <w:iCs/>
          <w:lang w:val="es-ES" w:eastAsia="es-ES"/>
        </w:rPr>
        <w:t>,</w:t>
      </w:r>
      <w:r w:rsidRPr="00644B52">
        <w:rPr>
          <w:rFonts w:ascii="Arial" w:eastAsia="Calibri" w:hAnsi="Arial" w:cs="Arial"/>
          <w:lang w:val="es-ES" w:eastAsia="es-ES"/>
        </w:rPr>
        <w:t xml:space="preserve"> debe tenerse en cuenta que </w:t>
      </w:r>
      <w:r w:rsidRPr="00644B52">
        <w:rPr>
          <w:rFonts w:ascii="Arial" w:eastAsia="Times New Roman" w:hAnsi="Arial" w:cs="Arial"/>
          <w:lang w:val="es-ES_tradnl" w:eastAsia="es-ES"/>
        </w:rPr>
        <w:t>posteriormente fue expedida la Ley 2022 de 2020 «Por la cual modifica el artículo 4 de la ley 1882 de 2018 y se dictan otras disposiciones». En su artículo 1, esta norma modificó el Articulo 4 de la Ley 1882 de 2018</w:t>
      </w:r>
      <w:r w:rsidRPr="00644B52">
        <w:rPr>
          <w:rFonts w:ascii="Arial" w:eastAsia="Times New Roman" w:hAnsi="Arial" w:cs="Arial"/>
          <w:vertAlign w:val="superscript"/>
          <w:lang w:val="es-ES_tradnl" w:eastAsia="es-ES"/>
        </w:rPr>
        <w:footnoteReference w:id="5"/>
      </w:r>
      <w:r w:rsidRPr="00644B52">
        <w:rPr>
          <w:rFonts w:ascii="Arial" w:eastAsia="Times New Roman" w:hAnsi="Arial" w:cs="Arial"/>
          <w:lang w:val="es-ES_tradnl" w:eastAsia="es-ES"/>
        </w:rPr>
        <w:t xml:space="preserve"> , estableciendo a cargo de esta Agencia la adopción de documentos tipo que serán de obligatorio cumplimiento en la actividad contractual de todas las entidades sometidas al Estatuto General de Contratación de la Administración Pública. </w:t>
      </w:r>
      <w:r w:rsidRPr="00644B52">
        <w:rPr>
          <w:rFonts w:ascii="Arial" w:eastAsia="Calibri" w:hAnsi="Arial" w:cs="Arial"/>
          <w:lang w:val="es-ES" w:eastAsia="es-ES"/>
        </w:rPr>
        <w:t xml:space="preserve">En este sentido, con la finalidad de realizar un desarrollo armónico y ajustado a la ley que otorga esta competencia, </w:t>
      </w:r>
      <w:r w:rsidRPr="00644B52">
        <w:rPr>
          <w:rFonts w:ascii="Arial" w:eastAsia="Calibri" w:hAnsi="Arial" w:cs="Arial"/>
          <w:lang w:val="es-ES" w:eastAsia="es-ES"/>
        </w:rPr>
        <w:lastRenderedPageBreak/>
        <w:t xml:space="preserve">la Agencia Nacional de Contratación Pública expidió la Resolución 160 del 15 de septiembre de 2020, «Por la cual se adopta el procedimiento para implementar los documentos tipo y se define el sistema para su revisión». </w:t>
      </w:r>
    </w:p>
    <w:p w14:paraId="10C9A182" w14:textId="77777777" w:rsidR="00177417" w:rsidRPr="00644B52" w:rsidRDefault="00177417" w:rsidP="00572E9F">
      <w:pPr>
        <w:spacing w:after="120" w:line="276" w:lineRule="auto"/>
        <w:ind w:firstLine="709"/>
        <w:jc w:val="both"/>
        <w:rPr>
          <w:rFonts w:ascii="Arial" w:eastAsia="Calibri" w:hAnsi="Arial" w:cs="Arial"/>
          <w:lang w:val="es-ES" w:eastAsia="es-ES"/>
        </w:rPr>
      </w:pPr>
      <w:r w:rsidRPr="00644B52">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2245A629" w14:textId="77777777" w:rsidR="00177417" w:rsidRPr="00644B52" w:rsidRDefault="00177417" w:rsidP="00572E9F">
      <w:pPr>
        <w:spacing w:after="120" w:line="276" w:lineRule="auto"/>
        <w:ind w:firstLine="709"/>
        <w:jc w:val="both"/>
        <w:rPr>
          <w:rFonts w:ascii="Arial" w:eastAsia="Calibri" w:hAnsi="Arial" w:cs="Arial"/>
          <w:lang w:val="es-ES" w:eastAsia="es-ES"/>
        </w:rPr>
      </w:pPr>
      <w:r w:rsidRPr="00644B52">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650433A1" w14:textId="77777777" w:rsidR="00177417" w:rsidRPr="00644B52" w:rsidRDefault="00177417" w:rsidP="00572E9F">
      <w:pPr>
        <w:spacing w:after="120" w:line="276" w:lineRule="auto"/>
        <w:ind w:firstLine="709"/>
        <w:jc w:val="both"/>
        <w:rPr>
          <w:rFonts w:ascii="Arial" w:eastAsia="Times New Roman" w:hAnsi="Arial" w:cs="Arial"/>
          <w:lang w:val="es-ES_tradnl" w:eastAsia="es-ES"/>
        </w:rPr>
      </w:pPr>
      <w:r w:rsidRPr="00644B52">
        <w:rPr>
          <w:rFonts w:ascii="Arial" w:eastAsia="Calibri" w:hAnsi="Arial" w:cs="Arial"/>
          <w:lang w:val="es-ES" w:eastAsia="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644B52">
        <w:rPr>
          <w:rFonts w:ascii="Arial" w:eastAsia="Times New Roman" w:hAnsi="Arial" w:cs="Arial"/>
          <w:lang w:val="es-ES_tradnl" w:eastAsia="es-ES"/>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6D3DA54A"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70FB071C" w14:textId="77777777" w:rsidR="00177417" w:rsidRPr="00644B52" w:rsidRDefault="00177417" w:rsidP="00572E9F">
      <w:pPr>
        <w:spacing w:after="120" w:line="276" w:lineRule="auto"/>
        <w:ind w:firstLine="709"/>
        <w:jc w:val="both"/>
        <w:rPr>
          <w:rFonts w:ascii="Arial" w:hAnsi="Arial" w:cs="Arial"/>
          <w:spacing w:val="2"/>
          <w:lang w:eastAsia="es-CO"/>
        </w:rPr>
      </w:pPr>
      <w:r w:rsidRPr="00644B52">
        <w:rPr>
          <w:rFonts w:ascii="Arial" w:hAnsi="Arial" w:cs="Arial"/>
          <w:spacing w:val="2"/>
          <w:lang w:eastAsia="es-CO"/>
        </w:rPr>
        <w:t xml:space="preserve">Con posterioridad, el Decreto 1860 de 2021 modificó </w:t>
      </w:r>
      <w:r w:rsidRPr="00644B52">
        <w:rPr>
          <w:rFonts w:ascii="Arial" w:eastAsia="Arial" w:hAnsi="Arial" w:cs="Arial"/>
          <w:lang w:eastAsia="es-CO"/>
        </w:rPr>
        <w:t xml:space="preserve">el Decreto 1082 de 2015, Único Reglamentario del Sector Administrativo de Planeación Nacional, incorporando una regulación detallada de la Ley 2069 de 2020 para su efectiva implementación en el sistema </w:t>
      </w:r>
      <w:r w:rsidRPr="00644B52">
        <w:rPr>
          <w:rFonts w:ascii="Arial" w:eastAsia="Arial" w:hAnsi="Arial" w:cs="Arial"/>
          <w:lang w:eastAsia="es-CO"/>
        </w:rPr>
        <w:lastRenderedPageBreak/>
        <w:t xml:space="preserve">de compras y contratación pública, </w:t>
      </w:r>
      <w:r w:rsidRPr="00644B52">
        <w:rPr>
          <w:rFonts w:ascii="Arial" w:eastAsia="Times New Roman" w:hAnsi="Arial" w:cs="Arial"/>
          <w:lang w:eastAsia="es-MX"/>
        </w:rPr>
        <w:t>además de incluir algunas disposiciones adicionales para la reglamentación efectiva de la citada Ley.</w:t>
      </w:r>
      <w:r w:rsidRPr="00644B52">
        <w:rPr>
          <w:rFonts w:ascii="Arial" w:eastAsia="Arial" w:hAnsi="Arial" w:cs="Arial"/>
          <w:lang w:eastAsia="es-CO"/>
        </w:rPr>
        <w:t xml:space="preserve"> </w:t>
      </w:r>
      <w:r w:rsidRPr="00644B52">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644B52">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r w:rsidRPr="00644B52">
        <w:rPr>
          <w:rStyle w:val="Refdenotaalpie"/>
          <w:rFonts w:ascii="Arial" w:hAnsi="Arial" w:cs="Arial"/>
          <w:spacing w:val="2"/>
          <w:lang w:eastAsia="es-CO"/>
        </w:rPr>
        <w:footnoteReference w:id="6"/>
      </w:r>
      <w:r w:rsidRPr="00644B52">
        <w:rPr>
          <w:rFonts w:ascii="Arial" w:hAnsi="Arial" w:cs="Arial"/>
          <w:spacing w:val="2"/>
          <w:lang w:eastAsia="es-CO"/>
        </w:rPr>
        <w:t>.</w:t>
      </w:r>
    </w:p>
    <w:p w14:paraId="694CA77E" w14:textId="77777777" w:rsidR="00177417" w:rsidRPr="00644B52" w:rsidRDefault="00177417" w:rsidP="00572E9F">
      <w:pPr>
        <w:spacing w:after="120" w:line="276" w:lineRule="auto"/>
        <w:ind w:firstLine="709"/>
        <w:jc w:val="both"/>
        <w:rPr>
          <w:rFonts w:ascii="Arial" w:hAnsi="Arial" w:cs="Arial"/>
          <w:spacing w:val="2"/>
          <w:lang w:eastAsia="es-CO"/>
        </w:rPr>
      </w:pPr>
      <w:r w:rsidRPr="00644B52">
        <w:rPr>
          <w:rFonts w:ascii="Arial" w:hAnsi="Arial" w:cs="Arial"/>
          <w:spacing w:val="2"/>
          <w:lang w:eastAsia="es-CO"/>
        </w:rPr>
        <w:t>Finalmente, se expidió la Resolución No. 333 del 27 de julio de 2022 «Por la cual se adoptan los documentos tipo para los procesos de selección de concurso de méritos para contratar la interventoría de obras públicas de infraestructura de agua potable y saneamiento básico», aplicable a los procesos de selección cuyo aviso de convocatoria se publique a partir del 3 de octubre de 2022.</w:t>
      </w:r>
    </w:p>
    <w:p w14:paraId="3CC28363" w14:textId="77777777" w:rsidR="00177417" w:rsidRPr="00644B52" w:rsidRDefault="00177417" w:rsidP="00572E9F">
      <w:pPr>
        <w:spacing w:after="120" w:line="276" w:lineRule="auto"/>
        <w:ind w:firstLine="709"/>
        <w:jc w:val="both"/>
        <w:rPr>
          <w:rFonts w:ascii="Arial" w:eastAsia="Calibri" w:hAnsi="Arial" w:cs="Arial"/>
          <w:lang w:val="es-ES" w:eastAsia="es-ES"/>
        </w:rPr>
      </w:pPr>
      <w:r w:rsidRPr="00644B52">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0D37350D"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19FADD29"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ii</w:t>
      </w:r>
      <w:proofErr w:type="spellEnd"/>
      <w:r w:rsidRPr="00644B52">
        <w:rPr>
          <w:rFonts w:ascii="Arial" w:eastAsia="Calibri" w:hAnsi="Arial" w:cs="Arial"/>
          <w:lang w:val="es-ES_tradnl" w:eastAsia="es-ES"/>
        </w:rPr>
        <w:t>) Documentos tipo para licitación de obra pública de infraestructura de transporte –versión 2–, obligatorios para los procesos cuyo aviso de convocatoria se haya publicado desde el 10 de marzo de 2020.</w:t>
      </w:r>
    </w:p>
    <w:p w14:paraId="48033287"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iii</w:t>
      </w:r>
      <w:proofErr w:type="spellEnd"/>
      <w:r w:rsidRPr="00644B52">
        <w:rPr>
          <w:rFonts w:ascii="Arial" w:eastAsia="Calibri" w:hAnsi="Arial" w:cs="Arial"/>
          <w:lang w:val="es-ES_tradnl" w:eastAsia="es-ES"/>
        </w:rPr>
        <w:t>) Documentos tipo para licitación de obra pública de infraestructura de transporte –versión 3–, obligatorios para los procesos cuyo aviso de convocatoria se haya publicado desde el 1 de enero de 2021.</w:t>
      </w:r>
    </w:p>
    <w:p w14:paraId="3DB64D92"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iv</w:t>
      </w:r>
      <w:proofErr w:type="spellEnd"/>
      <w:r w:rsidRPr="00644B52">
        <w:rPr>
          <w:rFonts w:ascii="Arial" w:eastAsia="Calibri" w:hAnsi="Arial" w:cs="Arial"/>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15CA9C6E"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18DFD8E4"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lastRenderedPageBreak/>
        <w:t>vi) Documentos tipo para procesos de mínima cuantía de infraestructura de transporte, obligatorios para los procesos cuya invitación pública se haya publicado a partir del 10 de junio de 2020.</w:t>
      </w:r>
    </w:p>
    <w:p w14:paraId="5E906DC1"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vii</w:t>
      </w:r>
      <w:proofErr w:type="spellEnd"/>
      <w:r w:rsidRPr="00644B52">
        <w:rPr>
          <w:rFonts w:ascii="Arial" w:eastAsia="Calibri" w:hAnsi="Arial" w:cs="Arial"/>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65CF7787"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viii</w:t>
      </w:r>
      <w:proofErr w:type="spellEnd"/>
      <w:r w:rsidRPr="00644B52">
        <w:rPr>
          <w:rFonts w:ascii="Arial" w:eastAsia="Calibri" w:hAnsi="Arial" w:cs="Arial"/>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63295DE4" w14:textId="77777777" w:rsidR="00177417" w:rsidRPr="00644B52" w:rsidRDefault="00177417" w:rsidP="00572E9F">
      <w:pPr>
        <w:spacing w:after="120" w:line="276" w:lineRule="auto"/>
        <w:ind w:firstLine="709"/>
        <w:jc w:val="both"/>
        <w:rPr>
          <w:rFonts w:ascii="Arial" w:eastAsia="Calibri" w:hAnsi="Arial" w:cs="Arial"/>
          <w:lang w:val="es-ES_tradnl" w:eastAsia="es-ES"/>
        </w:rPr>
      </w:pPr>
      <w:proofErr w:type="spellStart"/>
      <w:r w:rsidRPr="00644B52">
        <w:rPr>
          <w:rFonts w:ascii="Arial" w:eastAsia="Calibri" w:hAnsi="Arial" w:cs="Arial"/>
          <w:lang w:val="es-ES_tradnl" w:eastAsia="es-ES"/>
        </w:rPr>
        <w:t>ix</w:t>
      </w:r>
      <w:proofErr w:type="spellEnd"/>
      <w:r w:rsidRPr="00644B52">
        <w:rPr>
          <w:rFonts w:ascii="Arial" w:eastAsia="Calibri" w:hAnsi="Arial" w:cs="Arial"/>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4503EA97"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24B78E0" w14:textId="77777777" w:rsidR="00177417" w:rsidRPr="00644B52" w:rsidRDefault="00177417" w:rsidP="00572E9F">
      <w:pPr>
        <w:spacing w:after="120" w:line="276" w:lineRule="auto"/>
        <w:ind w:firstLine="709"/>
        <w:jc w:val="both"/>
        <w:rPr>
          <w:rFonts w:ascii="Arial" w:eastAsia="Calibri" w:hAnsi="Arial" w:cs="Arial"/>
          <w:lang w:val="es-ES_tradnl" w:eastAsia="es-ES"/>
        </w:rPr>
      </w:pPr>
      <w:r w:rsidRPr="00644B52">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468F0EE" w14:textId="77777777" w:rsidR="00177417" w:rsidRPr="00644B52" w:rsidRDefault="00177417" w:rsidP="00572E9F">
      <w:pPr>
        <w:spacing w:after="120" w:line="276" w:lineRule="auto"/>
        <w:ind w:firstLine="708"/>
        <w:jc w:val="both"/>
        <w:rPr>
          <w:rFonts w:ascii="Arial" w:eastAsia="Calibri" w:hAnsi="Arial" w:cs="Arial"/>
          <w:lang w:val="es-ES_tradnl" w:eastAsia="en-GB"/>
        </w:rPr>
      </w:pPr>
      <w:proofErr w:type="spellStart"/>
      <w:r w:rsidRPr="00644B52">
        <w:rPr>
          <w:rFonts w:ascii="Arial" w:eastAsia="Calibri" w:hAnsi="Arial" w:cs="Arial"/>
          <w:lang w:val="es-ES_tradnl" w:eastAsia="es-ES"/>
        </w:rPr>
        <w:t>xii</w:t>
      </w:r>
      <w:proofErr w:type="spellEnd"/>
      <w:r w:rsidRPr="00644B52">
        <w:rPr>
          <w:rFonts w:ascii="Arial" w:eastAsia="Calibri" w:hAnsi="Arial" w:cs="Arial"/>
          <w:lang w:val="es-ES_tradnl" w:eastAsia="es-ES"/>
        </w:rPr>
        <w:t xml:space="preserve">) </w:t>
      </w:r>
      <w:r w:rsidRPr="00644B52">
        <w:rPr>
          <w:rFonts w:ascii="Arial" w:eastAsia="Calibri" w:hAnsi="Arial" w:cs="Arial"/>
          <w:lang w:val="es-ES" w:eastAsia="es-ES"/>
        </w:rPr>
        <w:t xml:space="preserve">Documentos tipo para procesos de licitación de obra pública de infraestructura social, que </w:t>
      </w:r>
      <w:r w:rsidRPr="00644B52">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r w:rsidRPr="00644B52">
        <w:rPr>
          <w:rFonts w:ascii="Arial" w:eastAsia="Calibri" w:hAnsi="Arial" w:cs="Arial"/>
          <w:lang w:val="es-ES_tradnl" w:eastAsia="en-GB"/>
        </w:rPr>
        <w:t>.</w:t>
      </w:r>
    </w:p>
    <w:p w14:paraId="28EFC636" w14:textId="77777777" w:rsidR="00177417" w:rsidRPr="00644B52" w:rsidRDefault="00177417" w:rsidP="00572E9F">
      <w:pPr>
        <w:spacing w:after="120" w:line="276" w:lineRule="auto"/>
        <w:ind w:firstLine="708"/>
        <w:jc w:val="both"/>
        <w:rPr>
          <w:rFonts w:ascii="Arial" w:eastAsia="Calibri" w:hAnsi="Arial" w:cs="Arial"/>
          <w:lang w:val="es-ES_tradnl" w:eastAsia="en-GB"/>
        </w:rPr>
      </w:pPr>
      <w:proofErr w:type="spellStart"/>
      <w:r w:rsidRPr="00644B52">
        <w:rPr>
          <w:rFonts w:ascii="Arial" w:eastAsia="Calibri" w:hAnsi="Arial" w:cs="Arial"/>
          <w:lang w:val="es-ES" w:eastAsia="es-ES"/>
        </w:rPr>
        <w:t>xiii</w:t>
      </w:r>
      <w:proofErr w:type="spellEnd"/>
      <w:r w:rsidRPr="00644B52">
        <w:rPr>
          <w:rFonts w:ascii="Arial" w:eastAsia="Calibri" w:hAnsi="Arial" w:cs="Arial"/>
          <w:lang w:val="es-ES" w:eastAsia="es-ES"/>
        </w:rPr>
        <w:t xml:space="preserve">) Documentos tipo complementarios para los procesos de licitación de obra pública de infraestructura social relacionados con el sector educativo, que </w:t>
      </w:r>
      <w:r w:rsidRPr="00644B52">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p>
    <w:p w14:paraId="1193C0BD" w14:textId="77777777" w:rsidR="00177417" w:rsidRPr="00644B52" w:rsidRDefault="00177417" w:rsidP="00572E9F">
      <w:pPr>
        <w:spacing w:after="120" w:line="276" w:lineRule="auto"/>
        <w:ind w:firstLine="708"/>
        <w:jc w:val="both"/>
        <w:rPr>
          <w:rFonts w:ascii="Arial" w:eastAsia="Calibri" w:hAnsi="Arial" w:cs="Arial"/>
          <w:lang w:val="es-ES_tradnl" w:eastAsia="en-GB"/>
        </w:rPr>
      </w:pPr>
      <w:proofErr w:type="spellStart"/>
      <w:r w:rsidRPr="00644B52">
        <w:rPr>
          <w:rFonts w:ascii="Arial" w:eastAsia="Calibri" w:hAnsi="Arial" w:cs="Arial"/>
          <w:lang w:val="es-ES" w:eastAsia="es-ES"/>
        </w:rPr>
        <w:t>xiv</w:t>
      </w:r>
      <w:proofErr w:type="spellEnd"/>
      <w:r w:rsidRPr="00644B52">
        <w:rPr>
          <w:rFonts w:ascii="Arial" w:eastAsia="Calibri" w:hAnsi="Arial" w:cs="Arial"/>
          <w:lang w:val="es-ES" w:eastAsia="es-ES"/>
        </w:rPr>
        <w:t xml:space="preserve">) Documentos tipo complementarios para los procesos de licitación de obra pública de infraestructura social relacionados con el sector salud, que entraron a regir </w:t>
      </w:r>
      <w:r w:rsidRPr="00644B52">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644B52">
        <w:rPr>
          <w:rFonts w:ascii="Arial" w:eastAsia="Calibri" w:hAnsi="Arial" w:cs="Arial"/>
          <w:lang w:val="es-ES_tradnl" w:eastAsia="en-GB"/>
        </w:rPr>
        <w:t>.</w:t>
      </w:r>
    </w:p>
    <w:p w14:paraId="6C55D232" w14:textId="77777777" w:rsidR="00177417" w:rsidRPr="00644B52" w:rsidRDefault="00177417" w:rsidP="00572E9F">
      <w:pPr>
        <w:spacing w:after="120" w:line="276" w:lineRule="auto"/>
        <w:ind w:firstLine="708"/>
        <w:jc w:val="both"/>
        <w:rPr>
          <w:rFonts w:ascii="Arial" w:eastAsia="Times New Roman" w:hAnsi="Arial" w:cs="Arial"/>
          <w:lang w:val="es-ES_tradnl" w:eastAsia="en-GB"/>
        </w:rPr>
      </w:pPr>
      <w:proofErr w:type="spellStart"/>
      <w:r w:rsidRPr="00644B52">
        <w:rPr>
          <w:rFonts w:ascii="Arial" w:eastAsia="Calibri" w:hAnsi="Arial" w:cs="Arial"/>
          <w:lang w:val="es-ES_tradnl" w:eastAsia="en-GB"/>
        </w:rPr>
        <w:t>xv</w:t>
      </w:r>
      <w:proofErr w:type="spellEnd"/>
      <w:r w:rsidRPr="00644B52">
        <w:rPr>
          <w:rFonts w:ascii="Arial" w:eastAsia="Calibri" w:hAnsi="Arial" w:cs="Arial"/>
          <w:lang w:val="es-ES_tradnl" w:eastAsia="en-GB"/>
        </w:rPr>
        <w:t xml:space="preserve">) </w:t>
      </w:r>
      <w:r w:rsidRPr="00644B52">
        <w:rPr>
          <w:rFonts w:ascii="Arial" w:eastAsia="Calibri" w:hAnsi="Arial" w:cs="Arial"/>
          <w:lang w:val="es-ES" w:eastAsia="es-ES"/>
        </w:rPr>
        <w:t>Documentos tipo complementarios para los procesos de licitación de obra pública de infraestructura social relacionados con el sector cultura, recreación y deporte</w:t>
      </w:r>
      <w:r w:rsidRPr="00644B52">
        <w:rPr>
          <w:rFonts w:ascii="Arial" w:eastAsia="Calibri" w:hAnsi="Arial" w:cs="Arial"/>
          <w:lang w:val="es-ES_tradnl" w:eastAsia="en-GB"/>
        </w:rPr>
        <w:t xml:space="preserve">, </w:t>
      </w:r>
      <w:r w:rsidRPr="00644B52">
        <w:rPr>
          <w:rFonts w:ascii="Arial" w:eastAsia="Calibri" w:hAnsi="Arial" w:cs="Arial"/>
          <w:lang w:val="es-ES" w:eastAsia="es-ES"/>
        </w:rPr>
        <w:t xml:space="preserve">que entraron a regir </w:t>
      </w:r>
      <w:r w:rsidRPr="00644B52">
        <w:rPr>
          <w:rFonts w:ascii="Arial" w:eastAsia="Times New Roman" w:hAnsi="Arial" w:cs="Arial"/>
          <w:lang w:val="es-ES_tradnl" w:eastAsia="en-GB"/>
        </w:rPr>
        <w:t xml:space="preserve">de acuerdo con los términos establecidos en el artículo 4 de la Resolución 454 de 2021. </w:t>
      </w:r>
    </w:p>
    <w:p w14:paraId="336DC991" w14:textId="77777777" w:rsidR="00177417" w:rsidRPr="00644B52" w:rsidRDefault="00177417" w:rsidP="00572E9F">
      <w:pPr>
        <w:spacing w:after="120" w:line="276" w:lineRule="auto"/>
        <w:ind w:firstLine="709"/>
        <w:jc w:val="both"/>
        <w:rPr>
          <w:rFonts w:ascii="Arial" w:eastAsia="Times New Roman" w:hAnsi="Arial" w:cs="Arial"/>
          <w:lang w:val="es-ES_tradnl" w:eastAsia="en-GB"/>
        </w:rPr>
      </w:pPr>
      <w:proofErr w:type="spellStart"/>
      <w:r w:rsidRPr="00644B52">
        <w:rPr>
          <w:rFonts w:ascii="Arial" w:eastAsia="Times New Roman" w:hAnsi="Arial" w:cs="Arial"/>
          <w:lang w:val="es-ES_tradnl" w:eastAsia="en-GB"/>
        </w:rPr>
        <w:t>xvi</w:t>
      </w:r>
      <w:proofErr w:type="spellEnd"/>
      <w:r w:rsidRPr="00644B52">
        <w:rPr>
          <w:rFonts w:ascii="Arial" w:eastAsia="Times New Roman" w:hAnsi="Arial" w:cs="Arial"/>
          <w:lang w:val="es-ES_tradnl" w:eastAsia="en-GB"/>
        </w:rPr>
        <w:t xml:space="preserve">) </w:t>
      </w:r>
      <w:r w:rsidRPr="00644B52">
        <w:rPr>
          <w:rStyle w:val="normaltextrun"/>
          <w:rFonts w:ascii="Arial" w:hAnsi="Arial" w:cs="Arial"/>
          <w:bdr w:val="none" w:sz="0" w:space="0" w:color="auto" w:frame="1"/>
          <w:lang w:val="es-ES"/>
        </w:rPr>
        <w:t xml:space="preserve">Documentos tipo de interventoría para los procesos de selección de concurso de méritos para contratar la interventoría de infraestructura de transporte –Versión 2–, para </w:t>
      </w:r>
      <w:r w:rsidRPr="00644B52">
        <w:rPr>
          <w:rStyle w:val="normaltextrun"/>
          <w:rFonts w:ascii="Arial" w:hAnsi="Arial" w:cs="Arial"/>
          <w:bdr w:val="none" w:sz="0" w:space="0" w:color="auto" w:frame="1"/>
          <w:lang w:val="es-ES"/>
        </w:rPr>
        <w:lastRenderedPageBreak/>
        <w:t>los procesos cuyo aviso de convocatoria se haya publicado desde el 1 de noviembre de 2022, de conformidad con la Resolución 326 del 22 de julio de 2022. </w:t>
      </w:r>
    </w:p>
    <w:p w14:paraId="15DA8DD4" w14:textId="0CB19E39" w:rsidR="00177417" w:rsidRPr="00644B52" w:rsidRDefault="00177417" w:rsidP="00572E9F">
      <w:pPr>
        <w:spacing w:after="120" w:line="276" w:lineRule="auto"/>
        <w:ind w:firstLine="709"/>
        <w:jc w:val="both"/>
        <w:rPr>
          <w:rFonts w:ascii="Arial" w:hAnsi="Arial" w:cs="Arial"/>
          <w:spacing w:val="2"/>
          <w:lang w:eastAsia="es-CO"/>
        </w:rPr>
      </w:pPr>
      <w:proofErr w:type="spellStart"/>
      <w:r w:rsidRPr="00644B52">
        <w:rPr>
          <w:rFonts w:ascii="Arial" w:eastAsia="Times New Roman" w:hAnsi="Arial" w:cs="Arial"/>
          <w:lang w:val="es-ES_tradnl" w:eastAsia="en-GB"/>
        </w:rPr>
        <w:t>xvii</w:t>
      </w:r>
      <w:proofErr w:type="spellEnd"/>
      <w:r w:rsidRPr="00644B52">
        <w:rPr>
          <w:rFonts w:ascii="Arial" w:eastAsia="Times New Roman" w:hAnsi="Arial" w:cs="Arial"/>
          <w:lang w:val="es-ES_tradnl" w:eastAsia="en-GB"/>
        </w:rPr>
        <w:t xml:space="preserve">) Documentos tipo para los procesos de selección de concurso de méritos para contratar la interventoría de obras públicas de infraestructura de agua potable y saneamiento básico, obligatorios para </w:t>
      </w:r>
      <w:r w:rsidRPr="00644B52">
        <w:rPr>
          <w:rFonts w:ascii="Arial" w:hAnsi="Arial" w:cs="Arial"/>
          <w:spacing w:val="2"/>
          <w:lang w:eastAsia="es-CO"/>
        </w:rPr>
        <w:t>procesos de selección cuyo aviso de convocatoria se publique a partir del 3 de octubre de 2</w:t>
      </w:r>
      <w:r w:rsidR="003C5459" w:rsidRPr="00644B52">
        <w:rPr>
          <w:rFonts w:ascii="Arial" w:hAnsi="Arial" w:cs="Arial"/>
          <w:spacing w:val="2"/>
          <w:lang w:eastAsia="es-CO"/>
        </w:rPr>
        <w:t>022.</w:t>
      </w:r>
    </w:p>
    <w:p w14:paraId="0E751ED4" w14:textId="716CE487" w:rsidR="003C5459" w:rsidRPr="00644B52" w:rsidRDefault="003C5459" w:rsidP="00572E9F">
      <w:pPr>
        <w:spacing w:after="120" w:line="276" w:lineRule="auto"/>
        <w:ind w:firstLine="708"/>
        <w:jc w:val="both"/>
        <w:rPr>
          <w:rFonts w:ascii="Arial" w:eastAsia="Calibri" w:hAnsi="Arial" w:cs="Arial"/>
          <w:lang w:val="es-ES_tradnl" w:eastAsia="en-GB"/>
        </w:rPr>
      </w:pPr>
      <w:proofErr w:type="spellStart"/>
      <w:r w:rsidRPr="00644B52">
        <w:rPr>
          <w:rFonts w:ascii="Arial" w:hAnsi="Arial" w:cs="Arial"/>
          <w:spacing w:val="2"/>
          <w:lang w:eastAsia="es-CO"/>
        </w:rPr>
        <w:t>xviii</w:t>
      </w:r>
      <w:proofErr w:type="spellEnd"/>
      <w:r w:rsidRPr="00644B52">
        <w:rPr>
          <w:rFonts w:ascii="Arial" w:hAnsi="Arial" w:cs="Arial"/>
          <w:spacing w:val="2"/>
          <w:lang w:eastAsia="es-CO"/>
        </w:rPr>
        <w:t xml:space="preserve">) </w:t>
      </w:r>
      <w:r w:rsidRPr="00644B52">
        <w:rPr>
          <w:rFonts w:ascii="Arial" w:eastAsia="Calibri" w:hAnsi="Arial" w:cs="Arial"/>
          <w:lang w:val="es-ES" w:eastAsia="es-ES"/>
        </w:rPr>
        <w:t xml:space="preserve">Documentos tipo para procesos de obra pública de infraestructura de transporte en la modalidad de mínima cuantía, que </w:t>
      </w:r>
      <w:r w:rsidRPr="00644B52">
        <w:rPr>
          <w:rFonts w:ascii="Arial" w:eastAsia="Times New Roman" w:hAnsi="Arial" w:cs="Arial"/>
          <w:lang w:val="es-ES_tradnl" w:eastAsia="en-GB"/>
        </w:rPr>
        <w:t xml:space="preserve">entran a regir a partir del 27 de febrero de 2023, de acuerdo con la Resolución </w:t>
      </w:r>
      <w:r w:rsidR="00966937" w:rsidRPr="00644B52">
        <w:rPr>
          <w:rFonts w:ascii="Arial" w:eastAsia="Times New Roman" w:hAnsi="Arial" w:cs="Arial"/>
          <w:lang w:val="es-ES_tradnl" w:eastAsia="en-GB"/>
        </w:rPr>
        <w:t xml:space="preserve">625 del </w:t>
      </w:r>
      <w:r w:rsidR="00C82B5C" w:rsidRPr="00644B52">
        <w:rPr>
          <w:rFonts w:ascii="Arial" w:eastAsia="Times New Roman" w:hAnsi="Arial" w:cs="Arial"/>
          <w:lang w:val="es-ES_tradnl" w:eastAsia="en-GB"/>
        </w:rPr>
        <w:t xml:space="preserve">16 de diciembre de 2022. </w:t>
      </w:r>
    </w:p>
    <w:p w14:paraId="7C7FC2CC" w14:textId="77777777" w:rsidR="00177417" w:rsidRPr="00644B52" w:rsidRDefault="00177417" w:rsidP="00572E9F">
      <w:pPr>
        <w:spacing w:before="120" w:after="0" w:line="276" w:lineRule="auto"/>
        <w:ind w:firstLine="709"/>
        <w:jc w:val="both"/>
        <w:rPr>
          <w:rFonts w:ascii="Arial" w:eastAsia="Calibri" w:hAnsi="Arial" w:cs="Arial"/>
          <w:lang w:val="es-ES" w:eastAsia="es-ES"/>
        </w:rPr>
      </w:pPr>
      <w:r w:rsidRPr="00644B52">
        <w:rPr>
          <w:rFonts w:ascii="Arial" w:eastAsia="Calibri" w:hAnsi="Arial" w:cs="Arial"/>
          <w:lang w:val="es-ES" w:eastAsia="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69DBD85F" w14:textId="77777777" w:rsidR="00D22E29" w:rsidRPr="00644B52" w:rsidRDefault="00D22E29" w:rsidP="00572E9F">
      <w:pPr>
        <w:spacing w:after="0" w:line="276" w:lineRule="auto"/>
        <w:ind w:firstLine="709"/>
        <w:contextualSpacing/>
        <w:jc w:val="both"/>
        <w:rPr>
          <w:rFonts w:ascii="Arial" w:eastAsia="Calibri" w:hAnsi="Arial" w:cs="Arial"/>
          <w:bCs/>
          <w:kern w:val="0"/>
          <w:lang w:eastAsia="es-MX"/>
          <w14:ligatures w14:val="none"/>
        </w:rPr>
      </w:pPr>
    </w:p>
    <w:p w14:paraId="637CC8FE" w14:textId="64B5419D" w:rsidR="00FE7770" w:rsidRPr="00644B52" w:rsidRDefault="00FE7770" w:rsidP="00572E9F">
      <w:pPr>
        <w:pStyle w:val="xmsonospacing"/>
        <w:spacing w:before="0" w:beforeAutospacing="0" w:after="0" w:afterAutospacing="0" w:line="276" w:lineRule="auto"/>
        <w:contextualSpacing/>
        <w:jc w:val="both"/>
        <w:rPr>
          <w:rFonts w:ascii="Arial" w:eastAsia="Calibri" w:hAnsi="Arial" w:cs="Arial"/>
          <w:b/>
          <w:bCs/>
          <w:sz w:val="22"/>
          <w:szCs w:val="22"/>
          <w:lang w:val="es-ES"/>
        </w:rPr>
      </w:pPr>
      <w:r w:rsidRPr="00644B52">
        <w:rPr>
          <w:rFonts w:ascii="Arial" w:hAnsi="Arial" w:cs="Arial"/>
          <w:b/>
          <w:bCs/>
          <w:sz w:val="22"/>
          <w:szCs w:val="22"/>
          <w:bdr w:val="none" w:sz="0" w:space="0" w:color="auto" w:frame="1"/>
        </w:rPr>
        <w:t xml:space="preserve">2.2. Ámbito de aplicación de los </w:t>
      </w:r>
      <w:r w:rsidR="002A5521" w:rsidRPr="00644B52">
        <w:rPr>
          <w:rFonts w:ascii="Arial" w:hAnsi="Arial" w:cs="Arial"/>
          <w:b/>
          <w:bCs/>
          <w:sz w:val="22"/>
          <w:szCs w:val="22"/>
          <w:bdr w:val="none" w:sz="0" w:space="0" w:color="auto" w:frame="1"/>
        </w:rPr>
        <w:t xml:space="preserve">documentos tipo </w:t>
      </w:r>
      <w:r w:rsidRPr="00644B52">
        <w:rPr>
          <w:rFonts w:ascii="Arial" w:eastAsia="Calibri" w:hAnsi="Arial" w:cs="Arial"/>
          <w:b/>
          <w:bCs/>
          <w:sz w:val="22"/>
          <w:szCs w:val="22"/>
          <w:lang w:val="es-ES"/>
        </w:rPr>
        <w:t>de consultoría de estudios de ingeniería de infraestructura de transporte</w:t>
      </w:r>
    </w:p>
    <w:p w14:paraId="45379C74" w14:textId="77777777" w:rsidR="00FE7770" w:rsidRPr="00644B52" w:rsidRDefault="00FE7770" w:rsidP="00572E9F">
      <w:pPr>
        <w:pStyle w:val="xmsonospacing"/>
        <w:spacing w:before="0" w:beforeAutospacing="0" w:after="0" w:afterAutospacing="0" w:line="276" w:lineRule="auto"/>
        <w:contextualSpacing/>
        <w:jc w:val="both"/>
        <w:rPr>
          <w:rFonts w:ascii="Arial" w:eastAsia="Calibri" w:hAnsi="Arial" w:cs="Arial"/>
          <w:b/>
          <w:bCs/>
          <w:sz w:val="22"/>
          <w:szCs w:val="22"/>
          <w:lang w:val="es-ES"/>
        </w:rPr>
      </w:pPr>
    </w:p>
    <w:p w14:paraId="0179E25D" w14:textId="2C5CB6BF" w:rsidR="00FE7770" w:rsidRPr="00644B52" w:rsidRDefault="00FE7770" w:rsidP="00572E9F">
      <w:pPr>
        <w:spacing w:after="120" w:line="276" w:lineRule="auto"/>
        <w:jc w:val="both"/>
        <w:rPr>
          <w:rFonts w:ascii="Arial" w:hAnsi="Arial" w:cs="Arial"/>
          <w:lang w:val="es-ES_tradnl"/>
        </w:rPr>
      </w:pPr>
      <w:r w:rsidRPr="00644B52">
        <w:rPr>
          <w:rFonts w:ascii="Arial" w:hAnsi="Arial" w:cs="Arial"/>
          <w:lang w:val="es-ES_tradnl"/>
        </w:rPr>
        <w:t>Como se indicó anteriormente, en ejercicio de la competencia otorgada por el artículo 1 de la Ley 2022 de 2020, la Agencia Nacional de Contratación Pública – Colombia Compra Eficiente expidió la Resolución No. 193 del 14 de julio de 2021, «Por la cual se adoptan los documentos tipo para los procesos de selección de concurso de méritos, para contratar la consultoría de estudios de ingeniería de infraestructura de transporte»</w:t>
      </w:r>
      <w:r w:rsidR="00B040D9" w:rsidRPr="00644B52">
        <w:rPr>
          <w:rFonts w:ascii="Arial" w:hAnsi="Arial" w:cs="Arial"/>
          <w:lang w:val="es-ES_tradnl"/>
        </w:rPr>
        <w:t xml:space="preserve">, la cual ha sido modificada por la </w:t>
      </w:r>
      <w:r w:rsidR="00BF6634" w:rsidRPr="00644B52">
        <w:rPr>
          <w:rFonts w:ascii="Arial" w:hAnsi="Arial" w:cs="Arial"/>
          <w:lang w:val="es-ES_tradnl"/>
        </w:rPr>
        <w:t xml:space="preserve">Resolución 304 de 2021 y </w:t>
      </w:r>
      <w:r w:rsidR="00B040D9" w:rsidRPr="00644B52">
        <w:rPr>
          <w:rFonts w:ascii="Arial" w:hAnsi="Arial" w:cs="Arial"/>
          <w:lang w:val="es-ES_tradnl"/>
        </w:rPr>
        <w:t xml:space="preserve">Resolución </w:t>
      </w:r>
      <w:r w:rsidR="00866120" w:rsidRPr="00644B52">
        <w:rPr>
          <w:rFonts w:ascii="Arial" w:hAnsi="Arial" w:cs="Arial"/>
          <w:lang w:val="es-ES_tradnl"/>
        </w:rPr>
        <w:t>275 de</w:t>
      </w:r>
      <w:r w:rsidR="00BF6634" w:rsidRPr="00644B52">
        <w:rPr>
          <w:rFonts w:ascii="Arial" w:hAnsi="Arial" w:cs="Arial"/>
          <w:lang w:val="es-ES_tradnl"/>
        </w:rPr>
        <w:t>l 28 de junio de</w:t>
      </w:r>
      <w:r w:rsidR="00866120" w:rsidRPr="00644B52">
        <w:rPr>
          <w:rFonts w:ascii="Arial" w:hAnsi="Arial" w:cs="Arial"/>
          <w:lang w:val="es-ES_tradnl"/>
        </w:rPr>
        <w:t xml:space="preserve"> 2022</w:t>
      </w:r>
      <w:r w:rsidRPr="00644B52">
        <w:rPr>
          <w:rFonts w:ascii="Arial" w:hAnsi="Arial" w:cs="Arial"/>
          <w:lang w:val="es-ES_tradnl"/>
        </w:rPr>
        <w:t>. El artículo 5 de dicha Resolución</w:t>
      </w:r>
      <w:r w:rsidR="00852C60" w:rsidRPr="00644B52">
        <w:rPr>
          <w:rFonts w:ascii="Arial" w:hAnsi="Arial" w:cs="Arial"/>
          <w:lang w:val="es-ES_tradnl"/>
        </w:rPr>
        <w:t xml:space="preserve"> 193 de 2021</w:t>
      </w:r>
      <w:r w:rsidRPr="00644B52">
        <w:rPr>
          <w:rFonts w:ascii="Arial" w:hAnsi="Arial" w:cs="Arial"/>
          <w:lang w:val="es-ES_tradnl"/>
        </w:rPr>
        <w:t xml:space="preserve"> dispuso que los documentos tipo que adoptó se deben aplicar «a los procedimientos de selección cuyo aviso de convocatoria se publique el 9 de agosto de 2021 o en una fecha posterior».</w:t>
      </w:r>
    </w:p>
    <w:p w14:paraId="3BEDC38E" w14:textId="77777777" w:rsidR="00FE7770" w:rsidRPr="00644B52" w:rsidRDefault="00FE7770" w:rsidP="00572E9F">
      <w:pPr>
        <w:spacing w:before="120" w:after="0" w:line="276" w:lineRule="auto"/>
        <w:ind w:firstLine="703"/>
        <w:jc w:val="both"/>
        <w:textAlignment w:val="baseline"/>
        <w:rPr>
          <w:rFonts w:ascii="Arial" w:hAnsi="Arial" w:cs="Arial"/>
          <w:lang w:val="es-MX" w:eastAsia="es-MX"/>
        </w:rPr>
      </w:pPr>
      <w:r w:rsidRPr="00644B52">
        <w:rPr>
          <w:rFonts w:ascii="Arial" w:eastAsia="Calibri" w:hAnsi="Arial" w:cs="Arial"/>
          <w:lang w:val="es-ES"/>
        </w:rPr>
        <w:t xml:space="preserve">Por tanto, el ámbito de aplicación de los Documentos Tipo adoptados por </w:t>
      </w:r>
      <w:r w:rsidRPr="00644B52">
        <w:rPr>
          <w:rFonts w:ascii="Arial" w:eastAsia="Calibri" w:hAnsi="Arial" w:cs="Arial"/>
          <w:lang w:val="es-ES" w:eastAsia="es-ES"/>
        </w:rPr>
        <w:t xml:space="preserve">Resolución 193 del 14 de julio de 2021 </w:t>
      </w:r>
      <w:r w:rsidRPr="00644B52">
        <w:rPr>
          <w:rFonts w:ascii="Arial" w:eastAsia="Calibri" w:hAnsi="Arial" w:cs="Arial"/>
          <w:lang w:val="es-ES"/>
        </w:rPr>
        <w:t xml:space="preserve">está determinado por los siguientes aspectos que deberá estudiar cada entidad estatal para definir si procede su aplicación obligatoria. En primer lugar, se deberá verificar si el proyecto a contratar corresponde a la ejecución de un contrato de consultoría. Para esto, se considera pertinente remitirse a la definición contenida en el numeral 2º del artículo 32 de la Ley 80 de 1993. Esta consagra lo siguiente: </w:t>
      </w:r>
    </w:p>
    <w:p w14:paraId="2B73FA27" w14:textId="77777777" w:rsidR="00FE7770" w:rsidRPr="00644B52" w:rsidRDefault="00FE7770" w:rsidP="00572E9F">
      <w:pPr>
        <w:pStyle w:val="xmsonospacing"/>
        <w:spacing w:before="0" w:beforeAutospacing="0" w:after="0" w:afterAutospacing="0" w:line="276" w:lineRule="auto"/>
        <w:ind w:left="709" w:right="709"/>
        <w:contextualSpacing/>
        <w:jc w:val="both"/>
        <w:rPr>
          <w:rFonts w:ascii="Arial" w:eastAsia="Calibri" w:hAnsi="Arial" w:cs="Arial"/>
          <w:b/>
          <w:bCs/>
          <w:sz w:val="22"/>
          <w:szCs w:val="22"/>
          <w:lang w:val="es-ES"/>
        </w:rPr>
      </w:pPr>
    </w:p>
    <w:p w14:paraId="1B5067C3" w14:textId="05A44C6F" w:rsidR="00FE7770" w:rsidRPr="00644B52" w:rsidRDefault="003B1B0B" w:rsidP="003B1B0B">
      <w:pPr>
        <w:pStyle w:val="xmsonospacing"/>
        <w:spacing w:before="0" w:beforeAutospacing="0" w:after="0" w:afterAutospacing="0"/>
        <w:ind w:left="709" w:right="709"/>
        <w:contextualSpacing/>
        <w:jc w:val="both"/>
        <w:rPr>
          <w:rFonts w:ascii="Arial" w:eastAsia="Calibri" w:hAnsi="Arial" w:cs="Arial"/>
          <w:sz w:val="21"/>
          <w:szCs w:val="21"/>
          <w:lang w:val="es-ES"/>
        </w:rPr>
      </w:pPr>
      <w:r w:rsidRPr="00647172">
        <w:rPr>
          <w:rFonts w:ascii="Arial" w:hAnsi="Arial" w:cs="Arial"/>
          <w:sz w:val="21"/>
          <w:szCs w:val="21"/>
          <w:lang w:eastAsia="es-ES_tradnl"/>
        </w:rPr>
        <w:t>«</w:t>
      </w:r>
      <w:r w:rsidR="00FE7770" w:rsidRPr="00644B52">
        <w:rPr>
          <w:rFonts w:ascii="Arial" w:eastAsia="Calibri" w:hAnsi="Arial" w:cs="Arial"/>
          <w:sz w:val="21"/>
          <w:szCs w:val="21"/>
          <w:lang w:val="es-ES"/>
        </w:rPr>
        <w:t>2o. Contrato de Consultoría.</w:t>
      </w:r>
    </w:p>
    <w:p w14:paraId="0B14FCE5" w14:textId="77777777" w:rsidR="003B1B0B" w:rsidRPr="00644B52" w:rsidRDefault="003B1B0B" w:rsidP="003B1B0B">
      <w:pPr>
        <w:pStyle w:val="xmsonospacing"/>
        <w:spacing w:before="0" w:beforeAutospacing="0" w:after="0" w:afterAutospacing="0"/>
        <w:ind w:left="709" w:right="709"/>
        <w:contextualSpacing/>
        <w:jc w:val="both"/>
        <w:rPr>
          <w:rFonts w:ascii="Arial" w:eastAsia="Calibri" w:hAnsi="Arial" w:cs="Arial"/>
          <w:sz w:val="21"/>
          <w:szCs w:val="21"/>
          <w:lang w:val="es-ES"/>
        </w:rPr>
      </w:pPr>
    </w:p>
    <w:p w14:paraId="76A96327" w14:textId="77777777" w:rsidR="00FE7770" w:rsidRPr="00644B52" w:rsidRDefault="00FE7770" w:rsidP="003B1B0B">
      <w:pPr>
        <w:pStyle w:val="xmsonospacing"/>
        <w:spacing w:before="0" w:beforeAutospacing="0" w:after="0" w:afterAutospacing="0"/>
        <w:ind w:left="709" w:right="709"/>
        <w:contextualSpacing/>
        <w:jc w:val="both"/>
        <w:rPr>
          <w:rFonts w:ascii="Arial" w:eastAsia="Calibri" w:hAnsi="Arial" w:cs="Arial"/>
          <w:sz w:val="21"/>
          <w:szCs w:val="21"/>
          <w:lang w:val="es-ES"/>
        </w:rPr>
      </w:pPr>
      <w:r w:rsidRPr="00644B52">
        <w:rPr>
          <w:rFonts w:ascii="Arial" w:eastAsia="Calibri" w:hAnsi="Arial" w:cs="Arial"/>
          <w:sz w:val="21"/>
          <w:szCs w:val="21"/>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972F7A7" w14:textId="77777777" w:rsidR="003B1B0B" w:rsidRPr="00644B52" w:rsidRDefault="003B1B0B" w:rsidP="003B1B0B">
      <w:pPr>
        <w:pStyle w:val="xmsonospacing"/>
        <w:spacing w:before="0" w:beforeAutospacing="0" w:after="0" w:afterAutospacing="0"/>
        <w:ind w:left="709" w:right="709"/>
        <w:contextualSpacing/>
        <w:jc w:val="both"/>
        <w:rPr>
          <w:rFonts w:ascii="Arial" w:eastAsia="Calibri" w:hAnsi="Arial" w:cs="Arial"/>
          <w:sz w:val="21"/>
          <w:szCs w:val="21"/>
          <w:lang w:val="es-ES"/>
        </w:rPr>
      </w:pPr>
    </w:p>
    <w:p w14:paraId="5B4DBBAA" w14:textId="3F368401" w:rsidR="00FE7770" w:rsidRPr="00644B52" w:rsidRDefault="00FE7770" w:rsidP="003B1B0B">
      <w:pPr>
        <w:pStyle w:val="xmsonospacing"/>
        <w:spacing w:before="0" w:beforeAutospacing="0" w:after="0" w:afterAutospacing="0"/>
        <w:ind w:left="709" w:right="709"/>
        <w:contextualSpacing/>
        <w:jc w:val="both"/>
        <w:rPr>
          <w:rFonts w:ascii="Arial" w:eastAsia="Calibri" w:hAnsi="Arial" w:cs="Arial"/>
          <w:sz w:val="21"/>
          <w:szCs w:val="21"/>
          <w:lang w:val="es-ES"/>
        </w:rPr>
      </w:pPr>
      <w:r w:rsidRPr="00644B52">
        <w:rPr>
          <w:rFonts w:ascii="Arial" w:eastAsia="Calibri" w:hAnsi="Arial" w:cs="Arial"/>
          <w:sz w:val="21"/>
          <w:szCs w:val="21"/>
          <w:lang w:val="es-ES"/>
        </w:rPr>
        <w:t>Son también contratos de consultoría los que tienen por objeto la interventoría, asesoría, gerencia de obra o de proyectos, dirección, programación y la ejecución de diseños, planos, anteproyectos y proyectos</w:t>
      </w:r>
      <w:r w:rsidR="003B1B0B" w:rsidRPr="00647172">
        <w:rPr>
          <w:rFonts w:ascii="Arial" w:hAnsi="Arial" w:cs="Arial"/>
          <w:sz w:val="21"/>
          <w:szCs w:val="21"/>
          <w:lang w:eastAsia="es-ES_tradnl"/>
        </w:rPr>
        <w:t>»</w:t>
      </w:r>
      <w:r w:rsidRPr="00644B52">
        <w:rPr>
          <w:rFonts w:ascii="Arial" w:eastAsia="Calibri" w:hAnsi="Arial" w:cs="Arial"/>
          <w:sz w:val="21"/>
          <w:szCs w:val="21"/>
          <w:lang w:val="es-ES"/>
        </w:rPr>
        <w:t>.</w:t>
      </w:r>
    </w:p>
    <w:p w14:paraId="50254332" w14:textId="77777777" w:rsidR="00FE7770" w:rsidRPr="00644B52" w:rsidRDefault="00FE7770" w:rsidP="00572E9F">
      <w:pPr>
        <w:pStyle w:val="xmsonospacing"/>
        <w:spacing w:before="0" w:beforeAutospacing="0" w:after="0" w:afterAutospacing="0" w:line="276" w:lineRule="auto"/>
        <w:ind w:left="709" w:right="709"/>
        <w:jc w:val="both"/>
        <w:rPr>
          <w:rFonts w:ascii="Arial" w:eastAsia="Calibri" w:hAnsi="Arial" w:cs="Arial"/>
          <w:sz w:val="22"/>
          <w:szCs w:val="22"/>
          <w:lang w:val="es-ES"/>
        </w:rPr>
      </w:pPr>
    </w:p>
    <w:p w14:paraId="408FB838" w14:textId="77777777" w:rsidR="00FE7770" w:rsidRPr="00644B52" w:rsidRDefault="00FE7770" w:rsidP="00372AC5">
      <w:pPr>
        <w:pStyle w:val="xmsonospacing"/>
        <w:spacing w:before="0" w:beforeAutospacing="0" w:after="120" w:afterAutospacing="0" w:line="276" w:lineRule="auto"/>
        <w:ind w:firstLine="709"/>
        <w:jc w:val="both"/>
        <w:rPr>
          <w:rFonts w:ascii="Arial" w:eastAsia="Calibri" w:hAnsi="Arial" w:cs="Arial"/>
          <w:bCs/>
          <w:sz w:val="22"/>
          <w:szCs w:val="22"/>
          <w:lang w:val="es-MX"/>
        </w:rPr>
      </w:pPr>
      <w:r w:rsidRPr="00644B52">
        <w:rPr>
          <w:rFonts w:ascii="Arial" w:eastAsia="Calibri" w:hAnsi="Arial" w:cs="Arial"/>
          <w:sz w:val="22"/>
          <w:szCs w:val="22"/>
          <w:lang w:val="es-ES"/>
        </w:rPr>
        <w:t xml:space="preserve">Como se observa de la norma, si las actividades a desarrollar corresponden, entre otras, a </w:t>
      </w:r>
      <w:r w:rsidRPr="00644B52">
        <w:rPr>
          <w:rFonts w:ascii="Arial" w:eastAsia="Calibri" w:hAnsi="Arial" w:cs="Arial"/>
          <w:sz w:val="22"/>
          <w:szCs w:val="22"/>
        </w:rPr>
        <w:t xml:space="preserve">la realización de estudios necesarios para la ejecución de proyectos de inversión, estudios de diagnóstico, prefactibilidad o factibilidad para programas o proyectos específicos, se estará ante un contrato de consultoría. En este punto, no sobra precisar </w:t>
      </w:r>
      <w:proofErr w:type="gramStart"/>
      <w:r w:rsidRPr="00644B52">
        <w:rPr>
          <w:rFonts w:ascii="Arial" w:eastAsia="Calibri" w:hAnsi="Arial" w:cs="Arial"/>
          <w:sz w:val="22"/>
          <w:szCs w:val="22"/>
        </w:rPr>
        <w:t>que</w:t>
      </w:r>
      <w:proofErr w:type="gramEnd"/>
      <w:r w:rsidRPr="00644B52">
        <w:rPr>
          <w:rFonts w:ascii="Arial" w:eastAsia="Calibri" w:hAnsi="Arial" w:cs="Arial"/>
          <w:sz w:val="22"/>
          <w:szCs w:val="22"/>
        </w:rPr>
        <w:t xml:space="preserve"> aunque la interventoría es una especie de contrato de consultoría, Colombia Compra Eficiente adoptó unos Documentos Tipo particulares para estos contratos mediante la Resolución 256 del 11 de diciembre de 2020. En consecuencia, si las actividades a desarrollar consisten «en el control, vigilancia, inspección y verificación del cumplimiento de una, varias o todas las obligaciones derivadas de un contrato celebrado por una entidad estatal, en nombre y representación de ella»</w:t>
      </w:r>
      <w:r w:rsidRPr="00644B52">
        <w:rPr>
          <w:rStyle w:val="Refdenotaalpie"/>
          <w:rFonts w:ascii="Arial" w:eastAsia="Calibri" w:hAnsi="Arial" w:cs="Arial"/>
          <w:sz w:val="22"/>
          <w:szCs w:val="22"/>
        </w:rPr>
        <w:footnoteReference w:id="7"/>
      </w:r>
      <w:r w:rsidRPr="00644B52">
        <w:rPr>
          <w:rFonts w:ascii="Arial" w:eastAsia="Calibri" w:hAnsi="Arial" w:cs="Arial"/>
          <w:sz w:val="22"/>
          <w:szCs w:val="22"/>
        </w:rPr>
        <w:t xml:space="preserve">, la entidad prescindirá del uso de los Documentos Tipo de consultoría, </w:t>
      </w:r>
      <w:proofErr w:type="gramStart"/>
      <w:r w:rsidRPr="00644B52">
        <w:rPr>
          <w:rFonts w:ascii="Arial" w:eastAsia="Calibri" w:hAnsi="Arial" w:cs="Arial"/>
          <w:sz w:val="22"/>
          <w:szCs w:val="22"/>
        </w:rPr>
        <w:t>y</w:t>
      </w:r>
      <w:proofErr w:type="gramEnd"/>
      <w:r w:rsidRPr="00644B52">
        <w:rPr>
          <w:rFonts w:ascii="Arial" w:eastAsia="Calibri" w:hAnsi="Arial" w:cs="Arial"/>
          <w:sz w:val="22"/>
          <w:szCs w:val="22"/>
        </w:rPr>
        <w:t xml:space="preserve"> por ende, deberá estudiar si los Documentos Tipo de </w:t>
      </w:r>
      <w:r w:rsidRPr="00644B52">
        <w:rPr>
          <w:rFonts w:ascii="Arial" w:eastAsia="Calibri" w:hAnsi="Arial" w:cs="Arial"/>
          <w:bCs/>
          <w:sz w:val="22"/>
          <w:szCs w:val="22"/>
          <w:lang w:val="es-MX"/>
        </w:rPr>
        <w:t>interventoría de obra pública de infraestructura de transporte son aplicables al proyecto a contratar.</w:t>
      </w:r>
    </w:p>
    <w:p w14:paraId="649B1B20" w14:textId="77777777" w:rsidR="00FE7770" w:rsidRPr="00644B52" w:rsidRDefault="00FE7770" w:rsidP="00372AC5">
      <w:pPr>
        <w:pStyle w:val="xmsonospacing"/>
        <w:spacing w:before="0" w:beforeAutospacing="0" w:after="120" w:afterAutospacing="0" w:line="276" w:lineRule="auto"/>
        <w:ind w:firstLine="709"/>
        <w:jc w:val="both"/>
        <w:rPr>
          <w:rFonts w:ascii="Arial" w:eastAsia="Calibri" w:hAnsi="Arial" w:cs="Arial"/>
          <w:bCs/>
          <w:sz w:val="22"/>
          <w:szCs w:val="22"/>
          <w:lang w:val="es-MX"/>
        </w:rPr>
      </w:pPr>
      <w:r w:rsidRPr="00644B52">
        <w:rPr>
          <w:rFonts w:ascii="Arial" w:eastAsia="Calibri" w:hAnsi="Arial" w:cs="Arial"/>
          <w:bCs/>
          <w:sz w:val="22"/>
          <w:szCs w:val="22"/>
          <w:lang w:val="es-MX"/>
        </w:rPr>
        <w:t xml:space="preserve">En segundo lugar, la Entidad Estatal debe analizar si la consultoría a contratar se relaciona con proyectos de infraestructura de transporte. Así, </w:t>
      </w:r>
      <w:r w:rsidRPr="00644B52">
        <w:rPr>
          <w:rFonts w:ascii="Arial" w:eastAsia="Calibri" w:hAnsi="Arial" w:cs="Arial"/>
          <w:sz w:val="22"/>
          <w:szCs w:val="22"/>
          <w:lang w:val="es-ES" w:eastAsia="en-GB"/>
        </w:rPr>
        <w:t xml:space="preserve">la Ley 1682 de 2013 es útil para determinar si se está ante una infraestructura de transporte o no. En efecto, el artículo 2 de la citada ley, definió la infraestructura de transporte como un «[…] sistema de movilidad integrado por un conjunto de bienes tangibles, intangibles y aquellos que se encuentren relacionados con este, el cual está bajo la vigilancia y control del Estado […]». Por su lado, el artículo 4 enumera los elementos que conforman el sistema de infraestructura de transporte. </w:t>
      </w:r>
    </w:p>
    <w:p w14:paraId="2D6C9236" w14:textId="20BC468B" w:rsidR="00FE7770" w:rsidRPr="00644B52" w:rsidRDefault="00FE7770" w:rsidP="00372AC5">
      <w:pPr>
        <w:pStyle w:val="xmsonospacing"/>
        <w:spacing w:before="0" w:beforeAutospacing="0" w:after="120" w:afterAutospacing="0" w:line="276" w:lineRule="auto"/>
        <w:ind w:firstLine="709"/>
        <w:jc w:val="both"/>
        <w:rPr>
          <w:rFonts w:ascii="Arial" w:eastAsia="Calibri" w:hAnsi="Arial" w:cs="Arial"/>
          <w:bCs/>
          <w:sz w:val="22"/>
          <w:szCs w:val="22"/>
          <w:lang w:val="es-MX"/>
        </w:rPr>
      </w:pPr>
      <w:r w:rsidRPr="00644B52">
        <w:rPr>
          <w:rFonts w:ascii="Arial" w:eastAsia="Calibri" w:hAnsi="Arial" w:cs="Arial"/>
          <w:sz w:val="22"/>
          <w:szCs w:val="22"/>
          <w:lang w:val="es-ES" w:eastAsia="en-GB"/>
        </w:rPr>
        <w:t xml:space="preserve">Bajo ese entendido, si el contrato de consultoría se relaciona con el sistema de infraestructura de transporte, la entidad estatal deberá analizar el aspecto que se va a explicar en el párrafo siguiente. Lo anterior teniendo en cuenta </w:t>
      </w:r>
      <w:r w:rsidR="00372AC5" w:rsidRPr="00644B52">
        <w:rPr>
          <w:rFonts w:ascii="Arial" w:eastAsia="Calibri" w:hAnsi="Arial" w:cs="Arial"/>
          <w:sz w:val="22"/>
          <w:szCs w:val="22"/>
          <w:lang w:val="es-ES" w:eastAsia="en-GB"/>
        </w:rPr>
        <w:t>que,</w:t>
      </w:r>
      <w:r w:rsidRPr="00644B52">
        <w:rPr>
          <w:rFonts w:ascii="Arial" w:eastAsia="Calibri" w:hAnsi="Arial" w:cs="Arial"/>
          <w:sz w:val="22"/>
          <w:szCs w:val="22"/>
          <w:lang w:val="es-ES" w:eastAsia="en-GB"/>
        </w:rPr>
        <w:t xml:space="preserve"> de no relacionarse con aquel, la entidad no se verá obligada a aplicar los Documentos Tipo adoptados </w:t>
      </w:r>
      <w:r w:rsidRPr="00644B52">
        <w:rPr>
          <w:rFonts w:ascii="Arial" w:eastAsia="Calibri" w:hAnsi="Arial" w:cs="Arial"/>
          <w:sz w:val="22"/>
          <w:szCs w:val="22"/>
          <w:lang w:val="es-ES"/>
        </w:rPr>
        <w:t xml:space="preserve">por la </w:t>
      </w:r>
      <w:r w:rsidRPr="00644B52">
        <w:rPr>
          <w:rFonts w:ascii="Arial" w:eastAsia="Calibri" w:hAnsi="Arial" w:cs="Arial"/>
          <w:sz w:val="22"/>
          <w:szCs w:val="22"/>
          <w:lang w:val="es-ES" w:eastAsia="es-ES"/>
        </w:rPr>
        <w:t>Resolución 193 del 14 de julio de 2021, pues su ámbito de aplicación se limita a proyectos de infraestructura de transporte.</w:t>
      </w:r>
    </w:p>
    <w:p w14:paraId="5B861144" w14:textId="77777777" w:rsidR="00912F62" w:rsidRPr="00644B52" w:rsidRDefault="00FE7770" w:rsidP="004A2035">
      <w:pPr>
        <w:pStyle w:val="xmsonospacing"/>
        <w:spacing w:before="120" w:beforeAutospacing="0" w:after="0" w:afterAutospacing="0" w:line="276" w:lineRule="auto"/>
        <w:ind w:firstLine="709"/>
        <w:contextualSpacing/>
        <w:jc w:val="both"/>
        <w:rPr>
          <w:rFonts w:ascii="Arial" w:hAnsi="Arial" w:cs="Arial"/>
          <w:sz w:val="22"/>
          <w:szCs w:val="22"/>
          <w:shd w:val="clear" w:color="auto" w:fill="FFFFFF"/>
          <w:lang w:val="es-ES"/>
        </w:rPr>
      </w:pPr>
      <w:r w:rsidRPr="00644B52">
        <w:rPr>
          <w:rFonts w:ascii="Arial" w:eastAsia="Calibri" w:hAnsi="Arial" w:cs="Arial"/>
          <w:sz w:val="22"/>
          <w:szCs w:val="22"/>
          <w:lang w:val="es-ES"/>
        </w:rPr>
        <w:t>De forma más precisa, p</w:t>
      </w:r>
      <w:r w:rsidRPr="00644B52">
        <w:rPr>
          <w:rFonts w:ascii="Arial" w:hAnsi="Arial" w:cs="Arial"/>
          <w:sz w:val="22"/>
          <w:szCs w:val="22"/>
          <w:shd w:val="clear" w:color="auto" w:fill="FFFFFF"/>
          <w:lang w:val="es-ES"/>
        </w:rPr>
        <w:t xml:space="preserve">ara determinar si la entidad regida por el EGCAP está obligada a aplicar los documentos tipo para la respectiva contratación, habrá que determinar si el objeto a contratar se encuadra dentro de los tipos de infraestructura y actividades establecidas dentro de la respectiva Matriz 1, documento que además estandariza los requisitos de experiencia exigibles para cada uno de los objetos </w:t>
      </w:r>
      <w:r w:rsidRPr="00644B52">
        <w:rPr>
          <w:rFonts w:ascii="Arial" w:hAnsi="Arial" w:cs="Arial"/>
          <w:sz w:val="22"/>
          <w:szCs w:val="22"/>
          <w:shd w:val="clear" w:color="auto" w:fill="FFFFFF"/>
          <w:lang w:val="es-ES"/>
        </w:rPr>
        <w:lastRenderedPageBreak/>
        <w:t>contractuales que deben contratarse aplicando Documentos Tipo</w:t>
      </w:r>
      <w:r w:rsidRPr="00644B52">
        <w:rPr>
          <w:rStyle w:val="Refdenotaalpie"/>
          <w:rFonts w:ascii="Arial" w:hAnsi="Arial" w:cs="Arial"/>
          <w:sz w:val="22"/>
          <w:szCs w:val="22"/>
          <w:shd w:val="clear" w:color="auto" w:fill="FFFFFF"/>
          <w:lang w:val="es-ES"/>
        </w:rPr>
        <w:footnoteReference w:id="8"/>
      </w:r>
      <w:r w:rsidRPr="00644B52">
        <w:rPr>
          <w:rFonts w:ascii="Arial" w:hAnsi="Arial" w:cs="Arial"/>
          <w:sz w:val="22"/>
          <w:szCs w:val="22"/>
          <w:shd w:val="clear" w:color="auto" w:fill="FFFFFF"/>
          <w:lang w:val="es-ES"/>
        </w:rPr>
        <w:t>. En tal sentido, la entidad asociará el objeto contractual a una de las «consultorías generales» relacionadas en la Matriz 1, y establecerá si las «actividades» a desarrollar corresponden a alguna de las señaladas para el correspondiente tipo de infraestructura. De estar contemplada la actividad a contratar en la Matriz 1, deberán emplearse los documentos tipo para el desarrollo del proceso de selección, y aplicarse los requisitos de experiencia establecidos para esta, de acuerdo con el rango en el que se encuentre la cuantía del proceso de contratación.</w:t>
      </w:r>
    </w:p>
    <w:p w14:paraId="7A78FA69" w14:textId="77777777" w:rsidR="004A2035" w:rsidRPr="00644B52" w:rsidRDefault="004A2035" w:rsidP="008224F6">
      <w:pPr>
        <w:pStyle w:val="xmsonospacing"/>
        <w:spacing w:before="0" w:beforeAutospacing="0" w:after="0" w:afterAutospacing="0" w:line="276" w:lineRule="auto"/>
        <w:contextualSpacing/>
        <w:jc w:val="both"/>
        <w:rPr>
          <w:rFonts w:ascii="Arial" w:hAnsi="Arial" w:cs="Arial"/>
          <w:sz w:val="22"/>
          <w:szCs w:val="22"/>
          <w:lang w:eastAsia="es-ES_tradnl"/>
        </w:rPr>
      </w:pPr>
    </w:p>
    <w:p w14:paraId="35D5E9D7" w14:textId="71148C55" w:rsidR="004A2035" w:rsidRPr="00644B52" w:rsidRDefault="004A2035" w:rsidP="008224F6">
      <w:pPr>
        <w:pStyle w:val="xmsonospacing"/>
        <w:spacing w:before="0" w:beforeAutospacing="0" w:after="0" w:afterAutospacing="0" w:line="276" w:lineRule="auto"/>
        <w:contextualSpacing/>
        <w:jc w:val="both"/>
        <w:rPr>
          <w:rFonts w:ascii="Arial" w:hAnsi="Arial" w:cs="Arial"/>
          <w:b/>
          <w:bCs/>
          <w:sz w:val="22"/>
          <w:szCs w:val="22"/>
          <w:lang w:eastAsia="es-ES_tradnl"/>
        </w:rPr>
      </w:pPr>
      <w:r w:rsidRPr="00644B52">
        <w:rPr>
          <w:rFonts w:ascii="Arial" w:hAnsi="Arial" w:cs="Arial"/>
          <w:b/>
          <w:bCs/>
          <w:sz w:val="22"/>
          <w:szCs w:val="22"/>
          <w:lang w:eastAsia="es-ES_tradnl"/>
        </w:rPr>
        <w:t xml:space="preserve">2.3. Análisis del literal </w:t>
      </w:r>
      <w:r w:rsidR="00A3778C" w:rsidRPr="00644B52">
        <w:rPr>
          <w:rFonts w:ascii="Arial" w:hAnsi="Arial" w:cs="Arial"/>
          <w:b/>
          <w:bCs/>
          <w:sz w:val="22"/>
          <w:szCs w:val="22"/>
          <w:lang w:eastAsia="es-ES_tradnl"/>
        </w:rPr>
        <w:t xml:space="preserve">K) del numeral 10.1.2. de </w:t>
      </w:r>
      <w:r w:rsidR="007C1451" w:rsidRPr="00644B52">
        <w:rPr>
          <w:rFonts w:ascii="Arial" w:hAnsi="Arial" w:cs="Arial"/>
          <w:b/>
          <w:bCs/>
          <w:sz w:val="22"/>
          <w:szCs w:val="22"/>
          <w:lang w:val="es-ES_tradnl"/>
        </w:rPr>
        <w:t>los documentos tipo para los procesos de selección de concurso de méritos, para contratar la consultoría de estudios de ingeniería de infraestructura de transporte</w:t>
      </w:r>
    </w:p>
    <w:p w14:paraId="38A77694" w14:textId="77777777" w:rsidR="004A2035" w:rsidRPr="00644B52" w:rsidRDefault="004A2035" w:rsidP="008224F6">
      <w:pPr>
        <w:pStyle w:val="xmsonospacing"/>
        <w:spacing w:before="0" w:beforeAutospacing="0" w:after="0" w:afterAutospacing="0" w:line="276" w:lineRule="auto"/>
        <w:contextualSpacing/>
        <w:jc w:val="both"/>
        <w:rPr>
          <w:rFonts w:ascii="Arial" w:hAnsi="Arial" w:cs="Arial"/>
          <w:sz w:val="22"/>
          <w:szCs w:val="22"/>
          <w:lang w:eastAsia="es-ES_tradnl"/>
        </w:rPr>
      </w:pPr>
    </w:p>
    <w:p w14:paraId="684B74C4" w14:textId="2069EF2F" w:rsidR="0025050C" w:rsidRPr="00644B52" w:rsidRDefault="00222800" w:rsidP="008224F6">
      <w:pPr>
        <w:pStyle w:val="xmsonospacing"/>
        <w:spacing w:before="0" w:beforeAutospacing="0" w:after="0" w:afterAutospacing="0" w:line="276" w:lineRule="auto"/>
        <w:contextualSpacing/>
        <w:jc w:val="both"/>
        <w:rPr>
          <w:rFonts w:ascii="Arial" w:hAnsi="Arial" w:cs="Arial"/>
          <w:sz w:val="22"/>
          <w:szCs w:val="22"/>
        </w:rPr>
      </w:pPr>
      <w:r w:rsidRPr="00644B52">
        <w:rPr>
          <w:rFonts w:ascii="Arial" w:hAnsi="Arial" w:cs="Arial"/>
          <w:sz w:val="22"/>
          <w:szCs w:val="22"/>
          <w:lang w:eastAsia="es-ES_tradnl"/>
        </w:rPr>
        <w:t>En atención a la consulta planteada, resulta relevante poner a consideración que</w:t>
      </w:r>
      <w:r w:rsidR="006A2F00" w:rsidRPr="00644B52">
        <w:rPr>
          <w:rFonts w:ascii="Arial" w:hAnsi="Arial" w:cs="Arial"/>
          <w:sz w:val="22"/>
          <w:szCs w:val="22"/>
          <w:lang w:eastAsia="es-ES_tradnl"/>
        </w:rPr>
        <w:t>, mediante la Resolución 193 del 14 de julio de 2021, se adoptó la primera v</w:t>
      </w:r>
      <w:r w:rsidRPr="00644B52">
        <w:rPr>
          <w:rFonts w:ascii="Arial" w:hAnsi="Arial" w:cs="Arial"/>
          <w:sz w:val="22"/>
          <w:szCs w:val="22"/>
          <w:lang w:eastAsia="es-ES_tradnl"/>
        </w:rPr>
        <w:t>ersión de los documentos tipo de</w:t>
      </w:r>
      <w:r w:rsidR="004163CD" w:rsidRPr="00644B52">
        <w:rPr>
          <w:rFonts w:ascii="Arial" w:hAnsi="Arial" w:cs="Arial"/>
          <w:sz w:val="22"/>
          <w:szCs w:val="22"/>
          <w:lang w:eastAsia="es-ES_tradnl"/>
        </w:rPr>
        <w:t xml:space="preserve"> </w:t>
      </w:r>
      <w:bookmarkStart w:id="2" w:name="_Toc77230809"/>
      <w:r w:rsidR="009C639E" w:rsidRPr="00644B52">
        <w:rPr>
          <w:rFonts w:ascii="Arial" w:hAnsi="Arial" w:cs="Arial"/>
          <w:sz w:val="22"/>
          <w:szCs w:val="22"/>
          <w:lang w:val="es-ES_tradnl"/>
        </w:rPr>
        <w:t>consultoría de estudios de ingeniería de infraestructura de transporte</w:t>
      </w:r>
      <w:r w:rsidR="009C639E" w:rsidRPr="00644B52">
        <w:rPr>
          <w:rFonts w:ascii="Arial" w:hAnsi="Arial" w:cs="Arial"/>
          <w:sz w:val="22"/>
          <w:szCs w:val="22"/>
          <w:lang w:eastAsia="es-ES_tradnl"/>
        </w:rPr>
        <w:t>. E</w:t>
      </w:r>
      <w:r w:rsidR="0025050C" w:rsidRPr="00644B52">
        <w:rPr>
          <w:rFonts w:ascii="Arial" w:hAnsi="Arial" w:cs="Arial"/>
          <w:sz w:val="22"/>
          <w:szCs w:val="22"/>
          <w:lang w:eastAsia="es-ES_tradnl"/>
        </w:rPr>
        <w:t>n el numeral 10.1.</w:t>
      </w:r>
      <w:r w:rsidR="00912F62" w:rsidRPr="00644B52">
        <w:rPr>
          <w:rFonts w:ascii="Arial" w:hAnsi="Arial" w:cs="Arial"/>
          <w:sz w:val="22"/>
          <w:szCs w:val="22"/>
          <w:lang w:eastAsia="es-ES_tradnl"/>
        </w:rPr>
        <w:t>2</w:t>
      </w:r>
      <w:r w:rsidR="0025050C" w:rsidRPr="00644B52">
        <w:rPr>
          <w:rFonts w:ascii="Arial" w:hAnsi="Arial" w:cs="Arial"/>
          <w:sz w:val="22"/>
          <w:szCs w:val="22"/>
          <w:lang w:eastAsia="es-ES_tradnl"/>
        </w:rPr>
        <w:t>.</w:t>
      </w:r>
      <w:bookmarkStart w:id="3" w:name="_Toc77230810"/>
      <w:r w:rsidR="002A4DEC" w:rsidRPr="00644B52">
        <w:rPr>
          <w:rFonts w:ascii="Arial" w:hAnsi="Arial" w:cs="Arial"/>
          <w:sz w:val="22"/>
          <w:szCs w:val="22"/>
          <w:lang w:eastAsia="es-ES_tradnl"/>
        </w:rPr>
        <w:t xml:space="preserve"> </w:t>
      </w:r>
      <w:r w:rsidR="002A4DEC" w:rsidRPr="00647172">
        <w:rPr>
          <w:rFonts w:ascii="Arial" w:hAnsi="Arial" w:cs="Arial"/>
          <w:sz w:val="22"/>
          <w:szCs w:val="22"/>
          <w:lang w:eastAsia="es-ES_tradnl"/>
        </w:rPr>
        <w:t>«</w:t>
      </w:r>
      <w:r w:rsidR="002A4DEC" w:rsidRPr="00644B52">
        <w:rPr>
          <w:rFonts w:ascii="Arial" w:hAnsi="Arial" w:cs="Arial"/>
          <w:sz w:val="22"/>
          <w:szCs w:val="22"/>
        </w:rPr>
        <w:t>Consideraciones para la validez de la experiencia del proponente</w:t>
      </w:r>
      <w:bookmarkEnd w:id="3"/>
      <w:r w:rsidR="002A4DEC" w:rsidRPr="00647172">
        <w:rPr>
          <w:rFonts w:ascii="Arial" w:hAnsi="Arial" w:cs="Arial"/>
          <w:sz w:val="22"/>
          <w:szCs w:val="22"/>
          <w:lang w:eastAsia="es-ES_tradnl"/>
        </w:rPr>
        <w:t>»</w:t>
      </w:r>
      <w:r w:rsidR="004163CD" w:rsidRPr="00644B52">
        <w:rPr>
          <w:rFonts w:ascii="Arial" w:hAnsi="Arial" w:cs="Arial"/>
          <w:sz w:val="22"/>
          <w:szCs w:val="22"/>
          <w:lang w:eastAsia="es-ES_tradnl"/>
        </w:rPr>
        <w:t xml:space="preserve"> literal </w:t>
      </w:r>
      <w:r w:rsidR="004A4526" w:rsidRPr="00644B52">
        <w:rPr>
          <w:rFonts w:ascii="Arial" w:hAnsi="Arial" w:cs="Arial"/>
          <w:sz w:val="22"/>
          <w:szCs w:val="22"/>
          <w:lang w:eastAsia="es-ES_tradnl"/>
        </w:rPr>
        <w:t>K</w:t>
      </w:r>
      <w:bookmarkEnd w:id="2"/>
      <w:r w:rsidR="000953A8" w:rsidRPr="00644B52">
        <w:rPr>
          <w:rFonts w:ascii="Arial" w:hAnsi="Arial" w:cs="Arial"/>
          <w:sz w:val="22"/>
          <w:szCs w:val="22"/>
          <w:lang w:eastAsia="es-ES_tradnl"/>
        </w:rPr>
        <w:t>)</w:t>
      </w:r>
      <w:r w:rsidR="00BF5C37" w:rsidRPr="00644B52">
        <w:rPr>
          <w:rFonts w:ascii="Arial" w:hAnsi="Arial" w:cs="Arial"/>
          <w:sz w:val="22"/>
          <w:szCs w:val="22"/>
        </w:rPr>
        <w:t xml:space="preserve">, </w:t>
      </w:r>
      <w:r w:rsidR="00943FA6" w:rsidRPr="00644B52">
        <w:rPr>
          <w:rFonts w:ascii="Arial" w:hAnsi="Arial" w:cs="Arial"/>
          <w:sz w:val="22"/>
          <w:szCs w:val="22"/>
        </w:rPr>
        <w:t xml:space="preserve">se establecía lo siguiente: </w:t>
      </w:r>
    </w:p>
    <w:p w14:paraId="6A8673DB" w14:textId="43178A86" w:rsidR="00943FA6" w:rsidRPr="00644B52" w:rsidRDefault="00943FA6" w:rsidP="008224F6">
      <w:pPr>
        <w:spacing w:after="0" w:line="276" w:lineRule="auto"/>
        <w:ind w:firstLine="708"/>
        <w:contextualSpacing/>
      </w:pPr>
    </w:p>
    <w:p w14:paraId="439ED0C1" w14:textId="281953DB" w:rsidR="0028244F" w:rsidRPr="0025375F" w:rsidRDefault="002A4DEC" w:rsidP="000953A8">
      <w:pPr>
        <w:pStyle w:val="Prrafodelista"/>
        <w:ind w:left="709" w:right="709"/>
        <w:rPr>
          <w:sz w:val="21"/>
          <w:szCs w:val="21"/>
          <w:lang w:val="es-CO"/>
        </w:rPr>
      </w:pPr>
      <w:r w:rsidRPr="0025375F">
        <w:rPr>
          <w:rFonts w:eastAsia="Times New Roman"/>
          <w:kern w:val="0"/>
          <w:sz w:val="21"/>
          <w:szCs w:val="21"/>
          <w:lang w:eastAsia="es-ES_tradnl"/>
          <w14:ligatures w14:val="none"/>
        </w:rPr>
        <w:t>«</w:t>
      </w:r>
      <w:r w:rsidR="0028244F" w:rsidRPr="0025375F">
        <w:rPr>
          <w:sz w:val="21"/>
          <w:szCs w:val="21"/>
          <w:lang w:val="es-CO"/>
        </w:rPr>
        <w:t xml:space="preserve">Cuando el contrato que se pretende acreditar como experiencia contiene varias actividades, de las cuales solo algunas se ajustan a lo exigido por la “Matriz 1 – Experiencia” asociado con actividades de consultoría, la Entidad deberá descontar los valores del contrato, dimensiones y magnitudes relacionadas con las actividades que se encuentran por fuera del requisito de experiencia a través de los documentos válidos aportados. </w:t>
      </w:r>
    </w:p>
    <w:p w14:paraId="3EBB532E" w14:textId="77777777" w:rsidR="0028244F" w:rsidRPr="0025375F" w:rsidRDefault="0028244F" w:rsidP="000953A8">
      <w:pPr>
        <w:pStyle w:val="Prrafodelista"/>
        <w:ind w:left="709" w:right="709"/>
        <w:rPr>
          <w:sz w:val="21"/>
          <w:szCs w:val="21"/>
          <w:lang w:val="es-CO"/>
        </w:rPr>
      </w:pPr>
    </w:p>
    <w:p w14:paraId="3372E819" w14:textId="6AA6EBE0" w:rsidR="0028244F" w:rsidRPr="0025375F" w:rsidRDefault="0028244F" w:rsidP="000953A8">
      <w:pPr>
        <w:pStyle w:val="Prrafodelista"/>
        <w:ind w:left="709" w:right="709"/>
        <w:rPr>
          <w:sz w:val="21"/>
          <w:szCs w:val="21"/>
          <w:lang w:val="es-CO"/>
        </w:rPr>
      </w:pPr>
      <w:r w:rsidRPr="0025375F">
        <w:rPr>
          <w:sz w:val="21"/>
          <w:szCs w:val="21"/>
          <w:lang w:val="es-CO"/>
        </w:rPr>
        <w:t>En el caso que no sea posible identificar el valor de las actividades correspondientes a través de los documentos válidos aportados, la Entidad tendrá en cuenta únicamente el diez (10%) del valor total del contrato aportado conforme a la suma registrada en el RUP. En este sentido, la Entidad no requerirá al oferente para la subsanación de la información solicitada</w:t>
      </w:r>
      <w:r w:rsidR="002A4DEC" w:rsidRPr="0025375F">
        <w:rPr>
          <w:rFonts w:eastAsia="Times New Roman"/>
          <w:kern w:val="0"/>
          <w:sz w:val="21"/>
          <w:szCs w:val="21"/>
          <w:lang w:eastAsia="es-ES_tradnl"/>
          <w14:ligatures w14:val="none"/>
        </w:rPr>
        <w:t>»</w:t>
      </w:r>
      <w:r w:rsidRPr="0025375F">
        <w:rPr>
          <w:sz w:val="21"/>
          <w:szCs w:val="21"/>
          <w:lang w:val="es-CO"/>
        </w:rPr>
        <w:t xml:space="preserve">. </w:t>
      </w:r>
    </w:p>
    <w:p w14:paraId="792A1B15" w14:textId="77777777" w:rsidR="00943FA6" w:rsidRPr="00644B52" w:rsidRDefault="00943FA6" w:rsidP="0025375F">
      <w:pPr>
        <w:spacing w:after="0" w:line="276" w:lineRule="auto"/>
        <w:ind w:firstLine="708"/>
        <w:contextualSpacing/>
        <w:rPr>
          <w:rFonts w:ascii="Arial" w:eastAsia="Times New Roman" w:hAnsi="Arial" w:cs="Arial"/>
          <w:b/>
          <w:bCs/>
          <w:kern w:val="0"/>
          <w:lang w:eastAsia="es-ES_tradnl"/>
          <w14:ligatures w14:val="none"/>
        </w:rPr>
      </w:pPr>
    </w:p>
    <w:p w14:paraId="22298FAA" w14:textId="31A23323" w:rsidR="00B51491" w:rsidRPr="00644B52" w:rsidRDefault="00B51491" w:rsidP="0025375F">
      <w:pPr>
        <w:spacing w:after="0" w:line="276" w:lineRule="auto"/>
        <w:ind w:firstLine="708"/>
        <w:contextualSpacing/>
        <w:jc w:val="both"/>
        <w:rPr>
          <w:rFonts w:ascii="Arial" w:eastAsia="Times New Roman" w:hAnsi="Arial" w:cs="Arial"/>
          <w:kern w:val="0"/>
          <w:lang w:eastAsia="es-ES_tradnl"/>
          <w14:ligatures w14:val="none"/>
        </w:rPr>
      </w:pPr>
      <w:r w:rsidRPr="00644B52">
        <w:rPr>
          <w:rFonts w:ascii="Arial" w:eastAsia="Times New Roman" w:hAnsi="Arial" w:cs="Arial"/>
          <w:kern w:val="0"/>
          <w:lang w:eastAsia="es-ES_tradnl"/>
          <w14:ligatures w14:val="none"/>
        </w:rPr>
        <w:t xml:space="preserve">Ahora bien, </w:t>
      </w:r>
      <w:r w:rsidR="00182E70" w:rsidRPr="00644B52">
        <w:rPr>
          <w:rFonts w:ascii="Arial" w:eastAsia="Times New Roman" w:hAnsi="Arial" w:cs="Arial"/>
          <w:kern w:val="0"/>
          <w:lang w:eastAsia="es-ES_tradnl"/>
          <w14:ligatures w14:val="none"/>
        </w:rPr>
        <w:t xml:space="preserve">en los documentos tipo de </w:t>
      </w:r>
      <w:r w:rsidR="00182E70" w:rsidRPr="00644B52">
        <w:rPr>
          <w:rFonts w:ascii="Arial" w:hAnsi="Arial" w:cs="Arial"/>
          <w:lang w:val="es-ES_tradnl"/>
        </w:rPr>
        <w:t xml:space="preserve">consultoría de estudios de ingeniería de infraestructura de transporte - </w:t>
      </w:r>
      <w:r w:rsidR="00182E70" w:rsidRPr="00644B52">
        <w:rPr>
          <w:rFonts w:ascii="Arial" w:eastAsia="Times New Roman" w:hAnsi="Arial" w:cs="Arial"/>
          <w:kern w:val="0"/>
          <w:lang w:eastAsia="es-ES_tradnl"/>
          <w14:ligatures w14:val="none"/>
        </w:rPr>
        <w:t>versión 2, modificación que fue adoptada</w:t>
      </w:r>
      <w:r w:rsidR="004B2614" w:rsidRPr="00644B52">
        <w:rPr>
          <w:rFonts w:ascii="Arial" w:eastAsia="Times New Roman" w:hAnsi="Arial" w:cs="Arial"/>
          <w:kern w:val="0"/>
          <w:lang w:eastAsia="es-ES_tradnl"/>
          <w14:ligatures w14:val="none"/>
        </w:rPr>
        <w:t xml:space="preserve"> </w:t>
      </w:r>
      <w:r w:rsidR="003F72D6" w:rsidRPr="00644B52">
        <w:rPr>
          <w:rFonts w:ascii="Arial" w:eastAsia="Times New Roman" w:hAnsi="Arial" w:cs="Arial"/>
          <w:kern w:val="0"/>
          <w:lang w:eastAsia="es-ES_tradnl"/>
          <w14:ligatures w14:val="none"/>
        </w:rPr>
        <w:t>mediante la Resolució</w:t>
      </w:r>
      <w:r w:rsidR="004B2614" w:rsidRPr="00644B52">
        <w:rPr>
          <w:rFonts w:ascii="Arial" w:eastAsia="Times New Roman" w:hAnsi="Arial" w:cs="Arial"/>
          <w:kern w:val="0"/>
          <w:lang w:eastAsia="es-ES_tradnl"/>
          <w14:ligatures w14:val="none"/>
        </w:rPr>
        <w:t xml:space="preserve">n 304 del 2021, vigentes a partir del 2 de noviembre 2021, en el </w:t>
      </w:r>
      <w:r w:rsidR="000953A8" w:rsidRPr="00644B52">
        <w:rPr>
          <w:rFonts w:ascii="Arial" w:eastAsia="Times New Roman" w:hAnsi="Arial" w:cs="Arial"/>
          <w:kern w:val="0"/>
          <w:lang w:eastAsia="es-ES_tradnl"/>
          <w14:ligatures w14:val="none"/>
        </w:rPr>
        <w:t xml:space="preserve">mismo </w:t>
      </w:r>
      <w:r w:rsidR="004B2614" w:rsidRPr="00644B52">
        <w:rPr>
          <w:rFonts w:ascii="Arial" w:eastAsia="Times New Roman" w:hAnsi="Arial" w:cs="Arial"/>
          <w:kern w:val="0"/>
          <w:lang w:eastAsia="es-ES_tradnl"/>
          <w14:ligatures w14:val="none"/>
        </w:rPr>
        <w:t xml:space="preserve">literal </w:t>
      </w:r>
      <w:r w:rsidR="000953A8" w:rsidRPr="00644B52">
        <w:rPr>
          <w:rFonts w:ascii="Arial" w:eastAsia="Times New Roman" w:hAnsi="Arial" w:cs="Arial"/>
          <w:kern w:val="0"/>
          <w:lang w:eastAsia="es-ES_tradnl"/>
          <w14:ligatures w14:val="none"/>
        </w:rPr>
        <w:t>K)</w:t>
      </w:r>
      <w:r w:rsidR="004B2614" w:rsidRPr="00644B52">
        <w:rPr>
          <w:rFonts w:ascii="Arial" w:eastAsia="Times New Roman" w:hAnsi="Arial" w:cs="Arial"/>
          <w:kern w:val="0"/>
          <w:lang w:eastAsia="es-ES_tradnl"/>
          <w14:ligatures w14:val="none"/>
        </w:rPr>
        <w:t xml:space="preserve"> del numeral 10.1.2. </w:t>
      </w:r>
      <w:r w:rsidR="004B2614" w:rsidRPr="00644B52">
        <w:rPr>
          <w:rFonts w:ascii="Arial" w:hAnsi="Arial" w:cs="Arial"/>
        </w:rPr>
        <w:t>se dispuso</w:t>
      </w:r>
      <w:r w:rsidR="000953A8" w:rsidRPr="00644B52">
        <w:rPr>
          <w:rFonts w:ascii="Arial" w:hAnsi="Arial" w:cs="Arial"/>
        </w:rPr>
        <w:t>:</w:t>
      </w:r>
    </w:p>
    <w:p w14:paraId="526D3151" w14:textId="4209C997" w:rsidR="00287BAC" w:rsidRPr="00644B52" w:rsidRDefault="00287BAC" w:rsidP="0025375F">
      <w:pPr>
        <w:spacing w:after="0" w:line="276" w:lineRule="auto"/>
        <w:contextualSpacing/>
        <w:rPr>
          <w:rFonts w:ascii="Arial" w:eastAsia="Times New Roman" w:hAnsi="Arial" w:cs="Arial"/>
          <w:b/>
          <w:bCs/>
          <w:kern w:val="0"/>
          <w:lang w:eastAsia="es-ES_tradnl"/>
          <w14:ligatures w14:val="none"/>
        </w:rPr>
      </w:pPr>
    </w:p>
    <w:p w14:paraId="461AD740" w14:textId="14BB8CA7" w:rsidR="00287BAC" w:rsidRPr="00644B52" w:rsidRDefault="000953A8" w:rsidP="002828C5">
      <w:pPr>
        <w:pStyle w:val="Prrafodelista"/>
        <w:ind w:left="709" w:right="709"/>
        <w:rPr>
          <w:sz w:val="21"/>
          <w:szCs w:val="21"/>
          <w:lang w:val="es-CO"/>
        </w:rPr>
      </w:pPr>
      <w:r w:rsidRPr="00647172">
        <w:rPr>
          <w:rFonts w:eastAsia="Times New Roman"/>
          <w:kern w:val="0"/>
          <w:sz w:val="21"/>
          <w:szCs w:val="21"/>
          <w:lang w:eastAsia="es-ES_tradnl"/>
          <w14:ligatures w14:val="none"/>
        </w:rPr>
        <w:t>«</w:t>
      </w:r>
      <w:r w:rsidR="00287BAC" w:rsidRPr="00644B52">
        <w:rPr>
          <w:sz w:val="21"/>
          <w:szCs w:val="21"/>
          <w:lang w:val="es-CO"/>
        </w:rPr>
        <w:t>En los contratos aportados como experiencia que contengan actividades ejecutadas de obra y de consultoría de estudios y diseños, la Entidad Estatal solo tendrá en cuenta los valores ejecutados relacionados con la consultoría de estudios de ingeniería de infraestructura de transporte.</w:t>
      </w:r>
    </w:p>
    <w:p w14:paraId="0EC07D1B" w14:textId="77777777" w:rsidR="00287BAC" w:rsidRPr="00644B52" w:rsidRDefault="00287BAC" w:rsidP="002828C5">
      <w:pPr>
        <w:pStyle w:val="Prrafodelista"/>
        <w:ind w:left="709" w:right="709"/>
        <w:rPr>
          <w:sz w:val="21"/>
          <w:szCs w:val="21"/>
          <w:lang w:val="es-CO"/>
        </w:rPr>
      </w:pPr>
    </w:p>
    <w:p w14:paraId="098C39E5" w14:textId="0C37FF56" w:rsidR="00287BAC" w:rsidRPr="00644B52" w:rsidRDefault="00287BAC" w:rsidP="002828C5">
      <w:pPr>
        <w:pStyle w:val="Prrafodelista"/>
        <w:ind w:left="709" w:right="709"/>
        <w:rPr>
          <w:sz w:val="21"/>
          <w:szCs w:val="21"/>
          <w:lang w:val="es-CO"/>
        </w:rPr>
      </w:pPr>
      <w:r w:rsidRPr="00644B52">
        <w:rPr>
          <w:sz w:val="21"/>
          <w:szCs w:val="21"/>
          <w:lang w:val="es-CO"/>
        </w:rPr>
        <w:t>Para estos efectos, el oferente deberá acreditar los valores ejecutados dentro del respectivo contrato correspondientes a la consultoría, empleando alguno de los documentos válidos establecidos en el numeral 10.1.5 del Pliego de Condiciones. En los casos en que el proponente no cumpla esta exigencia, la Entidad Estatal permitirá la subsanación, en los términos del numeral 1.6 del Pliego de Condiciones, requiriendo al Proponente para que acredite los valores ejecutados. En caso de que el Proponente subsane, en relación con este contrato se aplicará lo dispuesto en el literal A) del numeral 4.1 del Pliego de Condiciones. De no lograrse la discriminación de los valores ejecutados en el marco del respectivo contrato, la Entidad Estatal no lo tendrá en cuenta para la evaluación</w:t>
      </w:r>
      <w:r w:rsidR="000953A8" w:rsidRPr="00647172">
        <w:rPr>
          <w:rFonts w:eastAsia="Times New Roman"/>
          <w:kern w:val="0"/>
          <w:sz w:val="21"/>
          <w:szCs w:val="21"/>
          <w:lang w:eastAsia="es-ES_tradnl"/>
          <w14:ligatures w14:val="none"/>
        </w:rPr>
        <w:t>»</w:t>
      </w:r>
      <w:r w:rsidRPr="00644B52">
        <w:rPr>
          <w:sz w:val="21"/>
          <w:szCs w:val="21"/>
          <w:lang w:val="es-CO"/>
        </w:rPr>
        <w:t>.</w:t>
      </w:r>
    </w:p>
    <w:p w14:paraId="4E6D3E8B" w14:textId="77777777" w:rsidR="00BE785C" w:rsidRPr="00644B52" w:rsidRDefault="00BE785C" w:rsidP="005517AF">
      <w:pPr>
        <w:spacing w:after="0" w:line="276" w:lineRule="auto"/>
        <w:ind w:firstLine="708"/>
        <w:contextualSpacing/>
        <w:rPr>
          <w:rFonts w:ascii="Arial" w:eastAsia="Times New Roman" w:hAnsi="Arial" w:cs="Arial"/>
          <w:b/>
          <w:bCs/>
          <w:kern w:val="0"/>
          <w:lang w:eastAsia="es-ES_tradnl"/>
          <w14:ligatures w14:val="none"/>
        </w:rPr>
      </w:pPr>
    </w:p>
    <w:p w14:paraId="4DD04134" w14:textId="419055F5" w:rsidR="0076023D" w:rsidRDefault="0076023D" w:rsidP="005517AF">
      <w:pPr>
        <w:spacing w:after="120" w:line="276" w:lineRule="auto"/>
        <w:ind w:firstLine="709"/>
        <w:jc w:val="both"/>
        <w:rPr>
          <w:rFonts w:ascii="Arial" w:eastAsia="Times New Roman" w:hAnsi="Arial" w:cs="Arial"/>
          <w:kern w:val="0"/>
          <w:lang w:eastAsia="es-ES_tradnl"/>
          <w14:ligatures w14:val="none"/>
        </w:rPr>
      </w:pPr>
      <w:r>
        <w:rPr>
          <w:rFonts w:ascii="Arial" w:eastAsia="Times New Roman" w:hAnsi="Arial" w:cs="Arial"/>
          <w:kern w:val="0"/>
          <w:lang w:eastAsia="es-ES_tradnl"/>
          <w14:ligatures w14:val="none"/>
        </w:rPr>
        <w:t xml:space="preserve">La anterior regla fue replicada en la versión 3 de los </w:t>
      </w:r>
      <w:r w:rsidR="005F09D6" w:rsidRPr="00DB3BD5">
        <w:rPr>
          <w:rFonts w:ascii="Arial" w:hAnsi="Arial" w:cs="Arial"/>
          <w:lang w:val="es-ES_tradnl"/>
        </w:rPr>
        <w:t>adoptan los documentos tipo para los procesos de selección de concurso de méritos, para contratar la consultoría de estudios de ingeniería de infraestructura de transporte</w:t>
      </w:r>
      <w:r w:rsidR="005F09D6">
        <w:rPr>
          <w:rFonts w:ascii="Arial" w:hAnsi="Arial" w:cs="Arial"/>
          <w:lang w:val="es-ES_tradnl"/>
        </w:rPr>
        <w:t xml:space="preserve">, adoptados mediante Resolución 325 de 2022. </w:t>
      </w:r>
    </w:p>
    <w:p w14:paraId="79312F0B" w14:textId="059C0749" w:rsidR="001E4110" w:rsidRPr="00644B52" w:rsidRDefault="00BE785C" w:rsidP="005517AF">
      <w:pPr>
        <w:spacing w:after="120" w:line="276" w:lineRule="auto"/>
        <w:ind w:firstLine="709"/>
        <w:jc w:val="both"/>
        <w:rPr>
          <w:rFonts w:ascii="Arial" w:hAnsi="Arial" w:cs="Arial"/>
        </w:rPr>
      </w:pPr>
      <w:r w:rsidRPr="00644B52">
        <w:rPr>
          <w:rFonts w:ascii="Arial" w:eastAsia="Times New Roman" w:hAnsi="Arial" w:cs="Arial"/>
          <w:kern w:val="0"/>
          <w:lang w:eastAsia="es-ES_tradnl"/>
          <w14:ligatures w14:val="none"/>
        </w:rPr>
        <w:t xml:space="preserve">Conforme se denota de la transcripción de las dos disposiciones, en la primera versión de </w:t>
      </w:r>
      <w:r w:rsidR="001E4110" w:rsidRPr="00644B52">
        <w:rPr>
          <w:rFonts w:ascii="Arial" w:hAnsi="Arial" w:cs="Arial"/>
          <w:lang w:val="es-ES_tradnl"/>
        </w:rPr>
        <w:t>adoptan los documentos tipo para los procesos de selección de concurso de méritos, para contratar la consultoría de estudios de ingeniería de infraestructura de transporte</w:t>
      </w:r>
      <w:r w:rsidR="00530926" w:rsidRPr="00644B52">
        <w:rPr>
          <w:rFonts w:ascii="Arial" w:hAnsi="Arial" w:cs="Arial"/>
          <w:lang w:val="es-ES_tradnl"/>
        </w:rPr>
        <w:t xml:space="preserve"> </w:t>
      </w:r>
      <w:r w:rsidR="007C1BFD" w:rsidRPr="00644B52">
        <w:rPr>
          <w:rFonts w:ascii="Arial" w:hAnsi="Arial" w:cs="Arial"/>
          <w:lang w:val="es-ES_tradnl"/>
        </w:rPr>
        <w:t xml:space="preserve">establecía que </w:t>
      </w:r>
      <w:r w:rsidR="007C1BFD" w:rsidRPr="00644B52">
        <w:rPr>
          <w:rFonts w:ascii="Arial" w:hAnsi="Arial" w:cs="Arial"/>
        </w:rPr>
        <w:t xml:space="preserve">en los eventos en que el contrato que se pretendiera acreditar como experiencia contuviera varias actividades, de las cuales solo algunas se ajustan a lo exigido por la </w:t>
      </w:r>
      <w:r w:rsidR="007C1BFD" w:rsidRPr="00647172">
        <w:rPr>
          <w:rFonts w:ascii="Arial" w:eastAsia="Times New Roman" w:hAnsi="Arial" w:cs="Arial"/>
          <w:kern w:val="0"/>
          <w:lang w:eastAsia="es-ES_tradnl"/>
          <w14:ligatures w14:val="none"/>
        </w:rPr>
        <w:t>«</w:t>
      </w:r>
      <w:r w:rsidR="007C1BFD" w:rsidRPr="00644B52">
        <w:rPr>
          <w:rFonts w:ascii="Arial" w:hAnsi="Arial" w:cs="Arial"/>
        </w:rPr>
        <w:t>Matriz 1 – Experiencia</w:t>
      </w:r>
      <w:r w:rsidR="007C1BFD" w:rsidRPr="00647172">
        <w:rPr>
          <w:rFonts w:ascii="Arial" w:eastAsia="Times New Roman" w:hAnsi="Arial" w:cs="Arial"/>
          <w:kern w:val="0"/>
          <w:lang w:eastAsia="es-ES_tradnl"/>
          <w14:ligatures w14:val="none"/>
        </w:rPr>
        <w:t>»</w:t>
      </w:r>
      <w:r w:rsidR="007C1BFD" w:rsidRPr="00644B52">
        <w:rPr>
          <w:rFonts w:ascii="Arial" w:hAnsi="Arial" w:cs="Arial"/>
        </w:rPr>
        <w:t xml:space="preserve"> asociado con actividades de consultoría, la </w:t>
      </w:r>
      <w:r w:rsidR="00416F5B" w:rsidRPr="00644B52">
        <w:rPr>
          <w:rFonts w:ascii="Arial" w:hAnsi="Arial" w:cs="Arial"/>
        </w:rPr>
        <w:t>entidad debía</w:t>
      </w:r>
      <w:r w:rsidR="007C1BFD" w:rsidRPr="00644B52">
        <w:rPr>
          <w:rFonts w:ascii="Arial" w:hAnsi="Arial" w:cs="Arial"/>
        </w:rPr>
        <w:t xml:space="preserve"> descontar los valores del contrato, dimensiones y magnitudes relacionadas con las actividades que se encuentran por fuera del requisito de experiencia a través de los documentos válidos aportados. </w:t>
      </w:r>
      <w:r w:rsidR="00416F5B" w:rsidRPr="00644B52">
        <w:rPr>
          <w:rFonts w:ascii="Arial" w:hAnsi="Arial" w:cs="Arial"/>
        </w:rPr>
        <w:t>Y señala que en e</w:t>
      </w:r>
      <w:r w:rsidR="001E4110" w:rsidRPr="00644B52">
        <w:rPr>
          <w:rFonts w:ascii="Arial" w:hAnsi="Arial" w:cs="Arial"/>
        </w:rPr>
        <w:t xml:space="preserve">l caso que no </w:t>
      </w:r>
      <w:r w:rsidR="00416F5B" w:rsidRPr="00644B52">
        <w:rPr>
          <w:rFonts w:ascii="Arial" w:hAnsi="Arial" w:cs="Arial"/>
        </w:rPr>
        <w:t>fuera</w:t>
      </w:r>
      <w:r w:rsidR="001E4110" w:rsidRPr="00644B52">
        <w:rPr>
          <w:rFonts w:ascii="Arial" w:hAnsi="Arial" w:cs="Arial"/>
        </w:rPr>
        <w:t xml:space="preserve"> posible identificar el valor de las actividades correspondientes a través de los documentos válidos aportados, la </w:t>
      </w:r>
      <w:r w:rsidR="00416F5B" w:rsidRPr="00644B52">
        <w:rPr>
          <w:rFonts w:ascii="Arial" w:hAnsi="Arial" w:cs="Arial"/>
        </w:rPr>
        <w:t xml:space="preserve">entidad </w:t>
      </w:r>
      <w:r w:rsidR="001E4110" w:rsidRPr="00644B52">
        <w:rPr>
          <w:rFonts w:ascii="Arial" w:hAnsi="Arial" w:cs="Arial"/>
        </w:rPr>
        <w:t>tendr</w:t>
      </w:r>
      <w:r w:rsidR="009E5A06" w:rsidRPr="00644B52">
        <w:rPr>
          <w:rFonts w:ascii="Arial" w:hAnsi="Arial" w:cs="Arial"/>
        </w:rPr>
        <w:t>ía</w:t>
      </w:r>
      <w:r w:rsidR="001E4110" w:rsidRPr="00644B52">
        <w:rPr>
          <w:rFonts w:ascii="Arial" w:hAnsi="Arial" w:cs="Arial"/>
        </w:rPr>
        <w:t xml:space="preserve"> en cuenta únicamente el diez (10%) del valor total del contrato aportado conforme a la suma registrada en el RUP</w:t>
      </w:r>
      <w:r w:rsidR="009E5A06" w:rsidRPr="00644B52">
        <w:rPr>
          <w:rFonts w:ascii="Arial" w:hAnsi="Arial" w:cs="Arial"/>
        </w:rPr>
        <w:t xml:space="preserve">, sin que fuera procedente requerir </w:t>
      </w:r>
      <w:r w:rsidR="001E4110" w:rsidRPr="00644B52">
        <w:rPr>
          <w:rFonts w:ascii="Arial" w:hAnsi="Arial" w:cs="Arial"/>
        </w:rPr>
        <w:t>al oferente para la subsanación de la información solicitada</w:t>
      </w:r>
      <w:r w:rsidR="009E5A06" w:rsidRPr="00644B52">
        <w:rPr>
          <w:rFonts w:ascii="Arial" w:hAnsi="Arial" w:cs="Arial"/>
        </w:rPr>
        <w:t xml:space="preserve">. </w:t>
      </w:r>
    </w:p>
    <w:p w14:paraId="2D5980A2" w14:textId="788F1F47" w:rsidR="00165EB2" w:rsidRPr="00644B52" w:rsidRDefault="002A0C6B" w:rsidP="005517AF">
      <w:pPr>
        <w:spacing w:after="120" w:line="276" w:lineRule="auto"/>
        <w:ind w:firstLine="709"/>
        <w:jc w:val="both"/>
        <w:rPr>
          <w:rFonts w:ascii="Arial" w:hAnsi="Arial" w:cs="Arial"/>
        </w:rPr>
      </w:pPr>
      <w:r w:rsidRPr="00644B52">
        <w:rPr>
          <w:rFonts w:ascii="Arial" w:hAnsi="Arial" w:cs="Arial"/>
        </w:rPr>
        <w:t xml:space="preserve">La anterior disposición fue modificada en la versión 2 de los </w:t>
      </w:r>
      <w:r w:rsidR="00C47B14" w:rsidRPr="00644B52">
        <w:rPr>
          <w:rFonts w:ascii="Arial" w:hAnsi="Arial" w:cs="Arial"/>
          <w:lang w:val="es-ES_tradnl"/>
        </w:rPr>
        <w:t xml:space="preserve">documentos tipo para los procesos de selección de concurso de méritos, para contratar la consultoría de estudios de ingeniería de infraestructura de transporte, adoptada mediante la </w:t>
      </w:r>
      <w:r w:rsidR="00C47B14" w:rsidRPr="00644B52">
        <w:rPr>
          <w:rFonts w:ascii="Arial" w:eastAsia="Times New Roman" w:hAnsi="Arial" w:cs="Arial"/>
          <w:kern w:val="0"/>
          <w:lang w:eastAsia="es-ES_tradnl"/>
          <w14:ligatures w14:val="none"/>
        </w:rPr>
        <w:t>Resolución 304 del 2021</w:t>
      </w:r>
      <w:r w:rsidR="005325A0" w:rsidRPr="00644B52">
        <w:rPr>
          <w:rFonts w:ascii="Arial" w:eastAsia="Times New Roman" w:hAnsi="Arial" w:cs="Arial"/>
          <w:kern w:val="0"/>
          <w:lang w:eastAsia="es-ES_tradnl"/>
          <w14:ligatures w14:val="none"/>
        </w:rPr>
        <w:t>, y replica en la versión 3 adoptada mediante la Resolución 325 del 28 de junio de 2022</w:t>
      </w:r>
      <w:r w:rsidR="006D76DA" w:rsidRPr="00644B52">
        <w:rPr>
          <w:rFonts w:ascii="Arial" w:eastAsia="Times New Roman" w:hAnsi="Arial" w:cs="Arial"/>
          <w:kern w:val="0"/>
          <w:lang w:eastAsia="es-ES_tradnl"/>
          <w14:ligatures w14:val="none"/>
        </w:rPr>
        <w:t xml:space="preserve">, para establecer que en aquellos contratos que contengan actividades </w:t>
      </w:r>
      <w:r w:rsidR="006D76DA" w:rsidRPr="00644B52">
        <w:rPr>
          <w:rFonts w:ascii="Arial" w:hAnsi="Arial" w:cs="Arial"/>
        </w:rPr>
        <w:t xml:space="preserve">ejecutadas de obra y de consultoría de estudios y diseños, solo tendrá en cuenta los valores ejecutados relacionados con la consultoría de estudios de ingeniería de infraestructura de transporte. </w:t>
      </w:r>
      <w:r w:rsidR="0005460F" w:rsidRPr="00644B52">
        <w:rPr>
          <w:rFonts w:ascii="Arial" w:hAnsi="Arial" w:cs="Arial"/>
        </w:rPr>
        <w:t>A su vez se dispuso que, p</w:t>
      </w:r>
      <w:r w:rsidR="00165EB2" w:rsidRPr="00644B52">
        <w:rPr>
          <w:rFonts w:ascii="Arial" w:hAnsi="Arial" w:cs="Arial"/>
        </w:rPr>
        <w:t xml:space="preserve">ara </w:t>
      </w:r>
      <w:r w:rsidR="0005460F" w:rsidRPr="00644B52">
        <w:rPr>
          <w:rFonts w:ascii="Arial" w:hAnsi="Arial" w:cs="Arial"/>
        </w:rPr>
        <w:t>dichos</w:t>
      </w:r>
      <w:r w:rsidR="00165EB2" w:rsidRPr="00644B52">
        <w:rPr>
          <w:rFonts w:ascii="Arial" w:hAnsi="Arial" w:cs="Arial"/>
        </w:rPr>
        <w:t xml:space="preserve"> efectos, el oferente deberá acreditar los valores ejecutados dentro del respectivo contrato correspondientes a la consultoría, empleando alguno de los documentos válidos establecidos en el numeral 10.1.5 del Pliego de Condiciones. </w:t>
      </w:r>
      <w:r w:rsidR="003E724B" w:rsidRPr="00644B52">
        <w:rPr>
          <w:rFonts w:ascii="Arial" w:hAnsi="Arial" w:cs="Arial"/>
        </w:rPr>
        <w:t xml:space="preserve">A diferencia de la versión 1, en las versiones 2 y 3 se </w:t>
      </w:r>
      <w:r w:rsidR="00F5596C" w:rsidRPr="00644B52">
        <w:rPr>
          <w:rFonts w:ascii="Arial" w:hAnsi="Arial" w:cs="Arial"/>
        </w:rPr>
        <w:t>determinó que, e</w:t>
      </w:r>
      <w:r w:rsidR="00165EB2" w:rsidRPr="00644B52">
        <w:rPr>
          <w:rFonts w:ascii="Arial" w:hAnsi="Arial" w:cs="Arial"/>
        </w:rPr>
        <w:t xml:space="preserve">n caso de que el </w:t>
      </w:r>
      <w:r w:rsidR="00F5596C" w:rsidRPr="00644B52">
        <w:rPr>
          <w:rFonts w:ascii="Arial" w:hAnsi="Arial" w:cs="Arial"/>
        </w:rPr>
        <w:t>p</w:t>
      </w:r>
      <w:r w:rsidR="00165EB2" w:rsidRPr="00644B52">
        <w:rPr>
          <w:rFonts w:ascii="Arial" w:hAnsi="Arial" w:cs="Arial"/>
        </w:rPr>
        <w:t xml:space="preserve">roponente subsane, en relación con este contrato se aplicará lo dispuesto en el literal A) del numeral 4.1 del Pliego de Condiciones. </w:t>
      </w:r>
      <w:r w:rsidR="004233E1" w:rsidRPr="00644B52">
        <w:rPr>
          <w:rFonts w:ascii="Arial" w:hAnsi="Arial" w:cs="Arial"/>
        </w:rPr>
        <w:t xml:space="preserve">Y como norma supletiva en el evento </w:t>
      </w:r>
      <w:r w:rsidR="004233E1" w:rsidRPr="00644B52">
        <w:rPr>
          <w:rFonts w:ascii="Arial" w:hAnsi="Arial" w:cs="Arial"/>
        </w:rPr>
        <w:lastRenderedPageBreak/>
        <w:t xml:space="preserve">de que no se logre discriminar </w:t>
      </w:r>
      <w:r w:rsidR="00165EB2" w:rsidRPr="00644B52">
        <w:rPr>
          <w:rFonts w:ascii="Arial" w:hAnsi="Arial" w:cs="Arial"/>
        </w:rPr>
        <w:t xml:space="preserve">los valores ejecutados en el marco del respectivo contrato, </w:t>
      </w:r>
      <w:r w:rsidR="004602E6" w:rsidRPr="00644B52">
        <w:rPr>
          <w:rFonts w:ascii="Arial" w:hAnsi="Arial" w:cs="Arial"/>
        </w:rPr>
        <w:t xml:space="preserve">determinó que </w:t>
      </w:r>
      <w:r w:rsidR="00165EB2" w:rsidRPr="00644B52">
        <w:rPr>
          <w:rFonts w:ascii="Arial" w:hAnsi="Arial" w:cs="Arial"/>
        </w:rPr>
        <w:t xml:space="preserve">la </w:t>
      </w:r>
      <w:r w:rsidR="004602E6" w:rsidRPr="00644B52">
        <w:rPr>
          <w:rFonts w:ascii="Arial" w:hAnsi="Arial" w:cs="Arial"/>
        </w:rPr>
        <w:t>e</w:t>
      </w:r>
      <w:r w:rsidR="00165EB2" w:rsidRPr="00644B52">
        <w:rPr>
          <w:rFonts w:ascii="Arial" w:hAnsi="Arial" w:cs="Arial"/>
        </w:rPr>
        <w:t xml:space="preserve">ntidad </w:t>
      </w:r>
      <w:r w:rsidR="004602E6" w:rsidRPr="00644B52">
        <w:rPr>
          <w:rFonts w:ascii="Arial" w:hAnsi="Arial" w:cs="Arial"/>
        </w:rPr>
        <w:t>e</w:t>
      </w:r>
      <w:r w:rsidR="00165EB2" w:rsidRPr="00644B52">
        <w:rPr>
          <w:rFonts w:ascii="Arial" w:hAnsi="Arial" w:cs="Arial"/>
        </w:rPr>
        <w:t>statal no lo tendrá en cuenta para la evaluación</w:t>
      </w:r>
      <w:r w:rsidR="004602E6" w:rsidRPr="00644B52">
        <w:rPr>
          <w:rFonts w:ascii="Arial" w:hAnsi="Arial" w:cs="Arial"/>
        </w:rPr>
        <w:t>, por lo cual ya no aplica la regla según la cual se tendría el diez por ciento (10%) del valor total del contrato</w:t>
      </w:r>
      <w:r w:rsidR="00165EB2" w:rsidRPr="00644B52">
        <w:rPr>
          <w:rFonts w:ascii="Arial" w:hAnsi="Arial" w:cs="Arial"/>
        </w:rPr>
        <w:t>.</w:t>
      </w:r>
    </w:p>
    <w:p w14:paraId="3A1FBC15" w14:textId="3686E459" w:rsidR="0099039D" w:rsidRPr="00644B52" w:rsidRDefault="004B2614" w:rsidP="005517AF">
      <w:pPr>
        <w:spacing w:after="120" w:line="276" w:lineRule="auto"/>
        <w:ind w:firstLine="709"/>
        <w:jc w:val="both"/>
        <w:rPr>
          <w:rFonts w:ascii="Arial" w:hAnsi="Arial" w:cs="Arial"/>
        </w:rPr>
      </w:pPr>
      <w:r w:rsidRPr="00644B52">
        <w:rPr>
          <w:rFonts w:ascii="Arial" w:hAnsi="Arial" w:cs="Arial"/>
        </w:rPr>
        <w:t>Como se observa, a partir de la expedición de la Resolución 304 de 2021,</w:t>
      </w:r>
      <w:r w:rsidR="006B1C84" w:rsidRPr="00644B52">
        <w:rPr>
          <w:rFonts w:ascii="Arial" w:hAnsi="Arial" w:cs="Arial"/>
        </w:rPr>
        <w:t xml:space="preserve"> l</w:t>
      </w:r>
      <w:r w:rsidR="00872556" w:rsidRPr="00644B52">
        <w:rPr>
          <w:rFonts w:ascii="Arial" w:hAnsi="Arial" w:cs="Arial"/>
        </w:rPr>
        <w:t xml:space="preserve">a Agencia Nacional de Contratación Pública, modificó el literal </w:t>
      </w:r>
      <w:r w:rsidRPr="00644B52">
        <w:rPr>
          <w:rFonts w:ascii="Arial" w:hAnsi="Arial" w:cs="Arial"/>
        </w:rPr>
        <w:t>K</w:t>
      </w:r>
      <w:r w:rsidR="00872556" w:rsidRPr="00644B52">
        <w:rPr>
          <w:rFonts w:ascii="Arial" w:hAnsi="Arial" w:cs="Arial"/>
        </w:rPr>
        <w:t xml:space="preserve">) del numeral </w:t>
      </w:r>
      <w:r w:rsidR="00BA1831" w:rsidRPr="00644B52">
        <w:rPr>
          <w:rFonts w:ascii="Arial" w:hAnsi="Arial" w:cs="Arial"/>
        </w:rPr>
        <w:t>10.1.2</w:t>
      </w:r>
      <w:r w:rsidR="00872556" w:rsidRPr="00644B52">
        <w:rPr>
          <w:rFonts w:ascii="Arial" w:hAnsi="Arial" w:cs="Arial"/>
        </w:rPr>
        <w:t xml:space="preserve"> «Consideraciones para la validez de la experiencia requerida» en los</w:t>
      </w:r>
      <w:r w:rsidR="0014396C" w:rsidRPr="00644B52">
        <w:rPr>
          <w:rFonts w:ascii="Arial" w:hAnsi="Arial" w:cs="Arial"/>
        </w:rPr>
        <w:t xml:space="preserve"> d</w:t>
      </w:r>
      <w:r w:rsidR="00872556" w:rsidRPr="00644B52">
        <w:rPr>
          <w:rFonts w:ascii="Arial" w:hAnsi="Arial" w:cs="Arial"/>
        </w:rPr>
        <w:t xml:space="preserve">ocumentos </w:t>
      </w:r>
      <w:r w:rsidR="0014396C" w:rsidRPr="00644B52">
        <w:rPr>
          <w:rFonts w:ascii="Arial" w:hAnsi="Arial" w:cs="Arial"/>
        </w:rPr>
        <w:t>t</w:t>
      </w:r>
      <w:r w:rsidR="00872556" w:rsidRPr="00644B52">
        <w:rPr>
          <w:rFonts w:ascii="Arial" w:hAnsi="Arial" w:cs="Arial"/>
        </w:rPr>
        <w:t xml:space="preserve">ipo de infraestructura de transporte adelantados bajo la modalidad de </w:t>
      </w:r>
      <w:r w:rsidR="00BA1831" w:rsidRPr="00644B52">
        <w:rPr>
          <w:rFonts w:ascii="Arial" w:hAnsi="Arial" w:cs="Arial"/>
        </w:rPr>
        <w:t>concurso de méritos</w:t>
      </w:r>
      <w:r w:rsidR="00872556" w:rsidRPr="00644B52">
        <w:rPr>
          <w:rFonts w:ascii="Arial" w:hAnsi="Arial" w:cs="Arial"/>
        </w:rPr>
        <w:t xml:space="preserve">, a través de la cual se aclara la manera en que se acredita la experiencia cuando en un contrato se ejecutan varias actividades de las cuales solo algunas se ajustan a lo exigido en la «Matriz 1 – Experiencia». De este modo, establece que, si un contrato contiene varias actividades, de las cuales solo algunas de ellas se ajustan a lo exigido por la Matriz 1 – Experiencia, la entidad deberá descontar los valores del contrato, dimensiones y longitudes relacionadas. </w:t>
      </w:r>
    </w:p>
    <w:p w14:paraId="5F77D731" w14:textId="5091728A" w:rsidR="0099039D" w:rsidRPr="00644B52" w:rsidRDefault="00872556" w:rsidP="005517AF">
      <w:pPr>
        <w:spacing w:after="120" w:line="276" w:lineRule="auto"/>
        <w:ind w:firstLine="709"/>
        <w:jc w:val="both"/>
        <w:rPr>
          <w:rFonts w:ascii="Arial" w:hAnsi="Arial" w:cs="Arial"/>
        </w:rPr>
      </w:pPr>
      <w:r w:rsidRPr="00644B52">
        <w:rPr>
          <w:rFonts w:ascii="Arial" w:hAnsi="Arial" w:cs="Arial"/>
        </w:rPr>
        <w:t xml:space="preserve">En relación con esta regla, </w:t>
      </w:r>
      <w:r w:rsidR="00867799" w:rsidRPr="00644B52">
        <w:rPr>
          <w:rFonts w:ascii="Arial" w:hAnsi="Arial" w:cs="Arial"/>
        </w:rPr>
        <w:t xml:space="preserve">debe señalarse que, </w:t>
      </w:r>
      <w:r w:rsidRPr="00644B52">
        <w:rPr>
          <w:rFonts w:ascii="Arial" w:hAnsi="Arial" w:cs="Arial"/>
        </w:rPr>
        <w:t>la Agencia Nacional de Contratación Pública – Colombia Compra Eficiente</w:t>
      </w:r>
      <w:r w:rsidR="00BA1831" w:rsidRPr="00644B52">
        <w:rPr>
          <w:rFonts w:ascii="Arial" w:hAnsi="Arial" w:cs="Arial"/>
        </w:rPr>
        <w:t xml:space="preserve">, conforme lo establece la memoria justificativa de la Resolución </w:t>
      </w:r>
      <w:r w:rsidR="00867799" w:rsidRPr="00644B52">
        <w:rPr>
          <w:rFonts w:ascii="Arial" w:hAnsi="Arial" w:cs="Arial"/>
        </w:rPr>
        <w:t>304 de 2021</w:t>
      </w:r>
      <w:r w:rsidR="00BA1831" w:rsidRPr="00644B52">
        <w:rPr>
          <w:rFonts w:ascii="Arial" w:hAnsi="Arial" w:cs="Arial"/>
        </w:rPr>
        <w:t xml:space="preserve">, </w:t>
      </w:r>
      <w:r w:rsidRPr="00644B52">
        <w:rPr>
          <w:rFonts w:ascii="Arial" w:hAnsi="Arial" w:cs="Arial"/>
        </w:rPr>
        <w:t>adelantó diferentes mesas de trabajo con las entidades del sector transporte en las cuales manifestaron las dificultades que ha</w:t>
      </w:r>
      <w:r w:rsidR="00BA1831" w:rsidRPr="00644B52">
        <w:rPr>
          <w:rFonts w:ascii="Arial" w:hAnsi="Arial" w:cs="Arial"/>
        </w:rPr>
        <w:t>bían</w:t>
      </w:r>
      <w:r w:rsidRPr="00644B52">
        <w:rPr>
          <w:rFonts w:ascii="Arial" w:hAnsi="Arial" w:cs="Arial"/>
        </w:rPr>
        <w:t xml:space="preserve"> tenido en la evaluación de las ofertas. Particularmente, porque los oferentes no allega</w:t>
      </w:r>
      <w:r w:rsidR="00C3204A" w:rsidRPr="00644B52">
        <w:rPr>
          <w:rFonts w:ascii="Arial" w:hAnsi="Arial" w:cs="Arial"/>
        </w:rPr>
        <w:t>ba</w:t>
      </w:r>
      <w:r w:rsidRPr="00644B52">
        <w:rPr>
          <w:rFonts w:ascii="Arial" w:hAnsi="Arial" w:cs="Arial"/>
        </w:rPr>
        <w:t>n certificaciones de experiencia que determinen el alcance de las magnitudes ejecutadas. Además, algunas entidades señalaron que la regla creada por la Agencia</w:t>
      </w:r>
      <w:r w:rsidR="00C3204A" w:rsidRPr="00644B52">
        <w:rPr>
          <w:rFonts w:ascii="Arial" w:hAnsi="Arial" w:cs="Arial"/>
        </w:rPr>
        <w:t xml:space="preserve"> en la versión </w:t>
      </w:r>
      <w:r w:rsidR="003A54C2" w:rsidRPr="00644B52">
        <w:rPr>
          <w:rFonts w:ascii="Arial" w:hAnsi="Arial" w:cs="Arial"/>
        </w:rPr>
        <w:t>1 no</w:t>
      </w:r>
      <w:r w:rsidRPr="00644B52">
        <w:rPr>
          <w:rFonts w:ascii="Arial" w:hAnsi="Arial" w:cs="Arial"/>
        </w:rPr>
        <w:t xml:space="preserve"> definía de manera clara el actuar de la </w:t>
      </w:r>
      <w:r w:rsidR="00C3204A" w:rsidRPr="00644B52">
        <w:rPr>
          <w:rFonts w:ascii="Arial" w:hAnsi="Arial" w:cs="Arial"/>
        </w:rPr>
        <w:t xml:space="preserve">entidad </w:t>
      </w:r>
      <w:r w:rsidRPr="00644B52">
        <w:rPr>
          <w:rFonts w:ascii="Arial" w:hAnsi="Arial" w:cs="Arial"/>
        </w:rPr>
        <w:t xml:space="preserve">en aquellos casos que el proponente no allega un certificado de experiencia que permita identificar la magnitud de las obras ejecutadas. </w:t>
      </w:r>
    </w:p>
    <w:p w14:paraId="27721859" w14:textId="5E95D4CC" w:rsidR="00604258" w:rsidRPr="00644B52" w:rsidRDefault="00ED77A9" w:rsidP="005517AF">
      <w:pPr>
        <w:spacing w:after="120" w:line="276" w:lineRule="auto"/>
        <w:ind w:firstLine="709"/>
        <w:jc w:val="both"/>
        <w:rPr>
          <w:rFonts w:ascii="Arial" w:hAnsi="Arial" w:cs="Arial"/>
        </w:rPr>
      </w:pPr>
      <w:r w:rsidRPr="00644B52">
        <w:rPr>
          <w:rFonts w:ascii="Arial" w:hAnsi="Arial" w:cs="Arial"/>
        </w:rPr>
        <w:t xml:space="preserve">En </w:t>
      </w:r>
      <w:proofErr w:type="gramStart"/>
      <w:r w:rsidRPr="00644B52">
        <w:rPr>
          <w:rFonts w:ascii="Arial" w:hAnsi="Arial" w:cs="Arial"/>
        </w:rPr>
        <w:t>consecuencia</w:t>
      </w:r>
      <w:proofErr w:type="gramEnd"/>
      <w:r w:rsidRPr="00644B52">
        <w:rPr>
          <w:rFonts w:ascii="Arial" w:hAnsi="Arial" w:cs="Arial"/>
        </w:rPr>
        <w:t xml:space="preserve"> de lo anterior, l</w:t>
      </w:r>
      <w:r w:rsidR="00604258" w:rsidRPr="00644B52">
        <w:rPr>
          <w:rFonts w:ascii="Arial" w:hAnsi="Arial" w:cs="Arial"/>
        </w:rPr>
        <w:t xml:space="preserve">a Agencia Nacional de Contratación Pública – Colombia Compra Eficiente </w:t>
      </w:r>
      <w:r w:rsidR="00A97265" w:rsidRPr="00644B52">
        <w:rPr>
          <w:rFonts w:ascii="Arial" w:hAnsi="Arial" w:cs="Arial"/>
        </w:rPr>
        <w:t xml:space="preserve">atendió </w:t>
      </w:r>
      <w:r w:rsidR="00604258" w:rsidRPr="00644B52">
        <w:rPr>
          <w:rFonts w:ascii="Arial" w:hAnsi="Arial" w:cs="Arial"/>
        </w:rPr>
        <w:t xml:space="preserve">la solicitud de las entidades del sector transporte y, </w:t>
      </w:r>
      <w:r w:rsidR="00A97265" w:rsidRPr="00644B52">
        <w:rPr>
          <w:rFonts w:ascii="Arial" w:hAnsi="Arial" w:cs="Arial"/>
        </w:rPr>
        <w:t>modificó</w:t>
      </w:r>
      <w:r w:rsidR="00604258" w:rsidRPr="00644B52">
        <w:rPr>
          <w:rFonts w:ascii="Arial" w:hAnsi="Arial" w:cs="Arial"/>
        </w:rPr>
        <w:t xml:space="preserve"> el literal </w:t>
      </w:r>
      <w:r w:rsidR="00C3204A" w:rsidRPr="00644B52">
        <w:rPr>
          <w:rFonts w:ascii="Arial" w:hAnsi="Arial" w:cs="Arial"/>
        </w:rPr>
        <w:t>K</w:t>
      </w:r>
      <w:r w:rsidR="00604258" w:rsidRPr="00644B52">
        <w:rPr>
          <w:rFonts w:ascii="Arial" w:hAnsi="Arial" w:cs="Arial"/>
        </w:rPr>
        <w:t>) del numeral «</w:t>
      </w:r>
      <w:r w:rsidR="00A97265" w:rsidRPr="00644B52">
        <w:rPr>
          <w:rFonts w:ascii="Arial" w:hAnsi="Arial" w:cs="Arial"/>
        </w:rPr>
        <w:t>10.1.2</w:t>
      </w:r>
      <w:r w:rsidR="00604258" w:rsidRPr="00644B52">
        <w:rPr>
          <w:rFonts w:ascii="Arial" w:hAnsi="Arial" w:cs="Arial"/>
        </w:rPr>
        <w:t xml:space="preserve"> Consideraciones para la validez de la experiencia requerida» en los </w:t>
      </w:r>
      <w:r w:rsidR="00C3204A" w:rsidRPr="00644B52">
        <w:rPr>
          <w:rFonts w:ascii="Arial" w:hAnsi="Arial" w:cs="Arial"/>
        </w:rPr>
        <w:t>documentos tipo</w:t>
      </w:r>
      <w:r w:rsidR="00A97265" w:rsidRPr="00644B52">
        <w:rPr>
          <w:rFonts w:ascii="Arial" w:hAnsi="Arial" w:cs="Arial"/>
        </w:rPr>
        <w:t xml:space="preserve">. </w:t>
      </w:r>
      <w:r w:rsidR="00604258" w:rsidRPr="00644B52">
        <w:rPr>
          <w:rFonts w:ascii="Arial" w:hAnsi="Arial" w:cs="Arial"/>
        </w:rPr>
        <w:t>Lo anterior con la finalidad de precisar que en los</w:t>
      </w:r>
      <w:r w:rsidR="00502FD2" w:rsidRPr="00644B52">
        <w:rPr>
          <w:rFonts w:ascii="Arial" w:hAnsi="Arial" w:cs="Arial"/>
        </w:rPr>
        <w:t xml:space="preserve"> contratos aportados como experiencia que contengan actividades ejecutadas ajenas a la obra de infraestructura de transporte, la entidad estatal sólo tendrá en cuenta los valores y magnitudes ejecutadas en este tipo de infraestructura. Para estos efectos, el proponente deberá acreditar los valores y magnitudes dentro del respectivo contrato, empleando alguno de los documentos válidos establecidos en el numeral 3.5.6 del pliego de condiciones. Además, </w:t>
      </w:r>
      <w:r w:rsidR="00251568" w:rsidRPr="00644B52">
        <w:rPr>
          <w:rFonts w:ascii="Arial" w:hAnsi="Arial" w:cs="Arial"/>
        </w:rPr>
        <w:t xml:space="preserve">como se señaló con antelación, </w:t>
      </w:r>
      <w:r w:rsidR="00502FD2" w:rsidRPr="00644B52">
        <w:rPr>
          <w:rFonts w:ascii="Arial" w:hAnsi="Arial" w:cs="Arial"/>
        </w:rPr>
        <w:t xml:space="preserve">se precisa que, de no lograrse la discriminación de los valores y magnitudes ejecutadas en el marco del respectivo contrato, la Entidad Estatal no lo tendrá en cuenta para la evaluación. </w:t>
      </w:r>
    </w:p>
    <w:p w14:paraId="4752C5AA" w14:textId="75A6A3BA" w:rsidR="00DB3BD5" w:rsidRPr="00644B52" w:rsidRDefault="00FB09AD" w:rsidP="005517AF">
      <w:pPr>
        <w:spacing w:after="120" w:line="276" w:lineRule="auto"/>
        <w:ind w:firstLine="709"/>
        <w:jc w:val="both"/>
        <w:rPr>
          <w:rFonts w:ascii="Arial" w:hAnsi="Arial" w:cs="Arial"/>
        </w:rPr>
      </w:pPr>
      <w:r w:rsidRPr="00644B52">
        <w:rPr>
          <w:rFonts w:ascii="Arial" w:hAnsi="Arial" w:cs="Arial"/>
        </w:rPr>
        <w:t>L</w:t>
      </w:r>
      <w:r w:rsidR="00DB3BD5" w:rsidRPr="00644B52">
        <w:rPr>
          <w:rFonts w:ascii="Arial" w:hAnsi="Arial" w:cs="Arial"/>
        </w:rPr>
        <w:t xml:space="preserve">a regla planteada por la Agencia Nacional de Contratación Pública – Colombia Compra Eficiente tiene dos finalidades: i) garantizar la idoneidad del futuro contratista evaluando solamente la experiencia que está relacionada directamente con el tipo de infraestructura a ejecutar y, además, </w:t>
      </w:r>
      <w:proofErr w:type="spellStart"/>
      <w:r w:rsidR="00DB3BD5" w:rsidRPr="00644B52">
        <w:rPr>
          <w:rFonts w:ascii="Arial" w:hAnsi="Arial" w:cs="Arial"/>
        </w:rPr>
        <w:t>ii</w:t>
      </w:r>
      <w:proofErr w:type="spellEnd"/>
      <w:r w:rsidR="00DB3BD5" w:rsidRPr="00644B52">
        <w:rPr>
          <w:rFonts w:ascii="Arial" w:hAnsi="Arial" w:cs="Arial"/>
        </w:rPr>
        <w:t xml:space="preserve">) facilitar la evaluación a las Entidades Estatales en aquellos supuestos en que los documentos válidos aportados en la oferta no permitan discriminar el valor de las actividades correspondientes al objeto a ejecutar. </w:t>
      </w:r>
    </w:p>
    <w:p w14:paraId="6DE9FB6B" w14:textId="005BEC2B" w:rsidR="00DB3BD5" w:rsidRPr="00644B52" w:rsidRDefault="00DB3BD5" w:rsidP="00251568">
      <w:pPr>
        <w:spacing w:after="0" w:line="276" w:lineRule="auto"/>
        <w:ind w:firstLine="709"/>
        <w:jc w:val="both"/>
        <w:rPr>
          <w:rFonts w:ascii="Arial" w:eastAsia="Times New Roman" w:hAnsi="Arial" w:cs="Arial"/>
          <w:b/>
          <w:bCs/>
          <w:kern w:val="0"/>
          <w:lang w:eastAsia="es-ES_tradnl"/>
          <w14:ligatures w14:val="none"/>
        </w:rPr>
      </w:pPr>
      <w:r w:rsidRPr="00644B52">
        <w:rPr>
          <w:rFonts w:ascii="Arial" w:hAnsi="Arial" w:cs="Arial"/>
        </w:rPr>
        <w:lastRenderedPageBreak/>
        <w:t xml:space="preserve">De igual forma, </w:t>
      </w:r>
      <w:r w:rsidR="003A64FF" w:rsidRPr="00644B52">
        <w:rPr>
          <w:rFonts w:ascii="Arial" w:hAnsi="Arial" w:cs="Arial"/>
        </w:rPr>
        <w:t>se con</w:t>
      </w:r>
      <w:r w:rsidR="008779D5" w:rsidRPr="00644B52">
        <w:rPr>
          <w:rFonts w:ascii="Arial" w:hAnsi="Arial" w:cs="Arial"/>
        </w:rPr>
        <w:t>cluye</w:t>
      </w:r>
      <w:r w:rsidRPr="00644B52">
        <w:rPr>
          <w:rFonts w:ascii="Arial" w:hAnsi="Arial" w:cs="Arial"/>
        </w:rPr>
        <w:t xml:space="preserve"> que cuando los contratos aportados como experiencia contengan actividades de obra y de consultoría de estudios y diseños, la entidad estatal solo tendrá en cuenta los valores relacionados con la consultoría de estudios de ingeniería de infraestructura de transporte. Para ello, el oferente deberá acreditar los valores ejecutados empleando alguno de los documentos válidos aportados establecidos en el numeral 10.1.5 del pliego de condiciones.</w:t>
      </w:r>
    </w:p>
    <w:p w14:paraId="637E4F20" w14:textId="77777777" w:rsidR="003A64FF" w:rsidRPr="00644B52" w:rsidRDefault="003A64FF" w:rsidP="00251568">
      <w:pPr>
        <w:spacing w:after="0" w:line="276" w:lineRule="auto"/>
        <w:contextualSpacing/>
        <w:jc w:val="both"/>
        <w:rPr>
          <w:rFonts w:ascii="Arial" w:eastAsia="Times New Roman" w:hAnsi="Arial" w:cs="Arial"/>
          <w:b/>
          <w:bCs/>
          <w:kern w:val="0"/>
          <w:lang w:eastAsia="es-ES_tradnl"/>
          <w14:ligatures w14:val="none"/>
        </w:rPr>
      </w:pPr>
    </w:p>
    <w:p w14:paraId="4B0B5DEA" w14:textId="6A5C5431" w:rsidR="00647172" w:rsidRPr="00647172" w:rsidRDefault="00647172" w:rsidP="00251568">
      <w:pPr>
        <w:spacing w:after="0" w:line="276" w:lineRule="auto"/>
        <w:contextualSpacing/>
        <w:jc w:val="both"/>
        <w:rPr>
          <w:rFonts w:ascii="Arial" w:eastAsia="Times New Roman" w:hAnsi="Arial" w:cs="Arial"/>
          <w:b/>
          <w:bCs/>
          <w:kern w:val="0"/>
          <w:lang w:eastAsia="es-ES_tradnl"/>
          <w14:ligatures w14:val="none"/>
        </w:rPr>
      </w:pPr>
      <w:r w:rsidRPr="00647172">
        <w:rPr>
          <w:rFonts w:ascii="Arial" w:eastAsia="Times New Roman" w:hAnsi="Arial" w:cs="Arial"/>
          <w:b/>
          <w:bCs/>
          <w:kern w:val="0"/>
          <w:lang w:eastAsia="es-ES_tradnl"/>
          <w14:ligatures w14:val="none"/>
        </w:rPr>
        <w:t xml:space="preserve">3. Respuesta </w:t>
      </w:r>
    </w:p>
    <w:p w14:paraId="0E1EC469" w14:textId="77777777" w:rsidR="00647172" w:rsidRPr="00647172" w:rsidRDefault="00647172" w:rsidP="00251568">
      <w:pPr>
        <w:spacing w:after="0" w:line="276" w:lineRule="auto"/>
        <w:contextualSpacing/>
        <w:rPr>
          <w:rFonts w:ascii="Arial" w:eastAsia="Times New Roman" w:hAnsi="Arial" w:cs="Arial"/>
          <w:b/>
          <w:bCs/>
          <w:kern w:val="0"/>
          <w:sz w:val="24"/>
          <w:szCs w:val="24"/>
          <w:lang w:eastAsia="es-ES_tradnl"/>
          <w14:ligatures w14:val="none"/>
        </w:rPr>
      </w:pPr>
    </w:p>
    <w:p w14:paraId="22B0E6AB" w14:textId="77777777" w:rsidR="00B75E94" w:rsidRPr="00647172" w:rsidRDefault="00B75E94" w:rsidP="00B75E94">
      <w:pPr>
        <w:tabs>
          <w:tab w:val="left" w:pos="1545"/>
        </w:tabs>
        <w:spacing w:after="0" w:line="240" w:lineRule="auto"/>
        <w:ind w:left="709" w:right="709"/>
        <w:contextualSpacing/>
        <w:jc w:val="both"/>
        <w:rPr>
          <w:rFonts w:ascii="Arial" w:eastAsia="Times New Roman" w:hAnsi="Arial" w:cs="Arial"/>
          <w:kern w:val="0"/>
          <w:sz w:val="21"/>
          <w:szCs w:val="21"/>
          <w:lang w:eastAsia="es-ES_tradnl"/>
          <w14:ligatures w14:val="none"/>
        </w:rPr>
      </w:pPr>
      <w:r w:rsidRPr="00647172">
        <w:rPr>
          <w:rFonts w:ascii="Arial" w:eastAsia="Times New Roman" w:hAnsi="Arial" w:cs="Arial"/>
          <w:kern w:val="0"/>
          <w:sz w:val="21"/>
          <w:szCs w:val="21"/>
          <w:lang w:eastAsia="es-ES_tradnl"/>
          <w14:ligatures w14:val="none"/>
        </w:rPr>
        <w:t xml:space="preserve">«[…] </w:t>
      </w:r>
      <w:r w:rsidRPr="00644B52">
        <w:rPr>
          <w:rFonts w:ascii="Arial" w:hAnsi="Arial" w:cs="Arial"/>
          <w:sz w:val="21"/>
          <w:szCs w:val="21"/>
        </w:rPr>
        <w:t>En atención a la versión 3 de los pliegos tipo para CONSULTORÍA DE ESTUDIOS DE INGENIERÍA DE INFRAESTRUCTURA DE TRANSPORTE, en los cuales se establece en el numeral 10.1.2 CONSIDERACIONES PARA LA VALIDEZ DE LA EXPERIENCIA DEL PROPONENTE literal K lo siguiente:</w:t>
      </w:r>
      <w:r w:rsidRPr="00644B52">
        <w:rPr>
          <w:rFonts w:ascii="Arial" w:hAnsi="Arial" w:cs="Arial"/>
          <w:sz w:val="21"/>
          <w:szCs w:val="21"/>
        </w:rPr>
        <w:br/>
      </w:r>
      <w:r w:rsidRPr="00644B52">
        <w:rPr>
          <w:rFonts w:ascii="Arial" w:hAnsi="Arial" w:cs="Arial"/>
          <w:sz w:val="21"/>
          <w:szCs w:val="21"/>
        </w:rPr>
        <w:br/>
        <w:t>"En los contratos aportados como experiencia que contengan actividades ejecutadas de obra y de consultoría de estudios y diseños, la Entidad Estatal solo tendrá en cuenta los valores ejecutados relacionados con la consultoría de estudios de ingeniería de infraestructura de transporte.</w:t>
      </w:r>
      <w:r w:rsidRPr="00644B52">
        <w:rPr>
          <w:rFonts w:ascii="Arial" w:hAnsi="Arial" w:cs="Arial"/>
          <w:sz w:val="21"/>
          <w:szCs w:val="21"/>
        </w:rPr>
        <w:br/>
      </w:r>
      <w:r w:rsidRPr="00644B52">
        <w:rPr>
          <w:rFonts w:ascii="Arial" w:hAnsi="Arial" w:cs="Arial"/>
          <w:sz w:val="21"/>
          <w:szCs w:val="21"/>
        </w:rPr>
        <w:br/>
        <w:t>Para estos efectos, el oferente deberá acreditar los valores ejecutados dentro del respectivo contrato correspondientes a la consultoría, empleando alguno de los documentos válidos establecidos en el numeral 10.1.5 del Pliego de Condiciones. En los casos en que el proponente no cumpla esta exigencia, la Entidad Estatal permitirá la subsanación, en los términos del numeral 1.6 del Pliego de Condiciones, requiriendo al Proponente para que acredite los valores ejecutados. En caso de que el Proponente subsane, en relación con este contrato se aplicará lo dispuesto en el literal A) del numeral 4.1 del Pliego de Condiciones. De no lograrse la discriminación de los valores ejecutados en el marco del respectivo contrato, la Entidad Estatal no lo tendrá en cuenta para la evaluación."</w:t>
      </w:r>
      <w:r w:rsidRPr="00644B52">
        <w:rPr>
          <w:rFonts w:ascii="Arial" w:hAnsi="Arial" w:cs="Arial"/>
          <w:sz w:val="21"/>
          <w:szCs w:val="21"/>
        </w:rPr>
        <w:br/>
      </w:r>
      <w:r w:rsidRPr="00644B52">
        <w:rPr>
          <w:rFonts w:ascii="Arial" w:hAnsi="Arial" w:cs="Arial"/>
          <w:sz w:val="21"/>
          <w:szCs w:val="21"/>
        </w:rPr>
        <w:br/>
        <w:t>En versiones anteriores de los pliegos de condiciones se establecía de forma adicional a la situación planteada en el numeral K,  se tomaba el valor total del contrato al incluir en el objeto o alcance los estudios y diseños o en su defecto se establecía un porcentaje de acreditación del valor del contrato en caso de no contar con el desglose de los valores correspondientes a ESTUDIOS Y DISEÑOS, el cual era el 10% del valor registrado en el RUP. Entendiendo que no todas las entidades realizan el desglose de los componentes de ESTUDIOS Y DISEÑOS Y DE OBRA, agradecemos por favor pronunciamiento frente a esta situación que genera confusión y se presenta repetitivamente, ya que no hay claridad en los pliegos tipo en la versión actual.</w:t>
      </w:r>
      <w:r w:rsidRPr="00644B52">
        <w:rPr>
          <w:rFonts w:ascii="Arial" w:hAnsi="Arial" w:cs="Arial"/>
          <w:sz w:val="21"/>
          <w:szCs w:val="21"/>
        </w:rPr>
        <w:br/>
      </w:r>
      <w:r w:rsidRPr="00644B52">
        <w:rPr>
          <w:rFonts w:ascii="Arial" w:hAnsi="Arial" w:cs="Arial"/>
          <w:sz w:val="21"/>
          <w:szCs w:val="21"/>
        </w:rPr>
        <w:br/>
        <w:t xml:space="preserve">Adicional a lo anterior, es claro que al no incluir diferenciación en los casos que no se tiene el desglose, se están desconociendo las actividades adicionales que realizan los consultores en proyectos que incluyen en su objeto la interventoría de los estudios y diseños y la obra en un solo contrato, por lo cual se está limitando la participación de los oferentes en este tipo de procesos al no tener una orientación clara en las situaciones no contempladas en esta versión de los pliegos tipo. Solicitamos se emita un concepto claro en el cual se acepte la </w:t>
      </w:r>
      <w:r w:rsidRPr="00644B52">
        <w:rPr>
          <w:rFonts w:ascii="Arial" w:hAnsi="Arial" w:cs="Arial"/>
          <w:sz w:val="21"/>
          <w:szCs w:val="21"/>
        </w:rPr>
        <w:lastRenderedPageBreak/>
        <w:t xml:space="preserve">totalidad del valor de los contratos que incluyan en su objeto o alcance los estudios y diseños o se determine un porcentaje del contrato a tener en consideración al no tener el desglose </w:t>
      </w:r>
      <w:proofErr w:type="gramStart"/>
      <w:r w:rsidRPr="00644B52">
        <w:rPr>
          <w:rFonts w:ascii="Arial" w:hAnsi="Arial" w:cs="Arial"/>
          <w:sz w:val="21"/>
          <w:szCs w:val="21"/>
        </w:rPr>
        <w:t>del mismo</w:t>
      </w:r>
      <w:proofErr w:type="gramEnd"/>
      <w:r w:rsidRPr="00644B52">
        <w:rPr>
          <w:rFonts w:ascii="Arial" w:hAnsi="Arial" w:cs="Arial"/>
          <w:sz w:val="21"/>
          <w:szCs w:val="21"/>
        </w:rPr>
        <w:t>.</w:t>
      </w:r>
      <w:r w:rsidRPr="00644B52">
        <w:rPr>
          <w:rFonts w:ascii="Arial" w:eastAsia="Times New Roman" w:hAnsi="Arial" w:cs="Arial"/>
          <w:kern w:val="0"/>
          <w:sz w:val="21"/>
          <w:szCs w:val="21"/>
          <w:lang w:eastAsia="es-ES_tradnl"/>
          <w14:ligatures w14:val="none"/>
        </w:rPr>
        <w:t xml:space="preserve"> </w:t>
      </w:r>
      <w:r w:rsidRPr="00647172">
        <w:rPr>
          <w:rFonts w:ascii="Arial" w:eastAsia="Times New Roman" w:hAnsi="Arial" w:cs="Arial"/>
          <w:kern w:val="0"/>
          <w:sz w:val="21"/>
          <w:szCs w:val="21"/>
          <w:lang w:eastAsia="es-ES_tradnl"/>
          <w14:ligatures w14:val="none"/>
        </w:rPr>
        <w:t>[…]».</w:t>
      </w:r>
    </w:p>
    <w:p w14:paraId="35676117" w14:textId="77777777" w:rsidR="00647172" w:rsidRPr="00647172" w:rsidRDefault="00647172" w:rsidP="00647172">
      <w:pPr>
        <w:spacing w:after="0" w:line="240" w:lineRule="auto"/>
        <w:jc w:val="both"/>
        <w:rPr>
          <w:rFonts w:ascii="Arial" w:eastAsia="Times New Roman" w:hAnsi="Arial" w:cs="Arial"/>
          <w:kern w:val="0"/>
          <w:sz w:val="24"/>
          <w:szCs w:val="24"/>
          <w:lang w:eastAsia="es-ES_tradnl"/>
          <w14:ligatures w14:val="none"/>
        </w:rPr>
      </w:pPr>
    </w:p>
    <w:p w14:paraId="25F4D7A8" w14:textId="146BFBA0" w:rsidR="00B75E94" w:rsidRPr="00644B52" w:rsidRDefault="00647172" w:rsidP="00B75E94">
      <w:pPr>
        <w:spacing w:after="120" w:line="276" w:lineRule="auto"/>
        <w:ind w:firstLine="708"/>
        <w:jc w:val="both"/>
        <w:rPr>
          <w:rFonts w:ascii="Arial" w:hAnsi="Arial" w:cs="Arial"/>
        </w:rPr>
      </w:pPr>
      <w:r w:rsidRPr="00647172">
        <w:rPr>
          <w:rFonts w:ascii="Arial" w:eastAsia="Calibri" w:hAnsi="Arial" w:cs="Arial"/>
          <w:kern w:val="0"/>
          <w:lang w:val="es-ES_tradnl" w:eastAsia="es-ES_tradnl"/>
          <w14:ligatures w14:val="none"/>
        </w:rPr>
        <w:t xml:space="preserve">De acuerdo con las consideraciones antes expuestas, </w:t>
      </w:r>
      <w:r w:rsidR="00B75E94" w:rsidRPr="00644B52">
        <w:rPr>
          <w:rFonts w:ascii="Arial" w:hAnsi="Arial" w:cs="Arial"/>
        </w:rPr>
        <w:t xml:space="preserve">a partir de la expedición de la Resolución 304 de 2021, la Agencia Nacional de Contratación Pública, modificó el literal K) del numeral 10.1.2 «Consideraciones para la validez de la experiencia requerida» en los documentos tipo de infraestructura de transporte adelantados bajo la modalidad de concurso de méritos, a través de la cual se aclara la manera en que se acredita la experiencia cuando en un contrato se ejecutan varias actividades de las cuales solo algunas se ajustan a lo exigido en la «Matriz 1 – Experiencia». De este modo, establece que, si un contrato contiene varias actividades, de las cuales solo algunas de ellas se ajustan a lo exigido por la Matriz 1 – Experiencia, la entidad deberá descontar los valores del contrato, dimensiones y longitudes relacionadas. </w:t>
      </w:r>
    </w:p>
    <w:p w14:paraId="7D7CAC4F" w14:textId="135A3708" w:rsidR="00B75E94" w:rsidRPr="00644B52" w:rsidRDefault="00401E47" w:rsidP="00B75E94">
      <w:pPr>
        <w:spacing w:after="0" w:line="276" w:lineRule="auto"/>
        <w:ind w:firstLine="709"/>
        <w:jc w:val="both"/>
        <w:rPr>
          <w:rFonts w:ascii="Arial" w:eastAsia="Times New Roman" w:hAnsi="Arial" w:cs="Arial"/>
          <w:b/>
          <w:bCs/>
          <w:kern w:val="0"/>
          <w:lang w:eastAsia="es-ES_tradnl"/>
          <w14:ligatures w14:val="none"/>
        </w:rPr>
      </w:pPr>
      <w:r>
        <w:rPr>
          <w:rFonts w:ascii="Arial" w:hAnsi="Arial" w:cs="Arial"/>
        </w:rPr>
        <w:t>Por lo tanto</w:t>
      </w:r>
      <w:r w:rsidR="00B75E94" w:rsidRPr="00644B52">
        <w:rPr>
          <w:rFonts w:ascii="Arial" w:hAnsi="Arial" w:cs="Arial"/>
        </w:rPr>
        <w:t>, se concluye que cuando los contratos aportados como experiencia contengan actividades de obra y de consultoría de estudios y diseños, la entidad estatal solo tendrá en cuenta los valores relacionados con la consultoría de estudios de ingeniería de infraestructura de transporte. Para ello, el oferente deberá acreditar los valores ejecutados empleando alguno de los documentos válidos aportados establecidos en el numeral 10.1.5 del pliego de condiciones.</w:t>
      </w:r>
    </w:p>
    <w:p w14:paraId="3A96F72E" w14:textId="77777777" w:rsidR="00B75E94" w:rsidRPr="00647172" w:rsidRDefault="00B75E94" w:rsidP="00B75E94">
      <w:pPr>
        <w:spacing w:after="0" w:line="276" w:lineRule="auto"/>
        <w:jc w:val="both"/>
        <w:rPr>
          <w:rFonts w:ascii="Arial" w:eastAsia="Times New Roman" w:hAnsi="Arial" w:cs="Arial"/>
          <w:kern w:val="0"/>
          <w:shd w:val="clear" w:color="auto" w:fill="FFFFFF"/>
          <w:lang w:val="es-MX" w:eastAsia="es-ES_tradnl"/>
          <w14:ligatures w14:val="none"/>
        </w:rPr>
      </w:pPr>
    </w:p>
    <w:p w14:paraId="79FA2631" w14:textId="77777777" w:rsidR="00164E0B" w:rsidRPr="00644B52" w:rsidRDefault="00164E0B" w:rsidP="00164E0B">
      <w:pPr>
        <w:spacing w:after="0" w:line="276" w:lineRule="auto"/>
        <w:jc w:val="both"/>
        <w:rPr>
          <w:rFonts w:ascii="Arial" w:eastAsia="Times New Roman" w:hAnsi="Arial" w:cs="Arial"/>
          <w:lang w:val="es-ES_tradnl" w:eastAsia="es-ES_tradnl"/>
        </w:rPr>
      </w:pPr>
      <w:r w:rsidRPr="00644B52">
        <w:rPr>
          <w:rFonts w:ascii="Arial" w:eastAsia="Times New Roman" w:hAnsi="Arial" w:cs="Arial"/>
          <w:lang w:val="es-ES_tradnl" w:eastAsia="es-ES_tradnl"/>
        </w:rPr>
        <w:t xml:space="preserve">Este concepto tiene el alcance previsto en el artículo 28 del Código de Procedimiento Administrativo y de lo Contencioso Administrativo </w:t>
      </w:r>
      <w:r w:rsidRPr="00644B52">
        <w:rPr>
          <w:rFonts w:ascii="Arial" w:hAnsi="Arial" w:cs="Arial"/>
          <w:bCs/>
        </w:rPr>
        <w:t xml:space="preserve">y </w:t>
      </w:r>
      <w:r w:rsidRPr="00644B52">
        <w:rPr>
          <w:rFonts w:ascii="Arial" w:hAnsi="Arial" w:cs="Arial"/>
        </w:rPr>
        <w:t>las expresiones aquí utilizadas con mayúscula inicial deben ser entendidas con el significado que les otorga el artículo 2.2.1.1.1.3.1. del Decreto 1082 de 2015</w:t>
      </w:r>
      <w:r w:rsidRPr="00644B52">
        <w:rPr>
          <w:rFonts w:ascii="Arial" w:eastAsia="Times New Roman" w:hAnsi="Arial" w:cs="Arial"/>
          <w:lang w:val="es-ES_tradnl" w:eastAsia="es-ES_tradnl"/>
        </w:rPr>
        <w:t>.</w:t>
      </w:r>
    </w:p>
    <w:p w14:paraId="0C98300C" w14:textId="77777777" w:rsidR="00164E0B" w:rsidRPr="00644B52" w:rsidRDefault="00164E0B" w:rsidP="00164E0B">
      <w:pPr>
        <w:spacing w:after="0" w:line="276" w:lineRule="auto"/>
        <w:contextualSpacing/>
        <w:jc w:val="both"/>
        <w:rPr>
          <w:rFonts w:ascii="Arial" w:eastAsia="Times New Roman" w:hAnsi="Arial" w:cs="Arial"/>
          <w:sz w:val="24"/>
          <w:szCs w:val="24"/>
          <w:lang w:val="es-ES_tradnl" w:eastAsia="es-ES_tradnl"/>
        </w:rPr>
      </w:pPr>
    </w:p>
    <w:p w14:paraId="4577F4C8" w14:textId="77777777" w:rsidR="00164E0B" w:rsidRPr="00644B52" w:rsidRDefault="00164E0B" w:rsidP="00164E0B">
      <w:pPr>
        <w:spacing w:after="0" w:line="276" w:lineRule="auto"/>
        <w:contextualSpacing/>
        <w:jc w:val="both"/>
        <w:rPr>
          <w:rFonts w:ascii="Arial" w:eastAsia="Times New Roman" w:hAnsi="Arial" w:cs="Arial"/>
          <w:sz w:val="24"/>
          <w:szCs w:val="24"/>
          <w:lang w:val="es-ES_tradnl" w:eastAsia="es-CO"/>
        </w:rPr>
      </w:pPr>
      <w:r w:rsidRPr="00644B52">
        <w:rPr>
          <w:rFonts w:ascii="Arial" w:eastAsia="Times New Roman" w:hAnsi="Arial" w:cs="Arial"/>
          <w:sz w:val="24"/>
          <w:szCs w:val="24"/>
          <w:lang w:val="es-ES_tradnl" w:eastAsia="es-CO"/>
        </w:rPr>
        <w:t>Atentamente,</w:t>
      </w:r>
    </w:p>
    <w:p w14:paraId="79E226AE" w14:textId="49AF2714" w:rsidR="00164E0B" w:rsidRPr="00644B52" w:rsidRDefault="00B374EC" w:rsidP="00164E0B">
      <w:pPr>
        <w:pStyle w:val="Sinespaciado"/>
        <w:jc w:val="center"/>
        <w:rPr>
          <w:rFonts w:ascii="Arial" w:hAnsi="Arial" w:cs="Arial"/>
          <w:sz w:val="18"/>
          <w:szCs w:val="18"/>
        </w:rPr>
      </w:pPr>
      <w:r>
        <w:rPr>
          <w:rFonts w:ascii="Arial" w:hAnsi="Arial" w:cs="Arial"/>
          <w:noProof/>
          <w:sz w:val="16"/>
          <w:szCs w:val="16"/>
          <w:lang w:val="es-ES"/>
        </w:rPr>
        <w:drawing>
          <wp:inline distT="0" distB="0" distL="0" distR="0" wp14:anchorId="5F7B194F" wp14:editId="1086CCE2">
            <wp:extent cx="3154680" cy="1211580"/>
            <wp:effectExtent l="0" t="0" r="762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44B52" w:rsidRPr="00644B52" w14:paraId="0FB3832F" w14:textId="77777777" w:rsidTr="007C4D25">
        <w:trPr>
          <w:trHeight w:val="160"/>
        </w:trPr>
        <w:tc>
          <w:tcPr>
            <w:tcW w:w="812" w:type="dxa"/>
            <w:vAlign w:val="center"/>
            <w:hideMark/>
          </w:tcPr>
          <w:p w14:paraId="43F5BCEA" w14:textId="77777777" w:rsidR="00164E0B" w:rsidRPr="00644B52" w:rsidRDefault="00164E0B" w:rsidP="006326A4">
            <w:pPr>
              <w:contextualSpacing/>
              <w:jc w:val="both"/>
              <w:rPr>
                <w:rFonts w:ascii="Arial" w:eastAsia="Times New Roman" w:hAnsi="Arial" w:cs="Arial"/>
                <w:sz w:val="16"/>
                <w:szCs w:val="16"/>
                <w:lang w:val="es-ES_tradnl" w:eastAsia="es-ES"/>
              </w:rPr>
            </w:pPr>
            <w:r w:rsidRPr="00644B52">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3BCAF39" w14:textId="77777777" w:rsidR="00F672AB" w:rsidRPr="00644B52" w:rsidRDefault="00F672AB" w:rsidP="006326A4">
            <w:pPr>
              <w:contextualSpacing/>
              <w:jc w:val="both"/>
              <w:rPr>
                <w:rFonts w:ascii="Arial" w:eastAsia="Times New Roman" w:hAnsi="Arial" w:cs="Arial"/>
                <w:sz w:val="16"/>
                <w:szCs w:val="16"/>
                <w:lang w:val="es-ES_tradnl" w:eastAsia="es-ES"/>
              </w:rPr>
            </w:pPr>
            <w:r w:rsidRPr="00644B52">
              <w:rPr>
                <w:rFonts w:ascii="Arial" w:eastAsia="Times New Roman" w:hAnsi="Arial" w:cs="Arial"/>
                <w:sz w:val="16"/>
                <w:szCs w:val="16"/>
                <w:lang w:val="es-ES_tradnl" w:eastAsia="es-ES"/>
              </w:rPr>
              <w:t>Diana Lucia Saavedra Castañeda</w:t>
            </w:r>
          </w:p>
          <w:p w14:paraId="217E91FE" w14:textId="189ADE99" w:rsidR="00164E0B" w:rsidRPr="00644B52" w:rsidRDefault="00F672AB" w:rsidP="006326A4">
            <w:pPr>
              <w:contextualSpacing/>
              <w:jc w:val="both"/>
              <w:rPr>
                <w:rFonts w:ascii="Arial" w:eastAsia="Times New Roman" w:hAnsi="Arial" w:cs="Arial"/>
                <w:sz w:val="16"/>
                <w:szCs w:val="16"/>
                <w:lang w:val="es-ES_tradnl" w:eastAsia="es-ES"/>
              </w:rPr>
            </w:pPr>
            <w:r w:rsidRPr="00644B52">
              <w:rPr>
                <w:rFonts w:ascii="Arial" w:eastAsia="Times New Roman" w:hAnsi="Arial" w:cs="Arial"/>
                <w:sz w:val="16"/>
                <w:szCs w:val="16"/>
                <w:lang w:val="es-ES_tradnl" w:eastAsia="es-ES"/>
              </w:rPr>
              <w:t>Contratista de la Subdirección de Gestión Contractual</w:t>
            </w:r>
          </w:p>
        </w:tc>
      </w:tr>
      <w:tr w:rsidR="00644B52" w:rsidRPr="00644B52" w14:paraId="7AC2702A" w14:textId="77777777" w:rsidTr="007C4D25">
        <w:trPr>
          <w:trHeight w:val="330"/>
        </w:trPr>
        <w:tc>
          <w:tcPr>
            <w:tcW w:w="812" w:type="dxa"/>
            <w:vAlign w:val="center"/>
            <w:hideMark/>
          </w:tcPr>
          <w:p w14:paraId="74BC679B" w14:textId="77777777" w:rsidR="00164E0B" w:rsidRPr="00644B52" w:rsidRDefault="00164E0B" w:rsidP="006326A4">
            <w:pPr>
              <w:contextualSpacing/>
              <w:jc w:val="both"/>
              <w:rPr>
                <w:rFonts w:ascii="Arial" w:eastAsia="Times New Roman" w:hAnsi="Arial" w:cs="Arial"/>
                <w:sz w:val="16"/>
                <w:szCs w:val="16"/>
                <w:lang w:val="es-ES_tradnl" w:eastAsia="es-ES"/>
              </w:rPr>
            </w:pPr>
            <w:r w:rsidRPr="00644B52">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CA0278F" w14:textId="77777777" w:rsidR="006326A4" w:rsidRPr="00644B52" w:rsidRDefault="006326A4" w:rsidP="006326A4">
            <w:pPr>
              <w:contextualSpacing/>
              <w:rPr>
                <w:rFonts w:ascii="Arial" w:hAnsi="Arial" w:cs="Arial"/>
                <w:sz w:val="16"/>
                <w:szCs w:val="16"/>
                <w:lang w:eastAsia="es-ES"/>
              </w:rPr>
            </w:pPr>
            <w:r w:rsidRPr="00644B52">
              <w:rPr>
                <w:rFonts w:ascii="Arial" w:hAnsi="Arial" w:cs="Arial"/>
                <w:sz w:val="16"/>
                <w:szCs w:val="16"/>
                <w:lang w:eastAsia="es-ES"/>
              </w:rPr>
              <w:t xml:space="preserve">Martha Alicia Romero Vargas </w:t>
            </w:r>
          </w:p>
          <w:p w14:paraId="6E59814E" w14:textId="60DEA780" w:rsidR="00164E0B" w:rsidRPr="00644B52" w:rsidRDefault="006326A4" w:rsidP="006326A4">
            <w:pPr>
              <w:contextualSpacing/>
              <w:rPr>
                <w:rFonts w:ascii="Arial" w:hAnsi="Arial" w:cs="Arial"/>
                <w:kern w:val="2"/>
                <w14:ligatures w14:val="standardContextual"/>
              </w:rPr>
            </w:pPr>
            <w:r w:rsidRPr="00644B52">
              <w:rPr>
                <w:rFonts w:ascii="Arial" w:hAnsi="Arial" w:cs="Arial"/>
                <w:sz w:val="16"/>
                <w:szCs w:val="16"/>
                <w:lang w:eastAsia="es-ES"/>
              </w:rPr>
              <w:t>Gestor T1-15 Subdirección Contractual</w:t>
            </w:r>
          </w:p>
        </w:tc>
      </w:tr>
      <w:tr w:rsidR="00644B52" w:rsidRPr="00644B52" w14:paraId="51A553CF" w14:textId="77777777" w:rsidTr="007C4D25">
        <w:trPr>
          <w:trHeight w:val="300"/>
        </w:trPr>
        <w:tc>
          <w:tcPr>
            <w:tcW w:w="812" w:type="dxa"/>
            <w:vAlign w:val="center"/>
            <w:hideMark/>
          </w:tcPr>
          <w:p w14:paraId="1055EB94" w14:textId="77777777" w:rsidR="00164E0B" w:rsidRPr="00644B52" w:rsidRDefault="00164E0B" w:rsidP="006326A4">
            <w:pPr>
              <w:contextualSpacing/>
              <w:jc w:val="both"/>
              <w:rPr>
                <w:rFonts w:ascii="Arial" w:eastAsia="Times New Roman" w:hAnsi="Arial" w:cs="Arial"/>
                <w:sz w:val="16"/>
                <w:szCs w:val="16"/>
                <w:lang w:val="es-ES_tradnl" w:eastAsia="es-ES"/>
              </w:rPr>
            </w:pPr>
            <w:r w:rsidRPr="00644B52">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B3B4B08" w14:textId="77777777" w:rsidR="00164E0B" w:rsidRPr="00644B52" w:rsidRDefault="00164E0B" w:rsidP="006326A4">
            <w:pPr>
              <w:contextualSpacing/>
              <w:rPr>
                <w:rFonts w:ascii="Arial" w:eastAsia="Times New Roman" w:hAnsi="Arial" w:cs="Arial"/>
                <w:sz w:val="24"/>
                <w:szCs w:val="24"/>
                <w:lang w:val="es-ES_tradnl" w:eastAsia="es-ES_tradnl"/>
              </w:rPr>
            </w:pPr>
            <w:r w:rsidRPr="00644B52">
              <w:rPr>
                <w:rFonts w:ascii="Arial" w:eastAsia="Arial" w:hAnsi="Arial" w:cs="Arial"/>
                <w:sz w:val="16"/>
                <w:szCs w:val="16"/>
                <w:lang w:val="es-ES_tradnl" w:eastAsia="es-ES_tradnl"/>
              </w:rPr>
              <w:t xml:space="preserve">Nohelia del Carmen </w:t>
            </w:r>
            <w:proofErr w:type="spellStart"/>
            <w:r w:rsidRPr="00644B52">
              <w:rPr>
                <w:rFonts w:ascii="Arial" w:eastAsia="Arial" w:hAnsi="Arial" w:cs="Arial"/>
                <w:sz w:val="16"/>
                <w:szCs w:val="16"/>
                <w:lang w:val="es-ES_tradnl" w:eastAsia="es-ES_tradnl"/>
              </w:rPr>
              <w:t>Zawady</w:t>
            </w:r>
            <w:proofErr w:type="spellEnd"/>
            <w:r w:rsidRPr="00644B52">
              <w:rPr>
                <w:rFonts w:ascii="Arial" w:eastAsia="Arial" w:hAnsi="Arial" w:cs="Arial"/>
                <w:sz w:val="16"/>
                <w:szCs w:val="16"/>
                <w:lang w:val="es-ES_tradnl" w:eastAsia="es-ES_tradnl"/>
              </w:rPr>
              <w:t xml:space="preserve"> Palacio</w:t>
            </w:r>
          </w:p>
          <w:p w14:paraId="3CBA4993" w14:textId="77777777" w:rsidR="00164E0B" w:rsidRPr="00644B52" w:rsidRDefault="00164E0B" w:rsidP="006326A4">
            <w:pPr>
              <w:contextualSpacing/>
              <w:jc w:val="both"/>
              <w:rPr>
                <w:rFonts w:ascii="Arial" w:eastAsia="Times New Roman" w:hAnsi="Arial" w:cs="Arial"/>
                <w:sz w:val="16"/>
                <w:szCs w:val="16"/>
                <w:lang w:val="es-ES_tradnl" w:eastAsia="es-ES"/>
              </w:rPr>
            </w:pPr>
            <w:r w:rsidRPr="00644B52">
              <w:rPr>
                <w:rFonts w:ascii="Arial" w:eastAsia="Arial" w:hAnsi="Arial" w:cs="Arial"/>
                <w:sz w:val="16"/>
                <w:szCs w:val="16"/>
                <w:lang w:val="es-ES_tradnl" w:eastAsia="es-ES_tradnl"/>
              </w:rPr>
              <w:t>Subdirectora de Gestión Contractual</w:t>
            </w:r>
          </w:p>
        </w:tc>
      </w:tr>
    </w:tbl>
    <w:p w14:paraId="516A2445" w14:textId="77777777" w:rsidR="00647172" w:rsidRPr="00647172" w:rsidRDefault="00647172" w:rsidP="00647172">
      <w:pPr>
        <w:widowControl w:val="0"/>
        <w:autoSpaceDE w:val="0"/>
        <w:autoSpaceDN w:val="0"/>
        <w:spacing w:after="120" w:line="276" w:lineRule="auto"/>
        <w:ind w:firstLine="708"/>
        <w:jc w:val="both"/>
        <w:rPr>
          <w:rFonts w:ascii="Arial" w:eastAsia="Arial MT" w:hAnsi="Arial" w:cs="Arial"/>
          <w:kern w:val="0"/>
          <w:sz w:val="24"/>
          <w:szCs w:val="24"/>
          <w:lang w:val="es-ES" w:eastAsia="es-ES_tradnl"/>
          <w14:ligatures w14:val="none"/>
        </w:rPr>
      </w:pPr>
    </w:p>
    <w:p w14:paraId="6FFE5E87" w14:textId="77777777" w:rsidR="00647172" w:rsidRPr="00647172" w:rsidRDefault="00647172" w:rsidP="00647172">
      <w:pPr>
        <w:spacing w:after="0" w:line="240" w:lineRule="auto"/>
        <w:rPr>
          <w:rFonts w:ascii="Arial" w:eastAsia="Times New Roman" w:hAnsi="Arial" w:cs="Arial"/>
          <w:kern w:val="0"/>
          <w:sz w:val="24"/>
          <w:szCs w:val="24"/>
          <w:lang w:eastAsia="es-ES_tradnl"/>
          <w14:ligatures w14:val="none"/>
        </w:rPr>
      </w:pPr>
    </w:p>
    <w:sectPr w:rsidR="00647172" w:rsidRPr="00647172">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7266B" w14:textId="77777777" w:rsidR="00647172" w:rsidRDefault="00647172" w:rsidP="00647172">
      <w:pPr>
        <w:spacing w:after="0" w:line="240" w:lineRule="auto"/>
      </w:pPr>
      <w:r>
        <w:separator/>
      </w:r>
    </w:p>
  </w:endnote>
  <w:endnote w:type="continuationSeparator" w:id="0">
    <w:p w14:paraId="790DB5D3" w14:textId="77777777" w:rsidR="00647172" w:rsidRDefault="00647172" w:rsidP="00647172">
      <w:pPr>
        <w:spacing w:after="0" w:line="240" w:lineRule="auto"/>
      </w:pPr>
      <w:r>
        <w:continuationSeparator/>
      </w:r>
    </w:p>
  </w:endnote>
  <w:endnote w:type="continuationNotice" w:id="1">
    <w:p w14:paraId="6E781003" w14:textId="77777777" w:rsidR="006601FA" w:rsidRDefault="006601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80F6" w14:textId="77777777" w:rsidR="00B4322C" w:rsidRDefault="00234268" w:rsidP="00F0158F">
    <w:pPr>
      <w:pStyle w:val="Sinespaciado"/>
      <w:jc w:val="right"/>
      <w:rPr>
        <w:rFonts w:ascii="Arial" w:hAnsi="Arial" w:cs="Arial"/>
        <w:sz w:val="18"/>
        <w:szCs w:val="18"/>
      </w:rPr>
    </w:pPr>
  </w:p>
  <w:p w14:paraId="5E7610C4" w14:textId="77777777" w:rsidR="00F0158F" w:rsidRPr="008F0443" w:rsidRDefault="005F09D6" w:rsidP="00F0158F">
    <w:pPr>
      <w:pStyle w:val="Piedepgina"/>
      <w:jc w:val="right"/>
      <w:rPr>
        <w:rFonts w:ascii="Arial" w:hAnsi="Arial" w:cs="Arial"/>
        <w:color w:val="7F7F7F"/>
        <w:sz w:val="16"/>
        <w:szCs w:val="16"/>
      </w:rPr>
    </w:pPr>
    <w:r w:rsidRPr="008F0443">
      <w:rPr>
        <w:rFonts w:ascii="Arial" w:hAnsi="Arial" w:cs="Arial"/>
        <w:bCs/>
        <w:color w:val="7F7F7F"/>
        <w:sz w:val="16"/>
        <w:szCs w:val="16"/>
      </w:rPr>
      <w:t xml:space="preserve">Página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PAGE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9</w:t>
    </w:r>
    <w:r w:rsidRPr="008F0443">
      <w:rPr>
        <w:rFonts w:ascii="Arial" w:hAnsi="Arial" w:cs="Arial"/>
        <w:b/>
        <w:bCs/>
        <w:color w:val="7F7F7F"/>
        <w:sz w:val="16"/>
        <w:szCs w:val="16"/>
      </w:rPr>
      <w:fldChar w:fldCharType="end"/>
    </w:r>
    <w:r w:rsidRPr="008F0443">
      <w:rPr>
        <w:rFonts w:ascii="Arial" w:hAnsi="Arial" w:cs="Arial"/>
        <w:color w:val="7F7F7F"/>
        <w:sz w:val="16"/>
        <w:szCs w:val="16"/>
      </w:rPr>
      <w:t xml:space="preserve"> de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NUMPAGES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17</w:t>
    </w:r>
    <w:r w:rsidRPr="008F0443">
      <w:rPr>
        <w:rFonts w:ascii="Arial" w:hAnsi="Arial" w:cs="Arial"/>
        <w:b/>
        <w:bCs/>
        <w:color w:val="7F7F7F"/>
        <w:sz w:val="16"/>
        <w:szCs w:val="16"/>
      </w:rPr>
      <w:fldChar w:fldCharType="end"/>
    </w:r>
  </w:p>
  <w:p w14:paraId="726E2045" w14:textId="77777777" w:rsidR="00FB1F1F" w:rsidRDefault="005F09D6" w:rsidP="00F0158F">
    <w:pPr>
      <w:pStyle w:val="Piedepgina"/>
      <w:jc w:val="center"/>
    </w:pPr>
    <w:r>
      <w:rPr>
        <w:noProof/>
        <w:lang w:val="es-419" w:eastAsia="es-419"/>
      </w:rPr>
      <w:drawing>
        <wp:inline distT="0" distB="0" distL="0" distR="0" wp14:anchorId="6A3C825B" wp14:editId="2E61C369">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A5924" w14:textId="77777777" w:rsidR="00647172" w:rsidRDefault="00647172" w:rsidP="00647172">
      <w:pPr>
        <w:spacing w:after="0" w:line="240" w:lineRule="auto"/>
      </w:pPr>
      <w:r>
        <w:separator/>
      </w:r>
    </w:p>
  </w:footnote>
  <w:footnote w:type="continuationSeparator" w:id="0">
    <w:p w14:paraId="679AA4DD" w14:textId="77777777" w:rsidR="00647172" w:rsidRDefault="00647172" w:rsidP="00647172">
      <w:pPr>
        <w:spacing w:after="0" w:line="240" w:lineRule="auto"/>
      </w:pPr>
      <w:r>
        <w:continuationSeparator/>
      </w:r>
    </w:p>
  </w:footnote>
  <w:footnote w:type="continuationNotice" w:id="1">
    <w:p w14:paraId="3CF24597" w14:textId="77777777" w:rsidR="006601FA" w:rsidRDefault="006601FA">
      <w:pPr>
        <w:spacing w:after="0" w:line="240" w:lineRule="auto"/>
      </w:pPr>
    </w:p>
  </w:footnote>
  <w:footnote w:id="2">
    <w:p w14:paraId="52466809" w14:textId="7F0DF09C" w:rsidR="00D22E29" w:rsidRDefault="00D22E29" w:rsidP="00D22E29">
      <w:pPr>
        <w:pStyle w:val="Textonotapie"/>
        <w:ind w:firstLine="709"/>
        <w:contextualSpacing/>
        <w:jc w:val="both"/>
        <w:rPr>
          <w:rFonts w:ascii="Arial" w:hAnsi="Arial" w:cs="Arial"/>
          <w:color w:val="000000"/>
          <w:sz w:val="18"/>
          <w:szCs w:val="18"/>
        </w:rPr>
      </w:pPr>
      <w:r w:rsidRPr="00CC14EB">
        <w:rPr>
          <w:rStyle w:val="Refdenotaalpie"/>
          <w:rFonts w:ascii="Arial" w:hAnsi="Arial" w:cs="Arial"/>
          <w:sz w:val="18"/>
          <w:szCs w:val="18"/>
        </w:rPr>
        <w:footnoteRef/>
      </w:r>
      <w:r w:rsidRPr="00CC14EB">
        <w:rPr>
          <w:rFonts w:ascii="Arial" w:hAnsi="Arial"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4D49A9D" w14:textId="77777777" w:rsidR="00CC14EB" w:rsidRPr="00CC14EB" w:rsidRDefault="00CC14EB" w:rsidP="00D22E29">
      <w:pPr>
        <w:pStyle w:val="Textonotapie"/>
        <w:ind w:firstLine="709"/>
        <w:contextualSpacing/>
        <w:jc w:val="both"/>
        <w:rPr>
          <w:rFonts w:ascii="Arial" w:hAnsi="Arial" w:cs="Arial"/>
          <w:color w:val="000000"/>
          <w:sz w:val="18"/>
          <w:szCs w:val="18"/>
        </w:rPr>
      </w:pPr>
    </w:p>
  </w:footnote>
  <w:footnote w:id="3">
    <w:p w14:paraId="7211F7E2" w14:textId="77777777" w:rsidR="00D22E29" w:rsidRPr="00CC14EB" w:rsidRDefault="00D22E29" w:rsidP="00D22E29">
      <w:pPr>
        <w:pStyle w:val="Textonotapie"/>
        <w:ind w:firstLine="709"/>
        <w:contextualSpacing/>
        <w:jc w:val="both"/>
        <w:rPr>
          <w:rFonts w:ascii="Arial" w:hAnsi="Arial" w:cs="Arial"/>
          <w:color w:val="000000"/>
          <w:sz w:val="18"/>
          <w:szCs w:val="18"/>
        </w:rPr>
      </w:pPr>
      <w:r w:rsidRPr="00CC14EB">
        <w:rPr>
          <w:rStyle w:val="Refdenotaalpie"/>
          <w:rFonts w:ascii="Arial" w:hAnsi="Arial" w:cs="Arial"/>
          <w:sz w:val="18"/>
          <w:szCs w:val="18"/>
        </w:rPr>
        <w:footnoteRef/>
      </w:r>
      <w:r w:rsidRPr="00CC14EB">
        <w:rPr>
          <w:rFonts w:ascii="Arial" w:hAnsi="Arial" w:cs="Arial"/>
          <w:color w:val="000000"/>
          <w:sz w:val="18"/>
          <w:szCs w:val="18"/>
        </w:rPr>
        <w:t xml:space="preserve"> </w:t>
      </w:r>
      <w:r w:rsidRPr="00CC14EB">
        <w:rPr>
          <w:rFonts w:ascii="Arial" w:hAnsi="Arial" w:cs="Arial"/>
          <w:color w:val="000000"/>
          <w:sz w:val="18"/>
          <w:szCs w:val="18"/>
          <w:lang w:val="es-CO"/>
        </w:rPr>
        <w:t xml:space="preserve">Ley 1882 de 2018: «Artículo 4. </w:t>
      </w:r>
      <w:r w:rsidRPr="00CC14EB">
        <w:rPr>
          <w:rFonts w:ascii="Arial" w:hAnsi="Arial"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65F9868" w14:textId="77777777" w:rsidR="00D22E29" w:rsidRPr="00CC14EB" w:rsidRDefault="00D22E29" w:rsidP="00D22E29">
      <w:pPr>
        <w:pStyle w:val="Textonotapie"/>
        <w:ind w:firstLine="709"/>
        <w:contextualSpacing/>
        <w:jc w:val="both"/>
        <w:rPr>
          <w:rFonts w:ascii="Arial" w:hAnsi="Arial" w:cs="Arial"/>
          <w:color w:val="000000"/>
          <w:sz w:val="18"/>
          <w:szCs w:val="18"/>
          <w:lang w:val="es-CO"/>
        </w:rPr>
      </w:pPr>
      <w:r w:rsidRPr="00CC14EB">
        <w:rPr>
          <w:rFonts w:ascii="Arial" w:hAnsi="Arial" w:cs="Arial"/>
          <w:color w:val="000000"/>
          <w:sz w:val="18"/>
          <w:szCs w:val="18"/>
          <w:lang w:val="es-CO"/>
        </w:rPr>
        <w:t>»La facultad de adoptar documentos tipo la tendrá el Gobierno nacional, cuando lo considere necesario, en relación con otros contratos o procesos de selección.</w:t>
      </w:r>
    </w:p>
    <w:p w14:paraId="0C6698A3" w14:textId="05B88BCE" w:rsidR="00D22E29" w:rsidRDefault="00D22E29" w:rsidP="00D22E29">
      <w:pPr>
        <w:pStyle w:val="Textonotapie"/>
        <w:ind w:firstLine="709"/>
        <w:contextualSpacing/>
        <w:jc w:val="both"/>
        <w:rPr>
          <w:rFonts w:ascii="Arial" w:hAnsi="Arial" w:cs="Arial"/>
          <w:color w:val="000000"/>
          <w:sz w:val="18"/>
          <w:szCs w:val="18"/>
          <w:lang w:val="es-CO"/>
        </w:rPr>
      </w:pPr>
      <w:r w:rsidRPr="00CC14EB">
        <w:rPr>
          <w:rFonts w:ascii="Arial" w:hAnsi="Arial" w:cs="Arial"/>
          <w:color w:val="000000"/>
          <w:sz w:val="18"/>
          <w:szCs w:val="18"/>
          <w:lang w:val="es-CO"/>
        </w:rPr>
        <w:t>»Los pliegos tipo se adoptarán por categorías de acuerdo con la cuantía de la contratación, según la reglamentación que expida el Gobierno nacional».</w:t>
      </w:r>
    </w:p>
    <w:p w14:paraId="379B051B" w14:textId="77777777" w:rsidR="002A5521" w:rsidRPr="00CC14EB" w:rsidRDefault="002A5521" w:rsidP="00D22E29">
      <w:pPr>
        <w:pStyle w:val="Textonotapie"/>
        <w:ind w:firstLine="709"/>
        <w:contextualSpacing/>
        <w:jc w:val="both"/>
        <w:rPr>
          <w:rFonts w:ascii="Arial" w:hAnsi="Arial" w:cs="Arial"/>
          <w:color w:val="000000"/>
          <w:sz w:val="18"/>
          <w:szCs w:val="18"/>
          <w:lang w:val="es-CO"/>
        </w:rPr>
      </w:pPr>
    </w:p>
  </w:footnote>
  <w:footnote w:id="4">
    <w:p w14:paraId="56FA6A4C" w14:textId="511FBFF0" w:rsidR="00D22E29" w:rsidRDefault="00D22E29" w:rsidP="00D22E29">
      <w:pPr>
        <w:pStyle w:val="Textonotapie"/>
        <w:ind w:firstLine="709"/>
        <w:contextualSpacing/>
        <w:jc w:val="both"/>
        <w:rPr>
          <w:rFonts w:ascii="Arial" w:hAnsi="Arial" w:cs="Arial"/>
          <w:color w:val="000000"/>
          <w:sz w:val="18"/>
          <w:szCs w:val="18"/>
        </w:rPr>
      </w:pPr>
      <w:r w:rsidRPr="00CC14EB">
        <w:rPr>
          <w:rStyle w:val="Refdenotaalpie"/>
          <w:rFonts w:ascii="Arial" w:hAnsi="Arial" w:cs="Arial"/>
          <w:sz w:val="18"/>
          <w:szCs w:val="18"/>
        </w:rPr>
        <w:footnoteRef/>
      </w:r>
      <w:r w:rsidRPr="00CC14EB">
        <w:rPr>
          <w:rFonts w:ascii="Arial" w:hAnsi="Arial"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4A133FF1" w14:textId="77777777" w:rsidR="002A5521" w:rsidRPr="00CC14EB" w:rsidRDefault="002A5521" w:rsidP="00D22E29">
      <w:pPr>
        <w:pStyle w:val="Textonotapie"/>
        <w:ind w:firstLine="709"/>
        <w:contextualSpacing/>
        <w:jc w:val="both"/>
        <w:rPr>
          <w:rFonts w:ascii="Arial" w:hAnsi="Arial" w:cs="Arial"/>
          <w:color w:val="000000"/>
          <w:sz w:val="18"/>
          <w:szCs w:val="18"/>
        </w:rPr>
      </w:pPr>
    </w:p>
  </w:footnote>
  <w:footnote w:id="5">
    <w:p w14:paraId="4C610292" w14:textId="77777777" w:rsidR="00177417" w:rsidRPr="00CC14EB" w:rsidRDefault="00177417" w:rsidP="00177417">
      <w:pPr>
        <w:pStyle w:val="Normal11pt"/>
        <w:ind w:left="0" w:firstLine="709"/>
        <w:contextualSpacing/>
        <w:rPr>
          <w:rFonts w:eastAsia="Calibri"/>
          <w:color w:val="000000" w:themeColor="text1"/>
          <w:sz w:val="18"/>
          <w:szCs w:val="18"/>
        </w:rPr>
      </w:pPr>
      <w:r w:rsidRPr="00CC14EB">
        <w:rPr>
          <w:rStyle w:val="Refdenotaalpie"/>
          <w:sz w:val="18"/>
          <w:szCs w:val="18"/>
        </w:rPr>
        <w:footnoteRef/>
      </w:r>
      <w:r w:rsidRPr="00CC14EB">
        <w:rPr>
          <w:sz w:val="18"/>
          <w:szCs w:val="18"/>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40AC7B9F" w14:textId="77777777" w:rsidR="00177417" w:rsidRPr="00CC14EB" w:rsidRDefault="00177417" w:rsidP="00177417">
      <w:pPr>
        <w:pStyle w:val="Textonotapie"/>
        <w:contextualSpacing/>
        <w:jc w:val="both"/>
        <w:rPr>
          <w:rFonts w:ascii="Arial" w:hAnsi="Arial" w:cs="Arial"/>
          <w:sz w:val="18"/>
          <w:szCs w:val="18"/>
        </w:rPr>
      </w:pPr>
    </w:p>
  </w:footnote>
  <w:footnote w:id="6">
    <w:p w14:paraId="340F61C6" w14:textId="5F88CDA7" w:rsidR="00177417" w:rsidRDefault="00177417" w:rsidP="00177417">
      <w:pPr>
        <w:pStyle w:val="Textonotapie"/>
        <w:ind w:firstLine="708"/>
        <w:contextualSpacing/>
        <w:jc w:val="both"/>
        <w:rPr>
          <w:rFonts w:ascii="Arial" w:eastAsia="Calibri" w:hAnsi="Arial" w:cs="Arial"/>
          <w:sz w:val="18"/>
          <w:szCs w:val="18"/>
          <w:lang w:val="es-ES" w:eastAsia="es-ES"/>
        </w:rPr>
      </w:pPr>
      <w:r w:rsidRPr="00CC14EB">
        <w:rPr>
          <w:rStyle w:val="Refdenotaalpie"/>
          <w:rFonts w:ascii="Arial" w:hAnsi="Arial" w:cs="Arial"/>
          <w:sz w:val="18"/>
          <w:szCs w:val="18"/>
        </w:rPr>
        <w:footnoteRef/>
      </w:r>
      <w:r w:rsidRPr="00CC14EB">
        <w:rPr>
          <w:rFonts w:ascii="Arial" w:hAnsi="Arial" w:cs="Arial"/>
          <w:sz w:val="18"/>
          <w:szCs w:val="18"/>
        </w:rPr>
        <w:t xml:space="preserve"> «</w:t>
      </w:r>
      <w:r w:rsidRPr="00CC14EB">
        <w:rPr>
          <w:rFonts w:ascii="Arial" w:eastAsia="Calibri" w:hAnsi="Arial" w:cs="Arial"/>
          <w:sz w:val="18"/>
          <w:szCs w:val="18"/>
          <w:lang w:val="es-ES" w:eastAsia="es-ES"/>
        </w:rPr>
        <w:t>Artículo 179 – VIGENCIA. Esta resolución rige a partir de su publicación y aplicará a los Procesos de Contratación cuyo aviso de convocatoria se publique a partir del 29 de agosto de 2022».</w:t>
      </w:r>
    </w:p>
    <w:p w14:paraId="1E4655FD" w14:textId="77777777" w:rsidR="002A5521" w:rsidRPr="00CC14EB" w:rsidRDefault="002A5521" w:rsidP="00177417">
      <w:pPr>
        <w:pStyle w:val="Textonotapie"/>
        <w:ind w:firstLine="708"/>
        <w:contextualSpacing/>
        <w:jc w:val="both"/>
        <w:rPr>
          <w:rFonts w:ascii="Arial" w:hAnsi="Arial" w:cs="Arial"/>
          <w:sz w:val="18"/>
          <w:szCs w:val="18"/>
        </w:rPr>
      </w:pPr>
    </w:p>
  </w:footnote>
  <w:footnote w:id="7">
    <w:p w14:paraId="4CF30FE6" w14:textId="77777777" w:rsidR="00FE7770" w:rsidRPr="00CC14EB" w:rsidRDefault="00FE7770" w:rsidP="00FE7770">
      <w:pPr>
        <w:pStyle w:val="Textonotapie"/>
        <w:ind w:firstLine="709"/>
        <w:contextualSpacing/>
        <w:jc w:val="both"/>
        <w:rPr>
          <w:rFonts w:ascii="Arial" w:hAnsi="Arial" w:cs="Arial"/>
          <w:sz w:val="18"/>
          <w:szCs w:val="18"/>
          <w:lang w:val="es-CO"/>
        </w:rPr>
      </w:pPr>
      <w:r w:rsidRPr="00CC14EB">
        <w:rPr>
          <w:rStyle w:val="Refdenotaalpie"/>
          <w:rFonts w:ascii="Arial" w:hAnsi="Arial" w:cs="Arial"/>
          <w:sz w:val="18"/>
          <w:szCs w:val="18"/>
        </w:rPr>
        <w:footnoteRef/>
      </w:r>
      <w:r w:rsidRPr="00CC14EB">
        <w:rPr>
          <w:rFonts w:ascii="Arial" w:hAnsi="Arial" w:cs="Arial"/>
          <w:sz w:val="18"/>
          <w:szCs w:val="18"/>
        </w:rPr>
        <w:t xml:space="preserve"> Esta definición del contrato de interventoría fue expuesta por el Consejo de Estado en la siguiente sentencia: </w:t>
      </w:r>
      <w:r w:rsidRPr="00CC14EB">
        <w:rPr>
          <w:rFonts w:ascii="Arial" w:hAnsi="Arial" w:cs="Arial"/>
          <w:sz w:val="18"/>
          <w:szCs w:val="18"/>
          <w:lang w:val="es-CO"/>
        </w:rPr>
        <w:t xml:space="preserve">Consejo de Estado. Sección Tercera. Sentencia del 13 de febrero de 2013. Exp. 24996. C.P. Mauricio Fajardo Gómez. </w:t>
      </w:r>
    </w:p>
    <w:p w14:paraId="23B5DA6D" w14:textId="77777777" w:rsidR="00FE7770" w:rsidRPr="00CC14EB" w:rsidRDefault="00FE7770" w:rsidP="00FE7770">
      <w:pPr>
        <w:pStyle w:val="Textonotapie"/>
        <w:ind w:firstLine="709"/>
        <w:contextualSpacing/>
        <w:jc w:val="both"/>
        <w:rPr>
          <w:rFonts w:ascii="Arial" w:hAnsi="Arial" w:cs="Arial"/>
          <w:sz w:val="18"/>
          <w:szCs w:val="18"/>
          <w:lang w:val="es-ES"/>
        </w:rPr>
      </w:pPr>
    </w:p>
  </w:footnote>
  <w:footnote w:id="8">
    <w:p w14:paraId="12894258" w14:textId="77777777" w:rsidR="00FE7770" w:rsidRPr="00CC14EB" w:rsidRDefault="00FE7770" w:rsidP="00FE7770">
      <w:pPr>
        <w:pStyle w:val="Textonotapie"/>
        <w:ind w:firstLine="709"/>
        <w:contextualSpacing/>
        <w:jc w:val="both"/>
        <w:rPr>
          <w:rFonts w:ascii="Arial" w:hAnsi="Arial" w:cs="Arial"/>
          <w:sz w:val="18"/>
          <w:szCs w:val="18"/>
        </w:rPr>
      </w:pPr>
      <w:r w:rsidRPr="00CC14EB">
        <w:rPr>
          <w:rStyle w:val="Refdenotaalpie"/>
          <w:rFonts w:ascii="Arial" w:hAnsi="Arial" w:cs="Arial"/>
          <w:sz w:val="18"/>
          <w:szCs w:val="18"/>
        </w:rPr>
        <w:footnoteRef/>
      </w:r>
      <w:r w:rsidRPr="00CC14EB">
        <w:rPr>
          <w:rFonts w:ascii="Arial" w:hAnsi="Arial" w:cs="Arial"/>
          <w:sz w:val="18"/>
          <w:szCs w:val="18"/>
        </w:rPr>
        <w:t xml:space="preserve"> En efecto, en la introducción de cada uno de los documentos base de los documentos tipo, se establece una regulación como la siguiente, utilizando de modo ejemplificativo lo señalado frente a los de licitación –Versión 3–: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0378" w14:textId="77777777" w:rsidR="00667EB6" w:rsidRDefault="005F09D6">
    <w:pPr>
      <w:pStyle w:val="Encabezado"/>
    </w:pPr>
    <w:r>
      <w:rPr>
        <w:noProof/>
        <w:lang w:val="es-419" w:eastAsia="es-419"/>
      </w:rPr>
      <w:drawing>
        <wp:anchor distT="0" distB="0" distL="114300" distR="114300" simplePos="0" relativeHeight="251658240" behindDoc="1" locked="0" layoutInCell="1" allowOverlap="1" wp14:anchorId="6DD277FC" wp14:editId="3E51FBFA">
          <wp:simplePos x="0" y="0"/>
          <wp:positionH relativeFrom="margin">
            <wp:align>right</wp:align>
          </wp:positionH>
          <wp:positionV relativeFrom="paragraph">
            <wp:posOffset>-69215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Imagen 2"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FDBCDA" w14:textId="77777777" w:rsidR="00667EB6" w:rsidRDefault="00234268">
    <w:pPr>
      <w:pStyle w:val="Encabezado"/>
      <w:rPr>
        <w:noProof/>
        <w:lang w:val="es-419" w:eastAsia="es-419"/>
      </w:rPr>
    </w:pPr>
  </w:p>
  <w:p w14:paraId="7342E21D" w14:textId="77777777" w:rsidR="00FB1F1F" w:rsidRDefault="002342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102F"/>
    <w:multiLevelType w:val="hybridMultilevel"/>
    <w:tmpl w:val="36281B10"/>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22346663"/>
    <w:multiLevelType w:val="hybridMultilevel"/>
    <w:tmpl w:val="47CCD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00B5A0E"/>
    <w:multiLevelType w:val="hybridMultilevel"/>
    <w:tmpl w:val="B5B8070A"/>
    <w:lvl w:ilvl="0" w:tplc="70D63084">
      <w:start w:val="3"/>
      <w:numFmt w:val="upperLetter"/>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3" w15:restartNumberingAfterBreak="0">
    <w:nsid w:val="31D03536"/>
    <w:multiLevelType w:val="hybridMultilevel"/>
    <w:tmpl w:val="20E429C6"/>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CDC141E"/>
    <w:multiLevelType w:val="hybridMultilevel"/>
    <w:tmpl w:val="0240B6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37D42D2"/>
    <w:multiLevelType w:val="multilevel"/>
    <w:tmpl w:val="B42ED134"/>
    <w:lvl w:ilvl="0">
      <w:start w:val="1"/>
      <w:numFmt w:val="decimal"/>
      <w:lvlText w:val="%1."/>
      <w:lvlJc w:val="left"/>
      <w:pPr>
        <w:ind w:left="360" w:hanging="360"/>
      </w:pPr>
    </w:lvl>
    <w:lvl w:ilvl="1">
      <w:start w:val="1"/>
      <w:numFmt w:val="decimal"/>
      <w:pStyle w:val="Ttulo2"/>
      <w:lvlText w:val="%1.%2."/>
      <w:lvlJc w:val="left"/>
      <w:pPr>
        <w:ind w:left="2771" w:hanging="360"/>
      </w:pPr>
    </w:lvl>
    <w:lvl w:ilvl="2">
      <w:start w:val="1"/>
      <w:numFmt w:val="decimal"/>
      <w:pStyle w:val="Ttulo3"/>
      <w:lvlText w:val="%1.%2.%3."/>
      <w:lvlJc w:val="left"/>
      <w:pPr>
        <w:ind w:left="720" w:hanging="720"/>
      </w:pPr>
    </w:lvl>
    <w:lvl w:ilvl="3">
      <w:start w:val="1"/>
      <w:numFmt w:val="decimal"/>
      <w:pStyle w:val="Ttulo4"/>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5382698F"/>
    <w:multiLevelType w:val="multilevel"/>
    <w:tmpl w:val="C318FEDC"/>
    <w:lvl w:ilvl="0">
      <w:start w:val="10"/>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2006009885">
    <w:abstractNumId w:val="1"/>
  </w:num>
  <w:num w:numId="2" w16cid:durableId="1129513309">
    <w:abstractNumId w:val="4"/>
  </w:num>
  <w:num w:numId="3" w16cid:durableId="19673087">
    <w:abstractNumId w:val="2"/>
  </w:num>
  <w:num w:numId="4" w16cid:durableId="6570024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711699">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2945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1441092">
    <w:abstractNumId w:val="5"/>
  </w:num>
  <w:num w:numId="8" w16cid:durableId="197207801">
    <w:abstractNumId w:val="6"/>
  </w:num>
  <w:num w:numId="9" w16cid:durableId="2077430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72"/>
    <w:rsid w:val="00012292"/>
    <w:rsid w:val="00015C44"/>
    <w:rsid w:val="0005460F"/>
    <w:rsid w:val="0008034E"/>
    <w:rsid w:val="00083D68"/>
    <w:rsid w:val="00086643"/>
    <w:rsid w:val="000953A8"/>
    <w:rsid w:val="000D2F7B"/>
    <w:rsid w:val="00133B3B"/>
    <w:rsid w:val="00135BF6"/>
    <w:rsid w:val="0014396C"/>
    <w:rsid w:val="0014688C"/>
    <w:rsid w:val="00146D25"/>
    <w:rsid w:val="00164E0B"/>
    <w:rsid w:val="00165EB2"/>
    <w:rsid w:val="00177417"/>
    <w:rsid w:val="00182E70"/>
    <w:rsid w:val="001D5660"/>
    <w:rsid w:val="001E4110"/>
    <w:rsid w:val="001F08B2"/>
    <w:rsid w:val="001F2A4D"/>
    <w:rsid w:val="00222800"/>
    <w:rsid w:val="0025050C"/>
    <w:rsid w:val="00251568"/>
    <w:rsid w:val="0025375F"/>
    <w:rsid w:val="0028244F"/>
    <w:rsid w:val="002828C5"/>
    <w:rsid w:val="00287BAC"/>
    <w:rsid w:val="002A0C6B"/>
    <w:rsid w:val="002A4DEC"/>
    <w:rsid w:val="002A5521"/>
    <w:rsid w:val="002F1782"/>
    <w:rsid w:val="002F2B4B"/>
    <w:rsid w:val="002F6042"/>
    <w:rsid w:val="00315F2E"/>
    <w:rsid w:val="003261D4"/>
    <w:rsid w:val="00372AC5"/>
    <w:rsid w:val="003A54C2"/>
    <w:rsid w:val="003A64FF"/>
    <w:rsid w:val="003B0CE8"/>
    <w:rsid w:val="003B1B0B"/>
    <w:rsid w:val="003C5459"/>
    <w:rsid w:val="003E724B"/>
    <w:rsid w:val="003F72D6"/>
    <w:rsid w:val="00401E47"/>
    <w:rsid w:val="004163CD"/>
    <w:rsid w:val="00416F5B"/>
    <w:rsid w:val="004233E1"/>
    <w:rsid w:val="004239AC"/>
    <w:rsid w:val="00456D36"/>
    <w:rsid w:val="004602E6"/>
    <w:rsid w:val="00473201"/>
    <w:rsid w:val="004851BE"/>
    <w:rsid w:val="004A2035"/>
    <w:rsid w:val="004A4526"/>
    <w:rsid w:val="004B2614"/>
    <w:rsid w:val="004B58D0"/>
    <w:rsid w:val="004C15F4"/>
    <w:rsid w:val="004C604B"/>
    <w:rsid w:val="004F1F6A"/>
    <w:rsid w:val="00502FD2"/>
    <w:rsid w:val="00503C6A"/>
    <w:rsid w:val="00530926"/>
    <w:rsid w:val="005325A0"/>
    <w:rsid w:val="00547C6B"/>
    <w:rsid w:val="005517AF"/>
    <w:rsid w:val="00572E9F"/>
    <w:rsid w:val="00583264"/>
    <w:rsid w:val="005A0FA6"/>
    <w:rsid w:val="005B7274"/>
    <w:rsid w:val="005B7AA7"/>
    <w:rsid w:val="005E37A1"/>
    <w:rsid w:val="005F09D6"/>
    <w:rsid w:val="00604258"/>
    <w:rsid w:val="006326A4"/>
    <w:rsid w:val="006327AB"/>
    <w:rsid w:val="00634E93"/>
    <w:rsid w:val="00644B52"/>
    <w:rsid w:val="00647172"/>
    <w:rsid w:val="00657EAF"/>
    <w:rsid w:val="006601FA"/>
    <w:rsid w:val="006641C0"/>
    <w:rsid w:val="006A2F00"/>
    <w:rsid w:val="006B1C84"/>
    <w:rsid w:val="006D76DA"/>
    <w:rsid w:val="00700E4B"/>
    <w:rsid w:val="00704080"/>
    <w:rsid w:val="0073182B"/>
    <w:rsid w:val="0076023D"/>
    <w:rsid w:val="00772D0A"/>
    <w:rsid w:val="007B6034"/>
    <w:rsid w:val="007C1451"/>
    <w:rsid w:val="007C1BFD"/>
    <w:rsid w:val="007C6C87"/>
    <w:rsid w:val="007D3A47"/>
    <w:rsid w:val="00803539"/>
    <w:rsid w:val="008224F6"/>
    <w:rsid w:val="00852C60"/>
    <w:rsid w:val="00866120"/>
    <w:rsid w:val="00867799"/>
    <w:rsid w:val="00872556"/>
    <w:rsid w:val="008779D5"/>
    <w:rsid w:val="00903720"/>
    <w:rsid w:val="00905217"/>
    <w:rsid w:val="00912F62"/>
    <w:rsid w:val="0093158E"/>
    <w:rsid w:val="00934524"/>
    <w:rsid w:val="00943FA6"/>
    <w:rsid w:val="00946626"/>
    <w:rsid w:val="00947D46"/>
    <w:rsid w:val="00953E2B"/>
    <w:rsid w:val="00966937"/>
    <w:rsid w:val="0099039D"/>
    <w:rsid w:val="009B5909"/>
    <w:rsid w:val="009C22FC"/>
    <w:rsid w:val="009C639E"/>
    <w:rsid w:val="009E5A06"/>
    <w:rsid w:val="00A03733"/>
    <w:rsid w:val="00A14DC0"/>
    <w:rsid w:val="00A3778C"/>
    <w:rsid w:val="00A43E7C"/>
    <w:rsid w:val="00A715E9"/>
    <w:rsid w:val="00A97265"/>
    <w:rsid w:val="00AA2BA5"/>
    <w:rsid w:val="00B040D9"/>
    <w:rsid w:val="00B3415B"/>
    <w:rsid w:val="00B374EC"/>
    <w:rsid w:val="00B51491"/>
    <w:rsid w:val="00B51C42"/>
    <w:rsid w:val="00B52521"/>
    <w:rsid w:val="00B6215B"/>
    <w:rsid w:val="00B75E94"/>
    <w:rsid w:val="00BA1831"/>
    <w:rsid w:val="00BB0AB0"/>
    <w:rsid w:val="00BE08FA"/>
    <w:rsid w:val="00BE19DE"/>
    <w:rsid w:val="00BE785C"/>
    <w:rsid w:val="00BF5C37"/>
    <w:rsid w:val="00BF6634"/>
    <w:rsid w:val="00C153B5"/>
    <w:rsid w:val="00C26EED"/>
    <w:rsid w:val="00C3204A"/>
    <w:rsid w:val="00C47B14"/>
    <w:rsid w:val="00C82B5C"/>
    <w:rsid w:val="00CA2F62"/>
    <w:rsid w:val="00CC14EB"/>
    <w:rsid w:val="00D05069"/>
    <w:rsid w:val="00D1150A"/>
    <w:rsid w:val="00D22E29"/>
    <w:rsid w:val="00D46EEB"/>
    <w:rsid w:val="00D62F37"/>
    <w:rsid w:val="00D93E1E"/>
    <w:rsid w:val="00DA02FB"/>
    <w:rsid w:val="00DB3BD5"/>
    <w:rsid w:val="00DC27C2"/>
    <w:rsid w:val="00DE1092"/>
    <w:rsid w:val="00DE55F7"/>
    <w:rsid w:val="00E333C4"/>
    <w:rsid w:val="00E9670E"/>
    <w:rsid w:val="00EB22AE"/>
    <w:rsid w:val="00ED77A9"/>
    <w:rsid w:val="00EF7EEE"/>
    <w:rsid w:val="00F20DA2"/>
    <w:rsid w:val="00F42935"/>
    <w:rsid w:val="00F5596C"/>
    <w:rsid w:val="00F672AB"/>
    <w:rsid w:val="00F773A7"/>
    <w:rsid w:val="00FA16B1"/>
    <w:rsid w:val="00FA5B6E"/>
    <w:rsid w:val="00FB09AD"/>
    <w:rsid w:val="00FE7770"/>
    <w:rsid w:val="0AE3832A"/>
    <w:rsid w:val="4FE585E3"/>
    <w:rsid w:val="50CA4447"/>
    <w:rsid w:val="5EC6EBDA"/>
    <w:rsid w:val="6FC5F1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F12771"/>
  <w15:chartTrackingRefBased/>
  <w15:docId w15:val="{139EB765-D902-41B3-842A-B851767C9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2AB"/>
  </w:style>
  <w:style w:type="paragraph" w:styleId="Ttulo2">
    <w:name w:val="heading 2"/>
    <w:basedOn w:val="Normal"/>
    <w:next w:val="Normal"/>
    <w:link w:val="Ttulo2Car"/>
    <w:uiPriority w:val="9"/>
    <w:unhideWhenUsed/>
    <w:qFormat/>
    <w:rsid w:val="0025050C"/>
    <w:pPr>
      <w:keepNext/>
      <w:keepLines/>
      <w:numPr>
        <w:ilvl w:val="1"/>
        <w:numId w:val="4"/>
      </w:numPr>
      <w:spacing w:after="0" w:line="240" w:lineRule="auto"/>
      <w:jc w:val="both"/>
      <w:outlineLvl w:val="1"/>
    </w:pPr>
    <w:rPr>
      <w:rFonts w:ascii="Arial" w:eastAsiaTheme="majorEastAsia" w:hAnsi="Arial" w:cstheme="majorBidi"/>
      <w:b/>
      <w:kern w:val="0"/>
      <w:sz w:val="20"/>
      <w:szCs w:val="26"/>
      <w14:ligatures w14:val="none"/>
    </w:rPr>
  </w:style>
  <w:style w:type="paragraph" w:styleId="Ttulo3">
    <w:name w:val="heading 3"/>
    <w:basedOn w:val="Normal"/>
    <w:next w:val="Normal"/>
    <w:link w:val="Ttulo3Car"/>
    <w:uiPriority w:val="9"/>
    <w:unhideWhenUsed/>
    <w:qFormat/>
    <w:rsid w:val="0025050C"/>
    <w:pPr>
      <w:keepNext/>
      <w:keepLines/>
      <w:numPr>
        <w:ilvl w:val="2"/>
        <w:numId w:val="4"/>
      </w:numPr>
      <w:spacing w:after="0" w:line="240" w:lineRule="auto"/>
      <w:jc w:val="both"/>
      <w:outlineLvl w:val="2"/>
    </w:pPr>
    <w:rPr>
      <w:rFonts w:ascii="Arial" w:eastAsiaTheme="majorEastAsia" w:hAnsi="Arial" w:cstheme="majorBidi"/>
      <w:b/>
      <w:kern w:val="0"/>
      <w:sz w:val="20"/>
      <w:szCs w:val="24"/>
      <w14:ligatures w14:val="none"/>
    </w:rPr>
  </w:style>
  <w:style w:type="paragraph" w:styleId="Ttulo4">
    <w:name w:val="heading 4"/>
    <w:basedOn w:val="Normal"/>
    <w:next w:val="Normal"/>
    <w:link w:val="Ttulo4Car"/>
    <w:uiPriority w:val="9"/>
    <w:unhideWhenUsed/>
    <w:qFormat/>
    <w:rsid w:val="0025050C"/>
    <w:pPr>
      <w:keepNext/>
      <w:keepLines/>
      <w:numPr>
        <w:ilvl w:val="3"/>
        <w:numId w:val="4"/>
      </w:numPr>
      <w:spacing w:after="0" w:line="240" w:lineRule="auto"/>
      <w:jc w:val="both"/>
      <w:outlineLvl w:val="3"/>
    </w:pPr>
    <w:rPr>
      <w:rFonts w:ascii="Arial" w:eastAsiaTheme="majorEastAsia" w:hAnsi="Arial" w:cstheme="majorBidi"/>
      <w:b/>
      <w:iCs/>
      <w:kern w:val="0"/>
      <w:sz w:val="2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47172"/>
    <w:pPr>
      <w:spacing w:after="0" w:line="240" w:lineRule="auto"/>
    </w:pPr>
  </w:style>
  <w:style w:type="paragraph" w:styleId="Encabezado">
    <w:name w:val="header"/>
    <w:basedOn w:val="Normal"/>
    <w:link w:val="EncabezadoCar"/>
    <w:uiPriority w:val="99"/>
    <w:unhideWhenUsed/>
    <w:rsid w:val="00647172"/>
    <w:pPr>
      <w:tabs>
        <w:tab w:val="center" w:pos="4419"/>
        <w:tab w:val="right" w:pos="8838"/>
      </w:tabs>
      <w:spacing w:after="0" w:line="240" w:lineRule="auto"/>
    </w:pPr>
    <w:rPr>
      <w:rFonts w:ascii="Times New Roman" w:eastAsia="Times New Roman" w:hAnsi="Times New Roman" w:cs="Times New Roman"/>
      <w:kern w:val="0"/>
      <w:sz w:val="24"/>
      <w:szCs w:val="24"/>
      <w:lang w:eastAsia="es-ES_tradnl"/>
      <w14:ligatures w14:val="none"/>
    </w:rPr>
  </w:style>
  <w:style w:type="character" w:customStyle="1" w:styleId="EncabezadoCar">
    <w:name w:val="Encabezado Car"/>
    <w:basedOn w:val="Fuentedeprrafopredeter"/>
    <w:link w:val="Encabezado"/>
    <w:uiPriority w:val="99"/>
    <w:rsid w:val="00647172"/>
    <w:rPr>
      <w:rFonts w:ascii="Times New Roman" w:eastAsia="Times New Roman" w:hAnsi="Times New Roman" w:cs="Times New Roman"/>
      <w:kern w:val="0"/>
      <w:sz w:val="24"/>
      <w:szCs w:val="24"/>
      <w:lang w:eastAsia="es-ES_tradnl"/>
      <w14:ligatures w14:val="none"/>
    </w:rPr>
  </w:style>
  <w:style w:type="paragraph" w:styleId="Piedepgina">
    <w:name w:val="footer"/>
    <w:basedOn w:val="Normal"/>
    <w:link w:val="PiedepginaCar"/>
    <w:uiPriority w:val="99"/>
    <w:unhideWhenUsed/>
    <w:rsid w:val="00647172"/>
    <w:pPr>
      <w:tabs>
        <w:tab w:val="center" w:pos="4419"/>
        <w:tab w:val="right" w:pos="8838"/>
      </w:tabs>
      <w:spacing w:after="0" w:line="240" w:lineRule="auto"/>
    </w:pPr>
    <w:rPr>
      <w:rFonts w:ascii="Times New Roman" w:eastAsia="Times New Roman" w:hAnsi="Times New Roman" w:cs="Times New Roman"/>
      <w:kern w:val="0"/>
      <w:sz w:val="24"/>
      <w:szCs w:val="24"/>
      <w:lang w:eastAsia="es-ES_tradnl"/>
      <w14:ligatures w14:val="none"/>
    </w:rPr>
  </w:style>
  <w:style w:type="character" w:customStyle="1" w:styleId="PiedepginaCar">
    <w:name w:val="Pie de página Car"/>
    <w:basedOn w:val="Fuentedeprrafopredeter"/>
    <w:link w:val="Piedepgina"/>
    <w:uiPriority w:val="99"/>
    <w:rsid w:val="00647172"/>
    <w:rPr>
      <w:rFonts w:ascii="Times New Roman" w:eastAsia="Times New Roman" w:hAnsi="Times New Roman" w:cs="Times New Roman"/>
      <w:kern w:val="0"/>
      <w:sz w:val="24"/>
      <w:szCs w:val="24"/>
      <w:lang w:eastAsia="es-ES_tradnl"/>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4717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647172"/>
    <w:pPr>
      <w:spacing w:after="0" w:line="240" w:lineRule="auto"/>
    </w:pPr>
    <w:rPr>
      <w:sz w:val="20"/>
      <w:szCs w:val="20"/>
      <w:lang w:val="es-MX"/>
    </w:rPr>
  </w:style>
  <w:style w:type="character" w:customStyle="1" w:styleId="TextonotapieCar1">
    <w:name w:val="Texto nota pie Car1"/>
    <w:basedOn w:val="Fuentedeprrafopredeter"/>
    <w:uiPriority w:val="99"/>
    <w:semiHidden/>
    <w:rsid w:val="0064717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647172"/>
    <w:rPr>
      <w:vertAlign w:val="superscript"/>
    </w:rPr>
  </w:style>
  <w:style w:type="paragraph" w:customStyle="1" w:styleId="Appelnotedebasde">
    <w:name w:val="Appel note de bas de..."/>
    <w:basedOn w:val="Normal"/>
    <w:link w:val="Refdenotaalpie"/>
    <w:uiPriority w:val="99"/>
    <w:rsid w:val="00647172"/>
    <w:pPr>
      <w:spacing w:after="0" w:line="240" w:lineRule="exact"/>
    </w:pPr>
    <w:rPr>
      <w:vertAlign w:val="superscript"/>
    </w:rPr>
  </w:style>
  <w:style w:type="table" w:styleId="Tablaconcuadrcula">
    <w:name w:val="Table Grid"/>
    <w:basedOn w:val="Tablanormal"/>
    <w:uiPriority w:val="59"/>
    <w:qFormat/>
    <w:rsid w:val="006471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 pt"/>
    <w:aliases w:val="Negro,Justificado,Izquierda:  -0,95 cm,Derecha:  0,04 cm"/>
    <w:basedOn w:val="Normal"/>
    <w:uiPriority w:val="99"/>
    <w:rsid w:val="00177417"/>
    <w:pPr>
      <w:spacing w:after="0" w:line="240" w:lineRule="auto"/>
      <w:ind w:left="-540"/>
      <w:jc w:val="both"/>
    </w:pPr>
    <w:rPr>
      <w:rFonts w:ascii="Arial" w:eastAsia="Times New Roman" w:hAnsi="Arial" w:cs="Arial"/>
      <w:color w:val="000000"/>
      <w:kern w:val="0"/>
      <w:lang w:val="es-ES_tradnl" w:eastAsia="es-ES"/>
      <w14:ligatures w14:val="none"/>
    </w:rPr>
  </w:style>
  <w:style w:type="character" w:customStyle="1" w:styleId="normaltextrun">
    <w:name w:val="normaltextrun"/>
    <w:basedOn w:val="Fuentedeprrafopredeter"/>
    <w:rsid w:val="00177417"/>
  </w:style>
  <w:style w:type="paragraph" w:customStyle="1" w:styleId="xmsonospacing">
    <w:name w:val="x_msonospacing"/>
    <w:basedOn w:val="Normal"/>
    <w:rsid w:val="00FE7770"/>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Ttulo2Car">
    <w:name w:val="Título 2 Car"/>
    <w:basedOn w:val="Fuentedeprrafopredeter"/>
    <w:link w:val="Ttulo2"/>
    <w:uiPriority w:val="9"/>
    <w:semiHidden/>
    <w:rsid w:val="0025050C"/>
    <w:rPr>
      <w:rFonts w:ascii="Arial" w:eastAsiaTheme="majorEastAsia" w:hAnsi="Arial" w:cstheme="majorBidi"/>
      <w:b/>
      <w:kern w:val="0"/>
      <w:sz w:val="20"/>
      <w:szCs w:val="26"/>
      <w14:ligatures w14:val="none"/>
    </w:rPr>
  </w:style>
  <w:style w:type="character" w:customStyle="1" w:styleId="Ttulo3Car">
    <w:name w:val="Título 3 Car"/>
    <w:basedOn w:val="Fuentedeprrafopredeter"/>
    <w:link w:val="Ttulo3"/>
    <w:uiPriority w:val="9"/>
    <w:rsid w:val="0025050C"/>
    <w:rPr>
      <w:rFonts w:ascii="Arial" w:eastAsiaTheme="majorEastAsia" w:hAnsi="Arial" w:cstheme="majorBidi"/>
      <w:b/>
      <w:kern w:val="0"/>
      <w:sz w:val="20"/>
      <w:szCs w:val="24"/>
      <w14:ligatures w14:val="none"/>
    </w:rPr>
  </w:style>
  <w:style w:type="character" w:customStyle="1" w:styleId="Ttulo4Car">
    <w:name w:val="Título 4 Car"/>
    <w:basedOn w:val="Fuentedeprrafopredeter"/>
    <w:link w:val="Ttulo4"/>
    <w:uiPriority w:val="9"/>
    <w:semiHidden/>
    <w:rsid w:val="0025050C"/>
    <w:rPr>
      <w:rFonts w:ascii="Arial" w:eastAsiaTheme="majorEastAsia" w:hAnsi="Arial" w:cstheme="majorBidi"/>
      <w:b/>
      <w:iCs/>
      <w:kern w:val="0"/>
      <w:sz w:val="20"/>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3FA6"/>
    <w:rPr>
      <w:rFonts w:ascii="Arial" w:hAnsi="Arial" w:cs="Arial"/>
      <w:sz w:val="20"/>
      <w:lang w:val="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43FA6"/>
    <w:pPr>
      <w:spacing w:after="0" w:line="240" w:lineRule="auto"/>
      <w:ind w:left="720"/>
      <w:contextualSpacing/>
      <w:jc w:val="both"/>
    </w:pPr>
    <w:rPr>
      <w:rFonts w:ascii="Arial" w:hAnsi="Arial" w:cs="Arial"/>
      <w:sz w:val="20"/>
      <w:lang w:val="es-ES"/>
    </w:rPr>
  </w:style>
  <w:style w:type="character" w:styleId="Refdecomentario">
    <w:name w:val="annotation reference"/>
    <w:basedOn w:val="Fuentedeprrafopredeter"/>
    <w:uiPriority w:val="99"/>
    <w:semiHidden/>
    <w:unhideWhenUsed/>
    <w:rsid w:val="00164E0B"/>
    <w:rPr>
      <w:sz w:val="16"/>
      <w:szCs w:val="16"/>
    </w:rPr>
  </w:style>
  <w:style w:type="paragraph" w:styleId="Textocomentario">
    <w:name w:val="annotation text"/>
    <w:basedOn w:val="Normal"/>
    <w:link w:val="TextocomentarioCar"/>
    <w:uiPriority w:val="99"/>
    <w:semiHidden/>
    <w:unhideWhenUsed/>
    <w:rsid w:val="00164E0B"/>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semiHidden/>
    <w:rsid w:val="00164E0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361976">
      <w:bodyDiv w:val="1"/>
      <w:marLeft w:val="0"/>
      <w:marRight w:val="0"/>
      <w:marTop w:val="0"/>
      <w:marBottom w:val="0"/>
      <w:divBdr>
        <w:top w:val="none" w:sz="0" w:space="0" w:color="auto"/>
        <w:left w:val="none" w:sz="0" w:space="0" w:color="auto"/>
        <w:bottom w:val="none" w:sz="0" w:space="0" w:color="auto"/>
        <w:right w:val="none" w:sz="0" w:space="0" w:color="auto"/>
      </w:divBdr>
    </w:div>
    <w:div w:id="1505515828">
      <w:bodyDiv w:val="1"/>
      <w:marLeft w:val="0"/>
      <w:marRight w:val="0"/>
      <w:marTop w:val="0"/>
      <w:marBottom w:val="0"/>
      <w:divBdr>
        <w:top w:val="none" w:sz="0" w:space="0" w:color="auto"/>
        <w:left w:val="none" w:sz="0" w:space="0" w:color="auto"/>
        <w:bottom w:val="none" w:sz="0" w:space="0" w:color="auto"/>
        <w:right w:val="none" w:sz="0" w:space="0" w:color="auto"/>
      </w:divBdr>
    </w:div>
    <w:div w:id="151194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94FD4-29F9-4F4B-B64A-BB569E4880B5}">
  <ds:schemaRefs>
    <ds:schemaRef ds:uri="http://schemas.microsoft.com/office/infopath/2007/PartnerControls"/>
    <ds:schemaRef ds:uri="http://purl.org/dc/dcmitype/"/>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368950B5-4264-49A6-A988-0F27C530B158}">
  <ds:schemaRefs>
    <ds:schemaRef ds:uri="http://schemas.microsoft.com/sharepoint/v3/contenttype/forms"/>
  </ds:schemaRefs>
</ds:datastoreItem>
</file>

<file path=customXml/itemProps3.xml><?xml version="1.0" encoding="utf-8"?>
<ds:datastoreItem xmlns:ds="http://schemas.openxmlformats.org/officeDocument/2006/customXml" ds:itemID="{1801325C-4CA9-4BA6-AA4A-995577B7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7242</Words>
  <Characters>39831</Characters>
  <Application>Microsoft Office Word</Application>
  <DocSecurity>0</DocSecurity>
  <Lines>331</Lines>
  <Paragraphs>93</Paragraphs>
  <ScaleCrop>false</ScaleCrop>
  <Company/>
  <LinksUpToDate>false</LinksUpToDate>
  <CharactersWithSpaces>46980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Ana Maria Velez Arteaga</cp:lastModifiedBy>
  <cp:revision>2</cp:revision>
  <dcterms:created xsi:type="dcterms:W3CDTF">2023-03-23T16:22:00Z</dcterms:created>
  <dcterms:modified xsi:type="dcterms:W3CDTF">2023-03-23T16:22:00Z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