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DEA1C3" w14:textId="0EEC8244" w:rsidR="005C16B7" w:rsidRPr="005C16B7" w:rsidRDefault="005C16B7" w:rsidP="00F4619C">
      <w:pPr>
        <w:spacing w:after="0" w:line="240" w:lineRule="auto"/>
        <w:jc w:val="both"/>
        <w:rPr>
          <w:rFonts w:ascii="Verdana" w:eastAsia="Calibri" w:hAnsi="Verdana" w:cs="Arial"/>
          <w:b/>
          <w:bCs/>
          <w:lang w:val="es-ES_tradnl"/>
        </w:rPr>
      </w:pPr>
      <w:r w:rsidRPr="005C16B7">
        <w:rPr>
          <w:rFonts w:ascii="Verdana" w:eastAsia="Calibri" w:hAnsi="Verdana" w:cs="Arial"/>
          <w:b/>
          <w:bCs/>
          <w:lang w:val="es-ES_tradnl"/>
        </w:rPr>
        <w:t>BOLSA DE PRODUCTOS – Noción – Procedencia</w:t>
      </w:r>
    </w:p>
    <w:p w14:paraId="224E272C" w14:textId="2B418CDE" w:rsidR="005C16B7" w:rsidRPr="005C16B7" w:rsidRDefault="005C16B7" w:rsidP="00F4619C">
      <w:pPr>
        <w:spacing w:after="0" w:line="240" w:lineRule="auto"/>
        <w:jc w:val="both"/>
        <w:rPr>
          <w:rFonts w:ascii="Verdana" w:eastAsia="Calibri" w:hAnsi="Verdana" w:cs="Arial"/>
          <w:b/>
          <w:bCs/>
          <w:lang w:val="es-ES_tradnl"/>
        </w:rPr>
      </w:pPr>
    </w:p>
    <w:p w14:paraId="58646888" w14:textId="6F22F598"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La adquisición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competitivo11.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05996D47" w14:textId="0EB27443"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 xml:space="preserve">La negociación por parte de la entidad se da a través de un comisionista, el cual debe ser contratado por la entidad de conformidad con el procedimiento y reglas de la respectiva bolsa de productos. A su vez, la calidad de los productos negociados y la liquidación de las operaciones celebradas debe estar respaldada por garantía. </w:t>
      </w:r>
    </w:p>
    <w:p w14:paraId="0CC5D7E0" w14:textId="35F1BD2C"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De conformidad con el artículo 2.2.1.2.1.2.12 del Decreto 1082 de 2015, modificado por el artículo 2 del Decreto 310 del 25 de marzo de 2021, cuando no exista un acuerdo marco de precios 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 de precios, análisis en que se deberá considerar el proceso de selección del comisionista, los costos asociados a la selección, el valor de la comisión y de las garantía (…).</w:t>
      </w:r>
    </w:p>
    <w:p w14:paraId="2FB58EE4" w14:textId="195C3B51" w:rsidR="005C16B7" w:rsidRPr="005C16B7" w:rsidRDefault="005C16B7" w:rsidP="00F4619C">
      <w:pPr>
        <w:spacing w:after="0" w:line="240" w:lineRule="auto"/>
        <w:jc w:val="both"/>
        <w:rPr>
          <w:rFonts w:ascii="Verdana" w:eastAsia="Calibri" w:hAnsi="Verdana" w:cs="Arial"/>
          <w:b/>
          <w:bCs/>
          <w:lang w:val="es-ES_tradnl"/>
        </w:rPr>
      </w:pPr>
    </w:p>
    <w:p w14:paraId="025C4934" w14:textId="15F30C11" w:rsidR="005C16B7" w:rsidRPr="005C16B7" w:rsidRDefault="005C16B7" w:rsidP="00F4619C">
      <w:pPr>
        <w:spacing w:after="0" w:line="240" w:lineRule="auto"/>
        <w:jc w:val="both"/>
        <w:rPr>
          <w:rFonts w:ascii="Verdana" w:eastAsia="Calibri" w:hAnsi="Verdana" w:cs="Arial"/>
          <w:b/>
          <w:bCs/>
        </w:rPr>
      </w:pPr>
      <w:r w:rsidRPr="005C16B7">
        <w:rPr>
          <w:rFonts w:ascii="Verdana" w:eastAsia="Calibri" w:hAnsi="Verdana" w:cs="Arial"/>
          <w:b/>
          <w:bCs/>
        </w:rPr>
        <w:t>BOLSA DE PRODUCTOS – Publicidad – SECOP</w:t>
      </w:r>
    </w:p>
    <w:p w14:paraId="28229BCE" w14:textId="52BFE715" w:rsidR="005C16B7" w:rsidRPr="005C16B7" w:rsidRDefault="005C16B7" w:rsidP="00F4619C">
      <w:pPr>
        <w:spacing w:after="0" w:line="240" w:lineRule="auto"/>
        <w:jc w:val="both"/>
        <w:rPr>
          <w:rFonts w:ascii="Verdana" w:eastAsia="Calibri" w:hAnsi="Verdana" w:cs="Arial"/>
          <w:b/>
          <w:bCs/>
        </w:rPr>
      </w:pPr>
    </w:p>
    <w:p w14:paraId="4DB25E44" w14:textId="77777777"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 inciso primero del artículo 2.2.1.1.1.7.1, así como según lo dispuesto en los artículos</w:t>
      </w:r>
    </w:p>
    <w:p w14:paraId="3303386D" w14:textId="34E4E5A6"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2.2.1.2.1.2.14 y 2.2.1.2.1.2.12. ‒inciso segundo‒ del Decreto 1082 de 2015, en relación con las adquisiciones de bienes y servicios de características técnicas uniformes y de común utilización a través del mecanismo de bolsa de productos, solo están obligadas a publicar en SECOP el contrato suscrito con el comisionista y sus modificaciones, además del estudio de que trata el artículo 2.2.1.2.1.2.12. del Decreto 1082 de 2015, pero no están obligados a publicar los documentos de las operaciones que se realicen en bolsa de productos.</w:t>
      </w:r>
    </w:p>
    <w:p w14:paraId="64F96A36" w14:textId="697DEB26" w:rsidR="005C16B7" w:rsidRPr="005C16B7" w:rsidRDefault="005C16B7" w:rsidP="005C16B7">
      <w:pPr>
        <w:jc w:val="both"/>
        <w:rPr>
          <w:rFonts w:ascii="Verdana" w:eastAsia="Geomanist Light" w:hAnsi="Verdana" w:cs="Arial"/>
          <w:color w:val="000000" w:themeColor="text1"/>
          <w:sz w:val="20"/>
          <w:szCs w:val="20"/>
          <w:lang w:val="es-MX"/>
        </w:rPr>
      </w:pPr>
      <w:r w:rsidRPr="005C16B7">
        <w:rPr>
          <w:rFonts w:ascii="Verdana" w:eastAsia="Geomanist Light" w:hAnsi="Verdana" w:cs="Arial"/>
          <w:color w:val="000000" w:themeColor="text1"/>
          <w:sz w:val="20"/>
          <w:szCs w:val="20"/>
          <w:lang w:val="es-MX"/>
        </w:rPr>
        <w:t xml:space="preserve">La justificación jurídica y fáctica obedece a que las actuaciones efectuadas en la Bolsa Mercantil se encuentran sometidas en todo momento al contenido del reglamento, circulares e instructivos operativos expedidos por la respectiva Bolsa, quién diariamente publica un boletín en el cual figuran las operaciones celebradas y los precios de las ofertas de compra y de venta, el cual contiene la información relevante como los activos negociados: precios o tasas de apertura, promedio, mínimo, máximo y cierre de las </w:t>
      </w:r>
      <w:r w:rsidRPr="005C16B7">
        <w:rPr>
          <w:rFonts w:ascii="Verdana" w:eastAsia="Geomanist Light" w:hAnsi="Verdana" w:cs="Arial"/>
          <w:color w:val="000000" w:themeColor="text1"/>
          <w:sz w:val="20"/>
          <w:szCs w:val="20"/>
          <w:lang w:val="es-MX"/>
        </w:rPr>
        <w:lastRenderedPageBreak/>
        <w:t xml:space="preserve">operaciones realizadas, volúmenes totales, y número de operaciones que la componen, además de la información correspondiente a los resultados que se obtuvieron en las subastas, entre otras, datos, incluyendo las demás disposiciones que en materia de publicidad y ventas haya establecido el Gobierno Nacional, por lo cual no se consideró pertinente su publicación en SECOP, lo cual se encuentra autorizado legalmente por el parágrafo 6 del artículo 2 de la Ley 1150 de 2007 que dispuso: “El Gobierno Nacional podrá establecer procedimientos diferentes al interior de las diversas causales de selección abreviada, de manera que los mismos se acomoden a las particularidades de los objetos a contratar, sin perjuicio de la posibilidad de establecer procedimientos comunes.” </w:t>
      </w:r>
    </w:p>
    <w:p w14:paraId="3C75FC38" w14:textId="0C6DC07B" w:rsidR="005C16B7" w:rsidRPr="005C16B7" w:rsidRDefault="005C16B7" w:rsidP="005C16B7">
      <w:pPr>
        <w:jc w:val="both"/>
        <w:rPr>
          <w:rFonts w:ascii="Verdana" w:eastAsia="Calibri" w:hAnsi="Verdana" w:cs="Arial"/>
          <w:b/>
          <w:szCs w:val="20"/>
        </w:rPr>
      </w:pPr>
      <w:r w:rsidRPr="005C16B7">
        <w:rPr>
          <w:rFonts w:ascii="Verdana" w:eastAsia="Calibri" w:hAnsi="Verdana" w:cs="Arial"/>
          <w:b/>
          <w:szCs w:val="20"/>
        </w:rPr>
        <w:t>ACUERDOS MARCO DE PRECIOS – Procedencia – Noción</w:t>
      </w:r>
    </w:p>
    <w:p w14:paraId="1559CAA3" w14:textId="77777777" w:rsidR="005C16B7" w:rsidRPr="005C16B7" w:rsidRDefault="005C16B7" w:rsidP="005C16B7">
      <w:pPr>
        <w:spacing w:after="120"/>
        <w:jc w:val="both"/>
        <w:rPr>
          <w:rFonts w:ascii="Verdana" w:eastAsia="Calibri" w:hAnsi="Verdana" w:cs="Arial"/>
          <w:bCs/>
          <w:sz w:val="20"/>
          <w:szCs w:val="18"/>
        </w:rPr>
      </w:pPr>
      <w:r w:rsidRPr="005C16B7">
        <w:rPr>
          <w:rFonts w:ascii="Verdana" w:eastAsia="Calibri" w:hAnsi="Verdana" w:cs="Arial"/>
          <w:bCs/>
          <w:sz w:val="20"/>
          <w:szCs w:val="18"/>
        </w:rPr>
        <w:t>Los Acuerdos Marcos de Precios son definidos por el artículo 2.2.1.1.1.3.1 del Decreto 1082 de 2015 como un «contrato celebrado entre uno o más proveedores y Colombia Compra Eficiente, o quien haga sus veces, para la provisión a las Entidades Estatales de Bienes y Servicios de Características Técnicas Uniformes, en la forma, plazo y condiciones establecidas en este».</w:t>
      </w:r>
      <w:r w:rsidRPr="005C16B7">
        <w:rPr>
          <w:rFonts w:ascii="Verdana" w:eastAsia="Calibri" w:hAnsi="Verdana" w:cs="Arial"/>
          <w:bCs/>
          <w:sz w:val="20"/>
          <w:szCs w:val="18"/>
        </w:rPr>
        <w:tab/>
        <w:t xml:space="preserve">De conformidad con el parágrafo 5 del artículo 2 de la Ley 1150 de 2007, los acuerdos marcos de precios que permiten a las entidades fijar las condiciones de oferta para la adquisición o suministro de bienes y servicios de características técnicas uniformes y de común utilización, durante un periodo de tiempo determinado, al igual que prestablecer unas condiciones de entrega, calidad y garantía, evitando con ello la necesidad de celebrar nuevos contratos para legalizar adquisiciones frecuentes. La definición de estas condiciones posibilita que la selección de proveedores a través de este mecanismo sea ágil y eficiente, en la medida en que permite que las entidades cobijadas por el acuerdo adquieran los bienes y servicios ofrecidos a través de órdenes de compra directa, las cuales complementan las condiciones establecidas en el acuerdo dando lugar a un contrato entre el proveedor y la entidad que realiza la compra. </w:t>
      </w:r>
    </w:p>
    <w:p w14:paraId="30BF7DF9" w14:textId="77777777" w:rsidR="005C16B7" w:rsidRPr="005C16B7" w:rsidRDefault="005C16B7" w:rsidP="005C16B7">
      <w:pPr>
        <w:jc w:val="both"/>
        <w:rPr>
          <w:rFonts w:ascii="Verdana" w:eastAsia="Calibri" w:hAnsi="Verdana" w:cs="Arial"/>
          <w:bCs/>
          <w:sz w:val="20"/>
          <w:szCs w:val="18"/>
        </w:rPr>
      </w:pPr>
      <w:r w:rsidRPr="005C16B7">
        <w:rPr>
          <w:rFonts w:ascii="Verdana" w:eastAsia="Calibri" w:hAnsi="Verdana" w:cs="Arial"/>
          <w:bCs/>
          <w:sz w:val="20"/>
          <w:szCs w:val="18"/>
        </w:rPr>
        <w:t>De conformidad con el numeral 7 del artículo 3 del Decreto 4170 de 2011, la función de diseñar, organizar y celebrar los acuerdos marco de precios y demás mecanismos de agregación de demanda a los que se refiere el artículo 2° de la Ley 1150 de 2007, se encuentra a cargo de la Agencia Nacional de Contratación Pública – Colombia Compra Eficiente.  En ejercicio de tal competencia, esta Agencia se encarga de gestionar los acuerdos marcos de precio con diferentes proveedores de bienes y servicios de características técnicas uniformes y de común utilización, los cuales son puestos a disposición de las entidades estatales cobijadas por estos acuerdos a través de la Tienda Virtual del Estado Colombiano, plataforma transaccional que junto con las plataformas SECOP I y SECOP II integran el Sistema Electrónico de Contratación.</w:t>
      </w:r>
    </w:p>
    <w:p w14:paraId="12A0F29F" w14:textId="77777777" w:rsidR="005C16B7" w:rsidRPr="005C16B7" w:rsidRDefault="005C16B7" w:rsidP="00F4619C">
      <w:pPr>
        <w:spacing w:after="0" w:line="240" w:lineRule="auto"/>
        <w:jc w:val="both"/>
        <w:rPr>
          <w:rFonts w:ascii="Verdana" w:eastAsia="Calibri" w:hAnsi="Verdana" w:cs="Arial"/>
          <w:b/>
          <w:bCs/>
        </w:rPr>
      </w:pPr>
    </w:p>
    <w:p w14:paraId="657D9794" w14:textId="77777777" w:rsidR="005C16B7" w:rsidRDefault="005C16B7" w:rsidP="00F4619C">
      <w:pPr>
        <w:spacing w:after="0" w:line="240" w:lineRule="auto"/>
        <w:jc w:val="both"/>
        <w:rPr>
          <w:rFonts w:ascii="Verdana" w:eastAsia="Geomanist Light" w:hAnsi="Verdana" w:cs="Arial"/>
          <w:color w:val="000000" w:themeColor="text1"/>
          <w:lang w:val="es-MX"/>
        </w:rPr>
      </w:pPr>
    </w:p>
    <w:p w14:paraId="48C760BC" w14:textId="77777777" w:rsidR="005C16B7" w:rsidRDefault="005C16B7" w:rsidP="00F4619C">
      <w:pPr>
        <w:spacing w:after="0" w:line="240" w:lineRule="auto"/>
        <w:jc w:val="both"/>
        <w:rPr>
          <w:rFonts w:ascii="Verdana" w:eastAsia="Geomanist Light" w:hAnsi="Verdana" w:cs="Arial"/>
          <w:color w:val="000000" w:themeColor="text1"/>
          <w:lang w:val="es-MX"/>
        </w:rPr>
      </w:pPr>
    </w:p>
    <w:p w14:paraId="04E60E4C" w14:textId="77777777" w:rsidR="005C16B7" w:rsidRDefault="005C16B7" w:rsidP="00F4619C">
      <w:pPr>
        <w:spacing w:after="0" w:line="240" w:lineRule="auto"/>
        <w:jc w:val="both"/>
        <w:rPr>
          <w:rFonts w:ascii="Verdana" w:eastAsia="Geomanist Light" w:hAnsi="Verdana" w:cs="Arial"/>
          <w:color w:val="000000" w:themeColor="text1"/>
          <w:lang w:val="es-MX"/>
        </w:rPr>
      </w:pPr>
    </w:p>
    <w:p w14:paraId="50DA7834" w14:textId="77777777" w:rsidR="00B1437D" w:rsidRDefault="00B1437D" w:rsidP="00F4619C">
      <w:pPr>
        <w:spacing w:after="0" w:line="240" w:lineRule="auto"/>
        <w:jc w:val="both"/>
        <w:rPr>
          <w:rFonts w:ascii="Verdana" w:eastAsia="Geomanist Light" w:hAnsi="Verdana" w:cs="Arial"/>
          <w:color w:val="000000" w:themeColor="text1"/>
          <w:lang w:val="es-MX"/>
        </w:rPr>
      </w:pPr>
    </w:p>
    <w:p w14:paraId="5E4C6E24" w14:textId="4680A8D9" w:rsidR="00F4619C" w:rsidRPr="00DB30F3" w:rsidRDefault="00F4619C" w:rsidP="00F4619C">
      <w:pPr>
        <w:spacing w:after="0" w:line="240" w:lineRule="auto"/>
        <w:jc w:val="both"/>
        <w:rPr>
          <w:rFonts w:ascii="Verdana" w:eastAsia="Geomanist Light" w:hAnsi="Verdana" w:cs="Arial"/>
          <w:color w:val="000000" w:themeColor="text1"/>
          <w:lang w:val="es-MX"/>
        </w:rPr>
      </w:pPr>
      <w:bookmarkStart w:id="0" w:name="_GoBack"/>
      <w:bookmarkEnd w:id="0"/>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[Mes.NombreCapitalizado] de [Año]</w:t>
      </w:r>
    </w:p>
    <w:p w14:paraId="352A44CE" w14:textId="2C4015D8" w:rsidR="00F4619C" w:rsidRPr="00593A5F" w:rsidRDefault="00F4619C" w:rsidP="00F4619C">
      <w:pPr>
        <w:spacing w:after="0" w:line="240" w:lineRule="auto"/>
        <w:jc w:val="both"/>
        <w:rPr>
          <w:rFonts w:ascii="Verdana" w:eastAsia="Calibri" w:hAnsi="Verdana" w:cs="Arial"/>
          <w:color w:val="000000"/>
          <w:lang w:val="es-ES"/>
        </w:rPr>
      </w:pPr>
    </w:p>
    <w:p w14:paraId="319E51A1" w14:textId="3192D8C9" w:rsidR="00F4619C" w:rsidRDefault="001C6282" w:rsidP="00F4619C">
      <w:pPr>
        <w:spacing w:after="0" w:line="240" w:lineRule="auto"/>
        <w:jc w:val="both"/>
        <w:rPr>
          <w:rFonts w:ascii="Verdana" w:eastAsia="Calibri" w:hAnsi="Verdana" w:cs="Arial"/>
          <w:lang w:val="es-ES" w:eastAsia="es-ES"/>
        </w:rPr>
      </w:pPr>
      <w:r w:rsidRPr="001C6282">
        <w:rPr>
          <w:rFonts w:ascii="Verdana" w:hAnsi="Verdana"/>
          <w:b/>
          <w:bCs/>
        </w:rPr>
        <w:drawing>
          <wp:anchor distT="0" distB="0" distL="114300" distR="114300" simplePos="0" relativeHeight="251660288" behindDoc="1" locked="0" layoutInCell="1" allowOverlap="1" wp14:anchorId="73B2A321" wp14:editId="3D103196">
            <wp:simplePos x="0" y="0"/>
            <wp:positionH relativeFrom="margin">
              <wp:align>right</wp:align>
            </wp:positionH>
            <wp:positionV relativeFrom="paragraph">
              <wp:posOffset>9221</wp:posOffset>
            </wp:positionV>
            <wp:extent cx="3019950" cy="895088"/>
            <wp:effectExtent l="0" t="0" r="0" b="63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019950" cy="895088"/>
                    </a:xfrm>
                    <a:prstGeom prst="rect">
                      <a:avLst/>
                    </a:prstGeom>
                  </pic:spPr>
                </pic:pic>
              </a:graphicData>
            </a:graphic>
            <wp14:sizeRelH relativeFrom="margin">
              <wp14:pctWidth>0</wp14:pctWidth>
            </wp14:sizeRelH>
            <wp14:sizeRelV relativeFrom="margin">
              <wp14:pctHeight>0</wp14:pctHeight>
            </wp14:sizeRelV>
          </wp:anchor>
        </w:drawing>
      </w:r>
    </w:p>
    <w:p w14:paraId="21AE4935" w14:textId="77777777" w:rsidR="00F4619C" w:rsidRPr="00077781" w:rsidRDefault="00F4619C" w:rsidP="00F4619C">
      <w:pPr>
        <w:spacing w:after="0" w:line="240" w:lineRule="auto"/>
        <w:jc w:val="both"/>
        <w:rPr>
          <w:rFonts w:ascii="Verdana" w:eastAsia="Calibri" w:hAnsi="Verdana" w:cs="Arial"/>
          <w:lang w:val="es-ES" w:eastAsia="es-ES"/>
        </w:rPr>
      </w:pPr>
      <w:r w:rsidRPr="00077781">
        <w:rPr>
          <w:rFonts w:ascii="Verdana" w:eastAsia="Calibri" w:hAnsi="Verdana" w:cs="Arial"/>
          <w:lang w:val="es-ES" w:eastAsia="es-ES"/>
        </w:rPr>
        <w:t>Señora</w:t>
      </w:r>
    </w:p>
    <w:p w14:paraId="363B472D" w14:textId="383DF471" w:rsidR="00F4619C" w:rsidRPr="00077781" w:rsidRDefault="00F4619C" w:rsidP="00F4619C">
      <w:pPr>
        <w:spacing w:after="0" w:line="240" w:lineRule="auto"/>
        <w:rPr>
          <w:rFonts w:ascii="Verdana" w:hAnsi="Verdana"/>
          <w:b/>
          <w:bCs/>
        </w:rPr>
      </w:pPr>
      <w:r w:rsidRPr="00077781">
        <w:rPr>
          <w:rFonts w:ascii="Verdana" w:hAnsi="Verdana"/>
          <w:b/>
          <w:bCs/>
        </w:rPr>
        <w:t>Yenny Milena Ariza Acosta</w:t>
      </w:r>
      <w:r w:rsidR="001C6282" w:rsidRPr="001C6282">
        <w:rPr>
          <w:noProof/>
        </w:rPr>
        <w:t xml:space="preserve"> </w:t>
      </w:r>
    </w:p>
    <w:p w14:paraId="1B2669C8" w14:textId="77777777" w:rsidR="00F4619C" w:rsidRPr="00077781" w:rsidRDefault="00DC58BB" w:rsidP="00F4619C">
      <w:pPr>
        <w:spacing w:after="0" w:line="240" w:lineRule="auto"/>
        <w:rPr>
          <w:rFonts w:ascii="Verdana" w:hAnsi="Verdana"/>
        </w:rPr>
      </w:pPr>
      <w:hyperlink r:id="rId12" w:history="1">
        <w:r w:rsidR="00F4619C" w:rsidRPr="00077781">
          <w:rPr>
            <w:rStyle w:val="Hipervnculo"/>
            <w:rFonts w:ascii="Verdana" w:hAnsi="Verdana"/>
            <w:color w:val="auto"/>
            <w:u w:val="none"/>
          </w:rPr>
          <w:t>yennyariza_77@hotmail.com</w:t>
        </w:r>
      </w:hyperlink>
    </w:p>
    <w:p w14:paraId="2BB4EEBB" w14:textId="77777777" w:rsidR="00F4619C" w:rsidRPr="00077781" w:rsidRDefault="00F4619C" w:rsidP="00F4619C">
      <w:pPr>
        <w:spacing w:after="0" w:line="240" w:lineRule="auto"/>
        <w:rPr>
          <w:rFonts w:ascii="Verdana" w:eastAsia="Calibri" w:hAnsi="Verdana" w:cs="Arial"/>
          <w:bCs/>
          <w:lang w:val="es-ES_tradnl" w:eastAsia="es-ES_tradnl"/>
        </w:rPr>
      </w:pPr>
      <w:r w:rsidRPr="00077781">
        <w:rPr>
          <w:rFonts w:ascii="Verdana" w:eastAsia="Calibri" w:hAnsi="Verdana" w:cs="Arial"/>
          <w:bCs/>
          <w:lang w:val="es-ES_tradnl" w:eastAsia="es-ES_tradnl"/>
        </w:rPr>
        <w:t>Bogotá D.C.</w:t>
      </w:r>
    </w:p>
    <w:p w14:paraId="573743F0" w14:textId="77777777" w:rsidR="00F4619C" w:rsidRDefault="00F4619C" w:rsidP="00F4619C">
      <w:pPr>
        <w:spacing w:after="0" w:line="240" w:lineRule="auto"/>
        <w:rPr>
          <w:rFonts w:ascii="Verdana" w:eastAsia="Calibri" w:hAnsi="Verdana" w:cs="Arial"/>
          <w:bCs/>
          <w:lang w:val="es-ES_tradnl" w:eastAsia="es-ES_tradnl"/>
        </w:rPr>
      </w:pPr>
    </w:p>
    <w:p w14:paraId="7E363D61" w14:textId="77777777" w:rsidR="00F4619C" w:rsidRPr="00593A5F" w:rsidRDefault="00F4619C" w:rsidP="00F4619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4619C" w:rsidRPr="00593A5F" w14:paraId="1A3EA567" w14:textId="77777777" w:rsidTr="003D0810">
        <w:trPr>
          <w:trHeight w:val="884"/>
        </w:trPr>
        <w:tc>
          <w:tcPr>
            <w:tcW w:w="2689" w:type="dxa"/>
          </w:tcPr>
          <w:p w14:paraId="01DDA15C" w14:textId="77777777" w:rsidR="00F4619C" w:rsidRPr="00C00976" w:rsidRDefault="00F4619C" w:rsidP="003D0810">
            <w:pPr>
              <w:jc w:val="both"/>
              <w:rPr>
                <w:rFonts w:ascii="Verdana" w:eastAsia="Calibri" w:hAnsi="Verdana" w:cs="Arial"/>
                <w:b/>
                <w:bCs/>
                <w:color w:val="7030A0"/>
                <w:lang w:val="es-ES_tradnl" w:eastAsia="es-ES_tradnl"/>
              </w:rPr>
            </w:pPr>
          </w:p>
        </w:tc>
        <w:tc>
          <w:tcPr>
            <w:tcW w:w="6100" w:type="dxa"/>
          </w:tcPr>
          <w:p w14:paraId="2E840849" w14:textId="77777777" w:rsidR="00F4619C" w:rsidRPr="007B60E9" w:rsidRDefault="00F4619C" w:rsidP="003D0810">
            <w:pPr>
              <w:jc w:val="both"/>
              <w:rPr>
                <w:rFonts w:ascii="Verdana" w:eastAsia="Calibri" w:hAnsi="Verdana" w:cs="Arial"/>
                <w:b/>
                <w:bCs/>
                <w:color w:val="7030A0"/>
                <w:lang w:val="es-ES" w:eastAsia="es-ES"/>
              </w:rPr>
            </w:pPr>
            <w:r w:rsidRPr="00423EEA">
              <w:rPr>
                <w:rFonts w:ascii="Verdana" w:eastAsia="Calibri" w:hAnsi="Verdana" w:cs="Arial"/>
                <w:b/>
                <w:bCs/>
                <w:lang w:val="es-ES" w:eastAsia="es-ES"/>
              </w:rPr>
              <w:t>Concepto C-</w:t>
            </w:r>
            <w:r>
              <w:rPr>
                <w:rFonts w:ascii="Verdana" w:eastAsia="Calibri" w:hAnsi="Verdana" w:cs="Arial"/>
                <w:b/>
                <w:bCs/>
                <w:lang w:val="es-ES" w:eastAsia="es-ES"/>
              </w:rPr>
              <w:t>945</w:t>
            </w:r>
            <w:r w:rsidRPr="00423EEA">
              <w:rPr>
                <w:rFonts w:ascii="Verdana" w:eastAsia="Calibri" w:hAnsi="Verdana" w:cs="Arial"/>
                <w:b/>
                <w:bCs/>
                <w:lang w:val="es-ES" w:eastAsia="es-ES"/>
              </w:rPr>
              <w:t xml:space="preserve"> de 2024</w:t>
            </w:r>
          </w:p>
        </w:tc>
      </w:tr>
      <w:tr w:rsidR="00F4619C" w:rsidRPr="00593A5F" w14:paraId="2A7160D4" w14:textId="77777777" w:rsidTr="003D0810">
        <w:trPr>
          <w:trHeight w:val="884"/>
        </w:trPr>
        <w:tc>
          <w:tcPr>
            <w:tcW w:w="2689" w:type="dxa"/>
          </w:tcPr>
          <w:p w14:paraId="705C1278" w14:textId="77777777" w:rsidR="00F4619C" w:rsidRPr="004B40A6" w:rsidRDefault="00F4619C" w:rsidP="003D0810">
            <w:pPr>
              <w:jc w:val="both"/>
              <w:rPr>
                <w:rFonts w:ascii="Verdana" w:eastAsia="Calibri" w:hAnsi="Verdana" w:cs="Arial"/>
                <w:lang w:val="es-ES_tradnl" w:eastAsia="es-ES_tradnl"/>
              </w:rPr>
            </w:pPr>
            <w:r w:rsidRPr="004B40A6">
              <w:rPr>
                <w:rFonts w:ascii="Verdana" w:eastAsia="Calibri" w:hAnsi="Verdana" w:cs="Arial"/>
                <w:b/>
                <w:lang w:val="es-ES_tradnl" w:eastAsia="es-ES_tradnl"/>
              </w:rPr>
              <w:t>Temas:</w:t>
            </w:r>
            <w:r w:rsidRPr="004B40A6">
              <w:rPr>
                <w:rFonts w:ascii="Verdana" w:eastAsia="Calibri" w:hAnsi="Verdana" w:cs="Arial"/>
                <w:lang w:val="es-ES_tradnl" w:eastAsia="es-ES_tradnl"/>
              </w:rPr>
              <w:t xml:space="preserve">                   </w:t>
            </w:r>
          </w:p>
        </w:tc>
        <w:tc>
          <w:tcPr>
            <w:tcW w:w="6100" w:type="dxa"/>
          </w:tcPr>
          <w:p w14:paraId="173D6C53" w14:textId="77777777" w:rsidR="00F4619C" w:rsidRPr="00E34739" w:rsidRDefault="00F4619C" w:rsidP="003D0810">
            <w:pPr>
              <w:spacing w:line="276" w:lineRule="auto"/>
              <w:jc w:val="both"/>
              <w:rPr>
                <w:rFonts w:ascii="Verdana" w:eastAsia="Calibri" w:hAnsi="Verdana" w:cs="Arial"/>
                <w:lang w:val="es-ES_tradnl"/>
              </w:rPr>
            </w:pPr>
            <w:r w:rsidRPr="00E34739">
              <w:rPr>
                <w:rFonts w:ascii="Verdana" w:eastAsia="Calibri" w:hAnsi="Verdana" w:cs="Arial"/>
                <w:lang w:val="es-ES_tradnl"/>
              </w:rPr>
              <w:t xml:space="preserve">BOLSA DE PRODUCTOS – Noción – Procedencia / </w:t>
            </w:r>
            <w:r w:rsidRPr="00E34739">
              <w:rPr>
                <w:rFonts w:ascii="Verdana" w:eastAsia="Calibri" w:hAnsi="Verdana" w:cs="Arial"/>
              </w:rPr>
              <w:t xml:space="preserve">BOLSA DE PRODUCTOS – Publicidad – SECOP / </w:t>
            </w:r>
            <w:r w:rsidRPr="00E34739">
              <w:rPr>
                <w:rFonts w:ascii="Verdana" w:eastAsia="Calibri" w:hAnsi="Verdana" w:cs="Arial"/>
                <w:szCs w:val="20"/>
              </w:rPr>
              <w:t>ACUERDOS MARCO DE PRECIOS – Procedencia – Noción</w:t>
            </w:r>
          </w:p>
        </w:tc>
      </w:tr>
      <w:tr w:rsidR="00F4619C" w:rsidRPr="00593A5F" w14:paraId="4F91E4FD" w14:textId="77777777" w:rsidTr="003D0810">
        <w:trPr>
          <w:trHeight w:val="89"/>
        </w:trPr>
        <w:tc>
          <w:tcPr>
            <w:tcW w:w="2689" w:type="dxa"/>
          </w:tcPr>
          <w:p w14:paraId="5A9C7317" w14:textId="77777777" w:rsidR="00F4619C" w:rsidRPr="004B40A6" w:rsidRDefault="00F4619C" w:rsidP="003D0810">
            <w:pPr>
              <w:jc w:val="both"/>
              <w:rPr>
                <w:rFonts w:ascii="Verdana" w:eastAsia="Calibri" w:hAnsi="Verdana" w:cs="Arial"/>
                <w:b/>
                <w:lang w:val="es-ES_tradnl" w:eastAsia="es-ES_tradnl"/>
              </w:rPr>
            </w:pPr>
            <w:r w:rsidRPr="004B40A6">
              <w:rPr>
                <w:rFonts w:ascii="Verdana" w:eastAsia="Calibri" w:hAnsi="Verdana" w:cs="Arial"/>
                <w:b/>
                <w:lang w:val="es-ES_tradnl" w:eastAsia="es-ES_tradnl"/>
              </w:rPr>
              <w:t>Radicación:</w:t>
            </w:r>
            <w:r w:rsidRPr="004B40A6">
              <w:rPr>
                <w:rFonts w:ascii="Verdana" w:eastAsia="Calibri" w:hAnsi="Verdana" w:cs="Arial"/>
                <w:lang w:val="es-ES_tradnl" w:eastAsia="es-ES_tradnl"/>
              </w:rPr>
              <w:t xml:space="preserve">               </w:t>
            </w:r>
          </w:p>
        </w:tc>
        <w:tc>
          <w:tcPr>
            <w:tcW w:w="6100" w:type="dxa"/>
          </w:tcPr>
          <w:p w14:paraId="3EF81D89" w14:textId="77777777" w:rsidR="00F4619C" w:rsidRPr="00E56225" w:rsidRDefault="00F4619C" w:rsidP="003D0810">
            <w:pPr>
              <w:spacing w:line="276" w:lineRule="auto"/>
              <w:jc w:val="both"/>
              <w:rPr>
                <w:rFonts w:ascii="Verdana" w:hAnsi="Verdana" w:cs="Calibri"/>
              </w:rPr>
            </w:pPr>
            <w:r w:rsidRPr="004B40A6">
              <w:rPr>
                <w:rFonts w:ascii="Verdana" w:eastAsia="Calibri" w:hAnsi="Verdana" w:cs="Arial"/>
                <w:lang w:val="es-ES_tradnl" w:eastAsia="es-ES_tradnl"/>
              </w:rPr>
              <w:t xml:space="preserve">Respuesta a consulta con radicado No. </w:t>
            </w:r>
            <w:r w:rsidRPr="00077781">
              <w:rPr>
                <w:rFonts w:ascii="Verdana" w:hAnsi="Verdana" w:cs="Calibri"/>
              </w:rPr>
              <w:t>P20241122011807</w:t>
            </w:r>
          </w:p>
        </w:tc>
      </w:tr>
    </w:tbl>
    <w:p w14:paraId="2B0A9E0B"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515DE78F" w14:textId="77777777" w:rsidR="00F4619C" w:rsidRPr="00593A5F" w:rsidRDefault="00F4619C" w:rsidP="00F4619C">
      <w:pPr>
        <w:spacing w:after="0" w:line="240" w:lineRule="auto"/>
        <w:jc w:val="both"/>
        <w:rPr>
          <w:rFonts w:ascii="Verdana" w:eastAsia="Calibri" w:hAnsi="Verdana" w:cs="Arial"/>
          <w:color w:val="000000"/>
          <w:lang w:val="es-ES_tradnl" w:eastAsia="es-ES_tradnl"/>
        </w:rPr>
      </w:pPr>
    </w:p>
    <w:p w14:paraId="1A893171" w14:textId="77777777" w:rsidR="00F4619C" w:rsidRPr="004B40A6" w:rsidRDefault="00F4619C" w:rsidP="00F4619C">
      <w:pPr>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Estimad</w:t>
      </w:r>
      <w:r>
        <w:rPr>
          <w:rFonts w:ascii="Verdana" w:eastAsia="Calibri" w:hAnsi="Verdana" w:cs="Arial"/>
          <w:lang w:val="es-ES" w:eastAsia="es-ES"/>
        </w:rPr>
        <w:t>a</w:t>
      </w:r>
      <w:r w:rsidRPr="004B40A6">
        <w:rPr>
          <w:rFonts w:ascii="Verdana" w:eastAsia="Calibri" w:hAnsi="Verdana" w:cs="Arial"/>
          <w:lang w:val="es-ES" w:eastAsia="es-ES"/>
        </w:rPr>
        <w:t xml:space="preserve"> </w:t>
      </w:r>
      <w:r>
        <w:rPr>
          <w:rFonts w:ascii="Verdana" w:eastAsia="Calibri" w:hAnsi="Verdana" w:cs="Arial"/>
          <w:lang w:val="es-ES" w:eastAsia="es-ES"/>
        </w:rPr>
        <w:t>señora Ariza</w:t>
      </w:r>
      <w:r w:rsidRPr="004B40A6">
        <w:rPr>
          <w:rFonts w:ascii="Verdana" w:eastAsia="Calibri" w:hAnsi="Verdana" w:cs="Arial"/>
          <w:lang w:val="es-ES" w:eastAsia="es-ES"/>
        </w:rPr>
        <w:t xml:space="preserve">: </w:t>
      </w:r>
    </w:p>
    <w:p w14:paraId="1C3A8363" w14:textId="77777777" w:rsidR="00F4619C" w:rsidRPr="004B40A6" w:rsidRDefault="00F4619C" w:rsidP="00F4619C">
      <w:pPr>
        <w:tabs>
          <w:tab w:val="left" w:pos="3768"/>
        </w:tabs>
        <w:spacing w:after="0" w:line="276" w:lineRule="auto"/>
        <w:jc w:val="both"/>
        <w:rPr>
          <w:rFonts w:ascii="Verdana" w:eastAsia="Calibri" w:hAnsi="Verdana" w:cs="Arial"/>
          <w:lang w:val="es-ES" w:eastAsia="es-ES"/>
        </w:rPr>
      </w:pPr>
      <w:r w:rsidRPr="004B40A6">
        <w:rPr>
          <w:rFonts w:ascii="Verdana" w:eastAsia="Calibri" w:hAnsi="Verdana" w:cs="Arial"/>
          <w:lang w:val="es-ES" w:eastAsia="es-ES"/>
        </w:rPr>
        <w:tab/>
      </w:r>
    </w:p>
    <w:p w14:paraId="0BCF1D72" w14:textId="77777777" w:rsidR="00F4619C" w:rsidRDefault="00F4619C" w:rsidP="00F4619C">
      <w:pPr>
        <w:spacing w:after="0" w:line="276" w:lineRule="auto"/>
        <w:jc w:val="both"/>
        <w:rPr>
          <w:rFonts w:ascii="Verdana" w:eastAsia="Calibri" w:hAnsi="Verdana" w:cs="Arial"/>
          <w:lang w:val="es-ES" w:eastAsia="es-ES"/>
        </w:rPr>
      </w:pPr>
      <w:r w:rsidRPr="00F7454D">
        <w:rPr>
          <w:rFonts w:ascii="Verdana" w:eastAsia="Calibri" w:hAnsi="Verdana" w:cs="Arial"/>
          <w:lang w:val="es-ES" w:eastAsia="es-ES"/>
        </w:rPr>
        <w:t>En ejercicio de la competencia otorgada por los artículos 3, numeral 5º, y 11, numeral 8º, del Decreto Ley 4170 de 2011,</w:t>
      </w:r>
      <w:r w:rsidRPr="00F7454D">
        <w:rPr>
          <w:rFonts w:ascii="Verdana" w:eastAsia="Arial MT" w:hAnsi="Verdana" w:cs="Arial MT"/>
          <w:lang w:val="es-ES" w:eastAsia="es-ES"/>
        </w:rPr>
        <w:t xml:space="preserve"> </w:t>
      </w:r>
      <w:r w:rsidRPr="00F7454D">
        <w:rPr>
          <w:rFonts w:ascii="Verdana" w:hAnsi="Verdana" w:cs="Arial"/>
        </w:rPr>
        <w:t xml:space="preserve">así como lo establecido en el artículo 4 de la Resolución 1707 de 2018 expedida por esta Entidad, </w:t>
      </w:r>
      <w:r w:rsidRPr="00F7454D">
        <w:rPr>
          <w:rFonts w:ascii="Verdana" w:eastAsia="Calibri" w:hAnsi="Verdana" w:cs="Arial"/>
          <w:lang w:val="es-ES" w:eastAsia="es-ES"/>
        </w:rPr>
        <w:t xml:space="preserve">la Agencia Nacional de Contratación Pública –Colombia Compra Eficiente– responde su solicitud de consulta de fecha </w:t>
      </w:r>
      <w:r>
        <w:rPr>
          <w:rFonts w:ascii="Verdana" w:eastAsia="Calibri" w:hAnsi="Verdana" w:cs="Arial"/>
          <w:lang w:val="es-ES" w:eastAsia="es-ES"/>
        </w:rPr>
        <w:t>22</w:t>
      </w:r>
      <w:r w:rsidRPr="00F7454D">
        <w:rPr>
          <w:rFonts w:ascii="Verdana" w:eastAsia="Calibri" w:hAnsi="Verdana" w:cs="Arial"/>
          <w:lang w:val="es-ES" w:eastAsia="es-ES"/>
        </w:rPr>
        <w:t xml:space="preserve"> de </w:t>
      </w:r>
      <w:r>
        <w:rPr>
          <w:rFonts w:ascii="Verdana" w:eastAsia="Calibri" w:hAnsi="Verdana" w:cs="Arial"/>
          <w:lang w:val="es-ES" w:eastAsia="es-ES"/>
        </w:rPr>
        <w:t>noviembre</w:t>
      </w:r>
      <w:r w:rsidRPr="00F7454D">
        <w:rPr>
          <w:rFonts w:ascii="Verdana" w:eastAsia="Calibri" w:hAnsi="Verdana" w:cs="Arial"/>
          <w:lang w:val="es-ES" w:eastAsia="es-ES"/>
        </w:rPr>
        <w:t xml:space="preserve"> de 2024, en la cual manifiesta lo siguiente: </w:t>
      </w:r>
    </w:p>
    <w:p w14:paraId="23A965E6" w14:textId="77777777" w:rsidR="00F4619C" w:rsidRPr="00076878" w:rsidRDefault="00F4619C" w:rsidP="00F4619C">
      <w:pPr>
        <w:spacing w:after="0" w:line="276" w:lineRule="auto"/>
        <w:jc w:val="both"/>
        <w:rPr>
          <w:rFonts w:ascii="Verdana" w:eastAsia="Calibri" w:hAnsi="Verdana" w:cs="Arial"/>
          <w:lang w:val="es-ES" w:eastAsia="es-ES"/>
        </w:rPr>
      </w:pPr>
    </w:p>
    <w:p w14:paraId="34B6E6F9" w14:textId="77777777" w:rsidR="00F4619C" w:rsidRPr="00077781" w:rsidRDefault="00F4619C" w:rsidP="00F4619C">
      <w:pPr>
        <w:spacing w:after="0" w:line="276" w:lineRule="auto"/>
        <w:jc w:val="both"/>
        <w:rPr>
          <w:rFonts w:ascii="Verdana" w:hAnsi="Verdana"/>
          <w:i/>
          <w:iCs/>
          <w:sz w:val="20"/>
          <w:szCs w:val="20"/>
        </w:rPr>
      </w:pPr>
      <w:bookmarkStart w:id="1" w:name="_Hlk95313578"/>
      <w:r w:rsidRPr="00077781">
        <w:rPr>
          <w:rFonts w:ascii="Verdana" w:eastAsia="Century Gothic" w:hAnsi="Verdana" w:cs="Century Gothic"/>
          <w:i/>
          <w:iCs/>
          <w:sz w:val="20"/>
          <w:szCs w:val="20"/>
          <w:lang w:val="es-ES"/>
        </w:rPr>
        <w:t>“</w:t>
      </w:r>
      <w:bookmarkEnd w:id="1"/>
      <w:r w:rsidRPr="00077781">
        <w:rPr>
          <w:rFonts w:ascii="Verdana" w:hAnsi="Verdana"/>
          <w:i/>
          <w:iCs/>
          <w:sz w:val="20"/>
          <w:szCs w:val="20"/>
        </w:rPr>
        <w:t xml:space="preserve">La pregunta principal radica en si es necesario llevar a cabo los análisis del sector y estudios de mercado cada vez que requieran Compras a través del escenario de la BMC en la etapa de ejecución de un solo contrato de comisión durante el año; o si, por el contrario, bastaría con el análisis realizado en la etapa precontractual para este tipo de contratación, tal como se establece en el artículo 2.2.1.1.1.6.1 del Decreto 1082 de 2015 y el numeral 5.12 del Manual de Contratación. </w:t>
      </w:r>
    </w:p>
    <w:p w14:paraId="67C79DB2" w14:textId="77777777" w:rsidR="00F4619C" w:rsidRPr="00077781" w:rsidRDefault="00F4619C" w:rsidP="00F4619C">
      <w:pPr>
        <w:spacing w:after="0" w:line="276" w:lineRule="auto"/>
        <w:jc w:val="both"/>
        <w:rPr>
          <w:rFonts w:ascii="Verdana" w:hAnsi="Verdana"/>
          <w:i/>
          <w:iCs/>
          <w:sz w:val="20"/>
          <w:szCs w:val="20"/>
        </w:rPr>
      </w:pPr>
    </w:p>
    <w:p w14:paraId="6FF99B30" w14:textId="77777777" w:rsidR="00F4619C" w:rsidRPr="00077781" w:rsidRDefault="00F4619C" w:rsidP="00F4619C">
      <w:pPr>
        <w:spacing w:after="0" w:line="276" w:lineRule="auto"/>
        <w:jc w:val="both"/>
        <w:rPr>
          <w:rFonts w:ascii="Verdana" w:hAnsi="Verdana"/>
          <w:i/>
          <w:iCs/>
          <w:sz w:val="20"/>
          <w:szCs w:val="20"/>
        </w:rPr>
      </w:pPr>
      <w:r w:rsidRPr="00077781">
        <w:rPr>
          <w:rFonts w:ascii="Verdana" w:hAnsi="Verdana"/>
          <w:i/>
          <w:iCs/>
          <w:sz w:val="20"/>
          <w:szCs w:val="20"/>
        </w:rPr>
        <w:t>Además; solicitamos amablemente confirmar, si en el caso específico de las compras a través de la Bolsa Mercantil, el procedimiento debe incluir tanto el análisis sectorial como el sondeo de precios en la etapa de ejecución (cada vez que se salga a compras) de un solo contrato de comisión anual o si dicho procedimiento debe ajustarse a alguna normativa adicional”</w:t>
      </w:r>
      <w:r w:rsidRPr="00077781">
        <w:rPr>
          <w:rFonts w:ascii="Verdana" w:eastAsia="Century Gothic" w:hAnsi="Verdana" w:cs="Century Gothic"/>
          <w:i/>
          <w:iCs/>
          <w:sz w:val="20"/>
          <w:szCs w:val="20"/>
          <w:lang w:val="es-ES"/>
        </w:rPr>
        <w:t>.</w:t>
      </w:r>
    </w:p>
    <w:p w14:paraId="55C3855C" w14:textId="77777777" w:rsidR="00F4619C" w:rsidRDefault="00F4619C" w:rsidP="00F4619C">
      <w:pPr>
        <w:spacing w:after="0" w:line="240" w:lineRule="auto"/>
        <w:ind w:right="709"/>
        <w:jc w:val="both"/>
        <w:rPr>
          <w:rFonts w:ascii="Verdana" w:eastAsia="Century Gothic" w:hAnsi="Verdana" w:cs="Century Gothic"/>
          <w:i/>
          <w:iCs/>
          <w:sz w:val="20"/>
          <w:szCs w:val="20"/>
          <w:lang w:val="es-ES"/>
        </w:rPr>
      </w:pPr>
    </w:p>
    <w:p w14:paraId="48DFFD41" w14:textId="77777777" w:rsidR="00F4619C" w:rsidRDefault="00F4619C" w:rsidP="00F4619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w:t>
      </w:r>
      <w:r>
        <w:rPr>
          <w:rFonts w:ascii="Verdana" w:eastAsia="Calibri" w:hAnsi="Verdana" w:cs="Arial"/>
          <w:color w:val="000000"/>
          <w:lang w:val="es-ES" w:eastAsia="es-ES"/>
        </w:rPr>
        <w:t>precisar</w:t>
      </w:r>
      <w:r w:rsidRPr="00593A5F">
        <w:rPr>
          <w:rFonts w:ascii="Verdana" w:eastAsia="Calibri" w:hAnsi="Verdana" w:cs="Arial"/>
          <w:color w:val="000000"/>
          <w:lang w:val="es-ES" w:eastAsia="es-ES"/>
        </w:rPr>
        <w:t xml:space="preserve">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403707E" w14:textId="77777777" w:rsidR="00F4619C" w:rsidRDefault="00F4619C" w:rsidP="00F4619C">
      <w:pPr>
        <w:spacing w:after="0" w:line="276" w:lineRule="auto"/>
        <w:ind w:firstLine="709"/>
        <w:jc w:val="both"/>
        <w:rPr>
          <w:rFonts w:ascii="Verdana" w:eastAsia="Calibri" w:hAnsi="Verdana" w:cs="Arial"/>
          <w:lang w:val="es-ES" w:eastAsia="es-ES"/>
        </w:rPr>
      </w:pPr>
      <w:r w:rsidRPr="004B40A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2FF6F5C" w14:textId="77777777" w:rsidR="00F4619C" w:rsidRPr="00593A5F" w:rsidRDefault="00F4619C" w:rsidP="00F4619C">
      <w:pPr>
        <w:spacing w:after="0" w:line="276" w:lineRule="auto"/>
        <w:jc w:val="both"/>
        <w:rPr>
          <w:rFonts w:ascii="Verdana" w:eastAsia="Calibri" w:hAnsi="Verdana" w:cs="Arial"/>
          <w:color w:val="000000"/>
          <w:lang w:val="es-ES" w:eastAsia="es-ES"/>
        </w:rPr>
      </w:pPr>
    </w:p>
    <w:p w14:paraId="3C5FF13E"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7B6A2AD" w14:textId="77777777" w:rsidR="00F4619C" w:rsidRDefault="00F4619C" w:rsidP="00F4619C">
      <w:pPr>
        <w:spacing w:after="0" w:line="240" w:lineRule="auto"/>
        <w:ind w:right="709"/>
        <w:jc w:val="both"/>
        <w:rPr>
          <w:rFonts w:ascii="Verdana" w:eastAsia="Century Gothic" w:hAnsi="Verdana" w:cs="Century Gothic"/>
          <w:lang w:val="es-ES"/>
        </w:rPr>
      </w:pPr>
    </w:p>
    <w:p w14:paraId="448BA7CE" w14:textId="2C72DA40" w:rsidR="00F4619C" w:rsidRPr="00926248" w:rsidRDefault="00F4619C" w:rsidP="00F4619C">
      <w:pPr>
        <w:jc w:val="both"/>
        <w:rPr>
          <w:rFonts w:ascii="Verdana" w:eastAsia="Times New Roman" w:hAnsi="Verdana" w:cs="Calibri"/>
          <w:color w:val="000000"/>
          <w:shd w:val="clear" w:color="auto" w:fill="FFFFFF"/>
          <w:lang w:eastAsia="es-CO"/>
        </w:rPr>
      </w:pPr>
      <w:r w:rsidRPr="00E03E8C">
        <w:rPr>
          <w:rFonts w:ascii="Verdana" w:hAnsi="Verdana"/>
        </w:rPr>
        <w:t xml:space="preserve">De acuerdo con el contenido de su solicitud, esta Agencia resolverá </w:t>
      </w:r>
      <w:r>
        <w:rPr>
          <w:rFonts w:ascii="Verdana" w:hAnsi="Verdana"/>
        </w:rPr>
        <w:t>el</w:t>
      </w:r>
      <w:r w:rsidRPr="00E03E8C">
        <w:rPr>
          <w:rFonts w:ascii="Verdana" w:hAnsi="Verdana"/>
        </w:rPr>
        <w:t xml:space="preserve"> siguiente problema jurídico: </w:t>
      </w:r>
      <w:r w:rsidRPr="007D5B64">
        <w:rPr>
          <w:rFonts w:ascii="Verdana" w:hAnsi="Verdana"/>
        </w:rPr>
        <w:t>¿</w:t>
      </w:r>
      <w:r w:rsidRPr="007D5B64">
        <w:rPr>
          <w:rFonts w:ascii="Verdana" w:eastAsia="Times New Roman" w:hAnsi="Verdana" w:cs="Calibri"/>
          <w:color w:val="000000"/>
          <w:shd w:val="clear" w:color="auto" w:fill="FFFFFF"/>
          <w:lang w:eastAsia="es-CO"/>
        </w:rPr>
        <w:t xml:space="preserve">Debe la entidad pública realizar Estudio de </w:t>
      </w:r>
      <w:r>
        <w:rPr>
          <w:rFonts w:ascii="Verdana" w:eastAsia="Times New Roman" w:hAnsi="Verdana" w:cs="Calibri"/>
          <w:color w:val="000000"/>
          <w:shd w:val="clear" w:color="auto" w:fill="FFFFFF"/>
          <w:lang w:eastAsia="es-CO"/>
        </w:rPr>
        <w:t>M</w:t>
      </w:r>
      <w:r w:rsidRPr="007D5B64">
        <w:rPr>
          <w:rFonts w:ascii="Verdana" w:eastAsia="Times New Roman" w:hAnsi="Verdana" w:cs="Calibri"/>
          <w:color w:val="000000"/>
          <w:shd w:val="clear" w:color="auto" w:fill="FFFFFF"/>
          <w:lang w:eastAsia="es-CO"/>
        </w:rPr>
        <w:t>ercado y</w:t>
      </w:r>
      <w:r w:rsidR="00B0334B">
        <w:rPr>
          <w:rFonts w:ascii="Verdana" w:eastAsia="Times New Roman" w:hAnsi="Verdana" w:cs="Calibri"/>
          <w:color w:val="000000"/>
          <w:shd w:val="clear" w:color="auto" w:fill="FFFFFF"/>
          <w:lang w:eastAsia="es-CO"/>
        </w:rPr>
        <w:t xml:space="preserve"> </w:t>
      </w:r>
      <w:r w:rsidR="00D00C5C">
        <w:rPr>
          <w:rFonts w:ascii="Verdana" w:eastAsia="Times New Roman" w:hAnsi="Verdana" w:cs="Calibri"/>
          <w:color w:val="000000"/>
          <w:shd w:val="clear" w:color="auto" w:fill="FFFFFF"/>
          <w:lang w:eastAsia="es-CO"/>
        </w:rPr>
        <w:t>el</w:t>
      </w:r>
      <w:r w:rsidRPr="007D5B64">
        <w:rPr>
          <w:rFonts w:ascii="Verdana" w:eastAsia="Times New Roman" w:hAnsi="Verdana" w:cs="Calibri"/>
          <w:color w:val="000000"/>
          <w:shd w:val="clear" w:color="auto" w:fill="FFFFFF"/>
          <w:lang w:eastAsia="es-CO"/>
        </w:rPr>
        <w:t xml:space="preserve"> </w:t>
      </w:r>
      <w:r>
        <w:rPr>
          <w:rFonts w:ascii="Verdana" w:eastAsia="Times New Roman" w:hAnsi="Verdana" w:cs="Calibri"/>
          <w:color w:val="000000"/>
          <w:shd w:val="clear" w:color="auto" w:fill="FFFFFF"/>
          <w:lang w:eastAsia="es-CO"/>
        </w:rPr>
        <w:t>A</w:t>
      </w:r>
      <w:r w:rsidRPr="007D5B64">
        <w:rPr>
          <w:rFonts w:ascii="Verdana" w:eastAsia="Times New Roman" w:hAnsi="Verdana" w:cs="Calibri"/>
          <w:color w:val="000000"/>
          <w:shd w:val="clear" w:color="auto" w:fill="FFFFFF"/>
          <w:lang w:eastAsia="es-CO"/>
        </w:rPr>
        <w:t xml:space="preserve">nálisis del </w:t>
      </w:r>
      <w:r>
        <w:rPr>
          <w:rFonts w:ascii="Verdana" w:eastAsia="Times New Roman" w:hAnsi="Verdana" w:cs="Calibri"/>
          <w:color w:val="000000"/>
          <w:shd w:val="clear" w:color="auto" w:fill="FFFFFF"/>
          <w:lang w:eastAsia="es-CO"/>
        </w:rPr>
        <w:t>S</w:t>
      </w:r>
      <w:r w:rsidRPr="007D5B64">
        <w:rPr>
          <w:rFonts w:ascii="Verdana" w:eastAsia="Times New Roman" w:hAnsi="Verdana" w:cs="Calibri"/>
          <w:color w:val="000000"/>
          <w:shd w:val="clear" w:color="auto" w:fill="FFFFFF"/>
          <w:lang w:eastAsia="es-CO"/>
        </w:rPr>
        <w:t>ector en las adquisiciones mediante bolsa de productos?</w:t>
      </w:r>
    </w:p>
    <w:p w14:paraId="3CB16553"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C88F2AC"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4619C" w:rsidRPr="00593A5F" w14:paraId="17B97147" w14:textId="77777777" w:rsidTr="003D0810">
        <w:tc>
          <w:tcPr>
            <w:tcW w:w="8828" w:type="dxa"/>
            <w:shd w:val="clear" w:color="auto" w:fill="auto"/>
          </w:tcPr>
          <w:p w14:paraId="2CD2A24D" w14:textId="77777777" w:rsidR="00F4619C" w:rsidRPr="00D3636C" w:rsidRDefault="00F4619C" w:rsidP="003D0810">
            <w:pPr>
              <w:spacing w:after="120" w:line="276" w:lineRule="auto"/>
              <w:jc w:val="both"/>
              <w:rPr>
                <w:rFonts w:ascii="Verdana" w:eastAsia="Times New Roman" w:hAnsi="Verdana" w:cs="Calibri"/>
                <w:color w:val="000000"/>
                <w:shd w:val="clear" w:color="auto" w:fill="FFFFFF"/>
                <w:lang w:eastAsia="es-CO"/>
              </w:rPr>
            </w:pPr>
            <w:r w:rsidRPr="00D3636C">
              <w:rPr>
                <w:rFonts w:ascii="Verdana" w:hAnsi="Verdana" w:cs="Arial"/>
                <w:color w:val="000000"/>
              </w:rPr>
              <w:t xml:space="preserve">Atendiendo el interrogante objeto de consulta, es imperioso precisar que </w:t>
            </w:r>
            <w:r w:rsidRPr="00D3636C">
              <w:rPr>
                <w:rFonts w:ascii="Verdana" w:eastAsia="Times New Roman" w:hAnsi="Verdana" w:cs="Calibri"/>
                <w:color w:val="000000"/>
                <w:shd w:val="clear" w:color="auto" w:fill="FFFFFF"/>
                <w:lang w:eastAsia="es-CO"/>
              </w:rPr>
              <w:t>las Entidades Estatales son autónomas y responsables de la estructuración de sus Procesos de Contratación, así como de la determinación de la forma en la que realizan sus estudios del sector. No obstante, las Entidades Estatales están obligadas a analizar el sector relativo al objeto del Proceso de Contratación y para ello, deberán identificar: i) cuál es su necesidad y cómo puede satisfacerla; ii) cómo y quiénes pueden proveer los bienes, obras y servicios que necesita; y iii) el contexto en el cual los posibles proveedores desarrollan su actividad.</w:t>
            </w:r>
          </w:p>
          <w:p w14:paraId="27A93A84" w14:textId="77777777" w:rsidR="00F4619C" w:rsidRPr="00D3636C" w:rsidRDefault="00F4619C" w:rsidP="003D0810">
            <w:pPr>
              <w:spacing w:after="120" w:line="276" w:lineRule="auto"/>
              <w:ind w:firstLine="709"/>
              <w:jc w:val="both"/>
              <w:rPr>
                <w:rFonts w:ascii="Verdana" w:eastAsia="Times New Roman" w:hAnsi="Verdana" w:cs="Calibri"/>
                <w:color w:val="000000"/>
                <w:shd w:val="clear" w:color="auto" w:fill="FFFFFF"/>
                <w:lang w:eastAsia="es-CO"/>
              </w:rPr>
            </w:pPr>
            <w:r w:rsidRPr="0029501D">
              <w:rPr>
                <w:rFonts w:ascii="Verdana" w:eastAsia="Times New Roman" w:hAnsi="Verdana" w:cs="Calibri"/>
                <w:color w:val="000000"/>
                <w:shd w:val="clear" w:color="auto" w:fill="FFFFFF"/>
                <w:lang w:eastAsia="es-CO"/>
              </w:rPr>
              <w:lastRenderedPageBreak/>
              <w:t>Así mismo, las Entidades Estatales pueden utilizar todas las fuentes y referencias que resulten útiles y pertinentes, siempre que provengan de una fuente confiable y que permitan obtener el mayor valor por dinero. La profundidad del estudio del sector depende de la complejidad del Proceso de Contratación, y se recomienda que se utilicen varias fuentes de información.</w:t>
            </w:r>
          </w:p>
          <w:p w14:paraId="30939C36" w14:textId="4D5B54AA" w:rsidR="00334C61" w:rsidRPr="00334C61" w:rsidRDefault="00152814" w:rsidP="00334C61">
            <w:pPr>
              <w:spacing w:after="120" w:line="276" w:lineRule="auto"/>
              <w:ind w:firstLine="709"/>
              <w:jc w:val="both"/>
              <w:rPr>
                <w:rFonts w:ascii="Verdana" w:hAnsi="Verdana"/>
              </w:rPr>
            </w:pPr>
            <w:r w:rsidRPr="00334C61">
              <w:rPr>
                <w:rFonts w:ascii="Verdana" w:hAnsi="Verdana"/>
              </w:rPr>
              <w:t xml:space="preserve">Ahora </w:t>
            </w:r>
            <w:r w:rsidR="00334C61" w:rsidRPr="00334C61">
              <w:rPr>
                <w:rFonts w:ascii="Verdana" w:hAnsi="Verdana"/>
              </w:rPr>
              <w:t>bien, cuando</w:t>
            </w:r>
            <w:r w:rsidRPr="00334C61">
              <w:rPr>
                <w:rFonts w:ascii="Verdana" w:hAnsi="Verdana"/>
              </w:rPr>
              <w:t xml:space="preserve"> la entidad pretenda</w:t>
            </w:r>
            <w:r w:rsidR="00334C61" w:rsidRPr="00334C61">
              <w:rPr>
                <w:rFonts w:ascii="Verdana" w:hAnsi="Verdana"/>
              </w:rPr>
              <w:t xml:space="preserve"> realizar</w:t>
            </w:r>
            <w:r w:rsidRPr="00334C61">
              <w:rPr>
                <w:rFonts w:ascii="Verdana" w:hAnsi="Verdana"/>
              </w:rPr>
              <w:t xml:space="preserve"> la adquisición de bienes mediante el mecanismo de bolsa de productos, </w:t>
            </w:r>
            <w:r w:rsidR="00A25A76">
              <w:rPr>
                <w:rFonts w:ascii="Verdana" w:hAnsi="Verdana"/>
              </w:rPr>
              <w:t xml:space="preserve">esta </w:t>
            </w:r>
            <w:r w:rsidR="00F4619C" w:rsidRPr="00334C61">
              <w:rPr>
                <w:rFonts w:ascii="Verdana" w:hAnsi="Verdana"/>
              </w:rPr>
              <w:t>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0C8EAA0F" w14:textId="1EFFE3A8" w:rsidR="00152814" w:rsidRDefault="00334C61" w:rsidP="00334C61">
            <w:pPr>
              <w:spacing w:after="120" w:line="276" w:lineRule="auto"/>
              <w:ind w:firstLine="709"/>
              <w:jc w:val="both"/>
              <w:rPr>
                <w:rFonts w:ascii="Verdana" w:hAnsi="Verdana" w:cs="Calibri"/>
                <w:color w:val="000000"/>
                <w:shd w:val="clear" w:color="auto" w:fill="FFFFFF"/>
              </w:rPr>
            </w:pPr>
            <w:r>
              <w:rPr>
                <w:rFonts w:ascii="Verdana" w:hAnsi="Verdana" w:cs="Calibri"/>
                <w:color w:val="000000"/>
                <w:shd w:val="clear" w:color="auto" w:fill="FFFFFF"/>
              </w:rPr>
              <w:t>De</w:t>
            </w:r>
            <w:r w:rsidRPr="00D3636C">
              <w:rPr>
                <w:rFonts w:ascii="Verdana" w:hAnsi="Verdana" w:cs="Calibri"/>
                <w:color w:val="000000"/>
                <w:shd w:val="clear" w:color="auto" w:fill="FFFFFF"/>
              </w:rPr>
              <w:t xml:space="preserve"> </w:t>
            </w:r>
            <w:r w:rsidR="00F4619C" w:rsidRPr="00D3636C">
              <w:rPr>
                <w:rFonts w:ascii="Verdana" w:hAnsi="Verdana" w:cs="Calibri"/>
                <w:color w:val="000000"/>
                <w:shd w:val="clear" w:color="auto" w:fill="FFFFFF"/>
              </w:rPr>
              <w:t>conformidad a lo prescrito en el artículo 2.2.1.2.1.2.12 del Decreto 1082 de 2015, modificado por el artículo 2 del Decreto 310 del 25 de marzo de 2021, cuando </w:t>
            </w:r>
            <w:r w:rsidR="00F4619C" w:rsidRPr="00CC640A">
              <w:rPr>
                <w:rFonts w:ascii="Verdana" w:hAnsi="Verdana" w:cs="Calibri"/>
                <w:color w:val="000000"/>
              </w:rPr>
              <w:t>no</w:t>
            </w:r>
            <w:r w:rsidR="00F4619C" w:rsidRPr="00D3636C">
              <w:rPr>
                <w:rFonts w:ascii="Verdana" w:hAnsi="Verdana" w:cs="Calibri"/>
                <w:i/>
                <w:iCs/>
                <w:color w:val="000000"/>
              </w:rPr>
              <w:t> </w:t>
            </w:r>
            <w:r w:rsidR="00F4619C" w:rsidRPr="00D3636C">
              <w:rPr>
                <w:rFonts w:ascii="Verdana" w:hAnsi="Verdana" w:cs="Calibri"/>
                <w:color w:val="000000"/>
                <w:shd w:val="clear" w:color="auto" w:fill="FFFFFF"/>
              </w:rPr>
              <w:t xml:space="preserve">exista un acuerdo marco de precios el adelantamiento de una compra mediante el mecanismo de bolsa de productos, requiere que las entidades realicen un estudio comparativo en el que determinen las ventajas de utilizar el mecanismo, frente a la posibilidad de acudir a la subasta inversa o a la posibilidad de promover un nuevo acuerdo marco de precios, análisis en que se deberá considerar el proceso de selección del comisionista, los costos asociados a la selección, el valor de la comisión y de las garantías. </w:t>
            </w:r>
          </w:p>
          <w:p w14:paraId="266E7200" w14:textId="2DA7770B" w:rsidR="00F4619C" w:rsidRDefault="00F4619C" w:rsidP="003D0810">
            <w:pPr>
              <w:spacing w:after="120" w:line="276" w:lineRule="auto"/>
              <w:ind w:firstLine="709"/>
              <w:jc w:val="both"/>
              <w:rPr>
                <w:rFonts w:ascii="Verdana" w:hAnsi="Verdana" w:cs="Calibri"/>
                <w:color w:val="000000"/>
                <w:shd w:val="clear" w:color="auto" w:fill="FFFFFF"/>
              </w:rPr>
            </w:pPr>
            <w:r w:rsidRPr="00D3636C">
              <w:rPr>
                <w:rFonts w:ascii="Verdana" w:hAnsi="Verdana" w:cs="Calibri"/>
                <w:color w:val="000000"/>
                <w:shd w:val="clear" w:color="auto" w:fill="FFFFFF"/>
              </w:rPr>
              <w:t>La disposición indicada además expresa que este estudio debe señalar la forma en que la entidad estatal garantiza los principios y objetivos del sistema de compras, contratación pública, los postulados de la función administrativa y de la gestión fiscal. De otro lado, expresamente se establece en el inciso segundo de la norma analizada que: “(...) este estudio deberá consignarse expresamente en los documentos del Proceso de Selección y se deberá garantizar su oportuna publicidad a través del SECOP”.</w:t>
            </w:r>
          </w:p>
          <w:p w14:paraId="156E17B4" w14:textId="182B513A" w:rsidR="00D00C5C" w:rsidRDefault="00D00C5C" w:rsidP="003D0810">
            <w:pPr>
              <w:spacing w:after="120" w:line="276" w:lineRule="auto"/>
              <w:ind w:firstLine="709"/>
              <w:jc w:val="both"/>
              <w:rPr>
                <w:rFonts w:ascii="Verdana" w:hAnsi="Verdana" w:cs="Calibri"/>
                <w:color w:val="000000"/>
                <w:shd w:val="clear" w:color="auto" w:fill="FFFFFF"/>
              </w:rPr>
            </w:pPr>
            <w:r>
              <w:rPr>
                <w:rFonts w:ascii="Verdana" w:hAnsi="Verdana" w:cs="Calibri"/>
                <w:color w:val="000000"/>
                <w:shd w:val="clear" w:color="auto" w:fill="FFFFFF"/>
              </w:rPr>
              <w:t xml:space="preserve">En conclusión si bien el artículo </w:t>
            </w:r>
            <w:r w:rsidRPr="00D3636C">
              <w:rPr>
                <w:rFonts w:ascii="Verdana" w:hAnsi="Verdana" w:cs="Calibri"/>
                <w:color w:val="000000"/>
                <w:shd w:val="clear" w:color="auto" w:fill="FFFFFF"/>
              </w:rPr>
              <w:t>artículo 2.2.1.2.1.2.12 del Decreto 1082 de 2015</w:t>
            </w:r>
            <w:r>
              <w:rPr>
                <w:rFonts w:ascii="Verdana" w:hAnsi="Verdana" w:cs="Calibri"/>
                <w:color w:val="000000"/>
                <w:shd w:val="clear" w:color="auto" w:fill="FFFFFF"/>
              </w:rPr>
              <w:t xml:space="preserve"> no señala  de forma expresa que se deberá hacer el análisis del sector, si expresa de forma textual la obligación de la entidad de efectuar un estudio </w:t>
            </w:r>
            <w:r>
              <w:rPr>
                <w:rFonts w:ascii="Verdana" w:hAnsi="Verdana" w:cs="Calibri"/>
                <w:color w:val="000000"/>
                <w:shd w:val="clear" w:color="auto" w:fill="FFFFFF"/>
              </w:rPr>
              <w:lastRenderedPageBreak/>
              <w:t xml:space="preserve">comparativo y dentro de la elaboración del análisis del sector, se encuentra el estudio del mercado que es aquel que permite  comprende la dinámica de los precios y el establecer el presupuesto oficial de la contratación. </w:t>
            </w:r>
          </w:p>
          <w:p w14:paraId="761827BD" w14:textId="094E3A78" w:rsidR="00F4619C" w:rsidRPr="0015597A" w:rsidRDefault="00862E6E" w:rsidP="0015597A">
            <w:pPr>
              <w:spacing w:after="120" w:line="276" w:lineRule="auto"/>
              <w:jc w:val="both"/>
              <w:rPr>
                <w:rFonts w:ascii="Verdana" w:hAnsi="Verdana" w:cs="Calibri"/>
                <w:color w:val="000000"/>
                <w:shd w:val="clear" w:color="auto" w:fill="FFFFFF"/>
              </w:rPr>
            </w:pPr>
            <w:r w:rsidRPr="00821ABA">
              <w:rPr>
                <w:rFonts w:ascii="Verdana" w:eastAsia="Calibri" w:hAnsi="Verdana" w:cs="Arial"/>
                <w:color w:val="000000"/>
                <w:lang w:val="es-ES"/>
              </w:rPr>
              <w:t>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w:t>
            </w:r>
            <w:r>
              <w:rPr>
                <w:rFonts w:ascii="Verdana" w:eastAsia="Calibri" w:hAnsi="Verdana" w:cs="Arial"/>
                <w:color w:val="000000"/>
                <w:lang w:val="es-ES"/>
              </w:rPr>
              <w:t xml:space="preserve"> contratación.</w:t>
            </w:r>
            <w:r>
              <w:rPr>
                <w:rStyle w:val="Refdenotaalpie"/>
                <w:rFonts w:ascii="Verdana" w:hAnsi="Verdana" w:cs="Calibri"/>
                <w:color w:val="000000"/>
                <w:shd w:val="clear" w:color="auto" w:fill="FFFFFF"/>
              </w:rPr>
              <w:footnoteReference w:id="1"/>
            </w:r>
          </w:p>
        </w:tc>
      </w:tr>
    </w:tbl>
    <w:p w14:paraId="403B6EC2" w14:textId="77777777" w:rsidR="00F4619C" w:rsidRPr="00593A5F" w:rsidRDefault="00F4619C" w:rsidP="00F4619C">
      <w:pPr>
        <w:tabs>
          <w:tab w:val="left" w:pos="142"/>
          <w:tab w:val="left" w:pos="284"/>
        </w:tabs>
        <w:spacing w:after="0" w:line="276" w:lineRule="auto"/>
        <w:jc w:val="both"/>
        <w:rPr>
          <w:rFonts w:ascii="Verdana" w:eastAsia="Century Gothic" w:hAnsi="Verdana" w:cs="Century Gothic"/>
          <w:b/>
          <w:bCs/>
          <w:lang w:val="es-ES"/>
        </w:rPr>
      </w:pPr>
    </w:p>
    <w:p w14:paraId="4314EAA2"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47A20BF" w14:textId="77777777" w:rsidR="00F4619C" w:rsidRPr="00593A5F" w:rsidRDefault="00F4619C" w:rsidP="00F4619C">
      <w:pPr>
        <w:spacing w:after="0" w:line="276" w:lineRule="auto"/>
        <w:jc w:val="both"/>
        <w:rPr>
          <w:rFonts w:ascii="Verdana" w:eastAsia="Calibri" w:hAnsi="Verdana" w:cs="Arial"/>
          <w:color w:val="7030A0"/>
          <w:lang w:val="es-ES"/>
        </w:rPr>
      </w:pPr>
    </w:p>
    <w:p w14:paraId="2C46F556" w14:textId="77777777" w:rsidR="00F4619C" w:rsidRDefault="00F4619C" w:rsidP="00F4619C">
      <w:pPr>
        <w:spacing w:after="0" w:line="276" w:lineRule="auto"/>
        <w:jc w:val="both"/>
        <w:rPr>
          <w:rFonts w:ascii="Verdana" w:eastAsia="Calibri" w:hAnsi="Verdana" w:cs="Arial"/>
          <w:lang w:val="es-ES"/>
        </w:rPr>
      </w:pPr>
      <w:r w:rsidRPr="00FB372A">
        <w:rPr>
          <w:rFonts w:ascii="Verdana" w:eastAsia="Calibri" w:hAnsi="Verdana" w:cs="Arial"/>
          <w:lang w:val="es-ES"/>
        </w:rPr>
        <w:t>Lo anterior se sustenta en las siguientes consideraciones:</w:t>
      </w:r>
    </w:p>
    <w:p w14:paraId="393EB5B1" w14:textId="77777777" w:rsidR="00F4619C" w:rsidRDefault="00F4619C" w:rsidP="00F4619C">
      <w:pPr>
        <w:spacing w:after="0" w:line="276" w:lineRule="auto"/>
        <w:jc w:val="both"/>
        <w:rPr>
          <w:rFonts w:ascii="Verdana" w:eastAsia="Calibri" w:hAnsi="Verdana" w:cs="Arial"/>
          <w:lang w:val="es-ES"/>
        </w:rPr>
      </w:pPr>
    </w:p>
    <w:p w14:paraId="35CD0BC9" w14:textId="77777777" w:rsidR="00F4619C" w:rsidRDefault="00F4619C" w:rsidP="00F4619C">
      <w:pPr>
        <w:spacing w:after="120" w:line="276" w:lineRule="auto"/>
        <w:jc w:val="both"/>
        <w:rPr>
          <w:rFonts w:ascii="Verdana" w:eastAsia="Calibri" w:hAnsi="Verdana" w:cs="Arial"/>
          <w:lang w:val="es-MX"/>
        </w:rPr>
      </w:pPr>
      <w:r w:rsidRPr="00844B92">
        <w:rPr>
          <w:rFonts w:ascii="Verdana" w:eastAsia="Calibri" w:hAnsi="Verdana" w:cs="Arial"/>
          <w:lang w:val="es-MX"/>
        </w:rPr>
        <w:t>Las compras en bolsa de productos son un mecanismo contemplado en el numeral 2 del artículo 2 de la Ley 1150 de 2007, en el marco de la modalidad de selección abreviada, para la adquisición o suministro de bienes y servicios de características técnicas uniformes y de común utilización por parte de las entidades estatales</w:t>
      </w:r>
      <w:r w:rsidRPr="00844B92">
        <w:rPr>
          <w:rStyle w:val="Refdenotaalpie"/>
          <w:rFonts w:ascii="Verdana" w:eastAsia="Calibri" w:hAnsi="Verdana" w:cs="Arial"/>
          <w:lang w:val="es-MX"/>
        </w:rPr>
        <w:footnoteReference w:id="2"/>
      </w:r>
      <w:r w:rsidRPr="00844B92">
        <w:rPr>
          <w:rFonts w:ascii="Verdana" w:eastAsia="Calibri" w:hAnsi="Verdana" w:cs="Arial"/>
          <w:lang w:val="es-MX"/>
        </w:rPr>
        <w:t>.</w:t>
      </w:r>
    </w:p>
    <w:p w14:paraId="12BE7418" w14:textId="4BB09373" w:rsidR="00B523E8" w:rsidRPr="00B523E8" w:rsidRDefault="00334C61" w:rsidP="00F4619C">
      <w:pPr>
        <w:spacing w:after="120" w:line="276" w:lineRule="auto"/>
        <w:ind w:firstLine="709"/>
        <w:jc w:val="both"/>
        <w:rPr>
          <w:rFonts w:ascii="Verdana" w:eastAsia="Calibri" w:hAnsi="Verdana" w:cs="Arial"/>
          <w:lang w:val="es-MX"/>
        </w:rPr>
      </w:pPr>
      <w:r>
        <w:rPr>
          <w:rFonts w:ascii="Verdana" w:eastAsia="Calibri" w:hAnsi="Verdana" w:cs="Arial"/>
        </w:rPr>
        <w:t>Sin embargo, c</w:t>
      </w:r>
      <w:r w:rsidR="00B523E8" w:rsidRPr="00B523E8">
        <w:rPr>
          <w:rFonts w:ascii="Verdana" w:eastAsia="Calibri" w:hAnsi="Verdana" w:cs="Arial"/>
        </w:rPr>
        <w:t xml:space="preserve">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w:t>
      </w:r>
      <w:r w:rsidR="00B523E8" w:rsidRPr="00B523E8">
        <w:rPr>
          <w:rFonts w:ascii="Verdana" w:eastAsia="Calibri" w:hAnsi="Verdana" w:cs="Arial"/>
        </w:rPr>
        <w:lastRenderedPageBreak/>
        <w:t>Marco de Precios con la Agencia Nacional de Contratación Pública -Colombia Compra Eficiente- para tales bienes o servicios, incluyendo el análisis del Proceso de Selección del comisionista, los costos asociados a la selección, el valor de la comisión y de las garantías.</w:t>
      </w:r>
    </w:p>
    <w:p w14:paraId="79C9B783" w14:textId="4A46BA85" w:rsidR="00F4619C" w:rsidRPr="00844B92" w:rsidRDefault="00334C61" w:rsidP="007B06F5">
      <w:pPr>
        <w:spacing w:after="120" w:line="276" w:lineRule="auto"/>
        <w:ind w:firstLine="709"/>
        <w:jc w:val="both"/>
        <w:rPr>
          <w:rFonts w:ascii="Verdana" w:eastAsia="Calibri" w:hAnsi="Verdana" w:cs="Arial"/>
          <w:lang w:val="es-MX"/>
        </w:rPr>
      </w:pPr>
      <w:r>
        <w:rPr>
          <w:rFonts w:ascii="Verdana" w:eastAsia="Calibri" w:hAnsi="Verdana" w:cs="Arial"/>
          <w:lang w:val="es-MX"/>
        </w:rPr>
        <w:t>Así</w:t>
      </w:r>
      <w:r w:rsidR="00B523E8">
        <w:rPr>
          <w:rFonts w:ascii="Verdana" w:eastAsia="Calibri" w:hAnsi="Verdana" w:cs="Arial"/>
          <w:lang w:val="es-MX"/>
        </w:rPr>
        <w:t xml:space="preserve"> las cosas, </w:t>
      </w:r>
      <w:r w:rsidR="007B06F5">
        <w:rPr>
          <w:rFonts w:ascii="Verdana" w:eastAsia="Calibri" w:hAnsi="Verdana" w:cs="Arial"/>
          <w:lang w:val="es-MX"/>
        </w:rPr>
        <w:t>l</w:t>
      </w:r>
      <w:r w:rsidR="00F4619C" w:rsidRPr="00844B92">
        <w:rPr>
          <w:rFonts w:ascii="Verdana" w:eastAsia="Calibri" w:hAnsi="Verdana" w:cs="Arial"/>
          <w:lang w:val="es-MX"/>
        </w:rPr>
        <w:t>a adquisición de bienes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00F4619C" w:rsidRPr="00844B92">
        <w:rPr>
          <w:rFonts w:ascii="Verdana" w:eastAsia="Calibri" w:hAnsi="Verdana" w:cs="Arial"/>
          <w:vertAlign w:val="superscript"/>
          <w:lang w:val="es-MX"/>
        </w:rPr>
        <w:footnoteReference w:id="3"/>
      </w:r>
      <w:r w:rsidR="00F4619C" w:rsidRPr="00844B92">
        <w:rPr>
          <w:rFonts w:ascii="Verdana" w:eastAsia="Calibri" w:hAnsi="Verdana" w:cs="Arial"/>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00F4619C" w:rsidRPr="00844B92">
        <w:rPr>
          <w:rStyle w:val="Refdenotaalpie"/>
          <w:rFonts w:ascii="Verdana" w:eastAsia="Calibri" w:hAnsi="Verdana" w:cs="Arial"/>
          <w:lang w:val="es-MX"/>
        </w:rPr>
        <w:footnoteReference w:id="4"/>
      </w:r>
      <w:r w:rsidR="00F4619C" w:rsidRPr="00844B92">
        <w:rPr>
          <w:rFonts w:ascii="Verdana" w:eastAsia="Calibri" w:hAnsi="Verdana" w:cs="Arial"/>
          <w:lang w:val="es-MX"/>
        </w:rPr>
        <w:t>.</w:t>
      </w:r>
    </w:p>
    <w:p w14:paraId="5D852A44" w14:textId="43271DF2" w:rsidR="007B06F5" w:rsidRPr="00844B92" w:rsidRDefault="00F4619C" w:rsidP="00F4619C">
      <w:pPr>
        <w:spacing w:after="120" w:line="276" w:lineRule="auto"/>
        <w:jc w:val="both"/>
        <w:rPr>
          <w:rFonts w:ascii="Verdana" w:eastAsia="Calibri" w:hAnsi="Verdana" w:cs="Arial"/>
          <w:lang w:val="es-MX"/>
        </w:rPr>
      </w:pPr>
      <w:r w:rsidRPr="00844B92">
        <w:rPr>
          <w:rFonts w:ascii="Verdana" w:eastAsia="Calibri" w:hAnsi="Verdana" w:cs="Arial"/>
          <w:lang w:val="es-MX"/>
        </w:rPr>
        <w:tab/>
      </w:r>
      <w:r w:rsidR="007B06F5">
        <w:rPr>
          <w:rFonts w:ascii="Verdana" w:eastAsia="Calibri" w:hAnsi="Verdana" w:cs="Arial"/>
          <w:color w:val="000000" w:themeColor="text1"/>
        </w:rPr>
        <w:t xml:space="preserve">De acuerdo con lo anterior, </w:t>
      </w:r>
      <w:r w:rsidR="007B06F5">
        <w:rPr>
          <w:rFonts w:ascii="Verdana" w:eastAsia="Calibri" w:hAnsi="Verdana" w:cs="Arial"/>
          <w:lang w:val="es-MX"/>
        </w:rPr>
        <w:t>l</w:t>
      </w:r>
      <w:r w:rsidRPr="00844B92">
        <w:rPr>
          <w:rFonts w:ascii="Verdana" w:eastAsia="Calibri" w:hAnsi="Verdana" w:cs="Arial"/>
          <w:lang w:val="es-MX"/>
        </w:rPr>
        <w:t>a negociación por parte de la entidad se da a través de un comisionista, el cual debe ser contratado por la entidad de conformidad con el procedimiento y reglas de la respectiva bolsa de productos</w:t>
      </w:r>
      <w:r w:rsidRPr="00844B92">
        <w:rPr>
          <w:rStyle w:val="Refdenotaalpie"/>
          <w:rFonts w:ascii="Verdana" w:eastAsia="Calibri" w:hAnsi="Verdana" w:cs="Arial"/>
          <w:lang w:val="es-MX"/>
        </w:rPr>
        <w:footnoteReference w:id="5"/>
      </w:r>
      <w:r w:rsidRPr="00844B92">
        <w:rPr>
          <w:rFonts w:ascii="Verdana" w:eastAsia="Calibri" w:hAnsi="Verdana" w:cs="Arial"/>
          <w:lang w:val="es-MX"/>
        </w:rPr>
        <w:t>. A su vez, la calidad de los productos negociados y la liquidación de las operaciones celebradas debe estar respaldada por garantías</w:t>
      </w:r>
      <w:r w:rsidRPr="00844B92">
        <w:rPr>
          <w:rStyle w:val="Refdenotaalpie"/>
          <w:rFonts w:ascii="Verdana" w:eastAsia="Calibri" w:hAnsi="Verdana" w:cs="Arial"/>
          <w:lang w:val="es-MX"/>
        </w:rPr>
        <w:footnoteReference w:id="6"/>
      </w:r>
      <w:r w:rsidRPr="00844B92">
        <w:rPr>
          <w:rFonts w:ascii="Verdana" w:eastAsia="Calibri" w:hAnsi="Verdana" w:cs="Arial"/>
          <w:lang w:val="es-MX"/>
        </w:rPr>
        <w:t>.</w:t>
      </w:r>
      <w:r w:rsidR="007B06F5">
        <w:rPr>
          <w:rFonts w:ascii="Verdana" w:eastAsia="Calibri" w:hAnsi="Verdana" w:cs="Arial"/>
          <w:lang w:val="es-MX"/>
        </w:rPr>
        <w:t xml:space="preserve"> </w:t>
      </w:r>
      <w:r w:rsidR="007B06F5">
        <w:rPr>
          <w:rFonts w:ascii="Verdana" w:eastAsia="Calibri" w:hAnsi="Verdana" w:cs="Arial"/>
          <w:color w:val="000000" w:themeColor="text1"/>
        </w:rPr>
        <w:t xml:space="preserve">Igualmente, este proceso se </w:t>
      </w:r>
      <w:r w:rsidR="007B06F5">
        <w:rPr>
          <w:rFonts w:ascii="Verdana" w:eastAsia="Calibri" w:hAnsi="Verdana" w:cs="Arial"/>
          <w:color w:val="000000" w:themeColor="text1"/>
          <w:lang w:val="es-ES"/>
        </w:rPr>
        <w:t>encuentra respaldado por el</w:t>
      </w:r>
      <w:r w:rsidR="007B06F5" w:rsidRPr="00F10CF5">
        <w:rPr>
          <w:rFonts w:ascii="Verdana" w:eastAsia="Calibri" w:hAnsi="Verdana" w:cs="Arial"/>
          <w:color w:val="000000" w:themeColor="text1"/>
        </w:rPr>
        <w:t xml:space="preserve"> marco regulatorio en la optimización de los procedimientos de compra en el ámbito público, asegurando eficiencia y equidad en las transacciones.</w:t>
      </w:r>
    </w:p>
    <w:p w14:paraId="61399725" w14:textId="710F54CF" w:rsidR="00F4619C" w:rsidRDefault="00F4619C" w:rsidP="00F4619C">
      <w:pPr>
        <w:spacing w:after="120" w:line="276" w:lineRule="auto"/>
        <w:jc w:val="both"/>
        <w:rPr>
          <w:rFonts w:ascii="Verdana" w:eastAsia="Calibri" w:hAnsi="Verdana" w:cs="Arial"/>
          <w:lang w:val="es-MX"/>
        </w:rPr>
      </w:pPr>
      <w:r w:rsidRPr="00844B92">
        <w:rPr>
          <w:rFonts w:ascii="Verdana" w:eastAsia="Calibri" w:hAnsi="Verdana" w:cs="Arial"/>
          <w:lang w:val="es-MX"/>
        </w:rPr>
        <w:lastRenderedPageBreak/>
        <w:tab/>
        <w:t>De conformidad con el artículo 2.2.1.2.1.2.12 del Decreto 1082 de 2015, modificado por el artículo 2 del Decreto 310 del 25 de marzo de 2021, las entidades reali</w:t>
      </w:r>
      <w:r w:rsidR="00B523E8">
        <w:rPr>
          <w:rFonts w:ascii="Verdana" w:eastAsia="Calibri" w:hAnsi="Verdana" w:cs="Arial"/>
          <w:lang w:val="es-MX"/>
        </w:rPr>
        <w:t>zan</w:t>
      </w:r>
      <w:r w:rsidRPr="00844B92">
        <w:rPr>
          <w:rFonts w:ascii="Verdana" w:eastAsia="Calibri" w:hAnsi="Verdana" w:cs="Arial"/>
          <w:lang w:val="es-MX"/>
        </w:rPr>
        <w:t xml:space="preserve"> un estudio comparativo en el que determinen las ventajas de utilizar el mecanismo. La disposición indicada además expresa que este estudio debe señalar la forma en que la entidad estatal garantiza los principios y objetivos del sistema de compras, contratación pública, los postulados de la función administrativa y de la gestión fiscal. De otro lado, expresamente se establece en el inciso segundo de la norma analizada que: “(…) este estudio deberá consignarse expresamente en los documentos del Proceso de Selección y se deberá garantizar su oportuna publicidad a través del SECOP”.</w:t>
      </w:r>
    </w:p>
    <w:p w14:paraId="7968587B" w14:textId="77777777" w:rsidR="00F4619C" w:rsidRDefault="00F4619C" w:rsidP="00F4619C">
      <w:pPr>
        <w:spacing w:after="120" w:line="276" w:lineRule="auto"/>
        <w:ind w:firstLine="709"/>
        <w:jc w:val="both"/>
        <w:rPr>
          <w:rFonts w:ascii="Verdana" w:eastAsia="Calibri" w:hAnsi="Verdana" w:cs="Arial"/>
          <w:color w:val="000000" w:themeColor="text1"/>
          <w:lang w:val="es-MX"/>
        </w:rPr>
      </w:pPr>
      <w:r w:rsidRPr="004157FA">
        <w:rPr>
          <w:rFonts w:ascii="Verdana" w:hAnsi="Verdana" w:cs="Arial"/>
          <w:lang w:val="es-MX"/>
        </w:rPr>
        <w:t>No obstante</w:t>
      </w:r>
      <w:r w:rsidRPr="004157FA">
        <w:rPr>
          <w:rFonts w:ascii="Verdana" w:eastAsia="Calibri" w:hAnsi="Verdana" w:cs="Arial"/>
          <w:color w:val="000000" w:themeColor="text1"/>
          <w:lang w:val="es-MX"/>
        </w:rPr>
        <w:t>, los incisos tercero y cuarto de la disposición analizada también permiten a las entidades estatales acudir a las bolsas de productos cuando a pesar de la existencia de un acuerdo marco de precios, mediante aquel mecanismo se obtengan precios inferiores, incluyendo los costos generados por concepto de comisionistas de bolsa y los gastos de operación indicados en el artículo 2.2.1.2.1.2.15. del Decreto 1082 de 2015 y no se desmejoren las condiciones técnicas y de calidad. Este análisis comparativo se debe realizar con el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w:t>
      </w:r>
      <w:r>
        <w:rPr>
          <w:rStyle w:val="Refdenotaalpie"/>
          <w:rFonts w:ascii="Verdana" w:eastAsia="Calibri" w:hAnsi="Verdana" w:cs="Arial"/>
          <w:color w:val="000000" w:themeColor="text1"/>
          <w:lang w:val="es-MX"/>
        </w:rPr>
        <w:footnoteReference w:id="7"/>
      </w:r>
      <w:r>
        <w:rPr>
          <w:rFonts w:ascii="Verdana" w:eastAsia="Calibri" w:hAnsi="Verdana" w:cs="Arial"/>
          <w:color w:val="000000" w:themeColor="text1"/>
          <w:lang w:val="es-MX"/>
        </w:rPr>
        <w:t>.</w:t>
      </w:r>
    </w:p>
    <w:p w14:paraId="3317520F" w14:textId="77777777" w:rsidR="00F4619C" w:rsidRPr="004157FA" w:rsidRDefault="00F4619C" w:rsidP="00F4619C">
      <w:pPr>
        <w:spacing w:after="120" w:line="276" w:lineRule="auto"/>
        <w:ind w:firstLine="708"/>
        <w:jc w:val="both"/>
        <w:rPr>
          <w:rFonts w:ascii="Verdana" w:hAnsi="Verdana" w:cs="Arial"/>
          <w:lang w:val="es-MX"/>
        </w:rPr>
      </w:pPr>
      <w:r w:rsidRPr="004157FA">
        <w:rPr>
          <w:rFonts w:ascii="Verdana" w:eastAsia="Calibri" w:hAnsi="Verdana" w:cs="Arial"/>
          <w:color w:val="000000" w:themeColor="text1"/>
          <w:lang w:val="es-MX"/>
        </w:rPr>
        <w:lastRenderedPageBreak/>
        <w:t xml:space="preserve">De otro lado, desde una perspectiva general, en principio la adquisición de bienes y servicios de características técnicas uniformes a través del mecanismo de bolsa de productos, se encuentra sometido al deber de publicidad de las actuaciones contractuales de las entidades públicas establecido en el artículo 3 de la Ley 1150 de 2007 y regulado por el artículo 2.2.1.1.1.7.1 del Decreto 1082 de 2015, que obliga a publicar en SECOP la documentación que </w:t>
      </w:r>
      <w:r w:rsidRPr="004157FA">
        <w:rPr>
          <w:rFonts w:ascii="Verdana" w:hAnsi="Verdana" w:cs="Arial"/>
          <w:lang w:val="es-MX"/>
        </w:rPr>
        <w:t xml:space="preserve">conforma el expediente del proceso de contratación.  </w:t>
      </w:r>
    </w:p>
    <w:p w14:paraId="20B3C82B" w14:textId="77777777" w:rsidR="00F4619C" w:rsidRPr="004157FA" w:rsidRDefault="00F4619C" w:rsidP="00F4619C">
      <w:pPr>
        <w:spacing w:after="120" w:line="276" w:lineRule="auto"/>
        <w:ind w:firstLine="708"/>
        <w:jc w:val="both"/>
        <w:rPr>
          <w:rFonts w:ascii="Verdana" w:eastAsia="Calibri" w:hAnsi="Verdana" w:cs="Arial"/>
          <w:color w:val="000000" w:themeColor="text1"/>
          <w:lang w:val="es-MX"/>
        </w:rPr>
      </w:pPr>
      <w:r w:rsidRPr="004157FA">
        <w:rPr>
          <w:rFonts w:ascii="Verdana" w:hAnsi="Verdana" w:cs="Arial"/>
          <w:lang w:val="es-MX"/>
        </w:rPr>
        <w:t>Sin embargo, en</w:t>
      </w:r>
      <w:r w:rsidRPr="004157FA">
        <w:rPr>
          <w:rFonts w:ascii="Verdana" w:eastAsia="Calibri" w:hAnsi="Verdana" w:cs="Arial"/>
          <w:color w:val="000000" w:themeColor="text1"/>
          <w:lang w:val="es-MX"/>
        </w:rPr>
        <w:t xml:space="preserve"> lo relativo a la publicación de las compras realizadas a través del mecanismo de bolsa de productos, el artículo 2.2.1.1.1.7.1 del Decreto 1082 de 2015 exceptúa el cumplimiento de esta obligación al disponer que “[…] Los documentos de las operaciones que se realicen en bolsa de productos no tienen que ser publicados en el S</w:t>
      </w:r>
      <w:r>
        <w:rPr>
          <w:rFonts w:ascii="Verdana" w:eastAsia="Calibri" w:hAnsi="Verdana" w:cs="Arial"/>
          <w:color w:val="000000" w:themeColor="text1"/>
          <w:lang w:val="es-MX"/>
        </w:rPr>
        <w:t>ECOP</w:t>
      </w:r>
      <w:r w:rsidRPr="004157FA">
        <w:rPr>
          <w:rFonts w:ascii="Verdana" w:eastAsia="Calibri" w:hAnsi="Verdana" w:cs="Arial"/>
          <w:color w:val="000000" w:themeColor="text1"/>
          <w:lang w:val="es-MX"/>
        </w:rPr>
        <w:t xml:space="preserve">”. Conforme a dicha disposición, los documentos en donde consten las operaciones realizadas en la bolsa de productos a órdenes de una entidad estatal no deben publicarse en el SECOP. </w:t>
      </w:r>
    </w:p>
    <w:p w14:paraId="2C12CE5F" w14:textId="77777777" w:rsidR="00F4619C" w:rsidRDefault="00F4619C" w:rsidP="00F4619C">
      <w:pPr>
        <w:spacing w:after="120" w:line="276" w:lineRule="auto"/>
        <w:ind w:firstLine="709"/>
        <w:jc w:val="both"/>
        <w:rPr>
          <w:rFonts w:ascii="Verdana" w:hAnsi="Verdana" w:cs="Arial"/>
          <w:lang w:val="es-MX"/>
        </w:rPr>
      </w:pPr>
      <w:r w:rsidRPr="004157FA">
        <w:rPr>
          <w:rFonts w:ascii="Verdana" w:eastAsia="Calibri" w:hAnsi="Verdana" w:cs="Arial"/>
          <w:color w:val="000000" w:themeColor="text1"/>
          <w:lang w:val="es-MX"/>
        </w:rPr>
        <w:t xml:space="preserve">Ahora bien, para determinar el alcance de tal excepción al deber de publicidad de la actividad contractual, es necesario precisar a qué se refiere el artículo 2.2.1.1.1.7.1 del Decreto 1082 de 2015 al mencionar las “los documentos de las operaciones que se realicen en bolsa de productos”. En primera medida, el término </w:t>
      </w:r>
      <w:r w:rsidRPr="004157FA">
        <w:rPr>
          <w:rFonts w:ascii="Verdana" w:eastAsia="Calibri" w:hAnsi="Verdana" w:cs="Arial"/>
          <w:i/>
          <w:iCs/>
          <w:color w:val="000000" w:themeColor="text1"/>
          <w:lang w:val="es-MX"/>
        </w:rPr>
        <w:t>operación</w:t>
      </w:r>
      <w:r w:rsidRPr="004157FA">
        <w:rPr>
          <w:rFonts w:ascii="Verdana" w:eastAsia="Calibri" w:hAnsi="Verdana" w:cs="Arial"/>
          <w:color w:val="000000" w:themeColor="text1"/>
          <w:lang w:val="es-MX"/>
        </w:rPr>
        <w:t xml:space="preserve"> alude a interacciones entre los inversores, emisores de títulos y vendedores de bienes que tienen lugar dentro de una bolsa de productos. En esa línea encontramos que, en el concepto de operaciones de bolsa “</w:t>
      </w:r>
      <w:r w:rsidRPr="004157FA">
        <w:rPr>
          <w:rFonts w:ascii="Verdana" w:eastAsia="Calibri" w:hAnsi="Verdana" w:cs="Arial"/>
          <w:color w:val="000000" w:themeColor="text1"/>
        </w:rPr>
        <w:t xml:space="preserve">pueden incluirse una larga serie de actos económicos, que tengan por lo menos para uno de los contratantes, el fin directo o indirecto de obtener ventajas </w:t>
      </w:r>
      <w:r w:rsidRPr="004157FA">
        <w:rPr>
          <w:rFonts w:ascii="Verdana" w:eastAsia="Calibri" w:hAnsi="Verdana" w:cs="Arial"/>
          <w:color w:val="000000" w:themeColor="text1"/>
        </w:rPr>
        <w:lastRenderedPageBreak/>
        <w:t xml:space="preserve">de las variaciones del curso de los valores o de los precios de las mercaderías </w:t>
      </w:r>
      <w:r w:rsidRPr="004157FA">
        <w:rPr>
          <w:rFonts w:ascii="Verdana" w:hAnsi="Verdana" w:cs="Arial"/>
          <w:lang w:val="es-MX"/>
        </w:rPr>
        <w:t>en relación al tiempo”</w:t>
      </w:r>
      <w:r>
        <w:rPr>
          <w:rStyle w:val="Refdenotaalpie"/>
          <w:rFonts w:ascii="Verdana" w:hAnsi="Verdana" w:cs="Arial"/>
          <w:lang w:val="es-MX"/>
        </w:rPr>
        <w:footnoteReference w:id="8"/>
      </w:r>
      <w:r>
        <w:rPr>
          <w:rFonts w:ascii="Verdana" w:hAnsi="Verdana" w:cs="Arial"/>
          <w:lang w:val="es-MX"/>
        </w:rPr>
        <w:t>.</w:t>
      </w:r>
    </w:p>
    <w:p w14:paraId="6883E78E" w14:textId="77777777" w:rsidR="00F4619C" w:rsidRDefault="00F4619C" w:rsidP="00F4619C">
      <w:pPr>
        <w:spacing w:after="120" w:line="276" w:lineRule="auto"/>
        <w:ind w:firstLine="709"/>
        <w:jc w:val="both"/>
        <w:rPr>
          <w:rFonts w:ascii="Verdana" w:eastAsia="Calibri" w:hAnsi="Verdana" w:cs="Arial"/>
          <w:color w:val="000000" w:themeColor="text1"/>
        </w:rPr>
      </w:pPr>
      <w:r w:rsidRPr="004157FA">
        <w:rPr>
          <w:rFonts w:ascii="Verdana" w:hAnsi="Verdana" w:cs="Arial"/>
          <w:lang w:val="es-MX"/>
        </w:rPr>
        <w:t>Las operaciones</w:t>
      </w:r>
      <w:r w:rsidRPr="004157FA">
        <w:rPr>
          <w:rFonts w:ascii="Verdana" w:eastAsia="Calibri" w:hAnsi="Verdana" w:cs="Arial"/>
          <w:color w:val="000000" w:themeColor="text1"/>
        </w:rPr>
        <w:t xml:space="preserve"> a la vez pueden ser de distinto carácter dependiendo del objeto de la misma, así pues, respecto de los valores públicos y privados pueden hacerse emisiones públicas y privadas, operaciones de conversión y de amortización, operaciones de compraventa, operaciones de prenda entre otras; mientras que respecto de los productos pueden hacerse operaciones de compraventa, prenda y anticipación</w:t>
      </w:r>
      <w:r>
        <w:rPr>
          <w:rStyle w:val="Refdenotaalpie"/>
          <w:rFonts w:ascii="Verdana" w:eastAsia="Calibri" w:hAnsi="Verdana" w:cs="Arial"/>
          <w:color w:val="000000" w:themeColor="text1"/>
        </w:rPr>
        <w:footnoteReference w:id="9"/>
      </w:r>
      <w:r>
        <w:rPr>
          <w:rFonts w:ascii="Verdana" w:eastAsia="Calibri" w:hAnsi="Verdana" w:cs="Arial"/>
          <w:color w:val="000000" w:themeColor="text1"/>
        </w:rPr>
        <w:t>.</w:t>
      </w:r>
    </w:p>
    <w:p w14:paraId="275712A5" w14:textId="77777777" w:rsidR="00F4619C" w:rsidRDefault="00F4619C" w:rsidP="00F4619C">
      <w:pPr>
        <w:spacing w:after="120" w:line="276" w:lineRule="auto"/>
        <w:ind w:firstLine="709"/>
        <w:jc w:val="both"/>
        <w:rPr>
          <w:rFonts w:ascii="Verdana" w:eastAsia="Calibri" w:hAnsi="Verdana" w:cs="Arial"/>
          <w:color w:val="000000" w:themeColor="text1"/>
        </w:rPr>
      </w:pPr>
      <w:r w:rsidRPr="004157FA">
        <w:rPr>
          <w:rFonts w:ascii="Verdana" w:eastAsia="Calibri" w:hAnsi="Verdana" w:cs="Arial"/>
          <w:color w:val="000000" w:themeColor="text1"/>
        </w:rPr>
        <w:t xml:space="preserve">En ese orden, el contexto y normativa en el que se ubica el </w:t>
      </w:r>
      <w:r w:rsidRPr="004157FA">
        <w:rPr>
          <w:rFonts w:ascii="Verdana" w:eastAsia="Calibri" w:hAnsi="Verdana" w:cs="Arial"/>
          <w:color w:val="000000" w:themeColor="text1"/>
          <w:lang w:val="es-MX"/>
        </w:rPr>
        <w:t xml:space="preserve">artículo 2.2.1.1.1.7.1 del Decreto 1082 de 2015, conduce a interpretar que las operaciones a las que se refiere la norma son operaciones de compraventa de productos, específicamente para la compra de bienes y servicios de características técnicas uniformes y de común utilización, única finalidad para la que se contempla el mecanismo de bolsa de productos en el EGCAP, a las que </w:t>
      </w:r>
      <w:r w:rsidRPr="004157FA">
        <w:rPr>
          <w:rFonts w:ascii="Verdana" w:eastAsia="Calibri" w:hAnsi="Verdana" w:cs="Arial"/>
          <w:color w:val="000000" w:themeColor="text1"/>
        </w:rPr>
        <w:t>pueden acceder las entidades estatales en los términos analizados previamente.</w:t>
      </w:r>
    </w:p>
    <w:p w14:paraId="52731889" w14:textId="77777777" w:rsidR="00F4619C" w:rsidRDefault="00F4619C" w:rsidP="00F4619C">
      <w:pPr>
        <w:spacing w:after="120" w:line="276" w:lineRule="auto"/>
        <w:ind w:firstLine="709"/>
        <w:jc w:val="both"/>
        <w:rPr>
          <w:rFonts w:ascii="Verdana" w:hAnsi="Verdana" w:cs="Arial"/>
          <w:lang w:val="es-MX"/>
        </w:rPr>
      </w:pPr>
      <w:r w:rsidRPr="004157FA">
        <w:rPr>
          <w:rFonts w:ascii="Verdana" w:eastAsia="Calibri" w:hAnsi="Verdana" w:cs="Arial"/>
          <w:color w:val="000000" w:themeColor="text1"/>
        </w:rPr>
        <w:t>La adquisición</w:t>
      </w:r>
      <w:r w:rsidRPr="004157FA">
        <w:rPr>
          <w:rFonts w:ascii="Verdana" w:eastAsia="Calibri" w:hAnsi="Verdana" w:cs="Arial"/>
          <w:color w:val="000000" w:themeColor="text1"/>
          <w:lang w:val="es-MX"/>
        </w:rPr>
        <w:t xml:space="preserve"> de estos bienes, sin perjuicio de la aplicación de los artículos 2.2.1.2.1.2.11</w:t>
      </w:r>
      <w:r>
        <w:rPr>
          <w:rFonts w:ascii="Verdana" w:eastAsia="Calibri" w:hAnsi="Verdana" w:cs="Arial"/>
          <w:color w:val="000000" w:themeColor="text1"/>
          <w:lang w:val="es-MX"/>
        </w:rPr>
        <w:t xml:space="preserve"> </w:t>
      </w:r>
      <w:r w:rsidRPr="004157FA">
        <w:rPr>
          <w:rFonts w:ascii="Verdana" w:eastAsia="Calibri" w:hAnsi="Verdana" w:cs="Arial"/>
          <w:color w:val="000000" w:themeColor="text1"/>
          <w:lang w:val="es-MX"/>
        </w:rPr>
        <w:t>a</w:t>
      </w:r>
      <w:r>
        <w:rPr>
          <w:rFonts w:ascii="Verdana" w:eastAsia="Calibri" w:hAnsi="Verdana" w:cs="Arial"/>
          <w:color w:val="000000" w:themeColor="text1"/>
          <w:lang w:val="es-MX"/>
        </w:rPr>
        <w:t xml:space="preserve"> </w:t>
      </w:r>
      <w:r w:rsidRPr="004157FA">
        <w:rPr>
          <w:rFonts w:ascii="Verdana" w:eastAsia="Calibri" w:hAnsi="Verdana" w:cs="Arial"/>
          <w:color w:val="000000" w:themeColor="text1"/>
          <w:lang w:val="es-MX"/>
        </w:rPr>
        <w:t xml:space="preserve">2.1.2.1.2.19 del Decreto 1082 de 2015 en lo pertinente, se rigen principalmente por el Decreto 2555 de 2010 y los reglamentos internos de las bolsas de productos en las que se lleven a cabo las operaciones. El Decreto 2555 de 2010, mediante el artículo 2.11.1.1.5, habilita a las bolsas de productos para expedir sus reglamentos, estableciendo que estos deberán regular la organización, administración, funcionamiento, así como las operaciones y actividades que se realicen por conducto de los mercados que </w:t>
      </w:r>
      <w:r w:rsidRPr="004157FA">
        <w:rPr>
          <w:rFonts w:ascii="Verdana" w:hAnsi="Verdana" w:cs="Arial"/>
          <w:lang w:val="es-MX"/>
        </w:rPr>
        <w:t>administre la correspondiente bolsa</w:t>
      </w:r>
      <w:r>
        <w:rPr>
          <w:rStyle w:val="Refdenotaalpie"/>
          <w:rFonts w:ascii="Verdana" w:hAnsi="Verdana" w:cs="Arial"/>
          <w:lang w:val="es-MX"/>
        </w:rPr>
        <w:footnoteReference w:id="10"/>
      </w:r>
      <w:r>
        <w:rPr>
          <w:rFonts w:ascii="Verdana" w:hAnsi="Verdana" w:cs="Arial"/>
          <w:lang w:val="es-MX"/>
        </w:rPr>
        <w:t>.</w:t>
      </w:r>
    </w:p>
    <w:p w14:paraId="24811C62" w14:textId="77777777" w:rsidR="00F4619C" w:rsidRDefault="00F4619C" w:rsidP="00F4619C">
      <w:pPr>
        <w:spacing w:after="120" w:line="276" w:lineRule="auto"/>
        <w:ind w:firstLine="709"/>
        <w:jc w:val="both"/>
        <w:rPr>
          <w:rFonts w:ascii="Verdana" w:eastAsia="Calibri" w:hAnsi="Verdana" w:cs="Arial"/>
          <w:color w:val="000000" w:themeColor="text1"/>
          <w:lang w:val="es-MX"/>
        </w:rPr>
      </w:pPr>
      <w:r w:rsidRPr="004157FA">
        <w:rPr>
          <w:rFonts w:ascii="Verdana" w:hAnsi="Verdana" w:cs="Arial"/>
          <w:lang w:val="es-MX"/>
        </w:rPr>
        <w:lastRenderedPageBreak/>
        <w:t>En el marco de</w:t>
      </w:r>
      <w:r w:rsidRPr="004157FA">
        <w:rPr>
          <w:rFonts w:ascii="Verdana" w:eastAsia="Calibri" w:hAnsi="Verdana" w:cs="Arial"/>
          <w:color w:val="000000" w:themeColor="text1"/>
          <w:lang w:val="es-MX"/>
        </w:rPr>
        <w:t xml:space="preserve"> tal ejercicio de autorregulación que implica la expedición de sus propios reglamentos, las bolsas de productos tienen la posibilidad de definir distintas modalidades para llevar a cabo las negociaciones de los productos, establecer sus requisitos, procedimientos e incluso determinar documentación que deberá ser producida en el marco de las operaciones que se lleven a cabo. Tal documentación relativa a la ocurrencia de las operaciones bursátiles, regulada por los reglamentos de las respectivas bolsas, es a la que se refiere el artículo 2.2.1.1.1.7.1 del Decreto 1082 de 2015.</w:t>
      </w:r>
    </w:p>
    <w:p w14:paraId="082AA290" w14:textId="77777777" w:rsidR="00F4619C" w:rsidRPr="0051718B" w:rsidRDefault="00F4619C" w:rsidP="00F4619C">
      <w:pPr>
        <w:spacing w:after="120" w:line="276" w:lineRule="auto"/>
        <w:ind w:firstLine="709"/>
        <w:jc w:val="both"/>
        <w:rPr>
          <w:rFonts w:ascii="Verdana" w:eastAsia="Calibri" w:hAnsi="Verdana" w:cs="Arial"/>
          <w:color w:val="000000" w:themeColor="text1"/>
          <w:lang w:val="es-MX"/>
        </w:rPr>
      </w:pPr>
      <w:r w:rsidRPr="004157FA">
        <w:rPr>
          <w:rFonts w:ascii="Verdana" w:eastAsia="Calibri" w:hAnsi="Verdana" w:cs="Arial"/>
          <w:color w:val="000000" w:themeColor="text1"/>
          <w:lang w:val="es-MX"/>
        </w:rPr>
        <w:t>Un ejemplo de estos documentos lo encontramos en el Reglamento de la Bolsa Mercantil de Colombia</w:t>
      </w:r>
      <w:r>
        <w:rPr>
          <w:rStyle w:val="Refdenotaalpie"/>
          <w:rFonts w:ascii="Verdana" w:eastAsia="Calibri" w:hAnsi="Verdana" w:cs="Arial"/>
          <w:color w:val="000000" w:themeColor="text1"/>
          <w:lang w:val="es-MX"/>
        </w:rPr>
        <w:footnoteReference w:id="11"/>
      </w:r>
      <w:r w:rsidRPr="004157FA">
        <w:rPr>
          <w:rFonts w:ascii="Verdana" w:eastAsia="Calibri" w:hAnsi="Verdana" w:cs="Arial"/>
          <w:color w:val="000000" w:themeColor="text1"/>
          <w:lang w:val="es-MX"/>
        </w:rPr>
        <w:t>, que en el marco de la regulación de las generalidades de los escenarios de negociación en rueda de viva voz, en el artículo 3.2.2.1.8, alude la necesidad de dejar constancia de las operaciones realizadas a través de la bolsa en “un documento idóneo, suscrito por las sociedades comisionistas miembros de la Bolsa que lo celebren y por un representante de la Bolsa debidamente facultado para tal efecto”, documento que titula comprobante de transacción</w:t>
      </w:r>
      <w:r>
        <w:rPr>
          <w:rStyle w:val="Refdenotaalpie"/>
          <w:rFonts w:ascii="Verdana" w:eastAsia="Calibri" w:hAnsi="Verdana" w:cs="Arial"/>
          <w:color w:val="000000" w:themeColor="text1"/>
          <w:lang w:val="es-MX"/>
        </w:rPr>
        <w:footnoteReference w:id="12"/>
      </w:r>
      <w:r>
        <w:rPr>
          <w:rFonts w:ascii="Verdana" w:eastAsia="Calibri" w:hAnsi="Verdana" w:cs="Arial"/>
          <w:color w:val="000000" w:themeColor="text1"/>
          <w:lang w:val="es-MX"/>
        </w:rPr>
        <w:t xml:space="preserve">. </w:t>
      </w:r>
      <w:r w:rsidRPr="004157FA">
        <w:rPr>
          <w:rFonts w:ascii="Verdana" w:eastAsia="Calibri" w:hAnsi="Verdana" w:cs="Arial"/>
          <w:color w:val="000000" w:themeColor="text1"/>
          <w:lang w:val="es-MX"/>
        </w:rPr>
        <w:t xml:space="preserve">Otro ejemplo se encuentra en el artículo 3.2.2.4.4. del referido reglamento, que en dentro de la regulación de la metodología de subasta como mecanismo de negociación, establece la obligación de la Bolsa de elaborar “un Instructivo Operativo que recoja las condiciones, aspectos operativos y criterios de adjudicación, en forma clara y completa, así como las demás que correspondan según el tipo de subasta que se </w:t>
      </w:r>
      <w:r w:rsidRPr="004157FA">
        <w:rPr>
          <w:rFonts w:ascii="Verdana" w:hAnsi="Verdana" w:cs="Arial"/>
          <w:lang w:val="es-MX"/>
        </w:rPr>
        <w:t>requiera adelantar (…).”</w:t>
      </w:r>
    </w:p>
    <w:p w14:paraId="66AB2250" w14:textId="77777777" w:rsidR="00F4619C" w:rsidRDefault="00F4619C" w:rsidP="00F4619C">
      <w:pPr>
        <w:spacing w:after="120" w:line="276" w:lineRule="auto"/>
        <w:ind w:firstLine="709"/>
        <w:jc w:val="both"/>
        <w:rPr>
          <w:rFonts w:ascii="Verdana" w:eastAsia="Calibri" w:hAnsi="Verdana" w:cs="Arial"/>
          <w:color w:val="000000" w:themeColor="text1"/>
          <w:lang w:val="es-MX"/>
        </w:rPr>
      </w:pPr>
      <w:r w:rsidRPr="004157FA">
        <w:rPr>
          <w:rFonts w:ascii="Verdana" w:hAnsi="Verdana" w:cs="Arial"/>
          <w:lang w:val="es-MX"/>
        </w:rPr>
        <w:t>Conforme a</w:t>
      </w:r>
      <w:r w:rsidRPr="004157FA">
        <w:rPr>
          <w:rFonts w:ascii="Verdana" w:eastAsia="Calibri" w:hAnsi="Verdana" w:cs="Arial"/>
          <w:color w:val="000000" w:themeColor="text1"/>
          <w:lang w:val="es-MX"/>
        </w:rPr>
        <w:t xml:space="preserve"> lo anterior, la excepción que hace el artículo 2.2.1.1.1.7.1 del Decreto 1082 de 2015 al deber de publicar en el SECOP los documentos en los que se refleja la actividad contractual de las entidades estatales,  se refiere a este tipo de documentos, que se relacionan directamente con las operaciones bursátiles que celebra el comisionista para la adquisición, dentro de la respectiva bolsa, de los bienes y servicios de características técnicas uniformes y de común </w:t>
      </w:r>
      <w:r w:rsidRPr="004157FA">
        <w:rPr>
          <w:rFonts w:ascii="Verdana" w:eastAsia="Calibri" w:hAnsi="Verdana" w:cs="Arial"/>
          <w:color w:val="000000" w:themeColor="text1"/>
          <w:lang w:val="es-MX"/>
        </w:rPr>
        <w:lastRenderedPageBreak/>
        <w:t>utilización que le han sido encargados por la entidad estatal. Estos documentos, al ser expedidos en el marco del funcionamiento de la bolsa, y de acuerdo con la reglamentación expedida por esta, están exceptuados de la publicación en el SECOP por el reglamento especial y particular.</w:t>
      </w:r>
    </w:p>
    <w:p w14:paraId="4E503326" w14:textId="77777777" w:rsidR="00F4619C" w:rsidRDefault="00F4619C" w:rsidP="00F4619C">
      <w:pPr>
        <w:spacing w:after="120" w:line="276" w:lineRule="auto"/>
        <w:ind w:firstLine="709"/>
        <w:jc w:val="both"/>
        <w:rPr>
          <w:rFonts w:ascii="Verdana" w:hAnsi="Verdana" w:cs="Arial"/>
        </w:rPr>
      </w:pPr>
      <w:r w:rsidRPr="00F751A8">
        <w:rPr>
          <w:rFonts w:ascii="Verdana" w:hAnsi="Verdana" w:cs="Arial"/>
          <w:lang w:val="es-MX"/>
        </w:rPr>
        <w:t xml:space="preserve">Finalmente, el parágrafo 1 de artículo 2.2.1.2.1.2.12, faculta a </w:t>
      </w:r>
      <w:r w:rsidRPr="00F751A8">
        <w:rPr>
          <w:rFonts w:ascii="Verdana" w:hAnsi="Verdana" w:cs="Arial"/>
        </w:rPr>
        <w:t>la Agencia Nacional de contratación Pública - Colombia Compra Eficiente para definir los lineamientos generales, así como los criterios objetivos y medibles con arreglo a los cuales, las entidades estatales deben realizar sus adquisiciones de bienes o servicios de características técnicas uniformes a través de bolsas de productos, independientemente de que exista o no un acuerdo marco de precios vigente.</w:t>
      </w:r>
    </w:p>
    <w:p w14:paraId="75C71BB5" w14:textId="77777777" w:rsidR="00F4619C" w:rsidRDefault="00F4619C" w:rsidP="00F4619C">
      <w:pPr>
        <w:spacing w:after="120" w:line="276" w:lineRule="auto"/>
        <w:ind w:firstLine="709"/>
        <w:jc w:val="both"/>
        <w:rPr>
          <w:rFonts w:ascii="Verdana" w:hAnsi="Verdana" w:cs="Arial"/>
        </w:rPr>
      </w:pPr>
      <w:r>
        <w:rPr>
          <w:rFonts w:ascii="Verdana" w:hAnsi="Verdana" w:cs="Arial"/>
        </w:rPr>
        <w:t>En ese orden de ideas, d</w:t>
      </w:r>
      <w:r w:rsidRPr="00F751A8">
        <w:rPr>
          <w:rFonts w:ascii="Verdana" w:hAnsi="Verdana" w:cs="Arial"/>
        </w:rPr>
        <w:t>icha facultad fue ejercida a través de la Circular CCE-004 del 21 de septiembre de 2021</w:t>
      </w:r>
      <w:r>
        <w:rPr>
          <w:rStyle w:val="Refdenotaalpie"/>
          <w:rFonts w:ascii="Verdana" w:hAnsi="Verdana" w:cs="Arial"/>
        </w:rPr>
        <w:footnoteReference w:id="13"/>
      </w:r>
      <w:r>
        <w:rPr>
          <w:rFonts w:ascii="Verdana" w:hAnsi="Verdana" w:cs="Arial"/>
        </w:rPr>
        <w:t xml:space="preserve">, </w:t>
      </w:r>
      <w:r w:rsidRPr="00F751A8">
        <w:rPr>
          <w:rFonts w:ascii="Verdana" w:hAnsi="Verdana" w:cs="Arial"/>
        </w:rPr>
        <w:t xml:space="preserve">en la que además del Plan Operativo de Despliegue para materializar el régimen de obligatoriedad de la utilización de los acuerdos marco de precios, se establecieron unos criterios con base en los cuales las entidades estatales deben sustentar la escogencia del respectivo mecanismo para adquirir los bienes y/o servicios de características técnicas uniformes que requieran. Dentro de estos encontramos: </w:t>
      </w:r>
    </w:p>
    <w:p w14:paraId="727EE5F6" w14:textId="77777777" w:rsidR="00F4619C" w:rsidRPr="00841950" w:rsidRDefault="00F4619C" w:rsidP="00F4619C">
      <w:pPr>
        <w:pStyle w:val="Prrafodelista"/>
        <w:numPr>
          <w:ilvl w:val="0"/>
          <w:numId w:val="18"/>
        </w:numPr>
        <w:spacing w:after="120" w:line="276" w:lineRule="auto"/>
        <w:jc w:val="both"/>
        <w:rPr>
          <w:rFonts w:ascii="Verdana" w:hAnsi="Verdana" w:cs="Arial"/>
        </w:rPr>
      </w:pPr>
      <w:r w:rsidRPr="00841950">
        <w:rPr>
          <w:rFonts w:ascii="Verdana" w:hAnsi="Verdana" w:cs="Arial"/>
        </w:rPr>
        <w:t>validación de la disponibilidad del Bien o Servicio requerido por la entidad estatal en los catálogos de bienes y servicios ofrecidos en los acuerdos marco vigentes en la Tienda Virtual del Estado Colombiano;</w:t>
      </w:r>
    </w:p>
    <w:p w14:paraId="09490E46" w14:textId="77777777" w:rsidR="00F4619C" w:rsidRDefault="00F4619C" w:rsidP="00F4619C">
      <w:pPr>
        <w:pStyle w:val="Prrafodelista"/>
        <w:numPr>
          <w:ilvl w:val="0"/>
          <w:numId w:val="18"/>
        </w:numPr>
        <w:spacing w:after="120" w:line="276" w:lineRule="auto"/>
        <w:jc w:val="both"/>
        <w:rPr>
          <w:rFonts w:ascii="Verdana" w:hAnsi="Verdana" w:cs="Arial"/>
        </w:rPr>
      </w:pPr>
      <w:r w:rsidRPr="00841950">
        <w:rPr>
          <w:rFonts w:ascii="Verdana" w:hAnsi="Verdana" w:cs="Arial"/>
        </w:rPr>
        <w:t>existencia de un Acuerdo Marco de precios y disponibilidad de los mismos bienes y/o servicios a través de la Bolsa de Productos; y</w:t>
      </w:r>
    </w:p>
    <w:p w14:paraId="52B5494D" w14:textId="77777777" w:rsidR="00F4619C" w:rsidRPr="00316834" w:rsidRDefault="00F4619C" w:rsidP="00F4619C">
      <w:pPr>
        <w:pStyle w:val="Prrafodelista"/>
        <w:numPr>
          <w:ilvl w:val="0"/>
          <w:numId w:val="18"/>
        </w:numPr>
        <w:spacing w:after="120" w:line="276" w:lineRule="auto"/>
        <w:jc w:val="both"/>
        <w:rPr>
          <w:rFonts w:ascii="Verdana" w:hAnsi="Verdana" w:cs="Arial"/>
        </w:rPr>
      </w:pPr>
      <w:r w:rsidRPr="00316834">
        <w:rPr>
          <w:rFonts w:ascii="Verdana" w:hAnsi="Verdana" w:cs="Arial"/>
        </w:rPr>
        <w:t>no existencia de un Acuerdo Marco de precios.</w:t>
      </w:r>
    </w:p>
    <w:p w14:paraId="3D93E330" w14:textId="77777777" w:rsidR="00D56920" w:rsidRPr="00304485" w:rsidRDefault="00D56920" w:rsidP="00F4619C">
      <w:pPr>
        <w:tabs>
          <w:tab w:val="left" w:pos="0"/>
        </w:tabs>
        <w:spacing w:before="120" w:after="0" w:line="276" w:lineRule="auto"/>
        <w:jc w:val="both"/>
        <w:rPr>
          <w:rFonts w:ascii="Verdana" w:hAnsi="Verdana" w:cs="Arial"/>
          <w:color w:val="000000" w:themeColor="text1"/>
        </w:rPr>
      </w:pPr>
    </w:p>
    <w:p w14:paraId="5367BD8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4DDEE49F" w14:textId="77777777" w:rsidR="00F4619C" w:rsidRPr="00593A5F" w:rsidRDefault="00F4619C" w:rsidP="00F4619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4619C" w:rsidRPr="00593A5F" w14:paraId="16C5E394" w14:textId="77777777" w:rsidTr="003D0810">
        <w:trPr>
          <w:trHeight w:val="870"/>
        </w:trPr>
        <w:tc>
          <w:tcPr>
            <w:tcW w:w="8647" w:type="dxa"/>
          </w:tcPr>
          <w:p w14:paraId="7AF575E9" w14:textId="77777777" w:rsidR="00F4619C" w:rsidRPr="00C75FC4" w:rsidRDefault="00F4619C" w:rsidP="00F4619C">
            <w:pPr>
              <w:pStyle w:val="Prrafodelista"/>
              <w:widowControl w:val="0"/>
              <w:numPr>
                <w:ilvl w:val="0"/>
                <w:numId w:val="17"/>
              </w:numPr>
              <w:autoSpaceDE w:val="0"/>
              <w:autoSpaceDN w:val="0"/>
              <w:spacing w:line="276" w:lineRule="auto"/>
              <w:ind w:left="714" w:hanging="357"/>
              <w:jc w:val="both"/>
              <w:rPr>
                <w:rFonts w:ascii="Verdana" w:hAnsi="Verdana" w:cs="Arial"/>
                <w:color w:val="000000" w:themeColor="text1"/>
              </w:rPr>
            </w:pPr>
            <w:r w:rsidRPr="00C75FC4">
              <w:rPr>
                <w:rFonts w:ascii="Verdana" w:eastAsia="Calibri" w:hAnsi="Verdana" w:cs="Arial"/>
                <w:color w:val="000000" w:themeColor="text1"/>
                <w:lang w:val="es-MX"/>
              </w:rPr>
              <w:t>Ley 1150 de 2007</w:t>
            </w:r>
            <w:r w:rsidRPr="00C75FC4">
              <w:rPr>
                <w:rFonts w:ascii="Verdana" w:hAnsi="Verdana" w:cs="Arial"/>
                <w:color w:val="000000" w:themeColor="text1"/>
              </w:rPr>
              <w:t xml:space="preserve"> </w:t>
            </w:r>
            <w:r w:rsidRPr="00C75FC4">
              <w:rPr>
                <w:rFonts w:ascii="Verdana" w:eastAsia="Calibri" w:hAnsi="Verdana" w:cs="Arial"/>
                <w:color w:val="000000" w:themeColor="text1"/>
                <w:lang w:val="es-MX"/>
              </w:rPr>
              <w:t>–</w:t>
            </w:r>
            <w:r w:rsidRPr="00C75FC4">
              <w:rPr>
                <w:rFonts w:ascii="Verdana" w:hAnsi="Verdana" w:cs="Arial"/>
                <w:color w:val="000000" w:themeColor="text1"/>
              </w:rPr>
              <w:t xml:space="preserve"> A</w:t>
            </w:r>
            <w:r w:rsidRPr="00C75FC4">
              <w:rPr>
                <w:rFonts w:ascii="Verdana" w:eastAsia="Calibri" w:hAnsi="Verdana" w:cs="Arial"/>
                <w:color w:val="000000" w:themeColor="text1"/>
                <w:lang w:val="es-MX"/>
              </w:rPr>
              <w:t>rtículo 2 numeral 2.</w:t>
            </w:r>
          </w:p>
          <w:p w14:paraId="35B956CB" w14:textId="77777777" w:rsidR="00F4619C" w:rsidRPr="00C75FC4" w:rsidRDefault="00F4619C" w:rsidP="00F4619C">
            <w:pPr>
              <w:pStyle w:val="Prrafodelista"/>
              <w:widowControl w:val="0"/>
              <w:numPr>
                <w:ilvl w:val="0"/>
                <w:numId w:val="17"/>
              </w:numPr>
              <w:autoSpaceDE w:val="0"/>
              <w:autoSpaceDN w:val="0"/>
              <w:spacing w:line="276" w:lineRule="auto"/>
              <w:ind w:left="714" w:hanging="357"/>
              <w:jc w:val="both"/>
              <w:rPr>
                <w:rFonts w:ascii="Verdana" w:hAnsi="Verdana" w:cs="Arial"/>
                <w:color w:val="000000" w:themeColor="text1"/>
              </w:rPr>
            </w:pPr>
            <w:r w:rsidRPr="00C75FC4">
              <w:rPr>
                <w:rFonts w:ascii="Verdana" w:eastAsia="Calibri" w:hAnsi="Verdana" w:cs="Arial"/>
                <w:color w:val="000000" w:themeColor="text1"/>
                <w:lang w:val="es-MX"/>
              </w:rPr>
              <w:t xml:space="preserve">Decreto 1082 de 2017 – Artículos </w:t>
            </w:r>
            <w:r w:rsidRPr="00C75FC4">
              <w:rPr>
                <w:rFonts w:ascii="Verdana" w:eastAsia="Times New Roman" w:hAnsi="Verdana" w:cs="Calibri"/>
                <w:color w:val="000000"/>
                <w:shd w:val="clear" w:color="auto" w:fill="FFFFFF"/>
                <w:lang w:eastAsia="es-CO"/>
              </w:rPr>
              <w:t>2.2.1.2.1.2.11 a 2.2.1.2.1.2.19</w:t>
            </w:r>
          </w:p>
          <w:p w14:paraId="224379FF" w14:textId="77777777" w:rsidR="00F4619C" w:rsidRPr="00C75FC4" w:rsidRDefault="00F4619C" w:rsidP="00F4619C">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 xml:space="preserve">Decreto 2555 de 2010 </w:t>
            </w:r>
          </w:p>
          <w:p w14:paraId="11ABF3B9" w14:textId="77777777" w:rsidR="00F4619C" w:rsidRPr="00C75FC4" w:rsidRDefault="00F4619C" w:rsidP="00F4619C">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Decreto 310 de 2021, articulo 2.</w:t>
            </w:r>
          </w:p>
          <w:p w14:paraId="0CB1A9A5" w14:textId="77777777" w:rsidR="00F4619C" w:rsidRPr="00C75FC4" w:rsidRDefault="00F4619C" w:rsidP="00F4619C">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rPr>
            </w:pPr>
            <w:r w:rsidRPr="00C75FC4">
              <w:rPr>
                <w:rFonts w:ascii="Verdana" w:hAnsi="Verdana" w:cs="Arial"/>
              </w:rPr>
              <w:t xml:space="preserve">Circular CCE-004 del 21 de septiembre de 2021. Disponible: </w:t>
            </w:r>
            <w:hyperlink r:id="rId13" w:history="1">
              <w:r w:rsidRPr="00C75FC4">
                <w:rPr>
                  <w:rStyle w:val="Hipervnculo"/>
                  <w:rFonts w:ascii="Verdana" w:hAnsi="Verdana" w:cs="Arial"/>
                </w:rPr>
                <w:t xml:space="preserve">vf_circular_externa_004_de_2021_002_2.pdf </w:t>
              </w:r>
              <w:r w:rsidRPr="00C75FC4">
                <w:rPr>
                  <w:rStyle w:val="Hipervnculo"/>
                  <w:rFonts w:ascii="Verdana" w:hAnsi="Verdana" w:cs="Arial"/>
                </w:rPr>
                <w:lastRenderedPageBreak/>
                <w:t>(colombiacompra.gov.co)</w:t>
              </w:r>
            </w:hyperlink>
            <w:r>
              <w:rPr>
                <w:rFonts w:ascii="Verdana" w:hAnsi="Verdana" w:cs="Arial"/>
              </w:rPr>
              <w:t xml:space="preserve"> </w:t>
            </w:r>
          </w:p>
        </w:tc>
      </w:tr>
    </w:tbl>
    <w:p w14:paraId="40B866ED" w14:textId="77777777" w:rsidR="00F4619C" w:rsidRPr="00593A5F" w:rsidRDefault="00F4619C" w:rsidP="00F4619C">
      <w:pPr>
        <w:widowControl w:val="0"/>
        <w:autoSpaceDE w:val="0"/>
        <w:autoSpaceDN w:val="0"/>
        <w:spacing w:after="0" w:line="276" w:lineRule="auto"/>
        <w:jc w:val="both"/>
        <w:rPr>
          <w:rFonts w:ascii="Verdana" w:hAnsi="Verdana" w:cs="Arial"/>
        </w:rPr>
      </w:pPr>
    </w:p>
    <w:p w14:paraId="7D517AD8" w14:textId="77777777" w:rsidR="00F4619C" w:rsidRPr="00593A5F" w:rsidRDefault="00F4619C" w:rsidP="00F461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9E2AE20" w14:textId="77777777" w:rsidR="00F4619C" w:rsidRPr="00593A5F" w:rsidRDefault="00F4619C" w:rsidP="00F4619C">
      <w:pPr>
        <w:widowControl w:val="0"/>
        <w:autoSpaceDE w:val="0"/>
        <w:autoSpaceDN w:val="0"/>
        <w:spacing w:after="0" w:line="276" w:lineRule="auto"/>
        <w:jc w:val="both"/>
        <w:rPr>
          <w:rFonts w:ascii="Verdana" w:hAnsi="Verdana" w:cs="Arial"/>
        </w:rPr>
      </w:pPr>
    </w:p>
    <w:p w14:paraId="483ECCA1" w14:textId="77777777" w:rsidR="00F4619C" w:rsidRDefault="00F4619C" w:rsidP="00F4619C">
      <w:pPr>
        <w:jc w:val="both"/>
        <w:rPr>
          <w:rFonts w:ascii="Verdana" w:hAnsi="Verdana" w:cs="Arial"/>
          <w:shd w:val="clear" w:color="auto" w:fill="FFFFFF"/>
        </w:rPr>
      </w:pPr>
      <w:r w:rsidRPr="00774100">
        <w:rPr>
          <w:rFonts w:ascii="Verdana" w:eastAsia="Calibri" w:hAnsi="Verdana" w:cs="Arial"/>
          <w:shd w:val="clear" w:color="auto" w:fill="FFFFFF"/>
          <w:lang w:val="es-ES"/>
        </w:rPr>
        <w:t xml:space="preserve">La Agencia Nacional de Contratación Pública − Colombia Compra Eficiente se pronunció </w:t>
      </w:r>
      <w:r>
        <w:rPr>
          <w:rFonts w:ascii="Verdana" w:eastAsia="Calibri" w:hAnsi="Verdana" w:cs="Arial"/>
          <w:shd w:val="clear" w:color="auto" w:fill="FFFFFF"/>
          <w:lang w:val="es-ES"/>
        </w:rPr>
        <w:t>frente a las</w:t>
      </w:r>
      <w:r w:rsidRPr="00C83B6B">
        <w:rPr>
          <w:rFonts w:ascii="Verdana" w:hAnsi="Verdana" w:cs="Arial"/>
        </w:rPr>
        <w:t xml:space="preserve"> características de los procedimientos contractuales en el marco de operaciones en la bolsa de productos en el concepto con radicado No. 4201912000007253 del 4 de diciembre de 2019, reiterado en el concepto con radicado No. 4201912000007289 de la misma fecha, así como en el C-336 del 2 de junio de 2020, estudió la publicidad de los procedimientos contractuales en el SECOP I y SECOP II, posiciones que fueron unificadas en el concepto de unificación CU–367 del 23 de julio de 2020; además, en el concepto C–455 del 31 de julio de 2020, C-068 del 22 de abril de 2021, C-211 del 23 de junio de 2023 y C-561 del 8 de octubre de 2024</w:t>
      </w:r>
      <w:r w:rsidRPr="0038350D">
        <w:rPr>
          <w:rFonts w:ascii="Verdana" w:eastAsia="Calibri" w:hAnsi="Verdana" w:cs="Arial"/>
          <w:shd w:val="clear" w:color="auto" w:fill="FFFFFF"/>
          <w:lang w:val="es-ES"/>
        </w:rPr>
        <w:t>, entre otros</w:t>
      </w:r>
      <w:r>
        <w:rPr>
          <w:rFonts w:ascii="Verdana" w:eastAsia="Calibri" w:hAnsi="Verdana" w:cs="Arial"/>
          <w:shd w:val="clear" w:color="auto" w:fill="FFFFFF"/>
          <w:lang w:val="es-ES"/>
        </w:rPr>
        <w:t>.</w:t>
      </w:r>
      <w:r>
        <w:rPr>
          <w:rFonts w:ascii="Verdana" w:hAnsi="Verdana"/>
        </w:rPr>
        <w:t xml:space="preserve"> </w:t>
      </w:r>
      <w:r w:rsidRPr="005A267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w:t>
      </w:r>
      <w:r w:rsidRPr="005D1F62">
        <w:rPr>
          <w:rFonts w:ascii="Verdana" w:hAnsi="Verdana" w:cs="Arial"/>
          <w:shd w:val="clear" w:color="auto" w:fill="FFFFFF"/>
        </w:rPr>
        <w:t xml:space="preserve"> contratación concordada con la doctrina de la Subdirección de Gestión Contractual.</w:t>
      </w:r>
      <w:r>
        <w:rPr>
          <w:rFonts w:ascii="Verdana" w:hAnsi="Verdana" w:cs="Arial"/>
          <w:shd w:val="clear" w:color="auto" w:fill="FFFFFF"/>
        </w:rPr>
        <w:t xml:space="preserve"> </w:t>
      </w:r>
      <w:r w:rsidRPr="005D1F62">
        <w:rPr>
          <w:rFonts w:ascii="Verdana" w:hAnsi="Verdana" w:cs="Arial"/>
          <w:shd w:val="clear" w:color="auto" w:fill="FFFFFF"/>
        </w:rPr>
        <w:t>Accede a través del siguiente enlace: </w:t>
      </w:r>
      <w:hyperlink r:id="rId14" w:tgtFrame="_blank" w:tooltip="Dirección URL original: https://relatoria.colombiacompra.gov.co/. Haga clic o pulse si confía en este vínculo." w:history="1">
        <w:r w:rsidRPr="005D1F62">
          <w:rPr>
            <w:rStyle w:val="Hipervnculo"/>
            <w:rFonts w:ascii="Verdana" w:hAnsi="Verdana" w:cs="Arial"/>
            <w:shd w:val="clear" w:color="auto" w:fill="FFFFFF"/>
          </w:rPr>
          <w:t>https://relatoria.colombiacompra.gov.co/</w:t>
        </w:r>
      </w:hyperlink>
      <w:r w:rsidRPr="005D1F62">
        <w:rPr>
          <w:rFonts w:ascii="Verdana" w:hAnsi="Verdana" w:cs="Arial"/>
          <w:shd w:val="clear" w:color="auto" w:fill="FFFFFF"/>
        </w:rPr>
        <w:t>.</w:t>
      </w:r>
    </w:p>
    <w:p w14:paraId="2C3D0F83" w14:textId="77777777" w:rsidR="00F4619C" w:rsidRDefault="00F4619C" w:rsidP="00F4619C">
      <w:pPr>
        <w:jc w:val="both"/>
        <w:rPr>
          <w:rFonts w:ascii="Verdana" w:hAnsi="Verdana" w:cs="Arial"/>
          <w:shd w:val="clear" w:color="auto" w:fill="FFFFFF"/>
        </w:rPr>
      </w:pPr>
      <w:r w:rsidRPr="009C0079">
        <w:rPr>
          <w:rFonts w:ascii="Verdana" w:hAnsi="Verdana"/>
          <w:color w:val="000000"/>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5" w:tgtFrame="_blank" w:tooltip="Dirección URL original: https://www.colombiacompra.gov.co/sites/cce_public/files/cce_documents/manual_para_el_manejo_de_acuerdos_comerciales_vf.pdf. Haga clic o pulse si confía en este vínculo." w:history="1">
        <w:r w:rsidRPr="009C0079">
          <w:rPr>
            <w:rStyle w:val="Hipervnculo"/>
            <w:rFonts w:ascii="Verdana" w:hAnsi="Verdana"/>
            <w:bdr w:val="none" w:sz="0" w:space="0" w:color="auto" w:frame="1"/>
          </w:rPr>
          <w:t>manual_para_el_manejo_de_acuerdos_comerciales_vf.pdf</w:t>
        </w:r>
      </w:hyperlink>
    </w:p>
    <w:p w14:paraId="3D88D1F5" w14:textId="77777777" w:rsidR="00F4619C" w:rsidRPr="00851CE9" w:rsidRDefault="00F4619C" w:rsidP="00F4619C">
      <w:pPr>
        <w:shd w:val="clear" w:color="auto" w:fill="FFFFFF"/>
        <w:jc w:val="both"/>
        <w:textAlignment w:val="baseline"/>
        <w:rPr>
          <w:rFonts w:ascii="Aptos" w:hAnsi="Aptos"/>
          <w:color w:val="242424"/>
        </w:rPr>
      </w:pPr>
      <w:r w:rsidRPr="00851CE9">
        <w:rPr>
          <w:rFonts w:ascii="Verdana" w:hAnsi="Verdana"/>
          <w:color w:val="000000"/>
          <w:bdr w:val="none" w:sz="0" w:space="0" w:color="auto" w:frame="1"/>
        </w:rPr>
        <w:t>También le invitamos a consultar las versiones V y VI de 2024 del Boletín de Relatoría de la Subdirección de Gestión Contractual relacionados con las guías de Plan Anual de Adquisiciones y la modalidad de selección de mínima cuantía, los cuales se pueden descargar en la página web de la Agencia: </w:t>
      </w:r>
      <w:hyperlink r:id="rId16" w:tgtFrame="_blank" w:tooltip="Dirección URL original: https://www.colombiacompra.gov.co/sala-de-prensa/boletin-digital. Haga clic o pulse si confía en este vínculo." w:history="1">
        <w:r w:rsidRPr="00851CE9">
          <w:rPr>
            <w:rStyle w:val="Hipervnculo"/>
            <w:rFonts w:ascii="Verdana" w:hAnsi="Verdana"/>
            <w:color w:val="467886"/>
            <w:bdr w:val="none" w:sz="0" w:space="0" w:color="auto" w:frame="1"/>
          </w:rPr>
          <w:t>https://www.colombiacompra.gov.co/sala-de-prensa/boletin-digital</w:t>
        </w:r>
      </w:hyperlink>
      <w:r>
        <w:rPr>
          <w:rFonts w:ascii="Aptos" w:hAnsi="Aptos"/>
          <w:color w:val="000000"/>
          <w:bdr w:val="none" w:sz="0" w:space="0" w:color="auto" w:frame="1"/>
        </w:rPr>
        <w:t>  </w:t>
      </w:r>
    </w:p>
    <w:p w14:paraId="44EB74C7" w14:textId="77777777" w:rsidR="00F4619C" w:rsidRDefault="00F4619C" w:rsidP="00F4619C">
      <w:pPr>
        <w:spacing w:after="0" w:line="240" w:lineRule="auto"/>
        <w:jc w:val="both"/>
        <w:rPr>
          <w:rFonts w:ascii="Verdana" w:hAnsi="Verdana"/>
        </w:rPr>
      </w:pPr>
      <w:r w:rsidRPr="003E2460">
        <w:rPr>
          <w:rFonts w:ascii="Verdana" w:hAnsi="Verdana"/>
        </w:rPr>
        <w:t>Por último, lo invitamos a seguirnos en las redes sociales en las cuales se difunde información institucional:</w:t>
      </w:r>
    </w:p>
    <w:p w14:paraId="17EBC8CB" w14:textId="77777777" w:rsidR="00F4619C" w:rsidRPr="003E2460" w:rsidRDefault="00F4619C" w:rsidP="00F4619C">
      <w:pPr>
        <w:spacing w:after="0" w:line="240" w:lineRule="auto"/>
        <w:jc w:val="both"/>
        <w:rPr>
          <w:rFonts w:ascii="Verdana" w:hAnsi="Verdana"/>
        </w:rPr>
      </w:pPr>
    </w:p>
    <w:p w14:paraId="4B82C6B2"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730D8848" w14:textId="77777777" w:rsidR="00F4619C" w:rsidRPr="003E2460" w:rsidRDefault="00F4619C" w:rsidP="00F4619C">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69322864" w14:textId="77777777" w:rsidR="00F4619C" w:rsidRPr="003E2460" w:rsidRDefault="00F4619C" w:rsidP="00F4619C">
      <w:pPr>
        <w:spacing w:after="0" w:line="240" w:lineRule="auto"/>
        <w:jc w:val="both"/>
        <w:rPr>
          <w:rFonts w:ascii="Verdana" w:hAnsi="Verdana"/>
        </w:rPr>
      </w:pPr>
      <w:r w:rsidRPr="003E2460">
        <w:rPr>
          <w:rFonts w:ascii="Verdana" w:hAnsi="Verdana"/>
        </w:rPr>
        <w:lastRenderedPageBreak/>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44447672" w14:textId="77777777" w:rsidR="00F4619C" w:rsidRPr="00593A5F" w:rsidRDefault="00F4619C" w:rsidP="00F4619C">
      <w:pPr>
        <w:widowControl w:val="0"/>
        <w:autoSpaceDE w:val="0"/>
        <w:autoSpaceDN w:val="0"/>
        <w:spacing w:after="0" w:line="276" w:lineRule="auto"/>
        <w:jc w:val="both"/>
        <w:rPr>
          <w:rFonts w:ascii="Verdana" w:hAnsi="Verdana" w:cs="Arial"/>
        </w:rPr>
      </w:pPr>
    </w:p>
    <w:p w14:paraId="1180BF65" w14:textId="77777777" w:rsidR="00F4619C" w:rsidRPr="00593A5F" w:rsidRDefault="00F4619C" w:rsidP="00F4619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33B4037" w14:textId="77777777" w:rsidR="00F4619C" w:rsidRPr="00593A5F" w:rsidRDefault="00F4619C" w:rsidP="00F4619C">
      <w:pPr>
        <w:widowControl w:val="0"/>
        <w:autoSpaceDE w:val="0"/>
        <w:autoSpaceDN w:val="0"/>
        <w:spacing w:after="0" w:line="276" w:lineRule="auto"/>
        <w:jc w:val="both"/>
        <w:rPr>
          <w:rFonts w:ascii="Verdana" w:hAnsi="Verdana" w:cs="Arial"/>
        </w:rPr>
      </w:pPr>
    </w:p>
    <w:p w14:paraId="631B2C22" w14:textId="77777777" w:rsidR="00F4619C" w:rsidRPr="00593A5F" w:rsidRDefault="00F4619C" w:rsidP="00F4619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2479105C" w14:textId="77777777" w:rsidR="00F4619C" w:rsidRDefault="00F4619C" w:rsidP="00F4619C">
      <w:pPr>
        <w:spacing w:line="276" w:lineRule="auto"/>
        <w:jc w:val="center"/>
        <w:rPr>
          <w:rFonts w:ascii="Verdana" w:hAnsi="Verdana" w:cs="Arial"/>
          <w:color w:val="000000"/>
          <w:lang w:val="es-ES_tradnl" w:eastAsia="es-CO"/>
        </w:rPr>
      </w:pPr>
    </w:p>
    <w:p w14:paraId="53756480" w14:textId="282FC5D2" w:rsidR="00F4619C" w:rsidRDefault="00312A32" w:rsidP="00F4619C">
      <w:pPr>
        <w:spacing w:line="276" w:lineRule="auto"/>
        <w:jc w:val="center"/>
        <w:rPr>
          <w:rFonts w:ascii="Verdana" w:hAnsi="Verdana" w:cs="Arial"/>
          <w:color w:val="000000"/>
          <w:lang w:val="es-ES_tradnl" w:eastAsia="es-CO"/>
        </w:rPr>
      </w:pPr>
      <w:r>
        <w:rPr>
          <w:noProof/>
        </w:rPr>
        <w:drawing>
          <wp:inline distT="0" distB="0" distL="0" distR="0" wp14:anchorId="4BC4CD40" wp14:editId="5802E06C">
            <wp:extent cx="3771429" cy="1400000"/>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1429" cy="1400000"/>
                    </a:xfrm>
                    <a:prstGeom prst="rect">
                      <a:avLst/>
                    </a:prstGeom>
                  </pic:spPr>
                </pic:pic>
              </a:graphicData>
            </a:graphic>
          </wp:inline>
        </w:drawing>
      </w:r>
    </w:p>
    <w:p w14:paraId="599D5C7D" w14:textId="77777777" w:rsidR="00F4619C" w:rsidRDefault="00F4619C" w:rsidP="00F4619C">
      <w:pPr>
        <w:spacing w:line="276" w:lineRule="auto"/>
        <w:rPr>
          <w:rFonts w:ascii="Verdana" w:hAnsi="Verdana" w:cs="Arial"/>
          <w:color w:val="000000"/>
          <w:lang w:val="es-ES_tradnl" w:eastAsia="es-CO"/>
        </w:rPr>
      </w:pPr>
    </w:p>
    <w:p w14:paraId="05956178" w14:textId="77777777" w:rsidR="00F4619C" w:rsidRDefault="00F4619C" w:rsidP="00F4619C">
      <w:pPr>
        <w:spacing w:line="276" w:lineRule="auto"/>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4619C" w:rsidRPr="00593A5F" w14:paraId="63E40ABC" w14:textId="77777777" w:rsidTr="003D0810">
        <w:trPr>
          <w:trHeight w:val="315"/>
        </w:trPr>
        <w:tc>
          <w:tcPr>
            <w:tcW w:w="893" w:type="dxa"/>
            <w:vAlign w:val="center"/>
            <w:hideMark/>
          </w:tcPr>
          <w:p w14:paraId="4EC8DB5C"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943D0E" w14:textId="77777777" w:rsidR="00F4619C" w:rsidRPr="00E1151D" w:rsidRDefault="00F4619C" w:rsidP="003D0810">
            <w:pPr>
              <w:contextualSpacing/>
              <w:rPr>
                <w:rFonts w:ascii="Verdana" w:eastAsia="Arial" w:hAnsi="Verdana" w:cs="Arial"/>
                <w:sz w:val="16"/>
                <w:szCs w:val="16"/>
              </w:rPr>
            </w:pPr>
            <w:r w:rsidRPr="00E1151D">
              <w:rPr>
                <w:rStyle w:val="normaltextrun"/>
                <w:rFonts w:ascii="Verdana" w:hAnsi="Verdana"/>
                <w:sz w:val="16"/>
                <w:szCs w:val="16"/>
              </w:rPr>
              <w:t>Sergio Andrés Rivera Cano</w:t>
            </w:r>
          </w:p>
          <w:p w14:paraId="73F6F363" w14:textId="77777777" w:rsidR="00F4619C" w:rsidRPr="003751C7" w:rsidRDefault="00F4619C" w:rsidP="003D0810">
            <w:pPr>
              <w:contextualSpacing/>
              <w:rPr>
                <w:rFonts w:ascii="Verdana" w:eastAsia="Arial" w:hAnsi="Verdana" w:cs="Arial"/>
                <w:sz w:val="16"/>
                <w:szCs w:val="16"/>
              </w:rPr>
            </w:pPr>
            <w:r w:rsidRPr="00E1151D">
              <w:rPr>
                <w:rStyle w:val="normaltextrun"/>
                <w:rFonts w:ascii="Verdana" w:eastAsia="Arial" w:hAnsi="Verdana" w:cs="Arial"/>
                <w:sz w:val="16"/>
                <w:szCs w:val="16"/>
              </w:rPr>
              <w:t>Contratista de la Subdirección de Gestión Contractual</w:t>
            </w:r>
          </w:p>
        </w:tc>
      </w:tr>
      <w:tr w:rsidR="00F4619C" w:rsidRPr="00593A5F" w14:paraId="5CE9C73B" w14:textId="77777777" w:rsidTr="003D0810">
        <w:trPr>
          <w:trHeight w:val="330"/>
        </w:trPr>
        <w:tc>
          <w:tcPr>
            <w:tcW w:w="893" w:type="dxa"/>
            <w:vAlign w:val="center"/>
            <w:hideMark/>
          </w:tcPr>
          <w:p w14:paraId="3E7CAC2F"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E65167" w14:textId="77777777" w:rsidR="00F4619C" w:rsidRPr="0078388D" w:rsidRDefault="00F4619C" w:rsidP="003D0810">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Cielo Victoria González Meza</w:t>
            </w:r>
          </w:p>
          <w:p w14:paraId="51CDBD73" w14:textId="77777777" w:rsidR="00F4619C" w:rsidRPr="003751C7" w:rsidRDefault="00F4619C" w:rsidP="003D0810">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w:t>
            </w:r>
            <w:r w:rsidRPr="0078388D">
              <w:rPr>
                <w:rStyle w:val="normaltextrun"/>
                <w:rFonts w:ascii="Verdana" w:hAnsi="Verdana" w:cs="Arial"/>
                <w:sz w:val="16"/>
                <w:szCs w:val="16"/>
                <w:lang w:val="es-ES"/>
              </w:rPr>
              <w:t xml:space="preserve"> Subdirección de Gestión Contractual</w:t>
            </w:r>
          </w:p>
        </w:tc>
      </w:tr>
      <w:tr w:rsidR="00F4619C" w:rsidRPr="00593A5F" w14:paraId="73DB3F1F" w14:textId="77777777" w:rsidTr="003D0810">
        <w:trPr>
          <w:trHeight w:val="300"/>
        </w:trPr>
        <w:tc>
          <w:tcPr>
            <w:tcW w:w="893" w:type="dxa"/>
            <w:vAlign w:val="center"/>
          </w:tcPr>
          <w:p w14:paraId="0F8D1633" w14:textId="77777777" w:rsidR="00F4619C" w:rsidRPr="003751C7" w:rsidRDefault="00F4619C" w:rsidP="003D0810">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996E5B"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432B6C01" w14:textId="77777777" w:rsidR="00F4619C" w:rsidRPr="003751C7" w:rsidRDefault="00F4619C" w:rsidP="003D0810">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3D118385" w14:textId="77777777" w:rsidR="00F4619C" w:rsidRPr="00910315" w:rsidRDefault="00F4619C" w:rsidP="00F4619C"/>
    <w:p w14:paraId="3900974D" w14:textId="77777777" w:rsidR="003D5B0D" w:rsidRPr="00F4619C" w:rsidRDefault="003D5B0D" w:rsidP="00F4619C"/>
    <w:sectPr w:rsidR="003D5B0D" w:rsidRPr="00F4619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1DC34" w14:textId="77777777" w:rsidR="00DC58BB" w:rsidRDefault="00DC58BB" w:rsidP="004A1847">
      <w:pPr>
        <w:spacing w:after="0" w:line="240" w:lineRule="auto"/>
      </w:pPr>
      <w:r>
        <w:separator/>
      </w:r>
    </w:p>
  </w:endnote>
  <w:endnote w:type="continuationSeparator" w:id="0">
    <w:p w14:paraId="4F419F00" w14:textId="77777777" w:rsidR="00DC58BB" w:rsidRDefault="00DC58B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0B3DA6" w14:textId="77777777" w:rsidR="00DC58BB" w:rsidRDefault="00DC58BB" w:rsidP="004A1847">
      <w:pPr>
        <w:spacing w:after="0" w:line="240" w:lineRule="auto"/>
      </w:pPr>
      <w:r>
        <w:separator/>
      </w:r>
    </w:p>
  </w:footnote>
  <w:footnote w:type="continuationSeparator" w:id="0">
    <w:p w14:paraId="12F722DC" w14:textId="77777777" w:rsidR="00DC58BB" w:rsidRDefault="00DC58BB" w:rsidP="004A1847">
      <w:pPr>
        <w:spacing w:after="0" w:line="240" w:lineRule="auto"/>
      </w:pPr>
      <w:r>
        <w:continuationSeparator/>
      </w:r>
    </w:p>
  </w:footnote>
  <w:footnote w:id="1">
    <w:p w14:paraId="1BE13DEF" w14:textId="5D9B589E" w:rsidR="00862E6E" w:rsidRPr="003E3D0D" w:rsidRDefault="00862E6E" w:rsidP="00334C61">
      <w:pPr>
        <w:pStyle w:val="Textonotapie"/>
        <w:ind w:firstLine="709"/>
        <w:rPr>
          <w:lang w:val="es-ES"/>
        </w:rPr>
      </w:pPr>
      <w:r>
        <w:rPr>
          <w:rStyle w:val="Refdenotaalpie"/>
        </w:rPr>
        <w:footnoteRef/>
      </w:r>
      <w:r>
        <w:t xml:space="preserve"> </w:t>
      </w:r>
      <w:r w:rsidRPr="00334C61">
        <w:rPr>
          <w:rFonts w:ascii="Verdana" w:eastAsia="Calibri" w:hAnsi="Verdana" w:cs="Arial"/>
          <w:sz w:val="16"/>
          <w:szCs w:val="16"/>
          <w:lang w:val="es-ES" w:eastAsia="es-ES"/>
        </w:rPr>
        <w:t>C – 619 de 2024 expedido por la ANCP-CCE</w:t>
      </w:r>
    </w:p>
  </w:footnote>
  <w:footnote w:id="2">
    <w:p w14:paraId="5CD09A6E" w14:textId="77777777" w:rsidR="00F4619C" w:rsidRPr="00A565FD" w:rsidRDefault="00F4619C" w:rsidP="00F4619C">
      <w:pPr>
        <w:pStyle w:val="Textonotapie"/>
        <w:spacing w:line="276" w:lineRule="auto"/>
        <w:ind w:firstLine="709"/>
        <w:jc w:val="both"/>
        <w:rPr>
          <w:rFonts w:ascii="Verdana" w:hAnsi="Verdana" w:cs="Arial"/>
          <w:color w:val="000000"/>
          <w:sz w:val="16"/>
          <w:szCs w:val="16"/>
        </w:rPr>
      </w:pPr>
      <w:r w:rsidRPr="00A565FD">
        <w:rPr>
          <w:rStyle w:val="Refdenotaalpie"/>
          <w:rFonts w:ascii="Verdana" w:hAnsi="Verdana"/>
          <w:sz w:val="16"/>
          <w:szCs w:val="16"/>
        </w:rPr>
        <w:footnoteRef/>
      </w:r>
      <w:r w:rsidRPr="00A565FD">
        <w:rPr>
          <w:rFonts w:ascii="Verdana" w:hAnsi="Verdana"/>
          <w:sz w:val="16"/>
          <w:szCs w:val="16"/>
        </w:rPr>
        <w:t xml:space="preserve"> </w:t>
      </w:r>
      <w:r w:rsidRPr="00A565FD">
        <w:rPr>
          <w:rFonts w:ascii="Verdana" w:hAnsi="Verdana" w:cs="Arial"/>
          <w:sz w:val="16"/>
          <w:szCs w:val="16"/>
        </w:rPr>
        <w:t>Ley 1150 de 2007 “</w:t>
      </w:r>
      <w:r w:rsidRPr="00A565FD">
        <w:rPr>
          <w:rStyle w:val="Textoennegrita"/>
          <w:rFonts w:ascii="Verdana" w:hAnsi="Verdana" w:cs="Arial"/>
          <w:b w:val="0"/>
          <w:bCs w:val="0"/>
          <w:color w:val="000000"/>
          <w:sz w:val="16"/>
          <w:szCs w:val="16"/>
        </w:rPr>
        <w:t>Artículo 2.</w:t>
      </w:r>
      <w:r w:rsidRPr="00A565FD">
        <w:rPr>
          <w:rStyle w:val="nfasis"/>
          <w:rFonts w:ascii="Verdana" w:hAnsi="Verdana" w:cs="Arial"/>
          <w:color w:val="000000"/>
          <w:sz w:val="16"/>
          <w:szCs w:val="16"/>
        </w:rPr>
        <w:t xml:space="preserve"> </w:t>
      </w:r>
      <w:r w:rsidRPr="00A565FD">
        <w:rPr>
          <w:rStyle w:val="nfasis"/>
          <w:rFonts w:ascii="Verdana" w:hAnsi="Verdana" w:cs="Arial"/>
          <w:i w:val="0"/>
          <w:iCs w:val="0"/>
          <w:color w:val="000000"/>
          <w:sz w:val="16"/>
          <w:szCs w:val="16"/>
        </w:rPr>
        <w:t>De las modalidades de selección.</w:t>
      </w:r>
      <w:r w:rsidRPr="00A565FD">
        <w:rPr>
          <w:rStyle w:val="nfasis"/>
          <w:rFonts w:ascii="Verdana" w:hAnsi="Verdana" w:cs="Arial"/>
          <w:color w:val="000000"/>
          <w:sz w:val="16"/>
          <w:szCs w:val="16"/>
        </w:rPr>
        <w:t> </w:t>
      </w:r>
      <w:r w:rsidRPr="00A565FD">
        <w:rPr>
          <w:rFonts w:ascii="Verdana" w:hAnsi="Verdana" w:cs="Arial"/>
          <w:color w:val="000000"/>
          <w:sz w:val="16"/>
          <w:szCs w:val="16"/>
        </w:rPr>
        <w:t>La escogencia del contratista se efectuará con arreglo a las modalidades de selección de licitación pública, selección abreviada, concurso de méritos y contratación directa, con base en las siguientes reglas:</w:t>
      </w:r>
    </w:p>
    <w:p w14:paraId="49C162C6" w14:textId="77777777" w:rsidR="00F4619C" w:rsidRPr="00A565FD" w:rsidRDefault="00F4619C" w:rsidP="00F4619C">
      <w:pPr>
        <w:pStyle w:val="Textonotapie"/>
        <w:spacing w:line="276" w:lineRule="auto"/>
        <w:ind w:firstLine="709"/>
        <w:jc w:val="both"/>
        <w:rPr>
          <w:rFonts w:ascii="Verdana" w:hAnsi="Verdana" w:cs="Arial"/>
          <w:color w:val="000000"/>
          <w:sz w:val="16"/>
          <w:szCs w:val="16"/>
        </w:rPr>
      </w:pPr>
      <w:r w:rsidRPr="00A565FD">
        <w:rPr>
          <w:rFonts w:ascii="Verdana" w:hAnsi="Verdana" w:cs="Arial"/>
          <w:color w:val="000000"/>
          <w:sz w:val="16"/>
          <w:szCs w:val="16"/>
        </w:rPr>
        <w:t>(…)</w:t>
      </w:r>
    </w:p>
    <w:p w14:paraId="1AF72697" w14:textId="77777777" w:rsidR="00F4619C" w:rsidRPr="00A565FD" w:rsidRDefault="00F4619C" w:rsidP="00F4619C">
      <w:pPr>
        <w:pStyle w:val="Textonotapie"/>
        <w:spacing w:line="276" w:lineRule="auto"/>
        <w:ind w:firstLine="709"/>
        <w:jc w:val="both"/>
        <w:rPr>
          <w:rFonts w:ascii="Verdana" w:hAnsi="Verdana" w:cs="Arial"/>
          <w:sz w:val="16"/>
          <w:szCs w:val="16"/>
        </w:rPr>
      </w:pPr>
      <w:r w:rsidRPr="00A565FD">
        <w:rPr>
          <w:rFonts w:ascii="Verdana" w:hAnsi="Verdana" w:cs="Arial"/>
          <w:sz w:val="16"/>
          <w:szCs w:val="16"/>
        </w:rPr>
        <w:t xml:space="preserve">2.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  El Gobierno Nacional reglamentará la materia. </w:t>
      </w:r>
    </w:p>
    <w:p w14:paraId="16902E79" w14:textId="77777777" w:rsidR="00F4619C" w:rsidRPr="00A565FD" w:rsidRDefault="00F4619C" w:rsidP="00F4619C">
      <w:pPr>
        <w:pStyle w:val="Textonotapie"/>
        <w:spacing w:line="276" w:lineRule="auto"/>
        <w:ind w:firstLine="709"/>
        <w:jc w:val="both"/>
        <w:rPr>
          <w:rFonts w:ascii="Verdana" w:hAnsi="Verdana" w:cs="Arial"/>
          <w:sz w:val="16"/>
          <w:szCs w:val="16"/>
        </w:rPr>
      </w:pPr>
      <w:r w:rsidRPr="00A565FD">
        <w:rPr>
          <w:rFonts w:ascii="Verdana" w:hAnsi="Verdana" w:cs="Arial"/>
          <w:sz w:val="16"/>
          <w:szCs w:val="16"/>
        </w:rPr>
        <w:t xml:space="preserve">Serán causales de selección abreviada las siguientes: </w:t>
      </w:r>
    </w:p>
    <w:p w14:paraId="3453939A" w14:textId="77777777" w:rsidR="00F4619C" w:rsidRPr="00A565FD" w:rsidRDefault="00F4619C" w:rsidP="00F4619C">
      <w:pPr>
        <w:pStyle w:val="Textonotapie"/>
        <w:spacing w:line="276" w:lineRule="auto"/>
        <w:ind w:firstLine="709"/>
        <w:jc w:val="both"/>
        <w:rPr>
          <w:rFonts w:ascii="Verdana" w:hAnsi="Verdana" w:cs="Arial"/>
          <w:sz w:val="16"/>
          <w:szCs w:val="16"/>
        </w:rPr>
      </w:pPr>
      <w:r w:rsidRPr="00A565FD">
        <w:rPr>
          <w:rFonts w:ascii="Verdana" w:hAnsi="Verdana" w:cs="Arial"/>
          <w:sz w:val="16"/>
          <w:szCs w:val="16"/>
        </w:rPr>
        <w:t xml:space="preserve">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 </w:t>
      </w:r>
    </w:p>
    <w:p w14:paraId="055244E7" w14:textId="77777777" w:rsidR="00F4619C" w:rsidRPr="00A565FD" w:rsidRDefault="00F4619C" w:rsidP="00F4619C">
      <w:pPr>
        <w:pStyle w:val="Textonotapie"/>
        <w:spacing w:line="276" w:lineRule="auto"/>
        <w:ind w:firstLine="709"/>
        <w:jc w:val="both"/>
        <w:rPr>
          <w:rFonts w:ascii="Arial" w:hAnsi="Arial" w:cs="Arial"/>
          <w:sz w:val="19"/>
          <w:szCs w:val="19"/>
        </w:rPr>
      </w:pPr>
      <w:r w:rsidRPr="00A565FD">
        <w:rPr>
          <w:rFonts w:ascii="Verdana" w:hAnsi="Verdana" w:cs="Arial"/>
          <w:sz w:val="16"/>
          <w:szCs w:val="16"/>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r w:rsidRPr="00FC1901">
        <w:rPr>
          <w:rFonts w:ascii="Arial" w:hAnsi="Arial" w:cs="Arial"/>
          <w:color w:val="000000"/>
          <w:sz w:val="19"/>
          <w:szCs w:val="19"/>
        </w:rPr>
        <w:t> </w:t>
      </w:r>
    </w:p>
  </w:footnote>
  <w:footnote w:id="3">
    <w:p w14:paraId="28B8D2DF" w14:textId="77777777" w:rsidR="00F4619C" w:rsidRPr="00A565FD" w:rsidRDefault="00F4619C" w:rsidP="00F4619C">
      <w:pPr>
        <w:pStyle w:val="Textonotapie"/>
        <w:ind w:firstLine="708"/>
        <w:jc w:val="both"/>
        <w:rPr>
          <w:rFonts w:ascii="Verdana" w:hAnsi="Verdana" w:cs="Arial"/>
          <w:color w:val="000000" w:themeColor="text1"/>
          <w:sz w:val="16"/>
          <w:szCs w:val="16"/>
          <w:lang w:val="es-CO"/>
        </w:rPr>
      </w:pPr>
      <w:r w:rsidRPr="00A565FD">
        <w:rPr>
          <w:rStyle w:val="Refdenotaalpie"/>
          <w:rFonts w:ascii="Verdana" w:hAnsi="Verdana" w:cs="Arial"/>
          <w:color w:val="000000" w:themeColor="text1"/>
          <w:sz w:val="16"/>
          <w:szCs w:val="16"/>
        </w:rPr>
        <w:footnoteRef/>
      </w:r>
      <w:r w:rsidRPr="00A565FD">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4">
    <w:p w14:paraId="557E808A" w14:textId="77777777" w:rsidR="00F4619C" w:rsidRPr="009B41DD" w:rsidRDefault="00F4619C" w:rsidP="00F4619C">
      <w:pPr>
        <w:pStyle w:val="Textonotapie"/>
        <w:ind w:firstLine="709"/>
        <w:rPr>
          <w:rFonts w:ascii="Verdana" w:hAnsi="Verdana"/>
          <w:sz w:val="16"/>
          <w:szCs w:val="16"/>
          <w:lang w:val="es-ES"/>
        </w:rPr>
      </w:pPr>
      <w:r w:rsidRPr="009B41DD">
        <w:rPr>
          <w:rStyle w:val="Refdenotaalpie"/>
          <w:rFonts w:ascii="Verdana" w:hAnsi="Verdana"/>
          <w:sz w:val="16"/>
          <w:szCs w:val="16"/>
        </w:rPr>
        <w:footnoteRef/>
      </w:r>
      <w:r w:rsidRPr="009B41DD">
        <w:rPr>
          <w:rFonts w:ascii="Verdana" w:hAnsi="Verdana"/>
          <w:sz w:val="16"/>
          <w:szCs w:val="16"/>
        </w:rPr>
        <w:t xml:space="preserve"> </w:t>
      </w:r>
      <w:r w:rsidRPr="009B41DD">
        <w:rPr>
          <w:rFonts w:ascii="Verdana" w:hAnsi="Verdana" w:cs="Arial"/>
          <w:i/>
          <w:iCs/>
          <w:sz w:val="16"/>
          <w:szCs w:val="16"/>
        </w:rPr>
        <w:t>Ibídem.</w:t>
      </w:r>
    </w:p>
  </w:footnote>
  <w:footnote w:id="5">
    <w:p w14:paraId="71160B91" w14:textId="77777777" w:rsidR="00F4619C" w:rsidRPr="009B41DD" w:rsidRDefault="00F4619C" w:rsidP="00F4619C">
      <w:pPr>
        <w:pStyle w:val="Textonotapie"/>
        <w:ind w:firstLine="708"/>
        <w:jc w:val="both"/>
        <w:rPr>
          <w:rFonts w:ascii="Verdana" w:hAnsi="Verdana" w:cs="Arial"/>
          <w:sz w:val="16"/>
          <w:szCs w:val="16"/>
        </w:rPr>
      </w:pPr>
      <w:r w:rsidRPr="009B41DD">
        <w:rPr>
          <w:rStyle w:val="Refdenotaalpie"/>
          <w:rFonts w:ascii="Verdana" w:hAnsi="Verdana"/>
          <w:sz w:val="16"/>
          <w:szCs w:val="16"/>
        </w:rPr>
        <w:footnoteRef/>
      </w:r>
      <w:r w:rsidRPr="009B41DD">
        <w:rPr>
          <w:rFonts w:ascii="Verdana" w:hAnsi="Verdana"/>
          <w:sz w:val="16"/>
          <w:szCs w:val="16"/>
        </w:rPr>
        <w:t xml:space="preserve"> </w:t>
      </w:r>
      <w:r w:rsidRPr="009B41DD">
        <w:rPr>
          <w:rFonts w:ascii="Verdana" w:hAnsi="Verdana" w:cs="Arial"/>
          <w:sz w:val="16"/>
          <w:szCs w:val="16"/>
        </w:rPr>
        <w:t>Decreto 1082 de 2015 “Artículo 2.2.1.2.1.2.14. Selección del comisionista. La Entidad Estatal debe seleccionar al comisionista de acuerdo con el procedimiento interno aplicable en la bolsa de productos, el cual debe ser competitivo.</w:t>
      </w:r>
    </w:p>
    <w:p w14:paraId="75C6A6EB" w14:textId="77777777" w:rsidR="00F4619C" w:rsidRPr="009B41DD" w:rsidRDefault="00F4619C" w:rsidP="00F4619C">
      <w:pPr>
        <w:pStyle w:val="Textonotapie"/>
        <w:ind w:firstLine="708"/>
        <w:jc w:val="both"/>
        <w:rPr>
          <w:rFonts w:ascii="Verdana" w:hAnsi="Verdana" w:cs="Arial"/>
          <w:sz w:val="16"/>
          <w:szCs w:val="16"/>
        </w:rPr>
      </w:pPr>
      <w:r w:rsidRPr="009B41DD">
        <w:rPr>
          <w:rFonts w:ascii="Verdana" w:hAnsi="Verdana" w:cs="Arial"/>
          <w:sz w:val="16"/>
          <w:szCs w:val="16"/>
        </w:rPr>
        <w:t>“Entidad Estatal debe publicar el contrato suscrito con el comisionista seleccionado y sus modificaciones en el Secop”.</w:t>
      </w:r>
    </w:p>
  </w:footnote>
  <w:footnote w:id="6">
    <w:p w14:paraId="60FE7F47" w14:textId="77777777" w:rsidR="00F4619C" w:rsidRPr="009B41DD" w:rsidRDefault="00F4619C" w:rsidP="00F4619C">
      <w:pPr>
        <w:pStyle w:val="NormalWeb"/>
        <w:spacing w:before="0" w:beforeAutospacing="0" w:after="0" w:afterAutospacing="0"/>
        <w:ind w:firstLine="708"/>
        <w:jc w:val="both"/>
        <w:rPr>
          <w:rFonts w:ascii="Verdana" w:hAnsi="Verdana" w:cs="Arial"/>
          <w:color w:val="000000"/>
          <w:sz w:val="16"/>
          <w:szCs w:val="16"/>
        </w:rPr>
      </w:pPr>
      <w:r w:rsidRPr="009B41DD">
        <w:rPr>
          <w:rStyle w:val="Refdenotaalpie"/>
          <w:rFonts w:ascii="Verdana" w:hAnsi="Verdana"/>
          <w:sz w:val="16"/>
          <w:szCs w:val="16"/>
        </w:rPr>
        <w:footnoteRef/>
      </w:r>
      <w:r>
        <w:rPr>
          <w:rFonts w:ascii="Verdana" w:hAnsi="Verdana" w:cs="Arial"/>
          <w:sz w:val="16"/>
          <w:szCs w:val="16"/>
        </w:rPr>
        <w:t xml:space="preserve"> </w:t>
      </w:r>
      <w:r w:rsidRPr="009B41DD">
        <w:rPr>
          <w:rFonts w:ascii="Verdana" w:hAnsi="Verdana" w:cs="Arial"/>
          <w:sz w:val="16"/>
          <w:szCs w:val="16"/>
        </w:rPr>
        <w:t>Decreto 1082 de 2015 “</w:t>
      </w:r>
      <w:r w:rsidRPr="009B41DD">
        <w:rPr>
          <w:rFonts w:ascii="Verdana" w:hAnsi="Verdana" w:cs="Arial"/>
          <w:color w:val="000000"/>
          <w:sz w:val="16"/>
          <w:szCs w:val="16"/>
        </w:rPr>
        <w:t>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1E65B504" w14:textId="77777777" w:rsidR="00F4619C" w:rsidRPr="009B41DD" w:rsidRDefault="00F4619C" w:rsidP="00F4619C">
      <w:pPr>
        <w:spacing w:after="0"/>
        <w:ind w:firstLine="709"/>
        <w:jc w:val="both"/>
        <w:rPr>
          <w:rFonts w:ascii="Verdana" w:eastAsia="Times New Roman" w:hAnsi="Verdana" w:cs="Arial"/>
          <w:color w:val="000000"/>
          <w:sz w:val="16"/>
          <w:szCs w:val="16"/>
          <w:lang w:eastAsia="es-CO"/>
        </w:rPr>
      </w:pPr>
      <w:bookmarkStart w:id="2" w:name="ver_30051355"/>
      <w:bookmarkEnd w:id="2"/>
      <w:r w:rsidRPr="009B41DD">
        <w:rPr>
          <w:rFonts w:ascii="Verdana" w:eastAsia="Times New Roman" w:hAnsi="Verdana" w:cs="Arial"/>
          <w:color w:val="000000"/>
          <w:sz w:val="16"/>
          <w:szCs w:val="16"/>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w:t>
      </w:r>
    </w:p>
    <w:p w14:paraId="3EDE1559" w14:textId="77777777" w:rsidR="00F4619C" w:rsidRPr="009B41DD" w:rsidRDefault="00F4619C" w:rsidP="00F4619C">
      <w:pPr>
        <w:spacing w:after="0"/>
        <w:ind w:firstLine="709"/>
        <w:jc w:val="both"/>
        <w:rPr>
          <w:rFonts w:ascii="Arial" w:eastAsia="Times New Roman" w:hAnsi="Arial" w:cs="Arial"/>
          <w:color w:val="000000"/>
          <w:sz w:val="19"/>
          <w:szCs w:val="19"/>
          <w:lang w:eastAsia="es-CO"/>
        </w:rPr>
      </w:pPr>
      <w:r w:rsidRPr="009B41DD">
        <w:rPr>
          <w:rFonts w:ascii="Verdana" w:eastAsia="Times New Roman" w:hAnsi="Verdana" w:cs="Arial"/>
          <w:color w:val="000000"/>
          <w:sz w:val="16"/>
          <w:szCs w:val="16"/>
          <w:lang w:eastAsia="es-CO"/>
        </w:rPr>
        <w:t>Las Entidades Estatales pueden exigir al comitente vendedor garantías adicionales a las señaladas en el presente artículo, siempre y cuando resulten adecuadas y proporcionales al objeto a contratar y a su valor”.</w:t>
      </w:r>
    </w:p>
  </w:footnote>
  <w:footnote w:id="7">
    <w:p w14:paraId="68E5C854" w14:textId="77777777" w:rsidR="00F4619C" w:rsidRPr="00D7529D" w:rsidRDefault="00F4619C" w:rsidP="00F4619C">
      <w:pPr>
        <w:pStyle w:val="Textonotapie"/>
        <w:ind w:firstLine="708"/>
        <w:jc w:val="both"/>
        <w:rPr>
          <w:rFonts w:ascii="Verdana" w:hAnsi="Verdana" w:cs="Arial"/>
          <w:sz w:val="16"/>
          <w:szCs w:val="16"/>
        </w:rPr>
      </w:pPr>
      <w:r w:rsidRPr="00D7529D">
        <w:rPr>
          <w:rStyle w:val="Refdenotaalpie"/>
          <w:rFonts w:ascii="Verdana" w:hAnsi="Verdana"/>
          <w:sz w:val="16"/>
          <w:szCs w:val="16"/>
        </w:rPr>
        <w:footnoteRef/>
      </w:r>
      <w:r w:rsidRPr="00D7529D">
        <w:rPr>
          <w:rFonts w:ascii="Verdana" w:hAnsi="Verdana"/>
          <w:sz w:val="16"/>
          <w:szCs w:val="16"/>
        </w:rPr>
        <w:t xml:space="preserve"> </w:t>
      </w:r>
      <w:r w:rsidRPr="00D7529D">
        <w:rPr>
          <w:rFonts w:ascii="Verdana" w:hAnsi="Verdana" w:cs="Arial"/>
          <w:sz w:val="16"/>
          <w:szCs w:val="16"/>
        </w:rPr>
        <w:t>El artículo 2.2.1.2.1.2.12. del Decreto 1082 de 2015, modificado por el artículo 2 del Decreto 310 del 25 de marzo de 2021 establece: “Planeación de una adquisición en la bolsa de productos.</w:t>
      </w:r>
      <w:r w:rsidRPr="00D7529D">
        <w:rPr>
          <w:rFonts w:ascii="Arial" w:hAnsi="Arial" w:cs="Arial"/>
          <w:sz w:val="16"/>
          <w:szCs w:val="16"/>
        </w:rPr>
        <w:t>​</w:t>
      </w:r>
      <w:r w:rsidRPr="00D7529D">
        <w:rPr>
          <w:rFonts w:ascii="Verdana" w:hAnsi="Verdana" w:cs="Arial"/>
          <w:sz w:val="16"/>
          <w:szCs w:val="16"/>
        </w:rPr>
        <w:t xml:space="preserve">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524325EA" w14:textId="77777777" w:rsidR="00F4619C" w:rsidRPr="00D7529D"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75127552" w14:textId="77777777" w:rsidR="00F4619C" w:rsidRPr="00D7529D"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 xml:space="preserve">“Aun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602BB988" w14:textId="77777777" w:rsidR="00F4619C" w:rsidRPr="00D7529D"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0879823B" w14:textId="77777777" w:rsidR="00F4619C" w:rsidRPr="00D7529D"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3885D385" w14:textId="77777777" w:rsidR="00F4619C"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“Parágrafo 2. Para los efectos de este Decreto, entiéndase por Bolsa de Productos, las sociedades vigiladas por la Superintendencia Financiera de Colombia y definidas en el artículo 2.11.1.1.1 del Decreto 2555 de 2010 o la norma que la modifique, adicione o sustituya.</w:t>
      </w:r>
    </w:p>
    <w:p w14:paraId="0110771A" w14:textId="77777777" w:rsidR="00F4619C" w:rsidRPr="00D7529D" w:rsidRDefault="00F4619C" w:rsidP="00F4619C">
      <w:pPr>
        <w:pStyle w:val="Textonotapie"/>
        <w:ind w:firstLine="708"/>
        <w:jc w:val="both"/>
        <w:rPr>
          <w:rFonts w:ascii="Verdana" w:hAnsi="Verdana" w:cs="Arial"/>
          <w:sz w:val="16"/>
          <w:szCs w:val="16"/>
        </w:rPr>
      </w:pPr>
      <w:r w:rsidRPr="00D7529D">
        <w:rPr>
          <w:rFonts w:ascii="Verdana" w:hAnsi="Verdana" w:cs="Arial"/>
          <w:sz w:val="16"/>
          <w:szCs w:val="16"/>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footnote>
  <w:footnote w:id="8">
    <w:p w14:paraId="6FB5D57E" w14:textId="77777777" w:rsidR="00F4619C" w:rsidRPr="00F026FD" w:rsidRDefault="00F4619C" w:rsidP="00F4619C">
      <w:pPr>
        <w:pStyle w:val="Textonotapie"/>
        <w:ind w:firstLine="709"/>
        <w:jc w:val="both"/>
        <w:rPr>
          <w:rFonts w:ascii="Verdana" w:hAnsi="Verdana"/>
          <w:sz w:val="16"/>
          <w:szCs w:val="16"/>
          <w:lang w:val="es-ES"/>
        </w:rPr>
      </w:pPr>
      <w:r w:rsidRPr="00F026FD">
        <w:rPr>
          <w:rStyle w:val="Refdenotaalpie"/>
          <w:rFonts w:ascii="Verdana" w:hAnsi="Verdana"/>
          <w:sz w:val="16"/>
          <w:szCs w:val="16"/>
        </w:rPr>
        <w:footnoteRef/>
      </w:r>
      <w:r w:rsidRPr="00F026FD">
        <w:rPr>
          <w:rFonts w:ascii="Verdana" w:hAnsi="Verdana"/>
          <w:sz w:val="16"/>
          <w:szCs w:val="16"/>
        </w:rPr>
        <w:t xml:space="preserve"> </w:t>
      </w:r>
      <w:r w:rsidRPr="00F026FD">
        <w:rPr>
          <w:rFonts w:ascii="Verdana" w:hAnsi="Verdana" w:cs="Arial"/>
          <w:color w:val="000000" w:themeColor="text1"/>
          <w:sz w:val="16"/>
          <w:szCs w:val="16"/>
        </w:rPr>
        <w:t xml:space="preserve">PIAGGIO, H. Las operaciones de Bolsa. Revista de la Facultad de Derecho. Pontificia Universidad Católica del Perú, No. 2, 1945, pp. 37-43. Recuperado en: </w:t>
      </w:r>
      <w:hyperlink r:id="rId1" w:history="1">
        <w:r w:rsidRPr="00F026FD">
          <w:rPr>
            <w:rFonts w:ascii="Verdana" w:hAnsi="Verdana" w:cs="Arial"/>
            <w:color w:val="000000" w:themeColor="text1"/>
            <w:sz w:val="16"/>
            <w:szCs w:val="16"/>
          </w:rPr>
          <w:t>http://revistas.pucp.edu.pe/index.php/derechopucp/article/view/6348/6396</w:t>
        </w:r>
      </w:hyperlink>
    </w:p>
  </w:footnote>
  <w:footnote w:id="9">
    <w:p w14:paraId="2DCC33B1" w14:textId="77777777" w:rsidR="00F4619C" w:rsidRPr="00F026FD" w:rsidRDefault="00F4619C" w:rsidP="00F4619C">
      <w:pPr>
        <w:pStyle w:val="Textonotapie"/>
        <w:rPr>
          <w:rFonts w:ascii="Verdana" w:hAnsi="Verdana"/>
          <w:sz w:val="16"/>
          <w:szCs w:val="16"/>
          <w:lang w:val="es-ES"/>
        </w:rPr>
      </w:pPr>
      <w:r w:rsidRPr="00F026FD">
        <w:rPr>
          <w:rStyle w:val="Refdenotaalpie"/>
          <w:rFonts w:ascii="Verdana" w:hAnsi="Verdana"/>
          <w:sz w:val="16"/>
          <w:szCs w:val="16"/>
        </w:rPr>
        <w:footnoteRef/>
      </w:r>
      <w:r w:rsidRPr="00F026FD">
        <w:rPr>
          <w:rFonts w:ascii="Verdana" w:hAnsi="Verdana"/>
          <w:sz w:val="16"/>
          <w:szCs w:val="16"/>
        </w:rPr>
        <w:t xml:space="preserve"> </w:t>
      </w:r>
      <w:r w:rsidRPr="00F026FD">
        <w:rPr>
          <w:rFonts w:ascii="Verdana" w:hAnsi="Verdana" w:cs="Arial"/>
          <w:color w:val="000000" w:themeColor="text1"/>
          <w:sz w:val="16"/>
          <w:szCs w:val="16"/>
        </w:rPr>
        <w:t>Ibídem</w:t>
      </w:r>
      <w:r>
        <w:rPr>
          <w:rFonts w:ascii="Verdana" w:hAnsi="Verdana" w:cs="Arial"/>
          <w:color w:val="000000" w:themeColor="text1"/>
          <w:sz w:val="16"/>
          <w:szCs w:val="16"/>
        </w:rPr>
        <w:t>.</w:t>
      </w:r>
    </w:p>
  </w:footnote>
  <w:footnote w:id="10">
    <w:p w14:paraId="0DE7E87E" w14:textId="77777777" w:rsidR="00F4619C" w:rsidRDefault="00F4619C" w:rsidP="00F4619C">
      <w:pPr>
        <w:spacing w:after="0" w:line="240" w:lineRule="auto"/>
        <w:ind w:firstLine="709"/>
        <w:jc w:val="both"/>
        <w:rPr>
          <w:rFonts w:ascii="Verdana" w:hAnsi="Verdana"/>
          <w:sz w:val="16"/>
          <w:szCs w:val="16"/>
        </w:rPr>
      </w:pPr>
      <w:r>
        <w:rPr>
          <w:rStyle w:val="Refdenotaalpie"/>
        </w:rPr>
        <w:footnoteRef/>
      </w:r>
      <w:r>
        <w:t xml:space="preserve"> </w:t>
      </w:r>
      <w:r w:rsidRPr="00446113">
        <w:rPr>
          <w:rFonts w:ascii="Verdana" w:hAnsi="Verdana"/>
          <w:sz w:val="16"/>
          <w:szCs w:val="16"/>
        </w:rPr>
        <w:t>Decreto 2555 de 2010 “Artículo 2.11.1.1.5. Reglamentos generales de las bolsas.   </w:t>
      </w:r>
      <w:r w:rsidRPr="00446113">
        <w:rPr>
          <w:rFonts w:ascii="Verdana" w:hAnsi="Verdana"/>
          <w:sz w:val="16"/>
          <w:szCs w:val="16"/>
        </w:rPr>
        <w:tab/>
        <w:t>“Las bolsas de bienes y productos agropecuarios, agroindustriales o de otros commodities deberán contar con reglamentos que rijan su organización, administración, funcionamiento, así como las operaciones y actividades que se realicen por conducto de los mercados que administren. </w:t>
      </w:r>
    </w:p>
    <w:p w14:paraId="14CEDF6D" w14:textId="77777777" w:rsidR="00F4619C" w:rsidRPr="00446113" w:rsidRDefault="00F4619C" w:rsidP="00F4619C">
      <w:pPr>
        <w:spacing w:after="0" w:line="240" w:lineRule="auto"/>
        <w:ind w:firstLine="709"/>
        <w:jc w:val="both"/>
        <w:rPr>
          <w:rFonts w:ascii="Verdana" w:hAnsi="Verdana"/>
          <w:sz w:val="16"/>
          <w:szCs w:val="16"/>
        </w:rPr>
      </w:pPr>
      <w:r w:rsidRPr="00446113">
        <w:rPr>
          <w:rFonts w:ascii="Verdana" w:hAnsi="Verdana"/>
          <w:sz w:val="16"/>
          <w:szCs w:val="16"/>
        </w:rPr>
        <w:t>“Las bolsas de bienes y productos agropecuarios, agroindustriales o de otros commodities que administren sistemas de registro de operaciones, deberán establecer las normas que regulen la organización, administración y funcionamiento de dichos sistemas. </w:t>
      </w:r>
    </w:p>
    <w:p w14:paraId="5F5E0E2B" w14:textId="77777777" w:rsidR="00F4619C" w:rsidRDefault="00F4619C" w:rsidP="00F4619C">
      <w:pPr>
        <w:spacing w:after="0" w:line="240" w:lineRule="auto"/>
        <w:ind w:firstLine="709"/>
        <w:jc w:val="both"/>
        <w:rPr>
          <w:rFonts w:ascii="Verdana" w:hAnsi="Verdana"/>
          <w:sz w:val="16"/>
          <w:szCs w:val="16"/>
        </w:rPr>
      </w:pPr>
      <w:r w:rsidRPr="00446113">
        <w:rPr>
          <w:rFonts w:ascii="Verdana" w:hAnsi="Verdana"/>
          <w:sz w:val="16"/>
          <w:szCs w:val="16"/>
        </w:rPr>
        <w:t> “Estos reglamentos y sus modificaciones deberán ser aprobados por la junta directiva y autorizados por la Superintendencia Financiera de Colombia.</w:t>
      </w:r>
    </w:p>
    <w:p w14:paraId="365282F4" w14:textId="77777777" w:rsidR="00F4619C" w:rsidRPr="00F33A6C" w:rsidRDefault="00F4619C" w:rsidP="00F4619C">
      <w:pPr>
        <w:spacing w:after="0" w:line="240" w:lineRule="auto"/>
        <w:ind w:firstLine="709"/>
        <w:jc w:val="both"/>
        <w:rPr>
          <w:rFonts w:ascii="Verdana" w:hAnsi="Verdana"/>
          <w:sz w:val="16"/>
          <w:szCs w:val="16"/>
        </w:rPr>
      </w:pPr>
      <w:r w:rsidRPr="00446113">
        <w:rPr>
          <w:rFonts w:ascii="Verdana" w:hAnsi="Verdana"/>
          <w:sz w:val="16"/>
          <w:szCs w:val="16"/>
        </w:rPr>
        <w:t>“Parágrafo 1°. Cuando se trate de las subastas y los servicios a cargo del gestor del mercado de gas natural realizados en desarrollo de la regulación establecida por la Comisión de Regulación de Energía y Gas Combustible (CREG) respecto del funcionamiento del mercado mayorista de gas combustible, no será necesario que las bolsas de bienes y productos agropecuarios, agroindustriales o de otros commodities tengan reglamentos autorizados por la Superintendencia Financiera de Colombia”.</w:t>
      </w:r>
    </w:p>
  </w:footnote>
  <w:footnote w:id="11">
    <w:p w14:paraId="1676A3BC" w14:textId="77777777" w:rsidR="00F4619C" w:rsidRPr="00F33A6C" w:rsidRDefault="00F4619C" w:rsidP="00F4619C">
      <w:pPr>
        <w:pStyle w:val="Textonotapie"/>
        <w:ind w:firstLine="709"/>
        <w:rPr>
          <w:lang w:val="es-ES"/>
        </w:rPr>
      </w:pPr>
      <w:r>
        <w:rPr>
          <w:rStyle w:val="Refdenotaalpie"/>
        </w:rPr>
        <w:footnoteRef/>
      </w:r>
      <w:r>
        <w:t xml:space="preserve"> </w:t>
      </w:r>
      <w:r w:rsidRPr="00F751A8">
        <w:rPr>
          <w:rFonts w:ascii="Verdana" w:hAnsi="Verdana"/>
          <w:sz w:val="12"/>
          <w:szCs w:val="12"/>
        </w:rPr>
        <w:t xml:space="preserve">Ver en línea: </w:t>
      </w:r>
      <w:hyperlink r:id="rId2" w:history="1">
        <w:r w:rsidRPr="00F751A8">
          <w:rPr>
            <w:rStyle w:val="Hipervnculo"/>
            <w:rFonts w:ascii="Verdana" w:hAnsi="Verdana"/>
            <w:sz w:val="12"/>
            <w:szCs w:val="12"/>
          </w:rPr>
          <w:t>https://bolsamercantil.com.co/sites/default/files/2022-07/Reglamento%20BMC%20-%20v20220525.pdf</w:t>
        </w:r>
      </w:hyperlink>
    </w:p>
  </w:footnote>
  <w:footnote w:id="12">
    <w:p w14:paraId="607415A6" w14:textId="77777777" w:rsidR="00F4619C" w:rsidRPr="00F33A6C" w:rsidRDefault="00F4619C" w:rsidP="00F4619C">
      <w:pPr>
        <w:pStyle w:val="Textonotapie"/>
        <w:ind w:firstLine="708"/>
        <w:jc w:val="both"/>
        <w:rPr>
          <w:rFonts w:ascii="Verdana" w:hAnsi="Verdana" w:cs="Arial"/>
          <w:color w:val="000000" w:themeColor="text1"/>
          <w:sz w:val="16"/>
          <w:szCs w:val="16"/>
        </w:rPr>
      </w:pPr>
      <w:r>
        <w:rPr>
          <w:rStyle w:val="Refdenotaalpie"/>
        </w:rPr>
        <w:footnoteRef/>
      </w:r>
      <w:r>
        <w:t xml:space="preserve"> </w:t>
      </w:r>
      <w:r w:rsidRPr="00F33A6C">
        <w:rPr>
          <w:rFonts w:ascii="Verdana" w:hAnsi="Verdana" w:cs="Arial"/>
          <w:color w:val="000000" w:themeColor="text1"/>
          <w:sz w:val="16"/>
          <w:szCs w:val="16"/>
        </w:rPr>
        <w:t xml:space="preserve">Reglamento Bolsa Mercantil de Colombia, aprobado por la Resolución No. 2023 de 2008 de la Superintendencia Financiera de Colombia. “Artículo 3.2.2.1.8.- Comprobantes de transacción. Aprobado por Resolución No. 2023 de 2008 de la Superintendencia Financiera de Colombia. De las operaciones realizadas a través de la Bolsa se dejará constancia en un documento idóneo, suscrito por las sociedades comisionistas miembros de la Bolsa que lo celebren y por un representante de la Bolsa debidamente facultado para tal efecto. </w:t>
      </w:r>
    </w:p>
    <w:p w14:paraId="606F5D8A" w14:textId="77777777" w:rsidR="00F4619C" w:rsidRPr="00F33A6C" w:rsidRDefault="00F4619C" w:rsidP="00F4619C">
      <w:pPr>
        <w:pStyle w:val="Textonotapie"/>
        <w:jc w:val="both"/>
        <w:rPr>
          <w:lang w:val="es-ES"/>
        </w:rPr>
      </w:pPr>
      <w:r w:rsidRPr="00F33A6C">
        <w:rPr>
          <w:rFonts w:ascii="Verdana" w:hAnsi="Verdana" w:cs="Arial"/>
          <w:color w:val="000000" w:themeColor="text1"/>
          <w:sz w:val="16"/>
          <w:szCs w:val="16"/>
        </w:rPr>
        <w:t>“Los comprobantes deberán expresar al menos el activo, la calidad y cantidad del objeto de la operación, su precio, lugar y plazo de entrega, y la comisión cobrada. El documento original se les entregará a las sociedades comisionistas miembros de la Bolsa la copia del original será conservada por la Bolsa”.</w:t>
      </w:r>
    </w:p>
  </w:footnote>
  <w:footnote w:id="13">
    <w:p w14:paraId="2B6467FA" w14:textId="03BA3FEC" w:rsidR="00F4619C" w:rsidRPr="00152814" w:rsidRDefault="00F4619C" w:rsidP="00F4619C">
      <w:pPr>
        <w:pStyle w:val="Textonotapie"/>
        <w:ind w:firstLine="709"/>
        <w:jc w:val="both"/>
        <w:rPr>
          <w:lang w:val="en-US"/>
        </w:rPr>
      </w:pPr>
      <w:r>
        <w:rPr>
          <w:rStyle w:val="Refdenotaalpie"/>
        </w:rPr>
        <w:footnoteRef/>
      </w:r>
      <w:hyperlink r:id="rId3" w:history="1">
        <w:r w:rsidR="00334C61" w:rsidRPr="00457C91">
          <w:rPr>
            <w:rStyle w:val="Hipervnculo"/>
            <w:rFonts w:ascii="Verdana" w:hAnsi="Verdana" w:cs="Arial"/>
            <w:sz w:val="16"/>
            <w:szCs w:val="16"/>
            <w:lang w:val="en-US"/>
          </w:rPr>
          <w:t>https://www.colombiacompra.gov.co/sites/cce_public/files/cce_circulares/vf_circular_externa_004_de_2021_ 002_2.pdf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4"/>
  </w:num>
  <w:num w:numId="14">
    <w:abstractNumId w:val="15"/>
  </w:num>
  <w:num w:numId="15">
    <w:abstractNumId w:val="11"/>
  </w:num>
  <w:num w:numId="16">
    <w:abstractNumId w:val="0"/>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FDF"/>
    <w:rsid w:val="00082362"/>
    <w:rsid w:val="00092080"/>
    <w:rsid w:val="000A683E"/>
    <w:rsid w:val="000B19B9"/>
    <w:rsid w:val="000D0334"/>
    <w:rsid w:val="000F6486"/>
    <w:rsid w:val="00125105"/>
    <w:rsid w:val="00127233"/>
    <w:rsid w:val="001511A0"/>
    <w:rsid w:val="00152814"/>
    <w:rsid w:val="0015597A"/>
    <w:rsid w:val="001C6282"/>
    <w:rsid w:val="001E4177"/>
    <w:rsid w:val="001F7DC6"/>
    <w:rsid w:val="002421BB"/>
    <w:rsid w:val="0025796E"/>
    <w:rsid w:val="002707A2"/>
    <w:rsid w:val="002951A0"/>
    <w:rsid w:val="002962BC"/>
    <w:rsid w:val="002A093D"/>
    <w:rsid w:val="002A0DD0"/>
    <w:rsid w:val="002A49AC"/>
    <w:rsid w:val="002A64FD"/>
    <w:rsid w:val="002C7A84"/>
    <w:rsid w:val="002D1340"/>
    <w:rsid w:val="002E4FD9"/>
    <w:rsid w:val="002F2390"/>
    <w:rsid w:val="00312A32"/>
    <w:rsid w:val="00322A85"/>
    <w:rsid w:val="00324168"/>
    <w:rsid w:val="00334C61"/>
    <w:rsid w:val="00343C7E"/>
    <w:rsid w:val="003448F4"/>
    <w:rsid w:val="00374F5E"/>
    <w:rsid w:val="00377E3E"/>
    <w:rsid w:val="003A779E"/>
    <w:rsid w:val="003D0F4D"/>
    <w:rsid w:val="003D5B0D"/>
    <w:rsid w:val="003E0499"/>
    <w:rsid w:val="003E3D0D"/>
    <w:rsid w:val="003F3941"/>
    <w:rsid w:val="00406575"/>
    <w:rsid w:val="00414C74"/>
    <w:rsid w:val="0042722E"/>
    <w:rsid w:val="0044528D"/>
    <w:rsid w:val="004A1847"/>
    <w:rsid w:val="004A305D"/>
    <w:rsid w:val="004F21C4"/>
    <w:rsid w:val="004F685F"/>
    <w:rsid w:val="005566E8"/>
    <w:rsid w:val="00574867"/>
    <w:rsid w:val="00591460"/>
    <w:rsid w:val="005B3816"/>
    <w:rsid w:val="005C16B7"/>
    <w:rsid w:val="005C3777"/>
    <w:rsid w:val="005C5CDC"/>
    <w:rsid w:val="005D476C"/>
    <w:rsid w:val="006219F8"/>
    <w:rsid w:val="00665D70"/>
    <w:rsid w:val="006900D9"/>
    <w:rsid w:val="00706C16"/>
    <w:rsid w:val="00756841"/>
    <w:rsid w:val="007649AB"/>
    <w:rsid w:val="00771D0C"/>
    <w:rsid w:val="00774ACC"/>
    <w:rsid w:val="007833AC"/>
    <w:rsid w:val="007B06F5"/>
    <w:rsid w:val="007B268C"/>
    <w:rsid w:val="007B7171"/>
    <w:rsid w:val="007C0C0F"/>
    <w:rsid w:val="007C3DC2"/>
    <w:rsid w:val="007E5497"/>
    <w:rsid w:val="00806F5F"/>
    <w:rsid w:val="00820278"/>
    <w:rsid w:val="00862E6E"/>
    <w:rsid w:val="00867F95"/>
    <w:rsid w:val="008843B6"/>
    <w:rsid w:val="00891928"/>
    <w:rsid w:val="008A446D"/>
    <w:rsid w:val="008D031A"/>
    <w:rsid w:val="008D180B"/>
    <w:rsid w:val="008F0EA7"/>
    <w:rsid w:val="00923EEF"/>
    <w:rsid w:val="009419F9"/>
    <w:rsid w:val="0095685E"/>
    <w:rsid w:val="00961B09"/>
    <w:rsid w:val="00965334"/>
    <w:rsid w:val="0097093E"/>
    <w:rsid w:val="00986623"/>
    <w:rsid w:val="00986AC5"/>
    <w:rsid w:val="009A0DFA"/>
    <w:rsid w:val="009B2D26"/>
    <w:rsid w:val="009C71FA"/>
    <w:rsid w:val="009C72E7"/>
    <w:rsid w:val="009D3058"/>
    <w:rsid w:val="009F3A13"/>
    <w:rsid w:val="00A122D3"/>
    <w:rsid w:val="00A17F13"/>
    <w:rsid w:val="00A20739"/>
    <w:rsid w:val="00A25A76"/>
    <w:rsid w:val="00A33C78"/>
    <w:rsid w:val="00AB0ADB"/>
    <w:rsid w:val="00B01B1A"/>
    <w:rsid w:val="00B0334B"/>
    <w:rsid w:val="00B1437D"/>
    <w:rsid w:val="00B523E8"/>
    <w:rsid w:val="00B66319"/>
    <w:rsid w:val="00B72CD3"/>
    <w:rsid w:val="00B72FFF"/>
    <w:rsid w:val="00B7626D"/>
    <w:rsid w:val="00BC3D36"/>
    <w:rsid w:val="00BD7F72"/>
    <w:rsid w:val="00C04FB3"/>
    <w:rsid w:val="00C330EB"/>
    <w:rsid w:val="00C41061"/>
    <w:rsid w:val="00C5267C"/>
    <w:rsid w:val="00C754BE"/>
    <w:rsid w:val="00C76B1C"/>
    <w:rsid w:val="00C973BC"/>
    <w:rsid w:val="00CB6357"/>
    <w:rsid w:val="00CC1B26"/>
    <w:rsid w:val="00D00C5C"/>
    <w:rsid w:val="00D20F28"/>
    <w:rsid w:val="00D423A2"/>
    <w:rsid w:val="00D520D8"/>
    <w:rsid w:val="00D56920"/>
    <w:rsid w:val="00D63AC2"/>
    <w:rsid w:val="00D7383B"/>
    <w:rsid w:val="00DA231B"/>
    <w:rsid w:val="00DC39FC"/>
    <w:rsid w:val="00DC58BB"/>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19C"/>
    <w:rsid w:val="00F462B3"/>
    <w:rsid w:val="00F5664F"/>
    <w:rsid w:val="00F666C4"/>
    <w:rsid w:val="00F76AFC"/>
    <w:rsid w:val="00F93A6A"/>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F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4619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619C"/>
    <w:rPr>
      <w:rFonts w:ascii="Geomanist Light" w:hAnsi="Geomanist Light"/>
      <w:lang w:val="es-ES"/>
    </w:rPr>
  </w:style>
  <w:style w:type="character" w:styleId="Textoennegrita">
    <w:name w:val="Strong"/>
    <w:basedOn w:val="Fuentedeprrafopredeter"/>
    <w:uiPriority w:val="22"/>
    <w:qFormat/>
    <w:rsid w:val="00F4619C"/>
    <w:rPr>
      <w:b/>
      <w:bCs/>
    </w:rPr>
  </w:style>
  <w:style w:type="character" w:styleId="nfasis">
    <w:name w:val="Emphasis"/>
    <w:basedOn w:val="Fuentedeprrafopredeter"/>
    <w:uiPriority w:val="20"/>
    <w:qFormat/>
    <w:rsid w:val="00F4619C"/>
    <w:rPr>
      <w:i/>
      <w:iCs/>
    </w:rPr>
  </w:style>
  <w:style w:type="character" w:customStyle="1" w:styleId="NormalWebCar">
    <w:name w:val="Normal (Web) Car"/>
    <w:link w:val="NormalWeb"/>
    <w:uiPriority w:val="99"/>
    <w:rsid w:val="00F4619C"/>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152814"/>
    <w:rPr>
      <w:sz w:val="16"/>
      <w:szCs w:val="16"/>
    </w:rPr>
  </w:style>
  <w:style w:type="paragraph" w:styleId="Textocomentario">
    <w:name w:val="annotation text"/>
    <w:basedOn w:val="Normal"/>
    <w:link w:val="TextocomentarioCar"/>
    <w:uiPriority w:val="99"/>
    <w:semiHidden/>
    <w:unhideWhenUsed/>
    <w:rsid w:val="0015281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52814"/>
    <w:rPr>
      <w:sz w:val="20"/>
      <w:szCs w:val="20"/>
    </w:rPr>
  </w:style>
  <w:style w:type="paragraph" w:styleId="Asuntodelcomentario">
    <w:name w:val="annotation subject"/>
    <w:basedOn w:val="Textocomentario"/>
    <w:next w:val="Textocomentario"/>
    <w:link w:val="AsuntodelcomentarioCar"/>
    <w:uiPriority w:val="99"/>
    <w:semiHidden/>
    <w:unhideWhenUsed/>
    <w:rsid w:val="00152814"/>
    <w:rPr>
      <w:b/>
      <w:bCs/>
    </w:rPr>
  </w:style>
  <w:style w:type="character" w:customStyle="1" w:styleId="AsuntodelcomentarioCar">
    <w:name w:val="Asunto del comentario Car"/>
    <w:basedOn w:val="TextocomentarioCar"/>
    <w:link w:val="Asuntodelcomentario"/>
    <w:uiPriority w:val="99"/>
    <w:semiHidden/>
    <w:rsid w:val="00152814"/>
    <w:rPr>
      <w:b/>
      <w:bCs/>
      <w:sz w:val="20"/>
      <w:szCs w:val="20"/>
    </w:rPr>
  </w:style>
  <w:style w:type="paragraph" w:styleId="Textodeglobo">
    <w:name w:val="Balloon Text"/>
    <w:basedOn w:val="Normal"/>
    <w:link w:val="TextodegloboCar"/>
    <w:uiPriority w:val="99"/>
    <w:semiHidden/>
    <w:unhideWhenUsed/>
    <w:rsid w:val="00334C6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4C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6571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9501526">
      <w:bodyDiv w:val="1"/>
      <w:marLeft w:val="0"/>
      <w:marRight w:val="0"/>
      <w:marTop w:val="0"/>
      <w:marBottom w:val="0"/>
      <w:divBdr>
        <w:top w:val="none" w:sz="0" w:space="0" w:color="auto"/>
        <w:left w:val="none" w:sz="0" w:space="0" w:color="auto"/>
        <w:bottom w:val="none" w:sz="0" w:space="0" w:color="auto"/>
        <w:right w:val="none" w:sz="0" w:space="0" w:color="auto"/>
      </w:divBdr>
      <w:divsChild>
        <w:div w:id="1916667692">
          <w:marLeft w:val="0"/>
          <w:marRight w:val="0"/>
          <w:marTop w:val="0"/>
          <w:marBottom w:val="0"/>
          <w:divBdr>
            <w:top w:val="none" w:sz="0" w:space="0" w:color="auto"/>
            <w:left w:val="none" w:sz="0" w:space="0" w:color="auto"/>
            <w:bottom w:val="none" w:sz="0" w:space="0" w:color="auto"/>
            <w:right w:val="none" w:sz="0" w:space="0" w:color="auto"/>
          </w:divBdr>
        </w:div>
      </w:divsChild>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91585565">
      <w:bodyDiv w:val="1"/>
      <w:marLeft w:val="0"/>
      <w:marRight w:val="0"/>
      <w:marTop w:val="0"/>
      <w:marBottom w:val="0"/>
      <w:divBdr>
        <w:top w:val="none" w:sz="0" w:space="0" w:color="auto"/>
        <w:left w:val="none" w:sz="0" w:space="0" w:color="auto"/>
        <w:bottom w:val="none" w:sz="0" w:space="0" w:color="auto"/>
        <w:right w:val="none" w:sz="0" w:space="0" w:color="auto"/>
      </w:divBdr>
      <w:divsChild>
        <w:div w:id="205508174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circulares/vf_circular_externa_004_de_2021_002_2.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yennyariza_77@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sergio.rivera%40colombiacompra.gov.co%7C096eca3fdcca424ff1c708dcf932f947%7C7b09041e245149d08cb179d5e3d8c1be%7C0%7C0%7C638659244553971823%7CUnknown%7CTWFpbGZsb3d8eyJWIjoiMC4wLjAwMDAiLCJQIjoiV2luMzIiLCJBTiI6Ik1haWwiLCJXVCI6Mn0%3D%7C0%7C%7C%7C&amp;sdata=YW4blgNg37XDmE%2B6SKIl9zpbMXronWkhLhJ1GT27zZ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sergio.rivera%40colombiacompra.gov.co%7C6192b0470d324981a09708dd0a6c28db%7C7b09041e245149d08cb179d5e3d8c1be%7C0%7C0%7C638678181873303083%7CUnknown%7CTWFpbGZsb3d8eyJFbXB0eU1hcGkiOnRydWUsIlYiOiIwLjAuMDAwMCIsIlAiOiJXaW4zMiIsIkFOIjoiTWFpbCIsIldUIjoyfQ%3D%3D%7C0%7C%7C%7C&amp;sdata=RZ8UGZwZz1u6P2uX7%2FCr73boVT1JLXCwE20Uk3OdT6E%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circulares/vf_circular_externa_004_de_2021_%20002_2.pdf" TargetMode="External"/><Relationship Id="rId2" Type="http://schemas.openxmlformats.org/officeDocument/2006/relationships/hyperlink" Target="https://bolsamercantil.com.co/sites/default/files/2022-07/Reglamento%20BMC%20-%20v20220525.pdf" TargetMode="External"/><Relationship Id="rId1" Type="http://schemas.openxmlformats.org/officeDocument/2006/relationships/hyperlink" Target="http://revistas.pucp.edu.pe/index.php/derechopucp/article/view/6348/639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customXml/itemProps3.xml><?xml version="1.0" encoding="utf-8"?>
<ds:datastoreItem xmlns:ds="http://schemas.openxmlformats.org/officeDocument/2006/customXml" ds:itemID="{5899AB07-3B8C-46E1-BF9A-1A6D6823D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C11888-5D90-4028-92CD-563D2AB39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14</Pages>
  <Words>4501</Words>
  <Characters>24760</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17</cp:revision>
  <cp:lastPrinted>2023-01-10T21:18:00Z</cp:lastPrinted>
  <dcterms:created xsi:type="dcterms:W3CDTF">2024-12-12T20:28:00Z</dcterms:created>
  <dcterms:modified xsi:type="dcterms:W3CDTF">2024-12-17T19:25:00Z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