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A312D" w14:textId="77777777" w:rsidR="003C7129" w:rsidRPr="00AD5455" w:rsidRDefault="003C7129" w:rsidP="00253A86">
      <w:pPr>
        <w:spacing w:after="0" w:line="240" w:lineRule="auto"/>
        <w:jc w:val="both"/>
        <w:rPr>
          <w:rFonts w:ascii="Verdana" w:hAnsi="Verdana"/>
          <w:b/>
          <w:bCs/>
          <w:lang w:val="es-MX"/>
        </w:rPr>
      </w:pPr>
      <w:bookmarkStart w:id="0" w:name="_Hlk143780582"/>
      <w:r w:rsidRPr="00AD5455">
        <w:rPr>
          <w:rFonts w:ascii="Verdana" w:hAnsi="Verdana"/>
          <w:b/>
          <w:bCs/>
          <w:lang w:val="es-MX"/>
        </w:rPr>
        <w:t>MÍNIMA CUANTÍA – Generalidades – Ley 1150 de 2007</w:t>
      </w:r>
    </w:p>
    <w:p w14:paraId="5AA111FD" w14:textId="03489031" w:rsidR="003C7129" w:rsidRDefault="003C7129" w:rsidP="00253A86">
      <w:pPr>
        <w:spacing w:after="0" w:line="240" w:lineRule="auto"/>
        <w:jc w:val="both"/>
        <w:rPr>
          <w:rFonts w:ascii="Verdana" w:hAnsi="Verdana"/>
          <w:bCs/>
          <w:lang w:val="es-MX"/>
        </w:rPr>
      </w:pPr>
    </w:p>
    <w:p w14:paraId="7B6E0A86" w14:textId="73F7B84F" w:rsidR="00AD5455" w:rsidRDefault="00AD5455" w:rsidP="00253A86">
      <w:pPr>
        <w:spacing w:after="0" w:line="240" w:lineRule="auto"/>
        <w:jc w:val="both"/>
        <w:rPr>
          <w:rFonts w:ascii="Verdana" w:hAnsi="Verdana"/>
          <w:bCs/>
          <w:sz w:val="20"/>
          <w:lang w:val="es-ES_tradnl"/>
        </w:rPr>
      </w:pPr>
      <w:r w:rsidRPr="00AD5455">
        <w:rPr>
          <w:rFonts w:ascii="Verdana" w:hAnsi="Verdana"/>
          <w:bCs/>
          <w:sz w:val="20"/>
          <w:lang w:val="es-ES_tradnl"/>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p>
    <w:p w14:paraId="0166B247" w14:textId="77777777" w:rsidR="00AD5455" w:rsidRPr="00AD5455" w:rsidRDefault="00AD5455" w:rsidP="00253A86">
      <w:pPr>
        <w:spacing w:after="0" w:line="240" w:lineRule="auto"/>
        <w:jc w:val="both"/>
        <w:rPr>
          <w:rFonts w:ascii="Verdana" w:hAnsi="Verdana"/>
          <w:bCs/>
          <w:sz w:val="20"/>
          <w:lang w:val="es-ES_tradnl"/>
        </w:rPr>
      </w:pPr>
    </w:p>
    <w:p w14:paraId="4796B130" w14:textId="0F2E5EB7" w:rsidR="00AD5455" w:rsidRPr="00AD5455" w:rsidRDefault="00AD5455" w:rsidP="00253A86">
      <w:pPr>
        <w:spacing w:after="0" w:line="240" w:lineRule="auto"/>
        <w:jc w:val="both"/>
        <w:rPr>
          <w:rFonts w:ascii="Verdana" w:hAnsi="Verdana"/>
          <w:bCs/>
          <w:sz w:val="20"/>
          <w:lang w:val="es-ES_tradnl"/>
        </w:rPr>
      </w:pPr>
      <w:r w:rsidRPr="00AD5455">
        <w:rPr>
          <w:rFonts w:ascii="Verdana" w:hAnsi="Verdana"/>
          <w:bCs/>
          <w:sz w:val="20"/>
          <w:lang w:val="es-ES_tradnl"/>
        </w:rPr>
        <w:t>Dicho de otro modo, la mínima cuantía es un procedimiento de selección “especial”,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 y lo segundo, porque sus requisitos, etapas y términos son especiales.</w:t>
      </w:r>
    </w:p>
    <w:p w14:paraId="11D06000" w14:textId="77777777" w:rsidR="00AD5455" w:rsidRPr="00AD5455" w:rsidRDefault="00AD5455" w:rsidP="00253A86">
      <w:pPr>
        <w:spacing w:after="0" w:line="240" w:lineRule="auto"/>
        <w:jc w:val="both"/>
        <w:rPr>
          <w:rFonts w:ascii="Verdana" w:hAnsi="Verdana"/>
          <w:b/>
          <w:bCs/>
          <w:lang w:val="es-ES_tradnl"/>
        </w:rPr>
      </w:pPr>
    </w:p>
    <w:p w14:paraId="4638F0DF" w14:textId="77777777" w:rsidR="003C7129" w:rsidRPr="00AD5455" w:rsidRDefault="003C7129" w:rsidP="00253A86">
      <w:pPr>
        <w:spacing w:after="0" w:line="240" w:lineRule="auto"/>
        <w:jc w:val="both"/>
        <w:rPr>
          <w:rFonts w:ascii="Verdana" w:hAnsi="Verdana"/>
          <w:b/>
          <w:bCs/>
          <w:lang w:val="es-MX"/>
        </w:rPr>
      </w:pPr>
      <w:r w:rsidRPr="00AD5455">
        <w:rPr>
          <w:rFonts w:ascii="Verdana" w:hAnsi="Verdana"/>
          <w:b/>
          <w:bCs/>
          <w:lang w:val="es-MX"/>
        </w:rPr>
        <w:t xml:space="preserve">MÍNIMA CUANTÍA – Normas reglamentarias – Decreto 1082 de 2015 – Procedimiento </w:t>
      </w:r>
    </w:p>
    <w:p w14:paraId="3B8A84A3" w14:textId="19C2AFA5" w:rsidR="003C7129" w:rsidRDefault="003C7129" w:rsidP="00253A86">
      <w:pPr>
        <w:spacing w:after="0" w:line="240" w:lineRule="auto"/>
        <w:jc w:val="both"/>
        <w:rPr>
          <w:rFonts w:ascii="Verdana" w:hAnsi="Verdana"/>
          <w:bCs/>
          <w:lang w:val="es-MX"/>
        </w:rPr>
      </w:pPr>
    </w:p>
    <w:p w14:paraId="55EC3C93" w14:textId="77777777" w:rsidR="00AD5455" w:rsidRPr="00253A86" w:rsidRDefault="00AD5455" w:rsidP="00253A86">
      <w:pPr>
        <w:spacing w:after="0" w:line="240" w:lineRule="auto"/>
        <w:jc w:val="both"/>
        <w:rPr>
          <w:rFonts w:ascii="Verdana" w:hAnsi="Verdana"/>
          <w:bCs/>
          <w:sz w:val="20"/>
          <w:lang w:val="es-ES"/>
        </w:rPr>
      </w:pPr>
      <w:r w:rsidRPr="00253A86">
        <w:rPr>
          <w:rFonts w:ascii="Verdana" w:hAnsi="Verdana"/>
          <w:bCs/>
          <w:sz w:val="20"/>
          <w:lang w:val="es-ES"/>
        </w:rPr>
        <w:t xml:space="preserve">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w:t>
      </w:r>
      <w:proofErr w:type="spellStart"/>
      <w:r w:rsidRPr="00253A86">
        <w:rPr>
          <w:rFonts w:ascii="Verdana" w:hAnsi="Verdana"/>
          <w:bCs/>
          <w:sz w:val="20"/>
          <w:lang w:val="es-ES"/>
        </w:rPr>
        <w:t>ii</w:t>
      </w:r>
      <w:proofErr w:type="spellEnd"/>
      <w:r w:rsidRPr="00253A86">
        <w:rPr>
          <w:rFonts w:ascii="Verdana" w:hAnsi="Verdana"/>
          <w:bCs/>
          <w:sz w:val="20"/>
          <w:lang w:val="es-ES"/>
        </w:rPr>
        <w:t xml:space="preserve">) el plazo mínimo de recepción de las ofertas, </w:t>
      </w:r>
      <w:proofErr w:type="spellStart"/>
      <w:r w:rsidRPr="00253A86">
        <w:rPr>
          <w:rFonts w:ascii="Verdana" w:hAnsi="Verdana"/>
          <w:bCs/>
          <w:sz w:val="20"/>
          <w:lang w:val="es-ES"/>
        </w:rPr>
        <w:t>iii</w:t>
      </w:r>
      <w:proofErr w:type="spellEnd"/>
      <w:r w:rsidRPr="00253A86">
        <w:rPr>
          <w:rFonts w:ascii="Verdana" w:hAnsi="Verdana"/>
          <w:bCs/>
          <w:sz w:val="20"/>
          <w:lang w:val="es-ES"/>
        </w:rPr>
        <w:t xml:space="preserve">) el factor de evaluación que define la selección del proponente y </w:t>
      </w:r>
      <w:proofErr w:type="spellStart"/>
      <w:r w:rsidRPr="00253A86">
        <w:rPr>
          <w:rFonts w:ascii="Verdana" w:hAnsi="Verdana"/>
          <w:bCs/>
          <w:sz w:val="20"/>
          <w:lang w:val="es-ES"/>
        </w:rPr>
        <w:t>iv</w:t>
      </w:r>
      <w:proofErr w:type="spellEnd"/>
      <w:r w:rsidRPr="00253A86">
        <w:rPr>
          <w:rFonts w:ascii="Verdana" w:hAnsi="Verdana"/>
          <w:bCs/>
          <w:sz w:val="20"/>
          <w:lang w:val="es-ES"/>
        </w:rPr>
        <w:t>) el perfeccionamiento del contrato.</w:t>
      </w:r>
    </w:p>
    <w:p w14:paraId="5FA88F31" w14:textId="77777777" w:rsidR="00253A86" w:rsidRPr="00253A86" w:rsidRDefault="00253A86" w:rsidP="00253A86">
      <w:pPr>
        <w:spacing w:after="0" w:line="240" w:lineRule="auto"/>
        <w:jc w:val="both"/>
        <w:rPr>
          <w:rFonts w:ascii="Verdana" w:hAnsi="Verdana"/>
          <w:bCs/>
          <w:sz w:val="20"/>
          <w:lang w:val="es-ES"/>
        </w:rPr>
      </w:pPr>
    </w:p>
    <w:p w14:paraId="62DCADC4" w14:textId="6B60123D" w:rsidR="00AD5455" w:rsidRPr="00253A86" w:rsidRDefault="00AD5455" w:rsidP="00253A86">
      <w:pPr>
        <w:spacing w:after="0" w:line="240" w:lineRule="auto"/>
        <w:jc w:val="both"/>
        <w:rPr>
          <w:rFonts w:ascii="Verdana" w:hAnsi="Verdana"/>
          <w:bCs/>
          <w:sz w:val="20"/>
          <w:lang w:val="es-ES"/>
        </w:rPr>
      </w:pPr>
      <w:r w:rsidRPr="00253A86">
        <w:rPr>
          <w:rFonts w:ascii="Verdana" w:hAnsi="Verdana"/>
          <w:bCs/>
          <w:sz w:val="20"/>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5FE45B9D" w14:textId="77777777" w:rsidR="00253A86" w:rsidRPr="00253A86" w:rsidRDefault="00253A86" w:rsidP="00253A86">
      <w:pPr>
        <w:spacing w:after="0" w:line="240" w:lineRule="auto"/>
        <w:jc w:val="both"/>
        <w:rPr>
          <w:rFonts w:ascii="Verdana" w:hAnsi="Verdana"/>
          <w:bCs/>
          <w:sz w:val="20"/>
          <w:lang w:val="es-ES"/>
        </w:rPr>
      </w:pPr>
    </w:p>
    <w:p w14:paraId="4703144A" w14:textId="10F3BDAD" w:rsidR="00AD5455" w:rsidRPr="00253A86" w:rsidRDefault="00AD5455" w:rsidP="00253A86">
      <w:pPr>
        <w:spacing w:after="0" w:line="240" w:lineRule="auto"/>
        <w:jc w:val="both"/>
        <w:rPr>
          <w:rFonts w:ascii="Verdana" w:hAnsi="Verdana"/>
          <w:bCs/>
          <w:sz w:val="20"/>
          <w:lang w:val="es-ES"/>
        </w:rPr>
      </w:pPr>
      <w:r w:rsidRPr="00253A86">
        <w:rPr>
          <w:rFonts w:ascii="Verdana" w:hAnsi="Verdana"/>
          <w:bCs/>
          <w:sz w:val="20"/>
          <w:lang w:val="es-ES"/>
        </w:rPr>
        <w:t xml:space="preserve">Teniendo en cuenta lo anterior, la nueva Subsección 5 a que se hizo referencia contiene los siguientes artículos: i) 2.2.1.2.1.5.1. que se ocupa de desarrollar el contenido de los estudios previos para la contratación de mínima cuantía. </w:t>
      </w:r>
      <w:proofErr w:type="spellStart"/>
      <w:r w:rsidRPr="00253A86">
        <w:rPr>
          <w:rFonts w:ascii="Verdana" w:hAnsi="Verdana"/>
          <w:bCs/>
          <w:sz w:val="20"/>
          <w:lang w:val="es-ES"/>
        </w:rPr>
        <w:t>ii</w:t>
      </w:r>
      <w:proofErr w:type="spellEnd"/>
      <w:r w:rsidRPr="00253A86">
        <w:rPr>
          <w:rFonts w:ascii="Verdana" w:hAnsi="Verdana"/>
          <w:bCs/>
          <w:sz w:val="20"/>
          <w:lang w:val="es-E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253A86">
        <w:rPr>
          <w:rFonts w:ascii="Verdana" w:hAnsi="Verdana"/>
          <w:bCs/>
          <w:sz w:val="20"/>
          <w:lang w:val="es-ES"/>
        </w:rPr>
        <w:t>mipymes</w:t>
      </w:r>
      <w:proofErr w:type="spellEnd"/>
      <w:r w:rsidRPr="00253A86">
        <w:rPr>
          <w:rFonts w:ascii="Verdana" w:hAnsi="Verdana"/>
          <w:bCs/>
          <w:sz w:val="20"/>
          <w:lang w:val="es-ES"/>
        </w:rPr>
        <w:t xml:space="preserve">, de </w:t>
      </w:r>
      <w:r w:rsidRPr="00253A86">
        <w:rPr>
          <w:rFonts w:ascii="Verdana" w:hAnsi="Verdana"/>
          <w:bCs/>
          <w:sz w:val="20"/>
          <w:lang w:val="es-ES"/>
        </w:rPr>
        <w:lastRenderedPageBreak/>
        <w:t xml:space="preserve">acuerdo con el mandato del parágrafo 1 del artículo 30 de la Ley 2069 de 2020. </w:t>
      </w:r>
      <w:proofErr w:type="spellStart"/>
      <w:r w:rsidRPr="00253A86">
        <w:rPr>
          <w:rFonts w:ascii="Verdana" w:hAnsi="Verdana"/>
          <w:bCs/>
          <w:sz w:val="20"/>
          <w:lang w:val="es-ES"/>
        </w:rPr>
        <w:t>iii</w:t>
      </w:r>
      <w:proofErr w:type="spellEnd"/>
      <w:r w:rsidRPr="00253A86">
        <w:rPr>
          <w:rFonts w:ascii="Verdana" w:hAnsi="Verdana"/>
          <w:bCs/>
          <w:sz w:val="20"/>
          <w:lang w:val="es-ES"/>
        </w:rPr>
        <w:t xml:space="preserve">) 2.2.1.2.1.5.3. que regula un procedimiento especial para las adquisiciones en grandes almacenes cuando se trate de mínima cuantía. </w:t>
      </w:r>
      <w:proofErr w:type="spellStart"/>
      <w:r w:rsidRPr="00253A86">
        <w:rPr>
          <w:rFonts w:ascii="Verdana" w:hAnsi="Verdana"/>
          <w:bCs/>
          <w:sz w:val="20"/>
          <w:lang w:val="es-ES"/>
        </w:rPr>
        <w:t>iv</w:t>
      </w:r>
      <w:proofErr w:type="spellEnd"/>
      <w:r w:rsidRPr="00253A86">
        <w:rPr>
          <w:rFonts w:ascii="Verdana" w:hAnsi="Verdana"/>
          <w:bCs/>
          <w:sz w:val="20"/>
          <w:lang w:val="es-ES"/>
        </w:rPr>
        <w:t xml:space="preserve">)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w:t>
      </w:r>
      <w:proofErr w:type="spellStart"/>
      <w:r w:rsidRPr="00253A86">
        <w:rPr>
          <w:rFonts w:ascii="Verdana" w:hAnsi="Verdana"/>
          <w:bCs/>
          <w:sz w:val="20"/>
          <w:lang w:val="es-ES"/>
        </w:rPr>
        <w:t>Mipyme</w:t>
      </w:r>
      <w:proofErr w:type="spellEnd"/>
      <w:r w:rsidRPr="00253A86">
        <w:rPr>
          <w:rFonts w:ascii="Verdana" w:hAnsi="Verdana"/>
          <w:bCs/>
          <w:sz w:val="20"/>
          <w:lang w:val="es-ES"/>
        </w:rPr>
        <w:t xml:space="preserve"> y con grandes almacenes. Y v) 2.2.1.2.1.5.5. el cual establece que la entidad estatal es libre de exigir o no garantías en el proceso de selección de mínima cuantía y en la adquisición de “grandes almacenes”.</w:t>
      </w:r>
    </w:p>
    <w:p w14:paraId="5CD8FDA5" w14:textId="77777777" w:rsidR="00AD5455" w:rsidRPr="00253A86" w:rsidRDefault="00AD5455" w:rsidP="00253A86">
      <w:pPr>
        <w:spacing w:after="0" w:line="240" w:lineRule="auto"/>
        <w:jc w:val="both"/>
        <w:rPr>
          <w:rFonts w:ascii="Verdana" w:hAnsi="Verdana"/>
          <w:bCs/>
          <w:sz w:val="20"/>
          <w:lang w:val="es-ES"/>
        </w:rPr>
      </w:pPr>
    </w:p>
    <w:p w14:paraId="6744378C" w14:textId="77777777" w:rsidR="003C7129" w:rsidRPr="00253A86" w:rsidRDefault="003C7129" w:rsidP="00253A86">
      <w:pPr>
        <w:spacing w:after="0" w:line="240" w:lineRule="auto"/>
        <w:jc w:val="both"/>
        <w:rPr>
          <w:rFonts w:ascii="Verdana" w:hAnsi="Verdana"/>
          <w:b/>
          <w:bCs/>
          <w:lang w:val="es-MX"/>
        </w:rPr>
      </w:pPr>
      <w:r w:rsidRPr="00253A86">
        <w:rPr>
          <w:rFonts w:ascii="Verdana" w:hAnsi="Verdana"/>
          <w:b/>
          <w:bCs/>
          <w:lang w:val="es-MX"/>
        </w:rPr>
        <w:t xml:space="preserve">ACEPTACIÓN DE LA OFERTA – Perfeccionamiento del contrato </w:t>
      </w:r>
    </w:p>
    <w:p w14:paraId="5DE4AEF1" w14:textId="77777777" w:rsidR="003C7129" w:rsidRDefault="003C7129" w:rsidP="00253A86">
      <w:pPr>
        <w:spacing w:after="0" w:line="240" w:lineRule="auto"/>
        <w:jc w:val="both"/>
        <w:rPr>
          <w:rFonts w:ascii="Verdana" w:hAnsi="Verdana"/>
          <w:bCs/>
          <w:lang w:val="es-MX"/>
        </w:rPr>
      </w:pPr>
    </w:p>
    <w:p w14:paraId="5AC58F28" w14:textId="77777777" w:rsidR="00253A86" w:rsidRPr="00253A86" w:rsidRDefault="00253A86" w:rsidP="00253A86">
      <w:pPr>
        <w:spacing w:after="0" w:line="240" w:lineRule="auto"/>
        <w:jc w:val="both"/>
        <w:rPr>
          <w:rFonts w:ascii="Verdana" w:hAnsi="Verdana"/>
          <w:bCs/>
          <w:sz w:val="20"/>
          <w:lang w:val="es-ES_tradnl"/>
        </w:rPr>
      </w:pPr>
      <w:r w:rsidRPr="00253A86">
        <w:rPr>
          <w:rFonts w:ascii="Verdana" w:hAnsi="Verdana"/>
          <w:bCs/>
          <w:sz w:val="20"/>
          <w:lang w:val="es-ES"/>
        </w:rPr>
        <w:t xml:space="preserve">En este sentido, el legislador estableció que en los procesos de mínima cuantía no habría un </w:t>
      </w:r>
      <w:r w:rsidRPr="00253A86">
        <w:rPr>
          <w:rFonts w:ascii="Verdana" w:hAnsi="Verdana"/>
          <w:bCs/>
          <w:i/>
          <w:sz w:val="20"/>
          <w:lang w:val="es-ES"/>
        </w:rPr>
        <w:t>“acto de adjudicación”</w:t>
      </w:r>
      <w:r w:rsidRPr="00253A86">
        <w:rPr>
          <w:rFonts w:ascii="Verdana" w:hAnsi="Verdana"/>
          <w:bCs/>
          <w:sz w:val="20"/>
          <w:lang w:val="es-ES"/>
        </w:rPr>
        <w:t xml:space="preserve">, sino que en aras de la celeridad y economía que se busca con esta modalidad, la selección de la mejor oferta se realiza mediante una </w:t>
      </w:r>
      <w:r w:rsidRPr="00253A86">
        <w:rPr>
          <w:rFonts w:ascii="Verdana" w:hAnsi="Verdana"/>
          <w:bCs/>
          <w:i/>
          <w:sz w:val="20"/>
          <w:lang w:val="es-ES"/>
        </w:rPr>
        <w:t>“comunicación de aceptación de la oferta”</w:t>
      </w:r>
      <w:r w:rsidRPr="00253A86">
        <w:rPr>
          <w:rFonts w:ascii="Verdana" w:hAnsi="Verdana"/>
          <w:bCs/>
          <w:sz w:val="20"/>
          <w:lang w:val="es-ES"/>
        </w:rPr>
        <w:t>, y dicha comunicación, junto con la oferta presentada por el oferente seleccionado, constituyen el contrato. Así, la comunicación de aceptación de la oferta hace las veces del acto de adjudicación, en el entendido de que bajo dicha actuación la entidad selecciona a su contratista; solo que en estos casos mediante dicho acto además se perfecciona el contrato.</w:t>
      </w:r>
    </w:p>
    <w:p w14:paraId="7E3773B0" w14:textId="77777777" w:rsidR="003C7129" w:rsidRPr="00253A86" w:rsidRDefault="003C7129" w:rsidP="00253A86">
      <w:pPr>
        <w:spacing w:after="0" w:line="240" w:lineRule="auto"/>
        <w:jc w:val="both"/>
        <w:rPr>
          <w:rFonts w:ascii="Verdana" w:hAnsi="Verdana"/>
          <w:bCs/>
          <w:lang w:val="es-ES_tradnl"/>
        </w:rPr>
      </w:pPr>
    </w:p>
    <w:p w14:paraId="43C94EFA" w14:textId="77777777" w:rsidR="003C7129" w:rsidRPr="00253A86" w:rsidRDefault="003C7129" w:rsidP="00253A86">
      <w:pPr>
        <w:spacing w:after="0" w:line="240" w:lineRule="auto"/>
        <w:jc w:val="both"/>
        <w:rPr>
          <w:rFonts w:ascii="Verdana" w:hAnsi="Verdana"/>
          <w:b/>
          <w:bCs/>
          <w:lang w:val="es-MX"/>
        </w:rPr>
      </w:pPr>
      <w:r w:rsidRPr="00253A86">
        <w:rPr>
          <w:rFonts w:ascii="Verdana" w:hAnsi="Verdana"/>
          <w:b/>
          <w:bCs/>
          <w:lang w:val="es-MX"/>
        </w:rPr>
        <w:t xml:space="preserve">REVOCACIÓN DIRECTA – Acto Administrativos – Momentos </w:t>
      </w:r>
    </w:p>
    <w:p w14:paraId="1CBCF335" w14:textId="6DBD21E2" w:rsidR="003C7129" w:rsidRPr="00253A86" w:rsidRDefault="003C7129" w:rsidP="00253A86">
      <w:pPr>
        <w:spacing w:after="0" w:line="240" w:lineRule="auto"/>
        <w:jc w:val="both"/>
        <w:rPr>
          <w:rFonts w:ascii="Verdana" w:hAnsi="Verdana"/>
          <w:bCs/>
          <w:sz w:val="20"/>
          <w:lang w:val="es-MX"/>
        </w:rPr>
      </w:pPr>
    </w:p>
    <w:p w14:paraId="353B0A75" w14:textId="18D27605" w:rsidR="00253A86" w:rsidRDefault="00253A86" w:rsidP="00253A86">
      <w:pPr>
        <w:spacing w:after="0" w:line="240" w:lineRule="auto"/>
        <w:jc w:val="both"/>
        <w:rPr>
          <w:rFonts w:ascii="Verdana" w:hAnsi="Verdana"/>
          <w:bCs/>
          <w:sz w:val="20"/>
        </w:rPr>
      </w:pPr>
      <w:r w:rsidRPr="00253A86">
        <w:rPr>
          <w:rFonts w:ascii="Verdana" w:hAnsi="Verdana"/>
          <w:bCs/>
          <w:sz w:val="20"/>
          <w:lang w:val="es-ES"/>
        </w:rPr>
        <w:t xml:space="preserve">Ahora bien, en torno a la posibilidad de revocar actos administrativos diferentes al de adjudicación en los procesos de contratación, se destaca el acto de apertura, que </w:t>
      </w:r>
      <w:r w:rsidRPr="00253A86">
        <w:rPr>
          <w:rFonts w:ascii="Verdana" w:hAnsi="Verdana"/>
          <w:bCs/>
          <w:sz w:val="20"/>
        </w:rPr>
        <w:t xml:space="preserve">del proceso de licitación agota sus efectos con la adjudicación o la declaratoria de desierta del proceso, según lo previsto en el Estatuto General de Contratación. En la actualidad el Decreto 1082 de 2015, no reguló la revocatoria del acto de apertura, quedando el tema en estado de incertidumbre. </w:t>
      </w:r>
      <w:proofErr w:type="gramStart"/>
      <w:r w:rsidRPr="00253A86">
        <w:rPr>
          <w:rFonts w:ascii="Verdana" w:hAnsi="Verdana"/>
          <w:bCs/>
          <w:sz w:val="20"/>
        </w:rPr>
        <w:t>De acuerdo a</w:t>
      </w:r>
      <w:proofErr w:type="gramEnd"/>
      <w:r w:rsidRPr="00253A86">
        <w:rPr>
          <w:rFonts w:ascii="Verdana" w:hAnsi="Verdana"/>
          <w:bCs/>
          <w:sz w:val="20"/>
        </w:rPr>
        <w:t xml:space="preserve"> lo descrito, la jurisprudencia de la Sección Tercera del Consejo de Estado ha distinguido 2 momentos para efectos de examinar la posibilidad de revocar de manera unilateral el acto de apertura: </w:t>
      </w:r>
    </w:p>
    <w:p w14:paraId="5D066F43" w14:textId="77777777" w:rsidR="00253A86" w:rsidRPr="00253A86" w:rsidRDefault="00253A86" w:rsidP="00253A86">
      <w:pPr>
        <w:spacing w:after="0" w:line="240" w:lineRule="auto"/>
        <w:jc w:val="both"/>
        <w:rPr>
          <w:rFonts w:ascii="Verdana" w:hAnsi="Verdana"/>
          <w:bCs/>
          <w:sz w:val="20"/>
        </w:rPr>
      </w:pPr>
    </w:p>
    <w:p w14:paraId="350CF32F" w14:textId="7C1CC784" w:rsidR="00253A86" w:rsidRDefault="00253A86" w:rsidP="00253A86">
      <w:pPr>
        <w:spacing w:after="0" w:line="240" w:lineRule="auto"/>
        <w:jc w:val="both"/>
        <w:rPr>
          <w:rFonts w:ascii="Verdana" w:hAnsi="Verdana"/>
          <w:bCs/>
          <w:sz w:val="20"/>
        </w:rPr>
      </w:pPr>
      <w:r w:rsidRPr="00253A86">
        <w:rPr>
          <w:rFonts w:ascii="Verdana" w:hAnsi="Verdana"/>
          <w:bCs/>
          <w:sz w:val="20"/>
        </w:rPr>
        <w:t xml:space="preserve">a. El primer momento es antes de que se presenten ofertas, en el cual hay unanimidad de criterio respecto a la posibilidad de revocarlo unilateralmente, porque no se ha configurado ninguna situación particular. </w:t>
      </w:r>
    </w:p>
    <w:p w14:paraId="771EFD93" w14:textId="77777777" w:rsidR="00253A86" w:rsidRPr="00253A86" w:rsidRDefault="00253A86" w:rsidP="00253A86">
      <w:pPr>
        <w:spacing w:after="0" w:line="240" w:lineRule="auto"/>
        <w:jc w:val="both"/>
        <w:rPr>
          <w:rFonts w:ascii="Verdana" w:hAnsi="Verdana"/>
          <w:bCs/>
          <w:sz w:val="20"/>
        </w:rPr>
      </w:pPr>
    </w:p>
    <w:p w14:paraId="0BC9BDA3" w14:textId="6ECADD6B" w:rsidR="00253A86" w:rsidRPr="00253A86" w:rsidRDefault="00253A86" w:rsidP="00253A86">
      <w:pPr>
        <w:spacing w:after="0" w:line="240" w:lineRule="auto"/>
        <w:jc w:val="both"/>
        <w:rPr>
          <w:rFonts w:ascii="Verdana" w:hAnsi="Verdana"/>
          <w:bCs/>
          <w:sz w:val="20"/>
          <w:lang w:val="es-MX"/>
        </w:rPr>
      </w:pPr>
      <w:r w:rsidRPr="00253A86">
        <w:rPr>
          <w:rFonts w:ascii="Verdana" w:hAnsi="Verdana"/>
          <w:bCs/>
          <w:sz w:val="20"/>
        </w:rPr>
        <w:t xml:space="preserve">b. El segundo momento cuando se presentan las ofertas en el proceso de selección […] </w:t>
      </w:r>
    </w:p>
    <w:p w14:paraId="182F728E" w14:textId="77777777" w:rsidR="00253A86" w:rsidRPr="00253A86" w:rsidRDefault="00253A86" w:rsidP="00253A86">
      <w:pPr>
        <w:spacing w:after="0" w:line="240" w:lineRule="auto"/>
        <w:jc w:val="both"/>
        <w:rPr>
          <w:rFonts w:ascii="Verdana" w:hAnsi="Verdana"/>
          <w:b/>
          <w:bCs/>
          <w:lang w:val="es-MX"/>
        </w:rPr>
      </w:pPr>
    </w:p>
    <w:p w14:paraId="0848AE03" w14:textId="2B593412" w:rsidR="003C7129" w:rsidRPr="00253A86" w:rsidRDefault="003C7129" w:rsidP="00253A86">
      <w:pPr>
        <w:spacing w:after="0" w:line="240" w:lineRule="auto"/>
        <w:jc w:val="both"/>
        <w:rPr>
          <w:rFonts w:ascii="Verdana" w:hAnsi="Verdana"/>
          <w:b/>
          <w:bCs/>
          <w:lang w:val="es-MX"/>
        </w:rPr>
      </w:pPr>
      <w:r w:rsidRPr="00253A86">
        <w:rPr>
          <w:rFonts w:ascii="Verdana" w:hAnsi="Verdana"/>
          <w:b/>
          <w:bCs/>
          <w:lang w:val="es-MX"/>
        </w:rPr>
        <w:t xml:space="preserve">REVOCACIÓN DIRECTA – Acto de Apertura – Tesis </w:t>
      </w:r>
    </w:p>
    <w:p w14:paraId="08DD5F8E" w14:textId="77777777" w:rsidR="003C7129" w:rsidRDefault="003C7129" w:rsidP="00253A86">
      <w:pPr>
        <w:spacing w:after="0" w:line="240" w:lineRule="auto"/>
        <w:jc w:val="both"/>
        <w:rPr>
          <w:rFonts w:ascii="Verdana" w:hAnsi="Verdana"/>
          <w:bCs/>
          <w:lang w:val="es-MX"/>
        </w:rPr>
      </w:pPr>
    </w:p>
    <w:p w14:paraId="5128DD86" w14:textId="72CBF79B" w:rsidR="00253A86" w:rsidRDefault="00253A86" w:rsidP="00253A86">
      <w:pPr>
        <w:spacing w:after="0" w:line="240" w:lineRule="auto"/>
        <w:jc w:val="both"/>
        <w:rPr>
          <w:rFonts w:ascii="Verdana" w:hAnsi="Verdana"/>
          <w:bCs/>
          <w:sz w:val="20"/>
        </w:rPr>
      </w:pPr>
      <w:r w:rsidRPr="00253A86">
        <w:rPr>
          <w:rFonts w:ascii="Verdana" w:hAnsi="Verdana"/>
          <w:bCs/>
          <w:sz w:val="20"/>
        </w:rPr>
        <w:t xml:space="preserve">[…] El segundo momento cuando se presentan las ofertas en el proceso de selección, evento en el cual la jurisprudencia ha planteado las siguientes tesis: </w:t>
      </w:r>
    </w:p>
    <w:p w14:paraId="15E6D9CA" w14:textId="77777777" w:rsidR="00253A86" w:rsidRPr="00253A86" w:rsidRDefault="00253A86" w:rsidP="00253A86">
      <w:pPr>
        <w:spacing w:after="0" w:line="240" w:lineRule="auto"/>
        <w:jc w:val="both"/>
        <w:rPr>
          <w:rFonts w:ascii="Verdana" w:hAnsi="Verdana"/>
          <w:bCs/>
          <w:sz w:val="20"/>
        </w:rPr>
      </w:pPr>
    </w:p>
    <w:p w14:paraId="27C72D55" w14:textId="681B9CA5" w:rsidR="00253A86" w:rsidRDefault="00253A86" w:rsidP="00253A86">
      <w:pPr>
        <w:spacing w:after="0" w:line="240" w:lineRule="auto"/>
        <w:jc w:val="both"/>
        <w:rPr>
          <w:rFonts w:ascii="Verdana" w:hAnsi="Verdana"/>
          <w:bCs/>
          <w:sz w:val="20"/>
        </w:rPr>
      </w:pPr>
      <w:r w:rsidRPr="00253A86">
        <w:rPr>
          <w:rFonts w:ascii="Verdana" w:hAnsi="Verdana"/>
          <w:bCs/>
          <w:sz w:val="20"/>
        </w:rPr>
        <w:t xml:space="preserve">Tesis 1: </w:t>
      </w:r>
      <w:r w:rsidRPr="00253A86">
        <w:rPr>
          <w:rFonts w:ascii="Verdana" w:hAnsi="Verdana"/>
          <w:bCs/>
          <w:sz w:val="20"/>
          <w:lang w:val="es-ES"/>
        </w:rPr>
        <w:t>Antes de adjudicar un proceso de contratación, es revocable de manera unilateral el acto de apertura, siempre que concurra alguna causal prevista en el artículo 93 del CPACA, por remisión del artículo 77 de la Ley 80 de 1993</w:t>
      </w:r>
      <w:r w:rsidRPr="00253A86">
        <w:rPr>
          <w:rFonts w:ascii="Verdana" w:hAnsi="Verdana"/>
          <w:bCs/>
          <w:i/>
          <w:sz w:val="20"/>
          <w:lang w:val="es-ES"/>
        </w:rPr>
        <w:t xml:space="preserve">. </w:t>
      </w:r>
      <w:r w:rsidRPr="00253A86">
        <w:rPr>
          <w:rFonts w:ascii="Verdana" w:hAnsi="Verdana"/>
          <w:bCs/>
          <w:sz w:val="20"/>
          <w:lang w:val="es-ES"/>
        </w:rPr>
        <w:t xml:space="preserve">Sin embargo, en la </w:t>
      </w:r>
      <w:r w:rsidRPr="00253A86">
        <w:rPr>
          <w:rFonts w:ascii="Verdana" w:hAnsi="Verdana"/>
          <w:bCs/>
          <w:sz w:val="20"/>
          <w:lang w:val="es-ES"/>
        </w:rPr>
        <w:lastRenderedPageBreak/>
        <w:t>medida en que esté más avanzado el proceso de selección se irán consolidando “expectativas” jurídicas y económicas de los participantes, y en esa misma medida se incrementan los riesgos de causar daños ciertos y personales, que en caso de proferirse una revocatoria, podrán ser objeto de indemnización por parte de la administración, siempre y cuando exista prueba de su configuración.</w:t>
      </w:r>
      <w:r w:rsidRPr="00253A86">
        <w:rPr>
          <w:rFonts w:ascii="Verdana" w:hAnsi="Verdana"/>
          <w:bCs/>
          <w:sz w:val="20"/>
        </w:rPr>
        <w:t xml:space="preserve"> </w:t>
      </w:r>
    </w:p>
    <w:p w14:paraId="06555C2F" w14:textId="77777777" w:rsidR="00253A86" w:rsidRPr="00253A86" w:rsidRDefault="00253A86" w:rsidP="00253A86">
      <w:pPr>
        <w:spacing w:after="0" w:line="240" w:lineRule="auto"/>
        <w:jc w:val="both"/>
        <w:rPr>
          <w:rFonts w:ascii="Verdana" w:hAnsi="Verdana"/>
          <w:bCs/>
          <w:sz w:val="20"/>
        </w:rPr>
      </w:pPr>
    </w:p>
    <w:p w14:paraId="1F22CC94" w14:textId="54EADA47" w:rsidR="00253A86" w:rsidRDefault="00253A86" w:rsidP="00253A86">
      <w:pPr>
        <w:spacing w:after="0" w:line="240" w:lineRule="auto"/>
        <w:jc w:val="both"/>
        <w:rPr>
          <w:rFonts w:ascii="Verdana" w:hAnsi="Verdana"/>
          <w:bCs/>
          <w:sz w:val="20"/>
        </w:rPr>
      </w:pPr>
      <w:r w:rsidRPr="00253A86">
        <w:rPr>
          <w:rFonts w:ascii="Verdana" w:hAnsi="Verdana"/>
          <w:bCs/>
          <w:i/>
          <w:sz w:val="20"/>
          <w:lang w:val="es-ES"/>
        </w:rPr>
        <w:t>Tesis 2.</w:t>
      </w:r>
      <w:r w:rsidRPr="00253A86">
        <w:rPr>
          <w:rFonts w:ascii="Verdana" w:hAnsi="Verdana"/>
          <w:b/>
          <w:bCs/>
          <w:sz w:val="20"/>
          <w:lang w:val="es-ES"/>
        </w:rPr>
        <w:t xml:space="preserve"> </w:t>
      </w:r>
      <w:r w:rsidRPr="00253A86">
        <w:rPr>
          <w:rFonts w:ascii="Verdana" w:hAnsi="Verdana"/>
          <w:bCs/>
          <w:sz w:val="20"/>
          <w:lang w:val="es-ES"/>
        </w:rPr>
        <w:t>No es posible revocar unilateralmente el acto de apertura, por cuanto la administración debe iniciar la actuación y solicitar el consentimiento de quien o quienes hayan presentado ofertas dentro del plazo previsto en los pliegos de condiciones. Lo anterior por cuanto una vez los interesados presentan sus respectivas ofertas, se genera la legítima expectativa de que su propuesta sea considerada y, en ese momento, la oferta pública de la administración, contenida en el acto de apertura del proceso de selección, se particulariza y se convierte en irrevocable, salvo que haya sido obtenida por medios ilegales</w:t>
      </w:r>
      <w:r w:rsidRPr="00253A86">
        <w:rPr>
          <w:rFonts w:ascii="Verdana" w:hAnsi="Verdana"/>
          <w:bCs/>
          <w:sz w:val="20"/>
        </w:rPr>
        <w:t>.</w:t>
      </w:r>
    </w:p>
    <w:p w14:paraId="50C4C283" w14:textId="77777777" w:rsidR="00253A86" w:rsidRPr="00253A86" w:rsidRDefault="00253A86" w:rsidP="00253A86">
      <w:pPr>
        <w:spacing w:after="0" w:line="240" w:lineRule="auto"/>
        <w:jc w:val="both"/>
        <w:rPr>
          <w:rFonts w:ascii="Verdana" w:hAnsi="Verdana"/>
          <w:bCs/>
          <w:sz w:val="20"/>
        </w:rPr>
      </w:pPr>
    </w:p>
    <w:p w14:paraId="150F142C" w14:textId="37CEB612" w:rsidR="00253A86" w:rsidRPr="00253A86" w:rsidRDefault="00253A86" w:rsidP="00253A86">
      <w:pPr>
        <w:spacing w:after="0" w:line="240" w:lineRule="auto"/>
        <w:jc w:val="both"/>
        <w:rPr>
          <w:rFonts w:ascii="Verdana" w:hAnsi="Verdana"/>
          <w:bCs/>
          <w:sz w:val="20"/>
        </w:rPr>
      </w:pPr>
      <w:r w:rsidRPr="00253A86">
        <w:rPr>
          <w:rFonts w:ascii="Verdana" w:hAnsi="Verdana"/>
          <w:bCs/>
          <w:i/>
          <w:sz w:val="20"/>
          <w:lang w:val="es-ES"/>
        </w:rPr>
        <w:t>Tesis 3</w:t>
      </w:r>
      <w:r w:rsidRPr="00253A86">
        <w:rPr>
          <w:rFonts w:ascii="Verdana" w:hAnsi="Verdana"/>
          <w:bCs/>
          <w:sz w:val="20"/>
          <w:lang w:val="es-ES"/>
        </w:rPr>
        <w:t>. Una vez se han recibido las propuestas, el acto de apertura no puede ser objeto de revocatoria directa en forma unilateral por parte de la Administración, sin el consentimiento expreso del mejor proponente, toda vez que las reglas de la propia convocatoria - no es otra que la de la oferta mercantil aceptada-, la cual se concreta en el derecho a suscribir el contrato estatal, del cual se genera dos derechos, uno para los proponentes de ser evaluados y otro para aquel que tenga la mejor propuesta el cual consiste en ser seleccionado y a ejecutar el contrato estatal que le debe ser adjudicado.</w:t>
      </w:r>
      <w:r w:rsidRPr="00253A86">
        <w:rPr>
          <w:rFonts w:ascii="Verdana" w:hAnsi="Verdana"/>
          <w:bCs/>
          <w:sz w:val="20"/>
        </w:rPr>
        <w:t xml:space="preserve"> </w:t>
      </w:r>
    </w:p>
    <w:p w14:paraId="7E859D9E" w14:textId="0270770D" w:rsidR="00253A86" w:rsidRPr="00253A86" w:rsidRDefault="00253A86" w:rsidP="00253A86">
      <w:pPr>
        <w:spacing w:after="0" w:line="240" w:lineRule="auto"/>
        <w:jc w:val="both"/>
        <w:rPr>
          <w:rFonts w:ascii="Verdana" w:hAnsi="Verdana"/>
          <w:bCs/>
          <w:sz w:val="20"/>
        </w:rPr>
      </w:pPr>
      <w:r w:rsidRPr="00253A86">
        <w:rPr>
          <w:rFonts w:ascii="Verdana" w:hAnsi="Verdana"/>
          <w:bCs/>
          <w:i/>
          <w:sz w:val="20"/>
          <w:lang w:val="es-ES"/>
        </w:rPr>
        <w:t>Tesis 4</w:t>
      </w:r>
      <w:r w:rsidRPr="00253A86">
        <w:rPr>
          <w:rFonts w:ascii="Verdana" w:hAnsi="Verdana"/>
          <w:b/>
          <w:bCs/>
          <w:i/>
          <w:sz w:val="20"/>
          <w:lang w:val="es-ES"/>
        </w:rPr>
        <w:t>.</w:t>
      </w:r>
      <w:r w:rsidRPr="00253A86">
        <w:rPr>
          <w:rFonts w:ascii="Verdana" w:hAnsi="Verdana"/>
          <w:b/>
          <w:bCs/>
          <w:sz w:val="20"/>
          <w:lang w:val="es-ES"/>
        </w:rPr>
        <w:t xml:space="preserve"> </w:t>
      </w:r>
      <w:r w:rsidRPr="00253A86">
        <w:rPr>
          <w:rFonts w:ascii="Verdana" w:hAnsi="Verdana"/>
          <w:bCs/>
          <w:sz w:val="20"/>
          <w:lang w:val="es-ES"/>
        </w:rPr>
        <w:t>Se puede revocar unilateralmente el acto de apertura del proceso de selección, si se advierte la configuración de alguna de las causales y demás requisitos que dan paso a su procedencia, toda vez que al ser un acto administrativo de carácter general se torna evidente que la Administración no está condicionada a obtener el consentimiento previo y expreso de los proponentes o del mejor proponente para revocarlo; además, no se consolidan derechos a favor de los proponentes, toda vez que hasta ese momento solo existen “</w:t>
      </w:r>
      <w:r w:rsidRPr="00253A86">
        <w:rPr>
          <w:rFonts w:ascii="Verdana" w:hAnsi="Verdana"/>
          <w:bCs/>
          <w:i/>
          <w:sz w:val="20"/>
          <w:lang w:val="es-ES"/>
        </w:rPr>
        <w:t xml:space="preserve">meras expectativas” </w:t>
      </w:r>
      <w:r w:rsidRPr="00253A86">
        <w:rPr>
          <w:rFonts w:ascii="Verdana" w:hAnsi="Verdana"/>
          <w:bCs/>
          <w:sz w:val="20"/>
          <w:lang w:val="es-ES"/>
        </w:rPr>
        <w:t xml:space="preserve">y, en algunas circunstancias, </w:t>
      </w:r>
      <w:r w:rsidRPr="00253A86">
        <w:rPr>
          <w:rFonts w:ascii="Verdana" w:hAnsi="Verdana"/>
          <w:bCs/>
          <w:i/>
          <w:sz w:val="20"/>
          <w:lang w:val="es-ES"/>
        </w:rPr>
        <w:t xml:space="preserve">expectativas legítimas </w:t>
      </w:r>
      <w:r w:rsidRPr="00253A86">
        <w:rPr>
          <w:rFonts w:ascii="Verdana" w:hAnsi="Verdana"/>
          <w:bCs/>
          <w:sz w:val="20"/>
          <w:lang w:val="es-ES"/>
        </w:rPr>
        <w:t>a favor de algún participante; conceptos jurídicos que alinderan tanto la existencia y alcance de un eventual derecho o expectativa, y el punto límite de proyección del atributo de la revocatoria del acto administrativo.</w:t>
      </w:r>
    </w:p>
    <w:p w14:paraId="4D2D47AA" w14:textId="77777777" w:rsidR="003C7129" w:rsidRPr="00253A86" w:rsidRDefault="003C7129" w:rsidP="00253A86">
      <w:pPr>
        <w:spacing w:after="0" w:line="240" w:lineRule="auto"/>
        <w:jc w:val="both"/>
        <w:rPr>
          <w:rFonts w:ascii="Verdana" w:hAnsi="Verdana"/>
          <w:b/>
          <w:bCs/>
        </w:rPr>
      </w:pPr>
    </w:p>
    <w:p w14:paraId="0ADDEDE1" w14:textId="77777777" w:rsidR="00253A86" w:rsidRPr="00253A86" w:rsidRDefault="003C7129" w:rsidP="00253A86">
      <w:pPr>
        <w:spacing w:after="0" w:line="240" w:lineRule="auto"/>
        <w:jc w:val="both"/>
        <w:rPr>
          <w:rFonts w:ascii="Verdana" w:hAnsi="Verdana"/>
          <w:b/>
          <w:bCs/>
          <w:lang w:val="es-MX"/>
        </w:rPr>
      </w:pPr>
      <w:r w:rsidRPr="00253A86">
        <w:rPr>
          <w:rFonts w:ascii="Verdana" w:hAnsi="Verdana"/>
          <w:b/>
          <w:bCs/>
          <w:lang w:val="es-MX"/>
        </w:rPr>
        <w:t>REVOCA</w:t>
      </w:r>
      <w:r w:rsidR="00253A86" w:rsidRPr="00253A86">
        <w:rPr>
          <w:rFonts w:ascii="Verdana" w:hAnsi="Verdana"/>
          <w:b/>
          <w:bCs/>
          <w:lang w:val="es-MX"/>
        </w:rPr>
        <w:t xml:space="preserve">CIÓN DIRECTA – Mínima Cuantía </w:t>
      </w:r>
    </w:p>
    <w:p w14:paraId="3E13EBAF" w14:textId="77777777" w:rsidR="00253A86" w:rsidRDefault="00253A86" w:rsidP="00253A86">
      <w:pPr>
        <w:spacing w:after="0" w:line="240" w:lineRule="auto"/>
        <w:jc w:val="both"/>
        <w:rPr>
          <w:rFonts w:ascii="Verdana" w:hAnsi="Verdana"/>
          <w:bCs/>
          <w:lang w:val="es-MX"/>
        </w:rPr>
      </w:pPr>
    </w:p>
    <w:p w14:paraId="02EF34BE" w14:textId="77777777" w:rsidR="00253A86" w:rsidRPr="00253A86" w:rsidRDefault="00253A86" w:rsidP="00253A86">
      <w:pPr>
        <w:spacing w:after="0" w:line="240" w:lineRule="auto"/>
        <w:jc w:val="both"/>
        <w:rPr>
          <w:rFonts w:ascii="Verdana" w:hAnsi="Verdana"/>
          <w:bCs/>
          <w:sz w:val="20"/>
          <w:lang w:val="es-ES"/>
        </w:rPr>
      </w:pPr>
      <w:r w:rsidRPr="00253A86">
        <w:rPr>
          <w:rFonts w:ascii="Verdana" w:hAnsi="Verdana"/>
          <w:bCs/>
          <w:sz w:val="20"/>
        </w:rPr>
        <w:t xml:space="preserve">De esta manera, puede afirmarse que la invitación pública como un acto administrativo general que establece las condiciones del proceso de contratación puede revocarse, asumiendo </w:t>
      </w:r>
      <w:r w:rsidRPr="00253A86">
        <w:rPr>
          <w:rFonts w:ascii="Verdana" w:hAnsi="Verdana"/>
          <w:bCs/>
          <w:sz w:val="20"/>
          <w:lang w:val="es-ES"/>
        </w:rPr>
        <w:t xml:space="preserve">que la presentación de las propuestas e incluso la publicación del informe de evaluación no transforma el carácter general que ostenta la invitación pública del 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 de ello presenta la propuesta. Por tanto, la revocabilidad procede por cuanto es primordial y tiene preferencia la constatación del interés de la </w:t>
      </w:r>
      <w:r w:rsidRPr="00253A86">
        <w:rPr>
          <w:rFonts w:ascii="Verdana" w:hAnsi="Verdana"/>
          <w:bCs/>
          <w:sz w:val="20"/>
          <w:lang w:val="es-ES"/>
        </w:rPr>
        <w:lastRenderedPageBreak/>
        <w:t>contratación, que no es otro que la garantía de las necesidades públicas frente a las expectativas negociales que nacieron respecto de los proponentes.</w:t>
      </w:r>
    </w:p>
    <w:p w14:paraId="470A0F38" w14:textId="77777777" w:rsidR="00253A86" w:rsidRPr="00253A86" w:rsidRDefault="00253A86" w:rsidP="00253A86">
      <w:pPr>
        <w:spacing w:after="0" w:line="240" w:lineRule="auto"/>
        <w:jc w:val="both"/>
        <w:rPr>
          <w:rFonts w:ascii="Verdana" w:hAnsi="Verdana"/>
          <w:bCs/>
          <w:lang w:val="es-ES"/>
        </w:rPr>
      </w:pPr>
    </w:p>
    <w:p w14:paraId="5CDE966A" w14:textId="1BAC962D" w:rsidR="003C7129" w:rsidRPr="00253A86" w:rsidRDefault="003C7129" w:rsidP="00253A86">
      <w:pPr>
        <w:spacing w:after="0" w:line="240" w:lineRule="auto"/>
        <w:jc w:val="both"/>
        <w:rPr>
          <w:rFonts w:ascii="Verdana" w:hAnsi="Verdana"/>
          <w:b/>
          <w:bCs/>
          <w:lang w:val="es-MX"/>
        </w:rPr>
      </w:pPr>
      <w:r w:rsidRPr="00253A86">
        <w:rPr>
          <w:rFonts w:ascii="Verdana" w:hAnsi="Verdana"/>
          <w:b/>
          <w:bCs/>
          <w:lang w:val="es-MX"/>
        </w:rPr>
        <w:t xml:space="preserve">IRREVOCABILIDAD – Comunicación de Aceptación. </w:t>
      </w:r>
    </w:p>
    <w:p w14:paraId="096FC65E" w14:textId="77777777" w:rsidR="003C7129" w:rsidRPr="003C7129" w:rsidRDefault="003C7129" w:rsidP="00253A86">
      <w:pPr>
        <w:spacing w:after="0" w:line="240" w:lineRule="auto"/>
        <w:jc w:val="both"/>
        <w:rPr>
          <w:rFonts w:ascii="Verdana" w:hAnsi="Verdana"/>
          <w:lang w:val="es-MX"/>
        </w:rPr>
      </w:pPr>
    </w:p>
    <w:p w14:paraId="41C28580" w14:textId="1B0175B3" w:rsidR="00253A86" w:rsidRDefault="00253A86" w:rsidP="00253A86">
      <w:pPr>
        <w:spacing w:after="0" w:line="240" w:lineRule="auto"/>
        <w:jc w:val="both"/>
        <w:rPr>
          <w:rFonts w:ascii="Verdana" w:hAnsi="Verdana"/>
          <w:bCs/>
          <w:sz w:val="20"/>
        </w:rPr>
      </w:pPr>
      <w:r w:rsidRPr="00253A86">
        <w:rPr>
          <w:rFonts w:ascii="Verdana" w:hAnsi="Verdana"/>
          <w:bCs/>
          <w:sz w:val="20"/>
          <w:lang w:val="es-ES"/>
        </w:rPr>
        <w:t xml:space="preserve">Si bien, </w:t>
      </w:r>
      <w:proofErr w:type="spellStart"/>
      <w:r w:rsidRPr="00253A86">
        <w:rPr>
          <w:rFonts w:ascii="Verdana" w:hAnsi="Verdana"/>
          <w:bCs/>
          <w:sz w:val="20"/>
        </w:rPr>
        <w:t>como</w:t>
      </w:r>
      <w:proofErr w:type="spellEnd"/>
      <w:r w:rsidRPr="00253A86">
        <w:rPr>
          <w:rFonts w:ascii="Verdana" w:hAnsi="Verdana"/>
          <w:bCs/>
          <w:sz w:val="20"/>
        </w:rPr>
        <w:t xml:space="preserve"> se argumenta, podría considerarse jurídicamente viable la revocación de un proceso de mínima cuantía, es importante establecer el alcance de tal posibilidad, en el escenario en el que se haya comunicado la aceptación de la oferta al oferente por parte de la Entidad Estatal. Esto comoquiera, si bien el proceso de mínima cuantía no existe un acto administrativo de adjudicación en estricto sentido, si existe de manera material. Además, es importante indicar que, en atención a lo dispuesto en el numeral 9 del art. 2.2.1.2.1.5.2, la comunicación de aceptación, así como la oferta son elementos que configuran la celebración del contrato. </w:t>
      </w:r>
    </w:p>
    <w:p w14:paraId="220D045C" w14:textId="77777777" w:rsidR="00253A86" w:rsidRPr="00253A86" w:rsidRDefault="00253A86" w:rsidP="00253A86">
      <w:pPr>
        <w:spacing w:after="0" w:line="240" w:lineRule="auto"/>
        <w:jc w:val="both"/>
        <w:rPr>
          <w:rFonts w:ascii="Verdana" w:hAnsi="Verdana"/>
          <w:bCs/>
          <w:sz w:val="20"/>
        </w:rPr>
      </w:pPr>
    </w:p>
    <w:p w14:paraId="5E8846AE" w14:textId="77777777" w:rsidR="00253A86" w:rsidRPr="00253A86" w:rsidRDefault="00253A86" w:rsidP="00253A86">
      <w:pPr>
        <w:spacing w:after="0" w:line="240" w:lineRule="auto"/>
        <w:jc w:val="both"/>
        <w:rPr>
          <w:rFonts w:ascii="Verdana" w:hAnsi="Verdana"/>
          <w:sz w:val="20"/>
          <w:lang w:val="es-ES_tradnl"/>
        </w:rPr>
      </w:pPr>
      <w:r w:rsidRPr="00253A86">
        <w:rPr>
          <w:rFonts w:ascii="Verdana" w:hAnsi="Verdana"/>
          <w:bCs/>
          <w:sz w:val="20"/>
        </w:rPr>
        <w:t xml:space="preserve">En ese sentido, no es posible que se revoque un proceso de mínima cuantía en el que ya se ha comunicado la aceptación de la oferta por algún vicio, en el entendido que ya se perfeccionó el contrato, pues hacerlo significaría: i) desconocimiento de la regla de irrevocabilidad de la adjudicación del artículo 9 de la Ley 1150 de 2007; e </w:t>
      </w:r>
      <w:proofErr w:type="spellStart"/>
      <w:r w:rsidRPr="00253A86">
        <w:rPr>
          <w:rFonts w:ascii="Verdana" w:hAnsi="Verdana"/>
          <w:bCs/>
          <w:sz w:val="20"/>
        </w:rPr>
        <w:t>ii</w:t>
      </w:r>
      <w:proofErr w:type="spellEnd"/>
      <w:r w:rsidRPr="00253A86">
        <w:rPr>
          <w:rFonts w:ascii="Verdana" w:hAnsi="Verdana"/>
          <w:bCs/>
          <w:sz w:val="20"/>
        </w:rPr>
        <w:t>) incumplimiento del contrato por parte de la entidad estatal. Ante un vicio del contrato derivado del proceso de mínima cuantía s</w:t>
      </w:r>
      <w:proofErr w:type="spellStart"/>
      <w:r w:rsidRPr="00253A86">
        <w:rPr>
          <w:rFonts w:ascii="Verdana" w:hAnsi="Verdana"/>
          <w:sz w:val="20"/>
          <w:lang w:val="es-ES_tradnl"/>
        </w:rPr>
        <w:t>e</w:t>
      </w:r>
      <w:proofErr w:type="spellEnd"/>
      <w:r w:rsidRPr="00253A86">
        <w:rPr>
          <w:rFonts w:ascii="Verdana" w:hAnsi="Verdana"/>
          <w:sz w:val="20"/>
          <w:lang w:val="es-ES_tradnl"/>
        </w:rPr>
        <w:t xml:space="preserve"> precisa que la entidad estatal debe revisar si el contrato estatal está viciado de nulidad absoluta, </w:t>
      </w:r>
      <w:proofErr w:type="gramStart"/>
      <w:r w:rsidRPr="00253A86">
        <w:rPr>
          <w:rFonts w:ascii="Verdana" w:hAnsi="Verdana"/>
          <w:sz w:val="20"/>
          <w:lang w:val="es-ES_tradnl"/>
        </w:rPr>
        <w:t>de acuerdo a</w:t>
      </w:r>
      <w:proofErr w:type="gramEnd"/>
      <w:r w:rsidRPr="00253A86">
        <w:rPr>
          <w:rFonts w:ascii="Verdana" w:hAnsi="Verdana"/>
          <w:sz w:val="20"/>
          <w:lang w:val="es-ES_tradnl"/>
        </w:rPr>
        <w:t xml:space="preserve"> las causales prescritas en la Ley 80 y en las normas civiles o comerciales, o en su defecto, la nulidad relativa, teniendo en cuenta las causales y vicios dispuestas en el derecho común, las cuales pueden sanearse según lo prescrito en la Ley 80. </w:t>
      </w:r>
    </w:p>
    <w:p w14:paraId="7A7CA9B4" w14:textId="5B7F5F62" w:rsidR="003C7129" w:rsidRDefault="003C7129" w:rsidP="00960C09">
      <w:pPr>
        <w:spacing w:after="0"/>
        <w:rPr>
          <w:rFonts w:ascii="Verdana" w:hAnsi="Verdana"/>
          <w:lang w:val="es-ES_tradnl"/>
        </w:rPr>
      </w:pPr>
    </w:p>
    <w:p w14:paraId="407B1283" w14:textId="20E5EF03" w:rsidR="00253A86" w:rsidRDefault="00253A86" w:rsidP="00960C09">
      <w:pPr>
        <w:spacing w:after="0"/>
        <w:rPr>
          <w:rFonts w:ascii="Verdana" w:hAnsi="Verdana"/>
          <w:lang w:val="es-ES_tradnl"/>
        </w:rPr>
      </w:pPr>
    </w:p>
    <w:p w14:paraId="300EFE96" w14:textId="387CE70A" w:rsidR="00253A86" w:rsidRDefault="00253A86" w:rsidP="00960C09">
      <w:pPr>
        <w:spacing w:after="0"/>
        <w:rPr>
          <w:rFonts w:ascii="Verdana" w:hAnsi="Verdana"/>
          <w:lang w:val="es-ES_tradnl"/>
        </w:rPr>
      </w:pPr>
    </w:p>
    <w:p w14:paraId="2AB84825" w14:textId="4B548245" w:rsidR="00253A86" w:rsidRDefault="00253A86" w:rsidP="00960C09">
      <w:pPr>
        <w:spacing w:after="0"/>
        <w:rPr>
          <w:rFonts w:ascii="Verdana" w:hAnsi="Verdana"/>
          <w:lang w:val="es-ES_tradnl"/>
        </w:rPr>
      </w:pPr>
    </w:p>
    <w:p w14:paraId="04165EEC" w14:textId="0F4EED54" w:rsidR="00253A86" w:rsidRDefault="00253A86" w:rsidP="00960C09">
      <w:pPr>
        <w:spacing w:after="0"/>
        <w:rPr>
          <w:rFonts w:ascii="Verdana" w:hAnsi="Verdana"/>
          <w:lang w:val="es-ES_tradnl"/>
        </w:rPr>
      </w:pPr>
    </w:p>
    <w:p w14:paraId="61F361F1" w14:textId="1C214C0C" w:rsidR="00253A86" w:rsidRDefault="00253A86" w:rsidP="00960C09">
      <w:pPr>
        <w:spacing w:after="0"/>
        <w:rPr>
          <w:rFonts w:ascii="Verdana" w:hAnsi="Verdana"/>
          <w:lang w:val="es-ES_tradnl"/>
        </w:rPr>
      </w:pPr>
    </w:p>
    <w:p w14:paraId="446F20EE" w14:textId="1417D1FB" w:rsidR="00253A86" w:rsidRDefault="00253A86" w:rsidP="00960C09">
      <w:pPr>
        <w:spacing w:after="0"/>
        <w:rPr>
          <w:rFonts w:ascii="Verdana" w:hAnsi="Verdana"/>
          <w:lang w:val="es-ES_tradnl"/>
        </w:rPr>
      </w:pPr>
    </w:p>
    <w:p w14:paraId="70DF4F91" w14:textId="1EC15E65" w:rsidR="00253A86" w:rsidRDefault="00253A86" w:rsidP="00960C09">
      <w:pPr>
        <w:spacing w:after="0"/>
        <w:rPr>
          <w:rFonts w:ascii="Verdana" w:hAnsi="Verdana"/>
          <w:lang w:val="es-ES_tradnl"/>
        </w:rPr>
      </w:pPr>
    </w:p>
    <w:p w14:paraId="7B4F17D0" w14:textId="4D636605" w:rsidR="00253A86" w:rsidRDefault="00253A86" w:rsidP="00960C09">
      <w:pPr>
        <w:spacing w:after="0"/>
        <w:rPr>
          <w:rFonts w:ascii="Verdana" w:hAnsi="Verdana"/>
          <w:lang w:val="es-ES_tradnl"/>
        </w:rPr>
      </w:pPr>
    </w:p>
    <w:p w14:paraId="794DBA89" w14:textId="6FE2C6A8" w:rsidR="00253A86" w:rsidRDefault="00253A86" w:rsidP="00960C09">
      <w:pPr>
        <w:spacing w:after="0"/>
        <w:rPr>
          <w:rFonts w:ascii="Verdana" w:hAnsi="Verdana"/>
          <w:lang w:val="es-ES_tradnl"/>
        </w:rPr>
      </w:pPr>
    </w:p>
    <w:p w14:paraId="69EC196F" w14:textId="578DCEA8" w:rsidR="00253A86" w:rsidRDefault="00253A86" w:rsidP="00960C09">
      <w:pPr>
        <w:spacing w:after="0"/>
        <w:rPr>
          <w:rFonts w:ascii="Verdana" w:hAnsi="Verdana"/>
          <w:lang w:val="es-ES_tradnl"/>
        </w:rPr>
      </w:pPr>
    </w:p>
    <w:p w14:paraId="763DF5F8" w14:textId="5A33E87F" w:rsidR="00253A86" w:rsidRDefault="00253A86" w:rsidP="00960C09">
      <w:pPr>
        <w:spacing w:after="0"/>
        <w:rPr>
          <w:rFonts w:ascii="Verdana" w:hAnsi="Verdana"/>
          <w:lang w:val="es-ES_tradnl"/>
        </w:rPr>
      </w:pPr>
    </w:p>
    <w:p w14:paraId="146B46C0" w14:textId="377D09C9" w:rsidR="00253A86" w:rsidRDefault="00253A86" w:rsidP="00960C09">
      <w:pPr>
        <w:spacing w:after="0"/>
        <w:rPr>
          <w:rFonts w:ascii="Verdana" w:hAnsi="Verdana"/>
          <w:lang w:val="es-ES_tradnl"/>
        </w:rPr>
      </w:pPr>
    </w:p>
    <w:p w14:paraId="52ED4234" w14:textId="47E017B6" w:rsidR="00253A86" w:rsidRDefault="00253A86" w:rsidP="00960C09">
      <w:pPr>
        <w:spacing w:after="0"/>
        <w:rPr>
          <w:rFonts w:ascii="Verdana" w:hAnsi="Verdana"/>
          <w:lang w:val="es-ES_tradnl"/>
        </w:rPr>
      </w:pPr>
    </w:p>
    <w:p w14:paraId="7AFA74F5" w14:textId="5D390A45" w:rsidR="00253A86" w:rsidRDefault="00253A86" w:rsidP="00960C09">
      <w:pPr>
        <w:spacing w:after="0"/>
        <w:rPr>
          <w:rFonts w:ascii="Verdana" w:hAnsi="Verdana"/>
          <w:lang w:val="es-ES_tradnl"/>
        </w:rPr>
      </w:pPr>
    </w:p>
    <w:p w14:paraId="704BF05A" w14:textId="34190D9C" w:rsidR="00253A86" w:rsidRDefault="00253A86" w:rsidP="00960C09">
      <w:pPr>
        <w:spacing w:after="0"/>
        <w:rPr>
          <w:rFonts w:ascii="Verdana" w:hAnsi="Verdana"/>
          <w:lang w:val="es-ES_tradnl"/>
        </w:rPr>
      </w:pPr>
    </w:p>
    <w:p w14:paraId="402BDD68" w14:textId="77777777" w:rsidR="00253A86" w:rsidRDefault="00253A86" w:rsidP="00960C09">
      <w:pPr>
        <w:spacing w:after="0"/>
        <w:rPr>
          <w:rFonts w:ascii="Verdana" w:hAnsi="Verdana"/>
          <w:lang w:val="es-ES_tradnl"/>
        </w:rPr>
      </w:pPr>
    </w:p>
    <w:p w14:paraId="26440B4A" w14:textId="77777777" w:rsidR="00253A86" w:rsidRPr="00253A86" w:rsidRDefault="00253A86" w:rsidP="00960C09">
      <w:pPr>
        <w:spacing w:after="0"/>
        <w:rPr>
          <w:rFonts w:ascii="Verdana" w:hAnsi="Verdana"/>
          <w:lang w:val="es-ES_tradnl"/>
        </w:rPr>
      </w:pPr>
    </w:p>
    <w:p w14:paraId="79658F69" w14:textId="77777777" w:rsidR="003C7129" w:rsidRDefault="003C7129" w:rsidP="00960C09">
      <w:pPr>
        <w:spacing w:after="0"/>
        <w:rPr>
          <w:rFonts w:ascii="Verdana" w:hAnsi="Verdana"/>
        </w:rPr>
      </w:pPr>
    </w:p>
    <w:p w14:paraId="7393DB1A" w14:textId="266056E8" w:rsidR="00960C09" w:rsidRPr="0044528D" w:rsidRDefault="003C7129" w:rsidP="00960C09">
      <w:pPr>
        <w:spacing w:after="0"/>
        <w:rPr>
          <w:rFonts w:ascii="Verdana" w:hAnsi="Verdana"/>
        </w:rPr>
      </w:pPr>
      <w:r w:rsidRPr="003C7129">
        <w:rPr>
          <w:rFonts w:ascii="Verdana" w:hAnsi="Verdana"/>
          <w:noProof/>
          <w:lang w:val="en-US"/>
        </w:rPr>
        <w:lastRenderedPageBreak/>
        <w:drawing>
          <wp:anchor distT="0" distB="0" distL="114300" distR="114300" simplePos="0" relativeHeight="251658240" behindDoc="0" locked="0" layoutInCell="1" allowOverlap="1" wp14:anchorId="7C7742E0" wp14:editId="6D8A2FAB">
            <wp:simplePos x="0" y="0"/>
            <wp:positionH relativeFrom="column">
              <wp:posOffset>2825115</wp:posOffset>
            </wp:positionH>
            <wp:positionV relativeFrom="paragraph">
              <wp:posOffset>9525</wp:posOffset>
            </wp:positionV>
            <wp:extent cx="2743200" cy="759460"/>
            <wp:effectExtent l="0" t="0" r="0" b="254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759460"/>
                    </a:xfrm>
                    <a:prstGeom prst="rect">
                      <a:avLst/>
                    </a:prstGeom>
                    <a:noFill/>
                    <a:ln>
                      <a:noFill/>
                    </a:ln>
                  </pic:spPr>
                </pic:pic>
              </a:graphicData>
            </a:graphic>
          </wp:anchor>
        </w:drawing>
      </w:r>
      <w:r>
        <w:rPr>
          <w:rFonts w:ascii="Verdana" w:hAnsi="Verdana"/>
        </w:rPr>
        <w:t>Bogotá D.C., 23 de agosto de 2025</w:t>
      </w:r>
      <w:r w:rsidR="00960C09" w:rsidRPr="0044528D">
        <w:rPr>
          <w:rFonts w:ascii="Verdana" w:hAnsi="Verdana"/>
        </w:rPr>
        <w:tab/>
      </w:r>
    </w:p>
    <w:p w14:paraId="0A4973E7" w14:textId="77777777" w:rsidR="00960C09" w:rsidRPr="00624859" w:rsidRDefault="00960C09" w:rsidP="00960C09">
      <w:pPr>
        <w:spacing w:after="0" w:line="240" w:lineRule="auto"/>
        <w:rPr>
          <w:rFonts w:ascii="Verdana" w:eastAsia="Calibri" w:hAnsi="Verdana" w:cs="Arial"/>
          <w:color w:val="000000"/>
          <w:lang w:val="es-ES"/>
        </w:rPr>
      </w:pPr>
    </w:p>
    <w:p w14:paraId="3EF01758" w14:textId="77777777" w:rsidR="00960C09" w:rsidRPr="00624859" w:rsidRDefault="00960C09" w:rsidP="00960C09">
      <w:pPr>
        <w:spacing w:after="0" w:line="240" w:lineRule="auto"/>
        <w:jc w:val="both"/>
        <w:rPr>
          <w:rFonts w:ascii="Verdana" w:eastAsia="Calibri" w:hAnsi="Verdana" w:cs="Arial"/>
          <w:color w:val="000000"/>
          <w:lang w:val="es-ES"/>
        </w:rPr>
      </w:pPr>
    </w:p>
    <w:p w14:paraId="1BBC6E2D" w14:textId="77777777" w:rsidR="00960C09" w:rsidRPr="00624859" w:rsidRDefault="00960C09" w:rsidP="00960C09">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6DB7AB5" w14:textId="77777777" w:rsidR="00960C09" w:rsidRDefault="00960C09" w:rsidP="00960C09">
      <w:pPr>
        <w:spacing w:after="0" w:line="240" w:lineRule="auto"/>
        <w:rPr>
          <w:rFonts w:ascii="Verdana" w:eastAsia="Calibri" w:hAnsi="Verdana" w:cs="Arial"/>
          <w:b/>
          <w:bCs/>
          <w:color w:val="000000"/>
          <w:lang w:val="es-ES_tradnl" w:eastAsia="es-ES_tradnl"/>
        </w:rPr>
      </w:pPr>
      <w:r>
        <w:rPr>
          <w:rFonts w:ascii="Verdana" w:eastAsia="Calibri" w:hAnsi="Verdana" w:cs="Arial"/>
          <w:b/>
          <w:bCs/>
          <w:color w:val="000000"/>
          <w:lang w:val="es-ES_tradnl" w:eastAsia="es-ES_tradnl"/>
        </w:rPr>
        <w:t>Iván Darío Gutiérrez Cardozo</w:t>
      </w:r>
    </w:p>
    <w:p w14:paraId="4CFF3ABC" w14:textId="77777777" w:rsidR="00960C09" w:rsidRPr="0013448C" w:rsidRDefault="00960C09" w:rsidP="00960C09">
      <w:pPr>
        <w:spacing w:after="0" w:line="240" w:lineRule="auto"/>
        <w:rPr>
          <w:rFonts w:ascii="Verdana" w:eastAsia="Calibri" w:hAnsi="Verdana" w:cs="Arial"/>
          <w:bCs/>
          <w:color w:val="000000"/>
          <w:lang w:val="es-ES_tradnl" w:eastAsia="es-ES_tradnl"/>
        </w:rPr>
      </w:pPr>
      <w:hyperlink r:id="rId12" w:history="1">
        <w:r w:rsidRPr="0013448C">
          <w:rPr>
            <w:rStyle w:val="Hipervnculo"/>
            <w:rFonts w:ascii="Verdana" w:eastAsia="Calibri" w:hAnsi="Verdana" w:cs="Arial"/>
            <w:bCs/>
            <w:lang w:val="es-ES_tradnl" w:eastAsia="es-ES_tradnl"/>
          </w:rPr>
          <w:t>ivandariog@hotmail.com</w:t>
        </w:r>
      </w:hyperlink>
    </w:p>
    <w:p w14:paraId="767D14FC" w14:textId="77777777" w:rsidR="00960C09" w:rsidRPr="0013448C" w:rsidRDefault="00960C09" w:rsidP="00960C09">
      <w:pPr>
        <w:spacing w:after="0" w:line="240" w:lineRule="auto"/>
        <w:rPr>
          <w:rFonts w:ascii="Verdana" w:eastAsia="Calibri" w:hAnsi="Verdana" w:cs="Arial"/>
          <w:bCs/>
          <w:color w:val="000000"/>
          <w:lang w:val="es-ES_tradnl" w:eastAsia="es-ES_tradnl"/>
        </w:rPr>
      </w:pPr>
      <w:r w:rsidRPr="0013448C">
        <w:rPr>
          <w:rFonts w:ascii="Verdana" w:eastAsia="Calibri" w:hAnsi="Verdana" w:cs="Arial"/>
          <w:bCs/>
          <w:color w:val="000000"/>
          <w:lang w:val="es-ES_tradnl" w:eastAsia="es-ES_tradnl"/>
        </w:rPr>
        <w:t>Neiva, Huila</w:t>
      </w:r>
    </w:p>
    <w:p w14:paraId="379B0DD2" w14:textId="77777777" w:rsidR="00960C09" w:rsidRDefault="00960C09" w:rsidP="00960C09">
      <w:pPr>
        <w:spacing w:after="0" w:line="240" w:lineRule="auto"/>
        <w:rPr>
          <w:rFonts w:ascii="Verdana" w:eastAsia="Calibri" w:hAnsi="Verdana" w:cs="Arial"/>
          <w:b/>
          <w:bCs/>
          <w:color w:val="000000"/>
          <w:lang w:val="es-ES_tradnl" w:eastAsia="es-ES_tradnl"/>
        </w:rPr>
      </w:pPr>
    </w:p>
    <w:p w14:paraId="526DF7F2" w14:textId="77777777" w:rsidR="00960C09" w:rsidRPr="00624859" w:rsidRDefault="00960C09" w:rsidP="00960C0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60C09" w:rsidRPr="00624859" w14:paraId="56E80756" w14:textId="77777777" w:rsidTr="00700F40">
        <w:trPr>
          <w:trHeight w:val="884"/>
        </w:trPr>
        <w:tc>
          <w:tcPr>
            <w:tcW w:w="2689" w:type="dxa"/>
          </w:tcPr>
          <w:p w14:paraId="5FCDE3C4" w14:textId="77777777" w:rsidR="00960C09" w:rsidRPr="00624859" w:rsidRDefault="00960C09" w:rsidP="00700F40">
            <w:pPr>
              <w:jc w:val="both"/>
              <w:rPr>
                <w:rFonts w:ascii="Verdana" w:eastAsia="Calibri" w:hAnsi="Verdana" w:cs="Arial"/>
                <w:b/>
                <w:bCs/>
                <w:color w:val="7030A0"/>
                <w:lang w:val="es-ES_tradnl" w:eastAsia="es-ES_tradnl"/>
              </w:rPr>
            </w:pPr>
          </w:p>
        </w:tc>
        <w:tc>
          <w:tcPr>
            <w:tcW w:w="6100" w:type="dxa"/>
          </w:tcPr>
          <w:p w14:paraId="78A7C2C5" w14:textId="77777777" w:rsidR="00960C09" w:rsidRPr="00624859" w:rsidRDefault="00960C09" w:rsidP="00700F40">
            <w:pPr>
              <w:jc w:val="both"/>
              <w:rPr>
                <w:rFonts w:ascii="Verdana" w:eastAsia="Calibri" w:hAnsi="Verdana" w:cs="Arial"/>
                <w:b/>
                <w:bCs/>
                <w:color w:val="7030A0"/>
                <w:lang w:val="es-ES" w:eastAsia="es-ES"/>
              </w:rPr>
            </w:pPr>
            <w:r w:rsidRPr="00624859">
              <w:rPr>
                <w:rFonts w:ascii="Verdana" w:eastAsia="Calibri" w:hAnsi="Verdana" w:cs="Arial"/>
                <w:b/>
                <w:bCs/>
                <w:lang w:val="es-ES" w:eastAsia="es-ES"/>
              </w:rPr>
              <w:t xml:space="preserve">Concepto C – </w:t>
            </w:r>
            <w:r>
              <w:rPr>
                <w:rFonts w:ascii="Verdana" w:eastAsia="Calibri" w:hAnsi="Verdana" w:cs="Arial"/>
                <w:b/>
                <w:bCs/>
                <w:lang w:val="es-ES" w:eastAsia="es-ES"/>
              </w:rPr>
              <w:t>945</w:t>
            </w:r>
            <w:r w:rsidRPr="00624859">
              <w:rPr>
                <w:rFonts w:ascii="Verdana" w:eastAsia="Calibri" w:hAnsi="Verdana" w:cs="Arial"/>
                <w:b/>
                <w:bCs/>
                <w:lang w:val="es-ES" w:eastAsia="es-ES"/>
              </w:rPr>
              <w:t xml:space="preserve"> de 2025</w:t>
            </w:r>
          </w:p>
        </w:tc>
      </w:tr>
      <w:tr w:rsidR="00960C09" w:rsidRPr="00593A5F" w14:paraId="1F36CFF0" w14:textId="77777777" w:rsidTr="00700F40">
        <w:trPr>
          <w:trHeight w:val="884"/>
        </w:trPr>
        <w:tc>
          <w:tcPr>
            <w:tcW w:w="2689" w:type="dxa"/>
          </w:tcPr>
          <w:p w14:paraId="1E6E4D2E" w14:textId="77777777" w:rsidR="00960C09" w:rsidRPr="00593A5F" w:rsidRDefault="00960C09" w:rsidP="00700F4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8939683" w14:textId="77777777" w:rsidR="00960C09" w:rsidRPr="0030549B" w:rsidRDefault="00960C09" w:rsidP="00700F40">
            <w:pPr>
              <w:spacing w:line="276" w:lineRule="auto"/>
              <w:jc w:val="both"/>
              <w:rPr>
                <w:rFonts w:ascii="Verdana" w:eastAsia="Times New Roman" w:hAnsi="Verdana" w:cs="Arial"/>
                <w:bCs/>
                <w:lang w:val="es-MX" w:eastAsia="es-ES_tradnl"/>
              </w:rPr>
            </w:pPr>
            <w:r w:rsidRPr="0030549B">
              <w:rPr>
                <w:rFonts w:ascii="Verdana" w:eastAsia="Times New Roman" w:hAnsi="Verdana" w:cs="Arial"/>
                <w:bCs/>
                <w:lang w:val="es-MX" w:eastAsia="es-ES_tradnl"/>
              </w:rPr>
              <w:t>MÍNIMA CUANTÍA – Generalidades – Ley 1150 de 2007 / MÍNIMA CUANTÍA – Normas reglamentarias – Decreto 1082 de 2015 – Procedimiento / ACEPTACIÓN DE LA OFERTA – Perfeccionamiento del contrato /</w:t>
            </w:r>
            <w:r>
              <w:rPr>
                <w:rFonts w:ascii="Verdana" w:eastAsia="Times New Roman" w:hAnsi="Verdana" w:cs="Arial"/>
                <w:bCs/>
                <w:lang w:val="es-MX" w:eastAsia="es-ES_tradnl"/>
              </w:rPr>
              <w:t xml:space="preserve"> REVOCACIÓN DIRECTA – Acto Administrativos – Momentos / REVOCACIÓN DIRECTA – Acto de Apertura – Tesis / REVOCACIÓN DIRECTA – Mínima Cuantía / IRREVOCABILIDAD – Comunicación de Aceptación. </w:t>
            </w:r>
          </w:p>
          <w:p w14:paraId="2101C6EE" w14:textId="77777777" w:rsidR="00960C09" w:rsidRDefault="00960C09" w:rsidP="00700F40">
            <w:pPr>
              <w:spacing w:line="276" w:lineRule="auto"/>
              <w:jc w:val="both"/>
              <w:rPr>
                <w:rFonts w:ascii="Verdana" w:eastAsia="Calibri" w:hAnsi="Verdana" w:cs="Arial"/>
                <w:lang w:val="es-MX" w:eastAsia="es-ES"/>
              </w:rPr>
            </w:pPr>
          </w:p>
          <w:p w14:paraId="5C3959CC" w14:textId="77777777" w:rsidR="00960C09" w:rsidRPr="00593A5F" w:rsidRDefault="00960C09" w:rsidP="00700F40">
            <w:pPr>
              <w:spacing w:line="276" w:lineRule="auto"/>
              <w:jc w:val="both"/>
              <w:rPr>
                <w:rFonts w:ascii="Verdana" w:eastAsia="Calibri" w:hAnsi="Verdana" w:cs="Arial"/>
                <w:lang w:val="es-ES" w:eastAsia="es-ES"/>
              </w:rPr>
            </w:pPr>
          </w:p>
        </w:tc>
      </w:tr>
      <w:tr w:rsidR="00960C09" w:rsidRPr="00624859" w14:paraId="38E480E6" w14:textId="77777777" w:rsidTr="00700F40">
        <w:trPr>
          <w:trHeight w:val="128"/>
        </w:trPr>
        <w:tc>
          <w:tcPr>
            <w:tcW w:w="2689" w:type="dxa"/>
          </w:tcPr>
          <w:p w14:paraId="14D3E216" w14:textId="77777777" w:rsidR="00960C09" w:rsidRPr="00624859" w:rsidRDefault="00960C09" w:rsidP="00700F40">
            <w:pPr>
              <w:jc w:val="both"/>
              <w:rPr>
                <w:rFonts w:ascii="Verdana" w:eastAsia="Calibri" w:hAnsi="Verdana" w:cs="Arial"/>
                <w:b/>
                <w:lang w:val="es-ES_tradnl" w:eastAsia="es-ES_tradnl"/>
              </w:rPr>
            </w:pPr>
            <w:r w:rsidRPr="00624859">
              <w:rPr>
                <w:rFonts w:ascii="Verdana" w:eastAsia="Calibri" w:hAnsi="Verdana" w:cs="Arial"/>
                <w:b/>
                <w:lang w:val="es-ES_tradnl" w:eastAsia="es-ES_tradnl"/>
              </w:rPr>
              <w:t>Radicación:</w:t>
            </w:r>
            <w:r w:rsidRPr="00624859">
              <w:rPr>
                <w:rFonts w:ascii="Verdana" w:eastAsia="Calibri" w:hAnsi="Verdana" w:cs="Arial"/>
                <w:lang w:val="es-ES_tradnl" w:eastAsia="es-ES_tradnl"/>
              </w:rPr>
              <w:t xml:space="preserve">               </w:t>
            </w:r>
          </w:p>
        </w:tc>
        <w:tc>
          <w:tcPr>
            <w:tcW w:w="6100" w:type="dxa"/>
          </w:tcPr>
          <w:p w14:paraId="1F952CCD" w14:textId="77777777" w:rsidR="00960C09" w:rsidRPr="00624859" w:rsidRDefault="00960C09" w:rsidP="00700F40">
            <w:pPr>
              <w:spacing w:line="276" w:lineRule="auto"/>
              <w:jc w:val="both"/>
              <w:rPr>
                <w:rFonts w:ascii="Verdana" w:eastAsia="Calibri" w:hAnsi="Verdana" w:cs="Arial"/>
                <w:lang w:val="es-ES_tradnl" w:eastAsia="es-ES_tradnl"/>
              </w:rPr>
            </w:pPr>
            <w:r w:rsidRPr="00624859">
              <w:rPr>
                <w:rFonts w:ascii="Verdana" w:eastAsia="Calibri" w:hAnsi="Verdana" w:cs="Arial"/>
                <w:lang w:val="es-ES_tradnl" w:eastAsia="es-ES_tradnl"/>
              </w:rPr>
              <w:t>Respuesta a la consulta con radicado No.</w:t>
            </w:r>
            <w:r w:rsidRPr="00624859">
              <w:rPr>
                <w:rFonts w:ascii="Verdana" w:hAnsi="Verdana" w:cs="Segoe UI"/>
                <w:shd w:val="clear" w:color="auto" w:fill="FFFFFF"/>
              </w:rPr>
              <w:t xml:space="preserve"> </w:t>
            </w:r>
            <w:r w:rsidRPr="0030549B">
              <w:rPr>
                <w:rFonts w:ascii="Verdana" w:hAnsi="Verdana" w:cs="Segoe UI"/>
                <w:shd w:val="clear" w:color="auto" w:fill="FFFFFF"/>
              </w:rPr>
              <w:t>1_2025_07_14_007153</w:t>
            </w:r>
            <w:r w:rsidRPr="00624859">
              <w:rPr>
                <w:rFonts w:ascii="Verdana" w:eastAsia="Calibri" w:hAnsi="Verdana" w:cs="Arial"/>
                <w:lang w:val="es-ES_tradnl" w:eastAsia="es-ES_tradnl"/>
              </w:rPr>
              <w:t xml:space="preserve"> </w:t>
            </w:r>
          </w:p>
        </w:tc>
      </w:tr>
    </w:tbl>
    <w:p w14:paraId="3131DBE3" w14:textId="77777777" w:rsidR="00960C09" w:rsidRDefault="00960C09" w:rsidP="00960C09">
      <w:pPr>
        <w:spacing w:after="0" w:line="240" w:lineRule="auto"/>
        <w:jc w:val="both"/>
        <w:rPr>
          <w:rFonts w:ascii="Verdana" w:eastAsia="Calibri" w:hAnsi="Verdana" w:cs="Arial"/>
          <w:color w:val="000000"/>
          <w:lang w:val="es-ES_tradnl" w:eastAsia="es-ES_tradnl"/>
        </w:rPr>
      </w:pPr>
    </w:p>
    <w:p w14:paraId="60CD4F42" w14:textId="77777777" w:rsidR="00960C09" w:rsidRPr="00593A5F" w:rsidRDefault="00960C09" w:rsidP="00960C09">
      <w:pPr>
        <w:spacing w:after="0" w:line="240" w:lineRule="auto"/>
        <w:jc w:val="both"/>
        <w:rPr>
          <w:rFonts w:ascii="Verdana" w:eastAsia="Calibri" w:hAnsi="Verdana" w:cs="Arial"/>
          <w:color w:val="000000"/>
          <w:lang w:val="es-ES_tradnl" w:eastAsia="es-ES_tradnl"/>
        </w:rPr>
      </w:pPr>
    </w:p>
    <w:p w14:paraId="3F666EDE" w14:textId="77777777" w:rsidR="00960C09" w:rsidRPr="008E6AD9" w:rsidRDefault="00960C09" w:rsidP="00960C0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 Señor Gutiérrez</w:t>
      </w:r>
      <w:r w:rsidRPr="008E6AD9">
        <w:rPr>
          <w:rFonts w:ascii="Verdana" w:eastAsia="Calibri" w:hAnsi="Verdana" w:cs="Arial"/>
          <w:lang w:val="es-ES" w:eastAsia="es-ES"/>
        </w:rPr>
        <w:t xml:space="preserve">: </w:t>
      </w:r>
    </w:p>
    <w:p w14:paraId="57B816F5" w14:textId="77777777" w:rsidR="00960C09" w:rsidRDefault="00960C09" w:rsidP="00960C0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C55ACD0" w14:textId="77777777" w:rsidR="00960C09" w:rsidRPr="0013448C" w:rsidRDefault="00960C09" w:rsidP="00960C09">
      <w:pPr>
        <w:spacing w:after="120" w:line="276" w:lineRule="auto"/>
        <w:jc w:val="both"/>
        <w:rPr>
          <w:rFonts w:ascii="Verdana" w:eastAsia="Calibri" w:hAnsi="Verdana" w:cs="Arial"/>
          <w:lang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del </w:t>
      </w:r>
      <w:r>
        <w:rPr>
          <w:rFonts w:ascii="Verdana" w:eastAsia="Calibri" w:hAnsi="Verdana" w:cs="Arial"/>
          <w:lang w:val="es-ES" w:eastAsia="es-ES"/>
        </w:rPr>
        <w:t>14 de julio de 2025, en la cual pregunta</w:t>
      </w:r>
      <w:r w:rsidRPr="008E6AD9">
        <w:rPr>
          <w:rFonts w:ascii="Verdana" w:eastAsia="Calibri" w:hAnsi="Verdana" w:cs="Arial"/>
          <w:lang w:val="es-ES" w:eastAsia="es-ES"/>
        </w:rPr>
        <w:t xml:space="preserve">: </w:t>
      </w:r>
      <w:r w:rsidRPr="00D27A17">
        <w:rPr>
          <w:rFonts w:ascii="Verdana" w:eastAsia="Calibri" w:hAnsi="Verdana" w:cs="Arial"/>
          <w:i/>
          <w:iCs/>
          <w:lang w:val="es-ES" w:eastAsia="es-ES"/>
        </w:rPr>
        <w:t>“</w:t>
      </w:r>
      <w:r w:rsidRPr="00D27A17">
        <w:rPr>
          <w:rFonts w:ascii="Verdana" w:eastAsia="Calibri" w:hAnsi="Verdana" w:cs="Arial"/>
          <w:i/>
          <w:iCs/>
          <w:lang w:eastAsia="es-ES"/>
        </w:rPr>
        <w:t xml:space="preserve">En los procesos de </w:t>
      </w:r>
      <w:proofErr w:type="spellStart"/>
      <w:r w:rsidRPr="00D27A17">
        <w:rPr>
          <w:rFonts w:ascii="Verdana" w:eastAsia="Calibri" w:hAnsi="Verdana" w:cs="Arial"/>
          <w:i/>
          <w:iCs/>
          <w:lang w:eastAsia="es-ES"/>
        </w:rPr>
        <w:t>minima</w:t>
      </w:r>
      <w:proofErr w:type="spellEnd"/>
      <w:r w:rsidRPr="00D27A17">
        <w:rPr>
          <w:rFonts w:ascii="Verdana" w:eastAsia="Calibri" w:hAnsi="Verdana" w:cs="Arial"/>
          <w:i/>
          <w:iCs/>
          <w:lang w:eastAsia="es-ES"/>
        </w:rPr>
        <w:t xml:space="preserve"> </w:t>
      </w:r>
      <w:proofErr w:type="spellStart"/>
      <w:r w:rsidRPr="00D27A17">
        <w:rPr>
          <w:rFonts w:ascii="Verdana" w:eastAsia="Calibri" w:hAnsi="Verdana" w:cs="Arial"/>
          <w:i/>
          <w:iCs/>
          <w:lang w:eastAsia="es-ES"/>
        </w:rPr>
        <w:t>cuantia</w:t>
      </w:r>
      <w:proofErr w:type="spellEnd"/>
      <w:r w:rsidRPr="00D27A17">
        <w:rPr>
          <w:rFonts w:ascii="Verdana" w:eastAsia="Calibri" w:hAnsi="Verdana" w:cs="Arial"/>
          <w:i/>
          <w:iCs/>
          <w:lang w:eastAsia="es-ES"/>
        </w:rPr>
        <w:t xml:space="preserve">, al no existir actos administrativos de naturaleza particular como el de </w:t>
      </w:r>
      <w:proofErr w:type="spellStart"/>
      <w:r w:rsidRPr="00D27A17">
        <w:rPr>
          <w:rFonts w:ascii="Verdana" w:eastAsia="Calibri" w:hAnsi="Verdana" w:cs="Arial"/>
          <w:i/>
          <w:iCs/>
          <w:lang w:eastAsia="es-ES"/>
        </w:rPr>
        <w:t>adjudicacion</w:t>
      </w:r>
      <w:proofErr w:type="spellEnd"/>
      <w:r w:rsidRPr="00D27A17">
        <w:rPr>
          <w:rFonts w:ascii="Verdana" w:eastAsia="Calibri" w:hAnsi="Verdana" w:cs="Arial"/>
          <w:i/>
          <w:iCs/>
          <w:lang w:eastAsia="es-ES"/>
        </w:rPr>
        <w:t xml:space="preserve">, ante la </w:t>
      </w:r>
      <w:proofErr w:type="spellStart"/>
      <w:r w:rsidRPr="00D27A17">
        <w:rPr>
          <w:rFonts w:ascii="Verdana" w:eastAsia="Calibri" w:hAnsi="Verdana" w:cs="Arial"/>
          <w:i/>
          <w:iCs/>
          <w:lang w:eastAsia="es-ES"/>
        </w:rPr>
        <w:t>precensia</w:t>
      </w:r>
      <w:proofErr w:type="spellEnd"/>
      <w:r w:rsidRPr="00D27A17">
        <w:rPr>
          <w:rFonts w:ascii="Verdana" w:eastAsia="Calibri" w:hAnsi="Verdana" w:cs="Arial"/>
          <w:i/>
          <w:iCs/>
          <w:lang w:eastAsia="es-ES"/>
        </w:rPr>
        <w:t xml:space="preserve">  de causales de nulidad o vicios, el proceso puede ser revocado, entendiendo que el pliego de condiciones de la </w:t>
      </w:r>
      <w:proofErr w:type="spellStart"/>
      <w:r w:rsidRPr="00D27A17">
        <w:rPr>
          <w:rFonts w:ascii="Verdana" w:eastAsia="Calibri" w:hAnsi="Verdana" w:cs="Arial"/>
          <w:i/>
          <w:iCs/>
          <w:lang w:eastAsia="es-ES"/>
        </w:rPr>
        <w:t>minima</w:t>
      </w:r>
      <w:proofErr w:type="spellEnd"/>
      <w:r w:rsidRPr="00D27A17">
        <w:rPr>
          <w:rFonts w:ascii="Verdana" w:eastAsia="Calibri" w:hAnsi="Verdana" w:cs="Arial"/>
          <w:i/>
          <w:iCs/>
          <w:lang w:eastAsia="es-ES"/>
        </w:rPr>
        <w:t xml:space="preserve"> es un acto administrativo de </w:t>
      </w:r>
      <w:proofErr w:type="spellStart"/>
      <w:r w:rsidRPr="00D27A17">
        <w:rPr>
          <w:rFonts w:ascii="Verdana" w:eastAsia="Calibri" w:hAnsi="Verdana" w:cs="Arial"/>
          <w:i/>
          <w:iCs/>
          <w:lang w:eastAsia="es-ES"/>
        </w:rPr>
        <w:t>caracter</w:t>
      </w:r>
      <w:proofErr w:type="spellEnd"/>
      <w:r w:rsidRPr="00D27A17">
        <w:rPr>
          <w:rFonts w:ascii="Verdana" w:eastAsia="Calibri" w:hAnsi="Verdana" w:cs="Arial"/>
          <w:i/>
          <w:iCs/>
          <w:lang w:eastAsia="es-ES"/>
        </w:rPr>
        <w:t xml:space="preserve"> general”</w:t>
      </w:r>
      <w:r w:rsidRPr="003E7B81">
        <w:rPr>
          <w:rFonts w:ascii="Verdana" w:eastAsia="Calibri" w:hAnsi="Verdana" w:cs="Arial"/>
          <w:i/>
          <w:iCs/>
          <w:lang w:eastAsia="es-ES"/>
        </w:rPr>
        <w:t xml:space="preserve"> </w:t>
      </w:r>
      <w:r w:rsidRPr="00D27A17">
        <w:rPr>
          <w:rFonts w:ascii="Verdana" w:eastAsia="Calibri" w:hAnsi="Verdana" w:cs="Arial"/>
          <w:i/>
          <w:iCs/>
          <w:lang w:eastAsia="es-ES"/>
        </w:rPr>
        <w:t>(sic)</w:t>
      </w:r>
      <w:r>
        <w:rPr>
          <w:rFonts w:ascii="Verdana" w:eastAsia="Calibri" w:hAnsi="Verdana" w:cs="Arial"/>
          <w:lang w:eastAsia="es-ES"/>
        </w:rPr>
        <w:t xml:space="preserve">. </w:t>
      </w:r>
    </w:p>
    <w:p w14:paraId="0DD3926A" w14:textId="77777777" w:rsidR="00960C09" w:rsidRPr="00A652FF" w:rsidRDefault="00960C09" w:rsidP="00960C0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8A4A0BD" w14:textId="77777777" w:rsidR="00960C09" w:rsidRPr="00A32373" w:rsidRDefault="00960C09" w:rsidP="00960C09">
      <w:pPr>
        <w:spacing w:after="120" w:line="276" w:lineRule="auto"/>
        <w:ind w:firstLine="708"/>
        <w:jc w:val="both"/>
        <w:rPr>
          <w:rFonts w:ascii="Verdana" w:eastAsia="Calibri" w:hAnsi="Verdana" w:cs="Times New Roman"/>
          <w:lang w:val="es-ES"/>
        </w:rPr>
      </w:pPr>
      <w:r w:rsidRPr="00A32373">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EB716ED" w14:textId="77777777" w:rsidR="00960C09" w:rsidRPr="00593A5F" w:rsidRDefault="00960C09" w:rsidP="00960C09">
      <w:pPr>
        <w:spacing w:after="0" w:line="276" w:lineRule="auto"/>
        <w:jc w:val="both"/>
        <w:rPr>
          <w:rFonts w:ascii="Verdana" w:eastAsia="Calibri" w:hAnsi="Verdana" w:cs="Arial"/>
          <w:color w:val="000000"/>
          <w:lang w:val="es-ES" w:eastAsia="es-ES"/>
        </w:rPr>
      </w:pPr>
    </w:p>
    <w:p w14:paraId="40F758A4" w14:textId="77777777" w:rsidR="00960C09" w:rsidRPr="00593A5F" w:rsidRDefault="00960C09" w:rsidP="00960C0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C105D8C" w14:textId="77777777" w:rsidR="00960C09" w:rsidRPr="00593A5F" w:rsidRDefault="00960C09" w:rsidP="00960C09">
      <w:pPr>
        <w:tabs>
          <w:tab w:val="left" w:pos="426"/>
        </w:tabs>
        <w:spacing w:after="0" w:line="276" w:lineRule="auto"/>
        <w:jc w:val="both"/>
        <w:rPr>
          <w:rFonts w:ascii="Verdana" w:eastAsia="Century Gothic" w:hAnsi="Verdana" w:cs="Century Gothic"/>
          <w:lang w:val="es-ES"/>
        </w:rPr>
      </w:pPr>
    </w:p>
    <w:p w14:paraId="4AE1B91F" w14:textId="77777777" w:rsidR="00960C09" w:rsidRPr="00593A5F" w:rsidRDefault="00960C09" w:rsidP="00960C09">
      <w:pPr>
        <w:spacing w:after="0" w:line="276" w:lineRule="auto"/>
        <w:jc w:val="both"/>
        <w:rPr>
          <w:rFonts w:ascii="Verdana" w:eastAsia="Century Gothic" w:hAnsi="Verdana" w:cs="Century Gothic"/>
        </w:rPr>
      </w:pPr>
      <w:r>
        <w:rPr>
          <w:rFonts w:ascii="Verdana" w:eastAsia="Century Gothic" w:hAnsi="Verdana" w:cs="Century Gothic"/>
        </w:rPr>
        <w:t>Conforme a</w:t>
      </w:r>
      <w:r w:rsidRPr="00906BE9">
        <w:rPr>
          <w:rFonts w:ascii="Verdana" w:eastAsia="Century Gothic" w:hAnsi="Verdana" w:cs="Century Gothic"/>
        </w:rPr>
        <w:t xml:space="preserv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¿Es procedente revocar en cualquier momento un proceso de contratación derivado de la modalidad de selección de mínima cuantía? </w:t>
      </w:r>
    </w:p>
    <w:p w14:paraId="5087BE71" w14:textId="77777777" w:rsidR="00960C09" w:rsidRPr="004B140F" w:rsidRDefault="00960C09" w:rsidP="00960C09">
      <w:pPr>
        <w:spacing w:after="0" w:line="276" w:lineRule="auto"/>
        <w:jc w:val="both"/>
        <w:rPr>
          <w:rFonts w:ascii="Verdana" w:eastAsia="Calibri" w:hAnsi="Verdana" w:cs="Arial"/>
          <w:color w:val="7030A0"/>
        </w:rPr>
      </w:pPr>
    </w:p>
    <w:p w14:paraId="02A1C946" w14:textId="77777777" w:rsidR="00960C09" w:rsidRPr="00593A5F" w:rsidRDefault="00960C09" w:rsidP="00960C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3B33C34" w14:textId="77777777" w:rsidR="00960C09" w:rsidRPr="00593A5F" w:rsidRDefault="00960C09" w:rsidP="00960C0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60C09" w:rsidRPr="00593A5F" w14:paraId="779D5F2C" w14:textId="77777777" w:rsidTr="00700F40">
        <w:trPr>
          <w:jc w:val="center"/>
        </w:trPr>
        <w:tc>
          <w:tcPr>
            <w:tcW w:w="8828" w:type="dxa"/>
          </w:tcPr>
          <w:p w14:paraId="5E194C17" w14:textId="77777777" w:rsidR="00960C09" w:rsidRDefault="00960C09" w:rsidP="00700F40">
            <w:pPr>
              <w:spacing w:before="120" w:after="120" w:line="276" w:lineRule="auto"/>
              <w:jc w:val="both"/>
              <w:rPr>
                <w:rFonts w:ascii="Verdana" w:eastAsia="Calibri" w:hAnsi="Verdana" w:cs="Arial"/>
                <w:bCs/>
                <w:color w:val="000000"/>
                <w:lang w:val="es-ES"/>
              </w:rPr>
            </w:pPr>
            <w:bookmarkStart w:id="1" w:name="_Hlk171694685"/>
            <w:r w:rsidRPr="002C11A2">
              <w:rPr>
                <w:rFonts w:ascii="Verdana" w:eastAsia="Arial" w:hAnsi="Verdana" w:cs="Arial"/>
                <w:lang w:val="es-ES"/>
              </w:rPr>
              <w:t xml:space="preserve">Teniendo en cuenta el problema jurídico, objeto de consulta, </w:t>
            </w:r>
            <w:r>
              <w:rPr>
                <w:rFonts w:ascii="Verdana" w:eastAsia="Calibri" w:hAnsi="Verdana" w:cs="Arial"/>
              </w:rPr>
              <w:t xml:space="preserve">puede afirmarse que la invitación pública como un acto administrativo general que establece las condiciones del proceso de contratación puede revocarse, asumiendo </w:t>
            </w:r>
            <w:r w:rsidRPr="00086A6A">
              <w:rPr>
                <w:rFonts w:ascii="Verdana" w:eastAsia="Calibri" w:hAnsi="Verdana" w:cs="Arial"/>
                <w:bCs/>
                <w:color w:val="000000"/>
                <w:lang w:val="es-ES"/>
              </w:rPr>
              <w:t xml:space="preserve">que la presentación de las propuestas e incluso la publicación del informe de evaluación no transforma el carácter general que ostenta </w:t>
            </w:r>
            <w:r>
              <w:rPr>
                <w:rFonts w:ascii="Verdana" w:eastAsia="Calibri" w:hAnsi="Verdana" w:cs="Arial"/>
                <w:bCs/>
                <w:color w:val="000000"/>
                <w:lang w:val="es-ES"/>
              </w:rPr>
              <w:t xml:space="preserve">la invitación pública del </w:t>
            </w:r>
            <w:r w:rsidRPr="00086A6A">
              <w:rPr>
                <w:rFonts w:ascii="Verdana" w:eastAsia="Calibri" w:hAnsi="Verdana" w:cs="Arial"/>
                <w:bCs/>
                <w:color w:val="000000"/>
                <w:lang w:val="es-ES"/>
              </w:rPr>
              <w:t xml:space="preserve">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w:t>
            </w:r>
            <w:r w:rsidRPr="00086A6A">
              <w:rPr>
                <w:rFonts w:ascii="Verdana" w:eastAsia="Calibri" w:hAnsi="Verdana" w:cs="Arial"/>
                <w:bCs/>
                <w:color w:val="000000"/>
                <w:lang w:val="es-ES"/>
              </w:rPr>
              <w:lastRenderedPageBreak/>
              <w:t>hagan merecedor de una determinación definitiva, y a sabiendas</w:t>
            </w:r>
            <w:r>
              <w:rPr>
                <w:rFonts w:ascii="Verdana" w:eastAsia="Calibri" w:hAnsi="Verdana" w:cs="Arial"/>
                <w:bCs/>
                <w:color w:val="000000"/>
                <w:lang w:val="es-ES"/>
              </w:rPr>
              <w:t xml:space="preserve"> de ello presenta la propuesta. Por tanto</w:t>
            </w:r>
            <w:r w:rsidRPr="00086A6A">
              <w:rPr>
                <w:rFonts w:ascii="Verdana" w:eastAsia="Calibri" w:hAnsi="Verdana" w:cs="Arial"/>
                <w:bCs/>
                <w:color w:val="000000"/>
                <w:lang w:val="es-ES"/>
              </w:rPr>
              <w:t>,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0B88FDDA" w14:textId="77777777" w:rsidR="00960C09" w:rsidRDefault="00960C09" w:rsidP="00700F40">
            <w:pPr>
              <w:spacing w:before="120" w:after="120" w:line="276" w:lineRule="auto"/>
              <w:ind w:firstLine="708"/>
              <w:jc w:val="both"/>
              <w:rPr>
                <w:rFonts w:ascii="Verdana" w:eastAsia="Calibri" w:hAnsi="Verdana" w:cs="Arial"/>
                <w:bCs/>
                <w:color w:val="000000"/>
                <w:lang w:val="es-ES"/>
              </w:rPr>
            </w:pPr>
            <w:r w:rsidRPr="00086A6A">
              <w:rPr>
                <w:rFonts w:ascii="Verdana" w:eastAsia="Calibri" w:hAnsi="Verdana" w:cs="Arial"/>
                <w:bCs/>
                <w:color w:val="000000"/>
                <w:lang w:val="es-ES"/>
              </w:rPr>
              <w:t xml:space="preserve">En ese orden de ideas las Entidades Estatales no están condicionadas a obtener el consentimiento previo y expreso de los proponentes o del mejor proponente para revocar </w:t>
            </w:r>
            <w:r>
              <w:rPr>
                <w:rFonts w:ascii="Verdana" w:eastAsia="Calibri" w:hAnsi="Verdana" w:cs="Arial"/>
                <w:bCs/>
                <w:color w:val="000000"/>
                <w:lang w:val="es-ES"/>
              </w:rPr>
              <w:t xml:space="preserve">el Proceso de Mínima Cuantía </w:t>
            </w:r>
            <w:r w:rsidRPr="00086A6A">
              <w:rPr>
                <w:rFonts w:ascii="Verdana" w:eastAsia="Calibri" w:hAnsi="Verdana" w:cs="Arial"/>
                <w:bCs/>
                <w:color w:val="000000"/>
                <w:lang w:val="es-ES"/>
              </w:rPr>
              <w:t>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w:t>
            </w:r>
            <w:r>
              <w:rPr>
                <w:rFonts w:ascii="Verdana" w:eastAsia="Calibri" w:hAnsi="Verdana" w:cs="Arial"/>
                <w:bCs/>
                <w:color w:val="000000"/>
                <w:lang w:val="es-ES"/>
              </w:rPr>
              <w:t xml:space="preserve">, </w:t>
            </w:r>
            <w:r w:rsidRPr="00086A6A">
              <w:rPr>
                <w:rFonts w:ascii="Verdana" w:eastAsia="Calibri" w:hAnsi="Verdana" w:cs="Arial"/>
                <w:bCs/>
                <w:color w:val="000000"/>
                <w:lang w:val="es-ES"/>
              </w:rPr>
              <w:t>de conformidad con los requisitos dispuestos en el artículo 97 del CPACA, haciendo prevalecer el imperio de la ley, el interés público y la protección de los derechos.</w:t>
            </w:r>
          </w:p>
          <w:p w14:paraId="217F5277" w14:textId="77777777" w:rsidR="00960C09" w:rsidRPr="009D4F8D" w:rsidRDefault="00960C09" w:rsidP="00700F40">
            <w:pPr>
              <w:spacing w:before="120" w:after="120" w:line="276" w:lineRule="auto"/>
              <w:ind w:firstLine="708"/>
              <w:jc w:val="both"/>
              <w:rPr>
                <w:rFonts w:ascii="Verdana" w:eastAsia="Calibri" w:hAnsi="Verdana" w:cs="Arial"/>
                <w:bCs/>
                <w:color w:val="000000"/>
              </w:rPr>
            </w:pPr>
            <w:r>
              <w:rPr>
                <w:rFonts w:ascii="Verdana" w:eastAsia="Calibri" w:hAnsi="Verdana" w:cs="Arial"/>
                <w:bCs/>
                <w:color w:val="000000"/>
                <w:lang w:val="es-ES"/>
              </w:rPr>
              <w:t xml:space="preserve">Si bien, </w:t>
            </w:r>
            <w:proofErr w:type="spellStart"/>
            <w:r>
              <w:rPr>
                <w:rFonts w:ascii="Verdana" w:eastAsia="Calibri" w:hAnsi="Verdana" w:cs="Arial"/>
                <w:bCs/>
                <w:color w:val="000000"/>
              </w:rPr>
              <w:t>como</w:t>
            </w:r>
            <w:proofErr w:type="spellEnd"/>
            <w:r>
              <w:rPr>
                <w:rFonts w:ascii="Verdana" w:eastAsia="Calibri" w:hAnsi="Verdana" w:cs="Arial"/>
                <w:bCs/>
                <w:color w:val="000000"/>
              </w:rPr>
              <w:t xml:space="preserve"> se argumenta, </w:t>
            </w:r>
            <w:r w:rsidRPr="009D4F8D">
              <w:rPr>
                <w:rFonts w:ascii="Verdana" w:eastAsia="Calibri" w:hAnsi="Verdana" w:cs="Arial"/>
                <w:bCs/>
                <w:color w:val="000000"/>
              </w:rPr>
              <w:t xml:space="preserve">podría considerarse jurídicamente viable la revocación de un proceso de mínima cuantía, es importante establecer el alcance de tal posibilidad, en el escenario en el que se </w:t>
            </w:r>
            <w:r>
              <w:rPr>
                <w:rFonts w:ascii="Verdana" w:eastAsia="Calibri" w:hAnsi="Verdana" w:cs="Arial"/>
                <w:bCs/>
                <w:color w:val="000000"/>
              </w:rPr>
              <w:t xml:space="preserve">haya </w:t>
            </w:r>
            <w:r w:rsidRPr="009D4F8D">
              <w:rPr>
                <w:rFonts w:ascii="Verdana" w:eastAsia="Calibri" w:hAnsi="Verdana" w:cs="Arial"/>
                <w:bCs/>
                <w:color w:val="000000"/>
              </w:rPr>
              <w:t>comunicado la aceptación de la oferta al oferente por parte de la Entidad Estatal. Esto comoquiera, si bien el proceso de mínima cuantía no existe un acto administrativo de adjudicación en estricto sentido, si existe de manera material. Además</w:t>
            </w:r>
            <w:r>
              <w:rPr>
                <w:rFonts w:ascii="Verdana" w:eastAsia="Calibri" w:hAnsi="Verdana" w:cs="Arial"/>
                <w:bCs/>
                <w:color w:val="000000"/>
              </w:rPr>
              <w:t>,</w:t>
            </w:r>
            <w:r w:rsidRPr="009D4F8D">
              <w:rPr>
                <w:rFonts w:ascii="Verdana" w:eastAsia="Calibri" w:hAnsi="Verdana" w:cs="Arial"/>
                <w:bCs/>
                <w:color w:val="000000"/>
              </w:rPr>
              <w:t xml:space="preserve"> es importante indicar que, en atención a lo dispuesto en el numeral 9 del art. 2.2.1.2.1.5.2</w:t>
            </w:r>
            <w:r>
              <w:rPr>
                <w:rFonts w:ascii="Verdana" w:eastAsia="Calibri" w:hAnsi="Verdana" w:cs="Arial"/>
                <w:bCs/>
                <w:color w:val="000000"/>
              </w:rPr>
              <w:t xml:space="preserve">, </w:t>
            </w:r>
            <w:r w:rsidRPr="009D4F8D">
              <w:rPr>
                <w:rFonts w:ascii="Verdana" w:eastAsia="Calibri" w:hAnsi="Verdana" w:cs="Arial"/>
                <w:bCs/>
                <w:color w:val="000000"/>
              </w:rPr>
              <w:t xml:space="preserve">la </w:t>
            </w:r>
            <w:r>
              <w:rPr>
                <w:rFonts w:ascii="Verdana" w:eastAsia="Calibri" w:hAnsi="Verdana" w:cs="Arial"/>
                <w:bCs/>
                <w:color w:val="000000"/>
              </w:rPr>
              <w:t xml:space="preserve">comunicación de aceptación, así como la oferta son elementos que configuran la celebración del contrato. </w:t>
            </w:r>
          </w:p>
          <w:p w14:paraId="2C8B5089" w14:textId="77777777" w:rsidR="00960C09" w:rsidRPr="009C483A" w:rsidRDefault="00960C09" w:rsidP="00700F40">
            <w:pPr>
              <w:spacing w:before="120" w:after="120" w:line="276" w:lineRule="auto"/>
              <w:ind w:firstLine="708"/>
              <w:jc w:val="both"/>
              <w:rPr>
                <w:rFonts w:ascii="Verdana" w:eastAsia="Calibri" w:hAnsi="Verdana" w:cs="Arial"/>
                <w:lang w:val="es-ES_tradnl"/>
              </w:rPr>
            </w:pPr>
            <w:r w:rsidRPr="009D4F8D">
              <w:rPr>
                <w:rFonts w:ascii="Verdana" w:eastAsia="Calibri" w:hAnsi="Verdana" w:cs="Arial"/>
                <w:bCs/>
                <w:color w:val="000000"/>
              </w:rPr>
              <w:t xml:space="preserve">En ese sentido, </w:t>
            </w:r>
            <w:r>
              <w:rPr>
                <w:rFonts w:ascii="Verdana" w:eastAsia="Calibri" w:hAnsi="Verdana" w:cs="Arial"/>
                <w:bCs/>
                <w:color w:val="000000"/>
              </w:rPr>
              <w:t xml:space="preserve">no es posible </w:t>
            </w:r>
            <w:r w:rsidRPr="009D4F8D">
              <w:rPr>
                <w:rFonts w:ascii="Verdana" w:eastAsia="Calibri" w:hAnsi="Verdana" w:cs="Arial"/>
                <w:bCs/>
                <w:color w:val="000000"/>
              </w:rPr>
              <w:t>que se revoque un proceso de mínima cuant</w:t>
            </w:r>
            <w:r>
              <w:rPr>
                <w:rFonts w:ascii="Verdana" w:eastAsia="Calibri" w:hAnsi="Verdana" w:cs="Arial"/>
                <w:bCs/>
                <w:color w:val="000000"/>
              </w:rPr>
              <w:t xml:space="preserve">ía en el que ya se ha </w:t>
            </w:r>
            <w:r w:rsidRPr="009D4F8D">
              <w:rPr>
                <w:rFonts w:ascii="Verdana" w:eastAsia="Calibri" w:hAnsi="Verdana" w:cs="Arial"/>
                <w:bCs/>
                <w:color w:val="000000"/>
              </w:rPr>
              <w:t>comunicado la aceptación de la oferta</w:t>
            </w:r>
            <w:r>
              <w:rPr>
                <w:rFonts w:ascii="Verdana" w:eastAsia="Calibri" w:hAnsi="Verdana" w:cs="Arial"/>
                <w:bCs/>
                <w:color w:val="000000"/>
              </w:rPr>
              <w:t xml:space="preserve"> por algún vicio</w:t>
            </w:r>
            <w:r w:rsidRPr="009D4F8D">
              <w:rPr>
                <w:rFonts w:ascii="Verdana" w:eastAsia="Calibri" w:hAnsi="Verdana" w:cs="Arial"/>
                <w:bCs/>
                <w:color w:val="000000"/>
              </w:rPr>
              <w:t>,</w:t>
            </w:r>
            <w:r>
              <w:rPr>
                <w:rFonts w:ascii="Verdana" w:eastAsia="Calibri" w:hAnsi="Verdana" w:cs="Arial"/>
                <w:bCs/>
                <w:color w:val="000000"/>
              </w:rPr>
              <w:t xml:space="preserve"> en el entendido que ya se perfeccionó el contrato, pues hacerlo significaría</w:t>
            </w:r>
            <w:r w:rsidRPr="009D4F8D">
              <w:rPr>
                <w:rFonts w:ascii="Verdana" w:eastAsia="Calibri" w:hAnsi="Verdana" w:cs="Arial"/>
                <w:bCs/>
                <w:color w:val="000000"/>
              </w:rPr>
              <w:t>: i) desconocimiento de la regla de irrevocabil</w:t>
            </w:r>
            <w:r>
              <w:rPr>
                <w:rFonts w:ascii="Verdana" w:eastAsia="Calibri" w:hAnsi="Verdana" w:cs="Arial"/>
                <w:bCs/>
                <w:color w:val="000000"/>
              </w:rPr>
              <w:t>idad de la adjudicación del artículo</w:t>
            </w:r>
            <w:r w:rsidRPr="009D4F8D">
              <w:rPr>
                <w:rFonts w:ascii="Verdana" w:eastAsia="Calibri" w:hAnsi="Verdana" w:cs="Arial"/>
                <w:bCs/>
                <w:color w:val="000000"/>
              </w:rPr>
              <w:t xml:space="preserve"> 9 de l</w:t>
            </w:r>
            <w:r>
              <w:rPr>
                <w:rFonts w:ascii="Verdana" w:eastAsia="Calibri" w:hAnsi="Verdana" w:cs="Arial"/>
                <w:bCs/>
                <w:color w:val="000000"/>
              </w:rPr>
              <w:t>a Ley 1150 de 2007; e</w:t>
            </w:r>
            <w:r w:rsidRPr="009D4F8D">
              <w:rPr>
                <w:rFonts w:ascii="Verdana" w:eastAsia="Calibri" w:hAnsi="Verdana" w:cs="Arial"/>
                <w:bCs/>
                <w:color w:val="000000"/>
              </w:rPr>
              <w:t xml:space="preserve"> </w:t>
            </w:r>
            <w:proofErr w:type="spellStart"/>
            <w:r w:rsidRPr="009D4F8D">
              <w:rPr>
                <w:rFonts w:ascii="Verdana" w:eastAsia="Calibri" w:hAnsi="Verdana" w:cs="Arial"/>
                <w:bCs/>
                <w:color w:val="000000"/>
              </w:rPr>
              <w:t>ii</w:t>
            </w:r>
            <w:proofErr w:type="spellEnd"/>
            <w:r w:rsidRPr="009D4F8D">
              <w:rPr>
                <w:rFonts w:ascii="Verdana" w:eastAsia="Calibri" w:hAnsi="Verdana" w:cs="Arial"/>
                <w:bCs/>
                <w:color w:val="000000"/>
              </w:rPr>
              <w:t>) incumplimiento del contrato por</w:t>
            </w:r>
            <w:r>
              <w:rPr>
                <w:rFonts w:ascii="Verdana" w:eastAsia="Calibri" w:hAnsi="Verdana" w:cs="Arial"/>
                <w:bCs/>
                <w:color w:val="000000"/>
              </w:rPr>
              <w:t xml:space="preserve"> parte de la entidad estatal. Ante un vicio del contrato derivado del proceso de mínima cuantía s</w:t>
            </w:r>
            <w:proofErr w:type="spellStart"/>
            <w:r>
              <w:rPr>
                <w:rFonts w:ascii="Verdana" w:eastAsia="Calibri" w:hAnsi="Verdana" w:cs="Arial"/>
                <w:lang w:val="es-ES_tradnl"/>
              </w:rPr>
              <w:t>e</w:t>
            </w:r>
            <w:proofErr w:type="spellEnd"/>
            <w:r>
              <w:rPr>
                <w:rFonts w:ascii="Verdana" w:eastAsia="Calibri" w:hAnsi="Verdana" w:cs="Arial"/>
                <w:lang w:val="es-ES_tradnl"/>
              </w:rPr>
              <w:t xml:space="preserve"> precisa que la entidad estatal debe revisar si el contrato estatal está viciado de nulidad absoluta, </w:t>
            </w:r>
            <w:proofErr w:type="gramStart"/>
            <w:r>
              <w:rPr>
                <w:rFonts w:ascii="Verdana" w:eastAsia="Calibri" w:hAnsi="Verdana" w:cs="Arial"/>
                <w:lang w:val="es-ES_tradnl"/>
              </w:rPr>
              <w:t>de acuerdo a</w:t>
            </w:r>
            <w:proofErr w:type="gramEnd"/>
            <w:r>
              <w:rPr>
                <w:rFonts w:ascii="Verdana" w:eastAsia="Calibri" w:hAnsi="Verdana" w:cs="Arial"/>
                <w:lang w:val="es-ES_tradnl"/>
              </w:rPr>
              <w:t xml:space="preserve"> las causales prescritas en la Ley 80 y en las normas civiles o comerciales, o en su defecto, la nulidad relativa, teniendo en cuenta las causales y vicios dispuestas en el derecho común, las cuales pueden sanearse según lo prescrito en la Ley 80. </w:t>
            </w:r>
          </w:p>
        </w:tc>
      </w:tr>
    </w:tbl>
    <w:p w14:paraId="6B591F28" w14:textId="77777777" w:rsidR="00960C09" w:rsidRPr="009E53E7" w:rsidRDefault="00960C09" w:rsidP="00960C09">
      <w:pPr>
        <w:tabs>
          <w:tab w:val="left" w:pos="142"/>
          <w:tab w:val="left" w:pos="284"/>
        </w:tabs>
        <w:spacing w:after="0" w:line="276" w:lineRule="auto"/>
        <w:jc w:val="both"/>
        <w:rPr>
          <w:rFonts w:ascii="Verdana" w:eastAsia="Century Gothic" w:hAnsi="Verdana" w:cs="Century Gothic"/>
          <w:b/>
          <w:bCs/>
        </w:rPr>
      </w:pPr>
    </w:p>
    <w:bookmarkEnd w:id="1"/>
    <w:p w14:paraId="550D2B41" w14:textId="77777777" w:rsidR="00960C09" w:rsidRPr="00593A5F" w:rsidRDefault="00960C09" w:rsidP="00960C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754141D7" w14:textId="77777777" w:rsidR="00960C09" w:rsidRPr="00593A5F" w:rsidRDefault="00960C09" w:rsidP="00960C09">
      <w:pPr>
        <w:spacing w:after="0" w:line="276" w:lineRule="auto"/>
        <w:jc w:val="both"/>
        <w:rPr>
          <w:rFonts w:ascii="Verdana" w:eastAsia="Calibri" w:hAnsi="Verdana" w:cs="Arial"/>
          <w:color w:val="7030A0"/>
          <w:lang w:val="es-ES"/>
        </w:rPr>
      </w:pPr>
    </w:p>
    <w:p w14:paraId="6387BE27" w14:textId="77777777" w:rsidR="00960C09" w:rsidRDefault="00960C09" w:rsidP="00960C0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996D17B" w14:textId="77777777" w:rsidR="00960C09" w:rsidRDefault="00960C09" w:rsidP="00960C09">
      <w:pPr>
        <w:spacing w:after="0" w:line="276" w:lineRule="auto"/>
        <w:jc w:val="both"/>
        <w:rPr>
          <w:rFonts w:ascii="Verdana" w:eastAsia="Calibri" w:hAnsi="Verdana" w:cs="Arial"/>
          <w:lang w:val="es-ES"/>
        </w:rPr>
      </w:pPr>
    </w:p>
    <w:p w14:paraId="59EF4A6D" w14:textId="77777777" w:rsidR="00960C09" w:rsidRPr="0030549B" w:rsidRDefault="00960C09" w:rsidP="00960C09">
      <w:pPr>
        <w:spacing w:after="120" w:line="276" w:lineRule="auto"/>
        <w:jc w:val="both"/>
        <w:rPr>
          <w:rFonts w:ascii="Verdana" w:eastAsia="Calibri" w:hAnsi="Verdana" w:cs="Arial"/>
          <w:lang w:val="es-ES_tradnl"/>
        </w:rPr>
      </w:pPr>
      <w:bookmarkStart w:id="2" w:name="_Hlk100131579"/>
      <w:r w:rsidRPr="0030549B">
        <w:rPr>
          <w:rFonts w:ascii="Verdana" w:eastAsia="Calibri" w:hAnsi="Verdana" w:cs="Arial"/>
          <w:lang w:val="es-ES_tradnl"/>
        </w:rPr>
        <w:t>i. 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Pr="0030549B">
        <w:rPr>
          <w:rFonts w:ascii="Verdana" w:eastAsia="Calibri" w:hAnsi="Verdana" w:cs="Arial"/>
          <w:vertAlign w:val="superscript"/>
          <w:lang w:val="es-ES_tradnl"/>
        </w:rPr>
        <w:footnoteReference w:id="2"/>
      </w:r>
      <w:r w:rsidRPr="0030549B">
        <w:rPr>
          <w:rFonts w:ascii="Verdana" w:eastAsia="Calibri" w:hAnsi="Verdana" w:cs="Arial"/>
          <w:lang w:val="es-ES_tradnl"/>
        </w:rPr>
        <w:t>.</w:t>
      </w:r>
    </w:p>
    <w:bookmarkEnd w:id="2"/>
    <w:p w14:paraId="4C072345" w14:textId="77777777" w:rsidR="00960C09" w:rsidRPr="0030549B" w:rsidRDefault="00960C09" w:rsidP="00960C09">
      <w:pPr>
        <w:tabs>
          <w:tab w:val="left" w:pos="709"/>
        </w:tabs>
        <w:spacing w:after="120" w:line="276" w:lineRule="auto"/>
        <w:ind w:firstLine="709"/>
        <w:jc w:val="both"/>
        <w:rPr>
          <w:rFonts w:ascii="Verdana" w:eastAsia="Calibri" w:hAnsi="Verdana" w:cs="Arial"/>
          <w:lang w:val="es-ES_tradnl"/>
        </w:rPr>
      </w:pPr>
      <w:r w:rsidRPr="0030549B">
        <w:rPr>
          <w:rFonts w:ascii="Verdana" w:eastAsia="Calibri" w:hAnsi="Verdana" w:cs="Arial"/>
          <w:lang w:val="es-ES_tradnl"/>
        </w:rPr>
        <w:t>Dicho de otro modo, la mínima cuantía es un procedimiento de selección “especial”</w:t>
      </w:r>
      <w:r w:rsidRPr="0030549B">
        <w:rPr>
          <w:rFonts w:ascii="Verdana" w:eastAsia="Calibri" w:hAnsi="Verdana" w:cs="Arial"/>
          <w:vertAlign w:val="superscript"/>
          <w:lang w:val="es-ES_tradnl"/>
        </w:rPr>
        <w:footnoteReference w:id="3"/>
      </w:r>
      <w:r w:rsidRPr="0030549B">
        <w:rPr>
          <w:rFonts w:ascii="Verdana" w:eastAsia="Calibri" w:hAnsi="Verdana" w:cs="Arial"/>
          <w:lang w:val="es-ES_tradnl"/>
        </w:rPr>
        <w:t>,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30549B">
        <w:rPr>
          <w:rFonts w:ascii="Verdana" w:eastAsia="Calibri" w:hAnsi="Verdana" w:cs="Arial"/>
          <w:vertAlign w:val="superscript"/>
          <w:lang w:val="es-ES_tradnl"/>
        </w:rPr>
        <w:footnoteReference w:id="4"/>
      </w:r>
      <w:r w:rsidRPr="0030549B">
        <w:rPr>
          <w:rFonts w:ascii="Verdana" w:eastAsia="Calibri" w:hAnsi="Verdana" w:cs="Arial"/>
          <w:lang w:val="es-ES_tradnl"/>
        </w:rPr>
        <w:t>, y lo segundo, porque sus requisitos, etapas y términos son especiales.</w:t>
      </w:r>
    </w:p>
    <w:p w14:paraId="48E0E894" w14:textId="77777777" w:rsidR="00960C09" w:rsidRPr="0030549B" w:rsidRDefault="00960C09" w:rsidP="00960C09">
      <w:pPr>
        <w:tabs>
          <w:tab w:val="left" w:pos="709"/>
        </w:tabs>
        <w:spacing w:after="120" w:line="276" w:lineRule="auto"/>
        <w:ind w:firstLine="709"/>
        <w:jc w:val="both"/>
        <w:rPr>
          <w:rFonts w:ascii="Verdana" w:eastAsia="Calibri" w:hAnsi="Verdana" w:cs="Arial"/>
          <w:color w:val="000000" w:themeColor="text1"/>
          <w:lang w:val="es-ES"/>
        </w:rPr>
      </w:pPr>
      <w:r w:rsidRPr="0030549B">
        <w:rPr>
          <w:rFonts w:ascii="Verdana" w:eastAsia="Calibri" w:hAnsi="Verdana" w:cs="Arial"/>
          <w:color w:val="000000" w:themeColor="text1"/>
          <w:lang w:val="es-ES"/>
        </w:rPr>
        <w:lastRenderedPageBreak/>
        <w:t xml:space="preserve">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w:t>
      </w:r>
      <w:proofErr w:type="spellStart"/>
      <w:r w:rsidRPr="0030549B">
        <w:rPr>
          <w:rFonts w:ascii="Verdana" w:eastAsia="Calibri" w:hAnsi="Verdana" w:cs="Arial"/>
          <w:color w:val="000000" w:themeColor="text1"/>
          <w:lang w:val="es-ES"/>
        </w:rPr>
        <w:t>ii</w:t>
      </w:r>
      <w:proofErr w:type="spellEnd"/>
      <w:r w:rsidRPr="0030549B">
        <w:rPr>
          <w:rFonts w:ascii="Verdana" w:eastAsia="Calibri" w:hAnsi="Verdana" w:cs="Arial"/>
          <w:color w:val="000000" w:themeColor="text1"/>
          <w:lang w:val="es-ES"/>
        </w:rPr>
        <w:t xml:space="preserve">) el plazo mínimo de recepción de las ofertas, </w:t>
      </w:r>
      <w:proofErr w:type="spellStart"/>
      <w:r w:rsidRPr="0030549B">
        <w:rPr>
          <w:rFonts w:ascii="Verdana" w:eastAsia="Calibri" w:hAnsi="Verdana" w:cs="Arial"/>
          <w:color w:val="000000" w:themeColor="text1"/>
          <w:lang w:val="es-ES"/>
        </w:rPr>
        <w:t>iii</w:t>
      </w:r>
      <w:proofErr w:type="spellEnd"/>
      <w:r w:rsidRPr="0030549B">
        <w:rPr>
          <w:rFonts w:ascii="Verdana" w:eastAsia="Calibri" w:hAnsi="Verdana" w:cs="Arial"/>
          <w:color w:val="000000" w:themeColor="text1"/>
          <w:lang w:val="es-ES"/>
        </w:rPr>
        <w:t xml:space="preserve">) el factor de evaluación que define la selección del proponente y </w:t>
      </w:r>
      <w:proofErr w:type="spellStart"/>
      <w:r w:rsidRPr="0030549B">
        <w:rPr>
          <w:rFonts w:ascii="Verdana" w:eastAsia="Calibri" w:hAnsi="Verdana" w:cs="Arial"/>
          <w:color w:val="000000" w:themeColor="text1"/>
          <w:lang w:val="es-ES"/>
        </w:rPr>
        <w:t>iv</w:t>
      </w:r>
      <w:proofErr w:type="spellEnd"/>
      <w:r w:rsidRPr="0030549B">
        <w:rPr>
          <w:rFonts w:ascii="Verdana" w:eastAsia="Calibri" w:hAnsi="Verdana" w:cs="Arial"/>
          <w:color w:val="000000" w:themeColor="text1"/>
          <w:lang w:val="es-ES"/>
        </w:rPr>
        <w:t>) el perfeccionamiento del contrato.</w:t>
      </w:r>
    </w:p>
    <w:p w14:paraId="77475FC9" w14:textId="77777777" w:rsidR="00960C09" w:rsidRPr="0030549B" w:rsidRDefault="00960C09" w:rsidP="00960C09">
      <w:pPr>
        <w:tabs>
          <w:tab w:val="left" w:pos="709"/>
        </w:tabs>
        <w:spacing w:after="120" w:line="276" w:lineRule="auto"/>
        <w:ind w:firstLine="709"/>
        <w:jc w:val="both"/>
        <w:rPr>
          <w:rFonts w:ascii="Verdana" w:eastAsia="Calibri" w:hAnsi="Verdana" w:cs="Arial"/>
          <w:color w:val="000000" w:themeColor="text1"/>
          <w:lang w:val="es-ES"/>
        </w:rPr>
      </w:pPr>
      <w:r w:rsidRPr="0030549B">
        <w:rPr>
          <w:rFonts w:ascii="Verdana" w:eastAsia="Calibri" w:hAnsi="Verdana" w:cs="Arial"/>
          <w:color w:val="000000" w:themeColor="text1"/>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0832A30D" w14:textId="77777777" w:rsidR="00960C09" w:rsidRPr="0030549B" w:rsidRDefault="00960C09" w:rsidP="00960C09">
      <w:pPr>
        <w:tabs>
          <w:tab w:val="left" w:pos="709"/>
        </w:tabs>
        <w:spacing w:after="120" w:line="276" w:lineRule="auto"/>
        <w:jc w:val="both"/>
        <w:rPr>
          <w:rFonts w:ascii="Verdana" w:eastAsia="Calibri" w:hAnsi="Verdana" w:cs="Arial"/>
          <w:color w:val="000000" w:themeColor="text1"/>
          <w:lang w:val="es-ES"/>
        </w:rPr>
      </w:pPr>
      <w:r w:rsidRPr="0030549B">
        <w:rPr>
          <w:rFonts w:ascii="Verdana" w:eastAsia="Calibri" w:hAnsi="Verdana" w:cs="Arial"/>
          <w:bCs/>
          <w:color w:val="000000" w:themeColor="text1"/>
          <w:lang w:val="es-ES_tradnl"/>
        </w:rPr>
        <w:tab/>
      </w:r>
      <w:r w:rsidRPr="0030549B">
        <w:rPr>
          <w:rFonts w:ascii="Verdana" w:eastAsia="Calibri" w:hAnsi="Verdana" w:cs="Arial"/>
          <w:color w:val="000000" w:themeColor="text1"/>
          <w:lang w:val="es-ES"/>
        </w:rPr>
        <w:t>Teniendo en cuenta lo anterior, la nueva Subsección 5 a que se hizo referencia contiene los siguientes artículos: i) 2.2.1.2.1.5.1. que se ocupa de desarrollar el contenido de los estudios previos para la contratación de mínima cuantía</w:t>
      </w:r>
      <w:r w:rsidRPr="0030549B">
        <w:rPr>
          <w:rFonts w:ascii="Verdana" w:eastAsia="Calibri" w:hAnsi="Verdana" w:cs="Arial"/>
          <w:color w:val="000000" w:themeColor="text1"/>
          <w:vertAlign w:val="superscript"/>
          <w:lang w:val="es-ES"/>
        </w:rPr>
        <w:footnoteReference w:id="5"/>
      </w:r>
      <w:r w:rsidRPr="0030549B">
        <w:rPr>
          <w:rFonts w:ascii="Verdana" w:eastAsia="Calibri" w:hAnsi="Verdana" w:cs="Arial"/>
          <w:color w:val="000000" w:themeColor="text1"/>
          <w:lang w:val="es-ES"/>
        </w:rPr>
        <w:t xml:space="preserve">. </w:t>
      </w:r>
      <w:proofErr w:type="spellStart"/>
      <w:r w:rsidRPr="0030549B">
        <w:rPr>
          <w:rFonts w:ascii="Verdana" w:eastAsia="Calibri" w:hAnsi="Verdana" w:cs="Arial"/>
          <w:color w:val="000000" w:themeColor="text1"/>
          <w:lang w:val="es-ES"/>
        </w:rPr>
        <w:t>ii</w:t>
      </w:r>
      <w:proofErr w:type="spellEnd"/>
      <w:r w:rsidRPr="0030549B">
        <w:rPr>
          <w:rFonts w:ascii="Verdana" w:eastAsia="Calibri" w:hAnsi="Verdana" w:cs="Arial"/>
          <w:color w:val="000000" w:themeColor="text1"/>
          <w:lang w:val="es-E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30549B">
        <w:rPr>
          <w:rFonts w:ascii="Verdana" w:eastAsia="Calibri" w:hAnsi="Verdana" w:cs="Arial"/>
          <w:color w:val="000000" w:themeColor="text1"/>
          <w:lang w:val="es-ES"/>
        </w:rPr>
        <w:t>mipymes</w:t>
      </w:r>
      <w:proofErr w:type="spellEnd"/>
      <w:r w:rsidRPr="0030549B">
        <w:rPr>
          <w:rFonts w:ascii="Verdana" w:eastAsia="Calibri" w:hAnsi="Verdana" w:cs="Arial"/>
          <w:color w:val="000000" w:themeColor="text1"/>
          <w:lang w:val="es-ES"/>
        </w:rPr>
        <w:t>, de acuerdo con el mandato del parágrafo 1 del artículo 30 de la Ley 2069 de 2020</w:t>
      </w:r>
      <w:r w:rsidRPr="0030549B">
        <w:rPr>
          <w:rFonts w:ascii="Verdana" w:eastAsia="Calibri" w:hAnsi="Verdana" w:cs="Arial"/>
          <w:color w:val="000000" w:themeColor="text1"/>
          <w:vertAlign w:val="superscript"/>
          <w:lang w:val="es-ES"/>
        </w:rPr>
        <w:footnoteReference w:id="6"/>
      </w:r>
      <w:r w:rsidRPr="0030549B">
        <w:rPr>
          <w:rFonts w:ascii="Verdana" w:eastAsia="Calibri" w:hAnsi="Verdana" w:cs="Arial"/>
          <w:color w:val="000000" w:themeColor="text1"/>
          <w:lang w:val="es-ES"/>
        </w:rPr>
        <w:t xml:space="preserve">. </w:t>
      </w:r>
      <w:proofErr w:type="spellStart"/>
      <w:r w:rsidRPr="0030549B">
        <w:rPr>
          <w:rFonts w:ascii="Verdana" w:eastAsia="Calibri" w:hAnsi="Verdana" w:cs="Arial"/>
          <w:color w:val="000000" w:themeColor="text1"/>
          <w:lang w:val="es-ES"/>
        </w:rPr>
        <w:t>iii</w:t>
      </w:r>
      <w:proofErr w:type="spellEnd"/>
      <w:r w:rsidRPr="0030549B">
        <w:rPr>
          <w:rFonts w:ascii="Verdana" w:eastAsia="Calibri" w:hAnsi="Verdana" w:cs="Arial"/>
          <w:color w:val="000000" w:themeColor="text1"/>
          <w:lang w:val="es-ES"/>
        </w:rPr>
        <w:t xml:space="preserve">) </w:t>
      </w:r>
      <w:r w:rsidRPr="0030549B">
        <w:rPr>
          <w:rFonts w:ascii="Verdana" w:eastAsia="Calibri" w:hAnsi="Verdana" w:cs="Arial"/>
          <w:color w:val="000000" w:themeColor="text1"/>
          <w:lang w:val="es-ES"/>
        </w:rPr>
        <w:lastRenderedPageBreak/>
        <w:t xml:space="preserve">2.2.1.2.1.5.3. que regula un procedimiento especial para las adquisiciones en grandes almacenes cuando se trate de mínima cuantía. </w:t>
      </w:r>
      <w:proofErr w:type="spellStart"/>
      <w:r w:rsidRPr="0030549B">
        <w:rPr>
          <w:rFonts w:ascii="Verdana" w:eastAsia="Calibri" w:hAnsi="Verdana" w:cs="Arial"/>
          <w:color w:val="000000" w:themeColor="text1"/>
          <w:lang w:val="es-ES"/>
        </w:rPr>
        <w:t>iv</w:t>
      </w:r>
      <w:proofErr w:type="spellEnd"/>
      <w:r w:rsidRPr="0030549B">
        <w:rPr>
          <w:rFonts w:ascii="Verdana" w:eastAsia="Calibri" w:hAnsi="Verdana" w:cs="Arial"/>
          <w:color w:val="000000" w:themeColor="text1"/>
          <w:lang w:val="es-ES"/>
        </w:rPr>
        <w:t xml:space="preserve">)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w:t>
      </w:r>
      <w:proofErr w:type="spellStart"/>
      <w:r w:rsidRPr="0030549B">
        <w:rPr>
          <w:rFonts w:ascii="Verdana" w:eastAsia="Calibri" w:hAnsi="Verdana" w:cs="Arial"/>
          <w:color w:val="000000" w:themeColor="text1"/>
          <w:lang w:val="es-ES"/>
        </w:rPr>
        <w:t>Mipyme</w:t>
      </w:r>
      <w:proofErr w:type="spellEnd"/>
      <w:r w:rsidRPr="0030549B">
        <w:rPr>
          <w:rFonts w:ascii="Verdana" w:eastAsia="Calibri" w:hAnsi="Verdana" w:cs="Arial"/>
          <w:color w:val="000000" w:themeColor="text1"/>
          <w:lang w:val="es-ES"/>
        </w:rPr>
        <w:t xml:space="preserve"> y con grandes almacenes. Y v) 2.2.1.2.1.5.5. el cual establece que la entidad estatal es libre de exigir o no garantías en el proceso de selección de mínima cuantía y en la adquisición de “grandes almacenes”.</w:t>
      </w:r>
    </w:p>
    <w:p w14:paraId="19A5D51C" w14:textId="77777777" w:rsidR="00960C09" w:rsidRPr="0030549B" w:rsidRDefault="00960C09" w:rsidP="00960C09">
      <w:pPr>
        <w:tabs>
          <w:tab w:val="left" w:pos="709"/>
        </w:tabs>
        <w:spacing w:after="120" w:line="276" w:lineRule="auto"/>
        <w:jc w:val="both"/>
        <w:rPr>
          <w:rFonts w:ascii="Verdana" w:eastAsia="Calibri" w:hAnsi="Verdana" w:cs="Arial"/>
          <w:bCs/>
          <w:color w:val="000000" w:themeColor="text1"/>
          <w:lang w:val="es-ES_tradnl"/>
        </w:rPr>
      </w:pPr>
      <w:r w:rsidRPr="0030549B">
        <w:rPr>
          <w:rFonts w:ascii="Verdana" w:eastAsia="Calibri" w:hAnsi="Verdana" w:cs="Arial"/>
          <w:bCs/>
          <w:color w:val="000000" w:themeColor="text1"/>
          <w:lang w:val="es-ES_tradnl"/>
        </w:rPr>
        <w:tab/>
        <w:t xml:space="preserve">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w:t>
      </w:r>
    </w:p>
    <w:p w14:paraId="09ED4D2C" w14:textId="77777777" w:rsidR="00960C09" w:rsidRPr="0030549B" w:rsidRDefault="00960C09" w:rsidP="00960C09">
      <w:pPr>
        <w:tabs>
          <w:tab w:val="left" w:pos="709"/>
        </w:tabs>
        <w:spacing w:after="120" w:line="276" w:lineRule="auto"/>
        <w:jc w:val="both"/>
        <w:rPr>
          <w:rFonts w:ascii="Verdana" w:eastAsia="Calibri" w:hAnsi="Verdana" w:cs="Arial"/>
          <w:color w:val="000000" w:themeColor="text1"/>
          <w:lang w:val="es-ES_tradnl"/>
        </w:rPr>
      </w:pPr>
      <w:r w:rsidRPr="0030549B">
        <w:rPr>
          <w:rFonts w:ascii="Verdana" w:eastAsia="Calibri" w:hAnsi="Verdana" w:cs="Arial"/>
          <w:color w:val="000000" w:themeColor="text1"/>
          <w:lang w:val="es-ES_tradnl"/>
        </w:rPr>
        <w:tab/>
        <w:t>Ahora bien, vistas las anteriores vicisitudes normativas que rodean la modalidad de selección de mínima cuantía, y con fundamento en los artículos 2.2.1.2.1.5.1. al 2.2.1.2.1.5.4 del Decreto 1082 de 2015 modificados, como se ha venido exponiendo, por el artículo 2 del Decreto 1860 de 2021, resulta imperante sintetizar los requisitos en el procedimiento de esta modalidad de selección de la siguiente forma:</w:t>
      </w:r>
    </w:p>
    <w:p w14:paraId="6FB634B9" w14:textId="77777777" w:rsidR="00960C09" w:rsidRPr="0030549B" w:rsidRDefault="00960C09" w:rsidP="00960C09">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3C118FB3" w14:textId="77777777" w:rsidR="00960C09" w:rsidRPr="0030549B" w:rsidRDefault="00960C09" w:rsidP="00960C09">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lang w:val="es-ES"/>
        </w:rPr>
        <w:t>ii</w:t>
      </w:r>
      <w:proofErr w:type="spellEnd"/>
      <w:r w:rsidRPr="0030549B">
        <w:rPr>
          <w:rFonts w:ascii="Verdana" w:eastAsia="Calibri" w:hAnsi="Verdana" w:cs="Arial"/>
          <w:color w:val="000000"/>
          <w:lang w:val="es-ES"/>
        </w:rPr>
        <w:t>)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30549B">
        <w:rPr>
          <w:rFonts w:ascii="Verdana" w:eastAsia="Calibri" w:hAnsi="Verdana" w:cs="Arial"/>
          <w:color w:val="000000"/>
          <w:vertAlign w:val="superscript"/>
          <w:lang w:val="es-ES"/>
        </w:rPr>
        <w:footnoteReference w:id="7"/>
      </w:r>
      <w:r w:rsidRPr="0030549B">
        <w:rPr>
          <w:rFonts w:ascii="Verdana" w:eastAsia="Calibri" w:hAnsi="Verdana" w:cs="Arial"/>
          <w:color w:val="000000"/>
          <w:lang w:val="es-ES"/>
        </w:rPr>
        <w:t>.</w:t>
      </w:r>
    </w:p>
    <w:p w14:paraId="08C28E7D" w14:textId="77777777" w:rsidR="00960C09" w:rsidRPr="0030549B" w:rsidRDefault="00960C09" w:rsidP="00960C09">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lastRenderedPageBreak/>
        <w:t>iii</w:t>
      </w:r>
      <w:proofErr w:type="spellEnd"/>
      <w:r w:rsidRPr="0030549B">
        <w:rPr>
          <w:rFonts w:ascii="Verdana" w:eastAsia="Calibri" w:hAnsi="Verdana" w:cs="Arial"/>
          <w:color w:val="000000" w:themeColor="text1"/>
          <w:lang w:val="es-ES"/>
        </w:rPr>
        <w:t>) La invitación se debe hacer por un término no inferior a un (1) día hábil.</w:t>
      </w:r>
    </w:p>
    <w:p w14:paraId="2AE0F753" w14:textId="77777777" w:rsidR="00960C09" w:rsidRPr="0030549B" w:rsidRDefault="00960C09" w:rsidP="00960C09">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t>iv</w:t>
      </w:r>
      <w:proofErr w:type="spellEnd"/>
      <w:r w:rsidRPr="0030549B">
        <w:rPr>
          <w:rFonts w:ascii="Verdana" w:eastAsia="Calibri" w:hAnsi="Verdana" w:cs="Arial"/>
          <w:color w:val="000000" w:themeColor="text1"/>
          <w:lang w:val="es-ES"/>
        </w:rPr>
        <w:t>) Las observaciones que presenten los interesados a la invitación deben responderse a más tardar antes del vencimiento del término para presentar las ofertas.</w:t>
      </w:r>
    </w:p>
    <w:p w14:paraId="137D018C" w14:textId="77777777" w:rsidR="00960C09" w:rsidRPr="0030549B" w:rsidRDefault="00960C09" w:rsidP="00960C09">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v) Presentadas las propuestas, la entidad estatal debe revisar las ofertas económicas y verificar que la del menor precio cumpla los requisitos de participación. Si no los satisface debe revisar la oferta económica inmediatamente inferior, y así sucesivamente. Esto significa que en la mínima cuantía el precio es el único factor de calificación</w:t>
      </w:r>
      <w:r w:rsidRPr="0030549B">
        <w:rPr>
          <w:rFonts w:ascii="Verdana" w:eastAsia="Calibri" w:hAnsi="Verdana" w:cs="Arial"/>
          <w:color w:val="000000"/>
          <w:vertAlign w:val="superscript"/>
          <w:lang w:val="es-ES_tradnl"/>
        </w:rPr>
        <w:footnoteReference w:id="8"/>
      </w:r>
      <w:r w:rsidRPr="0030549B">
        <w:rPr>
          <w:rFonts w:ascii="Verdana" w:eastAsia="Calibri" w:hAnsi="Verdana" w:cs="Arial"/>
          <w:color w:val="000000"/>
          <w:lang w:val="es-ES_tradnl"/>
        </w:rPr>
        <w:t>.</w:t>
      </w:r>
    </w:p>
    <w:p w14:paraId="3DB11BE5" w14:textId="77777777" w:rsidR="00960C09" w:rsidRPr="0030549B" w:rsidRDefault="00960C09" w:rsidP="00960C09">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vi) El informe de evaluación se debe publicar por lo menos un (1) día hábil.</w:t>
      </w:r>
    </w:p>
    <w:p w14:paraId="4E87F755" w14:textId="77777777" w:rsidR="00960C09" w:rsidRPr="0030549B" w:rsidRDefault="00960C09" w:rsidP="00960C09">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t>vii</w:t>
      </w:r>
      <w:proofErr w:type="spellEnd"/>
      <w:r w:rsidRPr="0030549B">
        <w:rPr>
          <w:rFonts w:ascii="Verdana" w:eastAsia="Calibri" w:hAnsi="Verdana" w:cs="Arial"/>
          <w:color w:val="000000" w:themeColor="text1"/>
          <w:lang w:val="es-ES"/>
        </w:rPr>
        <w:t xml:space="preserve">) </w:t>
      </w:r>
      <w:bookmarkStart w:id="3" w:name="_Hlk134700391"/>
      <w:r w:rsidRPr="0030549B">
        <w:rPr>
          <w:rFonts w:ascii="Verdana" w:eastAsia="Calibri" w:hAnsi="Verdana" w:cs="Arial"/>
          <w:color w:val="000000" w:themeColor="text1"/>
          <w:lang w:val="es-ES"/>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bookmarkEnd w:id="3"/>
    <w:p w14:paraId="51285B3C" w14:textId="77777777" w:rsidR="00960C09" w:rsidRPr="0030549B" w:rsidRDefault="00960C09" w:rsidP="00960C09">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t>viii</w:t>
      </w:r>
      <w:proofErr w:type="spellEnd"/>
      <w:r w:rsidRPr="0030549B">
        <w:rPr>
          <w:rFonts w:ascii="Verdana" w:eastAsia="Calibri" w:hAnsi="Verdana" w:cs="Arial"/>
          <w:color w:val="000000" w:themeColor="text1"/>
          <w:lang w:val="es-ES"/>
        </w:rPr>
        <w:t xml:space="preserve">) De existir empate debe </w:t>
      </w:r>
      <w:r>
        <w:rPr>
          <w:rFonts w:ascii="Verdana" w:eastAsia="Calibri" w:hAnsi="Verdana" w:cs="Arial"/>
          <w:color w:val="000000" w:themeColor="text1"/>
          <w:lang w:val="es-ES"/>
        </w:rPr>
        <w:t xml:space="preserve">tenerse en cuenta lo dispuesto en el artículo 35 de la Ley 2069 de 2020. </w:t>
      </w:r>
    </w:p>
    <w:p w14:paraId="1440E118" w14:textId="77777777" w:rsidR="00960C09" w:rsidRPr="0030549B" w:rsidRDefault="00960C09" w:rsidP="00960C09">
      <w:pPr>
        <w:tabs>
          <w:tab w:val="left" w:pos="709"/>
        </w:tabs>
        <w:spacing w:after="120" w:line="276" w:lineRule="auto"/>
        <w:jc w:val="both"/>
        <w:rPr>
          <w:rFonts w:ascii="Verdana" w:eastAsia="Calibri" w:hAnsi="Verdana" w:cs="Arial"/>
          <w:bCs/>
          <w:color w:val="000000" w:themeColor="text1"/>
          <w:lang w:val="es-ES_tradnl"/>
        </w:rPr>
      </w:pPr>
      <w:r w:rsidRPr="0030549B">
        <w:rPr>
          <w:rFonts w:ascii="Verdana" w:eastAsia="Calibri" w:hAnsi="Verdana" w:cs="Arial"/>
          <w:bCs/>
          <w:color w:val="000000" w:themeColor="text1"/>
          <w:lang w:val="es-ES_tradnl"/>
        </w:rPr>
        <w:tab/>
        <w:t xml:space="preserve">De conformidad con lo expuesto, y con fundamento en lo previsto en el numeral 9 del artículo 2.2.1.2.1.5.2. del Decreto 1082 del 2015 según el cual “la oferta y su aceptación constituyen el contrato estatal”, es claro que la comunicación de la aceptación de la oferta por parte de la entidad al proponente perfecciona los requisitos de existencia del contrato. </w:t>
      </w:r>
      <w:r w:rsidRPr="0030549B">
        <w:rPr>
          <w:rFonts w:ascii="Verdana" w:eastAsia="Calibri" w:hAnsi="Verdana" w:cs="Arial"/>
          <w:bCs/>
          <w:color w:val="000000" w:themeColor="text1"/>
        </w:rPr>
        <w:t>Esta particularidad en relación con el procedimiento de mínima cuantía se deriva de lo establecido en el literal d) del numeral 5 del artículo 2 de la Ley 1150 de 2007 que de manera expresa dispone que "la comunicación de aceptación junto con la oferta c</w:t>
      </w:r>
      <w:r w:rsidRPr="0030549B">
        <w:rPr>
          <w:rFonts w:ascii="Verdana" w:eastAsia="Calibri" w:hAnsi="Verdana" w:cs="Arial"/>
          <w:bCs/>
          <w:i/>
          <w:iCs/>
          <w:color w:val="000000" w:themeColor="text1"/>
        </w:rPr>
        <w:t>onstituye para todos los efectos el contrato celebrado</w:t>
      </w:r>
      <w:r w:rsidRPr="0030549B">
        <w:rPr>
          <w:rFonts w:ascii="Verdana" w:eastAsia="Calibri" w:hAnsi="Verdana" w:cs="Arial"/>
          <w:bCs/>
          <w:color w:val="000000" w:themeColor="text1"/>
        </w:rPr>
        <w:t>, con base en lo cual se efectuará el respectivo registro presupuestal". Esto implica que, en este tipo de procedimientos, el contrato se entiende perfeccionado en el momento en que se produce dicha comunicación, sin necesidad de cumplir con requisitos adicionales.</w:t>
      </w:r>
    </w:p>
    <w:p w14:paraId="18081676" w14:textId="77777777" w:rsidR="00960C09" w:rsidRPr="0030549B" w:rsidRDefault="00960C09" w:rsidP="00960C09">
      <w:pPr>
        <w:tabs>
          <w:tab w:val="left" w:pos="709"/>
        </w:tabs>
        <w:spacing w:after="120" w:line="276" w:lineRule="auto"/>
        <w:ind w:firstLine="709"/>
        <w:jc w:val="both"/>
        <w:rPr>
          <w:rFonts w:ascii="Verdana" w:eastAsia="Calibri" w:hAnsi="Verdana" w:cs="Arial"/>
          <w:bCs/>
          <w:color w:val="000000" w:themeColor="text1"/>
          <w:lang w:val="es-ES_tradnl"/>
        </w:rPr>
      </w:pPr>
      <w:r w:rsidRPr="0030549B">
        <w:rPr>
          <w:rFonts w:ascii="Verdana" w:eastAsia="Calibri" w:hAnsi="Verdana" w:cs="Arial"/>
          <w:bCs/>
          <w:color w:val="000000"/>
          <w:lang w:val="es-ES"/>
        </w:rPr>
        <w:lastRenderedPageBreak/>
        <w:t xml:space="preserve">En este sentido, el legislador estableció que en los procesos de mínima cuantía no habría un </w:t>
      </w:r>
      <w:r w:rsidRPr="0030549B">
        <w:rPr>
          <w:rFonts w:ascii="Verdana" w:eastAsia="Calibri" w:hAnsi="Verdana" w:cs="Arial"/>
          <w:bCs/>
          <w:i/>
          <w:color w:val="000000"/>
          <w:lang w:val="es-ES"/>
        </w:rPr>
        <w:t>“acto de adjudicación”</w:t>
      </w:r>
      <w:r w:rsidRPr="0030549B">
        <w:rPr>
          <w:rFonts w:ascii="Verdana" w:eastAsia="Calibri" w:hAnsi="Verdana" w:cs="Arial"/>
          <w:bCs/>
          <w:color w:val="000000"/>
          <w:lang w:val="es-ES"/>
        </w:rPr>
        <w:t xml:space="preserve">, sino que en aras de la celeridad y economía que se busca con esta modalidad, la selección de la mejor oferta se realiza mediante una </w:t>
      </w:r>
      <w:r w:rsidRPr="0030549B">
        <w:rPr>
          <w:rFonts w:ascii="Verdana" w:eastAsia="Calibri" w:hAnsi="Verdana" w:cs="Arial"/>
          <w:bCs/>
          <w:i/>
          <w:color w:val="000000"/>
          <w:lang w:val="es-ES"/>
        </w:rPr>
        <w:t>“comunicación de aceptación de la oferta”</w:t>
      </w:r>
      <w:r w:rsidRPr="0030549B">
        <w:rPr>
          <w:rFonts w:ascii="Verdana" w:eastAsia="Calibri" w:hAnsi="Verdana" w:cs="Arial"/>
          <w:bCs/>
          <w:color w:val="000000"/>
          <w:lang w:val="es-ES"/>
        </w:rPr>
        <w:t>, y dicha comunicación, junto con la oferta presentada por el oferente seleccionado, constituyen el contrato. Así, la comunicación de aceptación de la oferta hace las veces del acto de adjudicación, en el entendido de que bajo dicha actuación la entidad selecciona a su contratista; solo que en estos casos mediante dicho acto además se perfecciona el contrato.</w:t>
      </w:r>
    </w:p>
    <w:p w14:paraId="09525DF3" w14:textId="77777777" w:rsidR="00960C09" w:rsidRPr="0030549B" w:rsidRDefault="00960C09" w:rsidP="00960C09">
      <w:pPr>
        <w:spacing w:after="120" w:line="276" w:lineRule="auto"/>
        <w:ind w:firstLine="709"/>
        <w:jc w:val="both"/>
        <w:rPr>
          <w:rFonts w:ascii="Verdana" w:eastAsia="Calibri" w:hAnsi="Verdana" w:cs="Arial"/>
          <w:color w:val="000000"/>
        </w:rPr>
      </w:pPr>
      <w:r w:rsidRPr="0030549B">
        <w:rPr>
          <w:rFonts w:ascii="Verdana" w:eastAsia="Calibri" w:hAnsi="Verdana" w:cs="Arial"/>
          <w:bCs/>
          <w:color w:val="000000"/>
          <w:lang w:val="es-ES_tradnl"/>
        </w:rPr>
        <w:t>Sobre este aspecto, el Manual de la Modalidad de Selección de Mínima Cuantía expedido por la Agencia Nacional de Contratación Pública – Colombia Compra Eficiente</w:t>
      </w:r>
      <w:r w:rsidRPr="0030549B">
        <w:rPr>
          <w:rFonts w:ascii="Verdana" w:eastAsia="Calibri" w:hAnsi="Verdana" w:cs="Arial"/>
          <w:bCs/>
          <w:color w:val="000000"/>
          <w:vertAlign w:val="superscript"/>
          <w:lang w:val="es-ES_tradnl"/>
        </w:rPr>
        <w:footnoteReference w:id="9"/>
      </w:r>
      <w:r w:rsidRPr="0030549B">
        <w:rPr>
          <w:rFonts w:ascii="Verdana" w:eastAsia="Calibri" w:hAnsi="Verdana" w:cs="Arial"/>
          <w:bCs/>
          <w:color w:val="000000"/>
          <w:lang w:val="es-ES_tradnl"/>
        </w:rPr>
        <w:t xml:space="preserve">, señaló que </w:t>
      </w:r>
      <w:r w:rsidRPr="0030549B">
        <w:rPr>
          <w:rFonts w:ascii="Verdana" w:eastAsia="Calibri" w:hAnsi="Verdana" w:cs="Arial"/>
          <w:color w:val="000000"/>
          <w:lang w:val="es-MX"/>
        </w:rPr>
        <w:t xml:space="preserve">“la Entidad Estatal debe aceptar la oferta del oferente que haya cumplido con los requisitos establecidos en la invitación y que haya ofrecido el precio más bajo, </w:t>
      </w:r>
      <w:r w:rsidRPr="0030549B">
        <w:rPr>
          <w:rFonts w:ascii="Verdana" w:eastAsia="Calibri" w:hAnsi="Verdana" w:cs="Arial"/>
          <w:i/>
          <w:iCs/>
          <w:color w:val="000000"/>
          <w:lang w:val="es-MX"/>
        </w:rPr>
        <w:t>mediante documento electrónico o físico</w:t>
      </w:r>
      <w:r w:rsidRPr="0030549B">
        <w:rPr>
          <w:rFonts w:ascii="Verdana" w:eastAsia="Calibri" w:hAnsi="Verdana" w:cs="Arial"/>
          <w:color w:val="000000"/>
          <w:lang w:val="es-MX"/>
        </w:rPr>
        <w:t>. En el documento de aceptación, la Entidad Estatal debe indicar el supervisor del contrato.</w:t>
      </w:r>
      <w:r w:rsidRPr="0030549B">
        <w:rPr>
          <w:rFonts w:ascii="Verdana" w:eastAsia="Calibri" w:hAnsi="Verdana" w:cs="Arial"/>
          <w:color w:val="000000"/>
          <w:vertAlign w:val="superscript"/>
          <w:lang w:val="es-MX"/>
        </w:rPr>
        <w:footnoteReference w:id="10"/>
      </w:r>
      <w:r w:rsidRPr="0030549B">
        <w:rPr>
          <w:rFonts w:ascii="Verdana" w:eastAsia="Calibri" w:hAnsi="Verdana" w:cs="Arial"/>
          <w:color w:val="000000"/>
        </w:rPr>
        <w:t xml:space="preserve">” (Énfasis por fuera de texto). De esta manera, desde el momento en que se efectúa dicha comunicación, ya sea mediante documento electrónico o físico, se entiende que el contrato ha quedado perfeccionado y tiene plena existencia, sin que sea necesario cumplir con ningún otro requisito adicional. </w:t>
      </w:r>
    </w:p>
    <w:p w14:paraId="37EAE5C8" w14:textId="77777777" w:rsidR="00960C09" w:rsidRDefault="00960C09" w:rsidP="00960C09">
      <w:pPr>
        <w:spacing w:after="120" w:line="276" w:lineRule="auto"/>
        <w:jc w:val="both"/>
        <w:rPr>
          <w:rFonts w:ascii="Verdana" w:eastAsia="Calibri" w:hAnsi="Verdana" w:cs="Arial"/>
          <w:bCs/>
          <w:color w:val="000000"/>
          <w:lang w:val="es-ES_tradnl"/>
        </w:rPr>
      </w:pPr>
    </w:p>
    <w:p w14:paraId="497DED77" w14:textId="77777777" w:rsidR="00960C09" w:rsidRDefault="00960C09" w:rsidP="00960C09">
      <w:pPr>
        <w:spacing w:after="120" w:line="276" w:lineRule="auto"/>
        <w:jc w:val="both"/>
        <w:rPr>
          <w:rFonts w:ascii="Verdana" w:eastAsia="Calibri" w:hAnsi="Verdana" w:cs="Arial"/>
          <w:bCs/>
          <w:color w:val="000000"/>
          <w:lang w:val="es-ES"/>
        </w:rPr>
      </w:pPr>
      <w:proofErr w:type="spellStart"/>
      <w:r w:rsidRPr="006C2F0D">
        <w:rPr>
          <w:rFonts w:ascii="Verdana" w:eastAsia="Calibri" w:hAnsi="Verdana" w:cs="Arial"/>
          <w:bCs/>
          <w:color w:val="000000"/>
          <w:lang w:val="es-ES_tradnl"/>
        </w:rPr>
        <w:t>ii</w:t>
      </w:r>
      <w:proofErr w:type="spellEnd"/>
      <w:r w:rsidRPr="006C2F0D">
        <w:rPr>
          <w:rFonts w:ascii="Verdana" w:eastAsia="Calibri" w:hAnsi="Verdana" w:cs="Arial"/>
          <w:bCs/>
          <w:color w:val="000000"/>
          <w:lang w:val="es-ES_tradnl"/>
        </w:rPr>
        <w:t xml:space="preserve">. Ahora bien, en torno a la posibilidad de revocar los procesos de contratación derivados de la Modalidad de Selección de Mínima Cuantía es pertinente tener presente </w:t>
      </w:r>
      <w:r>
        <w:rPr>
          <w:rFonts w:ascii="Verdana" w:eastAsia="Calibri" w:hAnsi="Verdana" w:cs="Arial"/>
          <w:bCs/>
          <w:color w:val="000000"/>
          <w:lang w:val="es-ES"/>
        </w:rPr>
        <w:t>l</w:t>
      </w:r>
      <w:r w:rsidRPr="006C2F0D">
        <w:rPr>
          <w:rFonts w:ascii="Verdana" w:eastAsia="Calibri" w:hAnsi="Verdana" w:cs="Arial"/>
          <w:bCs/>
          <w:color w:val="000000"/>
          <w:lang w:val="es-ES"/>
        </w:rPr>
        <w:t>a revocación directa puede definirse como una de las especies de extinción de los actos administrativos en sede administrativa</w:t>
      </w:r>
      <w:r>
        <w:rPr>
          <w:rStyle w:val="Refdenotaalpie"/>
          <w:rFonts w:ascii="Verdana" w:eastAsia="Calibri" w:hAnsi="Verdana" w:cs="Arial"/>
          <w:bCs/>
          <w:color w:val="000000"/>
          <w:lang w:val="es-ES"/>
        </w:rPr>
        <w:footnoteReference w:id="11"/>
      </w:r>
      <w:r>
        <w:rPr>
          <w:rFonts w:ascii="Verdana" w:eastAsia="Calibri" w:hAnsi="Verdana" w:cs="Arial"/>
          <w:bCs/>
          <w:color w:val="000000"/>
          <w:lang w:val="es-ES"/>
        </w:rPr>
        <w:t>.</w:t>
      </w:r>
      <w:r w:rsidRPr="006C2F0D">
        <w:rPr>
          <w:rFonts w:ascii="Verdana" w:eastAsia="Calibri" w:hAnsi="Verdana" w:cs="Arial"/>
          <w:bCs/>
          <w:color w:val="000000"/>
          <w:lang w:val="es-ES"/>
        </w:rPr>
        <w:t xml:space="preserve"> Esta especie de extinción se diferencia de otras, pues </w:t>
      </w:r>
      <w:r>
        <w:rPr>
          <w:rFonts w:ascii="Verdana" w:eastAsia="Calibri" w:hAnsi="Verdana" w:cs="Arial"/>
          <w:bCs/>
          <w:color w:val="000000"/>
          <w:lang w:val="es-ES"/>
        </w:rPr>
        <w:t>“</w:t>
      </w:r>
      <w:r w:rsidRPr="006C2F0D">
        <w:rPr>
          <w:rFonts w:ascii="Verdana" w:eastAsia="Calibri" w:hAnsi="Verdana" w:cs="Arial"/>
          <w:bCs/>
          <w:color w:val="000000"/>
          <w:lang w:val="es-ES"/>
        </w:rPr>
        <w:t xml:space="preserve">se trata de un mecanismo de extinción del acto administrativo y de sus efectos que opera por la voluntad de la propia administración. […] Esta figura debe distinguirse […] de la </w:t>
      </w:r>
      <w:r w:rsidRPr="006C2F0D">
        <w:rPr>
          <w:rFonts w:ascii="Verdana" w:eastAsia="Calibri" w:hAnsi="Verdana" w:cs="Arial"/>
          <w:bCs/>
          <w:i/>
          <w:color w:val="000000"/>
          <w:lang w:val="es-ES"/>
        </w:rPr>
        <w:t xml:space="preserve">anulación, </w:t>
      </w:r>
      <w:r w:rsidRPr="006C2F0D">
        <w:rPr>
          <w:rFonts w:ascii="Verdana" w:eastAsia="Calibri" w:hAnsi="Verdana" w:cs="Arial"/>
          <w:bCs/>
          <w:color w:val="000000"/>
          <w:lang w:val="es-ES"/>
        </w:rPr>
        <w:t xml:space="preserve">que es la desaparición o extinción del acto por decisión de autoridad </w:t>
      </w:r>
      <w:r>
        <w:rPr>
          <w:rFonts w:ascii="Verdana" w:eastAsia="Calibri" w:hAnsi="Verdana" w:cs="Arial"/>
          <w:bCs/>
          <w:color w:val="000000"/>
          <w:lang w:val="es-ES"/>
        </w:rPr>
        <w:t>jurisdiccional”</w:t>
      </w:r>
      <w:r>
        <w:rPr>
          <w:rStyle w:val="Refdenotaalpie"/>
          <w:rFonts w:ascii="Verdana" w:eastAsia="Calibri" w:hAnsi="Verdana" w:cs="Arial"/>
          <w:bCs/>
          <w:color w:val="000000"/>
          <w:lang w:val="es-ES"/>
        </w:rPr>
        <w:footnoteReference w:id="12"/>
      </w:r>
      <w:r w:rsidRPr="006C2F0D">
        <w:rPr>
          <w:rFonts w:ascii="Verdana" w:eastAsia="Calibri" w:hAnsi="Verdana" w:cs="Arial"/>
          <w:bCs/>
          <w:color w:val="000000"/>
          <w:lang w:val="es-ES"/>
        </w:rPr>
        <w:t xml:space="preserve">. Adicionalmente, sobre la particular manera en que el legislador ha reglamentado </w:t>
      </w:r>
      <w:r w:rsidRPr="006C2F0D">
        <w:rPr>
          <w:rFonts w:ascii="Verdana" w:eastAsia="Calibri" w:hAnsi="Verdana" w:cs="Arial"/>
          <w:bCs/>
          <w:color w:val="000000"/>
          <w:lang w:val="es-ES"/>
        </w:rPr>
        <w:lastRenderedPageBreak/>
        <w:t>la revocación directa en Colombia, debe decirse que se trata de un mecanismo unilateral de la administración, otorgado por el legislador para que esta revise sus propias decisiones.</w:t>
      </w:r>
    </w:p>
    <w:p w14:paraId="7F0BD6D4" w14:textId="77777777" w:rsidR="00960C09" w:rsidRDefault="00960C09" w:rsidP="00960C09">
      <w:pPr>
        <w:spacing w:after="120" w:line="276" w:lineRule="auto"/>
        <w:jc w:val="both"/>
        <w:rPr>
          <w:rFonts w:ascii="Verdana" w:eastAsia="Calibri" w:hAnsi="Verdana" w:cs="Arial"/>
          <w:bCs/>
          <w:color w:val="000000"/>
          <w:lang w:val="es-ES"/>
        </w:rPr>
      </w:pPr>
      <w:r>
        <w:rPr>
          <w:rFonts w:ascii="Verdana" w:eastAsia="Calibri" w:hAnsi="Verdana" w:cs="Arial"/>
          <w:bCs/>
          <w:color w:val="000000"/>
          <w:lang w:val="es-ES"/>
        </w:rPr>
        <w:tab/>
      </w:r>
      <w:r w:rsidRPr="00785750">
        <w:rPr>
          <w:rFonts w:ascii="Verdana" w:eastAsia="Calibri" w:hAnsi="Verdana" w:cs="Arial"/>
          <w:bCs/>
          <w:color w:val="000000"/>
          <w:lang w:val="es-ES"/>
        </w:rPr>
        <w:t>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w:t>
      </w:r>
      <w:r>
        <w:rPr>
          <w:rFonts w:ascii="Verdana" w:eastAsia="Calibri" w:hAnsi="Verdana" w:cs="Arial"/>
          <w:bCs/>
          <w:color w:val="000000"/>
          <w:lang w:val="es-ES"/>
        </w:rPr>
        <w:t xml:space="preserve"> </w:t>
      </w:r>
    </w:p>
    <w:p w14:paraId="043D72BD" w14:textId="77777777" w:rsidR="00960C09" w:rsidRPr="006D09C0" w:rsidRDefault="00960C09" w:rsidP="00960C09">
      <w:pPr>
        <w:spacing w:after="120" w:line="276" w:lineRule="auto"/>
        <w:ind w:firstLine="709"/>
        <w:jc w:val="both"/>
        <w:rPr>
          <w:rFonts w:ascii="Verdana" w:hAnsi="Verdana" w:cs="Arial"/>
          <w:lang w:val="es-ES"/>
        </w:rPr>
      </w:pPr>
      <w:r w:rsidRPr="006D09C0">
        <w:rPr>
          <w:rFonts w:ascii="Verdana" w:hAnsi="Verdana" w:cs="Arial"/>
          <w:lang w:val="es-ES"/>
        </w:rPr>
        <w:t xml:space="preserve">El derogado Código de lo Contencioso Administrativo, Decreto 01 de 1984, preveía en su artículo 74 que cuando un acto administrativo hubiese creado o modificado una 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cuando se verificara alguna de las dos condiciones recién mencionadas que permitían su revocación, según lo normado por el artículo 74 del CCA.   </w:t>
      </w:r>
    </w:p>
    <w:p w14:paraId="4467698B" w14:textId="77777777" w:rsidR="00960C09" w:rsidRPr="006D09C0" w:rsidRDefault="00960C09" w:rsidP="00960C09">
      <w:pPr>
        <w:spacing w:after="120" w:line="276" w:lineRule="auto"/>
        <w:ind w:firstLine="709"/>
        <w:jc w:val="both"/>
        <w:rPr>
          <w:rFonts w:ascii="Verdana" w:hAnsi="Verdana" w:cs="Arial"/>
          <w:lang w:val="es-ES"/>
        </w:rPr>
      </w:pPr>
      <w:r w:rsidRPr="006D09C0">
        <w:rPr>
          <w:rFonts w:ascii="Verdana" w:hAnsi="Verdana" w:cs="Arial"/>
          <w:lang w:val="es-ES"/>
        </w:rPr>
        <w:t xml:space="preserve">De otro lado, las disposiciones que regulaban la contratación estatal contenían una norma especial sobre la posibilidad de revocar el acto de adjudicación. El numeral 11 del artículo 30 de la Ley 80 de 1993, hoy derogado, disponía que “El acto de adjudicación es irrevocable y obliga a la entidad y al adjudicatario”.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w:t>
      </w:r>
      <w:r w:rsidRPr="006D09C0">
        <w:rPr>
          <w:rFonts w:ascii="Verdana" w:hAnsi="Verdana" w:cs="Arial"/>
          <w:lang w:val="es-ES"/>
        </w:rPr>
        <w:lastRenderedPageBreak/>
        <w:t xml:space="preserve">la revocación ni si quiera en esos casos, pues claramente postulaba la irrevocabilidad del acto de adjudicación en términos absolutos.  </w:t>
      </w:r>
    </w:p>
    <w:p w14:paraId="4E48CBC4" w14:textId="77777777" w:rsidR="00960C09" w:rsidRPr="006D09C0" w:rsidRDefault="00960C09" w:rsidP="00960C09">
      <w:pPr>
        <w:spacing w:after="0" w:line="276" w:lineRule="auto"/>
        <w:ind w:firstLine="709"/>
        <w:jc w:val="both"/>
        <w:rPr>
          <w:rFonts w:ascii="Verdana" w:hAnsi="Verdana" w:cs="Arial"/>
          <w:lang w:val="es-ES"/>
        </w:rPr>
      </w:pPr>
      <w:r w:rsidRPr="006D09C0">
        <w:rPr>
          <w:rFonts w:ascii="Verdana" w:hAnsi="Verdana" w:cs="Arial"/>
          <w:lang w:val="es-ES"/>
        </w:rPr>
        <w:t>La Ley 1150 de 2007, particularmente su artículo 9, reemplazó esta regla absoluta de irrevocabilidad y estableció dos excepciones. La primera, cuando entre la adjudicación y la suscripción del contrato sobreviene una inhabilidad o incompatibilidad y, la segunda, cuando se demuestra que el acto se obtuvo por medios ilegales. En estos casos, la norma prescribe que “este podrá ser revocado”</w:t>
      </w:r>
      <w:r w:rsidRPr="006D09C0">
        <w:rPr>
          <w:rFonts w:ascii="Verdana" w:hAnsi="Verdana" w:cs="Arial"/>
          <w:vertAlign w:val="superscript"/>
          <w:lang w:val="es-ES"/>
        </w:rPr>
        <w:footnoteReference w:id="13"/>
      </w:r>
      <w:r w:rsidRPr="006D09C0">
        <w:rPr>
          <w:rFonts w:ascii="Verdana" w:hAnsi="Verdana" w:cs="Arial"/>
          <w:lang w:val="es-ES"/>
        </w:rPr>
        <w:t>. Sobre esta nueva regla de origen legal, el Consejo de Estado considera que:</w:t>
      </w:r>
    </w:p>
    <w:p w14:paraId="59BE08FA" w14:textId="77777777" w:rsidR="00960C09" w:rsidRPr="006D09C0" w:rsidRDefault="00960C09" w:rsidP="00960C09">
      <w:pPr>
        <w:spacing w:after="0" w:line="276" w:lineRule="auto"/>
        <w:jc w:val="both"/>
        <w:rPr>
          <w:rFonts w:ascii="Verdana" w:hAnsi="Verdana" w:cs="Arial"/>
          <w:lang w:val="es-ES"/>
        </w:rPr>
      </w:pPr>
    </w:p>
    <w:p w14:paraId="6A6B3270" w14:textId="77777777" w:rsidR="00960C09" w:rsidRPr="006D09C0" w:rsidRDefault="00960C09" w:rsidP="00960C09">
      <w:pPr>
        <w:spacing w:after="0" w:line="240" w:lineRule="auto"/>
        <w:ind w:left="709" w:right="709"/>
        <w:jc w:val="both"/>
        <w:rPr>
          <w:rFonts w:ascii="Verdana" w:hAnsi="Verdana" w:cs="Arial"/>
          <w:sz w:val="20"/>
          <w:szCs w:val="20"/>
          <w:lang w:val="es-ES"/>
        </w:rPr>
      </w:pPr>
      <w:r w:rsidRPr="006D09C0">
        <w:rPr>
          <w:rFonts w:ascii="Verdana" w:hAnsi="Verdana" w:cs="Arial"/>
          <w:sz w:val="20"/>
          <w:szCs w:val="20"/>
          <w:lang w:val="es-ES"/>
        </w:rPr>
        <w:t>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adjudicación y anterior a la celebración del contrato, y (</w:t>
      </w:r>
      <w:proofErr w:type="spellStart"/>
      <w:r w:rsidRPr="006D09C0">
        <w:rPr>
          <w:rFonts w:ascii="Verdana" w:hAnsi="Verdana" w:cs="Arial"/>
          <w:sz w:val="20"/>
          <w:szCs w:val="20"/>
          <w:lang w:val="es-ES"/>
        </w:rPr>
        <w:t>ii</w:t>
      </w:r>
      <w:proofErr w:type="spellEnd"/>
      <w:r w:rsidRPr="006D09C0">
        <w:rPr>
          <w:rFonts w:ascii="Verdana" w:hAnsi="Verdana" w:cs="Arial"/>
          <w:sz w:val="20"/>
          <w:szCs w:val="20"/>
          <w:lang w:val="es-ES"/>
        </w:rPr>
        <w:t>) cuando pueda demostrarse que la adjudicación “se obtuvo por medios ilegales”</w:t>
      </w:r>
      <w:r w:rsidRPr="006D09C0">
        <w:rPr>
          <w:rFonts w:ascii="Verdana" w:hAnsi="Verdana" w:cs="Arial"/>
          <w:sz w:val="20"/>
          <w:szCs w:val="20"/>
          <w:vertAlign w:val="superscript"/>
          <w:lang w:val="es-ES"/>
        </w:rPr>
        <w:footnoteReference w:id="14"/>
      </w:r>
      <w:r w:rsidRPr="006D09C0">
        <w:rPr>
          <w:rFonts w:ascii="Verdana" w:hAnsi="Verdana" w:cs="Arial"/>
          <w:sz w:val="20"/>
          <w:szCs w:val="20"/>
          <w:lang w:val="es-ES"/>
        </w:rPr>
        <w:t>.</w:t>
      </w:r>
    </w:p>
    <w:p w14:paraId="2D7AE7CD" w14:textId="77777777" w:rsidR="00960C09" w:rsidRPr="006D09C0" w:rsidRDefault="00960C09" w:rsidP="00960C09">
      <w:pPr>
        <w:spacing w:after="0"/>
        <w:ind w:left="709" w:right="709"/>
        <w:jc w:val="both"/>
        <w:rPr>
          <w:rFonts w:ascii="Verdana" w:hAnsi="Verdana" w:cs="Arial"/>
          <w:lang w:val="es-ES"/>
        </w:rPr>
      </w:pPr>
    </w:p>
    <w:p w14:paraId="5F1B79A3" w14:textId="77777777" w:rsidR="00960C09" w:rsidRPr="006D09C0" w:rsidRDefault="00960C09" w:rsidP="00960C09">
      <w:pPr>
        <w:spacing w:after="120" w:line="276" w:lineRule="auto"/>
        <w:ind w:firstLine="709"/>
        <w:jc w:val="both"/>
        <w:rPr>
          <w:rFonts w:ascii="Verdana" w:hAnsi="Verdana" w:cs="Arial"/>
          <w:lang w:val="es-ES"/>
        </w:rPr>
      </w:pPr>
      <w:r w:rsidRPr="006D09C0">
        <w:rPr>
          <w:rFonts w:ascii="Verdana" w:hAnsi="Verdana" w:cs="Arial"/>
          <w:lang w:val="es-ES"/>
        </w:rPr>
        <w:t xml:space="preserve">Con base en lo dicho puede afirmarse que las normas vigentes en materia de contratación estatal prevén que el acto de adjudicación es por regla general irrevocable, salvo en las dos situaciones previstas por el artículo 9 de la Ley 1150 de 2007, en cuyo caso la entidad estatal podrá revocarlo. Se considera importante hacer énfasis en el hecho de que la norma utiliza el verbo </w:t>
      </w:r>
      <w:r w:rsidRPr="006D09C0">
        <w:rPr>
          <w:rFonts w:ascii="Verdana" w:hAnsi="Verdana" w:cs="Arial"/>
          <w:i/>
          <w:iCs/>
          <w:lang w:val="es-ES"/>
        </w:rPr>
        <w:t>podrá</w:t>
      </w:r>
      <w:r w:rsidRPr="006D09C0">
        <w:rPr>
          <w:rFonts w:ascii="Verdana" w:hAnsi="Verdana" w:cs="Arial"/>
          <w:lang w:val="es-ES"/>
        </w:rPr>
        <w:t xml:space="preserve">, sin </w:t>
      </w:r>
      <w:r w:rsidRPr="006D09C0">
        <w:rPr>
          <w:rFonts w:ascii="Verdana" w:hAnsi="Verdana" w:cs="Arial"/>
          <w:lang w:val="es-ES"/>
        </w:rPr>
        <w:lastRenderedPageBreak/>
        <w:t xml:space="preserve">indicación de ningún requisito adicional para el ejercicio de la prerrogativa de revocación del acto de adjudicación. </w:t>
      </w:r>
    </w:p>
    <w:p w14:paraId="3C165E12" w14:textId="77777777" w:rsidR="00960C09" w:rsidRDefault="00960C09" w:rsidP="00960C09">
      <w:pPr>
        <w:spacing w:after="120" w:line="276" w:lineRule="auto"/>
        <w:ind w:firstLine="708"/>
        <w:jc w:val="both"/>
        <w:rPr>
          <w:rFonts w:ascii="Verdana" w:eastAsia="Calibri" w:hAnsi="Verdana" w:cs="Arial"/>
          <w:bCs/>
          <w:color w:val="000000"/>
        </w:rPr>
      </w:pPr>
      <w:r w:rsidRPr="00AF682E">
        <w:rPr>
          <w:rFonts w:ascii="Verdana" w:eastAsia="Calibri" w:hAnsi="Verdana" w:cs="Arial"/>
          <w:bCs/>
          <w:color w:val="000000"/>
          <w:lang w:val="es-ES"/>
        </w:rPr>
        <w:t xml:space="preserve">Ahora bien, en torno a la posibilidad de revocar actos administrativos diferentes al de adjudicación en los procesos de contratación, se destaca el acto de apertura, que </w:t>
      </w:r>
      <w:r w:rsidRPr="00AF682E">
        <w:rPr>
          <w:rFonts w:ascii="Verdana" w:eastAsia="Calibri" w:hAnsi="Verdana" w:cs="Arial"/>
          <w:bCs/>
          <w:color w:val="000000"/>
        </w:rPr>
        <w:t xml:space="preserve">del proceso de licitación agota sus efectos con la adjudicación o la declaratoria de desierta del proceso, según lo previsto en el Estatuto General de Contratación. </w:t>
      </w:r>
      <w:r>
        <w:rPr>
          <w:rFonts w:ascii="Verdana" w:eastAsia="Calibri" w:hAnsi="Verdana" w:cs="Arial"/>
          <w:bCs/>
          <w:color w:val="000000"/>
        </w:rPr>
        <w:t xml:space="preserve">En la actualidad el Decreto 1082 de 2015, no </w:t>
      </w:r>
      <w:r w:rsidRPr="00F358DF">
        <w:rPr>
          <w:rFonts w:ascii="Verdana" w:eastAsia="Calibri" w:hAnsi="Verdana" w:cs="Arial"/>
          <w:bCs/>
          <w:color w:val="000000"/>
        </w:rPr>
        <w:t>reguló la revocatoria del acto de apertura, quedando el tema en estado de incertidumbre.</w:t>
      </w:r>
      <w:r>
        <w:rPr>
          <w:rFonts w:ascii="Verdana" w:eastAsia="Calibri" w:hAnsi="Verdana" w:cs="Arial"/>
          <w:bCs/>
          <w:color w:val="000000"/>
        </w:rPr>
        <w:t xml:space="preserve"> </w:t>
      </w:r>
      <w:proofErr w:type="gramStart"/>
      <w:r>
        <w:rPr>
          <w:rFonts w:ascii="Verdana" w:eastAsia="Calibri" w:hAnsi="Verdana" w:cs="Arial"/>
          <w:bCs/>
          <w:color w:val="000000"/>
        </w:rPr>
        <w:t>De acuerdo a</w:t>
      </w:r>
      <w:proofErr w:type="gramEnd"/>
      <w:r>
        <w:rPr>
          <w:rFonts w:ascii="Verdana" w:eastAsia="Calibri" w:hAnsi="Verdana" w:cs="Arial"/>
          <w:bCs/>
          <w:color w:val="000000"/>
        </w:rPr>
        <w:t xml:space="preserve"> lo </w:t>
      </w:r>
      <w:r w:rsidRPr="00F358DF">
        <w:rPr>
          <w:rFonts w:ascii="Verdana" w:eastAsia="Calibri" w:hAnsi="Verdana" w:cs="Arial"/>
          <w:bCs/>
          <w:color w:val="000000"/>
        </w:rPr>
        <w:t xml:space="preserve">descrito, la jurisprudencia de la Sección Tercera del Consejo de Estado ha distinguido 2 momentos para efectos de examinar la posibilidad de revocar de manera unilateral el acto de apertura: </w:t>
      </w:r>
    </w:p>
    <w:p w14:paraId="4123BC0B" w14:textId="77777777" w:rsidR="00960C09" w:rsidRDefault="00960C09" w:rsidP="00960C09">
      <w:pPr>
        <w:spacing w:after="120" w:line="276" w:lineRule="auto"/>
        <w:ind w:firstLine="708"/>
        <w:jc w:val="both"/>
        <w:rPr>
          <w:rFonts w:ascii="Verdana" w:eastAsia="Calibri" w:hAnsi="Verdana" w:cs="Arial"/>
          <w:bCs/>
          <w:color w:val="000000"/>
        </w:rPr>
      </w:pPr>
      <w:r>
        <w:rPr>
          <w:rFonts w:ascii="Verdana" w:eastAsia="Calibri" w:hAnsi="Verdana" w:cs="Arial"/>
          <w:bCs/>
          <w:color w:val="000000"/>
        </w:rPr>
        <w:t xml:space="preserve">a. </w:t>
      </w:r>
      <w:r w:rsidRPr="00F358DF">
        <w:rPr>
          <w:rFonts w:ascii="Verdana" w:eastAsia="Calibri" w:hAnsi="Verdana" w:cs="Arial"/>
          <w:bCs/>
          <w:color w:val="000000"/>
        </w:rPr>
        <w:t xml:space="preserve">El primer momento es antes de que se presenten ofertas, en el cual hay unanimidad de criterio respecto a la posibilidad de revocarlo unilateralmente, porque no se ha configurado ninguna situación particular. </w:t>
      </w:r>
    </w:p>
    <w:p w14:paraId="12F1D43B" w14:textId="77777777" w:rsidR="00960C09" w:rsidRDefault="00960C09" w:rsidP="00960C09">
      <w:pPr>
        <w:spacing w:after="120" w:line="276" w:lineRule="auto"/>
        <w:ind w:firstLine="708"/>
        <w:jc w:val="both"/>
        <w:rPr>
          <w:rFonts w:ascii="Verdana" w:eastAsia="Calibri" w:hAnsi="Verdana" w:cs="Arial"/>
          <w:bCs/>
          <w:color w:val="000000"/>
        </w:rPr>
      </w:pPr>
      <w:r>
        <w:rPr>
          <w:rFonts w:ascii="Verdana" w:eastAsia="Calibri" w:hAnsi="Verdana" w:cs="Arial"/>
          <w:bCs/>
          <w:color w:val="000000"/>
        </w:rPr>
        <w:t xml:space="preserve">b. </w:t>
      </w:r>
      <w:r w:rsidRPr="00F358DF">
        <w:rPr>
          <w:rFonts w:ascii="Verdana" w:eastAsia="Calibri" w:hAnsi="Verdana" w:cs="Arial"/>
          <w:bCs/>
          <w:color w:val="000000"/>
        </w:rPr>
        <w:t xml:space="preserve">El segundo momento cuando se presentan las ofertas en el proceso de selección, evento en el cual la jurisprudencia ha planteado las siguientes tesis: </w:t>
      </w:r>
    </w:p>
    <w:p w14:paraId="626793EE" w14:textId="77777777" w:rsidR="00960C09" w:rsidRDefault="00960C09" w:rsidP="00960C09">
      <w:pPr>
        <w:spacing w:after="120" w:line="276" w:lineRule="auto"/>
        <w:ind w:firstLine="708"/>
        <w:jc w:val="both"/>
        <w:rPr>
          <w:rFonts w:ascii="Verdana" w:eastAsia="Calibri" w:hAnsi="Verdana" w:cs="Arial"/>
          <w:bCs/>
          <w:color w:val="000000"/>
        </w:rPr>
      </w:pPr>
      <w:r w:rsidRPr="00F358DF">
        <w:rPr>
          <w:rFonts w:ascii="Verdana" w:eastAsia="Calibri" w:hAnsi="Verdana" w:cs="Arial"/>
          <w:bCs/>
          <w:color w:val="000000"/>
        </w:rPr>
        <w:t xml:space="preserve">Tesis 1: </w:t>
      </w:r>
      <w:r w:rsidRPr="00F358DF">
        <w:rPr>
          <w:rFonts w:ascii="Verdana" w:eastAsia="Calibri" w:hAnsi="Verdana" w:cs="Arial"/>
          <w:bCs/>
          <w:color w:val="000000"/>
          <w:lang w:val="es-ES"/>
        </w:rPr>
        <w:t xml:space="preserve">Antes de adjudicar un proceso de contratación, es revocable de manera unilateral el acto de apertura, siempre que concurra alguna causal prevista en </w:t>
      </w:r>
      <w:r w:rsidRPr="00227CF5">
        <w:rPr>
          <w:rFonts w:ascii="Verdana" w:eastAsia="Calibri" w:hAnsi="Verdana" w:cs="Arial"/>
          <w:bCs/>
          <w:color w:val="000000"/>
          <w:lang w:val="es-ES"/>
        </w:rPr>
        <w:t>el artículo 93 del CPACA</w:t>
      </w:r>
      <w:r>
        <w:rPr>
          <w:rStyle w:val="Refdenotaalpie"/>
          <w:rFonts w:ascii="Verdana" w:eastAsia="Calibri" w:hAnsi="Verdana" w:cs="Arial"/>
          <w:bCs/>
          <w:color w:val="000000"/>
          <w:lang w:val="es-ES"/>
        </w:rPr>
        <w:footnoteReference w:id="15"/>
      </w:r>
      <w:r>
        <w:rPr>
          <w:rFonts w:ascii="Verdana" w:eastAsia="Calibri" w:hAnsi="Verdana" w:cs="Arial"/>
          <w:bCs/>
          <w:color w:val="000000"/>
          <w:lang w:val="es-ES"/>
        </w:rPr>
        <w:t>, por remisión del artículo 77 de la Ley 80 de 1993</w:t>
      </w:r>
      <w:r>
        <w:rPr>
          <w:rStyle w:val="Refdenotaalpie"/>
          <w:rFonts w:ascii="Verdana" w:eastAsia="Arial MT" w:hAnsi="Verdana" w:cs="Arial MT"/>
          <w:i/>
          <w:lang w:val="es-ES"/>
        </w:rPr>
        <w:footnoteReference w:id="16"/>
      </w:r>
      <w:r w:rsidRPr="00F358DF">
        <w:rPr>
          <w:rFonts w:ascii="Verdana" w:eastAsia="Arial MT" w:hAnsi="Verdana" w:cs="Arial MT"/>
          <w:i/>
          <w:lang w:val="es-ES"/>
        </w:rPr>
        <w:t xml:space="preserve">. </w:t>
      </w:r>
      <w:r w:rsidRPr="0005092C">
        <w:rPr>
          <w:rFonts w:ascii="Verdana" w:eastAsia="Arial MT" w:hAnsi="Verdana" w:cs="Arial MT"/>
          <w:lang w:val="es-ES"/>
        </w:rPr>
        <w:t>Sin embargo, en la medida en que esté más avanzado el proceso de selección se irán consolidando</w:t>
      </w:r>
      <w:r w:rsidRPr="0005092C">
        <w:rPr>
          <w:rFonts w:ascii="Verdana" w:eastAsia="Arial MT" w:hAnsi="Verdana" w:cs="Arial MT"/>
          <w:spacing w:val="-1"/>
          <w:lang w:val="es-ES"/>
        </w:rPr>
        <w:t xml:space="preserve"> </w:t>
      </w:r>
      <w:r w:rsidRPr="0005092C">
        <w:rPr>
          <w:rFonts w:ascii="Verdana" w:eastAsia="Arial MT" w:hAnsi="Verdana" w:cs="Arial MT"/>
          <w:lang w:val="es-ES"/>
        </w:rPr>
        <w:t>“expectativas”</w:t>
      </w:r>
      <w:r w:rsidRPr="0005092C">
        <w:rPr>
          <w:rFonts w:ascii="Verdana" w:eastAsia="Arial MT" w:hAnsi="Verdana" w:cs="Arial MT"/>
          <w:spacing w:val="-5"/>
          <w:lang w:val="es-ES"/>
        </w:rPr>
        <w:t xml:space="preserve"> </w:t>
      </w:r>
      <w:r w:rsidRPr="0005092C">
        <w:rPr>
          <w:rFonts w:ascii="Verdana" w:eastAsia="Arial MT" w:hAnsi="Verdana" w:cs="Arial MT"/>
          <w:lang w:val="es-ES"/>
        </w:rPr>
        <w:t>jurídicas</w:t>
      </w:r>
      <w:r w:rsidRPr="0005092C">
        <w:rPr>
          <w:rFonts w:ascii="Verdana" w:eastAsia="Arial MT" w:hAnsi="Verdana" w:cs="Arial MT"/>
          <w:spacing w:val="-6"/>
          <w:lang w:val="es-ES"/>
        </w:rPr>
        <w:t xml:space="preserve"> </w:t>
      </w:r>
      <w:r w:rsidRPr="0005092C">
        <w:rPr>
          <w:rFonts w:ascii="Verdana" w:eastAsia="Arial MT" w:hAnsi="Verdana" w:cs="Arial MT"/>
          <w:lang w:val="es-ES"/>
        </w:rPr>
        <w:t>y</w:t>
      </w:r>
      <w:r w:rsidRPr="0005092C">
        <w:rPr>
          <w:rFonts w:ascii="Verdana" w:eastAsia="Arial MT" w:hAnsi="Verdana" w:cs="Arial MT"/>
          <w:spacing w:val="-5"/>
          <w:lang w:val="es-ES"/>
        </w:rPr>
        <w:t xml:space="preserve"> </w:t>
      </w:r>
      <w:r w:rsidRPr="0005092C">
        <w:rPr>
          <w:rFonts w:ascii="Verdana" w:eastAsia="Arial MT" w:hAnsi="Verdana" w:cs="Arial MT"/>
          <w:lang w:val="es-ES"/>
        </w:rPr>
        <w:t>económicas</w:t>
      </w:r>
      <w:r w:rsidRPr="0005092C">
        <w:rPr>
          <w:rFonts w:ascii="Verdana" w:eastAsia="Arial MT" w:hAnsi="Verdana" w:cs="Arial MT"/>
          <w:spacing w:val="-3"/>
          <w:lang w:val="es-ES"/>
        </w:rPr>
        <w:t xml:space="preserve"> </w:t>
      </w:r>
      <w:r w:rsidRPr="0005092C">
        <w:rPr>
          <w:rFonts w:ascii="Verdana" w:eastAsia="Arial MT" w:hAnsi="Verdana" w:cs="Arial MT"/>
          <w:lang w:val="es-ES"/>
        </w:rPr>
        <w:t>de</w:t>
      </w:r>
      <w:r w:rsidRPr="0005092C">
        <w:rPr>
          <w:rFonts w:ascii="Verdana" w:eastAsia="Arial MT" w:hAnsi="Verdana" w:cs="Arial MT"/>
          <w:spacing w:val="-2"/>
          <w:lang w:val="es-ES"/>
        </w:rPr>
        <w:t xml:space="preserve"> </w:t>
      </w:r>
      <w:r w:rsidRPr="0005092C">
        <w:rPr>
          <w:rFonts w:ascii="Verdana" w:eastAsia="Arial MT" w:hAnsi="Verdana" w:cs="Arial MT"/>
          <w:lang w:val="es-ES"/>
        </w:rPr>
        <w:t>los</w:t>
      </w:r>
      <w:r w:rsidRPr="0005092C">
        <w:rPr>
          <w:rFonts w:ascii="Verdana" w:eastAsia="Arial MT" w:hAnsi="Verdana" w:cs="Arial MT"/>
          <w:spacing w:val="-5"/>
          <w:lang w:val="es-ES"/>
        </w:rPr>
        <w:t xml:space="preserve"> </w:t>
      </w:r>
      <w:r w:rsidRPr="0005092C">
        <w:rPr>
          <w:rFonts w:ascii="Verdana" w:eastAsia="Arial MT" w:hAnsi="Verdana" w:cs="Arial MT"/>
          <w:lang w:val="es-ES"/>
        </w:rPr>
        <w:t>participantes,</w:t>
      </w:r>
      <w:r w:rsidRPr="0005092C">
        <w:rPr>
          <w:rFonts w:ascii="Verdana" w:eastAsia="Arial MT" w:hAnsi="Verdana" w:cs="Arial MT"/>
          <w:spacing w:val="-5"/>
          <w:lang w:val="es-ES"/>
        </w:rPr>
        <w:t xml:space="preserve"> </w:t>
      </w:r>
      <w:r w:rsidRPr="0005092C">
        <w:rPr>
          <w:rFonts w:ascii="Verdana" w:eastAsia="Arial MT" w:hAnsi="Verdana" w:cs="Arial MT"/>
          <w:lang w:val="es-ES"/>
        </w:rPr>
        <w:t>y</w:t>
      </w:r>
      <w:r w:rsidRPr="0005092C">
        <w:rPr>
          <w:rFonts w:ascii="Verdana" w:eastAsia="Arial MT" w:hAnsi="Verdana" w:cs="Arial MT"/>
          <w:spacing w:val="-5"/>
          <w:lang w:val="es-ES"/>
        </w:rPr>
        <w:t xml:space="preserve"> </w:t>
      </w:r>
      <w:r w:rsidRPr="0005092C">
        <w:rPr>
          <w:rFonts w:ascii="Verdana" w:eastAsia="Arial MT" w:hAnsi="Verdana" w:cs="Arial MT"/>
          <w:lang w:val="es-ES"/>
        </w:rPr>
        <w:t>en</w:t>
      </w:r>
      <w:r w:rsidRPr="0005092C">
        <w:rPr>
          <w:rFonts w:ascii="Verdana" w:eastAsia="Arial MT" w:hAnsi="Verdana" w:cs="Arial MT"/>
          <w:spacing w:val="-4"/>
          <w:lang w:val="es-ES"/>
        </w:rPr>
        <w:t xml:space="preserve"> </w:t>
      </w:r>
      <w:r w:rsidRPr="0005092C">
        <w:rPr>
          <w:rFonts w:ascii="Verdana" w:eastAsia="Arial MT" w:hAnsi="Verdana" w:cs="Arial MT"/>
          <w:lang w:val="es-ES"/>
        </w:rPr>
        <w:t>esa</w:t>
      </w:r>
      <w:r w:rsidRPr="0005092C">
        <w:rPr>
          <w:rFonts w:ascii="Verdana" w:eastAsia="Arial MT" w:hAnsi="Verdana" w:cs="Arial MT"/>
          <w:spacing w:val="-4"/>
          <w:lang w:val="es-ES"/>
        </w:rPr>
        <w:t xml:space="preserve"> </w:t>
      </w:r>
      <w:r w:rsidRPr="0005092C">
        <w:rPr>
          <w:rFonts w:ascii="Verdana" w:eastAsia="Arial MT" w:hAnsi="Verdana" w:cs="Arial MT"/>
          <w:lang w:val="es-ES"/>
        </w:rPr>
        <w:t>misma</w:t>
      </w:r>
      <w:r w:rsidRPr="0005092C">
        <w:rPr>
          <w:rFonts w:ascii="Verdana" w:eastAsia="Arial MT" w:hAnsi="Verdana" w:cs="Arial MT"/>
          <w:spacing w:val="-2"/>
          <w:lang w:val="es-ES"/>
        </w:rPr>
        <w:t xml:space="preserve"> </w:t>
      </w:r>
      <w:r w:rsidRPr="0005092C">
        <w:rPr>
          <w:rFonts w:ascii="Verdana" w:eastAsia="Arial MT" w:hAnsi="Verdana" w:cs="Arial MT"/>
          <w:lang w:val="es-ES"/>
        </w:rPr>
        <w:t>medida se incrementan los riesgos de causar daños ciertos y personales, que en caso de proferirse una revocatoria,</w:t>
      </w:r>
      <w:r w:rsidRPr="0005092C">
        <w:rPr>
          <w:rFonts w:ascii="Verdana" w:eastAsia="Arial MT" w:hAnsi="Verdana" w:cs="Arial MT"/>
          <w:spacing w:val="-11"/>
          <w:lang w:val="es-ES"/>
        </w:rPr>
        <w:t xml:space="preserve"> </w:t>
      </w:r>
      <w:r w:rsidRPr="0005092C">
        <w:rPr>
          <w:rFonts w:ascii="Verdana" w:eastAsia="Arial MT" w:hAnsi="Verdana" w:cs="Arial MT"/>
          <w:lang w:val="es-ES"/>
        </w:rPr>
        <w:t>podrán</w:t>
      </w:r>
      <w:r w:rsidRPr="0005092C">
        <w:rPr>
          <w:rFonts w:ascii="Verdana" w:eastAsia="Arial MT" w:hAnsi="Verdana" w:cs="Arial MT"/>
          <w:spacing w:val="-10"/>
          <w:lang w:val="es-ES"/>
        </w:rPr>
        <w:t xml:space="preserve"> </w:t>
      </w:r>
      <w:r w:rsidRPr="0005092C">
        <w:rPr>
          <w:rFonts w:ascii="Verdana" w:eastAsia="Arial MT" w:hAnsi="Verdana" w:cs="Arial MT"/>
          <w:lang w:val="es-ES"/>
        </w:rPr>
        <w:t>ser</w:t>
      </w:r>
      <w:r w:rsidRPr="0005092C">
        <w:rPr>
          <w:rFonts w:ascii="Verdana" w:eastAsia="Arial MT" w:hAnsi="Verdana" w:cs="Arial MT"/>
          <w:spacing w:val="-12"/>
          <w:lang w:val="es-ES"/>
        </w:rPr>
        <w:t xml:space="preserve"> </w:t>
      </w:r>
      <w:r w:rsidRPr="0005092C">
        <w:rPr>
          <w:rFonts w:ascii="Verdana" w:eastAsia="Arial MT" w:hAnsi="Verdana" w:cs="Arial MT"/>
          <w:lang w:val="es-ES"/>
        </w:rPr>
        <w:t>objeto</w:t>
      </w:r>
      <w:r w:rsidRPr="0005092C">
        <w:rPr>
          <w:rFonts w:ascii="Verdana" w:eastAsia="Arial MT" w:hAnsi="Verdana" w:cs="Arial MT"/>
          <w:spacing w:val="-12"/>
          <w:lang w:val="es-ES"/>
        </w:rPr>
        <w:t xml:space="preserve"> </w:t>
      </w:r>
      <w:r w:rsidRPr="0005092C">
        <w:rPr>
          <w:rFonts w:ascii="Verdana" w:eastAsia="Arial MT" w:hAnsi="Verdana" w:cs="Arial MT"/>
          <w:lang w:val="es-ES"/>
        </w:rPr>
        <w:t>de</w:t>
      </w:r>
      <w:r w:rsidRPr="0005092C">
        <w:rPr>
          <w:rFonts w:ascii="Verdana" w:eastAsia="Arial MT" w:hAnsi="Verdana" w:cs="Arial MT"/>
          <w:spacing w:val="-10"/>
          <w:lang w:val="es-ES"/>
        </w:rPr>
        <w:t xml:space="preserve"> </w:t>
      </w:r>
      <w:r w:rsidRPr="0005092C">
        <w:rPr>
          <w:rFonts w:ascii="Verdana" w:eastAsia="Arial MT" w:hAnsi="Verdana" w:cs="Arial MT"/>
          <w:lang w:val="es-ES"/>
        </w:rPr>
        <w:t>indemnización</w:t>
      </w:r>
      <w:r w:rsidRPr="0005092C">
        <w:rPr>
          <w:rFonts w:ascii="Verdana" w:eastAsia="Arial MT" w:hAnsi="Verdana" w:cs="Arial MT"/>
          <w:spacing w:val="-11"/>
          <w:lang w:val="es-ES"/>
        </w:rPr>
        <w:t xml:space="preserve"> </w:t>
      </w:r>
      <w:r w:rsidRPr="0005092C">
        <w:rPr>
          <w:rFonts w:ascii="Verdana" w:eastAsia="Arial MT" w:hAnsi="Verdana" w:cs="Arial MT"/>
          <w:lang w:val="es-ES"/>
        </w:rPr>
        <w:t>por</w:t>
      </w:r>
      <w:r w:rsidRPr="0005092C">
        <w:rPr>
          <w:rFonts w:ascii="Verdana" w:eastAsia="Arial MT" w:hAnsi="Verdana" w:cs="Arial MT"/>
          <w:spacing w:val="-12"/>
          <w:lang w:val="es-ES"/>
        </w:rPr>
        <w:t xml:space="preserve"> </w:t>
      </w:r>
      <w:r w:rsidRPr="0005092C">
        <w:rPr>
          <w:rFonts w:ascii="Verdana" w:eastAsia="Arial MT" w:hAnsi="Verdana" w:cs="Arial MT"/>
          <w:lang w:val="es-ES"/>
        </w:rPr>
        <w:t>parte</w:t>
      </w:r>
      <w:r w:rsidRPr="0005092C">
        <w:rPr>
          <w:rFonts w:ascii="Verdana" w:eastAsia="Arial MT" w:hAnsi="Verdana" w:cs="Arial MT"/>
          <w:spacing w:val="-10"/>
          <w:lang w:val="es-ES"/>
        </w:rPr>
        <w:t xml:space="preserve"> </w:t>
      </w:r>
      <w:r w:rsidRPr="0005092C">
        <w:rPr>
          <w:rFonts w:ascii="Verdana" w:eastAsia="Arial MT" w:hAnsi="Verdana" w:cs="Arial MT"/>
          <w:lang w:val="es-ES"/>
        </w:rPr>
        <w:t>de</w:t>
      </w:r>
      <w:r w:rsidRPr="0005092C">
        <w:rPr>
          <w:rFonts w:ascii="Verdana" w:eastAsia="Arial MT" w:hAnsi="Verdana" w:cs="Arial MT"/>
          <w:spacing w:val="-10"/>
          <w:lang w:val="es-ES"/>
        </w:rPr>
        <w:t xml:space="preserve"> </w:t>
      </w:r>
      <w:r w:rsidRPr="0005092C">
        <w:rPr>
          <w:rFonts w:ascii="Verdana" w:eastAsia="Arial MT" w:hAnsi="Verdana" w:cs="Arial MT"/>
          <w:lang w:val="es-ES"/>
        </w:rPr>
        <w:t>la</w:t>
      </w:r>
      <w:r w:rsidRPr="0005092C">
        <w:rPr>
          <w:rFonts w:ascii="Verdana" w:eastAsia="Arial MT" w:hAnsi="Verdana" w:cs="Arial MT"/>
          <w:spacing w:val="-13"/>
          <w:lang w:val="es-ES"/>
        </w:rPr>
        <w:t xml:space="preserve"> </w:t>
      </w:r>
      <w:r w:rsidRPr="0005092C">
        <w:rPr>
          <w:rFonts w:ascii="Verdana" w:eastAsia="Arial MT" w:hAnsi="Verdana" w:cs="Arial MT"/>
          <w:lang w:val="es-ES"/>
        </w:rPr>
        <w:t>administración,</w:t>
      </w:r>
      <w:r w:rsidRPr="0005092C">
        <w:rPr>
          <w:rFonts w:ascii="Verdana" w:eastAsia="Arial MT" w:hAnsi="Verdana" w:cs="Arial MT"/>
          <w:spacing w:val="-11"/>
          <w:lang w:val="es-ES"/>
        </w:rPr>
        <w:t xml:space="preserve"> </w:t>
      </w:r>
      <w:r w:rsidRPr="0005092C">
        <w:rPr>
          <w:rFonts w:ascii="Verdana" w:eastAsia="Arial MT" w:hAnsi="Verdana" w:cs="Arial MT"/>
          <w:lang w:val="es-ES"/>
        </w:rPr>
        <w:t>siempre</w:t>
      </w:r>
      <w:r w:rsidRPr="0005092C">
        <w:rPr>
          <w:rFonts w:ascii="Verdana" w:eastAsia="Arial MT" w:hAnsi="Verdana" w:cs="Arial MT"/>
          <w:spacing w:val="-10"/>
          <w:lang w:val="es-ES"/>
        </w:rPr>
        <w:t xml:space="preserve"> </w:t>
      </w:r>
      <w:r w:rsidRPr="0005092C">
        <w:rPr>
          <w:rFonts w:ascii="Verdana" w:eastAsia="Arial MT" w:hAnsi="Verdana" w:cs="Arial MT"/>
          <w:lang w:val="es-ES"/>
        </w:rPr>
        <w:t>y</w:t>
      </w:r>
      <w:r w:rsidRPr="0005092C">
        <w:rPr>
          <w:rFonts w:ascii="Verdana" w:eastAsia="Arial MT" w:hAnsi="Verdana" w:cs="Arial MT"/>
          <w:spacing w:val="-11"/>
          <w:lang w:val="es-ES"/>
        </w:rPr>
        <w:t xml:space="preserve"> </w:t>
      </w:r>
      <w:r w:rsidRPr="0005092C">
        <w:rPr>
          <w:rFonts w:ascii="Verdana" w:eastAsia="Arial MT" w:hAnsi="Verdana" w:cs="Arial MT"/>
          <w:lang w:val="es-ES"/>
        </w:rPr>
        <w:t>cuando ex</w:t>
      </w:r>
      <w:r>
        <w:rPr>
          <w:rFonts w:ascii="Verdana" w:eastAsia="Arial MT" w:hAnsi="Verdana" w:cs="Arial MT"/>
          <w:lang w:val="es-ES"/>
        </w:rPr>
        <w:t>ista prueba de su configuración</w:t>
      </w:r>
      <w:r w:rsidRPr="0005092C">
        <w:rPr>
          <w:rFonts w:ascii="Verdana" w:eastAsia="Arial MT" w:hAnsi="Verdana" w:cs="Arial MT"/>
          <w:spacing w:val="-2"/>
          <w:lang w:val="es-ES"/>
        </w:rPr>
        <w:t>.</w:t>
      </w:r>
      <w:r>
        <w:rPr>
          <w:rFonts w:ascii="Verdana" w:eastAsia="Calibri" w:hAnsi="Verdana" w:cs="Arial"/>
          <w:bCs/>
          <w:color w:val="000000"/>
        </w:rPr>
        <w:t xml:space="preserve"> </w:t>
      </w:r>
    </w:p>
    <w:p w14:paraId="3AA2E9A7" w14:textId="77777777" w:rsidR="00960C09" w:rsidRDefault="00960C09" w:rsidP="00960C09">
      <w:pPr>
        <w:spacing w:after="120" w:line="276" w:lineRule="auto"/>
        <w:ind w:firstLine="708"/>
        <w:jc w:val="both"/>
        <w:rPr>
          <w:rFonts w:ascii="Verdana" w:eastAsia="Calibri" w:hAnsi="Verdana" w:cs="Arial"/>
          <w:bCs/>
          <w:color w:val="000000"/>
        </w:rPr>
      </w:pPr>
      <w:r w:rsidRPr="0020142F">
        <w:rPr>
          <w:rFonts w:ascii="Verdana" w:eastAsia="Arial MT" w:hAnsi="Verdana" w:cs="Arial MT"/>
          <w:i/>
          <w:lang w:val="es-ES"/>
        </w:rPr>
        <w:t>Tesis 2.</w:t>
      </w:r>
      <w:r w:rsidRPr="00077EA1">
        <w:rPr>
          <w:rFonts w:ascii="Verdana" w:eastAsia="Arial MT" w:hAnsi="Verdana" w:cs="Arial MT"/>
          <w:b/>
          <w:lang w:val="es-ES"/>
        </w:rPr>
        <w:t xml:space="preserve"> </w:t>
      </w:r>
      <w:r w:rsidRPr="00077EA1">
        <w:rPr>
          <w:rFonts w:ascii="Verdana" w:eastAsia="Arial MT" w:hAnsi="Verdana" w:cs="Arial MT"/>
          <w:lang w:val="es-ES"/>
        </w:rPr>
        <w:t>No</w:t>
      </w:r>
      <w:r w:rsidRPr="00077EA1">
        <w:rPr>
          <w:rFonts w:ascii="Verdana" w:eastAsia="Arial MT" w:hAnsi="Verdana" w:cs="Arial MT"/>
          <w:spacing w:val="-4"/>
          <w:lang w:val="es-ES"/>
        </w:rPr>
        <w:t xml:space="preserve"> </w:t>
      </w:r>
      <w:r w:rsidRPr="00077EA1">
        <w:rPr>
          <w:rFonts w:ascii="Verdana" w:eastAsia="Arial MT" w:hAnsi="Verdana" w:cs="Arial MT"/>
          <w:lang w:val="es-ES"/>
        </w:rPr>
        <w:t>es</w:t>
      </w:r>
      <w:r w:rsidRPr="00077EA1">
        <w:rPr>
          <w:rFonts w:ascii="Verdana" w:eastAsia="Arial MT" w:hAnsi="Verdana" w:cs="Arial MT"/>
          <w:spacing w:val="-4"/>
          <w:lang w:val="es-ES"/>
        </w:rPr>
        <w:t xml:space="preserve"> </w:t>
      </w:r>
      <w:r w:rsidRPr="00077EA1">
        <w:rPr>
          <w:rFonts w:ascii="Verdana" w:eastAsia="Arial MT" w:hAnsi="Verdana" w:cs="Arial MT"/>
          <w:lang w:val="es-ES"/>
        </w:rPr>
        <w:t>posible</w:t>
      </w:r>
      <w:r w:rsidRPr="00077EA1">
        <w:rPr>
          <w:rFonts w:ascii="Verdana" w:eastAsia="Arial MT" w:hAnsi="Verdana" w:cs="Arial MT"/>
          <w:spacing w:val="-4"/>
          <w:lang w:val="es-ES"/>
        </w:rPr>
        <w:t xml:space="preserve"> </w:t>
      </w:r>
      <w:r w:rsidRPr="00077EA1">
        <w:rPr>
          <w:rFonts w:ascii="Verdana" w:eastAsia="Arial MT" w:hAnsi="Verdana" w:cs="Arial MT"/>
          <w:lang w:val="es-ES"/>
        </w:rPr>
        <w:t>revocar</w:t>
      </w:r>
      <w:r w:rsidRPr="00077EA1">
        <w:rPr>
          <w:rFonts w:ascii="Verdana" w:eastAsia="Arial MT" w:hAnsi="Verdana" w:cs="Arial MT"/>
          <w:spacing w:val="-4"/>
          <w:lang w:val="es-ES"/>
        </w:rPr>
        <w:t xml:space="preserve"> </w:t>
      </w:r>
      <w:r w:rsidRPr="00077EA1">
        <w:rPr>
          <w:rFonts w:ascii="Verdana" w:eastAsia="Arial MT" w:hAnsi="Verdana" w:cs="Arial MT"/>
          <w:lang w:val="es-ES"/>
        </w:rPr>
        <w:t>unilateralmente</w:t>
      </w:r>
      <w:r w:rsidRPr="00077EA1">
        <w:rPr>
          <w:rFonts w:ascii="Verdana" w:eastAsia="Arial MT" w:hAnsi="Verdana" w:cs="Arial MT"/>
          <w:spacing w:val="-4"/>
          <w:lang w:val="es-ES"/>
        </w:rPr>
        <w:t xml:space="preserve"> </w:t>
      </w:r>
      <w:r w:rsidRPr="00077EA1">
        <w:rPr>
          <w:rFonts w:ascii="Verdana" w:eastAsia="Arial MT" w:hAnsi="Verdana" w:cs="Arial MT"/>
          <w:lang w:val="es-ES"/>
        </w:rPr>
        <w:t>el</w:t>
      </w:r>
      <w:r w:rsidRPr="00077EA1">
        <w:rPr>
          <w:rFonts w:ascii="Verdana" w:eastAsia="Arial MT" w:hAnsi="Verdana" w:cs="Arial MT"/>
          <w:spacing w:val="-4"/>
          <w:lang w:val="es-ES"/>
        </w:rPr>
        <w:t xml:space="preserve"> </w:t>
      </w:r>
      <w:r w:rsidRPr="00077EA1">
        <w:rPr>
          <w:rFonts w:ascii="Verdana" w:eastAsia="Arial MT" w:hAnsi="Verdana" w:cs="Arial MT"/>
          <w:lang w:val="es-ES"/>
        </w:rPr>
        <w:t>acto</w:t>
      </w:r>
      <w:r w:rsidRPr="00077EA1">
        <w:rPr>
          <w:rFonts w:ascii="Verdana" w:eastAsia="Arial MT" w:hAnsi="Verdana" w:cs="Arial MT"/>
          <w:spacing w:val="-4"/>
          <w:lang w:val="es-ES"/>
        </w:rPr>
        <w:t xml:space="preserve"> </w:t>
      </w:r>
      <w:r w:rsidRPr="00077EA1">
        <w:rPr>
          <w:rFonts w:ascii="Verdana" w:eastAsia="Arial MT" w:hAnsi="Verdana" w:cs="Arial MT"/>
          <w:lang w:val="es-ES"/>
        </w:rPr>
        <w:t>de</w:t>
      </w:r>
      <w:r w:rsidRPr="00077EA1">
        <w:rPr>
          <w:rFonts w:ascii="Verdana" w:eastAsia="Arial MT" w:hAnsi="Verdana" w:cs="Arial MT"/>
          <w:spacing w:val="-4"/>
          <w:lang w:val="es-ES"/>
        </w:rPr>
        <w:t xml:space="preserve"> </w:t>
      </w:r>
      <w:r w:rsidRPr="00077EA1">
        <w:rPr>
          <w:rFonts w:ascii="Verdana" w:eastAsia="Arial MT" w:hAnsi="Verdana" w:cs="Arial MT"/>
          <w:lang w:val="es-ES"/>
        </w:rPr>
        <w:t>apertura,</w:t>
      </w:r>
      <w:r w:rsidRPr="00077EA1">
        <w:rPr>
          <w:rFonts w:ascii="Verdana" w:eastAsia="Arial MT" w:hAnsi="Verdana" w:cs="Arial MT"/>
          <w:spacing w:val="-4"/>
          <w:lang w:val="es-ES"/>
        </w:rPr>
        <w:t xml:space="preserve"> </w:t>
      </w:r>
      <w:r w:rsidRPr="00077EA1">
        <w:rPr>
          <w:rFonts w:ascii="Verdana" w:eastAsia="Arial MT" w:hAnsi="Verdana" w:cs="Arial MT"/>
          <w:lang w:val="es-ES"/>
        </w:rPr>
        <w:t>por</w:t>
      </w:r>
      <w:r w:rsidRPr="00077EA1">
        <w:rPr>
          <w:rFonts w:ascii="Verdana" w:eastAsia="Arial MT" w:hAnsi="Verdana" w:cs="Arial MT"/>
          <w:spacing w:val="-4"/>
          <w:lang w:val="es-ES"/>
        </w:rPr>
        <w:t xml:space="preserve"> </w:t>
      </w:r>
      <w:r w:rsidRPr="00077EA1">
        <w:rPr>
          <w:rFonts w:ascii="Verdana" w:eastAsia="Arial MT" w:hAnsi="Verdana" w:cs="Arial MT"/>
          <w:lang w:val="es-ES"/>
        </w:rPr>
        <w:t>cuanto</w:t>
      </w:r>
      <w:r w:rsidRPr="00077EA1">
        <w:rPr>
          <w:rFonts w:ascii="Verdana" w:eastAsia="Arial MT" w:hAnsi="Verdana" w:cs="Arial MT"/>
          <w:spacing w:val="-4"/>
          <w:lang w:val="es-ES"/>
        </w:rPr>
        <w:t xml:space="preserve"> </w:t>
      </w:r>
      <w:r w:rsidRPr="00077EA1">
        <w:rPr>
          <w:rFonts w:ascii="Verdana" w:eastAsia="Arial MT" w:hAnsi="Verdana" w:cs="Arial MT"/>
          <w:lang w:val="es-ES"/>
        </w:rPr>
        <w:t>la</w:t>
      </w:r>
      <w:r w:rsidRPr="00077EA1">
        <w:rPr>
          <w:rFonts w:ascii="Verdana" w:eastAsia="Arial MT" w:hAnsi="Verdana" w:cs="Arial MT"/>
          <w:spacing w:val="-4"/>
          <w:lang w:val="es-ES"/>
        </w:rPr>
        <w:t xml:space="preserve"> </w:t>
      </w:r>
      <w:r w:rsidRPr="00077EA1">
        <w:rPr>
          <w:rFonts w:ascii="Verdana" w:eastAsia="Arial MT" w:hAnsi="Verdana" w:cs="Arial MT"/>
          <w:lang w:val="es-ES"/>
        </w:rPr>
        <w:t>administración debe iniciar la actuación y solicitar el consentimiento de quien</w:t>
      </w:r>
      <w:r w:rsidRPr="00077EA1">
        <w:rPr>
          <w:rFonts w:ascii="Verdana" w:eastAsia="Arial MT" w:hAnsi="Verdana" w:cs="Arial MT"/>
          <w:spacing w:val="-14"/>
          <w:lang w:val="es-ES"/>
        </w:rPr>
        <w:t xml:space="preserve"> </w:t>
      </w:r>
      <w:r w:rsidRPr="00077EA1">
        <w:rPr>
          <w:rFonts w:ascii="Verdana" w:eastAsia="Arial MT" w:hAnsi="Verdana" w:cs="Arial MT"/>
          <w:lang w:val="es-ES"/>
        </w:rPr>
        <w:t>o</w:t>
      </w:r>
      <w:r w:rsidRPr="00077EA1">
        <w:rPr>
          <w:rFonts w:ascii="Verdana" w:eastAsia="Arial MT" w:hAnsi="Verdana" w:cs="Arial MT"/>
          <w:spacing w:val="-14"/>
          <w:lang w:val="es-ES"/>
        </w:rPr>
        <w:t xml:space="preserve"> </w:t>
      </w:r>
      <w:r w:rsidRPr="00077EA1">
        <w:rPr>
          <w:rFonts w:ascii="Verdana" w:eastAsia="Arial MT" w:hAnsi="Verdana" w:cs="Arial MT"/>
          <w:lang w:val="es-ES"/>
        </w:rPr>
        <w:t>quienes</w:t>
      </w:r>
      <w:r w:rsidRPr="00077EA1">
        <w:rPr>
          <w:rFonts w:ascii="Verdana" w:eastAsia="Arial MT" w:hAnsi="Verdana" w:cs="Arial MT"/>
          <w:spacing w:val="-16"/>
          <w:lang w:val="es-ES"/>
        </w:rPr>
        <w:t xml:space="preserve"> </w:t>
      </w:r>
      <w:r w:rsidRPr="00077EA1">
        <w:rPr>
          <w:rFonts w:ascii="Verdana" w:eastAsia="Arial MT" w:hAnsi="Verdana" w:cs="Arial MT"/>
          <w:lang w:val="es-ES"/>
        </w:rPr>
        <w:t>hayan</w:t>
      </w:r>
      <w:r w:rsidRPr="00077EA1">
        <w:rPr>
          <w:rFonts w:ascii="Verdana" w:eastAsia="Arial MT" w:hAnsi="Verdana" w:cs="Arial MT"/>
          <w:spacing w:val="-14"/>
          <w:lang w:val="es-ES"/>
        </w:rPr>
        <w:t xml:space="preserve"> </w:t>
      </w:r>
      <w:r w:rsidRPr="00077EA1">
        <w:rPr>
          <w:rFonts w:ascii="Verdana" w:eastAsia="Arial MT" w:hAnsi="Verdana" w:cs="Arial MT"/>
          <w:lang w:val="es-ES"/>
        </w:rPr>
        <w:t>presentado</w:t>
      </w:r>
      <w:r w:rsidRPr="00077EA1">
        <w:rPr>
          <w:rFonts w:ascii="Verdana" w:eastAsia="Arial MT" w:hAnsi="Verdana" w:cs="Arial MT"/>
          <w:spacing w:val="-14"/>
          <w:lang w:val="es-ES"/>
        </w:rPr>
        <w:t xml:space="preserve"> </w:t>
      </w:r>
      <w:r w:rsidRPr="00077EA1">
        <w:rPr>
          <w:rFonts w:ascii="Verdana" w:eastAsia="Arial MT" w:hAnsi="Verdana" w:cs="Arial MT"/>
          <w:lang w:val="es-ES"/>
        </w:rPr>
        <w:t>ofertas</w:t>
      </w:r>
      <w:r w:rsidRPr="00077EA1">
        <w:rPr>
          <w:rFonts w:ascii="Verdana" w:eastAsia="Arial MT" w:hAnsi="Verdana" w:cs="Arial MT"/>
          <w:spacing w:val="-9"/>
          <w:lang w:val="es-ES"/>
        </w:rPr>
        <w:t xml:space="preserve"> </w:t>
      </w:r>
      <w:r w:rsidRPr="00077EA1">
        <w:rPr>
          <w:rFonts w:ascii="Verdana" w:eastAsia="Arial MT" w:hAnsi="Verdana" w:cs="Arial MT"/>
          <w:lang w:val="es-ES"/>
        </w:rPr>
        <w:t>dentro</w:t>
      </w:r>
      <w:r w:rsidRPr="00077EA1">
        <w:rPr>
          <w:rFonts w:ascii="Verdana" w:eastAsia="Arial MT" w:hAnsi="Verdana" w:cs="Arial MT"/>
          <w:spacing w:val="-13"/>
          <w:lang w:val="es-ES"/>
        </w:rPr>
        <w:t xml:space="preserve"> </w:t>
      </w:r>
      <w:r w:rsidRPr="00077EA1">
        <w:rPr>
          <w:rFonts w:ascii="Verdana" w:eastAsia="Arial MT" w:hAnsi="Verdana" w:cs="Arial MT"/>
          <w:lang w:val="es-ES"/>
        </w:rPr>
        <w:t>del</w:t>
      </w:r>
      <w:r w:rsidRPr="00077EA1">
        <w:rPr>
          <w:rFonts w:ascii="Verdana" w:eastAsia="Arial MT" w:hAnsi="Verdana" w:cs="Arial MT"/>
          <w:spacing w:val="-11"/>
          <w:lang w:val="es-ES"/>
        </w:rPr>
        <w:t xml:space="preserve"> </w:t>
      </w:r>
      <w:r w:rsidRPr="00077EA1">
        <w:rPr>
          <w:rFonts w:ascii="Verdana" w:eastAsia="Arial MT" w:hAnsi="Verdana" w:cs="Arial MT"/>
          <w:lang w:val="es-ES"/>
        </w:rPr>
        <w:t>plazo</w:t>
      </w:r>
      <w:r w:rsidRPr="00077EA1">
        <w:rPr>
          <w:rFonts w:ascii="Verdana" w:eastAsia="Arial MT" w:hAnsi="Verdana" w:cs="Arial MT"/>
          <w:spacing w:val="-17"/>
          <w:lang w:val="es-ES"/>
        </w:rPr>
        <w:t xml:space="preserve"> </w:t>
      </w:r>
      <w:r w:rsidRPr="00077EA1">
        <w:rPr>
          <w:rFonts w:ascii="Verdana" w:eastAsia="Arial MT" w:hAnsi="Verdana" w:cs="Arial MT"/>
          <w:lang w:val="es-ES"/>
        </w:rPr>
        <w:t>previsto</w:t>
      </w:r>
      <w:r w:rsidRPr="00077EA1">
        <w:rPr>
          <w:rFonts w:ascii="Verdana" w:eastAsia="Arial MT" w:hAnsi="Verdana" w:cs="Arial MT"/>
          <w:spacing w:val="-13"/>
          <w:lang w:val="es-ES"/>
        </w:rPr>
        <w:t xml:space="preserve"> </w:t>
      </w:r>
      <w:r w:rsidRPr="00077EA1">
        <w:rPr>
          <w:rFonts w:ascii="Verdana" w:eastAsia="Arial MT" w:hAnsi="Verdana" w:cs="Arial MT"/>
          <w:lang w:val="es-ES"/>
        </w:rPr>
        <w:t>en</w:t>
      </w:r>
      <w:r w:rsidRPr="00077EA1">
        <w:rPr>
          <w:rFonts w:ascii="Verdana" w:eastAsia="Arial MT" w:hAnsi="Verdana" w:cs="Arial MT"/>
          <w:spacing w:val="-13"/>
          <w:lang w:val="es-ES"/>
        </w:rPr>
        <w:t xml:space="preserve"> </w:t>
      </w:r>
      <w:r w:rsidRPr="00077EA1">
        <w:rPr>
          <w:rFonts w:ascii="Verdana" w:eastAsia="Arial MT" w:hAnsi="Verdana" w:cs="Arial MT"/>
          <w:lang w:val="es-ES"/>
        </w:rPr>
        <w:t>los</w:t>
      </w:r>
      <w:r w:rsidRPr="00077EA1">
        <w:rPr>
          <w:rFonts w:ascii="Verdana" w:eastAsia="Arial MT" w:hAnsi="Verdana" w:cs="Arial MT"/>
          <w:spacing w:val="-20"/>
          <w:lang w:val="es-ES"/>
        </w:rPr>
        <w:t xml:space="preserve"> </w:t>
      </w:r>
      <w:r w:rsidRPr="00077EA1">
        <w:rPr>
          <w:rFonts w:ascii="Verdana" w:eastAsia="Arial MT" w:hAnsi="Verdana" w:cs="Arial MT"/>
          <w:lang w:val="es-ES"/>
        </w:rPr>
        <w:lastRenderedPageBreak/>
        <w:t>pliegos</w:t>
      </w:r>
      <w:r w:rsidRPr="00077EA1">
        <w:rPr>
          <w:rFonts w:ascii="Verdana" w:eastAsia="Arial MT" w:hAnsi="Verdana" w:cs="Arial MT"/>
          <w:spacing w:val="-15"/>
          <w:lang w:val="es-ES"/>
        </w:rPr>
        <w:t xml:space="preserve"> </w:t>
      </w:r>
      <w:r w:rsidRPr="00077EA1">
        <w:rPr>
          <w:rFonts w:ascii="Verdana" w:eastAsia="Arial MT" w:hAnsi="Verdana" w:cs="Arial MT"/>
          <w:lang w:val="es-ES"/>
        </w:rPr>
        <w:t>de</w:t>
      </w:r>
      <w:r w:rsidRPr="00077EA1">
        <w:rPr>
          <w:rFonts w:ascii="Verdana" w:eastAsia="Arial MT" w:hAnsi="Verdana" w:cs="Arial MT"/>
          <w:spacing w:val="-13"/>
          <w:lang w:val="es-ES"/>
        </w:rPr>
        <w:t xml:space="preserve"> </w:t>
      </w:r>
      <w:r w:rsidRPr="00077EA1">
        <w:rPr>
          <w:rFonts w:ascii="Verdana" w:eastAsia="Arial MT" w:hAnsi="Verdana" w:cs="Arial MT"/>
          <w:lang w:val="es-ES"/>
        </w:rPr>
        <w:t>condiciones. Lo anterior por cuanto una vez los interesados presentan sus respectivas ofertas, se genera</w:t>
      </w:r>
      <w:r w:rsidRPr="00077EA1">
        <w:rPr>
          <w:rFonts w:ascii="Verdana" w:eastAsia="Arial MT" w:hAnsi="Verdana" w:cs="Arial MT"/>
          <w:spacing w:val="-11"/>
          <w:lang w:val="es-ES"/>
        </w:rPr>
        <w:t xml:space="preserve"> </w:t>
      </w:r>
      <w:r w:rsidRPr="00077EA1">
        <w:rPr>
          <w:rFonts w:ascii="Verdana" w:eastAsia="Arial MT" w:hAnsi="Verdana" w:cs="Arial MT"/>
          <w:lang w:val="es-ES"/>
        </w:rPr>
        <w:t>la</w:t>
      </w:r>
      <w:r w:rsidRPr="00077EA1">
        <w:rPr>
          <w:rFonts w:ascii="Verdana" w:eastAsia="Arial MT" w:hAnsi="Verdana" w:cs="Arial MT"/>
          <w:spacing w:val="-10"/>
          <w:lang w:val="es-ES"/>
        </w:rPr>
        <w:t xml:space="preserve"> </w:t>
      </w:r>
      <w:r w:rsidRPr="00077EA1">
        <w:rPr>
          <w:rFonts w:ascii="Verdana" w:eastAsia="Arial MT" w:hAnsi="Verdana" w:cs="Arial MT"/>
          <w:lang w:val="es-ES"/>
        </w:rPr>
        <w:t>legítima</w:t>
      </w:r>
      <w:r w:rsidRPr="00077EA1">
        <w:rPr>
          <w:rFonts w:ascii="Verdana" w:eastAsia="Arial MT" w:hAnsi="Verdana" w:cs="Arial MT"/>
          <w:spacing w:val="-10"/>
          <w:lang w:val="es-ES"/>
        </w:rPr>
        <w:t xml:space="preserve"> </w:t>
      </w:r>
      <w:r w:rsidRPr="00077EA1">
        <w:rPr>
          <w:rFonts w:ascii="Verdana" w:eastAsia="Arial MT" w:hAnsi="Verdana" w:cs="Arial MT"/>
          <w:lang w:val="es-ES"/>
        </w:rPr>
        <w:t>expectativa</w:t>
      </w:r>
      <w:r w:rsidRPr="00077EA1">
        <w:rPr>
          <w:rFonts w:ascii="Verdana" w:eastAsia="Arial MT" w:hAnsi="Verdana" w:cs="Arial MT"/>
          <w:spacing w:val="-11"/>
          <w:lang w:val="es-ES"/>
        </w:rPr>
        <w:t xml:space="preserve"> </w:t>
      </w:r>
      <w:r w:rsidRPr="00077EA1">
        <w:rPr>
          <w:rFonts w:ascii="Verdana" w:eastAsia="Arial MT" w:hAnsi="Verdana" w:cs="Arial MT"/>
          <w:lang w:val="es-ES"/>
        </w:rPr>
        <w:t>de</w:t>
      </w:r>
      <w:r w:rsidRPr="00077EA1">
        <w:rPr>
          <w:rFonts w:ascii="Verdana" w:eastAsia="Arial MT" w:hAnsi="Verdana" w:cs="Arial MT"/>
          <w:spacing w:val="-10"/>
          <w:lang w:val="es-ES"/>
        </w:rPr>
        <w:t xml:space="preserve"> </w:t>
      </w:r>
      <w:r w:rsidRPr="00077EA1">
        <w:rPr>
          <w:rFonts w:ascii="Verdana" w:eastAsia="Arial MT" w:hAnsi="Verdana" w:cs="Arial MT"/>
          <w:lang w:val="es-ES"/>
        </w:rPr>
        <w:t>que</w:t>
      </w:r>
      <w:r w:rsidRPr="00077EA1">
        <w:rPr>
          <w:rFonts w:ascii="Verdana" w:eastAsia="Arial MT" w:hAnsi="Verdana" w:cs="Arial MT"/>
          <w:spacing w:val="-10"/>
          <w:lang w:val="es-ES"/>
        </w:rPr>
        <w:t xml:space="preserve"> </w:t>
      </w:r>
      <w:r w:rsidRPr="00077EA1">
        <w:rPr>
          <w:rFonts w:ascii="Verdana" w:eastAsia="Arial MT" w:hAnsi="Verdana" w:cs="Arial MT"/>
          <w:lang w:val="es-ES"/>
        </w:rPr>
        <w:t>su</w:t>
      </w:r>
      <w:r w:rsidRPr="00077EA1">
        <w:rPr>
          <w:rFonts w:ascii="Verdana" w:eastAsia="Arial MT" w:hAnsi="Verdana" w:cs="Arial MT"/>
          <w:spacing w:val="-13"/>
          <w:lang w:val="es-ES"/>
        </w:rPr>
        <w:t xml:space="preserve"> </w:t>
      </w:r>
      <w:r w:rsidRPr="00077EA1">
        <w:rPr>
          <w:rFonts w:ascii="Verdana" w:eastAsia="Arial MT" w:hAnsi="Verdana" w:cs="Arial MT"/>
          <w:lang w:val="es-ES"/>
        </w:rPr>
        <w:t>propuesta</w:t>
      </w:r>
      <w:r w:rsidRPr="00077EA1">
        <w:rPr>
          <w:rFonts w:ascii="Verdana" w:eastAsia="Arial MT" w:hAnsi="Verdana" w:cs="Arial MT"/>
          <w:spacing w:val="-11"/>
          <w:lang w:val="es-ES"/>
        </w:rPr>
        <w:t xml:space="preserve"> </w:t>
      </w:r>
      <w:r w:rsidRPr="00077EA1">
        <w:rPr>
          <w:rFonts w:ascii="Verdana" w:eastAsia="Arial MT" w:hAnsi="Verdana" w:cs="Arial MT"/>
          <w:lang w:val="es-ES"/>
        </w:rPr>
        <w:t>sea</w:t>
      </w:r>
      <w:r w:rsidRPr="00077EA1">
        <w:rPr>
          <w:rFonts w:ascii="Verdana" w:eastAsia="Arial MT" w:hAnsi="Verdana" w:cs="Arial MT"/>
          <w:spacing w:val="-10"/>
          <w:lang w:val="es-ES"/>
        </w:rPr>
        <w:t xml:space="preserve"> </w:t>
      </w:r>
      <w:r w:rsidRPr="00077EA1">
        <w:rPr>
          <w:rFonts w:ascii="Verdana" w:eastAsia="Arial MT" w:hAnsi="Verdana" w:cs="Arial MT"/>
          <w:lang w:val="es-ES"/>
        </w:rPr>
        <w:t>considerada</w:t>
      </w:r>
      <w:r w:rsidRPr="00077EA1">
        <w:rPr>
          <w:rFonts w:ascii="Verdana" w:eastAsia="Arial MT" w:hAnsi="Verdana" w:cs="Arial MT"/>
          <w:spacing w:val="-11"/>
          <w:lang w:val="es-ES"/>
        </w:rPr>
        <w:t xml:space="preserve"> </w:t>
      </w:r>
      <w:r w:rsidRPr="00077EA1">
        <w:rPr>
          <w:rFonts w:ascii="Verdana" w:eastAsia="Arial MT" w:hAnsi="Verdana" w:cs="Arial MT"/>
          <w:lang w:val="es-ES"/>
        </w:rPr>
        <w:t>y,</w:t>
      </w:r>
      <w:r w:rsidRPr="00077EA1">
        <w:rPr>
          <w:rFonts w:ascii="Verdana" w:eastAsia="Arial MT" w:hAnsi="Verdana" w:cs="Arial MT"/>
          <w:spacing w:val="-11"/>
          <w:lang w:val="es-ES"/>
        </w:rPr>
        <w:t xml:space="preserve"> </w:t>
      </w:r>
      <w:r w:rsidRPr="00077EA1">
        <w:rPr>
          <w:rFonts w:ascii="Verdana" w:eastAsia="Arial MT" w:hAnsi="Verdana" w:cs="Arial MT"/>
          <w:lang w:val="es-ES"/>
        </w:rPr>
        <w:t>en</w:t>
      </w:r>
      <w:r w:rsidRPr="00077EA1">
        <w:rPr>
          <w:rFonts w:ascii="Verdana" w:eastAsia="Arial MT" w:hAnsi="Verdana" w:cs="Arial MT"/>
          <w:spacing w:val="-10"/>
          <w:lang w:val="es-ES"/>
        </w:rPr>
        <w:t xml:space="preserve"> </w:t>
      </w:r>
      <w:r w:rsidRPr="00077EA1">
        <w:rPr>
          <w:rFonts w:ascii="Verdana" w:eastAsia="Arial MT" w:hAnsi="Verdana" w:cs="Arial MT"/>
          <w:lang w:val="es-ES"/>
        </w:rPr>
        <w:t>ese</w:t>
      </w:r>
      <w:r w:rsidRPr="00077EA1">
        <w:rPr>
          <w:rFonts w:ascii="Verdana" w:eastAsia="Arial MT" w:hAnsi="Verdana" w:cs="Arial MT"/>
          <w:spacing w:val="-10"/>
          <w:lang w:val="es-ES"/>
        </w:rPr>
        <w:t xml:space="preserve"> </w:t>
      </w:r>
      <w:r w:rsidRPr="00077EA1">
        <w:rPr>
          <w:rFonts w:ascii="Verdana" w:eastAsia="Arial MT" w:hAnsi="Verdana" w:cs="Arial MT"/>
          <w:lang w:val="es-ES"/>
        </w:rPr>
        <w:t>momento,</w:t>
      </w:r>
      <w:r w:rsidRPr="00077EA1">
        <w:rPr>
          <w:rFonts w:ascii="Verdana" w:eastAsia="Arial MT" w:hAnsi="Verdana" w:cs="Arial MT"/>
          <w:spacing w:val="-10"/>
          <w:lang w:val="es-ES"/>
        </w:rPr>
        <w:t xml:space="preserve"> </w:t>
      </w:r>
      <w:r w:rsidRPr="00077EA1">
        <w:rPr>
          <w:rFonts w:ascii="Verdana" w:eastAsia="Arial MT" w:hAnsi="Verdana" w:cs="Arial MT"/>
          <w:lang w:val="es-ES"/>
        </w:rPr>
        <w:t>la</w:t>
      </w:r>
      <w:r w:rsidRPr="00077EA1">
        <w:rPr>
          <w:rFonts w:ascii="Verdana" w:eastAsia="Arial MT" w:hAnsi="Verdana" w:cs="Arial MT"/>
          <w:spacing w:val="-10"/>
          <w:lang w:val="es-ES"/>
        </w:rPr>
        <w:t xml:space="preserve"> </w:t>
      </w:r>
      <w:r w:rsidRPr="00077EA1">
        <w:rPr>
          <w:rFonts w:ascii="Verdana" w:eastAsia="Arial MT" w:hAnsi="Verdana" w:cs="Arial MT"/>
          <w:lang w:val="es-ES"/>
        </w:rPr>
        <w:t>oferta pública de la administración, contenida en el acto de apertura del proceso de selección, se particulariza y se convierte en irrevocable</w:t>
      </w:r>
      <w:r>
        <w:rPr>
          <w:rFonts w:ascii="Verdana" w:eastAsia="Arial MT" w:hAnsi="Verdana" w:cs="Arial MT"/>
          <w:lang w:val="es-ES"/>
        </w:rPr>
        <w:t>, salvo que haya sido obtenida por medios ilegales</w:t>
      </w:r>
      <w:r>
        <w:rPr>
          <w:rStyle w:val="Refdenotaalpie"/>
          <w:rFonts w:ascii="Verdana" w:eastAsia="Arial MT" w:hAnsi="Verdana" w:cs="Arial MT"/>
        </w:rPr>
        <w:footnoteReference w:id="17"/>
      </w:r>
      <w:r w:rsidRPr="00077EA1">
        <w:rPr>
          <w:rFonts w:ascii="Verdana" w:eastAsia="Arial MT" w:hAnsi="Verdana" w:cs="Arial MT"/>
        </w:rPr>
        <w:t>.</w:t>
      </w:r>
    </w:p>
    <w:p w14:paraId="16EA7D7E" w14:textId="77777777" w:rsidR="00960C09" w:rsidRDefault="00960C09" w:rsidP="00960C09">
      <w:pPr>
        <w:spacing w:after="120" w:line="276" w:lineRule="auto"/>
        <w:ind w:firstLine="708"/>
        <w:jc w:val="both"/>
        <w:rPr>
          <w:rFonts w:ascii="Verdana" w:eastAsia="Calibri" w:hAnsi="Verdana" w:cs="Arial"/>
          <w:bCs/>
          <w:color w:val="000000"/>
        </w:rPr>
      </w:pPr>
      <w:r w:rsidRPr="0005092C">
        <w:rPr>
          <w:rFonts w:ascii="Verdana" w:eastAsia="Calibri" w:hAnsi="Verdana" w:cs="Arial"/>
          <w:bCs/>
          <w:i/>
          <w:color w:val="000000"/>
          <w:lang w:val="es-ES"/>
        </w:rPr>
        <w:t>Tesis 3</w:t>
      </w:r>
      <w:r w:rsidRPr="0005092C">
        <w:rPr>
          <w:rFonts w:ascii="Verdana" w:eastAsia="Calibri" w:hAnsi="Verdana" w:cs="Arial"/>
          <w:bCs/>
          <w:color w:val="000000"/>
          <w:lang w:val="es-ES"/>
        </w:rPr>
        <w:t xml:space="preserve">. Una vez se han recibido las propuestas, el acto de apertura no puede ser objeto de revocatoria directa en forma unilateral por parte de la Administración, sin el consentimiento expreso del mejor proponente, toda vez que </w:t>
      </w:r>
      <w:r>
        <w:rPr>
          <w:rFonts w:ascii="Verdana" w:eastAsia="Calibri" w:hAnsi="Verdana" w:cs="Arial"/>
          <w:bCs/>
          <w:color w:val="000000"/>
          <w:lang w:val="es-ES"/>
        </w:rPr>
        <w:t>las reglas de la propia convocatoria -</w:t>
      </w:r>
      <w:r w:rsidRPr="0005092C">
        <w:rPr>
          <w:rFonts w:ascii="Verdana" w:eastAsia="Calibri" w:hAnsi="Verdana" w:cs="Arial"/>
          <w:bCs/>
          <w:color w:val="000000"/>
          <w:lang w:val="es-ES"/>
        </w:rPr>
        <w:t xml:space="preserve"> no es otra que la de la oferta mercantil aceptada-, la cual se concreta en el derecho a suscribir el contrato estatal</w:t>
      </w:r>
      <w:r>
        <w:rPr>
          <w:rFonts w:ascii="Verdana" w:eastAsia="Calibri" w:hAnsi="Verdana" w:cs="Arial"/>
          <w:bCs/>
          <w:color w:val="000000"/>
          <w:lang w:val="es-ES"/>
        </w:rPr>
        <w:t xml:space="preserve">, </w:t>
      </w:r>
      <w:r w:rsidRPr="0005092C">
        <w:rPr>
          <w:rFonts w:ascii="Verdana" w:eastAsia="Calibri" w:hAnsi="Verdana" w:cs="Arial"/>
          <w:bCs/>
          <w:color w:val="000000"/>
          <w:lang w:val="es-ES"/>
        </w:rPr>
        <w:t>del cual se genera dos derechos, uno para los proponentes de ser evaluados y otro para aquel que tenga la mejor propuesta el cual consiste en ser seleccionado y a ejecutar el contrato estatal que le debe ser adjudicado</w:t>
      </w:r>
      <w:r>
        <w:rPr>
          <w:rStyle w:val="Refdenotaalpie"/>
          <w:rFonts w:ascii="Verdana" w:eastAsia="Calibri" w:hAnsi="Verdana" w:cs="Arial"/>
          <w:bCs/>
          <w:color w:val="000000"/>
          <w:lang w:val="es-ES"/>
        </w:rPr>
        <w:footnoteReference w:id="18"/>
      </w:r>
      <w:r w:rsidRPr="0005092C">
        <w:rPr>
          <w:rFonts w:ascii="Verdana" w:eastAsia="Calibri" w:hAnsi="Verdana" w:cs="Arial"/>
          <w:bCs/>
          <w:color w:val="000000"/>
          <w:lang w:val="es-ES"/>
        </w:rPr>
        <w:t>.</w:t>
      </w:r>
      <w:r>
        <w:rPr>
          <w:rFonts w:ascii="Verdana" w:eastAsia="Calibri" w:hAnsi="Verdana" w:cs="Arial"/>
          <w:bCs/>
          <w:color w:val="000000"/>
        </w:rPr>
        <w:t xml:space="preserve"> </w:t>
      </w:r>
    </w:p>
    <w:p w14:paraId="3CDD0BBD" w14:textId="77777777" w:rsidR="00960C09" w:rsidRPr="009D4F8D" w:rsidRDefault="00960C09" w:rsidP="00960C09">
      <w:pPr>
        <w:spacing w:after="120" w:line="276" w:lineRule="auto"/>
        <w:ind w:firstLine="708"/>
        <w:jc w:val="both"/>
        <w:rPr>
          <w:rFonts w:ascii="Verdana" w:eastAsia="Calibri" w:hAnsi="Verdana" w:cs="Arial"/>
          <w:bCs/>
          <w:color w:val="000000"/>
        </w:rPr>
      </w:pPr>
      <w:r w:rsidRPr="00086A6A">
        <w:rPr>
          <w:rFonts w:ascii="Verdana" w:eastAsia="Calibri" w:hAnsi="Verdana" w:cs="Arial"/>
          <w:bCs/>
          <w:i/>
          <w:color w:val="000000"/>
          <w:lang w:val="es-ES"/>
        </w:rPr>
        <w:t>Tesis 4</w:t>
      </w:r>
      <w:r w:rsidRPr="00086A6A">
        <w:rPr>
          <w:rFonts w:ascii="Verdana" w:eastAsia="Calibri" w:hAnsi="Verdana" w:cs="Arial"/>
          <w:b/>
          <w:bCs/>
          <w:i/>
          <w:color w:val="000000"/>
          <w:lang w:val="es-ES"/>
        </w:rPr>
        <w:t>.</w:t>
      </w:r>
      <w:r w:rsidRPr="002242F3">
        <w:rPr>
          <w:rFonts w:ascii="Verdana" w:eastAsia="Calibri" w:hAnsi="Verdana" w:cs="Arial"/>
          <w:b/>
          <w:bCs/>
          <w:color w:val="000000"/>
          <w:lang w:val="es-ES"/>
        </w:rPr>
        <w:t xml:space="preserve"> </w:t>
      </w:r>
      <w:r w:rsidRPr="002242F3">
        <w:rPr>
          <w:rFonts w:ascii="Verdana" w:eastAsia="Calibri" w:hAnsi="Verdana" w:cs="Arial"/>
          <w:bCs/>
          <w:color w:val="000000"/>
          <w:lang w:val="es-ES"/>
        </w:rPr>
        <w:t>Se puede revocar unilateralmente el acto de apertura del proceso de selección, si se advierte la configuración de alguna de las causales y demás requisitos que dan paso a su procedencia, toda vez que al ser un acto administrativo de carácter general se torna evidente que la Administración no está condicionada a obtener el consentimiento previo y expreso de los proponentes o del mejor proponente para revocarlo; además, no se consolidan derechos a favor de los proponentes, toda vez que hasta ese momento solo existen “</w:t>
      </w:r>
      <w:r w:rsidRPr="002242F3">
        <w:rPr>
          <w:rFonts w:ascii="Verdana" w:eastAsia="Calibri" w:hAnsi="Verdana" w:cs="Arial"/>
          <w:bCs/>
          <w:i/>
          <w:color w:val="000000"/>
          <w:lang w:val="es-ES"/>
        </w:rPr>
        <w:t xml:space="preserve">meras expectativas” </w:t>
      </w:r>
      <w:r w:rsidRPr="002242F3">
        <w:rPr>
          <w:rFonts w:ascii="Verdana" w:eastAsia="Calibri" w:hAnsi="Verdana" w:cs="Arial"/>
          <w:bCs/>
          <w:color w:val="000000"/>
          <w:lang w:val="es-ES"/>
        </w:rPr>
        <w:t xml:space="preserve">y, en algunas circunstancias, </w:t>
      </w:r>
      <w:r w:rsidRPr="002242F3">
        <w:rPr>
          <w:rFonts w:ascii="Verdana" w:eastAsia="Calibri" w:hAnsi="Verdana" w:cs="Arial"/>
          <w:bCs/>
          <w:i/>
          <w:color w:val="000000"/>
          <w:lang w:val="es-ES"/>
        </w:rPr>
        <w:t xml:space="preserve">expectativas legítimas </w:t>
      </w:r>
      <w:r w:rsidRPr="002242F3">
        <w:rPr>
          <w:rFonts w:ascii="Verdana" w:eastAsia="Calibri" w:hAnsi="Verdana" w:cs="Arial"/>
          <w:bCs/>
          <w:color w:val="000000"/>
          <w:lang w:val="es-ES"/>
        </w:rPr>
        <w:t>a favor de algún participante; conceptos jurídicos que alinderan tanto la existencia y alcance de un eventual derecho o expectativa, y el punto límite de proyección del atributo de la revocatoria del acto administrativo</w:t>
      </w:r>
      <w:r>
        <w:rPr>
          <w:rStyle w:val="Refdenotaalpie"/>
          <w:rFonts w:ascii="Verdana" w:eastAsia="Calibri" w:hAnsi="Verdana" w:cs="Arial"/>
          <w:bCs/>
          <w:color w:val="000000"/>
          <w:lang w:val="es-ES"/>
        </w:rPr>
        <w:footnoteReference w:id="19"/>
      </w:r>
      <w:r w:rsidRPr="002242F3">
        <w:rPr>
          <w:rFonts w:ascii="Verdana" w:eastAsia="Calibri" w:hAnsi="Verdana" w:cs="Arial"/>
          <w:bCs/>
          <w:color w:val="000000"/>
          <w:lang w:val="es-ES"/>
        </w:rPr>
        <w:t>.</w:t>
      </w:r>
    </w:p>
    <w:p w14:paraId="071817A6" w14:textId="77777777" w:rsidR="00960C09" w:rsidRDefault="00960C09" w:rsidP="00960C09">
      <w:pPr>
        <w:spacing w:after="0" w:line="276" w:lineRule="auto"/>
        <w:ind w:firstLine="709"/>
        <w:jc w:val="both"/>
        <w:rPr>
          <w:rFonts w:ascii="Verdana" w:eastAsia="Calibri" w:hAnsi="Verdana" w:cs="Arial"/>
          <w:bCs/>
          <w:color w:val="000000"/>
          <w:lang w:val="es-ES"/>
        </w:rPr>
      </w:pPr>
      <w:r>
        <w:rPr>
          <w:rFonts w:ascii="Verdana" w:eastAsia="Calibri" w:hAnsi="Verdana" w:cs="Arial"/>
          <w:bCs/>
          <w:color w:val="000000"/>
          <w:lang w:val="es-ES"/>
        </w:rPr>
        <w:t xml:space="preserve">Esta Subdirección mediante Concepto C-896 del 17 de enero de 2023 expresó que </w:t>
      </w:r>
      <w:r w:rsidRPr="00445026">
        <w:rPr>
          <w:rFonts w:ascii="Verdana" w:eastAsia="Calibri" w:hAnsi="Verdana" w:cs="Arial"/>
          <w:bCs/>
          <w:color w:val="000000"/>
          <w:lang w:val="es-ES"/>
        </w:rPr>
        <w:t xml:space="preserve">la interpretación que mejor se ajusta al cumplimiento de los fines de la contratación estatal es la tesis 4, en tanto que la presentación de las propuestas e incluso la publicación del informe de evaluación </w:t>
      </w:r>
      <w:r>
        <w:rPr>
          <w:rFonts w:ascii="Verdana" w:eastAsia="Calibri" w:hAnsi="Verdana" w:cs="Arial"/>
          <w:bCs/>
          <w:color w:val="000000"/>
          <w:lang w:val="es-ES"/>
        </w:rPr>
        <w:t xml:space="preserve">no modifica </w:t>
      </w:r>
      <w:r w:rsidRPr="00445026">
        <w:rPr>
          <w:rFonts w:ascii="Verdana" w:eastAsia="Calibri" w:hAnsi="Verdana" w:cs="Arial"/>
          <w:bCs/>
          <w:color w:val="000000"/>
          <w:lang w:val="es-ES"/>
        </w:rPr>
        <w:t xml:space="preserve">el carácter general que ostenta el acto de apertura del proceso de selección contractual, pues quien concurre al llamado a presentar una propuesta o </w:t>
      </w:r>
      <w:r w:rsidRPr="00445026">
        <w:rPr>
          <w:rFonts w:ascii="Verdana" w:eastAsia="Calibri" w:hAnsi="Verdana" w:cs="Arial"/>
          <w:bCs/>
          <w:color w:val="000000"/>
          <w:lang w:val="es-ES"/>
        </w:rPr>
        <w:lastRenderedPageBreak/>
        <w:t>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w:t>
      </w:r>
      <w:r>
        <w:rPr>
          <w:rFonts w:ascii="Verdana" w:eastAsia="Calibri" w:hAnsi="Verdana" w:cs="Arial"/>
          <w:bCs/>
          <w:color w:val="000000"/>
          <w:lang w:val="es-ES"/>
        </w:rPr>
        <w:t xml:space="preserve"> de ello presenta la propuesta. En consecuencia</w:t>
      </w:r>
      <w:r w:rsidRPr="00445026">
        <w:rPr>
          <w:rFonts w:ascii="Verdana" w:eastAsia="Calibri" w:hAnsi="Verdana" w:cs="Arial"/>
          <w:bCs/>
          <w:color w:val="000000"/>
          <w:lang w:val="es-ES"/>
        </w:rPr>
        <w:t>, la revocabilidad procede por cuanto es primordial y tiene preferencia la constatación del interés de la contratación, que no es otro que la garantía de las necesidades públicas frente a las expectativas negociales que nacieron respecto de los proponentes.</w:t>
      </w:r>
      <w:r>
        <w:rPr>
          <w:rFonts w:ascii="Verdana" w:eastAsia="Calibri" w:hAnsi="Verdana" w:cs="Arial"/>
          <w:bCs/>
          <w:color w:val="000000"/>
          <w:lang w:val="es-ES"/>
        </w:rPr>
        <w:t xml:space="preserve"> De igual modo, la Doctrina expresa: </w:t>
      </w:r>
    </w:p>
    <w:p w14:paraId="424FE172" w14:textId="77777777" w:rsidR="00960C09" w:rsidRDefault="00960C09" w:rsidP="00960C09">
      <w:pPr>
        <w:spacing w:after="120" w:line="276" w:lineRule="auto"/>
        <w:ind w:firstLine="708"/>
        <w:jc w:val="both"/>
        <w:rPr>
          <w:rFonts w:ascii="Verdana" w:eastAsia="Calibri" w:hAnsi="Verdana" w:cs="Arial"/>
          <w:bCs/>
          <w:color w:val="000000"/>
          <w:lang w:val="es-ES"/>
        </w:rPr>
      </w:pPr>
    </w:p>
    <w:p w14:paraId="0D88975A" w14:textId="77777777" w:rsidR="00960C09" w:rsidRPr="009C483A" w:rsidRDefault="00960C09" w:rsidP="00960C09">
      <w:pPr>
        <w:spacing w:after="120" w:line="240" w:lineRule="auto"/>
        <w:ind w:left="709" w:right="709"/>
        <w:jc w:val="both"/>
        <w:rPr>
          <w:rFonts w:ascii="Verdana" w:eastAsia="Calibri" w:hAnsi="Verdana" w:cs="Arial"/>
          <w:bCs/>
          <w:color w:val="000000"/>
          <w:sz w:val="21"/>
          <w:szCs w:val="21"/>
        </w:rPr>
      </w:pPr>
      <w:r w:rsidRPr="009C483A">
        <w:rPr>
          <w:rFonts w:ascii="Verdana" w:eastAsia="Calibri" w:hAnsi="Verdana" w:cs="Arial"/>
          <w:bCs/>
          <w:color w:val="000000"/>
          <w:sz w:val="21"/>
          <w:szCs w:val="21"/>
        </w:rPr>
        <w:t xml:space="preserve">Para la revocatoria del acto de apertura, no se requiere contar con el </w:t>
      </w:r>
      <w:proofErr w:type="spellStart"/>
      <w:r w:rsidRPr="009C483A">
        <w:rPr>
          <w:rFonts w:ascii="Verdana" w:eastAsia="Calibri" w:hAnsi="Verdana" w:cs="Arial"/>
          <w:bCs/>
          <w:color w:val="000000"/>
          <w:sz w:val="21"/>
          <w:szCs w:val="21"/>
        </w:rPr>
        <w:t>conseniimiento</w:t>
      </w:r>
      <w:proofErr w:type="spellEnd"/>
      <w:r w:rsidRPr="009C483A">
        <w:rPr>
          <w:rFonts w:ascii="Verdana" w:eastAsia="Calibri" w:hAnsi="Verdana" w:cs="Arial"/>
          <w:bCs/>
          <w:color w:val="000000"/>
          <w:sz w:val="21"/>
          <w:szCs w:val="21"/>
        </w:rPr>
        <w:t xml:space="preserve"> previo, expreso y escrito de los posibles interesados u oferentes toda vez que se trata de un acto administrativo de contenido general, como expresamente lo reconoce el artículo 2.2.1.1_2.1.5 del Decreto 1082 de 2015 y también lo adujo el Consejo de Estado en varias providencias; sin embargo, si se realiza después de la presentación de propuestas, en criterio del máximo tribunal de lo contencioso administrativo, si se requeriría manifestación expresa de los proponentes, salvo que el acto se haya obtenido por medios ilegales, lo cual no compartimos por las razones más adelante expuestas</w:t>
      </w:r>
      <w:r w:rsidRPr="009C483A">
        <w:rPr>
          <w:rStyle w:val="Refdenotaalpie"/>
          <w:rFonts w:ascii="Verdana" w:eastAsia="Calibri" w:hAnsi="Verdana" w:cs="Arial"/>
          <w:bCs/>
          <w:color w:val="000000"/>
          <w:sz w:val="21"/>
          <w:szCs w:val="21"/>
        </w:rPr>
        <w:footnoteReference w:id="20"/>
      </w:r>
      <w:r w:rsidRPr="009C483A">
        <w:rPr>
          <w:rFonts w:ascii="Verdana" w:eastAsia="Calibri" w:hAnsi="Verdana" w:cs="Arial"/>
          <w:bCs/>
          <w:color w:val="000000"/>
          <w:sz w:val="21"/>
          <w:szCs w:val="21"/>
        </w:rPr>
        <w:t>.</w:t>
      </w:r>
    </w:p>
    <w:p w14:paraId="4C230F5E" w14:textId="77777777" w:rsidR="00960C09" w:rsidRPr="00445026" w:rsidRDefault="00960C09" w:rsidP="00960C09">
      <w:pPr>
        <w:spacing w:after="120" w:line="240" w:lineRule="auto"/>
        <w:ind w:left="709" w:right="709"/>
        <w:jc w:val="both"/>
        <w:rPr>
          <w:rFonts w:ascii="Verdana" w:eastAsia="Calibri" w:hAnsi="Verdana" w:cs="Arial"/>
          <w:bCs/>
          <w:color w:val="000000"/>
        </w:rPr>
      </w:pPr>
    </w:p>
    <w:p w14:paraId="78116169" w14:textId="77777777" w:rsidR="00960C09" w:rsidRPr="009465C6" w:rsidRDefault="00960C09" w:rsidP="00960C09">
      <w:pPr>
        <w:spacing w:after="120" w:line="276" w:lineRule="auto"/>
        <w:ind w:firstLine="708"/>
        <w:jc w:val="both"/>
        <w:rPr>
          <w:rFonts w:ascii="Verdana" w:eastAsia="Calibri" w:hAnsi="Verdana" w:cs="Arial"/>
          <w:bCs/>
          <w:color w:val="000000"/>
          <w:lang w:val="es-ES"/>
        </w:rPr>
      </w:pPr>
      <w:proofErr w:type="gramStart"/>
      <w:r>
        <w:rPr>
          <w:rFonts w:ascii="Verdana" w:eastAsia="Calibri" w:hAnsi="Verdana" w:cs="Arial"/>
          <w:bCs/>
          <w:color w:val="000000"/>
          <w:lang w:val="es-ES"/>
        </w:rPr>
        <w:t>De acuerdo a</w:t>
      </w:r>
      <w:proofErr w:type="gramEnd"/>
      <w:r>
        <w:rPr>
          <w:rFonts w:ascii="Verdana" w:eastAsia="Calibri" w:hAnsi="Verdana" w:cs="Arial"/>
          <w:bCs/>
          <w:color w:val="000000"/>
          <w:lang w:val="es-ES"/>
        </w:rPr>
        <w:t xml:space="preserve"> lo expuesto, es menester analizar la posibilidad de revocar un proceso de contratación cuya modalidad de selección es la mínima cuantía, la cual caracteriza porque no cuenta con un acto administrativo de apertura, ni puede aludirse al acto de adjudicación, como si ocurre en las demás modalidades de selección –Licitación Pública, Selección Abreviada y Concurso de Méritos-. En el caso de la Mínima Cuantía se caracteriza por un proceso competitivo simplificado, que se estructura a partir de una invitación pública asimilable al acto administrativo de apertura, así como al pliego de condiciones de dicho proceso, constituyéndose en </w:t>
      </w:r>
      <w:r w:rsidRPr="00452DB4">
        <w:rPr>
          <w:rFonts w:ascii="Verdana" w:eastAsia="Calibri" w:hAnsi="Verdana" w:cs="Arial"/>
          <w:bCs/>
          <w:color w:val="000000"/>
          <w:lang w:val="es-ES"/>
        </w:rPr>
        <w:t>la hoja de ruta o plan</w:t>
      </w:r>
      <w:r w:rsidRPr="00452DB4">
        <w:rPr>
          <w:rFonts w:ascii="Verdana" w:eastAsia="Calibri" w:hAnsi="Verdana" w:cs="Arial"/>
          <w:bCs/>
          <w:color w:val="000000"/>
          <w:vertAlign w:val="superscript"/>
          <w:lang w:val="es-ES"/>
        </w:rPr>
        <w:footnoteReference w:id="21"/>
      </w:r>
      <w:r w:rsidRPr="00452DB4">
        <w:rPr>
          <w:rFonts w:ascii="Verdana" w:eastAsia="Calibri" w:hAnsi="Verdana" w:cs="Arial"/>
          <w:bCs/>
          <w:color w:val="000000"/>
          <w:lang w:val="es-ES"/>
        </w:rPr>
        <w:t xml:space="preserve"> sobre el cual se diseña, </w:t>
      </w:r>
      <w:r w:rsidRPr="00452DB4">
        <w:rPr>
          <w:rFonts w:ascii="Verdana" w:eastAsia="Calibri" w:hAnsi="Verdana" w:cs="Arial"/>
          <w:bCs/>
          <w:color w:val="000000"/>
          <w:lang w:val="es-ES"/>
        </w:rPr>
        <w:lastRenderedPageBreak/>
        <w:t>estructura y concreta el procedimiento d</w:t>
      </w:r>
      <w:r>
        <w:rPr>
          <w:rFonts w:ascii="Verdana" w:eastAsia="Calibri" w:hAnsi="Verdana" w:cs="Arial"/>
          <w:bCs/>
          <w:color w:val="000000"/>
          <w:lang w:val="es-ES"/>
        </w:rPr>
        <w:t>e selección de contratistas. En este sentido, la invitación pública adquiere la naturaleza de ser un acto jurídico mixto, que comienza como un acto administrativo general que establece las condiciones del Proceso de Contratación, y que con la comunicación de aceptación se configura la</w:t>
      </w:r>
      <w:r w:rsidRPr="00452DB4">
        <w:rPr>
          <w:rFonts w:ascii="Verdana" w:eastAsia="Calibri" w:hAnsi="Verdana" w:cs="Arial"/>
          <w:bCs/>
          <w:color w:val="000000"/>
          <w:lang w:val="es-ES"/>
        </w:rPr>
        <w:t xml:space="preserve"> adjudicación y suscripción del contrato estatal</w:t>
      </w:r>
      <w:r>
        <w:rPr>
          <w:rFonts w:ascii="Verdana" w:eastAsia="Calibri" w:hAnsi="Verdana" w:cs="Arial"/>
          <w:bCs/>
          <w:color w:val="000000"/>
          <w:lang w:val="es-ES"/>
        </w:rPr>
        <w:t xml:space="preserve"> en un mismo momento</w:t>
      </w:r>
      <w:r w:rsidRPr="00452DB4">
        <w:rPr>
          <w:rFonts w:ascii="Verdana" w:eastAsia="Calibri" w:hAnsi="Verdana" w:cs="Arial"/>
          <w:bCs/>
          <w:color w:val="000000"/>
          <w:lang w:val="es-ES"/>
        </w:rPr>
        <w:t xml:space="preserve">, </w:t>
      </w:r>
      <w:r>
        <w:rPr>
          <w:rFonts w:ascii="Verdana" w:eastAsia="Calibri" w:hAnsi="Verdana" w:cs="Arial"/>
          <w:bCs/>
          <w:color w:val="000000"/>
          <w:lang w:val="es-ES"/>
        </w:rPr>
        <w:t>en la que algunos de los</w:t>
      </w:r>
      <w:r w:rsidRPr="00452DB4">
        <w:rPr>
          <w:rFonts w:ascii="Verdana" w:eastAsia="Calibri" w:hAnsi="Verdana" w:cs="Arial"/>
          <w:bCs/>
          <w:color w:val="000000"/>
          <w:lang w:val="es-ES"/>
        </w:rPr>
        <w:t xml:space="preserve"> contenidos </w:t>
      </w:r>
      <w:r>
        <w:rPr>
          <w:rFonts w:ascii="Verdana" w:eastAsia="Calibri" w:hAnsi="Verdana" w:cs="Arial"/>
          <w:bCs/>
          <w:color w:val="000000"/>
          <w:lang w:val="es-ES"/>
        </w:rPr>
        <w:t xml:space="preserve">de la Invitación </w:t>
      </w:r>
      <w:r w:rsidRPr="00452DB4">
        <w:rPr>
          <w:rFonts w:ascii="Verdana" w:eastAsia="Calibri" w:hAnsi="Verdana" w:cs="Arial"/>
          <w:bCs/>
          <w:color w:val="000000"/>
          <w:lang w:val="es-ES"/>
        </w:rPr>
        <w:t xml:space="preserve">se transforman para incorporarse </w:t>
      </w:r>
      <w:r>
        <w:rPr>
          <w:rFonts w:ascii="Verdana" w:eastAsia="Calibri" w:hAnsi="Verdana" w:cs="Arial"/>
          <w:bCs/>
          <w:color w:val="000000"/>
          <w:lang w:val="es-ES"/>
        </w:rPr>
        <w:t xml:space="preserve">en </w:t>
      </w:r>
      <w:r w:rsidRPr="00452DB4">
        <w:rPr>
          <w:rFonts w:ascii="Verdana" w:eastAsia="Calibri" w:hAnsi="Verdana" w:cs="Arial"/>
          <w:bCs/>
          <w:color w:val="000000"/>
          <w:lang w:val="es-ES"/>
        </w:rPr>
        <w:t>cláusulas vinculantes</w:t>
      </w:r>
      <w:r>
        <w:rPr>
          <w:rFonts w:ascii="Verdana" w:eastAsia="Calibri" w:hAnsi="Verdana" w:cs="Arial"/>
          <w:bCs/>
          <w:color w:val="000000"/>
          <w:lang w:val="es-ES"/>
        </w:rPr>
        <w:t xml:space="preserve"> del contrato</w:t>
      </w:r>
      <w:r w:rsidRPr="00452DB4">
        <w:rPr>
          <w:rFonts w:ascii="Verdana" w:eastAsia="Calibri" w:hAnsi="Verdana" w:cs="Arial"/>
          <w:bCs/>
          <w:color w:val="000000"/>
          <w:lang w:val="es-ES"/>
        </w:rPr>
        <w:t>.</w:t>
      </w:r>
      <w:r>
        <w:rPr>
          <w:rFonts w:ascii="Verdana" w:eastAsia="Calibri" w:hAnsi="Verdana" w:cs="Arial"/>
          <w:bCs/>
          <w:color w:val="000000"/>
          <w:lang w:val="es-ES"/>
        </w:rPr>
        <w:t xml:space="preserve"> </w:t>
      </w:r>
      <w:r w:rsidRPr="00452DB4">
        <w:rPr>
          <w:rFonts w:ascii="Verdana" w:eastAsia="Calibri" w:hAnsi="Verdana" w:cs="Arial"/>
          <w:color w:val="000000"/>
          <w:lang w:val="es-ES_tradnl" w:eastAsia="es-ES_tradnl"/>
        </w:rPr>
        <w:t>En el marco de su discrecionalidad, cada entidad debe establece</w:t>
      </w:r>
      <w:r>
        <w:rPr>
          <w:rFonts w:ascii="Verdana" w:eastAsia="Calibri" w:hAnsi="Verdana" w:cs="Arial"/>
          <w:color w:val="000000"/>
          <w:lang w:val="es-ES_tradnl" w:eastAsia="es-ES_tradnl"/>
        </w:rPr>
        <w:t>r la forma cómo se estructura la invitación pública</w:t>
      </w:r>
      <w:r w:rsidRPr="00452DB4">
        <w:rPr>
          <w:rFonts w:ascii="Verdana" w:eastAsia="Calibri" w:hAnsi="Verdana" w:cs="Arial"/>
          <w:color w:val="000000"/>
          <w:lang w:val="es-ES_tradnl" w:eastAsia="es-ES_tradnl"/>
        </w:rPr>
        <w:t xml:space="preserve">, </w:t>
      </w:r>
      <w:r>
        <w:rPr>
          <w:rFonts w:ascii="Verdana" w:eastAsia="Calibri" w:hAnsi="Verdana" w:cs="Arial"/>
          <w:color w:val="000000"/>
          <w:lang w:val="es-ES_tradnl" w:eastAsia="es-ES_tradnl"/>
        </w:rPr>
        <w:t xml:space="preserve">que </w:t>
      </w:r>
      <w:r w:rsidRPr="00452DB4">
        <w:rPr>
          <w:rFonts w:ascii="Verdana" w:eastAsia="Calibri" w:hAnsi="Verdana" w:cs="Arial"/>
          <w:color w:val="000000"/>
          <w:lang w:val="es-ES_tradnl" w:eastAsia="es-ES_tradnl"/>
        </w:rPr>
        <w:t>está condicionado a la proporcionalidad de las decisiones</w:t>
      </w:r>
      <w:r>
        <w:rPr>
          <w:rFonts w:ascii="Verdana" w:eastAsia="Calibri" w:hAnsi="Verdana" w:cs="Arial"/>
          <w:color w:val="000000"/>
          <w:lang w:val="es-ES_tradnl" w:eastAsia="es-ES_tradnl"/>
        </w:rPr>
        <w:t xml:space="preserve">, </w:t>
      </w:r>
      <w:r w:rsidRPr="00452DB4">
        <w:rPr>
          <w:rFonts w:ascii="Verdana" w:eastAsia="Calibri" w:hAnsi="Verdana" w:cs="Arial"/>
          <w:color w:val="000000"/>
          <w:lang w:val="es-ES_tradnl" w:eastAsia="es-ES_tradnl"/>
        </w:rPr>
        <w:t>en aras de garantizar la pluralidad de oferentes y la selección objetiva</w:t>
      </w:r>
      <w:r w:rsidRPr="00452DB4">
        <w:rPr>
          <w:rFonts w:ascii="Verdana" w:eastAsia="Calibri" w:hAnsi="Verdana" w:cs="Arial"/>
          <w:color w:val="000000"/>
          <w:lang w:eastAsia="es-ES_tradnl"/>
        </w:rPr>
        <w:t>.</w:t>
      </w:r>
      <w:r>
        <w:rPr>
          <w:rFonts w:ascii="Verdana" w:eastAsia="Calibri" w:hAnsi="Verdana" w:cs="Arial"/>
        </w:rPr>
        <w:t xml:space="preserve"> </w:t>
      </w:r>
    </w:p>
    <w:p w14:paraId="4DD2F84C" w14:textId="77777777" w:rsidR="00960C09" w:rsidRDefault="00960C09" w:rsidP="00960C09">
      <w:pPr>
        <w:spacing w:after="120" w:line="276" w:lineRule="auto"/>
        <w:ind w:firstLine="708"/>
        <w:jc w:val="both"/>
        <w:rPr>
          <w:rFonts w:ascii="Verdana" w:eastAsia="Calibri" w:hAnsi="Verdana" w:cs="Arial"/>
          <w:bCs/>
          <w:color w:val="000000"/>
          <w:lang w:val="es-ES"/>
        </w:rPr>
      </w:pPr>
      <w:r>
        <w:rPr>
          <w:rFonts w:ascii="Verdana" w:eastAsia="Calibri" w:hAnsi="Verdana" w:cs="Arial"/>
        </w:rPr>
        <w:t xml:space="preserve">De esta manera, puede afirmarse que la invitación pública como un acto administrativo general que establece las condiciones del proceso de contratación puede revocarse, asumiendo </w:t>
      </w:r>
      <w:r w:rsidRPr="00086A6A">
        <w:rPr>
          <w:rFonts w:ascii="Verdana" w:eastAsia="Calibri" w:hAnsi="Verdana" w:cs="Arial"/>
          <w:bCs/>
          <w:color w:val="000000"/>
          <w:lang w:val="es-ES"/>
        </w:rPr>
        <w:t xml:space="preserve">que la presentación de las propuestas e incluso la publicación del informe de evaluación no transforma el carácter general que ostenta </w:t>
      </w:r>
      <w:r>
        <w:rPr>
          <w:rFonts w:ascii="Verdana" w:eastAsia="Calibri" w:hAnsi="Verdana" w:cs="Arial"/>
          <w:bCs/>
          <w:color w:val="000000"/>
          <w:lang w:val="es-ES"/>
        </w:rPr>
        <w:t xml:space="preserve">la invitación pública del </w:t>
      </w:r>
      <w:r w:rsidRPr="00086A6A">
        <w:rPr>
          <w:rFonts w:ascii="Verdana" w:eastAsia="Calibri" w:hAnsi="Verdana" w:cs="Arial"/>
          <w:bCs/>
          <w:color w:val="000000"/>
          <w:lang w:val="es-ES"/>
        </w:rPr>
        <w:t>proceso de selección contractual,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y a sabiendas</w:t>
      </w:r>
      <w:r>
        <w:rPr>
          <w:rFonts w:ascii="Verdana" w:eastAsia="Calibri" w:hAnsi="Verdana" w:cs="Arial"/>
          <w:bCs/>
          <w:color w:val="000000"/>
          <w:lang w:val="es-ES"/>
        </w:rPr>
        <w:t xml:space="preserve"> de ello presenta la propuesta. Por tanto</w:t>
      </w:r>
      <w:r w:rsidRPr="00086A6A">
        <w:rPr>
          <w:rFonts w:ascii="Verdana" w:eastAsia="Calibri" w:hAnsi="Verdana" w:cs="Arial"/>
          <w:bCs/>
          <w:color w:val="000000"/>
          <w:lang w:val="es-ES"/>
        </w:rPr>
        <w:t>,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318C5EE4" w14:textId="77777777" w:rsidR="00960C09" w:rsidRDefault="00960C09" w:rsidP="00960C09">
      <w:pPr>
        <w:spacing w:after="120" w:line="276" w:lineRule="auto"/>
        <w:ind w:firstLine="708"/>
        <w:jc w:val="both"/>
        <w:rPr>
          <w:rFonts w:ascii="Verdana" w:eastAsia="Calibri" w:hAnsi="Verdana" w:cs="Arial"/>
          <w:bCs/>
          <w:color w:val="000000"/>
          <w:lang w:val="es-ES"/>
        </w:rPr>
      </w:pPr>
      <w:r w:rsidRPr="00086A6A">
        <w:rPr>
          <w:rFonts w:ascii="Verdana" w:eastAsia="Calibri" w:hAnsi="Verdana" w:cs="Arial"/>
          <w:bCs/>
          <w:color w:val="000000"/>
          <w:lang w:val="es-ES"/>
        </w:rPr>
        <w:t xml:space="preserve">En ese orden de ideas las Entidades Estatales no están condicionadas a obtener el consentimiento previo y expreso de los proponentes o del mejor proponente para revocar </w:t>
      </w:r>
      <w:r>
        <w:rPr>
          <w:rFonts w:ascii="Verdana" w:eastAsia="Calibri" w:hAnsi="Verdana" w:cs="Arial"/>
          <w:bCs/>
          <w:color w:val="000000"/>
          <w:lang w:val="es-ES"/>
        </w:rPr>
        <w:t xml:space="preserve">el Proceso de Mínima Cuantía </w:t>
      </w:r>
      <w:r w:rsidRPr="00086A6A">
        <w:rPr>
          <w:rFonts w:ascii="Verdana" w:eastAsia="Calibri" w:hAnsi="Verdana" w:cs="Arial"/>
          <w:bCs/>
          <w:color w:val="000000"/>
          <w:lang w:val="es-ES"/>
        </w:rPr>
        <w:t>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w:t>
      </w:r>
      <w:r>
        <w:rPr>
          <w:rFonts w:ascii="Verdana" w:eastAsia="Calibri" w:hAnsi="Verdana" w:cs="Arial"/>
          <w:bCs/>
          <w:color w:val="000000"/>
          <w:lang w:val="es-ES"/>
        </w:rPr>
        <w:t xml:space="preserve">, </w:t>
      </w:r>
      <w:r w:rsidRPr="00086A6A">
        <w:rPr>
          <w:rFonts w:ascii="Verdana" w:eastAsia="Calibri" w:hAnsi="Verdana" w:cs="Arial"/>
          <w:bCs/>
          <w:color w:val="000000"/>
          <w:lang w:val="es-ES"/>
        </w:rPr>
        <w:t>de conformidad con los requisitos dispuestos en el artículo 97 del CPACA, haciendo prevalecer el imperio de la ley, el interés público y la protección de los derechos.</w:t>
      </w:r>
    </w:p>
    <w:p w14:paraId="71211E27" w14:textId="77777777" w:rsidR="00960C09" w:rsidRPr="009D4F8D" w:rsidRDefault="00960C09" w:rsidP="00960C09">
      <w:pPr>
        <w:spacing w:after="120" w:line="276" w:lineRule="auto"/>
        <w:ind w:firstLine="708"/>
        <w:jc w:val="both"/>
        <w:rPr>
          <w:rFonts w:ascii="Verdana" w:eastAsia="Calibri" w:hAnsi="Verdana" w:cs="Arial"/>
          <w:bCs/>
          <w:color w:val="000000"/>
        </w:rPr>
      </w:pPr>
      <w:r>
        <w:rPr>
          <w:rFonts w:ascii="Verdana" w:eastAsia="Calibri" w:hAnsi="Verdana" w:cs="Arial"/>
          <w:bCs/>
          <w:color w:val="000000"/>
          <w:lang w:val="es-ES"/>
        </w:rPr>
        <w:t xml:space="preserve">Si bien, </w:t>
      </w:r>
      <w:proofErr w:type="spellStart"/>
      <w:r>
        <w:rPr>
          <w:rFonts w:ascii="Verdana" w:eastAsia="Calibri" w:hAnsi="Verdana" w:cs="Arial"/>
          <w:bCs/>
          <w:color w:val="000000"/>
        </w:rPr>
        <w:t>como</w:t>
      </w:r>
      <w:proofErr w:type="spellEnd"/>
      <w:r>
        <w:rPr>
          <w:rFonts w:ascii="Verdana" w:eastAsia="Calibri" w:hAnsi="Verdana" w:cs="Arial"/>
          <w:bCs/>
          <w:color w:val="000000"/>
        </w:rPr>
        <w:t xml:space="preserve"> se argumenta, </w:t>
      </w:r>
      <w:r w:rsidRPr="009D4F8D">
        <w:rPr>
          <w:rFonts w:ascii="Verdana" w:eastAsia="Calibri" w:hAnsi="Verdana" w:cs="Arial"/>
          <w:bCs/>
          <w:color w:val="000000"/>
        </w:rPr>
        <w:t xml:space="preserve">podría considerarse jurídicamente viable la revocación de un proceso de mínima cuantía, es importante establecer el alcance de tal posibilidad, en el escenario en el que se </w:t>
      </w:r>
      <w:r>
        <w:rPr>
          <w:rFonts w:ascii="Verdana" w:eastAsia="Calibri" w:hAnsi="Verdana" w:cs="Arial"/>
          <w:bCs/>
          <w:color w:val="000000"/>
        </w:rPr>
        <w:t xml:space="preserve">haya </w:t>
      </w:r>
      <w:r w:rsidRPr="009D4F8D">
        <w:rPr>
          <w:rFonts w:ascii="Verdana" w:eastAsia="Calibri" w:hAnsi="Verdana" w:cs="Arial"/>
          <w:bCs/>
          <w:color w:val="000000"/>
        </w:rPr>
        <w:t xml:space="preserve">comunicado la aceptación </w:t>
      </w:r>
      <w:r w:rsidRPr="009D4F8D">
        <w:rPr>
          <w:rFonts w:ascii="Verdana" w:eastAsia="Calibri" w:hAnsi="Verdana" w:cs="Arial"/>
          <w:bCs/>
          <w:color w:val="000000"/>
        </w:rPr>
        <w:lastRenderedPageBreak/>
        <w:t>de la oferta al oferente por parte de la Entidad Estatal. Esto comoquiera, si bien el proceso de mínima cuantía no existe un acto administrativo de adjudicación en estricto sentido, si existe de manera material. Además</w:t>
      </w:r>
      <w:r>
        <w:rPr>
          <w:rFonts w:ascii="Verdana" w:eastAsia="Calibri" w:hAnsi="Verdana" w:cs="Arial"/>
          <w:bCs/>
          <w:color w:val="000000"/>
        </w:rPr>
        <w:t>,</w:t>
      </w:r>
      <w:r w:rsidRPr="009D4F8D">
        <w:rPr>
          <w:rFonts w:ascii="Verdana" w:eastAsia="Calibri" w:hAnsi="Verdana" w:cs="Arial"/>
          <w:bCs/>
          <w:color w:val="000000"/>
        </w:rPr>
        <w:t xml:space="preserve"> es importante indicar que, en atención a lo dispuesto en el numeral 9 del art. 2.2.1.2.1.5.2</w:t>
      </w:r>
      <w:r>
        <w:rPr>
          <w:rFonts w:ascii="Verdana" w:eastAsia="Calibri" w:hAnsi="Verdana" w:cs="Arial"/>
          <w:bCs/>
          <w:color w:val="000000"/>
        </w:rPr>
        <w:t xml:space="preserve">, </w:t>
      </w:r>
      <w:r w:rsidRPr="009D4F8D">
        <w:rPr>
          <w:rFonts w:ascii="Verdana" w:eastAsia="Calibri" w:hAnsi="Verdana" w:cs="Arial"/>
          <w:bCs/>
          <w:color w:val="000000"/>
        </w:rPr>
        <w:t xml:space="preserve">la </w:t>
      </w:r>
      <w:r>
        <w:rPr>
          <w:rFonts w:ascii="Verdana" w:eastAsia="Calibri" w:hAnsi="Verdana" w:cs="Arial"/>
          <w:bCs/>
          <w:color w:val="000000"/>
        </w:rPr>
        <w:t xml:space="preserve">comunicación de aceptación, así como la oferta son elementos que configuran la celebración del contrato. </w:t>
      </w:r>
    </w:p>
    <w:p w14:paraId="1E8EA965" w14:textId="77777777" w:rsidR="00960C09" w:rsidRPr="00D66C49" w:rsidRDefault="00960C09" w:rsidP="00960C09">
      <w:pPr>
        <w:spacing w:after="120" w:line="276" w:lineRule="auto"/>
        <w:ind w:firstLine="708"/>
        <w:jc w:val="both"/>
        <w:rPr>
          <w:rFonts w:ascii="Verdana" w:eastAsia="Calibri" w:hAnsi="Verdana" w:cs="Arial"/>
          <w:lang w:val="es-ES_tradnl"/>
        </w:rPr>
      </w:pPr>
      <w:r w:rsidRPr="009D4F8D">
        <w:rPr>
          <w:rFonts w:ascii="Verdana" w:eastAsia="Calibri" w:hAnsi="Verdana" w:cs="Arial"/>
          <w:bCs/>
          <w:color w:val="000000"/>
        </w:rPr>
        <w:t xml:space="preserve">En ese sentido, </w:t>
      </w:r>
      <w:r>
        <w:rPr>
          <w:rFonts w:ascii="Verdana" w:eastAsia="Calibri" w:hAnsi="Verdana" w:cs="Arial"/>
          <w:bCs/>
          <w:color w:val="000000"/>
        </w:rPr>
        <w:t xml:space="preserve">no es posible </w:t>
      </w:r>
      <w:r w:rsidRPr="009D4F8D">
        <w:rPr>
          <w:rFonts w:ascii="Verdana" w:eastAsia="Calibri" w:hAnsi="Verdana" w:cs="Arial"/>
          <w:bCs/>
          <w:color w:val="000000"/>
        </w:rPr>
        <w:t>que se revoque un proceso de mínima cuant</w:t>
      </w:r>
      <w:r>
        <w:rPr>
          <w:rFonts w:ascii="Verdana" w:eastAsia="Calibri" w:hAnsi="Verdana" w:cs="Arial"/>
          <w:bCs/>
          <w:color w:val="000000"/>
        </w:rPr>
        <w:t xml:space="preserve">ía en el que ya se ha </w:t>
      </w:r>
      <w:r w:rsidRPr="009D4F8D">
        <w:rPr>
          <w:rFonts w:ascii="Verdana" w:eastAsia="Calibri" w:hAnsi="Verdana" w:cs="Arial"/>
          <w:bCs/>
          <w:color w:val="000000"/>
        </w:rPr>
        <w:t>comunicado la aceptación de la oferta</w:t>
      </w:r>
      <w:r>
        <w:rPr>
          <w:rFonts w:ascii="Verdana" w:eastAsia="Calibri" w:hAnsi="Verdana" w:cs="Arial"/>
          <w:bCs/>
          <w:color w:val="000000"/>
        </w:rPr>
        <w:t xml:space="preserve"> por algún vicio</w:t>
      </w:r>
      <w:r w:rsidRPr="009D4F8D">
        <w:rPr>
          <w:rFonts w:ascii="Verdana" w:eastAsia="Calibri" w:hAnsi="Verdana" w:cs="Arial"/>
          <w:bCs/>
          <w:color w:val="000000"/>
        </w:rPr>
        <w:t>,</w:t>
      </w:r>
      <w:r>
        <w:rPr>
          <w:rFonts w:ascii="Verdana" w:eastAsia="Calibri" w:hAnsi="Verdana" w:cs="Arial"/>
          <w:bCs/>
          <w:color w:val="000000"/>
        </w:rPr>
        <w:t xml:space="preserve"> en el entendido que ya se perfeccionó el contrato, pues hacerlo significaría</w:t>
      </w:r>
      <w:r w:rsidRPr="009D4F8D">
        <w:rPr>
          <w:rFonts w:ascii="Verdana" w:eastAsia="Calibri" w:hAnsi="Verdana" w:cs="Arial"/>
          <w:bCs/>
          <w:color w:val="000000"/>
        </w:rPr>
        <w:t>: i) desconocimiento de la regla de irrevocabil</w:t>
      </w:r>
      <w:r>
        <w:rPr>
          <w:rFonts w:ascii="Verdana" w:eastAsia="Calibri" w:hAnsi="Verdana" w:cs="Arial"/>
          <w:bCs/>
          <w:color w:val="000000"/>
        </w:rPr>
        <w:t>idad de la adjudicación del artículo</w:t>
      </w:r>
      <w:r w:rsidRPr="009D4F8D">
        <w:rPr>
          <w:rFonts w:ascii="Verdana" w:eastAsia="Calibri" w:hAnsi="Verdana" w:cs="Arial"/>
          <w:bCs/>
          <w:color w:val="000000"/>
        </w:rPr>
        <w:t xml:space="preserve"> 9 de l</w:t>
      </w:r>
      <w:r>
        <w:rPr>
          <w:rFonts w:ascii="Verdana" w:eastAsia="Calibri" w:hAnsi="Verdana" w:cs="Arial"/>
          <w:bCs/>
          <w:color w:val="000000"/>
        </w:rPr>
        <w:t>a Ley 1150 de 2007; e</w:t>
      </w:r>
      <w:r w:rsidRPr="009D4F8D">
        <w:rPr>
          <w:rFonts w:ascii="Verdana" w:eastAsia="Calibri" w:hAnsi="Verdana" w:cs="Arial"/>
          <w:bCs/>
          <w:color w:val="000000"/>
        </w:rPr>
        <w:t xml:space="preserve"> </w:t>
      </w:r>
      <w:proofErr w:type="spellStart"/>
      <w:r w:rsidRPr="009D4F8D">
        <w:rPr>
          <w:rFonts w:ascii="Verdana" w:eastAsia="Calibri" w:hAnsi="Verdana" w:cs="Arial"/>
          <w:bCs/>
          <w:color w:val="000000"/>
        </w:rPr>
        <w:t>ii</w:t>
      </w:r>
      <w:proofErr w:type="spellEnd"/>
      <w:r w:rsidRPr="009D4F8D">
        <w:rPr>
          <w:rFonts w:ascii="Verdana" w:eastAsia="Calibri" w:hAnsi="Verdana" w:cs="Arial"/>
          <w:bCs/>
          <w:color w:val="000000"/>
        </w:rPr>
        <w:t>) incumplimiento del contrato por</w:t>
      </w:r>
      <w:r>
        <w:rPr>
          <w:rFonts w:ascii="Verdana" w:eastAsia="Calibri" w:hAnsi="Verdana" w:cs="Arial"/>
          <w:bCs/>
          <w:color w:val="000000"/>
        </w:rPr>
        <w:t xml:space="preserve"> parte de la entidad estatal. Ante un vicio del contrato derivado del proceso de mínima cuantía s</w:t>
      </w:r>
      <w:proofErr w:type="spellStart"/>
      <w:r>
        <w:rPr>
          <w:rFonts w:ascii="Verdana" w:eastAsia="Calibri" w:hAnsi="Verdana" w:cs="Arial"/>
          <w:lang w:val="es-ES_tradnl"/>
        </w:rPr>
        <w:t>e</w:t>
      </w:r>
      <w:proofErr w:type="spellEnd"/>
      <w:r>
        <w:rPr>
          <w:rFonts w:ascii="Verdana" w:eastAsia="Calibri" w:hAnsi="Verdana" w:cs="Arial"/>
          <w:lang w:val="es-ES_tradnl"/>
        </w:rPr>
        <w:t xml:space="preserve"> precisa que la entidad estatal debe revisar si el contrato estatal está viciado de nulidad absoluta, </w:t>
      </w:r>
      <w:proofErr w:type="gramStart"/>
      <w:r>
        <w:rPr>
          <w:rFonts w:ascii="Verdana" w:eastAsia="Calibri" w:hAnsi="Verdana" w:cs="Arial"/>
          <w:lang w:val="es-ES_tradnl"/>
        </w:rPr>
        <w:t>de acuerdo a</w:t>
      </w:r>
      <w:proofErr w:type="gramEnd"/>
      <w:r>
        <w:rPr>
          <w:rFonts w:ascii="Verdana" w:eastAsia="Calibri" w:hAnsi="Verdana" w:cs="Arial"/>
          <w:lang w:val="es-ES_tradnl"/>
        </w:rPr>
        <w:t xml:space="preserve"> las causales prescritas en la Ley 80 y en las normas civiles o comerciales, o en su defecto, la nulidad relativa, teniendo en cuenta las causales y vicios dispuestas en el derecho común, las cuales pueden sanearse según lo prescrito en la Ley 80. </w:t>
      </w:r>
    </w:p>
    <w:p w14:paraId="62053878" w14:textId="77777777" w:rsidR="00960C09" w:rsidRDefault="00960C09" w:rsidP="00960C09">
      <w:pPr>
        <w:spacing w:after="120" w:line="276" w:lineRule="auto"/>
        <w:ind w:firstLine="708"/>
        <w:jc w:val="both"/>
        <w:rPr>
          <w:rFonts w:ascii="Verdana" w:eastAsia="Times New Roman" w:hAnsi="Verdana" w:cs="Arial"/>
          <w:color w:val="000000"/>
          <w:lang w:val="es-ES" w:eastAsia="es-ES"/>
        </w:rPr>
      </w:pPr>
      <w:r>
        <w:rPr>
          <w:rFonts w:ascii="Verdana" w:eastAsia="Times New Roman" w:hAnsi="Verdana" w:cs="Arial"/>
          <w:color w:val="000000"/>
          <w:lang w:val="es-ES" w:eastAsia="es-ES"/>
        </w:rPr>
        <w:t>Dentro de este tema</w:t>
      </w:r>
      <w:r w:rsidRPr="00E51636">
        <w:rPr>
          <w:rFonts w:ascii="Verdana" w:eastAsia="Times New Roman" w:hAnsi="Verdana" w:cs="Arial"/>
          <w:color w:val="000000"/>
          <w:lang w:val="es-ES" w:eastAsia="es-ES"/>
        </w:rPr>
        <w:t>,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p w14:paraId="7D5436F2" w14:textId="77777777" w:rsidR="00960C09" w:rsidRPr="00086A6A" w:rsidRDefault="00960C09" w:rsidP="00960C09">
      <w:pPr>
        <w:spacing w:after="120" w:line="276" w:lineRule="auto"/>
        <w:ind w:firstLine="708"/>
        <w:jc w:val="both"/>
        <w:rPr>
          <w:rFonts w:ascii="Verdana" w:eastAsia="Calibri" w:hAnsi="Verdana" w:cs="Arial"/>
          <w:bCs/>
          <w:color w:val="000000"/>
          <w:lang w:val="es-ES"/>
        </w:rPr>
      </w:pPr>
    </w:p>
    <w:p w14:paraId="22CCDC93" w14:textId="77777777" w:rsidR="00960C09" w:rsidRPr="00593A5F" w:rsidRDefault="00960C09" w:rsidP="00960C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593A5F">
        <w:rPr>
          <w:rFonts w:ascii="Verdana" w:eastAsia="Century Gothic" w:hAnsi="Verdana" w:cs="Century Gothic"/>
          <w:b/>
          <w:bCs/>
        </w:rPr>
        <w:t>:</w:t>
      </w:r>
    </w:p>
    <w:p w14:paraId="2836B438" w14:textId="77777777" w:rsidR="00960C09" w:rsidRPr="00593A5F" w:rsidRDefault="00960C09" w:rsidP="00960C0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60C09" w:rsidRPr="002407CE" w14:paraId="373709C4" w14:textId="77777777" w:rsidTr="00700F40">
        <w:trPr>
          <w:trHeight w:val="870"/>
          <w:jc w:val="center"/>
        </w:trPr>
        <w:tc>
          <w:tcPr>
            <w:tcW w:w="8647" w:type="dxa"/>
          </w:tcPr>
          <w:p w14:paraId="55AC8064" w14:textId="77777777" w:rsidR="00960C09" w:rsidRDefault="00960C09" w:rsidP="00700F4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1150 de 2007, artículos 2 y 9. </w:t>
            </w:r>
          </w:p>
          <w:p w14:paraId="55C65112" w14:textId="77777777" w:rsidR="00960C09" w:rsidRDefault="00960C09" w:rsidP="00700F4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1437 de 2011, artículos 93 y 97. </w:t>
            </w:r>
          </w:p>
          <w:p w14:paraId="34210A17" w14:textId="77777777" w:rsidR="00960C09" w:rsidRDefault="00960C09" w:rsidP="00700F4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2069 de 2020, artículo 30 y 35. </w:t>
            </w:r>
          </w:p>
          <w:p w14:paraId="728CD311" w14:textId="77777777" w:rsidR="00960C09" w:rsidRDefault="00960C09" w:rsidP="00700F4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Decreto 1082 de 2015, </w:t>
            </w:r>
            <w:r>
              <w:rPr>
                <w:rFonts w:ascii="Verdana" w:hAnsi="Verdana" w:cs="Arial"/>
                <w:lang w:val="es-ES_tradnl"/>
              </w:rPr>
              <w:t>a</w:t>
            </w:r>
            <w:r w:rsidRPr="006C63B3">
              <w:rPr>
                <w:rFonts w:ascii="Verdana" w:hAnsi="Verdana" w:cs="Arial"/>
                <w:lang w:val="es-ES_tradnl"/>
              </w:rPr>
              <w:t xml:space="preserve">rtículos </w:t>
            </w:r>
            <w:r w:rsidRPr="006C63B3">
              <w:rPr>
                <w:rFonts w:ascii="Verdana" w:hAnsi="Verdana" w:cs="Arial"/>
                <w:bCs/>
                <w:iCs/>
                <w:lang w:val="es-MX"/>
              </w:rPr>
              <w:t xml:space="preserve">2.2.1.2.1.5.1., </w:t>
            </w:r>
            <w:r w:rsidRPr="006C63B3">
              <w:rPr>
                <w:rFonts w:ascii="Verdana" w:hAnsi="Verdana" w:cs="Arial"/>
                <w:lang w:val="es-ES_tradnl"/>
              </w:rPr>
              <w:t>2.2.1.2.1.5.2.</w:t>
            </w:r>
            <w:r>
              <w:rPr>
                <w:rFonts w:ascii="Verdana" w:hAnsi="Verdana" w:cs="Arial"/>
                <w:lang w:val="es-ES_tradnl"/>
              </w:rPr>
              <w:t xml:space="preserve">, </w:t>
            </w:r>
            <w:r>
              <w:rPr>
                <w:rFonts w:ascii="Verdana" w:hAnsi="Verdana" w:cs="Arial"/>
                <w:lang w:val="es-ES_tradnl"/>
              </w:rPr>
              <w:lastRenderedPageBreak/>
              <w:t xml:space="preserve">2.2.1.2.1.5.3., 2.2.1.2.1.5.4., 2.2.1.2.1.5.5. </w:t>
            </w:r>
          </w:p>
          <w:p w14:paraId="1F8A34A7"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CONSEJO DE ESTADO. Sala de Consulta y Servicio Civil. Concepto de 15 de agosto de 2017. Radicación: 2346. C.P. Álvaro </w:t>
            </w:r>
            <w:proofErr w:type="spellStart"/>
            <w:r w:rsidRPr="006C63B3">
              <w:rPr>
                <w:rFonts w:ascii="Verdana" w:hAnsi="Verdana" w:cs="Arial"/>
              </w:rPr>
              <w:t>Namén</w:t>
            </w:r>
            <w:proofErr w:type="spellEnd"/>
            <w:r w:rsidRPr="006C63B3">
              <w:rPr>
                <w:rFonts w:ascii="Verdana" w:hAnsi="Verdana" w:cs="Arial"/>
              </w:rPr>
              <w:t xml:space="preserve"> Vargas. </w:t>
            </w:r>
          </w:p>
          <w:p w14:paraId="1412BFB7"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CONSEJO DE ESTADO. Sección Tercera, Subsección C. Sentencia del 26 de marzo de 2014. C.P. Enrique Gil Botero. </w:t>
            </w:r>
            <w:proofErr w:type="spellStart"/>
            <w:r w:rsidRPr="006C63B3">
              <w:rPr>
                <w:rFonts w:ascii="Verdana" w:hAnsi="Verdana" w:cs="Arial"/>
              </w:rPr>
              <w:t>Exp</w:t>
            </w:r>
            <w:proofErr w:type="spellEnd"/>
            <w:r w:rsidRPr="006C63B3">
              <w:rPr>
                <w:rFonts w:ascii="Verdana" w:hAnsi="Verdana" w:cs="Arial"/>
              </w:rPr>
              <w:t>. 25.750.</w:t>
            </w:r>
          </w:p>
          <w:p w14:paraId="2E51892D"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CONSEJO DE ESTADO. Sección Tercera, Subsección A. Sentencia del 26 de noviembre de 2014. C.P. Carlos Alberto Zambrano Barrera. </w:t>
            </w:r>
            <w:proofErr w:type="spellStart"/>
            <w:r w:rsidRPr="006C63B3">
              <w:rPr>
                <w:rFonts w:ascii="Verdana" w:hAnsi="Verdana" w:cs="Arial"/>
              </w:rPr>
              <w:t>Exp</w:t>
            </w:r>
            <w:proofErr w:type="spellEnd"/>
            <w:r w:rsidRPr="006C63B3">
              <w:rPr>
                <w:rFonts w:ascii="Verdana" w:hAnsi="Verdana" w:cs="Arial"/>
              </w:rPr>
              <w:t>. 31.297.</w:t>
            </w:r>
          </w:p>
          <w:p w14:paraId="090857F2"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CONSEJO DE ESTADO. Sección Tercera, Subsección A. Sentencia del 27 de abril de 2016. C.P. Martha Nubia Velásquez Rico. </w:t>
            </w:r>
            <w:proofErr w:type="spellStart"/>
            <w:r w:rsidRPr="006C63B3">
              <w:rPr>
                <w:rFonts w:ascii="Verdana" w:hAnsi="Verdana" w:cs="Arial"/>
              </w:rPr>
              <w:t>Exp</w:t>
            </w:r>
            <w:proofErr w:type="spellEnd"/>
            <w:r w:rsidRPr="006C63B3">
              <w:rPr>
                <w:rFonts w:ascii="Verdana" w:hAnsi="Verdana" w:cs="Arial"/>
              </w:rPr>
              <w:t>. 46818.</w:t>
            </w:r>
          </w:p>
          <w:p w14:paraId="2022952A"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CONSEJO DE ESTADO. Sección Tercera, Subsección A. Sentencia del 2 de julio de 2021. C.P. José Roberto Sáchica Méndez. </w:t>
            </w:r>
            <w:proofErr w:type="spellStart"/>
            <w:r w:rsidRPr="006C63B3">
              <w:rPr>
                <w:rFonts w:ascii="Verdana" w:hAnsi="Verdana" w:cs="Arial"/>
              </w:rPr>
              <w:t>Exp</w:t>
            </w:r>
            <w:proofErr w:type="spellEnd"/>
            <w:r w:rsidRPr="006C63B3">
              <w:rPr>
                <w:rFonts w:ascii="Verdana" w:hAnsi="Verdana" w:cs="Arial"/>
              </w:rPr>
              <w:t>. 58372.</w:t>
            </w:r>
          </w:p>
          <w:p w14:paraId="69C13336" w14:textId="77777777" w:rsidR="00960C09"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AGENCIA NACIONAL DE CONTRATACIÓN PÚBLICA –COLOMBIA COMPRA EFICIENTE. Manual de la Modalidad de Selección de Mínima Cuantía de Colombia Compra Eficiente, 2024.</w:t>
            </w:r>
          </w:p>
          <w:p w14:paraId="33D69F58"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COVILLA MARTÍNEZ, Juan Carlos. La revocación del acto de apertura del procedimiento de selección de contratistas y la responsabilidad del Estado. Bogotá: Universidad Externado de Colombia, 2019. </w:t>
            </w:r>
            <w:r>
              <w:rPr>
                <w:rFonts w:ascii="Verdana" w:hAnsi="Verdana" w:cs="Arial"/>
              </w:rPr>
              <w:t>pp. 219-246</w:t>
            </w:r>
          </w:p>
          <w:p w14:paraId="4BABCF0E"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DÁVILA VINUEZA, Luis Guillermo. Régimen jurídico de la contratación estatal. 3ª ed. Bogotá: Legis, 2016. p. 463.</w:t>
            </w:r>
          </w:p>
          <w:p w14:paraId="19332EFE"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OSPINA MENA, Jesús Marino. Régimen de la Contratación Estatal. Un salto a la contratación líquida. Bogotá: Ed. 1ª. </w:t>
            </w:r>
            <w:proofErr w:type="spellStart"/>
            <w:r w:rsidRPr="006C63B3">
              <w:rPr>
                <w:rFonts w:ascii="Verdana" w:hAnsi="Verdana" w:cs="Arial"/>
              </w:rPr>
              <w:t>Diké</w:t>
            </w:r>
            <w:proofErr w:type="spellEnd"/>
            <w:r w:rsidRPr="006C63B3">
              <w:rPr>
                <w:rFonts w:ascii="Verdana" w:hAnsi="Verdana" w:cs="Arial"/>
              </w:rPr>
              <w:t xml:space="preserve">, 2020. </w:t>
            </w:r>
          </w:p>
          <w:p w14:paraId="5B9E971F" w14:textId="77777777" w:rsidR="00960C09" w:rsidRPr="006C63B3"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 xml:space="preserve">RODRÍGUEZ. Libardo. Derecho Administrativo General y colombiano. Vigésima Edición. Tomo II. Editorial Temis, 2017. </w:t>
            </w:r>
          </w:p>
          <w:p w14:paraId="6E1859B9" w14:textId="77777777" w:rsidR="00960C09" w:rsidRPr="004B69DB" w:rsidRDefault="00960C09" w:rsidP="00700F40">
            <w:pPr>
              <w:pStyle w:val="Prrafodelista"/>
              <w:numPr>
                <w:ilvl w:val="0"/>
                <w:numId w:val="17"/>
              </w:numPr>
              <w:spacing w:before="120" w:after="120" w:line="276" w:lineRule="auto"/>
              <w:contextualSpacing w:val="0"/>
              <w:jc w:val="both"/>
              <w:rPr>
                <w:rFonts w:ascii="Verdana" w:hAnsi="Verdana" w:cs="Arial"/>
              </w:rPr>
            </w:pPr>
            <w:r w:rsidRPr="006C63B3">
              <w:rPr>
                <w:rFonts w:ascii="Verdana" w:hAnsi="Verdana" w:cs="Arial"/>
              </w:rPr>
              <w:t>SANTOS RODRÍGUEZ. Jorge Enrique. Construcción doctrinaria de la revocación del acto administrativo ilegal. Universidad Externado de Colombia, 2005.</w:t>
            </w:r>
          </w:p>
        </w:tc>
      </w:tr>
    </w:tbl>
    <w:p w14:paraId="557E6BE9" w14:textId="77777777" w:rsidR="00960C09" w:rsidRPr="002407CE" w:rsidRDefault="00960C09" w:rsidP="00960C09">
      <w:pPr>
        <w:widowControl w:val="0"/>
        <w:autoSpaceDE w:val="0"/>
        <w:autoSpaceDN w:val="0"/>
        <w:spacing w:after="0" w:line="276" w:lineRule="auto"/>
        <w:jc w:val="both"/>
        <w:rPr>
          <w:rFonts w:ascii="Verdana" w:hAnsi="Verdana" w:cs="Arial"/>
        </w:rPr>
      </w:pPr>
    </w:p>
    <w:p w14:paraId="6DFE9CF6" w14:textId="77777777" w:rsidR="00960C09" w:rsidRPr="00593A5F" w:rsidRDefault="00960C09" w:rsidP="00960C0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BD888F8" w14:textId="77777777" w:rsidR="00960C09" w:rsidRPr="00593A5F" w:rsidRDefault="00960C09" w:rsidP="00960C09">
      <w:pPr>
        <w:widowControl w:val="0"/>
        <w:autoSpaceDE w:val="0"/>
        <w:autoSpaceDN w:val="0"/>
        <w:spacing w:after="0" w:line="276" w:lineRule="auto"/>
        <w:jc w:val="both"/>
        <w:rPr>
          <w:rFonts w:ascii="Verdana" w:hAnsi="Verdana" w:cs="Arial"/>
        </w:rPr>
      </w:pPr>
    </w:p>
    <w:p w14:paraId="1D0B78D3" w14:textId="77777777" w:rsidR="00960C09" w:rsidRPr="00E20CCC" w:rsidRDefault="00960C09" w:rsidP="00960C09">
      <w:pPr>
        <w:widowControl w:val="0"/>
        <w:autoSpaceDE w:val="0"/>
        <w:autoSpaceDN w:val="0"/>
        <w:spacing w:after="0" w:line="276" w:lineRule="auto"/>
        <w:jc w:val="both"/>
        <w:rPr>
          <w:rStyle w:val="normaltextrun"/>
          <w:rFonts w:ascii="Verdana" w:hAnsi="Verdana" w:cs="Arial"/>
          <w:shd w:val="clear" w:color="auto" w:fill="FFFFFF"/>
          <w:lang w:val="es-ES"/>
        </w:rPr>
      </w:pPr>
      <w:r>
        <w:rPr>
          <w:rFonts w:ascii="Verdana" w:hAnsi="Verdana" w:cs="Arial"/>
          <w:shd w:val="clear" w:color="auto" w:fill="FFFFFF"/>
          <w:lang w:val="es-ES"/>
        </w:rPr>
        <w:t xml:space="preserve">La Subdirección de Gestión Contractual de la </w:t>
      </w:r>
      <w:r w:rsidRPr="001643AB">
        <w:rPr>
          <w:rFonts w:ascii="Verdana" w:hAnsi="Verdana" w:cs="Arial"/>
          <w:shd w:val="clear" w:color="auto" w:fill="FFFFFF"/>
          <w:lang w:val="es-ES"/>
        </w:rPr>
        <w:t xml:space="preserve">Agencia Nacional de Contratación </w:t>
      </w:r>
      <w:r w:rsidRPr="001643AB">
        <w:rPr>
          <w:rFonts w:ascii="Verdana" w:hAnsi="Verdana" w:cs="Arial"/>
          <w:shd w:val="clear" w:color="auto" w:fill="FFFFFF"/>
          <w:lang w:val="es-ES"/>
        </w:rPr>
        <w:lastRenderedPageBreak/>
        <w:t>Pública – Colombia Compra</w:t>
      </w:r>
      <w:r>
        <w:rPr>
          <w:rFonts w:ascii="Verdana" w:hAnsi="Verdana" w:cs="Arial"/>
          <w:shd w:val="clear" w:color="auto" w:fill="FFFFFF"/>
          <w:lang w:val="es-ES"/>
        </w:rPr>
        <w:t xml:space="preserve"> Eficiente</w:t>
      </w:r>
      <w:r w:rsidRPr="001643AB">
        <w:rPr>
          <w:rFonts w:ascii="Verdana" w:hAnsi="Verdana" w:cs="Arial"/>
          <w:shd w:val="clear" w:color="auto" w:fill="FFFFFF"/>
          <w:lang w:val="es-ES"/>
        </w:rPr>
        <w:t xml:space="preserve"> ha analizado </w:t>
      </w:r>
      <w:r w:rsidRPr="0013448C">
        <w:rPr>
          <w:rFonts w:ascii="Verdana" w:hAnsi="Verdana" w:cs="Arial"/>
          <w:bCs/>
          <w:shd w:val="clear" w:color="auto" w:fill="FFFFFF"/>
          <w:lang w:val="es-ES_tradnl"/>
        </w:rPr>
        <w:t>particularidades de la modalidad de selección de mínima cuantía en los conceptos con radicado No. 2201913000006236 de 26 de agosto de 2019, C–108 del 3 de marzo de 2020, C–121 del 3 de marzo de 2020, C–122 del 25 de marzo de 2020 y C–160 del 3 de abril de 2020, C-465 del 27 de julio de 2020, C-557 del 21 de agosto de 2020, C-734 del 16 de diciembre de</w:t>
      </w:r>
      <w:r>
        <w:rPr>
          <w:rFonts w:ascii="Verdana" w:hAnsi="Verdana" w:cs="Arial"/>
          <w:bCs/>
          <w:shd w:val="clear" w:color="auto" w:fill="FFFFFF"/>
          <w:lang w:val="es-ES_tradnl"/>
        </w:rPr>
        <w:t xml:space="preserve"> 2020, </w:t>
      </w:r>
      <w:r w:rsidRPr="0013448C">
        <w:rPr>
          <w:rFonts w:ascii="Verdana" w:hAnsi="Verdana" w:cs="Arial"/>
          <w:bCs/>
          <w:shd w:val="clear" w:color="auto" w:fill="FFFFFF"/>
          <w:lang w:val="es-ES_tradnl"/>
        </w:rPr>
        <w:t>C-123 del 12 de mayo de 2023</w:t>
      </w:r>
      <w:r>
        <w:rPr>
          <w:rFonts w:ascii="Verdana" w:hAnsi="Verdana" w:cs="Arial"/>
          <w:bCs/>
          <w:shd w:val="clear" w:color="auto" w:fill="FFFFFF"/>
          <w:lang w:val="es-ES_tradnl"/>
        </w:rPr>
        <w:t>, C-069 del 26 de febrero de 2025, C-069 del 26 de febrero de 2025, entre otros</w:t>
      </w:r>
      <w:r w:rsidRPr="0013448C">
        <w:rPr>
          <w:rFonts w:ascii="Verdana" w:hAnsi="Verdana" w:cs="Arial"/>
          <w:shd w:val="clear" w:color="auto" w:fill="FFFFFF"/>
          <w:lang w:val="es-ES"/>
        </w:rPr>
        <w:t xml:space="preserve">. </w:t>
      </w:r>
      <w:r w:rsidRPr="00F6599C">
        <w:rPr>
          <w:rFonts w:ascii="Verdana" w:hAnsi="Verdana" w:cs="Arial"/>
          <w:shd w:val="clear" w:color="auto" w:fill="FFFFFF"/>
        </w:rPr>
        <w:t>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3"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C26EB40" w14:textId="77777777" w:rsidR="00960C09" w:rsidRPr="00096788" w:rsidRDefault="00960C09" w:rsidP="00960C09">
      <w:pPr>
        <w:widowControl w:val="0"/>
        <w:autoSpaceDE w:val="0"/>
        <w:autoSpaceDN w:val="0"/>
        <w:spacing w:after="0" w:line="276" w:lineRule="auto"/>
        <w:jc w:val="both"/>
        <w:rPr>
          <w:rFonts w:ascii="Verdana" w:hAnsi="Verdana" w:cs="Arial"/>
          <w:color w:val="000000" w:themeColor="text1"/>
          <w:shd w:val="clear" w:color="auto" w:fill="FFFFFF"/>
        </w:rPr>
      </w:pPr>
    </w:p>
    <w:p w14:paraId="5C1BE3B8" w14:textId="77777777" w:rsidR="00960C09" w:rsidRPr="001205D1" w:rsidRDefault="00960C09" w:rsidP="00960C09">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34FBF225" w14:textId="77777777" w:rsidR="00960C09" w:rsidRPr="009C4035" w:rsidRDefault="00960C09" w:rsidP="00960C09">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0854949" w14:textId="77777777" w:rsidR="00960C09" w:rsidRPr="00341565" w:rsidRDefault="00960C09" w:rsidP="00960C09">
      <w:pPr>
        <w:spacing w:after="0" w:line="256" w:lineRule="auto"/>
        <w:jc w:val="both"/>
        <w:rPr>
          <w:rFonts w:ascii="Verdana" w:eastAsia="Calibri" w:hAnsi="Verdana" w:cs="Times New Roman"/>
        </w:rPr>
      </w:pPr>
      <w:r w:rsidRPr="00341565">
        <w:rPr>
          <w:rFonts w:ascii="Verdana" w:eastAsia="Calibri" w:hAnsi="Verdana" w:cs="Times New Roman"/>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459592C" w14:textId="77777777" w:rsidR="00960C09" w:rsidRPr="00341565" w:rsidRDefault="00960C09" w:rsidP="00960C09">
      <w:pPr>
        <w:spacing w:after="0" w:line="240" w:lineRule="auto"/>
        <w:jc w:val="both"/>
        <w:rPr>
          <w:rFonts w:ascii="Verdana" w:eastAsia="Calibri" w:hAnsi="Verdana" w:cs="Times New Roman"/>
        </w:rPr>
      </w:pPr>
    </w:p>
    <w:p w14:paraId="02BEDD28" w14:textId="77777777" w:rsidR="00960C09" w:rsidRPr="00341565" w:rsidRDefault="00960C09" w:rsidP="00960C09">
      <w:pPr>
        <w:numPr>
          <w:ilvl w:val="0"/>
          <w:numId w:val="15"/>
        </w:numPr>
        <w:spacing w:after="0" w:line="240" w:lineRule="auto"/>
        <w:contextualSpacing/>
        <w:jc w:val="both"/>
        <w:rPr>
          <w:rFonts w:ascii="Verdana" w:hAnsi="Verdana"/>
          <w:lang w:val="es-ES"/>
        </w:rPr>
      </w:pPr>
      <w:r w:rsidRPr="00341565">
        <w:rPr>
          <w:rFonts w:ascii="Verdana" w:hAnsi="Verdana"/>
          <w:lang w:val="es-ES"/>
        </w:rPr>
        <w:t>Línea nacional gratuita o servicio a la ciudadanía: 01800 0520808</w:t>
      </w:r>
    </w:p>
    <w:p w14:paraId="6F36F7C8" w14:textId="77777777" w:rsidR="00960C09" w:rsidRPr="00341565" w:rsidRDefault="00960C09" w:rsidP="00960C09">
      <w:pPr>
        <w:numPr>
          <w:ilvl w:val="0"/>
          <w:numId w:val="15"/>
        </w:numPr>
        <w:spacing w:after="0" w:line="240" w:lineRule="auto"/>
        <w:contextualSpacing/>
        <w:jc w:val="both"/>
        <w:rPr>
          <w:rFonts w:ascii="Verdana" w:hAnsi="Verdana"/>
          <w:lang w:val="es-ES"/>
        </w:rPr>
      </w:pPr>
      <w:r w:rsidRPr="00341565">
        <w:rPr>
          <w:rFonts w:ascii="Verdana" w:hAnsi="Verdana"/>
          <w:lang w:val="es-ES"/>
        </w:rPr>
        <w:t>Línea en Bogotá (Mesa de servicio): +57 601 7456788</w:t>
      </w:r>
    </w:p>
    <w:p w14:paraId="2ACCB2F7" w14:textId="77777777" w:rsidR="00960C09" w:rsidRPr="00341565" w:rsidRDefault="00960C09" w:rsidP="00960C09">
      <w:pPr>
        <w:numPr>
          <w:ilvl w:val="0"/>
          <w:numId w:val="15"/>
        </w:numPr>
        <w:spacing w:after="0" w:line="240" w:lineRule="auto"/>
        <w:contextualSpacing/>
        <w:jc w:val="both"/>
        <w:rPr>
          <w:rFonts w:ascii="Verdana" w:hAnsi="Verdana"/>
          <w:lang w:val="es-ES"/>
        </w:rPr>
      </w:pPr>
      <w:r w:rsidRPr="00341565">
        <w:rPr>
          <w:rFonts w:ascii="Verdana" w:hAnsi="Verdana"/>
          <w:lang w:val="es-ES"/>
        </w:rPr>
        <w:t>Línea de servicio y atención al ciudadano: +57 601 7956600</w:t>
      </w:r>
    </w:p>
    <w:p w14:paraId="09FA6927" w14:textId="77777777" w:rsidR="00960C09" w:rsidRPr="00341565" w:rsidRDefault="00960C09" w:rsidP="00960C09">
      <w:pPr>
        <w:numPr>
          <w:ilvl w:val="0"/>
          <w:numId w:val="15"/>
        </w:numPr>
        <w:spacing w:after="0" w:line="240" w:lineRule="auto"/>
        <w:contextualSpacing/>
        <w:jc w:val="both"/>
        <w:rPr>
          <w:rFonts w:ascii="Verdana" w:hAnsi="Verdana"/>
          <w:lang w:val="es-ES"/>
        </w:rPr>
      </w:pPr>
      <w:r w:rsidRPr="00341565">
        <w:rPr>
          <w:rFonts w:ascii="Verdana" w:hAnsi="Verdana"/>
          <w:lang w:val="es-ES"/>
        </w:rPr>
        <w:t xml:space="preserve">Página web: </w:t>
      </w:r>
      <w:hyperlink r:id="rId15" w:history="1">
        <w:r w:rsidRPr="00341565">
          <w:rPr>
            <w:rFonts w:ascii="Verdana" w:hAnsi="Verdana"/>
            <w:color w:val="0000FF"/>
            <w:u w:val="single"/>
            <w:lang w:val="es-ES"/>
          </w:rPr>
          <w:t>www.colombiacompra.gov.co</w:t>
        </w:r>
      </w:hyperlink>
    </w:p>
    <w:p w14:paraId="66A0B237" w14:textId="77777777" w:rsidR="00960C09" w:rsidRPr="00341565" w:rsidRDefault="00960C09" w:rsidP="00960C09">
      <w:pPr>
        <w:spacing w:after="0" w:line="240" w:lineRule="auto"/>
        <w:ind w:left="785"/>
        <w:contextualSpacing/>
        <w:jc w:val="both"/>
        <w:rPr>
          <w:rFonts w:ascii="Verdana" w:hAnsi="Verdana"/>
          <w:lang w:val="es-ES"/>
        </w:rPr>
      </w:pPr>
    </w:p>
    <w:p w14:paraId="3DE1D8E6" w14:textId="77777777" w:rsidR="00960C09" w:rsidRPr="00341565" w:rsidRDefault="00960C09" w:rsidP="00960C09">
      <w:pPr>
        <w:spacing w:after="0" w:line="240" w:lineRule="auto"/>
        <w:jc w:val="both"/>
        <w:rPr>
          <w:rFonts w:ascii="Verdana" w:eastAsia="Calibri" w:hAnsi="Verdana" w:cs="Times New Roman"/>
        </w:rPr>
      </w:pPr>
      <w:r w:rsidRPr="00341565">
        <w:rPr>
          <w:rFonts w:ascii="Verdana" w:eastAsia="Calibri" w:hAnsi="Verdana" w:cs="Times New Roman"/>
        </w:rPr>
        <w:t xml:space="preserve">Por último, lo invitamos a seguirnos en las redes sociales en las cuales se difunde información institucional: </w:t>
      </w:r>
    </w:p>
    <w:p w14:paraId="1C4ABF22" w14:textId="77777777" w:rsidR="00960C09" w:rsidRPr="00341565" w:rsidRDefault="00960C09" w:rsidP="00960C09">
      <w:pPr>
        <w:spacing w:after="0" w:line="240" w:lineRule="auto"/>
        <w:jc w:val="both"/>
        <w:rPr>
          <w:rFonts w:ascii="Verdana" w:eastAsia="Calibri" w:hAnsi="Verdana" w:cs="Times New Roman"/>
        </w:rPr>
      </w:pPr>
    </w:p>
    <w:p w14:paraId="7A932B14" w14:textId="77777777" w:rsidR="00960C09" w:rsidRPr="00341565" w:rsidRDefault="00960C09" w:rsidP="00960C09">
      <w:pPr>
        <w:spacing w:after="0" w:line="240" w:lineRule="auto"/>
        <w:jc w:val="both"/>
        <w:rPr>
          <w:rFonts w:ascii="Verdana" w:eastAsia="Calibri" w:hAnsi="Verdana" w:cs="Times New Roman"/>
        </w:rPr>
      </w:pPr>
      <w:r w:rsidRPr="00341565">
        <w:rPr>
          <w:rFonts w:ascii="Verdana" w:eastAsia="Calibri" w:hAnsi="Verdana" w:cs="Times New Roman"/>
        </w:rPr>
        <w:t xml:space="preserve">Twitter: </w:t>
      </w:r>
      <w:r w:rsidRPr="00341565">
        <w:rPr>
          <w:rFonts w:ascii="Verdana" w:eastAsia="Calibri" w:hAnsi="Verdana" w:cs="Times New Roman"/>
          <w:color w:val="0000FF"/>
          <w:u w:val="single"/>
        </w:rPr>
        <w:t>@colombiacompra</w:t>
      </w:r>
      <w:r w:rsidRPr="00341565">
        <w:rPr>
          <w:rFonts w:ascii="Verdana" w:eastAsia="Calibri" w:hAnsi="Verdana" w:cs="Times New Roman"/>
        </w:rPr>
        <w:t xml:space="preserve"> </w:t>
      </w:r>
    </w:p>
    <w:p w14:paraId="7AE89327" w14:textId="77777777" w:rsidR="00960C09" w:rsidRPr="00341565" w:rsidRDefault="00960C09" w:rsidP="00960C09">
      <w:pPr>
        <w:spacing w:after="0" w:line="240" w:lineRule="auto"/>
        <w:jc w:val="both"/>
        <w:rPr>
          <w:rFonts w:ascii="Verdana" w:eastAsia="Calibri" w:hAnsi="Verdana" w:cs="Times New Roman"/>
        </w:rPr>
      </w:pPr>
      <w:r w:rsidRPr="00341565">
        <w:rPr>
          <w:rFonts w:ascii="Verdana" w:eastAsia="Calibri" w:hAnsi="Verdana" w:cs="Times New Roman"/>
        </w:rPr>
        <w:t xml:space="preserve">Facebook: </w:t>
      </w:r>
      <w:proofErr w:type="spellStart"/>
      <w:r w:rsidRPr="00341565">
        <w:rPr>
          <w:rFonts w:ascii="Verdana" w:eastAsia="Calibri" w:hAnsi="Verdana" w:cs="Times New Roman"/>
          <w:color w:val="0000FF"/>
          <w:u w:val="single"/>
        </w:rPr>
        <w:t>ColombiaCompraEficiente</w:t>
      </w:r>
      <w:proofErr w:type="spellEnd"/>
    </w:p>
    <w:p w14:paraId="476226CB" w14:textId="77777777" w:rsidR="00960C09" w:rsidRPr="00341565" w:rsidRDefault="00960C09" w:rsidP="00960C09">
      <w:pPr>
        <w:spacing w:after="0" w:line="240" w:lineRule="auto"/>
        <w:jc w:val="both"/>
        <w:rPr>
          <w:rFonts w:ascii="Verdana" w:eastAsia="Calibri" w:hAnsi="Verdana" w:cs="Times New Roman"/>
        </w:rPr>
      </w:pPr>
      <w:r w:rsidRPr="00341565">
        <w:rPr>
          <w:rFonts w:ascii="Verdana" w:eastAsia="Calibri" w:hAnsi="Verdana" w:cs="Times New Roman"/>
        </w:rPr>
        <w:lastRenderedPageBreak/>
        <w:t xml:space="preserve">LinkedIn: </w:t>
      </w:r>
      <w:r w:rsidRPr="00341565">
        <w:rPr>
          <w:rFonts w:ascii="Verdana" w:eastAsia="Calibri" w:hAnsi="Verdana" w:cs="Times New Roman"/>
          <w:color w:val="0000FF"/>
          <w:u w:val="single"/>
        </w:rPr>
        <w:t>Agencia Nacional de Contratación Pública - Colombia Compra Eficiente</w:t>
      </w:r>
      <w:r w:rsidRPr="00341565">
        <w:rPr>
          <w:rFonts w:ascii="Verdana" w:eastAsia="Calibri" w:hAnsi="Verdana" w:cs="Times New Roman"/>
        </w:rPr>
        <w:t xml:space="preserve"> Instagram: </w:t>
      </w:r>
      <w:r w:rsidRPr="00341565">
        <w:rPr>
          <w:rFonts w:ascii="Verdana" w:eastAsia="Calibri" w:hAnsi="Verdana" w:cs="Times New Roman"/>
          <w:color w:val="0000FF"/>
          <w:u w:val="single"/>
        </w:rPr>
        <w:t>@colombiacompraeficiente_cce</w:t>
      </w:r>
    </w:p>
    <w:p w14:paraId="1B771BAE" w14:textId="77777777" w:rsidR="00960C09" w:rsidRPr="00341565" w:rsidRDefault="00960C09" w:rsidP="00960C09">
      <w:pPr>
        <w:spacing w:after="0" w:line="240" w:lineRule="auto"/>
        <w:jc w:val="both"/>
        <w:rPr>
          <w:rFonts w:ascii="Verdana" w:eastAsia="Calibri" w:hAnsi="Verdana" w:cs="Times New Roman"/>
        </w:rPr>
      </w:pPr>
    </w:p>
    <w:p w14:paraId="436DA532" w14:textId="77777777" w:rsidR="00960C09" w:rsidRPr="00593A5F" w:rsidRDefault="00960C09" w:rsidP="00960C09">
      <w:pPr>
        <w:widowControl w:val="0"/>
        <w:autoSpaceDE w:val="0"/>
        <w:autoSpaceDN w:val="0"/>
        <w:spacing w:after="0" w:line="276" w:lineRule="auto"/>
        <w:jc w:val="both"/>
        <w:rPr>
          <w:rFonts w:ascii="Verdana" w:hAnsi="Verdana" w:cs="Arial"/>
          <w:lang w:val="es-ES_tradnl"/>
        </w:rPr>
      </w:pPr>
      <w:r w:rsidRPr="0034156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r w:rsidRPr="00D17A6C">
        <w:rPr>
          <w:rFonts w:ascii="Verdana" w:hAnsi="Verdana" w:cs="Arial"/>
          <w:bCs/>
          <w:color w:val="1A1A1A" w:themeColor="background1" w:themeShade="1A"/>
        </w:rPr>
        <w:t xml:space="preserve"> </w:t>
      </w:r>
    </w:p>
    <w:p w14:paraId="606757D6" w14:textId="77777777" w:rsidR="00960C09" w:rsidRPr="00593A5F" w:rsidRDefault="00960C09" w:rsidP="00960C09">
      <w:pPr>
        <w:widowControl w:val="0"/>
        <w:autoSpaceDE w:val="0"/>
        <w:autoSpaceDN w:val="0"/>
        <w:spacing w:after="0" w:line="276" w:lineRule="auto"/>
        <w:jc w:val="both"/>
        <w:rPr>
          <w:rFonts w:ascii="Verdana" w:hAnsi="Verdana" w:cs="Arial"/>
        </w:rPr>
      </w:pPr>
    </w:p>
    <w:p w14:paraId="77A1A36D" w14:textId="77777777" w:rsidR="00960C09" w:rsidRDefault="00960C09" w:rsidP="00960C09">
      <w:pPr>
        <w:spacing w:after="0" w:line="240" w:lineRule="auto"/>
        <w:rPr>
          <w:rFonts w:ascii="Verdana" w:hAnsi="Verdana" w:cs="Arial"/>
          <w:lang w:eastAsia="es-CO"/>
        </w:rPr>
      </w:pPr>
      <w:r w:rsidRPr="7ABE399E">
        <w:rPr>
          <w:rFonts w:ascii="Verdana" w:eastAsia="Times New Roman" w:hAnsi="Verdana" w:cs="Arial"/>
          <w:lang w:eastAsia="es-CO"/>
        </w:rPr>
        <w:t>Atentamente,</w:t>
      </w:r>
      <w:r w:rsidRPr="7ABE399E">
        <w:rPr>
          <w:rFonts w:ascii="Verdana" w:hAnsi="Verdana" w:cs="Arial"/>
          <w:lang w:eastAsia="es-CO"/>
        </w:rPr>
        <w:t xml:space="preserve"> </w:t>
      </w:r>
    </w:p>
    <w:p w14:paraId="0F078203" w14:textId="77777777" w:rsidR="00960C09" w:rsidRPr="00D5791F" w:rsidRDefault="00960C09" w:rsidP="00960C09">
      <w:pPr>
        <w:spacing w:after="0" w:line="240" w:lineRule="auto"/>
        <w:rPr>
          <w:rFonts w:ascii="Verdana" w:hAnsi="Verdana" w:cs="Arial"/>
          <w:noProof/>
          <w:lang w:eastAsia="es-CO"/>
        </w:rPr>
      </w:pPr>
    </w:p>
    <w:p w14:paraId="2E1378D8" w14:textId="4599C77E" w:rsidR="00960C09" w:rsidRDefault="00960C09" w:rsidP="00960C09">
      <w:pPr>
        <w:spacing w:after="0" w:line="256" w:lineRule="auto"/>
        <w:jc w:val="center"/>
        <w:rPr>
          <w:noProof/>
          <w:lang w:val="en-US"/>
        </w:rPr>
      </w:pPr>
    </w:p>
    <w:p w14:paraId="378700C5" w14:textId="16E4BC2A" w:rsidR="00253A86" w:rsidRPr="00792541" w:rsidRDefault="00253A86" w:rsidP="00960C09">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013664E" wp14:editId="6348B060">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3C0FC272" w14:textId="77777777" w:rsidR="00960C09" w:rsidRPr="00792541" w:rsidRDefault="00960C09" w:rsidP="00960C09">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60C09" w:rsidRPr="00792541" w14:paraId="55318501" w14:textId="77777777" w:rsidTr="00700F40">
        <w:trPr>
          <w:trHeight w:val="409"/>
        </w:trPr>
        <w:tc>
          <w:tcPr>
            <w:tcW w:w="817" w:type="dxa"/>
            <w:tcBorders>
              <w:top w:val="nil"/>
              <w:left w:val="nil"/>
              <w:bottom w:val="nil"/>
              <w:right w:val="nil"/>
            </w:tcBorders>
            <w:vAlign w:val="center"/>
            <w:hideMark/>
          </w:tcPr>
          <w:p w14:paraId="43A3704C"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017E820"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José Luis Sánchez Cardona</w:t>
            </w:r>
          </w:p>
          <w:p w14:paraId="60310FA1"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Contratista de la Subdirección de Gestión Contractual</w:t>
            </w:r>
          </w:p>
        </w:tc>
      </w:tr>
      <w:tr w:rsidR="00960C09" w:rsidRPr="00792541" w14:paraId="73B534E0" w14:textId="77777777" w:rsidTr="00700F40">
        <w:trPr>
          <w:trHeight w:val="409"/>
        </w:trPr>
        <w:tc>
          <w:tcPr>
            <w:tcW w:w="817" w:type="dxa"/>
            <w:tcBorders>
              <w:top w:val="nil"/>
              <w:left w:val="nil"/>
              <w:bottom w:val="nil"/>
              <w:right w:val="nil"/>
            </w:tcBorders>
            <w:vAlign w:val="center"/>
            <w:hideMark/>
          </w:tcPr>
          <w:p w14:paraId="67C85852"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BF11D48"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Alejandro Sarmiento Cantillo</w:t>
            </w:r>
          </w:p>
          <w:p w14:paraId="3BFCFE51"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Gestor T1-15 de la Subdirección de Gestión Contractual </w:t>
            </w:r>
          </w:p>
        </w:tc>
      </w:tr>
      <w:tr w:rsidR="00960C09" w:rsidRPr="00792541" w14:paraId="53CBE226" w14:textId="77777777" w:rsidTr="00700F40">
        <w:trPr>
          <w:trHeight w:val="389"/>
        </w:trPr>
        <w:tc>
          <w:tcPr>
            <w:tcW w:w="817" w:type="dxa"/>
            <w:tcBorders>
              <w:top w:val="nil"/>
              <w:left w:val="nil"/>
              <w:bottom w:val="nil"/>
              <w:right w:val="nil"/>
            </w:tcBorders>
            <w:vAlign w:val="center"/>
            <w:hideMark/>
          </w:tcPr>
          <w:p w14:paraId="09BA7236"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0BC2668"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 xml:space="preserve">Carolina Quintero </w:t>
            </w:r>
            <w:proofErr w:type="spellStart"/>
            <w:r w:rsidRPr="00792541">
              <w:rPr>
                <w:rFonts w:ascii="Verdana" w:eastAsia="Calibri" w:hAnsi="Verdana" w:cs="Times New Roman"/>
                <w:sz w:val="16"/>
                <w:szCs w:val="16"/>
              </w:rPr>
              <w:t>Gacharná</w:t>
            </w:r>
            <w:proofErr w:type="spellEnd"/>
          </w:p>
          <w:p w14:paraId="5D1A44BD" w14:textId="77777777" w:rsidR="00960C09" w:rsidRPr="00792541" w:rsidRDefault="00960C09" w:rsidP="00700F40">
            <w:pPr>
              <w:spacing w:after="0" w:line="256" w:lineRule="auto"/>
              <w:rPr>
                <w:rFonts w:ascii="Verdana" w:eastAsia="Calibri" w:hAnsi="Verdana" w:cs="Times New Roman"/>
                <w:sz w:val="16"/>
                <w:szCs w:val="16"/>
              </w:rPr>
            </w:pPr>
            <w:r w:rsidRPr="00792541">
              <w:rPr>
                <w:rFonts w:ascii="Verdana" w:eastAsia="Calibri" w:hAnsi="Verdana" w:cs="Times New Roman"/>
                <w:sz w:val="16"/>
                <w:szCs w:val="16"/>
              </w:rPr>
              <w:t>Subdirectora de Gestión Contractual ANCP – CCE</w:t>
            </w:r>
          </w:p>
        </w:tc>
      </w:tr>
      <w:bookmarkEnd w:id="0"/>
    </w:tbl>
    <w:p w14:paraId="4FAF9D53" w14:textId="77777777" w:rsidR="00960C09" w:rsidRPr="007D56B3" w:rsidRDefault="00960C09" w:rsidP="00960C09">
      <w:pPr>
        <w:rPr>
          <w:lang w:val="es-ES"/>
        </w:rPr>
      </w:pPr>
    </w:p>
    <w:p w14:paraId="61CD4678" w14:textId="3A09AB28" w:rsidR="001F44FE" w:rsidRPr="00960C09" w:rsidRDefault="001F44FE" w:rsidP="00960C09">
      <w:pPr>
        <w:rPr>
          <w:lang w:val="es-ES"/>
        </w:rPr>
      </w:pPr>
    </w:p>
    <w:sectPr w:rsidR="001F44FE" w:rsidRPr="00960C0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AB6CB" w14:textId="77777777" w:rsidR="003430EA" w:rsidRDefault="003430EA" w:rsidP="004A1847">
      <w:pPr>
        <w:spacing w:after="0" w:line="240" w:lineRule="auto"/>
      </w:pPr>
      <w:r>
        <w:separator/>
      </w:r>
    </w:p>
  </w:endnote>
  <w:endnote w:type="continuationSeparator" w:id="0">
    <w:p w14:paraId="04A3635B" w14:textId="77777777" w:rsidR="003430EA" w:rsidRDefault="003430EA" w:rsidP="004A1847">
      <w:pPr>
        <w:spacing w:after="0" w:line="240" w:lineRule="auto"/>
      </w:pPr>
      <w:r>
        <w:continuationSeparator/>
      </w:r>
    </w:p>
  </w:endnote>
  <w:endnote w:type="continuationNotice" w:id="1">
    <w:p w14:paraId="7B526F68" w14:textId="77777777" w:rsidR="003430EA" w:rsidRDefault="00343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2242F3" w:rsidRDefault="002242F3">
    <w:pPr>
      <w:pStyle w:val="Piedepgina"/>
    </w:pPr>
  </w:p>
  <w:p w14:paraId="594D6D9F" w14:textId="25E309F8" w:rsidR="002242F3" w:rsidRPr="00174B77" w:rsidRDefault="002242F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253A86" w:rsidRPr="00253A86">
      <w:rPr>
        <w:rFonts w:ascii="Verdana" w:eastAsiaTheme="minorEastAsia" w:hAnsi="Verdana"/>
        <w:b/>
        <w:bCs/>
        <w:noProof/>
        <w:sz w:val="16"/>
        <w:szCs w:val="16"/>
      </w:rPr>
      <w:t>22</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2242F3" w:rsidRDefault="002242F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2242F3" w:rsidRPr="00E41027" w:rsidRDefault="002242F3"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2242F3" w:rsidRDefault="002242F3"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F4534" w14:textId="77777777" w:rsidR="003430EA" w:rsidRDefault="003430EA" w:rsidP="004A1847">
      <w:pPr>
        <w:spacing w:after="0" w:line="240" w:lineRule="auto"/>
      </w:pPr>
      <w:r>
        <w:separator/>
      </w:r>
    </w:p>
  </w:footnote>
  <w:footnote w:type="continuationSeparator" w:id="0">
    <w:p w14:paraId="0E7BCF71" w14:textId="77777777" w:rsidR="003430EA" w:rsidRDefault="003430EA" w:rsidP="004A1847">
      <w:pPr>
        <w:spacing w:after="0" w:line="240" w:lineRule="auto"/>
      </w:pPr>
      <w:r>
        <w:continuationSeparator/>
      </w:r>
    </w:p>
  </w:footnote>
  <w:footnote w:type="continuationNotice" w:id="1">
    <w:p w14:paraId="160D0A48" w14:textId="77777777" w:rsidR="003430EA" w:rsidRDefault="003430EA">
      <w:pPr>
        <w:spacing w:after="0" w:line="240" w:lineRule="auto"/>
      </w:pPr>
    </w:p>
  </w:footnote>
  <w:footnote w:id="2">
    <w:p w14:paraId="72EC9950" w14:textId="77777777" w:rsidR="00960C09" w:rsidRPr="007E6C64" w:rsidRDefault="00960C09" w:rsidP="00960C09">
      <w:pPr>
        <w:pStyle w:val="Textonotapie"/>
        <w:ind w:firstLine="709"/>
        <w:jc w:val="both"/>
        <w:rPr>
          <w:rFonts w:ascii="Verdana" w:hAnsi="Verdana"/>
          <w:sz w:val="16"/>
          <w:szCs w:val="16"/>
          <w:lang w:val="es-ES_tradnl"/>
        </w:rPr>
      </w:pPr>
      <w:r w:rsidRPr="00085DA5">
        <w:rPr>
          <w:rStyle w:val="Refdenotaalpie"/>
          <w:rFonts w:ascii="Verdana" w:hAnsi="Verdana"/>
          <w:sz w:val="16"/>
          <w:szCs w:val="16"/>
        </w:rPr>
        <w:footnoteRef/>
      </w:r>
      <w:r w:rsidRPr="00085DA5">
        <w:rPr>
          <w:rFonts w:ascii="Verdana" w:hAnsi="Verdana"/>
          <w:sz w:val="16"/>
          <w:szCs w:val="16"/>
        </w:rPr>
        <w:t xml:space="preserve"> </w:t>
      </w:r>
      <w:r w:rsidRPr="00085DA5">
        <w:rPr>
          <w:rFonts w:ascii="Verdana" w:hAnsi="Verdana"/>
          <w:sz w:val="16"/>
          <w:szCs w:val="16"/>
          <w:lang w:val="es-ES_tradnl"/>
        </w:rPr>
        <w:t>Esto lo ratifica el artículo 2.2.1.2.1.5.2. del Decreto 1082 de 2015.</w:t>
      </w:r>
    </w:p>
  </w:footnote>
  <w:footnote w:id="3">
    <w:p w14:paraId="79C28B71" w14:textId="77777777" w:rsidR="00960C09" w:rsidRPr="00085DA5" w:rsidRDefault="00960C09" w:rsidP="00960C09">
      <w:pPr>
        <w:pStyle w:val="Textonotapie"/>
        <w:ind w:firstLine="709"/>
        <w:jc w:val="both"/>
        <w:rPr>
          <w:rFonts w:ascii="Verdana" w:hAnsi="Verdana" w:cs="Arial"/>
          <w:color w:val="000000" w:themeColor="text1"/>
          <w:sz w:val="16"/>
          <w:szCs w:val="16"/>
          <w:lang w:val="es-ES_tradnl"/>
        </w:rPr>
      </w:pPr>
      <w:r w:rsidRPr="00085DA5">
        <w:rPr>
          <w:rStyle w:val="Refdenotaalpie"/>
          <w:rFonts w:ascii="Verdana" w:hAnsi="Verdana" w:cs="Arial"/>
          <w:color w:val="000000" w:themeColor="text1"/>
          <w:sz w:val="16"/>
          <w:szCs w:val="16"/>
          <w:lang w:val="es-ES_tradnl"/>
        </w:rPr>
        <w:footnoteRef/>
      </w:r>
      <w:r w:rsidRPr="00085DA5">
        <w:rPr>
          <w:rFonts w:ascii="Verdana" w:hAnsi="Verdana" w:cs="Arial"/>
          <w:color w:val="000000" w:themeColor="text1"/>
          <w:sz w:val="16"/>
          <w:szCs w:val="16"/>
          <w:lang w:val="es-ES_tradnl"/>
        </w:rPr>
        <w:t xml:space="preserve"> DÁVILA VINUEZA, Luis Guillermo. Régimen jurídico de la contratación estatal. 3ª ed. Bogotá: Legis, 2016. p. 463.</w:t>
      </w:r>
    </w:p>
  </w:footnote>
  <w:footnote w:id="4">
    <w:p w14:paraId="376C7825" w14:textId="77777777" w:rsidR="00960C09" w:rsidRPr="00085DA5" w:rsidRDefault="00960C09" w:rsidP="00960C09">
      <w:pPr>
        <w:pStyle w:val="Textonotapie"/>
        <w:ind w:firstLine="709"/>
        <w:jc w:val="both"/>
        <w:rPr>
          <w:rFonts w:ascii="Verdana" w:hAnsi="Verdana" w:cs="Arial"/>
          <w:color w:val="000000" w:themeColor="text1"/>
          <w:sz w:val="16"/>
          <w:szCs w:val="16"/>
          <w:lang w:val="es-ES_tradnl"/>
        </w:rPr>
      </w:pPr>
      <w:r w:rsidRPr="00085DA5">
        <w:rPr>
          <w:rStyle w:val="Refdenotaalpie"/>
          <w:rFonts w:ascii="Verdana" w:hAnsi="Verdana" w:cs="Arial"/>
          <w:color w:val="000000" w:themeColor="text1"/>
          <w:sz w:val="16"/>
          <w:szCs w:val="16"/>
          <w:lang w:val="es-ES_tradnl"/>
        </w:rPr>
        <w:footnoteRef/>
      </w:r>
      <w:r w:rsidRPr="00085DA5">
        <w:rPr>
          <w:rFonts w:ascii="Verdana" w:hAnsi="Verdana" w:cs="Arial"/>
          <w:color w:val="000000" w:themeColor="text1"/>
          <w:sz w:val="16"/>
          <w:szCs w:val="16"/>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5749F44A" w14:textId="77777777" w:rsidR="00960C09" w:rsidRPr="00085DA5" w:rsidRDefault="00960C09" w:rsidP="00960C09">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“Para las entidades que tengan un presupuesto anual superior o igual a 1.200.000 salarios mínimos legales mensuales, la menor cuantía será hasta 1.000 salarios mínimos legales mensuales.</w:t>
      </w:r>
    </w:p>
    <w:p w14:paraId="4B2D9459" w14:textId="77777777" w:rsidR="00960C09" w:rsidRPr="00085DA5" w:rsidRDefault="00960C09" w:rsidP="00960C09">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850.000 salarios mínimos legales mensuales e inferiores a 1.200.000 salarios mínimos legales mensuales, la menor cuantía será hasta 850 salarios mínimos legales mensuales.</w:t>
      </w:r>
    </w:p>
    <w:p w14:paraId="2EA0EF87" w14:textId="77777777" w:rsidR="00960C09" w:rsidRPr="00085DA5" w:rsidRDefault="00960C09" w:rsidP="00960C09">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400.000 salarios mínimos legales mensuales e inferior a 850.000 salarios mínimos legales mensuales, la menor cuantía será hasta 650 salarios mínimos legales mensuales.</w:t>
      </w:r>
    </w:p>
    <w:p w14:paraId="6F11D5AC" w14:textId="77777777" w:rsidR="00960C09" w:rsidRPr="00085DA5" w:rsidRDefault="00960C09" w:rsidP="00960C09">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120.000 salarios mínimos legales mensuales e inferior a 400.000 salarios mínimos legales mensuales, la menor cuantía será hasta 450 salarios mínimos legales mensuales.</w:t>
      </w:r>
    </w:p>
    <w:p w14:paraId="1A3F1A34" w14:textId="77777777" w:rsidR="00960C09" w:rsidRPr="00085DA5" w:rsidRDefault="00960C09" w:rsidP="00960C09">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inferior a 120.000 salarios mínimos legales mensuales, la menor cuantía será hasta 280 salarios mínimos legales mensuales”.</w:t>
      </w:r>
    </w:p>
  </w:footnote>
  <w:footnote w:id="5">
    <w:p w14:paraId="01DCF3F8" w14:textId="77777777" w:rsidR="00960C09" w:rsidRPr="007E6C64" w:rsidRDefault="00960C09" w:rsidP="00960C09">
      <w:pPr>
        <w:pStyle w:val="Textonotapie"/>
        <w:ind w:firstLine="709"/>
        <w:jc w:val="both"/>
        <w:rPr>
          <w:rFonts w:ascii="Verdana" w:hAnsi="Verdana"/>
          <w:sz w:val="16"/>
          <w:szCs w:val="16"/>
        </w:rPr>
      </w:pPr>
      <w:r w:rsidRPr="007E6C64">
        <w:rPr>
          <w:rStyle w:val="Refdenotaalpie"/>
          <w:rFonts w:ascii="Verdana" w:hAnsi="Verdana"/>
          <w:sz w:val="16"/>
          <w:szCs w:val="16"/>
        </w:rPr>
        <w:footnoteRef/>
      </w:r>
      <w:r w:rsidRPr="007E6C64">
        <w:rPr>
          <w:rFonts w:ascii="Verdana" w:hAnsi="Verdana"/>
          <w:sz w:val="16"/>
          <w:szCs w:val="16"/>
        </w:rPr>
        <w:t xml:space="preserve"> </w:t>
      </w:r>
      <w:r w:rsidRPr="007E6C64">
        <w:rPr>
          <w:rFonts w:ascii="Verdana" w:hAnsi="Verdana"/>
          <w:sz w:val="16"/>
          <w:szCs w:val="16"/>
          <w:lang w:val="es-CO"/>
        </w:rPr>
        <w:t xml:space="preserve">Este artículo fue modificado por el artículo 5 del Decreto 142 de 2023 en los siguientes términos: </w:t>
      </w:r>
      <w:r w:rsidRPr="007E6C64">
        <w:rPr>
          <w:rFonts w:ascii="Verdana" w:hAnsi="Verdana"/>
          <w:bCs/>
          <w:iCs/>
          <w:sz w:val="16"/>
          <w:szCs w:val="16"/>
        </w:rPr>
        <w:t>"Artículo 2.2.1.2.1.5.1. Estudios previos para la contratación de mínima cuantía.</w:t>
      </w:r>
      <w:r w:rsidRPr="007E6C64">
        <w:rPr>
          <w:rFonts w:ascii="Verdana" w:hAnsi="Verdana"/>
          <w:iCs/>
          <w:sz w:val="16"/>
          <w:szCs w:val="16"/>
        </w:rPr>
        <w:t> La Entidad Estatal debe elaborar unos estudios previos que deben contener, como mínimo, lo siguiente: </w:t>
      </w:r>
    </w:p>
    <w:p w14:paraId="1488119E" w14:textId="77777777" w:rsidR="00960C09" w:rsidRPr="007E6C64" w:rsidRDefault="00960C09" w:rsidP="00960C09">
      <w:pPr>
        <w:pStyle w:val="Textonotapie"/>
        <w:tabs>
          <w:tab w:val="left" w:pos="142"/>
        </w:tabs>
        <w:ind w:firstLine="709"/>
        <w:jc w:val="both"/>
        <w:rPr>
          <w:rFonts w:ascii="Verdana" w:hAnsi="Verdana"/>
          <w:iCs/>
          <w:sz w:val="16"/>
          <w:szCs w:val="16"/>
        </w:rPr>
      </w:pPr>
      <w:r w:rsidRPr="007E6C64">
        <w:rPr>
          <w:rFonts w:ascii="Verdana" w:hAnsi="Verdana"/>
          <w:iCs/>
          <w:sz w:val="16"/>
          <w:szCs w:val="16"/>
        </w:rPr>
        <w:t xml:space="preserve">1. La descripción de la necesidad que pretende satisfacer con la contratación.  </w:t>
      </w:r>
    </w:p>
    <w:p w14:paraId="4318876F" w14:textId="77777777" w:rsidR="00960C09" w:rsidRPr="007E6C64" w:rsidRDefault="00960C09" w:rsidP="00960C09">
      <w:pPr>
        <w:pStyle w:val="Textonotapie"/>
        <w:tabs>
          <w:tab w:val="left" w:pos="142"/>
        </w:tabs>
        <w:ind w:firstLine="709"/>
        <w:jc w:val="both"/>
        <w:rPr>
          <w:rFonts w:ascii="Verdana" w:hAnsi="Verdana"/>
          <w:sz w:val="16"/>
          <w:szCs w:val="16"/>
        </w:rPr>
      </w:pPr>
      <w:r w:rsidRPr="007E6C64">
        <w:rPr>
          <w:rFonts w:ascii="Verdana" w:hAnsi="Verdana"/>
          <w:iCs/>
          <w:sz w:val="16"/>
          <w:szCs w:val="16"/>
        </w:rPr>
        <w:t>2. La descripción del objeto a contratar identificado con el cuarto nivel del Clasificador de Bienes y Servicios, de ser posible, o de lo contrario con el tercer nivel. </w:t>
      </w:r>
    </w:p>
    <w:p w14:paraId="1F107E2D" w14:textId="77777777" w:rsidR="00960C09" w:rsidRPr="007E6C64" w:rsidRDefault="00960C09" w:rsidP="00960C09">
      <w:pPr>
        <w:pStyle w:val="Textonotapie"/>
        <w:tabs>
          <w:tab w:val="left" w:pos="142"/>
        </w:tabs>
        <w:ind w:firstLine="709"/>
        <w:jc w:val="both"/>
        <w:rPr>
          <w:rFonts w:ascii="Verdana" w:hAnsi="Verdana"/>
          <w:sz w:val="16"/>
          <w:szCs w:val="16"/>
        </w:rPr>
      </w:pPr>
      <w:r w:rsidRPr="007E6C64">
        <w:rPr>
          <w:rFonts w:ascii="Verdana" w:hAnsi="Verdana"/>
          <w:iCs/>
          <w:sz w:val="16"/>
          <w:szCs w:val="16"/>
        </w:rPr>
        <w:t>3. Las condiciones técnicas exigidas.</w:t>
      </w:r>
    </w:p>
    <w:p w14:paraId="56C53773" w14:textId="77777777" w:rsidR="00960C09" w:rsidRPr="007E6C64" w:rsidRDefault="00960C09" w:rsidP="00960C09">
      <w:pPr>
        <w:pStyle w:val="Textonotapie"/>
        <w:tabs>
          <w:tab w:val="left" w:pos="142"/>
        </w:tabs>
        <w:ind w:firstLine="709"/>
        <w:jc w:val="both"/>
        <w:rPr>
          <w:rFonts w:ascii="Verdana" w:hAnsi="Verdana"/>
          <w:sz w:val="16"/>
          <w:szCs w:val="16"/>
        </w:rPr>
      </w:pPr>
      <w:r w:rsidRPr="007E6C64">
        <w:rPr>
          <w:rFonts w:ascii="Verdana" w:hAnsi="Verdana"/>
          <w:iCs/>
          <w:sz w:val="16"/>
          <w:szCs w:val="16"/>
        </w:rPr>
        <w:t>4. El valor estimado del contrato y su justificación.</w:t>
      </w:r>
    </w:p>
    <w:p w14:paraId="66ED0BF8" w14:textId="77777777" w:rsidR="00960C09" w:rsidRPr="007E6C64" w:rsidRDefault="00960C09" w:rsidP="00960C09">
      <w:pPr>
        <w:pStyle w:val="Textonotapie"/>
        <w:tabs>
          <w:tab w:val="left" w:pos="142"/>
        </w:tabs>
        <w:ind w:firstLine="709"/>
        <w:jc w:val="both"/>
        <w:rPr>
          <w:rFonts w:ascii="Verdana" w:hAnsi="Verdana"/>
          <w:sz w:val="16"/>
          <w:szCs w:val="16"/>
        </w:rPr>
      </w:pPr>
      <w:r w:rsidRPr="007E6C64">
        <w:rPr>
          <w:rFonts w:ascii="Verdana" w:hAnsi="Verdana"/>
          <w:iCs/>
          <w:sz w:val="16"/>
          <w:szCs w:val="16"/>
        </w:rPr>
        <w:t>5. El plazo de ejecución del contrato. </w:t>
      </w:r>
    </w:p>
    <w:p w14:paraId="2EF11717" w14:textId="77777777" w:rsidR="00960C09" w:rsidRPr="007E6C64" w:rsidRDefault="00960C09" w:rsidP="00960C09">
      <w:pPr>
        <w:pStyle w:val="Textonotapie"/>
        <w:tabs>
          <w:tab w:val="left" w:pos="142"/>
        </w:tabs>
        <w:ind w:firstLine="709"/>
        <w:jc w:val="both"/>
        <w:rPr>
          <w:rFonts w:ascii="Verdana" w:hAnsi="Verdana"/>
          <w:sz w:val="16"/>
          <w:szCs w:val="16"/>
        </w:rPr>
      </w:pPr>
      <w:r w:rsidRPr="007E6C64">
        <w:rPr>
          <w:rFonts w:ascii="Verdana" w:hAnsi="Verdana"/>
          <w:iCs/>
          <w:sz w:val="16"/>
          <w:szCs w:val="16"/>
        </w:rPr>
        <w:t>6. El certificado de disponibilidad presupuesta! que respalda la contratación.</w:t>
      </w:r>
    </w:p>
    <w:p w14:paraId="720F99B4" w14:textId="77777777" w:rsidR="00960C09" w:rsidRDefault="00960C09" w:rsidP="00960C09">
      <w:pPr>
        <w:pStyle w:val="Textonotapie"/>
        <w:ind w:firstLine="709"/>
        <w:jc w:val="both"/>
        <w:rPr>
          <w:rFonts w:ascii="Verdana" w:hAnsi="Verdana"/>
          <w:iCs/>
          <w:sz w:val="16"/>
          <w:szCs w:val="16"/>
        </w:rPr>
      </w:pPr>
      <w:r w:rsidRPr="007E6C64">
        <w:rPr>
          <w:rFonts w:ascii="Verdana" w:hAnsi="Verdana"/>
          <w:iCs/>
          <w:sz w:val="16"/>
          <w:szCs w:val="16"/>
        </w:rPr>
        <w:t>Parágrafo. Dentro de las condiciones técnicas exigidas se podrán incluir aspectos ambientales y sociales en los términos establecidos en el parágrafo del artículo 2.2.1.1.2.2.2. del presente Decreto."</w:t>
      </w:r>
    </w:p>
    <w:p w14:paraId="5B88921D" w14:textId="77777777" w:rsidR="00960C09" w:rsidRPr="007E6C64" w:rsidRDefault="00960C09" w:rsidP="00960C09">
      <w:pPr>
        <w:pStyle w:val="Textonotapie"/>
        <w:ind w:firstLine="709"/>
        <w:jc w:val="both"/>
        <w:rPr>
          <w:rFonts w:ascii="Verdana" w:hAnsi="Verdana"/>
          <w:sz w:val="16"/>
          <w:szCs w:val="16"/>
        </w:rPr>
      </w:pPr>
      <w:r w:rsidRPr="007E6C64">
        <w:rPr>
          <w:rFonts w:ascii="Verdana" w:hAnsi="Verdana"/>
          <w:iCs/>
          <w:sz w:val="16"/>
          <w:szCs w:val="16"/>
        </w:rPr>
        <w:t> </w:t>
      </w:r>
    </w:p>
  </w:footnote>
  <w:footnote w:id="6">
    <w:p w14:paraId="215A48F7" w14:textId="77777777" w:rsidR="00960C09" w:rsidRPr="007F0BA4" w:rsidRDefault="00960C09" w:rsidP="00960C09">
      <w:pPr>
        <w:pStyle w:val="Textonotapie"/>
        <w:ind w:firstLine="708"/>
        <w:jc w:val="both"/>
        <w:rPr>
          <w:rFonts w:ascii="Verdana" w:hAnsi="Verdana" w:cs="Arial"/>
          <w:sz w:val="14"/>
          <w:szCs w:val="14"/>
        </w:rPr>
      </w:pPr>
      <w:r w:rsidRPr="007E6C64">
        <w:rPr>
          <w:rStyle w:val="Refdenotaalpie"/>
          <w:rFonts w:ascii="Verdana" w:hAnsi="Verdana" w:cs="Arial"/>
          <w:sz w:val="16"/>
          <w:szCs w:val="16"/>
        </w:rPr>
        <w:footnoteRef/>
      </w:r>
      <w:r w:rsidRPr="007E6C64">
        <w:rPr>
          <w:rFonts w:ascii="Verdana" w:hAnsi="Verdana" w:cs="Arial"/>
          <w:sz w:val="16"/>
          <w:szCs w:val="16"/>
        </w:rPr>
        <w:t xml:space="preserve"> PARÁGRAFO 1o. Las particularidades del procedimiento aquí previsto, así como la posibilidad que tengan las entidades de realizar estas adquisiciones a </w:t>
      </w:r>
      <w:proofErr w:type="spellStart"/>
      <w:r w:rsidRPr="007E6C64">
        <w:rPr>
          <w:rFonts w:ascii="Verdana" w:hAnsi="Verdana" w:cs="Arial"/>
          <w:sz w:val="16"/>
          <w:szCs w:val="16"/>
        </w:rPr>
        <w:t>Mipymes</w:t>
      </w:r>
      <w:proofErr w:type="spellEnd"/>
      <w:r w:rsidRPr="007E6C64">
        <w:rPr>
          <w:rFonts w:ascii="Verdana" w:hAnsi="Verdana" w:cs="Arial"/>
          <w:sz w:val="16"/>
          <w:szCs w:val="16"/>
        </w:rPr>
        <w:t xml:space="preserve"> o establecimientos que correspondan a la definición de "gran almacén" señalada por la Superintendencia de Industria y Comercio, se determinarán en el reglamento que para el efecto expida el Gobierno Nacional.</w:t>
      </w:r>
    </w:p>
  </w:footnote>
  <w:footnote w:id="7">
    <w:p w14:paraId="1FADEAD3" w14:textId="77777777" w:rsidR="00960C09" w:rsidRPr="007F0BA4" w:rsidRDefault="00960C09" w:rsidP="00960C09">
      <w:pPr>
        <w:pStyle w:val="Textonotapie"/>
        <w:ind w:firstLine="709"/>
        <w:jc w:val="both"/>
        <w:rPr>
          <w:rFonts w:ascii="Verdana" w:hAnsi="Verdana" w:cs="Arial"/>
          <w:i/>
          <w:iCs/>
          <w:color w:val="000000"/>
          <w:sz w:val="14"/>
          <w:szCs w:val="14"/>
          <w:lang w:val="es-ES_tradnl"/>
        </w:rPr>
      </w:pPr>
      <w:r w:rsidRPr="007F0BA4">
        <w:rPr>
          <w:rStyle w:val="Refdenotaalpie"/>
          <w:rFonts w:ascii="Verdana" w:hAnsi="Verdana" w:cs="Arial"/>
          <w:i/>
          <w:iCs/>
          <w:color w:val="000000"/>
          <w:sz w:val="14"/>
          <w:szCs w:val="14"/>
          <w:lang w:val="es-ES_tradnl"/>
        </w:rPr>
        <w:footnoteRef/>
      </w:r>
      <w:r w:rsidRPr="007F0BA4">
        <w:rPr>
          <w:rFonts w:ascii="Verdana" w:hAnsi="Verdana" w:cs="Arial"/>
          <w:i/>
          <w:iCs/>
          <w:color w:val="000000"/>
          <w:sz w:val="14"/>
          <w:szCs w:val="14"/>
          <w:lang w:val="es-ES_tradnl"/>
        </w:rPr>
        <w:t xml:space="preserve"> Agencia Nacional de Contratación Pública – Colombia Compra Eficiente. Manual de la Modalidad de Selección de Mínima Cuantía En:</w:t>
      </w:r>
      <w:r w:rsidRPr="007F0BA4">
        <w:rPr>
          <w:rFonts w:ascii="Verdana" w:hAnsi="Verdana"/>
          <w:i/>
          <w:iCs/>
          <w:sz w:val="14"/>
          <w:szCs w:val="14"/>
        </w:rPr>
        <w:t xml:space="preserve"> </w:t>
      </w:r>
      <w:hyperlink r:id="rId1" w:history="1">
        <w:r w:rsidRPr="007F0BA4">
          <w:rPr>
            <w:rStyle w:val="Hipervnculo"/>
            <w:rFonts w:ascii="Verdana" w:hAnsi="Verdana" w:cs="Arial"/>
            <w:i/>
            <w:iCs/>
            <w:sz w:val="14"/>
            <w:szCs w:val="14"/>
            <w:lang w:val="es-ES_tradnl"/>
          </w:rPr>
          <w:t>https://www.colombiacompra.gov.co/manuales-guias-y-pliegos-tipo/manuales-y-guias</w:t>
        </w:r>
      </w:hyperlink>
    </w:p>
  </w:footnote>
  <w:footnote w:id="8">
    <w:p w14:paraId="6E1651E1" w14:textId="77777777" w:rsidR="00960C09" w:rsidRPr="007F0BA4" w:rsidRDefault="00960C09" w:rsidP="00960C09">
      <w:pPr>
        <w:pStyle w:val="Textonotapie"/>
        <w:ind w:firstLine="709"/>
        <w:jc w:val="both"/>
        <w:rPr>
          <w:rFonts w:ascii="Verdana" w:hAnsi="Verdana" w:cs="Arial"/>
          <w:i/>
          <w:iCs/>
          <w:color w:val="000000"/>
          <w:sz w:val="14"/>
          <w:szCs w:val="14"/>
          <w:lang w:val="es-ES_tradnl"/>
        </w:rPr>
      </w:pPr>
      <w:r w:rsidRPr="007F0BA4">
        <w:rPr>
          <w:rStyle w:val="Refdenotaalpie"/>
          <w:rFonts w:ascii="Verdana" w:hAnsi="Verdana" w:cs="Arial"/>
          <w:i/>
          <w:iCs/>
          <w:color w:val="000000"/>
          <w:sz w:val="14"/>
          <w:szCs w:val="14"/>
          <w:lang w:val="es-ES_tradnl"/>
        </w:rPr>
        <w:footnoteRef/>
      </w:r>
      <w:r w:rsidRPr="007F0BA4">
        <w:rPr>
          <w:rFonts w:ascii="Verdana" w:hAnsi="Verdana" w:cs="Arial"/>
          <w:i/>
          <w:iCs/>
          <w:color w:val="000000"/>
          <w:sz w:val="14"/>
          <w:szCs w:val="14"/>
          <w:lang w:val="es-ES_tradnl"/>
        </w:rPr>
        <w:t xml:space="preserve"> Como lo indica la doctrina, en la mínima cuantía “El precio es el factor de selección del proponente. Es decir, la entidad estatal debe adjudicar el proceso de contratación al oferente que cumpla con todas las condiciones exigidas por la entidad estatal en los documentos del proceso (estudios previos e invitación a participar), y que ofrezca el menor valor. No hay lugar a puntajes para evaluar las ofertas sobre las características del objeto a contratar, su calidad o condiciones” (DÁVILA, </w:t>
      </w:r>
      <w:proofErr w:type="spellStart"/>
      <w:r w:rsidRPr="007F0BA4">
        <w:rPr>
          <w:rFonts w:ascii="Verdana" w:hAnsi="Verdana" w:cs="Arial"/>
          <w:i/>
          <w:iCs/>
          <w:color w:val="000000"/>
          <w:sz w:val="14"/>
          <w:szCs w:val="14"/>
          <w:lang w:val="es-ES_tradnl"/>
        </w:rPr>
        <w:t>Op.cit</w:t>
      </w:r>
      <w:proofErr w:type="spellEnd"/>
      <w:r w:rsidRPr="007F0BA4">
        <w:rPr>
          <w:rFonts w:ascii="Verdana" w:hAnsi="Verdana" w:cs="Arial"/>
          <w:i/>
          <w:iCs/>
          <w:color w:val="000000"/>
          <w:sz w:val="14"/>
          <w:szCs w:val="14"/>
          <w:lang w:val="es-ES_tradnl"/>
        </w:rPr>
        <w:t>., p. 515).</w:t>
      </w:r>
    </w:p>
  </w:footnote>
  <w:footnote w:id="9">
    <w:p w14:paraId="69500B8A" w14:textId="77777777" w:rsidR="00960C09" w:rsidRDefault="00960C09" w:rsidP="00960C09">
      <w:pPr>
        <w:pStyle w:val="Textonotapie"/>
        <w:ind w:firstLine="708"/>
        <w:jc w:val="both"/>
        <w:rPr>
          <w:rFonts w:ascii="Verdana" w:hAnsi="Verdana" w:cs="Arial"/>
          <w:color w:val="000000"/>
          <w:sz w:val="16"/>
          <w:szCs w:val="16"/>
          <w:lang w:val="es-CO"/>
        </w:rPr>
      </w:pPr>
      <w:r w:rsidRPr="00077EA1">
        <w:rPr>
          <w:rStyle w:val="Refdenotaalpie"/>
          <w:rFonts w:ascii="Verdana" w:hAnsi="Verdana" w:cs="Arial"/>
          <w:color w:val="000000"/>
          <w:sz w:val="16"/>
          <w:szCs w:val="16"/>
        </w:rPr>
        <w:footnoteRef/>
      </w:r>
      <w:r w:rsidRPr="00077EA1">
        <w:rPr>
          <w:rFonts w:ascii="Verdana" w:hAnsi="Verdana" w:cs="Arial"/>
          <w:color w:val="000000"/>
          <w:sz w:val="16"/>
          <w:szCs w:val="16"/>
        </w:rPr>
        <w:t xml:space="preserve"> </w:t>
      </w:r>
      <w:r w:rsidRPr="00077EA1">
        <w:rPr>
          <w:rFonts w:ascii="Verdana" w:hAnsi="Verdana" w:cs="Arial"/>
          <w:color w:val="000000"/>
          <w:sz w:val="16"/>
          <w:szCs w:val="16"/>
          <w:lang w:val="es-CO"/>
        </w:rPr>
        <w:t>Manual de la Modalidad de Selección de Mínima Cuantía de Colombia Compra Eficiente, numeral 5.</w:t>
      </w:r>
    </w:p>
    <w:p w14:paraId="3ED78F11" w14:textId="77777777" w:rsidR="00960C09" w:rsidRPr="00077EA1" w:rsidRDefault="00960C09" w:rsidP="00960C09">
      <w:pPr>
        <w:pStyle w:val="Textonotapie"/>
        <w:ind w:firstLine="708"/>
        <w:jc w:val="both"/>
        <w:rPr>
          <w:rFonts w:ascii="Verdana" w:hAnsi="Verdana" w:cs="Arial"/>
          <w:color w:val="000000"/>
          <w:sz w:val="16"/>
          <w:szCs w:val="16"/>
          <w:lang w:val="es-CO"/>
        </w:rPr>
      </w:pPr>
      <w:r w:rsidRPr="00077EA1">
        <w:rPr>
          <w:rFonts w:ascii="Verdana" w:hAnsi="Verdana" w:cs="Arial"/>
          <w:color w:val="000000"/>
          <w:sz w:val="16"/>
          <w:szCs w:val="16"/>
          <w:lang w:val="es-CO"/>
        </w:rPr>
        <w:t xml:space="preserve">  </w:t>
      </w:r>
    </w:p>
  </w:footnote>
  <w:footnote w:id="10">
    <w:p w14:paraId="6E984229" w14:textId="77777777" w:rsidR="00960C09" w:rsidRDefault="00960C09" w:rsidP="00960C09">
      <w:pPr>
        <w:pStyle w:val="Textonotapie"/>
        <w:ind w:firstLine="708"/>
        <w:jc w:val="both"/>
        <w:rPr>
          <w:rFonts w:ascii="Verdana" w:hAnsi="Verdana" w:cs="Arial"/>
          <w:color w:val="000000"/>
          <w:sz w:val="16"/>
          <w:szCs w:val="16"/>
        </w:rPr>
      </w:pPr>
      <w:r w:rsidRPr="00077EA1">
        <w:rPr>
          <w:rStyle w:val="Refdenotaalpie"/>
          <w:rFonts w:ascii="Verdana" w:hAnsi="Verdana" w:cs="Arial"/>
          <w:color w:val="000000"/>
          <w:sz w:val="16"/>
          <w:szCs w:val="16"/>
        </w:rPr>
        <w:footnoteRef/>
      </w:r>
      <w:r w:rsidRPr="00077EA1">
        <w:rPr>
          <w:rFonts w:ascii="Verdana" w:hAnsi="Verdana" w:cs="Arial"/>
          <w:i/>
          <w:color w:val="000000"/>
          <w:sz w:val="16"/>
          <w:szCs w:val="16"/>
        </w:rPr>
        <w:t xml:space="preserve"> </w:t>
      </w:r>
      <w:proofErr w:type="spellStart"/>
      <w:r w:rsidRPr="00077EA1">
        <w:rPr>
          <w:rFonts w:ascii="Verdana" w:hAnsi="Verdana" w:cs="Arial"/>
          <w:i/>
          <w:color w:val="000000"/>
          <w:sz w:val="16"/>
          <w:szCs w:val="16"/>
        </w:rPr>
        <w:t>Ibídem</w:t>
      </w:r>
      <w:proofErr w:type="spellEnd"/>
      <w:r w:rsidRPr="00077EA1">
        <w:rPr>
          <w:rFonts w:ascii="Verdana" w:hAnsi="Verdana" w:cs="Arial"/>
          <w:i/>
          <w:color w:val="000000"/>
          <w:sz w:val="16"/>
          <w:szCs w:val="16"/>
        </w:rPr>
        <w:t>.</w:t>
      </w:r>
      <w:r w:rsidRPr="00077EA1">
        <w:rPr>
          <w:rFonts w:ascii="Verdana" w:hAnsi="Verdana" w:cs="Arial"/>
          <w:color w:val="000000"/>
          <w:sz w:val="16"/>
          <w:szCs w:val="16"/>
        </w:rPr>
        <w:t xml:space="preserve">  </w:t>
      </w:r>
    </w:p>
    <w:p w14:paraId="622F0791" w14:textId="77777777" w:rsidR="00960C09" w:rsidRPr="007E6C64" w:rsidRDefault="00960C09" w:rsidP="00960C09">
      <w:pPr>
        <w:pStyle w:val="Textonotapie"/>
        <w:ind w:firstLine="708"/>
        <w:jc w:val="both"/>
        <w:rPr>
          <w:rFonts w:ascii="Verdana" w:hAnsi="Verdana" w:cs="Arial"/>
          <w:color w:val="000000"/>
          <w:sz w:val="16"/>
          <w:szCs w:val="16"/>
        </w:rPr>
      </w:pPr>
    </w:p>
  </w:footnote>
  <w:footnote w:id="11">
    <w:p w14:paraId="41423C70" w14:textId="77777777" w:rsidR="00960C09" w:rsidRDefault="00960C09" w:rsidP="00960C09">
      <w:pPr>
        <w:pStyle w:val="Textonotapie"/>
        <w:ind w:firstLine="708"/>
        <w:jc w:val="both"/>
        <w:rPr>
          <w:rFonts w:ascii="Verdana" w:eastAsia="Arial MT" w:hAnsi="Verdana" w:cs="Arial MT"/>
          <w:spacing w:val="-5"/>
          <w:sz w:val="16"/>
          <w:szCs w:val="16"/>
          <w:lang w:val="es-ES"/>
        </w:rPr>
      </w:pPr>
      <w:r w:rsidRPr="00077EA1">
        <w:rPr>
          <w:rStyle w:val="Refdenotaalpie"/>
          <w:rFonts w:ascii="Verdana" w:hAnsi="Verdana"/>
          <w:sz w:val="16"/>
          <w:szCs w:val="16"/>
        </w:rPr>
        <w:footnoteRef/>
      </w:r>
      <w:r w:rsidRPr="00077EA1">
        <w:rPr>
          <w:rFonts w:ascii="Verdana" w:hAnsi="Verdana"/>
          <w:sz w:val="16"/>
          <w:szCs w:val="16"/>
        </w:rPr>
        <w:t xml:space="preserve"> </w:t>
      </w:r>
      <w:r w:rsidRPr="00077EA1">
        <w:rPr>
          <w:rFonts w:ascii="Verdana" w:eastAsia="Arial MT" w:hAnsi="Verdana" w:cs="Arial MT"/>
          <w:spacing w:val="-2"/>
          <w:sz w:val="16"/>
          <w:szCs w:val="16"/>
          <w:lang w:val="es-ES"/>
        </w:rPr>
        <w:t>SANTOS</w:t>
      </w:r>
      <w:r w:rsidRPr="00077EA1">
        <w:rPr>
          <w:rFonts w:ascii="Verdana" w:eastAsia="Arial MT" w:hAnsi="Verdana" w:cs="Arial MT"/>
          <w:spacing w:val="3"/>
          <w:sz w:val="16"/>
          <w:szCs w:val="16"/>
          <w:lang w:val="es-ES"/>
        </w:rPr>
        <w:t xml:space="preserve"> </w:t>
      </w:r>
      <w:r w:rsidRPr="00077EA1">
        <w:rPr>
          <w:rFonts w:ascii="Verdana" w:eastAsia="Arial MT" w:hAnsi="Verdana" w:cs="Arial MT"/>
          <w:spacing w:val="-2"/>
          <w:sz w:val="16"/>
          <w:szCs w:val="16"/>
          <w:lang w:val="es-ES"/>
        </w:rPr>
        <w:t>RODRÍGUEZ.</w:t>
      </w:r>
      <w:r w:rsidRPr="00077EA1">
        <w:rPr>
          <w:rFonts w:ascii="Verdana" w:eastAsia="Arial MT" w:hAnsi="Verdana" w:cs="Arial MT"/>
          <w:spacing w:val="5"/>
          <w:sz w:val="16"/>
          <w:szCs w:val="16"/>
          <w:lang w:val="es-ES"/>
        </w:rPr>
        <w:t xml:space="preserve"> </w:t>
      </w:r>
      <w:r w:rsidRPr="00077EA1">
        <w:rPr>
          <w:rFonts w:ascii="Verdana" w:eastAsia="Arial MT" w:hAnsi="Verdana" w:cs="Arial MT"/>
          <w:spacing w:val="-2"/>
          <w:sz w:val="16"/>
          <w:szCs w:val="16"/>
          <w:lang w:val="es-ES"/>
        </w:rPr>
        <w:t>Jorge</w:t>
      </w:r>
      <w:r w:rsidRPr="00077EA1">
        <w:rPr>
          <w:rFonts w:ascii="Verdana" w:eastAsia="Arial MT" w:hAnsi="Verdana" w:cs="Arial MT"/>
          <w:spacing w:val="-1"/>
          <w:sz w:val="16"/>
          <w:szCs w:val="16"/>
          <w:lang w:val="es-ES"/>
        </w:rPr>
        <w:t xml:space="preserve"> </w:t>
      </w:r>
      <w:r w:rsidRPr="00077EA1">
        <w:rPr>
          <w:rFonts w:ascii="Verdana" w:eastAsia="Arial MT" w:hAnsi="Verdana" w:cs="Arial MT"/>
          <w:spacing w:val="-2"/>
          <w:sz w:val="16"/>
          <w:szCs w:val="16"/>
          <w:lang w:val="es-ES"/>
        </w:rPr>
        <w:t>Enrique.</w:t>
      </w:r>
      <w:r w:rsidRPr="00077EA1">
        <w:rPr>
          <w:rFonts w:ascii="Verdana" w:eastAsia="Arial MT" w:hAnsi="Verdana" w:cs="Arial MT"/>
          <w:spacing w:val="5"/>
          <w:sz w:val="16"/>
          <w:szCs w:val="16"/>
          <w:lang w:val="es-ES"/>
        </w:rPr>
        <w:t xml:space="preserve"> </w:t>
      </w:r>
      <w:r w:rsidRPr="00077EA1">
        <w:rPr>
          <w:rFonts w:ascii="Verdana" w:eastAsia="Arial MT" w:hAnsi="Verdana" w:cs="Arial MT"/>
          <w:spacing w:val="-2"/>
          <w:sz w:val="16"/>
          <w:szCs w:val="16"/>
          <w:lang w:val="es-ES"/>
        </w:rPr>
        <w:t>Construcción</w:t>
      </w:r>
      <w:r w:rsidRPr="00077EA1">
        <w:rPr>
          <w:rFonts w:ascii="Verdana" w:eastAsia="Arial MT" w:hAnsi="Verdana" w:cs="Arial MT"/>
          <w:spacing w:val="1"/>
          <w:sz w:val="16"/>
          <w:szCs w:val="16"/>
          <w:lang w:val="es-ES"/>
        </w:rPr>
        <w:t xml:space="preserve"> </w:t>
      </w:r>
      <w:r w:rsidRPr="00077EA1">
        <w:rPr>
          <w:rFonts w:ascii="Verdana" w:eastAsia="Arial MT" w:hAnsi="Verdana" w:cs="Arial MT"/>
          <w:spacing w:val="-2"/>
          <w:sz w:val="16"/>
          <w:szCs w:val="16"/>
          <w:lang w:val="es-ES"/>
        </w:rPr>
        <w:t>doctrinaria</w:t>
      </w:r>
      <w:r w:rsidRPr="00077EA1">
        <w:rPr>
          <w:rFonts w:ascii="Verdana" w:eastAsia="Arial MT" w:hAnsi="Verdana" w:cs="Arial MT"/>
          <w:spacing w:val="6"/>
          <w:sz w:val="16"/>
          <w:szCs w:val="16"/>
          <w:lang w:val="es-ES"/>
        </w:rPr>
        <w:t xml:space="preserve"> </w:t>
      </w:r>
      <w:r w:rsidRPr="00077EA1">
        <w:rPr>
          <w:rFonts w:ascii="Verdana" w:eastAsia="Arial MT" w:hAnsi="Verdana" w:cs="Arial MT"/>
          <w:spacing w:val="-2"/>
          <w:sz w:val="16"/>
          <w:szCs w:val="16"/>
          <w:lang w:val="es-ES"/>
        </w:rPr>
        <w:t>de</w:t>
      </w:r>
      <w:r w:rsidRPr="00077EA1">
        <w:rPr>
          <w:rFonts w:ascii="Verdana" w:eastAsia="Arial MT" w:hAnsi="Verdana" w:cs="Arial MT"/>
          <w:spacing w:val="1"/>
          <w:sz w:val="16"/>
          <w:szCs w:val="16"/>
          <w:lang w:val="es-ES"/>
        </w:rPr>
        <w:t xml:space="preserve"> </w:t>
      </w:r>
      <w:r w:rsidRPr="00077EA1">
        <w:rPr>
          <w:rFonts w:ascii="Verdana" w:eastAsia="Arial MT" w:hAnsi="Verdana" w:cs="Arial MT"/>
          <w:spacing w:val="-2"/>
          <w:sz w:val="16"/>
          <w:szCs w:val="16"/>
          <w:lang w:val="es-ES"/>
        </w:rPr>
        <w:t>la</w:t>
      </w:r>
      <w:r w:rsidRPr="00077EA1">
        <w:rPr>
          <w:rFonts w:ascii="Verdana" w:eastAsia="Arial MT" w:hAnsi="Verdana" w:cs="Arial MT"/>
          <w:sz w:val="16"/>
          <w:szCs w:val="16"/>
          <w:lang w:val="es-ES"/>
        </w:rPr>
        <w:t xml:space="preserve"> </w:t>
      </w:r>
      <w:r w:rsidRPr="00077EA1">
        <w:rPr>
          <w:rFonts w:ascii="Verdana" w:eastAsia="Arial MT" w:hAnsi="Verdana" w:cs="Arial MT"/>
          <w:spacing w:val="-2"/>
          <w:sz w:val="16"/>
          <w:szCs w:val="16"/>
          <w:lang w:val="es-ES"/>
        </w:rPr>
        <w:t>revocación</w:t>
      </w:r>
      <w:r w:rsidRPr="00077EA1">
        <w:rPr>
          <w:rFonts w:ascii="Verdana" w:eastAsia="Arial MT" w:hAnsi="Verdana" w:cs="Arial MT"/>
          <w:spacing w:val="2"/>
          <w:sz w:val="16"/>
          <w:szCs w:val="16"/>
          <w:lang w:val="es-ES"/>
        </w:rPr>
        <w:t xml:space="preserve"> </w:t>
      </w:r>
      <w:r w:rsidRPr="00077EA1">
        <w:rPr>
          <w:rFonts w:ascii="Verdana" w:eastAsia="Arial MT" w:hAnsi="Verdana" w:cs="Arial MT"/>
          <w:spacing w:val="-2"/>
          <w:sz w:val="16"/>
          <w:szCs w:val="16"/>
          <w:lang w:val="es-ES"/>
        </w:rPr>
        <w:t>del</w:t>
      </w:r>
      <w:r w:rsidRPr="00077EA1">
        <w:rPr>
          <w:rFonts w:ascii="Verdana" w:eastAsia="Arial MT" w:hAnsi="Verdana" w:cs="Arial MT"/>
          <w:spacing w:val="4"/>
          <w:sz w:val="16"/>
          <w:szCs w:val="16"/>
          <w:lang w:val="es-ES"/>
        </w:rPr>
        <w:t xml:space="preserve"> </w:t>
      </w:r>
      <w:r w:rsidRPr="00077EA1">
        <w:rPr>
          <w:rFonts w:ascii="Verdana" w:eastAsia="Arial MT" w:hAnsi="Verdana" w:cs="Arial MT"/>
          <w:spacing w:val="-2"/>
          <w:sz w:val="16"/>
          <w:szCs w:val="16"/>
          <w:lang w:val="es-ES"/>
        </w:rPr>
        <w:t>acto</w:t>
      </w:r>
      <w:r w:rsidRPr="00077EA1">
        <w:rPr>
          <w:rFonts w:ascii="Verdana" w:eastAsia="Arial MT" w:hAnsi="Verdana" w:cs="Arial MT"/>
          <w:spacing w:val="8"/>
          <w:sz w:val="16"/>
          <w:szCs w:val="16"/>
          <w:lang w:val="es-ES"/>
        </w:rPr>
        <w:t xml:space="preserve"> </w:t>
      </w:r>
      <w:r w:rsidRPr="00077EA1">
        <w:rPr>
          <w:rFonts w:ascii="Verdana" w:eastAsia="Arial MT" w:hAnsi="Verdana" w:cs="Arial MT"/>
          <w:spacing w:val="-2"/>
          <w:sz w:val="16"/>
          <w:szCs w:val="16"/>
          <w:lang w:val="es-ES"/>
        </w:rPr>
        <w:t>administrativo</w:t>
      </w:r>
      <w:r w:rsidRPr="00077EA1">
        <w:rPr>
          <w:rFonts w:ascii="Verdana" w:eastAsia="Arial MT" w:hAnsi="Verdana" w:cs="Arial MT"/>
          <w:spacing w:val="3"/>
          <w:sz w:val="16"/>
          <w:szCs w:val="16"/>
          <w:lang w:val="es-ES"/>
        </w:rPr>
        <w:t xml:space="preserve"> </w:t>
      </w:r>
      <w:r w:rsidRPr="00077EA1">
        <w:rPr>
          <w:rFonts w:ascii="Verdana" w:eastAsia="Arial MT" w:hAnsi="Verdana" w:cs="Arial MT"/>
          <w:spacing w:val="-2"/>
          <w:sz w:val="16"/>
          <w:szCs w:val="16"/>
          <w:lang w:val="es-ES"/>
        </w:rPr>
        <w:t>ilegal.</w:t>
      </w:r>
      <w:r w:rsidRPr="00077EA1">
        <w:rPr>
          <w:rFonts w:ascii="Verdana" w:eastAsia="Arial MT" w:hAnsi="Verdana" w:cs="Arial MT"/>
          <w:spacing w:val="6"/>
          <w:sz w:val="16"/>
          <w:szCs w:val="16"/>
          <w:lang w:val="es-ES"/>
        </w:rPr>
        <w:t xml:space="preserve"> </w:t>
      </w:r>
      <w:r w:rsidRPr="00077EA1">
        <w:rPr>
          <w:rFonts w:ascii="Verdana" w:eastAsia="Arial MT" w:hAnsi="Verdana" w:cs="Arial MT"/>
          <w:spacing w:val="-2"/>
          <w:sz w:val="16"/>
          <w:szCs w:val="16"/>
          <w:lang w:val="es-ES"/>
        </w:rPr>
        <w:t>Universidad</w:t>
      </w:r>
      <w:r w:rsidRPr="00077EA1">
        <w:rPr>
          <w:rFonts w:ascii="Verdana" w:eastAsia="Arial MT" w:hAnsi="Verdana" w:cs="Arial MT"/>
          <w:sz w:val="16"/>
          <w:szCs w:val="16"/>
          <w:lang w:val="es-ES"/>
        </w:rPr>
        <w:t xml:space="preserve"> </w:t>
      </w:r>
      <w:r w:rsidRPr="00077EA1">
        <w:rPr>
          <w:rFonts w:ascii="Verdana" w:eastAsia="Arial MT" w:hAnsi="Verdana" w:cs="Arial MT"/>
          <w:spacing w:val="-2"/>
          <w:sz w:val="16"/>
          <w:szCs w:val="16"/>
          <w:lang w:val="es-ES"/>
        </w:rPr>
        <w:t>Externado</w:t>
      </w:r>
      <w:r w:rsidRPr="00077EA1">
        <w:rPr>
          <w:rFonts w:ascii="Verdana" w:eastAsia="Arial MT" w:hAnsi="Verdana" w:cs="Arial MT"/>
          <w:spacing w:val="4"/>
          <w:sz w:val="16"/>
          <w:szCs w:val="16"/>
          <w:lang w:val="es-ES"/>
        </w:rPr>
        <w:t xml:space="preserve"> </w:t>
      </w:r>
      <w:r w:rsidRPr="00077EA1">
        <w:rPr>
          <w:rFonts w:ascii="Verdana" w:eastAsia="Arial MT" w:hAnsi="Verdana" w:cs="Arial MT"/>
          <w:spacing w:val="-2"/>
          <w:sz w:val="16"/>
          <w:szCs w:val="16"/>
          <w:lang w:val="es-ES"/>
        </w:rPr>
        <w:t>de</w:t>
      </w:r>
      <w:r w:rsidRPr="00077EA1">
        <w:rPr>
          <w:rFonts w:ascii="Verdana" w:eastAsia="Arial MT" w:hAnsi="Verdana" w:cs="Arial MT"/>
          <w:spacing w:val="6"/>
          <w:sz w:val="16"/>
          <w:szCs w:val="16"/>
          <w:lang w:val="es-ES"/>
        </w:rPr>
        <w:t xml:space="preserve"> </w:t>
      </w:r>
      <w:r w:rsidRPr="00077EA1">
        <w:rPr>
          <w:rFonts w:ascii="Verdana" w:eastAsia="Arial MT" w:hAnsi="Verdana" w:cs="Arial MT"/>
          <w:spacing w:val="-2"/>
          <w:sz w:val="16"/>
          <w:szCs w:val="16"/>
          <w:lang w:val="es-ES"/>
        </w:rPr>
        <w:t>Colombia,</w:t>
      </w:r>
      <w:r w:rsidRPr="00077EA1">
        <w:rPr>
          <w:rFonts w:ascii="Verdana" w:eastAsia="Arial MT" w:hAnsi="Verdana" w:cs="Arial MT"/>
          <w:spacing w:val="6"/>
          <w:sz w:val="16"/>
          <w:szCs w:val="16"/>
          <w:lang w:val="es-ES"/>
        </w:rPr>
        <w:t xml:space="preserve"> </w:t>
      </w:r>
      <w:r w:rsidRPr="00077EA1">
        <w:rPr>
          <w:rFonts w:ascii="Verdana" w:eastAsia="Arial MT" w:hAnsi="Verdana" w:cs="Arial MT"/>
          <w:spacing w:val="-2"/>
          <w:sz w:val="16"/>
          <w:szCs w:val="16"/>
          <w:lang w:val="es-ES"/>
        </w:rPr>
        <w:t>2005.</w:t>
      </w:r>
      <w:r w:rsidRPr="00077EA1">
        <w:rPr>
          <w:rFonts w:ascii="Verdana" w:eastAsia="Arial MT" w:hAnsi="Verdana" w:cs="Arial MT"/>
          <w:spacing w:val="7"/>
          <w:sz w:val="16"/>
          <w:szCs w:val="16"/>
          <w:lang w:val="es-ES"/>
        </w:rPr>
        <w:t xml:space="preserve"> </w:t>
      </w:r>
      <w:r w:rsidRPr="00077EA1">
        <w:rPr>
          <w:rFonts w:ascii="Verdana" w:eastAsia="Arial MT" w:hAnsi="Verdana" w:cs="Arial MT"/>
          <w:spacing w:val="-2"/>
          <w:sz w:val="16"/>
          <w:szCs w:val="16"/>
          <w:lang w:val="es-ES"/>
        </w:rPr>
        <w:t>p.</w:t>
      </w:r>
      <w:r w:rsidRPr="00077EA1">
        <w:rPr>
          <w:rFonts w:ascii="Verdana" w:eastAsia="Arial MT" w:hAnsi="Verdana" w:cs="Arial MT"/>
          <w:spacing w:val="6"/>
          <w:sz w:val="16"/>
          <w:szCs w:val="16"/>
          <w:lang w:val="es-ES"/>
        </w:rPr>
        <w:t xml:space="preserve"> </w:t>
      </w:r>
      <w:r w:rsidRPr="00077EA1">
        <w:rPr>
          <w:rFonts w:ascii="Verdana" w:eastAsia="Arial MT" w:hAnsi="Verdana" w:cs="Arial MT"/>
          <w:spacing w:val="-5"/>
          <w:sz w:val="16"/>
          <w:szCs w:val="16"/>
          <w:lang w:val="es-ES"/>
        </w:rPr>
        <w:t xml:space="preserve">27. </w:t>
      </w:r>
    </w:p>
    <w:p w14:paraId="25156AB5" w14:textId="77777777" w:rsidR="00960C09" w:rsidRPr="007E6C64" w:rsidRDefault="00960C09" w:rsidP="00960C09">
      <w:pPr>
        <w:pStyle w:val="Textonotapie"/>
        <w:ind w:firstLine="708"/>
        <w:jc w:val="both"/>
        <w:rPr>
          <w:rFonts w:ascii="Verdana" w:eastAsia="Arial MT" w:hAnsi="Verdana" w:cs="Arial MT"/>
          <w:spacing w:val="-5"/>
          <w:sz w:val="16"/>
          <w:szCs w:val="16"/>
          <w:lang w:val="es-ES"/>
        </w:rPr>
      </w:pPr>
    </w:p>
  </w:footnote>
  <w:footnote w:id="12">
    <w:p w14:paraId="41AB6950" w14:textId="77777777" w:rsidR="00960C09" w:rsidRPr="00077EA1" w:rsidRDefault="00960C09" w:rsidP="00960C09">
      <w:pPr>
        <w:pStyle w:val="Textonotapie"/>
        <w:ind w:firstLine="708"/>
        <w:jc w:val="both"/>
        <w:rPr>
          <w:rFonts w:ascii="Verdana" w:hAnsi="Verdana"/>
          <w:sz w:val="16"/>
          <w:szCs w:val="16"/>
          <w:lang w:val="es-ES"/>
        </w:rPr>
      </w:pPr>
      <w:r w:rsidRPr="00077EA1">
        <w:rPr>
          <w:rStyle w:val="Refdenotaalpie"/>
          <w:rFonts w:ascii="Verdana" w:hAnsi="Verdana"/>
          <w:sz w:val="16"/>
          <w:szCs w:val="16"/>
        </w:rPr>
        <w:footnoteRef/>
      </w:r>
      <w:r w:rsidRPr="00077EA1">
        <w:rPr>
          <w:rFonts w:ascii="Verdana" w:hAnsi="Verdana"/>
          <w:sz w:val="16"/>
          <w:szCs w:val="16"/>
        </w:rPr>
        <w:t xml:space="preserve"> </w:t>
      </w:r>
      <w:r w:rsidRPr="00077EA1">
        <w:rPr>
          <w:rFonts w:ascii="Verdana" w:hAnsi="Verdana"/>
          <w:sz w:val="16"/>
          <w:szCs w:val="16"/>
          <w:lang w:val="es-ES"/>
        </w:rPr>
        <w:t xml:space="preserve">RODRÍGUEZ. Libardo. Derecho Administrativo General y colombiano. Vigésima Edición. Tomo II. Editorial Temis, 2017. p. 85. </w:t>
      </w:r>
    </w:p>
  </w:footnote>
  <w:footnote w:id="13">
    <w:p w14:paraId="67F3E772" w14:textId="77777777" w:rsidR="00960C09" w:rsidRPr="00077EA1" w:rsidRDefault="00960C09" w:rsidP="00960C09">
      <w:pPr>
        <w:pStyle w:val="Textonotapie"/>
        <w:ind w:firstLine="708"/>
        <w:jc w:val="both"/>
        <w:rPr>
          <w:rFonts w:ascii="Verdana" w:hAnsi="Verdana" w:cs="Arial"/>
          <w:sz w:val="16"/>
          <w:szCs w:val="16"/>
        </w:rPr>
      </w:pPr>
      <w:r w:rsidRPr="00077EA1">
        <w:rPr>
          <w:rStyle w:val="Refdenotaalpie"/>
          <w:rFonts w:ascii="Verdana" w:hAnsi="Verdana" w:cs="Arial"/>
          <w:sz w:val="16"/>
          <w:szCs w:val="16"/>
        </w:rPr>
        <w:footnoteRef/>
      </w:r>
      <w:r w:rsidRPr="00077EA1">
        <w:rPr>
          <w:rFonts w:ascii="Verdana" w:hAnsi="Verdana" w:cs="Arial"/>
          <w:sz w:val="16"/>
          <w:szCs w:val="16"/>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1302E1E6" w14:textId="77777777" w:rsidR="00960C09" w:rsidRPr="00077EA1" w:rsidRDefault="00960C09" w:rsidP="00960C09">
      <w:pPr>
        <w:pStyle w:val="Textonotapie"/>
        <w:ind w:firstLine="708"/>
        <w:jc w:val="both"/>
        <w:rPr>
          <w:rFonts w:ascii="Verdana" w:hAnsi="Verdana" w:cs="Arial"/>
          <w:sz w:val="16"/>
          <w:szCs w:val="16"/>
        </w:rPr>
      </w:pPr>
      <w:r w:rsidRPr="00077EA1">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70A0F417" w14:textId="77777777" w:rsidR="00960C09" w:rsidRPr="00077EA1" w:rsidRDefault="00960C09" w:rsidP="00960C09">
      <w:pPr>
        <w:pStyle w:val="Textonotapie"/>
        <w:ind w:firstLine="708"/>
        <w:jc w:val="both"/>
        <w:rPr>
          <w:rFonts w:ascii="Verdana" w:hAnsi="Verdana" w:cs="Arial"/>
          <w:sz w:val="16"/>
          <w:szCs w:val="16"/>
        </w:rPr>
      </w:pPr>
      <w:r w:rsidRPr="00077EA1">
        <w:rPr>
          <w:rFonts w:ascii="Verdana" w:hAnsi="Verdana" w:cs="Arial"/>
          <w:sz w:val="16"/>
          <w:szCs w:val="16"/>
        </w:rPr>
        <w:t xml:space="preserve">El acto de adjudicación es irrevocable y obliga a la entidad y al adjudicatario. No </w:t>
      </w:r>
      <w:proofErr w:type="gramStart"/>
      <w:r w:rsidRPr="00077EA1">
        <w:rPr>
          <w:rFonts w:ascii="Verdana" w:hAnsi="Verdana" w:cs="Arial"/>
          <w:sz w:val="16"/>
          <w:szCs w:val="16"/>
        </w:rPr>
        <w:t>obstante</w:t>
      </w:r>
      <w:proofErr w:type="gramEnd"/>
      <w:r w:rsidRPr="00077EA1">
        <w:rPr>
          <w:rFonts w:ascii="Verdana" w:hAnsi="Verdana" w:cs="Arial"/>
          <w:sz w:val="16"/>
          <w:szCs w:val="16"/>
        </w:rPr>
        <w:t xml:space="preserve"> lo anterior, si dentro del plazo comprendido entre la adjudicación del contrato y la suscripción </w:t>
      </w:r>
      <w:proofErr w:type="gramStart"/>
      <w:r w:rsidRPr="00077EA1">
        <w:rPr>
          <w:rFonts w:ascii="Verdana" w:hAnsi="Verdana" w:cs="Arial"/>
          <w:sz w:val="16"/>
          <w:szCs w:val="16"/>
        </w:rPr>
        <w:t>del mismo</w:t>
      </w:r>
      <w:proofErr w:type="gramEnd"/>
      <w:r w:rsidRPr="00077EA1">
        <w:rPr>
          <w:rFonts w:ascii="Verdana" w:hAnsi="Verdana" w:cs="Arial"/>
          <w:sz w:val="16"/>
          <w:szCs w:val="16"/>
        </w:rPr>
        <w:t>, sobreviene una inhabilidad o incompatibilidad o si se demuestra que el acto se obtuvo por medios ilegales, este podrá ser revocado, caso en el cual, la entidad podrá aplicar lo previsto en el inciso final del numeral 12 del artículo 30 de la Ley 80 de 1993.</w:t>
      </w:r>
    </w:p>
    <w:p w14:paraId="69C117C1" w14:textId="77777777" w:rsidR="00960C09" w:rsidRDefault="00960C09" w:rsidP="00960C09">
      <w:pPr>
        <w:pStyle w:val="Textonotapie"/>
        <w:ind w:firstLine="708"/>
        <w:jc w:val="both"/>
        <w:rPr>
          <w:rFonts w:ascii="Verdana" w:hAnsi="Verdana" w:cs="Arial"/>
          <w:sz w:val="16"/>
          <w:szCs w:val="16"/>
        </w:rPr>
      </w:pPr>
      <w:r w:rsidRPr="00077EA1">
        <w:rPr>
          <w:rFonts w:ascii="Verdana" w:hAnsi="Verdana" w:cs="Arial"/>
          <w:sz w:val="16"/>
          <w:szCs w:val="16"/>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2FB93BA1" w14:textId="77777777" w:rsidR="00960C09" w:rsidRPr="00077EA1" w:rsidRDefault="00960C09" w:rsidP="00960C09">
      <w:pPr>
        <w:pStyle w:val="Textonotapie"/>
        <w:ind w:firstLine="708"/>
        <w:jc w:val="both"/>
        <w:rPr>
          <w:rFonts w:ascii="Verdana" w:hAnsi="Verdana" w:cs="Arial"/>
          <w:sz w:val="16"/>
          <w:szCs w:val="16"/>
        </w:rPr>
      </w:pPr>
    </w:p>
  </w:footnote>
  <w:footnote w:id="14">
    <w:p w14:paraId="70315445" w14:textId="77777777" w:rsidR="00960C09" w:rsidRPr="00077EA1" w:rsidRDefault="00960C09" w:rsidP="00960C09">
      <w:pPr>
        <w:pStyle w:val="Textonotapie"/>
        <w:ind w:firstLine="708"/>
        <w:jc w:val="both"/>
        <w:rPr>
          <w:rFonts w:ascii="Verdana" w:hAnsi="Verdana" w:cs="Arial"/>
          <w:sz w:val="16"/>
          <w:szCs w:val="16"/>
          <w:lang w:val="es-ES"/>
        </w:rPr>
      </w:pPr>
      <w:r w:rsidRPr="00077EA1">
        <w:rPr>
          <w:rStyle w:val="Refdenotaalpie"/>
          <w:rFonts w:ascii="Verdana" w:hAnsi="Verdana" w:cs="Arial"/>
          <w:sz w:val="16"/>
          <w:szCs w:val="16"/>
        </w:rPr>
        <w:footnoteRef/>
      </w:r>
      <w:r w:rsidRPr="00077EA1">
        <w:rPr>
          <w:rFonts w:ascii="Verdana" w:hAnsi="Verdana" w:cs="Arial"/>
          <w:sz w:val="16"/>
          <w:szCs w:val="16"/>
        </w:rPr>
        <w:t xml:space="preserve"> CONSEJO DE ESTADO. Sala de Consulta y Servicio Civil. Concepto de 15 de agosto de 2017. Radicación: 2346. C.P. Álvaro </w:t>
      </w:r>
      <w:proofErr w:type="spellStart"/>
      <w:r w:rsidRPr="00077EA1">
        <w:rPr>
          <w:rFonts w:ascii="Verdana" w:hAnsi="Verdana" w:cs="Arial"/>
          <w:sz w:val="16"/>
          <w:szCs w:val="16"/>
        </w:rPr>
        <w:t>Namén</w:t>
      </w:r>
      <w:proofErr w:type="spellEnd"/>
      <w:r w:rsidRPr="00077EA1">
        <w:rPr>
          <w:rFonts w:ascii="Verdana" w:hAnsi="Verdana" w:cs="Arial"/>
          <w:sz w:val="16"/>
          <w:szCs w:val="16"/>
        </w:rPr>
        <w:t xml:space="preserve"> Vargas. </w:t>
      </w:r>
    </w:p>
  </w:footnote>
  <w:footnote w:id="15">
    <w:p w14:paraId="2F7AD188" w14:textId="77777777" w:rsidR="00960C09" w:rsidRPr="009D4F8D" w:rsidRDefault="00960C09" w:rsidP="00960C09">
      <w:pPr>
        <w:pStyle w:val="Textonotapie"/>
        <w:ind w:firstLine="708"/>
        <w:jc w:val="both"/>
        <w:rPr>
          <w:rFonts w:ascii="Verdana" w:hAnsi="Verdana"/>
          <w:sz w:val="16"/>
          <w:szCs w:val="16"/>
          <w:lang w:val="es-CO"/>
        </w:rPr>
      </w:pPr>
      <w:r w:rsidRPr="009D4F8D">
        <w:rPr>
          <w:rStyle w:val="Refdenotaalpie"/>
          <w:rFonts w:ascii="Verdana" w:hAnsi="Verdana"/>
          <w:sz w:val="16"/>
          <w:szCs w:val="16"/>
        </w:rPr>
        <w:footnoteRef/>
      </w:r>
      <w:r w:rsidRPr="009D4F8D">
        <w:rPr>
          <w:rFonts w:ascii="Verdana" w:hAnsi="Verdana"/>
          <w:sz w:val="16"/>
          <w:szCs w:val="16"/>
        </w:rPr>
        <w:t xml:space="preserve"> </w:t>
      </w:r>
      <w:r w:rsidRPr="009D4F8D">
        <w:rPr>
          <w:rFonts w:ascii="Verdana" w:hAnsi="Verdana"/>
          <w:bCs/>
          <w:sz w:val="16"/>
          <w:szCs w:val="16"/>
          <w:lang w:val="es-CO"/>
        </w:rPr>
        <w:t>Artículo 93.</w:t>
      </w:r>
      <w:r w:rsidRPr="009D4F8D">
        <w:rPr>
          <w:rFonts w:ascii="Verdana" w:hAnsi="Verdana"/>
          <w:b/>
          <w:bCs/>
          <w:sz w:val="16"/>
          <w:szCs w:val="16"/>
          <w:lang w:val="es-CO"/>
        </w:rPr>
        <w:t xml:space="preserve"> </w:t>
      </w:r>
      <w:r w:rsidRPr="009D4F8D">
        <w:rPr>
          <w:rFonts w:ascii="Verdana" w:hAnsi="Verdana"/>
          <w:i/>
          <w:iCs/>
          <w:sz w:val="16"/>
          <w:szCs w:val="16"/>
          <w:lang w:val="es-CO"/>
        </w:rPr>
        <w:t>Causales de revocación.</w:t>
      </w:r>
      <w:r w:rsidRPr="009D4F8D">
        <w:rPr>
          <w:rFonts w:ascii="Verdana" w:hAnsi="Verdana"/>
          <w:sz w:val="16"/>
          <w:szCs w:val="16"/>
          <w:lang w:val="es-CO"/>
        </w:rPr>
        <w:t> Los actos administrativos deberán ser revocados por las mismas autoridades que los hayan expedido o por sus inmediatos superiores jerárquicos o funcionales, de oficio o a solicitud de parte, en cualquiera de los siguientes casos: </w:t>
      </w:r>
    </w:p>
    <w:p w14:paraId="15C508A1" w14:textId="77777777" w:rsidR="00960C09" w:rsidRPr="009D4F8D" w:rsidRDefault="00960C09" w:rsidP="00960C09">
      <w:pPr>
        <w:pStyle w:val="Textonotapie"/>
        <w:ind w:firstLine="708"/>
        <w:jc w:val="both"/>
        <w:rPr>
          <w:rFonts w:ascii="Verdana" w:hAnsi="Verdana"/>
          <w:sz w:val="16"/>
          <w:szCs w:val="16"/>
          <w:lang w:val="es-CO"/>
        </w:rPr>
      </w:pPr>
      <w:r w:rsidRPr="009D4F8D">
        <w:rPr>
          <w:rFonts w:ascii="Verdana" w:hAnsi="Verdana"/>
          <w:sz w:val="16"/>
          <w:szCs w:val="16"/>
          <w:lang w:val="es-CO"/>
        </w:rPr>
        <w:t>1. Cuando sea manifiesta su oposición a la Constitución Política o a la ley. </w:t>
      </w:r>
    </w:p>
    <w:p w14:paraId="42E8C122" w14:textId="77777777" w:rsidR="00960C09" w:rsidRPr="009D4F8D" w:rsidRDefault="00960C09" w:rsidP="00960C09">
      <w:pPr>
        <w:pStyle w:val="Textonotapie"/>
        <w:ind w:firstLine="708"/>
        <w:jc w:val="both"/>
        <w:rPr>
          <w:rFonts w:ascii="Verdana" w:hAnsi="Verdana"/>
          <w:sz w:val="16"/>
          <w:szCs w:val="16"/>
          <w:lang w:val="es-CO"/>
        </w:rPr>
      </w:pPr>
      <w:r w:rsidRPr="009D4F8D">
        <w:rPr>
          <w:rFonts w:ascii="Verdana" w:hAnsi="Verdana"/>
          <w:sz w:val="16"/>
          <w:szCs w:val="16"/>
          <w:lang w:val="es-CO"/>
        </w:rPr>
        <w:t>2. Cuando no estén conformes con el interés público o social, o atenten contra él. </w:t>
      </w:r>
    </w:p>
    <w:p w14:paraId="76461B7A" w14:textId="77777777" w:rsidR="00960C09" w:rsidRDefault="00960C09" w:rsidP="00960C09">
      <w:pPr>
        <w:pStyle w:val="Textonotapie"/>
        <w:ind w:firstLine="708"/>
        <w:jc w:val="both"/>
        <w:rPr>
          <w:rFonts w:ascii="Verdana" w:hAnsi="Verdana"/>
          <w:sz w:val="16"/>
          <w:szCs w:val="16"/>
          <w:lang w:val="es-CO"/>
        </w:rPr>
      </w:pPr>
      <w:r w:rsidRPr="009D4F8D">
        <w:rPr>
          <w:rFonts w:ascii="Verdana" w:hAnsi="Verdana"/>
          <w:sz w:val="16"/>
          <w:szCs w:val="16"/>
          <w:lang w:val="es-CO"/>
        </w:rPr>
        <w:t>3. Cuando con ellos se cause agravio injustificado a una persona. </w:t>
      </w:r>
    </w:p>
    <w:p w14:paraId="7A990743" w14:textId="77777777" w:rsidR="00960C09" w:rsidRPr="007E6C64" w:rsidRDefault="00960C09" w:rsidP="00960C09">
      <w:pPr>
        <w:pStyle w:val="Textonotapie"/>
        <w:ind w:firstLine="708"/>
        <w:jc w:val="both"/>
        <w:rPr>
          <w:rFonts w:ascii="Verdana" w:hAnsi="Verdana"/>
          <w:sz w:val="16"/>
          <w:szCs w:val="16"/>
          <w:lang w:val="es-CO"/>
        </w:rPr>
      </w:pPr>
    </w:p>
  </w:footnote>
  <w:footnote w:id="16">
    <w:p w14:paraId="5BB87D90" w14:textId="77777777" w:rsidR="00960C09" w:rsidRDefault="00960C09" w:rsidP="00960C09">
      <w:pPr>
        <w:pStyle w:val="Textonotapie"/>
        <w:ind w:firstLine="708"/>
        <w:jc w:val="both"/>
        <w:rPr>
          <w:rFonts w:ascii="Verdana" w:hAnsi="Verdana"/>
          <w:sz w:val="16"/>
          <w:szCs w:val="16"/>
          <w:lang w:val="es-CO"/>
        </w:rPr>
      </w:pPr>
      <w:r w:rsidRPr="00077EA1">
        <w:rPr>
          <w:rStyle w:val="Refdenotaalpie"/>
          <w:rFonts w:ascii="Verdana" w:hAnsi="Verdana"/>
          <w:sz w:val="16"/>
          <w:szCs w:val="16"/>
        </w:rPr>
        <w:footnoteRef/>
      </w:r>
      <w:r w:rsidRPr="00077EA1">
        <w:rPr>
          <w:rFonts w:ascii="Verdana" w:hAnsi="Verdana"/>
          <w:sz w:val="16"/>
          <w:szCs w:val="16"/>
        </w:rPr>
        <w:t xml:space="preserve"> </w:t>
      </w:r>
      <w:r w:rsidRPr="00077EA1">
        <w:rPr>
          <w:rFonts w:ascii="Verdana" w:hAnsi="Verdana"/>
          <w:sz w:val="16"/>
          <w:szCs w:val="16"/>
          <w:lang w:val="es-CO"/>
        </w:rPr>
        <w:t xml:space="preserve">CONSEJO DE ESTADO. </w:t>
      </w:r>
      <w:r>
        <w:rPr>
          <w:rFonts w:ascii="Verdana" w:hAnsi="Verdana"/>
          <w:sz w:val="16"/>
          <w:szCs w:val="16"/>
          <w:lang w:val="es-CO"/>
        </w:rPr>
        <w:t>Sección Tercera, Subsección C.</w:t>
      </w:r>
      <w:r w:rsidRPr="00077EA1">
        <w:rPr>
          <w:rFonts w:ascii="Verdana" w:hAnsi="Verdana"/>
          <w:sz w:val="16"/>
          <w:szCs w:val="16"/>
          <w:lang w:val="es-CO"/>
        </w:rPr>
        <w:t xml:space="preserve"> Sen</w:t>
      </w:r>
      <w:r>
        <w:rPr>
          <w:rFonts w:ascii="Verdana" w:hAnsi="Verdana"/>
          <w:sz w:val="16"/>
          <w:szCs w:val="16"/>
          <w:lang w:val="es-CO"/>
        </w:rPr>
        <w:t xml:space="preserve">tencia del 26 de marzo de 2014. C.P. Enrique Gil Botero. </w:t>
      </w:r>
      <w:proofErr w:type="spellStart"/>
      <w:r>
        <w:rPr>
          <w:rFonts w:ascii="Verdana" w:hAnsi="Verdana"/>
          <w:sz w:val="16"/>
          <w:szCs w:val="16"/>
          <w:lang w:val="es-CO"/>
        </w:rPr>
        <w:t>Exp</w:t>
      </w:r>
      <w:proofErr w:type="spellEnd"/>
      <w:r>
        <w:rPr>
          <w:rFonts w:ascii="Verdana" w:hAnsi="Verdana"/>
          <w:sz w:val="16"/>
          <w:szCs w:val="16"/>
          <w:lang w:val="es-CO"/>
        </w:rPr>
        <w:t xml:space="preserve">. 25.750. </w:t>
      </w:r>
    </w:p>
    <w:p w14:paraId="4FB5F0A0" w14:textId="77777777" w:rsidR="00960C09" w:rsidRPr="00077EA1" w:rsidRDefault="00960C09" w:rsidP="00960C09">
      <w:pPr>
        <w:pStyle w:val="Textonotapie"/>
        <w:ind w:firstLine="708"/>
        <w:jc w:val="both"/>
        <w:rPr>
          <w:rFonts w:ascii="Verdana" w:hAnsi="Verdana"/>
          <w:sz w:val="16"/>
          <w:szCs w:val="16"/>
          <w:lang w:val="es-CO"/>
        </w:rPr>
      </w:pPr>
    </w:p>
  </w:footnote>
  <w:footnote w:id="17">
    <w:p w14:paraId="11DD18DF" w14:textId="77777777" w:rsidR="00960C09" w:rsidRDefault="00960C09" w:rsidP="00960C09">
      <w:pPr>
        <w:pStyle w:val="Textonotapie"/>
        <w:ind w:firstLine="708"/>
        <w:jc w:val="both"/>
        <w:rPr>
          <w:rFonts w:ascii="Verdana" w:hAnsi="Verdana"/>
          <w:sz w:val="16"/>
          <w:szCs w:val="16"/>
          <w:lang w:val="es-ES"/>
        </w:rPr>
      </w:pPr>
      <w:r w:rsidRPr="00077EA1">
        <w:rPr>
          <w:rStyle w:val="Refdenotaalpie"/>
          <w:rFonts w:ascii="Verdana" w:hAnsi="Verdana"/>
          <w:sz w:val="16"/>
          <w:szCs w:val="16"/>
        </w:rPr>
        <w:footnoteRef/>
      </w:r>
      <w:r w:rsidRPr="00077EA1">
        <w:rPr>
          <w:rFonts w:ascii="Verdana" w:hAnsi="Verdana"/>
          <w:sz w:val="16"/>
          <w:szCs w:val="16"/>
        </w:rPr>
        <w:t xml:space="preserve"> </w:t>
      </w:r>
      <w:r w:rsidRPr="00077EA1">
        <w:rPr>
          <w:rFonts w:ascii="Verdana" w:hAnsi="Verdana"/>
          <w:sz w:val="16"/>
          <w:szCs w:val="16"/>
          <w:lang w:val="es-ES"/>
        </w:rPr>
        <w:t>CONSEJO DE ESTADO. Sección Tercera, Subsección A. Sentencia del 26 de noviembre de 2014.</w:t>
      </w:r>
      <w:r>
        <w:rPr>
          <w:rFonts w:ascii="Verdana" w:hAnsi="Verdana"/>
          <w:sz w:val="16"/>
          <w:szCs w:val="16"/>
          <w:lang w:val="es-ES"/>
        </w:rPr>
        <w:t xml:space="preserve"> C.P. Carlos Alberto Zambrano Barrera.</w:t>
      </w:r>
      <w:r w:rsidRPr="00077EA1">
        <w:rPr>
          <w:rFonts w:ascii="Verdana" w:hAnsi="Verdana"/>
          <w:sz w:val="16"/>
          <w:szCs w:val="16"/>
          <w:lang w:val="es-ES"/>
        </w:rPr>
        <w:t xml:space="preserve"> </w:t>
      </w:r>
      <w:proofErr w:type="spellStart"/>
      <w:r w:rsidRPr="00077EA1">
        <w:rPr>
          <w:rFonts w:ascii="Verdana" w:hAnsi="Verdana"/>
          <w:sz w:val="16"/>
          <w:szCs w:val="16"/>
          <w:lang w:val="es-ES"/>
        </w:rPr>
        <w:t>Exp</w:t>
      </w:r>
      <w:proofErr w:type="spellEnd"/>
      <w:r w:rsidRPr="00077EA1">
        <w:rPr>
          <w:rFonts w:ascii="Verdana" w:hAnsi="Verdana"/>
          <w:sz w:val="16"/>
          <w:szCs w:val="16"/>
          <w:lang w:val="es-ES"/>
        </w:rPr>
        <w:t>. 31.297.</w:t>
      </w:r>
    </w:p>
    <w:p w14:paraId="6A0FE851" w14:textId="77777777" w:rsidR="00960C09" w:rsidRPr="00077EA1" w:rsidRDefault="00960C09" w:rsidP="00960C09">
      <w:pPr>
        <w:pStyle w:val="Textonotapie"/>
        <w:ind w:firstLine="708"/>
        <w:jc w:val="both"/>
        <w:rPr>
          <w:rFonts w:ascii="Verdana" w:hAnsi="Verdana"/>
          <w:sz w:val="16"/>
          <w:szCs w:val="16"/>
          <w:lang w:val="es-ES"/>
        </w:rPr>
      </w:pPr>
    </w:p>
  </w:footnote>
  <w:footnote w:id="18">
    <w:p w14:paraId="7F506C4D" w14:textId="77777777" w:rsidR="00960C09" w:rsidRDefault="00960C09" w:rsidP="00960C09">
      <w:pPr>
        <w:pStyle w:val="Textonotapie"/>
        <w:ind w:firstLine="708"/>
        <w:jc w:val="both"/>
        <w:rPr>
          <w:rFonts w:ascii="Verdana" w:hAnsi="Verdana"/>
          <w:sz w:val="16"/>
          <w:szCs w:val="16"/>
          <w:lang w:val="es-ES"/>
        </w:rPr>
      </w:pPr>
      <w:r w:rsidRPr="00077EA1">
        <w:rPr>
          <w:rStyle w:val="Refdenotaalpie"/>
          <w:rFonts w:ascii="Verdana" w:hAnsi="Verdana"/>
          <w:sz w:val="16"/>
          <w:szCs w:val="16"/>
        </w:rPr>
        <w:footnoteRef/>
      </w:r>
      <w:r w:rsidRPr="00077EA1">
        <w:rPr>
          <w:rFonts w:ascii="Verdana" w:hAnsi="Verdana"/>
          <w:sz w:val="16"/>
          <w:szCs w:val="16"/>
        </w:rPr>
        <w:t xml:space="preserve"> </w:t>
      </w:r>
      <w:r w:rsidRPr="00077EA1">
        <w:rPr>
          <w:rFonts w:ascii="Verdana" w:hAnsi="Verdana"/>
          <w:sz w:val="16"/>
          <w:szCs w:val="16"/>
          <w:lang w:val="es-ES"/>
        </w:rPr>
        <w:t xml:space="preserve">CONSEJO DE ESTADO. Sección Tercera, Subsección A. Sentencia del 27 de abril de 2016. </w:t>
      </w:r>
      <w:r>
        <w:rPr>
          <w:rFonts w:ascii="Verdana" w:hAnsi="Verdana"/>
          <w:sz w:val="16"/>
          <w:szCs w:val="16"/>
          <w:lang w:val="es-ES"/>
        </w:rPr>
        <w:t xml:space="preserve">C.P. Martha Nubia Velásquez Rico. </w:t>
      </w:r>
      <w:proofErr w:type="spellStart"/>
      <w:r>
        <w:rPr>
          <w:rFonts w:ascii="Verdana" w:hAnsi="Verdana"/>
          <w:sz w:val="16"/>
          <w:szCs w:val="16"/>
          <w:lang w:val="es-ES"/>
        </w:rPr>
        <w:t>Exp</w:t>
      </w:r>
      <w:proofErr w:type="spellEnd"/>
      <w:r>
        <w:rPr>
          <w:rFonts w:ascii="Verdana" w:hAnsi="Verdana"/>
          <w:sz w:val="16"/>
          <w:szCs w:val="16"/>
          <w:lang w:val="es-ES"/>
        </w:rPr>
        <w:t xml:space="preserve">. 46818. </w:t>
      </w:r>
    </w:p>
    <w:p w14:paraId="4B57AFFF" w14:textId="77777777" w:rsidR="00960C09" w:rsidRPr="00077EA1" w:rsidRDefault="00960C09" w:rsidP="00960C09">
      <w:pPr>
        <w:pStyle w:val="Textonotapie"/>
        <w:ind w:firstLine="708"/>
        <w:jc w:val="both"/>
        <w:rPr>
          <w:rFonts w:ascii="Verdana" w:hAnsi="Verdana"/>
          <w:sz w:val="16"/>
          <w:szCs w:val="16"/>
          <w:lang w:val="es-ES"/>
        </w:rPr>
      </w:pPr>
    </w:p>
  </w:footnote>
  <w:footnote w:id="19">
    <w:p w14:paraId="7E07A45F" w14:textId="77777777" w:rsidR="00960C09" w:rsidRPr="00077EA1" w:rsidRDefault="00960C09" w:rsidP="00960C09">
      <w:pPr>
        <w:pStyle w:val="Textonotapie"/>
        <w:ind w:firstLine="708"/>
        <w:jc w:val="both"/>
        <w:rPr>
          <w:lang w:val="es-ES"/>
        </w:rPr>
      </w:pPr>
      <w:r w:rsidRPr="00077EA1">
        <w:rPr>
          <w:rStyle w:val="Refdenotaalpie"/>
          <w:rFonts w:ascii="Verdana" w:hAnsi="Verdana"/>
          <w:sz w:val="16"/>
          <w:szCs w:val="16"/>
        </w:rPr>
        <w:footnoteRef/>
      </w:r>
      <w:r w:rsidRPr="00077EA1">
        <w:rPr>
          <w:rFonts w:ascii="Verdana" w:hAnsi="Verdana"/>
          <w:sz w:val="16"/>
          <w:szCs w:val="16"/>
        </w:rPr>
        <w:t xml:space="preserve"> </w:t>
      </w:r>
      <w:r w:rsidRPr="00077EA1">
        <w:rPr>
          <w:rFonts w:ascii="Verdana" w:hAnsi="Verdana"/>
          <w:sz w:val="16"/>
          <w:szCs w:val="16"/>
          <w:lang w:val="es-ES"/>
        </w:rPr>
        <w:t>CONSEJO DE ESTADO. Sección Tercera, Subsección A. Sentencia del 2 de julio de 2021.</w:t>
      </w:r>
      <w:r>
        <w:rPr>
          <w:rFonts w:ascii="Verdana" w:hAnsi="Verdana"/>
          <w:sz w:val="16"/>
          <w:szCs w:val="16"/>
          <w:lang w:val="es-ES"/>
        </w:rPr>
        <w:t xml:space="preserve"> C.P. José Roberto Sáchica Méndez.</w:t>
      </w:r>
      <w:r w:rsidRPr="00077EA1">
        <w:rPr>
          <w:rFonts w:ascii="Verdana" w:hAnsi="Verdana"/>
          <w:sz w:val="16"/>
          <w:szCs w:val="16"/>
          <w:lang w:val="es-ES"/>
        </w:rPr>
        <w:t xml:space="preserve"> </w:t>
      </w:r>
      <w:proofErr w:type="spellStart"/>
      <w:r w:rsidRPr="00077EA1">
        <w:rPr>
          <w:rFonts w:ascii="Verdana" w:hAnsi="Verdana"/>
          <w:sz w:val="16"/>
          <w:szCs w:val="16"/>
          <w:lang w:val="es-ES"/>
        </w:rPr>
        <w:t>Exp</w:t>
      </w:r>
      <w:proofErr w:type="spellEnd"/>
      <w:r w:rsidRPr="00077EA1">
        <w:rPr>
          <w:rFonts w:ascii="Verdana" w:hAnsi="Verdana"/>
          <w:sz w:val="16"/>
          <w:szCs w:val="16"/>
          <w:lang w:val="es-ES"/>
        </w:rPr>
        <w:t>. 58372.</w:t>
      </w:r>
    </w:p>
  </w:footnote>
  <w:footnote w:id="20">
    <w:p w14:paraId="0639CF72" w14:textId="77777777" w:rsidR="00960C09" w:rsidRDefault="00960C09" w:rsidP="00960C09">
      <w:pPr>
        <w:pStyle w:val="Textonotapie"/>
        <w:ind w:firstLine="708"/>
        <w:jc w:val="both"/>
        <w:rPr>
          <w:rFonts w:ascii="Verdana" w:hAnsi="Verdana"/>
          <w:sz w:val="16"/>
          <w:szCs w:val="16"/>
          <w:lang w:val="es-ES"/>
        </w:rPr>
      </w:pPr>
      <w:r w:rsidRPr="00F37603">
        <w:rPr>
          <w:rStyle w:val="Refdenotaalpie"/>
          <w:rFonts w:ascii="Verdana" w:hAnsi="Verdana"/>
          <w:sz w:val="16"/>
          <w:szCs w:val="16"/>
        </w:rPr>
        <w:footnoteRef/>
      </w:r>
      <w:r w:rsidRPr="00F37603">
        <w:rPr>
          <w:rFonts w:ascii="Verdana" w:hAnsi="Verdana"/>
          <w:sz w:val="16"/>
          <w:szCs w:val="16"/>
        </w:rPr>
        <w:t xml:space="preserve"> </w:t>
      </w:r>
      <w:r w:rsidRPr="00F37603">
        <w:rPr>
          <w:rFonts w:ascii="Verdana" w:hAnsi="Verdana"/>
          <w:sz w:val="16"/>
          <w:szCs w:val="16"/>
          <w:lang w:val="es-ES"/>
        </w:rPr>
        <w:t xml:space="preserve">DÁVILA VINUEZA, Luis Guillermo. Régimen jurídico de la contratación estatal. 3° ed. Bogotá: Legis. 2016. p. 405. Al respecto, </w:t>
      </w:r>
      <w:proofErr w:type="spellStart"/>
      <w:r w:rsidRPr="00F37603">
        <w:rPr>
          <w:rFonts w:ascii="Verdana" w:hAnsi="Verdana"/>
          <w:sz w:val="16"/>
          <w:szCs w:val="16"/>
          <w:lang w:val="es-ES"/>
        </w:rPr>
        <w:t>Covilla</w:t>
      </w:r>
      <w:proofErr w:type="spellEnd"/>
      <w:r w:rsidRPr="00F37603">
        <w:rPr>
          <w:rFonts w:ascii="Verdana" w:hAnsi="Verdana"/>
          <w:sz w:val="16"/>
          <w:szCs w:val="16"/>
          <w:lang w:val="es-ES"/>
        </w:rPr>
        <w:t xml:space="preserve"> Martínez expresa: “La revocatoria del acto de apertura es un mecanismo que otorga el ordenamiento jurídico para que la Administración Pública pueda dejar sin efectos sus propios actos. Es, entonces, un mecanismo legal por el cual la entidad estatal puede revisar sus actos y que permite desaparecer de la vida jurídica actos administrativos cuando encuentre un error o situaci</w:t>
      </w:r>
      <w:r>
        <w:rPr>
          <w:rFonts w:ascii="Verdana" w:hAnsi="Verdana"/>
          <w:sz w:val="16"/>
          <w:szCs w:val="16"/>
          <w:lang w:val="es-ES"/>
        </w:rPr>
        <w:t>ón imprevista (COVILLA MARTÍNEZ, Juan Carlos. La revocación del acto de apertura del procedimiento de selección de contratistas y la responsabilidad del Estado. Bogotá: Universidad Externado de Colombia, 2019. p. 233).</w:t>
      </w:r>
    </w:p>
    <w:p w14:paraId="72D7F07F" w14:textId="77777777" w:rsidR="00960C09" w:rsidRPr="00F37603" w:rsidRDefault="00960C09" w:rsidP="00960C09">
      <w:pPr>
        <w:pStyle w:val="Textonotapie"/>
        <w:ind w:firstLine="708"/>
        <w:jc w:val="both"/>
        <w:rPr>
          <w:rFonts w:ascii="Verdana" w:hAnsi="Verdana"/>
          <w:sz w:val="16"/>
          <w:szCs w:val="16"/>
          <w:lang w:val="es-ES"/>
        </w:rPr>
      </w:pPr>
    </w:p>
  </w:footnote>
  <w:footnote w:id="21">
    <w:p w14:paraId="61323F28" w14:textId="77777777" w:rsidR="00960C09" w:rsidRPr="00F37603" w:rsidRDefault="00960C09" w:rsidP="00960C09">
      <w:pPr>
        <w:pStyle w:val="Textonotapie"/>
        <w:ind w:firstLine="708"/>
        <w:jc w:val="both"/>
        <w:rPr>
          <w:rFonts w:ascii="Verdana" w:hAnsi="Verdana" w:cs="Arial"/>
          <w:sz w:val="16"/>
          <w:szCs w:val="16"/>
        </w:rPr>
      </w:pPr>
      <w:r w:rsidRPr="00F37603">
        <w:rPr>
          <w:rStyle w:val="Refdenotaalpie"/>
          <w:rFonts w:ascii="Verdana" w:hAnsi="Verdana" w:cs="Arial"/>
          <w:sz w:val="16"/>
          <w:szCs w:val="16"/>
        </w:rPr>
        <w:footnoteRef/>
      </w:r>
      <w:r w:rsidRPr="00F37603">
        <w:rPr>
          <w:rFonts w:ascii="Verdana" w:hAnsi="Verdana" w:cs="Arial"/>
          <w:sz w:val="16"/>
          <w:szCs w:val="16"/>
        </w:rPr>
        <w:t xml:space="preserve"> OSPINA MENA, Jesús Marino. Régimen de la Contratación Estatal. Un salto a la contratación líquida. Bogotá: Ed. 1ª. </w:t>
      </w:r>
      <w:proofErr w:type="spellStart"/>
      <w:r w:rsidRPr="00F37603">
        <w:rPr>
          <w:rFonts w:ascii="Verdana" w:hAnsi="Verdana" w:cs="Arial"/>
          <w:sz w:val="16"/>
          <w:szCs w:val="16"/>
        </w:rPr>
        <w:t>Diké</w:t>
      </w:r>
      <w:proofErr w:type="spellEnd"/>
      <w:r w:rsidRPr="00F37603">
        <w:rPr>
          <w:rFonts w:ascii="Verdana" w:hAnsi="Verdana" w:cs="Arial"/>
          <w:sz w:val="16"/>
          <w:szCs w:val="16"/>
        </w:rPr>
        <w:t>, 2020. p. 383.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2242F3" w:rsidRDefault="002242F3">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2242F3" w:rsidRDefault="002242F3">
    <w:pPr>
      <w:pStyle w:val="Encabezado"/>
    </w:pPr>
  </w:p>
  <w:p w14:paraId="3079FC11" w14:textId="77777777" w:rsidR="002242F3" w:rsidRDefault="002242F3" w:rsidP="004A305D">
    <w:pPr>
      <w:spacing w:after="0"/>
      <w:rPr>
        <w:rFonts w:ascii="Verdana" w:hAnsi="Verdana"/>
        <w:b/>
        <w:bCs/>
      </w:rPr>
    </w:pPr>
  </w:p>
  <w:p w14:paraId="7FE1230C" w14:textId="77E53D9F" w:rsidR="002242F3" w:rsidRPr="00DC39FC" w:rsidRDefault="002242F3" w:rsidP="004A305D">
    <w:pPr>
      <w:spacing w:after="0"/>
      <w:rPr>
        <w:rFonts w:ascii="Verdana" w:hAnsi="Verdana"/>
        <w:b/>
        <w:bCs/>
      </w:rPr>
    </w:pPr>
    <w:r w:rsidRPr="00DC39FC">
      <w:rPr>
        <w:rFonts w:ascii="Verdana" w:hAnsi="Verdana"/>
        <w:b/>
        <w:bCs/>
      </w:rPr>
      <w:t>FORMATO PQRSD</w:t>
    </w:r>
  </w:p>
  <w:p w14:paraId="5E18350A" w14:textId="705F7B76" w:rsidR="002242F3" w:rsidRPr="004A305D" w:rsidRDefault="002242F3" w:rsidP="00B01B1A">
    <w:pPr>
      <w:spacing w:after="0" w:line="120" w:lineRule="auto"/>
      <w:rPr>
        <w:rFonts w:ascii="Century Gothic" w:eastAsia="Geo" w:hAnsi="Century Gothic" w:cs="Geo"/>
        <w:sz w:val="16"/>
        <w:szCs w:val="16"/>
        <w:lang w:eastAsia="es-CO"/>
      </w:rPr>
    </w:pPr>
  </w:p>
  <w:p w14:paraId="1FD1C243" w14:textId="6D74A3CF" w:rsidR="002242F3" w:rsidRDefault="002242F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visibility:visible;mso-wrap-style:square" o:bullet="t">
        <v:imagedata r:id="rId1" o:title=""/>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AD1188"/>
    <w:multiLevelType w:val="hybridMultilevel"/>
    <w:tmpl w:val="F35E0D28"/>
    <w:lvl w:ilvl="0" w:tplc="B91CD640">
      <w:start w:val="1"/>
      <w:numFmt w:val="lowerRoman"/>
      <w:lvlText w:val="%1."/>
      <w:lvlJc w:val="left"/>
      <w:pPr>
        <w:ind w:left="1080" w:hanging="72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70438DB"/>
    <w:multiLevelType w:val="hybridMultilevel"/>
    <w:tmpl w:val="CD421ACA"/>
    <w:lvl w:ilvl="0" w:tplc="00088A10">
      <w:numFmt w:val="bullet"/>
      <w:lvlText w:val=""/>
      <w:lvlJc w:val="left"/>
      <w:pPr>
        <w:ind w:left="335" w:hanging="705"/>
      </w:pPr>
      <w:rPr>
        <w:rFonts w:ascii="Symbol" w:eastAsia="Symbol" w:hAnsi="Symbol" w:cs="Symbol" w:hint="default"/>
        <w:b w:val="0"/>
        <w:bCs w:val="0"/>
        <w:i w:val="0"/>
        <w:iCs w:val="0"/>
        <w:spacing w:val="0"/>
        <w:w w:val="100"/>
        <w:sz w:val="22"/>
        <w:szCs w:val="22"/>
        <w:lang w:val="es-ES" w:eastAsia="en-US" w:bidi="ar-SA"/>
      </w:rPr>
    </w:lvl>
    <w:lvl w:ilvl="1" w:tplc="2F8EC044">
      <w:numFmt w:val="bullet"/>
      <w:lvlText w:val="•"/>
      <w:lvlJc w:val="left"/>
      <w:pPr>
        <w:ind w:left="1314" w:hanging="705"/>
      </w:pPr>
      <w:rPr>
        <w:rFonts w:hint="default"/>
        <w:lang w:val="es-ES" w:eastAsia="en-US" w:bidi="ar-SA"/>
      </w:rPr>
    </w:lvl>
    <w:lvl w:ilvl="2" w:tplc="7E8C5336">
      <w:numFmt w:val="bullet"/>
      <w:lvlText w:val="•"/>
      <w:lvlJc w:val="left"/>
      <w:pPr>
        <w:ind w:left="2288" w:hanging="705"/>
      </w:pPr>
      <w:rPr>
        <w:rFonts w:hint="default"/>
        <w:lang w:val="es-ES" w:eastAsia="en-US" w:bidi="ar-SA"/>
      </w:rPr>
    </w:lvl>
    <w:lvl w:ilvl="3" w:tplc="B88C61E4">
      <w:numFmt w:val="bullet"/>
      <w:lvlText w:val="•"/>
      <w:lvlJc w:val="left"/>
      <w:pPr>
        <w:ind w:left="3262" w:hanging="705"/>
      </w:pPr>
      <w:rPr>
        <w:rFonts w:hint="default"/>
        <w:lang w:val="es-ES" w:eastAsia="en-US" w:bidi="ar-SA"/>
      </w:rPr>
    </w:lvl>
    <w:lvl w:ilvl="4" w:tplc="FF6C91A6">
      <w:numFmt w:val="bullet"/>
      <w:lvlText w:val="•"/>
      <w:lvlJc w:val="left"/>
      <w:pPr>
        <w:ind w:left="4236" w:hanging="705"/>
      </w:pPr>
      <w:rPr>
        <w:rFonts w:hint="default"/>
        <w:lang w:val="es-ES" w:eastAsia="en-US" w:bidi="ar-SA"/>
      </w:rPr>
    </w:lvl>
    <w:lvl w:ilvl="5" w:tplc="29503330">
      <w:numFmt w:val="bullet"/>
      <w:lvlText w:val="•"/>
      <w:lvlJc w:val="left"/>
      <w:pPr>
        <w:ind w:left="5210" w:hanging="705"/>
      </w:pPr>
      <w:rPr>
        <w:rFonts w:hint="default"/>
        <w:lang w:val="es-ES" w:eastAsia="en-US" w:bidi="ar-SA"/>
      </w:rPr>
    </w:lvl>
    <w:lvl w:ilvl="6" w:tplc="449C9DEA">
      <w:numFmt w:val="bullet"/>
      <w:lvlText w:val="•"/>
      <w:lvlJc w:val="left"/>
      <w:pPr>
        <w:ind w:left="6184" w:hanging="705"/>
      </w:pPr>
      <w:rPr>
        <w:rFonts w:hint="default"/>
        <w:lang w:val="es-ES" w:eastAsia="en-US" w:bidi="ar-SA"/>
      </w:rPr>
    </w:lvl>
    <w:lvl w:ilvl="7" w:tplc="AC548B72">
      <w:numFmt w:val="bullet"/>
      <w:lvlText w:val="•"/>
      <w:lvlJc w:val="left"/>
      <w:pPr>
        <w:ind w:left="7158" w:hanging="705"/>
      </w:pPr>
      <w:rPr>
        <w:rFonts w:hint="default"/>
        <w:lang w:val="es-ES" w:eastAsia="en-US" w:bidi="ar-SA"/>
      </w:rPr>
    </w:lvl>
    <w:lvl w:ilvl="8" w:tplc="143824B6">
      <w:numFmt w:val="bullet"/>
      <w:lvlText w:val="•"/>
      <w:lvlJc w:val="left"/>
      <w:pPr>
        <w:ind w:left="8132" w:hanging="705"/>
      </w:pPr>
      <w:rPr>
        <w:rFonts w:hint="default"/>
        <w:lang w:val="es-ES" w:eastAsia="en-US" w:bidi="ar-SA"/>
      </w:rPr>
    </w:lvl>
  </w:abstractNum>
  <w:abstractNum w:abstractNumId="12" w15:restartNumberingAfterBreak="0">
    <w:nsid w:val="490511C0"/>
    <w:multiLevelType w:val="hybridMultilevel"/>
    <w:tmpl w:val="487E7AC6"/>
    <w:lvl w:ilvl="0" w:tplc="7E5AA202">
      <w:start w:val="1"/>
      <w:numFmt w:val="lowerLetter"/>
      <w:lvlText w:val="%1)"/>
      <w:lvlJc w:val="left"/>
      <w:pPr>
        <w:ind w:left="1008" w:hanging="330"/>
      </w:pPr>
      <w:rPr>
        <w:rFonts w:ascii="Arial" w:eastAsia="Arial" w:hAnsi="Arial" w:cs="Arial" w:hint="default"/>
        <w:color w:val="4E4D4D"/>
        <w:spacing w:val="-28"/>
        <w:w w:val="100"/>
        <w:sz w:val="21"/>
        <w:szCs w:val="21"/>
        <w:lang w:val="es-ES" w:eastAsia="en-US" w:bidi="ar-SA"/>
      </w:rPr>
    </w:lvl>
    <w:lvl w:ilvl="1" w:tplc="BFF6E084">
      <w:numFmt w:val="bullet"/>
      <w:lvlText w:val="•"/>
      <w:lvlJc w:val="left"/>
      <w:pPr>
        <w:ind w:left="1834" w:hanging="330"/>
      </w:pPr>
      <w:rPr>
        <w:rFonts w:hint="default"/>
        <w:lang w:val="es-ES" w:eastAsia="en-US" w:bidi="ar-SA"/>
      </w:rPr>
    </w:lvl>
    <w:lvl w:ilvl="2" w:tplc="E9E0C728">
      <w:numFmt w:val="bullet"/>
      <w:lvlText w:val="•"/>
      <w:lvlJc w:val="left"/>
      <w:pPr>
        <w:ind w:left="2668" w:hanging="330"/>
      </w:pPr>
      <w:rPr>
        <w:rFonts w:hint="default"/>
        <w:lang w:val="es-ES" w:eastAsia="en-US" w:bidi="ar-SA"/>
      </w:rPr>
    </w:lvl>
    <w:lvl w:ilvl="3" w:tplc="C75CB3C4">
      <w:numFmt w:val="bullet"/>
      <w:lvlText w:val="•"/>
      <w:lvlJc w:val="left"/>
      <w:pPr>
        <w:ind w:left="3502" w:hanging="330"/>
      </w:pPr>
      <w:rPr>
        <w:rFonts w:hint="default"/>
        <w:lang w:val="es-ES" w:eastAsia="en-US" w:bidi="ar-SA"/>
      </w:rPr>
    </w:lvl>
    <w:lvl w:ilvl="4" w:tplc="065A04CE">
      <w:numFmt w:val="bullet"/>
      <w:lvlText w:val="•"/>
      <w:lvlJc w:val="left"/>
      <w:pPr>
        <w:ind w:left="4336" w:hanging="330"/>
      </w:pPr>
      <w:rPr>
        <w:rFonts w:hint="default"/>
        <w:lang w:val="es-ES" w:eastAsia="en-US" w:bidi="ar-SA"/>
      </w:rPr>
    </w:lvl>
    <w:lvl w:ilvl="5" w:tplc="A70A964C">
      <w:numFmt w:val="bullet"/>
      <w:lvlText w:val="•"/>
      <w:lvlJc w:val="left"/>
      <w:pPr>
        <w:ind w:left="5170" w:hanging="330"/>
      </w:pPr>
      <w:rPr>
        <w:rFonts w:hint="default"/>
        <w:lang w:val="es-ES" w:eastAsia="en-US" w:bidi="ar-SA"/>
      </w:rPr>
    </w:lvl>
    <w:lvl w:ilvl="6" w:tplc="76AAE404">
      <w:numFmt w:val="bullet"/>
      <w:lvlText w:val="•"/>
      <w:lvlJc w:val="left"/>
      <w:pPr>
        <w:ind w:left="6004" w:hanging="330"/>
      </w:pPr>
      <w:rPr>
        <w:rFonts w:hint="default"/>
        <w:lang w:val="es-ES" w:eastAsia="en-US" w:bidi="ar-SA"/>
      </w:rPr>
    </w:lvl>
    <w:lvl w:ilvl="7" w:tplc="1AAA4116">
      <w:numFmt w:val="bullet"/>
      <w:lvlText w:val="•"/>
      <w:lvlJc w:val="left"/>
      <w:pPr>
        <w:ind w:left="6838" w:hanging="330"/>
      </w:pPr>
      <w:rPr>
        <w:rFonts w:hint="default"/>
        <w:lang w:val="es-ES" w:eastAsia="en-US" w:bidi="ar-SA"/>
      </w:rPr>
    </w:lvl>
    <w:lvl w:ilvl="8" w:tplc="597439B4">
      <w:numFmt w:val="bullet"/>
      <w:lvlText w:val="•"/>
      <w:lvlJc w:val="left"/>
      <w:pPr>
        <w:ind w:left="7672" w:hanging="330"/>
      </w:pPr>
      <w:rPr>
        <w:rFonts w:hint="default"/>
        <w:lang w:val="es-ES" w:eastAsia="en-US" w:bidi="ar-SA"/>
      </w:r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5D73FF0"/>
    <w:multiLevelType w:val="multilevel"/>
    <w:tmpl w:val="4D20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6466623">
    <w:abstractNumId w:val="7"/>
  </w:num>
  <w:num w:numId="2" w16cid:durableId="227107698">
    <w:abstractNumId w:val="2"/>
  </w:num>
  <w:num w:numId="3" w16cid:durableId="2138715572">
    <w:abstractNumId w:val="5"/>
  </w:num>
  <w:num w:numId="4" w16cid:durableId="790319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2206064">
    <w:abstractNumId w:val="2"/>
  </w:num>
  <w:num w:numId="6" w16cid:durableId="1325472498">
    <w:abstractNumId w:val="17"/>
  </w:num>
  <w:num w:numId="7" w16cid:durableId="1478648548">
    <w:abstractNumId w:val="6"/>
  </w:num>
  <w:num w:numId="8" w16cid:durableId="994184369">
    <w:abstractNumId w:val="16"/>
  </w:num>
  <w:num w:numId="9" w16cid:durableId="1142775276">
    <w:abstractNumId w:val="8"/>
  </w:num>
  <w:num w:numId="10" w16cid:durableId="549996196">
    <w:abstractNumId w:val="15"/>
  </w:num>
  <w:num w:numId="11" w16cid:durableId="1166507932">
    <w:abstractNumId w:val="9"/>
  </w:num>
  <w:num w:numId="12" w16cid:durableId="300623988">
    <w:abstractNumId w:val="1"/>
  </w:num>
  <w:num w:numId="13" w16cid:durableId="1691563575">
    <w:abstractNumId w:val="4"/>
  </w:num>
  <w:num w:numId="14" w16cid:durableId="672413917">
    <w:abstractNumId w:val="18"/>
  </w:num>
  <w:num w:numId="15" w16cid:durableId="1233929390">
    <w:abstractNumId w:val="13"/>
  </w:num>
  <w:num w:numId="16" w16cid:durableId="1821573754">
    <w:abstractNumId w:val="0"/>
  </w:num>
  <w:num w:numId="17" w16cid:durableId="156262738">
    <w:abstractNumId w:val="10"/>
  </w:num>
  <w:num w:numId="18" w16cid:durableId="916204088">
    <w:abstractNumId w:val="3"/>
  </w:num>
  <w:num w:numId="19" w16cid:durableId="88626440">
    <w:abstractNumId w:val="14"/>
  </w:num>
  <w:num w:numId="20" w16cid:durableId="144861019">
    <w:abstractNumId w:val="12"/>
  </w:num>
  <w:num w:numId="21" w16cid:durableId="288898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D85"/>
    <w:rsid w:val="000078BA"/>
    <w:rsid w:val="00011349"/>
    <w:rsid w:val="000157DE"/>
    <w:rsid w:val="00016F78"/>
    <w:rsid w:val="00032327"/>
    <w:rsid w:val="00036C5F"/>
    <w:rsid w:val="00045EE3"/>
    <w:rsid w:val="00046945"/>
    <w:rsid w:val="000472D6"/>
    <w:rsid w:val="0005092C"/>
    <w:rsid w:val="00055CB6"/>
    <w:rsid w:val="00061B2A"/>
    <w:rsid w:val="0006320D"/>
    <w:rsid w:val="00073D7F"/>
    <w:rsid w:val="0007777E"/>
    <w:rsid w:val="00077EA1"/>
    <w:rsid w:val="00081190"/>
    <w:rsid w:val="00082362"/>
    <w:rsid w:val="00086612"/>
    <w:rsid w:val="00086A6A"/>
    <w:rsid w:val="00091F63"/>
    <w:rsid w:val="00093EC2"/>
    <w:rsid w:val="000A3F3C"/>
    <w:rsid w:val="000A5826"/>
    <w:rsid w:val="000A683E"/>
    <w:rsid w:val="000B19B9"/>
    <w:rsid w:val="000B6022"/>
    <w:rsid w:val="000D0334"/>
    <w:rsid w:val="000D5179"/>
    <w:rsid w:val="000D7CCA"/>
    <w:rsid w:val="000F1A30"/>
    <w:rsid w:val="000F3711"/>
    <w:rsid w:val="000F6486"/>
    <w:rsid w:val="00100ABA"/>
    <w:rsid w:val="00102FF4"/>
    <w:rsid w:val="00106DDE"/>
    <w:rsid w:val="00116DCF"/>
    <w:rsid w:val="00125105"/>
    <w:rsid w:val="00127233"/>
    <w:rsid w:val="00127F71"/>
    <w:rsid w:val="0013448C"/>
    <w:rsid w:val="00134FBE"/>
    <w:rsid w:val="00135CAF"/>
    <w:rsid w:val="00147359"/>
    <w:rsid w:val="001511A0"/>
    <w:rsid w:val="001526A8"/>
    <w:rsid w:val="001643AB"/>
    <w:rsid w:val="001673BE"/>
    <w:rsid w:val="00180ACE"/>
    <w:rsid w:val="00193B12"/>
    <w:rsid w:val="00196C57"/>
    <w:rsid w:val="001A24D3"/>
    <w:rsid w:val="001A7236"/>
    <w:rsid w:val="001B11B0"/>
    <w:rsid w:val="001B1CD2"/>
    <w:rsid w:val="001B4BD0"/>
    <w:rsid w:val="001B67A4"/>
    <w:rsid w:val="001B68EC"/>
    <w:rsid w:val="001C37E1"/>
    <w:rsid w:val="001C3A39"/>
    <w:rsid w:val="001C6AF5"/>
    <w:rsid w:val="001E0AC0"/>
    <w:rsid w:val="001E3213"/>
    <w:rsid w:val="001E4177"/>
    <w:rsid w:val="001E5252"/>
    <w:rsid w:val="001F44FE"/>
    <w:rsid w:val="001F5464"/>
    <w:rsid w:val="001F6D75"/>
    <w:rsid w:val="001F7DC6"/>
    <w:rsid w:val="002011C2"/>
    <w:rsid w:val="0020142F"/>
    <w:rsid w:val="002045FA"/>
    <w:rsid w:val="00204B27"/>
    <w:rsid w:val="00210DD8"/>
    <w:rsid w:val="00210FF6"/>
    <w:rsid w:val="002131BE"/>
    <w:rsid w:val="00222612"/>
    <w:rsid w:val="002242F3"/>
    <w:rsid w:val="00225440"/>
    <w:rsid w:val="00227157"/>
    <w:rsid w:val="002421BB"/>
    <w:rsid w:val="00244CD8"/>
    <w:rsid w:val="00253A86"/>
    <w:rsid w:val="0025796E"/>
    <w:rsid w:val="002707A2"/>
    <w:rsid w:val="00276692"/>
    <w:rsid w:val="0028043F"/>
    <w:rsid w:val="00284000"/>
    <w:rsid w:val="0028780E"/>
    <w:rsid w:val="00290C20"/>
    <w:rsid w:val="002951A0"/>
    <w:rsid w:val="002953E3"/>
    <w:rsid w:val="002962BC"/>
    <w:rsid w:val="002A093D"/>
    <w:rsid w:val="002A0DD0"/>
    <w:rsid w:val="002A49AC"/>
    <w:rsid w:val="002A64FD"/>
    <w:rsid w:val="002B241B"/>
    <w:rsid w:val="002B5EEB"/>
    <w:rsid w:val="002C11A2"/>
    <w:rsid w:val="002C59FD"/>
    <w:rsid w:val="002C78E1"/>
    <w:rsid w:val="002C7A84"/>
    <w:rsid w:val="002D6778"/>
    <w:rsid w:val="002D7F03"/>
    <w:rsid w:val="002E4E18"/>
    <w:rsid w:val="002E4F8A"/>
    <w:rsid w:val="002E4FD9"/>
    <w:rsid w:val="002E701F"/>
    <w:rsid w:val="0030138C"/>
    <w:rsid w:val="0030549B"/>
    <w:rsid w:val="0030579C"/>
    <w:rsid w:val="003060C8"/>
    <w:rsid w:val="003118F4"/>
    <w:rsid w:val="00312110"/>
    <w:rsid w:val="003143EE"/>
    <w:rsid w:val="00322A85"/>
    <w:rsid w:val="00324168"/>
    <w:rsid w:val="00331A29"/>
    <w:rsid w:val="00333282"/>
    <w:rsid w:val="00334903"/>
    <w:rsid w:val="003430EA"/>
    <w:rsid w:val="00343B6B"/>
    <w:rsid w:val="003440FC"/>
    <w:rsid w:val="003448F4"/>
    <w:rsid w:val="0034503E"/>
    <w:rsid w:val="00353F55"/>
    <w:rsid w:val="00354596"/>
    <w:rsid w:val="0036719B"/>
    <w:rsid w:val="003716D1"/>
    <w:rsid w:val="00374F5E"/>
    <w:rsid w:val="00377E3E"/>
    <w:rsid w:val="0038031B"/>
    <w:rsid w:val="00382F8A"/>
    <w:rsid w:val="00383D27"/>
    <w:rsid w:val="00393DB5"/>
    <w:rsid w:val="003A484F"/>
    <w:rsid w:val="003A779E"/>
    <w:rsid w:val="003B6D3D"/>
    <w:rsid w:val="003C36C3"/>
    <w:rsid w:val="003C4AAA"/>
    <w:rsid w:val="003C7129"/>
    <w:rsid w:val="003D0F4D"/>
    <w:rsid w:val="003D55FA"/>
    <w:rsid w:val="003D5B0D"/>
    <w:rsid w:val="003D6F14"/>
    <w:rsid w:val="003E0499"/>
    <w:rsid w:val="003E1A3B"/>
    <w:rsid w:val="003E63A3"/>
    <w:rsid w:val="003F3820"/>
    <w:rsid w:val="003F3941"/>
    <w:rsid w:val="0040225E"/>
    <w:rsid w:val="0040431C"/>
    <w:rsid w:val="00406575"/>
    <w:rsid w:val="00407D8F"/>
    <w:rsid w:val="00414C74"/>
    <w:rsid w:val="00421409"/>
    <w:rsid w:val="00422F5F"/>
    <w:rsid w:val="0042722E"/>
    <w:rsid w:val="004309DC"/>
    <w:rsid w:val="00430C1B"/>
    <w:rsid w:val="0043229F"/>
    <w:rsid w:val="00432530"/>
    <w:rsid w:val="00441048"/>
    <w:rsid w:val="004423E6"/>
    <w:rsid w:val="00445026"/>
    <w:rsid w:val="0044528D"/>
    <w:rsid w:val="00452DB4"/>
    <w:rsid w:val="00453070"/>
    <w:rsid w:val="00455BF1"/>
    <w:rsid w:val="004630AE"/>
    <w:rsid w:val="00472F0E"/>
    <w:rsid w:val="00474414"/>
    <w:rsid w:val="00476920"/>
    <w:rsid w:val="00476AF9"/>
    <w:rsid w:val="00492A6D"/>
    <w:rsid w:val="004A06AA"/>
    <w:rsid w:val="004A1847"/>
    <w:rsid w:val="004A305D"/>
    <w:rsid w:val="004A781E"/>
    <w:rsid w:val="004A78C3"/>
    <w:rsid w:val="004B0AF9"/>
    <w:rsid w:val="004B69DB"/>
    <w:rsid w:val="004C0274"/>
    <w:rsid w:val="004C0B92"/>
    <w:rsid w:val="004C0D70"/>
    <w:rsid w:val="004C3FD5"/>
    <w:rsid w:val="004C5E8A"/>
    <w:rsid w:val="004D074C"/>
    <w:rsid w:val="004D0E73"/>
    <w:rsid w:val="004D1700"/>
    <w:rsid w:val="004D1D87"/>
    <w:rsid w:val="004E3C6E"/>
    <w:rsid w:val="004F21C4"/>
    <w:rsid w:val="004F685F"/>
    <w:rsid w:val="004F73C2"/>
    <w:rsid w:val="00500578"/>
    <w:rsid w:val="00501D4D"/>
    <w:rsid w:val="0051328F"/>
    <w:rsid w:val="00513AE4"/>
    <w:rsid w:val="0051716D"/>
    <w:rsid w:val="005207AF"/>
    <w:rsid w:val="00532183"/>
    <w:rsid w:val="0053303E"/>
    <w:rsid w:val="00541491"/>
    <w:rsid w:val="00543064"/>
    <w:rsid w:val="00546EB3"/>
    <w:rsid w:val="005566E8"/>
    <w:rsid w:val="00562CCD"/>
    <w:rsid w:val="005635DE"/>
    <w:rsid w:val="00563E43"/>
    <w:rsid w:val="00574867"/>
    <w:rsid w:val="0058263C"/>
    <w:rsid w:val="00583EC1"/>
    <w:rsid w:val="00584F0C"/>
    <w:rsid w:val="00584F28"/>
    <w:rsid w:val="00586289"/>
    <w:rsid w:val="00586625"/>
    <w:rsid w:val="00591460"/>
    <w:rsid w:val="005934BE"/>
    <w:rsid w:val="005A1A89"/>
    <w:rsid w:val="005A6F04"/>
    <w:rsid w:val="005B06A5"/>
    <w:rsid w:val="005B3816"/>
    <w:rsid w:val="005B384D"/>
    <w:rsid w:val="005B6471"/>
    <w:rsid w:val="005B7AE7"/>
    <w:rsid w:val="005C1B82"/>
    <w:rsid w:val="005C3777"/>
    <w:rsid w:val="005C3AEE"/>
    <w:rsid w:val="005C5CDC"/>
    <w:rsid w:val="005D476C"/>
    <w:rsid w:val="005D56AE"/>
    <w:rsid w:val="005D7F81"/>
    <w:rsid w:val="005E62C2"/>
    <w:rsid w:val="005E7CDE"/>
    <w:rsid w:val="005F019E"/>
    <w:rsid w:val="005F1597"/>
    <w:rsid w:val="005F169B"/>
    <w:rsid w:val="00601C45"/>
    <w:rsid w:val="00602226"/>
    <w:rsid w:val="0061165D"/>
    <w:rsid w:val="00616972"/>
    <w:rsid w:val="00617545"/>
    <w:rsid w:val="006219F8"/>
    <w:rsid w:val="00624859"/>
    <w:rsid w:val="006328BE"/>
    <w:rsid w:val="00633647"/>
    <w:rsid w:val="006408CA"/>
    <w:rsid w:val="00641B3D"/>
    <w:rsid w:val="00644E62"/>
    <w:rsid w:val="00647D4F"/>
    <w:rsid w:val="00652E20"/>
    <w:rsid w:val="00654086"/>
    <w:rsid w:val="006552FA"/>
    <w:rsid w:val="00665D70"/>
    <w:rsid w:val="00667048"/>
    <w:rsid w:val="0067231A"/>
    <w:rsid w:val="0067427A"/>
    <w:rsid w:val="00681227"/>
    <w:rsid w:val="00684FA5"/>
    <w:rsid w:val="006900D9"/>
    <w:rsid w:val="00690765"/>
    <w:rsid w:val="00690772"/>
    <w:rsid w:val="00691A81"/>
    <w:rsid w:val="006B2B39"/>
    <w:rsid w:val="006B596D"/>
    <w:rsid w:val="006C2F0D"/>
    <w:rsid w:val="006C345D"/>
    <w:rsid w:val="006C6022"/>
    <w:rsid w:val="006C63B3"/>
    <w:rsid w:val="006C6599"/>
    <w:rsid w:val="006D09C0"/>
    <w:rsid w:val="006D19B1"/>
    <w:rsid w:val="006D616C"/>
    <w:rsid w:val="006D6EAE"/>
    <w:rsid w:val="006D72B8"/>
    <w:rsid w:val="006E03EB"/>
    <w:rsid w:val="006E0405"/>
    <w:rsid w:val="006E21C3"/>
    <w:rsid w:val="006F091A"/>
    <w:rsid w:val="006F503B"/>
    <w:rsid w:val="006F5D2A"/>
    <w:rsid w:val="006F6FD1"/>
    <w:rsid w:val="0070058B"/>
    <w:rsid w:val="00706C16"/>
    <w:rsid w:val="00712AA4"/>
    <w:rsid w:val="00716CC6"/>
    <w:rsid w:val="0071760D"/>
    <w:rsid w:val="007236CC"/>
    <w:rsid w:val="00726727"/>
    <w:rsid w:val="007303FF"/>
    <w:rsid w:val="00741F35"/>
    <w:rsid w:val="00743139"/>
    <w:rsid w:val="0075512C"/>
    <w:rsid w:val="00756841"/>
    <w:rsid w:val="00761357"/>
    <w:rsid w:val="007649AB"/>
    <w:rsid w:val="00771D0C"/>
    <w:rsid w:val="00773A82"/>
    <w:rsid w:val="007833AC"/>
    <w:rsid w:val="00785750"/>
    <w:rsid w:val="00787EC3"/>
    <w:rsid w:val="00792541"/>
    <w:rsid w:val="007A15EE"/>
    <w:rsid w:val="007A7875"/>
    <w:rsid w:val="007B268C"/>
    <w:rsid w:val="007B527A"/>
    <w:rsid w:val="007B7171"/>
    <w:rsid w:val="007C0C0F"/>
    <w:rsid w:val="007C3DC2"/>
    <w:rsid w:val="007C5FD5"/>
    <w:rsid w:val="007E0A50"/>
    <w:rsid w:val="007E3FCB"/>
    <w:rsid w:val="007E4394"/>
    <w:rsid w:val="007E46FF"/>
    <w:rsid w:val="007E5497"/>
    <w:rsid w:val="007E7E19"/>
    <w:rsid w:val="007F0054"/>
    <w:rsid w:val="007F0824"/>
    <w:rsid w:val="007F4B16"/>
    <w:rsid w:val="007F7216"/>
    <w:rsid w:val="00802C8C"/>
    <w:rsid w:val="00802F73"/>
    <w:rsid w:val="00806F5F"/>
    <w:rsid w:val="00820278"/>
    <w:rsid w:val="008437D4"/>
    <w:rsid w:val="00856169"/>
    <w:rsid w:val="0086755E"/>
    <w:rsid w:val="00867F95"/>
    <w:rsid w:val="008714AC"/>
    <w:rsid w:val="0088209A"/>
    <w:rsid w:val="00882EC0"/>
    <w:rsid w:val="008843B6"/>
    <w:rsid w:val="00890CCA"/>
    <w:rsid w:val="00891928"/>
    <w:rsid w:val="008965AC"/>
    <w:rsid w:val="008A39C3"/>
    <w:rsid w:val="008A4229"/>
    <w:rsid w:val="008A42A6"/>
    <w:rsid w:val="008A446D"/>
    <w:rsid w:val="008A5B5E"/>
    <w:rsid w:val="008C02EE"/>
    <w:rsid w:val="008C39CA"/>
    <w:rsid w:val="008D180B"/>
    <w:rsid w:val="008D2724"/>
    <w:rsid w:val="008D7FD9"/>
    <w:rsid w:val="008E0FC9"/>
    <w:rsid w:val="008E2CB2"/>
    <w:rsid w:val="008F0EA7"/>
    <w:rsid w:val="00906E6A"/>
    <w:rsid w:val="00912ED1"/>
    <w:rsid w:val="00913F15"/>
    <w:rsid w:val="00917FE8"/>
    <w:rsid w:val="00923E8E"/>
    <w:rsid w:val="00923EEF"/>
    <w:rsid w:val="009265FA"/>
    <w:rsid w:val="00933A33"/>
    <w:rsid w:val="009341E4"/>
    <w:rsid w:val="009413A4"/>
    <w:rsid w:val="009419F9"/>
    <w:rsid w:val="00941C3E"/>
    <w:rsid w:val="009421F7"/>
    <w:rsid w:val="0095685E"/>
    <w:rsid w:val="009579E6"/>
    <w:rsid w:val="00960C09"/>
    <w:rsid w:val="00961B09"/>
    <w:rsid w:val="00965334"/>
    <w:rsid w:val="00967A95"/>
    <w:rsid w:val="0097093E"/>
    <w:rsid w:val="009715C6"/>
    <w:rsid w:val="009743D0"/>
    <w:rsid w:val="009802F3"/>
    <w:rsid w:val="009864AC"/>
    <w:rsid w:val="00986AC5"/>
    <w:rsid w:val="00990018"/>
    <w:rsid w:val="00994649"/>
    <w:rsid w:val="009A0A10"/>
    <w:rsid w:val="009A0DFA"/>
    <w:rsid w:val="009A37FD"/>
    <w:rsid w:val="009A5559"/>
    <w:rsid w:val="009A6512"/>
    <w:rsid w:val="009B2D26"/>
    <w:rsid w:val="009B36D3"/>
    <w:rsid w:val="009C23B4"/>
    <w:rsid w:val="009C3B8A"/>
    <w:rsid w:val="009C4576"/>
    <w:rsid w:val="009C6E09"/>
    <w:rsid w:val="009C71FA"/>
    <w:rsid w:val="009C72E7"/>
    <w:rsid w:val="009D3058"/>
    <w:rsid w:val="009E0E25"/>
    <w:rsid w:val="009E291B"/>
    <w:rsid w:val="009E3024"/>
    <w:rsid w:val="009E53E7"/>
    <w:rsid w:val="009E5DD7"/>
    <w:rsid w:val="009E71B3"/>
    <w:rsid w:val="009F3A13"/>
    <w:rsid w:val="00A063E0"/>
    <w:rsid w:val="00A10C8A"/>
    <w:rsid w:val="00A11385"/>
    <w:rsid w:val="00A122D3"/>
    <w:rsid w:val="00A14A60"/>
    <w:rsid w:val="00A17F13"/>
    <w:rsid w:val="00A20739"/>
    <w:rsid w:val="00A22312"/>
    <w:rsid w:val="00A27CF0"/>
    <w:rsid w:val="00A31D52"/>
    <w:rsid w:val="00A33C78"/>
    <w:rsid w:val="00A54B54"/>
    <w:rsid w:val="00A55830"/>
    <w:rsid w:val="00A71116"/>
    <w:rsid w:val="00A77943"/>
    <w:rsid w:val="00A8370F"/>
    <w:rsid w:val="00A874E5"/>
    <w:rsid w:val="00A903FB"/>
    <w:rsid w:val="00A962DF"/>
    <w:rsid w:val="00AA2262"/>
    <w:rsid w:val="00AA3264"/>
    <w:rsid w:val="00AA732D"/>
    <w:rsid w:val="00AA7588"/>
    <w:rsid w:val="00AB0ADB"/>
    <w:rsid w:val="00AB3F48"/>
    <w:rsid w:val="00AB6C60"/>
    <w:rsid w:val="00AB7109"/>
    <w:rsid w:val="00AC046C"/>
    <w:rsid w:val="00AC53CD"/>
    <w:rsid w:val="00AD3276"/>
    <w:rsid w:val="00AD5103"/>
    <w:rsid w:val="00AD5455"/>
    <w:rsid w:val="00AE1400"/>
    <w:rsid w:val="00AF682E"/>
    <w:rsid w:val="00B01B1A"/>
    <w:rsid w:val="00B16A84"/>
    <w:rsid w:val="00B17883"/>
    <w:rsid w:val="00B212A6"/>
    <w:rsid w:val="00B22943"/>
    <w:rsid w:val="00B35C1E"/>
    <w:rsid w:val="00B5572B"/>
    <w:rsid w:val="00B6347E"/>
    <w:rsid w:val="00B66319"/>
    <w:rsid w:val="00B66EB6"/>
    <w:rsid w:val="00B72CD3"/>
    <w:rsid w:val="00B72FFF"/>
    <w:rsid w:val="00B740CC"/>
    <w:rsid w:val="00B81C6C"/>
    <w:rsid w:val="00B9416D"/>
    <w:rsid w:val="00B97680"/>
    <w:rsid w:val="00BA200C"/>
    <w:rsid w:val="00BC1BFA"/>
    <w:rsid w:val="00BC3D36"/>
    <w:rsid w:val="00BD4172"/>
    <w:rsid w:val="00BD7F72"/>
    <w:rsid w:val="00BF7E8D"/>
    <w:rsid w:val="00C02552"/>
    <w:rsid w:val="00C04FB3"/>
    <w:rsid w:val="00C06BB3"/>
    <w:rsid w:val="00C11A19"/>
    <w:rsid w:val="00C172B2"/>
    <w:rsid w:val="00C20404"/>
    <w:rsid w:val="00C21FED"/>
    <w:rsid w:val="00C3130D"/>
    <w:rsid w:val="00C320E3"/>
    <w:rsid w:val="00C330EB"/>
    <w:rsid w:val="00C3464F"/>
    <w:rsid w:val="00C41061"/>
    <w:rsid w:val="00C501C0"/>
    <w:rsid w:val="00C515CA"/>
    <w:rsid w:val="00C51992"/>
    <w:rsid w:val="00C73E69"/>
    <w:rsid w:val="00C754BE"/>
    <w:rsid w:val="00C76B1C"/>
    <w:rsid w:val="00C8156A"/>
    <w:rsid w:val="00C852F9"/>
    <w:rsid w:val="00C90917"/>
    <w:rsid w:val="00C93C99"/>
    <w:rsid w:val="00C96B85"/>
    <w:rsid w:val="00CA3D18"/>
    <w:rsid w:val="00CB2A9C"/>
    <w:rsid w:val="00CB6357"/>
    <w:rsid w:val="00CC11DE"/>
    <w:rsid w:val="00CC1B26"/>
    <w:rsid w:val="00CC269B"/>
    <w:rsid w:val="00CD064A"/>
    <w:rsid w:val="00CD266F"/>
    <w:rsid w:val="00CE7ED0"/>
    <w:rsid w:val="00CF1337"/>
    <w:rsid w:val="00CF5359"/>
    <w:rsid w:val="00D00EBA"/>
    <w:rsid w:val="00D04A9C"/>
    <w:rsid w:val="00D12D36"/>
    <w:rsid w:val="00D2052E"/>
    <w:rsid w:val="00D26820"/>
    <w:rsid w:val="00D35971"/>
    <w:rsid w:val="00D423A2"/>
    <w:rsid w:val="00D43EB2"/>
    <w:rsid w:val="00D45DA8"/>
    <w:rsid w:val="00D520D8"/>
    <w:rsid w:val="00D55BAB"/>
    <w:rsid w:val="00D561CB"/>
    <w:rsid w:val="00D56F4F"/>
    <w:rsid w:val="00D5791F"/>
    <w:rsid w:val="00D61B31"/>
    <w:rsid w:val="00D63826"/>
    <w:rsid w:val="00D63AC2"/>
    <w:rsid w:val="00D7383B"/>
    <w:rsid w:val="00D91429"/>
    <w:rsid w:val="00DA0074"/>
    <w:rsid w:val="00DA1565"/>
    <w:rsid w:val="00DA231B"/>
    <w:rsid w:val="00DC19C9"/>
    <w:rsid w:val="00DC39FC"/>
    <w:rsid w:val="00DC523B"/>
    <w:rsid w:val="00DC72C6"/>
    <w:rsid w:val="00DD39EC"/>
    <w:rsid w:val="00DD40BD"/>
    <w:rsid w:val="00DE2F2B"/>
    <w:rsid w:val="00DF434A"/>
    <w:rsid w:val="00DF5254"/>
    <w:rsid w:val="00DF69CD"/>
    <w:rsid w:val="00DF73E7"/>
    <w:rsid w:val="00E04BA6"/>
    <w:rsid w:val="00E04CA8"/>
    <w:rsid w:val="00E108E9"/>
    <w:rsid w:val="00E11045"/>
    <w:rsid w:val="00E153D6"/>
    <w:rsid w:val="00E16408"/>
    <w:rsid w:val="00E20894"/>
    <w:rsid w:val="00E20CCC"/>
    <w:rsid w:val="00E23E59"/>
    <w:rsid w:val="00E245AB"/>
    <w:rsid w:val="00E26FB4"/>
    <w:rsid w:val="00E2764C"/>
    <w:rsid w:val="00E27F2E"/>
    <w:rsid w:val="00E409D0"/>
    <w:rsid w:val="00E50AFE"/>
    <w:rsid w:val="00E5171C"/>
    <w:rsid w:val="00E549DE"/>
    <w:rsid w:val="00E66020"/>
    <w:rsid w:val="00E75C92"/>
    <w:rsid w:val="00E771DC"/>
    <w:rsid w:val="00E8772A"/>
    <w:rsid w:val="00E90F6B"/>
    <w:rsid w:val="00E92C27"/>
    <w:rsid w:val="00E97991"/>
    <w:rsid w:val="00EA0087"/>
    <w:rsid w:val="00EA0E3D"/>
    <w:rsid w:val="00EA534F"/>
    <w:rsid w:val="00EA7530"/>
    <w:rsid w:val="00EB18F4"/>
    <w:rsid w:val="00EC38A7"/>
    <w:rsid w:val="00EC3BA0"/>
    <w:rsid w:val="00ED7384"/>
    <w:rsid w:val="00EE1AA8"/>
    <w:rsid w:val="00EE60C0"/>
    <w:rsid w:val="00EE7869"/>
    <w:rsid w:val="00EF527A"/>
    <w:rsid w:val="00EF6811"/>
    <w:rsid w:val="00EF6A02"/>
    <w:rsid w:val="00F05337"/>
    <w:rsid w:val="00F202C3"/>
    <w:rsid w:val="00F22715"/>
    <w:rsid w:val="00F25D80"/>
    <w:rsid w:val="00F25FC1"/>
    <w:rsid w:val="00F31EDC"/>
    <w:rsid w:val="00F34A6F"/>
    <w:rsid w:val="00F358DF"/>
    <w:rsid w:val="00F36F1D"/>
    <w:rsid w:val="00F37603"/>
    <w:rsid w:val="00F379A9"/>
    <w:rsid w:val="00F4550A"/>
    <w:rsid w:val="00F4607D"/>
    <w:rsid w:val="00F462B3"/>
    <w:rsid w:val="00F55D00"/>
    <w:rsid w:val="00F5664F"/>
    <w:rsid w:val="00F61E10"/>
    <w:rsid w:val="00F621CD"/>
    <w:rsid w:val="00F62E53"/>
    <w:rsid w:val="00F666C4"/>
    <w:rsid w:val="00F67C44"/>
    <w:rsid w:val="00F76AFC"/>
    <w:rsid w:val="00F77A25"/>
    <w:rsid w:val="00F81804"/>
    <w:rsid w:val="00FA47C0"/>
    <w:rsid w:val="00FA51AF"/>
    <w:rsid w:val="00FA6796"/>
    <w:rsid w:val="00FA6B64"/>
    <w:rsid w:val="00FB01E9"/>
    <w:rsid w:val="00FB0E5E"/>
    <w:rsid w:val="00FB2940"/>
    <w:rsid w:val="00FB3F2B"/>
    <w:rsid w:val="00FB49A5"/>
    <w:rsid w:val="00FB5DD1"/>
    <w:rsid w:val="00FC16E7"/>
    <w:rsid w:val="00FC2B5D"/>
    <w:rsid w:val="00FC3BD8"/>
    <w:rsid w:val="00FD7ED5"/>
    <w:rsid w:val="00FE67E5"/>
    <w:rsid w:val="00FF06D4"/>
    <w:rsid w:val="00FF1449"/>
    <w:rsid w:val="00FF4667"/>
    <w:rsid w:val="165E9519"/>
    <w:rsid w:val="24A94D4A"/>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C09"/>
  </w:style>
  <w:style w:type="paragraph" w:styleId="Ttulo2">
    <w:name w:val="heading 2"/>
    <w:basedOn w:val="Normal"/>
    <w:next w:val="Normal"/>
    <w:link w:val="Ttulo2Car"/>
    <w:uiPriority w:val="9"/>
    <w:semiHidden/>
    <w:unhideWhenUsed/>
    <w:qFormat/>
    <w:rsid w:val="008437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3A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C3A39"/>
    <w:rPr>
      <w:rFonts w:ascii="Geomanist Light" w:hAnsi="Geomanist Light"/>
      <w:lang w:val="es-ES"/>
    </w:rPr>
  </w:style>
  <w:style w:type="character" w:customStyle="1" w:styleId="s15">
    <w:name w:val="s15"/>
    <w:basedOn w:val="Fuentedeprrafopredeter"/>
    <w:rsid w:val="001C3A39"/>
  </w:style>
  <w:style w:type="character" w:customStyle="1" w:styleId="apple-converted-space">
    <w:name w:val="apple-converted-space"/>
    <w:basedOn w:val="Fuentedeprrafopredeter"/>
    <w:rsid w:val="001C3A39"/>
  </w:style>
  <w:style w:type="paragraph" w:customStyle="1" w:styleId="s16">
    <w:name w:val="s16"/>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1C3A39"/>
  </w:style>
  <w:style w:type="paragraph" w:styleId="Textoindependiente">
    <w:name w:val="Body Text"/>
    <w:basedOn w:val="Normal"/>
    <w:link w:val="TextoindependienteCar"/>
    <w:uiPriority w:val="1"/>
    <w:qFormat/>
    <w:rsid w:val="001C3A39"/>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1C3A39"/>
    <w:rPr>
      <w:rFonts w:ascii="Verdana" w:eastAsia="Verdana" w:hAnsi="Verdana" w:cs="Verdana"/>
      <w:lang w:val="es-ES"/>
    </w:rPr>
  </w:style>
  <w:style w:type="character" w:styleId="Textoennegrita">
    <w:name w:val="Strong"/>
    <w:basedOn w:val="Fuentedeprrafopredeter"/>
    <w:uiPriority w:val="22"/>
    <w:qFormat/>
    <w:rsid w:val="004E3C6E"/>
    <w:rPr>
      <w:b/>
      <w:bCs/>
    </w:rPr>
  </w:style>
  <w:style w:type="character" w:customStyle="1" w:styleId="Ttulo2Car">
    <w:name w:val="Título 2 Car"/>
    <w:basedOn w:val="Fuentedeprrafopredeter"/>
    <w:link w:val="Ttulo2"/>
    <w:uiPriority w:val="9"/>
    <w:semiHidden/>
    <w:rsid w:val="008437D4"/>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Fuentedeprrafopredeter"/>
    <w:uiPriority w:val="99"/>
    <w:semiHidden/>
    <w:unhideWhenUsed/>
    <w:rsid w:val="00AA22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8126">
      <w:bodyDiv w:val="1"/>
      <w:marLeft w:val="0"/>
      <w:marRight w:val="0"/>
      <w:marTop w:val="0"/>
      <w:marBottom w:val="0"/>
      <w:divBdr>
        <w:top w:val="none" w:sz="0" w:space="0" w:color="auto"/>
        <w:left w:val="none" w:sz="0" w:space="0" w:color="auto"/>
        <w:bottom w:val="none" w:sz="0" w:space="0" w:color="auto"/>
        <w:right w:val="none" w:sz="0" w:space="0" w:color="auto"/>
      </w:divBdr>
    </w:div>
    <w:div w:id="35685334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4336393">
      <w:bodyDiv w:val="1"/>
      <w:marLeft w:val="0"/>
      <w:marRight w:val="0"/>
      <w:marTop w:val="0"/>
      <w:marBottom w:val="0"/>
      <w:divBdr>
        <w:top w:val="none" w:sz="0" w:space="0" w:color="auto"/>
        <w:left w:val="none" w:sz="0" w:space="0" w:color="auto"/>
        <w:bottom w:val="none" w:sz="0" w:space="0" w:color="auto"/>
        <w:right w:val="none" w:sz="0" w:space="0" w:color="auto"/>
      </w:divBdr>
    </w:div>
    <w:div w:id="1460801822">
      <w:bodyDiv w:val="1"/>
      <w:marLeft w:val="0"/>
      <w:marRight w:val="0"/>
      <w:marTop w:val="0"/>
      <w:marBottom w:val="0"/>
      <w:divBdr>
        <w:top w:val="none" w:sz="0" w:space="0" w:color="auto"/>
        <w:left w:val="none" w:sz="0" w:space="0" w:color="auto"/>
        <w:bottom w:val="none" w:sz="0" w:space="0" w:color="auto"/>
        <w:right w:val="none" w:sz="0" w:space="0" w:color="auto"/>
      </w:divBdr>
    </w:div>
    <w:div w:id="1754933804">
      <w:bodyDiv w:val="1"/>
      <w:marLeft w:val="0"/>
      <w:marRight w:val="0"/>
      <w:marTop w:val="0"/>
      <w:marBottom w:val="0"/>
      <w:divBdr>
        <w:top w:val="none" w:sz="0" w:space="0" w:color="auto"/>
        <w:left w:val="none" w:sz="0" w:space="0" w:color="auto"/>
        <w:bottom w:val="none" w:sz="0" w:space="0" w:color="auto"/>
        <w:right w:val="none" w:sz="0" w:space="0" w:color="auto"/>
      </w:divBdr>
    </w:div>
    <w:div w:id="1799689479">
      <w:bodyDiv w:val="1"/>
      <w:marLeft w:val="0"/>
      <w:marRight w:val="0"/>
      <w:marTop w:val="0"/>
      <w:marBottom w:val="0"/>
      <w:divBdr>
        <w:top w:val="none" w:sz="0" w:space="0" w:color="auto"/>
        <w:left w:val="none" w:sz="0" w:space="0" w:color="auto"/>
        <w:bottom w:val="none" w:sz="0" w:space="0" w:color="auto"/>
        <w:right w:val="none" w:sz="0" w:space="0" w:color="auto"/>
      </w:divBdr>
    </w:div>
    <w:div w:id="1843813191">
      <w:bodyDiv w:val="1"/>
      <w:marLeft w:val="0"/>
      <w:marRight w:val="0"/>
      <w:marTop w:val="0"/>
      <w:marBottom w:val="0"/>
      <w:divBdr>
        <w:top w:val="none" w:sz="0" w:space="0" w:color="auto"/>
        <w:left w:val="none" w:sz="0" w:space="0" w:color="auto"/>
        <w:bottom w:val="none" w:sz="0" w:space="0" w:color="auto"/>
        <w:right w:val="none" w:sz="0" w:space="0" w:color="auto"/>
      </w:divBdr>
    </w:div>
    <w:div w:id="1853715482">
      <w:bodyDiv w:val="1"/>
      <w:marLeft w:val="0"/>
      <w:marRight w:val="0"/>
      <w:marTop w:val="0"/>
      <w:marBottom w:val="0"/>
      <w:divBdr>
        <w:top w:val="none" w:sz="0" w:space="0" w:color="auto"/>
        <w:left w:val="none" w:sz="0" w:space="0" w:color="auto"/>
        <w:bottom w:val="none" w:sz="0" w:space="0" w:color="auto"/>
        <w:right w:val="none" w:sz="0" w:space="0" w:color="auto"/>
      </w:divBdr>
    </w:div>
    <w:div w:id="195941137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dariog@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100F3E9-B3CD-482B-B127-3E55FA8B5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FA1FBC-DA25-478D-83A1-777C2C125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7401</Words>
  <Characters>40709</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48014</CharactersWithSpaces>
  <SharedDoc>false</SharedDoc>
  <HLinks>
    <vt:vector size="30" baseType="variant">
      <vt:variant>
        <vt:i4>6029407</vt:i4>
      </vt:variant>
      <vt:variant>
        <vt:i4>9</vt:i4>
      </vt:variant>
      <vt:variant>
        <vt:i4>0</vt:i4>
      </vt:variant>
      <vt:variant>
        <vt:i4>5</vt:i4>
      </vt:variant>
      <vt:variant>
        <vt:lpwstr>http://www.colombiacompra.gov.co/</vt:lpwstr>
      </vt:variant>
      <vt:variant>
        <vt:lpwstr/>
      </vt: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7929935</vt:i4>
      </vt:variant>
      <vt:variant>
        <vt:i4>0</vt:i4>
      </vt:variant>
      <vt:variant>
        <vt:i4>0</vt:i4>
      </vt:variant>
      <vt:variant>
        <vt:i4>5</vt:i4>
      </vt:variant>
      <vt:variant>
        <vt:lpwstr>mailto:ivandariog@hotmail.com</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2025-08-26T02:16:00Z</dcterms:created>
  <dcterms:modified xsi:type="dcterms:W3CDTF">2025-08-26T02:16:00Z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