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5B242" w14:textId="77777777" w:rsidR="0056112B" w:rsidRPr="0056112B" w:rsidRDefault="0056112B" w:rsidP="0056112B">
      <w:pPr>
        <w:spacing w:after="0"/>
        <w:jc w:val="both"/>
        <w:rPr>
          <w:rFonts w:ascii="Verdana" w:eastAsia="Calibri" w:hAnsi="Verdana" w:cs="Times New Roman"/>
        </w:rPr>
      </w:pPr>
      <w:bookmarkStart w:id="0" w:name="_Hlk143780582"/>
      <w:r w:rsidRPr="0056112B">
        <w:rPr>
          <w:rFonts w:ascii="Verdana" w:eastAsia="Aptos" w:hAnsi="Verdana" w:cs="Arial"/>
          <w:b/>
          <w:color w:val="000000"/>
          <w:kern w:val="2"/>
          <w:lang w:val="es-ES_tradnl"/>
          <w14:ligatures w14:val="standardContextual"/>
        </w:rPr>
        <w:t>CAUSALES DE RECHAZO – Principio de legalidad – Configuración – Documentos Tipo</w:t>
      </w:r>
    </w:p>
    <w:p w14:paraId="2A2440EE" w14:textId="77777777" w:rsidR="0056112B" w:rsidRPr="0056112B" w:rsidRDefault="0056112B" w:rsidP="0056112B">
      <w:pPr>
        <w:spacing w:after="0" w:line="278" w:lineRule="auto"/>
        <w:jc w:val="both"/>
        <w:rPr>
          <w:rFonts w:ascii="Verdana" w:eastAsia="Aptos" w:hAnsi="Verdana" w:cs="Arial"/>
          <w:b/>
          <w:color w:val="000000"/>
          <w:kern w:val="2"/>
          <w:lang w:val="es-ES_tradnl"/>
          <w14:ligatures w14:val="standardContextual"/>
        </w:rPr>
      </w:pPr>
    </w:p>
    <w:p w14:paraId="4BDBB1B8" w14:textId="2B3652E4" w:rsidR="0056112B" w:rsidRPr="0056112B" w:rsidRDefault="0056112B" w:rsidP="0056112B">
      <w:pPr>
        <w:spacing w:after="0" w:line="240" w:lineRule="auto"/>
        <w:jc w:val="both"/>
        <w:rPr>
          <w:rFonts w:ascii="Verdana" w:eastAsia="Aptos" w:hAnsi="Verdana" w:cs="Arial"/>
          <w:bCs/>
          <w:color w:val="000000"/>
          <w:kern w:val="2"/>
          <w:sz w:val="20"/>
          <w:szCs w:val="20"/>
          <w:lang w:val="es-ES_tradnl"/>
          <w14:ligatures w14:val="standardContextual"/>
        </w:rPr>
      </w:pPr>
      <w:r w:rsidRPr="0056112B">
        <w:rPr>
          <w:rFonts w:ascii="Verdana" w:eastAsia="Aptos" w:hAnsi="Verdana" w:cs="Arial"/>
          <w:bCs/>
          <w:color w:val="000000"/>
          <w:kern w:val="2"/>
          <w:sz w:val="20"/>
          <w:szCs w:val="20"/>
          <w:lang w:val="es-ES_tradnl"/>
          <w14:ligatures w14:val="standardContextual"/>
        </w:rPr>
        <w:t xml:space="preserve">[…] </w:t>
      </w:r>
      <w:r w:rsidR="000F4716" w:rsidRPr="000F4716">
        <w:rPr>
          <w:rFonts w:ascii="Verdana" w:eastAsia="Aptos" w:hAnsi="Verdana" w:cs="Arial"/>
          <w:bCs/>
          <w:color w:val="000000"/>
          <w:kern w:val="2"/>
          <w:sz w:val="20"/>
          <w:szCs w:val="20"/>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463DAFB8" w14:textId="77777777" w:rsidR="0056112B" w:rsidRPr="0056112B" w:rsidRDefault="0056112B" w:rsidP="0056112B">
      <w:pPr>
        <w:spacing w:after="0" w:line="240" w:lineRule="auto"/>
        <w:jc w:val="both"/>
        <w:rPr>
          <w:rFonts w:ascii="Verdana" w:eastAsia="Aptos" w:hAnsi="Verdana" w:cs="Arial"/>
          <w:bCs/>
          <w:color w:val="000000"/>
          <w:kern w:val="2"/>
          <w:sz w:val="20"/>
          <w:szCs w:val="20"/>
          <w:lang w:val="es-ES_tradnl"/>
          <w14:ligatures w14:val="standardContextual"/>
        </w:rPr>
      </w:pPr>
      <w:r w:rsidRPr="0056112B">
        <w:rPr>
          <w:rFonts w:ascii="Verdana" w:eastAsia="Aptos" w:hAnsi="Verdana" w:cs="Arial"/>
          <w:bCs/>
          <w:color w:val="000000"/>
          <w:kern w:val="2"/>
          <w:sz w:val="20"/>
          <w:szCs w:val="20"/>
          <w:lang w:val="es-ES_tradnl"/>
          <w14:ligatures w14:val="standardContextual"/>
        </w:rPr>
        <w:t>[…]</w:t>
      </w:r>
    </w:p>
    <w:p w14:paraId="478AF172" w14:textId="7A232256" w:rsidR="0056112B" w:rsidRPr="0056112B" w:rsidRDefault="000F4716" w:rsidP="0056112B">
      <w:pPr>
        <w:spacing w:after="0" w:line="240" w:lineRule="auto"/>
        <w:jc w:val="both"/>
        <w:rPr>
          <w:rFonts w:ascii="Verdana" w:eastAsia="Aptos" w:hAnsi="Verdana" w:cs="Arial"/>
          <w:bCs/>
          <w:color w:val="000000"/>
          <w:kern w:val="2"/>
          <w:sz w:val="20"/>
          <w:szCs w:val="20"/>
          <w:lang w:val="es-ES_tradnl"/>
          <w14:ligatures w14:val="standardContextual"/>
        </w:rPr>
      </w:pPr>
      <w:r w:rsidRPr="000F4716">
        <w:rPr>
          <w:rFonts w:ascii="Verdana" w:eastAsia="Aptos" w:hAnsi="Verdana" w:cs="Arial"/>
          <w:bCs/>
          <w:color w:val="000000"/>
          <w:kern w:val="2"/>
          <w:sz w:val="20"/>
          <w:szCs w:val="20"/>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w:t>
      </w:r>
      <w:r>
        <w:rPr>
          <w:rFonts w:ascii="Verdana" w:eastAsia="Aptos" w:hAnsi="Verdana" w:cs="Arial"/>
          <w:bCs/>
          <w:color w:val="000000"/>
          <w:kern w:val="2"/>
          <w:sz w:val="20"/>
          <w:szCs w:val="20"/>
          <w:lang w:val="es-ES_tradnl"/>
          <w14:ligatures w14:val="standardContextual"/>
        </w:rPr>
        <w:t xml:space="preserve">: </w:t>
      </w:r>
      <w:r w:rsidR="0056112B" w:rsidRPr="0056112B">
        <w:rPr>
          <w:rFonts w:ascii="Verdana" w:eastAsia="Aptos" w:hAnsi="Verdana" w:cs="Arial"/>
          <w:bCs/>
          <w:color w:val="000000"/>
          <w:kern w:val="2"/>
          <w:sz w:val="20"/>
          <w:szCs w:val="20"/>
          <w:lang w:val="es-ES_tradnl"/>
          <w14:ligatures w14:val="standardContextual"/>
        </w:rPr>
        <w:t>[…]</w:t>
      </w:r>
    </w:p>
    <w:p w14:paraId="385D86D2" w14:textId="77777777" w:rsidR="0056112B" w:rsidRPr="0056112B" w:rsidRDefault="0056112B" w:rsidP="0056112B">
      <w:pPr>
        <w:spacing w:after="0" w:line="278" w:lineRule="auto"/>
        <w:jc w:val="both"/>
        <w:rPr>
          <w:rFonts w:ascii="Verdana" w:eastAsia="Aptos" w:hAnsi="Verdana" w:cs="Arial"/>
          <w:b/>
          <w:color w:val="000000"/>
          <w:kern w:val="2"/>
          <w:lang w:val="es-ES_tradnl"/>
          <w14:ligatures w14:val="standardContextual"/>
        </w:rPr>
      </w:pPr>
    </w:p>
    <w:p w14:paraId="7709E90C" w14:textId="77777777" w:rsidR="0056112B" w:rsidRPr="0056112B" w:rsidRDefault="0056112B" w:rsidP="0056112B">
      <w:pPr>
        <w:spacing w:after="0" w:line="276" w:lineRule="auto"/>
        <w:jc w:val="both"/>
        <w:rPr>
          <w:rFonts w:ascii="Verdana" w:eastAsia="Aptos" w:hAnsi="Verdana" w:cs="Times New Roman"/>
          <w:kern w:val="2"/>
          <w14:ligatures w14:val="standardContextual"/>
        </w:rPr>
      </w:pPr>
      <w:r w:rsidRPr="0056112B">
        <w:rPr>
          <w:rFonts w:ascii="Verdana" w:eastAsia="Aptos" w:hAnsi="Verdana" w:cs="Arial"/>
          <w:b/>
          <w:color w:val="000000"/>
          <w:kern w:val="2"/>
          <w:lang w:val="es-ES_tradnl"/>
          <w14:ligatures w14:val="standardContextual"/>
        </w:rPr>
        <w:t>DOCUMENTOS TIPO – Infraestructura de transporte – Versión 4 – Causal de rechazo del literal B – Presentación de distintas propuestas</w:t>
      </w:r>
    </w:p>
    <w:p w14:paraId="523E6B7E" w14:textId="77777777" w:rsidR="0056112B" w:rsidRPr="0056112B" w:rsidRDefault="0056112B" w:rsidP="0056112B">
      <w:pPr>
        <w:spacing w:after="0" w:line="240" w:lineRule="auto"/>
        <w:rPr>
          <w:rFonts w:ascii="Verdana" w:eastAsia="Geomanist Light" w:hAnsi="Verdana" w:cs="Arial"/>
          <w:lang w:val="es-ES_tradnl"/>
        </w:rPr>
      </w:pPr>
    </w:p>
    <w:p w14:paraId="339379EF" w14:textId="4BBDF4EE" w:rsidR="000F4716" w:rsidRDefault="000F4716" w:rsidP="000F4716">
      <w:pPr>
        <w:shd w:val="clear" w:color="auto" w:fill="FFFFFF"/>
        <w:spacing w:after="0" w:line="240" w:lineRule="auto"/>
        <w:jc w:val="both"/>
        <w:textAlignment w:val="baseline"/>
        <w:rPr>
          <w:rFonts w:ascii="Verdana" w:eastAsia="Aptos" w:hAnsi="Verdana" w:cs="Arial"/>
          <w:color w:val="000000"/>
          <w:kern w:val="2"/>
          <w:sz w:val="20"/>
          <w:szCs w:val="20"/>
          <w:lang w:val="es-ES"/>
          <w14:ligatures w14:val="standardContextual"/>
        </w:rPr>
      </w:pPr>
      <w:r w:rsidRPr="000F4716">
        <w:rPr>
          <w:rFonts w:ascii="Verdana" w:eastAsia="Aptos" w:hAnsi="Verdana" w:cs="Arial"/>
          <w:color w:val="000000"/>
          <w:kern w:val="2"/>
          <w:sz w:val="20"/>
          <w:szCs w:val="20"/>
          <w:lang w:val="es-ES"/>
          <w14:ligatures w14:val="standardContextual"/>
        </w:rPr>
        <w:t>Al respecto, es necesario resaltar que la causal de rechazo contenida en el literal B del numeral 1.15 –causales de rechazo– del documento tipo indicado, está prevista para propuestas distintas presentadas por un mismo proponente, escenario que no admite aclaración por parte de la entidad estatal y da lugar al rechazo justificado de las ofertas involucradas.</w:t>
      </w:r>
    </w:p>
    <w:p w14:paraId="72CF2A2A" w14:textId="77777777" w:rsidR="000F4716" w:rsidRPr="000F4716" w:rsidRDefault="000F4716" w:rsidP="000F4716">
      <w:pPr>
        <w:shd w:val="clear" w:color="auto" w:fill="FFFFFF"/>
        <w:spacing w:after="0" w:line="240" w:lineRule="auto"/>
        <w:jc w:val="both"/>
        <w:textAlignment w:val="baseline"/>
        <w:rPr>
          <w:rFonts w:ascii="Verdana" w:eastAsia="Aptos" w:hAnsi="Verdana" w:cs="Arial"/>
          <w:color w:val="000000"/>
          <w:kern w:val="2"/>
          <w:sz w:val="20"/>
          <w:szCs w:val="20"/>
          <w:lang w:val="es-ES"/>
          <w14:ligatures w14:val="standardContextual"/>
        </w:rPr>
      </w:pPr>
    </w:p>
    <w:p w14:paraId="653566C5" w14:textId="3BB98D9B" w:rsidR="0056112B" w:rsidRPr="0056112B" w:rsidRDefault="000F4716" w:rsidP="000F4716">
      <w:pPr>
        <w:shd w:val="clear" w:color="auto" w:fill="FFFFFF"/>
        <w:spacing w:after="0" w:line="240" w:lineRule="auto"/>
        <w:jc w:val="both"/>
        <w:textAlignment w:val="baseline"/>
        <w:rPr>
          <w:rFonts w:ascii="Verdana" w:eastAsia="Aptos" w:hAnsi="Verdana" w:cs="Arial"/>
          <w:color w:val="000000"/>
          <w:kern w:val="2"/>
          <w:sz w:val="20"/>
          <w:szCs w:val="20"/>
          <w:lang w:val="es-ES"/>
          <w14:ligatures w14:val="standardContextual"/>
        </w:rPr>
      </w:pPr>
      <w:r w:rsidRPr="000F4716">
        <w:rPr>
          <w:rFonts w:ascii="Verdana" w:eastAsia="Aptos" w:hAnsi="Verdana" w:cs="Arial"/>
          <w:color w:val="000000"/>
          <w:kern w:val="2"/>
          <w:sz w:val="20"/>
          <w:szCs w:val="20"/>
          <w:lang w:val="es-ES"/>
          <w14:ligatures w14:val="standardContextual"/>
        </w:rPr>
        <w:t xml:space="preserve">En ese sentido, es importante señalar que la causal distingue de si se trata de un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000F4716">
        <w:rPr>
          <w:rFonts w:ascii="Verdana" w:eastAsia="Aptos" w:hAnsi="Verdana" w:cs="Arial"/>
          <w:color w:val="000000"/>
          <w:kern w:val="2"/>
          <w:sz w:val="20"/>
          <w:szCs w:val="20"/>
          <w:lang w:val="es-ES"/>
          <w14:ligatures w14:val="standardContextual"/>
        </w:rPr>
        <w:t>ii</w:t>
      </w:r>
      <w:proofErr w:type="spellEnd"/>
      <w:r w:rsidRPr="000F4716">
        <w:rPr>
          <w:rFonts w:ascii="Verdana" w:eastAsia="Aptos" w:hAnsi="Verdana" w:cs="Arial"/>
          <w:color w:val="000000"/>
          <w:kern w:val="2"/>
          <w:sz w:val="20"/>
          <w:szCs w:val="20"/>
          <w:lang w:val="es-ES"/>
          <w14:ligatures w14:val="standardContextual"/>
        </w:rPr>
        <w:t>) un mismo integrante de una estructura plural es oferente o hace parte en más de una oferta en el mismo proceso de contratación.</w:t>
      </w:r>
    </w:p>
    <w:p w14:paraId="4CB470C7" w14:textId="77777777" w:rsidR="0056112B" w:rsidRPr="0056112B" w:rsidRDefault="0056112B" w:rsidP="0056112B">
      <w:pPr>
        <w:spacing w:after="0" w:line="240" w:lineRule="auto"/>
        <w:rPr>
          <w:rFonts w:ascii="Verdana" w:eastAsia="Geomanist Light" w:hAnsi="Verdana" w:cs="Arial"/>
          <w:lang w:val="es-ES_tradnl"/>
        </w:rPr>
      </w:pPr>
    </w:p>
    <w:p w14:paraId="41575AA2" w14:textId="77777777" w:rsidR="0056112B" w:rsidRPr="0056112B" w:rsidRDefault="0056112B" w:rsidP="0056112B">
      <w:pPr>
        <w:spacing w:after="0" w:line="276" w:lineRule="auto"/>
        <w:jc w:val="both"/>
        <w:rPr>
          <w:rFonts w:ascii="Verdana" w:eastAsia="Calibri" w:hAnsi="Verdana" w:cs="Arial"/>
          <w:b/>
          <w:bCs/>
          <w:color w:val="000000"/>
          <w:kern w:val="2"/>
          <w:lang w:val="es-ES_tradnl"/>
          <w14:ligatures w14:val="standardContextual"/>
        </w:rPr>
      </w:pPr>
      <w:r w:rsidRPr="0056112B">
        <w:rPr>
          <w:rFonts w:ascii="Verdana" w:eastAsia="Calibri" w:hAnsi="Verdana" w:cs="Arial"/>
          <w:b/>
          <w:bCs/>
          <w:color w:val="000000"/>
          <w:kern w:val="2"/>
          <w:lang w:val="es-ES_tradnl"/>
          <w14:ligatures w14:val="standardContextual"/>
        </w:rPr>
        <w:t xml:space="preserve">INHABILIDADES E INCOMPATIBILIDADES </w:t>
      </w:r>
      <w:r w:rsidRPr="0056112B">
        <w:rPr>
          <w:rFonts w:ascii="Verdana" w:eastAsia="Calibri" w:hAnsi="Verdana" w:cs="Arial"/>
          <w:b/>
          <w:color w:val="000000"/>
          <w:kern w:val="2"/>
          <w:lang w:val="es-ES_tradnl"/>
          <w14:ligatures w14:val="standardContextual"/>
        </w:rPr>
        <w:t>–</w:t>
      </w:r>
      <w:r w:rsidRPr="0056112B">
        <w:rPr>
          <w:rFonts w:ascii="Verdana" w:eastAsia="Calibri" w:hAnsi="Verdana" w:cs="Arial"/>
          <w:b/>
          <w:bCs/>
          <w:color w:val="000000"/>
          <w:kern w:val="2"/>
          <w:lang w:val="es-ES_tradnl"/>
          <w14:ligatures w14:val="standardContextual"/>
        </w:rPr>
        <w:t xml:space="preserve"> Concepto </w:t>
      </w:r>
      <w:r w:rsidRPr="0056112B">
        <w:rPr>
          <w:rFonts w:ascii="Verdana" w:eastAsia="Calibri" w:hAnsi="Verdana" w:cs="Arial"/>
          <w:b/>
          <w:color w:val="000000"/>
          <w:kern w:val="2"/>
          <w:lang w:val="es-ES_tradnl"/>
          <w14:ligatures w14:val="standardContextual"/>
        </w:rPr>
        <w:t xml:space="preserve">– </w:t>
      </w:r>
      <w:r w:rsidRPr="0056112B">
        <w:rPr>
          <w:rFonts w:ascii="Verdana" w:eastAsia="Calibri" w:hAnsi="Verdana" w:cs="Arial"/>
          <w:b/>
          <w:bCs/>
          <w:color w:val="000000"/>
          <w:kern w:val="2"/>
          <w:lang w:val="es-ES_tradnl"/>
          <w14:ligatures w14:val="standardContextual"/>
        </w:rPr>
        <w:t xml:space="preserve">Principio de legalidad </w:t>
      </w:r>
      <w:r w:rsidRPr="0056112B">
        <w:rPr>
          <w:rFonts w:ascii="Verdana" w:eastAsia="Calibri" w:hAnsi="Verdana" w:cs="Arial"/>
          <w:b/>
          <w:color w:val="000000"/>
          <w:kern w:val="2"/>
          <w:lang w:val="es-ES_tradnl"/>
          <w14:ligatures w14:val="standardContextual"/>
        </w:rPr>
        <w:t>–</w:t>
      </w:r>
      <w:r w:rsidRPr="0056112B">
        <w:rPr>
          <w:rFonts w:ascii="Verdana" w:eastAsia="Calibri" w:hAnsi="Verdana" w:cs="Arial"/>
          <w:b/>
          <w:bCs/>
          <w:color w:val="000000"/>
          <w:kern w:val="2"/>
          <w:lang w:val="es-ES_tradnl"/>
          <w14:ligatures w14:val="standardContextual"/>
        </w:rPr>
        <w:t xml:space="preserve"> Interpretación restrictiva</w:t>
      </w:r>
    </w:p>
    <w:p w14:paraId="38F30061" w14:textId="77777777" w:rsidR="000F4716" w:rsidRPr="0056112B" w:rsidRDefault="000F4716" w:rsidP="0056112B">
      <w:pPr>
        <w:spacing w:after="0" w:line="240" w:lineRule="auto"/>
        <w:jc w:val="both"/>
        <w:rPr>
          <w:rFonts w:ascii="Verdana" w:eastAsia="Calibri" w:hAnsi="Verdana" w:cs="Arial"/>
          <w:b/>
          <w:bCs/>
          <w:color w:val="000000"/>
          <w:kern w:val="2"/>
          <w:lang w:val="es-ES_tradnl"/>
          <w14:ligatures w14:val="standardContextual"/>
        </w:rPr>
      </w:pPr>
    </w:p>
    <w:p w14:paraId="588965AF" w14:textId="77777777" w:rsidR="000F4716" w:rsidRDefault="0056112B" w:rsidP="000F4716">
      <w:pPr>
        <w:widowControl w:val="0"/>
        <w:autoSpaceDE w:val="0"/>
        <w:autoSpaceDN w:val="0"/>
        <w:spacing w:after="0" w:line="240" w:lineRule="auto"/>
        <w:ind w:right="68"/>
        <w:jc w:val="both"/>
        <w:rPr>
          <w:rFonts w:ascii="Verdana" w:eastAsia="Arial MT" w:hAnsi="Verdana" w:cs="Arial"/>
          <w:sz w:val="20"/>
          <w:szCs w:val="20"/>
        </w:rPr>
      </w:pPr>
      <w:r w:rsidRPr="000F4716">
        <w:rPr>
          <w:rFonts w:ascii="Verdana" w:eastAsia="Calibri" w:hAnsi="Verdana" w:cs="Arial"/>
          <w:color w:val="000000"/>
          <w:kern w:val="2"/>
          <w:sz w:val="20"/>
          <w:szCs w:val="20"/>
          <w:lang w:val="es-ES"/>
          <w14:ligatures w14:val="standardContextual"/>
        </w:rPr>
        <w:t>[…]</w:t>
      </w:r>
      <w:r w:rsidR="000F4716" w:rsidRPr="000F4716">
        <w:rPr>
          <w:rFonts w:ascii="Verdana" w:eastAsia="Arial MT" w:hAnsi="Verdana" w:cs="Arial"/>
          <w:sz w:val="20"/>
          <w:szCs w:val="20"/>
        </w:rPr>
        <w:t>el régimen de inhabilidades e incompatibilidades en la contratación pública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 xml:space="preserve">responde al propósito de asegurar que la actividad de adquisición y provisión de </w:t>
      </w:r>
      <w:r w:rsidR="000F4716" w:rsidRPr="000F4716">
        <w:rPr>
          <w:rFonts w:ascii="Verdana" w:eastAsia="Arial MT" w:hAnsi="Verdana" w:cs="Arial"/>
          <w:spacing w:val="1"/>
          <w:sz w:val="20"/>
          <w:szCs w:val="20"/>
        </w:rPr>
        <w:t>bienes</w:t>
      </w:r>
      <w:r w:rsidR="000F4716" w:rsidRPr="000F4716">
        <w:rPr>
          <w:rFonts w:ascii="Verdana" w:eastAsia="Arial MT" w:hAnsi="Verdana" w:cs="Arial"/>
          <w:sz w:val="20"/>
          <w:szCs w:val="20"/>
        </w:rPr>
        <w:t xml:space="preserve"> y servicios por parte de las entidades estatales se efectúe cumpliendo con los</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principios</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de</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la</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función</w:t>
      </w:r>
      <w:r w:rsidR="000F4716" w:rsidRPr="000F4716">
        <w:rPr>
          <w:rFonts w:ascii="Verdana" w:eastAsia="Arial MT" w:hAnsi="Verdana" w:cs="Arial"/>
          <w:spacing w:val="-10"/>
          <w:sz w:val="20"/>
          <w:szCs w:val="20"/>
        </w:rPr>
        <w:t xml:space="preserve"> </w:t>
      </w:r>
      <w:r w:rsidR="000F4716" w:rsidRPr="000F4716">
        <w:rPr>
          <w:rFonts w:ascii="Verdana" w:eastAsia="Arial MT" w:hAnsi="Verdana" w:cs="Arial"/>
          <w:sz w:val="20"/>
          <w:szCs w:val="20"/>
        </w:rPr>
        <w:t>administrativa</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y</w:t>
      </w:r>
      <w:r w:rsidR="000F4716" w:rsidRPr="000F4716">
        <w:rPr>
          <w:rFonts w:ascii="Verdana" w:eastAsia="Arial MT" w:hAnsi="Verdana" w:cs="Arial"/>
          <w:spacing w:val="-10"/>
          <w:sz w:val="20"/>
          <w:szCs w:val="20"/>
        </w:rPr>
        <w:t xml:space="preserve"> </w:t>
      </w:r>
      <w:r w:rsidR="000F4716" w:rsidRPr="000F4716">
        <w:rPr>
          <w:rFonts w:ascii="Verdana" w:eastAsia="Arial MT" w:hAnsi="Verdana" w:cs="Arial"/>
          <w:sz w:val="20"/>
          <w:szCs w:val="20"/>
        </w:rPr>
        <w:t>de</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la</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gestión</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fiscal,</w:t>
      </w:r>
      <w:r w:rsidR="000F4716" w:rsidRPr="000F4716">
        <w:rPr>
          <w:rFonts w:ascii="Verdana" w:eastAsia="Arial MT" w:hAnsi="Verdana" w:cs="Arial"/>
          <w:spacing w:val="-10"/>
          <w:sz w:val="20"/>
          <w:szCs w:val="20"/>
        </w:rPr>
        <w:t xml:space="preserve"> </w:t>
      </w:r>
      <w:r w:rsidR="000F4716" w:rsidRPr="000F4716">
        <w:rPr>
          <w:rFonts w:ascii="Verdana" w:eastAsia="Arial MT" w:hAnsi="Verdana" w:cs="Arial"/>
          <w:sz w:val="20"/>
          <w:szCs w:val="20"/>
        </w:rPr>
        <w:t>especialmente</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con</w:t>
      </w:r>
      <w:r w:rsidR="000F4716" w:rsidRPr="000F4716">
        <w:rPr>
          <w:rFonts w:ascii="Verdana" w:eastAsia="Arial MT" w:hAnsi="Verdana" w:cs="Arial"/>
          <w:spacing w:val="-11"/>
          <w:sz w:val="20"/>
          <w:szCs w:val="20"/>
        </w:rPr>
        <w:t xml:space="preserve"> </w:t>
      </w:r>
      <w:r w:rsidR="000F4716" w:rsidRPr="000F4716">
        <w:rPr>
          <w:rFonts w:ascii="Verdana" w:eastAsia="Arial MT" w:hAnsi="Verdana" w:cs="Arial"/>
          <w:sz w:val="20"/>
          <w:szCs w:val="20"/>
        </w:rPr>
        <w:t>probidad</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y</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transparencia.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Por</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ello,</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como</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lo</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ha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destacado</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la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doctrina,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las</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inhabilidades</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e</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incompatibilidades se han convertido en herramientas en la lucha contra la corrupción,</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adoptando</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paulatinamente</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un</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carácter</w:t>
      </w:r>
      <w:r w:rsidR="000F4716" w:rsidRPr="000F4716">
        <w:rPr>
          <w:rFonts w:ascii="Verdana" w:eastAsia="Arial MT" w:hAnsi="Verdana" w:cs="Arial"/>
          <w:spacing w:val="-15"/>
          <w:sz w:val="20"/>
          <w:szCs w:val="20"/>
        </w:rPr>
        <w:t xml:space="preserve"> </w:t>
      </w:r>
      <w:r w:rsidR="000F4716" w:rsidRPr="000F4716">
        <w:rPr>
          <w:rFonts w:ascii="Verdana" w:eastAsia="Arial MT" w:hAnsi="Verdana" w:cs="Arial"/>
          <w:sz w:val="20"/>
          <w:szCs w:val="20"/>
        </w:rPr>
        <w:t>sancionatorio</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o</w:t>
      </w:r>
      <w:r w:rsidR="000F4716" w:rsidRPr="000F4716">
        <w:rPr>
          <w:rFonts w:ascii="Verdana" w:eastAsia="Arial MT" w:hAnsi="Verdana" w:cs="Arial"/>
          <w:spacing w:val="-15"/>
          <w:sz w:val="20"/>
          <w:szCs w:val="20"/>
        </w:rPr>
        <w:t xml:space="preserve"> </w:t>
      </w:r>
      <w:r w:rsidR="000F4716" w:rsidRPr="000F4716">
        <w:rPr>
          <w:rFonts w:ascii="Verdana" w:eastAsia="Arial MT" w:hAnsi="Verdana" w:cs="Arial"/>
          <w:sz w:val="20"/>
          <w:szCs w:val="20"/>
        </w:rPr>
        <w:t>“</w:t>
      </w:r>
      <w:proofErr w:type="spellStart"/>
      <w:r w:rsidR="000F4716" w:rsidRPr="000F4716">
        <w:rPr>
          <w:rFonts w:ascii="Verdana" w:eastAsia="Arial MT" w:hAnsi="Verdana" w:cs="Arial"/>
          <w:sz w:val="20"/>
          <w:szCs w:val="20"/>
        </w:rPr>
        <w:t>neopunitivo</w:t>
      </w:r>
      <w:proofErr w:type="spellEnd"/>
      <w:r w:rsidR="000F4716" w:rsidRPr="000F4716">
        <w:rPr>
          <w:rFonts w:ascii="Verdana" w:eastAsia="Arial MT" w:hAnsi="Verdana" w:cs="Arial"/>
          <w:sz w:val="20"/>
          <w:szCs w:val="20"/>
        </w:rPr>
        <w:t>”.</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Si</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bien</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no</w:t>
      </w:r>
      <w:r w:rsidR="000F4716" w:rsidRPr="000F4716">
        <w:rPr>
          <w:rFonts w:ascii="Verdana" w:eastAsia="Arial MT" w:hAnsi="Verdana" w:cs="Arial"/>
          <w:spacing w:val="-14"/>
          <w:sz w:val="20"/>
          <w:szCs w:val="20"/>
        </w:rPr>
        <w:t xml:space="preserve"> </w:t>
      </w:r>
      <w:r w:rsidR="000F4716" w:rsidRPr="000F4716">
        <w:rPr>
          <w:rFonts w:ascii="Verdana" w:eastAsia="Arial MT" w:hAnsi="Verdana" w:cs="Arial"/>
          <w:sz w:val="20"/>
          <w:szCs w:val="20"/>
        </w:rPr>
        <w:t>todas las causales de inhabilidad y de incompatibilidad son consecuencia de una medida de</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reproche,</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ni</w:t>
      </w:r>
      <w:r w:rsidR="000F4716" w:rsidRPr="000F4716">
        <w:rPr>
          <w:rFonts w:ascii="Verdana" w:eastAsia="Arial MT" w:hAnsi="Verdana" w:cs="Arial"/>
          <w:spacing w:val="3"/>
          <w:sz w:val="20"/>
          <w:szCs w:val="20"/>
        </w:rPr>
        <w:t xml:space="preserve"> </w:t>
      </w:r>
      <w:r w:rsidR="000F4716" w:rsidRPr="000F4716">
        <w:rPr>
          <w:rFonts w:ascii="Verdana" w:eastAsia="Arial MT" w:hAnsi="Verdana" w:cs="Arial"/>
          <w:sz w:val="20"/>
          <w:szCs w:val="20"/>
        </w:rPr>
        <w:t>de</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una</w:t>
      </w:r>
      <w:r w:rsidR="000F4716" w:rsidRPr="000F4716">
        <w:rPr>
          <w:rFonts w:ascii="Verdana" w:eastAsia="Arial MT" w:hAnsi="Verdana" w:cs="Arial"/>
          <w:spacing w:val="3"/>
          <w:sz w:val="20"/>
          <w:szCs w:val="20"/>
        </w:rPr>
        <w:t xml:space="preserve"> </w:t>
      </w:r>
      <w:r w:rsidR="000F4716" w:rsidRPr="000F4716">
        <w:rPr>
          <w:rFonts w:ascii="Verdana" w:eastAsia="Arial MT" w:hAnsi="Verdana" w:cs="Arial"/>
          <w:sz w:val="20"/>
          <w:szCs w:val="20"/>
        </w:rPr>
        <w:t>sanción</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previa,</w:t>
      </w:r>
      <w:r w:rsidR="000F4716" w:rsidRPr="000F4716">
        <w:rPr>
          <w:rFonts w:ascii="Verdana" w:eastAsia="Arial MT" w:hAnsi="Verdana" w:cs="Arial"/>
          <w:spacing w:val="3"/>
          <w:sz w:val="20"/>
          <w:szCs w:val="20"/>
        </w:rPr>
        <w:t xml:space="preserve"> </w:t>
      </w:r>
      <w:r w:rsidR="000F4716" w:rsidRPr="000F4716">
        <w:rPr>
          <w:rFonts w:ascii="Verdana" w:eastAsia="Arial MT" w:hAnsi="Verdana" w:cs="Arial"/>
          <w:sz w:val="20"/>
          <w:szCs w:val="20"/>
        </w:rPr>
        <w:t>es</w:t>
      </w:r>
      <w:r w:rsidR="000F4716" w:rsidRPr="000F4716">
        <w:rPr>
          <w:rFonts w:ascii="Verdana" w:eastAsia="Arial MT" w:hAnsi="Verdana" w:cs="Arial"/>
          <w:spacing w:val="3"/>
          <w:sz w:val="20"/>
          <w:szCs w:val="20"/>
        </w:rPr>
        <w:t xml:space="preserve"> </w:t>
      </w:r>
      <w:r w:rsidR="000F4716" w:rsidRPr="000F4716">
        <w:rPr>
          <w:rFonts w:ascii="Verdana" w:eastAsia="Arial MT" w:hAnsi="Verdana" w:cs="Arial"/>
          <w:sz w:val="20"/>
          <w:szCs w:val="20"/>
        </w:rPr>
        <w:t>indiscutible</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que</w:t>
      </w:r>
      <w:r w:rsidR="000F4716" w:rsidRPr="000F4716">
        <w:rPr>
          <w:rFonts w:ascii="Verdana" w:eastAsia="Arial MT" w:hAnsi="Verdana" w:cs="Arial"/>
          <w:spacing w:val="3"/>
          <w:sz w:val="20"/>
          <w:szCs w:val="20"/>
        </w:rPr>
        <w:t xml:space="preserve"> </w:t>
      </w:r>
      <w:r w:rsidR="000F4716" w:rsidRPr="000F4716">
        <w:rPr>
          <w:rFonts w:ascii="Verdana" w:eastAsia="Arial MT" w:hAnsi="Verdana" w:cs="Arial"/>
          <w:sz w:val="20"/>
          <w:szCs w:val="20"/>
        </w:rPr>
        <w:t>en</w:t>
      </w:r>
      <w:r w:rsidR="000F4716" w:rsidRPr="000F4716">
        <w:rPr>
          <w:rFonts w:ascii="Verdana" w:eastAsia="Arial MT" w:hAnsi="Verdana" w:cs="Arial"/>
          <w:spacing w:val="3"/>
          <w:sz w:val="20"/>
          <w:szCs w:val="20"/>
        </w:rPr>
        <w:t xml:space="preserve"> </w:t>
      </w:r>
      <w:r w:rsidR="000F4716" w:rsidRPr="000F4716">
        <w:rPr>
          <w:rFonts w:ascii="Verdana" w:eastAsia="Arial MT" w:hAnsi="Verdana" w:cs="Arial"/>
          <w:sz w:val="20"/>
          <w:szCs w:val="20"/>
        </w:rPr>
        <w:t>los</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años más recientes los lamentables hechos de corrupción han generado como respuesta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del legislador, un incremento de las restricciones a la capacidad contractual, dirigidas a</w:t>
      </w:r>
      <w:r w:rsidR="000F4716" w:rsidRPr="000F4716">
        <w:rPr>
          <w:rFonts w:ascii="Verdana" w:eastAsia="Arial MT" w:hAnsi="Verdana" w:cs="Arial"/>
          <w:spacing w:val="-59"/>
          <w:sz w:val="20"/>
          <w:szCs w:val="20"/>
        </w:rPr>
        <w:t xml:space="preserve"> </w:t>
      </w:r>
      <w:r w:rsidR="000F4716" w:rsidRPr="000F4716">
        <w:rPr>
          <w:rFonts w:ascii="Verdana" w:eastAsia="Arial MT" w:hAnsi="Verdana" w:cs="Arial"/>
          <w:sz w:val="20"/>
          <w:szCs w:val="20"/>
        </w:rPr>
        <w:t>prevenir</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este</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tipo</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de</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situaciones</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o</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a</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sancionar</w:t>
      </w:r>
      <w:r w:rsidR="000F4716" w:rsidRPr="000F4716">
        <w:rPr>
          <w:rFonts w:ascii="Verdana" w:eastAsia="Arial MT" w:hAnsi="Verdana" w:cs="Arial"/>
          <w:spacing w:val="-1"/>
          <w:sz w:val="20"/>
          <w:szCs w:val="20"/>
        </w:rPr>
        <w:t xml:space="preserve"> </w:t>
      </w:r>
      <w:r w:rsidR="000F4716" w:rsidRPr="000F4716">
        <w:rPr>
          <w:rFonts w:ascii="Verdana" w:eastAsia="Arial MT" w:hAnsi="Verdana" w:cs="Arial"/>
          <w:sz w:val="20"/>
          <w:szCs w:val="20"/>
        </w:rPr>
        <w:t>tales</w:t>
      </w:r>
      <w:r w:rsidR="000F4716" w:rsidRPr="000F4716">
        <w:rPr>
          <w:rFonts w:ascii="Verdana" w:eastAsia="Arial MT" w:hAnsi="Verdana" w:cs="Arial"/>
          <w:spacing w:val="-2"/>
          <w:sz w:val="20"/>
          <w:szCs w:val="20"/>
        </w:rPr>
        <w:t xml:space="preserve"> </w:t>
      </w:r>
      <w:r w:rsidR="000F4716" w:rsidRPr="000F4716">
        <w:rPr>
          <w:rFonts w:ascii="Verdana" w:eastAsia="Arial MT" w:hAnsi="Verdana" w:cs="Arial"/>
          <w:sz w:val="20"/>
          <w:szCs w:val="20"/>
        </w:rPr>
        <w:t>conductas.</w:t>
      </w:r>
    </w:p>
    <w:p w14:paraId="12F0EF6D" w14:textId="77777777" w:rsidR="000F4716" w:rsidRDefault="000F4716" w:rsidP="000F4716">
      <w:pPr>
        <w:widowControl w:val="0"/>
        <w:autoSpaceDE w:val="0"/>
        <w:autoSpaceDN w:val="0"/>
        <w:spacing w:after="0" w:line="240" w:lineRule="auto"/>
        <w:ind w:right="68"/>
        <w:jc w:val="both"/>
        <w:rPr>
          <w:rFonts w:ascii="Verdana" w:eastAsia="Arial MT" w:hAnsi="Verdana" w:cs="Arial"/>
          <w:sz w:val="20"/>
          <w:szCs w:val="20"/>
        </w:rPr>
      </w:pPr>
    </w:p>
    <w:p w14:paraId="470662FD" w14:textId="2A0EC038" w:rsidR="000F4716" w:rsidRPr="000F4716" w:rsidRDefault="000F4716" w:rsidP="000F4716">
      <w:pPr>
        <w:widowControl w:val="0"/>
        <w:autoSpaceDE w:val="0"/>
        <w:autoSpaceDN w:val="0"/>
        <w:spacing w:after="0" w:line="240" w:lineRule="auto"/>
        <w:ind w:right="68"/>
        <w:jc w:val="both"/>
        <w:rPr>
          <w:rFonts w:ascii="Verdana" w:eastAsia="Arial MT" w:hAnsi="Verdana" w:cs="Arial"/>
          <w:sz w:val="20"/>
          <w:szCs w:val="20"/>
        </w:rPr>
      </w:pPr>
      <w:r w:rsidRPr="000F4716">
        <w:rPr>
          <w:rFonts w:ascii="Verdana" w:eastAsia="Arial MT" w:hAnsi="Verdana" w:cs="Arial"/>
          <w:sz w:val="20"/>
          <w:szCs w:val="20"/>
        </w:rPr>
        <w:t>Ahora bien, las inhabilidades e incompatibilidades, al ser</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restricciones o límites especiales a la capacidad para presentar ofertas y celebrar</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contratos</w:t>
      </w:r>
      <w:r w:rsidRPr="000F4716">
        <w:rPr>
          <w:rFonts w:ascii="Verdana" w:eastAsia="Arial MT" w:hAnsi="Verdana" w:cs="Arial"/>
          <w:spacing w:val="-12"/>
          <w:sz w:val="20"/>
          <w:szCs w:val="20"/>
        </w:rPr>
        <w:t xml:space="preserve"> </w:t>
      </w:r>
      <w:r w:rsidRPr="000F4716">
        <w:rPr>
          <w:rFonts w:ascii="Verdana" w:eastAsia="Arial MT" w:hAnsi="Verdana" w:cs="Arial"/>
          <w:sz w:val="20"/>
          <w:szCs w:val="20"/>
        </w:rPr>
        <w:t>estatales,</w:t>
      </w:r>
      <w:r w:rsidRPr="000F4716">
        <w:rPr>
          <w:rFonts w:ascii="Verdana" w:eastAsia="Arial MT" w:hAnsi="Verdana" w:cs="Arial"/>
          <w:spacing w:val="-12"/>
          <w:sz w:val="20"/>
          <w:szCs w:val="20"/>
        </w:rPr>
        <w:t xml:space="preserve"> </w:t>
      </w:r>
      <w:r w:rsidRPr="000F4716">
        <w:rPr>
          <w:rFonts w:ascii="Verdana" w:eastAsia="Arial MT" w:hAnsi="Verdana" w:cs="Arial"/>
          <w:sz w:val="20"/>
          <w:szCs w:val="20"/>
        </w:rPr>
        <w:t>solo</w:t>
      </w:r>
      <w:r w:rsidRPr="000F4716">
        <w:rPr>
          <w:rFonts w:ascii="Verdana" w:eastAsia="Arial MT" w:hAnsi="Verdana" w:cs="Arial"/>
          <w:spacing w:val="-12"/>
          <w:sz w:val="20"/>
          <w:szCs w:val="20"/>
        </w:rPr>
        <w:t xml:space="preserve"> </w:t>
      </w:r>
      <w:r w:rsidRPr="000F4716">
        <w:rPr>
          <w:rFonts w:ascii="Verdana" w:eastAsia="Arial MT" w:hAnsi="Verdana" w:cs="Arial"/>
          <w:sz w:val="20"/>
          <w:szCs w:val="20"/>
        </w:rPr>
        <w:t>pueden</w:t>
      </w:r>
      <w:r w:rsidRPr="000F4716">
        <w:rPr>
          <w:rFonts w:ascii="Verdana" w:eastAsia="Arial MT" w:hAnsi="Verdana" w:cs="Arial"/>
          <w:spacing w:val="-11"/>
          <w:sz w:val="20"/>
          <w:szCs w:val="20"/>
        </w:rPr>
        <w:t xml:space="preserve"> </w:t>
      </w:r>
      <w:r w:rsidRPr="000F4716">
        <w:rPr>
          <w:rFonts w:ascii="Verdana" w:eastAsia="Arial MT" w:hAnsi="Verdana" w:cs="Arial"/>
          <w:sz w:val="20"/>
          <w:szCs w:val="20"/>
        </w:rPr>
        <w:t>tipificarse</w:t>
      </w:r>
      <w:r w:rsidRPr="000F4716">
        <w:rPr>
          <w:rFonts w:ascii="Verdana" w:eastAsia="Arial MT" w:hAnsi="Verdana" w:cs="Arial"/>
          <w:spacing w:val="-10"/>
          <w:sz w:val="20"/>
          <w:szCs w:val="20"/>
        </w:rPr>
        <w:t xml:space="preserve"> </w:t>
      </w:r>
      <w:r w:rsidRPr="000F4716">
        <w:rPr>
          <w:rFonts w:ascii="Verdana" w:eastAsia="Arial MT" w:hAnsi="Verdana" w:cs="Arial"/>
          <w:sz w:val="20"/>
          <w:szCs w:val="20"/>
        </w:rPr>
        <w:t>en</w:t>
      </w:r>
      <w:r w:rsidRPr="000F4716">
        <w:rPr>
          <w:rFonts w:ascii="Verdana" w:eastAsia="Arial MT" w:hAnsi="Verdana" w:cs="Arial"/>
          <w:spacing w:val="-12"/>
          <w:sz w:val="20"/>
          <w:szCs w:val="20"/>
        </w:rPr>
        <w:t xml:space="preserve"> </w:t>
      </w:r>
      <w:r w:rsidRPr="000F4716">
        <w:rPr>
          <w:rFonts w:ascii="Verdana" w:eastAsia="Arial MT" w:hAnsi="Verdana" w:cs="Arial"/>
          <w:sz w:val="20"/>
          <w:szCs w:val="20"/>
        </w:rPr>
        <w:t>la</w:t>
      </w:r>
      <w:r w:rsidRPr="000F4716">
        <w:rPr>
          <w:rFonts w:ascii="Verdana" w:eastAsia="Arial MT" w:hAnsi="Verdana" w:cs="Arial"/>
          <w:spacing w:val="-12"/>
          <w:sz w:val="20"/>
          <w:szCs w:val="20"/>
        </w:rPr>
        <w:t xml:space="preserve"> </w:t>
      </w:r>
      <w:r w:rsidRPr="000F4716">
        <w:rPr>
          <w:rFonts w:ascii="Verdana" w:eastAsia="Arial MT" w:hAnsi="Verdana" w:cs="Arial"/>
          <w:sz w:val="20"/>
          <w:szCs w:val="20"/>
        </w:rPr>
        <w:t>ley</w:t>
      </w:r>
      <w:r w:rsidRPr="000F4716">
        <w:rPr>
          <w:rFonts w:ascii="Verdana" w:eastAsia="Arial MT" w:hAnsi="Verdana" w:cs="Arial"/>
          <w:spacing w:val="-12"/>
          <w:sz w:val="20"/>
          <w:szCs w:val="20"/>
        </w:rPr>
        <w:t xml:space="preserve"> </w:t>
      </w:r>
      <w:r w:rsidRPr="000F4716">
        <w:rPr>
          <w:rFonts w:ascii="Verdana" w:eastAsia="Arial MT" w:hAnsi="Verdana" w:cs="Arial"/>
          <w:sz w:val="20"/>
          <w:szCs w:val="20"/>
        </w:rPr>
        <w:t xml:space="preserve">y su interpretación debe ser </w:t>
      </w:r>
      <w:r w:rsidRPr="000F4716">
        <w:rPr>
          <w:rFonts w:ascii="Verdana" w:eastAsia="Arial MT" w:hAnsi="Verdana" w:cs="Arial"/>
          <w:i/>
          <w:sz w:val="20"/>
          <w:szCs w:val="20"/>
        </w:rPr>
        <w:t>restrictiva</w:t>
      </w:r>
      <w:r w:rsidRPr="000F4716">
        <w:rPr>
          <w:rFonts w:ascii="Verdana" w:eastAsia="Arial MT" w:hAnsi="Verdana" w:cs="Arial"/>
          <w:sz w:val="20"/>
          <w:szCs w:val="20"/>
        </w:rPr>
        <w:t>. De admitirse una interpretación</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extensiva,</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tales</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enunciados</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normativos</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podrían</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contemplar</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múltiples</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supuestos</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indeterminados,</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adquiriendo</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un</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cariz</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subjetivo,</w:t>
      </w:r>
      <w:r w:rsidRPr="000F4716">
        <w:rPr>
          <w:rFonts w:ascii="Verdana" w:eastAsia="Arial MT" w:hAnsi="Verdana" w:cs="Arial"/>
          <w:spacing w:val="-3"/>
          <w:sz w:val="20"/>
          <w:szCs w:val="20"/>
        </w:rPr>
        <w:t xml:space="preserve"> </w:t>
      </w:r>
      <w:r w:rsidRPr="000F4716">
        <w:rPr>
          <w:rFonts w:ascii="Verdana" w:eastAsia="Arial MT" w:hAnsi="Verdana" w:cs="Arial"/>
          <w:sz w:val="20"/>
          <w:szCs w:val="20"/>
        </w:rPr>
        <w:t>según</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el</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parecer</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o</w:t>
      </w:r>
      <w:r w:rsidRPr="000F4716">
        <w:rPr>
          <w:rFonts w:ascii="Verdana" w:eastAsia="Arial MT" w:hAnsi="Verdana" w:cs="Arial"/>
          <w:spacing w:val="-3"/>
          <w:sz w:val="20"/>
          <w:szCs w:val="20"/>
        </w:rPr>
        <w:t xml:space="preserve"> </w:t>
      </w:r>
      <w:r w:rsidRPr="000F4716">
        <w:rPr>
          <w:rFonts w:ascii="Verdana" w:eastAsia="Arial MT" w:hAnsi="Verdana" w:cs="Arial"/>
          <w:sz w:val="20"/>
          <w:szCs w:val="20"/>
        </w:rPr>
        <w:t>el</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sentido</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común</w:t>
      </w:r>
      <w:r w:rsidRPr="000F4716">
        <w:rPr>
          <w:rFonts w:ascii="Verdana" w:eastAsia="Arial MT" w:hAnsi="Verdana" w:cs="Arial"/>
          <w:spacing w:val="-4"/>
          <w:sz w:val="20"/>
          <w:szCs w:val="20"/>
        </w:rPr>
        <w:t xml:space="preserve"> </w:t>
      </w:r>
      <w:r w:rsidRPr="000F4716">
        <w:rPr>
          <w:rFonts w:ascii="Verdana" w:eastAsia="Arial MT" w:hAnsi="Verdana" w:cs="Arial"/>
          <w:sz w:val="20"/>
          <w:szCs w:val="20"/>
        </w:rPr>
        <w:t>de los operadores jurídicos, poniendo en riesgo principios como la igualdad, el debido</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proceso, la libre concurrencia y el ejercicio de la profesión u oficio. Tal ha sido la postura al interior de la jurisprudencia, tanto de la Corte Constitucional como de la Sección</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Tercera</w:t>
      </w:r>
      <w:r w:rsidRPr="000F4716">
        <w:rPr>
          <w:rFonts w:ascii="Verdana" w:eastAsia="Arial MT" w:hAnsi="Verdana" w:cs="Arial"/>
          <w:spacing w:val="-2"/>
          <w:sz w:val="20"/>
          <w:szCs w:val="20"/>
        </w:rPr>
        <w:t xml:space="preserve"> </w:t>
      </w:r>
      <w:r w:rsidRPr="000F4716">
        <w:rPr>
          <w:rFonts w:ascii="Verdana" w:eastAsia="Arial MT" w:hAnsi="Verdana" w:cs="Arial"/>
          <w:sz w:val="20"/>
          <w:szCs w:val="20"/>
        </w:rPr>
        <w:t>del</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Consejo</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de</w:t>
      </w:r>
      <w:r w:rsidRPr="000F4716">
        <w:rPr>
          <w:rFonts w:ascii="Verdana" w:eastAsia="Arial MT" w:hAnsi="Verdana" w:cs="Arial"/>
          <w:spacing w:val="-1"/>
          <w:sz w:val="20"/>
          <w:szCs w:val="20"/>
        </w:rPr>
        <w:t xml:space="preserve"> </w:t>
      </w:r>
      <w:r w:rsidRPr="000F4716">
        <w:rPr>
          <w:rFonts w:ascii="Verdana" w:eastAsia="Arial MT" w:hAnsi="Verdana" w:cs="Arial"/>
          <w:sz w:val="20"/>
          <w:szCs w:val="20"/>
        </w:rPr>
        <w:t>Estado.</w:t>
      </w:r>
    </w:p>
    <w:p w14:paraId="6D317B68" w14:textId="77777777" w:rsidR="000F4716" w:rsidRPr="0056112B" w:rsidRDefault="000F4716" w:rsidP="0056112B">
      <w:pPr>
        <w:spacing w:after="0" w:line="276" w:lineRule="auto"/>
        <w:rPr>
          <w:rFonts w:ascii="Verdana" w:eastAsia="Geomanist Light" w:hAnsi="Verdana" w:cs="Arial"/>
          <w:lang w:val="es-ES_tradnl"/>
        </w:rPr>
      </w:pPr>
    </w:p>
    <w:p w14:paraId="6041A47A" w14:textId="77777777" w:rsidR="0056112B" w:rsidRPr="0056112B" w:rsidRDefault="0056112B" w:rsidP="0056112B">
      <w:pPr>
        <w:spacing w:after="0" w:line="276" w:lineRule="auto"/>
        <w:jc w:val="both"/>
        <w:rPr>
          <w:rFonts w:ascii="Verdana" w:eastAsia="Geomanist Light" w:hAnsi="Verdana" w:cs="Arial"/>
          <w:b/>
          <w:bCs/>
          <w:lang w:val="es-ES_tradnl"/>
        </w:rPr>
      </w:pPr>
      <w:r w:rsidRPr="0056112B">
        <w:rPr>
          <w:rFonts w:ascii="Verdana" w:eastAsia="Geomanist Light" w:hAnsi="Verdana" w:cs="Arial"/>
          <w:b/>
          <w:bCs/>
          <w:lang w:val="es-ES_tradnl"/>
        </w:rPr>
        <w:t>INHABILIDADES E INCOMPATIBILIDADES – Ley 80 de 1993 – Artículo 8 – Literales g) y h) – Socios – Parentesco</w:t>
      </w:r>
    </w:p>
    <w:p w14:paraId="514FB7BB" w14:textId="77777777" w:rsidR="0056112B" w:rsidRPr="0056112B" w:rsidRDefault="0056112B" w:rsidP="0056112B">
      <w:pPr>
        <w:spacing w:after="0" w:line="240" w:lineRule="auto"/>
        <w:rPr>
          <w:rFonts w:ascii="Verdana" w:eastAsia="Calibri" w:hAnsi="Verdana" w:cs="Times New Roman"/>
          <w:lang w:val="es-ES_tradnl"/>
        </w:rPr>
      </w:pPr>
    </w:p>
    <w:p w14:paraId="7A4871D9" w14:textId="030E4182" w:rsidR="0056112B" w:rsidRPr="0056112B" w:rsidRDefault="000F4716" w:rsidP="0056112B">
      <w:pPr>
        <w:shd w:val="clear" w:color="auto" w:fill="FFFFFF"/>
        <w:spacing w:after="0" w:line="240" w:lineRule="auto"/>
        <w:jc w:val="both"/>
        <w:textAlignment w:val="baseline"/>
        <w:rPr>
          <w:rFonts w:ascii="Verdana" w:eastAsia="Arial MT" w:hAnsi="Verdana" w:cs="Arial"/>
          <w:sz w:val="20"/>
          <w:szCs w:val="20"/>
          <w:lang w:eastAsia="es-ES" w:bidi="es-ES"/>
        </w:rPr>
      </w:pPr>
      <w:r>
        <w:rPr>
          <w:rFonts w:ascii="Verdana" w:eastAsia="Arial MT" w:hAnsi="Verdana" w:cs="Arial"/>
          <w:sz w:val="20"/>
          <w:szCs w:val="20"/>
          <w:lang w:eastAsia="es-ES" w:bidi="es-ES"/>
        </w:rPr>
        <w:t>[…]</w:t>
      </w:r>
      <w:r w:rsidRPr="000F4716">
        <w:t xml:space="preserve"> </w:t>
      </w:r>
      <w:r w:rsidRPr="000F4716">
        <w:rPr>
          <w:rFonts w:ascii="Verdana" w:eastAsia="Arial MT" w:hAnsi="Verdana" w:cs="Arial"/>
          <w:sz w:val="20"/>
          <w:szCs w:val="20"/>
          <w:lang w:eastAsia="es-ES" w:bidi="es-ES"/>
        </w:rPr>
        <w:t>el artículo 8 de la Ley 80 de 1993 contempla, entre otros, dos (2) supuestos que se relacionan con la situación planteada respecto al rechazo de la oferta por presentación de más de una propuesta. Se trata de las inhabilidades contenidas en los literales g) y h) del numeral 1 del referido artículo:</w:t>
      </w:r>
    </w:p>
    <w:p w14:paraId="484487C5" w14:textId="77777777" w:rsidR="0056112B" w:rsidRPr="0056112B" w:rsidRDefault="0056112B" w:rsidP="0056112B">
      <w:pPr>
        <w:shd w:val="clear" w:color="auto" w:fill="FFFFFF"/>
        <w:spacing w:after="0" w:line="240" w:lineRule="auto"/>
        <w:ind w:right="709"/>
        <w:jc w:val="both"/>
        <w:textAlignment w:val="baseline"/>
        <w:rPr>
          <w:rFonts w:ascii="Verdana" w:eastAsia="Aptos" w:hAnsi="Verdana" w:cs="Arial"/>
          <w:color w:val="000000"/>
          <w:kern w:val="2"/>
          <w:sz w:val="20"/>
          <w:szCs w:val="20"/>
          <w:lang w:val="es-ES_tradnl"/>
          <w14:ligatures w14:val="standardContextual"/>
        </w:rPr>
      </w:pPr>
      <w:r w:rsidRPr="0056112B">
        <w:rPr>
          <w:rFonts w:ascii="Verdana" w:eastAsia="Arial MT" w:hAnsi="Verdana" w:cs="Arial"/>
          <w:sz w:val="20"/>
          <w:szCs w:val="20"/>
          <w:lang w:eastAsia="es-ES" w:bidi="es-ES"/>
        </w:rPr>
        <w:t>[…]</w:t>
      </w:r>
    </w:p>
    <w:p w14:paraId="081966D0" w14:textId="46C16DF5" w:rsidR="0056112B" w:rsidRPr="0056112B" w:rsidRDefault="000F4716" w:rsidP="0056112B">
      <w:pPr>
        <w:shd w:val="clear" w:color="auto" w:fill="FFFFFF"/>
        <w:spacing w:after="120" w:line="240" w:lineRule="auto"/>
        <w:jc w:val="both"/>
        <w:textAlignment w:val="baseline"/>
        <w:rPr>
          <w:rFonts w:ascii="Verdana" w:eastAsia="Aptos" w:hAnsi="Verdana" w:cs="Arial"/>
          <w:color w:val="000000"/>
          <w:kern w:val="2"/>
          <w:sz w:val="20"/>
          <w:szCs w:val="20"/>
          <w:lang w:val="es-ES_tradnl"/>
          <w14:ligatures w14:val="standardContextual"/>
        </w:rPr>
      </w:pPr>
      <w:r w:rsidRPr="000F4716">
        <w:rPr>
          <w:rFonts w:ascii="Verdana" w:eastAsia="Aptos" w:hAnsi="Verdana" w:cs="Arial"/>
          <w:color w:val="000000"/>
          <w:kern w:val="2"/>
          <w:sz w:val="20"/>
          <w:szCs w:val="20"/>
          <w:lang w:val="es-ES_tradnl"/>
          <w14:ligatures w14:val="standardContextual"/>
        </w:rPr>
        <w:t>Normalmente, cuando se presenta una restricción que limita la participación de sociedades o personas jurídicas en procesos de contratación, las normas indican si aquella se extiende, también, a los socios. Por lo tanto, si la norma no restringe de manera expresa, no le es dable al intérprete realizar interpretaciones extensivas que limiten la participación.</w:t>
      </w:r>
    </w:p>
    <w:p w14:paraId="5189EFA9" w14:textId="77777777" w:rsidR="0056112B" w:rsidRDefault="0056112B" w:rsidP="0056112B">
      <w:pPr>
        <w:spacing w:after="0" w:line="240" w:lineRule="auto"/>
        <w:rPr>
          <w:rFonts w:ascii="Verdana" w:eastAsia="Calibri" w:hAnsi="Verdana" w:cs="Times New Roman"/>
          <w:lang w:val="es-ES_tradnl"/>
        </w:rPr>
      </w:pPr>
    </w:p>
    <w:p w14:paraId="6699238E" w14:textId="77777777" w:rsidR="000F4716" w:rsidRPr="0056112B" w:rsidRDefault="000F4716" w:rsidP="0056112B">
      <w:pPr>
        <w:spacing w:after="0" w:line="240" w:lineRule="auto"/>
        <w:rPr>
          <w:rFonts w:ascii="Verdana" w:eastAsia="Calibri" w:hAnsi="Verdana" w:cs="Times New Roman"/>
          <w:lang w:val="es-ES_tradnl"/>
        </w:rPr>
      </w:pPr>
    </w:p>
    <w:p w14:paraId="33BC05C8" w14:textId="77777777" w:rsidR="0056112B" w:rsidRPr="0056112B" w:rsidRDefault="0056112B" w:rsidP="0056112B">
      <w:pPr>
        <w:spacing w:after="0" w:line="240" w:lineRule="auto"/>
        <w:rPr>
          <w:rFonts w:ascii="Verdana" w:eastAsia="Calibri" w:hAnsi="Verdana" w:cs="Times New Roman"/>
          <w:lang w:val="es-ES_tradnl"/>
        </w:rPr>
      </w:pPr>
    </w:p>
    <w:p w14:paraId="4F3685E6" w14:textId="77777777" w:rsidR="0056112B" w:rsidRPr="0056112B" w:rsidRDefault="0056112B" w:rsidP="0056112B">
      <w:pPr>
        <w:spacing w:after="0" w:line="240" w:lineRule="auto"/>
        <w:rPr>
          <w:rFonts w:ascii="Verdana" w:eastAsia="Calibri" w:hAnsi="Verdana" w:cs="Times New Roman"/>
          <w:lang w:val="es-ES_tradnl"/>
        </w:rPr>
      </w:pPr>
    </w:p>
    <w:p w14:paraId="79BBA3E4" w14:textId="77777777" w:rsidR="0056112B" w:rsidRPr="0056112B" w:rsidRDefault="0056112B" w:rsidP="0056112B">
      <w:pPr>
        <w:spacing w:after="0" w:line="240" w:lineRule="auto"/>
        <w:rPr>
          <w:rFonts w:ascii="Verdana" w:eastAsia="Calibri" w:hAnsi="Verdana" w:cs="Times New Roman"/>
          <w:lang w:val="es-ES_tradnl"/>
        </w:rPr>
      </w:pPr>
    </w:p>
    <w:p w14:paraId="2E8B4BC7" w14:textId="77777777" w:rsidR="0056112B" w:rsidRPr="0056112B" w:rsidRDefault="0056112B" w:rsidP="0056112B">
      <w:pPr>
        <w:spacing w:after="0" w:line="240" w:lineRule="auto"/>
        <w:rPr>
          <w:rFonts w:ascii="Verdana" w:eastAsia="Calibri" w:hAnsi="Verdana" w:cs="Times New Roman"/>
          <w:lang w:val="es-ES_tradnl"/>
        </w:rPr>
      </w:pPr>
    </w:p>
    <w:p w14:paraId="30E6E524" w14:textId="77777777" w:rsidR="0056112B" w:rsidRPr="0056112B" w:rsidRDefault="0056112B" w:rsidP="0056112B">
      <w:pPr>
        <w:spacing w:after="0" w:line="240" w:lineRule="auto"/>
        <w:jc w:val="both"/>
        <w:rPr>
          <w:rFonts w:ascii="Verdana" w:eastAsia="Calibri" w:hAnsi="Verdana" w:cs="Times New Roman"/>
          <w:lang w:val="es-ES_tradnl"/>
        </w:rPr>
      </w:pPr>
    </w:p>
    <w:p w14:paraId="24F1535F" w14:textId="77777777" w:rsidR="0056112B" w:rsidRPr="0056112B" w:rsidRDefault="0056112B" w:rsidP="0056112B">
      <w:pPr>
        <w:spacing w:after="0" w:line="240" w:lineRule="auto"/>
        <w:jc w:val="both"/>
        <w:rPr>
          <w:rFonts w:ascii="Verdana" w:eastAsia="Calibri" w:hAnsi="Verdana" w:cs="Times New Roman"/>
          <w:lang w:val="es-ES_tradnl"/>
        </w:rPr>
      </w:pPr>
    </w:p>
    <w:p w14:paraId="59182D51" w14:textId="77777777" w:rsidR="0056112B" w:rsidRPr="0056112B" w:rsidRDefault="0056112B" w:rsidP="0056112B">
      <w:pPr>
        <w:spacing w:after="0" w:line="240" w:lineRule="auto"/>
        <w:jc w:val="both"/>
        <w:rPr>
          <w:rFonts w:ascii="Verdana" w:eastAsia="Calibri" w:hAnsi="Verdana" w:cs="Times New Roman"/>
          <w:lang w:val="es-ES_tradnl"/>
        </w:rPr>
      </w:pPr>
    </w:p>
    <w:p w14:paraId="0F8F530C" w14:textId="77777777" w:rsidR="0056112B" w:rsidRPr="0056112B" w:rsidRDefault="0056112B" w:rsidP="0056112B">
      <w:pPr>
        <w:spacing w:after="0" w:line="240" w:lineRule="auto"/>
        <w:jc w:val="both"/>
        <w:rPr>
          <w:rFonts w:ascii="Verdana" w:eastAsia="Calibri" w:hAnsi="Verdana" w:cs="Times New Roman"/>
          <w:lang w:val="es-ES_tradnl"/>
        </w:rPr>
      </w:pPr>
    </w:p>
    <w:p w14:paraId="0871A5F1" w14:textId="77777777" w:rsidR="0056112B" w:rsidRPr="0056112B" w:rsidRDefault="0056112B" w:rsidP="0056112B">
      <w:pPr>
        <w:spacing w:after="0" w:line="240" w:lineRule="auto"/>
        <w:jc w:val="both"/>
        <w:rPr>
          <w:rFonts w:ascii="Verdana" w:eastAsia="Calibri" w:hAnsi="Verdana" w:cs="Times New Roman"/>
          <w:lang w:val="es-ES_tradnl"/>
        </w:rPr>
      </w:pPr>
    </w:p>
    <w:p w14:paraId="0AF7B2F8" w14:textId="77777777" w:rsidR="0056112B" w:rsidRPr="0056112B" w:rsidRDefault="0056112B" w:rsidP="0056112B">
      <w:pPr>
        <w:spacing w:after="0" w:line="240" w:lineRule="auto"/>
        <w:jc w:val="both"/>
        <w:rPr>
          <w:rFonts w:ascii="Verdana" w:eastAsia="Calibri" w:hAnsi="Verdana" w:cs="Times New Roman"/>
          <w:lang w:val="es-ES_tradnl"/>
        </w:rPr>
      </w:pPr>
    </w:p>
    <w:p w14:paraId="5B999235" w14:textId="77777777" w:rsidR="0056112B" w:rsidRPr="0056112B" w:rsidRDefault="0056112B" w:rsidP="0056112B">
      <w:pPr>
        <w:spacing w:after="0" w:line="240" w:lineRule="auto"/>
        <w:jc w:val="both"/>
        <w:rPr>
          <w:rFonts w:ascii="Verdana" w:eastAsia="Calibri" w:hAnsi="Verdana" w:cs="Times New Roman"/>
          <w:lang w:val="es-ES_tradnl"/>
        </w:rPr>
      </w:pPr>
    </w:p>
    <w:p w14:paraId="2D8AEB59" w14:textId="77777777" w:rsidR="0056112B" w:rsidRPr="0056112B" w:rsidRDefault="0056112B" w:rsidP="0056112B">
      <w:pPr>
        <w:spacing w:after="0" w:line="240" w:lineRule="auto"/>
        <w:jc w:val="both"/>
        <w:rPr>
          <w:rFonts w:ascii="Verdana" w:eastAsia="Calibri" w:hAnsi="Verdana" w:cs="Times New Roman"/>
          <w:lang w:val="es-ES_tradnl"/>
        </w:rPr>
      </w:pPr>
    </w:p>
    <w:p w14:paraId="457384FB" w14:textId="77777777" w:rsidR="0056112B" w:rsidRPr="0056112B" w:rsidRDefault="0056112B" w:rsidP="0056112B">
      <w:pPr>
        <w:spacing w:after="0" w:line="240" w:lineRule="auto"/>
        <w:jc w:val="both"/>
        <w:rPr>
          <w:rFonts w:ascii="Verdana" w:eastAsia="Calibri" w:hAnsi="Verdana" w:cs="Times New Roman"/>
          <w:lang w:val="es-ES_tradnl"/>
        </w:rPr>
      </w:pPr>
    </w:p>
    <w:p w14:paraId="7BC16E3E" w14:textId="77777777" w:rsidR="0056112B" w:rsidRPr="0056112B" w:rsidRDefault="0056112B" w:rsidP="0056112B">
      <w:pPr>
        <w:spacing w:after="0" w:line="240" w:lineRule="auto"/>
        <w:jc w:val="both"/>
        <w:rPr>
          <w:rFonts w:ascii="Verdana" w:eastAsia="Calibri" w:hAnsi="Verdana" w:cs="Times New Roman"/>
          <w:lang w:val="es-ES_tradnl"/>
        </w:rPr>
      </w:pPr>
    </w:p>
    <w:p w14:paraId="46AF314A" w14:textId="77777777" w:rsidR="0056112B" w:rsidRPr="0056112B" w:rsidRDefault="0056112B" w:rsidP="0056112B">
      <w:pPr>
        <w:spacing w:after="0" w:line="240" w:lineRule="auto"/>
        <w:jc w:val="both"/>
        <w:rPr>
          <w:rFonts w:ascii="Verdana" w:eastAsia="Calibri" w:hAnsi="Verdana" w:cs="Times New Roman"/>
          <w:lang w:val="es-ES_tradnl"/>
        </w:rPr>
      </w:pPr>
    </w:p>
    <w:p w14:paraId="4A02CBF5" w14:textId="77777777" w:rsidR="0056112B" w:rsidRPr="0056112B" w:rsidRDefault="0056112B" w:rsidP="0056112B">
      <w:pPr>
        <w:spacing w:after="0" w:line="240" w:lineRule="auto"/>
        <w:jc w:val="both"/>
        <w:rPr>
          <w:rFonts w:ascii="Verdana" w:eastAsia="Calibri" w:hAnsi="Verdana" w:cs="Times New Roman"/>
          <w:lang w:val="es-ES_tradnl"/>
        </w:rPr>
      </w:pPr>
    </w:p>
    <w:p w14:paraId="68575B4E" w14:textId="77777777" w:rsidR="0056112B" w:rsidRPr="0056112B" w:rsidRDefault="0056112B" w:rsidP="0056112B">
      <w:pPr>
        <w:spacing w:after="0" w:line="240" w:lineRule="auto"/>
        <w:jc w:val="both"/>
        <w:rPr>
          <w:rFonts w:ascii="Verdana" w:eastAsia="Calibri" w:hAnsi="Verdana" w:cs="Times New Roman"/>
          <w:lang w:val="es-ES_tradnl"/>
        </w:rPr>
      </w:pPr>
    </w:p>
    <w:p w14:paraId="7A56AF5A" w14:textId="77777777" w:rsidR="0056112B" w:rsidRPr="0056112B" w:rsidRDefault="0056112B" w:rsidP="0056112B">
      <w:pPr>
        <w:spacing w:after="0" w:line="240" w:lineRule="auto"/>
        <w:jc w:val="both"/>
        <w:rPr>
          <w:rFonts w:ascii="Verdana" w:eastAsia="Calibri" w:hAnsi="Verdana" w:cs="Times New Roman"/>
          <w:lang w:val="es-ES_tradnl"/>
        </w:rPr>
      </w:pPr>
    </w:p>
    <w:p w14:paraId="6E69A0B9" w14:textId="5245230C" w:rsidR="0056112B" w:rsidRPr="0044528D" w:rsidRDefault="0056112B" w:rsidP="0056112B">
      <w:pPr>
        <w:spacing w:after="0"/>
        <w:rPr>
          <w:rFonts w:ascii="Verdana" w:hAnsi="Verdana"/>
        </w:rPr>
      </w:pPr>
      <w:r w:rsidRPr="0044528D">
        <w:rPr>
          <w:rFonts w:ascii="Verdana" w:hAnsi="Verdana"/>
        </w:rPr>
        <w:lastRenderedPageBreak/>
        <w:t>Bogotá D.C.,</w:t>
      </w:r>
      <w:r w:rsidR="00DF0D4E">
        <w:rPr>
          <w:rFonts w:ascii="Verdana" w:hAnsi="Verdana"/>
        </w:rPr>
        <w:t xml:space="preserve"> </w:t>
      </w:r>
      <w:r w:rsidR="00E233C8">
        <w:rPr>
          <w:rFonts w:ascii="Verdana" w:hAnsi="Verdana"/>
        </w:rPr>
        <w:t xml:space="preserve">27 </w:t>
      </w:r>
      <w:proofErr w:type="gramStart"/>
      <w:r w:rsidR="00E233C8">
        <w:rPr>
          <w:rFonts w:ascii="Verdana" w:hAnsi="Verdana"/>
        </w:rPr>
        <w:t>Agosto</w:t>
      </w:r>
      <w:proofErr w:type="gramEnd"/>
      <w:r w:rsidR="00E233C8">
        <w:rPr>
          <w:rFonts w:ascii="Verdana" w:hAnsi="Verdana"/>
        </w:rPr>
        <w:t xml:space="preserve"> 2025</w:t>
      </w:r>
      <w:r w:rsidRPr="0044528D">
        <w:rPr>
          <w:rFonts w:ascii="Verdana" w:hAnsi="Verdana"/>
        </w:rPr>
        <w:tab/>
      </w:r>
    </w:p>
    <w:p w14:paraId="7DE679FD" w14:textId="77777777" w:rsidR="0056112B" w:rsidRPr="0056112B" w:rsidRDefault="0056112B" w:rsidP="0056112B">
      <w:pPr>
        <w:spacing w:after="0" w:line="240" w:lineRule="auto"/>
        <w:jc w:val="both"/>
        <w:rPr>
          <w:rFonts w:ascii="Verdana" w:eastAsia="Calibri" w:hAnsi="Verdana" w:cs="Arial"/>
          <w:lang w:val="es-ES_tradnl" w:eastAsia="es-ES"/>
        </w:rPr>
      </w:pPr>
    </w:p>
    <w:p w14:paraId="0DE2DD3E" w14:textId="07582823" w:rsidR="0056112B" w:rsidRDefault="00DF0D4E" w:rsidP="00DF0D4E">
      <w:pPr>
        <w:spacing w:after="0" w:line="240" w:lineRule="auto"/>
        <w:jc w:val="right"/>
        <w:rPr>
          <w:rFonts w:ascii="Verdana" w:eastAsia="Calibri" w:hAnsi="Verdana" w:cs="Arial"/>
          <w:lang w:val="es-ES_tradnl" w:eastAsia="es-ES"/>
        </w:rPr>
      </w:pPr>
      <w:r w:rsidRPr="00DF0D4E">
        <w:rPr>
          <w:rFonts w:ascii="Verdana" w:eastAsia="Calibri" w:hAnsi="Verdana" w:cs="Arial"/>
          <w:noProof/>
          <w:lang w:val="es-ES_tradnl" w:eastAsia="es-ES"/>
        </w:rPr>
        <w:drawing>
          <wp:inline distT="0" distB="0" distL="0" distR="0" wp14:anchorId="5C087AB7" wp14:editId="49AE1B22">
            <wp:extent cx="2505425" cy="666843"/>
            <wp:effectExtent l="0" t="0" r="9525" b="0"/>
            <wp:docPr id="5768991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99112" name="Imagen 1" descr="Texto&#10;&#10;El contenido generado por IA puede ser incorrecto."/>
                    <pic:cNvPicPr/>
                  </pic:nvPicPr>
                  <pic:blipFill>
                    <a:blip r:embed="rId10"/>
                    <a:stretch>
                      <a:fillRect/>
                    </a:stretch>
                  </pic:blipFill>
                  <pic:spPr>
                    <a:xfrm>
                      <a:off x="0" y="0"/>
                      <a:ext cx="2505425" cy="666843"/>
                    </a:xfrm>
                    <a:prstGeom prst="rect">
                      <a:avLst/>
                    </a:prstGeom>
                  </pic:spPr>
                </pic:pic>
              </a:graphicData>
            </a:graphic>
          </wp:inline>
        </w:drawing>
      </w:r>
    </w:p>
    <w:p w14:paraId="5B4717FA" w14:textId="77777777" w:rsidR="00DF0D4E" w:rsidRPr="0056112B" w:rsidRDefault="00DF0D4E" w:rsidP="0056112B">
      <w:pPr>
        <w:spacing w:after="0" w:line="240" w:lineRule="auto"/>
        <w:jc w:val="both"/>
        <w:rPr>
          <w:rFonts w:ascii="Verdana" w:eastAsia="Calibri" w:hAnsi="Verdana" w:cs="Arial"/>
          <w:lang w:val="es-ES_tradnl" w:eastAsia="es-ES"/>
        </w:rPr>
      </w:pPr>
    </w:p>
    <w:p w14:paraId="534E5097" w14:textId="30F844C8" w:rsidR="0056112B" w:rsidRPr="0056112B" w:rsidRDefault="0056112B" w:rsidP="0056112B">
      <w:pPr>
        <w:spacing w:after="0" w:line="240" w:lineRule="auto"/>
        <w:jc w:val="both"/>
        <w:rPr>
          <w:rFonts w:ascii="Verdana" w:eastAsia="Calibri" w:hAnsi="Verdana" w:cs="Arial"/>
          <w:lang w:val="es-ES_tradnl" w:eastAsia="es-ES"/>
        </w:rPr>
      </w:pPr>
      <w:r w:rsidRPr="0056112B">
        <w:rPr>
          <w:rFonts w:ascii="Verdana" w:eastAsia="Calibri" w:hAnsi="Verdana" w:cs="Arial"/>
          <w:lang w:val="es-ES_tradnl" w:eastAsia="es-ES"/>
        </w:rPr>
        <w:t>Señor</w:t>
      </w:r>
      <w:r w:rsidR="000C2E61">
        <w:rPr>
          <w:rFonts w:ascii="Verdana" w:eastAsia="Calibri" w:hAnsi="Verdana" w:cs="Arial"/>
          <w:lang w:val="es-ES_tradnl" w:eastAsia="es-ES"/>
        </w:rPr>
        <w:t xml:space="preserve"> </w:t>
      </w:r>
    </w:p>
    <w:p w14:paraId="7E768C1D" w14:textId="77777777" w:rsidR="0056112B" w:rsidRPr="0056112B" w:rsidRDefault="0056112B" w:rsidP="0056112B">
      <w:pPr>
        <w:spacing w:after="0" w:line="240" w:lineRule="auto"/>
        <w:rPr>
          <w:rFonts w:ascii="Verdana" w:eastAsia="Calibri" w:hAnsi="Verdana" w:cs="Arial"/>
          <w:b/>
          <w:bCs/>
          <w:lang w:val="es-ES" w:eastAsia="es-ES"/>
        </w:rPr>
      </w:pPr>
      <w:r w:rsidRPr="0056112B">
        <w:rPr>
          <w:rFonts w:ascii="Verdana" w:eastAsia="Calibri" w:hAnsi="Verdana" w:cs="Arial"/>
          <w:b/>
          <w:bCs/>
          <w:lang w:val="es-ES" w:eastAsia="es-ES"/>
        </w:rPr>
        <w:t>José Alejandro Martínez Novoa</w:t>
      </w:r>
    </w:p>
    <w:p w14:paraId="24EA3DE1" w14:textId="77777777" w:rsidR="0056112B" w:rsidRPr="0056112B" w:rsidRDefault="0056112B" w:rsidP="0056112B">
      <w:pPr>
        <w:spacing w:after="0" w:line="240" w:lineRule="auto"/>
        <w:rPr>
          <w:rFonts w:ascii="Verdana" w:eastAsia="Calibri" w:hAnsi="Verdana" w:cs="Arial"/>
          <w:lang w:val="es-ES_tradnl" w:eastAsia="es-ES"/>
        </w:rPr>
      </w:pPr>
      <w:r w:rsidRPr="0056112B">
        <w:rPr>
          <w:rFonts w:ascii="Verdana" w:eastAsia="Calibri" w:hAnsi="Verdana" w:cs="Arial"/>
          <w:lang w:val="es-ES_tradnl" w:eastAsia="es-ES"/>
        </w:rPr>
        <w:t>Bogotá, D.C.</w:t>
      </w:r>
    </w:p>
    <w:p w14:paraId="4954B8A1" w14:textId="77777777" w:rsidR="0056112B" w:rsidRPr="0056112B" w:rsidRDefault="0056112B" w:rsidP="0056112B">
      <w:pPr>
        <w:spacing w:after="0" w:line="240" w:lineRule="auto"/>
        <w:rPr>
          <w:rFonts w:ascii="Verdana" w:eastAsia="Calibri" w:hAnsi="Verdana" w:cs="Arial"/>
          <w:b/>
          <w:bCs/>
          <w:lang w:val="es-ES_tradnl" w:eastAsia="es-ES_tradnl"/>
        </w:rPr>
      </w:pPr>
    </w:p>
    <w:p w14:paraId="523BD4CD" w14:textId="77777777" w:rsidR="0056112B" w:rsidRPr="0056112B" w:rsidRDefault="0056112B" w:rsidP="0056112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6112B" w:rsidRPr="0056112B" w14:paraId="04069475" w14:textId="77777777" w:rsidTr="00A72A28">
        <w:trPr>
          <w:trHeight w:val="884"/>
        </w:trPr>
        <w:tc>
          <w:tcPr>
            <w:tcW w:w="2689" w:type="dxa"/>
          </w:tcPr>
          <w:p w14:paraId="5C5F8DEB" w14:textId="77777777" w:rsidR="0056112B" w:rsidRPr="0056112B" w:rsidRDefault="0056112B" w:rsidP="0056112B">
            <w:pPr>
              <w:jc w:val="both"/>
              <w:rPr>
                <w:rFonts w:ascii="Verdana" w:eastAsia="Calibri" w:hAnsi="Verdana" w:cs="Arial"/>
                <w:b/>
                <w:bCs/>
                <w:lang w:val="es-ES_tradnl" w:eastAsia="es-ES_tradnl"/>
              </w:rPr>
            </w:pPr>
          </w:p>
        </w:tc>
        <w:tc>
          <w:tcPr>
            <w:tcW w:w="6100" w:type="dxa"/>
          </w:tcPr>
          <w:p w14:paraId="58D45B38" w14:textId="77777777" w:rsidR="0056112B" w:rsidRPr="0056112B" w:rsidRDefault="0056112B" w:rsidP="0056112B">
            <w:pPr>
              <w:jc w:val="both"/>
              <w:rPr>
                <w:rFonts w:ascii="Verdana" w:eastAsia="Calibri" w:hAnsi="Verdana" w:cs="Arial"/>
                <w:b/>
                <w:bCs/>
                <w:lang w:val="es-ES_tradnl" w:eastAsia="es-ES"/>
              </w:rPr>
            </w:pPr>
            <w:r w:rsidRPr="0056112B">
              <w:rPr>
                <w:rFonts w:ascii="Verdana" w:eastAsia="Calibri" w:hAnsi="Verdana" w:cs="Arial"/>
                <w:b/>
                <w:bCs/>
                <w:lang w:val="es-ES_tradnl" w:eastAsia="es-ES"/>
              </w:rPr>
              <w:t>Concepto C – 947 de 2025</w:t>
            </w:r>
          </w:p>
          <w:p w14:paraId="65BC4DEE" w14:textId="77777777" w:rsidR="0056112B" w:rsidRPr="0056112B" w:rsidRDefault="0056112B" w:rsidP="0056112B">
            <w:pPr>
              <w:tabs>
                <w:tab w:val="left" w:pos="1137"/>
              </w:tabs>
              <w:rPr>
                <w:rFonts w:ascii="Verdana" w:eastAsia="Calibri" w:hAnsi="Verdana" w:cs="Arial"/>
                <w:lang w:val="es-ES_tradnl" w:eastAsia="es-ES"/>
              </w:rPr>
            </w:pPr>
            <w:r w:rsidRPr="0056112B">
              <w:rPr>
                <w:rFonts w:ascii="Verdana" w:eastAsia="Calibri" w:hAnsi="Verdana" w:cs="Arial"/>
                <w:lang w:val="es-ES_tradnl" w:eastAsia="es-ES"/>
              </w:rPr>
              <w:tab/>
            </w:r>
          </w:p>
        </w:tc>
      </w:tr>
      <w:tr w:rsidR="0056112B" w:rsidRPr="0056112B" w14:paraId="0E4E8A96" w14:textId="77777777" w:rsidTr="00A72A28">
        <w:trPr>
          <w:trHeight w:val="884"/>
        </w:trPr>
        <w:tc>
          <w:tcPr>
            <w:tcW w:w="2689" w:type="dxa"/>
          </w:tcPr>
          <w:p w14:paraId="0B79FCB0" w14:textId="77777777" w:rsidR="0056112B" w:rsidRPr="0056112B" w:rsidRDefault="0056112B" w:rsidP="0056112B">
            <w:pPr>
              <w:jc w:val="both"/>
              <w:rPr>
                <w:rFonts w:ascii="Verdana" w:eastAsia="Calibri" w:hAnsi="Verdana" w:cs="Arial"/>
                <w:lang w:val="es-ES_tradnl" w:eastAsia="es-ES_tradnl"/>
              </w:rPr>
            </w:pPr>
            <w:r w:rsidRPr="0056112B">
              <w:rPr>
                <w:rFonts w:ascii="Verdana" w:eastAsia="Calibri" w:hAnsi="Verdana" w:cs="Arial"/>
                <w:b/>
                <w:lang w:val="es-ES_tradnl" w:eastAsia="es-ES_tradnl"/>
              </w:rPr>
              <w:t>Temas:</w:t>
            </w:r>
            <w:r w:rsidRPr="0056112B">
              <w:rPr>
                <w:rFonts w:ascii="Verdana" w:eastAsia="Calibri" w:hAnsi="Verdana" w:cs="Arial"/>
                <w:lang w:val="es-ES_tradnl" w:eastAsia="es-ES_tradnl"/>
              </w:rPr>
              <w:t xml:space="preserve">                   </w:t>
            </w:r>
          </w:p>
        </w:tc>
        <w:tc>
          <w:tcPr>
            <w:tcW w:w="6100" w:type="dxa"/>
          </w:tcPr>
          <w:p w14:paraId="61DF978B" w14:textId="77777777" w:rsidR="0056112B" w:rsidRPr="0056112B" w:rsidRDefault="0056112B" w:rsidP="0056112B">
            <w:pPr>
              <w:spacing w:line="276" w:lineRule="auto"/>
              <w:jc w:val="both"/>
              <w:rPr>
                <w:rFonts w:ascii="Verdana" w:eastAsia="Geomanist Light" w:hAnsi="Verdana" w:cs="Arial"/>
                <w:bCs/>
                <w:lang w:val="es-ES_tradnl"/>
              </w:rPr>
            </w:pPr>
            <w:r w:rsidRPr="0056112B">
              <w:rPr>
                <w:rFonts w:ascii="Verdana" w:eastAsia="Aptos" w:hAnsi="Verdana" w:cs="Arial"/>
                <w:bCs/>
                <w:color w:val="000000"/>
                <w:lang w:val="es-ES_tradnl"/>
              </w:rPr>
              <w:t xml:space="preserve">CAUSALES DE RECHAZO – Principio de legalidad – Configuración – Documentos Tipo / DOCUMENTOS TIPO – Infraestructura de transporte – Versión 4 – Causal de rechazo del literal B – Presentación de distintas propuestas / </w:t>
            </w:r>
            <w:r w:rsidRPr="0056112B">
              <w:rPr>
                <w:rFonts w:ascii="Verdana" w:eastAsia="Calibri" w:hAnsi="Verdana" w:cs="Arial"/>
                <w:bCs/>
                <w:color w:val="000000"/>
                <w:kern w:val="2"/>
                <w:lang w:val="es-ES_tradnl"/>
                <w14:ligatures w14:val="standardContextual"/>
              </w:rPr>
              <w:t>INHABILIDADES E INCOMPATIBILIDADES – Concepto – Principio de legalidad – Interpretación restrictiva</w:t>
            </w:r>
            <w:r w:rsidRPr="0056112B">
              <w:rPr>
                <w:rFonts w:ascii="Verdana" w:eastAsia="Aptos" w:hAnsi="Verdana" w:cs="Arial"/>
                <w:bCs/>
                <w:color w:val="000000"/>
                <w:lang w:val="es-ES_tradnl"/>
              </w:rPr>
              <w:t xml:space="preserve"> / </w:t>
            </w:r>
            <w:r w:rsidRPr="0056112B">
              <w:rPr>
                <w:rFonts w:ascii="Verdana" w:eastAsia="Geomanist Light" w:hAnsi="Verdana" w:cs="Arial"/>
                <w:bCs/>
                <w:lang w:val="es-ES_tradnl"/>
              </w:rPr>
              <w:t>INHABILIDADES E INCOMPATIBILIDADES – Ley 80 de 1993 – Artículo 8 – Literales g) y h) – Socios – Parentesco</w:t>
            </w:r>
          </w:p>
          <w:p w14:paraId="59C5A4C2" w14:textId="77777777" w:rsidR="0056112B" w:rsidRPr="0056112B" w:rsidRDefault="0056112B" w:rsidP="0056112B">
            <w:pPr>
              <w:spacing w:line="276" w:lineRule="auto"/>
              <w:jc w:val="both"/>
              <w:rPr>
                <w:rFonts w:ascii="Verdana" w:eastAsia="Calibri" w:hAnsi="Verdana" w:cs="Arial"/>
                <w:bCs/>
                <w:highlight w:val="yellow"/>
                <w:lang w:val="es-ES_tradnl" w:eastAsia="es-ES"/>
              </w:rPr>
            </w:pPr>
          </w:p>
        </w:tc>
      </w:tr>
      <w:tr w:rsidR="0056112B" w:rsidRPr="0056112B" w14:paraId="448EF11C" w14:textId="77777777" w:rsidTr="00A72A28">
        <w:tc>
          <w:tcPr>
            <w:tcW w:w="2689" w:type="dxa"/>
          </w:tcPr>
          <w:p w14:paraId="76274361" w14:textId="77777777" w:rsidR="0056112B" w:rsidRPr="0056112B" w:rsidRDefault="0056112B" w:rsidP="0056112B">
            <w:pPr>
              <w:jc w:val="both"/>
              <w:rPr>
                <w:rFonts w:ascii="Verdana" w:eastAsia="Calibri" w:hAnsi="Verdana" w:cs="Arial"/>
                <w:b/>
                <w:lang w:val="es-ES_tradnl" w:eastAsia="es-ES_tradnl"/>
              </w:rPr>
            </w:pPr>
            <w:r w:rsidRPr="0056112B">
              <w:rPr>
                <w:rFonts w:ascii="Verdana" w:eastAsia="Calibri" w:hAnsi="Verdana" w:cs="Arial"/>
                <w:b/>
                <w:lang w:val="es-ES_tradnl" w:eastAsia="es-ES_tradnl"/>
              </w:rPr>
              <w:t>Radicación:</w:t>
            </w:r>
            <w:r w:rsidRPr="0056112B">
              <w:rPr>
                <w:rFonts w:ascii="Verdana" w:eastAsia="Calibri" w:hAnsi="Verdana" w:cs="Arial"/>
                <w:lang w:val="es-ES_tradnl" w:eastAsia="es-ES_tradnl"/>
              </w:rPr>
              <w:t xml:space="preserve">               </w:t>
            </w:r>
          </w:p>
        </w:tc>
        <w:tc>
          <w:tcPr>
            <w:tcW w:w="6100" w:type="dxa"/>
          </w:tcPr>
          <w:p w14:paraId="5B50C47E" w14:textId="77777777" w:rsidR="0056112B" w:rsidRPr="0056112B" w:rsidRDefault="0056112B" w:rsidP="0056112B">
            <w:pPr>
              <w:jc w:val="both"/>
              <w:rPr>
                <w:rFonts w:ascii="Verdana" w:eastAsia="Calibri" w:hAnsi="Verdana" w:cs="Arial"/>
                <w:lang w:val="es-ES_tradnl" w:eastAsia="es-ES_tradnl"/>
              </w:rPr>
            </w:pPr>
            <w:r w:rsidRPr="0056112B">
              <w:rPr>
                <w:rFonts w:ascii="Verdana" w:eastAsia="Calibri" w:hAnsi="Verdana" w:cs="Arial"/>
                <w:lang w:val="es-ES_tradnl" w:eastAsia="es-ES_tradnl"/>
              </w:rPr>
              <w:t>Respuesta a consulta con radicado No. 1_2025_07_15_007192</w:t>
            </w:r>
          </w:p>
        </w:tc>
      </w:tr>
    </w:tbl>
    <w:p w14:paraId="3AC4A91F" w14:textId="77777777" w:rsidR="0056112B" w:rsidRPr="0056112B" w:rsidRDefault="0056112B" w:rsidP="0056112B">
      <w:pPr>
        <w:spacing w:after="0" w:line="240" w:lineRule="auto"/>
        <w:jc w:val="both"/>
        <w:rPr>
          <w:rFonts w:ascii="Verdana" w:eastAsia="Calibri" w:hAnsi="Verdana" w:cs="Arial"/>
          <w:lang w:val="es-ES_tradnl" w:eastAsia="es-ES_tradnl"/>
        </w:rPr>
      </w:pPr>
    </w:p>
    <w:p w14:paraId="2598DDF5" w14:textId="77777777" w:rsidR="0056112B" w:rsidRPr="0056112B" w:rsidRDefault="0056112B" w:rsidP="0056112B">
      <w:pPr>
        <w:spacing w:after="0" w:line="240" w:lineRule="auto"/>
        <w:jc w:val="both"/>
        <w:rPr>
          <w:rFonts w:ascii="Verdana" w:eastAsia="Calibri" w:hAnsi="Verdana" w:cs="Arial"/>
          <w:lang w:val="es-ES_tradnl" w:eastAsia="es-ES_tradnl"/>
        </w:rPr>
      </w:pPr>
    </w:p>
    <w:p w14:paraId="7487D5B8" w14:textId="77777777" w:rsidR="0056112B" w:rsidRPr="0056112B" w:rsidRDefault="0056112B" w:rsidP="0056112B">
      <w:pPr>
        <w:spacing w:after="0" w:line="276" w:lineRule="auto"/>
        <w:jc w:val="both"/>
        <w:rPr>
          <w:rFonts w:ascii="Verdana" w:eastAsia="Calibri" w:hAnsi="Verdana" w:cs="Arial"/>
          <w:lang w:val="es-ES" w:eastAsia="es-ES"/>
        </w:rPr>
      </w:pPr>
      <w:r w:rsidRPr="0056112B">
        <w:rPr>
          <w:rFonts w:ascii="Verdana" w:eastAsia="Calibri" w:hAnsi="Verdana" w:cs="Arial"/>
          <w:lang w:val="es-ES" w:eastAsia="es-ES"/>
        </w:rPr>
        <w:t xml:space="preserve">Estimado señor Martínez Novoa: </w:t>
      </w:r>
    </w:p>
    <w:p w14:paraId="1A1EEC42" w14:textId="77777777" w:rsidR="0056112B" w:rsidRPr="0056112B" w:rsidRDefault="0056112B" w:rsidP="0056112B">
      <w:pPr>
        <w:tabs>
          <w:tab w:val="left" w:pos="3768"/>
        </w:tabs>
        <w:spacing w:after="0" w:line="276" w:lineRule="auto"/>
        <w:jc w:val="both"/>
        <w:rPr>
          <w:rFonts w:ascii="Verdana" w:eastAsia="Calibri" w:hAnsi="Verdana" w:cs="Arial"/>
          <w:lang w:val="es-ES_tradnl" w:eastAsia="es-ES"/>
        </w:rPr>
      </w:pPr>
      <w:r w:rsidRPr="0056112B">
        <w:rPr>
          <w:rFonts w:ascii="Verdana" w:eastAsia="Calibri" w:hAnsi="Verdana" w:cs="Arial"/>
          <w:lang w:val="es-ES_tradnl" w:eastAsia="es-ES"/>
        </w:rPr>
        <w:tab/>
      </w:r>
    </w:p>
    <w:p w14:paraId="2F5A4F8F" w14:textId="77777777" w:rsidR="0056112B" w:rsidRPr="0056112B" w:rsidRDefault="0056112B" w:rsidP="0056112B">
      <w:pPr>
        <w:snapToGrid w:val="0"/>
        <w:spacing w:after="0" w:line="276" w:lineRule="auto"/>
        <w:jc w:val="both"/>
        <w:rPr>
          <w:rFonts w:ascii="Verdana" w:eastAsia="Calibri" w:hAnsi="Verdana" w:cs="Arial"/>
          <w:lang w:val="es-ES_tradnl" w:eastAsia="es-ES"/>
        </w:rPr>
      </w:pPr>
      <w:r w:rsidRPr="0056112B">
        <w:rPr>
          <w:rFonts w:ascii="Verdana" w:eastAsia="Calibri" w:hAnsi="Verdana" w:cs="Arial"/>
          <w:lang w:val="es-ES_tradnl" w:eastAsia="es-ES"/>
        </w:rPr>
        <w:t>En ejercicio de la competencia otorgada por los artículos 3, numeral 5º, y 11, numeral 8º, del Decreto Ley 4170 de 2011,</w:t>
      </w:r>
      <w:r w:rsidRPr="0056112B">
        <w:rPr>
          <w:rFonts w:ascii="Verdana" w:eastAsia="Arial MT" w:hAnsi="Verdana" w:cs="Arial MT"/>
          <w:lang w:val="es-ES_tradnl" w:eastAsia="es-ES"/>
        </w:rPr>
        <w:t xml:space="preserve"> </w:t>
      </w:r>
      <w:r w:rsidRPr="0056112B">
        <w:rPr>
          <w:rFonts w:ascii="Verdana" w:eastAsia="Calibri" w:hAnsi="Verdana" w:cs="Arial"/>
          <w:lang w:val="es-ES_tradnl"/>
        </w:rPr>
        <w:t xml:space="preserve">así como lo establecido en el artículo 4 de la Resolución 1707 de 2018 expedida por esta Entidad, </w:t>
      </w:r>
      <w:r w:rsidRPr="0056112B">
        <w:rPr>
          <w:rFonts w:ascii="Verdana" w:eastAsia="Calibri" w:hAnsi="Verdana" w:cs="Arial"/>
          <w:lang w:val="es-ES_tradnl" w:eastAsia="es-ES"/>
        </w:rPr>
        <w:t>la Agencia Nacional de Contratación Pública –Colombia Compra Eficiente– responde su solicitud de consulta de fecha 15 de julio de 2025. En relación con la causal de rechazo del literal B de los documentos tipo de infraestructura de transporte –versión 4–, usted pregunta lo siguiente:</w:t>
      </w:r>
    </w:p>
    <w:p w14:paraId="36AAE18A" w14:textId="77777777" w:rsidR="0056112B" w:rsidRPr="0056112B" w:rsidRDefault="0056112B" w:rsidP="0056112B">
      <w:pPr>
        <w:tabs>
          <w:tab w:val="left" w:pos="142"/>
          <w:tab w:val="left" w:pos="284"/>
        </w:tabs>
        <w:snapToGrid w:val="0"/>
        <w:spacing w:after="0" w:line="240" w:lineRule="auto"/>
        <w:jc w:val="both"/>
        <w:rPr>
          <w:rFonts w:ascii="Verdana" w:eastAsia="Century Gothic" w:hAnsi="Verdana" w:cs="Century Gothic"/>
          <w:b/>
          <w:bCs/>
          <w:lang w:val="es-ES_tradnl"/>
        </w:rPr>
      </w:pPr>
    </w:p>
    <w:p w14:paraId="549B34A3"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lastRenderedPageBreak/>
        <w:t>“1. ¿Puede considerarse que existe doble participación cuando una misma persona jurídica es designada como subcontratista en dos propuestas distintas, sin ser proponente ni integrante de un proponente plural?</w:t>
      </w:r>
    </w:p>
    <w:p w14:paraId="613F3252"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2. Si una persona natural es socia de varias empresas, ¿la presentación de propuestas por parte de dichas empresas configuraría la causal de rechazo prevista en el numeral 1.15 literal B de los Pliegos Tipo versión 4?</w:t>
      </w:r>
    </w:p>
    <w:p w14:paraId="507A5D36"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3. En los casos en que una empresa proponente esté conformada por varias personas jurídicas, ¿los socios de cada una de estas personas jurídicas quedarían impedidos para participar directa o indirectamente en el mismo proceso a través de otras estructuras societarias?</w:t>
      </w:r>
    </w:p>
    <w:p w14:paraId="0156D044"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4. En caso de que la pregunta anterior sea afirmativa, ¿la participación del cónyuge o de familiares de los socios mencionados también constituiría causal de rechazo por configuración de conflicto de intereses o doble participación?</w:t>
      </w:r>
    </w:p>
    <w:p w14:paraId="7A80668A"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5. ¿Hasta qué nivel de participación societaria o encadenamiento empresarial resulta aplicable esta restricción? Esto, en atención a que, en algunos casos, una empresa puede estar conformada por otras empresas, que a su vez tienen estructuras societarias propias, lo que podría generar una interpretación extensiva no deseada.</w:t>
      </w:r>
    </w:p>
    <w:p w14:paraId="2AEAB1EC"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 xml:space="preserve">6. ¿Puede entenderse como doble participación el caso en que una misma firma contable o jurídica asesore a más de un proponente, sin ser parte </w:t>
      </w:r>
      <w:proofErr w:type="gramStart"/>
      <w:r w:rsidRPr="0056112B">
        <w:rPr>
          <w:rFonts w:ascii="Verdana" w:eastAsia="Century Gothic" w:hAnsi="Verdana" w:cs="Century Gothic"/>
          <w:sz w:val="21"/>
          <w:szCs w:val="21"/>
          <w:lang w:val="es-ES"/>
        </w:rPr>
        <w:t>del mismo</w:t>
      </w:r>
      <w:proofErr w:type="gramEnd"/>
      <w:r w:rsidRPr="0056112B">
        <w:rPr>
          <w:rFonts w:ascii="Verdana" w:eastAsia="Century Gothic" w:hAnsi="Verdana" w:cs="Century Gothic"/>
          <w:sz w:val="21"/>
          <w:szCs w:val="21"/>
          <w:lang w:val="es-ES"/>
        </w:rPr>
        <w:t xml:space="preserve"> ni figurar en los documentos de la propuesta?</w:t>
      </w:r>
    </w:p>
    <w:p w14:paraId="08B87E6F"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7. ¿La causal de rechazo resulta aplicable en casos de consorcios o uniones temporales que comparten un integrante con participación minoritaria, cuando no existe control o dirección común?</w:t>
      </w:r>
    </w:p>
    <w:p w14:paraId="28D717AE" w14:textId="77777777" w:rsidR="0056112B" w:rsidRPr="0056112B" w:rsidRDefault="0056112B" w:rsidP="0056112B">
      <w:pPr>
        <w:snapToGrid w:val="0"/>
        <w:spacing w:after="0" w:line="240" w:lineRule="auto"/>
        <w:ind w:left="720" w:right="709"/>
        <w:jc w:val="both"/>
        <w:rPr>
          <w:rFonts w:ascii="Verdana" w:eastAsia="Century Gothic" w:hAnsi="Verdana" w:cs="Century Gothic"/>
          <w:sz w:val="21"/>
          <w:szCs w:val="21"/>
          <w:lang w:val="es-ES"/>
        </w:rPr>
      </w:pPr>
      <w:r w:rsidRPr="0056112B">
        <w:rPr>
          <w:rFonts w:ascii="Verdana" w:eastAsia="Century Gothic" w:hAnsi="Verdana" w:cs="Century Gothic"/>
          <w:sz w:val="21"/>
          <w:szCs w:val="21"/>
          <w:lang w:val="es-ES"/>
        </w:rPr>
        <w:t>8. ¿La causal de rechazo es aplicable únicamente durante la etapa de presentación de propuestas o también puede ser invocada posteriormente durante la etapa de evaluación, aclaración o verificación documental?”</w:t>
      </w:r>
    </w:p>
    <w:p w14:paraId="5EB44042" w14:textId="77777777" w:rsidR="0056112B" w:rsidRPr="0056112B" w:rsidRDefault="0056112B" w:rsidP="0056112B">
      <w:pPr>
        <w:snapToGrid w:val="0"/>
        <w:spacing w:after="0" w:line="240" w:lineRule="auto"/>
        <w:ind w:left="720" w:right="709"/>
        <w:jc w:val="both"/>
        <w:rPr>
          <w:rFonts w:ascii="Verdana" w:eastAsia="Century Gothic" w:hAnsi="Verdana" w:cs="Century Gothic"/>
          <w:lang w:val="es-ES_tradnl"/>
        </w:rPr>
      </w:pPr>
    </w:p>
    <w:p w14:paraId="4411F9D8" w14:textId="77777777" w:rsidR="0056112B" w:rsidRPr="0056112B" w:rsidRDefault="0056112B" w:rsidP="0056112B">
      <w:pPr>
        <w:spacing w:after="120" w:line="276" w:lineRule="auto"/>
        <w:ind w:firstLine="709"/>
        <w:jc w:val="both"/>
        <w:rPr>
          <w:rFonts w:ascii="Verdana" w:eastAsia="Calibri" w:hAnsi="Verdana" w:cs="Arial"/>
          <w:lang w:val="es-ES" w:eastAsia="es-ES"/>
        </w:rPr>
      </w:pPr>
      <w:r w:rsidRPr="0056112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56112B">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56112B">
        <w:rPr>
          <w:rFonts w:ascii="Calibri" w:eastAsia="Calibri" w:hAnsi="Calibri" w:cs="Times New Roman"/>
        </w:rPr>
        <w:tab/>
      </w:r>
    </w:p>
    <w:p w14:paraId="00AAB375" w14:textId="77777777" w:rsidR="0056112B" w:rsidRPr="0056112B" w:rsidRDefault="0056112B" w:rsidP="0056112B">
      <w:pPr>
        <w:snapToGrid w:val="0"/>
        <w:spacing w:after="0" w:line="276" w:lineRule="auto"/>
        <w:ind w:firstLine="709"/>
        <w:jc w:val="both"/>
        <w:rPr>
          <w:rFonts w:ascii="Verdana" w:eastAsia="Calibri" w:hAnsi="Verdana" w:cs="Arial"/>
          <w:lang w:val="es-ES_tradnl" w:eastAsia="es-ES"/>
        </w:rPr>
      </w:pPr>
      <w:r w:rsidRPr="0056112B">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FB336C5" w14:textId="77777777" w:rsidR="0056112B" w:rsidRPr="0056112B" w:rsidRDefault="0056112B" w:rsidP="0056112B">
      <w:pPr>
        <w:snapToGrid w:val="0"/>
        <w:spacing w:after="0" w:line="276" w:lineRule="auto"/>
        <w:ind w:firstLine="709"/>
        <w:jc w:val="both"/>
        <w:rPr>
          <w:rFonts w:ascii="Verdana" w:eastAsia="Calibri" w:hAnsi="Verdana" w:cs="Arial"/>
          <w:lang w:val="es-ES_tradnl" w:eastAsia="es-ES"/>
        </w:rPr>
      </w:pPr>
    </w:p>
    <w:p w14:paraId="0948DDF1" w14:textId="77777777" w:rsidR="0056112B" w:rsidRPr="0056112B" w:rsidRDefault="0056112B" w:rsidP="0056112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6112B">
        <w:rPr>
          <w:rFonts w:ascii="Verdana" w:eastAsia="Century Gothic" w:hAnsi="Verdana" w:cs="Century Gothic"/>
          <w:b/>
          <w:bCs/>
          <w:lang w:val="es-ES_tradnl"/>
        </w:rPr>
        <w:t>Problema planteado:</w:t>
      </w:r>
    </w:p>
    <w:p w14:paraId="4B771245" w14:textId="77777777" w:rsidR="0056112B" w:rsidRPr="0056112B" w:rsidRDefault="0056112B" w:rsidP="0056112B">
      <w:pPr>
        <w:tabs>
          <w:tab w:val="left" w:pos="426"/>
        </w:tabs>
        <w:snapToGrid w:val="0"/>
        <w:spacing w:after="0" w:line="276" w:lineRule="auto"/>
        <w:jc w:val="both"/>
        <w:rPr>
          <w:rFonts w:ascii="Verdana" w:eastAsia="Century Gothic" w:hAnsi="Verdana" w:cs="Century Gothic"/>
          <w:lang w:val="es-ES_tradnl"/>
        </w:rPr>
      </w:pPr>
    </w:p>
    <w:p w14:paraId="3204CD9A" w14:textId="77777777" w:rsidR="0056112B" w:rsidRPr="0056112B" w:rsidRDefault="0056112B" w:rsidP="0056112B">
      <w:pPr>
        <w:snapToGrid w:val="0"/>
        <w:spacing w:after="0" w:line="276" w:lineRule="auto"/>
        <w:jc w:val="both"/>
        <w:rPr>
          <w:rFonts w:ascii="Verdana" w:eastAsia="Century Gothic" w:hAnsi="Verdana" w:cs="Century Gothic"/>
          <w:lang w:val="es-ES"/>
        </w:rPr>
      </w:pPr>
      <w:r w:rsidRPr="2297304B">
        <w:rPr>
          <w:rFonts w:ascii="Verdana" w:eastAsia="Century Gothic" w:hAnsi="Verdana" w:cs="Century Gothic"/>
          <w:lang w:val="es-ES"/>
        </w:rPr>
        <w:t xml:space="preserve">De acuerdo con el contenido de su solicitud, esta Agencia resolverá el siguiente problema jurídico: ¿cuál es el alcance de la causal de rechazo del literal B del numeral 1.15 del documento base de los documentos tipo de licitación de infraestructura de transporte? </w:t>
      </w:r>
    </w:p>
    <w:p w14:paraId="7D5057B8" w14:textId="77777777" w:rsidR="0056112B" w:rsidRPr="0056112B" w:rsidRDefault="0056112B" w:rsidP="0056112B">
      <w:pPr>
        <w:snapToGrid w:val="0"/>
        <w:spacing w:after="0" w:line="276" w:lineRule="auto"/>
        <w:jc w:val="both"/>
        <w:rPr>
          <w:rFonts w:ascii="Verdana" w:eastAsia="Century Gothic" w:hAnsi="Verdana" w:cs="Century Gothic"/>
          <w:lang w:val="es-ES_tradnl"/>
        </w:rPr>
      </w:pPr>
    </w:p>
    <w:p w14:paraId="0E4238B0" w14:textId="77777777" w:rsidR="0056112B" w:rsidRPr="0056112B" w:rsidRDefault="0056112B" w:rsidP="0056112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6112B">
        <w:rPr>
          <w:rFonts w:ascii="Verdana" w:eastAsia="Century Gothic" w:hAnsi="Verdana" w:cs="Century Gothic"/>
          <w:b/>
          <w:bCs/>
          <w:lang w:val="es-ES_tradnl"/>
        </w:rPr>
        <w:t>Respuesta:</w:t>
      </w:r>
    </w:p>
    <w:p w14:paraId="1D8581BF" w14:textId="77777777" w:rsidR="0056112B" w:rsidRPr="0056112B" w:rsidRDefault="0056112B" w:rsidP="0056112B">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6112B" w:rsidRPr="0056112B" w14:paraId="2B153389" w14:textId="77777777" w:rsidTr="00A72A28">
        <w:tc>
          <w:tcPr>
            <w:tcW w:w="8828" w:type="dxa"/>
          </w:tcPr>
          <w:p w14:paraId="25CF2CA4" w14:textId="77777777" w:rsidR="0056112B" w:rsidRPr="0056112B" w:rsidRDefault="0056112B" w:rsidP="0056112B">
            <w:pPr>
              <w:shd w:val="clear" w:color="auto" w:fill="FFFFFF"/>
              <w:snapToGrid w:val="0"/>
              <w:spacing w:after="120" w:line="276" w:lineRule="auto"/>
              <w:jc w:val="both"/>
              <w:textAlignment w:val="baseline"/>
              <w:rPr>
                <w:rFonts w:ascii="Verdana" w:eastAsia="Aptos" w:hAnsi="Verdana" w:cs="Arial"/>
                <w:color w:val="000000"/>
                <w:lang w:val="es-ES_tradnl"/>
              </w:rPr>
            </w:pPr>
            <w:r w:rsidRPr="0056112B">
              <w:rPr>
                <w:rFonts w:ascii="Verdana" w:eastAsia="Aptos" w:hAnsi="Verdana" w:cs="Arial"/>
                <w:color w:val="000000"/>
                <w:lang w:val="es-ES_tradnl"/>
              </w:rPr>
              <w:t>i. La causal de rechazo contenida en el literal B del numeral 1.15 –causales de rechazo– de los documentos tipo de infraestructura de transporte –versión 4–, está prevista para propuestas distintas presentadas por un mismo proponente, escenario que no admite aclaración por parte de la entidad estatal y da lugar al rechazo justificado de las ofertas involucradas.</w:t>
            </w:r>
          </w:p>
          <w:p w14:paraId="17F06885" w14:textId="77777777" w:rsidR="0056112B" w:rsidRPr="0056112B" w:rsidRDefault="0056112B" w:rsidP="2297304B">
            <w:pPr>
              <w:shd w:val="clear" w:color="auto" w:fill="FFFFFF" w:themeFill="background1"/>
              <w:snapToGrid w:val="0"/>
              <w:spacing w:after="120" w:line="276" w:lineRule="auto"/>
              <w:ind w:firstLine="708"/>
              <w:jc w:val="both"/>
              <w:textAlignment w:val="baseline"/>
              <w:rPr>
                <w:rFonts w:ascii="Verdana" w:eastAsia="Aptos" w:hAnsi="Verdana" w:cs="Arial"/>
                <w:color w:val="000000"/>
                <w:lang w:val="es-ES"/>
              </w:rPr>
            </w:pPr>
            <w:r w:rsidRPr="2297304B">
              <w:rPr>
                <w:rFonts w:ascii="Verdana" w:eastAsia="Aptos" w:hAnsi="Verdana" w:cs="Arial"/>
                <w:color w:val="000000" w:themeColor="text1"/>
                <w:lang w:val="es-ES"/>
              </w:rPr>
              <w:t xml:space="preserve">En ese sentido, es importante señalar que la causal distingue de si se trata de un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2297304B">
              <w:rPr>
                <w:rFonts w:ascii="Verdana" w:eastAsia="Aptos" w:hAnsi="Verdana" w:cs="Arial"/>
                <w:color w:val="000000" w:themeColor="text1"/>
                <w:lang w:val="es-ES"/>
              </w:rPr>
              <w:t>ii</w:t>
            </w:r>
            <w:proofErr w:type="spellEnd"/>
            <w:r w:rsidRPr="2297304B">
              <w:rPr>
                <w:rFonts w:ascii="Verdana" w:eastAsia="Aptos" w:hAnsi="Verdana" w:cs="Arial"/>
                <w:color w:val="000000" w:themeColor="text1"/>
                <w:lang w:val="es-ES"/>
              </w:rPr>
              <w:t>) un mismo integrante de una estructura plural es oferente o hace parte en más de una oferta en el mismo proceso de contratación.</w:t>
            </w:r>
          </w:p>
          <w:p w14:paraId="7CE68117" w14:textId="77777777" w:rsidR="0056112B" w:rsidRPr="0056112B" w:rsidRDefault="0056112B" w:rsidP="2297304B">
            <w:pPr>
              <w:shd w:val="clear" w:color="auto" w:fill="FFFFFF" w:themeFill="background1"/>
              <w:snapToGrid w:val="0"/>
              <w:spacing w:after="120" w:line="276" w:lineRule="auto"/>
              <w:ind w:firstLine="709"/>
              <w:jc w:val="both"/>
              <w:textAlignment w:val="baseline"/>
              <w:rPr>
                <w:rFonts w:ascii="Verdana" w:eastAsia="Aptos" w:hAnsi="Verdana" w:cs="Arial"/>
                <w:color w:val="000000"/>
                <w:lang w:val="es-ES"/>
              </w:rPr>
            </w:pPr>
            <w:r w:rsidRPr="2297304B">
              <w:rPr>
                <w:rFonts w:ascii="Verdana" w:eastAsia="Aptos" w:hAnsi="Verdana" w:cs="Arial"/>
                <w:color w:val="000000" w:themeColor="text1"/>
                <w:lang w:val="es-ES"/>
              </w:rPr>
              <w:t xml:space="preserve">Esta causal está dirigida a evitar que un mismo proponente presente de manera individual más de una propuesta o haga parte en más de una oferta para un mismo proceso de contratación. Por lo tanto, para que opere la causal, debe tratarse de un proponente persona natural o jurídica, o de un integrante de un proponente plural [consorcio o unión temporal], de manera que, </w:t>
            </w:r>
            <w:r w:rsidRPr="2297304B">
              <w:rPr>
                <w:rFonts w:ascii="Verdana" w:eastAsia="Aptos" w:hAnsi="Verdana" w:cs="Arial"/>
                <w:i/>
                <w:color w:val="000000" w:themeColor="text1"/>
                <w:lang w:val="es-ES"/>
              </w:rPr>
              <w:t>stricto sensu,</w:t>
            </w:r>
            <w:r w:rsidRPr="2297304B">
              <w:rPr>
                <w:rFonts w:ascii="Verdana" w:eastAsia="Aptos" w:hAnsi="Verdana" w:cs="Arial"/>
                <w:color w:val="000000" w:themeColor="text1"/>
                <w:lang w:val="es-ES"/>
              </w:rPr>
              <w:t xml:space="preserve"> no resulta aplicable cuando se trate de supuestos en los que un proponente tiene algún tipo de relación societaria o parentesco frente a otro </w:t>
            </w:r>
            <w:r w:rsidRPr="2297304B">
              <w:rPr>
                <w:rFonts w:ascii="Verdana" w:eastAsia="Aptos" w:hAnsi="Verdana" w:cs="Arial"/>
                <w:color w:val="000000" w:themeColor="text1"/>
                <w:lang w:val="es-ES"/>
              </w:rPr>
              <w:lastRenderedPageBreak/>
              <w:t>oferente, tenido en cuenta la interpretación restrictiva que se predica de las causales de rechazo, sin perjuicio de que, eventualmente, resulte aplicable otra causal de rechazo, o alguna de las inhabilitades e incompatibilidades señaladas en la ley.</w:t>
            </w:r>
          </w:p>
          <w:p w14:paraId="31F35A33" w14:textId="77777777" w:rsidR="0056112B" w:rsidRPr="0056112B" w:rsidRDefault="0056112B" w:rsidP="2297304B">
            <w:pPr>
              <w:shd w:val="clear" w:color="auto" w:fill="FFFFFF" w:themeFill="background1"/>
              <w:spacing w:after="120" w:line="276" w:lineRule="auto"/>
              <w:ind w:firstLine="709"/>
              <w:jc w:val="both"/>
              <w:textAlignment w:val="baseline"/>
              <w:rPr>
                <w:rFonts w:ascii="Verdana" w:eastAsia="Aptos" w:hAnsi="Verdana" w:cs="Arial"/>
                <w:color w:val="000000"/>
                <w:lang w:val="es-ES"/>
              </w:rPr>
            </w:pPr>
            <w:r w:rsidRPr="2297304B">
              <w:rPr>
                <w:rFonts w:ascii="Verdana" w:eastAsia="Aptos" w:hAnsi="Verdana" w:cs="Arial"/>
                <w:color w:val="000000" w:themeColor="text1"/>
                <w:lang w:val="es-ES"/>
              </w:rPr>
              <w:t xml:space="preserve">Ahora bien, tratándose de proponentes plurales, la causal del literal B del documento base no hace ningún tipo de distinción respecto a la participación de sus integrantes para su aplicación. Por esta razón, indistintamente del porcentaje de participación del integrante del consorcio o unión temporal, cuando </w:t>
            </w:r>
            <w:proofErr w:type="spellStart"/>
            <w:r w:rsidRPr="2297304B">
              <w:rPr>
                <w:rFonts w:ascii="Verdana" w:eastAsia="Aptos" w:hAnsi="Verdana" w:cs="Arial"/>
                <w:color w:val="000000" w:themeColor="text1"/>
                <w:lang w:val="es-ES"/>
              </w:rPr>
              <w:t>este</w:t>
            </w:r>
            <w:proofErr w:type="spellEnd"/>
            <w:r w:rsidRPr="2297304B">
              <w:rPr>
                <w:rFonts w:ascii="Verdana" w:eastAsia="Aptos" w:hAnsi="Verdana" w:cs="Arial"/>
                <w:color w:val="000000" w:themeColor="text1"/>
                <w:lang w:val="es-ES"/>
              </w:rPr>
              <w:t xml:space="preserve"> presente otra oferta de manera individual o haga parte en más de una oferta para el mismo proceso de contratación, es procedente el rechazo de las ofertas involucradas en el supuesto descrito en la causal. </w:t>
            </w:r>
          </w:p>
          <w:p w14:paraId="5FD82055" w14:textId="77777777" w:rsidR="0056112B" w:rsidRPr="0056112B" w:rsidRDefault="0056112B" w:rsidP="0056112B">
            <w:pPr>
              <w:shd w:val="clear" w:color="auto" w:fill="FFFFFF"/>
              <w:spacing w:line="276" w:lineRule="auto"/>
              <w:ind w:firstLine="709"/>
              <w:jc w:val="both"/>
              <w:textAlignment w:val="baseline"/>
              <w:rPr>
                <w:rFonts w:ascii="Verdana" w:eastAsia="Aptos" w:hAnsi="Verdana" w:cs="Arial"/>
                <w:color w:val="000000"/>
                <w:lang w:val="es-ES_tradnl"/>
              </w:rPr>
            </w:pPr>
            <w:r w:rsidRPr="0056112B">
              <w:rPr>
                <w:rFonts w:ascii="Verdana" w:eastAsia="Aptos" w:hAnsi="Verdana" w:cs="Arial"/>
                <w:color w:val="000000"/>
                <w:lang w:val="es-ES_tradnl"/>
              </w:rPr>
              <w:t xml:space="preserve">En cualquier caso, resulta necesario acotar que el rechazo de la oferta debe realizarse antes de la adjudicación, toda vez que, en virtud del principio de selección objetiva con base en el cual debe escogerse el contratista, no es posible adjudicar el contrato a un oferente que no cumpla con todas las condiciones establecidas en el pliego de condiciones tipo o se encuentre en alguno de los supuestos que amerita el rechazo de la propuesta. </w:t>
            </w:r>
          </w:p>
          <w:p w14:paraId="015D3380" w14:textId="77777777" w:rsidR="0056112B" w:rsidRPr="0056112B" w:rsidRDefault="0056112B" w:rsidP="0056112B">
            <w:pPr>
              <w:shd w:val="clear" w:color="auto" w:fill="FFFFFF"/>
              <w:spacing w:line="276" w:lineRule="auto"/>
              <w:jc w:val="both"/>
              <w:textAlignment w:val="baseline"/>
              <w:rPr>
                <w:rFonts w:ascii="Verdana" w:eastAsia="Aptos" w:hAnsi="Verdana" w:cs="Arial"/>
                <w:color w:val="000000"/>
                <w:lang w:val="es-ES_tradnl"/>
              </w:rPr>
            </w:pPr>
          </w:p>
          <w:p w14:paraId="6F8D6813" w14:textId="77777777" w:rsidR="0056112B" w:rsidRPr="0056112B" w:rsidRDefault="0056112B" w:rsidP="0056112B">
            <w:pPr>
              <w:shd w:val="clear" w:color="auto" w:fill="FFFFFF"/>
              <w:spacing w:after="120" w:line="276" w:lineRule="auto"/>
              <w:jc w:val="both"/>
              <w:textAlignment w:val="baseline"/>
              <w:rPr>
                <w:rFonts w:ascii="Verdana" w:eastAsia="Arial MT" w:hAnsi="Verdana" w:cs="Arial"/>
                <w:lang w:eastAsia="es-ES" w:bidi="es-ES"/>
              </w:rPr>
            </w:pPr>
            <w:proofErr w:type="spellStart"/>
            <w:r w:rsidRPr="0056112B">
              <w:rPr>
                <w:rFonts w:ascii="Verdana" w:eastAsia="Arial MT" w:hAnsi="Verdana" w:cs="Arial"/>
                <w:lang w:eastAsia="es-ES" w:bidi="es-ES"/>
              </w:rPr>
              <w:t>ii</w:t>
            </w:r>
            <w:proofErr w:type="spellEnd"/>
            <w:r w:rsidRPr="0056112B">
              <w:rPr>
                <w:rFonts w:ascii="Verdana" w:eastAsia="Arial MT" w:hAnsi="Verdana" w:cs="Arial"/>
                <w:lang w:eastAsia="es-ES" w:bidi="es-ES"/>
              </w:rPr>
              <w:t>. Por otra parte,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contratación pública adelantados por las entidades estatales, según sea el caso.</w:t>
            </w:r>
          </w:p>
          <w:p w14:paraId="1EDE920C" w14:textId="77777777" w:rsidR="0056112B" w:rsidRPr="0056112B" w:rsidRDefault="0056112B" w:rsidP="0056112B">
            <w:pPr>
              <w:shd w:val="clear" w:color="auto" w:fill="FFFFFF"/>
              <w:spacing w:after="120" w:line="276" w:lineRule="auto"/>
              <w:ind w:firstLine="709"/>
              <w:jc w:val="both"/>
              <w:textAlignment w:val="baseline"/>
              <w:rPr>
                <w:rFonts w:ascii="Verdana" w:eastAsia="Aptos" w:hAnsi="Verdana" w:cs="Arial"/>
                <w:color w:val="000000"/>
                <w:bdr w:val="none" w:sz="0" w:space="0" w:color="auto" w:frame="1"/>
                <w:lang w:val="es-MX"/>
              </w:rPr>
            </w:pPr>
            <w:r w:rsidRPr="0056112B">
              <w:rPr>
                <w:rFonts w:ascii="Verdana" w:eastAsia="Arial MT" w:hAnsi="Verdana" w:cs="Arial"/>
                <w:lang w:eastAsia="es-ES" w:bidi="es-ES"/>
              </w:rPr>
              <w:t>Teniendo en cuenta su consulta, es importante señalar que el artículo 8 de la Ley 80 de 1993 contempla, entre otros, dos (2) supuestos de inhabilidad que se relacionan con la situación planteada respecto al rechazo de la oferta por presentación de más de una propuesta, contenidos en los literales g) y h).</w:t>
            </w:r>
          </w:p>
          <w:p w14:paraId="5B95A003" w14:textId="77777777" w:rsidR="0056112B" w:rsidRPr="0056112B" w:rsidRDefault="0056112B" w:rsidP="0056112B">
            <w:pPr>
              <w:shd w:val="clear" w:color="auto" w:fill="FFFFFF"/>
              <w:spacing w:after="120" w:line="276" w:lineRule="auto"/>
              <w:ind w:firstLine="709"/>
              <w:jc w:val="both"/>
              <w:textAlignment w:val="baseline"/>
              <w:rPr>
                <w:rFonts w:ascii="Verdana" w:eastAsia="Aptos" w:hAnsi="Verdana" w:cs="Arial"/>
                <w:color w:val="000000"/>
                <w:lang w:val="es-ES_tradnl"/>
              </w:rPr>
            </w:pPr>
            <w:r w:rsidRPr="0056112B">
              <w:rPr>
                <w:rFonts w:ascii="Verdana" w:eastAsia="Aptos" w:hAnsi="Verdana" w:cs="Arial"/>
                <w:color w:val="000000"/>
                <w:lang w:val="es-ES_tradnl"/>
              </w:rPr>
              <w:t xml:space="preserve">Normalmente, cuando se presenta una restricción que limita la participación de sociedades o personas jurídicas en procesos de contratación, las normas indican si aquella se extiende, también, a los socios. Por lo tanto, si la norma no restringe de manera expresa, no le es dable al intérprete realizar interpretaciones extensivas que limiten la participación. </w:t>
            </w:r>
          </w:p>
          <w:p w14:paraId="16288223" w14:textId="77777777" w:rsidR="0056112B" w:rsidRPr="0056112B" w:rsidRDefault="0056112B" w:rsidP="2297304B">
            <w:pPr>
              <w:shd w:val="clear" w:color="auto" w:fill="FFFFFF" w:themeFill="background1"/>
              <w:spacing w:line="276" w:lineRule="auto"/>
              <w:ind w:firstLine="709"/>
              <w:jc w:val="both"/>
              <w:textAlignment w:val="baseline"/>
              <w:rPr>
                <w:rFonts w:ascii="Verdana" w:eastAsia="Aptos" w:hAnsi="Verdana" w:cs="Arial"/>
                <w:color w:val="000000"/>
                <w:lang w:val="es-ES"/>
              </w:rPr>
            </w:pPr>
            <w:r w:rsidRPr="2297304B">
              <w:rPr>
                <w:rFonts w:ascii="Verdana" w:eastAsia="Aptos" w:hAnsi="Verdana" w:cs="Arial"/>
                <w:color w:val="000000" w:themeColor="text1"/>
                <w:lang w:val="es-ES"/>
              </w:rPr>
              <w:lastRenderedPageBreak/>
              <w:t xml:space="preserve">En todo caso, corresponde a las entidades estatales y a los particulares revisar si se presenta alguna situación que pueda derivar en el rechazo de la oferta o algún supuesto de inhabilidad o incompatibilidad que limite la participación en los procesos de contratación, incluso, en aquellos adelantados con documentos tipo. Esto, con el fin de que adelanten las actuaciones procedentes, en el marco de sus competencias, de manera que se garantice el desarrollo adecuado del respectivo proceso. </w:t>
            </w:r>
          </w:p>
        </w:tc>
      </w:tr>
    </w:tbl>
    <w:p w14:paraId="6766D8CC" w14:textId="77777777" w:rsidR="0056112B" w:rsidRPr="0056112B" w:rsidRDefault="0056112B" w:rsidP="0056112B">
      <w:pPr>
        <w:tabs>
          <w:tab w:val="left" w:pos="142"/>
          <w:tab w:val="left" w:pos="284"/>
        </w:tabs>
        <w:snapToGrid w:val="0"/>
        <w:spacing w:after="0" w:line="276" w:lineRule="auto"/>
        <w:jc w:val="both"/>
        <w:rPr>
          <w:rFonts w:ascii="Verdana" w:eastAsia="Century Gothic" w:hAnsi="Verdana" w:cs="Century Gothic"/>
          <w:b/>
          <w:bCs/>
          <w:lang w:val="es-ES_tradnl"/>
        </w:rPr>
      </w:pPr>
    </w:p>
    <w:p w14:paraId="6F97F5A1" w14:textId="77777777" w:rsidR="0056112B" w:rsidRPr="0056112B" w:rsidRDefault="0056112B" w:rsidP="0056112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6112B">
        <w:rPr>
          <w:rFonts w:ascii="Verdana" w:eastAsia="Century Gothic" w:hAnsi="Verdana" w:cs="Century Gothic"/>
          <w:b/>
          <w:bCs/>
          <w:lang w:val="es-ES_tradnl"/>
        </w:rPr>
        <w:t>Razones de la respuesta:</w:t>
      </w:r>
    </w:p>
    <w:p w14:paraId="33B7146E" w14:textId="77777777" w:rsidR="0056112B" w:rsidRPr="0056112B" w:rsidRDefault="0056112B" w:rsidP="0056112B">
      <w:pPr>
        <w:snapToGrid w:val="0"/>
        <w:spacing w:after="0" w:line="276" w:lineRule="auto"/>
        <w:jc w:val="both"/>
        <w:rPr>
          <w:rFonts w:ascii="Verdana" w:eastAsia="Calibri" w:hAnsi="Verdana" w:cs="Arial"/>
          <w:lang w:val="es-ES_tradnl"/>
        </w:rPr>
      </w:pPr>
    </w:p>
    <w:p w14:paraId="11978C04" w14:textId="77777777" w:rsidR="0056112B" w:rsidRPr="0056112B" w:rsidRDefault="0056112B" w:rsidP="0056112B">
      <w:pPr>
        <w:snapToGrid w:val="0"/>
        <w:spacing w:after="0" w:line="276" w:lineRule="auto"/>
        <w:jc w:val="both"/>
        <w:rPr>
          <w:rFonts w:ascii="Verdana" w:eastAsia="Calibri" w:hAnsi="Verdana" w:cs="Arial"/>
          <w:lang w:val="es-ES_tradnl"/>
        </w:rPr>
      </w:pPr>
      <w:r w:rsidRPr="0056112B">
        <w:rPr>
          <w:rFonts w:ascii="Verdana" w:eastAsia="Calibri" w:hAnsi="Verdana" w:cs="Arial"/>
          <w:lang w:val="es-ES_tradnl"/>
        </w:rPr>
        <w:t xml:space="preserve">Lo anterior se sustenta en las siguientes consideraciones: </w:t>
      </w:r>
    </w:p>
    <w:p w14:paraId="7DE336F0" w14:textId="77777777" w:rsidR="0056112B" w:rsidRPr="0056112B" w:rsidRDefault="0056112B" w:rsidP="0056112B">
      <w:pPr>
        <w:snapToGrid w:val="0"/>
        <w:spacing w:after="0" w:line="276" w:lineRule="auto"/>
        <w:jc w:val="both"/>
        <w:rPr>
          <w:rFonts w:ascii="Verdana" w:eastAsia="Calibri" w:hAnsi="Verdana" w:cs="Arial"/>
          <w:lang w:val="es-ES_tradnl"/>
        </w:rPr>
      </w:pPr>
    </w:p>
    <w:p w14:paraId="10BF8BF4" w14:textId="77777777" w:rsidR="0056112B" w:rsidRPr="0056112B" w:rsidRDefault="0056112B" w:rsidP="0056112B">
      <w:pPr>
        <w:snapToGrid w:val="0"/>
        <w:spacing w:after="120" w:line="276" w:lineRule="auto"/>
        <w:jc w:val="both"/>
        <w:rPr>
          <w:rFonts w:ascii="Verdana" w:eastAsia="Calibri" w:hAnsi="Verdana" w:cs="Arial"/>
          <w:lang w:val="es-ES_tradnl"/>
        </w:rPr>
      </w:pPr>
      <w:r w:rsidRPr="0056112B">
        <w:rPr>
          <w:rFonts w:ascii="Verdana" w:eastAsia="Calibri" w:hAnsi="Verdana" w:cs="Arial"/>
          <w:lang w:val="es-ES_tradnl"/>
        </w:rPr>
        <w:t>i. 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1F68BF5F" w14:textId="77777777" w:rsidR="0056112B" w:rsidRPr="0056112B" w:rsidRDefault="0056112B" w:rsidP="0056112B">
      <w:pPr>
        <w:snapToGrid w:val="0"/>
        <w:spacing w:after="120" w:line="276" w:lineRule="auto"/>
        <w:ind w:firstLine="709"/>
        <w:jc w:val="both"/>
        <w:rPr>
          <w:rFonts w:ascii="Verdana" w:eastAsia="Calibri" w:hAnsi="Verdana" w:cs="Arial"/>
          <w:lang w:val="es-ES_tradnl"/>
        </w:rPr>
      </w:pPr>
      <w:r w:rsidRPr="0056112B">
        <w:rPr>
          <w:rFonts w:ascii="Verdana" w:eastAsia="Calibri" w:hAnsi="Verdana" w:cs="Arial"/>
          <w:lang w:val="es-ES_tradnl"/>
        </w:rPr>
        <w:t>Recientemente, la Agencia Nacional de Contratación Pública – Colombia Compra Eficiente expidió los documentos tipo para procesos de contratación de obra pública de infraestructura de transporte adelantados bajo las modalidades de selección de licitación pública –versión 4–, selección abreviada de menor cuantía –versión 3– y mínima cuantía –versión 2 con modificaciones–, mediante las resoluciones 465, 463 y 464 de 2024, respectivamente. Estos documentos tipo entraron en vigor para procesos de contratación cuyo aviso de convocatoria o invitación se publique a partir del 3 de febrero de 2025.</w:t>
      </w:r>
      <w:r w:rsidRPr="0056112B">
        <w:rPr>
          <w:rFonts w:ascii="Verdana" w:eastAsia="Calibri" w:hAnsi="Verdana" w:cs="Arial"/>
          <w:vertAlign w:val="superscript"/>
          <w:lang w:val="es-ES_tradnl"/>
        </w:rPr>
        <w:footnoteReference w:id="1"/>
      </w:r>
    </w:p>
    <w:p w14:paraId="10826E0A" w14:textId="77777777" w:rsidR="0056112B" w:rsidRPr="0056112B" w:rsidRDefault="0056112B" w:rsidP="0056112B">
      <w:pPr>
        <w:snapToGrid w:val="0"/>
        <w:spacing w:after="0" w:line="276" w:lineRule="auto"/>
        <w:ind w:firstLine="709"/>
        <w:jc w:val="both"/>
        <w:rPr>
          <w:rFonts w:ascii="Verdana" w:eastAsia="Calibri" w:hAnsi="Verdana" w:cs="Arial"/>
          <w:kern w:val="2"/>
          <w:lang w:val="es-ES"/>
          <w14:ligatures w14:val="standardContextual"/>
        </w:rPr>
      </w:pPr>
      <w:r w:rsidRPr="0056112B">
        <w:rPr>
          <w:rFonts w:ascii="Verdana" w:eastAsia="Calibri" w:hAnsi="Verdana" w:cs="Arial"/>
          <w:kern w:val="2"/>
          <w:lang w:val="es-ES_tradnl"/>
          <w14:ligatures w14:val="standardContextual"/>
        </w:rPr>
        <w:t>Es importante señalar que,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56112B">
        <w:rPr>
          <w:rFonts w:ascii="Verdana" w:eastAsia="Calibri" w:hAnsi="Verdana" w:cs="Arial"/>
          <w:i/>
          <w:iCs/>
          <w:kern w:val="2"/>
          <w:vertAlign w:val="superscript"/>
          <w:lang w:val="es-ES_tradnl"/>
          <w14:ligatures w14:val="standardContextual"/>
        </w:rPr>
        <w:footnoteReference w:id="2"/>
      </w:r>
      <w:r w:rsidRPr="0056112B">
        <w:rPr>
          <w:rFonts w:ascii="Verdana" w:eastAsia="Calibri" w:hAnsi="Verdana" w:cs="Arial"/>
          <w:kern w:val="2"/>
          <w:lang w:val="es-ES_tradnl"/>
          <w14:ligatures w14:val="standardContextual"/>
        </w:rPr>
        <w:t xml:space="preserve"> señala:</w:t>
      </w:r>
    </w:p>
    <w:p w14:paraId="76C436E4" w14:textId="77777777" w:rsidR="0056112B" w:rsidRPr="0056112B" w:rsidRDefault="0056112B" w:rsidP="0056112B">
      <w:pPr>
        <w:tabs>
          <w:tab w:val="left" w:pos="709"/>
        </w:tabs>
        <w:spacing w:after="0" w:line="276" w:lineRule="auto"/>
        <w:jc w:val="both"/>
        <w:rPr>
          <w:rFonts w:ascii="Verdana" w:eastAsia="Calibri" w:hAnsi="Verdana" w:cs="Arial"/>
          <w:kern w:val="2"/>
          <w:lang w:val="es-ES_tradnl"/>
          <w14:ligatures w14:val="standardContextual"/>
        </w:rPr>
      </w:pPr>
    </w:p>
    <w:p w14:paraId="607AD10C" w14:textId="77777777" w:rsidR="0056112B" w:rsidRPr="0056112B" w:rsidRDefault="0056112B" w:rsidP="0056112B">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r w:rsidRPr="0056112B">
        <w:rPr>
          <w:rFonts w:ascii="Verdana" w:eastAsia="Calibri" w:hAnsi="Verdana" w:cs="Arial"/>
          <w:kern w:val="2"/>
          <w:sz w:val="21"/>
          <w:szCs w:val="21"/>
          <w:lang w:val="es-ES"/>
          <w14:ligatures w14:val="standardContextual"/>
        </w:rPr>
        <w:lastRenderedPageBreak/>
        <w:t xml:space="preserve">“Quiere con esto destacar la Sala que las causales de rechazo de las propuestas pueden ser legales y por lo mismo generan el efecto del descarte o exclusión de la oferta </w:t>
      </w:r>
      <w:proofErr w:type="spellStart"/>
      <w:r w:rsidRPr="0056112B">
        <w:rPr>
          <w:rFonts w:ascii="Verdana" w:eastAsia="Calibri" w:hAnsi="Verdana" w:cs="Arial"/>
          <w:kern w:val="2"/>
          <w:sz w:val="21"/>
          <w:szCs w:val="21"/>
          <w:lang w:val="es-ES"/>
          <w14:ligatures w14:val="standardContextual"/>
        </w:rPr>
        <w:t>ope</w:t>
      </w:r>
      <w:proofErr w:type="spellEnd"/>
      <w:r w:rsidRPr="0056112B">
        <w:rPr>
          <w:rFonts w:ascii="Verdana" w:eastAsia="Calibri" w:hAnsi="Verdana" w:cs="Arial"/>
          <w:kern w:val="2"/>
          <w:sz w:val="21"/>
          <w:szCs w:val="21"/>
          <w:lang w:val="es-ES"/>
          <w14:ligatures w14:val="standardContextual"/>
        </w:rPr>
        <w:t xml:space="preserve"> </w:t>
      </w:r>
      <w:proofErr w:type="spellStart"/>
      <w:r w:rsidRPr="0056112B">
        <w:rPr>
          <w:rFonts w:ascii="Verdana" w:eastAsia="Calibri" w:hAnsi="Verdana" w:cs="Arial"/>
          <w:kern w:val="2"/>
          <w:sz w:val="21"/>
          <w:szCs w:val="21"/>
          <w:lang w:val="es-ES"/>
          <w14:ligatures w14:val="standardContextual"/>
        </w:rPr>
        <w:t>legis</w:t>
      </w:r>
      <w:proofErr w:type="spellEnd"/>
      <w:r w:rsidRPr="0056112B">
        <w:rPr>
          <w:rFonts w:ascii="Verdana" w:eastAsia="Calibri" w:hAnsi="Verdana" w:cs="Arial"/>
          <w:kern w:val="2"/>
          <w:sz w:val="21"/>
          <w:szCs w:val="21"/>
          <w:lang w:val="es-ES"/>
          <w14:ligatures w14:val="standardContextual"/>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62B29BE3" w14:textId="77777777" w:rsidR="0056112B" w:rsidRPr="0056112B" w:rsidRDefault="0056112B" w:rsidP="0056112B">
      <w:pPr>
        <w:spacing w:after="0" w:line="276" w:lineRule="auto"/>
        <w:ind w:firstLine="708"/>
        <w:jc w:val="both"/>
        <w:rPr>
          <w:rFonts w:ascii="Verdana" w:eastAsia="Calibri" w:hAnsi="Verdana" w:cs="Arial"/>
          <w:kern w:val="2"/>
          <w:lang w:val="es-ES_tradnl"/>
          <w14:ligatures w14:val="standardContextual"/>
        </w:rPr>
      </w:pPr>
    </w:p>
    <w:p w14:paraId="79134E32" w14:textId="77777777" w:rsidR="0056112B" w:rsidRPr="0056112B" w:rsidRDefault="0056112B" w:rsidP="0056112B">
      <w:pPr>
        <w:snapToGrid w:val="0"/>
        <w:spacing w:after="0" w:line="276" w:lineRule="auto"/>
        <w:ind w:firstLine="709"/>
        <w:jc w:val="both"/>
        <w:rPr>
          <w:rFonts w:ascii="Verdana" w:eastAsia="Calibri" w:hAnsi="Verdana" w:cs="Arial"/>
          <w:kern w:val="2"/>
          <w:lang w:val="es-ES_tradnl"/>
          <w14:ligatures w14:val="standardContextual"/>
        </w:rPr>
      </w:pPr>
      <w:bookmarkStart w:id="1" w:name="_Hlk207200434"/>
      <w:r w:rsidRPr="0056112B">
        <w:rPr>
          <w:rFonts w:ascii="Verdana" w:eastAsia="Calibri" w:hAnsi="Verdana" w:cs="Arial"/>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56112B">
        <w:rPr>
          <w:rFonts w:ascii="Aptos" w:eastAsia="Aptos" w:hAnsi="Aptos" w:cs="Times New Roman"/>
          <w:i/>
          <w:kern w:val="2"/>
          <w:sz w:val="24"/>
          <w:szCs w:val="24"/>
          <w:vertAlign w:val="superscript"/>
          <w:lang w:val="es-ES_tradnl"/>
          <w14:ligatures w14:val="standardContextual"/>
        </w:rPr>
        <w:footnoteReference w:id="3"/>
      </w:r>
      <w:r w:rsidRPr="0056112B">
        <w:rPr>
          <w:rFonts w:ascii="Verdana" w:eastAsia="Calibri" w:hAnsi="Verdana" w:cs="Arial"/>
          <w:kern w:val="2"/>
          <w:lang w:val="es-ES_tradnl"/>
          <w14:ligatures w14:val="standardContextual"/>
        </w:rPr>
        <w:t xml:space="preserve"> sostuvo: </w:t>
      </w:r>
    </w:p>
    <w:bookmarkEnd w:id="1"/>
    <w:p w14:paraId="74ABC23B" w14:textId="77777777" w:rsidR="0056112B" w:rsidRPr="0056112B" w:rsidRDefault="0056112B" w:rsidP="0056112B">
      <w:pPr>
        <w:spacing w:after="0" w:line="276" w:lineRule="auto"/>
        <w:ind w:left="709" w:right="709"/>
        <w:jc w:val="both"/>
        <w:rPr>
          <w:rFonts w:ascii="Verdana" w:eastAsia="Times New Roman" w:hAnsi="Verdana" w:cs="Arial"/>
          <w:bCs/>
          <w:iCs/>
          <w:kern w:val="2"/>
          <w:lang w:val="es-ES_tradnl" w:eastAsia="es-MX"/>
          <w14:ligatures w14:val="standardContextual"/>
        </w:rPr>
      </w:pPr>
    </w:p>
    <w:p w14:paraId="7C474B30" w14:textId="77777777" w:rsidR="0056112B" w:rsidRPr="0056112B" w:rsidRDefault="0056112B" w:rsidP="0056112B">
      <w:pPr>
        <w:spacing w:after="0" w:line="240" w:lineRule="auto"/>
        <w:ind w:left="709" w:right="709"/>
        <w:jc w:val="both"/>
        <w:rPr>
          <w:rFonts w:ascii="Verdana" w:eastAsia="Times New Roman" w:hAnsi="Verdana" w:cs="Arial"/>
          <w:bCs/>
          <w:iCs/>
          <w:kern w:val="2"/>
          <w:sz w:val="21"/>
          <w:szCs w:val="21"/>
          <w:lang w:val="es-ES_tradnl" w:eastAsia="es-MX"/>
          <w14:ligatures w14:val="standardContextual"/>
        </w:rPr>
      </w:pPr>
      <w:r w:rsidRPr="0056112B">
        <w:rPr>
          <w:rFonts w:ascii="Verdana" w:eastAsia="Times New Roman" w:hAnsi="Verdana" w:cs="Arial"/>
          <w:bCs/>
          <w:iCs/>
          <w:kern w:val="2"/>
          <w:sz w:val="21"/>
          <w:szCs w:val="21"/>
          <w:lang w:val="es-ES_tradnl" w:eastAsia="es-MX"/>
          <w14:ligatures w14:val="standardContextual"/>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561C7715" w14:textId="77777777" w:rsidR="0056112B" w:rsidRPr="0056112B" w:rsidRDefault="0056112B" w:rsidP="0056112B">
      <w:pPr>
        <w:spacing w:after="0" w:line="276" w:lineRule="auto"/>
        <w:ind w:left="709" w:right="709"/>
        <w:jc w:val="both"/>
        <w:rPr>
          <w:rFonts w:ascii="Verdana" w:eastAsia="Times New Roman" w:hAnsi="Verdana" w:cs="Arial"/>
          <w:bCs/>
          <w:iCs/>
          <w:kern w:val="2"/>
          <w:lang w:val="es-ES_tradnl" w:eastAsia="es-MX"/>
          <w14:ligatures w14:val="standardContextual"/>
        </w:rPr>
      </w:pPr>
    </w:p>
    <w:p w14:paraId="1D114A35" w14:textId="77777777" w:rsidR="0056112B" w:rsidRPr="0056112B" w:rsidRDefault="0056112B" w:rsidP="0056112B">
      <w:pPr>
        <w:snapToGrid w:val="0"/>
        <w:spacing w:after="120" w:line="276" w:lineRule="auto"/>
        <w:ind w:firstLine="709"/>
        <w:jc w:val="both"/>
        <w:rPr>
          <w:rFonts w:ascii="Verdana" w:eastAsia="Calibri" w:hAnsi="Verdana" w:cs="Arial"/>
          <w:kern w:val="2"/>
          <w:lang w:val="es-ES"/>
          <w14:ligatures w14:val="standardContextual"/>
        </w:rPr>
      </w:pPr>
      <w:r w:rsidRPr="0056112B">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3B58841C" w14:textId="77777777" w:rsidR="0056112B" w:rsidRPr="0056112B" w:rsidRDefault="0056112B" w:rsidP="0056112B">
      <w:pPr>
        <w:spacing w:after="120" w:line="276" w:lineRule="auto"/>
        <w:ind w:firstLine="709"/>
        <w:jc w:val="both"/>
        <w:rPr>
          <w:rFonts w:ascii="Verdana" w:eastAsia="Calibri" w:hAnsi="Verdana" w:cs="Arial"/>
          <w:kern w:val="2"/>
          <w:lang w:val="es-ES_tradnl"/>
          <w14:ligatures w14:val="standardContextual"/>
        </w:rPr>
      </w:pPr>
      <w:r w:rsidRPr="0056112B">
        <w:rPr>
          <w:rFonts w:ascii="Verdana" w:eastAsia="Calibri" w:hAnsi="Verdana" w:cs="Arial"/>
          <w:lang w:val="es-MX" w:eastAsia="es-MX"/>
        </w:rPr>
        <w:t>Adicionalmente, la Agencia Nacional de Contratación Pública – Colombia Compra Eficiente, mediante los conceptos con radicados Nos. 2201913000007117 del 25 de septiembre de 2019, 2201913000009538 del 23 de diciembre de 2019, C-716 del 30 de octubre de 2020 y C-128 del 2 de agosto de 2024,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4DD0EA22" w14:textId="77777777" w:rsidR="0056112B" w:rsidRPr="0056112B" w:rsidRDefault="0056112B" w:rsidP="0056112B">
      <w:pPr>
        <w:spacing w:line="276" w:lineRule="auto"/>
        <w:ind w:firstLine="709"/>
        <w:contextualSpacing/>
        <w:jc w:val="both"/>
        <w:rPr>
          <w:rFonts w:ascii="Verdana" w:eastAsia="Calibri" w:hAnsi="Verdana" w:cs="Arial"/>
          <w:kern w:val="2"/>
          <w:lang w:val="es-ES_tradnl"/>
          <w14:ligatures w14:val="standardContextual"/>
        </w:rPr>
      </w:pPr>
      <w:r w:rsidRPr="0056112B">
        <w:rPr>
          <w:rFonts w:ascii="Verdana" w:eastAsia="Aptos" w:hAnsi="Verdana" w:cs="Arial"/>
          <w:color w:val="000000"/>
          <w:kern w:val="2"/>
          <w:bdr w:val="none" w:sz="0" w:space="0" w:color="auto" w:frame="1"/>
          <w:lang w:val="es-ES_tradnl"/>
          <w14:ligatures w14:val="standardContextual"/>
        </w:rPr>
        <w:t>Ahora bien, los documentos tipo contienen parámetros obligatorios para las entidades estatales sometidas al Estatuto General de Contratación de la Administración Pública que adelanten la tipología contractual que estos se encarguen de desarrollar. En la versión 4 de los documentos tipo de licitación pública de obra de infraestructura de transporte, se incluyeron las causales de rechazo de las ofertas, entre ellas, la relacionada con la presente consulta –causal B–, la cual se transcribe en los siguientes términos: </w:t>
      </w:r>
      <w:r w:rsidRPr="0056112B">
        <w:rPr>
          <w:rFonts w:ascii="Verdana" w:eastAsia="Aptos" w:hAnsi="Verdana" w:cs="Arial"/>
          <w:b/>
          <w:bCs/>
          <w:color w:val="000000"/>
          <w:kern w:val="2"/>
          <w:bdr w:val="none" w:sz="0" w:space="0" w:color="auto" w:frame="1"/>
          <w:lang w:val="es-ES_tradnl"/>
          <w14:ligatures w14:val="standardContextual"/>
        </w:rPr>
        <w:t> </w:t>
      </w:r>
      <w:r w:rsidRPr="0056112B">
        <w:rPr>
          <w:rFonts w:ascii="Verdana" w:eastAsia="Aptos" w:hAnsi="Verdana" w:cs="Arial"/>
          <w:color w:val="000000"/>
          <w:kern w:val="2"/>
          <w:bdr w:val="none" w:sz="0" w:space="0" w:color="auto" w:frame="1"/>
          <w:lang w:val="es-ES_tradnl"/>
          <w14:ligatures w14:val="standardContextual"/>
        </w:rPr>
        <w:t> </w:t>
      </w:r>
      <w:r w:rsidRPr="0056112B">
        <w:rPr>
          <w:rFonts w:ascii="Verdana" w:eastAsia="Aptos" w:hAnsi="Verdana" w:cs="Arial"/>
          <w:b/>
          <w:bCs/>
          <w:color w:val="000000"/>
          <w:kern w:val="2"/>
          <w:bdr w:val="none" w:sz="0" w:space="0" w:color="auto" w:frame="1"/>
          <w:lang w:val="es-ES_tradnl"/>
          <w14:ligatures w14:val="standardContextual"/>
        </w:rPr>
        <w:t> </w:t>
      </w:r>
    </w:p>
    <w:p w14:paraId="62B2EA86" w14:textId="77777777" w:rsidR="0056112B" w:rsidRPr="0056112B" w:rsidRDefault="0056112B" w:rsidP="0056112B">
      <w:pPr>
        <w:shd w:val="clear" w:color="auto" w:fill="FFFFFF"/>
        <w:spacing w:after="0" w:line="276" w:lineRule="auto"/>
        <w:jc w:val="both"/>
        <w:textAlignment w:val="baseline"/>
        <w:rPr>
          <w:rFonts w:ascii="Verdana" w:eastAsia="Aptos" w:hAnsi="Verdana" w:cs="Arial"/>
          <w:color w:val="000000"/>
          <w:kern w:val="2"/>
          <w:lang w:val="es-ES_tradnl"/>
          <w14:ligatures w14:val="standardContextual"/>
        </w:rPr>
      </w:pPr>
    </w:p>
    <w:p w14:paraId="04DBFE29" w14:textId="77777777" w:rsidR="0056112B" w:rsidRPr="0056112B" w:rsidRDefault="0056112B" w:rsidP="0056112B">
      <w:pPr>
        <w:adjustRightInd w:val="0"/>
        <w:spacing w:after="0" w:line="240" w:lineRule="auto"/>
        <w:ind w:left="709" w:right="709"/>
        <w:contextualSpacing/>
        <w:jc w:val="both"/>
        <w:rPr>
          <w:rFonts w:ascii="Verdana" w:eastAsia="Aptos" w:hAnsi="Verdana" w:cs="Arial"/>
          <w:color w:val="000000"/>
          <w:kern w:val="2"/>
          <w:sz w:val="21"/>
          <w:szCs w:val="21"/>
          <w:bdr w:val="none" w:sz="0" w:space="0" w:color="auto" w:frame="1"/>
          <w:lang w:val="es-MX"/>
          <w14:ligatures w14:val="standardContextual"/>
        </w:rPr>
      </w:pPr>
      <w:r w:rsidRPr="0056112B">
        <w:rPr>
          <w:rFonts w:ascii="Verdana" w:eastAsia="Aptos" w:hAnsi="Verdana" w:cs="Arial"/>
          <w:color w:val="000000"/>
          <w:kern w:val="2"/>
          <w:sz w:val="21"/>
          <w:szCs w:val="21"/>
          <w:bdr w:val="none" w:sz="0" w:space="0" w:color="auto" w:frame="1"/>
          <w:lang w:val="es-MX"/>
          <w14:ligatures w14:val="standardContextual"/>
        </w:rPr>
        <w:t>“B.</w:t>
      </w:r>
      <w:r w:rsidRPr="0056112B">
        <w:rPr>
          <w:rFonts w:ascii="Verdana" w:eastAsia="Aptos" w:hAnsi="Verdana" w:cs="Arial"/>
          <w:color w:val="000000"/>
          <w:kern w:val="2"/>
          <w:sz w:val="21"/>
          <w:szCs w:val="21"/>
          <w:bdr w:val="none" w:sz="0" w:space="0" w:color="auto" w:frame="1"/>
          <w:lang w:val="es-MX"/>
          <w14:ligatures w14:val="standardContextual"/>
        </w:rPr>
        <w:tab/>
        <w:t>Cuando una misma persona natural o jurídica, o integrante de un proponente plural presente o haga parte en más de una propuesta para el presente Proceso de Contratación.</w:t>
      </w:r>
    </w:p>
    <w:p w14:paraId="06B21874" w14:textId="77777777" w:rsidR="0056112B" w:rsidRPr="0056112B" w:rsidRDefault="0056112B" w:rsidP="0056112B">
      <w:pPr>
        <w:adjustRightInd w:val="0"/>
        <w:spacing w:after="0" w:line="240" w:lineRule="auto"/>
        <w:ind w:left="709" w:right="709"/>
        <w:contextualSpacing/>
        <w:jc w:val="both"/>
        <w:rPr>
          <w:rFonts w:ascii="Verdana" w:eastAsia="Aptos" w:hAnsi="Verdana" w:cs="Times New Roman"/>
          <w:kern w:val="2"/>
          <w:sz w:val="21"/>
          <w:szCs w:val="21"/>
          <w:lang w:val="es-MX"/>
          <w14:ligatures w14:val="standardContextual"/>
        </w:rPr>
      </w:pPr>
      <w:r w:rsidRPr="0056112B">
        <w:rPr>
          <w:rFonts w:ascii="Verdana" w:eastAsia="Aptos" w:hAnsi="Verdana" w:cs="Arial"/>
          <w:color w:val="000000"/>
          <w:kern w:val="2"/>
          <w:sz w:val="21"/>
          <w:szCs w:val="21"/>
          <w:highlight w:val="lightGray"/>
          <w:bdr w:val="none" w:sz="0" w:space="0" w:color="auto" w:frame="1"/>
          <w:lang w:val="es-MX"/>
          <w14:ligatures w14:val="standardContextual"/>
        </w:rPr>
        <w:t>[Reemplazar el texto anterior por el siguiente, cuando el proceso es estructurado por lotes o segmentos: Cuando una misma persona natural o jurídica, o integrante de un proponente plural presente o haga parte en más de una propuesta para el mismo lote o segmento del presente Proceso de Contratación]</w:t>
      </w:r>
      <w:r w:rsidRPr="0056112B">
        <w:rPr>
          <w:rFonts w:ascii="Verdana" w:eastAsia="Aptos" w:hAnsi="Verdana" w:cs="Arial"/>
          <w:color w:val="000000"/>
          <w:kern w:val="2"/>
          <w:sz w:val="21"/>
          <w:szCs w:val="21"/>
          <w:bdr w:val="none" w:sz="0" w:space="0" w:color="auto" w:frame="1"/>
          <w:lang w:val="es-MX"/>
          <w14:ligatures w14:val="standardContextual"/>
        </w:rPr>
        <w:t>”</w:t>
      </w:r>
    </w:p>
    <w:p w14:paraId="7960DE66" w14:textId="77777777" w:rsidR="0056112B" w:rsidRPr="0056112B" w:rsidRDefault="0056112B" w:rsidP="0056112B">
      <w:pPr>
        <w:shd w:val="clear" w:color="auto" w:fill="FFFFFF"/>
        <w:spacing w:after="0" w:line="276" w:lineRule="auto"/>
        <w:ind w:right="709"/>
        <w:jc w:val="both"/>
        <w:textAlignment w:val="baseline"/>
        <w:rPr>
          <w:rFonts w:ascii="Verdana" w:eastAsia="Aptos" w:hAnsi="Verdana" w:cs="Arial"/>
          <w:color w:val="000000"/>
          <w:kern w:val="2"/>
          <w:lang w:val="es-ES_tradnl"/>
          <w14:ligatures w14:val="standardContextual"/>
        </w:rPr>
      </w:pPr>
    </w:p>
    <w:p w14:paraId="1440DB1B" w14:textId="77777777" w:rsidR="0056112B" w:rsidRPr="0056112B" w:rsidRDefault="0056112B" w:rsidP="2297304B">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2297304B">
        <w:rPr>
          <w:rFonts w:ascii="Verdana" w:eastAsia="Aptos" w:hAnsi="Verdana" w:cs="Arial"/>
          <w:color w:val="000000"/>
          <w:kern w:val="2"/>
          <w:lang w:val="es-ES"/>
          <w14:ligatures w14:val="standardContextual"/>
        </w:rPr>
        <w:t xml:space="preserve">Al respecto, es necesario resaltar que la causal de rechazo contenida en el literal B del numeral 1.15 –causales de rechazo– del documento tipo indicado, está prevista para propuestas distintas presentadas por un mismo proponente, </w:t>
      </w:r>
      <w:r w:rsidRPr="2297304B">
        <w:rPr>
          <w:rFonts w:ascii="Verdana" w:eastAsia="Aptos" w:hAnsi="Verdana" w:cs="Arial"/>
          <w:color w:val="000000"/>
          <w:kern w:val="2"/>
          <w:lang w:val="es-ES"/>
          <w14:ligatures w14:val="standardContextual"/>
        </w:rPr>
        <w:lastRenderedPageBreak/>
        <w:t>escenario que no admite aclaración por parte de la entidad estatal y da lugar al rechazo justificado de las ofertas involucradas.</w:t>
      </w:r>
    </w:p>
    <w:p w14:paraId="17224B97" w14:textId="77777777" w:rsidR="0056112B" w:rsidRPr="0056112B" w:rsidRDefault="0056112B" w:rsidP="2297304B">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2297304B">
        <w:rPr>
          <w:rFonts w:ascii="Verdana" w:eastAsia="Aptos" w:hAnsi="Verdana" w:cs="Arial"/>
          <w:color w:val="000000"/>
          <w:kern w:val="2"/>
          <w:lang w:val="es-ES"/>
          <w14:ligatures w14:val="standardContextual"/>
        </w:rPr>
        <w:t xml:space="preserve">En ese sentido, es importante señalar que la causal distingue de si se trata de un proponente persona natural o jurídica, o un proponente plural. Así, la causal en comento se configura cuando: i) una misma persona natural o jurídica funge como oferente o hace parte en más de una propuesta para el mismo proceso de contratación, o </w:t>
      </w:r>
      <w:proofErr w:type="spellStart"/>
      <w:r w:rsidRPr="2297304B">
        <w:rPr>
          <w:rFonts w:ascii="Verdana" w:eastAsia="Aptos" w:hAnsi="Verdana" w:cs="Arial"/>
          <w:color w:val="000000"/>
          <w:kern w:val="2"/>
          <w:lang w:val="es-ES"/>
          <w14:ligatures w14:val="standardContextual"/>
        </w:rPr>
        <w:t>ii</w:t>
      </w:r>
      <w:proofErr w:type="spellEnd"/>
      <w:r w:rsidRPr="2297304B">
        <w:rPr>
          <w:rFonts w:ascii="Verdana" w:eastAsia="Aptos" w:hAnsi="Verdana" w:cs="Arial"/>
          <w:color w:val="000000"/>
          <w:kern w:val="2"/>
          <w:lang w:val="es-ES"/>
          <w14:ligatures w14:val="standardContextual"/>
        </w:rPr>
        <w:t>) un mismo integrante de una estructura plural es oferente o hace parte en más de una oferta en el mismo proceso de contratación.</w:t>
      </w:r>
    </w:p>
    <w:p w14:paraId="19BA9CDA" w14:textId="77777777" w:rsidR="0056112B" w:rsidRPr="0056112B" w:rsidRDefault="0056112B" w:rsidP="0056112B">
      <w:pPr>
        <w:shd w:val="clear" w:color="auto" w:fill="FFFFFF"/>
        <w:spacing w:after="120" w:line="276" w:lineRule="auto"/>
        <w:ind w:firstLine="709"/>
        <w:jc w:val="both"/>
        <w:textAlignment w:val="baseline"/>
        <w:rPr>
          <w:rFonts w:ascii="Verdana" w:eastAsia="Aptos" w:hAnsi="Verdana" w:cs="Arial"/>
          <w:color w:val="000000"/>
          <w:kern w:val="2"/>
          <w:lang w:val="es-ES_tradnl"/>
          <w14:ligatures w14:val="standardContextual"/>
        </w:rPr>
      </w:pPr>
      <w:r w:rsidRPr="0056112B">
        <w:rPr>
          <w:rFonts w:ascii="Verdana" w:eastAsia="Aptos" w:hAnsi="Verdana" w:cs="Arial"/>
          <w:color w:val="000000"/>
          <w:kern w:val="2"/>
          <w:lang w:val="es-ES_tradnl"/>
          <w14:ligatures w14:val="standardContextual"/>
        </w:rPr>
        <w:t xml:space="preserve">Esta causal está dirigida a evitar que un mismo proponente presente de manera individual más de una propuesta o haga parte en más de una oferta para un mismo proceso de contratación. Por lo tanto, para que opere la causal, debe tratarse de un proponente persona natural o jurídica, o de un integrante de un proponente plural [consorcio o unión temporal], de manera que, </w:t>
      </w:r>
      <w:r w:rsidRPr="0056112B">
        <w:rPr>
          <w:rFonts w:ascii="Verdana" w:eastAsia="Aptos" w:hAnsi="Verdana" w:cs="Arial"/>
          <w:i/>
          <w:iCs/>
          <w:color w:val="000000"/>
          <w:kern w:val="2"/>
          <w:lang w:val="es-ES_tradnl"/>
          <w14:ligatures w14:val="standardContextual"/>
        </w:rPr>
        <w:t>stricto sensu,</w:t>
      </w:r>
      <w:r w:rsidRPr="0056112B">
        <w:rPr>
          <w:rFonts w:ascii="Verdana" w:eastAsia="Aptos" w:hAnsi="Verdana" w:cs="Arial"/>
          <w:color w:val="000000"/>
          <w:kern w:val="2"/>
          <w:lang w:val="es-ES_tradnl"/>
          <w14:ligatures w14:val="standardContextual"/>
        </w:rPr>
        <w:t xml:space="preserve"> no resulta aplicable cuando se trate de supuestos en los que un proponente tiene algún tipo de relación societaria o parentesco frente a otro oferente, tenido en cuenta la interpretación restrictiva que se predica de las causales de rechazo, sin perjuicio de que, eventualmente, resulte aplicable otra causal de rechazo, o alguna de las inhabilitades e incompatibilidades señaladas en la ley.</w:t>
      </w:r>
    </w:p>
    <w:p w14:paraId="27200521" w14:textId="77777777" w:rsidR="0056112B" w:rsidRPr="0056112B" w:rsidRDefault="0056112B" w:rsidP="2297304B">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2297304B">
        <w:rPr>
          <w:rFonts w:ascii="Verdana" w:eastAsia="Aptos" w:hAnsi="Verdana" w:cs="Arial"/>
          <w:color w:val="000000"/>
          <w:kern w:val="2"/>
          <w:lang w:val="es-ES"/>
          <w14:ligatures w14:val="standardContextual"/>
        </w:rPr>
        <w:t xml:space="preserve">Ahora bien, tratándose de proponentes plurales, la causal del literal B del documento base no hace ningún tipo de distinción respecto a la participación de sus integrantes para su aplicación. Por esta razón, indistintamente del porcentaje de participación del integrante del consorcio o unión temporal, cuando </w:t>
      </w:r>
      <w:proofErr w:type="spellStart"/>
      <w:r w:rsidRPr="2297304B">
        <w:rPr>
          <w:rFonts w:ascii="Verdana" w:eastAsia="Aptos" w:hAnsi="Verdana" w:cs="Arial"/>
          <w:color w:val="000000"/>
          <w:kern w:val="2"/>
          <w:lang w:val="es-ES"/>
          <w14:ligatures w14:val="standardContextual"/>
        </w:rPr>
        <w:t>este</w:t>
      </w:r>
      <w:proofErr w:type="spellEnd"/>
      <w:r w:rsidRPr="2297304B">
        <w:rPr>
          <w:rFonts w:ascii="Verdana" w:eastAsia="Aptos" w:hAnsi="Verdana" w:cs="Arial"/>
          <w:color w:val="000000"/>
          <w:kern w:val="2"/>
          <w:lang w:val="es-ES"/>
          <w14:ligatures w14:val="standardContextual"/>
        </w:rPr>
        <w:t xml:space="preserve"> presente otra oferta de manera individual o haga parte en más de una oferta para el mismo proceso de contratación, es procedente el rechazo de las ofertas involucradas en el supuesto descrito en la causal. </w:t>
      </w:r>
    </w:p>
    <w:p w14:paraId="127183BB" w14:textId="77777777" w:rsidR="0056112B" w:rsidRPr="0056112B" w:rsidRDefault="0056112B" w:rsidP="0056112B">
      <w:pPr>
        <w:shd w:val="clear" w:color="auto" w:fill="FFFFFF"/>
        <w:spacing w:after="0" w:line="276" w:lineRule="auto"/>
        <w:ind w:firstLine="709"/>
        <w:jc w:val="both"/>
        <w:textAlignment w:val="baseline"/>
        <w:rPr>
          <w:rFonts w:ascii="Verdana" w:eastAsia="Aptos" w:hAnsi="Verdana" w:cs="Arial"/>
          <w:color w:val="000000"/>
          <w:kern w:val="2"/>
          <w:lang w:val="es-ES_tradnl"/>
          <w14:ligatures w14:val="standardContextual"/>
        </w:rPr>
      </w:pPr>
      <w:r w:rsidRPr="0056112B">
        <w:rPr>
          <w:rFonts w:ascii="Verdana" w:eastAsia="Aptos" w:hAnsi="Verdana" w:cs="Arial"/>
          <w:color w:val="000000"/>
          <w:kern w:val="2"/>
          <w:lang w:val="es-ES_tradnl"/>
          <w14:ligatures w14:val="standardContextual"/>
        </w:rPr>
        <w:t xml:space="preserve">En cualquier caso, resulta necesario acotar que el rechazo de la oferta debe realizarse antes de la adjudicación, toda vez que, en virtud del principio de selección objetiva con base en el cual debe escogerse el contratista, no es posible adjudicar el contrato a un oferente que no cumpla con todas las condiciones establecidas en el pliego de condiciones tipo o se encuentre en alguno de los supuestos que amerita el rechazo de la propuesta. </w:t>
      </w:r>
    </w:p>
    <w:p w14:paraId="27D74E03" w14:textId="77777777" w:rsidR="0056112B" w:rsidRPr="0056112B" w:rsidRDefault="0056112B" w:rsidP="0056112B">
      <w:pPr>
        <w:shd w:val="clear" w:color="auto" w:fill="FFFFFF"/>
        <w:spacing w:after="0" w:line="276" w:lineRule="auto"/>
        <w:jc w:val="both"/>
        <w:textAlignment w:val="baseline"/>
        <w:rPr>
          <w:rFonts w:ascii="Verdana" w:eastAsia="Aptos" w:hAnsi="Verdana" w:cs="Arial"/>
          <w:color w:val="000000"/>
          <w:kern w:val="2"/>
          <w:lang w:val="es-ES_tradnl"/>
          <w14:ligatures w14:val="standardContextual"/>
        </w:rPr>
      </w:pPr>
    </w:p>
    <w:p w14:paraId="09D8A1F5" w14:textId="77777777" w:rsidR="0056112B" w:rsidRPr="0056112B" w:rsidRDefault="0056112B" w:rsidP="0056112B">
      <w:pPr>
        <w:widowControl w:val="0"/>
        <w:autoSpaceDE w:val="0"/>
        <w:autoSpaceDN w:val="0"/>
        <w:spacing w:after="0" w:line="276" w:lineRule="auto"/>
        <w:ind w:right="68"/>
        <w:jc w:val="both"/>
        <w:rPr>
          <w:rFonts w:ascii="Verdana" w:eastAsia="Arial MT" w:hAnsi="Verdana" w:cs="Arial"/>
          <w:u w:val="single"/>
        </w:rPr>
      </w:pPr>
      <w:proofErr w:type="spellStart"/>
      <w:r w:rsidRPr="0056112B">
        <w:rPr>
          <w:rFonts w:ascii="Verdana" w:eastAsia="Arial MT" w:hAnsi="Verdana" w:cs="Arial"/>
        </w:rPr>
        <w:t>ii</w:t>
      </w:r>
      <w:proofErr w:type="spellEnd"/>
      <w:r w:rsidRPr="0056112B">
        <w:rPr>
          <w:rFonts w:ascii="Verdana" w:eastAsia="Arial MT" w:hAnsi="Verdana" w:cs="Arial"/>
        </w:rPr>
        <w:t>. Por otra parte, el régimen de inhabilidades e incompatibilidades en la contratación pública</w:t>
      </w:r>
      <w:r w:rsidRPr="0056112B">
        <w:rPr>
          <w:rFonts w:ascii="Verdana" w:eastAsia="Arial MT" w:hAnsi="Verdana" w:cs="Arial"/>
          <w:spacing w:val="1"/>
        </w:rPr>
        <w:t xml:space="preserve"> </w:t>
      </w:r>
      <w:r w:rsidRPr="0056112B">
        <w:rPr>
          <w:rFonts w:ascii="Verdana" w:eastAsia="Arial MT" w:hAnsi="Verdana" w:cs="Arial"/>
        </w:rPr>
        <w:t xml:space="preserve">responde al propósito de asegurar que la actividad de adquisición y provisión de </w:t>
      </w:r>
      <w:r w:rsidRPr="0056112B">
        <w:rPr>
          <w:rFonts w:ascii="Verdana" w:eastAsia="Arial MT" w:hAnsi="Verdana" w:cs="Arial"/>
          <w:spacing w:val="1"/>
        </w:rPr>
        <w:t>bienes</w:t>
      </w:r>
      <w:r w:rsidRPr="0056112B">
        <w:rPr>
          <w:rFonts w:ascii="Verdana" w:eastAsia="Arial MT" w:hAnsi="Verdana" w:cs="Arial"/>
        </w:rPr>
        <w:t xml:space="preserve"> y servicios por parte de las entidades estatales se efectúe cumpliendo con los</w:t>
      </w:r>
      <w:r w:rsidRPr="0056112B">
        <w:rPr>
          <w:rFonts w:ascii="Verdana" w:eastAsia="Arial MT" w:hAnsi="Verdana" w:cs="Arial"/>
          <w:spacing w:val="1"/>
        </w:rPr>
        <w:t xml:space="preserve"> </w:t>
      </w:r>
      <w:r w:rsidRPr="0056112B">
        <w:rPr>
          <w:rFonts w:ascii="Verdana" w:eastAsia="Arial MT" w:hAnsi="Verdana" w:cs="Arial"/>
        </w:rPr>
        <w:t>principios</w:t>
      </w:r>
      <w:r w:rsidRPr="0056112B">
        <w:rPr>
          <w:rFonts w:ascii="Verdana" w:eastAsia="Arial MT" w:hAnsi="Verdana" w:cs="Arial"/>
          <w:spacing w:val="-11"/>
        </w:rPr>
        <w:t xml:space="preserve"> </w:t>
      </w:r>
      <w:r w:rsidRPr="0056112B">
        <w:rPr>
          <w:rFonts w:ascii="Verdana" w:eastAsia="Arial MT" w:hAnsi="Verdana" w:cs="Arial"/>
        </w:rPr>
        <w:t>de</w:t>
      </w:r>
      <w:r w:rsidRPr="0056112B">
        <w:rPr>
          <w:rFonts w:ascii="Verdana" w:eastAsia="Arial MT" w:hAnsi="Verdana" w:cs="Arial"/>
          <w:spacing w:val="-11"/>
        </w:rPr>
        <w:t xml:space="preserve"> </w:t>
      </w:r>
      <w:r w:rsidRPr="0056112B">
        <w:rPr>
          <w:rFonts w:ascii="Verdana" w:eastAsia="Arial MT" w:hAnsi="Verdana" w:cs="Arial"/>
        </w:rPr>
        <w:t>la</w:t>
      </w:r>
      <w:r w:rsidRPr="0056112B">
        <w:rPr>
          <w:rFonts w:ascii="Verdana" w:eastAsia="Arial MT" w:hAnsi="Verdana" w:cs="Arial"/>
          <w:spacing w:val="-11"/>
        </w:rPr>
        <w:t xml:space="preserve"> </w:t>
      </w:r>
      <w:r w:rsidRPr="0056112B">
        <w:rPr>
          <w:rFonts w:ascii="Verdana" w:eastAsia="Arial MT" w:hAnsi="Verdana" w:cs="Arial"/>
        </w:rPr>
        <w:t>función</w:t>
      </w:r>
      <w:r w:rsidRPr="0056112B">
        <w:rPr>
          <w:rFonts w:ascii="Verdana" w:eastAsia="Arial MT" w:hAnsi="Verdana" w:cs="Arial"/>
          <w:spacing w:val="-10"/>
        </w:rPr>
        <w:t xml:space="preserve"> </w:t>
      </w:r>
      <w:r w:rsidRPr="0056112B">
        <w:rPr>
          <w:rFonts w:ascii="Verdana" w:eastAsia="Arial MT" w:hAnsi="Verdana" w:cs="Arial"/>
        </w:rPr>
        <w:t>administrativa</w:t>
      </w:r>
      <w:r w:rsidRPr="0056112B">
        <w:rPr>
          <w:rFonts w:ascii="Verdana" w:eastAsia="Arial MT" w:hAnsi="Verdana" w:cs="Arial"/>
          <w:spacing w:val="-11"/>
        </w:rPr>
        <w:t xml:space="preserve"> </w:t>
      </w:r>
      <w:r w:rsidRPr="0056112B">
        <w:rPr>
          <w:rFonts w:ascii="Verdana" w:eastAsia="Arial MT" w:hAnsi="Verdana" w:cs="Arial"/>
        </w:rPr>
        <w:t>y</w:t>
      </w:r>
      <w:r w:rsidRPr="0056112B">
        <w:rPr>
          <w:rFonts w:ascii="Verdana" w:eastAsia="Arial MT" w:hAnsi="Verdana" w:cs="Arial"/>
          <w:spacing w:val="-10"/>
        </w:rPr>
        <w:t xml:space="preserve"> </w:t>
      </w:r>
      <w:r w:rsidRPr="0056112B">
        <w:rPr>
          <w:rFonts w:ascii="Verdana" w:eastAsia="Arial MT" w:hAnsi="Verdana" w:cs="Arial"/>
        </w:rPr>
        <w:t>de</w:t>
      </w:r>
      <w:r w:rsidRPr="0056112B">
        <w:rPr>
          <w:rFonts w:ascii="Verdana" w:eastAsia="Arial MT" w:hAnsi="Verdana" w:cs="Arial"/>
          <w:spacing w:val="-11"/>
        </w:rPr>
        <w:t xml:space="preserve"> </w:t>
      </w:r>
      <w:r w:rsidRPr="0056112B">
        <w:rPr>
          <w:rFonts w:ascii="Verdana" w:eastAsia="Arial MT" w:hAnsi="Verdana" w:cs="Arial"/>
        </w:rPr>
        <w:t>la</w:t>
      </w:r>
      <w:r w:rsidRPr="0056112B">
        <w:rPr>
          <w:rFonts w:ascii="Verdana" w:eastAsia="Arial MT" w:hAnsi="Verdana" w:cs="Arial"/>
          <w:spacing w:val="-11"/>
        </w:rPr>
        <w:t xml:space="preserve"> </w:t>
      </w:r>
      <w:r w:rsidRPr="0056112B">
        <w:rPr>
          <w:rFonts w:ascii="Verdana" w:eastAsia="Arial MT" w:hAnsi="Verdana" w:cs="Arial"/>
        </w:rPr>
        <w:lastRenderedPageBreak/>
        <w:t>gestión</w:t>
      </w:r>
      <w:r w:rsidRPr="0056112B">
        <w:rPr>
          <w:rFonts w:ascii="Verdana" w:eastAsia="Arial MT" w:hAnsi="Verdana" w:cs="Arial"/>
          <w:spacing w:val="-11"/>
        </w:rPr>
        <w:t xml:space="preserve"> </w:t>
      </w:r>
      <w:r w:rsidRPr="0056112B">
        <w:rPr>
          <w:rFonts w:ascii="Verdana" w:eastAsia="Arial MT" w:hAnsi="Verdana" w:cs="Arial"/>
        </w:rPr>
        <w:t>fiscal,</w:t>
      </w:r>
      <w:r w:rsidRPr="0056112B">
        <w:rPr>
          <w:rFonts w:ascii="Verdana" w:eastAsia="Arial MT" w:hAnsi="Verdana" w:cs="Arial"/>
          <w:spacing w:val="-10"/>
        </w:rPr>
        <w:t xml:space="preserve"> </w:t>
      </w:r>
      <w:r w:rsidRPr="0056112B">
        <w:rPr>
          <w:rFonts w:ascii="Verdana" w:eastAsia="Arial MT" w:hAnsi="Verdana" w:cs="Arial"/>
        </w:rPr>
        <w:t>especialmente</w:t>
      </w:r>
      <w:r w:rsidRPr="0056112B">
        <w:rPr>
          <w:rFonts w:ascii="Verdana" w:eastAsia="Arial MT" w:hAnsi="Verdana" w:cs="Arial"/>
          <w:spacing w:val="-11"/>
        </w:rPr>
        <w:t xml:space="preserve"> </w:t>
      </w:r>
      <w:r w:rsidRPr="0056112B">
        <w:rPr>
          <w:rFonts w:ascii="Verdana" w:eastAsia="Arial MT" w:hAnsi="Verdana" w:cs="Arial"/>
        </w:rPr>
        <w:t>con</w:t>
      </w:r>
      <w:r w:rsidRPr="0056112B">
        <w:rPr>
          <w:rFonts w:ascii="Verdana" w:eastAsia="Arial MT" w:hAnsi="Verdana" w:cs="Arial"/>
          <w:spacing w:val="-11"/>
        </w:rPr>
        <w:t xml:space="preserve"> </w:t>
      </w:r>
      <w:r w:rsidRPr="0056112B">
        <w:rPr>
          <w:rFonts w:ascii="Verdana" w:eastAsia="Arial MT" w:hAnsi="Verdana" w:cs="Arial"/>
        </w:rPr>
        <w:t>probidad</w:t>
      </w:r>
      <w:r w:rsidRPr="0056112B">
        <w:rPr>
          <w:rFonts w:ascii="Verdana" w:eastAsia="Arial MT" w:hAnsi="Verdana" w:cs="Arial"/>
          <w:spacing w:val="1"/>
        </w:rPr>
        <w:t xml:space="preserve"> </w:t>
      </w:r>
      <w:r w:rsidRPr="0056112B">
        <w:rPr>
          <w:rFonts w:ascii="Verdana" w:eastAsia="Arial MT" w:hAnsi="Verdana" w:cs="Arial"/>
        </w:rPr>
        <w:t>y</w:t>
      </w:r>
      <w:r w:rsidRPr="0056112B">
        <w:rPr>
          <w:rFonts w:ascii="Verdana" w:eastAsia="Arial MT" w:hAnsi="Verdana" w:cs="Arial"/>
          <w:spacing w:val="1"/>
        </w:rPr>
        <w:t xml:space="preserve"> </w:t>
      </w:r>
      <w:r w:rsidRPr="0056112B">
        <w:rPr>
          <w:rFonts w:ascii="Verdana" w:eastAsia="Arial MT" w:hAnsi="Verdana" w:cs="Arial"/>
        </w:rPr>
        <w:t>transparencia.</w:t>
      </w:r>
      <w:r w:rsidRPr="0056112B">
        <w:rPr>
          <w:rFonts w:ascii="Verdana" w:eastAsia="Arial MT" w:hAnsi="Verdana" w:cs="Arial"/>
          <w:spacing w:val="1"/>
        </w:rPr>
        <w:t xml:space="preserve"> </w:t>
      </w:r>
      <w:r w:rsidRPr="0056112B">
        <w:rPr>
          <w:rFonts w:ascii="Verdana" w:eastAsia="Arial MT" w:hAnsi="Verdana" w:cs="Arial"/>
        </w:rPr>
        <w:t>Por</w:t>
      </w:r>
      <w:r w:rsidRPr="0056112B">
        <w:rPr>
          <w:rFonts w:ascii="Verdana" w:eastAsia="Arial MT" w:hAnsi="Verdana" w:cs="Arial"/>
          <w:spacing w:val="1"/>
        </w:rPr>
        <w:t xml:space="preserve"> </w:t>
      </w:r>
      <w:r w:rsidRPr="0056112B">
        <w:rPr>
          <w:rFonts w:ascii="Verdana" w:eastAsia="Arial MT" w:hAnsi="Verdana" w:cs="Arial"/>
        </w:rPr>
        <w:t>ello,</w:t>
      </w:r>
      <w:r w:rsidRPr="0056112B">
        <w:rPr>
          <w:rFonts w:ascii="Verdana" w:eastAsia="Arial MT" w:hAnsi="Verdana" w:cs="Arial"/>
          <w:spacing w:val="1"/>
        </w:rPr>
        <w:t xml:space="preserve"> </w:t>
      </w:r>
      <w:r w:rsidRPr="0056112B">
        <w:rPr>
          <w:rFonts w:ascii="Verdana" w:eastAsia="Arial MT" w:hAnsi="Verdana" w:cs="Arial"/>
        </w:rPr>
        <w:t>como</w:t>
      </w:r>
      <w:r w:rsidRPr="0056112B">
        <w:rPr>
          <w:rFonts w:ascii="Verdana" w:eastAsia="Arial MT" w:hAnsi="Verdana" w:cs="Arial"/>
          <w:spacing w:val="1"/>
        </w:rPr>
        <w:t xml:space="preserve"> </w:t>
      </w:r>
      <w:r w:rsidRPr="0056112B">
        <w:rPr>
          <w:rFonts w:ascii="Verdana" w:eastAsia="Arial MT" w:hAnsi="Verdana" w:cs="Arial"/>
        </w:rPr>
        <w:t>lo</w:t>
      </w:r>
      <w:r w:rsidRPr="0056112B">
        <w:rPr>
          <w:rFonts w:ascii="Verdana" w:eastAsia="Arial MT" w:hAnsi="Verdana" w:cs="Arial"/>
          <w:spacing w:val="1"/>
        </w:rPr>
        <w:t xml:space="preserve"> </w:t>
      </w:r>
      <w:r w:rsidRPr="0056112B">
        <w:rPr>
          <w:rFonts w:ascii="Verdana" w:eastAsia="Arial MT" w:hAnsi="Verdana" w:cs="Arial"/>
        </w:rPr>
        <w:t>ha</w:t>
      </w:r>
      <w:r w:rsidRPr="0056112B">
        <w:rPr>
          <w:rFonts w:ascii="Verdana" w:eastAsia="Arial MT" w:hAnsi="Verdana" w:cs="Arial"/>
          <w:spacing w:val="1"/>
        </w:rPr>
        <w:t xml:space="preserve"> </w:t>
      </w:r>
      <w:r w:rsidRPr="0056112B">
        <w:rPr>
          <w:rFonts w:ascii="Verdana" w:eastAsia="Arial MT" w:hAnsi="Verdana" w:cs="Arial"/>
        </w:rPr>
        <w:t>destacado</w:t>
      </w:r>
      <w:r w:rsidRPr="0056112B">
        <w:rPr>
          <w:rFonts w:ascii="Verdana" w:eastAsia="Arial MT" w:hAnsi="Verdana" w:cs="Arial"/>
          <w:spacing w:val="1"/>
        </w:rPr>
        <w:t xml:space="preserve"> </w:t>
      </w:r>
      <w:r w:rsidRPr="0056112B">
        <w:rPr>
          <w:rFonts w:ascii="Verdana" w:eastAsia="Arial MT" w:hAnsi="Verdana" w:cs="Arial"/>
        </w:rPr>
        <w:t>la</w:t>
      </w:r>
      <w:r w:rsidRPr="0056112B">
        <w:rPr>
          <w:rFonts w:ascii="Verdana" w:eastAsia="Arial MT" w:hAnsi="Verdana" w:cs="Arial"/>
          <w:spacing w:val="1"/>
        </w:rPr>
        <w:t xml:space="preserve"> </w:t>
      </w:r>
      <w:r w:rsidRPr="0056112B">
        <w:rPr>
          <w:rFonts w:ascii="Verdana" w:eastAsia="Arial MT" w:hAnsi="Verdana" w:cs="Arial"/>
        </w:rPr>
        <w:t>doctrina,</w:t>
      </w:r>
      <w:r w:rsidRPr="0056112B">
        <w:rPr>
          <w:rFonts w:ascii="Verdana" w:eastAsia="Arial MT" w:hAnsi="Verdana" w:cs="Arial"/>
          <w:spacing w:val="1"/>
        </w:rPr>
        <w:t xml:space="preserve"> </w:t>
      </w:r>
      <w:r w:rsidRPr="0056112B">
        <w:rPr>
          <w:rFonts w:ascii="Verdana" w:eastAsia="Arial MT" w:hAnsi="Verdana" w:cs="Arial"/>
        </w:rPr>
        <w:t>las</w:t>
      </w:r>
      <w:r w:rsidRPr="0056112B">
        <w:rPr>
          <w:rFonts w:ascii="Verdana" w:eastAsia="Arial MT" w:hAnsi="Verdana" w:cs="Arial"/>
          <w:spacing w:val="1"/>
        </w:rPr>
        <w:t xml:space="preserve"> </w:t>
      </w:r>
      <w:r w:rsidRPr="0056112B">
        <w:rPr>
          <w:rFonts w:ascii="Verdana" w:eastAsia="Arial MT" w:hAnsi="Verdana" w:cs="Arial"/>
        </w:rPr>
        <w:t>inhabilidades</w:t>
      </w:r>
      <w:r w:rsidRPr="0056112B">
        <w:rPr>
          <w:rFonts w:ascii="Verdana" w:eastAsia="Arial MT" w:hAnsi="Verdana" w:cs="Arial"/>
          <w:spacing w:val="1"/>
        </w:rPr>
        <w:t xml:space="preserve"> </w:t>
      </w:r>
      <w:r w:rsidRPr="0056112B">
        <w:rPr>
          <w:rFonts w:ascii="Verdana" w:eastAsia="Arial MT" w:hAnsi="Verdana" w:cs="Arial"/>
        </w:rPr>
        <w:t>e</w:t>
      </w:r>
      <w:r w:rsidRPr="0056112B">
        <w:rPr>
          <w:rFonts w:ascii="Verdana" w:eastAsia="Arial MT" w:hAnsi="Verdana" w:cs="Arial"/>
          <w:spacing w:val="1"/>
        </w:rPr>
        <w:t xml:space="preserve"> </w:t>
      </w:r>
      <w:r w:rsidRPr="0056112B">
        <w:rPr>
          <w:rFonts w:ascii="Verdana" w:eastAsia="Arial MT" w:hAnsi="Verdana" w:cs="Arial"/>
        </w:rPr>
        <w:t>incompatibilidades se han convertido en herramientas en la lucha contra la corrupción,</w:t>
      </w:r>
      <w:r w:rsidRPr="0056112B">
        <w:rPr>
          <w:rFonts w:ascii="Verdana" w:eastAsia="Arial MT" w:hAnsi="Verdana" w:cs="Arial"/>
          <w:spacing w:val="1"/>
        </w:rPr>
        <w:t xml:space="preserve"> </w:t>
      </w:r>
      <w:r w:rsidRPr="0056112B">
        <w:rPr>
          <w:rFonts w:ascii="Verdana" w:eastAsia="Arial MT" w:hAnsi="Verdana" w:cs="Arial"/>
        </w:rPr>
        <w:t>adoptando</w:t>
      </w:r>
      <w:r w:rsidRPr="0056112B">
        <w:rPr>
          <w:rFonts w:ascii="Verdana" w:eastAsia="Arial MT" w:hAnsi="Verdana" w:cs="Arial"/>
          <w:spacing w:val="-14"/>
        </w:rPr>
        <w:t xml:space="preserve"> </w:t>
      </w:r>
      <w:r w:rsidRPr="0056112B">
        <w:rPr>
          <w:rFonts w:ascii="Verdana" w:eastAsia="Arial MT" w:hAnsi="Verdana" w:cs="Arial"/>
        </w:rPr>
        <w:t>paulatinamente</w:t>
      </w:r>
      <w:r w:rsidRPr="0056112B">
        <w:rPr>
          <w:rFonts w:ascii="Verdana" w:eastAsia="Arial MT" w:hAnsi="Verdana" w:cs="Arial"/>
          <w:spacing w:val="-14"/>
        </w:rPr>
        <w:t xml:space="preserve"> </w:t>
      </w:r>
      <w:r w:rsidRPr="0056112B">
        <w:rPr>
          <w:rFonts w:ascii="Verdana" w:eastAsia="Arial MT" w:hAnsi="Verdana" w:cs="Arial"/>
        </w:rPr>
        <w:t>un</w:t>
      </w:r>
      <w:r w:rsidRPr="0056112B">
        <w:rPr>
          <w:rFonts w:ascii="Verdana" w:eastAsia="Arial MT" w:hAnsi="Verdana" w:cs="Arial"/>
          <w:spacing w:val="-14"/>
        </w:rPr>
        <w:t xml:space="preserve"> </w:t>
      </w:r>
      <w:r w:rsidRPr="0056112B">
        <w:rPr>
          <w:rFonts w:ascii="Verdana" w:eastAsia="Arial MT" w:hAnsi="Verdana" w:cs="Arial"/>
        </w:rPr>
        <w:t>carácter</w:t>
      </w:r>
      <w:r w:rsidRPr="0056112B">
        <w:rPr>
          <w:rFonts w:ascii="Verdana" w:eastAsia="Arial MT" w:hAnsi="Verdana" w:cs="Arial"/>
          <w:spacing w:val="-15"/>
        </w:rPr>
        <w:t xml:space="preserve"> </w:t>
      </w:r>
      <w:r w:rsidRPr="0056112B">
        <w:rPr>
          <w:rFonts w:ascii="Verdana" w:eastAsia="Arial MT" w:hAnsi="Verdana" w:cs="Arial"/>
        </w:rPr>
        <w:t>sancionatorio</w:t>
      </w:r>
      <w:r w:rsidRPr="0056112B">
        <w:rPr>
          <w:rFonts w:ascii="Verdana" w:eastAsia="Arial MT" w:hAnsi="Verdana" w:cs="Arial"/>
          <w:spacing w:val="-14"/>
        </w:rPr>
        <w:t xml:space="preserve"> </w:t>
      </w:r>
      <w:r w:rsidRPr="0056112B">
        <w:rPr>
          <w:rFonts w:ascii="Verdana" w:eastAsia="Arial MT" w:hAnsi="Verdana" w:cs="Arial"/>
        </w:rPr>
        <w:t>o</w:t>
      </w:r>
      <w:r w:rsidRPr="0056112B">
        <w:rPr>
          <w:rFonts w:ascii="Verdana" w:eastAsia="Arial MT" w:hAnsi="Verdana" w:cs="Arial"/>
          <w:spacing w:val="-15"/>
        </w:rPr>
        <w:t xml:space="preserve"> </w:t>
      </w:r>
      <w:r w:rsidRPr="0056112B">
        <w:rPr>
          <w:rFonts w:ascii="Verdana" w:eastAsia="Arial MT" w:hAnsi="Verdana" w:cs="Arial"/>
        </w:rPr>
        <w:t>“</w:t>
      </w:r>
      <w:proofErr w:type="spellStart"/>
      <w:r w:rsidRPr="0056112B">
        <w:rPr>
          <w:rFonts w:ascii="Verdana" w:eastAsia="Arial MT" w:hAnsi="Verdana" w:cs="Arial"/>
        </w:rPr>
        <w:t>neopunitivo</w:t>
      </w:r>
      <w:proofErr w:type="spellEnd"/>
      <w:r w:rsidRPr="0056112B">
        <w:rPr>
          <w:rFonts w:ascii="Verdana" w:eastAsia="Arial MT" w:hAnsi="Verdana" w:cs="Arial"/>
        </w:rPr>
        <w:t>”</w:t>
      </w:r>
      <w:r w:rsidRPr="0056112B">
        <w:rPr>
          <w:rFonts w:ascii="Verdana" w:eastAsia="Calibri" w:hAnsi="Verdana" w:cs="Times New Roman"/>
          <w:vertAlign w:val="superscript"/>
        </w:rPr>
        <w:footnoteReference w:id="4"/>
      </w:r>
      <w:r w:rsidRPr="0056112B">
        <w:rPr>
          <w:rFonts w:ascii="Verdana" w:eastAsia="Arial MT" w:hAnsi="Verdana" w:cs="Arial"/>
        </w:rPr>
        <w:t>.</w:t>
      </w:r>
      <w:r w:rsidRPr="0056112B">
        <w:rPr>
          <w:rFonts w:ascii="Verdana" w:eastAsia="Arial MT" w:hAnsi="Verdana" w:cs="Arial"/>
          <w:spacing w:val="-14"/>
        </w:rPr>
        <w:t xml:space="preserve"> </w:t>
      </w:r>
      <w:r w:rsidRPr="0056112B">
        <w:rPr>
          <w:rFonts w:ascii="Verdana" w:eastAsia="Arial MT" w:hAnsi="Verdana" w:cs="Arial"/>
        </w:rPr>
        <w:t>Si</w:t>
      </w:r>
      <w:r w:rsidRPr="0056112B">
        <w:rPr>
          <w:rFonts w:ascii="Verdana" w:eastAsia="Arial MT" w:hAnsi="Verdana" w:cs="Arial"/>
          <w:spacing w:val="-14"/>
        </w:rPr>
        <w:t xml:space="preserve"> </w:t>
      </w:r>
      <w:r w:rsidRPr="0056112B">
        <w:rPr>
          <w:rFonts w:ascii="Verdana" w:eastAsia="Arial MT" w:hAnsi="Verdana" w:cs="Arial"/>
        </w:rPr>
        <w:t>bien</w:t>
      </w:r>
      <w:r w:rsidRPr="0056112B">
        <w:rPr>
          <w:rFonts w:ascii="Verdana" w:eastAsia="Arial MT" w:hAnsi="Verdana" w:cs="Arial"/>
          <w:spacing w:val="-14"/>
        </w:rPr>
        <w:t xml:space="preserve"> </w:t>
      </w:r>
      <w:r w:rsidRPr="0056112B">
        <w:rPr>
          <w:rFonts w:ascii="Verdana" w:eastAsia="Arial MT" w:hAnsi="Verdana" w:cs="Arial"/>
        </w:rPr>
        <w:t>no</w:t>
      </w:r>
      <w:r w:rsidRPr="0056112B">
        <w:rPr>
          <w:rFonts w:ascii="Verdana" w:eastAsia="Arial MT" w:hAnsi="Verdana" w:cs="Arial"/>
          <w:spacing w:val="-14"/>
        </w:rPr>
        <w:t xml:space="preserve"> </w:t>
      </w:r>
      <w:r w:rsidRPr="0056112B">
        <w:rPr>
          <w:rFonts w:ascii="Verdana" w:eastAsia="Arial MT" w:hAnsi="Verdana" w:cs="Arial"/>
        </w:rPr>
        <w:t>todas las causales de inhabilidad y de incompatibilidad son consecuencia de una medida de</w:t>
      </w:r>
      <w:r w:rsidRPr="0056112B">
        <w:rPr>
          <w:rFonts w:ascii="Verdana" w:eastAsia="Arial MT" w:hAnsi="Verdana" w:cs="Arial"/>
          <w:spacing w:val="1"/>
        </w:rPr>
        <w:t xml:space="preserve"> </w:t>
      </w:r>
      <w:r w:rsidRPr="0056112B">
        <w:rPr>
          <w:rFonts w:ascii="Verdana" w:eastAsia="Arial MT" w:hAnsi="Verdana" w:cs="Arial"/>
        </w:rPr>
        <w:t>reproche,</w:t>
      </w:r>
      <w:r w:rsidRPr="0056112B">
        <w:rPr>
          <w:rFonts w:ascii="Verdana" w:eastAsia="Arial MT" w:hAnsi="Verdana" w:cs="Arial"/>
          <w:spacing w:val="2"/>
        </w:rPr>
        <w:t xml:space="preserve"> </w:t>
      </w:r>
      <w:r w:rsidRPr="0056112B">
        <w:rPr>
          <w:rFonts w:ascii="Verdana" w:eastAsia="Arial MT" w:hAnsi="Verdana" w:cs="Arial"/>
        </w:rPr>
        <w:t>ni</w:t>
      </w:r>
      <w:r w:rsidRPr="0056112B">
        <w:rPr>
          <w:rFonts w:ascii="Verdana" w:eastAsia="Arial MT" w:hAnsi="Verdana" w:cs="Arial"/>
          <w:spacing w:val="3"/>
        </w:rPr>
        <w:t xml:space="preserve"> </w:t>
      </w:r>
      <w:r w:rsidRPr="0056112B">
        <w:rPr>
          <w:rFonts w:ascii="Verdana" w:eastAsia="Arial MT" w:hAnsi="Verdana" w:cs="Arial"/>
        </w:rPr>
        <w:t>de</w:t>
      </w:r>
      <w:r w:rsidRPr="0056112B">
        <w:rPr>
          <w:rFonts w:ascii="Verdana" w:eastAsia="Arial MT" w:hAnsi="Verdana" w:cs="Arial"/>
          <w:spacing w:val="2"/>
        </w:rPr>
        <w:t xml:space="preserve"> </w:t>
      </w:r>
      <w:r w:rsidRPr="0056112B">
        <w:rPr>
          <w:rFonts w:ascii="Verdana" w:eastAsia="Arial MT" w:hAnsi="Verdana" w:cs="Arial"/>
        </w:rPr>
        <w:t>una</w:t>
      </w:r>
      <w:r w:rsidRPr="0056112B">
        <w:rPr>
          <w:rFonts w:ascii="Verdana" w:eastAsia="Arial MT" w:hAnsi="Verdana" w:cs="Arial"/>
          <w:spacing w:val="3"/>
        </w:rPr>
        <w:t xml:space="preserve"> </w:t>
      </w:r>
      <w:r w:rsidRPr="0056112B">
        <w:rPr>
          <w:rFonts w:ascii="Verdana" w:eastAsia="Arial MT" w:hAnsi="Verdana" w:cs="Arial"/>
        </w:rPr>
        <w:t>sanción</w:t>
      </w:r>
      <w:r w:rsidRPr="0056112B">
        <w:rPr>
          <w:rFonts w:ascii="Verdana" w:eastAsia="Arial MT" w:hAnsi="Verdana" w:cs="Arial"/>
          <w:spacing w:val="2"/>
        </w:rPr>
        <w:t xml:space="preserve"> </w:t>
      </w:r>
      <w:r w:rsidRPr="0056112B">
        <w:rPr>
          <w:rFonts w:ascii="Verdana" w:eastAsia="Arial MT" w:hAnsi="Verdana" w:cs="Arial"/>
        </w:rPr>
        <w:t>previa,</w:t>
      </w:r>
      <w:r w:rsidRPr="0056112B">
        <w:rPr>
          <w:rFonts w:ascii="Verdana" w:eastAsia="Arial MT" w:hAnsi="Verdana" w:cs="Arial"/>
          <w:spacing w:val="3"/>
        </w:rPr>
        <w:t xml:space="preserve"> </w:t>
      </w:r>
      <w:r w:rsidRPr="0056112B">
        <w:rPr>
          <w:rFonts w:ascii="Verdana" w:eastAsia="Arial MT" w:hAnsi="Verdana" w:cs="Arial"/>
        </w:rPr>
        <w:t>es</w:t>
      </w:r>
      <w:r w:rsidRPr="0056112B">
        <w:rPr>
          <w:rFonts w:ascii="Verdana" w:eastAsia="Arial MT" w:hAnsi="Verdana" w:cs="Arial"/>
          <w:spacing w:val="3"/>
        </w:rPr>
        <w:t xml:space="preserve"> </w:t>
      </w:r>
      <w:r w:rsidRPr="0056112B">
        <w:rPr>
          <w:rFonts w:ascii="Verdana" w:eastAsia="Arial MT" w:hAnsi="Verdana" w:cs="Arial"/>
        </w:rPr>
        <w:t>indiscutible</w:t>
      </w:r>
      <w:r w:rsidRPr="0056112B">
        <w:rPr>
          <w:rFonts w:ascii="Verdana" w:eastAsia="Arial MT" w:hAnsi="Verdana" w:cs="Arial"/>
          <w:spacing w:val="2"/>
        </w:rPr>
        <w:t xml:space="preserve"> </w:t>
      </w:r>
      <w:r w:rsidRPr="0056112B">
        <w:rPr>
          <w:rFonts w:ascii="Verdana" w:eastAsia="Arial MT" w:hAnsi="Verdana" w:cs="Arial"/>
        </w:rPr>
        <w:t>que</w:t>
      </w:r>
      <w:r w:rsidRPr="0056112B">
        <w:rPr>
          <w:rFonts w:ascii="Verdana" w:eastAsia="Arial MT" w:hAnsi="Verdana" w:cs="Arial"/>
          <w:spacing w:val="3"/>
        </w:rPr>
        <w:t xml:space="preserve"> </w:t>
      </w:r>
      <w:r w:rsidRPr="0056112B">
        <w:rPr>
          <w:rFonts w:ascii="Verdana" w:eastAsia="Arial MT" w:hAnsi="Verdana" w:cs="Arial"/>
        </w:rPr>
        <w:t>en</w:t>
      </w:r>
      <w:r w:rsidRPr="0056112B">
        <w:rPr>
          <w:rFonts w:ascii="Verdana" w:eastAsia="Arial MT" w:hAnsi="Verdana" w:cs="Arial"/>
          <w:spacing w:val="3"/>
        </w:rPr>
        <w:t xml:space="preserve"> </w:t>
      </w:r>
      <w:r w:rsidRPr="0056112B">
        <w:rPr>
          <w:rFonts w:ascii="Verdana" w:eastAsia="Arial MT" w:hAnsi="Verdana" w:cs="Arial"/>
        </w:rPr>
        <w:t>los</w:t>
      </w:r>
      <w:r w:rsidRPr="0056112B">
        <w:rPr>
          <w:rFonts w:ascii="Verdana" w:eastAsia="Arial MT" w:hAnsi="Verdana" w:cs="Arial"/>
          <w:spacing w:val="2"/>
        </w:rPr>
        <w:t xml:space="preserve"> </w:t>
      </w:r>
      <w:r w:rsidRPr="0056112B">
        <w:rPr>
          <w:rFonts w:ascii="Verdana" w:eastAsia="Arial MT" w:hAnsi="Verdana" w:cs="Arial"/>
        </w:rPr>
        <w:t>años más recientes los lamentables hechos de corrupción han generado como respuesta</w:t>
      </w:r>
      <w:r w:rsidRPr="0056112B">
        <w:rPr>
          <w:rFonts w:ascii="Verdana" w:eastAsia="Arial MT" w:hAnsi="Verdana" w:cs="Arial"/>
          <w:spacing w:val="1"/>
        </w:rPr>
        <w:t xml:space="preserve"> </w:t>
      </w:r>
      <w:r w:rsidRPr="0056112B">
        <w:rPr>
          <w:rFonts w:ascii="Verdana" w:eastAsia="Arial MT" w:hAnsi="Verdana" w:cs="Arial"/>
        </w:rPr>
        <w:t>del legislador, un incremento de las restricciones a la capacidad contractual, dirigidas a</w:t>
      </w:r>
      <w:r w:rsidRPr="0056112B">
        <w:rPr>
          <w:rFonts w:ascii="Verdana" w:eastAsia="Arial MT" w:hAnsi="Verdana" w:cs="Arial"/>
          <w:spacing w:val="-59"/>
        </w:rPr>
        <w:t xml:space="preserve"> </w:t>
      </w:r>
      <w:r w:rsidRPr="0056112B">
        <w:rPr>
          <w:rFonts w:ascii="Verdana" w:eastAsia="Arial MT" w:hAnsi="Verdana" w:cs="Arial"/>
        </w:rPr>
        <w:t>prevenir</w:t>
      </w:r>
      <w:r w:rsidRPr="0056112B">
        <w:rPr>
          <w:rFonts w:ascii="Verdana" w:eastAsia="Arial MT" w:hAnsi="Verdana" w:cs="Arial"/>
          <w:spacing w:val="-2"/>
        </w:rPr>
        <w:t xml:space="preserve"> </w:t>
      </w:r>
      <w:r w:rsidRPr="0056112B">
        <w:rPr>
          <w:rFonts w:ascii="Verdana" w:eastAsia="Arial MT" w:hAnsi="Verdana" w:cs="Arial"/>
        </w:rPr>
        <w:t>este</w:t>
      </w:r>
      <w:r w:rsidRPr="0056112B">
        <w:rPr>
          <w:rFonts w:ascii="Verdana" w:eastAsia="Arial MT" w:hAnsi="Verdana" w:cs="Arial"/>
          <w:spacing w:val="-1"/>
        </w:rPr>
        <w:t xml:space="preserve"> </w:t>
      </w:r>
      <w:r w:rsidRPr="0056112B">
        <w:rPr>
          <w:rFonts w:ascii="Verdana" w:eastAsia="Arial MT" w:hAnsi="Verdana" w:cs="Arial"/>
        </w:rPr>
        <w:t>tipo</w:t>
      </w:r>
      <w:r w:rsidRPr="0056112B">
        <w:rPr>
          <w:rFonts w:ascii="Verdana" w:eastAsia="Arial MT" w:hAnsi="Verdana" w:cs="Arial"/>
          <w:spacing w:val="-2"/>
        </w:rPr>
        <w:t xml:space="preserve"> </w:t>
      </w:r>
      <w:r w:rsidRPr="0056112B">
        <w:rPr>
          <w:rFonts w:ascii="Verdana" w:eastAsia="Arial MT" w:hAnsi="Verdana" w:cs="Arial"/>
        </w:rPr>
        <w:t>de</w:t>
      </w:r>
      <w:r w:rsidRPr="0056112B">
        <w:rPr>
          <w:rFonts w:ascii="Verdana" w:eastAsia="Arial MT" w:hAnsi="Verdana" w:cs="Arial"/>
          <w:spacing w:val="-1"/>
        </w:rPr>
        <w:t xml:space="preserve"> </w:t>
      </w:r>
      <w:r w:rsidRPr="0056112B">
        <w:rPr>
          <w:rFonts w:ascii="Verdana" w:eastAsia="Arial MT" w:hAnsi="Verdana" w:cs="Arial"/>
        </w:rPr>
        <w:t>situaciones</w:t>
      </w:r>
      <w:r w:rsidRPr="0056112B">
        <w:rPr>
          <w:rFonts w:ascii="Verdana" w:eastAsia="Arial MT" w:hAnsi="Verdana" w:cs="Arial"/>
          <w:spacing w:val="-1"/>
        </w:rPr>
        <w:t xml:space="preserve"> </w:t>
      </w:r>
      <w:r w:rsidRPr="0056112B">
        <w:rPr>
          <w:rFonts w:ascii="Verdana" w:eastAsia="Arial MT" w:hAnsi="Verdana" w:cs="Arial"/>
        </w:rPr>
        <w:t>o</w:t>
      </w:r>
      <w:r w:rsidRPr="0056112B">
        <w:rPr>
          <w:rFonts w:ascii="Verdana" w:eastAsia="Arial MT" w:hAnsi="Verdana" w:cs="Arial"/>
          <w:spacing w:val="-2"/>
        </w:rPr>
        <w:t xml:space="preserve"> </w:t>
      </w:r>
      <w:r w:rsidRPr="0056112B">
        <w:rPr>
          <w:rFonts w:ascii="Verdana" w:eastAsia="Arial MT" w:hAnsi="Verdana" w:cs="Arial"/>
        </w:rPr>
        <w:t>a</w:t>
      </w:r>
      <w:r w:rsidRPr="0056112B">
        <w:rPr>
          <w:rFonts w:ascii="Verdana" w:eastAsia="Arial MT" w:hAnsi="Verdana" w:cs="Arial"/>
          <w:spacing w:val="-1"/>
        </w:rPr>
        <w:t xml:space="preserve"> </w:t>
      </w:r>
      <w:r w:rsidRPr="0056112B">
        <w:rPr>
          <w:rFonts w:ascii="Verdana" w:eastAsia="Arial MT" w:hAnsi="Verdana" w:cs="Arial"/>
        </w:rPr>
        <w:t>sancionar</w:t>
      </w:r>
      <w:r w:rsidRPr="0056112B">
        <w:rPr>
          <w:rFonts w:ascii="Verdana" w:eastAsia="Arial MT" w:hAnsi="Verdana" w:cs="Arial"/>
          <w:spacing w:val="-1"/>
        </w:rPr>
        <w:t xml:space="preserve"> </w:t>
      </w:r>
      <w:r w:rsidRPr="0056112B">
        <w:rPr>
          <w:rFonts w:ascii="Verdana" w:eastAsia="Arial MT" w:hAnsi="Verdana" w:cs="Arial"/>
        </w:rPr>
        <w:t>tales</w:t>
      </w:r>
      <w:r w:rsidRPr="0056112B">
        <w:rPr>
          <w:rFonts w:ascii="Verdana" w:eastAsia="Arial MT" w:hAnsi="Verdana" w:cs="Arial"/>
          <w:spacing w:val="-2"/>
        </w:rPr>
        <w:t xml:space="preserve"> </w:t>
      </w:r>
      <w:r w:rsidRPr="0056112B">
        <w:rPr>
          <w:rFonts w:ascii="Verdana" w:eastAsia="Arial MT" w:hAnsi="Verdana" w:cs="Arial"/>
        </w:rPr>
        <w:t>conductas.</w:t>
      </w:r>
    </w:p>
    <w:p w14:paraId="56C9F7D0" w14:textId="77777777" w:rsidR="0056112B" w:rsidRPr="0056112B" w:rsidRDefault="0056112B" w:rsidP="0056112B">
      <w:pPr>
        <w:widowControl w:val="0"/>
        <w:autoSpaceDE w:val="0"/>
        <w:autoSpaceDN w:val="0"/>
        <w:spacing w:before="120" w:after="0" w:line="276" w:lineRule="auto"/>
        <w:ind w:firstLine="708"/>
        <w:jc w:val="both"/>
        <w:rPr>
          <w:rFonts w:ascii="Verdana" w:eastAsia="Arial MT" w:hAnsi="Verdana" w:cs="Arial"/>
        </w:rPr>
      </w:pPr>
      <w:r w:rsidRPr="0056112B">
        <w:rPr>
          <w:rFonts w:ascii="Verdana" w:eastAsia="Arial MT" w:hAnsi="Verdana" w:cs="Arial"/>
        </w:rPr>
        <w:t>Ahora bien, las inhabilidades e incompatibilidades, al ser</w:t>
      </w:r>
      <w:r w:rsidRPr="0056112B">
        <w:rPr>
          <w:rFonts w:ascii="Verdana" w:eastAsia="Arial MT" w:hAnsi="Verdana" w:cs="Arial"/>
          <w:spacing w:val="1"/>
        </w:rPr>
        <w:t xml:space="preserve"> </w:t>
      </w:r>
      <w:r w:rsidRPr="0056112B">
        <w:rPr>
          <w:rFonts w:ascii="Verdana" w:eastAsia="Arial MT" w:hAnsi="Verdana" w:cs="Arial"/>
        </w:rPr>
        <w:t>restricciones o límites especiales a la capacidad para presentar ofertas y celebrar</w:t>
      </w:r>
      <w:r w:rsidRPr="0056112B">
        <w:rPr>
          <w:rFonts w:ascii="Verdana" w:eastAsia="Arial MT" w:hAnsi="Verdana" w:cs="Arial"/>
          <w:spacing w:val="1"/>
        </w:rPr>
        <w:t xml:space="preserve"> </w:t>
      </w:r>
      <w:r w:rsidRPr="0056112B">
        <w:rPr>
          <w:rFonts w:ascii="Verdana" w:eastAsia="Arial MT" w:hAnsi="Verdana" w:cs="Arial"/>
        </w:rPr>
        <w:t>contratos</w:t>
      </w:r>
      <w:r w:rsidRPr="0056112B">
        <w:rPr>
          <w:rFonts w:ascii="Verdana" w:eastAsia="Arial MT" w:hAnsi="Verdana" w:cs="Arial"/>
          <w:spacing w:val="-12"/>
        </w:rPr>
        <w:t xml:space="preserve"> </w:t>
      </w:r>
      <w:r w:rsidRPr="0056112B">
        <w:rPr>
          <w:rFonts w:ascii="Verdana" w:eastAsia="Arial MT" w:hAnsi="Verdana" w:cs="Arial"/>
        </w:rPr>
        <w:t>estatales,</w:t>
      </w:r>
      <w:r w:rsidRPr="0056112B">
        <w:rPr>
          <w:rFonts w:ascii="Verdana" w:eastAsia="Arial MT" w:hAnsi="Verdana" w:cs="Arial"/>
          <w:spacing w:val="-12"/>
        </w:rPr>
        <w:t xml:space="preserve"> </w:t>
      </w:r>
      <w:r w:rsidRPr="0056112B">
        <w:rPr>
          <w:rFonts w:ascii="Verdana" w:eastAsia="Arial MT" w:hAnsi="Verdana" w:cs="Arial"/>
        </w:rPr>
        <w:t>solo</w:t>
      </w:r>
      <w:r w:rsidRPr="0056112B">
        <w:rPr>
          <w:rFonts w:ascii="Verdana" w:eastAsia="Arial MT" w:hAnsi="Verdana" w:cs="Arial"/>
          <w:spacing w:val="-12"/>
        </w:rPr>
        <w:t xml:space="preserve"> </w:t>
      </w:r>
      <w:r w:rsidRPr="0056112B">
        <w:rPr>
          <w:rFonts w:ascii="Verdana" w:eastAsia="Arial MT" w:hAnsi="Verdana" w:cs="Arial"/>
        </w:rPr>
        <w:t>pueden</w:t>
      </w:r>
      <w:r w:rsidRPr="0056112B">
        <w:rPr>
          <w:rFonts w:ascii="Verdana" w:eastAsia="Arial MT" w:hAnsi="Verdana" w:cs="Arial"/>
          <w:spacing w:val="-11"/>
        </w:rPr>
        <w:t xml:space="preserve"> </w:t>
      </w:r>
      <w:r w:rsidRPr="0056112B">
        <w:rPr>
          <w:rFonts w:ascii="Verdana" w:eastAsia="Arial MT" w:hAnsi="Verdana" w:cs="Arial"/>
        </w:rPr>
        <w:t>tipificarse</w:t>
      </w:r>
      <w:r w:rsidRPr="0056112B">
        <w:rPr>
          <w:rFonts w:ascii="Verdana" w:eastAsia="Arial MT" w:hAnsi="Verdana" w:cs="Arial"/>
          <w:spacing w:val="-10"/>
        </w:rPr>
        <w:t xml:space="preserve"> </w:t>
      </w:r>
      <w:r w:rsidRPr="0056112B">
        <w:rPr>
          <w:rFonts w:ascii="Verdana" w:eastAsia="Arial MT" w:hAnsi="Verdana" w:cs="Arial"/>
        </w:rPr>
        <w:t>en</w:t>
      </w:r>
      <w:r w:rsidRPr="0056112B">
        <w:rPr>
          <w:rFonts w:ascii="Verdana" w:eastAsia="Arial MT" w:hAnsi="Verdana" w:cs="Arial"/>
          <w:spacing w:val="-12"/>
        </w:rPr>
        <w:t xml:space="preserve"> </w:t>
      </w:r>
      <w:r w:rsidRPr="0056112B">
        <w:rPr>
          <w:rFonts w:ascii="Verdana" w:eastAsia="Arial MT" w:hAnsi="Verdana" w:cs="Arial"/>
        </w:rPr>
        <w:t>la</w:t>
      </w:r>
      <w:r w:rsidRPr="0056112B">
        <w:rPr>
          <w:rFonts w:ascii="Verdana" w:eastAsia="Arial MT" w:hAnsi="Verdana" w:cs="Arial"/>
          <w:spacing w:val="-12"/>
        </w:rPr>
        <w:t xml:space="preserve"> </w:t>
      </w:r>
      <w:r w:rsidRPr="0056112B">
        <w:rPr>
          <w:rFonts w:ascii="Verdana" w:eastAsia="Arial MT" w:hAnsi="Verdana" w:cs="Arial"/>
        </w:rPr>
        <w:t>ley</w:t>
      </w:r>
      <w:r w:rsidRPr="0056112B">
        <w:rPr>
          <w:rFonts w:ascii="Verdana" w:eastAsia="Arial MT" w:hAnsi="Verdana" w:cs="Arial"/>
          <w:spacing w:val="-12"/>
        </w:rPr>
        <w:t xml:space="preserve"> </w:t>
      </w:r>
      <w:r w:rsidRPr="0056112B">
        <w:rPr>
          <w:rFonts w:ascii="Verdana" w:eastAsia="Arial MT" w:hAnsi="Verdana" w:cs="Arial"/>
        </w:rPr>
        <w:t xml:space="preserve">y su interpretación debe ser </w:t>
      </w:r>
      <w:r w:rsidRPr="0056112B">
        <w:rPr>
          <w:rFonts w:ascii="Verdana" w:eastAsia="Arial MT" w:hAnsi="Verdana" w:cs="Arial"/>
          <w:i/>
        </w:rPr>
        <w:t>restrictiva</w:t>
      </w:r>
      <w:r w:rsidRPr="0056112B">
        <w:rPr>
          <w:rFonts w:ascii="Calibri" w:eastAsia="Calibri" w:hAnsi="Calibri" w:cs="Times New Roman"/>
          <w:i/>
          <w:vertAlign w:val="superscript"/>
        </w:rPr>
        <w:footnoteReference w:id="5"/>
      </w:r>
      <w:r w:rsidRPr="0056112B">
        <w:rPr>
          <w:rFonts w:ascii="Verdana" w:eastAsia="Arial MT" w:hAnsi="Verdana" w:cs="Arial"/>
        </w:rPr>
        <w:t>. De admitirse una interpretación</w:t>
      </w:r>
      <w:r w:rsidRPr="0056112B">
        <w:rPr>
          <w:rFonts w:ascii="Verdana" w:eastAsia="Arial MT" w:hAnsi="Verdana" w:cs="Arial"/>
          <w:spacing w:val="1"/>
        </w:rPr>
        <w:t xml:space="preserve"> </w:t>
      </w:r>
      <w:r w:rsidRPr="0056112B">
        <w:rPr>
          <w:rFonts w:ascii="Verdana" w:eastAsia="Arial MT" w:hAnsi="Verdana" w:cs="Arial"/>
        </w:rPr>
        <w:t>extensiva,</w:t>
      </w:r>
      <w:r w:rsidRPr="0056112B">
        <w:rPr>
          <w:rFonts w:ascii="Verdana" w:eastAsia="Arial MT" w:hAnsi="Verdana" w:cs="Arial"/>
          <w:spacing w:val="1"/>
        </w:rPr>
        <w:t xml:space="preserve"> </w:t>
      </w:r>
      <w:r w:rsidRPr="0056112B">
        <w:rPr>
          <w:rFonts w:ascii="Verdana" w:eastAsia="Arial MT" w:hAnsi="Verdana" w:cs="Arial"/>
        </w:rPr>
        <w:t>tales</w:t>
      </w:r>
      <w:r w:rsidRPr="0056112B">
        <w:rPr>
          <w:rFonts w:ascii="Verdana" w:eastAsia="Arial MT" w:hAnsi="Verdana" w:cs="Arial"/>
          <w:spacing w:val="1"/>
        </w:rPr>
        <w:t xml:space="preserve"> </w:t>
      </w:r>
      <w:r w:rsidRPr="0056112B">
        <w:rPr>
          <w:rFonts w:ascii="Verdana" w:eastAsia="Arial MT" w:hAnsi="Verdana" w:cs="Arial"/>
        </w:rPr>
        <w:t>enunciados</w:t>
      </w:r>
      <w:r w:rsidRPr="0056112B">
        <w:rPr>
          <w:rFonts w:ascii="Verdana" w:eastAsia="Arial MT" w:hAnsi="Verdana" w:cs="Arial"/>
          <w:spacing w:val="1"/>
        </w:rPr>
        <w:t xml:space="preserve"> </w:t>
      </w:r>
      <w:r w:rsidRPr="0056112B">
        <w:rPr>
          <w:rFonts w:ascii="Verdana" w:eastAsia="Arial MT" w:hAnsi="Verdana" w:cs="Arial"/>
        </w:rPr>
        <w:t>normativos</w:t>
      </w:r>
      <w:r w:rsidRPr="0056112B">
        <w:rPr>
          <w:rFonts w:ascii="Verdana" w:eastAsia="Arial MT" w:hAnsi="Verdana" w:cs="Arial"/>
          <w:spacing w:val="1"/>
        </w:rPr>
        <w:t xml:space="preserve"> </w:t>
      </w:r>
      <w:r w:rsidRPr="0056112B">
        <w:rPr>
          <w:rFonts w:ascii="Verdana" w:eastAsia="Arial MT" w:hAnsi="Verdana" w:cs="Arial"/>
        </w:rPr>
        <w:t>podrían</w:t>
      </w:r>
      <w:r w:rsidRPr="0056112B">
        <w:rPr>
          <w:rFonts w:ascii="Verdana" w:eastAsia="Arial MT" w:hAnsi="Verdana" w:cs="Arial"/>
          <w:spacing w:val="1"/>
        </w:rPr>
        <w:t xml:space="preserve"> </w:t>
      </w:r>
      <w:r w:rsidRPr="0056112B">
        <w:rPr>
          <w:rFonts w:ascii="Verdana" w:eastAsia="Arial MT" w:hAnsi="Verdana" w:cs="Arial"/>
        </w:rPr>
        <w:t>contemplar</w:t>
      </w:r>
      <w:r w:rsidRPr="0056112B">
        <w:rPr>
          <w:rFonts w:ascii="Verdana" w:eastAsia="Arial MT" w:hAnsi="Verdana" w:cs="Arial"/>
          <w:spacing w:val="1"/>
        </w:rPr>
        <w:t xml:space="preserve"> </w:t>
      </w:r>
      <w:r w:rsidRPr="0056112B">
        <w:rPr>
          <w:rFonts w:ascii="Verdana" w:eastAsia="Arial MT" w:hAnsi="Verdana" w:cs="Arial"/>
        </w:rPr>
        <w:t>múltiples</w:t>
      </w:r>
      <w:r w:rsidRPr="0056112B">
        <w:rPr>
          <w:rFonts w:ascii="Verdana" w:eastAsia="Arial MT" w:hAnsi="Verdana" w:cs="Arial"/>
          <w:spacing w:val="1"/>
        </w:rPr>
        <w:t xml:space="preserve"> </w:t>
      </w:r>
      <w:r w:rsidRPr="0056112B">
        <w:rPr>
          <w:rFonts w:ascii="Verdana" w:eastAsia="Arial MT" w:hAnsi="Verdana" w:cs="Arial"/>
        </w:rPr>
        <w:t>supuestos</w:t>
      </w:r>
      <w:r w:rsidRPr="0056112B">
        <w:rPr>
          <w:rFonts w:ascii="Verdana" w:eastAsia="Arial MT" w:hAnsi="Verdana" w:cs="Arial"/>
          <w:spacing w:val="1"/>
        </w:rPr>
        <w:t xml:space="preserve"> </w:t>
      </w:r>
      <w:r w:rsidRPr="0056112B">
        <w:rPr>
          <w:rFonts w:ascii="Verdana" w:eastAsia="Arial MT" w:hAnsi="Verdana" w:cs="Arial"/>
        </w:rPr>
        <w:t>indeterminados,</w:t>
      </w:r>
      <w:r w:rsidRPr="0056112B">
        <w:rPr>
          <w:rFonts w:ascii="Verdana" w:eastAsia="Arial MT" w:hAnsi="Verdana" w:cs="Arial"/>
          <w:spacing w:val="-4"/>
        </w:rPr>
        <w:t xml:space="preserve"> </w:t>
      </w:r>
      <w:r w:rsidRPr="0056112B">
        <w:rPr>
          <w:rFonts w:ascii="Verdana" w:eastAsia="Arial MT" w:hAnsi="Verdana" w:cs="Arial"/>
        </w:rPr>
        <w:t>adquiriendo</w:t>
      </w:r>
      <w:r w:rsidRPr="0056112B">
        <w:rPr>
          <w:rFonts w:ascii="Verdana" w:eastAsia="Arial MT" w:hAnsi="Verdana" w:cs="Arial"/>
          <w:spacing w:val="-4"/>
        </w:rPr>
        <w:t xml:space="preserve"> </w:t>
      </w:r>
      <w:r w:rsidRPr="0056112B">
        <w:rPr>
          <w:rFonts w:ascii="Verdana" w:eastAsia="Arial MT" w:hAnsi="Verdana" w:cs="Arial"/>
        </w:rPr>
        <w:t>un</w:t>
      </w:r>
      <w:r w:rsidRPr="0056112B">
        <w:rPr>
          <w:rFonts w:ascii="Verdana" w:eastAsia="Arial MT" w:hAnsi="Verdana" w:cs="Arial"/>
          <w:spacing w:val="-4"/>
        </w:rPr>
        <w:t xml:space="preserve"> </w:t>
      </w:r>
      <w:r w:rsidRPr="0056112B">
        <w:rPr>
          <w:rFonts w:ascii="Verdana" w:eastAsia="Arial MT" w:hAnsi="Verdana" w:cs="Arial"/>
        </w:rPr>
        <w:t>cariz</w:t>
      </w:r>
      <w:r w:rsidRPr="0056112B">
        <w:rPr>
          <w:rFonts w:ascii="Verdana" w:eastAsia="Arial MT" w:hAnsi="Verdana" w:cs="Arial"/>
          <w:spacing w:val="-4"/>
        </w:rPr>
        <w:t xml:space="preserve"> </w:t>
      </w:r>
      <w:r w:rsidRPr="0056112B">
        <w:rPr>
          <w:rFonts w:ascii="Verdana" w:eastAsia="Arial MT" w:hAnsi="Verdana" w:cs="Arial"/>
        </w:rPr>
        <w:t>subjetivo,</w:t>
      </w:r>
      <w:r w:rsidRPr="0056112B">
        <w:rPr>
          <w:rFonts w:ascii="Verdana" w:eastAsia="Arial MT" w:hAnsi="Verdana" w:cs="Arial"/>
          <w:spacing w:val="-3"/>
        </w:rPr>
        <w:t xml:space="preserve"> </w:t>
      </w:r>
      <w:r w:rsidRPr="0056112B">
        <w:rPr>
          <w:rFonts w:ascii="Verdana" w:eastAsia="Arial MT" w:hAnsi="Verdana" w:cs="Arial"/>
        </w:rPr>
        <w:t>según</w:t>
      </w:r>
      <w:r w:rsidRPr="0056112B">
        <w:rPr>
          <w:rFonts w:ascii="Verdana" w:eastAsia="Arial MT" w:hAnsi="Verdana" w:cs="Arial"/>
          <w:spacing w:val="-4"/>
        </w:rPr>
        <w:t xml:space="preserve"> </w:t>
      </w:r>
      <w:r w:rsidRPr="0056112B">
        <w:rPr>
          <w:rFonts w:ascii="Verdana" w:eastAsia="Arial MT" w:hAnsi="Verdana" w:cs="Arial"/>
        </w:rPr>
        <w:t>el</w:t>
      </w:r>
      <w:r w:rsidRPr="0056112B">
        <w:rPr>
          <w:rFonts w:ascii="Verdana" w:eastAsia="Arial MT" w:hAnsi="Verdana" w:cs="Arial"/>
          <w:spacing w:val="-4"/>
        </w:rPr>
        <w:t xml:space="preserve"> </w:t>
      </w:r>
      <w:r w:rsidRPr="0056112B">
        <w:rPr>
          <w:rFonts w:ascii="Verdana" w:eastAsia="Arial MT" w:hAnsi="Verdana" w:cs="Arial"/>
        </w:rPr>
        <w:t>parecer</w:t>
      </w:r>
      <w:r w:rsidRPr="0056112B">
        <w:rPr>
          <w:rFonts w:ascii="Verdana" w:eastAsia="Arial MT" w:hAnsi="Verdana" w:cs="Arial"/>
          <w:spacing w:val="-4"/>
        </w:rPr>
        <w:t xml:space="preserve"> </w:t>
      </w:r>
      <w:r w:rsidRPr="0056112B">
        <w:rPr>
          <w:rFonts w:ascii="Verdana" w:eastAsia="Arial MT" w:hAnsi="Verdana" w:cs="Arial"/>
        </w:rPr>
        <w:t>o</w:t>
      </w:r>
      <w:r w:rsidRPr="0056112B">
        <w:rPr>
          <w:rFonts w:ascii="Verdana" w:eastAsia="Arial MT" w:hAnsi="Verdana" w:cs="Arial"/>
          <w:spacing w:val="-3"/>
        </w:rPr>
        <w:t xml:space="preserve"> </w:t>
      </w:r>
      <w:r w:rsidRPr="0056112B">
        <w:rPr>
          <w:rFonts w:ascii="Verdana" w:eastAsia="Arial MT" w:hAnsi="Verdana" w:cs="Arial"/>
        </w:rPr>
        <w:t>el</w:t>
      </w:r>
      <w:r w:rsidRPr="0056112B">
        <w:rPr>
          <w:rFonts w:ascii="Verdana" w:eastAsia="Arial MT" w:hAnsi="Verdana" w:cs="Arial"/>
          <w:spacing w:val="-4"/>
        </w:rPr>
        <w:t xml:space="preserve"> </w:t>
      </w:r>
      <w:r w:rsidRPr="0056112B">
        <w:rPr>
          <w:rFonts w:ascii="Verdana" w:eastAsia="Arial MT" w:hAnsi="Verdana" w:cs="Arial"/>
        </w:rPr>
        <w:t>sentido</w:t>
      </w:r>
      <w:r w:rsidRPr="0056112B">
        <w:rPr>
          <w:rFonts w:ascii="Verdana" w:eastAsia="Arial MT" w:hAnsi="Verdana" w:cs="Arial"/>
          <w:spacing w:val="-4"/>
        </w:rPr>
        <w:t xml:space="preserve"> </w:t>
      </w:r>
      <w:r w:rsidRPr="0056112B">
        <w:rPr>
          <w:rFonts w:ascii="Verdana" w:eastAsia="Arial MT" w:hAnsi="Verdana" w:cs="Arial"/>
        </w:rPr>
        <w:t>común</w:t>
      </w:r>
      <w:r w:rsidRPr="0056112B">
        <w:rPr>
          <w:rFonts w:ascii="Verdana" w:eastAsia="Arial MT" w:hAnsi="Verdana" w:cs="Arial"/>
          <w:spacing w:val="-4"/>
        </w:rPr>
        <w:t xml:space="preserve"> </w:t>
      </w:r>
      <w:r w:rsidRPr="0056112B">
        <w:rPr>
          <w:rFonts w:ascii="Verdana" w:eastAsia="Arial MT" w:hAnsi="Verdana" w:cs="Arial"/>
        </w:rPr>
        <w:t>de los operadores jurídicos, poniendo en riesgo principios como la igualdad, el debido</w:t>
      </w:r>
      <w:r w:rsidRPr="0056112B">
        <w:rPr>
          <w:rFonts w:ascii="Verdana" w:eastAsia="Arial MT" w:hAnsi="Verdana" w:cs="Arial"/>
          <w:spacing w:val="1"/>
        </w:rPr>
        <w:t xml:space="preserve"> </w:t>
      </w:r>
      <w:r w:rsidRPr="0056112B">
        <w:rPr>
          <w:rFonts w:ascii="Verdana" w:eastAsia="Arial MT" w:hAnsi="Verdana" w:cs="Arial"/>
        </w:rPr>
        <w:t>proceso, la libre concurrencia y el ejercicio de la profesión u oficio. Tal ha sido la postura al interior de la jurisprudencia, tanto de la Corte Constitucional como de la Sección</w:t>
      </w:r>
      <w:r w:rsidRPr="0056112B">
        <w:rPr>
          <w:rFonts w:ascii="Verdana" w:eastAsia="Arial MT" w:hAnsi="Verdana" w:cs="Arial"/>
          <w:spacing w:val="1"/>
        </w:rPr>
        <w:t xml:space="preserve"> </w:t>
      </w:r>
      <w:r w:rsidRPr="0056112B">
        <w:rPr>
          <w:rFonts w:ascii="Verdana" w:eastAsia="Arial MT" w:hAnsi="Verdana" w:cs="Arial"/>
        </w:rPr>
        <w:t>Tercera</w:t>
      </w:r>
      <w:r w:rsidRPr="0056112B">
        <w:rPr>
          <w:rFonts w:ascii="Verdana" w:eastAsia="Arial MT" w:hAnsi="Verdana" w:cs="Arial"/>
          <w:spacing w:val="-2"/>
        </w:rPr>
        <w:t xml:space="preserve"> </w:t>
      </w:r>
      <w:r w:rsidRPr="0056112B">
        <w:rPr>
          <w:rFonts w:ascii="Verdana" w:eastAsia="Arial MT" w:hAnsi="Verdana" w:cs="Arial"/>
        </w:rPr>
        <w:t>del</w:t>
      </w:r>
      <w:r w:rsidRPr="0056112B">
        <w:rPr>
          <w:rFonts w:ascii="Verdana" w:eastAsia="Arial MT" w:hAnsi="Verdana" w:cs="Arial"/>
          <w:spacing w:val="-1"/>
        </w:rPr>
        <w:t xml:space="preserve"> </w:t>
      </w:r>
      <w:r w:rsidRPr="0056112B">
        <w:rPr>
          <w:rFonts w:ascii="Verdana" w:eastAsia="Arial MT" w:hAnsi="Verdana" w:cs="Arial"/>
        </w:rPr>
        <w:t>Consejo</w:t>
      </w:r>
      <w:r w:rsidRPr="0056112B">
        <w:rPr>
          <w:rFonts w:ascii="Verdana" w:eastAsia="Arial MT" w:hAnsi="Verdana" w:cs="Arial"/>
          <w:spacing w:val="-1"/>
        </w:rPr>
        <w:t xml:space="preserve"> </w:t>
      </w:r>
      <w:r w:rsidRPr="0056112B">
        <w:rPr>
          <w:rFonts w:ascii="Verdana" w:eastAsia="Arial MT" w:hAnsi="Verdana" w:cs="Arial"/>
        </w:rPr>
        <w:t>de</w:t>
      </w:r>
      <w:r w:rsidRPr="0056112B">
        <w:rPr>
          <w:rFonts w:ascii="Verdana" w:eastAsia="Arial MT" w:hAnsi="Verdana" w:cs="Arial"/>
          <w:spacing w:val="-1"/>
        </w:rPr>
        <w:t xml:space="preserve"> </w:t>
      </w:r>
      <w:r w:rsidRPr="0056112B">
        <w:rPr>
          <w:rFonts w:ascii="Verdana" w:eastAsia="Arial MT" w:hAnsi="Verdana" w:cs="Arial"/>
        </w:rPr>
        <w:t>Estado.</w:t>
      </w:r>
    </w:p>
    <w:p w14:paraId="1D34CF2A" w14:textId="77777777" w:rsidR="0056112B" w:rsidRPr="0056112B" w:rsidRDefault="0056112B" w:rsidP="0056112B">
      <w:pPr>
        <w:widowControl w:val="0"/>
        <w:autoSpaceDE w:val="0"/>
        <w:autoSpaceDN w:val="0"/>
        <w:spacing w:before="120" w:after="0" w:line="276" w:lineRule="auto"/>
        <w:ind w:firstLine="708"/>
        <w:jc w:val="both"/>
        <w:rPr>
          <w:rFonts w:ascii="Verdana" w:eastAsia="Arial MT" w:hAnsi="Verdana" w:cs="Arial"/>
        </w:rPr>
      </w:pPr>
      <w:r w:rsidRPr="0056112B">
        <w:rPr>
          <w:rFonts w:ascii="Verdana" w:eastAsia="Arial MT" w:hAnsi="Verdana" w:cs="Arial"/>
        </w:rPr>
        <w:t>En</w:t>
      </w:r>
      <w:r w:rsidRPr="0056112B">
        <w:rPr>
          <w:rFonts w:ascii="Verdana" w:eastAsia="Arial MT" w:hAnsi="Verdana" w:cs="Arial"/>
          <w:spacing w:val="-11"/>
        </w:rPr>
        <w:t xml:space="preserve"> </w:t>
      </w:r>
      <w:r w:rsidRPr="0056112B">
        <w:rPr>
          <w:rFonts w:ascii="Verdana" w:eastAsia="Arial MT" w:hAnsi="Verdana" w:cs="Arial"/>
        </w:rPr>
        <w:t>efecto,</w:t>
      </w:r>
      <w:r w:rsidRPr="0056112B">
        <w:rPr>
          <w:rFonts w:ascii="Verdana" w:eastAsia="Arial MT" w:hAnsi="Verdana" w:cs="Arial"/>
          <w:spacing w:val="-10"/>
        </w:rPr>
        <w:t xml:space="preserve"> </w:t>
      </w:r>
      <w:r w:rsidRPr="0056112B">
        <w:rPr>
          <w:rFonts w:ascii="Verdana" w:eastAsia="Arial MT" w:hAnsi="Verdana" w:cs="Arial"/>
        </w:rPr>
        <w:t>el</w:t>
      </w:r>
      <w:r w:rsidRPr="0056112B">
        <w:rPr>
          <w:rFonts w:ascii="Verdana" w:eastAsia="Arial MT" w:hAnsi="Verdana" w:cs="Arial"/>
          <w:spacing w:val="-10"/>
        </w:rPr>
        <w:t xml:space="preserve"> </w:t>
      </w:r>
      <w:r w:rsidRPr="0056112B">
        <w:rPr>
          <w:rFonts w:ascii="Verdana" w:eastAsia="Arial MT" w:hAnsi="Verdana" w:cs="Arial"/>
        </w:rPr>
        <w:t>máximo</w:t>
      </w:r>
      <w:r w:rsidRPr="0056112B">
        <w:rPr>
          <w:rFonts w:ascii="Verdana" w:eastAsia="Arial MT" w:hAnsi="Verdana" w:cs="Arial"/>
          <w:spacing w:val="-10"/>
        </w:rPr>
        <w:t xml:space="preserve"> </w:t>
      </w:r>
      <w:r w:rsidRPr="0056112B">
        <w:rPr>
          <w:rFonts w:ascii="Verdana" w:eastAsia="Arial MT" w:hAnsi="Verdana" w:cs="Arial"/>
        </w:rPr>
        <w:t>tribunal</w:t>
      </w:r>
      <w:r w:rsidRPr="0056112B">
        <w:rPr>
          <w:rFonts w:ascii="Verdana" w:eastAsia="Arial MT" w:hAnsi="Verdana" w:cs="Arial"/>
          <w:spacing w:val="-9"/>
        </w:rPr>
        <w:t xml:space="preserve"> </w:t>
      </w:r>
      <w:r w:rsidRPr="0056112B">
        <w:rPr>
          <w:rFonts w:ascii="Verdana" w:eastAsia="Arial MT" w:hAnsi="Verdana" w:cs="Arial"/>
        </w:rPr>
        <w:t>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56112B">
        <w:rPr>
          <w:rFonts w:ascii="Verdana" w:eastAsia="Arial MT" w:hAnsi="Verdana" w:cs="Arial"/>
          <w:vertAlign w:val="superscript"/>
        </w:rPr>
        <w:footnoteReference w:id="6"/>
      </w:r>
      <w:r w:rsidRPr="0056112B">
        <w:rPr>
          <w:rFonts w:ascii="Verdana" w:eastAsia="Arial MT" w:hAnsi="Verdana" w:cs="Arial"/>
        </w:rPr>
        <w:t xml:space="preserve">. Por su parte, el Consejo de Estado también ha acogido este criterio, considerando –como expresa la Sala de Consulta y Servicio Civil–, que “La interpretación </w:t>
      </w:r>
      <w:r w:rsidRPr="0056112B">
        <w:rPr>
          <w:rFonts w:ascii="Verdana" w:eastAsia="Arial MT" w:hAnsi="Verdana" w:cs="Arial"/>
        </w:rPr>
        <w:lastRenderedPageBreak/>
        <w:t>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56112B">
        <w:rPr>
          <w:rFonts w:ascii="Verdana" w:eastAsia="Arial MT" w:hAnsi="Verdana" w:cs="Arial"/>
          <w:vertAlign w:val="superscript"/>
        </w:rPr>
        <w:footnoteReference w:id="7"/>
      </w:r>
      <w:r w:rsidRPr="0056112B">
        <w:rPr>
          <w:rFonts w:ascii="Verdana" w:eastAsia="Arial MT" w:hAnsi="Verdana" w:cs="Arial"/>
        </w:rPr>
        <w:t>. En tal sentido, la Sección Tercera ha señalado que:</w:t>
      </w:r>
    </w:p>
    <w:p w14:paraId="0DFC479E" w14:textId="77777777" w:rsidR="0056112B" w:rsidRPr="0056112B" w:rsidRDefault="0056112B" w:rsidP="0056112B">
      <w:pPr>
        <w:widowControl w:val="0"/>
        <w:autoSpaceDE w:val="0"/>
        <w:autoSpaceDN w:val="0"/>
        <w:spacing w:after="0" w:line="276" w:lineRule="auto"/>
        <w:ind w:firstLine="708"/>
        <w:jc w:val="both"/>
        <w:rPr>
          <w:rFonts w:ascii="Verdana" w:eastAsia="Arial MT" w:hAnsi="Verdana" w:cs="Arial"/>
          <w:lang w:val="es-ES"/>
        </w:rPr>
      </w:pPr>
    </w:p>
    <w:p w14:paraId="22542535" w14:textId="77777777" w:rsidR="0056112B" w:rsidRPr="0056112B" w:rsidRDefault="0056112B" w:rsidP="0056112B">
      <w:pPr>
        <w:widowControl w:val="0"/>
        <w:autoSpaceDE w:val="0"/>
        <w:autoSpaceDN w:val="0"/>
        <w:spacing w:after="0" w:line="240" w:lineRule="auto"/>
        <w:ind w:left="709" w:right="709"/>
        <w:jc w:val="both"/>
        <w:rPr>
          <w:rFonts w:ascii="Verdana" w:eastAsia="Calibri" w:hAnsi="Verdana" w:cs="Arial"/>
          <w:sz w:val="20"/>
          <w:szCs w:val="20"/>
          <w:lang w:val="es-MX"/>
        </w:rPr>
      </w:pPr>
      <w:r w:rsidRPr="0056112B">
        <w:rPr>
          <w:rFonts w:ascii="Verdana" w:eastAsia="Arial MT" w:hAnsi="Verdana" w:cs="Arial"/>
          <w:sz w:val="20"/>
          <w:szCs w:val="20"/>
          <w:lang w:val="es-ES"/>
        </w:rPr>
        <w:t>“[…]</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de</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conformidad</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con</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la</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jurisprudencia</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uniforme</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y</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reiterada</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de</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esta</w:t>
      </w:r>
      <w:r w:rsidRPr="0056112B">
        <w:rPr>
          <w:rFonts w:ascii="Verdana" w:eastAsia="Arial MT" w:hAnsi="Verdana" w:cs="Arial"/>
          <w:spacing w:val="-56"/>
          <w:sz w:val="20"/>
          <w:szCs w:val="20"/>
          <w:lang w:val="es-ES"/>
        </w:rPr>
        <w:t xml:space="preserve"> </w:t>
      </w:r>
      <w:r w:rsidRPr="0056112B">
        <w:rPr>
          <w:rFonts w:ascii="Verdana" w:eastAsia="Arial MT" w:hAnsi="Verdana" w:cs="Arial"/>
          <w:sz w:val="20"/>
          <w:szCs w:val="20"/>
          <w:lang w:val="es-ES"/>
        </w:rPr>
        <w:t>Corporación, la aplicación de las normas que contemplan inhabilidades e</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incompatibilidades,</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como</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en</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general</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de</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todas</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aquellas</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que</w:t>
      </w:r>
      <w:r w:rsidRPr="0056112B">
        <w:rPr>
          <w:rFonts w:ascii="Verdana" w:eastAsia="Arial MT" w:hAnsi="Verdana" w:cs="Arial"/>
          <w:spacing w:val="1"/>
          <w:sz w:val="20"/>
          <w:szCs w:val="20"/>
          <w:lang w:val="es-ES"/>
        </w:rPr>
        <w:t xml:space="preserve"> </w:t>
      </w:r>
      <w:r w:rsidRPr="0056112B">
        <w:rPr>
          <w:rFonts w:ascii="Verdana" w:eastAsia="Arial MT" w:hAnsi="Verdana" w:cs="Arial"/>
          <w:sz w:val="20"/>
          <w:szCs w:val="20"/>
          <w:lang w:val="es-ES"/>
        </w:rPr>
        <w:t>comportan</w:t>
      </w:r>
      <w:r w:rsidRPr="0056112B">
        <w:rPr>
          <w:rFonts w:ascii="Verdana" w:eastAsia="Arial MT" w:hAnsi="Verdana" w:cs="Arial"/>
          <w:spacing w:val="-56"/>
          <w:sz w:val="20"/>
          <w:szCs w:val="20"/>
          <w:lang w:val="es-ES"/>
        </w:rPr>
        <w:t xml:space="preserve"> </w:t>
      </w:r>
      <w:r w:rsidRPr="0056112B">
        <w:rPr>
          <w:rFonts w:ascii="Verdana" w:eastAsia="Arial MT" w:hAnsi="Verdana" w:cs="Arial"/>
          <w:sz w:val="20"/>
          <w:szCs w:val="20"/>
          <w:lang w:val="es-ES"/>
        </w:rPr>
        <w:t>prohibiciones</w:t>
      </w:r>
      <w:r w:rsidRPr="0056112B">
        <w:rPr>
          <w:rFonts w:ascii="Verdana" w:eastAsia="Arial MT" w:hAnsi="Verdana" w:cs="Arial"/>
          <w:spacing w:val="-12"/>
          <w:sz w:val="20"/>
          <w:szCs w:val="20"/>
          <w:lang w:val="es-ES"/>
        </w:rPr>
        <w:t xml:space="preserve"> </w:t>
      </w:r>
      <w:r w:rsidRPr="0056112B">
        <w:rPr>
          <w:rFonts w:ascii="Verdana" w:eastAsia="Arial MT" w:hAnsi="Verdana" w:cs="Arial"/>
          <w:sz w:val="20"/>
          <w:szCs w:val="20"/>
          <w:lang w:val="es-ES"/>
        </w:rPr>
        <w:t>o</w:t>
      </w:r>
      <w:r w:rsidRPr="0056112B">
        <w:rPr>
          <w:rFonts w:ascii="Verdana" w:eastAsia="Arial MT" w:hAnsi="Verdana" w:cs="Arial"/>
          <w:spacing w:val="-13"/>
          <w:sz w:val="20"/>
          <w:szCs w:val="20"/>
          <w:lang w:val="es-ES"/>
        </w:rPr>
        <w:t xml:space="preserve"> </w:t>
      </w:r>
      <w:r w:rsidRPr="0056112B">
        <w:rPr>
          <w:rFonts w:ascii="Verdana" w:eastAsia="Arial MT" w:hAnsi="Verdana" w:cs="Arial"/>
          <w:sz w:val="20"/>
          <w:szCs w:val="20"/>
          <w:lang w:val="es-ES"/>
        </w:rPr>
        <w:t>limitaciones,</w:t>
      </w:r>
      <w:r w:rsidRPr="0056112B">
        <w:rPr>
          <w:rFonts w:ascii="Verdana" w:eastAsia="Arial MT" w:hAnsi="Verdana" w:cs="Arial"/>
          <w:spacing w:val="-12"/>
          <w:sz w:val="20"/>
          <w:szCs w:val="20"/>
          <w:lang w:val="es-ES"/>
        </w:rPr>
        <w:t xml:space="preserve"> </w:t>
      </w:r>
      <w:r w:rsidRPr="0056112B">
        <w:rPr>
          <w:rFonts w:ascii="Verdana" w:eastAsia="Arial MT" w:hAnsi="Verdana" w:cs="Arial"/>
          <w:sz w:val="20"/>
          <w:szCs w:val="20"/>
          <w:lang w:val="es-ES"/>
        </w:rPr>
        <w:t>deben</w:t>
      </w:r>
      <w:r w:rsidRPr="0056112B">
        <w:rPr>
          <w:rFonts w:ascii="Verdana" w:eastAsia="Arial MT" w:hAnsi="Verdana" w:cs="Arial"/>
          <w:spacing w:val="-13"/>
          <w:sz w:val="20"/>
          <w:szCs w:val="20"/>
          <w:lang w:val="es-ES"/>
        </w:rPr>
        <w:t xml:space="preserve"> </w:t>
      </w:r>
      <w:r w:rsidRPr="0056112B">
        <w:rPr>
          <w:rFonts w:ascii="Verdana" w:eastAsia="Arial MT" w:hAnsi="Verdana" w:cs="Arial"/>
          <w:sz w:val="20"/>
          <w:szCs w:val="20"/>
          <w:lang w:val="es-ES"/>
        </w:rPr>
        <w:t>responder</w:t>
      </w:r>
      <w:r w:rsidRPr="0056112B">
        <w:rPr>
          <w:rFonts w:ascii="Verdana" w:eastAsia="Arial MT" w:hAnsi="Verdana" w:cs="Arial"/>
          <w:spacing w:val="-13"/>
          <w:sz w:val="20"/>
          <w:szCs w:val="20"/>
          <w:lang w:val="es-ES"/>
        </w:rPr>
        <w:t xml:space="preserve"> </w:t>
      </w:r>
      <w:r w:rsidRPr="0056112B">
        <w:rPr>
          <w:rFonts w:ascii="Verdana" w:eastAsia="Arial MT" w:hAnsi="Verdana" w:cs="Arial"/>
          <w:sz w:val="20"/>
          <w:szCs w:val="20"/>
          <w:lang w:val="es-ES"/>
        </w:rPr>
        <w:t>a</w:t>
      </w:r>
      <w:r w:rsidRPr="0056112B">
        <w:rPr>
          <w:rFonts w:ascii="Verdana" w:eastAsia="Arial MT" w:hAnsi="Verdana" w:cs="Arial"/>
          <w:spacing w:val="-12"/>
          <w:sz w:val="20"/>
          <w:szCs w:val="20"/>
          <w:lang w:val="es-ES"/>
        </w:rPr>
        <w:t xml:space="preserve"> </w:t>
      </w:r>
      <w:r w:rsidRPr="0056112B">
        <w:rPr>
          <w:rFonts w:ascii="Verdana" w:eastAsia="Arial MT" w:hAnsi="Verdana" w:cs="Arial"/>
          <w:sz w:val="20"/>
          <w:szCs w:val="20"/>
          <w:lang w:val="es-ES"/>
        </w:rPr>
        <w:t>una</w:t>
      </w:r>
      <w:r w:rsidRPr="0056112B">
        <w:rPr>
          <w:rFonts w:ascii="Verdana" w:eastAsia="Arial MT" w:hAnsi="Verdana" w:cs="Arial"/>
          <w:spacing w:val="-13"/>
          <w:sz w:val="20"/>
          <w:szCs w:val="20"/>
          <w:lang w:val="es-ES"/>
        </w:rPr>
        <w:t xml:space="preserve"> </w:t>
      </w:r>
      <w:r w:rsidRPr="0056112B">
        <w:rPr>
          <w:rFonts w:ascii="Verdana" w:eastAsia="Arial MT" w:hAnsi="Verdana" w:cs="Arial"/>
          <w:sz w:val="20"/>
          <w:szCs w:val="20"/>
          <w:lang w:val="es-ES"/>
        </w:rPr>
        <w:t>interpretación</w:t>
      </w:r>
      <w:r w:rsidRPr="0056112B">
        <w:rPr>
          <w:rFonts w:ascii="Verdana" w:eastAsia="Arial MT" w:hAnsi="Verdana" w:cs="Arial"/>
          <w:spacing w:val="-12"/>
          <w:sz w:val="20"/>
          <w:szCs w:val="20"/>
          <w:lang w:val="es-ES"/>
        </w:rPr>
        <w:t xml:space="preserve"> </w:t>
      </w:r>
      <w:r w:rsidRPr="0056112B">
        <w:rPr>
          <w:rFonts w:ascii="Verdana" w:eastAsia="Arial MT" w:hAnsi="Verdana" w:cs="Arial"/>
          <w:sz w:val="20"/>
          <w:szCs w:val="20"/>
          <w:lang w:val="es-ES"/>
        </w:rPr>
        <w:t xml:space="preserve">restrictiva </w:t>
      </w:r>
      <w:r w:rsidRPr="0056112B">
        <w:rPr>
          <w:rFonts w:ascii="Verdana" w:eastAsia="Calibri" w:hAnsi="Verdana" w:cs="Arial"/>
          <w:sz w:val="20"/>
          <w:szCs w:val="20"/>
          <w:lang w:val="es-MX"/>
        </w:rPr>
        <w:t>que</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no</w:t>
      </w:r>
      <w:r w:rsidRPr="0056112B">
        <w:rPr>
          <w:rFonts w:ascii="Verdana" w:eastAsia="Calibri" w:hAnsi="Verdana" w:cs="Arial"/>
          <w:spacing w:val="-5"/>
          <w:sz w:val="20"/>
          <w:szCs w:val="20"/>
          <w:lang w:val="es-MX"/>
        </w:rPr>
        <w:t xml:space="preserve"> </w:t>
      </w:r>
      <w:r w:rsidRPr="0056112B">
        <w:rPr>
          <w:rFonts w:ascii="Verdana" w:eastAsia="Calibri" w:hAnsi="Verdana" w:cs="Arial"/>
          <w:sz w:val="20"/>
          <w:szCs w:val="20"/>
          <w:lang w:val="es-MX"/>
        </w:rPr>
        <w:t>permite</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su</w:t>
      </w:r>
      <w:r w:rsidRPr="0056112B">
        <w:rPr>
          <w:rFonts w:ascii="Verdana" w:eastAsia="Calibri" w:hAnsi="Verdana" w:cs="Arial"/>
          <w:spacing w:val="-5"/>
          <w:sz w:val="20"/>
          <w:szCs w:val="20"/>
          <w:lang w:val="es-MX"/>
        </w:rPr>
        <w:t xml:space="preserve"> </w:t>
      </w:r>
      <w:r w:rsidRPr="0056112B">
        <w:rPr>
          <w:rFonts w:ascii="Verdana" w:eastAsia="Calibri" w:hAnsi="Verdana" w:cs="Arial"/>
          <w:sz w:val="20"/>
          <w:szCs w:val="20"/>
          <w:lang w:val="es-MX"/>
        </w:rPr>
        <w:t>extensión,</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por</w:t>
      </w:r>
      <w:r w:rsidRPr="0056112B">
        <w:rPr>
          <w:rFonts w:ascii="Verdana" w:eastAsia="Calibri" w:hAnsi="Verdana" w:cs="Arial"/>
          <w:spacing w:val="-5"/>
          <w:sz w:val="20"/>
          <w:szCs w:val="20"/>
          <w:lang w:val="es-MX"/>
        </w:rPr>
        <w:t xml:space="preserve"> </w:t>
      </w:r>
      <w:r w:rsidRPr="0056112B">
        <w:rPr>
          <w:rFonts w:ascii="Verdana" w:eastAsia="Calibri" w:hAnsi="Verdana" w:cs="Arial"/>
          <w:sz w:val="20"/>
          <w:szCs w:val="20"/>
          <w:lang w:val="es-MX"/>
        </w:rPr>
        <w:t>vía</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de</w:t>
      </w:r>
      <w:r w:rsidRPr="0056112B">
        <w:rPr>
          <w:rFonts w:ascii="Verdana" w:eastAsia="Calibri" w:hAnsi="Verdana" w:cs="Arial"/>
          <w:spacing w:val="-5"/>
          <w:sz w:val="20"/>
          <w:szCs w:val="20"/>
          <w:lang w:val="es-MX"/>
        </w:rPr>
        <w:t xml:space="preserve"> </w:t>
      </w:r>
      <w:r w:rsidRPr="0056112B">
        <w:rPr>
          <w:rFonts w:ascii="Verdana" w:eastAsia="Calibri" w:hAnsi="Verdana" w:cs="Arial"/>
          <w:sz w:val="20"/>
          <w:szCs w:val="20"/>
          <w:lang w:val="es-MX"/>
        </w:rPr>
        <w:t>la</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figura</w:t>
      </w:r>
      <w:r w:rsidRPr="0056112B">
        <w:rPr>
          <w:rFonts w:ascii="Verdana" w:eastAsia="Calibri" w:hAnsi="Verdana" w:cs="Arial"/>
          <w:spacing w:val="-4"/>
          <w:sz w:val="20"/>
          <w:szCs w:val="20"/>
          <w:lang w:val="es-MX"/>
        </w:rPr>
        <w:t xml:space="preserve"> </w:t>
      </w:r>
      <w:r w:rsidRPr="0056112B">
        <w:rPr>
          <w:rFonts w:ascii="Verdana" w:eastAsia="Calibri" w:hAnsi="Verdana" w:cs="Arial"/>
          <w:sz w:val="20"/>
          <w:szCs w:val="20"/>
          <w:lang w:val="es-MX"/>
        </w:rPr>
        <w:t>de</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la</w:t>
      </w:r>
      <w:r w:rsidRPr="0056112B">
        <w:rPr>
          <w:rFonts w:ascii="Verdana" w:eastAsia="Calibri" w:hAnsi="Verdana" w:cs="Arial"/>
          <w:spacing w:val="-5"/>
          <w:sz w:val="20"/>
          <w:szCs w:val="20"/>
          <w:lang w:val="es-MX"/>
        </w:rPr>
        <w:t xml:space="preserve"> </w:t>
      </w:r>
      <w:r w:rsidRPr="0056112B">
        <w:rPr>
          <w:rFonts w:ascii="Verdana" w:eastAsia="Calibri" w:hAnsi="Verdana" w:cs="Arial"/>
          <w:sz w:val="20"/>
          <w:szCs w:val="20"/>
          <w:lang w:val="es-MX"/>
        </w:rPr>
        <w:t>analogía,</w:t>
      </w:r>
      <w:r w:rsidRPr="0056112B">
        <w:rPr>
          <w:rFonts w:ascii="Verdana" w:eastAsia="Calibri" w:hAnsi="Verdana" w:cs="Arial"/>
          <w:spacing w:val="-6"/>
          <w:sz w:val="20"/>
          <w:szCs w:val="20"/>
          <w:lang w:val="es-MX"/>
        </w:rPr>
        <w:t xml:space="preserve"> </w:t>
      </w:r>
      <w:r w:rsidRPr="0056112B">
        <w:rPr>
          <w:rFonts w:ascii="Verdana" w:eastAsia="Calibri" w:hAnsi="Verdana" w:cs="Arial"/>
          <w:sz w:val="20"/>
          <w:szCs w:val="20"/>
          <w:lang w:val="es-MX"/>
        </w:rPr>
        <w:t>a</w:t>
      </w:r>
      <w:r w:rsidRPr="0056112B">
        <w:rPr>
          <w:rFonts w:ascii="Verdana" w:eastAsia="Calibri" w:hAnsi="Verdana" w:cs="Arial"/>
          <w:spacing w:val="-5"/>
          <w:sz w:val="20"/>
          <w:szCs w:val="20"/>
          <w:lang w:val="es-MX"/>
        </w:rPr>
        <w:t xml:space="preserve"> </w:t>
      </w:r>
      <w:r w:rsidRPr="0056112B">
        <w:rPr>
          <w:rFonts w:ascii="Verdana" w:eastAsia="Arial MT" w:hAnsi="Verdana" w:cs="Arial"/>
          <w:sz w:val="20"/>
          <w:szCs w:val="20"/>
          <w:lang w:val="es-ES"/>
        </w:rPr>
        <w:t>supuestos no contemplados</w:t>
      </w:r>
      <w:r w:rsidRPr="0056112B">
        <w:rPr>
          <w:rFonts w:ascii="Verdana" w:eastAsia="Calibri" w:hAnsi="Verdana" w:cs="Arial"/>
          <w:spacing w:val="-1"/>
          <w:sz w:val="20"/>
          <w:szCs w:val="20"/>
          <w:lang w:val="es-MX"/>
        </w:rPr>
        <w:t xml:space="preserve"> </w:t>
      </w:r>
      <w:r w:rsidRPr="0056112B">
        <w:rPr>
          <w:rFonts w:ascii="Verdana" w:eastAsia="Calibri" w:hAnsi="Verdana" w:cs="Arial"/>
          <w:sz w:val="20"/>
          <w:szCs w:val="20"/>
          <w:lang w:val="es-MX"/>
        </w:rPr>
        <w:t>por</w:t>
      </w:r>
      <w:r w:rsidRPr="0056112B">
        <w:rPr>
          <w:rFonts w:ascii="Verdana" w:eastAsia="Calibri" w:hAnsi="Verdana" w:cs="Arial"/>
          <w:spacing w:val="-1"/>
          <w:sz w:val="20"/>
          <w:szCs w:val="20"/>
          <w:lang w:val="es-MX"/>
        </w:rPr>
        <w:t xml:space="preserve"> </w:t>
      </w:r>
      <w:r w:rsidRPr="0056112B">
        <w:rPr>
          <w:rFonts w:ascii="Verdana" w:eastAsia="Calibri" w:hAnsi="Verdana" w:cs="Arial"/>
          <w:sz w:val="20"/>
          <w:szCs w:val="20"/>
          <w:lang w:val="es-MX"/>
        </w:rPr>
        <w:t>el</w:t>
      </w:r>
      <w:r w:rsidRPr="0056112B">
        <w:rPr>
          <w:rFonts w:ascii="Verdana" w:eastAsia="Calibri" w:hAnsi="Verdana" w:cs="Arial"/>
          <w:spacing w:val="-1"/>
          <w:sz w:val="20"/>
          <w:szCs w:val="20"/>
          <w:lang w:val="es-MX"/>
        </w:rPr>
        <w:t xml:space="preserve"> </w:t>
      </w:r>
      <w:r w:rsidRPr="0056112B">
        <w:rPr>
          <w:rFonts w:ascii="Verdana" w:eastAsia="Calibri" w:hAnsi="Verdana" w:cs="Arial"/>
          <w:sz w:val="20"/>
          <w:szCs w:val="20"/>
          <w:lang w:val="es-MX"/>
        </w:rPr>
        <w:t>ordenamiento”</w:t>
      </w:r>
      <w:r w:rsidRPr="0056112B">
        <w:rPr>
          <w:rFonts w:ascii="Verdana" w:eastAsia="Calibri" w:hAnsi="Verdana" w:cs="Arial"/>
          <w:sz w:val="20"/>
          <w:szCs w:val="20"/>
          <w:vertAlign w:val="superscript"/>
          <w:lang w:val="es-MX"/>
        </w:rPr>
        <w:footnoteReference w:id="8"/>
      </w:r>
      <w:r w:rsidRPr="0056112B">
        <w:rPr>
          <w:rFonts w:ascii="Verdana" w:eastAsia="Calibri" w:hAnsi="Verdana" w:cs="Arial"/>
          <w:sz w:val="20"/>
          <w:szCs w:val="20"/>
          <w:lang w:val="es-MX"/>
        </w:rPr>
        <w:t>.</w:t>
      </w:r>
    </w:p>
    <w:p w14:paraId="11242D8F" w14:textId="77777777" w:rsidR="0056112B" w:rsidRPr="0056112B" w:rsidRDefault="0056112B" w:rsidP="0056112B">
      <w:pPr>
        <w:widowControl w:val="0"/>
        <w:autoSpaceDE w:val="0"/>
        <w:autoSpaceDN w:val="0"/>
        <w:spacing w:after="0" w:line="276" w:lineRule="auto"/>
        <w:ind w:left="709" w:right="709"/>
        <w:jc w:val="both"/>
        <w:rPr>
          <w:rFonts w:ascii="Verdana" w:eastAsia="Arial MT" w:hAnsi="Verdana" w:cs="Arial"/>
          <w:lang w:val="es-MX"/>
        </w:rPr>
      </w:pPr>
    </w:p>
    <w:p w14:paraId="33F48F7B" w14:textId="77777777" w:rsidR="0056112B" w:rsidRPr="0056112B" w:rsidRDefault="0056112B" w:rsidP="0056112B">
      <w:pPr>
        <w:widowControl w:val="0"/>
        <w:autoSpaceDE w:val="0"/>
        <w:autoSpaceDN w:val="0"/>
        <w:spacing w:after="0" w:line="276" w:lineRule="auto"/>
        <w:ind w:right="709" w:firstLine="708"/>
        <w:jc w:val="both"/>
        <w:rPr>
          <w:rFonts w:ascii="Verdana" w:eastAsia="Arial MT" w:hAnsi="Verdana" w:cs="Arial"/>
          <w:lang w:val="es-ES_tradnl"/>
        </w:rPr>
      </w:pPr>
      <w:r w:rsidRPr="0056112B">
        <w:rPr>
          <w:rFonts w:ascii="Verdana" w:eastAsia="Arial MT" w:hAnsi="Verdana" w:cs="Arial"/>
          <w:lang w:val="es-ES_tradnl"/>
        </w:rPr>
        <w:t>En el mismo sentido ha expuesto que:</w:t>
      </w:r>
    </w:p>
    <w:p w14:paraId="483134EE" w14:textId="77777777" w:rsidR="0056112B" w:rsidRPr="0056112B" w:rsidRDefault="0056112B" w:rsidP="0056112B">
      <w:pPr>
        <w:widowControl w:val="0"/>
        <w:autoSpaceDE w:val="0"/>
        <w:autoSpaceDN w:val="0"/>
        <w:spacing w:after="0" w:line="276" w:lineRule="auto"/>
        <w:ind w:right="709"/>
        <w:jc w:val="both"/>
        <w:rPr>
          <w:rFonts w:ascii="Verdana" w:eastAsia="Arial MT" w:hAnsi="Verdana" w:cs="Arial"/>
          <w:lang w:val="es-ES_tradnl"/>
        </w:rPr>
      </w:pPr>
    </w:p>
    <w:p w14:paraId="22C860BC" w14:textId="77777777" w:rsidR="0056112B" w:rsidRPr="0056112B" w:rsidRDefault="0056112B" w:rsidP="0056112B">
      <w:pPr>
        <w:widowControl w:val="0"/>
        <w:autoSpaceDE w:val="0"/>
        <w:autoSpaceDN w:val="0"/>
        <w:spacing w:after="0" w:line="240" w:lineRule="auto"/>
        <w:ind w:left="709" w:right="709"/>
        <w:jc w:val="both"/>
        <w:rPr>
          <w:rFonts w:ascii="Verdana" w:eastAsia="Arial MT" w:hAnsi="Verdana" w:cs="Arial"/>
          <w:sz w:val="20"/>
          <w:szCs w:val="20"/>
          <w:lang w:val="es-ES"/>
        </w:rPr>
      </w:pPr>
      <w:r w:rsidRPr="0056112B">
        <w:rPr>
          <w:rFonts w:ascii="Verdana" w:eastAsia="Arial MT" w:hAnsi="Verdana" w:cs="Arial"/>
          <w:sz w:val="20"/>
          <w:szCs w:val="20"/>
          <w:lang w:val="es-ES"/>
        </w:rPr>
        <w:t xml:space="preserve">“[…] la aplicación de estos preceptos exige una interpretación restrictiva, dado que según el principio hermenéutico pro </w:t>
      </w:r>
      <w:proofErr w:type="spellStart"/>
      <w:r w:rsidRPr="0056112B">
        <w:rPr>
          <w:rFonts w:ascii="Verdana" w:eastAsia="Arial MT" w:hAnsi="Verdana" w:cs="Arial"/>
          <w:sz w:val="20"/>
          <w:szCs w:val="20"/>
          <w:lang w:val="es-ES"/>
        </w:rPr>
        <w:t>libertate</w:t>
      </w:r>
      <w:proofErr w:type="spellEnd"/>
      <w:r w:rsidRPr="0056112B">
        <w:rPr>
          <w:rFonts w:ascii="Verdana" w:eastAsia="Arial MT"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56112B">
        <w:rPr>
          <w:rFonts w:ascii="Verdana" w:eastAsia="Arial MT" w:hAnsi="Verdana" w:cs="Arial"/>
          <w:sz w:val="20"/>
          <w:szCs w:val="20"/>
          <w:vertAlign w:val="superscript"/>
          <w:lang w:val="es-ES"/>
        </w:rPr>
        <w:footnoteReference w:id="9"/>
      </w:r>
      <w:r w:rsidRPr="0056112B">
        <w:rPr>
          <w:rFonts w:ascii="Verdana" w:eastAsia="Arial MT" w:hAnsi="Verdana" w:cs="Arial"/>
          <w:sz w:val="20"/>
          <w:szCs w:val="20"/>
          <w:lang w:val="es-ES"/>
        </w:rPr>
        <w:t>.</w:t>
      </w:r>
    </w:p>
    <w:p w14:paraId="7C33D0B4" w14:textId="77777777" w:rsidR="0056112B" w:rsidRPr="0056112B" w:rsidRDefault="0056112B" w:rsidP="0056112B">
      <w:pPr>
        <w:widowControl w:val="0"/>
        <w:autoSpaceDE w:val="0"/>
        <w:autoSpaceDN w:val="0"/>
        <w:spacing w:after="0" w:line="240" w:lineRule="auto"/>
        <w:ind w:left="810" w:right="1243"/>
        <w:jc w:val="both"/>
        <w:rPr>
          <w:rFonts w:ascii="Verdana" w:eastAsia="Arial MT" w:hAnsi="Verdana" w:cs="Arial"/>
          <w:sz w:val="20"/>
          <w:lang w:val="es-ES"/>
        </w:rPr>
      </w:pPr>
    </w:p>
    <w:p w14:paraId="6ADA835F" w14:textId="77777777" w:rsidR="0056112B" w:rsidRPr="0056112B" w:rsidRDefault="0056112B" w:rsidP="0056112B">
      <w:pPr>
        <w:widowControl w:val="0"/>
        <w:autoSpaceDE w:val="0"/>
        <w:autoSpaceDN w:val="0"/>
        <w:spacing w:after="120" w:line="276" w:lineRule="auto"/>
        <w:ind w:firstLine="708"/>
        <w:jc w:val="both"/>
        <w:rPr>
          <w:rFonts w:ascii="Verdana" w:eastAsia="Arial" w:hAnsi="Verdana" w:cs="Arial"/>
          <w:color w:val="333333"/>
          <w:shd w:val="clear" w:color="auto" w:fill="FFFFFF"/>
          <w:lang w:eastAsia="es-ES" w:bidi="es-ES"/>
        </w:rPr>
      </w:pPr>
      <w:r w:rsidRPr="0056112B">
        <w:rPr>
          <w:rFonts w:ascii="Verdana" w:eastAsia="Arial MT" w:hAnsi="Verdana" w:cs="Arial"/>
          <w:lang w:eastAsia="es-ES" w:bidi="es-ES"/>
        </w:rPr>
        <w:t xml:space="preserve">De igual forma, </w:t>
      </w:r>
      <w:r w:rsidRPr="0056112B">
        <w:rPr>
          <w:rFonts w:ascii="Verdana" w:eastAsia="Arial" w:hAnsi="Verdana" w:cs="Arial"/>
          <w:lang w:eastAsia="es-ES" w:bidi="es-ES"/>
        </w:rPr>
        <w:t>la Corte Constitucional en jurisprudencia</w:t>
      </w:r>
      <w:r w:rsidRPr="0056112B">
        <w:rPr>
          <w:rFonts w:ascii="Verdana" w:eastAsia="Calibri" w:hAnsi="Verdana" w:cs="Times New Roman"/>
          <w:vertAlign w:val="superscript"/>
          <w:lang w:eastAsia="es-ES" w:bidi="es-ES"/>
        </w:rPr>
        <w:footnoteReference w:id="10"/>
      </w:r>
      <w:r w:rsidRPr="0056112B">
        <w:rPr>
          <w:rFonts w:ascii="Verdana" w:eastAsia="Arial" w:hAnsi="Verdana" w:cs="Arial"/>
          <w:lang w:eastAsia="es-ES" w:bidi="es-ES"/>
        </w:rPr>
        <w:t xml:space="preserve"> citada a su vez por el Consejo de Estado</w:t>
      </w:r>
      <w:r w:rsidRPr="0056112B">
        <w:rPr>
          <w:rFonts w:ascii="Verdana" w:eastAsia="Calibri" w:hAnsi="Verdana" w:cs="Times New Roman"/>
          <w:vertAlign w:val="superscript"/>
          <w:lang w:eastAsia="es-ES" w:bidi="es-ES"/>
        </w:rPr>
        <w:footnoteReference w:id="11"/>
      </w:r>
      <w:r w:rsidRPr="0056112B">
        <w:rPr>
          <w:rFonts w:ascii="Verdana" w:eastAsia="Arial" w:hAnsi="Verdana" w:cs="Arial"/>
          <w:lang w:eastAsia="es-ES" w:bidi="es-ES"/>
        </w:rPr>
        <w:t xml:space="preserve">, se ha referido al régimen general de inhabilidades e incompatibilidades, destacando de este la prevalencia del interés general sobre el particular y su doble </w:t>
      </w:r>
      <w:r w:rsidRPr="0056112B">
        <w:rPr>
          <w:rFonts w:ascii="Verdana" w:eastAsia="Arial" w:hAnsi="Verdana" w:cs="Arial"/>
          <w:color w:val="000000"/>
          <w:lang w:eastAsia="es-ES" w:bidi="es-ES"/>
        </w:rPr>
        <w:t>connotación, como quiera que no solo puede ser consecuencia de una sanción sino también erigirse con una finalidad preventiva que busca asegurar la no afectación del interés general, en suma</w:t>
      </w:r>
      <w:r w:rsidRPr="0056112B">
        <w:rPr>
          <w:rFonts w:ascii="Verdana" w:eastAsia="Arial" w:hAnsi="Verdana" w:cs="Arial"/>
          <w:i/>
          <w:color w:val="000000"/>
          <w:lang w:eastAsia="es-ES" w:bidi="es-ES"/>
        </w:rPr>
        <w:t xml:space="preserve">, </w:t>
      </w:r>
      <w:r w:rsidRPr="0056112B">
        <w:rPr>
          <w:rFonts w:ascii="Verdana" w:eastAsia="Arial MT" w:hAnsi="Verdana" w:cs="Arial"/>
          <w:i/>
          <w:color w:val="000000"/>
          <w:lang w:eastAsia="es-ES" w:bidi="es-ES"/>
        </w:rPr>
        <w:t>“[…] l</w:t>
      </w:r>
      <w:r w:rsidRPr="0056112B">
        <w:rPr>
          <w:rFonts w:ascii="Verdana" w:eastAsia="Arial" w:hAnsi="Verdana" w:cs="Arial"/>
          <w:i/>
          <w:color w:val="000000"/>
          <w:shd w:val="clear" w:color="auto" w:fill="FFFFFF"/>
          <w:lang w:eastAsia="es-ES" w:bidi="es-ES"/>
        </w:rPr>
        <w:t xml:space="preserve">a </w:t>
      </w:r>
      <w:r w:rsidRPr="0056112B">
        <w:rPr>
          <w:rFonts w:ascii="Verdana" w:eastAsia="Arial" w:hAnsi="Verdana" w:cs="Arial"/>
          <w:i/>
          <w:color w:val="000000"/>
          <w:shd w:val="clear" w:color="auto" w:fill="FFFFFF"/>
          <w:lang w:eastAsia="es-ES" w:bidi="es-ES"/>
        </w:rPr>
        <w:lastRenderedPageBreak/>
        <w:t>inhabilidad no es una pena sino una garantía de que el comportamiento anterior no afectará el desempeño de la función o cargo, de protección del interés general y de la idoneidad, probidad y moralidad del aspirante</w:t>
      </w:r>
      <w:r w:rsidRPr="0056112B">
        <w:rPr>
          <w:rFonts w:ascii="Verdana" w:eastAsia="Arial MT" w:hAnsi="Verdana" w:cs="Arial"/>
          <w:i/>
          <w:color w:val="000000"/>
          <w:lang w:eastAsia="es-ES" w:bidi="es-ES"/>
        </w:rPr>
        <w:t>”</w:t>
      </w:r>
      <w:r w:rsidRPr="0056112B">
        <w:rPr>
          <w:rFonts w:ascii="Verdana" w:eastAsia="Arial" w:hAnsi="Verdana" w:cs="Arial"/>
          <w:color w:val="000000"/>
          <w:shd w:val="clear" w:color="auto" w:fill="FFFFFF"/>
          <w:vertAlign w:val="superscript"/>
          <w:lang w:eastAsia="es-ES" w:bidi="es-ES"/>
        </w:rPr>
        <w:t>12</w:t>
      </w:r>
      <w:r w:rsidRPr="0056112B">
        <w:rPr>
          <w:rFonts w:ascii="Verdana" w:eastAsia="Arial" w:hAnsi="Verdana" w:cs="Arial"/>
          <w:color w:val="000000"/>
          <w:shd w:val="clear" w:color="auto" w:fill="FFFFFF"/>
          <w:lang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5BEEC8A0" w14:textId="77777777" w:rsidR="0056112B" w:rsidRPr="0056112B" w:rsidRDefault="0056112B" w:rsidP="0056112B">
      <w:pPr>
        <w:spacing w:after="0" w:line="276" w:lineRule="auto"/>
        <w:ind w:firstLine="708"/>
        <w:jc w:val="both"/>
        <w:rPr>
          <w:rFonts w:ascii="Verdana" w:eastAsia="Calibri" w:hAnsi="Verdana" w:cs="Arial"/>
          <w:color w:val="000000"/>
          <w:szCs w:val="24"/>
        </w:rPr>
      </w:pPr>
      <w:r w:rsidRPr="0056112B">
        <w:rPr>
          <w:rFonts w:ascii="Verdana" w:eastAsia="Arial" w:hAnsi="Verdana" w:cs="Arial"/>
          <w:color w:val="000000"/>
          <w:lang w:val="es-ES_tradnl"/>
        </w:rPr>
        <w:t xml:space="preserve">Como se aprecia, el principio </w:t>
      </w:r>
      <w:r w:rsidRPr="0056112B">
        <w:rPr>
          <w:rFonts w:ascii="Verdana" w:eastAsia="Arial" w:hAnsi="Verdana" w:cs="Arial"/>
          <w:i/>
          <w:color w:val="000000"/>
          <w:lang w:val="es-ES_tradnl"/>
        </w:rPr>
        <w:t xml:space="preserve">pro </w:t>
      </w:r>
      <w:proofErr w:type="spellStart"/>
      <w:r w:rsidRPr="0056112B">
        <w:rPr>
          <w:rFonts w:ascii="Verdana" w:eastAsia="Arial" w:hAnsi="Verdana" w:cs="Arial"/>
          <w:i/>
          <w:color w:val="000000"/>
          <w:lang w:val="es-ES_tradnl"/>
        </w:rPr>
        <w:t>libertate</w:t>
      </w:r>
      <w:proofErr w:type="spellEnd"/>
      <w:r w:rsidRPr="0056112B">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56112B">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7293785D" w14:textId="77777777" w:rsidR="0056112B" w:rsidRPr="0056112B" w:rsidRDefault="0056112B" w:rsidP="0056112B">
      <w:pPr>
        <w:tabs>
          <w:tab w:val="left" w:pos="1532"/>
        </w:tabs>
        <w:spacing w:after="0" w:line="276" w:lineRule="auto"/>
        <w:jc w:val="both"/>
        <w:rPr>
          <w:rFonts w:ascii="Verdana" w:eastAsia="Calibri" w:hAnsi="Verdana" w:cs="Arial"/>
          <w:color w:val="000000"/>
          <w:lang w:val="es-MX"/>
        </w:rPr>
      </w:pPr>
      <w:r w:rsidRPr="0056112B">
        <w:rPr>
          <w:rFonts w:ascii="Verdana" w:eastAsia="Calibri" w:hAnsi="Verdana" w:cs="Arial"/>
          <w:color w:val="000000"/>
          <w:sz w:val="24"/>
          <w:lang w:val="es-MX"/>
        </w:rPr>
        <w:tab/>
      </w:r>
    </w:p>
    <w:p w14:paraId="1E7D8A9D" w14:textId="77777777" w:rsidR="0056112B" w:rsidRPr="0056112B" w:rsidRDefault="0056112B" w:rsidP="0056112B">
      <w:pPr>
        <w:spacing w:after="0" w:line="240" w:lineRule="auto"/>
        <w:ind w:left="709" w:right="709"/>
        <w:jc w:val="both"/>
        <w:rPr>
          <w:rFonts w:ascii="Verdana" w:eastAsia="Calibri" w:hAnsi="Verdana" w:cs="Arial"/>
          <w:color w:val="000000"/>
          <w:sz w:val="20"/>
          <w:szCs w:val="20"/>
          <w:lang w:val="es-MX"/>
        </w:rPr>
      </w:pPr>
      <w:r w:rsidRPr="0056112B">
        <w:rPr>
          <w:rFonts w:ascii="Verdana" w:eastAsia="Calibri" w:hAnsi="Verdana" w:cs="Arial"/>
          <w:color w:val="000000"/>
          <w:sz w:val="20"/>
          <w:szCs w:val="20"/>
          <w:lang w:val="es-MX"/>
        </w:rPr>
        <w:t>“[…]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w:t>
      </w:r>
      <w:r w:rsidRPr="0056112B">
        <w:rPr>
          <w:rFonts w:ascii="Calibri" w:eastAsia="Calibri" w:hAnsi="Calibri" w:cs="Times New Roman"/>
        </w:rPr>
        <w:t>e</w:t>
      </w:r>
      <w:r w:rsidRPr="0056112B">
        <w:rPr>
          <w:rFonts w:ascii="Verdana" w:eastAsia="Calibri" w:hAnsi="Verdana" w:cs="Arial"/>
          <w:color w:val="000000"/>
          <w:sz w:val="20"/>
          <w:szCs w:val="20"/>
          <w:lang w:val="es-MX"/>
        </w:rPr>
        <w:t xml:space="preserve">ra estatal y pública, dentro de la cual no rige el principio pro libertate, sino el de legalidad, el que ordena que la función pública debe someterse estrictamente a lo que disponga la Constitución y la ley (CP art. 6). </w:t>
      </w:r>
    </w:p>
    <w:p w14:paraId="513B6234" w14:textId="77777777" w:rsidR="0056112B" w:rsidRPr="0056112B" w:rsidRDefault="0056112B" w:rsidP="0056112B">
      <w:pPr>
        <w:spacing w:after="0" w:line="240" w:lineRule="auto"/>
        <w:ind w:left="709" w:right="709"/>
        <w:jc w:val="both"/>
        <w:rPr>
          <w:rFonts w:ascii="Verdana" w:eastAsia="Calibri" w:hAnsi="Verdana" w:cs="Arial"/>
          <w:color w:val="000000"/>
          <w:sz w:val="20"/>
          <w:szCs w:val="20"/>
          <w:lang w:val="es-MX"/>
        </w:rPr>
      </w:pPr>
      <w:r w:rsidRPr="0056112B">
        <w:rPr>
          <w:rFonts w:ascii="Verdana" w:eastAsia="Calibri" w:hAnsi="Verdana" w:cs="Arial"/>
          <w:color w:val="000000"/>
          <w:sz w:val="20"/>
          <w:szCs w:val="20"/>
          <w:lang w:val="es-MX"/>
        </w:rPr>
        <w:t>[…]</w:t>
      </w:r>
    </w:p>
    <w:p w14:paraId="6E33556E" w14:textId="77777777" w:rsidR="0056112B" w:rsidRPr="0056112B" w:rsidRDefault="0056112B" w:rsidP="0056112B">
      <w:pPr>
        <w:spacing w:after="0" w:line="240" w:lineRule="auto"/>
        <w:ind w:left="709" w:right="709"/>
        <w:jc w:val="both"/>
        <w:rPr>
          <w:rFonts w:ascii="Verdana" w:eastAsia="Calibri" w:hAnsi="Verdana" w:cs="Arial"/>
          <w:color w:val="000000"/>
          <w:sz w:val="20"/>
          <w:szCs w:val="20"/>
        </w:rPr>
      </w:pPr>
      <w:r w:rsidRPr="0056112B">
        <w:rPr>
          <w:rFonts w:ascii="Verdana" w:eastAsia="Calibri" w:hAnsi="Verdana" w:cs="Arial"/>
          <w:color w:val="000000"/>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56112B">
        <w:rPr>
          <w:rFonts w:ascii="Verdana" w:eastAsia="Calibri" w:hAnsi="Verdana" w:cs="Arial"/>
          <w:color w:val="000000"/>
          <w:sz w:val="20"/>
          <w:szCs w:val="20"/>
          <w:vertAlign w:val="superscript"/>
        </w:rPr>
        <w:footnoteReference w:id="12"/>
      </w:r>
      <w:r w:rsidRPr="0056112B">
        <w:rPr>
          <w:rFonts w:ascii="Verdana" w:eastAsia="Calibri" w:hAnsi="Verdana" w:cs="Arial"/>
          <w:color w:val="000000"/>
          <w:sz w:val="20"/>
          <w:szCs w:val="20"/>
        </w:rPr>
        <w:t>.</w:t>
      </w:r>
    </w:p>
    <w:p w14:paraId="4261566B" w14:textId="77777777" w:rsidR="0056112B" w:rsidRPr="0056112B" w:rsidRDefault="0056112B" w:rsidP="0056112B">
      <w:pPr>
        <w:widowControl w:val="0"/>
        <w:autoSpaceDE w:val="0"/>
        <w:autoSpaceDN w:val="0"/>
        <w:spacing w:after="0" w:line="240" w:lineRule="auto"/>
        <w:ind w:left="1049" w:rightChars="709" w:right="1560" w:firstLine="709"/>
        <w:jc w:val="both"/>
        <w:rPr>
          <w:rFonts w:ascii="Verdana" w:eastAsia="Arial" w:hAnsi="Verdana" w:cs="Arial"/>
          <w:color w:val="333333"/>
          <w:shd w:val="clear" w:color="auto" w:fill="FFFFFF"/>
          <w:lang w:val="es-MX" w:eastAsia="es-ES" w:bidi="es-ES"/>
        </w:rPr>
      </w:pPr>
    </w:p>
    <w:p w14:paraId="2B3D31A5" w14:textId="77777777" w:rsidR="0056112B" w:rsidRPr="0056112B" w:rsidRDefault="0056112B" w:rsidP="0056112B">
      <w:pPr>
        <w:shd w:val="clear" w:color="auto" w:fill="FFFFFF"/>
        <w:spacing w:after="120" w:line="276" w:lineRule="auto"/>
        <w:ind w:firstLine="709"/>
        <w:jc w:val="both"/>
        <w:textAlignment w:val="baseline"/>
        <w:rPr>
          <w:rFonts w:ascii="Verdana" w:eastAsia="Arial MT" w:hAnsi="Verdana" w:cs="Arial"/>
          <w:lang w:eastAsia="es-ES" w:bidi="es-ES"/>
        </w:rPr>
      </w:pPr>
      <w:r w:rsidRPr="0056112B">
        <w:rPr>
          <w:rFonts w:ascii="Verdana" w:eastAsia="Arial MT" w:hAnsi="Verdana" w:cs="Arial"/>
          <w:lang w:eastAsia="es-ES" w:bidi="es-ES"/>
        </w:rPr>
        <w:lastRenderedPageBreak/>
        <w:t>En suma,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contratación pública adelantados por las entidades estatales, según sea el caso.</w:t>
      </w:r>
    </w:p>
    <w:p w14:paraId="65A65A8F" w14:textId="77777777" w:rsidR="0056112B" w:rsidRPr="0056112B" w:rsidRDefault="0056112B" w:rsidP="0056112B">
      <w:pPr>
        <w:shd w:val="clear" w:color="auto" w:fill="FFFFFF"/>
        <w:spacing w:after="0" w:line="276" w:lineRule="auto"/>
        <w:ind w:firstLine="709"/>
        <w:jc w:val="both"/>
        <w:textAlignment w:val="baseline"/>
        <w:rPr>
          <w:rFonts w:ascii="Verdana" w:eastAsia="Arial MT" w:hAnsi="Verdana" w:cs="Arial"/>
          <w:lang w:eastAsia="es-ES" w:bidi="es-ES"/>
        </w:rPr>
      </w:pPr>
      <w:r w:rsidRPr="0056112B">
        <w:rPr>
          <w:rFonts w:ascii="Verdana" w:eastAsia="Arial MT" w:hAnsi="Verdana" w:cs="Arial"/>
          <w:lang w:eastAsia="es-ES" w:bidi="es-ES"/>
        </w:rPr>
        <w:t>Teniendo en cuenta su consulta, es importante señalar que el artículo 8 de la Ley 80 de 1993 contempla, entre otros, dos (2) supuestos que se relacionan con la situación planteada respecto al rechazo de la oferta por presentación de más de una propuesta. Se trata de las inhabilidades contenidas en los literales g) y h) del numeral 1 del referido artículo:</w:t>
      </w:r>
    </w:p>
    <w:p w14:paraId="39ED1510" w14:textId="77777777" w:rsidR="0056112B" w:rsidRPr="0056112B" w:rsidRDefault="0056112B" w:rsidP="0056112B">
      <w:pPr>
        <w:shd w:val="clear" w:color="auto" w:fill="FFFFFF"/>
        <w:spacing w:after="0" w:line="276" w:lineRule="auto"/>
        <w:ind w:firstLine="708"/>
        <w:jc w:val="both"/>
        <w:textAlignment w:val="baseline"/>
        <w:rPr>
          <w:rFonts w:ascii="Verdana" w:eastAsia="Arial MT" w:hAnsi="Verdana" w:cs="Arial"/>
          <w:lang w:eastAsia="es-ES" w:bidi="es-ES"/>
        </w:rPr>
      </w:pPr>
    </w:p>
    <w:p w14:paraId="574DDCFB"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56112B">
        <w:rPr>
          <w:rFonts w:ascii="Verdana" w:eastAsia="Aptos" w:hAnsi="Verdana" w:cs="Arial"/>
          <w:color w:val="000000"/>
          <w:kern w:val="2"/>
          <w:sz w:val="21"/>
          <w:szCs w:val="21"/>
          <w:lang w:val="es-ES_tradnl"/>
          <w14:ligatures w14:val="standardContextual"/>
        </w:rPr>
        <w:t>“ARTICULO 8o. DE LAS INHABILIDADES E INCOMPATIBILIDADES PARA CONTRATAR.</w:t>
      </w:r>
    </w:p>
    <w:p w14:paraId="61235EAD"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p>
    <w:p w14:paraId="24F3F65B"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56112B">
        <w:rPr>
          <w:rFonts w:ascii="Verdana" w:eastAsia="Aptos" w:hAnsi="Verdana" w:cs="Arial"/>
          <w:color w:val="000000"/>
          <w:kern w:val="2"/>
          <w:sz w:val="21"/>
          <w:szCs w:val="21"/>
          <w:lang w:val="es-ES_tradnl"/>
          <w14:ligatures w14:val="standardContextual"/>
        </w:rPr>
        <w:t>1o. Son inhábiles para participar en licitaciones o concursos y para celebrar contratos con las entidades estatales:</w:t>
      </w:r>
    </w:p>
    <w:p w14:paraId="3E3EBCED"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56112B">
        <w:rPr>
          <w:rFonts w:ascii="Verdana" w:eastAsia="Aptos" w:hAnsi="Verdana" w:cs="Arial"/>
          <w:color w:val="000000"/>
          <w:kern w:val="2"/>
          <w:sz w:val="21"/>
          <w:szCs w:val="21"/>
          <w:lang w:val="es-ES_tradnl"/>
          <w14:ligatures w14:val="standardContextual"/>
        </w:rPr>
        <w:t>[…]</w:t>
      </w:r>
    </w:p>
    <w:p w14:paraId="07E2AEF6"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56112B">
        <w:rPr>
          <w:rFonts w:ascii="Verdana" w:eastAsia="Aptos" w:hAnsi="Verdana" w:cs="Arial"/>
          <w:color w:val="000000"/>
          <w:kern w:val="2"/>
          <w:sz w:val="21"/>
          <w:szCs w:val="21"/>
          <w:lang w:val="es-ES_tradnl"/>
          <w14:ligatures w14:val="standardContextual"/>
        </w:rPr>
        <w:t>g) Quienes sean cónyuges o compañeros permanentes y quienes se encuentren dentro del segundo grado de consanguinidad o segundo de afinidad con cualquier otra persona que formalmente haya presentado propuesta para una misma licitación o concurso.</w:t>
      </w:r>
    </w:p>
    <w:p w14:paraId="1E5EC532"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p>
    <w:p w14:paraId="34BFE0FD"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56112B">
        <w:rPr>
          <w:rFonts w:ascii="Verdana" w:eastAsia="Aptos" w:hAnsi="Verdana" w:cs="Arial"/>
          <w:color w:val="000000"/>
          <w:kern w:val="2"/>
          <w:sz w:val="21"/>
          <w:szCs w:val="21"/>
          <w:lang w:val="es-ES_tradnl"/>
          <w14:ligatures w14:val="standardContextual"/>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p>
    <w:p w14:paraId="40270AE0" w14:textId="77777777" w:rsidR="0056112B" w:rsidRPr="0056112B" w:rsidRDefault="0056112B" w:rsidP="0056112B">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56112B">
        <w:rPr>
          <w:rFonts w:ascii="Verdana" w:eastAsia="Aptos" w:hAnsi="Verdana" w:cs="Arial"/>
          <w:color w:val="000000"/>
          <w:kern w:val="2"/>
          <w:sz w:val="21"/>
          <w:szCs w:val="21"/>
          <w:lang w:val="es-ES_tradnl"/>
          <w14:ligatures w14:val="standardContextual"/>
        </w:rPr>
        <w:t>[…]”</w:t>
      </w:r>
    </w:p>
    <w:p w14:paraId="34D8F95C" w14:textId="77777777" w:rsidR="0056112B" w:rsidRPr="0056112B" w:rsidRDefault="0056112B" w:rsidP="0056112B">
      <w:pPr>
        <w:shd w:val="clear" w:color="auto" w:fill="FFFFFF"/>
        <w:spacing w:after="0" w:line="276" w:lineRule="auto"/>
        <w:ind w:firstLine="708"/>
        <w:jc w:val="both"/>
        <w:textAlignment w:val="baseline"/>
        <w:rPr>
          <w:rFonts w:ascii="Verdana" w:eastAsia="Aptos" w:hAnsi="Verdana" w:cs="Arial"/>
          <w:color w:val="000000"/>
          <w:kern w:val="2"/>
          <w:lang w:val="es-ES_tradnl"/>
          <w14:ligatures w14:val="standardContextual"/>
        </w:rPr>
      </w:pPr>
    </w:p>
    <w:p w14:paraId="02E30AED" w14:textId="77777777" w:rsidR="0056112B" w:rsidRPr="0056112B" w:rsidRDefault="0056112B" w:rsidP="0056112B">
      <w:pPr>
        <w:shd w:val="clear" w:color="auto" w:fill="FFFFFF"/>
        <w:spacing w:after="120" w:line="276" w:lineRule="auto"/>
        <w:ind w:firstLine="709"/>
        <w:jc w:val="both"/>
        <w:textAlignment w:val="baseline"/>
        <w:rPr>
          <w:rFonts w:ascii="Verdana" w:eastAsia="Aptos" w:hAnsi="Verdana" w:cs="Arial"/>
          <w:color w:val="000000"/>
          <w:kern w:val="2"/>
          <w:lang w:val="es-ES_tradnl"/>
          <w14:ligatures w14:val="standardContextual"/>
        </w:rPr>
      </w:pPr>
      <w:r w:rsidRPr="0056112B">
        <w:rPr>
          <w:rFonts w:ascii="Verdana" w:eastAsia="Aptos" w:hAnsi="Verdana" w:cs="Arial"/>
          <w:color w:val="000000"/>
          <w:kern w:val="2"/>
          <w:lang w:val="es-ES_tradnl"/>
          <w14:ligatures w14:val="standardContextual"/>
        </w:rPr>
        <w:t xml:space="preserve">Normalmente, cuando se presenta una restricción que limita la participación de sociedades o personas jurídicas en procesos de contratación, las normas indican si aquella se extiende, también, a los socios. Por lo tanto, si la norma no restringe de manera expresa, no le es dable al intérprete realizar interpretaciones extensivas que limiten la participación. </w:t>
      </w:r>
    </w:p>
    <w:p w14:paraId="5B26EB08" w14:textId="77777777" w:rsidR="0056112B" w:rsidRPr="0056112B" w:rsidRDefault="0056112B" w:rsidP="2297304B">
      <w:pPr>
        <w:shd w:val="clear" w:color="auto" w:fill="FFFFFF" w:themeFill="background1"/>
        <w:spacing w:after="0" w:line="276" w:lineRule="auto"/>
        <w:ind w:firstLine="708"/>
        <w:jc w:val="both"/>
        <w:textAlignment w:val="baseline"/>
        <w:rPr>
          <w:rFonts w:ascii="Verdana" w:eastAsia="Aptos" w:hAnsi="Verdana" w:cs="Arial"/>
          <w:color w:val="000000"/>
          <w:kern w:val="2"/>
          <w:lang w:val="es-ES"/>
          <w14:ligatures w14:val="standardContextual"/>
        </w:rPr>
      </w:pPr>
      <w:r w:rsidRPr="2297304B">
        <w:rPr>
          <w:rFonts w:ascii="Verdana" w:eastAsia="Aptos" w:hAnsi="Verdana" w:cs="Arial"/>
          <w:color w:val="000000"/>
          <w:kern w:val="2"/>
          <w:lang w:val="es-ES"/>
          <w14:ligatures w14:val="standardContextual"/>
        </w:rPr>
        <w:t xml:space="preserve">En todo caso, corresponde a las entidades estatales y a los particulares revisar si se presenta alguna situación que pueda derivar en el rechazo de la oferta o algún supuesto de inhabilidad o incompatibilidad que limite la participación en los procesos de contratación, incluso, en aquellos adelantados </w:t>
      </w:r>
      <w:r w:rsidRPr="2297304B">
        <w:rPr>
          <w:rFonts w:ascii="Verdana" w:eastAsia="Aptos" w:hAnsi="Verdana" w:cs="Arial"/>
          <w:color w:val="000000"/>
          <w:kern w:val="2"/>
          <w:lang w:val="es-ES"/>
          <w14:ligatures w14:val="standardContextual"/>
        </w:rPr>
        <w:lastRenderedPageBreak/>
        <w:t xml:space="preserve">con documentos tipo. Esto, con el fin de que adelanten las actuaciones procedentes, en el marco de sus competencias, de manera que se garantice el desarrollo adecuado del respectivo proceso. </w:t>
      </w:r>
    </w:p>
    <w:p w14:paraId="7F136FF1" w14:textId="77777777" w:rsidR="0056112B" w:rsidRPr="0056112B" w:rsidRDefault="0056112B" w:rsidP="0056112B">
      <w:pPr>
        <w:snapToGrid w:val="0"/>
        <w:spacing w:after="0" w:line="276" w:lineRule="auto"/>
        <w:jc w:val="both"/>
        <w:rPr>
          <w:rFonts w:ascii="Verdana" w:eastAsia="Calibri" w:hAnsi="Verdana" w:cs="Arial"/>
          <w:lang w:val="es-ES_tradnl"/>
        </w:rPr>
      </w:pPr>
    </w:p>
    <w:p w14:paraId="27BA5FD2" w14:textId="77777777" w:rsidR="0056112B" w:rsidRPr="0056112B" w:rsidRDefault="0056112B" w:rsidP="0056112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6112B">
        <w:rPr>
          <w:rFonts w:ascii="Verdana" w:eastAsia="Century Gothic" w:hAnsi="Verdana" w:cs="Century Gothic"/>
          <w:b/>
          <w:bCs/>
          <w:lang w:val="es-ES_tradnl"/>
        </w:rPr>
        <w:t>Referencias normativas, jurisprudenciales y otras fuentes:</w:t>
      </w:r>
    </w:p>
    <w:p w14:paraId="33FACB17" w14:textId="77777777" w:rsidR="0056112B" w:rsidRPr="0056112B" w:rsidRDefault="0056112B" w:rsidP="0056112B">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6112B" w:rsidRPr="0056112B" w14:paraId="73B862CA" w14:textId="77777777" w:rsidTr="00A72A28">
        <w:trPr>
          <w:trHeight w:val="870"/>
        </w:trPr>
        <w:tc>
          <w:tcPr>
            <w:tcW w:w="8647" w:type="dxa"/>
          </w:tcPr>
          <w:p w14:paraId="374DF5FE" w14:textId="77777777" w:rsidR="0056112B" w:rsidRPr="0056112B" w:rsidRDefault="0056112B" w:rsidP="0056112B">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56112B">
              <w:rPr>
                <w:rFonts w:ascii="Verdana" w:eastAsia="Calibri" w:hAnsi="Verdana" w:cs="Arial"/>
                <w:lang w:val="es-ES_tradnl"/>
              </w:rPr>
              <w:t>Ley 2022 de 2020, artículo 1.</w:t>
            </w:r>
          </w:p>
          <w:p w14:paraId="44E2D36F"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_tradnl"/>
              </w:rPr>
            </w:pPr>
            <w:r w:rsidRPr="0056112B">
              <w:rPr>
                <w:rFonts w:ascii="Verdana" w:eastAsia="Aptos" w:hAnsi="Verdana" w:cs="Arial"/>
                <w:lang w:val="es-ES_tradnl"/>
              </w:rPr>
              <w:t>Ley 80 de 1993, artículo 8.</w:t>
            </w:r>
            <w:r w:rsidRPr="0056112B">
              <w:rPr>
                <w:rFonts w:ascii="Verdana" w:eastAsia="Calibri" w:hAnsi="Verdana" w:cs="Arial"/>
                <w:lang w:val="es-ES_tradnl"/>
              </w:rPr>
              <w:t xml:space="preserve"> </w:t>
            </w:r>
          </w:p>
          <w:p w14:paraId="4CD63213" w14:textId="77777777" w:rsidR="0056112B" w:rsidRPr="0056112B" w:rsidRDefault="0056112B" w:rsidP="0056112B">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56112B">
              <w:rPr>
                <w:rFonts w:ascii="Verdana" w:eastAsia="Calibri" w:hAnsi="Verdana" w:cs="Arial"/>
                <w:lang w:val="es-ES"/>
              </w:rPr>
              <w:t xml:space="preserve">Consejo de Estado. Sección Tercera. Sentencia del 27 de abril de 2011. </w:t>
            </w:r>
            <w:proofErr w:type="spellStart"/>
            <w:r w:rsidRPr="0056112B">
              <w:rPr>
                <w:rFonts w:ascii="Verdana" w:eastAsia="Calibri" w:hAnsi="Verdana" w:cs="Arial"/>
                <w:lang w:val="es-ES"/>
              </w:rPr>
              <w:t>Exp</w:t>
            </w:r>
            <w:proofErr w:type="spellEnd"/>
            <w:r w:rsidRPr="0056112B">
              <w:rPr>
                <w:rFonts w:ascii="Verdana" w:eastAsia="Calibri" w:hAnsi="Verdana" w:cs="Arial"/>
                <w:lang w:val="es-ES"/>
              </w:rPr>
              <w:t>. 18.293. C.P. Ruth Stella Correa Palacio.</w:t>
            </w:r>
          </w:p>
          <w:p w14:paraId="504BDA31" w14:textId="77777777" w:rsidR="0056112B" w:rsidRPr="0056112B" w:rsidRDefault="0056112B" w:rsidP="0056112B">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56112B">
              <w:rPr>
                <w:rFonts w:ascii="Verdana" w:eastAsia="Calibri" w:hAnsi="Verdana" w:cs="Arial"/>
                <w:lang w:val="es-ES"/>
              </w:rPr>
              <w:t xml:space="preserve">Consejo de Estado. Sección Tercera. Sentencia del 21 de noviembre de 2013. </w:t>
            </w:r>
            <w:proofErr w:type="spellStart"/>
            <w:r w:rsidRPr="0056112B">
              <w:rPr>
                <w:rFonts w:ascii="Verdana" w:eastAsia="Calibri" w:hAnsi="Verdana" w:cs="Arial"/>
                <w:lang w:val="es-ES"/>
              </w:rPr>
              <w:t>Exp</w:t>
            </w:r>
            <w:proofErr w:type="spellEnd"/>
            <w:r w:rsidRPr="0056112B">
              <w:rPr>
                <w:rFonts w:ascii="Verdana" w:eastAsia="Calibri" w:hAnsi="Verdana" w:cs="Arial"/>
                <w:lang w:val="es-ES"/>
              </w:rPr>
              <w:t>. 25397. C.P. Carlos Alberto Zambrano Barrera.</w:t>
            </w:r>
          </w:p>
          <w:p w14:paraId="08FE7B19"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_tradnl"/>
              </w:rPr>
            </w:pPr>
            <w:r w:rsidRPr="0056112B">
              <w:rPr>
                <w:rFonts w:ascii="Verdana" w:eastAsia="Aptos" w:hAnsi="Verdana" w:cs="Arial"/>
                <w:lang w:val="pt-BR"/>
              </w:rPr>
              <w:t xml:space="preserve">Corte Constitucional. Sentencia T-1039 de 2006. </w:t>
            </w:r>
            <w:r w:rsidRPr="0056112B">
              <w:rPr>
                <w:rFonts w:ascii="Verdana" w:eastAsia="Aptos" w:hAnsi="Verdana" w:cs="Arial"/>
                <w:lang w:val="it-IT"/>
              </w:rPr>
              <w:t xml:space="preserve">M.P. Humberto Sierra Porto. </w:t>
            </w:r>
            <w:r w:rsidRPr="0056112B">
              <w:rPr>
                <w:rFonts w:ascii="Verdana" w:eastAsia="Aptos" w:hAnsi="Verdana" w:cs="Arial"/>
                <w:lang w:val="es-ES_tradnl"/>
              </w:rPr>
              <w:t>La Corte ha mantenido este criterio en las sentencias: C-903 de 2008. M.P. Jaime Araujo Rentería; C-101 de 2018. M.P. Gloria Stella Ortiz Delgado; entre otras</w:t>
            </w:r>
          </w:p>
          <w:p w14:paraId="25C513C6"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
              </w:rPr>
            </w:pPr>
            <w:r w:rsidRPr="2297304B">
              <w:rPr>
                <w:rFonts w:ascii="Verdana" w:eastAsia="Aptos" w:hAnsi="Verdana" w:cs="Arial"/>
                <w:lang w:val="es-ES"/>
              </w:rPr>
              <w:t xml:space="preserve">Consejo de Estado. Sala de Consulta y Servicio Civil. Concepto del 30 de abril de 2015. Expediente: 2251. C.P. Álvaro </w:t>
            </w:r>
            <w:proofErr w:type="spellStart"/>
            <w:r w:rsidRPr="2297304B">
              <w:rPr>
                <w:rFonts w:ascii="Verdana" w:eastAsia="Aptos" w:hAnsi="Verdana" w:cs="Arial"/>
                <w:lang w:val="es-ES"/>
              </w:rPr>
              <w:t>Namén</w:t>
            </w:r>
            <w:proofErr w:type="spellEnd"/>
            <w:r w:rsidRPr="2297304B">
              <w:rPr>
                <w:rFonts w:ascii="Verdana" w:eastAsia="Aptos" w:hAnsi="Verdana" w:cs="Arial"/>
                <w:lang w:val="es-ES"/>
              </w:rPr>
              <w:t xml:space="preserve"> Vargas.</w:t>
            </w:r>
          </w:p>
          <w:p w14:paraId="1494546C"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
              </w:rPr>
            </w:pPr>
            <w:r w:rsidRPr="2297304B">
              <w:rPr>
                <w:rFonts w:ascii="Verdana" w:eastAsia="Aptos" w:hAnsi="Verdana" w:cs="Arial"/>
                <w:lang w:val="es-ES"/>
              </w:rPr>
              <w:t xml:space="preserve">Consejo de Estado. Sección Tercera. Subsección A. Sentencia del 24 de junio de 2015. </w:t>
            </w:r>
            <w:proofErr w:type="spellStart"/>
            <w:r w:rsidRPr="2297304B">
              <w:rPr>
                <w:rFonts w:ascii="Verdana" w:eastAsia="Aptos" w:hAnsi="Verdana" w:cs="Arial"/>
                <w:lang w:val="es-ES"/>
              </w:rPr>
              <w:t>Exp</w:t>
            </w:r>
            <w:proofErr w:type="spellEnd"/>
            <w:r w:rsidRPr="2297304B">
              <w:rPr>
                <w:rFonts w:ascii="Verdana" w:eastAsia="Aptos" w:hAnsi="Verdana" w:cs="Arial"/>
                <w:lang w:val="es-ES"/>
              </w:rPr>
              <w:t>. 40.635. C.P. Hernán Andrade Rincón (E).</w:t>
            </w:r>
          </w:p>
          <w:p w14:paraId="19775D46"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
              </w:rPr>
            </w:pPr>
            <w:r w:rsidRPr="2297304B">
              <w:rPr>
                <w:rFonts w:ascii="Verdana" w:eastAsia="Aptos" w:hAnsi="Verdana" w:cs="Arial"/>
                <w:lang w:val="es-ES"/>
              </w:rPr>
              <w:t xml:space="preserve">Consejo de Estado. Sección Tercera. Subsección C. Sentencia del 22 de mayo de 2013. </w:t>
            </w:r>
            <w:proofErr w:type="spellStart"/>
            <w:r w:rsidRPr="2297304B">
              <w:rPr>
                <w:rFonts w:ascii="Verdana" w:eastAsia="Aptos" w:hAnsi="Verdana" w:cs="Arial"/>
                <w:lang w:val="es-ES"/>
              </w:rPr>
              <w:t>Exp</w:t>
            </w:r>
            <w:proofErr w:type="spellEnd"/>
            <w:r w:rsidRPr="2297304B">
              <w:rPr>
                <w:rFonts w:ascii="Verdana" w:eastAsia="Aptos" w:hAnsi="Verdana" w:cs="Arial"/>
                <w:lang w:val="es-ES"/>
              </w:rPr>
              <w:t xml:space="preserve">. 24.057. C.P. Olga </w:t>
            </w:r>
            <w:proofErr w:type="spellStart"/>
            <w:r w:rsidRPr="2297304B">
              <w:rPr>
                <w:rFonts w:ascii="Verdana" w:eastAsia="Aptos" w:hAnsi="Verdana" w:cs="Arial"/>
                <w:lang w:val="es-ES"/>
              </w:rPr>
              <w:t>Melida</w:t>
            </w:r>
            <w:proofErr w:type="spellEnd"/>
            <w:r w:rsidRPr="2297304B">
              <w:rPr>
                <w:rFonts w:ascii="Verdana" w:eastAsia="Aptos" w:hAnsi="Verdana" w:cs="Arial"/>
                <w:lang w:val="es-ES"/>
              </w:rPr>
              <w:t xml:space="preserve"> Valle De La Hoz.</w:t>
            </w:r>
          </w:p>
          <w:p w14:paraId="1341F616"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_tradnl"/>
              </w:rPr>
            </w:pPr>
            <w:r w:rsidRPr="0056112B">
              <w:rPr>
                <w:rFonts w:ascii="Verdana" w:eastAsia="Aptos" w:hAnsi="Verdana" w:cs="Arial"/>
                <w:lang w:val="es-ES_tradnl"/>
              </w:rPr>
              <w:t>Corte Constitucional, Sentencia C- 373 de 2002, M.P. Jaime Córdoba Triviño; sentencia C-325 de 2009, M.P. Gabriel Eduardo Mendoza Martelo.</w:t>
            </w:r>
          </w:p>
          <w:p w14:paraId="648A718C" w14:textId="77777777" w:rsidR="0056112B" w:rsidRPr="0056112B" w:rsidRDefault="0056112B" w:rsidP="0056112B">
            <w:pPr>
              <w:numPr>
                <w:ilvl w:val="0"/>
                <w:numId w:val="17"/>
              </w:numPr>
              <w:snapToGrid w:val="0"/>
              <w:spacing w:after="120" w:line="276" w:lineRule="auto"/>
              <w:jc w:val="both"/>
              <w:rPr>
                <w:rFonts w:ascii="Verdana" w:eastAsia="Aptos" w:hAnsi="Verdana" w:cs="Arial"/>
                <w:lang w:val="es-ES"/>
              </w:rPr>
            </w:pPr>
            <w:r w:rsidRPr="2297304B">
              <w:rPr>
                <w:rFonts w:ascii="Verdana" w:eastAsia="Aptos" w:hAnsi="Verdana" w:cs="Arial"/>
                <w:lang w:val="es-ES"/>
              </w:rPr>
              <w:t xml:space="preserve">Consejo de Estado, Sección Quinta, Sentencia del 13 de junio de 2019, </w:t>
            </w:r>
            <w:proofErr w:type="spellStart"/>
            <w:r w:rsidRPr="2297304B">
              <w:rPr>
                <w:rFonts w:ascii="Verdana" w:eastAsia="Aptos" w:hAnsi="Verdana" w:cs="Arial"/>
                <w:lang w:val="es-ES"/>
              </w:rPr>
              <w:t>Exp</w:t>
            </w:r>
            <w:proofErr w:type="spellEnd"/>
            <w:r w:rsidRPr="2297304B">
              <w:rPr>
                <w:rFonts w:ascii="Verdana" w:eastAsia="Aptos" w:hAnsi="Verdana" w:cs="Arial"/>
                <w:lang w:val="es-ES"/>
              </w:rPr>
              <w:t>. No. 00111, C.P. Rocío Araújo Oñate.</w:t>
            </w:r>
          </w:p>
          <w:p w14:paraId="2E32F39C" w14:textId="77777777" w:rsidR="0056112B" w:rsidRPr="0056112B" w:rsidRDefault="0056112B" w:rsidP="0056112B">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56112B">
              <w:rPr>
                <w:rFonts w:ascii="Verdana" w:eastAsia="Aptos" w:hAnsi="Verdana" w:cs="Arial"/>
                <w:lang w:val="es-ES_tradnl"/>
              </w:rPr>
              <w:t xml:space="preserve">Documentos tipo de licitación de obra pública de infraestructura de transporte – versión 4. Disponibles en: </w:t>
            </w:r>
            <w:hyperlink r:id="rId11" w:history="1">
              <w:r w:rsidRPr="0056112B">
                <w:rPr>
                  <w:rFonts w:ascii="Verdana" w:eastAsia="Aptos" w:hAnsi="Verdana" w:cs="Arial"/>
                  <w:color w:val="0000FF"/>
                  <w:u w:val="single"/>
                  <w:lang w:val="es-ES_tradnl"/>
                </w:rPr>
                <w:t>https://www.colombiacompra.gov.co/normativa-y-relatoria/documentos-tipo</w:t>
              </w:r>
            </w:hyperlink>
            <w:r w:rsidRPr="0056112B">
              <w:rPr>
                <w:rFonts w:ascii="Verdana" w:eastAsia="Aptos" w:hAnsi="Verdana" w:cs="Arial"/>
                <w:lang w:val="es-ES_tradnl"/>
              </w:rPr>
              <w:t xml:space="preserve">. </w:t>
            </w:r>
          </w:p>
        </w:tc>
      </w:tr>
    </w:tbl>
    <w:p w14:paraId="03B2C54A" w14:textId="77777777" w:rsidR="0056112B" w:rsidRPr="0056112B" w:rsidRDefault="0056112B" w:rsidP="0056112B">
      <w:pPr>
        <w:widowControl w:val="0"/>
        <w:autoSpaceDE w:val="0"/>
        <w:autoSpaceDN w:val="0"/>
        <w:snapToGrid w:val="0"/>
        <w:spacing w:after="0" w:line="276" w:lineRule="auto"/>
        <w:jc w:val="both"/>
        <w:rPr>
          <w:rFonts w:ascii="Verdana" w:eastAsia="Calibri" w:hAnsi="Verdana" w:cs="Arial"/>
          <w:lang w:val="es-ES_tradnl"/>
        </w:rPr>
      </w:pPr>
    </w:p>
    <w:p w14:paraId="7C475C8E" w14:textId="77777777" w:rsidR="0056112B" w:rsidRPr="0056112B" w:rsidRDefault="0056112B" w:rsidP="0056112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6112B">
        <w:rPr>
          <w:rFonts w:ascii="Verdana" w:eastAsia="Century Gothic" w:hAnsi="Verdana" w:cs="Century Gothic"/>
          <w:b/>
          <w:bCs/>
          <w:lang w:val="es-ES_tradnl"/>
        </w:rPr>
        <w:t>Doctrina de la Agencia Nacional de Contratación Pública:</w:t>
      </w:r>
    </w:p>
    <w:p w14:paraId="58B6A806" w14:textId="77777777" w:rsidR="0056112B" w:rsidRPr="0056112B" w:rsidRDefault="0056112B" w:rsidP="0056112B">
      <w:pPr>
        <w:widowControl w:val="0"/>
        <w:autoSpaceDE w:val="0"/>
        <w:autoSpaceDN w:val="0"/>
        <w:snapToGrid w:val="0"/>
        <w:spacing w:after="0" w:line="276" w:lineRule="auto"/>
        <w:jc w:val="both"/>
        <w:rPr>
          <w:rFonts w:ascii="Verdana" w:eastAsia="Calibri" w:hAnsi="Verdana" w:cs="Arial"/>
          <w:lang w:val="es-ES_tradnl"/>
        </w:rPr>
      </w:pPr>
    </w:p>
    <w:p w14:paraId="7258D282"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56112B">
        <w:rPr>
          <w:rFonts w:ascii="Verdana" w:eastAsia="Calibri" w:hAnsi="Verdana" w:cs="Arial"/>
          <w:kern w:val="2"/>
          <w:shd w:val="clear" w:color="auto" w:fill="FFFFFF"/>
          <w:lang w:val="es-ES_tradnl"/>
          <w14:ligatures w14:val="standardContextual"/>
        </w:rPr>
        <w:t>La Agencia Nacional de Contratación Pública – Colombia Compra Eficiente se</w:t>
      </w:r>
      <w:r w:rsidRPr="0056112B">
        <w:rPr>
          <w:rFonts w:ascii="Aptos" w:eastAsia="Aptos" w:hAnsi="Aptos" w:cs="Times New Roman"/>
          <w:kern w:val="2"/>
          <w:sz w:val="24"/>
          <w:szCs w:val="24"/>
          <w14:ligatures w14:val="standardContextual"/>
        </w:rPr>
        <w:t xml:space="preserve"> </w:t>
      </w:r>
      <w:r w:rsidRPr="0056112B">
        <w:rPr>
          <w:rFonts w:ascii="Verdana" w:eastAsia="Calibri" w:hAnsi="Verdana" w:cs="Arial"/>
          <w:kern w:val="2"/>
          <w:shd w:val="clear" w:color="auto" w:fill="FFFFFF"/>
          <w:lang w:val="es-ES_tradnl"/>
          <w14:ligatures w14:val="standardContextual"/>
        </w:rPr>
        <w:t xml:space="preserve">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C-128 del 2 de agosto de 2024, C-047 del 28 de febrero de 2025, C-326 del 25 de abril de 2025, entre otros. También, se ha referido al régimen de inhabilidades e incompatibilidades, en los conceptos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 También se ha pronunciado sobre el conflicto de interés en los conceptos C-229 del 16 de abril de 2020, C-815 del 18 de febrero de 2021, C-449 del 31 de agosto de 2021, C-288 del 14 de julio de 2023, C-651 del 22 de octubre de 2024, C-689 del 19 de noviembre de 2024, C-966 del 14 de enero de 2025 y C-849 del 6 de agosto de </w:t>
      </w:r>
      <w:r w:rsidRPr="0056112B">
        <w:rPr>
          <w:rFonts w:ascii="Verdana" w:eastAsia="Calibri" w:hAnsi="Verdana" w:cs="Arial"/>
          <w:kern w:val="2"/>
          <w:shd w:val="clear" w:color="auto" w:fill="FFFFFF"/>
          <w:lang w:val="es-ES_tradnl"/>
          <w14:ligatures w14:val="standardContextual"/>
        </w:rPr>
        <w:lastRenderedPageBreak/>
        <w:t>2025.</w:t>
      </w:r>
    </w:p>
    <w:p w14:paraId="5490A762"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C7232A4" w14:textId="77777777" w:rsidR="0056112B" w:rsidRPr="0056112B" w:rsidRDefault="0056112B" w:rsidP="0056112B">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2297304B">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2297304B">
          <w:rPr>
            <w:rFonts w:ascii="Verdana" w:eastAsia="Times New Roman" w:hAnsi="Verdana" w:cs="Arial"/>
            <w:kern w:val="2"/>
            <w:shd w:val="clear" w:color="auto" w:fill="FFFFFF"/>
            <w:lang w:val="es-ES"/>
            <w14:ligatures w14:val="standardContextual"/>
          </w:rPr>
          <w:t>https://relatoria.colombiacompra.gov.co/</w:t>
        </w:r>
      </w:hyperlink>
      <w:r w:rsidRPr="2297304B">
        <w:rPr>
          <w:rFonts w:ascii="Verdana" w:eastAsia="Times New Roman" w:hAnsi="Verdana" w:cs="Arial"/>
          <w:kern w:val="2"/>
          <w:shd w:val="clear" w:color="auto" w:fill="FFFFFF"/>
          <w:lang w:val="es-ES"/>
          <w14:ligatures w14:val="standardContextual"/>
        </w:rPr>
        <w:t>.</w:t>
      </w:r>
    </w:p>
    <w:p w14:paraId="540DA7D3" w14:textId="77777777" w:rsidR="0056112B" w:rsidRPr="0056112B" w:rsidRDefault="0056112B" w:rsidP="0056112B">
      <w:pPr>
        <w:spacing w:after="0" w:line="240" w:lineRule="auto"/>
        <w:jc w:val="both"/>
        <w:rPr>
          <w:rFonts w:ascii="Verdana" w:eastAsia="Calibri" w:hAnsi="Verdana" w:cs="Arial"/>
          <w:color w:val="000000"/>
          <w:kern w:val="2"/>
          <w:shd w:val="clear" w:color="auto" w:fill="FFFFFF"/>
          <w:lang w:val="es-ES_tradnl"/>
          <w14:ligatures w14:val="standardContextual"/>
        </w:rPr>
      </w:pPr>
    </w:p>
    <w:p w14:paraId="2AEC3939"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56112B">
        <w:rPr>
          <w:rFonts w:ascii="Verdana" w:eastAsia="Calibri" w:hAnsi="Verdana" w:cs="Arial"/>
          <w:kern w:val="2"/>
          <w:shd w:val="clear" w:color="auto" w:fill="FFFFFF"/>
          <w:lang w:val="es-ES_tradnl"/>
          <w14:ligatures w14:val="standardContextual"/>
        </w:rPr>
        <w:t>La</w:t>
      </w:r>
      <w:r w:rsidRPr="0056112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56112B">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56112B">
        <w:rPr>
          <w:rFonts w:ascii="Verdana" w:eastAsia="Calibri" w:hAnsi="Verdana" w:cs="Arial"/>
          <w:b/>
          <w:bCs/>
          <w:kern w:val="2"/>
          <w:shd w:val="clear" w:color="auto" w:fill="FFFFFF"/>
          <w:lang w:val="es-ES_tradnl"/>
          <w14:ligatures w14:val="standardContextual"/>
        </w:rPr>
        <w:t>Documentos Tipo</w:t>
      </w:r>
      <w:r w:rsidRPr="0056112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56112B">
        <w:rPr>
          <w:rFonts w:ascii="Verdana" w:eastAsia="Calibri" w:hAnsi="Verdana" w:cs="Arial"/>
          <w:b/>
          <w:bCs/>
          <w:kern w:val="2"/>
          <w:shd w:val="clear" w:color="auto" w:fill="FFFFFF"/>
          <w:lang w:val="es-ES_tradnl"/>
          <w14:ligatures w14:val="standardContextual"/>
        </w:rPr>
        <w:t>transparencia</w:t>
      </w:r>
      <w:r w:rsidRPr="0056112B">
        <w:rPr>
          <w:rFonts w:ascii="Verdana" w:eastAsia="Calibri" w:hAnsi="Verdana" w:cs="Arial"/>
          <w:kern w:val="2"/>
          <w:shd w:val="clear" w:color="auto" w:fill="FFFFFF"/>
          <w:lang w:val="es-ES_tradnl"/>
          <w14:ligatures w14:val="standardContextual"/>
        </w:rPr>
        <w:t> y promover un proceso de </w:t>
      </w:r>
      <w:r w:rsidRPr="0056112B">
        <w:rPr>
          <w:rFonts w:ascii="Verdana" w:eastAsia="Calibri" w:hAnsi="Verdana" w:cs="Arial"/>
          <w:b/>
          <w:bCs/>
          <w:kern w:val="2"/>
          <w:shd w:val="clear" w:color="auto" w:fill="FFFFFF"/>
          <w:lang w:val="es-ES_tradnl"/>
          <w14:ligatures w14:val="standardContextual"/>
        </w:rPr>
        <w:t>selección objetiva</w:t>
      </w:r>
      <w:r w:rsidRPr="0056112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35C04F1"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C366519"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2297304B">
        <w:rPr>
          <w:rFonts w:ascii="Verdana" w:eastAsia="Calibri" w:hAnsi="Verdana" w:cs="Arial"/>
          <w:kern w:val="2"/>
          <w:shd w:val="clear" w:color="auto" w:fill="FFFFFF"/>
          <w:lang w:val="es-ES"/>
          <w14:ligatures w14:val="standardContextual"/>
        </w:rPr>
        <w:t>También, le contamos que ya se encuentra disponible la </w:t>
      </w:r>
      <w:r w:rsidRPr="2297304B">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2297304B">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2297304B">
        <w:rPr>
          <w:rFonts w:ascii="Verdana" w:eastAsia="Calibri" w:hAnsi="Verdana" w:cs="Arial"/>
          <w:kern w:val="2"/>
          <w:shd w:val="clear" w:color="auto" w:fill="FFFFFF"/>
          <w:lang w:val="es-ES"/>
          <w14:ligatures w14:val="standardContextual"/>
        </w:rPr>
        <w:t>Wayúu</w:t>
      </w:r>
      <w:proofErr w:type="spellEnd"/>
      <w:r w:rsidRPr="2297304B">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2297304B">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2297304B">
        <w:rPr>
          <w:rFonts w:ascii="Verdana" w:eastAsia="Calibri" w:hAnsi="Verdana" w:cs="Arial"/>
          <w:kern w:val="2"/>
          <w:u w:val="single"/>
          <w:shd w:val="clear" w:color="auto" w:fill="FFFFFF"/>
          <w:lang w:val="es-ES"/>
          <w14:ligatures w14:val="standardContextual"/>
        </w:rPr>
        <w:t>.</w:t>
      </w:r>
    </w:p>
    <w:p w14:paraId="0DD137DE"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E58F393" w14:textId="77777777" w:rsidR="0056112B" w:rsidRPr="0056112B" w:rsidRDefault="0056112B" w:rsidP="0056112B">
      <w:pPr>
        <w:spacing w:after="0" w:line="276" w:lineRule="auto"/>
        <w:jc w:val="both"/>
        <w:rPr>
          <w:rFonts w:ascii="Verdana" w:eastAsia="Calibri" w:hAnsi="Verdana" w:cs="Times New Roman"/>
          <w:kern w:val="2"/>
          <w:lang w:val="es-ES_tradnl"/>
          <w14:ligatures w14:val="standardContextual"/>
        </w:rPr>
      </w:pPr>
      <w:r w:rsidRPr="0056112B">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25852386" w14:textId="77777777" w:rsidR="0056112B" w:rsidRPr="0056112B" w:rsidRDefault="0056112B" w:rsidP="0056112B">
      <w:pPr>
        <w:spacing w:after="0" w:line="240" w:lineRule="auto"/>
        <w:jc w:val="both"/>
        <w:rPr>
          <w:rFonts w:ascii="Verdana" w:eastAsia="Calibri" w:hAnsi="Verdana" w:cs="Times New Roman"/>
          <w:kern w:val="2"/>
          <w:lang w:val="es-ES_tradnl"/>
          <w14:ligatures w14:val="standardContextual"/>
        </w:rPr>
      </w:pPr>
    </w:p>
    <w:p w14:paraId="7FB08C57" w14:textId="77777777" w:rsidR="0056112B" w:rsidRPr="0056112B" w:rsidRDefault="0056112B" w:rsidP="0056112B">
      <w:pPr>
        <w:spacing w:after="0" w:line="240" w:lineRule="auto"/>
        <w:jc w:val="both"/>
        <w:rPr>
          <w:rFonts w:ascii="Verdana" w:eastAsia="Calibri" w:hAnsi="Verdana" w:cs="Times New Roman"/>
          <w:kern w:val="2"/>
          <w:lang w:val="es-ES_tradnl"/>
          <w14:ligatures w14:val="standardContextual"/>
        </w:rPr>
      </w:pPr>
      <w:r w:rsidRPr="0056112B">
        <w:rPr>
          <w:rFonts w:ascii="Verdana" w:eastAsia="Calibri" w:hAnsi="Verdana" w:cs="Times New Roman"/>
          <w:kern w:val="2"/>
          <w:lang w:val="es-ES_tradnl"/>
          <w14:ligatures w14:val="standardContextual"/>
        </w:rPr>
        <w:t xml:space="preserve">X: </w:t>
      </w:r>
      <w:r w:rsidRPr="0056112B">
        <w:rPr>
          <w:rFonts w:ascii="Verdana" w:eastAsia="Calibri" w:hAnsi="Verdana" w:cs="Times New Roman"/>
          <w:kern w:val="2"/>
          <w:u w:val="single"/>
          <w:lang w:val="es-ES_tradnl"/>
          <w14:ligatures w14:val="standardContextual"/>
        </w:rPr>
        <w:t>@colombiacompra</w:t>
      </w:r>
      <w:r w:rsidRPr="0056112B">
        <w:rPr>
          <w:rFonts w:ascii="Verdana" w:eastAsia="Calibri" w:hAnsi="Verdana" w:cs="Times New Roman"/>
          <w:kern w:val="2"/>
          <w:lang w:val="es-ES_tradnl"/>
          <w14:ligatures w14:val="standardContextual"/>
        </w:rPr>
        <w:t xml:space="preserve"> </w:t>
      </w:r>
    </w:p>
    <w:p w14:paraId="3304DC71" w14:textId="77777777" w:rsidR="0056112B" w:rsidRPr="0056112B" w:rsidRDefault="0056112B" w:rsidP="0056112B">
      <w:pPr>
        <w:spacing w:after="0" w:line="240" w:lineRule="auto"/>
        <w:jc w:val="both"/>
        <w:rPr>
          <w:rFonts w:ascii="Verdana" w:eastAsia="Calibri" w:hAnsi="Verdana" w:cs="Times New Roman"/>
          <w:kern w:val="2"/>
          <w:lang w:val="es-ES"/>
          <w14:ligatures w14:val="standardContextual"/>
        </w:rPr>
      </w:pPr>
      <w:r w:rsidRPr="2297304B">
        <w:rPr>
          <w:rFonts w:ascii="Verdana" w:eastAsia="Calibri" w:hAnsi="Verdana" w:cs="Times New Roman"/>
          <w:kern w:val="2"/>
          <w:lang w:val="es-ES"/>
          <w14:ligatures w14:val="standardContextual"/>
        </w:rPr>
        <w:t xml:space="preserve">Facebook: </w:t>
      </w:r>
      <w:proofErr w:type="spellStart"/>
      <w:r w:rsidRPr="2297304B">
        <w:rPr>
          <w:rFonts w:ascii="Verdana" w:eastAsia="Calibri" w:hAnsi="Verdana" w:cs="Times New Roman"/>
          <w:kern w:val="2"/>
          <w:u w:val="single"/>
          <w:lang w:val="es-ES"/>
          <w14:ligatures w14:val="standardContextual"/>
        </w:rPr>
        <w:t>ColombiaCompraEficiente</w:t>
      </w:r>
      <w:proofErr w:type="spellEnd"/>
    </w:p>
    <w:p w14:paraId="5C89B82F" w14:textId="77777777" w:rsidR="0056112B" w:rsidRPr="0056112B" w:rsidRDefault="0056112B" w:rsidP="0056112B">
      <w:pPr>
        <w:spacing w:after="0" w:line="240" w:lineRule="auto"/>
        <w:jc w:val="both"/>
        <w:rPr>
          <w:rFonts w:ascii="Verdana" w:eastAsia="Calibri" w:hAnsi="Verdana" w:cs="Times New Roman"/>
          <w:kern w:val="2"/>
          <w:lang w:val="es-ES_tradnl"/>
          <w14:ligatures w14:val="standardContextual"/>
        </w:rPr>
      </w:pPr>
      <w:r w:rsidRPr="0056112B">
        <w:rPr>
          <w:rFonts w:ascii="Verdana" w:eastAsia="Calibri" w:hAnsi="Verdana" w:cs="Times New Roman"/>
          <w:kern w:val="2"/>
          <w:lang w:val="es-ES_tradnl"/>
          <w14:ligatures w14:val="standardContextual"/>
        </w:rPr>
        <w:t xml:space="preserve">LinkedIn: </w:t>
      </w:r>
      <w:r w:rsidRPr="0056112B">
        <w:rPr>
          <w:rFonts w:ascii="Verdana" w:eastAsia="Calibri" w:hAnsi="Verdana" w:cs="Times New Roman"/>
          <w:kern w:val="2"/>
          <w:u w:val="single"/>
          <w:lang w:val="es-ES_tradnl"/>
          <w14:ligatures w14:val="standardContextual"/>
        </w:rPr>
        <w:t>Agencia Nacional de Contratación Pública - Colombia Compra Eficiente</w:t>
      </w:r>
      <w:r w:rsidRPr="0056112B">
        <w:rPr>
          <w:rFonts w:ascii="Verdana" w:eastAsia="Calibri" w:hAnsi="Verdana" w:cs="Times New Roman"/>
          <w:kern w:val="2"/>
          <w:lang w:val="es-ES_tradnl"/>
          <w14:ligatures w14:val="standardContextual"/>
        </w:rPr>
        <w:t xml:space="preserve"> Instagram: </w:t>
      </w:r>
      <w:r w:rsidRPr="0056112B">
        <w:rPr>
          <w:rFonts w:ascii="Verdana" w:eastAsia="Calibri" w:hAnsi="Verdana" w:cs="Times New Roman"/>
          <w:kern w:val="2"/>
          <w:u w:val="single"/>
          <w:lang w:val="es-ES_tradnl"/>
          <w14:ligatures w14:val="standardContextual"/>
        </w:rPr>
        <w:t>@colombiacompraeficiente_cce</w:t>
      </w:r>
    </w:p>
    <w:p w14:paraId="2A6BDAD0"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6B61B15" w14:textId="77777777" w:rsidR="0056112B" w:rsidRPr="0056112B" w:rsidRDefault="0056112B" w:rsidP="0056112B">
      <w:pPr>
        <w:widowControl w:val="0"/>
        <w:autoSpaceDE w:val="0"/>
        <w:autoSpaceDN w:val="0"/>
        <w:spacing w:after="0" w:line="276" w:lineRule="auto"/>
        <w:jc w:val="both"/>
        <w:rPr>
          <w:rFonts w:ascii="Verdana" w:eastAsia="Calibri" w:hAnsi="Verdana" w:cs="Arial"/>
          <w:kern w:val="2"/>
          <w:lang w:val="es-ES_tradnl"/>
          <w14:ligatures w14:val="standardContextual"/>
        </w:rPr>
      </w:pPr>
      <w:r w:rsidRPr="0056112B">
        <w:rPr>
          <w:rFonts w:ascii="Verdana" w:eastAsia="Calibri" w:hAnsi="Verdana" w:cs="Arial"/>
          <w:kern w:val="2"/>
          <w:lang w:val="es-ES_tradnl"/>
          <w14:ligatures w14:val="standardContextu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339ACFA" w14:textId="77777777" w:rsidR="0056112B" w:rsidRPr="0056112B" w:rsidRDefault="0056112B" w:rsidP="0056112B">
      <w:pPr>
        <w:widowControl w:val="0"/>
        <w:autoSpaceDE w:val="0"/>
        <w:autoSpaceDN w:val="0"/>
        <w:spacing w:after="0" w:line="276" w:lineRule="auto"/>
        <w:jc w:val="both"/>
        <w:rPr>
          <w:rFonts w:ascii="Verdana" w:eastAsia="Calibri" w:hAnsi="Verdana" w:cs="Arial"/>
          <w:lang w:val="es-ES_tradnl"/>
        </w:rPr>
      </w:pPr>
    </w:p>
    <w:p w14:paraId="26ADBD13" w14:textId="77777777" w:rsidR="0056112B" w:rsidRPr="0056112B" w:rsidRDefault="0056112B" w:rsidP="0056112B">
      <w:pPr>
        <w:spacing w:after="0" w:line="240" w:lineRule="auto"/>
        <w:rPr>
          <w:rFonts w:ascii="Verdana" w:eastAsia="Calibri" w:hAnsi="Verdana" w:cs="Arial"/>
          <w:lang w:val="es-ES_tradnl" w:eastAsia="es-CO"/>
        </w:rPr>
      </w:pPr>
      <w:r w:rsidRPr="0056112B">
        <w:rPr>
          <w:rFonts w:ascii="Verdana" w:eastAsia="Times New Roman" w:hAnsi="Verdana" w:cs="Arial"/>
          <w:lang w:val="es-ES_tradnl" w:eastAsia="es-CO"/>
        </w:rPr>
        <w:t>Atentamente,</w:t>
      </w:r>
      <w:r w:rsidRPr="0056112B">
        <w:rPr>
          <w:rFonts w:ascii="Verdana" w:eastAsia="Calibri" w:hAnsi="Verdana" w:cs="Arial"/>
          <w:lang w:val="es-ES_tradnl" w:eastAsia="es-CO"/>
        </w:rPr>
        <w:t xml:space="preserve"> </w:t>
      </w:r>
    </w:p>
    <w:p w14:paraId="723B5BF7" w14:textId="514E886F" w:rsidR="0056112B" w:rsidRPr="0056112B" w:rsidRDefault="004E429A" w:rsidP="0056112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4CD4FA0B" wp14:editId="21894B2B">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6112B" w:rsidRPr="0056112B" w14:paraId="6D9C96CF" w14:textId="77777777" w:rsidTr="00A72A28">
        <w:trPr>
          <w:trHeight w:val="315"/>
        </w:trPr>
        <w:tc>
          <w:tcPr>
            <w:tcW w:w="893" w:type="dxa"/>
            <w:vAlign w:val="center"/>
            <w:hideMark/>
          </w:tcPr>
          <w:p w14:paraId="6A43F94E" w14:textId="77777777" w:rsidR="0056112B" w:rsidRPr="0056112B" w:rsidRDefault="0056112B" w:rsidP="0056112B">
            <w:pPr>
              <w:rPr>
                <w:rFonts w:ascii="Verdana" w:eastAsia="Calibri" w:hAnsi="Verdana" w:cs="Arial"/>
                <w:sz w:val="16"/>
                <w:szCs w:val="16"/>
                <w:lang w:val="es-ES_tradnl" w:eastAsia="es-ES"/>
              </w:rPr>
            </w:pPr>
            <w:r w:rsidRPr="0056112B">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CC018CD" w14:textId="77777777" w:rsidR="0056112B" w:rsidRPr="0056112B" w:rsidRDefault="0056112B" w:rsidP="0056112B">
            <w:pPr>
              <w:rPr>
                <w:rFonts w:ascii="Verdana" w:eastAsia="Arial" w:hAnsi="Verdana" w:cs="Arial"/>
                <w:sz w:val="16"/>
                <w:szCs w:val="16"/>
                <w:lang w:val="es-ES_tradnl"/>
              </w:rPr>
            </w:pPr>
            <w:r w:rsidRPr="0056112B">
              <w:rPr>
                <w:rFonts w:ascii="Verdana" w:eastAsia="Arial" w:hAnsi="Verdana" w:cs="Arial"/>
                <w:sz w:val="16"/>
                <w:szCs w:val="16"/>
                <w:lang w:val="es-ES_tradnl"/>
              </w:rPr>
              <w:t>Kevin Arlid Herrera Santa</w:t>
            </w:r>
          </w:p>
          <w:p w14:paraId="008446CB" w14:textId="77777777" w:rsidR="0056112B" w:rsidRPr="0056112B" w:rsidRDefault="0056112B" w:rsidP="0056112B">
            <w:pPr>
              <w:rPr>
                <w:rFonts w:ascii="Verdana" w:eastAsia="Arial" w:hAnsi="Verdana" w:cs="Arial"/>
                <w:sz w:val="16"/>
                <w:szCs w:val="16"/>
                <w:lang w:val="es-ES_tradnl"/>
              </w:rPr>
            </w:pPr>
            <w:r w:rsidRPr="0056112B">
              <w:rPr>
                <w:rFonts w:ascii="Verdana" w:eastAsia="Arial" w:hAnsi="Verdana" w:cs="Arial"/>
                <w:sz w:val="16"/>
                <w:szCs w:val="16"/>
                <w:lang w:val="es-ES_tradnl"/>
              </w:rPr>
              <w:t xml:space="preserve">Contratista de la Subdirección de Gestión Contractual </w:t>
            </w:r>
          </w:p>
        </w:tc>
      </w:tr>
      <w:tr w:rsidR="0056112B" w:rsidRPr="0056112B" w14:paraId="5C5CEBA0" w14:textId="77777777" w:rsidTr="00A72A28">
        <w:trPr>
          <w:trHeight w:val="330"/>
        </w:trPr>
        <w:tc>
          <w:tcPr>
            <w:tcW w:w="893" w:type="dxa"/>
            <w:vAlign w:val="center"/>
            <w:hideMark/>
          </w:tcPr>
          <w:p w14:paraId="2B5284D4" w14:textId="77777777" w:rsidR="0056112B" w:rsidRPr="0056112B" w:rsidRDefault="0056112B" w:rsidP="0056112B">
            <w:pPr>
              <w:rPr>
                <w:rFonts w:ascii="Verdana" w:eastAsia="Calibri" w:hAnsi="Verdana" w:cs="Arial"/>
                <w:sz w:val="16"/>
                <w:szCs w:val="16"/>
                <w:lang w:val="es-ES_tradnl" w:eastAsia="es-ES"/>
              </w:rPr>
            </w:pPr>
            <w:r w:rsidRPr="0056112B">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7BE812D" w14:textId="77777777" w:rsidR="0056112B" w:rsidRPr="0056112B" w:rsidRDefault="0056112B" w:rsidP="0056112B">
            <w:pPr>
              <w:textAlignment w:val="baseline"/>
              <w:rPr>
                <w:rFonts w:ascii="Verdana" w:eastAsia="Times New Roman" w:hAnsi="Verdana" w:cs="Segoe UI"/>
                <w:sz w:val="16"/>
                <w:szCs w:val="16"/>
                <w:lang w:val="es-ES_tradnl" w:eastAsia="es-ES_tradnl"/>
              </w:rPr>
            </w:pPr>
            <w:r w:rsidRPr="0056112B">
              <w:rPr>
                <w:rFonts w:ascii="Verdana" w:eastAsia="Times New Roman" w:hAnsi="Verdana" w:cs="Segoe UI"/>
                <w:sz w:val="16"/>
                <w:szCs w:val="16"/>
                <w:lang w:val="es-ES_tradnl" w:eastAsia="es-ES_tradnl"/>
              </w:rPr>
              <w:t>Juan David Cárdenas Cabeza</w:t>
            </w:r>
          </w:p>
          <w:p w14:paraId="026E4BC1" w14:textId="77777777" w:rsidR="0056112B" w:rsidRPr="0056112B" w:rsidRDefault="0056112B" w:rsidP="0056112B">
            <w:pPr>
              <w:textAlignment w:val="baseline"/>
              <w:rPr>
                <w:rFonts w:ascii="Verdana" w:eastAsia="Times New Roman" w:hAnsi="Verdana" w:cs="Segoe UI"/>
                <w:sz w:val="16"/>
                <w:szCs w:val="16"/>
                <w:lang w:val="es-ES_tradnl" w:eastAsia="es-ES_tradnl"/>
              </w:rPr>
            </w:pPr>
            <w:r w:rsidRPr="0056112B">
              <w:rPr>
                <w:rFonts w:ascii="Verdana" w:eastAsia="Times New Roman" w:hAnsi="Verdana" w:cs="Arial"/>
                <w:sz w:val="16"/>
                <w:szCs w:val="16"/>
                <w:lang w:val="es-ES_tradnl" w:eastAsia="es-ES_tradnl"/>
              </w:rPr>
              <w:t>Contratista de la Subdirección de Gestión Contractual </w:t>
            </w:r>
          </w:p>
        </w:tc>
      </w:tr>
      <w:tr w:rsidR="0056112B" w:rsidRPr="0056112B" w14:paraId="6BDDE75A" w14:textId="77777777" w:rsidTr="00A72A28">
        <w:trPr>
          <w:trHeight w:val="300"/>
        </w:trPr>
        <w:tc>
          <w:tcPr>
            <w:tcW w:w="893" w:type="dxa"/>
            <w:vAlign w:val="center"/>
          </w:tcPr>
          <w:p w14:paraId="73C84206" w14:textId="77777777" w:rsidR="0056112B" w:rsidRPr="0056112B" w:rsidRDefault="0056112B" w:rsidP="0056112B">
            <w:pPr>
              <w:rPr>
                <w:rFonts w:ascii="Verdana" w:eastAsia="Calibri" w:hAnsi="Verdana" w:cs="Arial"/>
                <w:sz w:val="16"/>
                <w:szCs w:val="16"/>
                <w:lang w:val="es-ES_tradnl" w:eastAsia="es-ES"/>
              </w:rPr>
            </w:pPr>
            <w:r w:rsidRPr="0056112B">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6499DC69" w14:textId="77777777" w:rsidR="0056112B" w:rsidRPr="0056112B" w:rsidRDefault="0056112B" w:rsidP="0056112B">
            <w:pPr>
              <w:rPr>
                <w:rFonts w:ascii="Verdana" w:eastAsia="Calibri" w:hAnsi="Verdana" w:cs="Arial"/>
                <w:sz w:val="16"/>
                <w:szCs w:val="16"/>
                <w:lang w:val="es-ES" w:eastAsia="es-ES"/>
              </w:rPr>
            </w:pPr>
            <w:r w:rsidRPr="0056112B">
              <w:rPr>
                <w:rFonts w:ascii="Verdana" w:eastAsia="Calibri" w:hAnsi="Verdana" w:cs="Arial"/>
                <w:sz w:val="16"/>
                <w:szCs w:val="16"/>
                <w:lang w:val="es-ES" w:eastAsia="es-ES"/>
              </w:rPr>
              <w:t xml:space="preserve">Carolina Quintero </w:t>
            </w:r>
            <w:proofErr w:type="spellStart"/>
            <w:r w:rsidRPr="0056112B">
              <w:rPr>
                <w:rFonts w:ascii="Verdana" w:eastAsia="Calibri" w:hAnsi="Verdana" w:cs="Arial"/>
                <w:sz w:val="16"/>
                <w:szCs w:val="16"/>
                <w:lang w:val="es-ES" w:eastAsia="es-ES"/>
              </w:rPr>
              <w:t>Gacharná</w:t>
            </w:r>
            <w:proofErr w:type="spellEnd"/>
          </w:p>
          <w:p w14:paraId="7DA98846" w14:textId="77777777" w:rsidR="0056112B" w:rsidRPr="0056112B" w:rsidRDefault="0056112B" w:rsidP="0056112B">
            <w:pPr>
              <w:rPr>
                <w:rFonts w:ascii="Verdana" w:eastAsia="Calibri" w:hAnsi="Verdana" w:cs="Arial"/>
                <w:sz w:val="16"/>
                <w:szCs w:val="16"/>
                <w:lang w:val="es-ES_tradnl" w:eastAsia="es-ES"/>
              </w:rPr>
            </w:pPr>
            <w:r w:rsidRPr="0056112B">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26BE" w14:textId="77777777" w:rsidR="006123F5" w:rsidRDefault="006123F5" w:rsidP="004A1847">
      <w:pPr>
        <w:spacing w:after="0" w:line="240" w:lineRule="auto"/>
      </w:pPr>
      <w:r>
        <w:separator/>
      </w:r>
    </w:p>
  </w:endnote>
  <w:endnote w:type="continuationSeparator" w:id="0">
    <w:p w14:paraId="413A37CA" w14:textId="77777777" w:rsidR="006123F5" w:rsidRDefault="006123F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1891A" w14:textId="77777777" w:rsidR="006123F5" w:rsidRDefault="006123F5" w:rsidP="004A1847">
      <w:pPr>
        <w:spacing w:after="0" w:line="240" w:lineRule="auto"/>
      </w:pPr>
      <w:r>
        <w:separator/>
      </w:r>
    </w:p>
  </w:footnote>
  <w:footnote w:type="continuationSeparator" w:id="0">
    <w:p w14:paraId="60F7D643" w14:textId="77777777" w:rsidR="006123F5" w:rsidRDefault="006123F5" w:rsidP="004A1847">
      <w:pPr>
        <w:spacing w:after="0" w:line="240" w:lineRule="auto"/>
      </w:pPr>
      <w:r>
        <w:continuationSeparator/>
      </w:r>
    </w:p>
  </w:footnote>
  <w:footnote w:id="1">
    <w:p w14:paraId="3A7359BD" w14:textId="77777777" w:rsidR="0056112B" w:rsidRPr="00A549B7" w:rsidRDefault="0056112B" w:rsidP="0056112B">
      <w:pPr>
        <w:pStyle w:val="Textonotapie"/>
        <w:ind w:firstLine="709"/>
        <w:jc w:val="both"/>
        <w:rPr>
          <w:rFonts w:ascii="Verdana" w:hAnsi="Verdana"/>
          <w:sz w:val="18"/>
          <w:szCs w:val="18"/>
        </w:rPr>
      </w:pPr>
      <w:r w:rsidRPr="00A549B7">
        <w:rPr>
          <w:rStyle w:val="Refdenotaalpie"/>
          <w:rFonts w:ascii="Verdana" w:hAnsi="Verdana"/>
          <w:sz w:val="18"/>
          <w:szCs w:val="18"/>
        </w:rPr>
        <w:footnoteRef/>
      </w:r>
      <w:r w:rsidRPr="00A549B7">
        <w:rPr>
          <w:rFonts w:ascii="Verdana" w:hAnsi="Verdana"/>
          <w:sz w:val="18"/>
          <w:szCs w:val="18"/>
        </w:rPr>
        <w:t xml:space="preserve"> Estos documentos tipo pueden ser consultados en la página web de la Agencia Nacional de Contratación Pública – Colombia Compra Eficiente, en el siguiente enlace: </w:t>
      </w:r>
      <w:hyperlink r:id="rId1" w:history="1">
        <w:r w:rsidRPr="00F10161">
          <w:rPr>
            <w:rStyle w:val="Hipervnculo"/>
            <w:rFonts w:ascii="Verdana" w:hAnsi="Verdana"/>
            <w:sz w:val="18"/>
            <w:szCs w:val="18"/>
          </w:rPr>
          <w:t>https://www.colombiacompra.gov.co/normativa-y-relatoria/documentos-tipo</w:t>
        </w:r>
      </w:hyperlink>
      <w:r>
        <w:rPr>
          <w:rFonts w:ascii="Verdana" w:hAnsi="Verdana"/>
          <w:sz w:val="18"/>
          <w:szCs w:val="18"/>
        </w:rPr>
        <w:t xml:space="preserve">. </w:t>
      </w:r>
    </w:p>
  </w:footnote>
  <w:footnote w:id="2">
    <w:p w14:paraId="764685C4" w14:textId="77777777" w:rsidR="0056112B" w:rsidRPr="00A549B7" w:rsidRDefault="0056112B" w:rsidP="0056112B">
      <w:pPr>
        <w:pStyle w:val="Textonotapie"/>
        <w:ind w:firstLine="709"/>
        <w:jc w:val="both"/>
        <w:rPr>
          <w:rFonts w:ascii="Verdana" w:eastAsia="Times New Roman" w:hAnsi="Verdana" w:cs="Arial"/>
          <w:sz w:val="18"/>
          <w:szCs w:val="18"/>
          <w:lang w:val="es-CO" w:eastAsia="es-CO"/>
        </w:rPr>
      </w:pPr>
      <w:r w:rsidRPr="00A549B7">
        <w:rPr>
          <w:rStyle w:val="Refdenotaalpie"/>
          <w:rFonts w:ascii="Verdana" w:hAnsi="Verdana" w:cs="Arial"/>
          <w:sz w:val="18"/>
          <w:szCs w:val="18"/>
        </w:rPr>
        <w:footnoteRef/>
      </w:r>
      <w:r w:rsidRPr="00A549B7">
        <w:rPr>
          <w:rFonts w:ascii="Verdana" w:hAnsi="Verdana" w:cs="Arial"/>
          <w:sz w:val="18"/>
          <w:szCs w:val="18"/>
        </w:rPr>
        <w:t xml:space="preserve"> </w:t>
      </w:r>
      <w:r w:rsidRPr="00A549B7">
        <w:rPr>
          <w:rFonts w:ascii="Verdana" w:eastAsia="Times New Roman" w:hAnsi="Verdana" w:cs="Arial"/>
          <w:sz w:val="18"/>
          <w:szCs w:val="18"/>
          <w:lang w:val="es-CO" w:eastAsia="es-CO"/>
        </w:rPr>
        <w:t xml:space="preserve">Consejo de Estado. Sección Tercera. Sentencia del 27 de abril de 2011. </w:t>
      </w:r>
      <w:r w:rsidRPr="00A549B7">
        <w:rPr>
          <w:rFonts w:ascii="Verdana" w:eastAsia="Times New Roman" w:hAnsi="Verdana" w:cs="Arial"/>
          <w:sz w:val="18"/>
          <w:szCs w:val="18"/>
          <w:lang w:val="es-CO" w:eastAsia="es-CO"/>
        </w:rPr>
        <w:t>Exp. 18.293. C.P. Ruth Stella Correa Palacio.</w:t>
      </w:r>
    </w:p>
  </w:footnote>
  <w:footnote w:id="3">
    <w:p w14:paraId="0A86B5CE" w14:textId="77777777" w:rsidR="0056112B" w:rsidRPr="00A549B7" w:rsidRDefault="0056112B" w:rsidP="0056112B">
      <w:pPr>
        <w:pStyle w:val="Textonotapie"/>
        <w:ind w:firstLine="709"/>
        <w:jc w:val="both"/>
        <w:rPr>
          <w:rFonts w:ascii="Verdana" w:eastAsia="Times New Roman" w:hAnsi="Verdana" w:cs="Arial"/>
          <w:sz w:val="18"/>
          <w:szCs w:val="18"/>
          <w:lang w:val="es-CO" w:eastAsia="es-CO"/>
        </w:rPr>
      </w:pPr>
      <w:r w:rsidRPr="00A549B7">
        <w:rPr>
          <w:rStyle w:val="Refdenotaalpie"/>
          <w:rFonts w:ascii="Verdana" w:hAnsi="Verdana" w:cs="Arial"/>
          <w:sz w:val="18"/>
          <w:szCs w:val="18"/>
        </w:rPr>
        <w:footnoteRef/>
      </w:r>
      <w:r w:rsidRPr="00A549B7">
        <w:rPr>
          <w:rFonts w:ascii="Verdana" w:hAnsi="Verdana" w:cs="Arial"/>
          <w:sz w:val="18"/>
          <w:szCs w:val="18"/>
        </w:rPr>
        <w:t xml:space="preserve"> </w:t>
      </w:r>
      <w:r w:rsidRPr="00A549B7">
        <w:rPr>
          <w:rFonts w:ascii="Verdana" w:eastAsia="Times New Roman" w:hAnsi="Verdana" w:cs="Arial"/>
          <w:sz w:val="18"/>
          <w:szCs w:val="18"/>
          <w:lang w:val="es-CO" w:eastAsia="es-CO"/>
        </w:rPr>
        <w:t xml:space="preserve">Consejo de Estado. Sección Tercera. Sentencia del 21 de noviembre de 2013. </w:t>
      </w:r>
      <w:r w:rsidRPr="00A549B7">
        <w:rPr>
          <w:rFonts w:ascii="Verdana" w:eastAsia="Times New Roman" w:hAnsi="Verdana" w:cs="Arial"/>
          <w:sz w:val="18"/>
          <w:szCs w:val="18"/>
          <w:lang w:val="es-CO" w:eastAsia="es-CO"/>
        </w:rPr>
        <w:t>Exp. 25397. C.P. Carlos Alberto Zambrano Barrera.</w:t>
      </w:r>
    </w:p>
    <w:p w14:paraId="6CF94E37" w14:textId="77777777" w:rsidR="0056112B" w:rsidRPr="00A549B7" w:rsidRDefault="0056112B" w:rsidP="0056112B">
      <w:pPr>
        <w:pStyle w:val="Textonotapie"/>
        <w:ind w:firstLine="709"/>
        <w:jc w:val="both"/>
        <w:rPr>
          <w:rFonts w:ascii="Verdana" w:eastAsia="Calibri" w:hAnsi="Verdana" w:cs="Arial"/>
          <w:sz w:val="18"/>
          <w:szCs w:val="18"/>
          <w:lang w:val="es-CO"/>
        </w:rPr>
      </w:pPr>
    </w:p>
  </w:footnote>
  <w:footnote w:id="4">
    <w:p w14:paraId="333A7E88" w14:textId="77777777" w:rsidR="0056112B" w:rsidRPr="00A549B7" w:rsidRDefault="0056112B" w:rsidP="0056112B">
      <w:pPr>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BARRETO MORENO, Antonio Alejandro. Inhabilidades de la contratación estatal, efectos y </w:t>
      </w:r>
      <w:r w:rsidRPr="00A549B7">
        <w:rPr>
          <w:rFonts w:ascii="Verdana" w:hAnsi="Verdana" w:cs="Arial"/>
          <w:color w:val="000000"/>
          <w:sz w:val="18"/>
          <w:szCs w:val="18"/>
        </w:rPr>
        <w:t>neopunitivismo en el Estatuto Anticorrupción. En: ALVIAR GARCÍA, Helena (Coordinadora). Nuevas tendencias del Derecho administrativo. Bogotá: Universidad de los Andes; Temis, 2016. pp. 63-99.</w:t>
      </w:r>
    </w:p>
    <w:p w14:paraId="6614E645" w14:textId="77777777" w:rsidR="0056112B" w:rsidRPr="00A549B7" w:rsidRDefault="0056112B" w:rsidP="0056112B">
      <w:pPr>
        <w:ind w:firstLine="709"/>
        <w:jc w:val="both"/>
        <w:rPr>
          <w:rFonts w:ascii="Verdana" w:hAnsi="Verdana" w:cs="Arial"/>
          <w:color w:val="000000"/>
          <w:sz w:val="18"/>
          <w:szCs w:val="18"/>
        </w:rPr>
      </w:pPr>
    </w:p>
  </w:footnote>
  <w:footnote w:id="5">
    <w:p w14:paraId="4AD2CE1E" w14:textId="77777777" w:rsidR="0056112B" w:rsidRPr="00A549B7"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Ibid., p. 69</w:t>
      </w:r>
    </w:p>
  </w:footnote>
  <w:footnote w:id="6">
    <w:p w14:paraId="143A21B4" w14:textId="77777777" w:rsidR="0056112B" w:rsidRPr="00A549B7"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footnote>
  <w:footnote w:id="7">
    <w:p w14:paraId="152BB0D6" w14:textId="77777777" w:rsidR="0056112B" w:rsidRPr="00A549B7"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Consejo de Estado. Sala de Consulta y Servicio Civil. Concepto del 30 de abril de 2015. Expediente: 2251. Consejero Ponente: Álvaro Namén Vargas.</w:t>
      </w:r>
    </w:p>
  </w:footnote>
  <w:footnote w:id="8">
    <w:p w14:paraId="482BCF4B" w14:textId="77777777" w:rsidR="0056112B" w:rsidRPr="00A549B7" w:rsidRDefault="0056112B" w:rsidP="0056112B">
      <w:pPr>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Consejo</w:t>
      </w:r>
      <w:r w:rsidRPr="00A549B7">
        <w:rPr>
          <w:rFonts w:ascii="Verdana" w:hAnsi="Verdana" w:cs="Arial"/>
          <w:color w:val="000000"/>
          <w:spacing w:val="12"/>
          <w:sz w:val="18"/>
          <w:szCs w:val="18"/>
        </w:rPr>
        <w:t xml:space="preserve"> </w:t>
      </w:r>
      <w:r w:rsidRPr="00A549B7">
        <w:rPr>
          <w:rFonts w:ascii="Verdana" w:hAnsi="Verdana" w:cs="Arial"/>
          <w:color w:val="000000"/>
          <w:sz w:val="18"/>
          <w:szCs w:val="18"/>
        </w:rPr>
        <w:t>de</w:t>
      </w:r>
      <w:r w:rsidRPr="00A549B7">
        <w:rPr>
          <w:rFonts w:ascii="Verdana" w:hAnsi="Verdana" w:cs="Arial"/>
          <w:color w:val="000000"/>
          <w:spacing w:val="11"/>
          <w:sz w:val="18"/>
          <w:szCs w:val="18"/>
        </w:rPr>
        <w:t xml:space="preserve"> </w:t>
      </w:r>
      <w:r w:rsidRPr="00A549B7">
        <w:rPr>
          <w:rFonts w:ascii="Verdana" w:hAnsi="Verdana" w:cs="Arial"/>
          <w:color w:val="000000"/>
          <w:sz w:val="18"/>
          <w:szCs w:val="18"/>
        </w:rPr>
        <w:t>Estado.</w:t>
      </w:r>
      <w:r w:rsidRPr="00A549B7">
        <w:rPr>
          <w:rFonts w:ascii="Verdana" w:hAnsi="Verdana" w:cs="Arial"/>
          <w:color w:val="000000"/>
          <w:spacing w:val="12"/>
          <w:sz w:val="18"/>
          <w:szCs w:val="18"/>
        </w:rPr>
        <w:t xml:space="preserve"> </w:t>
      </w:r>
      <w:r w:rsidRPr="00A549B7">
        <w:rPr>
          <w:rFonts w:ascii="Verdana" w:hAnsi="Verdana" w:cs="Arial"/>
          <w:color w:val="000000"/>
          <w:sz w:val="18"/>
          <w:szCs w:val="18"/>
        </w:rPr>
        <w:t>Sección</w:t>
      </w:r>
      <w:r w:rsidRPr="00A549B7">
        <w:rPr>
          <w:rFonts w:ascii="Verdana" w:hAnsi="Verdana" w:cs="Arial"/>
          <w:color w:val="000000"/>
          <w:spacing w:val="12"/>
          <w:sz w:val="18"/>
          <w:szCs w:val="18"/>
        </w:rPr>
        <w:t xml:space="preserve"> </w:t>
      </w:r>
      <w:r w:rsidRPr="00A549B7">
        <w:rPr>
          <w:rFonts w:ascii="Verdana" w:hAnsi="Verdana" w:cs="Arial"/>
          <w:color w:val="000000"/>
          <w:sz w:val="18"/>
          <w:szCs w:val="18"/>
        </w:rPr>
        <w:t>Tercera.</w:t>
      </w:r>
      <w:r w:rsidRPr="00A549B7">
        <w:rPr>
          <w:rFonts w:ascii="Verdana" w:hAnsi="Verdana" w:cs="Arial"/>
          <w:color w:val="000000"/>
          <w:spacing w:val="12"/>
          <w:sz w:val="18"/>
          <w:szCs w:val="18"/>
        </w:rPr>
        <w:t xml:space="preserve"> </w:t>
      </w:r>
      <w:r w:rsidRPr="00A549B7">
        <w:rPr>
          <w:rFonts w:ascii="Verdana" w:hAnsi="Verdana" w:cs="Arial"/>
          <w:color w:val="000000"/>
          <w:sz w:val="18"/>
          <w:szCs w:val="18"/>
        </w:rPr>
        <w:t>Subsección</w:t>
      </w:r>
      <w:r w:rsidRPr="00A549B7">
        <w:rPr>
          <w:rFonts w:ascii="Verdana" w:hAnsi="Verdana" w:cs="Arial"/>
          <w:color w:val="000000"/>
          <w:spacing w:val="13"/>
          <w:sz w:val="18"/>
          <w:szCs w:val="18"/>
        </w:rPr>
        <w:t xml:space="preserve"> </w:t>
      </w:r>
      <w:r w:rsidRPr="00A549B7">
        <w:rPr>
          <w:rFonts w:ascii="Verdana" w:hAnsi="Verdana" w:cs="Arial"/>
          <w:color w:val="000000"/>
          <w:sz w:val="18"/>
          <w:szCs w:val="18"/>
        </w:rPr>
        <w:t>A.</w:t>
      </w:r>
      <w:r w:rsidRPr="00A549B7">
        <w:rPr>
          <w:rFonts w:ascii="Verdana" w:hAnsi="Verdana" w:cs="Arial"/>
          <w:color w:val="000000"/>
          <w:spacing w:val="12"/>
          <w:sz w:val="18"/>
          <w:szCs w:val="18"/>
        </w:rPr>
        <w:t xml:space="preserve"> </w:t>
      </w:r>
      <w:r w:rsidRPr="00A549B7">
        <w:rPr>
          <w:rFonts w:ascii="Verdana" w:hAnsi="Verdana" w:cs="Arial"/>
          <w:color w:val="000000"/>
          <w:sz w:val="18"/>
          <w:szCs w:val="18"/>
        </w:rPr>
        <w:t>Sentencia</w:t>
      </w:r>
      <w:r w:rsidRPr="00A549B7">
        <w:rPr>
          <w:rFonts w:ascii="Verdana" w:hAnsi="Verdana" w:cs="Arial"/>
          <w:color w:val="000000"/>
          <w:spacing w:val="13"/>
          <w:sz w:val="18"/>
          <w:szCs w:val="18"/>
        </w:rPr>
        <w:t xml:space="preserve"> </w:t>
      </w:r>
      <w:r w:rsidRPr="00A549B7">
        <w:rPr>
          <w:rFonts w:ascii="Verdana" w:hAnsi="Verdana" w:cs="Arial"/>
          <w:color w:val="000000"/>
          <w:sz w:val="18"/>
          <w:szCs w:val="18"/>
        </w:rPr>
        <w:t>del</w:t>
      </w:r>
      <w:r w:rsidRPr="00A549B7">
        <w:rPr>
          <w:rFonts w:ascii="Verdana" w:hAnsi="Verdana" w:cs="Arial"/>
          <w:color w:val="000000"/>
          <w:spacing w:val="11"/>
          <w:sz w:val="18"/>
          <w:szCs w:val="18"/>
        </w:rPr>
        <w:t xml:space="preserve"> </w:t>
      </w:r>
      <w:r w:rsidRPr="00A549B7">
        <w:rPr>
          <w:rFonts w:ascii="Verdana" w:hAnsi="Verdana" w:cs="Arial"/>
          <w:color w:val="000000"/>
          <w:sz w:val="18"/>
          <w:szCs w:val="18"/>
        </w:rPr>
        <w:t>24</w:t>
      </w:r>
      <w:r w:rsidRPr="00A549B7">
        <w:rPr>
          <w:rFonts w:ascii="Verdana" w:hAnsi="Verdana" w:cs="Arial"/>
          <w:color w:val="000000"/>
          <w:spacing w:val="11"/>
          <w:sz w:val="18"/>
          <w:szCs w:val="18"/>
        </w:rPr>
        <w:t xml:space="preserve"> </w:t>
      </w:r>
      <w:r w:rsidRPr="00A549B7">
        <w:rPr>
          <w:rFonts w:ascii="Verdana" w:hAnsi="Verdana" w:cs="Arial"/>
          <w:color w:val="000000"/>
          <w:sz w:val="18"/>
          <w:szCs w:val="18"/>
        </w:rPr>
        <w:t>de</w:t>
      </w:r>
      <w:r w:rsidRPr="00A549B7">
        <w:rPr>
          <w:rFonts w:ascii="Verdana" w:hAnsi="Verdana" w:cs="Arial"/>
          <w:color w:val="000000"/>
          <w:spacing w:val="11"/>
          <w:sz w:val="18"/>
          <w:szCs w:val="18"/>
        </w:rPr>
        <w:t xml:space="preserve"> </w:t>
      </w:r>
      <w:r w:rsidRPr="00A549B7">
        <w:rPr>
          <w:rFonts w:ascii="Verdana" w:hAnsi="Verdana" w:cs="Arial"/>
          <w:color w:val="000000"/>
          <w:sz w:val="18"/>
          <w:szCs w:val="18"/>
        </w:rPr>
        <w:t>junio</w:t>
      </w:r>
      <w:r w:rsidRPr="00A549B7">
        <w:rPr>
          <w:rFonts w:ascii="Verdana" w:hAnsi="Verdana" w:cs="Arial"/>
          <w:color w:val="000000"/>
          <w:spacing w:val="11"/>
          <w:sz w:val="18"/>
          <w:szCs w:val="18"/>
        </w:rPr>
        <w:t xml:space="preserve"> </w:t>
      </w:r>
      <w:r w:rsidRPr="00A549B7">
        <w:rPr>
          <w:rFonts w:ascii="Verdana" w:hAnsi="Verdana" w:cs="Arial"/>
          <w:color w:val="000000"/>
          <w:sz w:val="18"/>
          <w:szCs w:val="18"/>
        </w:rPr>
        <w:t>de</w:t>
      </w:r>
      <w:r w:rsidRPr="00A549B7">
        <w:rPr>
          <w:rFonts w:ascii="Verdana" w:hAnsi="Verdana" w:cs="Arial"/>
          <w:color w:val="000000"/>
          <w:spacing w:val="11"/>
          <w:sz w:val="18"/>
          <w:szCs w:val="18"/>
        </w:rPr>
        <w:t xml:space="preserve"> </w:t>
      </w:r>
      <w:r w:rsidRPr="00A549B7">
        <w:rPr>
          <w:rFonts w:ascii="Verdana" w:hAnsi="Verdana" w:cs="Arial"/>
          <w:color w:val="000000"/>
          <w:sz w:val="18"/>
          <w:szCs w:val="18"/>
        </w:rPr>
        <w:t>2015.</w:t>
      </w:r>
      <w:r w:rsidRPr="00A549B7">
        <w:rPr>
          <w:rFonts w:ascii="Verdana" w:hAnsi="Verdana" w:cs="Arial"/>
          <w:color w:val="000000"/>
          <w:spacing w:val="1"/>
          <w:sz w:val="18"/>
          <w:szCs w:val="18"/>
        </w:rPr>
        <w:t xml:space="preserve"> </w:t>
      </w:r>
      <w:r w:rsidRPr="00A549B7">
        <w:rPr>
          <w:rFonts w:ascii="Verdana" w:hAnsi="Verdana" w:cs="Arial"/>
          <w:color w:val="000000"/>
          <w:sz w:val="18"/>
          <w:szCs w:val="18"/>
        </w:rPr>
        <w:t>Exp.</w:t>
      </w:r>
      <w:r w:rsidRPr="00A549B7">
        <w:rPr>
          <w:rFonts w:ascii="Verdana" w:hAnsi="Verdana" w:cs="Arial"/>
          <w:color w:val="000000"/>
          <w:spacing w:val="-2"/>
          <w:sz w:val="18"/>
          <w:szCs w:val="18"/>
        </w:rPr>
        <w:t xml:space="preserve"> </w:t>
      </w:r>
      <w:r w:rsidRPr="00A549B7">
        <w:rPr>
          <w:rFonts w:ascii="Verdana" w:hAnsi="Verdana" w:cs="Arial"/>
          <w:color w:val="000000"/>
          <w:sz w:val="18"/>
          <w:szCs w:val="18"/>
        </w:rPr>
        <w:t>40.635.</w:t>
      </w:r>
      <w:r w:rsidRPr="00A549B7">
        <w:rPr>
          <w:rFonts w:ascii="Verdana" w:hAnsi="Verdana" w:cs="Arial"/>
          <w:color w:val="000000"/>
          <w:spacing w:val="-2"/>
          <w:sz w:val="18"/>
          <w:szCs w:val="18"/>
        </w:rPr>
        <w:t xml:space="preserve"> </w:t>
      </w:r>
      <w:r w:rsidRPr="00A549B7">
        <w:rPr>
          <w:rFonts w:ascii="Verdana" w:hAnsi="Verdana" w:cs="Arial"/>
          <w:color w:val="000000"/>
          <w:sz w:val="18"/>
          <w:szCs w:val="18"/>
        </w:rPr>
        <w:t>Consejero</w:t>
      </w:r>
      <w:r w:rsidRPr="00A549B7">
        <w:rPr>
          <w:rFonts w:ascii="Verdana" w:hAnsi="Verdana" w:cs="Arial"/>
          <w:color w:val="000000"/>
          <w:spacing w:val="-1"/>
          <w:sz w:val="18"/>
          <w:szCs w:val="18"/>
        </w:rPr>
        <w:t xml:space="preserve"> </w:t>
      </w:r>
      <w:r w:rsidRPr="00A549B7">
        <w:rPr>
          <w:rFonts w:ascii="Verdana" w:hAnsi="Verdana" w:cs="Arial"/>
          <w:color w:val="000000"/>
          <w:sz w:val="18"/>
          <w:szCs w:val="18"/>
        </w:rPr>
        <w:t>Ponente:</w:t>
      </w:r>
      <w:r w:rsidRPr="00A549B7">
        <w:rPr>
          <w:rFonts w:ascii="Verdana" w:hAnsi="Verdana" w:cs="Arial"/>
          <w:color w:val="000000"/>
          <w:spacing w:val="-2"/>
          <w:sz w:val="18"/>
          <w:szCs w:val="18"/>
        </w:rPr>
        <w:t xml:space="preserve"> </w:t>
      </w:r>
      <w:r w:rsidRPr="00A549B7">
        <w:rPr>
          <w:rFonts w:ascii="Verdana" w:hAnsi="Verdana" w:cs="Arial"/>
          <w:color w:val="000000"/>
          <w:sz w:val="18"/>
          <w:szCs w:val="18"/>
        </w:rPr>
        <w:t>Hernán</w:t>
      </w:r>
      <w:r w:rsidRPr="00A549B7">
        <w:rPr>
          <w:rFonts w:ascii="Verdana" w:hAnsi="Verdana" w:cs="Arial"/>
          <w:color w:val="000000"/>
          <w:spacing w:val="-1"/>
          <w:sz w:val="18"/>
          <w:szCs w:val="18"/>
        </w:rPr>
        <w:t xml:space="preserve"> </w:t>
      </w:r>
      <w:r w:rsidRPr="00A549B7">
        <w:rPr>
          <w:rFonts w:ascii="Verdana" w:hAnsi="Verdana" w:cs="Arial"/>
          <w:color w:val="000000"/>
          <w:sz w:val="18"/>
          <w:szCs w:val="18"/>
        </w:rPr>
        <w:t>Andrade</w:t>
      </w:r>
      <w:r w:rsidRPr="00A549B7">
        <w:rPr>
          <w:rFonts w:ascii="Verdana" w:hAnsi="Verdana" w:cs="Arial"/>
          <w:color w:val="000000"/>
          <w:spacing w:val="-2"/>
          <w:sz w:val="18"/>
          <w:szCs w:val="18"/>
        </w:rPr>
        <w:t xml:space="preserve"> </w:t>
      </w:r>
      <w:r w:rsidRPr="00A549B7">
        <w:rPr>
          <w:rFonts w:ascii="Verdana" w:hAnsi="Verdana" w:cs="Arial"/>
          <w:color w:val="000000"/>
          <w:sz w:val="18"/>
          <w:szCs w:val="18"/>
        </w:rPr>
        <w:t>Rincón</w:t>
      </w:r>
      <w:r w:rsidRPr="00A549B7">
        <w:rPr>
          <w:rFonts w:ascii="Verdana" w:hAnsi="Verdana" w:cs="Arial"/>
          <w:color w:val="000000"/>
          <w:spacing w:val="-1"/>
          <w:sz w:val="18"/>
          <w:szCs w:val="18"/>
        </w:rPr>
        <w:t xml:space="preserve"> </w:t>
      </w:r>
      <w:r w:rsidRPr="00A549B7">
        <w:rPr>
          <w:rFonts w:ascii="Verdana" w:hAnsi="Verdana" w:cs="Arial"/>
          <w:color w:val="000000"/>
          <w:sz w:val="18"/>
          <w:szCs w:val="18"/>
        </w:rPr>
        <w:t>(E).</w:t>
      </w:r>
    </w:p>
  </w:footnote>
  <w:footnote w:id="9">
    <w:p w14:paraId="53BC4A02" w14:textId="77777777" w:rsidR="0056112B" w:rsidRPr="00FF5463"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Consejo de Estado. Sección Tercera. Subsección C. Sentencia del 22 de mayo de 2013. Exp. 24.057. C.P. Olga Melida Valle De La Hoz.</w:t>
      </w:r>
    </w:p>
  </w:footnote>
  <w:footnote w:id="10">
    <w:p w14:paraId="79701FCA" w14:textId="77777777" w:rsidR="0056112B" w:rsidRPr="00A549B7"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Corte Constitucional, Sentencia C- 373 de 2002, M.P. Jaime Córdoba Triviño; sentencia C-325 de 2009, M.P. Gabriel Eduardo Mendoza Martelo.</w:t>
      </w:r>
    </w:p>
  </w:footnote>
  <w:footnote w:id="11">
    <w:p w14:paraId="5D808C41" w14:textId="77777777" w:rsidR="0056112B" w:rsidRPr="00A549B7"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Consejo de Estado, Sección Quinta, Sentencia del 13 de junio de 2019, Exp. No. 00111 C.P. Rocío Araújo Oñate.</w:t>
      </w:r>
    </w:p>
  </w:footnote>
  <w:footnote w:id="12">
    <w:p w14:paraId="27918DD4" w14:textId="77777777" w:rsidR="0056112B" w:rsidRPr="00A549B7" w:rsidRDefault="0056112B" w:rsidP="0056112B">
      <w:pPr>
        <w:pStyle w:val="Textonotapie"/>
        <w:ind w:firstLine="709"/>
        <w:jc w:val="both"/>
        <w:rPr>
          <w:rFonts w:ascii="Verdana" w:hAnsi="Verdana" w:cs="Arial"/>
          <w:color w:val="000000"/>
          <w:sz w:val="18"/>
          <w:szCs w:val="18"/>
        </w:rPr>
      </w:pPr>
      <w:r w:rsidRPr="00A549B7">
        <w:rPr>
          <w:rStyle w:val="Refdenotaalpie"/>
          <w:rFonts w:ascii="Verdana" w:hAnsi="Verdana" w:cs="Arial"/>
          <w:color w:val="000000"/>
          <w:sz w:val="18"/>
          <w:szCs w:val="18"/>
        </w:rPr>
        <w:footnoteRef/>
      </w:r>
      <w:r w:rsidRPr="00A549B7">
        <w:rPr>
          <w:rFonts w:ascii="Verdana" w:hAnsi="Verdana" w:cs="Arial"/>
          <w:color w:val="000000"/>
          <w:sz w:val="18"/>
          <w:szCs w:val="18"/>
        </w:rPr>
        <w:t xml:space="preserve"> </w:t>
      </w:r>
      <w:r w:rsidRPr="00A549B7">
        <w:rPr>
          <w:rFonts w:ascii="Verdana" w:hAnsi="Verdana" w:cs="Arial"/>
          <w:i/>
          <w:color w:val="000000"/>
          <w:sz w:val="18"/>
          <w:szCs w:val="18"/>
        </w:rPr>
        <w:t>Ibid</w:t>
      </w:r>
      <w:r w:rsidRPr="00A549B7">
        <w:rPr>
          <w:rFonts w:ascii="Verdana" w:hAnsi="Verdana" w:cs="Arial"/>
          <w:color w:val="000000"/>
          <w:sz w:val="18"/>
          <w:szCs w:val="18"/>
        </w:rPr>
        <w:t xml:space="preserve">. </w:t>
      </w:r>
    </w:p>
    <w:p w14:paraId="15FACD4B" w14:textId="77777777" w:rsidR="0056112B" w:rsidRPr="00A549B7" w:rsidRDefault="0056112B" w:rsidP="0056112B">
      <w:pPr>
        <w:pStyle w:val="Textonotapie"/>
        <w:ind w:firstLine="709"/>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E61"/>
    <w:rsid w:val="000D0334"/>
    <w:rsid w:val="000F4716"/>
    <w:rsid w:val="000F6486"/>
    <w:rsid w:val="00125105"/>
    <w:rsid w:val="00127233"/>
    <w:rsid w:val="001511A0"/>
    <w:rsid w:val="001E10A7"/>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E429A"/>
    <w:rsid w:val="004F21C4"/>
    <w:rsid w:val="004F685F"/>
    <w:rsid w:val="00523280"/>
    <w:rsid w:val="005566E8"/>
    <w:rsid w:val="0056112B"/>
    <w:rsid w:val="00574867"/>
    <w:rsid w:val="00591460"/>
    <w:rsid w:val="005B3816"/>
    <w:rsid w:val="005C3777"/>
    <w:rsid w:val="005C5CDC"/>
    <w:rsid w:val="005D476C"/>
    <w:rsid w:val="006123F5"/>
    <w:rsid w:val="006219F8"/>
    <w:rsid w:val="00665D70"/>
    <w:rsid w:val="006900D9"/>
    <w:rsid w:val="006C4FF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E17B5"/>
    <w:rsid w:val="008F0EA7"/>
    <w:rsid w:val="008F7F56"/>
    <w:rsid w:val="0091348E"/>
    <w:rsid w:val="00923EEF"/>
    <w:rsid w:val="009419F9"/>
    <w:rsid w:val="0095685E"/>
    <w:rsid w:val="00961B09"/>
    <w:rsid w:val="00964560"/>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637D3"/>
    <w:rsid w:val="00C754BE"/>
    <w:rsid w:val="00C76B1C"/>
    <w:rsid w:val="00C86C06"/>
    <w:rsid w:val="00CB6357"/>
    <w:rsid w:val="00CC1B26"/>
    <w:rsid w:val="00CF0688"/>
    <w:rsid w:val="00D423A2"/>
    <w:rsid w:val="00D520D8"/>
    <w:rsid w:val="00D63AC2"/>
    <w:rsid w:val="00D7383B"/>
    <w:rsid w:val="00DA231B"/>
    <w:rsid w:val="00DC39FC"/>
    <w:rsid w:val="00DF0D4E"/>
    <w:rsid w:val="00DF5254"/>
    <w:rsid w:val="00E16408"/>
    <w:rsid w:val="00E20894"/>
    <w:rsid w:val="00E233C8"/>
    <w:rsid w:val="00E245AB"/>
    <w:rsid w:val="00E2764C"/>
    <w:rsid w:val="00E27F2E"/>
    <w:rsid w:val="00E50AFE"/>
    <w:rsid w:val="00E75C92"/>
    <w:rsid w:val="00E771DC"/>
    <w:rsid w:val="00E8772A"/>
    <w:rsid w:val="00E90F6B"/>
    <w:rsid w:val="00E92C27"/>
    <w:rsid w:val="00EA0E3D"/>
    <w:rsid w:val="00EC38A7"/>
    <w:rsid w:val="00ED6F6A"/>
    <w:rsid w:val="00ED7384"/>
    <w:rsid w:val="00EE1AA8"/>
    <w:rsid w:val="00F31EDC"/>
    <w:rsid w:val="00F462B3"/>
    <w:rsid w:val="00F5664F"/>
    <w:rsid w:val="00F63D1A"/>
    <w:rsid w:val="00F666C4"/>
    <w:rsid w:val="00F76AFC"/>
    <w:rsid w:val="00FA47C0"/>
    <w:rsid w:val="00FB24E8"/>
    <w:rsid w:val="00FB5DD1"/>
    <w:rsid w:val="00FC2B5D"/>
    <w:rsid w:val="00FC62B4"/>
    <w:rsid w:val="00FF1449"/>
    <w:rsid w:val="165E9519"/>
    <w:rsid w:val="2297304B"/>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6112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4852F88-AE33-4CBA-B8A7-F79D577A9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18</Pages>
  <Words>6040</Words>
  <Characters>33221</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6</cp:revision>
  <cp:lastPrinted>2023-01-10T21:18:00Z</cp:lastPrinted>
  <dcterms:created xsi:type="dcterms:W3CDTF">2025-08-27T20:24:00Z</dcterms:created>
  <dcterms:modified xsi:type="dcterms:W3CDTF">2025-08-28T19:53:00Z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