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DE73CD" w14:textId="77777777" w:rsidR="00F821D7" w:rsidRPr="00DF6A37" w:rsidRDefault="00F821D7" w:rsidP="00F821D7">
      <w:pPr>
        <w:spacing w:after="0" w:line="240" w:lineRule="auto"/>
        <w:jc w:val="both"/>
        <w:rPr>
          <w:rFonts w:ascii="Verdana" w:eastAsia="Aptos" w:hAnsi="Verdana" w:cs="Times New Roman"/>
          <w:b/>
          <w:bCs/>
          <w:kern w:val="2"/>
          <w14:ligatures w14:val="standardContextual"/>
        </w:rPr>
      </w:pPr>
      <w:r w:rsidRPr="00DF6A37">
        <w:rPr>
          <w:rFonts w:ascii="Verdana" w:eastAsia="Aptos" w:hAnsi="Verdana" w:cs="Times New Roman"/>
          <w:b/>
          <w:bCs/>
          <w:kern w:val="2"/>
          <w14:ligatures w14:val="standardContextual"/>
        </w:rPr>
        <w:t>VIGILANCIA DE LOS CONTRATOS ESTATALES – Marco jurídico – Obligación de la entidad – Objetivo</w:t>
      </w:r>
    </w:p>
    <w:p w14:paraId="500D74BC" w14:textId="77777777" w:rsidR="00F821D7" w:rsidRPr="00DF6A37" w:rsidRDefault="00F821D7" w:rsidP="00F821D7">
      <w:pPr>
        <w:spacing w:after="0" w:line="240" w:lineRule="auto"/>
        <w:jc w:val="both"/>
        <w:rPr>
          <w:rFonts w:ascii="Verdana" w:eastAsia="Aptos" w:hAnsi="Verdana" w:cs="Times New Roman"/>
          <w:b/>
          <w:bCs/>
          <w:kern w:val="2"/>
          <w14:ligatures w14:val="standardContextual"/>
        </w:rPr>
      </w:pPr>
    </w:p>
    <w:p w14:paraId="2F44347A" w14:textId="77777777" w:rsidR="00F821D7" w:rsidRPr="00DF6A37" w:rsidRDefault="00F821D7" w:rsidP="00F821D7">
      <w:pPr>
        <w:spacing w:after="0" w:line="240" w:lineRule="auto"/>
        <w:jc w:val="both"/>
        <w:rPr>
          <w:rFonts w:ascii="Verdana" w:eastAsia="Aptos" w:hAnsi="Verdana" w:cs="Times New Roman"/>
          <w:kern w:val="2"/>
          <w:sz w:val="20"/>
          <w:szCs w:val="20"/>
          <w14:ligatures w14:val="standardContextual"/>
        </w:rPr>
      </w:pPr>
      <w:r w:rsidRPr="00DF6A37">
        <w:rPr>
          <w:rFonts w:ascii="Verdana" w:eastAsia="Aptos" w:hAnsi="Verdana" w:cs="Times New Roman"/>
          <w:kern w:val="2"/>
          <w:sz w:val="20"/>
          <w:szCs w:val="20"/>
          <w14:ligatures w14:val="standardContextual"/>
        </w:rPr>
        <w:t>La Ley 80 de 1993 establece en sus artículos 4, 5, 12, 14 y 26, entre otros aspectos, la obligación de las Entidades Estatales de velar por el correcto y oportuno cumplimiento de las prestaciones del contrato, las especificaciones de los bienes, obras y servicios de este,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su adecuado cumplimiento.</w:t>
      </w:r>
    </w:p>
    <w:p w14:paraId="669E008A" w14:textId="77777777" w:rsidR="00F821D7" w:rsidRPr="00DF6A37" w:rsidRDefault="00F821D7" w:rsidP="00F821D7">
      <w:pPr>
        <w:spacing w:after="0" w:line="240" w:lineRule="auto"/>
        <w:jc w:val="both"/>
        <w:rPr>
          <w:rFonts w:ascii="Verdana" w:eastAsia="Aptos" w:hAnsi="Verdana" w:cs="Times New Roman"/>
          <w:kern w:val="2"/>
          <w:sz w:val="20"/>
          <w:szCs w:val="20"/>
          <w14:ligatures w14:val="standardContextual"/>
        </w:rPr>
      </w:pPr>
    </w:p>
    <w:p w14:paraId="56878E44" w14:textId="77777777" w:rsidR="00F821D7" w:rsidRPr="00DF6A37" w:rsidRDefault="00F821D7" w:rsidP="00F821D7">
      <w:pPr>
        <w:spacing w:after="0" w:line="240" w:lineRule="auto"/>
        <w:jc w:val="both"/>
        <w:rPr>
          <w:rFonts w:ascii="Verdana" w:eastAsia="Aptos" w:hAnsi="Verdana" w:cs="Times New Roman"/>
          <w:kern w:val="2"/>
          <w:sz w:val="20"/>
          <w:szCs w:val="20"/>
          <w14:ligatures w14:val="standardContextual"/>
        </w:rPr>
      </w:pPr>
      <w:r w:rsidRPr="00DF6A37">
        <w:rPr>
          <w:rFonts w:ascii="Verdana" w:eastAsia="Aptos" w:hAnsi="Verdana" w:cs="Times New Roman"/>
          <w:kern w:val="2"/>
          <w:sz w:val="20"/>
          <w:szCs w:val="20"/>
          <w14:ligatures w14:val="standardContextual"/>
        </w:rPr>
        <w:t>[…], las Leyes 1150 de 2007 y 1474 de 2011, complementan el régimen jurídico de la obligación de vigilar la correcta ejecución de los contratos estatales. […]se establecen los límites de la responsabilidad del representante legal ante la delegación de sus funciones en materia contractual y se regula la supervisión y la interventoría de los contratos estatales.</w:t>
      </w:r>
    </w:p>
    <w:p w14:paraId="2969A244" w14:textId="77777777" w:rsidR="00F821D7" w:rsidRPr="00DF6A37" w:rsidRDefault="00F821D7" w:rsidP="00F821D7">
      <w:pPr>
        <w:spacing w:after="0" w:line="240" w:lineRule="auto"/>
        <w:jc w:val="both"/>
        <w:rPr>
          <w:rFonts w:ascii="Verdana" w:eastAsia="Aptos" w:hAnsi="Verdana" w:cs="Times New Roman"/>
          <w:kern w:val="2"/>
          <w14:ligatures w14:val="standardContextual"/>
        </w:rPr>
      </w:pPr>
    </w:p>
    <w:p w14:paraId="5482E331" w14:textId="77777777" w:rsidR="00F821D7" w:rsidRPr="00DF6A37" w:rsidRDefault="00F821D7" w:rsidP="00F821D7">
      <w:pPr>
        <w:spacing w:after="0" w:line="240" w:lineRule="auto"/>
        <w:jc w:val="both"/>
        <w:rPr>
          <w:rFonts w:ascii="Verdana" w:eastAsia="Aptos" w:hAnsi="Verdana" w:cs="Times New Roman"/>
          <w:b/>
          <w:bCs/>
          <w:kern w:val="2"/>
          <w14:ligatures w14:val="standardContextual"/>
        </w:rPr>
      </w:pPr>
      <w:r w:rsidRPr="00DF6A37">
        <w:rPr>
          <w:rFonts w:ascii="Verdana" w:eastAsia="Aptos" w:hAnsi="Verdana" w:cs="Times New Roman"/>
          <w:b/>
          <w:bCs/>
          <w:kern w:val="2"/>
          <w14:ligatures w14:val="standardContextual"/>
        </w:rPr>
        <w:t xml:space="preserve">SUPERVISIÓN E INTERVENTORÍA – Marco jurídico – Finalidad </w:t>
      </w:r>
    </w:p>
    <w:p w14:paraId="3C52BC7F" w14:textId="77777777" w:rsidR="00F821D7" w:rsidRPr="00DF6A37" w:rsidRDefault="00F821D7" w:rsidP="00F821D7">
      <w:pPr>
        <w:spacing w:after="0" w:line="278" w:lineRule="auto"/>
        <w:jc w:val="both"/>
        <w:rPr>
          <w:rFonts w:ascii="Verdana" w:eastAsia="Aptos" w:hAnsi="Verdana" w:cs="Times New Roman"/>
          <w:b/>
          <w:bCs/>
          <w:kern w:val="2"/>
          <w:sz w:val="20"/>
          <w:szCs w:val="20"/>
          <w14:ligatures w14:val="standardContextual"/>
        </w:rPr>
      </w:pPr>
    </w:p>
    <w:p w14:paraId="4D162AFA" w14:textId="77777777" w:rsidR="00F821D7" w:rsidRPr="00DF6A37" w:rsidRDefault="00F821D7" w:rsidP="00F821D7">
      <w:pPr>
        <w:spacing w:after="0"/>
        <w:jc w:val="both"/>
        <w:rPr>
          <w:rFonts w:ascii="Verdana" w:eastAsia="Aptos" w:hAnsi="Verdana" w:cs="Times New Roman"/>
          <w:kern w:val="2"/>
          <w:sz w:val="20"/>
          <w:szCs w:val="20"/>
          <w14:ligatures w14:val="standardContextual"/>
        </w:rPr>
      </w:pPr>
      <w:r w:rsidRPr="00DF6A37">
        <w:rPr>
          <w:rFonts w:ascii="Verdana" w:eastAsia="Aptos" w:hAnsi="Verdana" w:cs="Times New Roman"/>
          <w:kern w:val="2"/>
          <w:sz w:val="20"/>
          <w:szCs w:val="20"/>
          <w14:ligatures w14:val="standardContextual"/>
        </w:rPr>
        <w:t>[…] la Ley 1474 de 2011 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w:t>
      </w:r>
    </w:p>
    <w:p w14:paraId="667BA6AA" w14:textId="77777777" w:rsidR="00F821D7" w:rsidRPr="00DF6A37" w:rsidRDefault="00F821D7" w:rsidP="00F821D7">
      <w:pPr>
        <w:spacing w:after="0" w:line="240" w:lineRule="auto"/>
        <w:jc w:val="both"/>
        <w:rPr>
          <w:rFonts w:ascii="Verdana" w:eastAsia="Aptos" w:hAnsi="Verdana" w:cs="Times New Roman"/>
          <w:b/>
          <w:bCs/>
          <w:kern w:val="2"/>
          <w14:ligatures w14:val="standardContextual"/>
        </w:rPr>
      </w:pPr>
    </w:p>
    <w:p w14:paraId="30B5AC8A" w14:textId="77777777" w:rsidR="00F821D7" w:rsidRPr="00DF6A37" w:rsidRDefault="00F821D7" w:rsidP="00F821D7">
      <w:pPr>
        <w:spacing w:after="0" w:line="240" w:lineRule="auto"/>
        <w:jc w:val="both"/>
        <w:rPr>
          <w:rFonts w:ascii="Verdana" w:eastAsia="Aptos" w:hAnsi="Verdana" w:cs="Times New Roman"/>
          <w:b/>
          <w:bCs/>
          <w:kern w:val="2"/>
          <w14:ligatures w14:val="standardContextual"/>
        </w:rPr>
      </w:pPr>
      <w:r w:rsidRPr="00DF6A37">
        <w:rPr>
          <w:rFonts w:ascii="Verdana" w:eastAsia="Aptos" w:hAnsi="Verdana" w:cs="Times New Roman"/>
          <w:b/>
          <w:bCs/>
          <w:kern w:val="2"/>
          <w14:ligatures w14:val="standardContextual"/>
        </w:rPr>
        <w:t>SUPERVISIÓN DEL CONTRATO – Características</w:t>
      </w:r>
    </w:p>
    <w:p w14:paraId="44A8E95F" w14:textId="77777777" w:rsidR="00F821D7" w:rsidRPr="00DF6A37" w:rsidRDefault="00F821D7" w:rsidP="00F821D7">
      <w:pPr>
        <w:spacing w:after="0" w:line="278" w:lineRule="auto"/>
        <w:jc w:val="both"/>
        <w:rPr>
          <w:rFonts w:ascii="Verdana" w:eastAsia="Aptos" w:hAnsi="Verdana" w:cs="Times New Roman"/>
          <w:b/>
          <w:bCs/>
          <w:kern w:val="2"/>
          <w:sz w:val="20"/>
          <w:szCs w:val="20"/>
          <w14:ligatures w14:val="standardContextual"/>
        </w:rPr>
      </w:pPr>
    </w:p>
    <w:p w14:paraId="1F0DC70B" w14:textId="77777777" w:rsidR="00F821D7" w:rsidRPr="00DF6A37" w:rsidRDefault="00F821D7" w:rsidP="00F821D7">
      <w:pPr>
        <w:spacing w:after="0"/>
        <w:jc w:val="both"/>
        <w:rPr>
          <w:rFonts w:ascii="Verdana" w:eastAsia="Aptos" w:hAnsi="Verdana" w:cs="Times New Roman"/>
          <w:kern w:val="2"/>
          <w:sz w:val="20"/>
          <w:szCs w:val="20"/>
          <w14:ligatures w14:val="standardContextual"/>
        </w:rPr>
      </w:pPr>
      <w:r w:rsidRPr="00DF6A37">
        <w:rPr>
          <w:rFonts w:ascii="Verdana" w:eastAsia="Aptos" w:hAnsi="Verdana" w:cs="Times New Roman"/>
          <w:kern w:val="2"/>
          <w:sz w:val="20"/>
          <w:szCs w:val="20"/>
          <w14:ligatures w14:val="standardContextual"/>
        </w:rPr>
        <w:t xml:space="preserve">[…] de las disposiciones contenidas en los artículos 83 y 84 de la Ley 1474 de 2011, se infieren las siguientes características de la supervisión: i) la labor de supervisión siempre existirá en relación con cualquier contrato estatal, incluidos los contratos de prestación de servicios –a diferencia de la interventoría que depende del análisis de su necesidad y extensión –; </w:t>
      </w:r>
      <w:proofErr w:type="spellStart"/>
      <w:r w:rsidRPr="00DF6A37">
        <w:rPr>
          <w:rFonts w:ascii="Verdana" w:eastAsia="Aptos" w:hAnsi="Verdana" w:cs="Times New Roman"/>
          <w:kern w:val="2"/>
          <w:sz w:val="20"/>
          <w:szCs w:val="20"/>
          <w14:ligatures w14:val="standardContextual"/>
        </w:rPr>
        <w:t>ii</w:t>
      </w:r>
      <w:proofErr w:type="spellEnd"/>
      <w:r w:rsidRPr="00DF6A37">
        <w:rPr>
          <w:rFonts w:ascii="Verdana" w:eastAsia="Aptos" w:hAnsi="Verdana" w:cs="Times New Roman"/>
          <w:kern w:val="2"/>
          <w:sz w:val="20"/>
          <w:szCs w:val="20"/>
          <w14:ligatures w14:val="standardContextual"/>
        </w:rPr>
        <w:t xml:space="preserve">) no requiere conocimientos tan especializados como la interventoría; </w:t>
      </w:r>
      <w:proofErr w:type="spellStart"/>
      <w:r w:rsidRPr="00DF6A37">
        <w:rPr>
          <w:rFonts w:ascii="Verdana" w:eastAsia="Aptos" w:hAnsi="Verdana" w:cs="Times New Roman"/>
          <w:kern w:val="2"/>
          <w:sz w:val="20"/>
          <w:szCs w:val="20"/>
          <w14:ligatures w14:val="standardContextual"/>
        </w:rPr>
        <w:t>iii</w:t>
      </w:r>
      <w:proofErr w:type="spellEnd"/>
      <w:r w:rsidRPr="00DF6A37">
        <w:rPr>
          <w:rFonts w:ascii="Verdana" w:eastAsia="Aptos" w:hAnsi="Verdana" w:cs="Times New Roman"/>
          <w:kern w:val="2"/>
          <w:sz w:val="20"/>
          <w:szCs w:val="20"/>
          <w14:ligatures w14:val="standardContextual"/>
        </w:rPr>
        <w:t xml:space="preserve">) se ejerce por la Entidad Estatal por conducto de la designación de servidores públicos idóneos para cumplir la función; </w:t>
      </w:r>
      <w:proofErr w:type="spellStart"/>
      <w:r w:rsidRPr="00DF6A37">
        <w:rPr>
          <w:rFonts w:ascii="Verdana" w:eastAsia="Aptos" w:hAnsi="Verdana" w:cs="Times New Roman"/>
          <w:kern w:val="2"/>
          <w:sz w:val="20"/>
          <w:szCs w:val="20"/>
          <w14:ligatures w14:val="standardContextual"/>
        </w:rPr>
        <w:t>iv</w:t>
      </w:r>
      <w:proofErr w:type="spellEnd"/>
      <w:r w:rsidRPr="00DF6A37">
        <w:rPr>
          <w:rFonts w:ascii="Verdana" w:eastAsia="Aptos" w:hAnsi="Verdana" w:cs="Times New Roman"/>
          <w:kern w:val="2"/>
          <w:sz w:val="20"/>
          <w:szCs w:val="20"/>
          <w14:ligatures w14:val="standardContextual"/>
        </w:rPr>
        <w:t>) puede recibir apoyo de personal contratado para tal fin mediante contratos de prestación de servicios; y v) le es inseparable el seguimiento técnico, administrativo, financiero, contable y jurídico del contrato vigilado.</w:t>
      </w:r>
    </w:p>
    <w:p w14:paraId="6E99A931" w14:textId="77777777" w:rsidR="00F821D7" w:rsidRPr="00DF6A37" w:rsidRDefault="00F821D7" w:rsidP="00F821D7">
      <w:pPr>
        <w:spacing w:after="0"/>
        <w:jc w:val="both"/>
        <w:rPr>
          <w:rFonts w:ascii="Verdana" w:eastAsia="Calibri" w:hAnsi="Verdana" w:cs="Arial"/>
          <w:lang w:val="es-ES"/>
        </w:rPr>
      </w:pPr>
    </w:p>
    <w:p w14:paraId="17FC9F7C" w14:textId="77777777" w:rsidR="00F821D7" w:rsidRPr="00DF6A37" w:rsidRDefault="00F821D7" w:rsidP="00F821D7">
      <w:pPr>
        <w:spacing w:after="0"/>
        <w:jc w:val="both"/>
        <w:rPr>
          <w:rFonts w:ascii="Verdana" w:eastAsia="Calibri" w:hAnsi="Verdana" w:cs="Arial"/>
          <w:b/>
          <w:bCs/>
          <w:lang w:val="es-ES"/>
        </w:rPr>
      </w:pPr>
      <w:r w:rsidRPr="00DF6A37">
        <w:rPr>
          <w:rFonts w:ascii="Verdana" w:eastAsia="Calibri" w:hAnsi="Verdana" w:cs="Arial"/>
          <w:b/>
          <w:bCs/>
          <w:lang w:val="es-ES"/>
        </w:rPr>
        <w:t>SUPERVISIÓN DEL CONTRATO – Responsabilidad – Ordenador del gasto – Apoyo a la supervisión</w:t>
      </w:r>
    </w:p>
    <w:p w14:paraId="517F1410" w14:textId="77777777" w:rsidR="00F821D7" w:rsidRPr="00DF6A37" w:rsidRDefault="00F821D7" w:rsidP="00F821D7">
      <w:pPr>
        <w:spacing w:after="0" w:line="240" w:lineRule="auto"/>
        <w:jc w:val="both"/>
        <w:rPr>
          <w:rFonts w:ascii="Verdana" w:eastAsia="Calibri" w:hAnsi="Verdana" w:cs="Arial"/>
          <w:b/>
          <w:bCs/>
          <w:sz w:val="20"/>
          <w:szCs w:val="20"/>
          <w:lang w:val="es-ES"/>
        </w:rPr>
      </w:pPr>
    </w:p>
    <w:p w14:paraId="1331969D" w14:textId="77777777" w:rsidR="00F821D7" w:rsidRPr="00DF6A37" w:rsidRDefault="00F821D7" w:rsidP="00F821D7">
      <w:pPr>
        <w:spacing w:after="0" w:line="240" w:lineRule="auto"/>
        <w:jc w:val="both"/>
        <w:rPr>
          <w:rFonts w:ascii="Verdana" w:eastAsia="Calibri" w:hAnsi="Verdana" w:cs="Arial"/>
          <w:sz w:val="20"/>
          <w:szCs w:val="20"/>
          <w:lang w:val="es-ES"/>
        </w:rPr>
      </w:pPr>
      <w:r w:rsidRPr="00DF6A37">
        <w:rPr>
          <w:rFonts w:ascii="Verdana" w:eastAsia="Calibri" w:hAnsi="Verdana" w:cs="Arial"/>
          <w:sz w:val="20"/>
          <w:szCs w:val="20"/>
          <w:lang w:val="es-ES"/>
        </w:rPr>
        <w:lastRenderedPageBreak/>
        <w:t>[…] pese a que el jefe o representante legal de la entidad es el responsable de la dirección y manejo de la actividad contractual, este conforme con lo establecido en el artículo 12 de la Ley 1150 de 2007, puede mediante la figura de la delegación, asignar en un servidor público del nivel directo o ejecutivo, la función de ordenador del gasto quien, primeramente, será el facultado para vigilar y controlar la ejecución del gasto y del contrato.</w:t>
      </w:r>
    </w:p>
    <w:p w14:paraId="706BAE9E" w14:textId="77777777" w:rsidR="00F821D7" w:rsidRPr="00DF6A37" w:rsidRDefault="00F821D7" w:rsidP="00F821D7">
      <w:pPr>
        <w:spacing w:after="0" w:line="240" w:lineRule="auto"/>
        <w:jc w:val="both"/>
        <w:rPr>
          <w:rFonts w:ascii="Verdana" w:eastAsia="Calibri" w:hAnsi="Verdana" w:cs="Arial"/>
          <w:sz w:val="20"/>
          <w:szCs w:val="20"/>
          <w:lang w:val="es-ES"/>
        </w:rPr>
      </w:pPr>
    </w:p>
    <w:p w14:paraId="6E16DC55" w14:textId="77777777" w:rsidR="00F821D7" w:rsidRPr="00DF6A37" w:rsidRDefault="00F821D7" w:rsidP="00F821D7">
      <w:pPr>
        <w:spacing w:after="0" w:line="240" w:lineRule="auto"/>
        <w:jc w:val="both"/>
        <w:rPr>
          <w:rFonts w:ascii="Verdana" w:eastAsia="Calibri" w:hAnsi="Verdana" w:cs="Arial"/>
          <w:sz w:val="20"/>
          <w:szCs w:val="20"/>
          <w:lang w:val="es-ES"/>
        </w:rPr>
      </w:pPr>
      <w:r w:rsidRPr="00DF6A37">
        <w:rPr>
          <w:rFonts w:ascii="Verdana" w:eastAsia="Calibri" w:hAnsi="Verdana" w:cs="Arial"/>
          <w:sz w:val="20"/>
          <w:szCs w:val="20"/>
          <w:lang w:val="es-ES"/>
        </w:rPr>
        <w:t>[…]lo anterior no implica un impedimento para que el ordenador del gasto, de acuerdo con las particularidades de cada caso, se apoye en funcionarios públicos o contratistas para desarrollar la supervisión de los contratos, ni mucho menos para que asigne en otros servidores la labor de supervisión […].</w:t>
      </w:r>
    </w:p>
    <w:p w14:paraId="7E0F894F" w14:textId="77777777" w:rsidR="00F821D7" w:rsidRPr="00DF6A37" w:rsidRDefault="00F821D7" w:rsidP="00F821D7">
      <w:pPr>
        <w:spacing w:after="0" w:line="240" w:lineRule="auto"/>
        <w:jc w:val="both"/>
        <w:rPr>
          <w:rFonts w:ascii="Verdana" w:eastAsia="Calibri" w:hAnsi="Verdana" w:cs="Arial"/>
          <w:sz w:val="20"/>
          <w:szCs w:val="20"/>
          <w:lang w:val="es-ES"/>
        </w:rPr>
      </w:pPr>
    </w:p>
    <w:p w14:paraId="35139336" w14:textId="77777777" w:rsidR="00F821D7" w:rsidRPr="00DF6A37" w:rsidRDefault="00F821D7" w:rsidP="00F821D7">
      <w:pPr>
        <w:spacing w:after="0" w:line="240" w:lineRule="auto"/>
        <w:jc w:val="both"/>
        <w:rPr>
          <w:rFonts w:ascii="Verdana" w:eastAsia="Calibri" w:hAnsi="Verdana" w:cs="Arial"/>
          <w:sz w:val="20"/>
          <w:szCs w:val="20"/>
          <w:lang w:val="es-ES"/>
        </w:rPr>
      </w:pPr>
      <w:r w:rsidRPr="00DF6A37">
        <w:rPr>
          <w:rFonts w:ascii="Verdana" w:eastAsia="Calibri" w:hAnsi="Verdana" w:cs="Arial"/>
          <w:sz w:val="20"/>
          <w:szCs w:val="20"/>
          <w:lang w:val="es-ES"/>
        </w:rPr>
        <w:t>[…] el término “</w:t>
      </w:r>
      <w:proofErr w:type="spellStart"/>
      <w:r w:rsidRPr="00DF6A37">
        <w:rPr>
          <w:rFonts w:ascii="Verdana" w:eastAsia="Calibri" w:hAnsi="Verdana" w:cs="Arial"/>
          <w:sz w:val="20"/>
          <w:szCs w:val="20"/>
          <w:lang w:val="es-ES"/>
        </w:rPr>
        <w:t>co-supervisión</w:t>
      </w:r>
      <w:proofErr w:type="spellEnd"/>
      <w:r w:rsidRPr="00DF6A37">
        <w:rPr>
          <w:rFonts w:ascii="Verdana" w:eastAsia="Calibri" w:hAnsi="Verdana" w:cs="Arial"/>
          <w:sz w:val="20"/>
          <w:szCs w:val="20"/>
          <w:lang w:val="es-ES"/>
        </w:rPr>
        <w:t>” no ha sido desarrollado por la normativa contractual ni por la jurisprudencia, pues lo que sí se admite y ejerce es el apoyo a la supervisión de los contratos estatales, bien sea por funcionarios públicos de la misma entidad o por sus contratistas. Esto, siempre y cuando el manual de funciones para los primeros, y las obligaciones contractuales para los segundos, permitan el ejercicio de dicha labor o actividad.</w:t>
      </w:r>
    </w:p>
    <w:p w14:paraId="4B034DAB" w14:textId="77777777" w:rsidR="00F821D7" w:rsidRPr="00DF6A37" w:rsidRDefault="00F821D7" w:rsidP="00F821D7">
      <w:pPr>
        <w:spacing w:after="0" w:line="240" w:lineRule="auto"/>
        <w:rPr>
          <w:rFonts w:ascii="Verdana" w:eastAsia="Aptos" w:hAnsi="Verdana" w:cs="Times New Roman"/>
          <w:sz w:val="20"/>
          <w:szCs w:val="20"/>
        </w:rPr>
      </w:pPr>
    </w:p>
    <w:p w14:paraId="58C764CC" w14:textId="77777777" w:rsidR="00F821D7" w:rsidRPr="00DF6A37" w:rsidRDefault="00F821D7" w:rsidP="00F821D7">
      <w:pPr>
        <w:spacing w:after="0" w:line="240" w:lineRule="auto"/>
        <w:rPr>
          <w:rFonts w:ascii="Verdana" w:eastAsia="Aptos" w:hAnsi="Verdana" w:cs="Times New Roman"/>
          <w:sz w:val="20"/>
          <w:szCs w:val="20"/>
        </w:rPr>
      </w:pPr>
    </w:p>
    <w:p w14:paraId="7472D17B" w14:textId="77777777" w:rsidR="00F821D7" w:rsidRPr="00DF6A37" w:rsidRDefault="00F821D7" w:rsidP="00F821D7">
      <w:pPr>
        <w:spacing w:after="0" w:line="240" w:lineRule="auto"/>
        <w:rPr>
          <w:rFonts w:ascii="Verdana" w:eastAsia="Aptos" w:hAnsi="Verdana" w:cs="Times New Roman"/>
          <w:sz w:val="20"/>
          <w:szCs w:val="20"/>
        </w:rPr>
      </w:pPr>
    </w:p>
    <w:p w14:paraId="73DB40AF" w14:textId="77777777" w:rsidR="00F821D7" w:rsidRPr="00DF6A37" w:rsidRDefault="00F821D7" w:rsidP="00F821D7">
      <w:pPr>
        <w:spacing w:after="0" w:line="240" w:lineRule="auto"/>
        <w:rPr>
          <w:rFonts w:ascii="Verdana" w:eastAsia="Aptos" w:hAnsi="Verdana" w:cs="Times New Roman"/>
          <w:sz w:val="20"/>
          <w:szCs w:val="20"/>
        </w:rPr>
      </w:pPr>
    </w:p>
    <w:p w14:paraId="3D4D7415" w14:textId="77777777" w:rsidR="00F821D7" w:rsidRPr="00DF6A37" w:rsidRDefault="00F821D7" w:rsidP="00F821D7">
      <w:pPr>
        <w:spacing w:after="0" w:line="240" w:lineRule="auto"/>
        <w:rPr>
          <w:rFonts w:ascii="Verdana" w:eastAsia="Aptos" w:hAnsi="Verdana" w:cs="Times New Roman"/>
          <w:sz w:val="20"/>
          <w:szCs w:val="20"/>
        </w:rPr>
      </w:pPr>
    </w:p>
    <w:p w14:paraId="5F6B22DE" w14:textId="77777777" w:rsidR="00F821D7" w:rsidRPr="00DF6A37" w:rsidRDefault="00F821D7" w:rsidP="00F821D7">
      <w:pPr>
        <w:spacing w:after="0" w:line="240" w:lineRule="auto"/>
        <w:rPr>
          <w:rFonts w:ascii="Verdana" w:eastAsia="Aptos" w:hAnsi="Verdana" w:cs="Times New Roman"/>
          <w:sz w:val="20"/>
          <w:szCs w:val="20"/>
        </w:rPr>
      </w:pPr>
    </w:p>
    <w:p w14:paraId="2C25854D" w14:textId="77777777" w:rsidR="00F821D7" w:rsidRPr="00DF6A37" w:rsidRDefault="00F821D7" w:rsidP="00F821D7">
      <w:pPr>
        <w:spacing w:after="0" w:line="240" w:lineRule="auto"/>
        <w:rPr>
          <w:rFonts w:ascii="Verdana" w:eastAsia="Aptos" w:hAnsi="Verdana" w:cs="Times New Roman"/>
          <w:sz w:val="20"/>
          <w:szCs w:val="20"/>
        </w:rPr>
      </w:pPr>
    </w:p>
    <w:p w14:paraId="3677AEF8" w14:textId="77777777" w:rsidR="00F821D7" w:rsidRPr="00DF6A37" w:rsidRDefault="00F821D7" w:rsidP="00F821D7">
      <w:pPr>
        <w:spacing w:after="0" w:line="240" w:lineRule="auto"/>
        <w:rPr>
          <w:rFonts w:ascii="Verdana" w:eastAsia="Aptos" w:hAnsi="Verdana" w:cs="Times New Roman"/>
          <w:sz w:val="20"/>
          <w:szCs w:val="20"/>
        </w:rPr>
      </w:pPr>
    </w:p>
    <w:p w14:paraId="28802B53" w14:textId="77777777" w:rsidR="00F821D7" w:rsidRPr="00DF6A37" w:rsidRDefault="00F821D7" w:rsidP="00F821D7">
      <w:pPr>
        <w:spacing w:after="0" w:line="240" w:lineRule="auto"/>
        <w:rPr>
          <w:rFonts w:ascii="Verdana" w:eastAsia="Aptos" w:hAnsi="Verdana" w:cs="Times New Roman"/>
          <w:sz w:val="20"/>
          <w:szCs w:val="20"/>
        </w:rPr>
      </w:pPr>
    </w:p>
    <w:p w14:paraId="580AD0B7" w14:textId="77777777" w:rsidR="00F821D7" w:rsidRPr="00DF6A37" w:rsidRDefault="00F821D7" w:rsidP="00F821D7">
      <w:pPr>
        <w:spacing w:after="0" w:line="240" w:lineRule="auto"/>
        <w:rPr>
          <w:rFonts w:ascii="Verdana" w:eastAsia="Aptos" w:hAnsi="Verdana" w:cs="Times New Roman"/>
          <w:sz w:val="20"/>
          <w:szCs w:val="20"/>
        </w:rPr>
      </w:pPr>
    </w:p>
    <w:p w14:paraId="31F5D3D9" w14:textId="77777777" w:rsidR="00F821D7" w:rsidRPr="00DF6A37" w:rsidRDefault="00F821D7" w:rsidP="00F821D7">
      <w:pPr>
        <w:spacing w:after="0" w:line="240" w:lineRule="auto"/>
        <w:rPr>
          <w:rFonts w:ascii="Verdana" w:eastAsia="Aptos" w:hAnsi="Verdana" w:cs="Times New Roman"/>
          <w:sz w:val="20"/>
          <w:szCs w:val="20"/>
        </w:rPr>
      </w:pPr>
    </w:p>
    <w:p w14:paraId="3ECCFDBB" w14:textId="77777777" w:rsidR="00F821D7" w:rsidRPr="00DF6A37" w:rsidRDefault="00F821D7" w:rsidP="00F821D7">
      <w:pPr>
        <w:spacing w:after="0" w:line="240" w:lineRule="auto"/>
        <w:rPr>
          <w:rFonts w:ascii="Verdana" w:eastAsia="Aptos" w:hAnsi="Verdana" w:cs="Times New Roman"/>
          <w:sz w:val="20"/>
          <w:szCs w:val="20"/>
        </w:rPr>
      </w:pPr>
    </w:p>
    <w:p w14:paraId="592EB6DD" w14:textId="77777777" w:rsidR="00F821D7" w:rsidRPr="00DF6A37" w:rsidRDefault="00F821D7" w:rsidP="00F821D7">
      <w:pPr>
        <w:spacing w:after="0" w:line="240" w:lineRule="auto"/>
        <w:rPr>
          <w:rFonts w:ascii="Verdana" w:eastAsia="Aptos" w:hAnsi="Verdana" w:cs="Times New Roman"/>
          <w:sz w:val="20"/>
          <w:szCs w:val="20"/>
        </w:rPr>
      </w:pPr>
    </w:p>
    <w:p w14:paraId="702A2482" w14:textId="77777777" w:rsidR="00F821D7" w:rsidRPr="00DF6A37" w:rsidRDefault="00F821D7" w:rsidP="00F821D7">
      <w:pPr>
        <w:spacing w:after="0" w:line="240" w:lineRule="auto"/>
        <w:rPr>
          <w:rFonts w:ascii="Verdana" w:eastAsia="Aptos" w:hAnsi="Verdana" w:cs="Times New Roman"/>
          <w:sz w:val="20"/>
          <w:szCs w:val="20"/>
        </w:rPr>
      </w:pPr>
    </w:p>
    <w:p w14:paraId="1BC78278" w14:textId="77777777" w:rsidR="00F821D7" w:rsidRPr="00DF6A37" w:rsidRDefault="00F821D7" w:rsidP="00F821D7">
      <w:pPr>
        <w:spacing w:after="0" w:line="240" w:lineRule="auto"/>
        <w:rPr>
          <w:rFonts w:ascii="Verdana" w:eastAsia="Aptos" w:hAnsi="Verdana" w:cs="Times New Roman"/>
          <w:sz w:val="20"/>
          <w:szCs w:val="20"/>
        </w:rPr>
      </w:pPr>
    </w:p>
    <w:p w14:paraId="4FE4F728" w14:textId="77777777" w:rsidR="00F821D7" w:rsidRPr="00DF6A37" w:rsidRDefault="00F821D7" w:rsidP="00F821D7">
      <w:pPr>
        <w:spacing w:after="0" w:line="240" w:lineRule="auto"/>
        <w:rPr>
          <w:rFonts w:ascii="Verdana" w:eastAsia="Aptos" w:hAnsi="Verdana" w:cs="Times New Roman"/>
          <w:sz w:val="20"/>
          <w:szCs w:val="20"/>
        </w:rPr>
      </w:pPr>
    </w:p>
    <w:p w14:paraId="1DEA90E6" w14:textId="77777777" w:rsidR="00F821D7" w:rsidRPr="00DF6A37" w:rsidRDefault="00F821D7" w:rsidP="00F821D7">
      <w:pPr>
        <w:spacing w:after="0" w:line="240" w:lineRule="auto"/>
        <w:rPr>
          <w:rFonts w:ascii="Verdana" w:eastAsia="Aptos" w:hAnsi="Verdana" w:cs="Times New Roman"/>
          <w:sz w:val="20"/>
          <w:szCs w:val="20"/>
        </w:rPr>
      </w:pPr>
    </w:p>
    <w:p w14:paraId="4AC59973" w14:textId="77777777" w:rsidR="00F821D7" w:rsidRPr="00DF6A37" w:rsidRDefault="00F821D7" w:rsidP="00F821D7">
      <w:pPr>
        <w:spacing w:after="0" w:line="240" w:lineRule="auto"/>
        <w:rPr>
          <w:rFonts w:ascii="Verdana" w:eastAsia="Aptos" w:hAnsi="Verdana" w:cs="Times New Roman"/>
          <w:sz w:val="20"/>
          <w:szCs w:val="20"/>
        </w:rPr>
      </w:pPr>
    </w:p>
    <w:p w14:paraId="199CBF13" w14:textId="77777777" w:rsidR="00F821D7" w:rsidRPr="00DF6A37" w:rsidRDefault="00F821D7" w:rsidP="00F821D7">
      <w:pPr>
        <w:spacing w:after="0" w:line="240" w:lineRule="auto"/>
        <w:rPr>
          <w:rFonts w:ascii="Verdana" w:eastAsia="Aptos" w:hAnsi="Verdana" w:cs="Times New Roman"/>
          <w:sz w:val="20"/>
          <w:szCs w:val="20"/>
        </w:rPr>
      </w:pPr>
    </w:p>
    <w:p w14:paraId="2D5AFDC4" w14:textId="77777777" w:rsidR="00F821D7" w:rsidRPr="00DF6A37" w:rsidRDefault="00F821D7" w:rsidP="00F821D7">
      <w:pPr>
        <w:spacing w:after="0" w:line="240" w:lineRule="auto"/>
        <w:rPr>
          <w:rFonts w:ascii="Verdana" w:eastAsia="Aptos" w:hAnsi="Verdana" w:cs="Times New Roman"/>
          <w:sz w:val="20"/>
          <w:szCs w:val="20"/>
        </w:rPr>
      </w:pPr>
    </w:p>
    <w:p w14:paraId="16C61515" w14:textId="77777777" w:rsidR="00F821D7" w:rsidRPr="00DF6A37" w:rsidRDefault="00F821D7" w:rsidP="00F821D7">
      <w:pPr>
        <w:spacing w:after="0" w:line="240" w:lineRule="auto"/>
        <w:rPr>
          <w:rFonts w:ascii="Verdana" w:eastAsia="Aptos" w:hAnsi="Verdana" w:cs="Times New Roman"/>
          <w:sz w:val="20"/>
          <w:szCs w:val="20"/>
        </w:rPr>
      </w:pPr>
    </w:p>
    <w:p w14:paraId="4823880B" w14:textId="77777777" w:rsidR="00F821D7" w:rsidRPr="00DF6A37" w:rsidRDefault="00F821D7" w:rsidP="00F821D7">
      <w:pPr>
        <w:spacing w:after="0" w:line="240" w:lineRule="auto"/>
        <w:rPr>
          <w:rFonts w:ascii="Verdana" w:eastAsia="Aptos" w:hAnsi="Verdana" w:cs="Times New Roman"/>
          <w:sz w:val="20"/>
          <w:szCs w:val="20"/>
        </w:rPr>
      </w:pPr>
    </w:p>
    <w:p w14:paraId="1626D76E" w14:textId="77777777" w:rsidR="00F821D7" w:rsidRPr="00DF6A37" w:rsidRDefault="00F821D7" w:rsidP="00F821D7">
      <w:pPr>
        <w:spacing w:after="0" w:line="240" w:lineRule="auto"/>
        <w:rPr>
          <w:rFonts w:ascii="Verdana" w:eastAsia="Aptos" w:hAnsi="Verdana" w:cs="Times New Roman"/>
          <w:sz w:val="20"/>
          <w:szCs w:val="20"/>
        </w:rPr>
      </w:pPr>
    </w:p>
    <w:p w14:paraId="6B234ABC" w14:textId="77777777" w:rsidR="00F821D7" w:rsidRPr="00DF6A37" w:rsidRDefault="00F821D7" w:rsidP="00F821D7">
      <w:pPr>
        <w:spacing w:after="0" w:line="240" w:lineRule="auto"/>
        <w:rPr>
          <w:rFonts w:ascii="Verdana" w:eastAsia="Aptos" w:hAnsi="Verdana" w:cs="Times New Roman"/>
          <w:sz w:val="20"/>
          <w:szCs w:val="20"/>
        </w:rPr>
      </w:pPr>
    </w:p>
    <w:p w14:paraId="43F6FBD8" w14:textId="77777777" w:rsidR="00F821D7" w:rsidRPr="00DF6A37" w:rsidRDefault="00F821D7" w:rsidP="00F821D7">
      <w:pPr>
        <w:spacing w:after="0" w:line="240" w:lineRule="auto"/>
        <w:rPr>
          <w:rFonts w:ascii="Verdana" w:eastAsia="Aptos" w:hAnsi="Verdana" w:cs="Times New Roman"/>
          <w:sz w:val="20"/>
          <w:szCs w:val="20"/>
        </w:rPr>
      </w:pPr>
    </w:p>
    <w:p w14:paraId="75285685" w14:textId="77777777" w:rsidR="00F821D7" w:rsidRPr="00DF6A37" w:rsidRDefault="00F821D7" w:rsidP="00F821D7">
      <w:pPr>
        <w:spacing w:after="0" w:line="240" w:lineRule="auto"/>
        <w:rPr>
          <w:rFonts w:ascii="Verdana" w:eastAsia="Aptos" w:hAnsi="Verdana" w:cs="Times New Roman"/>
          <w:sz w:val="20"/>
          <w:szCs w:val="20"/>
        </w:rPr>
      </w:pPr>
    </w:p>
    <w:p w14:paraId="278C3058" w14:textId="77777777" w:rsidR="00F821D7" w:rsidRPr="00DF6A37" w:rsidRDefault="00F821D7" w:rsidP="00F821D7">
      <w:pPr>
        <w:spacing w:after="0" w:line="240" w:lineRule="auto"/>
        <w:rPr>
          <w:rFonts w:ascii="Verdana" w:eastAsia="Aptos" w:hAnsi="Verdana" w:cs="Times New Roman"/>
          <w:sz w:val="20"/>
          <w:szCs w:val="20"/>
        </w:rPr>
      </w:pPr>
    </w:p>
    <w:p w14:paraId="4827558B" w14:textId="77777777" w:rsidR="00F821D7" w:rsidRPr="00DF6A37" w:rsidRDefault="00F821D7" w:rsidP="00F821D7">
      <w:pPr>
        <w:spacing w:after="0" w:line="240" w:lineRule="auto"/>
        <w:rPr>
          <w:rFonts w:ascii="Verdana" w:eastAsia="Aptos" w:hAnsi="Verdana" w:cs="Times New Roman"/>
          <w:sz w:val="20"/>
          <w:szCs w:val="20"/>
        </w:rPr>
      </w:pPr>
    </w:p>
    <w:p w14:paraId="28098A77" w14:textId="77777777" w:rsidR="00F821D7" w:rsidRDefault="00F821D7" w:rsidP="00F821D7">
      <w:pPr>
        <w:spacing w:after="0" w:line="240" w:lineRule="auto"/>
        <w:rPr>
          <w:rFonts w:ascii="Verdana" w:eastAsia="Aptos" w:hAnsi="Verdana" w:cs="Times New Roman"/>
          <w:sz w:val="20"/>
          <w:szCs w:val="20"/>
        </w:rPr>
      </w:pPr>
    </w:p>
    <w:p w14:paraId="38ADAE4D" w14:textId="75CAE9B4" w:rsidR="00F821D7" w:rsidRPr="00F821D7" w:rsidRDefault="00F821D7" w:rsidP="00F821D7">
      <w:pPr>
        <w:spacing w:after="0" w:line="240" w:lineRule="auto"/>
        <w:rPr>
          <w:rFonts w:ascii="Verdana" w:eastAsia="Geomanist Light" w:hAnsi="Verdana" w:cs="Arial"/>
          <w:lang w:val="es-MX"/>
        </w:rPr>
      </w:pPr>
      <w:r w:rsidRPr="00F821D7">
        <w:rPr>
          <w:rFonts w:ascii="Verdana" w:eastAsia="Geomanist Light" w:hAnsi="Verdana" w:cs="Arial"/>
          <w:lang w:val="es-MX"/>
        </w:rPr>
        <w:lastRenderedPageBreak/>
        <w:t>Bogotá D.C., </w:t>
      </w:r>
      <w:r w:rsidR="00C87B4A">
        <w:rPr>
          <w:rFonts w:ascii="Verdana" w:eastAsia="Geomanist Light" w:hAnsi="Verdana" w:cs="Arial"/>
          <w:lang w:val="es-MX"/>
        </w:rPr>
        <w:t>19 de agosto de 2025</w:t>
      </w:r>
    </w:p>
    <w:p w14:paraId="7A049B3B" w14:textId="77777777" w:rsidR="00F821D7" w:rsidRPr="00F821D7" w:rsidRDefault="00F821D7" w:rsidP="00F821D7">
      <w:pPr>
        <w:spacing w:after="0" w:line="240" w:lineRule="auto"/>
        <w:jc w:val="both"/>
        <w:rPr>
          <w:rFonts w:ascii="Verdana" w:eastAsia="Calibri" w:hAnsi="Verdana" w:cs="Arial"/>
          <w:lang w:val="es-ES"/>
        </w:rPr>
      </w:pPr>
    </w:p>
    <w:p w14:paraId="1DC42FC8" w14:textId="787F66F7" w:rsidR="00F821D7" w:rsidRPr="00F821D7" w:rsidRDefault="003030ED" w:rsidP="00F821D7">
      <w:pPr>
        <w:spacing w:after="0" w:line="240" w:lineRule="auto"/>
        <w:jc w:val="right"/>
        <w:rPr>
          <w:rFonts w:ascii="Verdana" w:eastAsia="Calibri" w:hAnsi="Verdana" w:cs="Arial"/>
          <w:lang w:val="es-ES"/>
        </w:rPr>
      </w:pPr>
      <w:r w:rsidRPr="003030ED">
        <w:rPr>
          <w:rFonts w:ascii="Verdana" w:eastAsia="Calibri" w:hAnsi="Verdana" w:cs="Arial"/>
          <w:lang w:val="es-ES"/>
        </w:rPr>
        <w:drawing>
          <wp:inline distT="0" distB="0" distL="0" distR="0" wp14:anchorId="4A9E0844" wp14:editId="2BB00055">
            <wp:extent cx="2457793" cy="695422"/>
            <wp:effectExtent l="0" t="0" r="0" b="9525"/>
            <wp:docPr id="13054640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46405" name=""/>
                    <pic:cNvPicPr/>
                  </pic:nvPicPr>
                  <pic:blipFill>
                    <a:blip r:embed="rId10"/>
                    <a:stretch>
                      <a:fillRect/>
                    </a:stretch>
                  </pic:blipFill>
                  <pic:spPr>
                    <a:xfrm>
                      <a:off x="0" y="0"/>
                      <a:ext cx="2457793" cy="695422"/>
                    </a:xfrm>
                    <a:prstGeom prst="rect">
                      <a:avLst/>
                    </a:prstGeom>
                  </pic:spPr>
                </pic:pic>
              </a:graphicData>
            </a:graphic>
          </wp:inline>
        </w:drawing>
      </w:r>
    </w:p>
    <w:p w14:paraId="0A69BD30" w14:textId="77777777" w:rsidR="00F821D7" w:rsidRPr="00F821D7" w:rsidRDefault="00F821D7" w:rsidP="00F821D7">
      <w:pPr>
        <w:spacing w:after="0" w:line="240" w:lineRule="auto"/>
        <w:jc w:val="both"/>
        <w:rPr>
          <w:rFonts w:ascii="Verdana" w:eastAsia="Calibri" w:hAnsi="Verdana" w:cs="Arial"/>
          <w:lang w:val="es-ES" w:eastAsia="es-ES"/>
        </w:rPr>
      </w:pPr>
      <w:r w:rsidRPr="00F821D7">
        <w:rPr>
          <w:rFonts w:ascii="Verdana" w:eastAsia="Calibri" w:hAnsi="Verdana" w:cs="Arial"/>
          <w:lang w:val="es-ES" w:eastAsia="es-ES"/>
        </w:rPr>
        <w:t>Señora</w:t>
      </w:r>
    </w:p>
    <w:p w14:paraId="158B9064" w14:textId="77777777" w:rsidR="00F821D7" w:rsidRPr="00F821D7" w:rsidRDefault="00F821D7" w:rsidP="00F821D7">
      <w:pPr>
        <w:spacing w:after="0" w:line="240" w:lineRule="auto"/>
        <w:rPr>
          <w:rFonts w:ascii="Verdana" w:eastAsia="Calibri" w:hAnsi="Verdana" w:cs="Arial"/>
          <w:b/>
          <w:lang w:val="es-ES" w:eastAsia="es-ES"/>
        </w:rPr>
      </w:pPr>
      <w:r w:rsidRPr="00F821D7">
        <w:rPr>
          <w:rFonts w:ascii="Verdana" w:eastAsia="Calibri" w:hAnsi="Verdana" w:cs="Arial"/>
          <w:b/>
          <w:lang w:val="es-ES" w:eastAsia="es-ES"/>
        </w:rPr>
        <w:t>Diana Katrina Alban Rico</w:t>
      </w:r>
    </w:p>
    <w:p w14:paraId="262EF76A" w14:textId="77777777" w:rsidR="00F821D7" w:rsidRPr="00F821D7" w:rsidRDefault="00F821D7" w:rsidP="00F821D7">
      <w:pPr>
        <w:spacing w:after="0" w:line="240" w:lineRule="auto"/>
        <w:rPr>
          <w:rFonts w:ascii="Verdana" w:eastAsia="Aptos" w:hAnsi="Verdana" w:cs="Times New Roman"/>
        </w:rPr>
      </w:pPr>
      <w:hyperlink r:id="rId11" w:history="1">
        <w:r w:rsidRPr="00F821D7">
          <w:rPr>
            <w:rFonts w:ascii="Verdana" w:eastAsia="Aptos" w:hAnsi="Verdana" w:cs="Times New Roman"/>
            <w:color w:val="0000FF"/>
            <w:u w:val="single"/>
          </w:rPr>
          <w:t>katri17@hotmail.com</w:t>
        </w:r>
      </w:hyperlink>
      <w:r w:rsidRPr="00F821D7">
        <w:rPr>
          <w:rFonts w:ascii="Verdana" w:eastAsia="Aptos" w:hAnsi="Verdana" w:cs="Times New Roman"/>
        </w:rPr>
        <w:t xml:space="preserve"> </w:t>
      </w:r>
    </w:p>
    <w:p w14:paraId="72D661FD" w14:textId="77777777" w:rsidR="00F821D7" w:rsidRPr="00F821D7" w:rsidRDefault="00F821D7" w:rsidP="00F821D7">
      <w:pPr>
        <w:spacing w:after="0" w:line="240" w:lineRule="auto"/>
        <w:rPr>
          <w:rFonts w:ascii="Verdana" w:eastAsia="Calibri" w:hAnsi="Verdana" w:cs="Arial"/>
          <w:b/>
          <w:bCs/>
          <w:lang w:val="es-ES" w:eastAsia="es-ES"/>
        </w:rPr>
      </w:pPr>
      <w:r w:rsidRPr="00F821D7">
        <w:rPr>
          <w:rFonts w:ascii="Verdana" w:eastAsia="Calibri" w:hAnsi="Verdana" w:cs="Arial"/>
          <w:lang w:val="es-ES" w:eastAsia="es-ES"/>
        </w:rPr>
        <w:t>Ciudad</w:t>
      </w:r>
    </w:p>
    <w:p w14:paraId="257A27DD" w14:textId="77777777" w:rsidR="00F821D7" w:rsidRPr="00F821D7" w:rsidRDefault="00F821D7" w:rsidP="00F821D7">
      <w:pPr>
        <w:spacing w:after="0" w:line="240" w:lineRule="auto"/>
        <w:rPr>
          <w:rFonts w:ascii="Verdana" w:eastAsia="Calibri" w:hAnsi="Verdana" w:cs="Arial"/>
          <w:b/>
          <w:bCs/>
          <w:lang w:val="es-ES_tradnl" w:eastAsia="es-ES_tradnl"/>
        </w:rPr>
      </w:pPr>
    </w:p>
    <w:p w14:paraId="5A5813FD" w14:textId="77777777" w:rsidR="00F821D7" w:rsidRPr="00F821D7" w:rsidRDefault="00F821D7" w:rsidP="00F821D7">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F821D7" w:rsidRPr="00F821D7" w14:paraId="1180F91D" w14:textId="77777777" w:rsidTr="001801F8">
        <w:trPr>
          <w:trHeight w:val="254"/>
        </w:trPr>
        <w:tc>
          <w:tcPr>
            <w:tcW w:w="2689" w:type="dxa"/>
          </w:tcPr>
          <w:p w14:paraId="0003AE6D" w14:textId="77777777" w:rsidR="00F821D7" w:rsidRPr="00F821D7" w:rsidRDefault="00F821D7" w:rsidP="00F821D7">
            <w:pPr>
              <w:jc w:val="both"/>
              <w:rPr>
                <w:rFonts w:ascii="Verdana" w:eastAsia="Calibri" w:hAnsi="Verdana" w:cs="Arial"/>
                <w:b/>
                <w:bCs/>
                <w:lang w:val="es-ES_tradnl" w:eastAsia="es-ES_tradnl"/>
              </w:rPr>
            </w:pPr>
          </w:p>
        </w:tc>
        <w:tc>
          <w:tcPr>
            <w:tcW w:w="6100" w:type="dxa"/>
          </w:tcPr>
          <w:p w14:paraId="28473316" w14:textId="77777777" w:rsidR="00F821D7" w:rsidRPr="00F821D7" w:rsidRDefault="00F821D7" w:rsidP="00F821D7">
            <w:pPr>
              <w:jc w:val="both"/>
              <w:rPr>
                <w:rFonts w:ascii="Verdana" w:eastAsia="Calibri" w:hAnsi="Verdana" w:cs="Arial"/>
                <w:b/>
                <w:bCs/>
                <w:lang w:val="es-ES" w:eastAsia="es-ES"/>
              </w:rPr>
            </w:pPr>
            <w:r w:rsidRPr="00F821D7">
              <w:rPr>
                <w:rFonts w:ascii="Verdana" w:eastAsia="Calibri" w:hAnsi="Verdana" w:cs="Arial"/>
                <w:b/>
                <w:bCs/>
                <w:lang w:val="es-ES" w:eastAsia="es-ES"/>
              </w:rPr>
              <w:t>Concepto C-953 de 2025</w:t>
            </w:r>
          </w:p>
          <w:p w14:paraId="4E7FA244" w14:textId="77777777" w:rsidR="00F821D7" w:rsidRPr="00F821D7" w:rsidRDefault="00F821D7" w:rsidP="00F821D7">
            <w:pPr>
              <w:jc w:val="both"/>
              <w:rPr>
                <w:rFonts w:ascii="Verdana" w:eastAsia="Calibri" w:hAnsi="Verdana" w:cs="Arial"/>
                <w:b/>
                <w:bCs/>
                <w:lang w:val="es-ES" w:eastAsia="es-ES"/>
              </w:rPr>
            </w:pPr>
          </w:p>
        </w:tc>
      </w:tr>
      <w:tr w:rsidR="00F821D7" w:rsidRPr="00F821D7" w14:paraId="7F3397DD" w14:textId="77777777" w:rsidTr="001801F8">
        <w:trPr>
          <w:trHeight w:val="884"/>
        </w:trPr>
        <w:tc>
          <w:tcPr>
            <w:tcW w:w="2689" w:type="dxa"/>
          </w:tcPr>
          <w:p w14:paraId="1BE186A2" w14:textId="77777777" w:rsidR="00F821D7" w:rsidRPr="00F821D7" w:rsidRDefault="00F821D7" w:rsidP="00F821D7">
            <w:pPr>
              <w:jc w:val="both"/>
              <w:rPr>
                <w:rFonts w:ascii="Verdana" w:eastAsia="Calibri" w:hAnsi="Verdana" w:cs="Arial"/>
                <w:lang w:val="es-ES_tradnl" w:eastAsia="es-ES_tradnl"/>
              </w:rPr>
            </w:pPr>
            <w:r w:rsidRPr="00F821D7">
              <w:rPr>
                <w:rFonts w:ascii="Verdana" w:eastAsia="Calibri" w:hAnsi="Verdana" w:cs="Arial"/>
                <w:b/>
                <w:lang w:val="es-ES_tradnl" w:eastAsia="es-ES_tradnl"/>
              </w:rPr>
              <w:t>Temas:</w:t>
            </w:r>
            <w:r w:rsidRPr="00F821D7">
              <w:rPr>
                <w:rFonts w:ascii="Verdana" w:eastAsia="Calibri" w:hAnsi="Verdana" w:cs="Arial"/>
                <w:lang w:val="es-ES_tradnl" w:eastAsia="es-ES_tradnl"/>
              </w:rPr>
              <w:t xml:space="preserve">                   </w:t>
            </w:r>
          </w:p>
        </w:tc>
        <w:tc>
          <w:tcPr>
            <w:tcW w:w="6100" w:type="dxa"/>
          </w:tcPr>
          <w:p w14:paraId="35F6B810" w14:textId="77777777" w:rsidR="00F821D7" w:rsidRPr="00F821D7" w:rsidRDefault="00F821D7" w:rsidP="00F821D7">
            <w:pPr>
              <w:spacing w:line="276" w:lineRule="auto"/>
              <w:jc w:val="both"/>
              <w:rPr>
                <w:rFonts w:ascii="Verdana" w:eastAsia="Calibri" w:hAnsi="Verdana" w:cs="Arial"/>
                <w:lang w:val="es-ES" w:eastAsia="es-ES"/>
              </w:rPr>
            </w:pPr>
            <w:r w:rsidRPr="00F821D7">
              <w:rPr>
                <w:rFonts w:ascii="Verdana" w:eastAsia="Calibri" w:hAnsi="Verdana" w:cs="Arial"/>
                <w:lang w:val="es-ES" w:eastAsia="es-ES"/>
              </w:rPr>
              <w:t>VIGILANCIA DE LOS CONTRATOS ESTATALES – Marco jurídico – Obligación de la entidad – Objetivo / SUPERVISIÓN E INTERVENTORÍA – Marco jurídico – Finalidad / SUPERVISIÓN DEL CONTRATO – Características / SUPERVISIÓN DEL CONTRATO – Responsabilidad – Ordenador del gasto – Apoyo a la supervisión</w:t>
            </w:r>
          </w:p>
          <w:p w14:paraId="55001507" w14:textId="77777777" w:rsidR="00F821D7" w:rsidRPr="00F821D7" w:rsidRDefault="00F821D7" w:rsidP="00F821D7">
            <w:pPr>
              <w:spacing w:line="276" w:lineRule="auto"/>
              <w:jc w:val="both"/>
              <w:rPr>
                <w:rFonts w:ascii="Verdana" w:eastAsia="Calibri" w:hAnsi="Verdana" w:cs="Arial"/>
                <w:lang w:val="es-ES" w:eastAsia="es-ES"/>
              </w:rPr>
            </w:pPr>
          </w:p>
        </w:tc>
      </w:tr>
      <w:tr w:rsidR="00F821D7" w:rsidRPr="00F821D7" w14:paraId="17541CF1" w14:textId="77777777" w:rsidTr="001801F8">
        <w:tc>
          <w:tcPr>
            <w:tcW w:w="2689" w:type="dxa"/>
          </w:tcPr>
          <w:p w14:paraId="7955EFD2" w14:textId="77777777" w:rsidR="00F821D7" w:rsidRPr="00F821D7" w:rsidRDefault="00F821D7" w:rsidP="00F821D7">
            <w:pPr>
              <w:jc w:val="both"/>
              <w:rPr>
                <w:rFonts w:ascii="Verdana" w:eastAsia="Calibri" w:hAnsi="Verdana" w:cs="Arial"/>
                <w:b/>
                <w:lang w:val="es-ES_tradnl" w:eastAsia="es-ES_tradnl"/>
              </w:rPr>
            </w:pPr>
            <w:r w:rsidRPr="00F821D7">
              <w:rPr>
                <w:rFonts w:ascii="Verdana" w:eastAsia="Calibri" w:hAnsi="Verdana" w:cs="Arial"/>
                <w:b/>
                <w:lang w:val="es-ES_tradnl" w:eastAsia="es-ES_tradnl"/>
              </w:rPr>
              <w:t>Radicación:</w:t>
            </w:r>
            <w:r w:rsidRPr="00F821D7">
              <w:rPr>
                <w:rFonts w:ascii="Verdana" w:eastAsia="Calibri" w:hAnsi="Verdana" w:cs="Arial"/>
                <w:lang w:val="es-ES_tradnl" w:eastAsia="es-ES_tradnl"/>
              </w:rPr>
              <w:t xml:space="preserve">               </w:t>
            </w:r>
          </w:p>
        </w:tc>
        <w:tc>
          <w:tcPr>
            <w:tcW w:w="6100" w:type="dxa"/>
          </w:tcPr>
          <w:p w14:paraId="70DE32EA" w14:textId="77777777" w:rsidR="00F821D7" w:rsidRPr="00F821D7" w:rsidRDefault="00F821D7" w:rsidP="00F821D7">
            <w:pPr>
              <w:jc w:val="both"/>
              <w:rPr>
                <w:rFonts w:ascii="Verdana" w:eastAsia="Calibri" w:hAnsi="Verdana" w:cs="Arial"/>
                <w:lang w:val="es-ES_tradnl" w:eastAsia="es-ES_tradnl"/>
              </w:rPr>
            </w:pPr>
            <w:r w:rsidRPr="00F821D7">
              <w:rPr>
                <w:rFonts w:ascii="Verdana" w:eastAsia="Calibri" w:hAnsi="Verdana" w:cs="Arial"/>
                <w:lang w:val="es-ES_tradnl" w:eastAsia="es-ES_tradnl"/>
              </w:rPr>
              <w:t>Respuesta a consulta con radicado No. 1_2025_07_15_007220</w:t>
            </w:r>
          </w:p>
        </w:tc>
      </w:tr>
    </w:tbl>
    <w:p w14:paraId="10E70C9D" w14:textId="77777777" w:rsidR="00F821D7" w:rsidRPr="00F821D7" w:rsidRDefault="00F821D7" w:rsidP="00F821D7">
      <w:pPr>
        <w:spacing w:after="0" w:line="240" w:lineRule="auto"/>
        <w:jc w:val="both"/>
        <w:rPr>
          <w:rFonts w:ascii="Verdana" w:eastAsia="Calibri" w:hAnsi="Verdana" w:cs="Arial"/>
          <w:lang w:val="es-ES_tradnl" w:eastAsia="es-ES_tradnl"/>
        </w:rPr>
      </w:pPr>
    </w:p>
    <w:p w14:paraId="0ADBAC52" w14:textId="77777777" w:rsidR="00F821D7" w:rsidRPr="00F821D7" w:rsidRDefault="00F821D7" w:rsidP="00F821D7">
      <w:pPr>
        <w:spacing w:after="0" w:line="240" w:lineRule="auto"/>
        <w:jc w:val="both"/>
        <w:rPr>
          <w:rFonts w:ascii="Verdana" w:eastAsia="Calibri" w:hAnsi="Verdana" w:cs="Arial"/>
          <w:lang w:val="es-ES_tradnl" w:eastAsia="es-ES_tradnl"/>
        </w:rPr>
      </w:pPr>
    </w:p>
    <w:p w14:paraId="286E6BA1" w14:textId="77777777" w:rsidR="00F821D7" w:rsidRPr="00F821D7" w:rsidRDefault="00F821D7" w:rsidP="00F821D7">
      <w:pPr>
        <w:spacing w:after="0" w:line="276" w:lineRule="auto"/>
        <w:jc w:val="both"/>
        <w:rPr>
          <w:rFonts w:ascii="Verdana" w:eastAsia="Calibri" w:hAnsi="Verdana" w:cs="Arial"/>
          <w:lang w:val="es-ES" w:eastAsia="es-ES"/>
        </w:rPr>
      </w:pPr>
      <w:r w:rsidRPr="00F821D7">
        <w:rPr>
          <w:rFonts w:ascii="Verdana" w:eastAsia="Calibri" w:hAnsi="Verdana" w:cs="Arial"/>
          <w:lang w:val="es-ES" w:eastAsia="es-ES"/>
        </w:rPr>
        <w:t xml:space="preserve">Estimada señora Alban: </w:t>
      </w:r>
    </w:p>
    <w:p w14:paraId="2F23CEEA" w14:textId="77777777" w:rsidR="00F821D7" w:rsidRPr="00F821D7" w:rsidRDefault="00F821D7" w:rsidP="00F821D7">
      <w:pPr>
        <w:tabs>
          <w:tab w:val="left" w:pos="3768"/>
        </w:tabs>
        <w:spacing w:after="0" w:line="276" w:lineRule="auto"/>
        <w:jc w:val="both"/>
        <w:rPr>
          <w:rFonts w:ascii="Verdana" w:eastAsia="Calibri" w:hAnsi="Verdana" w:cs="Arial"/>
          <w:lang w:val="es-ES" w:eastAsia="es-ES"/>
        </w:rPr>
      </w:pPr>
    </w:p>
    <w:p w14:paraId="0BC5AF2B" w14:textId="77777777" w:rsidR="00F821D7" w:rsidRPr="00F821D7" w:rsidRDefault="00F821D7" w:rsidP="00F821D7">
      <w:pPr>
        <w:spacing w:after="0" w:line="276" w:lineRule="auto"/>
        <w:jc w:val="both"/>
        <w:rPr>
          <w:rFonts w:ascii="Verdana" w:eastAsia="Calibri" w:hAnsi="Verdana" w:cs="Arial"/>
          <w:lang w:val="es-ES" w:eastAsia="es-ES"/>
        </w:rPr>
      </w:pPr>
      <w:r w:rsidRPr="00F821D7">
        <w:rPr>
          <w:rFonts w:ascii="Verdana" w:eastAsia="Calibri" w:hAnsi="Verdana" w:cs="Arial"/>
          <w:lang w:val="es-ES" w:eastAsia="es-ES"/>
        </w:rPr>
        <w:t>En ejercicio de la competencia otorgada por los artículos 3, numeral 5º, y 11, numeral 8º, del Decreto Ley 4170 de 2011,</w:t>
      </w:r>
      <w:r w:rsidRPr="00F821D7">
        <w:rPr>
          <w:rFonts w:ascii="Verdana" w:eastAsia="Arial MT" w:hAnsi="Verdana" w:cs="Arial MT"/>
          <w:lang w:val="es-ES" w:eastAsia="es-ES"/>
        </w:rPr>
        <w:t xml:space="preserve"> </w:t>
      </w:r>
      <w:r w:rsidRPr="00F821D7">
        <w:rPr>
          <w:rFonts w:ascii="Verdana" w:eastAsia="Aptos" w:hAnsi="Verdana" w:cs="Arial"/>
        </w:rPr>
        <w:t xml:space="preserve">así como lo establecido en el artículo 4 de la Resolución 1707 de 2018 expedida por esta Entidad, </w:t>
      </w:r>
      <w:r w:rsidRPr="00F821D7">
        <w:rPr>
          <w:rFonts w:ascii="Verdana" w:eastAsia="Calibri" w:hAnsi="Verdana" w:cs="Arial"/>
          <w:lang w:val="es-ES" w:eastAsia="es-ES"/>
        </w:rPr>
        <w:t xml:space="preserve">la Agencia Nacional de Contratación Pública – Colombia Compra Eficiente– responde su petición del 15 de julio de 2025, en la que realiza la siguiente consulta: </w:t>
      </w:r>
    </w:p>
    <w:p w14:paraId="39DDB507" w14:textId="77777777" w:rsidR="00F821D7" w:rsidRPr="00F821D7" w:rsidRDefault="00F821D7" w:rsidP="00F821D7">
      <w:pPr>
        <w:tabs>
          <w:tab w:val="left" w:pos="142"/>
          <w:tab w:val="left" w:pos="284"/>
        </w:tabs>
        <w:spacing w:after="0" w:line="240" w:lineRule="auto"/>
        <w:contextualSpacing/>
        <w:jc w:val="both"/>
        <w:rPr>
          <w:rFonts w:ascii="Verdana" w:eastAsia="Century Gothic" w:hAnsi="Verdana" w:cs="Century Gothic"/>
          <w:b/>
          <w:bCs/>
          <w:sz w:val="20"/>
          <w:szCs w:val="20"/>
          <w:lang w:val="es-ES"/>
        </w:rPr>
      </w:pPr>
    </w:p>
    <w:p w14:paraId="09768E0F" w14:textId="77777777" w:rsidR="00F821D7" w:rsidRPr="00F821D7" w:rsidRDefault="00F821D7" w:rsidP="00F821D7">
      <w:pPr>
        <w:tabs>
          <w:tab w:val="left" w:pos="709"/>
        </w:tabs>
        <w:spacing w:after="0" w:line="240" w:lineRule="auto"/>
        <w:ind w:left="709" w:right="709"/>
        <w:jc w:val="both"/>
        <w:rPr>
          <w:rFonts w:ascii="Verdana" w:eastAsia="Calibri" w:hAnsi="Verdana" w:cs="Arial"/>
          <w:sz w:val="20"/>
          <w:szCs w:val="20"/>
          <w:lang w:val="es-MX"/>
        </w:rPr>
      </w:pPr>
      <w:r w:rsidRPr="00F821D7">
        <w:rPr>
          <w:rFonts w:ascii="Verdana" w:eastAsia="Calibri" w:hAnsi="Verdana" w:cs="Arial"/>
          <w:sz w:val="20"/>
          <w:szCs w:val="20"/>
          <w:lang w:val="es-MX"/>
        </w:rPr>
        <w:t xml:space="preserve">“[…] ¿Es jurídicamente viable que el rol de ordenador del gasto en una entidad pública concurra con el de supervisor de un contrato? Asimismo, ¿se permite la </w:t>
      </w:r>
      <w:proofErr w:type="spellStart"/>
      <w:r w:rsidRPr="00F821D7">
        <w:rPr>
          <w:rFonts w:ascii="Verdana" w:eastAsia="Calibri" w:hAnsi="Verdana" w:cs="Arial"/>
          <w:sz w:val="20"/>
          <w:szCs w:val="20"/>
          <w:lang w:val="es-MX"/>
        </w:rPr>
        <w:t>co-supervisión</w:t>
      </w:r>
      <w:proofErr w:type="spellEnd"/>
      <w:r w:rsidRPr="00F821D7">
        <w:rPr>
          <w:rFonts w:ascii="Verdana" w:eastAsia="Calibri" w:hAnsi="Verdana" w:cs="Arial"/>
          <w:sz w:val="20"/>
          <w:szCs w:val="20"/>
          <w:lang w:val="es-MX"/>
        </w:rPr>
        <w:t xml:space="preserve"> de un contrato por parte del supervisor designado y del ordenador del gasto, teniendo en cuenta que este último también es responsable de la vigilancia y control de la ejecución del gasto y del contrato?” [sic]</w:t>
      </w:r>
    </w:p>
    <w:p w14:paraId="243497FD" w14:textId="77777777" w:rsidR="00F821D7" w:rsidRPr="00F821D7" w:rsidRDefault="00F821D7" w:rsidP="00F821D7">
      <w:pPr>
        <w:tabs>
          <w:tab w:val="left" w:pos="142"/>
          <w:tab w:val="left" w:pos="284"/>
        </w:tabs>
        <w:spacing w:line="276" w:lineRule="auto"/>
        <w:contextualSpacing/>
        <w:jc w:val="both"/>
        <w:rPr>
          <w:rFonts w:ascii="Verdana" w:eastAsia="Century Gothic" w:hAnsi="Verdana" w:cs="Century Gothic"/>
          <w:b/>
          <w:bCs/>
          <w:lang w:val="es-ES"/>
        </w:rPr>
      </w:pPr>
    </w:p>
    <w:p w14:paraId="10B783C7" w14:textId="77777777" w:rsidR="00F821D7" w:rsidRPr="00F821D7" w:rsidRDefault="00F821D7" w:rsidP="00F821D7">
      <w:pPr>
        <w:spacing w:after="120" w:line="276" w:lineRule="auto"/>
        <w:ind w:firstLine="709"/>
        <w:jc w:val="both"/>
        <w:rPr>
          <w:rFonts w:ascii="Verdana" w:eastAsia="Calibri" w:hAnsi="Verdana" w:cs="Arial"/>
          <w:szCs w:val="24"/>
          <w:lang w:val="es-ES_tradnl" w:eastAsia="es-ES_tradnl"/>
        </w:rPr>
      </w:pPr>
      <w:r w:rsidRPr="00F821D7">
        <w:rPr>
          <w:rFonts w:ascii="Verdana" w:eastAsia="Calibri" w:hAnsi="Verdana" w:cs="Arial"/>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6B472BFA" w14:textId="77777777" w:rsidR="00F821D7" w:rsidRPr="00F821D7" w:rsidRDefault="00F821D7" w:rsidP="00F821D7">
      <w:pPr>
        <w:spacing w:after="0" w:line="276" w:lineRule="auto"/>
        <w:ind w:firstLine="709"/>
        <w:jc w:val="both"/>
        <w:rPr>
          <w:rFonts w:ascii="Verdana" w:eastAsia="Calibri" w:hAnsi="Verdana" w:cs="Arial"/>
          <w:lang w:val="es-ES" w:eastAsia="es-ES"/>
        </w:rPr>
      </w:pPr>
      <w:r w:rsidRPr="00F821D7">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246F08FD" w14:textId="77777777" w:rsidR="00F821D7" w:rsidRPr="00F821D7" w:rsidRDefault="00F821D7" w:rsidP="00F821D7">
      <w:pPr>
        <w:spacing w:after="0" w:line="276" w:lineRule="auto"/>
        <w:ind w:firstLine="709"/>
        <w:jc w:val="both"/>
        <w:rPr>
          <w:rFonts w:ascii="Verdana" w:eastAsia="Calibri" w:hAnsi="Verdana" w:cs="Arial"/>
          <w:lang w:val="es-ES" w:eastAsia="es-ES"/>
        </w:rPr>
      </w:pPr>
    </w:p>
    <w:p w14:paraId="52B88C6E" w14:textId="77777777" w:rsidR="00F821D7" w:rsidRPr="00F821D7" w:rsidRDefault="00F821D7" w:rsidP="00F821D7">
      <w:pPr>
        <w:widowControl w:val="0"/>
        <w:autoSpaceDE w:val="0"/>
        <w:autoSpaceDN w:val="0"/>
        <w:spacing w:before="1" w:after="0" w:line="240" w:lineRule="auto"/>
        <w:ind w:left="360" w:hanging="360"/>
        <w:jc w:val="both"/>
        <w:outlineLvl w:val="0"/>
        <w:rPr>
          <w:rFonts w:ascii="Verdana" w:eastAsia="Arial" w:hAnsi="Verdana" w:cs="Arial"/>
          <w:b/>
          <w:bCs/>
          <w:lang w:val="es-ES"/>
        </w:rPr>
      </w:pPr>
      <w:r w:rsidRPr="00F821D7">
        <w:rPr>
          <w:rFonts w:ascii="Verdana" w:eastAsia="Arial" w:hAnsi="Verdana" w:cs="Arial"/>
          <w:b/>
          <w:bCs/>
          <w:lang w:val="es-ES"/>
        </w:rPr>
        <w:t>1. Problema planteado:</w:t>
      </w:r>
    </w:p>
    <w:p w14:paraId="0CF02C7C" w14:textId="77777777" w:rsidR="00F821D7" w:rsidRPr="00F821D7" w:rsidRDefault="00F821D7" w:rsidP="00F821D7">
      <w:pPr>
        <w:tabs>
          <w:tab w:val="left" w:pos="426"/>
        </w:tabs>
        <w:spacing w:after="0" w:line="276" w:lineRule="auto"/>
        <w:jc w:val="both"/>
        <w:rPr>
          <w:rFonts w:ascii="Verdana" w:eastAsia="Century Gothic" w:hAnsi="Verdana" w:cs="Century Gothic"/>
          <w:lang w:val="es-ES"/>
        </w:rPr>
      </w:pPr>
    </w:p>
    <w:p w14:paraId="74E74053" w14:textId="77777777" w:rsidR="00F821D7" w:rsidRPr="00F821D7" w:rsidRDefault="00F821D7" w:rsidP="00F821D7">
      <w:pPr>
        <w:spacing w:after="0" w:line="276" w:lineRule="auto"/>
        <w:jc w:val="both"/>
        <w:rPr>
          <w:rFonts w:ascii="Verdana" w:eastAsia="Century Gothic" w:hAnsi="Verdana" w:cs="Century Gothic"/>
        </w:rPr>
      </w:pPr>
      <w:r w:rsidRPr="00F821D7">
        <w:rPr>
          <w:rFonts w:ascii="Verdana" w:eastAsia="Century Gothic" w:hAnsi="Verdana" w:cs="Century Gothic"/>
        </w:rPr>
        <w:t xml:space="preserve">De acuerdo con el contenido de su solicitud, le informamos que la misma se resolverá desde el siguiente </w:t>
      </w:r>
      <w:bookmarkStart w:id="0" w:name="_Hlk171070029"/>
      <w:r w:rsidRPr="00F821D7">
        <w:rPr>
          <w:rFonts w:ascii="Verdana" w:eastAsia="Century Gothic" w:hAnsi="Verdana" w:cs="Century Gothic"/>
        </w:rPr>
        <w:t>interrogante: ¿Pueden los ordenadores del gasto de las Entidades Estatales desempeñar la labor de supervisión de los contratos que se suscriban?</w:t>
      </w:r>
    </w:p>
    <w:p w14:paraId="669BA197" w14:textId="77777777" w:rsidR="00F821D7" w:rsidRPr="00F821D7" w:rsidRDefault="00F821D7" w:rsidP="00F821D7">
      <w:pPr>
        <w:spacing w:after="0" w:line="276" w:lineRule="auto"/>
        <w:jc w:val="both"/>
        <w:rPr>
          <w:rFonts w:ascii="Verdana" w:eastAsia="Calibri" w:hAnsi="Verdana" w:cs="Arial"/>
          <w:lang w:val="es-ES"/>
        </w:rPr>
      </w:pPr>
    </w:p>
    <w:bookmarkEnd w:id="0"/>
    <w:p w14:paraId="7B931E5B" w14:textId="77777777" w:rsidR="00F821D7" w:rsidRPr="00F821D7" w:rsidRDefault="00F821D7" w:rsidP="00F821D7">
      <w:pPr>
        <w:widowControl w:val="0"/>
        <w:autoSpaceDE w:val="0"/>
        <w:autoSpaceDN w:val="0"/>
        <w:spacing w:before="1" w:after="0" w:line="240" w:lineRule="auto"/>
        <w:jc w:val="both"/>
        <w:outlineLvl w:val="0"/>
        <w:rPr>
          <w:rFonts w:ascii="Verdana" w:eastAsia="Arial" w:hAnsi="Verdana" w:cs="Arial"/>
          <w:b/>
          <w:bCs/>
          <w:lang w:val="es-ES"/>
        </w:rPr>
      </w:pPr>
      <w:r w:rsidRPr="00F821D7">
        <w:rPr>
          <w:rFonts w:ascii="Verdana" w:eastAsia="Arial" w:hAnsi="Verdana" w:cs="Arial"/>
          <w:b/>
          <w:bCs/>
          <w:lang w:val="es-ES"/>
        </w:rPr>
        <w:t>2. Respuesta:</w:t>
      </w:r>
    </w:p>
    <w:p w14:paraId="5600769A" w14:textId="77777777" w:rsidR="00F821D7" w:rsidRPr="00F821D7" w:rsidRDefault="00F821D7" w:rsidP="00F821D7">
      <w:pPr>
        <w:spacing w:after="0"/>
        <w:rPr>
          <w:rFonts w:ascii="Verdana" w:eastAsia="Aptos" w:hAnsi="Verdana" w:cs="Times New Roman"/>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821D7" w:rsidRPr="00F821D7" w14:paraId="2D89AAD9" w14:textId="77777777" w:rsidTr="001801F8">
        <w:tc>
          <w:tcPr>
            <w:tcW w:w="8828" w:type="dxa"/>
          </w:tcPr>
          <w:p w14:paraId="6AD2E15D" w14:textId="77777777" w:rsidR="00F821D7" w:rsidRPr="00F821D7" w:rsidRDefault="00F821D7" w:rsidP="00F821D7">
            <w:pPr>
              <w:spacing w:after="120" w:line="276" w:lineRule="auto"/>
              <w:jc w:val="both"/>
              <w:rPr>
                <w:rFonts w:ascii="Verdana" w:eastAsia="Calibri" w:hAnsi="Verdana" w:cs="Arial"/>
                <w:lang w:val="es-ES"/>
              </w:rPr>
            </w:pPr>
            <w:bookmarkStart w:id="1" w:name="_Hlk171067516"/>
            <w:r w:rsidRPr="00F821D7">
              <w:rPr>
                <w:rFonts w:ascii="Verdana" w:eastAsia="Calibri" w:hAnsi="Verdana" w:cs="Arial"/>
                <w:lang w:val="es-ES"/>
              </w:rPr>
              <w:t xml:space="preserve">Inicialmente, debe precisarse que, de acuerdo con lo establecido en el artículo 83 de la Ley 1474 de 2011, la labor de supervisión del contrato debe ser ejercida por la misma Entidad Estatal en cumplimiento de su deber de vigilancia de la ejecución idónea y oportuna del objeto contratado. Esta obligación se predica, en principio, del jefe o representante legal de la entidad, por tener la responsabilidad de la dirección y manejo de la actividad contractual. Sin embargo, este puede asignar en un servidor público la función de ordenador del gasto quien, primeramente, será el facultado para vigilar y controlar la ejecución del gasto y del contrato. </w:t>
            </w:r>
          </w:p>
          <w:p w14:paraId="371C8A72" w14:textId="77777777" w:rsidR="00F821D7" w:rsidRPr="00F821D7" w:rsidRDefault="00F821D7" w:rsidP="00F821D7">
            <w:pPr>
              <w:spacing w:after="120" w:line="276" w:lineRule="auto"/>
              <w:ind w:firstLine="709"/>
              <w:jc w:val="both"/>
              <w:rPr>
                <w:rFonts w:ascii="Verdana" w:eastAsia="Calibri" w:hAnsi="Verdana" w:cs="Arial"/>
                <w:lang w:val="es-ES"/>
              </w:rPr>
            </w:pPr>
            <w:r w:rsidRPr="00F821D7">
              <w:rPr>
                <w:rFonts w:ascii="Verdana" w:eastAsia="Calibri" w:hAnsi="Verdana" w:cs="Arial"/>
                <w:lang w:val="es-ES"/>
              </w:rPr>
              <w:lastRenderedPageBreak/>
              <w:t>Así las cosas, no existe impedimento para que el ordenador del gasto, de acuerdo con las particularidades de cada caso, asigne en otros servidores la labor de supervisor. Incluso se apoye en funcionarios públicos o contratistas para desarrollar la supervisión de los contratos. Esto, ha sido resaltado por la Agencia Nacional de Contratación Pública – Colombia Compra Eficiente en la “Guía para el ejercicio de las funciones de supervisión e interventoría de los contratos suscritos por las Entidades Estatales”, documento en el que a su vez recomienda para la designación de los supervisores, tener en cuenta los siguientes criterios: a) se elija al funcionario público que pueda actuar como par del contratista; b) que tenga asignadas funciones relacionadas con el objeto contractual y; c) que de forma previa, se analice la carga operativa de este para no incurrir en el riesgo de que no pueda desempeñar la labor de forma adecuada.</w:t>
            </w:r>
          </w:p>
          <w:p w14:paraId="5CF8135A" w14:textId="77777777" w:rsidR="00F821D7" w:rsidRPr="00F821D7" w:rsidRDefault="00F821D7" w:rsidP="00F821D7">
            <w:pPr>
              <w:spacing w:after="120" w:line="276" w:lineRule="auto"/>
              <w:ind w:firstLine="709"/>
              <w:jc w:val="both"/>
              <w:rPr>
                <w:rFonts w:ascii="Verdana" w:eastAsia="Calibri" w:hAnsi="Verdana" w:cs="Arial"/>
                <w:lang w:val="es-ES"/>
              </w:rPr>
            </w:pPr>
            <w:r w:rsidRPr="00F821D7">
              <w:rPr>
                <w:rFonts w:ascii="Verdana" w:eastAsia="Calibri" w:hAnsi="Verdana" w:cs="Arial"/>
                <w:lang w:val="es-ES"/>
              </w:rPr>
              <w:t>Adicionalmente, resulta a bien aclarar que el término “</w:t>
            </w:r>
            <w:proofErr w:type="spellStart"/>
            <w:r w:rsidRPr="00F821D7">
              <w:rPr>
                <w:rFonts w:ascii="Verdana" w:eastAsia="Calibri" w:hAnsi="Verdana" w:cs="Arial"/>
                <w:lang w:val="es-ES"/>
              </w:rPr>
              <w:t>co-supervisión</w:t>
            </w:r>
            <w:proofErr w:type="spellEnd"/>
            <w:r w:rsidRPr="00F821D7">
              <w:rPr>
                <w:rFonts w:ascii="Verdana" w:eastAsia="Calibri" w:hAnsi="Verdana" w:cs="Arial"/>
                <w:lang w:val="es-ES"/>
              </w:rPr>
              <w:t xml:space="preserve">” no ha sido desarrollado por la normativa contractual ni por la jurisprudencia. </w:t>
            </w:r>
            <w:r w:rsidRPr="00F821D7">
              <w:rPr>
                <w:rFonts w:ascii="Verdana" w:eastAsia="Calibri" w:hAnsi="Verdana" w:cs="Arial"/>
                <w:color w:val="000000"/>
                <w:lang w:val="es-ES"/>
              </w:rPr>
              <w:t>Al respecto, se resalta que pueden designarse varias personas para supervisar un contrato, por lo que podrán ser designados como supervisores el ordenador del gasto y otro funcionario. Así mismo,</w:t>
            </w:r>
            <w:r w:rsidRPr="00F821D7">
              <w:rPr>
                <w:rFonts w:ascii="Verdana" w:eastAsia="Calibri" w:hAnsi="Verdana" w:cs="Arial"/>
                <w:lang w:val="es-ES"/>
              </w:rPr>
              <w:t xml:space="preserve"> se admite el apoyo a la supervisión de los contratos estatales bien sea por funcionarios públicos de la misma entidad o por sus contratistas. Esto, siempre y cuando el manual de funciones para los primeros, y las obligaciones contractuales para los segundos, permitan el ejercicio de dicha labor o actividad.</w:t>
            </w:r>
          </w:p>
          <w:p w14:paraId="340B38AA" w14:textId="77777777" w:rsidR="00F821D7" w:rsidRPr="00F821D7" w:rsidRDefault="00F821D7" w:rsidP="00F821D7">
            <w:pPr>
              <w:spacing w:after="120" w:line="276" w:lineRule="auto"/>
              <w:ind w:firstLine="709"/>
              <w:jc w:val="both"/>
              <w:rPr>
                <w:rFonts w:ascii="Verdana" w:eastAsia="Calibri" w:hAnsi="Verdana" w:cs="Arial"/>
                <w:lang w:val="es-ES"/>
              </w:rPr>
            </w:pPr>
            <w:r w:rsidRPr="00F821D7">
              <w:rPr>
                <w:rFonts w:ascii="Verdana" w:eastAsia="Calibri" w:hAnsi="Verdana" w:cs="Arial"/>
              </w:rPr>
              <w:t xml:space="preserve">Finalmente, debe advertirse que el análisis requerido para resolver problemas específicos en torno a la designación de los supervisores de los contratos que suscriban las Entidades Estatales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de adoptar la decisión y, en caso de conflicto, a las autoridades judiciales, fiscales y disciplinarias.  </w:t>
            </w:r>
          </w:p>
        </w:tc>
      </w:tr>
      <w:bookmarkEnd w:id="1"/>
    </w:tbl>
    <w:p w14:paraId="156C1F8D" w14:textId="77777777" w:rsidR="00F821D7" w:rsidRPr="00F821D7" w:rsidRDefault="00F821D7" w:rsidP="00F821D7">
      <w:pPr>
        <w:widowControl w:val="0"/>
        <w:autoSpaceDE w:val="0"/>
        <w:autoSpaceDN w:val="0"/>
        <w:spacing w:after="0" w:line="276" w:lineRule="auto"/>
        <w:ind w:left="360" w:hanging="360"/>
        <w:outlineLvl w:val="0"/>
        <w:rPr>
          <w:rFonts w:ascii="Verdana" w:eastAsia="Arial" w:hAnsi="Verdana" w:cs="Arial"/>
          <w:b/>
        </w:rPr>
      </w:pPr>
    </w:p>
    <w:p w14:paraId="70031A18" w14:textId="77777777" w:rsidR="00F821D7" w:rsidRPr="00F821D7" w:rsidRDefault="00F821D7" w:rsidP="00F821D7">
      <w:pPr>
        <w:widowControl w:val="0"/>
        <w:autoSpaceDE w:val="0"/>
        <w:autoSpaceDN w:val="0"/>
        <w:spacing w:after="0" w:line="276" w:lineRule="auto"/>
        <w:ind w:left="360" w:hanging="360"/>
        <w:outlineLvl w:val="0"/>
        <w:rPr>
          <w:rFonts w:ascii="Verdana" w:eastAsia="Arial" w:hAnsi="Verdana" w:cs="Arial"/>
          <w:b/>
          <w:bCs/>
          <w:lang w:val="es-ES"/>
        </w:rPr>
      </w:pPr>
      <w:r w:rsidRPr="00F821D7">
        <w:rPr>
          <w:rFonts w:ascii="Verdana" w:eastAsia="Arial" w:hAnsi="Verdana" w:cs="Arial"/>
          <w:b/>
          <w:bCs/>
          <w:lang w:val="es-ES"/>
        </w:rPr>
        <w:t>3. Razones de la respuesta</w:t>
      </w:r>
    </w:p>
    <w:p w14:paraId="420CFB90" w14:textId="77777777" w:rsidR="00F821D7" w:rsidRPr="00F821D7" w:rsidRDefault="00F821D7" w:rsidP="00F821D7">
      <w:pPr>
        <w:spacing w:after="0" w:line="276" w:lineRule="auto"/>
        <w:jc w:val="both"/>
        <w:rPr>
          <w:rFonts w:ascii="Verdana" w:eastAsia="Calibri" w:hAnsi="Verdana" w:cs="Arial"/>
          <w:lang w:val="es-ES"/>
        </w:rPr>
      </w:pPr>
    </w:p>
    <w:p w14:paraId="071B8C12" w14:textId="77777777" w:rsidR="00F821D7" w:rsidRPr="00F821D7" w:rsidRDefault="00F821D7" w:rsidP="00F821D7">
      <w:pPr>
        <w:spacing w:after="0" w:line="276" w:lineRule="auto"/>
        <w:jc w:val="both"/>
        <w:rPr>
          <w:rFonts w:ascii="Verdana" w:eastAsia="Calibri" w:hAnsi="Verdana" w:cs="Arial"/>
          <w:lang w:val="es-ES"/>
        </w:rPr>
      </w:pPr>
      <w:r w:rsidRPr="00F821D7">
        <w:rPr>
          <w:rFonts w:ascii="Verdana" w:eastAsia="Calibri" w:hAnsi="Verdana" w:cs="Arial"/>
          <w:lang w:val="es-ES"/>
        </w:rPr>
        <w:t xml:space="preserve">Las respuestas anteriores se sustentan en las siguientes consideraciones: </w:t>
      </w:r>
    </w:p>
    <w:p w14:paraId="46D95053" w14:textId="77777777" w:rsidR="00F821D7" w:rsidRPr="00F821D7" w:rsidRDefault="00F821D7" w:rsidP="00F821D7">
      <w:pPr>
        <w:spacing w:after="0" w:line="276" w:lineRule="auto"/>
        <w:jc w:val="both"/>
        <w:rPr>
          <w:rFonts w:ascii="Verdana" w:eastAsia="Calibri" w:hAnsi="Verdana" w:cs="Arial"/>
          <w:lang w:val="es-ES"/>
        </w:rPr>
      </w:pPr>
    </w:p>
    <w:p w14:paraId="19EB6C6D" w14:textId="77777777" w:rsidR="00F821D7" w:rsidRPr="00F821D7" w:rsidRDefault="00F821D7" w:rsidP="00F821D7">
      <w:pPr>
        <w:spacing w:after="120" w:line="276" w:lineRule="auto"/>
        <w:jc w:val="both"/>
        <w:rPr>
          <w:rFonts w:ascii="Verdana" w:eastAsia="Calibri" w:hAnsi="Verdana" w:cs="Arial"/>
          <w:shd w:val="clear" w:color="auto" w:fill="FFFFFF"/>
        </w:rPr>
      </w:pPr>
      <w:bookmarkStart w:id="2" w:name="_Hlk173311098"/>
      <w:r w:rsidRPr="00F821D7">
        <w:rPr>
          <w:rFonts w:ascii="Verdana" w:eastAsia="Calibri" w:hAnsi="Verdana" w:cs="Arial"/>
          <w:bCs/>
          <w:lang w:eastAsia="es-MX"/>
        </w:rPr>
        <w:lastRenderedPageBreak/>
        <w:t>A través de la actividad contractual, el Estado adquiere bienes, obras y servicios para cumplir los fines que le impone el ordenamiento jurídico, garantizando así la continua y eficiente prestación de los servicios públicos y la efectividad de los derechos e intereses de los administrados</w:t>
      </w:r>
      <w:r w:rsidRPr="00F821D7">
        <w:rPr>
          <w:rFonts w:ascii="Verdana" w:eastAsia="Calibri" w:hAnsi="Verdana" w:cs="Arial"/>
          <w:vertAlign w:val="superscript"/>
        </w:rPr>
        <w:footnoteReference w:id="1"/>
      </w:r>
      <w:r w:rsidRPr="00F821D7">
        <w:rPr>
          <w:rFonts w:ascii="Verdana" w:eastAsia="Calibri" w:hAnsi="Verdana" w:cs="Arial"/>
          <w:bCs/>
          <w:lang w:eastAsia="es-MX"/>
        </w:rPr>
        <w:t>. Para la garantía de los fines de interés general involucrados en la contratación de las Entidades Estatales, el Estatuto General de Contratación de la Administración Pública –en adelante EGCAP– dispone que, en la etapa de ejecución del contrato, las Entidades Estatales y los servidores públicos que participan en ella tienen la obligación de controlar y vigilar la correcta ejecución del objeto contratado. Con esto se busca que las finalidades perseguidas con la celebración de los contratos estatales se logren de manera satisfactoria.</w:t>
      </w:r>
    </w:p>
    <w:p w14:paraId="77AB5721" w14:textId="77777777" w:rsidR="00F821D7" w:rsidRPr="00F821D7" w:rsidRDefault="00F821D7" w:rsidP="00F821D7">
      <w:pPr>
        <w:spacing w:after="120" w:line="276" w:lineRule="auto"/>
        <w:ind w:firstLine="708"/>
        <w:jc w:val="both"/>
        <w:rPr>
          <w:rFonts w:ascii="Verdana" w:eastAsia="Calibri" w:hAnsi="Verdana" w:cs="Arial"/>
          <w:shd w:val="clear" w:color="auto" w:fill="FFFFFF"/>
        </w:rPr>
      </w:pPr>
      <w:r w:rsidRPr="00F821D7">
        <w:rPr>
          <w:rFonts w:ascii="Verdana" w:eastAsia="Calibri" w:hAnsi="Verdana" w:cs="Arial"/>
          <w:shd w:val="clear" w:color="auto" w:fill="FFFFFF"/>
        </w:rPr>
        <w:t>Así, por ejemplo, la Ley 80 de 1993 establece en sus artículos 4, 5, 12, 14 y 26, entre otros aspectos, la obligación de las Entidades Estatales de velar por el correcto y oportuno cumplimiento de las prestaciones del contrato, las especificaciones de los bienes, obras y servicios de este,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su adecuado cumplimiento.</w:t>
      </w:r>
    </w:p>
    <w:p w14:paraId="033A7C69" w14:textId="77777777" w:rsidR="00F821D7" w:rsidRPr="00F821D7" w:rsidRDefault="00F821D7" w:rsidP="00F821D7">
      <w:pPr>
        <w:spacing w:after="120" w:line="276" w:lineRule="auto"/>
        <w:jc w:val="both"/>
        <w:rPr>
          <w:rFonts w:ascii="Verdana" w:eastAsia="Aptos" w:hAnsi="Verdana" w:cs="Arial"/>
          <w:lang w:val="es-ES_tradnl" w:eastAsia="es-MX"/>
        </w:rPr>
      </w:pPr>
      <w:r w:rsidRPr="00F821D7">
        <w:rPr>
          <w:rFonts w:ascii="Verdana" w:eastAsia="Calibri" w:hAnsi="Verdana" w:cs="Arial"/>
          <w:shd w:val="clear" w:color="auto" w:fill="FFFFFF"/>
        </w:rPr>
        <w:tab/>
      </w:r>
      <w:r w:rsidRPr="00F821D7">
        <w:rPr>
          <w:rFonts w:ascii="Verdana" w:eastAsia="Aptos" w:hAnsi="Verdana" w:cs="Arial"/>
          <w:lang w:val="es-ES_tradnl" w:eastAsia="es-MX"/>
        </w:rPr>
        <w:t>En ese sentido, las Leyes 1150 de 2007 y 1474 de 2011, complementan el régimen jurídico de la obligación de vigilar la correcta ejecución de los contratos estatales. En dichas normas se impone el debido proceso como principio rector en materia sancionatoria contractual, entre otros, para la imposición de multas y la decisión de hacer efectiva la cláusula penal, principio que se debe respetar en el ejercicio del control y vigilancia de la ejecución contractual</w:t>
      </w:r>
      <w:r w:rsidRPr="00F821D7">
        <w:rPr>
          <w:rFonts w:ascii="Verdana" w:eastAsia="Aptos" w:hAnsi="Verdana" w:cs="Arial"/>
          <w:vertAlign w:val="superscript"/>
          <w:lang w:val="es-ES_tradnl" w:eastAsia="es-MX"/>
        </w:rPr>
        <w:footnoteReference w:id="2"/>
      </w:r>
      <w:r w:rsidRPr="00F821D7">
        <w:rPr>
          <w:rFonts w:ascii="Verdana" w:eastAsia="Aptos" w:hAnsi="Verdana" w:cs="Arial"/>
          <w:lang w:val="es-ES_tradnl" w:eastAsia="es-MX"/>
        </w:rPr>
        <w:t>. También se establecen los límites de la responsabilidad del representante legal ante la delegación de sus funciones en materia contractual</w:t>
      </w:r>
      <w:r w:rsidRPr="00F821D7">
        <w:rPr>
          <w:rFonts w:ascii="Verdana" w:eastAsia="Aptos" w:hAnsi="Verdana" w:cs="Arial"/>
          <w:vertAlign w:val="superscript"/>
          <w:lang w:val="es-ES_tradnl" w:eastAsia="es-MX"/>
        </w:rPr>
        <w:footnoteReference w:id="3"/>
      </w:r>
      <w:r w:rsidRPr="00F821D7">
        <w:rPr>
          <w:rFonts w:ascii="Verdana" w:eastAsia="Aptos" w:hAnsi="Verdana" w:cs="Arial"/>
          <w:lang w:val="es-ES_tradnl" w:eastAsia="es-MX"/>
        </w:rPr>
        <w:t xml:space="preserve"> y se regula la supervisión y la interventoría de los contratos estatales</w:t>
      </w:r>
      <w:r w:rsidRPr="00F821D7">
        <w:rPr>
          <w:rFonts w:ascii="Verdana" w:eastAsia="Aptos" w:hAnsi="Verdana" w:cs="Arial"/>
          <w:vertAlign w:val="superscript"/>
          <w:lang w:val="es-ES_tradnl" w:eastAsia="es-MX"/>
        </w:rPr>
        <w:footnoteReference w:id="4"/>
      </w:r>
      <w:r w:rsidRPr="00F821D7">
        <w:rPr>
          <w:rFonts w:ascii="Verdana" w:eastAsia="Aptos" w:hAnsi="Verdana" w:cs="Arial"/>
          <w:lang w:val="es-ES_tradnl" w:eastAsia="es-MX"/>
        </w:rPr>
        <w:t>.</w:t>
      </w:r>
    </w:p>
    <w:p w14:paraId="75C37F83" w14:textId="77777777" w:rsidR="00F821D7" w:rsidRPr="00F821D7" w:rsidRDefault="00F821D7" w:rsidP="00F821D7">
      <w:pPr>
        <w:spacing w:before="120" w:after="0" w:line="276" w:lineRule="auto"/>
        <w:ind w:firstLine="708"/>
        <w:jc w:val="both"/>
        <w:textAlignment w:val="baseline"/>
        <w:rPr>
          <w:rFonts w:ascii="Verdana" w:eastAsia="Aptos" w:hAnsi="Verdana" w:cs="Arial"/>
          <w:lang w:val="es-ES_tradnl" w:eastAsia="es-MX"/>
        </w:rPr>
      </w:pPr>
      <w:r w:rsidRPr="00F821D7">
        <w:rPr>
          <w:rFonts w:ascii="Verdana" w:eastAsia="Aptos" w:hAnsi="Verdana" w:cs="Arial"/>
          <w:lang w:val="es-ES_tradnl" w:eastAsia="es-MX"/>
        </w:rPr>
        <w:lastRenderedPageBreak/>
        <w:t xml:space="preserve">En consecuencia, se tiene que, la jurisprudencia contencioso-administrativa, por su parte, ha considerado que la obligación de vigilar la correcta ejecución del objeto contractual es una función de la entidad contratante, en los siguientes términos: </w:t>
      </w:r>
    </w:p>
    <w:p w14:paraId="67FFCDB5" w14:textId="77777777" w:rsidR="00F821D7" w:rsidRPr="00F821D7" w:rsidRDefault="00F821D7" w:rsidP="00F821D7">
      <w:pPr>
        <w:spacing w:after="0"/>
        <w:ind w:left="709"/>
        <w:contextualSpacing/>
        <w:jc w:val="both"/>
        <w:rPr>
          <w:rFonts w:ascii="Verdana" w:eastAsia="Aptos" w:hAnsi="Verdana" w:cs="Arial"/>
          <w:lang w:val="es-ES_tradnl" w:eastAsia="es-MX"/>
        </w:rPr>
      </w:pPr>
    </w:p>
    <w:p w14:paraId="5B83991B" w14:textId="77777777" w:rsidR="00F821D7" w:rsidRPr="00F821D7" w:rsidRDefault="00F821D7" w:rsidP="00F821D7">
      <w:pPr>
        <w:spacing w:after="0" w:line="240" w:lineRule="auto"/>
        <w:ind w:left="709" w:right="709"/>
        <w:contextualSpacing/>
        <w:jc w:val="both"/>
        <w:rPr>
          <w:rFonts w:ascii="Verdana" w:eastAsia="Aptos" w:hAnsi="Verdana" w:cs="Arial"/>
          <w:sz w:val="20"/>
          <w:szCs w:val="20"/>
          <w:lang w:val="es-ES_tradnl" w:eastAsia="es-MX"/>
        </w:rPr>
      </w:pPr>
      <w:bookmarkStart w:id="3" w:name="_Hlk178671999"/>
      <w:r w:rsidRPr="00F821D7">
        <w:rPr>
          <w:rFonts w:ascii="Verdana" w:eastAsia="Aptos" w:hAnsi="Verdana" w:cs="Arial"/>
          <w:sz w:val="20"/>
          <w:szCs w:val="20"/>
          <w:lang w:val="es-ES_tradnl" w:eastAsia="es-MX"/>
        </w:rPr>
        <w:t>“La función de vigilancia y control del contrato estatal supone el cuidado y la supervisión, de forma tal que en ejercicio de esa función</w:t>
      </w:r>
      <w:bookmarkEnd w:id="3"/>
      <w:r w:rsidRPr="00F821D7">
        <w:rPr>
          <w:rFonts w:ascii="Verdana" w:eastAsia="Aptos" w:hAnsi="Verdana" w:cs="Arial"/>
          <w:sz w:val="20"/>
          <w:szCs w:val="20"/>
          <w:lang w:val="es-ES_tradnl" w:eastAsia="es-MX"/>
        </w:rPr>
        <w:t>, quien administra la adecuada y oportuna ejecución del contrato no sólo debe velar por que las partes den cumplimiento a las obligaciones contractuales, sino que el contrato se ejecute en el tiempo y la forma convenidos, para esta forma garantizar la satisfacción de las necesidades que la administración buscaba alcanzar con la celebración del respectivo contrato”</w:t>
      </w:r>
      <w:r w:rsidRPr="00F821D7">
        <w:rPr>
          <w:rFonts w:ascii="Verdana" w:eastAsia="Aptos" w:hAnsi="Verdana" w:cs="Arial"/>
          <w:sz w:val="20"/>
          <w:szCs w:val="20"/>
          <w:vertAlign w:val="superscript"/>
          <w:lang w:val="es-ES_tradnl" w:eastAsia="es-MX"/>
        </w:rPr>
        <w:footnoteReference w:id="5"/>
      </w:r>
      <w:r w:rsidRPr="00F821D7">
        <w:rPr>
          <w:rFonts w:ascii="Verdana" w:eastAsia="Aptos" w:hAnsi="Verdana" w:cs="Arial"/>
          <w:sz w:val="20"/>
          <w:szCs w:val="20"/>
          <w:lang w:val="es-ES_tradnl" w:eastAsia="es-MX"/>
        </w:rPr>
        <w:t>.</w:t>
      </w:r>
    </w:p>
    <w:p w14:paraId="6295806A" w14:textId="77777777" w:rsidR="00F821D7" w:rsidRPr="00F821D7" w:rsidRDefault="00F821D7" w:rsidP="00F821D7">
      <w:pPr>
        <w:spacing w:after="0"/>
        <w:ind w:left="720"/>
        <w:contextualSpacing/>
        <w:rPr>
          <w:rFonts w:ascii="Verdana" w:eastAsia="Aptos" w:hAnsi="Verdana" w:cs="Arial"/>
          <w:lang w:val="es-ES_tradnl" w:eastAsia="es-MX"/>
        </w:rPr>
      </w:pPr>
    </w:p>
    <w:p w14:paraId="1C6C5A05" w14:textId="77777777" w:rsidR="00F821D7" w:rsidRPr="00F821D7" w:rsidRDefault="00F821D7" w:rsidP="00F821D7">
      <w:pPr>
        <w:spacing w:after="120" w:line="276" w:lineRule="auto"/>
        <w:ind w:firstLine="708"/>
        <w:jc w:val="both"/>
        <w:textAlignment w:val="baseline"/>
        <w:rPr>
          <w:rFonts w:ascii="Verdana" w:eastAsia="Aptos" w:hAnsi="Verdana" w:cs="Arial"/>
          <w:lang w:eastAsia="es-MX"/>
        </w:rPr>
      </w:pPr>
      <w:r w:rsidRPr="00F821D7">
        <w:rPr>
          <w:rFonts w:ascii="Verdana" w:eastAsia="Aptos" w:hAnsi="Verdana" w:cs="Arial"/>
          <w:lang w:eastAsia="es-MX"/>
        </w:rPr>
        <w:t xml:space="preserve">De esta forma, la Ley 1474 de 2011 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 </w:t>
      </w:r>
    </w:p>
    <w:p w14:paraId="03C640CB" w14:textId="77777777" w:rsidR="00F821D7" w:rsidRPr="00F821D7" w:rsidRDefault="00F821D7" w:rsidP="00F821D7">
      <w:pPr>
        <w:spacing w:after="0" w:line="276" w:lineRule="auto"/>
        <w:ind w:firstLine="708"/>
        <w:jc w:val="both"/>
        <w:textAlignment w:val="baseline"/>
        <w:rPr>
          <w:rFonts w:ascii="Verdana" w:eastAsia="Aptos" w:hAnsi="Verdana" w:cs="Arial"/>
          <w:lang w:eastAsia="es-MX"/>
        </w:rPr>
      </w:pPr>
      <w:r w:rsidRPr="00F821D7">
        <w:rPr>
          <w:rFonts w:ascii="Verdana" w:eastAsia="Aptos" w:hAnsi="Verdana" w:cs="Arial"/>
          <w:lang w:eastAsia="es-MX"/>
        </w:rPr>
        <w:t xml:space="preserve">El legislador además definió las nociones de supervisión e interventoría, como mecanismos que pueden usar las Entidades Estatales para vigilar el contrato, en estos términos: </w:t>
      </w:r>
    </w:p>
    <w:p w14:paraId="67B07074" w14:textId="77777777" w:rsidR="00F821D7" w:rsidRPr="00F821D7" w:rsidRDefault="00F821D7" w:rsidP="00F821D7">
      <w:pPr>
        <w:spacing w:after="0" w:line="276" w:lineRule="auto"/>
        <w:ind w:left="720"/>
        <w:contextualSpacing/>
        <w:jc w:val="both"/>
        <w:textAlignment w:val="baseline"/>
        <w:rPr>
          <w:rFonts w:ascii="Verdana" w:eastAsia="Aptos" w:hAnsi="Verdana" w:cs="Arial"/>
          <w:lang w:val="es-ES_tradnl" w:eastAsia="es-MX"/>
        </w:rPr>
      </w:pPr>
    </w:p>
    <w:p w14:paraId="76D701A2" w14:textId="77777777" w:rsidR="00F821D7" w:rsidRPr="00F821D7" w:rsidRDefault="00F821D7" w:rsidP="00F821D7">
      <w:pPr>
        <w:spacing w:after="0" w:line="240" w:lineRule="auto"/>
        <w:ind w:left="709" w:right="709"/>
        <w:jc w:val="both"/>
        <w:textAlignment w:val="baseline"/>
        <w:rPr>
          <w:rFonts w:ascii="Verdana" w:eastAsia="Aptos" w:hAnsi="Verdana" w:cs="Arial"/>
          <w:sz w:val="20"/>
          <w:szCs w:val="20"/>
          <w:lang w:val="es-ES" w:eastAsia="es-MX"/>
        </w:rPr>
      </w:pPr>
      <w:r w:rsidRPr="00F821D7">
        <w:rPr>
          <w:rFonts w:ascii="Verdana" w:eastAsia="Aptos" w:hAnsi="Verdana" w:cs="Arial"/>
          <w:sz w:val="20"/>
          <w:szCs w:val="20"/>
          <w:lang w:val="es-ES" w:eastAsia="es-MX"/>
        </w:rPr>
        <w:t>“La supervisión consistirá en el seguimiento técnico, administrativo, financiero, contable, y jurídico que sobre el cumplimiento del objeto del contrato, es ejercida por la misma entidad estatal cuando no requieran conocimientos especializadas. Para la supervisión, la entidad estatal podrá contratar personal de apoyo, a través de los contratos de prestación de servicio que sean requeridos.</w:t>
      </w:r>
    </w:p>
    <w:p w14:paraId="3166887B" w14:textId="77777777" w:rsidR="00F821D7" w:rsidRPr="00F821D7" w:rsidRDefault="00F821D7" w:rsidP="00F821D7">
      <w:pPr>
        <w:spacing w:after="0" w:line="240" w:lineRule="auto"/>
        <w:ind w:left="709" w:right="709"/>
        <w:jc w:val="both"/>
        <w:textAlignment w:val="baseline"/>
        <w:rPr>
          <w:rFonts w:ascii="Verdana" w:eastAsia="Aptos" w:hAnsi="Verdana" w:cs="Arial"/>
          <w:sz w:val="20"/>
          <w:szCs w:val="20"/>
          <w:lang w:val="es-ES" w:eastAsia="es-MX"/>
        </w:rPr>
      </w:pPr>
    </w:p>
    <w:p w14:paraId="458EAE6D" w14:textId="77777777" w:rsidR="00F821D7" w:rsidRPr="00F821D7" w:rsidRDefault="00F821D7" w:rsidP="00F821D7">
      <w:pPr>
        <w:spacing w:after="0" w:line="240" w:lineRule="auto"/>
        <w:ind w:left="709" w:right="709"/>
        <w:jc w:val="both"/>
        <w:textAlignment w:val="baseline"/>
        <w:rPr>
          <w:rFonts w:ascii="Verdana" w:eastAsia="Aptos" w:hAnsi="Verdana" w:cs="Arial"/>
          <w:sz w:val="20"/>
          <w:szCs w:val="20"/>
          <w:lang w:val="es-ES" w:eastAsia="es-MX"/>
        </w:rPr>
      </w:pPr>
      <w:r w:rsidRPr="00F821D7">
        <w:rPr>
          <w:rFonts w:ascii="Verdana" w:eastAsia="Aptos" w:hAnsi="Verdana" w:cs="Arial"/>
          <w:sz w:val="20"/>
          <w:szCs w:val="20"/>
          <w:lang w:val="es-ES" w:eastAsia="es-MX"/>
        </w:rPr>
        <w:t xml:space="preserve">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del mismo lo justifiquen. No obstante, lo </w:t>
      </w:r>
      <w:r w:rsidRPr="00F821D7">
        <w:rPr>
          <w:rFonts w:ascii="Verdana" w:eastAsia="Aptos" w:hAnsi="Verdana" w:cs="Arial"/>
          <w:sz w:val="20"/>
          <w:szCs w:val="20"/>
          <w:lang w:val="es-ES" w:eastAsia="es-MX"/>
        </w:rPr>
        <w:lastRenderedPageBreak/>
        <w:t>anterior cuando la entidad lo encuentre justificado y acorde a la naturaleza del contrato principal, podrá contratar el seguimiento administrativo, técnico, financiero, contable, jurídico del objeto o contrato dentro de la interventoría”</w:t>
      </w:r>
      <w:r w:rsidRPr="00F821D7">
        <w:rPr>
          <w:rFonts w:ascii="Verdana" w:eastAsia="Aptos" w:hAnsi="Verdana" w:cs="Arial"/>
          <w:sz w:val="20"/>
          <w:szCs w:val="20"/>
          <w:vertAlign w:val="superscript"/>
          <w:lang w:val="es-ES" w:eastAsia="es-MX"/>
        </w:rPr>
        <w:footnoteReference w:id="6"/>
      </w:r>
      <w:r w:rsidRPr="00F821D7">
        <w:rPr>
          <w:rFonts w:ascii="Verdana" w:eastAsia="Aptos" w:hAnsi="Verdana" w:cs="Arial"/>
          <w:sz w:val="20"/>
          <w:szCs w:val="20"/>
          <w:lang w:val="es-ES" w:eastAsia="es-MX"/>
        </w:rPr>
        <w:t>.</w:t>
      </w:r>
    </w:p>
    <w:p w14:paraId="0DC659FA" w14:textId="77777777" w:rsidR="00F821D7" w:rsidRPr="00F821D7" w:rsidRDefault="00F821D7" w:rsidP="00F821D7">
      <w:pPr>
        <w:spacing w:after="0" w:line="276" w:lineRule="auto"/>
        <w:jc w:val="both"/>
        <w:textAlignment w:val="baseline"/>
        <w:rPr>
          <w:rFonts w:ascii="Verdana" w:eastAsia="Aptos" w:hAnsi="Verdana" w:cs="Arial"/>
          <w:lang w:eastAsia="es-MX"/>
        </w:rPr>
      </w:pPr>
    </w:p>
    <w:p w14:paraId="0D767F26" w14:textId="77777777" w:rsidR="00F821D7" w:rsidRPr="00F821D7" w:rsidRDefault="00F821D7" w:rsidP="00F821D7">
      <w:pPr>
        <w:tabs>
          <w:tab w:val="left" w:pos="709"/>
        </w:tabs>
        <w:spacing w:after="120" w:line="276" w:lineRule="auto"/>
        <w:jc w:val="both"/>
        <w:rPr>
          <w:rFonts w:ascii="Verdana" w:eastAsia="Calibri" w:hAnsi="Verdana" w:cs="Arial"/>
          <w:shd w:val="clear" w:color="auto" w:fill="FFFFFF"/>
        </w:rPr>
      </w:pPr>
      <w:r w:rsidRPr="00F821D7">
        <w:rPr>
          <w:rFonts w:ascii="Verdana" w:eastAsia="Aptos" w:hAnsi="Verdana" w:cs="Arial"/>
          <w:bCs/>
        </w:rPr>
        <w:tab/>
        <w:t>De las disposiciones contenidas en los artículos 83 y 84 de la Ley 1474 de 2011, se infieren las siguientes características de la supervisión: i) la labor de supervisión siempre existirá en relación con cualquier contrato estatal, incluidos los contratos de prestación de servicios –a diferencia de la interventoría que depende del análisis de su necesidad y extensión</w:t>
      </w:r>
      <w:r w:rsidRPr="00F821D7">
        <w:rPr>
          <w:rFonts w:ascii="Verdana" w:eastAsia="Aptos" w:hAnsi="Verdana" w:cs="Arial"/>
          <w:bCs/>
          <w:vertAlign w:val="superscript"/>
        </w:rPr>
        <w:footnoteReference w:id="7"/>
      </w:r>
      <w:r w:rsidRPr="00F821D7">
        <w:rPr>
          <w:rFonts w:ascii="Verdana" w:eastAsia="Aptos" w:hAnsi="Verdana" w:cs="Arial"/>
          <w:bCs/>
        </w:rPr>
        <w:t xml:space="preserve">–; </w:t>
      </w:r>
      <w:proofErr w:type="spellStart"/>
      <w:r w:rsidRPr="00F821D7">
        <w:rPr>
          <w:rFonts w:ascii="Verdana" w:eastAsia="Aptos" w:hAnsi="Verdana" w:cs="Arial"/>
          <w:bCs/>
        </w:rPr>
        <w:t>ii</w:t>
      </w:r>
      <w:proofErr w:type="spellEnd"/>
      <w:r w:rsidRPr="00F821D7">
        <w:rPr>
          <w:rFonts w:ascii="Verdana" w:eastAsia="Aptos" w:hAnsi="Verdana" w:cs="Arial"/>
          <w:bCs/>
        </w:rPr>
        <w:t xml:space="preserve">) no requiere conocimientos tan especializados como la interventoría; </w:t>
      </w:r>
      <w:proofErr w:type="spellStart"/>
      <w:r w:rsidRPr="00F821D7">
        <w:rPr>
          <w:rFonts w:ascii="Verdana" w:eastAsia="Aptos" w:hAnsi="Verdana" w:cs="Arial"/>
          <w:bCs/>
        </w:rPr>
        <w:t>iii</w:t>
      </w:r>
      <w:proofErr w:type="spellEnd"/>
      <w:r w:rsidRPr="00F821D7">
        <w:rPr>
          <w:rFonts w:ascii="Verdana" w:eastAsia="Aptos" w:hAnsi="Verdana" w:cs="Arial"/>
          <w:bCs/>
        </w:rPr>
        <w:t xml:space="preserve">) se ejerce por la Entidad Estatal por conducto de la designación de servidores públicos idóneos para cumplir la función; </w:t>
      </w:r>
      <w:proofErr w:type="spellStart"/>
      <w:r w:rsidRPr="00F821D7">
        <w:rPr>
          <w:rFonts w:ascii="Verdana" w:eastAsia="Aptos" w:hAnsi="Verdana" w:cs="Arial"/>
          <w:bCs/>
        </w:rPr>
        <w:t>iv</w:t>
      </w:r>
      <w:proofErr w:type="spellEnd"/>
      <w:r w:rsidRPr="00F821D7">
        <w:rPr>
          <w:rFonts w:ascii="Verdana" w:eastAsia="Aptos" w:hAnsi="Verdana" w:cs="Arial"/>
          <w:bCs/>
        </w:rPr>
        <w:t xml:space="preserve">) puede recibir apoyo de personal contratado para tal fin mediante contratos de prestación de servicios; y v) le es inseparable el seguimiento técnico, administrativo, financiero, contable y jurídico del contrato vigilado. </w:t>
      </w:r>
      <w:r w:rsidRPr="00F821D7">
        <w:rPr>
          <w:rFonts w:ascii="Verdana" w:eastAsia="Calibri" w:hAnsi="Verdana" w:cs="Arial"/>
          <w:shd w:val="clear" w:color="auto" w:fill="FFFFFF"/>
        </w:rPr>
        <w:t xml:space="preserve">En ese sentido, puede colegirse que la supervisión es uno de los medios para que las entidades ejerzan la dirección, control y vigilancia de sus contratos, con el fin de lograr el objeto contractual. </w:t>
      </w:r>
    </w:p>
    <w:p w14:paraId="15F8988B" w14:textId="77777777" w:rsidR="00F821D7" w:rsidRPr="00F821D7" w:rsidRDefault="00F821D7" w:rsidP="00F821D7">
      <w:pPr>
        <w:spacing w:after="120" w:line="276" w:lineRule="auto"/>
        <w:ind w:firstLine="709"/>
        <w:jc w:val="both"/>
        <w:rPr>
          <w:rFonts w:ascii="Verdana" w:eastAsia="Calibri" w:hAnsi="Verdana" w:cs="Arial"/>
          <w:color w:val="000000"/>
          <w:lang w:val="es-ES_tradnl"/>
        </w:rPr>
      </w:pPr>
      <w:r w:rsidRPr="00F821D7">
        <w:rPr>
          <w:rFonts w:ascii="Verdana" w:eastAsia="Calibri" w:hAnsi="Verdana" w:cs="Arial"/>
          <w:color w:val="000000"/>
          <w:lang w:val="es-ES_tradnl"/>
        </w:rPr>
        <w:t>Ahora bien, y atendiendo al objeto bajo consulta, debe precisarse, como se indicó en párrafos anteriores, que pese a que el jefe o representante legal de la entidad es el responsable de la dirección y manejo de la actividad contractual, este puede asignar en un servidor público del nivel directo o ejecutivo, la función de ordenador del gasto quien, primeramente, será el facultado para vigilar y controlar la ejecución del gasto y del contrato.</w:t>
      </w:r>
    </w:p>
    <w:p w14:paraId="7D00C7C3" w14:textId="77777777" w:rsidR="00F821D7" w:rsidRPr="00F821D7" w:rsidRDefault="00F821D7" w:rsidP="00F821D7">
      <w:pPr>
        <w:spacing w:after="120" w:line="276" w:lineRule="auto"/>
        <w:ind w:firstLine="709"/>
        <w:jc w:val="both"/>
        <w:rPr>
          <w:rFonts w:ascii="Verdana" w:eastAsia="Calibri" w:hAnsi="Verdana" w:cs="Arial"/>
          <w:color w:val="000000"/>
          <w:lang w:val="es-ES"/>
        </w:rPr>
      </w:pPr>
      <w:r w:rsidRPr="00F821D7">
        <w:rPr>
          <w:rFonts w:ascii="Verdana" w:eastAsia="Calibri" w:hAnsi="Verdana" w:cs="Arial"/>
          <w:color w:val="000000"/>
          <w:lang w:val="es-ES"/>
        </w:rPr>
        <w:t xml:space="preserve">Así las cosas, no existe un impedimento para que el ordenador del gasto, de acuerdo con las particularidades de cada caso, asigne en otros servidores la labor de supervisión o se apoye en funcionarios públicos o contratistas para desarrollar la supervisión de los contratos. Esto incluso, ha sido resaltado por la Agencia Nacional de Contratación Pública – Colombia Compra Eficiente en la “Guía para el ejercicio de las funciones de supervisión e interventoría de los contratos suscritos por las Entidades Estatales”, documento en el que a su vez se recomienda para la designación de los supervisores, tener en cuenta los siguientes criterios: a) se elija al funcionario público que pueda actuar como par del contratista; b) que tenga asignadas funciones relacionadas con el objeto </w:t>
      </w:r>
      <w:r w:rsidRPr="00F821D7">
        <w:rPr>
          <w:rFonts w:ascii="Verdana" w:eastAsia="Calibri" w:hAnsi="Verdana" w:cs="Arial"/>
          <w:color w:val="000000"/>
          <w:lang w:val="es-ES"/>
        </w:rPr>
        <w:lastRenderedPageBreak/>
        <w:t>contractual y; c) que de forma previa, se analice la carga operativa de este para no incurrir en el riesgo de que no pueda desempeñar la labor de forma adecuada.</w:t>
      </w:r>
    </w:p>
    <w:p w14:paraId="21FC77AE" w14:textId="77777777" w:rsidR="00F821D7" w:rsidRPr="00F821D7" w:rsidRDefault="00F821D7" w:rsidP="00F821D7">
      <w:pPr>
        <w:spacing w:after="120" w:line="276" w:lineRule="auto"/>
        <w:ind w:firstLine="709"/>
        <w:jc w:val="both"/>
        <w:rPr>
          <w:rFonts w:ascii="Verdana" w:eastAsia="Calibri" w:hAnsi="Verdana" w:cs="Arial"/>
          <w:lang w:val="es-MX"/>
        </w:rPr>
      </w:pPr>
      <w:r w:rsidRPr="00F821D7">
        <w:rPr>
          <w:rFonts w:ascii="Verdana" w:eastAsia="Calibri" w:hAnsi="Verdana" w:cs="Arial"/>
          <w:lang w:val="es-MX"/>
        </w:rPr>
        <w:t>Para tales efectos podrán definirse las funciones del supervisor en el pliego de condiciones, en una cláusula del contrato, en el manual de contratación o en el acto de la asignación de la función al servidor público escogido para ejercer la supervisión</w:t>
      </w:r>
      <w:r w:rsidRPr="00F821D7">
        <w:rPr>
          <w:rFonts w:ascii="Verdana" w:eastAsia="Calibri" w:hAnsi="Verdana" w:cs="Arial"/>
          <w:vertAlign w:val="superscript"/>
          <w:lang w:val="es-MX"/>
        </w:rPr>
        <w:footnoteReference w:id="8"/>
      </w:r>
      <w:r w:rsidRPr="00F821D7">
        <w:rPr>
          <w:rFonts w:ascii="Verdana" w:eastAsia="Calibri" w:hAnsi="Verdana" w:cs="Arial"/>
          <w:lang w:val="es-MX"/>
        </w:rPr>
        <w:t xml:space="preserve">. Así mismo, en todos los casos deberán informarse al funcionario designado como supervisor. La comunicación de la designación de un funcionario como supervisor siempre debe ser escrita, entendiéndose también como tal la que se hace a través de correo electrónico. En el evento en que la designación del supervisor se haga directamente en el contrato, debe enviarse copia del mismo al funcionario designado informando que va a ser el supervisor. Así mismo, en los procesos adelantados a través de la plataforma SECOP II se debe realizar la designación a través de la misma.  </w:t>
      </w:r>
    </w:p>
    <w:p w14:paraId="6D882127" w14:textId="77777777" w:rsidR="00F821D7" w:rsidRPr="00F821D7" w:rsidRDefault="00F821D7" w:rsidP="00F821D7">
      <w:pPr>
        <w:spacing w:after="120" w:line="276" w:lineRule="auto"/>
        <w:ind w:firstLine="709"/>
        <w:jc w:val="both"/>
        <w:rPr>
          <w:rFonts w:ascii="Verdana" w:eastAsia="Calibri" w:hAnsi="Verdana" w:cs="Arial"/>
          <w:color w:val="000000"/>
          <w:lang w:val="es-ES"/>
        </w:rPr>
      </w:pPr>
      <w:r w:rsidRPr="00F821D7">
        <w:rPr>
          <w:rFonts w:ascii="Verdana" w:eastAsia="Calibri" w:hAnsi="Verdana" w:cs="Arial"/>
          <w:color w:val="000000"/>
          <w:lang w:val="es-ES"/>
        </w:rPr>
        <w:t>Adicionalmente, resulta a bien aclarar que el término “</w:t>
      </w:r>
      <w:proofErr w:type="spellStart"/>
      <w:r w:rsidRPr="00F821D7">
        <w:rPr>
          <w:rFonts w:ascii="Verdana" w:eastAsia="Calibri" w:hAnsi="Verdana" w:cs="Arial"/>
          <w:color w:val="000000"/>
          <w:lang w:val="es-ES"/>
        </w:rPr>
        <w:t>co-supervisión</w:t>
      </w:r>
      <w:proofErr w:type="spellEnd"/>
      <w:r w:rsidRPr="00F821D7">
        <w:rPr>
          <w:rFonts w:ascii="Verdana" w:eastAsia="Calibri" w:hAnsi="Verdana" w:cs="Arial"/>
          <w:color w:val="000000"/>
          <w:lang w:val="es-ES"/>
        </w:rPr>
        <w:t>” no ha sido desarrollado por la normativa contractual ni por la jurisprudencia. Al respecto, se resalta que pueden designarse varias personas para supervisar un contrato, por lo que podrán ser designados como supervisores el ordenador del gasto y otro funcionario. Así mismo, se admite el apoyo a la supervisión de los contratos estatales bien sea por funcionarios públicos de la misma entidad o por sus contratistas. Esto, siempre y cuando el manual de funciones para los primeros, y las obligaciones contractuales para los segundos, permitan el ejercicio de dicha labor o actividad.</w:t>
      </w:r>
    </w:p>
    <w:bookmarkEnd w:id="2"/>
    <w:p w14:paraId="1A6CD84C" w14:textId="77777777" w:rsidR="00F821D7" w:rsidRPr="00F821D7" w:rsidRDefault="00F821D7" w:rsidP="00F821D7">
      <w:pPr>
        <w:spacing w:after="120" w:line="276" w:lineRule="auto"/>
        <w:ind w:firstLine="708"/>
        <w:jc w:val="both"/>
        <w:rPr>
          <w:rFonts w:ascii="Verdana" w:eastAsia="Calibri" w:hAnsi="Verdana" w:cs="Arial"/>
        </w:rPr>
      </w:pPr>
      <w:r w:rsidRPr="00F821D7">
        <w:rPr>
          <w:rFonts w:ascii="Verdana" w:eastAsia="Calibri" w:hAnsi="Verdana" w:cs="Arial"/>
        </w:rPr>
        <w:t xml:space="preserve">Finalmente, debe advertirse que el análisis requerido para resolver problemas específicos en torno a la designación de los supervisores de los contratos que suscriban las Entidades Estatales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de adoptar la decisión y, en caso de conflicto, a las autoridades judiciales, fiscales y disciplinarias.  </w:t>
      </w:r>
    </w:p>
    <w:p w14:paraId="5CB28A4A" w14:textId="77777777" w:rsidR="00F821D7" w:rsidRPr="00F821D7" w:rsidRDefault="00F821D7" w:rsidP="00F821D7">
      <w:pPr>
        <w:spacing w:after="0" w:line="276" w:lineRule="auto"/>
        <w:ind w:firstLine="708"/>
        <w:jc w:val="both"/>
        <w:rPr>
          <w:rFonts w:ascii="Verdana" w:eastAsia="Calibri" w:hAnsi="Verdana" w:cs="Arial"/>
        </w:rPr>
      </w:pPr>
      <w:r w:rsidRPr="00F821D7">
        <w:rPr>
          <w:rFonts w:ascii="Verdana" w:eastAsia="Calibri" w:hAnsi="Verdana" w:cs="Arial"/>
        </w:rPr>
        <w:t xml:space="preserve">Dentro de este marco, la entidad contratante definirá en cada caso concreto lo relacionado con el tema objeto de consulta. Al tratarse de un análisis </w:t>
      </w:r>
      <w:r w:rsidRPr="00F821D7">
        <w:rPr>
          <w:rFonts w:ascii="Verdana" w:eastAsia="Calibri" w:hAnsi="Verdana" w:cs="Arial"/>
        </w:rPr>
        <w:lastRenderedPageBreak/>
        <w:t xml:space="preserve">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  </w:t>
      </w:r>
    </w:p>
    <w:p w14:paraId="487018F1" w14:textId="77777777" w:rsidR="00F821D7" w:rsidRPr="00F821D7" w:rsidRDefault="00F821D7" w:rsidP="00F821D7">
      <w:pPr>
        <w:spacing w:after="0" w:line="276" w:lineRule="auto"/>
        <w:ind w:left="720"/>
        <w:contextualSpacing/>
        <w:jc w:val="both"/>
        <w:rPr>
          <w:rFonts w:ascii="Verdana" w:eastAsia="Calibri" w:hAnsi="Verdana" w:cs="Arial"/>
        </w:rPr>
      </w:pPr>
    </w:p>
    <w:p w14:paraId="0F79AA26" w14:textId="77777777" w:rsidR="00F821D7" w:rsidRPr="00F821D7" w:rsidRDefault="00F821D7" w:rsidP="00F821D7">
      <w:pPr>
        <w:widowControl w:val="0"/>
        <w:autoSpaceDE w:val="0"/>
        <w:autoSpaceDN w:val="0"/>
        <w:spacing w:before="1" w:after="0" w:line="240" w:lineRule="auto"/>
        <w:outlineLvl w:val="0"/>
        <w:rPr>
          <w:rFonts w:ascii="Verdana" w:eastAsia="Arial" w:hAnsi="Verdana" w:cs="Arial"/>
          <w:b/>
          <w:bCs/>
          <w:lang w:val="es-ES"/>
        </w:rPr>
      </w:pPr>
      <w:r w:rsidRPr="00F821D7">
        <w:rPr>
          <w:rFonts w:ascii="Verdana" w:eastAsia="Arial" w:hAnsi="Verdana" w:cs="Arial"/>
          <w:b/>
          <w:bCs/>
          <w:lang w:val="es-ES"/>
        </w:rPr>
        <w:t>4.Referencias normativas, jurisprudenciales y otras fuentes:</w:t>
      </w:r>
    </w:p>
    <w:p w14:paraId="49812A0D" w14:textId="77777777" w:rsidR="00F821D7" w:rsidRPr="00F821D7" w:rsidRDefault="00F821D7" w:rsidP="00F821D7">
      <w:pPr>
        <w:widowControl w:val="0"/>
        <w:autoSpaceDE w:val="0"/>
        <w:autoSpaceDN w:val="0"/>
        <w:spacing w:after="0" w:line="276" w:lineRule="auto"/>
        <w:jc w:val="both"/>
        <w:rPr>
          <w:rFonts w:ascii="Verdana" w:eastAsia="Aptos"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821D7" w:rsidRPr="00F821D7" w14:paraId="625AC465" w14:textId="77777777" w:rsidTr="001801F8">
        <w:trPr>
          <w:trHeight w:val="870"/>
        </w:trPr>
        <w:tc>
          <w:tcPr>
            <w:tcW w:w="8647" w:type="dxa"/>
          </w:tcPr>
          <w:p w14:paraId="7B37220A" w14:textId="77777777" w:rsidR="00F821D7" w:rsidRPr="00F821D7" w:rsidRDefault="00F821D7" w:rsidP="00F821D7">
            <w:pPr>
              <w:widowControl w:val="0"/>
              <w:numPr>
                <w:ilvl w:val="0"/>
                <w:numId w:val="1"/>
              </w:numPr>
              <w:autoSpaceDE w:val="0"/>
              <w:autoSpaceDN w:val="0"/>
              <w:spacing w:after="120" w:line="276" w:lineRule="auto"/>
              <w:contextualSpacing/>
              <w:jc w:val="both"/>
              <w:rPr>
                <w:rFonts w:ascii="Verdana" w:eastAsia="Calibri" w:hAnsi="Verdana" w:cs="Arial"/>
                <w:lang w:val="es-ES"/>
              </w:rPr>
            </w:pPr>
            <w:r w:rsidRPr="00F821D7">
              <w:rPr>
                <w:rFonts w:ascii="Verdana" w:eastAsia="Calibri" w:hAnsi="Verdana" w:cs="Arial"/>
                <w:lang w:val="es-ES"/>
              </w:rPr>
              <w:t>Ley 80 de 1993. Artículos 4, 5, 12, 14 y 26.</w:t>
            </w:r>
          </w:p>
          <w:p w14:paraId="0D21DA5D" w14:textId="77777777" w:rsidR="00F821D7" w:rsidRPr="00F821D7" w:rsidRDefault="00F821D7" w:rsidP="00F821D7">
            <w:pPr>
              <w:widowControl w:val="0"/>
              <w:numPr>
                <w:ilvl w:val="0"/>
                <w:numId w:val="1"/>
              </w:numPr>
              <w:autoSpaceDE w:val="0"/>
              <w:autoSpaceDN w:val="0"/>
              <w:spacing w:after="120" w:line="276" w:lineRule="auto"/>
              <w:contextualSpacing/>
              <w:jc w:val="both"/>
              <w:rPr>
                <w:rFonts w:ascii="Verdana" w:eastAsia="Calibri" w:hAnsi="Verdana" w:cs="Arial"/>
                <w:lang w:val="es-ES"/>
              </w:rPr>
            </w:pPr>
            <w:r w:rsidRPr="00F821D7">
              <w:rPr>
                <w:rFonts w:ascii="Verdana" w:eastAsia="Calibri" w:hAnsi="Verdana" w:cs="Arial"/>
                <w:lang w:val="es-ES"/>
              </w:rPr>
              <w:t>Ley 1150 de 2007. Artículos 17 y 21.</w:t>
            </w:r>
          </w:p>
          <w:p w14:paraId="66C2D7A8" w14:textId="77777777" w:rsidR="00F821D7" w:rsidRPr="00F821D7" w:rsidRDefault="00F821D7" w:rsidP="00F821D7">
            <w:pPr>
              <w:widowControl w:val="0"/>
              <w:numPr>
                <w:ilvl w:val="0"/>
                <w:numId w:val="1"/>
              </w:numPr>
              <w:autoSpaceDE w:val="0"/>
              <w:autoSpaceDN w:val="0"/>
              <w:spacing w:after="120" w:line="276" w:lineRule="auto"/>
              <w:contextualSpacing/>
              <w:jc w:val="both"/>
              <w:rPr>
                <w:rFonts w:ascii="Verdana" w:eastAsia="Calibri" w:hAnsi="Verdana" w:cs="Arial"/>
                <w:lang w:val="es-ES"/>
              </w:rPr>
            </w:pPr>
            <w:r w:rsidRPr="00F821D7">
              <w:rPr>
                <w:rFonts w:ascii="Verdana" w:eastAsia="Calibri" w:hAnsi="Verdana" w:cs="Arial"/>
                <w:lang w:val="es-ES"/>
              </w:rPr>
              <w:t>Ley 1474 de 2011. Artículos 83, 84, 85 y 86.</w:t>
            </w:r>
          </w:p>
          <w:p w14:paraId="5BD838DF" w14:textId="77777777" w:rsidR="00F821D7" w:rsidRPr="00F821D7" w:rsidRDefault="00F821D7" w:rsidP="00F821D7">
            <w:pPr>
              <w:widowControl w:val="0"/>
              <w:numPr>
                <w:ilvl w:val="0"/>
                <w:numId w:val="1"/>
              </w:numPr>
              <w:autoSpaceDE w:val="0"/>
              <w:autoSpaceDN w:val="0"/>
              <w:spacing w:line="276" w:lineRule="auto"/>
              <w:contextualSpacing/>
              <w:jc w:val="both"/>
              <w:rPr>
                <w:rFonts w:ascii="Verdana" w:eastAsia="Aptos" w:hAnsi="Verdana" w:cs="Arial"/>
              </w:rPr>
            </w:pPr>
            <w:r w:rsidRPr="00F821D7">
              <w:rPr>
                <w:rFonts w:ascii="Verdana" w:eastAsia="Calibri" w:hAnsi="Verdana" w:cs="Arial"/>
                <w:lang w:val="es-ES"/>
              </w:rPr>
              <w:t xml:space="preserve">Consejo de Estado. Sección 3ª. Sentencia del 27 de noviembre de 2017. M.P. Jaime Orlando Santofimio. </w:t>
            </w:r>
            <w:proofErr w:type="spellStart"/>
            <w:r w:rsidRPr="00F821D7">
              <w:rPr>
                <w:rFonts w:ascii="Verdana" w:eastAsia="Calibri" w:hAnsi="Verdana" w:cs="Arial"/>
                <w:lang w:val="es-ES"/>
              </w:rPr>
              <w:t>Exp</w:t>
            </w:r>
            <w:proofErr w:type="spellEnd"/>
            <w:r w:rsidRPr="00F821D7">
              <w:rPr>
                <w:rFonts w:ascii="Verdana" w:eastAsia="Calibri" w:hAnsi="Verdana" w:cs="Arial"/>
                <w:lang w:val="es-ES"/>
              </w:rPr>
              <w:t xml:space="preserve">. 51.802. </w:t>
            </w:r>
          </w:p>
          <w:p w14:paraId="110AB1FC" w14:textId="77777777" w:rsidR="00F821D7" w:rsidRPr="00F821D7" w:rsidRDefault="00F821D7" w:rsidP="00F821D7">
            <w:pPr>
              <w:widowControl w:val="0"/>
              <w:numPr>
                <w:ilvl w:val="0"/>
                <w:numId w:val="1"/>
              </w:numPr>
              <w:autoSpaceDE w:val="0"/>
              <w:autoSpaceDN w:val="0"/>
              <w:spacing w:line="276" w:lineRule="auto"/>
              <w:contextualSpacing/>
              <w:jc w:val="both"/>
              <w:rPr>
                <w:rFonts w:ascii="Verdana" w:eastAsia="Calibri" w:hAnsi="Verdana" w:cs="Arial"/>
                <w:lang w:val="es-ES"/>
              </w:rPr>
            </w:pPr>
            <w:r w:rsidRPr="00F821D7">
              <w:rPr>
                <w:rFonts w:ascii="Verdana" w:eastAsia="Calibri" w:hAnsi="Verdana" w:cs="Arial"/>
                <w:lang w:val="es-ES"/>
              </w:rPr>
              <w:t xml:space="preserve">Agencia Nacional de Contratación Pública - Colombia Compra Eficiente. Guía para el ejercicio de las funciones de Supervisión e Interventoría de los contratos suscritos por las Entidades Estatales. Disponible </w:t>
            </w:r>
            <w:hyperlink r:id="rId12" w:history="1">
              <w:r w:rsidRPr="00F821D7">
                <w:rPr>
                  <w:rFonts w:ascii="Verdana" w:eastAsia="Calibri" w:hAnsi="Verdana" w:cs="Arial"/>
                  <w:color w:val="0000FF"/>
                  <w:u w:val="single"/>
                  <w:lang w:val="es-ES"/>
                </w:rPr>
                <w:t>aquí</w:t>
              </w:r>
            </w:hyperlink>
          </w:p>
        </w:tc>
      </w:tr>
    </w:tbl>
    <w:p w14:paraId="4F2D4B34" w14:textId="77777777" w:rsidR="00F821D7" w:rsidRPr="00F821D7" w:rsidRDefault="00F821D7" w:rsidP="00F821D7">
      <w:pPr>
        <w:widowControl w:val="0"/>
        <w:autoSpaceDE w:val="0"/>
        <w:autoSpaceDN w:val="0"/>
        <w:spacing w:after="0" w:line="276" w:lineRule="auto"/>
        <w:jc w:val="both"/>
        <w:rPr>
          <w:rFonts w:ascii="Verdana" w:eastAsia="Aptos" w:hAnsi="Verdana" w:cs="Arial"/>
        </w:rPr>
      </w:pPr>
    </w:p>
    <w:p w14:paraId="17AAF50A" w14:textId="77777777" w:rsidR="00F821D7" w:rsidRPr="00F821D7" w:rsidRDefault="00F821D7" w:rsidP="00F821D7">
      <w:pPr>
        <w:widowControl w:val="0"/>
        <w:autoSpaceDE w:val="0"/>
        <w:autoSpaceDN w:val="0"/>
        <w:spacing w:after="0" w:line="276" w:lineRule="auto"/>
        <w:outlineLvl w:val="0"/>
        <w:rPr>
          <w:rFonts w:ascii="Verdana" w:eastAsia="Arial" w:hAnsi="Verdana" w:cs="Arial"/>
          <w:b/>
          <w:bCs/>
          <w:lang w:val="es-ES"/>
        </w:rPr>
      </w:pPr>
      <w:r w:rsidRPr="00F821D7">
        <w:rPr>
          <w:rFonts w:ascii="Verdana" w:eastAsia="Arial" w:hAnsi="Verdana" w:cs="Arial"/>
          <w:b/>
          <w:bCs/>
          <w:lang w:val="es-ES"/>
        </w:rPr>
        <w:t>5. Doctrina de la Agencia Nacional de Contratación Pública:</w:t>
      </w:r>
    </w:p>
    <w:p w14:paraId="148750BC" w14:textId="77777777" w:rsidR="00F821D7" w:rsidRPr="00F821D7" w:rsidRDefault="00F821D7" w:rsidP="00F821D7">
      <w:pPr>
        <w:widowControl w:val="0"/>
        <w:autoSpaceDE w:val="0"/>
        <w:autoSpaceDN w:val="0"/>
        <w:spacing w:after="0" w:line="276" w:lineRule="auto"/>
        <w:jc w:val="both"/>
        <w:rPr>
          <w:rFonts w:ascii="Verdana" w:eastAsia="Aptos" w:hAnsi="Verdana" w:cs="Arial"/>
        </w:rPr>
      </w:pPr>
    </w:p>
    <w:p w14:paraId="2630F671" w14:textId="77777777" w:rsidR="00F821D7" w:rsidRPr="00F821D7" w:rsidRDefault="00F821D7" w:rsidP="00F821D7">
      <w:pPr>
        <w:widowControl w:val="0"/>
        <w:autoSpaceDE w:val="0"/>
        <w:autoSpaceDN w:val="0"/>
        <w:spacing w:after="0" w:line="276" w:lineRule="auto"/>
        <w:jc w:val="both"/>
        <w:rPr>
          <w:rFonts w:ascii="Verdana" w:eastAsia="Aptos" w:hAnsi="Verdana" w:cs="Arial"/>
          <w:shd w:val="clear" w:color="auto" w:fill="FFFFFF"/>
          <w:lang w:val="es-ES"/>
        </w:rPr>
      </w:pPr>
      <w:r w:rsidRPr="00F821D7">
        <w:rPr>
          <w:rFonts w:ascii="Verdana" w:eastAsia="Aptos" w:hAnsi="Verdana" w:cs="Arial"/>
          <w:shd w:val="clear" w:color="auto" w:fill="FFFFFF"/>
          <w:lang w:val="es-ES"/>
        </w:rPr>
        <w:t xml:space="preserve">Sobre la obligación de controlar y vigilar la ejecución de los contratos estatales, esta Subdirección se ha referido en los Conceptos </w:t>
      </w:r>
      <w:r w:rsidRPr="00F821D7">
        <w:rPr>
          <w:rFonts w:ascii="Verdana" w:eastAsia="Calibri" w:hAnsi="Verdana" w:cs="Arial"/>
          <w:lang w:val="es-ES_tradnl" w:eastAsia="es-MX"/>
        </w:rPr>
        <w:t>radicado 4201913000004799 del 30 de agosto de 2019, 4201913000008240 del 20 de diciembre de 2019, C-064 del 28 de febrero de 2020, C-071 del 4 de marzo de 2020, C–077 del 18 de marzo de 2020, C–150 del 18 de marzo de 2020, C–134 del 30 de marzo de 2020, C–180 del 13 de abril de 2020, C-344 del 26 de mayo de 2020, C-414 del 30 de junio de 2021, C-506 de 3 de agosto de 2022, C-579 del 9 de septiembre de 2022, C-577 del 15 de septiembre de 2022, C-620 del 27 de septiembre de 2022, C-650 del 27 de septiembre de 2022, C-679 de 24 de octubre de 2022, C-818 del 28 de noviembre de 2022, C-830 de 28 de noviembre de 2022, C-800 de 29 de noviembre de 2022, C-930 de 30 de diciembre de 2022, C-932 de 30 de diciembre de 2022, C-975 de 8 de marzo de 2032, C-191 de 27 de abril de 2023, C-089 de 2024 de 17 de julio de 2024, C-255 de 14 de agosto de 2024</w:t>
      </w:r>
      <w:r w:rsidRPr="00F821D7">
        <w:rPr>
          <w:rFonts w:ascii="Verdana" w:eastAsia="Aptos" w:hAnsi="Verdana" w:cs="Arial"/>
          <w:shd w:val="clear" w:color="auto" w:fill="FFFFFF"/>
          <w:lang w:val="es-ES"/>
        </w:rPr>
        <w:t xml:space="preserve">, entre otros. Estos y otros conceptos se encuentran disponibles para consulta en el Sistema de Relatoría de la Agencia, en el cual también podrás encontrar </w:t>
      </w:r>
      <w:r w:rsidRPr="00F821D7">
        <w:rPr>
          <w:rFonts w:ascii="Verdana" w:eastAsia="Aptos" w:hAnsi="Verdana" w:cs="Arial"/>
          <w:shd w:val="clear" w:color="auto" w:fill="FFFFFF"/>
          <w:lang w:val="es-ES"/>
        </w:rPr>
        <w:lastRenderedPageBreak/>
        <w:t xml:space="preserve">jurisprudencia del Consejo de Estado, laudos arbitrales y la normativa de la contratación concordada con la doctrina de la Subdirección de Gestión Contractual. Accede a través del siguiente enlace: </w:t>
      </w:r>
      <w:hyperlink r:id="rId13" w:history="1">
        <w:r w:rsidRPr="00F821D7">
          <w:rPr>
            <w:rFonts w:ascii="Verdana" w:eastAsia="Aptos" w:hAnsi="Verdana" w:cs="Arial"/>
            <w:color w:val="0000FF"/>
            <w:u w:val="single"/>
            <w:shd w:val="clear" w:color="auto" w:fill="FFFFFF"/>
            <w:lang w:val="es-ES"/>
          </w:rPr>
          <w:t>https://relatoria.colombiacompra.gov.co/</w:t>
        </w:r>
      </w:hyperlink>
      <w:r w:rsidRPr="00F821D7">
        <w:rPr>
          <w:rFonts w:ascii="Verdana" w:eastAsia="Aptos" w:hAnsi="Verdana" w:cs="Arial"/>
          <w:shd w:val="clear" w:color="auto" w:fill="FFFFFF"/>
          <w:lang w:val="es-ES"/>
        </w:rPr>
        <w:t xml:space="preserve">. </w:t>
      </w:r>
    </w:p>
    <w:p w14:paraId="3F6B2518" w14:textId="77777777" w:rsidR="00F821D7" w:rsidRPr="00F821D7" w:rsidRDefault="00F821D7" w:rsidP="00F821D7">
      <w:pPr>
        <w:widowControl w:val="0"/>
        <w:autoSpaceDE w:val="0"/>
        <w:autoSpaceDN w:val="0"/>
        <w:spacing w:after="0" w:line="276" w:lineRule="auto"/>
        <w:jc w:val="both"/>
        <w:rPr>
          <w:rFonts w:ascii="Verdana" w:eastAsia="Aptos" w:hAnsi="Verdana" w:cs="Arial"/>
          <w:shd w:val="clear" w:color="auto" w:fill="FFFFFF"/>
          <w:lang w:val="es-ES"/>
        </w:rPr>
      </w:pPr>
    </w:p>
    <w:p w14:paraId="0C7ACD9B" w14:textId="77777777" w:rsidR="00F821D7" w:rsidRPr="00F821D7" w:rsidRDefault="00F821D7" w:rsidP="00F821D7">
      <w:pPr>
        <w:spacing w:after="0" w:line="276" w:lineRule="auto"/>
        <w:jc w:val="both"/>
        <w:rPr>
          <w:rFonts w:ascii="Verdana" w:eastAsia="Aptos" w:hAnsi="Verdana" w:cs="Times New Roman"/>
        </w:rPr>
      </w:pPr>
      <w:r w:rsidRPr="00F821D7">
        <w:rPr>
          <w:rFonts w:ascii="Verdana" w:eastAsia="Aptos" w:hAnsi="Verdana" w:cs="Times New Roman"/>
        </w:rPr>
        <w:t xml:space="preserve">Por último, lo invitamos a seguirnos en las redes sociales en las cuales se difunde información institucional: </w:t>
      </w:r>
    </w:p>
    <w:p w14:paraId="5E2E7C83" w14:textId="77777777" w:rsidR="00F821D7" w:rsidRPr="00F821D7" w:rsidRDefault="00F821D7" w:rsidP="00F821D7">
      <w:pPr>
        <w:spacing w:after="0" w:line="276" w:lineRule="auto"/>
        <w:jc w:val="both"/>
        <w:rPr>
          <w:rFonts w:ascii="Verdana" w:eastAsia="Aptos" w:hAnsi="Verdana" w:cs="Times New Roman"/>
        </w:rPr>
      </w:pPr>
    </w:p>
    <w:p w14:paraId="386B9930" w14:textId="77777777" w:rsidR="00F821D7" w:rsidRPr="00F821D7" w:rsidRDefault="00F821D7" w:rsidP="00F821D7">
      <w:pPr>
        <w:spacing w:after="0" w:line="276" w:lineRule="auto"/>
        <w:jc w:val="both"/>
        <w:rPr>
          <w:rFonts w:ascii="Verdana" w:eastAsia="Aptos" w:hAnsi="Verdana" w:cs="Times New Roman"/>
        </w:rPr>
      </w:pPr>
      <w:r w:rsidRPr="00F821D7">
        <w:rPr>
          <w:rFonts w:ascii="Verdana" w:eastAsia="Aptos" w:hAnsi="Verdana" w:cs="Times New Roman"/>
        </w:rPr>
        <w:t xml:space="preserve">Twitter: </w:t>
      </w:r>
      <w:r w:rsidRPr="00F821D7">
        <w:rPr>
          <w:rFonts w:ascii="Verdana" w:eastAsia="Aptos" w:hAnsi="Verdana" w:cs="Arial"/>
          <w:color w:val="0000FF"/>
          <w:u w:val="single"/>
          <w:shd w:val="clear" w:color="auto" w:fill="FFFFFF"/>
          <w:lang w:val="es-ES"/>
        </w:rPr>
        <w:t>@colombiacompra</w:t>
      </w:r>
      <w:r w:rsidRPr="00F821D7">
        <w:rPr>
          <w:rFonts w:ascii="Verdana" w:eastAsia="Aptos" w:hAnsi="Verdana" w:cs="Times New Roman"/>
          <w:color w:val="156082"/>
        </w:rPr>
        <w:t xml:space="preserve"> </w:t>
      </w:r>
    </w:p>
    <w:p w14:paraId="12E099FC" w14:textId="77777777" w:rsidR="00F821D7" w:rsidRPr="00F821D7" w:rsidRDefault="00F821D7" w:rsidP="00F821D7">
      <w:pPr>
        <w:spacing w:after="0" w:line="276" w:lineRule="auto"/>
        <w:jc w:val="both"/>
        <w:rPr>
          <w:rFonts w:ascii="Verdana" w:eastAsia="Aptos" w:hAnsi="Verdana" w:cs="Times New Roman"/>
        </w:rPr>
      </w:pPr>
      <w:r w:rsidRPr="00F821D7">
        <w:rPr>
          <w:rFonts w:ascii="Verdana" w:eastAsia="Aptos" w:hAnsi="Verdana" w:cs="Times New Roman"/>
        </w:rPr>
        <w:t xml:space="preserve">Facebook: </w:t>
      </w:r>
      <w:proofErr w:type="spellStart"/>
      <w:r w:rsidRPr="00F821D7">
        <w:rPr>
          <w:rFonts w:ascii="Verdana" w:eastAsia="Aptos" w:hAnsi="Verdana" w:cs="Arial"/>
          <w:color w:val="0000FF"/>
          <w:u w:val="single"/>
          <w:shd w:val="clear" w:color="auto" w:fill="FFFFFF"/>
          <w:lang w:val="es-ES"/>
        </w:rPr>
        <w:t>ColombiaCompraEficiente</w:t>
      </w:r>
      <w:proofErr w:type="spellEnd"/>
    </w:p>
    <w:p w14:paraId="4D802054" w14:textId="77777777" w:rsidR="00F821D7" w:rsidRPr="00F821D7" w:rsidRDefault="00F821D7" w:rsidP="00F821D7">
      <w:pPr>
        <w:spacing w:after="0" w:line="276" w:lineRule="auto"/>
        <w:jc w:val="both"/>
        <w:rPr>
          <w:rFonts w:ascii="Verdana" w:eastAsia="Aptos" w:hAnsi="Verdana" w:cs="Times New Roman"/>
        </w:rPr>
      </w:pPr>
      <w:r w:rsidRPr="00F821D7">
        <w:rPr>
          <w:rFonts w:ascii="Verdana" w:eastAsia="Aptos" w:hAnsi="Verdana" w:cs="Times New Roman"/>
        </w:rPr>
        <w:t xml:space="preserve">LinkedIn: </w:t>
      </w:r>
      <w:r w:rsidRPr="00F821D7">
        <w:rPr>
          <w:rFonts w:ascii="Verdana" w:eastAsia="Aptos" w:hAnsi="Verdana" w:cs="Arial"/>
          <w:color w:val="0000FF"/>
          <w:u w:val="single"/>
          <w:shd w:val="clear" w:color="auto" w:fill="FFFFFF"/>
          <w:lang w:val="es-ES"/>
        </w:rPr>
        <w:t>Agencia Nacional de Contratación Pública - Colombia Compra Eficiente</w:t>
      </w:r>
      <w:r w:rsidRPr="00F821D7">
        <w:rPr>
          <w:rFonts w:ascii="Verdana" w:eastAsia="Aptos" w:hAnsi="Verdana" w:cs="Times New Roman"/>
          <w:color w:val="156082"/>
        </w:rPr>
        <w:t xml:space="preserve"> </w:t>
      </w:r>
      <w:r w:rsidRPr="00F821D7">
        <w:rPr>
          <w:rFonts w:ascii="Verdana" w:eastAsia="Aptos" w:hAnsi="Verdana" w:cs="Times New Roman"/>
        </w:rPr>
        <w:t xml:space="preserve">Instagram: </w:t>
      </w:r>
      <w:r w:rsidRPr="00F821D7">
        <w:rPr>
          <w:rFonts w:ascii="Verdana" w:eastAsia="Aptos" w:hAnsi="Verdana" w:cs="Arial"/>
          <w:color w:val="0000FF"/>
          <w:u w:val="single"/>
          <w:shd w:val="clear" w:color="auto" w:fill="FFFFFF"/>
          <w:lang w:val="es-ES"/>
        </w:rPr>
        <w:t>@colombiacompraeficiente_cce</w:t>
      </w:r>
    </w:p>
    <w:p w14:paraId="476510CE" w14:textId="77777777" w:rsidR="00F821D7" w:rsidRPr="00F821D7" w:rsidRDefault="00F821D7" w:rsidP="00F821D7">
      <w:pPr>
        <w:widowControl w:val="0"/>
        <w:autoSpaceDE w:val="0"/>
        <w:autoSpaceDN w:val="0"/>
        <w:spacing w:after="0" w:line="276" w:lineRule="auto"/>
        <w:jc w:val="both"/>
        <w:rPr>
          <w:rFonts w:ascii="Verdana" w:eastAsia="Aptos" w:hAnsi="Verdana" w:cs="Arial"/>
        </w:rPr>
      </w:pPr>
    </w:p>
    <w:p w14:paraId="0B4283F5" w14:textId="77777777" w:rsidR="00F821D7" w:rsidRPr="00F821D7" w:rsidRDefault="00F821D7" w:rsidP="00F821D7">
      <w:pPr>
        <w:widowControl w:val="0"/>
        <w:autoSpaceDE w:val="0"/>
        <w:autoSpaceDN w:val="0"/>
        <w:spacing w:after="0" w:line="276" w:lineRule="auto"/>
        <w:jc w:val="both"/>
        <w:rPr>
          <w:rFonts w:ascii="Verdana" w:eastAsia="Aptos" w:hAnsi="Verdana" w:cs="Arial"/>
          <w:lang w:val="es-ES_tradnl"/>
        </w:rPr>
      </w:pPr>
      <w:r w:rsidRPr="00F821D7">
        <w:rPr>
          <w:rFonts w:ascii="Verdana" w:eastAsia="Aptos" w:hAnsi="Verdana" w:cs="Arial"/>
        </w:rPr>
        <w:t xml:space="preserve">Este concepto tiene el alcance previsto en el artículo 28 del Código de Procedimiento Administrativo y de lo Contencioso Administrativo </w:t>
      </w:r>
      <w:r w:rsidRPr="00F821D7">
        <w:rPr>
          <w:rFonts w:ascii="Verdana" w:eastAsia="Aptos" w:hAnsi="Verdana" w:cs="Arial"/>
          <w:lang w:val="es-ES_tradnl"/>
        </w:rPr>
        <w:t>y las expresiones aquí utilizadas con mayúscula inicial deben ser entendidas con el significado que les otorga el artículo 2.2.1.1.1.3.1. del Decreto 1082 de 2015.</w:t>
      </w:r>
    </w:p>
    <w:p w14:paraId="11CD0EAC" w14:textId="77777777" w:rsidR="00F821D7" w:rsidRPr="00F821D7" w:rsidRDefault="00F821D7" w:rsidP="00F821D7">
      <w:pPr>
        <w:widowControl w:val="0"/>
        <w:autoSpaceDE w:val="0"/>
        <w:autoSpaceDN w:val="0"/>
        <w:spacing w:after="0" w:line="276" w:lineRule="auto"/>
        <w:jc w:val="both"/>
        <w:rPr>
          <w:rFonts w:ascii="Verdana" w:eastAsia="Aptos" w:hAnsi="Verdana" w:cs="Arial"/>
        </w:rPr>
      </w:pPr>
    </w:p>
    <w:p w14:paraId="02B88699" w14:textId="77777777" w:rsidR="00F821D7" w:rsidRPr="00F821D7" w:rsidRDefault="00F821D7" w:rsidP="00F821D7">
      <w:pPr>
        <w:spacing w:after="0" w:line="276" w:lineRule="auto"/>
        <w:rPr>
          <w:rFonts w:ascii="Verdana" w:eastAsia="Aptos" w:hAnsi="Verdana" w:cs="Arial"/>
          <w:lang w:eastAsia="es-CO"/>
        </w:rPr>
      </w:pPr>
      <w:r w:rsidRPr="00F821D7">
        <w:rPr>
          <w:rFonts w:ascii="Verdana" w:eastAsia="Times New Roman" w:hAnsi="Verdana" w:cs="Arial"/>
          <w:lang w:eastAsia="es-CO"/>
        </w:rPr>
        <w:t>Atentamente,</w:t>
      </w:r>
      <w:r w:rsidRPr="00F821D7">
        <w:rPr>
          <w:rFonts w:ascii="Verdana" w:eastAsia="Aptos" w:hAnsi="Verdana" w:cs="Arial"/>
          <w:lang w:eastAsia="es-CO"/>
        </w:rPr>
        <w:t xml:space="preserve"> </w:t>
      </w:r>
    </w:p>
    <w:p w14:paraId="7C105234" w14:textId="485F0D8E" w:rsidR="00F821D7" w:rsidRPr="00F821D7" w:rsidRDefault="00A439CF" w:rsidP="00F821D7">
      <w:pPr>
        <w:spacing w:after="0" w:line="276" w:lineRule="auto"/>
        <w:jc w:val="center"/>
        <w:rPr>
          <w:rFonts w:ascii="Verdana" w:eastAsia="Aptos" w:hAnsi="Verdana" w:cs="Arial"/>
          <w:lang w:val="es-ES_tradnl" w:eastAsia="es-CO"/>
        </w:rPr>
      </w:pPr>
      <w:r>
        <w:rPr>
          <w:noProof/>
        </w:rPr>
        <w:drawing>
          <wp:inline distT="0" distB="0" distL="0" distR="0" wp14:anchorId="55071756" wp14:editId="28A47667">
            <wp:extent cx="3774440" cy="1411605"/>
            <wp:effectExtent l="0" t="0" r="0" b="0"/>
            <wp:docPr id="1323117769"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74440" cy="1411605"/>
                    </a:xfrm>
                    <a:prstGeom prst="rect">
                      <a:avLst/>
                    </a:prstGeom>
                    <a:noFill/>
                    <a:ln>
                      <a:noFill/>
                    </a:ln>
                  </pic:spPr>
                </pic:pic>
              </a:graphicData>
            </a:graphic>
          </wp:inline>
        </w:drawing>
      </w:r>
    </w:p>
    <w:p w14:paraId="192E7EB2" w14:textId="6B1B1D80" w:rsidR="00F821D7" w:rsidRPr="00F821D7" w:rsidRDefault="00F821D7" w:rsidP="00F821D7">
      <w:pPr>
        <w:spacing w:after="0" w:line="276" w:lineRule="auto"/>
        <w:jc w:val="center"/>
        <w:rPr>
          <w:rFonts w:ascii="Verdana" w:eastAsia="Aptos" w:hAnsi="Verdana" w:cs="Arial"/>
          <w:lang w:val="es-ES_tradnl" w:eastAsia="es-CO"/>
        </w:rPr>
      </w:pP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4344"/>
      </w:tblGrid>
      <w:tr w:rsidR="00F821D7" w:rsidRPr="00F821D7" w14:paraId="164DA27E" w14:textId="77777777" w:rsidTr="001801F8">
        <w:trPr>
          <w:trHeight w:val="286"/>
        </w:trPr>
        <w:tc>
          <w:tcPr>
            <w:tcW w:w="901" w:type="dxa"/>
            <w:vAlign w:val="center"/>
            <w:hideMark/>
          </w:tcPr>
          <w:p w14:paraId="27BF2924" w14:textId="77777777" w:rsidR="00F821D7" w:rsidRPr="00F821D7" w:rsidRDefault="00F821D7" w:rsidP="00F821D7">
            <w:pPr>
              <w:rPr>
                <w:rFonts w:ascii="Verdana" w:eastAsia="Aptos" w:hAnsi="Verdana" w:cs="Arial"/>
                <w:sz w:val="14"/>
                <w:szCs w:val="14"/>
                <w:lang w:eastAsia="es-ES"/>
              </w:rPr>
            </w:pPr>
            <w:r w:rsidRPr="00F821D7">
              <w:rPr>
                <w:rFonts w:ascii="Verdana" w:eastAsia="Aptos" w:hAnsi="Verdana" w:cs="Arial"/>
                <w:sz w:val="14"/>
                <w:szCs w:val="14"/>
                <w:lang w:eastAsia="es-ES"/>
              </w:rPr>
              <w:t>Elaboró:</w:t>
            </w:r>
          </w:p>
        </w:tc>
        <w:tc>
          <w:tcPr>
            <w:tcW w:w="4344" w:type="dxa"/>
            <w:tcBorders>
              <w:top w:val="nil"/>
              <w:left w:val="nil"/>
              <w:bottom w:val="dotted" w:sz="4" w:space="0" w:color="7F7F7F"/>
              <w:right w:val="nil"/>
            </w:tcBorders>
            <w:vAlign w:val="center"/>
            <w:hideMark/>
          </w:tcPr>
          <w:p w14:paraId="6B99FF93" w14:textId="77777777" w:rsidR="00F821D7" w:rsidRPr="00F821D7" w:rsidRDefault="00F821D7" w:rsidP="00F821D7">
            <w:pPr>
              <w:rPr>
                <w:rFonts w:ascii="Verdana" w:eastAsia="Aptos" w:hAnsi="Verdana" w:cs="Arial"/>
                <w:sz w:val="14"/>
                <w:szCs w:val="14"/>
                <w:lang w:eastAsia="es-ES"/>
              </w:rPr>
            </w:pPr>
            <w:r w:rsidRPr="00F821D7">
              <w:rPr>
                <w:rFonts w:ascii="Verdana" w:eastAsia="Aptos" w:hAnsi="Verdana" w:cs="Arial"/>
                <w:sz w:val="14"/>
                <w:szCs w:val="14"/>
                <w:lang w:eastAsia="es-ES"/>
              </w:rPr>
              <w:t>Nasly Yeana Mosquera Rivas</w:t>
            </w:r>
          </w:p>
          <w:p w14:paraId="0DEE9EC5" w14:textId="77777777" w:rsidR="00F821D7" w:rsidRPr="00F821D7" w:rsidRDefault="00F821D7" w:rsidP="00F821D7">
            <w:pPr>
              <w:rPr>
                <w:rFonts w:ascii="Verdana" w:eastAsia="Aptos" w:hAnsi="Verdana" w:cs="Arial"/>
                <w:sz w:val="14"/>
                <w:szCs w:val="14"/>
                <w:lang w:eastAsia="es-ES"/>
              </w:rPr>
            </w:pPr>
            <w:r w:rsidRPr="00F821D7">
              <w:rPr>
                <w:rFonts w:ascii="Verdana" w:eastAsia="Aptos" w:hAnsi="Verdana" w:cs="Arial"/>
                <w:sz w:val="14"/>
                <w:szCs w:val="14"/>
                <w:lang w:eastAsia="es-ES"/>
              </w:rPr>
              <w:t>Analista T2–06 de la Subdirección de Gestión Contractual</w:t>
            </w:r>
          </w:p>
        </w:tc>
      </w:tr>
      <w:tr w:rsidR="00F821D7" w:rsidRPr="00F821D7" w14:paraId="307746A7" w14:textId="77777777" w:rsidTr="001801F8">
        <w:trPr>
          <w:trHeight w:val="299"/>
        </w:trPr>
        <w:tc>
          <w:tcPr>
            <w:tcW w:w="901" w:type="dxa"/>
            <w:vAlign w:val="center"/>
          </w:tcPr>
          <w:p w14:paraId="3B5F74B8" w14:textId="77777777" w:rsidR="00F821D7" w:rsidRPr="00F821D7" w:rsidRDefault="00F821D7" w:rsidP="00F821D7">
            <w:pPr>
              <w:rPr>
                <w:rFonts w:ascii="Verdana" w:eastAsia="Aptos" w:hAnsi="Verdana" w:cs="Arial"/>
                <w:sz w:val="14"/>
                <w:szCs w:val="14"/>
                <w:lang w:eastAsia="es-ES"/>
              </w:rPr>
            </w:pPr>
            <w:r w:rsidRPr="00F821D7">
              <w:rPr>
                <w:rFonts w:ascii="Verdana" w:eastAsia="Aptos" w:hAnsi="Verdana" w:cs="Arial"/>
                <w:sz w:val="14"/>
                <w:szCs w:val="14"/>
                <w:lang w:eastAsia="es-ES"/>
              </w:rPr>
              <w:t>Revisó:</w:t>
            </w:r>
          </w:p>
        </w:tc>
        <w:tc>
          <w:tcPr>
            <w:tcW w:w="4344" w:type="dxa"/>
            <w:tcBorders>
              <w:top w:val="dotted" w:sz="4" w:space="0" w:color="7F7F7F"/>
              <w:left w:val="nil"/>
              <w:bottom w:val="dotted" w:sz="4" w:space="0" w:color="7F7F7F"/>
              <w:right w:val="nil"/>
            </w:tcBorders>
            <w:vAlign w:val="center"/>
          </w:tcPr>
          <w:p w14:paraId="580D927B" w14:textId="77777777" w:rsidR="00F821D7" w:rsidRPr="00F821D7" w:rsidRDefault="00F821D7" w:rsidP="00F821D7">
            <w:pPr>
              <w:rPr>
                <w:rFonts w:ascii="Verdana" w:eastAsia="Aptos" w:hAnsi="Verdana" w:cs="Arial"/>
                <w:sz w:val="14"/>
                <w:szCs w:val="14"/>
                <w:lang w:eastAsia="es-ES"/>
              </w:rPr>
            </w:pPr>
            <w:r w:rsidRPr="00F821D7">
              <w:rPr>
                <w:rFonts w:ascii="Verdana" w:eastAsia="Aptos" w:hAnsi="Verdana" w:cs="Arial"/>
                <w:sz w:val="14"/>
                <w:szCs w:val="14"/>
                <w:lang w:eastAsia="es-ES"/>
              </w:rPr>
              <w:t xml:space="preserve">Diana Lucía Saavedra Castañeda </w:t>
            </w:r>
          </w:p>
          <w:p w14:paraId="1BB95825" w14:textId="77777777" w:rsidR="00F821D7" w:rsidRPr="00F821D7" w:rsidRDefault="00F821D7" w:rsidP="00F821D7">
            <w:pPr>
              <w:rPr>
                <w:rFonts w:ascii="Verdana" w:eastAsia="Aptos" w:hAnsi="Verdana" w:cs="Arial"/>
                <w:sz w:val="14"/>
                <w:szCs w:val="14"/>
                <w:lang w:eastAsia="es-ES"/>
              </w:rPr>
            </w:pPr>
            <w:r w:rsidRPr="00F821D7">
              <w:rPr>
                <w:rFonts w:ascii="Verdana" w:eastAsia="Aptos" w:hAnsi="Verdana" w:cs="Arial"/>
                <w:sz w:val="14"/>
                <w:szCs w:val="14"/>
                <w:lang w:eastAsia="es-ES"/>
              </w:rPr>
              <w:t>Contratista de la Subdirección de Gestión Contractual</w:t>
            </w:r>
          </w:p>
        </w:tc>
      </w:tr>
      <w:tr w:rsidR="00F821D7" w:rsidRPr="00F821D7" w14:paraId="73943CFC" w14:textId="77777777" w:rsidTr="001801F8">
        <w:trPr>
          <w:trHeight w:val="272"/>
        </w:trPr>
        <w:tc>
          <w:tcPr>
            <w:tcW w:w="901" w:type="dxa"/>
            <w:vAlign w:val="center"/>
            <w:hideMark/>
          </w:tcPr>
          <w:p w14:paraId="6ADE4BE2" w14:textId="77777777" w:rsidR="00F821D7" w:rsidRPr="00F821D7" w:rsidRDefault="00F821D7" w:rsidP="00F821D7">
            <w:pPr>
              <w:rPr>
                <w:rFonts w:ascii="Verdana" w:eastAsia="Aptos" w:hAnsi="Verdana" w:cs="Arial"/>
                <w:sz w:val="14"/>
                <w:szCs w:val="14"/>
                <w:lang w:eastAsia="es-ES"/>
              </w:rPr>
            </w:pPr>
            <w:r w:rsidRPr="00F821D7">
              <w:rPr>
                <w:rFonts w:ascii="Verdana" w:eastAsia="Aptos" w:hAnsi="Verdana" w:cs="Arial"/>
                <w:sz w:val="14"/>
                <w:szCs w:val="14"/>
                <w:lang w:eastAsia="es-ES"/>
              </w:rPr>
              <w:t>Aprobó:</w:t>
            </w:r>
          </w:p>
        </w:tc>
        <w:tc>
          <w:tcPr>
            <w:tcW w:w="4344" w:type="dxa"/>
            <w:tcBorders>
              <w:top w:val="dotted" w:sz="4" w:space="0" w:color="7F7F7F"/>
              <w:left w:val="nil"/>
              <w:bottom w:val="dotted" w:sz="4" w:space="0" w:color="7F7F7F"/>
              <w:right w:val="nil"/>
            </w:tcBorders>
            <w:vAlign w:val="center"/>
            <w:hideMark/>
          </w:tcPr>
          <w:p w14:paraId="6D12076C" w14:textId="77777777" w:rsidR="00F821D7" w:rsidRPr="00F821D7" w:rsidRDefault="00F821D7" w:rsidP="00F821D7">
            <w:pPr>
              <w:rPr>
                <w:rFonts w:ascii="Verdana" w:eastAsia="Aptos" w:hAnsi="Verdana" w:cs="Arial"/>
                <w:sz w:val="14"/>
                <w:szCs w:val="14"/>
                <w:lang w:eastAsia="es-ES"/>
              </w:rPr>
            </w:pPr>
            <w:r w:rsidRPr="00F821D7">
              <w:rPr>
                <w:rFonts w:ascii="Verdana" w:eastAsia="Aptos" w:hAnsi="Verdana" w:cs="Arial"/>
                <w:sz w:val="14"/>
                <w:szCs w:val="14"/>
                <w:lang w:eastAsia="es-ES"/>
              </w:rPr>
              <w:t>Carolina Quintero Gacharná</w:t>
            </w:r>
          </w:p>
          <w:p w14:paraId="67B3B0D8" w14:textId="77777777" w:rsidR="00F821D7" w:rsidRPr="00F821D7" w:rsidRDefault="00F821D7" w:rsidP="00F821D7">
            <w:pPr>
              <w:rPr>
                <w:rFonts w:ascii="Verdana" w:eastAsia="Aptos" w:hAnsi="Verdana" w:cs="Arial"/>
                <w:sz w:val="14"/>
                <w:szCs w:val="14"/>
                <w:lang w:eastAsia="es-ES"/>
              </w:rPr>
            </w:pPr>
            <w:r w:rsidRPr="00F821D7">
              <w:rPr>
                <w:rFonts w:ascii="Verdana" w:eastAsia="Aptos" w:hAnsi="Verdana" w:cs="Arial"/>
                <w:sz w:val="14"/>
                <w:szCs w:val="14"/>
                <w:lang w:eastAsia="es-ES"/>
              </w:rPr>
              <w:t>Subdirectora de Gestión Contractual ANCP – CCE</w:t>
            </w:r>
          </w:p>
        </w:tc>
      </w:tr>
    </w:tbl>
    <w:p w14:paraId="18F48CAE" w14:textId="77777777" w:rsidR="00F821D7" w:rsidRPr="00F821D7" w:rsidRDefault="00F821D7" w:rsidP="00F821D7">
      <w:pPr>
        <w:spacing w:after="0" w:line="240" w:lineRule="auto"/>
        <w:rPr>
          <w:rFonts w:ascii="Verdana" w:eastAsia="Times New Roman" w:hAnsi="Verdana" w:cs="Arial"/>
          <w:sz w:val="24"/>
          <w:szCs w:val="24"/>
          <w:lang w:eastAsia="es-ES"/>
        </w:rPr>
      </w:pPr>
    </w:p>
    <w:p w14:paraId="78C5AFDF" w14:textId="77777777" w:rsidR="00F821D7" w:rsidRPr="00F821D7" w:rsidRDefault="00F821D7" w:rsidP="00F821D7">
      <w:pPr>
        <w:rPr>
          <w:rFonts w:ascii="Verdana" w:eastAsia="Aptos" w:hAnsi="Verdana" w:cs="Times New Roman"/>
        </w:rPr>
      </w:pPr>
    </w:p>
    <w:p w14:paraId="2E0DEB40" w14:textId="77777777" w:rsidR="00F821D7" w:rsidRPr="00DF6A37" w:rsidRDefault="00F821D7" w:rsidP="00F821D7">
      <w:pPr>
        <w:spacing w:after="0" w:line="240" w:lineRule="auto"/>
        <w:rPr>
          <w:rFonts w:ascii="Verdana" w:eastAsia="Aptos" w:hAnsi="Verdana" w:cs="Times New Roman"/>
          <w:sz w:val="20"/>
          <w:szCs w:val="20"/>
        </w:rPr>
      </w:pPr>
    </w:p>
    <w:sectPr w:rsidR="00F821D7" w:rsidRPr="00DF6A37" w:rsidSect="00F821D7">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88FCBA" w14:textId="77777777" w:rsidR="00D864B7" w:rsidRDefault="00D864B7" w:rsidP="00F821D7">
      <w:pPr>
        <w:spacing w:after="0" w:line="240" w:lineRule="auto"/>
      </w:pPr>
      <w:r>
        <w:separator/>
      </w:r>
    </w:p>
  </w:endnote>
  <w:endnote w:type="continuationSeparator" w:id="0">
    <w:p w14:paraId="0B436084" w14:textId="77777777" w:rsidR="00D864B7" w:rsidRDefault="00D864B7" w:rsidP="00F821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23E48" w14:textId="77777777" w:rsidR="00F821D7" w:rsidRDefault="00F821D7">
    <w:pPr>
      <w:pStyle w:val="Piedepgina"/>
    </w:pPr>
  </w:p>
  <w:p w14:paraId="3C4C421F" w14:textId="77777777" w:rsidR="00F821D7" w:rsidRPr="00174B77" w:rsidRDefault="00F821D7"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DF6A37">
      <w:rPr>
        <w:rFonts w:ascii="Verdana" w:eastAsia="Times New Roman" w:hAnsi="Verdana" w:cs="Times New Roman"/>
        <w:b/>
        <w:bCs/>
        <w:sz w:val="16"/>
        <w:szCs w:val="16"/>
        <w:lang w:val="es-ES"/>
      </w:rPr>
      <w:t xml:space="preserve">pág. </w:t>
    </w:r>
    <w:r w:rsidRPr="00DF6A37">
      <w:rPr>
        <w:rFonts w:ascii="Verdana" w:eastAsia="Times New Roman" w:hAnsi="Verdana"/>
        <w:b/>
        <w:bCs/>
        <w:sz w:val="16"/>
        <w:szCs w:val="16"/>
      </w:rPr>
      <w:fldChar w:fldCharType="begin"/>
    </w:r>
    <w:r w:rsidRPr="002E1330">
      <w:rPr>
        <w:rFonts w:ascii="Verdana" w:hAnsi="Verdana"/>
        <w:b/>
        <w:bCs/>
        <w:sz w:val="16"/>
        <w:szCs w:val="16"/>
      </w:rPr>
      <w:instrText>PAGE    \* MERGEFORMAT</w:instrText>
    </w:r>
    <w:r w:rsidRPr="00DF6A37">
      <w:rPr>
        <w:rFonts w:ascii="Verdana" w:eastAsia="Times New Roman" w:hAnsi="Verdana"/>
        <w:b/>
        <w:bCs/>
        <w:sz w:val="16"/>
        <w:szCs w:val="16"/>
      </w:rPr>
      <w:fldChar w:fldCharType="separate"/>
    </w:r>
    <w:r w:rsidRPr="00DF6A37">
      <w:rPr>
        <w:rFonts w:ascii="Verdana" w:eastAsia="Times New Roman" w:hAnsi="Verdana"/>
        <w:b/>
        <w:bCs/>
        <w:sz w:val="16"/>
        <w:szCs w:val="16"/>
      </w:rPr>
      <w:t>1</w:t>
    </w:r>
    <w:r w:rsidRPr="00DF6A37">
      <w:rPr>
        <w:rFonts w:ascii="Verdana" w:eastAsia="Times New Roman"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549183AA" w14:textId="77777777" w:rsidR="00F821D7" w:rsidRDefault="00F821D7"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6D74F9E1" w14:textId="77777777" w:rsidR="00F821D7" w:rsidRPr="00E41027" w:rsidRDefault="00F821D7" w:rsidP="00D520D8">
    <w:pPr>
      <w:spacing w:after="0"/>
      <w:jc w:val="both"/>
      <w:rPr>
        <w:rFonts w:ascii="Verdana" w:hAnsi="Verdana"/>
        <w:sz w:val="18"/>
        <w:szCs w:val="18"/>
      </w:rPr>
    </w:pPr>
    <w:r w:rsidRPr="00E41027">
      <w:rPr>
        <w:rFonts w:ascii="Verdana" w:hAnsi="Verdana"/>
        <w:sz w:val="18"/>
        <w:szCs w:val="18"/>
      </w:rPr>
      <w:t>Mesa de servicio: (+57) 601 7456788</w:t>
    </w:r>
  </w:p>
  <w:p w14:paraId="3BA326DF" w14:textId="77777777" w:rsidR="00F821D7" w:rsidRDefault="00F821D7"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15EB4E" w14:textId="77777777" w:rsidR="00D864B7" w:rsidRDefault="00D864B7" w:rsidP="00F821D7">
      <w:pPr>
        <w:spacing w:after="0" w:line="240" w:lineRule="auto"/>
      </w:pPr>
      <w:r>
        <w:separator/>
      </w:r>
    </w:p>
  </w:footnote>
  <w:footnote w:type="continuationSeparator" w:id="0">
    <w:p w14:paraId="117CAB15" w14:textId="77777777" w:rsidR="00D864B7" w:rsidRDefault="00D864B7" w:rsidP="00F821D7">
      <w:pPr>
        <w:spacing w:after="0" w:line="240" w:lineRule="auto"/>
      </w:pPr>
      <w:r>
        <w:continuationSeparator/>
      </w:r>
    </w:p>
  </w:footnote>
  <w:footnote w:id="1">
    <w:p w14:paraId="34AFCC78" w14:textId="77777777" w:rsidR="00F821D7" w:rsidRPr="00F821D7" w:rsidRDefault="00F821D7" w:rsidP="00F821D7">
      <w:pPr>
        <w:pStyle w:val="Textonotapie"/>
        <w:ind w:firstLine="709"/>
        <w:rPr>
          <w:rFonts w:ascii="Verdana" w:hAnsi="Verdana" w:cs="Arial"/>
          <w:iCs/>
          <w:color w:val="1A1A1A"/>
          <w:sz w:val="16"/>
          <w:szCs w:val="16"/>
        </w:rPr>
      </w:pPr>
      <w:r w:rsidRPr="00F821D7">
        <w:rPr>
          <w:rStyle w:val="Refdenotaalpie"/>
          <w:rFonts w:ascii="Verdana" w:hAnsi="Verdana" w:cs="Arial"/>
          <w:color w:val="1A1A1A"/>
          <w:sz w:val="16"/>
          <w:szCs w:val="16"/>
        </w:rPr>
        <w:footnoteRef/>
      </w:r>
      <w:r w:rsidRPr="00F821D7">
        <w:rPr>
          <w:rFonts w:ascii="Verdana" w:hAnsi="Verdana" w:cs="Arial"/>
          <w:color w:val="1A1A1A"/>
          <w:sz w:val="16"/>
          <w:szCs w:val="16"/>
        </w:rPr>
        <w:t xml:space="preserve"> </w:t>
      </w:r>
      <w:r w:rsidRPr="00F821D7">
        <w:rPr>
          <w:rFonts w:ascii="Verdana" w:hAnsi="Verdana" w:cs="Arial"/>
          <w:iCs/>
          <w:color w:val="1A1A1A"/>
          <w:sz w:val="16"/>
          <w:szCs w:val="16"/>
        </w:rPr>
        <w:t>Artículo 3 de la Ley 80 de 1993.</w:t>
      </w:r>
    </w:p>
    <w:p w14:paraId="5743D51C" w14:textId="77777777" w:rsidR="00F821D7" w:rsidRPr="00F821D7" w:rsidRDefault="00F821D7" w:rsidP="00F821D7">
      <w:pPr>
        <w:pStyle w:val="Textonotapie"/>
        <w:ind w:firstLine="709"/>
        <w:rPr>
          <w:rFonts w:ascii="Verdana" w:hAnsi="Verdana" w:cs="Arial"/>
          <w:iCs/>
          <w:color w:val="1A1A1A"/>
          <w:sz w:val="16"/>
          <w:szCs w:val="16"/>
        </w:rPr>
      </w:pPr>
    </w:p>
  </w:footnote>
  <w:footnote w:id="2">
    <w:p w14:paraId="605371E1" w14:textId="77777777" w:rsidR="00F821D7" w:rsidRPr="00916DF1" w:rsidRDefault="00F821D7" w:rsidP="00F821D7">
      <w:pPr>
        <w:pStyle w:val="Textonotapie"/>
        <w:ind w:firstLine="709"/>
        <w:rPr>
          <w:rFonts w:ascii="Verdana" w:hAnsi="Verdana"/>
          <w:sz w:val="16"/>
          <w:szCs w:val="16"/>
        </w:rPr>
      </w:pPr>
      <w:r w:rsidRPr="00916DF1">
        <w:rPr>
          <w:rStyle w:val="Refdenotaalpie"/>
          <w:rFonts w:ascii="Verdana" w:hAnsi="Verdana"/>
          <w:sz w:val="16"/>
          <w:szCs w:val="16"/>
        </w:rPr>
        <w:footnoteRef/>
      </w:r>
      <w:r w:rsidRPr="00916DF1">
        <w:rPr>
          <w:rFonts w:ascii="Verdana" w:hAnsi="Verdana"/>
          <w:sz w:val="16"/>
          <w:szCs w:val="16"/>
        </w:rPr>
        <w:t xml:space="preserve"> Artículo 17 de la Ley 1150 de 2007</w:t>
      </w:r>
      <w:r>
        <w:rPr>
          <w:rFonts w:ascii="Verdana" w:hAnsi="Verdana"/>
          <w:sz w:val="16"/>
          <w:szCs w:val="16"/>
        </w:rPr>
        <w:t>.</w:t>
      </w:r>
    </w:p>
    <w:p w14:paraId="7C44B55A" w14:textId="77777777" w:rsidR="00F821D7" w:rsidRPr="00916DF1" w:rsidRDefault="00F821D7" w:rsidP="00F821D7">
      <w:pPr>
        <w:pStyle w:val="Textonotapie"/>
        <w:ind w:firstLine="709"/>
        <w:rPr>
          <w:rFonts w:ascii="Verdana" w:hAnsi="Verdana"/>
          <w:sz w:val="16"/>
          <w:szCs w:val="16"/>
          <w:lang w:val="es-CO"/>
        </w:rPr>
      </w:pPr>
    </w:p>
  </w:footnote>
  <w:footnote w:id="3">
    <w:p w14:paraId="72EE3E1F" w14:textId="77777777" w:rsidR="00F821D7" w:rsidRPr="00916DF1" w:rsidRDefault="00F821D7" w:rsidP="00F821D7">
      <w:pPr>
        <w:pStyle w:val="Textonotapie"/>
        <w:ind w:firstLine="709"/>
        <w:rPr>
          <w:rFonts w:ascii="Verdana" w:hAnsi="Verdana"/>
          <w:sz w:val="16"/>
          <w:szCs w:val="16"/>
        </w:rPr>
      </w:pPr>
      <w:r w:rsidRPr="00916DF1">
        <w:rPr>
          <w:rStyle w:val="Refdenotaalpie"/>
          <w:rFonts w:ascii="Verdana" w:hAnsi="Verdana"/>
          <w:sz w:val="16"/>
          <w:szCs w:val="16"/>
        </w:rPr>
        <w:footnoteRef/>
      </w:r>
      <w:r w:rsidRPr="00916DF1">
        <w:rPr>
          <w:rFonts w:ascii="Verdana" w:hAnsi="Verdana"/>
          <w:sz w:val="16"/>
          <w:szCs w:val="16"/>
        </w:rPr>
        <w:t xml:space="preserve"> Artículo 21 de la Ley 1150 de 2007</w:t>
      </w:r>
      <w:r>
        <w:rPr>
          <w:rFonts w:ascii="Verdana" w:hAnsi="Verdana"/>
          <w:sz w:val="16"/>
          <w:szCs w:val="16"/>
        </w:rPr>
        <w:t>.</w:t>
      </w:r>
    </w:p>
    <w:p w14:paraId="38D211FD" w14:textId="77777777" w:rsidR="00F821D7" w:rsidRPr="00916DF1" w:rsidRDefault="00F821D7" w:rsidP="00F821D7">
      <w:pPr>
        <w:pStyle w:val="Textonotapie"/>
        <w:ind w:firstLine="709"/>
        <w:rPr>
          <w:rFonts w:ascii="Verdana" w:hAnsi="Verdana"/>
          <w:sz w:val="16"/>
          <w:szCs w:val="16"/>
          <w:lang w:val="es-CO"/>
        </w:rPr>
      </w:pPr>
    </w:p>
  </w:footnote>
  <w:footnote w:id="4">
    <w:p w14:paraId="6E08F1F2" w14:textId="77777777" w:rsidR="00F821D7" w:rsidRPr="00916DF1" w:rsidRDefault="00F821D7" w:rsidP="00F821D7">
      <w:pPr>
        <w:pStyle w:val="Textonotapie"/>
        <w:ind w:firstLine="709"/>
        <w:rPr>
          <w:rFonts w:ascii="Verdana" w:hAnsi="Verdana"/>
          <w:sz w:val="16"/>
          <w:szCs w:val="16"/>
        </w:rPr>
      </w:pPr>
      <w:r w:rsidRPr="00916DF1">
        <w:rPr>
          <w:rStyle w:val="Refdenotaalpie"/>
          <w:rFonts w:ascii="Verdana" w:hAnsi="Verdana"/>
          <w:sz w:val="16"/>
          <w:szCs w:val="16"/>
        </w:rPr>
        <w:footnoteRef/>
      </w:r>
      <w:r w:rsidRPr="00916DF1">
        <w:rPr>
          <w:rFonts w:ascii="Verdana" w:hAnsi="Verdana"/>
          <w:sz w:val="16"/>
          <w:szCs w:val="16"/>
        </w:rPr>
        <w:t xml:space="preserve"> Artículos 83 a 86 de la Ley 1474 de 2011</w:t>
      </w:r>
      <w:r>
        <w:rPr>
          <w:rFonts w:ascii="Verdana" w:hAnsi="Verdana"/>
          <w:sz w:val="16"/>
          <w:szCs w:val="16"/>
        </w:rPr>
        <w:t>.</w:t>
      </w:r>
    </w:p>
    <w:p w14:paraId="6836C55A" w14:textId="77777777" w:rsidR="00F821D7" w:rsidRPr="00916DF1" w:rsidRDefault="00F821D7" w:rsidP="00F821D7">
      <w:pPr>
        <w:pStyle w:val="Textonotapie"/>
        <w:ind w:firstLine="709"/>
        <w:rPr>
          <w:rFonts w:ascii="Verdana" w:hAnsi="Verdana"/>
          <w:sz w:val="16"/>
          <w:szCs w:val="16"/>
          <w:lang w:val="es-CO"/>
        </w:rPr>
      </w:pPr>
    </w:p>
  </w:footnote>
  <w:footnote w:id="5">
    <w:p w14:paraId="183DF207" w14:textId="77777777" w:rsidR="00F821D7" w:rsidRPr="00916DF1" w:rsidRDefault="00F821D7" w:rsidP="00F821D7">
      <w:pPr>
        <w:pStyle w:val="Textonotapie"/>
        <w:ind w:firstLine="709"/>
        <w:rPr>
          <w:rFonts w:ascii="Verdana" w:hAnsi="Verdana"/>
          <w:sz w:val="16"/>
          <w:szCs w:val="16"/>
        </w:rPr>
      </w:pPr>
      <w:r w:rsidRPr="00916DF1">
        <w:rPr>
          <w:rStyle w:val="Refdenotaalpie"/>
          <w:rFonts w:ascii="Verdana" w:hAnsi="Verdana"/>
          <w:sz w:val="16"/>
          <w:szCs w:val="16"/>
        </w:rPr>
        <w:footnoteRef/>
      </w:r>
      <w:r w:rsidRPr="00916DF1">
        <w:rPr>
          <w:rFonts w:ascii="Verdana" w:hAnsi="Verdana"/>
          <w:sz w:val="16"/>
          <w:szCs w:val="16"/>
        </w:rPr>
        <w:t xml:space="preserve"> Consejo de Estado. Sección 3ª. Sentencia del 27 de noviembre de 2017. M.P. Jaime Orlando</w:t>
      </w:r>
    </w:p>
    <w:p w14:paraId="1B7AB257" w14:textId="77777777" w:rsidR="00F821D7" w:rsidRPr="00916DF1" w:rsidRDefault="00F821D7" w:rsidP="00F821D7">
      <w:pPr>
        <w:pStyle w:val="Textonotapie"/>
        <w:rPr>
          <w:rFonts w:ascii="Verdana" w:hAnsi="Verdana"/>
          <w:sz w:val="16"/>
          <w:szCs w:val="16"/>
        </w:rPr>
      </w:pPr>
      <w:r w:rsidRPr="00916DF1">
        <w:rPr>
          <w:rFonts w:ascii="Verdana" w:hAnsi="Verdana"/>
          <w:sz w:val="16"/>
          <w:szCs w:val="16"/>
        </w:rPr>
        <w:t>Santofimio. Exp. 51.802</w:t>
      </w:r>
      <w:r>
        <w:rPr>
          <w:rFonts w:ascii="Verdana" w:hAnsi="Verdana"/>
          <w:sz w:val="16"/>
          <w:szCs w:val="16"/>
        </w:rPr>
        <w:t>.</w:t>
      </w:r>
    </w:p>
    <w:p w14:paraId="4D186522" w14:textId="77777777" w:rsidR="00F821D7" w:rsidRPr="00916DF1" w:rsidRDefault="00F821D7" w:rsidP="00F821D7">
      <w:pPr>
        <w:pStyle w:val="Textonotapie"/>
        <w:ind w:firstLine="709"/>
        <w:rPr>
          <w:rFonts w:ascii="Verdana" w:hAnsi="Verdana"/>
          <w:sz w:val="16"/>
          <w:szCs w:val="16"/>
          <w:lang w:val="es-CO"/>
        </w:rPr>
      </w:pPr>
    </w:p>
  </w:footnote>
  <w:footnote w:id="6">
    <w:p w14:paraId="3BECA5AA" w14:textId="77777777" w:rsidR="00F821D7" w:rsidRPr="00916DF1" w:rsidRDefault="00F821D7" w:rsidP="00F821D7">
      <w:pPr>
        <w:pStyle w:val="Textonotapie"/>
        <w:ind w:firstLine="709"/>
        <w:rPr>
          <w:rFonts w:ascii="Verdana" w:hAnsi="Verdana"/>
          <w:sz w:val="16"/>
          <w:szCs w:val="16"/>
        </w:rPr>
      </w:pPr>
      <w:r w:rsidRPr="00916DF1">
        <w:rPr>
          <w:rStyle w:val="Refdenotaalpie"/>
          <w:rFonts w:ascii="Verdana" w:hAnsi="Verdana"/>
          <w:sz w:val="16"/>
          <w:szCs w:val="16"/>
        </w:rPr>
        <w:footnoteRef/>
      </w:r>
      <w:r w:rsidRPr="00916DF1">
        <w:rPr>
          <w:rFonts w:ascii="Verdana" w:hAnsi="Verdana"/>
          <w:sz w:val="16"/>
          <w:szCs w:val="16"/>
        </w:rPr>
        <w:t xml:space="preserve"> Artículo 83 de la Ley 1474 de 2011</w:t>
      </w:r>
      <w:r>
        <w:rPr>
          <w:rFonts w:ascii="Verdana" w:hAnsi="Verdana"/>
          <w:sz w:val="16"/>
          <w:szCs w:val="16"/>
        </w:rPr>
        <w:t>.</w:t>
      </w:r>
    </w:p>
    <w:p w14:paraId="009C3C36" w14:textId="77777777" w:rsidR="00F821D7" w:rsidRPr="00916DF1" w:rsidRDefault="00F821D7" w:rsidP="00F821D7">
      <w:pPr>
        <w:pStyle w:val="Textonotapie"/>
        <w:ind w:firstLine="709"/>
        <w:rPr>
          <w:rFonts w:ascii="Verdana" w:hAnsi="Verdana"/>
          <w:sz w:val="16"/>
          <w:szCs w:val="16"/>
          <w:lang w:val="es-CO"/>
        </w:rPr>
      </w:pPr>
    </w:p>
  </w:footnote>
  <w:footnote w:id="7">
    <w:p w14:paraId="04BE81BE" w14:textId="77777777" w:rsidR="00F821D7" w:rsidRPr="00916DF1" w:rsidRDefault="00F821D7" w:rsidP="00F821D7">
      <w:pPr>
        <w:pStyle w:val="Textonotapie"/>
        <w:ind w:firstLine="709"/>
        <w:rPr>
          <w:rFonts w:ascii="Verdana" w:hAnsi="Verdana"/>
          <w:sz w:val="16"/>
          <w:szCs w:val="16"/>
          <w:lang w:val="es-CO"/>
        </w:rPr>
      </w:pPr>
      <w:r w:rsidRPr="00916DF1">
        <w:rPr>
          <w:rStyle w:val="Refdenotaalpie"/>
          <w:rFonts w:ascii="Verdana" w:hAnsi="Verdana"/>
          <w:sz w:val="16"/>
          <w:szCs w:val="16"/>
        </w:rPr>
        <w:footnoteRef/>
      </w:r>
      <w:r w:rsidRPr="00916DF1">
        <w:rPr>
          <w:rFonts w:ascii="Verdana" w:hAnsi="Verdana"/>
          <w:sz w:val="16"/>
          <w:szCs w:val="16"/>
        </w:rPr>
        <w:t xml:space="preserve"> A excepción de la interventoría del contrato de obra adjudicado por licitación pública que es</w:t>
      </w:r>
      <w:r>
        <w:rPr>
          <w:rFonts w:ascii="Verdana" w:hAnsi="Verdana"/>
          <w:sz w:val="16"/>
          <w:szCs w:val="16"/>
        </w:rPr>
        <w:t xml:space="preserve"> </w:t>
      </w:r>
      <w:r w:rsidRPr="00916DF1">
        <w:rPr>
          <w:rFonts w:ascii="Verdana" w:hAnsi="Verdana"/>
          <w:sz w:val="16"/>
          <w:szCs w:val="16"/>
        </w:rPr>
        <w:t>obligatoria según el numeral 1° del artículo 32 de la Ley 80 de 1993.</w:t>
      </w:r>
    </w:p>
  </w:footnote>
  <w:footnote w:id="8">
    <w:p w14:paraId="1B840A41" w14:textId="77777777" w:rsidR="00F821D7" w:rsidRPr="00F821D7" w:rsidRDefault="00F821D7" w:rsidP="00F821D7">
      <w:pPr>
        <w:pStyle w:val="Textonotapie"/>
        <w:ind w:firstLine="709"/>
        <w:rPr>
          <w:rFonts w:ascii="Verdana" w:hAnsi="Verdana" w:cs="Arial"/>
          <w:color w:val="000000"/>
          <w:sz w:val="16"/>
          <w:szCs w:val="16"/>
        </w:rPr>
      </w:pPr>
      <w:r w:rsidRPr="00F821D7">
        <w:rPr>
          <w:rStyle w:val="Refdenotaalpie"/>
          <w:rFonts w:ascii="Verdana" w:hAnsi="Verdana" w:cs="Arial"/>
          <w:color w:val="000000"/>
          <w:sz w:val="16"/>
          <w:szCs w:val="16"/>
        </w:rPr>
        <w:footnoteRef/>
      </w:r>
      <w:r w:rsidRPr="00F821D7">
        <w:rPr>
          <w:rFonts w:ascii="Verdana" w:hAnsi="Verdana" w:cs="Arial"/>
          <w:color w:val="000000"/>
          <w:sz w:val="16"/>
          <w:szCs w:val="16"/>
        </w:rPr>
        <w:t xml:space="preserve"> </w:t>
      </w:r>
      <w:r w:rsidRPr="00F821D7">
        <w:rPr>
          <w:rFonts w:ascii="Verdana" w:hAnsi="Verdana" w:cs="Arial"/>
          <w:iCs/>
          <w:color w:val="000000"/>
          <w:sz w:val="16"/>
          <w:szCs w:val="16"/>
        </w:rPr>
        <w:t>Departamento Administrativo de la Función Pública. Concepto del 6 de mayo de 2019. Rad. 140.881.</w:t>
      </w:r>
    </w:p>
    <w:p w14:paraId="338A0F60" w14:textId="77777777" w:rsidR="00F821D7" w:rsidRPr="00F821D7" w:rsidRDefault="00F821D7" w:rsidP="00F821D7">
      <w:pPr>
        <w:pStyle w:val="Textonotapie"/>
        <w:ind w:firstLine="709"/>
        <w:rPr>
          <w:rFonts w:ascii="Verdana" w:hAnsi="Verdana" w:cs="Arial"/>
          <w:color w:val="000000"/>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2D123" w14:textId="77777777" w:rsidR="00F821D7" w:rsidRDefault="00F821D7">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3081AE7F" wp14:editId="7A0FFE7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52A34F76" wp14:editId="5E2C4F7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A3E31AF" w14:textId="77777777" w:rsidR="00F821D7" w:rsidRDefault="00F821D7">
    <w:pPr>
      <w:pStyle w:val="Encabezado"/>
    </w:pPr>
  </w:p>
  <w:p w14:paraId="6F04FE15" w14:textId="77777777" w:rsidR="00F821D7" w:rsidRDefault="00F821D7" w:rsidP="004A305D">
    <w:pPr>
      <w:spacing w:after="0"/>
      <w:rPr>
        <w:rFonts w:ascii="Verdana" w:hAnsi="Verdana"/>
        <w:b/>
        <w:bCs/>
      </w:rPr>
    </w:pPr>
  </w:p>
  <w:p w14:paraId="2D9460F8" w14:textId="77777777" w:rsidR="00F821D7" w:rsidRPr="00DC39FC" w:rsidRDefault="00F821D7" w:rsidP="004A305D">
    <w:pPr>
      <w:spacing w:after="0"/>
      <w:rPr>
        <w:rFonts w:ascii="Verdana" w:hAnsi="Verdana"/>
        <w:b/>
        <w:bCs/>
      </w:rPr>
    </w:pPr>
    <w:r w:rsidRPr="00DC39FC">
      <w:rPr>
        <w:rFonts w:ascii="Verdana" w:hAnsi="Verdana"/>
        <w:b/>
        <w:bCs/>
      </w:rPr>
      <w:t>FORMATO PQRSD</w:t>
    </w:r>
  </w:p>
  <w:p w14:paraId="3058CEF4" w14:textId="77777777" w:rsidR="00F821D7" w:rsidRPr="004A305D" w:rsidRDefault="00F821D7" w:rsidP="00B01B1A">
    <w:pPr>
      <w:spacing w:after="0" w:line="120" w:lineRule="auto"/>
      <w:rPr>
        <w:rFonts w:ascii="Century Gothic" w:eastAsia="Geo" w:hAnsi="Century Gothic" w:cs="Geo"/>
        <w:sz w:val="16"/>
        <w:szCs w:val="16"/>
        <w:lang w:eastAsia="es-CO"/>
      </w:rPr>
    </w:pPr>
  </w:p>
  <w:p w14:paraId="5A083DB5" w14:textId="77777777" w:rsidR="00F821D7" w:rsidRDefault="00F821D7"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679089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1D7"/>
    <w:rsid w:val="002E1B68"/>
    <w:rsid w:val="003030ED"/>
    <w:rsid w:val="005727E1"/>
    <w:rsid w:val="005818E2"/>
    <w:rsid w:val="008E5C2E"/>
    <w:rsid w:val="00A439CF"/>
    <w:rsid w:val="00C87B4A"/>
    <w:rsid w:val="00D864B7"/>
    <w:rsid w:val="00E96FE7"/>
    <w:rsid w:val="00EE7105"/>
    <w:rsid w:val="00F821D7"/>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641D2"/>
  <w15:chartTrackingRefBased/>
  <w15:docId w15:val="{750F1014-BDDF-4606-8B16-20F816030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21D7"/>
    <w:rPr>
      <w:kern w:val="0"/>
      <w14:ligatures w14:val="none"/>
    </w:rPr>
  </w:style>
  <w:style w:type="paragraph" w:styleId="Ttulo1">
    <w:name w:val="heading 1"/>
    <w:basedOn w:val="Normal"/>
    <w:next w:val="Normal"/>
    <w:link w:val="Ttulo1Car"/>
    <w:uiPriority w:val="9"/>
    <w:qFormat/>
    <w:rsid w:val="00F821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821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821D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821D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821D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821D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821D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821D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821D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821D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821D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821D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821D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821D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821D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821D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821D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821D7"/>
    <w:rPr>
      <w:rFonts w:eastAsiaTheme="majorEastAsia" w:cstheme="majorBidi"/>
      <w:color w:val="272727" w:themeColor="text1" w:themeTint="D8"/>
    </w:rPr>
  </w:style>
  <w:style w:type="paragraph" w:styleId="Ttulo">
    <w:name w:val="Title"/>
    <w:basedOn w:val="Normal"/>
    <w:next w:val="Normal"/>
    <w:link w:val="TtuloCar"/>
    <w:uiPriority w:val="10"/>
    <w:qFormat/>
    <w:rsid w:val="00F821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821D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821D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821D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821D7"/>
    <w:pPr>
      <w:spacing w:before="160"/>
      <w:jc w:val="center"/>
    </w:pPr>
    <w:rPr>
      <w:i/>
      <w:iCs/>
      <w:color w:val="404040" w:themeColor="text1" w:themeTint="BF"/>
    </w:rPr>
  </w:style>
  <w:style w:type="character" w:customStyle="1" w:styleId="CitaCar">
    <w:name w:val="Cita Car"/>
    <w:basedOn w:val="Fuentedeprrafopredeter"/>
    <w:link w:val="Cita"/>
    <w:uiPriority w:val="29"/>
    <w:rsid w:val="00F821D7"/>
    <w:rPr>
      <w:i/>
      <w:iCs/>
      <w:color w:val="404040" w:themeColor="text1" w:themeTint="BF"/>
    </w:rPr>
  </w:style>
  <w:style w:type="paragraph" w:styleId="Prrafodelista">
    <w:name w:val="List Paragraph"/>
    <w:basedOn w:val="Normal"/>
    <w:uiPriority w:val="34"/>
    <w:qFormat/>
    <w:rsid w:val="00F821D7"/>
    <w:pPr>
      <w:ind w:left="720"/>
      <w:contextualSpacing/>
    </w:pPr>
  </w:style>
  <w:style w:type="character" w:styleId="nfasisintenso">
    <w:name w:val="Intense Emphasis"/>
    <w:basedOn w:val="Fuentedeprrafopredeter"/>
    <w:uiPriority w:val="21"/>
    <w:qFormat/>
    <w:rsid w:val="00F821D7"/>
    <w:rPr>
      <w:i/>
      <w:iCs/>
      <w:color w:val="0F4761" w:themeColor="accent1" w:themeShade="BF"/>
    </w:rPr>
  </w:style>
  <w:style w:type="paragraph" w:styleId="Citadestacada">
    <w:name w:val="Intense Quote"/>
    <w:basedOn w:val="Normal"/>
    <w:next w:val="Normal"/>
    <w:link w:val="CitadestacadaCar"/>
    <w:uiPriority w:val="30"/>
    <w:qFormat/>
    <w:rsid w:val="00F821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821D7"/>
    <w:rPr>
      <w:i/>
      <w:iCs/>
      <w:color w:val="0F4761" w:themeColor="accent1" w:themeShade="BF"/>
    </w:rPr>
  </w:style>
  <w:style w:type="character" w:styleId="Referenciaintensa">
    <w:name w:val="Intense Reference"/>
    <w:basedOn w:val="Fuentedeprrafopredeter"/>
    <w:uiPriority w:val="32"/>
    <w:qFormat/>
    <w:rsid w:val="00F821D7"/>
    <w:rPr>
      <w:b/>
      <w:bCs/>
      <w:smallCaps/>
      <w:color w:val="0F4761" w:themeColor="accent1" w:themeShade="BF"/>
      <w:spacing w:val="5"/>
    </w:rPr>
  </w:style>
  <w:style w:type="paragraph" w:styleId="Encabezado">
    <w:name w:val="header"/>
    <w:basedOn w:val="Normal"/>
    <w:link w:val="EncabezadoCar"/>
    <w:uiPriority w:val="99"/>
    <w:unhideWhenUsed/>
    <w:rsid w:val="00F821D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821D7"/>
    <w:rPr>
      <w:kern w:val="0"/>
      <w14:ligatures w14:val="none"/>
    </w:rPr>
  </w:style>
  <w:style w:type="paragraph" w:styleId="Piedepgina">
    <w:name w:val="footer"/>
    <w:basedOn w:val="Normal"/>
    <w:link w:val="PiedepginaCar"/>
    <w:uiPriority w:val="99"/>
    <w:unhideWhenUsed/>
    <w:rsid w:val="00F821D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821D7"/>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F821D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F821D7"/>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F821D7"/>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F821D7"/>
    <w:rPr>
      <w:vertAlign w:val="superscript"/>
    </w:rPr>
  </w:style>
  <w:style w:type="table" w:styleId="Tablaconcuadrcula">
    <w:name w:val="Table Grid"/>
    <w:basedOn w:val="Tablanormal"/>
    <w:uiPriority w:val="39"/>
    <w:qFormat/>
    <w:rsid w:val="00F821D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F821D7"/>
    <w:pPr>
      <w:spacing w:line="240" w:lineRule="exact"/>
    </w:pPr>
    <w:rPr>
      <w:kern w:val="2"/>
      <w:vertAlign w:val="superscript"/>
      <w14:ligatures w14:val="standardContextual"/>
    </w:rPr>
  </w:style>
  <w:style w:type="table" w:customStyle="1" w:styleId="Tablaconcuadrcula11">
    <w:name w:val="Tabla con cuadrícula11"/>
    <w:basedOn w:val="Tablanormal"/>
    <w:next w:val="Tablaconcuadrcula"/>
    <w:uiPriority w:val="59"/>
    <w:qFormat/>
    <w:rsid w:val="00F821D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aliases w:val="No Indent"/>
    <w:uiPriority w:val="1"/>
    <w:qFormat/>
    <w:rsid w:val="00F821D7"/>
    <w:pPr>
      <w:spacing w:after="0" w:line="240" w:lineRule="auto"/>
    </w:pPr>
    <w:rPr>
      <w:kern w:val="0"/>
      <w:sz w:val="24"/>
      <w:lang w:val="es-MX"/>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wp-content/uploads/2024/08/2018-Guia-para-el-ejercicio-de-las-funciones-de-supervision-e-interventoria-de-los-contratos-suscritos-por-las-Entidades-Estatales-G-EFSICE-02.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katri17@hot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C68A596-63FF-408C-BF68-59EE0E53E1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4D152ED-4CAC-47C8-900B-AEA213EA75F8}">
  <ds:schemaRefs>
    <ds:schemaRef ds:uri="http://schemas.microsoft.com/sharepoint/v3/contenttype/forms"/>
  </ds:schemaRefs>
</ds:datastoreItem>
</file>

<file path=customXml/itemProps3.xml><?xml version="1.0" encoding="utf-8"?>
<ds:datastoreItem xmlns:ds="http://schemas.openxmlformats.org/officeDocument/2006/customXml" ds:itemID="{4E1CFB67-9089-43CD-9DB7-0FD9A3BC9070}">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3532</Words>
  <Characters>19432</Characters>
  <Application>Microsoft Office Word</Application>
  <DocSecurity>0</DocSecurity>
  <Lines>161</Lines>
  <Paragraphs>45</Paragraphs>
  <ScaleCrop>false</ScaleCrop>
  <Company/>
  <LinksUpToDate>false</LinksUpToDate>
  <CharactersWithSpaces>22919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 Yeana Mosquera Rivas</dc:creator>
  <cp:keywords/>
  <dc:description/>
  <cp:lastModifiedBy>Nasly Yeana Mosquera Rivas</cp:lastModifiedBy>
  <cp:revision>5</cp:revision>
  <dcterms:created xsi:type="dcterms:W3CDTF">2025-08-19T18:12:00Z</dcterms:created>
  <dcterms:modified xsi:type="dcterms:W3CDTF">2025-08-19T18:16:00Z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