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4B12" w14:textId="77777777" w:rsidR="003C2FEE" w:rsidRPr="00D8463A" w:rsidRDefault="003C2FEE" w:rsidP="003C2FEE">
      <w:pPr>
        <w:spacing w:after="0"/>
        <w:rPr>
          <w:rFonts w:ascii="Verdana" w:eastAsia="Aptos" w:hAnsi="Verdana" w:cs="Times New Roman"/>
        </w:rPr>
      </w:pPr>
      <w:bookmarkStart w:id="0" w:name="_Hlk143780582"/>
      <w:r w:rsidRPr="00D8463A">
        <w:rPr>
          <w:rFonts w:ascii="Verdana" w:eastAsia="Aptos" w:hAnsi="Verdana" w:cs="Times New Roman"/>
          <w:b/>
          <w:bCs/>
          <w:color w:val="000000"/>
        </w:rPr>
        <w:t xml:space="preserve">DOCUMENTOS TIPO – Fundamento normativo – Obligatoriedad </w:t>
      </w:r>
    </w:p>
    <w:p w14:paraId="77A9A7DC" w14:textId="77777777" w:rsidR="003C2FEE" w:rsidRPr="00D8463A" w:rsidRDefault="003C2FEE" w:rsidP="003C2FEE">
      <w:pPr>
        <w:spacing w:after="0" w:line="276" w:lineRule="auto"/>
        <w:jc w:val="both"/>
        <w:rPr>
          <w:rFonts w:ascii="Verdana" w:eastAsia="Calibri" w:hAnsi="Verdana" w:cs="Arial"/>
          <w:b/>
          <w:bCs/>
          <w:sz w:val="20"/>
          <w:szCs w:val="20"/>
          <w:lang w:val="es-ES_tradnl"/>
        </w:rPr>
      </w:pPr>
    </w:p>
    <w:p w14:paraId="42999736" w14:textId="77777777" w:rsidR="003C2FEE" w:rsidRPr="00D8463A" w:rsidRDefault="003C2FEE" w:rsidP="003C2FEE">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D8463A">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D8463A">
        <w:rPr>
          <w:rFonts w:ascii="Verdana" w:eastAsia="Times New Roman" w:hAnsi="Verdana" w:cs="Arial"/>
          <w:sz w:val="20"/>
          <w:szCs w:val="20"/>
          <w:shd w:val="clear" w:color="auto" w:fill="FFFFFF"/>
          <w:lang w:val="es-ES_tradnl" w:eastAsia="es-ES_tradnl"/>
        </w:rPr>
        <w:sym w:font="Symbol" w:char="F02D"/>
      </w:r>
      <w:r w:rsidRPr="00D8463A">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94AC8DD" w14:textId="77777777" w:rsidR="003C2FEE" w:rsidRPr="00D8463A" w:rsidRDefault="003C2FEE" w:rsidP="003C2FEE">
      <w:pPr>
        <w:spacing w:after="0" w:line="276" w:lineRule="auto"/>
        <w:jc w:val="both"/>
        <w:rPr>
          <w:rFonts w:ascii="Verdana" w:eastAsia="Geomanist Light" w:hAnsi="Verdana" w:cs="Arial"/>
          <w:highlight w:val="yellow"/>
          <w:lang w:val="es-ES_tradnl"/>
        </w:rPr>
      </w:pPr>
    </w:p>
    <w:p w14:paraId="65087C62" w14:textId="77777777" w:rsidR="003C2FEE" w:rsidRPr="00D8463A" w:rsidRDefault="003C2FEE" w:rsidP="003C2FEE">
      <w:pPr>
        <w:spacing w:after="0"/>
        <w:jc w:val="both"/>
        <w:rPr>
          <w:rFonts w:ascii="Verdana" w:eastAsia="Aptos" w:hAnsi="Verdana" w:cs="Times New Roman"/>
          <w:b/>
          <w:bCs/>
          <w:color w:val="000000"/>
        </w:rPr>
      </w:pPr>
      <w:r w:rsidRPr="00D8463A">
        <w:rPr>
          <w:rFonts w:ascii="Verdana" w:eastAsia="Aptos" w:hAnsi="Verdana" w:cs="Times New Roman"/>
          <w:b/>
          <w:bCs/>
          <w:color w:val="000000"/>
        </w:rPr>
        <w:t>DOCUMENTOS TIPO − Licitación de obra pública de infraestructura de transporte – Versión 4 – Obras, bienes o servicios adicionales</w:t>
      </w:r>
    </w:p>
    <w:p w14:paraId="11989AFD" w14:textId="77777777" w:rsidR="003C2FEE" w:rsidRPr="00D8463A" w:rsidRDefault="003C2FEE" w:rsidP="003C2FEE">
      <w:pPr>
        <w:snapToGrid w:val="0"/>
        <w:spacing w:after="0" w:line="240" w:lineRule="auto"/>
        <w:jc w:val="both"/>
        <w:rPr>
          <w:rFonts w:ascii="Verdana" w:eastAsia="Times New Roman" w:hAnsi="Verdana" w:cs="Arial"/>
          <w:sz w:val="20"/>
          <w:szCs w:val="20"/>
          <w:shd w:val="clear" w:color="auto" w:fill="FFFFFF"/>
          <w:lang w:val="es-ES_tradnl" w:eastAsia="es-ES_tradnl"/>
        </w:rPr>
      </w:pPr>
    </w:p>
    <w:p w14:paraId="267E9828" w14:textId="77777777" w:rsidR="003C2FEE" w:rsidRPr="00D8463A" w:rsidRDefault="003C2FEE" w:rsidP="003C2FEE">
      <w:pPr>
        <w:snapToGrid w:val="0"/>
        <w:spacing w:after="0" w:line="240" w:lineRule="auto"/>
        <w:jc w:val="both"/>
        <w:rPr>
          <w:rFonts w:ascii="Verdana" w:eastAsia="Calibri" w:hAnsi="Verdana" w:cs="Arial"/>
          <w:kern w:val="2"/>
          <w:sz w:val="20"/>
          <w:szCs w:val="20"/>
          <w14:ligatures w14:val="standardContextual"/>
        </w:rPr>
      </w:pPr>
      <w:r w:rsidRPr="00D8463A">
        <w:rPr>
          <w:rFonts w:ascii="Verdana" w:eastAsia="Calibri" w:hAnsi="Verdana" w:cs="Arial"/>
          <w:kern w:val="2"/>
          <w:sz w:val="20"/>
          <w:szCs w:val="20"/>
          <w14:ligatures w14:val="standardContextual"/>
        </w:rPr>
        <w:t>Cuando la entidad requiere bienes y servicios que no se encuentran incluidos como obra de infraestructura de transporte en la “Matriz 1 – Experiencia” y considera necesario exigir experiencia adicional, se debe aplicar el artículo 4 de la Resolución No. 465 del 10 de septiembre de 2024. Esta norma dispone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de infraestructura de transporte.</w:t>
      </w:r>
    </w:p>
    <w:p w14:paraId="619FEB81" w14:textId="77777777" w:rsidR="003C2FEE" w:rsidRPr="00D8463A" w:rsidRDefault="003C2FEE" w:rsidP="003C2FEE">
      <w:pPr>
        <w:snapToGrid w:val="0"/>
        <w:spacing w:after="0" w:line="240" w:lineRule="auto"/>
        <w:jc w:val="both"/>
        <w:rPr>
          <w:rFonts w:ascii="Verdana" w:eastAsia="Calibri" w:hAnsi="Verdana" w:cs="Arial"/>
          <w:kern w:val="2"/>
          <w:sz w:val="20"/>
          <w:szCs w:val="20"/>
          <w14:ligatures w14:val="standardContextual"/>
        </w:rPr>
      </w:pPr>
    </w:p>
    <w:p w14:paraId="4F1A9DD0" w14:textId="77777777" w:rsidR="003C2FEE" w:rsidRPr="00D8463A" w:rsidRDefault="003C2FEE" w:rsidP="003C2FEE">
      <w:pPr>
        <w:snapToGrid w:val="0"/>
        <w:spacing w:after="0" w:line="240" w:lineRule="auto"/>
        <w:jc w:val="both"/>
        <w:rPr>
          <w:rFonts w:ascii="Verdana" w:eastAsia="Calibri" w:hAnsi="Verdana" w:cs="Arial"/>
          <w:kern w:val="2"/>
          <w:sz w:val="20"/>
          <w:szCs w:val="20"/>
          <w14:ligatures w14:val="standardContextual"/>
        </w:rPr>
      </w:pPr>
      <w:r w:rsidRPr="00D8463A">
        <w:rPr>
          <w:rFonts w:ascii="Verdana" w:eastAsia="Calibri" w:hAnsi="Verdana" w:cs="Arial"/>
          <w:kern w:val="2"/>
          <w:sz w:val="20"/>
          <w:szCs w:val="20"/>
          <w14:ligatures w14:val="standardContextual"/>
        </w:rPr>
        <w:t xml:space="preserve">Para ello, se deben seguir los siguientes parámetros: i) demostrar en los estudios previos que ha verificado las condiciones de mercado para la contratación de las obras, bienes o servicios adicionales al componente de obra pública, de tal forma que la experiencia adicional que se exija para tales bienes o servicios procure la pluralidad de oferentes y no limite la concurrencia al proceso de contratación, </w:t>
      </w:r>
      <w:proofErr w:type="spellStart"/>
      <w:r w:rsidRPr="00D8463A">
        <w:rPr>
          <w:rFonts w:ascii="Verdana" w:eastAsia="Calibri" w:hAnsi="Verdana" w:cs="Arial"/>
          <w:kern w:val="2"/>
          <w:sz w:val="20"/>
          <w:szCs w:val="20"/>
          <w14:ligatures w14:val="standardContextual"/>
        </w:rPr>
        <w:t>ii</w:t>
      </w:r>
      <w:proofErr w:type="spellEnd"/>
      <w:r w:rsidRPr="00D8463A">
        <w:rPr>
          <w:rFonts w:ascii="Verdana" w:eastAsia="Calibri" w:hAnsi="Verdana" w:cs="Arial"/>
          <w:kern w:val="2"/>
          <w:sz w:val="20"/>
          <w:szCs w:val="20"/>
          <w14:ligatures w14:val="standardContextual"/>
        </w:rPr>
        <w:t xml:space="preserve">) conservar los requisitos exigidos en los documentos tipo, </w:t>
      </w:r>
      <w:proofErr w:type="spellStart"/>
      <w:r w:rsidRPr="00D8463A">
        <w:rPr>
          <w:rFonts w:ascii="Verdana" w:eastAsia="Calibri" w:hAnsi="Verdana" w:cs="Arial"/>
          <w:kern w:val="2"/>
          <w:sz w:val="20"/>
          <w:szCs w:val="20"/>
          <w14:ligatures w14:val="standardContextual"/>
        </w:rPr>
        <w:t>iii</w:t>
      </w:r>
      <w:proofErr w:type="spellEnd"/>
      <w:r w:rsidRPr="00D8463A">
        <w:rPr>
          <w:rFonts w:ascii="Verdana" w:eastAsia="Calibri" w:hAnsi="Verdana" w:cs="Arial"/>
          <w:kern w:val="2"/>
          <w:sz w:val="20"/>
          <w:szCs w:val="20"/>
          <w14:ligatures w14:val="standardContextual"/>
        </w:rPr>
        <w:t xml:space="preserve">) abstenerse de pedir experiencia exclusiva con entidades estatales, experiencia previa en un territorio específico, limitada en el tiempo o que incluya volúmenes o cantidades de obra específica, </w:t>
      </w:r>
      <w:proofErr w:type="spellStart"/>
      <w:r w:rsidRPr="00D8463A">
        <w:rPr>
          <w:rFonts w:ascii="Verdana" w:eastAsia="Calibri" w:hAnsi="Verdana" w:cs="Arial"/>
          <w:kern w:val="2"/>
          <w:sz w:val="20"/>
          <w:szCs w:val="20"/>
          <w14:ligatures w14:val="standardContextual"/>
        </w:rPr>
        <w:t>iv</w:t>
      </w:r>
      <w:proofErr w:type="spellEnd"/>
      <w:r w:rsidRPr="00D8463A">
        <w:rPr>
          <w:rFonts w:ascii="Verdana" w:eastAsia="Calibri" w:hAnsi="Verdana" w:cs="Arial"/>
          <w:kern w:val="2"/>
          <w:sz w:val="20"/>
          <w:szCs w:val="20"/>
          <w14:ligatures w14:val="standardContextual"/>
        </w:rPr>
        <w:t>) clasificar la experiencia requerida solo hasta el tercer nivel del clasificador de bienes y servicios e incluir exclusivamente los códigos que estén relacionados directamente con el objeto a contratar.</w:t>
      </w:r>
    </w:p>
    <w:p w14:paraId="4B250842" w14:textId="77777777" w:rsidR="003C2FEE" w:rsidRPr="00D8463A" w:rsidRDefault="003C2FEE" w:rsidP="003C2FEE">
      <w:pPr>
        <w:snapToGrid w:val="0"/>
        <w:spacing w:after="0" w:line="276" w:lineRule="auto"/>
        <w:jc w:val="both"/>
        <w:rPr>
          <w:rFonts w:ascii="Verdana" w:eastAsia="Calibri" w:hAnsi="Verdana" w:cs="Arial"/>
          <w:kern w:val="2"/>
          <w14:ligatures w14:val="standardContextual"/>
        </w:rPr>
      </w:pPr>
    </w:p>
    <w:p w14:paraId="66BAA1B1" w14:textId="77777777" w:rsidR="003C2FEE" w:rsidRPr="00D8463A" w:rsidRDefault="003C2FEE" w:rsidP="003C2FEE">
      <w:pPr>
        <w:spacing w:after="0"/>
        <w:jc w:val="both"/>
        <w:rPr>
          <w:rFonts w:ascii="Verdana" w:eastAsia="Aptos" w:hAnsi="Verdana" w:cs="Times New Roman"/>
          <w:b/>
          <w:bCs/>
          <w:color w:val="000000"/>
        </w:rPr>
      </w:pPr>
      <w:r w:rsidRPr="00D8463A">
        <w:rPr>
          <w:rFonts w:ascii="Verdana" w:eastAsia="Aptos" w:hAnsi="Verdana" w:cs="Times New Roman"/>
          <w:b/>
          <w:bCs/>
          <w:color w:val="000000"/>
        </w:rPr>
        <w:t>DOCUMENTOS TIPO − Licitación de obra pública de infraestructura de transporte – Versión 4 – Obras, bienes o servicios adicionales – Documento base</w:t>
      </w:r>
    </w:p>
    <w:p w14:paraId="20D9FBB6" w14:textId="77777777" w:rsidR="003C2FEE" w:rsidRPr="00D8463A" w:rsidRDefault="003C2FEE" w:rsidP="003C2FEE">
      <w:pPr>
        <w:snapToGrid w:val="0"/>
        <w:spacing w:after="0" w:line="276" w:lineRule="auto"/>
        <w:jc w:val="both"/>
        <w:rPr>
          <w:rFonts w:ascii="Verdana" w:eastAsia="Calibri" w:hAnsi="Verdana" w:cs="Arial"/>
          <w:kern w:val="2"/>
          <w14:ligatures w14:val="standardContextual"/>
        </w:rPr>
      </w:pPr>
    </w:p>
    <w:p w14:paraId="659A4AFC" w14:textId="5C894176" w:rsidR="003C2FEE" w:rsidRPr="00D8463A" w:rsidRDefault="003C2FEE" w:rsidP="003C2FEE">
      <w:pPr>
        <w:snapToGrid w:val="0"/>
        <w:spacing w:after="0" w:line="240" w:lineRule="auto"/>
        <w:jc w:val="both"/>
        <w:rPr>
          <w:rFonts w:ascii="Verdana" w:eastAsia="Calibri" w:hAnsi="Verdana" w:cs="Arial"/>
          <w:kern w:val="2"/>
          <w:sz w:val="20"/>
          <w:szCs w:val="20"/>
          <w14:ligatures w14:val="standardContextual"/>
        </w:rPr>
      </w:pPr>
      <w:r w:rsidRPr="00D8463A">
        <w:rPr>
          <w:rFonts w:ascii="Verdana" w:eastAsia="Calibri" w:hAnsi="Verdana" w:cs="Arial"/>
          <w:kern w:val="2"/>
          <w:sz w:val="20"/>
          <w:szCs w:val="20"/>
          <w14:ligatures w14:val="standardContextual"/>
        </w:rPr>
        <w:t xml:space="preserve">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Por consiguiente, para solicitar experiencia frente a obras, bienes o servicios adicionales que no se encuentren contemplados en la “Matriz 1 – Experiencia”, el literal H del numeral 3.5.2 </w:t>
      </w:r>
      <w:r w:rsidRPr="00D8463A">
        <w:rPr>
          <w:rFonts w:ascii="Verdana" w:eastAsia="Calibri" w:hAnsi="Verdana" w:cs="Arial"/>
          <w:kern w:val="2"/>
          <w:sz w:val="20"/>
          <w:szCs w:val="20"/>
          <w14:ligatures w14:val="standardContextual"/>
        </w:rPr>
        <w:lastRenderedPageBreak/>
        <w:t>“CARACTERÍSTICAS DE LOS CONTRATOS PRESENTADOS PARA ACREDITAR EXPERIENCIA”, del Documento Base actualmente dispone lo siguiente: (…)</w:t>
      </w:r>
    </w:p>
    <w:p w14:paraId="6B3B8587" w14:textId="77777777" w:rsidR="003C2FEE" w:rsidRPr="00D8463A" w:rsidRDefault="003C2FEE" w:rsidP="003C2FEE">
      <w:pPr>
        <w:snapToGrid w:val="0"/>
        <w:spacing w:after="0" w:line="240" w:lineRule="auto"/>
        <w:ind w:left="720"/>
        <w:jc w:val="both"/>
        <w:rPr>
          <w:rFonts w:ascii="Verdana" w:eastAsia="Calibri" w:hAnsi="Verdana" w:cs="Arial"/>
          <w:kern w:val="2"/>
          <w:sz w:val="20"/>
          <w:szCs w:val="20"/>
          <w14:ligatures w14:val="standardContextual"/>
        </w:rPr>
      </w:pPr>
    </w:p>
    <w:p w14:paraId="657E8008" w14:textId="77777777" w:rsidR="003C2FEE" w:rsidRPr="00D8463A" w:rsidRDefault="003C2FEE" w:rsidP="003C2FEE">
      <w:pPr>
        <w:snapToGrid w:val="0"/>
        <w:spacing w:after="0" w:line="240" w:lineRule="auto"/>
        <w:jc w:val="both"/>
        <w:rPr>
          <w:rFonts w:ascii="Verdana" w:eastAsia="Calibri" w:hAnsi="Verdana" w:cs="Arial"/>
          <w:kern w:val="2"/>
          <w:sz w:val="20"/>
          <w:szCs w:val="20"/>
          <w14:ligatures w14:val="standardContextual"/>
        </w:rPr>
      </w:pPr>
      <w:r w:rsidRPr="00D8463A">
        <w:rPr>
          <w:rFonts w:ascii="Verdana" w:eastAsia="Calibri" w:hAnsi="Verdana" w:cs="Arial"/>
          <w:kern w:val="2"/>
          <w:sz w:val="20"/>
          <w:szCs w:val="20"/>
          <w14:ligatures w14:val="standardContextual"/>
        </w:rPr>
        <w:t>De esta manera, la regla general frente a la aplicación del documento base es 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 4 de la Resolución No. 465 de 2024. Por tanto, si el objeto contractual incluye obras, bienes o servicios ajenos a la obra pública de infraestructura de transporte, de allí solo se deriva que podrá incluirse la experiencia adicional que se considere conveniente, atendiendo a las reglas explicadas con anterioridad.</w:t>
      </w:r>
    </w:p>
    <w:p w14:paraId="410293A4" w14:textId="77777777" w:rsidR="003C2FEE" w:rsidRDefault="003C2FEE" w:rsidP="003C2FEE">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1AE6C12A" w14:textId="77777777" w:rsidR="003C2FEE" w:rsidRDefault="003C2FEE" w:rsidP="003C2FEE">
      <w:pPr>
        <w:spacing w:after="0" w:line="240" w:lineRule="auto"/>
        <w:jc w:val="both"/>
        <w:rPr>
          <w:rFonts w:ascii="Verdana" w:eastAsia="Calibri" w:hAnsi="Verdana" w:cs="Times New Roman"/>
          <w:b/>
          <w:bCs/>
          <w:color w:val="000000"/>
        </w:rPr>
      </w:pPr>
      <w:r w:rsidRPr="00063B8D">
        <w:rPr>
          <w:rFonts w:ascii="Verdana" w:eastAsia="Calibri" w:hAnsi="Verdana" w:cs="Times New Roman"/>
          <w:b/>
          <w:bCs/>
          <w:color w:val="000000"/>
        </w:rPr>
        <w:t>DOCUMENTOS TIPO</w:t>
      </w:r>
      <w:r>
        <w:rPr>
          <w:rFonts w:ascii="Verdana" w:eastAsia="Calibri" w:hAnsi="Verdana" w:cs="Times New Roman"/>
          <w:b/>
          <w:bCs/>
          <w:color w:val="000000"/>
        </w:rPr>
        <w:t xml:space="preserve"> – Transporte – Versión 4 – Numeral 2.6 – Audiencia efectiva de adjudicación </w:t>
      </w:r>
    </w:p>
    <w:p w14:paraId="218D1FC8" w14:textId="77777777" w:rsidR="003C2FEE" w:rsidRDefault="003C2FEE" w:rsidP="003C2FEE">
      <w:pPr>
        <w:spacing w:after="0" w:line="276" w:lineRule="auto"/>
        <w:jc w:val="both"/>
        <w:rPr>
          <w:rFonts w:ascii="Verdana" w:eastAsia="Calibri" w:hAnsi="Verdana" w:cs="Arial"/>
          <w:lang w:val="es-MX"/>
        </w:rPr>
      </w:pPr>
    </w:p>
    <w:p w14:paraId="3E0905FC" w14:textId="77777777" w:rsidR="003C2FEE" w:rsidRPr="00C16B76" w:rsidRDefault="003C2FEE" w:rsidP="003C2FEE">
      <w:pPr>
        <w:spacing w:after="0" w:line="276" w:lineRule="auto"/>
        <w:jc w:val="both"/>
        <w:rPr>
          <w:rFonts w:ascii="Verdana" w:hAnsi="Verdana" w:cs="Arial"/>
          <w:sz w:val="20"/>
          <w:szCs w:val="20"/>
          <w:lang w:val="es-ES"/>
        </w:rPr>
      </w:pPr>
      <w:r w:rsidRPr="00C16B76">
        <w:rPr>
          <w:rFonts w:ascii="Verdana" w:eastAsia="Calibri" w:hAnsi="Verdana" w:cs="Arial"/>
          <w:sz w:val="20"/>
          <w:szCs w:val="20"/>
          <w:lang w:val="es-MX"/>
        </w:rPr>
        <w:t xml:space="preserve">Visto el alcance del numeral 2.4 “Cierre del proceso y apertura de ofertas”, teniendo en cuenta el objeto de su consulta, ahora resulta pertinente referirnos al numeral “2.6 audiencia efectiva de adjudicación” contenido en el documento base del documento tipo de licitación de obra pública de infraestructura de transporte – versión 4. </w:t>
      </w:r>
      <w:r w:rsidRPr="00C16B76">
        <w:rPr>
          <w:rFonts w:ascii="Verdana" w:hAnsi="Verdana" w:cs="Arial"/>
          <w:sz w:val="20"/>
          <w:szCs w:val="20"/>
          <w:lang w:val="es-ES"/>
        </w:rPr>
        <w:t>Concretamente, el contenido del primer inciso del numeral 2.6 sobre el cual recae su solicitud, es el siguiente:</w:t>
      </w:r>
    </w:p>
    <w:p w14:paraId="7B377593" w14:textId="77777777" w:rsidR="003C2FEE" w:rsidRPr="00C16B76" w:rsidRDefault="003C2FEE" w:rsidP="003C2FEE">
      <w:pPr>
        <w:pStyle w:val="Prrafodelista"/>
        <w:spacing w:after="0"/>
        <w:contextualSpacing w:val="0"/>
        <w:rPr>
          <w:rFonts w:ascii="Verdana" w:hAnsi="Verdana" w:cs="Arial"/>
          <w:sz w:val="20"/>
          <w:szCs w:val="20"/>
        </w:rPr>
      </w:pPr>
    </w:p>
    <w:p w14:paraId="19A69139" w14:textId="77777777" w:rsidR="003C2FEE" w:rsidRPr="00C16B76" w:rsidRDefault="003C2FEE" w:rsidP="003C2FEE">
      <w:pPr>
        <w:spacing w:after="0"/>
        <w:ind w:left="708" w:right="709"/>
        <w:jc w:val="both"/>
        <w:rPr>
          <w:rFonts w:ascii="Verdana" w:hAnsi="Verdana"/>
          <w:sz w:val="20"/>
          <w:szCs w:val="20"/>
          <w:lang w:val="es-MX"/>
        </w:rPr>
      </w:pPr>
      <w:r w:rsidRPr="00C16B76">
        <w:rPr>
          <w:rFonts w:ascii="Verdana" w:hAnsi="Verdana"/>
          <w:sz w:val="20"/>
          <w:szCs w:val="20"/>
          <w:lang w:val="es-MX"/>
        </w:rPr>
        <w:t>“En la fecha establecida en el Anexo 2 – Cronograma, la entidad procederá a la instalación y desarrollo de la audiencia efectiva de adjudicación, sin perjuicio de la utilización de los medios virtuales que garanticen la participación y la interacción de los interesados con la entidad contratante”.</w:t>
      </w:r>
    </w:p>
    <w:p w14:paraId="261E051C" w14:textId="77777777" w:rsidR="003C2FEE" w:rsidRPr="00C16B76" w:rsidRDefault="003C2FEE" w:rsidP="003C2FEE">
      <w:pPr>
        <w:spacing w:after="0"/>
        <w:ind w:left="708"/>
        <w:jc w:val="both"/>
        <w:rPr>
          <w:rFonts w:ascii="Verdana" w:hAnsi="Verdana"/>
          <w:sz w:val="20"/>
          <w:szCs w:val="20"/>
          <w:lang w:val="es-MX"/>
        </w:rPr>
      </w:pPr>
    </w:p>
    <w:p w14:paraId="68B6CEFF" w14:textId="77777777" w:rsidR="003C2FEE" w:rsidRPr="00C16B76" w:rsidRDefault="003C2FEE" w:rsidP="003C2FEE">
      <w:pPr>
        <w:spacing w:after="120" w:line="240" w:lineRule="auto"/>
        <w:jc w:val="both"/>
        <w:rPr>
          <w:rFonts w:ascii="Verdana" w:hAnsi="Verdana" w:cs="Arial"/>
          <w:sz w:val="20"/>
          <w:szCs w:val="20"/>
        </w:rPr>
      </w:pPr>
      <w:r w:rsidRPr="00C16B76">
        <w:rPr>
          <w:rFonts w:ascii="Verdana" w:eastAsia="Calibri" w:hAnsi="Verdana" w:cs="Arial"/>
          <w:sz w:val="20"/>
          <w:szCs w:val="20"/>
          <w:lang w:val="es-MX"/>
        </w:rPr>
        <w:t xml:space="preserve">En el inciso señalado, se fija que la entidad deberá instalar y desarrollar la audiencia efectiva de adjudicación en la fecha indicada en el Anexo 2 – Cronograma, sin perjuicio de la utilización de los medios virtuales. Sobre este último aspecto a criterio de esta Agencia la expresión “sin perjuicio de la utilización de los medios virtuales” debe entenderse como la posibilidad para la entidad de realizar la audiencia efectiva de adjudicación por medios electrónicos, </w:t>
      </w:r>
      <w:r w:rsidRPr="00C16B76">
        <w:rPr>
          <w:rFonts w:ascii="Verdana" w:hAnsi="Verdana" w:cs="Arial"/>
          <w:color w:val="000000" w:themeColor="text1"/>
          <w:sz w:val="20"/>
          <w:szCs w:val="20"/>
        </w:rPr>
        <w:t xml:space="preserve">es decir, utilizando los sistemas de información digitales que favorecen la tele-presencia, de modo que se permita una interacción simultánea entre las personas que quieran estar presentes y las entidades estatales. Esta posibilidad, se encuentra abierta para la entidad independientemente que se encuentre adelantando el proceso de contratación por el SECOP I o II. </w:t>
      </w:r>
    </w:p>
    <w:p w14:paraId="483005F2" w14:textId="77777777" w:rsidR="003C2FEE" w:rsidRPr="00C16B76" w:rsidRDefault="003C2FEE" w:rsidP="003C2FEE">
      <w:pPr>
        <w:spacing w:after="0" w:line="276" w:lineRule="auto"/>
        <w:jc w:val="both"/>
        <w:rPr>
          <w:rFonts w:ascii="Verdana" w:eastAsia="Calibri" w:hAnsi="Verdana" w:cs="Arial"/>
          <w:color w:val="000000"/>
        </w:rPr>
      </w:pPr>
    </w:p>
    <w:p w14:paraId="7560F1AC" w14:textId="77777777" w:rsidR="003C2FEE" w:rsidRPr="00CD4D9D" w:rsidRDefault="003C2FEE" w:rsidP="003C2FEE">
      <w:pPr>
        <w:spacing w:after="0"/>
        <w:jc w:val="both"/>
        <w:rPr>
          <w:rFonts w:ascii="Verdana" w:hAnsi="Verdana"/>
        </w:rPr>
      </w:pPr>
      <w:r w:rsidRPr="00CD4D9D">
        <w:rPr>
          <w:rFonts w:ascii="Verdana" w:eastAsia="Calibri" w:hAnsi="Verdana" w:cs="Arial"/>
          <w:b/>
          <w:kern w:val="2"/>
          <w14:ligatures w14:val="standardContextual"/>
        </w:rPr>
        <w:t xml:space="preserve">DOCUMENTOS TIPO DE INFRAESTRUCTURA DE TRANSPORTE – Numeral 4.1.4. – Ponderación de la propuesta económica – TRM </w:t>
      </w:r>
    </w:p>
    <w:p w14:paraId="23244EBE" w14:textId="77777777" w:rsidR="003C2FEE" w:rsidRPr="00CD4D9D" w:rsidRDefault="003C2FEE" w:rsidP="003C2FEE">
      <w:pPr>
        <w:tabs>
          <w:tab w:val="left" w:pos="-142"/>
        </w:tabs>
        <w:autoSpaceDE w:val="0"/>
        <w:autoSpaceDN w:val="0"/>
        <w:adjustRightInd w:val="0"/>
        <w:spacing w:after="0" w:line="276" w:lineRule="auto"/>
        <w:jc w:val="both"/>
        <w:outlineLvl w:val="2"/>
        <w:rPr>
          <w:rFonts w:ascii="Verdana" w:eastAsia="Calibri" w:hAnsi="Verdana" w:cs="Arial"/>
          <w:color w:val="000000"/>
          <w:lang w:val="es-MX"/>
        </w:rPr>
      </w:pPr>
    </w:p>
    <w:p w14:paraId="42EDA138" w14:textId="77777777" w:rsidR="003C2FEE" w:rsidRDefault="003C2FEE" w:rsidP="003C2FEE">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r w:rsidRPr="007C2213">
        <w:rPr>
          <w:rFonts w:ascii="Verdana" w:eastAsia="Calibri" w:hAnsi="Verdana" w:cs="Arial"/>
          <w:sz w:val="20"/>
          <w:szCs w:val="20"/>
          <w:lang w:val="x-none" w:eastAsia="es-ES"/>
        </w:rPr>
        <w:t xml:space="preserve">Los “Documentos Tipo – Versión 3” de licitación de infraestructura de transporte establecen, en el numeral 4.1.4. “determinación del método para la ponderación de la </w:t>
      </w:r>
      <w:r w:rsidRPr="007C2213">
        <w:rPr>
          <w:rFonts w:ascii="Verdana" w:eastAsia="Calibri" w:hAnsi="Verdana" w:cs="Arial"/>
          <w:sz w:val="20"/>
          <w:szCs w:val="20"/>
          <w:lang w:val="x-none" w:eastAsia="es-ES"/>
        </w:rPr>
        <w:lastRenderedPageBreak/>
        <w:t>propuesta económica”, cuatro (4) alternativas para escoger el método de ponderación de las propuestas económicas,</w:t>
      </w:r>
      <w:r>
        <w:rPr>
          <w:rFonts w:ascii="Verdana" w:eastAsia="Calibri" w:hAnsi="Verdana" w:cs="Arial"/>
          <w:sz w:val="20"/>
          <w:szCs w:val="20"/>
          <w:lang w:val="x-none" w:eastAsia="es-ES"/>
        </w:rPr>
        <w:t xml:space="preserve"> </w:t>
      </w:r>
      <w:r w:rsidRPr="007C2213">
        <w:rPr>
          <w:rFonts w:ascii="Verdana" w:eastAsia="Calibri" w:hAnsi="Verdana" w:cs="Arial"/>
          <w:sz w:val="20"/>
          <w:szCs w:val="20"/>
          <w:lang w:val="x-none" w:eastAsia="es-ES"/>
        </w:rPr>
        <w:t>a saber: i) mediana con valor absoluto; ii) media geométrica; iii) media aritmética baja, y iv) menor valor. A partir de estas alternativas, la entidad, para establecer el método de ponderación, tomará los centavos de la Tasa de Cambio Representativa del Mercado (TRM), certificada por la Superintendencia Financiera de Colombia.</w:t>
      </w:r>
    </w:p>
    <w:p w14:paraId="314EC526" w14:textId="77777777" w:rsidR="003C2FEE" w:rsidRDefault="003C2FEE" w:rsidP="003C2FEE">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35EE1A8C" w14:textId="77777777" w:rsidR="003C2FEE" w:rsidRPr="00CD4D9D" w:rsidRDefault="003C2FEE" w:rsidP="003C2FEE">
      <w:pPr>
        <w:spacing w:after="0"/>
        <w:jc w:val="both"/>
        <w:rPr>
          <w:rFonts w:ascii="Verdana" w:hAnsi="Verdana"/>
        </w:rPr>
      </w:pPr>
      <w:r w:rsidRPr="00CD4D9D">
        <w:rPr>
          <w:rFonts w:ascii="Verdana" w:eastAsia="Calibri" w:hAnsi="Verdana" w:cs="Arial"/>
          <w:b/>
          <w:kern w:val="2"/>
          <w14:ligatures w14:val="standardContextual"/>
        </w:rPr>
        <w:t>DOCUMENTOS TIPO DE INFRAESTRUCTURA DE TRANSPORTE – Numeral 4.1.4.</w:t>
      </w:r>
      <w:r>
        <w:rPr>
          <w:rFonts w:ascii="Verdana" w:eastAsia="Calibri" w:hAnsi="Verdana" w:cs="Arial"/>
          <w:b/>
          <w:kern w:val="2"/>
          <w14:ligatures w14:val="standardContextual"/>
        </w:rPr>
        <w:t xml:space="preserve"> </w:t>
      </w:r>
      <w:r w:rsidRPr="00CD4D9D">
        <w:rPr>
          <w:rFonts w:ascii="Verdana" w:eastAsia="Calibri" w:hAnsi="Verdana" w:cs="Arial"/>
          <w:b/>
          <w:kern w:val="2"/>
          <w14:ligatures w14:val="standardContextual"/>
        </w:rPr>
        <w:t>–</w:t>
      </w:r>
      <w:r>
        <w:rPr>
          <w:rFonts w:ascii="Verdana" w:eastAsia="Calibri" w:hAnsi="Verdana" w:cs="Arial"/>
          <w:b/>
          <w:kern w:val="2"/>
          <w14:ligatures w14:val="standardContextual"/>
        </w:rPr>
        <w:t xml:space="preserve"> </w:t>
      </w:r>
      <w:r w:rsidRPr="00CD4D9D">
        <w:rPr>
          <w:rFonts w:ascii="Verdana" w:eastAsia="Calibri" w:hAnsi="Verdana" w:cs="Arial"/>
          <w:b/>
          <w:kern w:val="2"/>
          <w14:ligatures w14:val="standardContextual"/>
        </w:rPr>
        <w:t xml:space="preserve">Ponderación de la propuesta económica – </w:t>
      </w:r>
      <w:r>
        <w:rPr>
          <w:rFonts w:ascii="Verdana" w:eastAsia="Calibri" w:hAnsi="Verdana" w:cs="Arial"/>
          <w:b/>
          <w:kern w:val="2"/>
          <w14:ligatures w14:val="standardContextual"/>
        </w:rPr>
        <w:t>Reglas</w:t>
      </w:r>
    </w:p>
    <w:p w14:paraId="0A7D3B3D" w14:textId="77777777" w:rsidR="003C2FEE" w:rsidRDefault="003C2FEE" w:rsidP="003C2FEE">
      <w:pPr>
        <w:tabs>
          <w:tab w:val="left" w:pos="-142"/>
        </w:tabs>
        <w:autoSpaceDE w:val="0"/>
        <w:autoSpaceDN w:val="0"/>
        <w:adjustRightInd w:val="0"/>
        <w:spacing w:after="0" w:line="240" w:lineRule="auto"/>
        <w:jc w:val="both"/>
        <w:outlineLvl w:val="2"/>
        <w:rPr>
          <w:rFonts w:ascii="Verdana" w:eastAsia="Calibri" w:hAnsi="Verdana" w:cs="Arial"/>
          <w:sz w:val="20"/>
          <w:szCs w:val="20"/>
          <w:lang w:val="x-none" w:eastAsia="es-ES"/>
        </w:rPr>
      </w:pPr>
    </w:p>
    <w:p w14:paraId="0156467D" w14:textId="77777777" w:rsidR="003C2FEE" w:rsidRPr="005C6D53" w:rsidRDefault="003C2FEE" w:rsidP="003C2FEE">
      <w:pPr>
        <w:spacing w:after="0" w:line="276" w:lineRule="auto"/>
        <w:jc w:val="both"/>
        <w:textAlignment w:val="baseline"/>
        <w:rPr>
          <w:rFonts w:ascii="Verdana" w:eastAsia="Times New Roman" w:hAnsi="Verdana" w:cs="Arial"/>
          <w:sz w:val="20"/>
          <w:szCs w:val="20"/>
          <w:lang w:eastAsia="es-CO"/>
        </w:rPr>
      </w:pPr>
      <w:r w:rsidRPr="005C6D53">
        <w:rPr>
          <w:rFonts w:ascii="Verdana" w:eastAsia="Times New Roman" w:hAnsi="Verdana" w:cs="Arial"/>
          <w:sz w:val="20"/>
          <w:szCs w:val="20"/>
          <w:lang w:eastAsia="es-CO"/>
        </w:rPr>
        <w:t>El numeral 4.1.4 establece que el día de la audiencia efectiva de adjudicación, la entidad responderá y resolverá las observaciones presentadas al informe de evaluación y dará apertura de las ofertas económicas contenidas en los sobres No. 2. Además, “(…) verificará, si procede, determinará las correcciones aritméticas y solicitará la justificación de precios artificialmente bajos a que haya lugar, si es necesario, la entidad se pronunciará sobre las ofertas requeridas en los términos del numeral 4.1.3”.</w:t>
      </w:r>
    </w:p>
    <w:p w14:paraId="65DAED25" w14:textId="77777777" w:rsidR="003C2FEE" w:rsidRPr="005C6D53" w:rsidRDefault="003C2FEE" w:rsidP="003C2FEE">
      <w:pPr>
        <w:spacing w:after="0" w:line="276" w:lineRule="auto"/>
        <w:jc w:val="both"/>
        <w:textAlignment w:val="baseline"/>
        <w:rPr>
          <w:rFonts w:ascii="Verdana" w:eastAsia="Times New Roman" w:hAnsi="Verdana" w:cs="Arial"/>
          <w:sz w:val="20"/>
          <w:szCs w:val="20"/>
          <w:lang w:eastAsia="es-CO"/>
        </w:rPr>
      </w:pPr>
    </w:p>
    <w:p w14:paraId="1AC88614" w14:textId="77777777" w:rsidR="003C2FEE" w:rsidRPr="005C6D53" w:rsidRDefault="003C2FEE" w:rsidP="003C2FEE">
      <w:pPr>
        <w:spacing w:after="0" w:line="276" w:lineRule="auto"/>
        <w:jc w:val="both"/>
        <w:textAlignment w:val="baseline"/>
        <w:rPr>
          <w:rFonts w:ascii="Verdana" w:eastAsia="Times New Roman" w:hAnsi="Verdana" w:cs="Arial"/>
          <w:sz w:val="20"/>
          <w:szCs w:val="20"/>
          <w:lang w:eastAsia="es-CO"/>
        </w:rPr>
      </w:pPr>
      <w:r w:rsidRPr="005C6D53">
        <w:rPr>
          <w:rFonts w:ascii="Verdana" w:eastAsia="Times New Roman" w:hAnsi="Verdana" w:cs="Arial"/>
          <w:sz w:val="20"/>
          <w:szCs w:val="20"/>
          <w:lang w:eastAsia="es-CO"/>
        </w:rPr>
        <w:t>Agotado el procedimiento anterior, la entidad definirá el método de ponderación de las propuestas de acuerdo con las siguientes reglas:</w:t>
      </w:r>
    </w:p>
    <w:p w14:paraId="19CC5FD8" w14:textId="77777777" w:rsidR="003C2FEE" w:rsidRPr="005C6D53" w:rsidRDefault="003C2FEE" w:rsidP="003C2FEE">
      <w:pPr>
        <w:pStyle w:val="Prrafodelista"/>
        <w:rPr>
          <w:rFonts w:ascii="Verdana" w:eastAsia="Times New Roman" w:hAnsi="Verdana" w:cs="Arial"/>
          <w:sz w:val="20"/>
          <w:szCs w:val="20"/>
          <w:lang w:eastAsia="es-CO"/>
        </w:rPr>
      </w:pPr>
    </w:p>
    <w:p w14:paraId="5085AC3F" w14:textId="77777777" w:rsidR="003C2FEE" w:rsidRPr="005C6D53" w:rsidRDefault="003C2FEE" w:rsidP="003C2FEE">
      <w:pPr>
        <w:pStyle w:val="Prrafodelista"/>
        <w:numPr>
          <w:ilvl w:val="0"/>
          <w:numId w:val="19"/>
        </w:numPr>
        <w:spacing w:after="0" w:line="276" w:lineRule="auto"/>
        <w:jc w:val="both"/>
        <w:textAlignment w:val="baseline"/>
        <w:rPr>
          <w:rFonts w:ascii="Verdana" w:eastAsia="Times New Roman" w:hAnsi="Verdana" w:cs="Arial"/>
          <w:sz w:val="20"/>
          <w:szCs w:val="20"/>
          <w:lang w:eastAsia="es-CO"/>
        </w:rPr>
      </w:pPr>
      <w:r w:rsidRPr="005C6D53">
        <w:rPr>
          <w:rFonts w:ascii="Verdana" w:hAnsi="Verdana"/>
          <w:sz w:val="20"/>
          <w:szCs w:val="20"/>
        </w:rPr>
        <w:t>Deberá pronunciarse sobre las propuestas que han sido rechazadas y las que se encuentran validas.</w:t>
      </w:r>
    </w:p>
    <w:p w14:paraId="332DD15E" w14:textId="77777777" w:rsidR="003C2FEE" w:rsidRPr="005C6D53" w:rsidRDefault="003C2FEE" w:rsidP="003C2FEE">
      <w:pPr>
        <w:pStyle w:val="Prrafodelista"/>
        <w:numPr>
          <w:ilvl w:val="0"/>
          <w:numId w:val="19"/>
        </w:numPr>
        <w:spacing w:after="0" w:line="276" w:lineRule="auto"/>
        <w:jc w:val="both"/>
        <w:textAlignment w:val="baseline"/>
        <w:rPr>
          <w:rFonts w:ascii="Verdana" w:eastAsia="Times New Roman" w:hAnsi="Verdana" w:cs="Arial"/>
          <w:sz w:val="20"/>
          <w:szCs w:val="20"/>
          <w:lang w:eastAsia="es-CO"/>
        </w:rPr>
      </w:pPr>
      <w:r w:rsidRPr="005C6D53">
        <w:rPr>
          <w:rFonts w:ascii="Verdana" w:hAnsi="Verdana"/>
          <w:sz w:val="20"/>
          <w:szCs w:val="20"/>
        </w:rPr>
        <w:t>Si este pronunciamiento, se realiza hasta las 3:00 pm, la entidad tomará la TRM que rija para el día hábil siguiente.</w:t>
      </w:r>
    </w:p>
    <w:p w14:paraId="7FC5CCE0" w14:textId="77777777" w:rsidR="003C2FEE" w:rsidRPr="00873B9D" w:rsidRDefault="003C2FEE" w:rsidP="003C2FEE">
      <w:pPr>
        <w:pStyle w:val="Prrafodelista"/>
        <w:numPr>
          <w:ilvl w:val="0"/>
          <w:numId w:val="19"/>
        </w:numPr>
        <w:jc w:val="both"/>
        <w:rPr>
          <w:rFonts w:ascii="Verdana" w:hAnsi="Verdana"/>
          <w:sz w:val="20"/>
          <w:szCs w:val="20"/>
          <w:lang w:val="es-MX"/>
        </w:rPr>
      </w:pPr>
      <w:r w:rsidRPr="005C6D53">
        <w:rPr>
          <w:rFonts w:ascii="Verdana" w:hAnsi="Verdana"/>
          <w:sz w:val="20"/>
          <w:szCs w:val="20"/>
        </w:rPr>
        <w:t>Si el pronunciamiento se da después de las 3:00 pm, la entidad tomará la TRM que rija para el segundo día hábil siguiente.</w:t>
      </w:r>
    </w:p>
    <w:p w14:paraId="6251A363" w14:textId="77777777" w:rsidR="003C2FEE" w:rsidRPr="005C6D53" w:rsidRDefault="003C2FEE" w:rsidP="003C2FEE">
      <w:pPr>
        <w:spacing w:after="0" w:line="276" w:lineRule="auto"/>
        <w:jc w:val="both"/>
        <w:rPr>
          <w:rFonts w:ascii="Verdana" w:hAnsi="Verdana" w:cs="Arial"/>
          <w:sz w:val="20"/>
          <w:szCs w:val="20"/>
        </w:rPr>
      </w:pPr>
      <w:r w:rsidRPr="005C6D53">
        <w:rPr>
          <w:rFonts w:ascii="Verdana" w:eastAsia="Calibri" w:hAnsi="Verdana" w:cs="Arial"/>
          <w:sz w:val="20"/>
          <w:szCs w:val="20"/>
        </w:rPr>
        <w:t xml:space="preserve">En este sentido, el numeral 4.1.4 al regular el mecanismo de escogencia del método de ponderación, dispone las reglas que debe seguir la entidad para determinarlo. Lo cual, inicia con el pronunciamiento de la Entidad sobre las propuestas rechazadas y las válidas. </w:t>
      </w:r>
    </w:p>
    <w:p w14:paraId="70F5EA19" w14:textId="77777777" w:rsidR="003C2FEE" w:rsidRPr="005C6D53" w:rsidRDefault="003C2FEE" w:rsidP="003C2FEE">
      <w:pPr>
        <w:pStyle w:val="Prrafodelista"/>
        <w:spacing w:after="0" w:line="276" w:lineRule="auto"/>
        <w:contextualSpacing w:val="0"/>
        <w:jc w:val="both"/>
        <w:rPr>
          <w:rFonts w:ascii="Verdana" w:hAnsi="Verdana" w:cs="Arial"/>
          <w:sz w:val="20"/>
          <w:szCs w:val="20"/>
        </w:rPr>
      </w:pPr>
    </w:p>
    <w:p w14:paraId="2522B8D2" w14:textId="77777777" w:rsidR="003C2FEE" w:rsidRPr="009675C4" w:rsidRDefault="003C2FEE" w:rsidP="003C2FEE">
      <w:pPr>
        <w:spacing w:after="0" w:line="276" w:lineRule="auto"/>
        <w:jc w:val="both"/>
        <w:rPr>
          <w:rFonts w:ascii="Verdana" w:hAnsi="Verdana" w:cs="Arial"/>
          <w:sz w:val="20"/>
          <w:szCs w:val="20"/>
        </w:rPr>
      </w:pPr>
      <w:r w:rsidRPr="005C6D53">
        <w:rPr>
          <w:rFonts w:ascii="Verdana" w:eastAsia="Calibri" w:hAnsi="Verdana" w:cs="Arial"/>
          <w:sz w:val="20"/>
          <w:szCs w:val="20"/>
        </w:rPr>
        <w:t>Ahora bien, si este pronunciamiento se realiza antes de las 3:00 p.m., la regla contenida en el numeral 4.1.4 establece que se tomará la TRM vigente para el día hábil siguiente. De este modo, fijar una hora límite para el pronunciamiento garantiza que las entidades estatales no puedan conocer anticipadamente la TRM que determinará el método de ponderación, ya que esta es publicada por la Superfinanciera en un momento posterior al pronunciamiento, usualmente entre las 4:00 p.m. y las 6:00 p.m.</w:t>
      </w:r>
    </w:p>
    <w:p w14:paraId="40190DCE" w14:textId="77777777" w:rsidR="003C2FEE" w:rsidRDefault="003C2FEE" w:rsidP="003C2FEE">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1C1F124E" w14:textId="77777777" w:rsidR="00F325B8" w:rsidRDefault="00F325B8" w:rsidP="003C2FEE">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03D39CF7" w14:textId="77777777" w:rsidR="00F325B8" w:rsidRDefault="00F325B8" w:rsidP="003C2FEE">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613A0631" w14:textId="77777777" w:rsidR="001122A2" w:rsidRDefault="001122A2" w:rsidP="003C2FEE">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1A3C0B8B" w14:textId="77777777" w:rsidR="001122A2" w:rsidRPr="00D8463A" w:rsidRDefault="001122A2" w:rsidP="003C2FEE">
      <w:pPr>
        <w:autoSpaceDE w:val="0"/>
        <w:autoSpaceDN w:val="0"/>
        <w:adjustRightInd w:val="0"/>
        <w:spacing w:after="0" w:line="278" w:lineRule="auto"/>
        <w:jc w:val="both"/>
        <w:rPr>
          <w:rFonts w:ascii="Verdana" w:eastAsia="Times New Roman" w:hAnsi="Verdana" w:cs="Arial"/>
          <w:sz w:val="20"/>
          <w:szCs w:val="20"/>
          <w:shd w:val="clear" w:color="auto" w:fill="FFFFFF"/>
          <w:lang w:val="es-ES_tradnl" w:eastAsia="es-ES_tradnl"/>
        </w:rPr>
      </w:pPr>
    </w:p>
    <w:p w14:paraId="1C33768C" w14:textId="2DC2340C" w:rsidR="003C2FEE" w:rsidRDefault="00811A46" w:rsidP="003C2FEE">
      <w:pPr>
        <w:spacing w:after="0" w:line="240" w:lineRule="auto"/>
        <w:rPr>
          <w:rFonts w:ascii="Verdana" w:eastAsia="Geomanist Light" w:hAnsi="Verdana" w:cs="Arial"/>
          <w:lang w:val="es-MX"/>
        </w:rPr>
      </w:pPr>
      <w:r w:rsidRPr="006F79A1">
        <w:rPr>
          <w:rFonts w:ascii="Verdana" w:eastAsia="Calibri" w:hAnsi="Verdana" w:cs="Arial"/>
          <w:noProof/>
          <w:lang w:val="es-MX" w:eastAsia="es-ES"/>
        </w:rPr>
        <w:lastRenderedPageBreak/>
        <w:drawing>
          <wp:anchor distT="0" distB="0" distL="114300" distR="114300" simplePos="0" relativeHeight="251658240" behindDoc="0" locked="0" layoutInCell="1" allowOverlap="1" wp14:anchorId="787C750E" wp14:editId="7F0B0E3E">
            <wp:simplePos x="0" y="0"/>
            <wp:positionH relativeFrom="column">
              <wp:posOffset>2855650</wp:posOffset>
            </wp:positionH>
            <wp:positionV relativeFrom="paragraph">
              <wp:posOffset>173189</wp:posOffset>
            </wp:positionV>
            <wp:extent cx="2977515" cy="1009650"/>
            <wp:effectExtent l="0" t="0" r="0" b="0"/>
            <wp:wrapSquare wrapText="bothSides"/>
            <wp:docPr id="14559188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1882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77515" cy="1009650"/>
                    </a:xfrm>
                    <a:prstGeom prst="rect">
                      <a:avLst/>
                    </a:prstGeom>
                  </pic:spPr>
                </pic:pic>
              </a:graphicData>
            </a:graphic>
            <wp14:sizeRelH relativeFrom="page">
              <wp14:pctWidth>0</wp14:pctWidth>
            </wp14:sizeRelH>
            <wp14:sizeRelV relativeFrom="page">
              <wp14:pctHeight>0</wp14:pctHeight>
            </wp14:sizeRelV>
          </wp:anchor>
        </w:drawing>
      </w:r>
      <w:r w:rsidR="003C2FEE" w:rsidRPr="00D91147">
        <w:rPr>
          <w:rFonts w:ascii="Verdana" w:eastAsia="Geomanist Light" w:hAnsi="Verdana" w:cs="Arial"/>
          <w:lang w:val="es-MX"/>
        </w:rPr>
        <w:t>Bogotá D.C., </w:t>
      </w:r>
      <w:r w:rsidR="006F79A1">
        <w:rPr>
          <w:rFonts w:ascii="Verdana" w:eastAsia="Geomanist Light" w:hAnsi="Verdana" w:cs="Arial"/>
          <w:lang w:val="es-MX"/>
        </w:rPr>
        <w:t>25 de agosto de 2025</w:t>
      </w:r>
    </w:p>
    <w:p w14:paraId="664B3870" w14:textId="43B5BA8B" w:rsidR="006F79A1" w:rsidRDefault="006F79A1" w:rsidP="003C2FEE">
      <w:pPr>
        <w:spacing w:after="0" w:line="240" w:lineRule="auto"/>
        <w:rPr>
          <w:rFonts w:ascii="Verdana" w:eastAsia="Geomanist Light" w:hAnsi="Verdana" w:cs="Arial"/>
          <w:lang w:val="es-MX"/>
        </w:rPr>
      </w:pPr>
    </w:p>
    <w:p w14:paraId="7D57A31C" w14:textId="77777777" w:rsidR="003C2FEE" w:rsidRPr="00CA01FA" w:rsidRDefault="003C2FEE" w:rsidP="003C2FEE">
      <w:pPr>
        <w:spacing w:after="0" w:line="240" w:lineRule="auto"/>
        <w:rPr>
          <w:rFonts w:ascii="Verdana" w:eastAsia="Aptos" w:hAnsi="Verdana" w:cs="Times New Roman"/>
          <w:kern w:val="2"/>
          <w:sz w:val="24"/>
          <w:szCs w:val="24"/>
          <w:lang w:val="es-MX"/>
          <w14:ligatures w14:val="standardContextual"/>
        </w:rPr>
      </w:pPr>
    </w:p>
    <w:p w14:paraId="2619699A" w14:textId="77777777" w:rsidR="003C2FEE" w:rsidRPr="00D8463A" w:rsidRDefault="003C2FEE" w:rsidP="003C2FEE">
      <w:pPr>
        <w:spacing w:after="0" w:line="240" w:lineRule="auto"/>
        <w:rPr>
          <w:rFonts w:ascii="Verdana" w:eastAsia="Aptos" w:hAnsi="Verdana" w:cs="Times New Roman"/>
        </w:rPr>
      </w:pPr>
      <w:r w:rsidRPr="00D8463A">
        <w:rPr>
          <w:rFonts w:ascii="Verdana" w:eastAsia="Calibri" w:hAnsi="Verdana" w:cs="Arial"/>
          <w:lang w:val="es-ES" w:eastAsia="es-ES"/>
        </w:rPr>
        <w:t>Señor</w:t>
      </w:r>
    </w:p>
    <w:p w14:paraId="37F4F929" w14:textId="77777777" w:rsidR="003C2FEE" w:rsidRPr="00D8463A" w:rsidRDefault="003C2FEE" w:rsidP="003C2FEE">
      <w:pPr>
        <w:spacing w:after="0" w:line="240" w:lineRule="auto"/>
        <w:rPr>
          <w:rFonts w:ascii="Verdana" w:eastAsia="Calibri" w:hAnsi="Verdana" w:cs="Arial"/>
          <w:b/>
          <w:bCs/>
          <w:lang w:eastAsia="es-ES_tradnl"/>
        </w:rPr>
      </w:pPr>
      <w:r>
        <w:rPr>
          <w:rFonts w:ascii="Verdana" w:eastAsia="Calibri" w:hAnsi="Verdana" w:cs="Arial"/>
          <w:b/>
          <w:bCs/>
          <w:lang w:eastAsia="es-ES_tradnl"/>
        </w:rPr>
        <w:t xml:space="preserve">Richard Gerardo </w:t>
      </w:r>
      <w:proofErr w:type="spellStart"/>
      <w:r>
        <w:rPr>
          <w:rFonts w:ascii="Verdana" w:eastAsia="Calibri" w:hAnsi="Verdana" w:cs="Arial"/>
          <w:b/>
          <w:bCs/>
          <w:lang w:eastAsia="es-ES_tradnl"/>
        </w:rPr>
        <w:t>Cordova</w:t>
      </w:r>
      <w:proofErr w:type="spellEnd"/>
      <w:r>
        <w:rPr>
          <w:rFonts w:ascii="Verdana" w:eastAsia="Calibri" w:hAnsi="Verdana" w:cs="Arial"/>
          <w:b/>
          <w:bCs/>
          <w:lang w:eastAsia="es-ES_tradnl"/>
        </w:rPr>
        <w:t xml:space="preserve"> </w:t>
      </w:r>
      <w:proofErr w:type="spellStart"/>
      <w:r>
        <w:rPr>
          <w:rFonts w:ascii="Verdana" w:eastAsia="Calibri" w:hAnsi="Verdana" w:cs="Arial"/>
          <w:b/>
          <w:bCs/>
          <w:lang w:eastAsia="es-ES_tradnl"/>
        </w:rPr>
        <w:t>Huaman</w:t>
      </w:r>
      <w:proofErr w:type="spellEnd"/>
      <w:r>
        <w:rPr>
          <w:rFonts w:ascii="Verdana" w:eastAsia="Calibri" w:hAnsi="Verdana" w:cs="Arial"/>
          <w:b/>
          <w:bCs/>
          <w:lang w:eastAsia="es-ES_tradnl"/>
        </w:rPr>
        <w:t xml:space="preserve"> </w:t>
      </w:r>
    </w:p>
    <w:p w14:paraId="4C0766EC" w14:textId="77777777" w:rsidR="003C2FEE" w:rsidRPr="00D8463A" w:rsidRDefault="003C2FEE" w:rsidP="003C2FEE">
      <w:pPr>
        <w:spacing w:after="0" w:line="240" w:lineRule="auto"/>
        <w:rPr>
          <w:rFonts w:ascii="Verdana" w:eastAsia="Calibri" w:hAnsi="Verdana" w:cs="Arial"/>
          <w:lang w:eastAsia="es-ES_tradnl"/>
        </w:rPr>
      </w:pPr>
      <w:r>
        <w:rPr>
          <w:rFonts w:ascii="Verdana" w:eastAsia="Calibri" w:hAnsi="Verdana" w:cs="Arial"/>
          <w:lang w:eastAsia="es-ES_tradnl"/>
        </w:rPr>
        <w:t>Neiva, Huila</w:t>
      </w:r>
    </w:p>
    <w:p w14:paraId="53043B15" w14:textId="77777777" w:rsidR="003C2FEE" w:rsidRPr="00D8463A" w:rsidRDefault="003C2FEE" w:rsidP="003C2FEE">
      <w:pPr>
        <w:spacing w:after="0" w:line="240" w:lineRule="auto"/>
        <w:rPr>
          <w:rFonts w:ascii="Verdana" w:eastAsia="Calibri" w:hAnsi="Verdana" w:cs="Arial"/>
          <w:lang w:val="es-ES_tradnl" w:eastAsia="es-ES_tradnl"/>
        </w:rPr>
      </w:pPr>
    </w:p>
    <w:p w14:paraId="645B7C2E" w14:textId="77777777" w:rsidR="003C2FEE" w:rsidRPr="00D8463A" w:rsidRDefault="003C2FEE" w:rsidP="003C2FE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3C2FEE" w:rsidRPr="00D8463A" w14:paraId="42AFAE3B" w14:textId="77777777" w:rsidTr="00D17264">
        <w:trPr>
          <w:trHeight w:val="229"/>
        </w:trPr>
        <w:tc>
          <w:tcPr>
            <w:tcW w:w="2410" w:type="dxa"/>
          </w:tcPr>
          <w:p w14:paraId="24B7CB9A" w14:textId="77777777" w:rsidR="003C2FEE" w:rsidRPr="00D8463A" w:rsidRDefault="003C2FEE" w:rsidP="00D17264">
            <w:pPr>
              <w:jc w:val="both"/>
              <w:rPr>
                <w:rFonts w:ascii="Verdana" w:eastAsia="Calibri" w:hAnsi="Verdana" w:cs="Arial"/>
                <w:b/>
                <w:bCs/>
                <w:lang w:val="es-ES_tradnl" w:eastAsia="es-ES_tradnl"/>
              </w:rPr>
            </w:pPr>
          </w:p>
        </w:tc>
        <w:tc>
          <w:tcPr>
            <w:tcW w:w="6379" w:type="dxa"/>
          </w:tcPr>
          <w:p w14:paraId="3A0A9316" w14:textId="77777777" w:rsidR="003C2FEE" w:rsidRPr="00D8463A" w:rsidRDefault="003C2FEE" w:rsidP="00D17264">
            <w:pPr>
              <w:jc w:val="both"/>
              <w:rPr>
                <w:rFonts w:ascii="Verdana" w:eastAsia="Calibri" w:hAnsi="Verdana" w:cs="Arial"/>
                <w:b/>
                <w:bCs/>
                <w:lang w:val="es-ES" w:eastAsia="es-ES"/>
              </w:rPr>
            </w:pPr>
            <w:r w:rsidRPr="00D8463A">
              <w:rPr>
                <w:rFonts w:ascii="Verdana" w:eastAsia="Calibri" w:hAnsi="Verdana" w:cs="Arial"/>
                <w:b/>
                <w:bCs/>
                <w:lang w:val="es-ES" w:eastAsia="es-ES"/>
              </w:rPr>
              <w:t>Concepto C-</w:t>
            </w:r>
            <w:r>
              <w:rPr>
                <w:rFonts w:ascii="Verdana" w:eastAsia="Calibri" w:hAnsi="Verdana" w:cs="Arial"/>
                <w:b/>
                <w:bCs/>
                <w:lang w:val="es-ES" w:eastAsia="es-ES"/>
              </w:rPr>
              <w:t>954</w:t>
            </w:r>
            <w:r w:rsidRPr="00D8463A">
              <w:rPr>
                <w:rFonts w:ascii="Verdana" w:eastAsia="Calibri" w:hAnsi="Verdana" w:cs="Arial"/>
                <w:b/>
                <w:bCs/>
                <w:lang w:val="es-ES" w:eastAsia="es-ES"/>
              </w:rPr>
              <w:t xml:space="preserve"> de 2025</w:t>
            </w:r>
          </w:p>
          <w:p w14:paraId="42B9790D" w14:textId="77777777" w:rsidR="003C2FEE" w:rsidRDefault="003C2FEE" w:rsidP="00D17264">
            <w:pPr>
              <w:jc w:val="both"/>
              <w:rPr>
                <w:rFonts w:ascii="Verdana" w:eastAsia="Calibri" w:hAnsi="Verdana" w:cs="Arial"/>
                <w:b/>
                <w:bCs/>
                <w:lang w:val="es-ES" w:eastAsia="es-ES"/>
              </w:rPr>
            </w:pPr>
          </w:p>
          <w:p w14:paraId="6065BB31" w14:textId="77777777" w:rsidR="003C2FEE" w:rsidRDefault="003C2FEE" w:rsidP="00D17264">
            <w:pPr>
              <w:jc w:val="both"/>
              <w:rPr>
                <w:rFonts w:ascii="Verdana" w:eastAsia="Calibri" w:hAnsi="Verdana" w:cs="Arial"/>
                <w:b/>
                <w:bCs/>
                <w:lang w:val="es-ES" w:eastAsia="es-ES"/>
              </w:rPr>
            </w:pPr>
          </w:p>
          <w:p w14:paraId="39CB2DFA" w14:textId="77777777" w:rsidR="003C2FEE" w:rsidRPr="00D8463A" w:rsidRDefault="003C2FEE" w:rsidP="00D17264">
            <w:pPr>
              <w:jc w:val="both"/>
              <w:rPr>
                <w:rFonts w:ascii="Verdana" w:eastAsia="Calibri" w:hAnsi="Verdana" w:cs="Arial"/>
                <w:b/>
                <w:bCs/>
                <w:lang w:val="es-ES" w:eastAsia="es-ES"/>
              </w:rPr>
            </w:pPr>
          </w:p>
        </w:tc>
      </w:tr>
      <w:tr w:rsidR="003C2FEE" w:rsidRPr="00D8463A" w14:paraId="34F4222E" w14:textId="77777777" w:rsidTr="00D17264">
        <w:trPr>
          <w:trHeight w:val="884"/>
        </w:trPr>
        <w:tc>
          <w:tcPr>
            <w:tcW w:w="2410" w:type="dxa"/>
          </w:tcPr>
          <w:p w14:paraId="68BBE22D" w14:textId="77777777" w:rsidR="003C2FEE" w:rsidRPr="00D8463A" w:rsidRDefault="003C2FEE" w:rsidP="00D17264">
            <w:pPr>
              <w:jc w:val="both"/>
              <w:rPr>
                <w:rFonts w:ascii="Verdana" w:eastAsia="Calibri" w:hAnsi="Verdana" w:cs="Arial"/>
                <w:lang w:val="es-ES_tradnl" w:eastAsia="es-ES_tradnl"/>
              </w:rPr>
            </w:pPr>
            <w:r w:rsidRPr="00D8463A">
              <w:rPr>
                <w:rFonts w:ascii="Verdana" w:eastAsia="Calibri" w:hAnsi="Verdana" w:cs="Arial"/>
                <w:b/>
                <w:lang w:val="es-ES_tradnl" w:eastAsia="es-ES_tradnl"/>
              </w:rPr>
              <w:t>Temas:</w:t>
            </w:r>
            <w:r w:rsidRPr="00D8463A">
              <w:rPr>
                <w:rFonts w:ascii="Verdana" w:eastAsia="Calibri" w:hAnsi="Verdana" w:cs="Arial"/>
                <w:lang w:val="es-ES_tradnl" w:eastAsia="es-ES_tradnl"/>
              </w:rPr>
              <w:t xml:space="preserve">                   </w:t>
            </w:r>
          </w:p>
        </w:tc>
        <w:tc>
          <w:tcPr>
            <w:tcW w:w="6379" w:type="dxa"/>
          </w:tcPr>
          <w:p w14:paraId="6BA1B044" w14:textId="2AFA3BD4" w:rsidR="003C2FEE" w:rsidRPr="00A45A3C" w:rsidRDefault="003C2FEE" w:rsidP="00A45A3C">
            <w:pPr>
              <w:jc w:val="both"/>
              <w:rPr>
                <w:rFonts w:ascii="Verdana" w:hAnsi="Verdana"/>
              </w:rPr>
            </w:pPr>
            <w:r w:rsidRPr="00997EFB">
              <w:rPr>
                <w:rFonts w:ascii="Verdana" w:eastAsia="Aptos" w:hAnsi="Verdana" w:cs="Times New Roman"/>
                <w:color w:val="000000"/>
              </w:rPr>
              <w:t xml:space="preserve">DOCUMENTOS TIPO – Fundamento normativo – Obligatoriedad </w:t>
            </w:r>
            <w:r w:rsidRPr="00997EFB">
              <w:rPr>
                <w:rFonts w:ascii="Verdana" w:eastAsia="Aptos" w:hAnsi="Verdana" w:cs="Times New Roman"/>
              </w:rPr>
              <w:t xml:space="preserve">/ </w:t>
            </w:r>
            <w:r w:rsidRPr="00997EFB">
              <w:rPr>
                <w:rFonts w:ascii="Verdana" w:eastAsia="Aptos" w:hAnsi="Verdana" w:cs="Times New Roman"/>
                <w:color w:val="000000"/>
              </w:rPr>
              <w:t xml:space="preserve">DOCUMENTOS TIPO − Licitación de obra pública de infraestructura de transporte – Versión 4 – Obras, bienes o servicios adicionales / DOCUMENTOS TIPO − Licitación de obra pública de infraestructura de transporte – Versión 4 – Obras, bienes o servicios adicionales – Documento base / </w:t>
            </w:r>
            <w:r w:rsidRPr="00997EFB">
              <w:rPr>
                <w:rFonts w:ascii="Verdana" w:eastAsia="Calibri" w:hAnsi="Verdana" w:cs="Times New Roman"/>
                <w:color w:val="000000"/>
              </w:rPr>
              <w:t xml:space="preserve">DOCUMENTOS TIPO – Transporte – Versión 4 – Numeral 2.6 – Audiencia efectiva de adjudicación / </w:t>
            </w:r>
            <w:r w:rsidRPr="00997EFB">
              <w:rPr>
                <w:rFonts w:ascii="Verdana" w:eastAsia="Calibri" w:hAnsi="Verdana" w:cs="Arial"/>
                <w:kern w:val="2"/>
                <w14:ligatures w14:val="standardContextual"/>
              </w:rPr>
              <w:t>DOCUMENTOS TIPO DE INFRAESTRUCTURA DE TRANSPORTE – Numeral 4.1.4. – Ponderación de la propuesta económica – TRM / DOCUMENTOS TIPO DE INFRAESTRUCTURA DE TRANSPORTE – Numeral 4.1.4. – Ponderación de la propuesta económica – Reglas</w:t>
            </w:r>
          </w:p>
        </w:tc>
      </w:tr>
      <w:tr w:rsidR="003C2FEE" w:rsidRPr="00D8463A" w14:paraId="4FF07394" w14:textId="77777777" w:rsidTr="00D17264">
        <w:tc>
          <w:tcPr>
            <w:tcW w:w="2410" w:type="dxa"/>
          </w:tcPr>
          <w:p w14:paraId="14D013C2" w14:textId="77777777" w:rsidR="003C2FEE" w:rsidRPr="00D8463A" w:rsidRDefault="003C2FEE" w:rsidP="00D17264">
            <w:pPr>
              <w:jc w:val="both"/>
              <w:rPr>
                <w:rFonts w:ascii="Verdana" w:eastAsia="Calibri" w:hAnsi="Verdana" w:cs="Arial"/>
                <w:b/>
                <w:lang w:val="es-ES_tradnl" w:eastAsia="es-ES_tradnl"/>
              </w:rPr>
            </w:pPr>
            <w:r w:rsidRPr="00D8463A">
              <w:rPr>
                <w:rFonts w:ascii="Verdana" w:eastAsia="Calibri" w:hAnsi="Verdana" w:cs="Arial"/>
                <w:b/>
                <w:lang w:val="es-ES_tradnl" w:eastAsia="es-ES_tradnl"/>
              </w:rPr>
              <w:t>Radicación:</w:t>
            </w:r>
            <w:r w:rsidRPr="00D8463A">
              <w:rPr>
                <w:rFonts w:ascii="Verdana" w:eastAsia="Calibri" w:hAnsi="Verdana" w:cs="Arial"/>
                <w:lang w:val="es-ES_tradnl" w:eastAsia="es-ES_tradnl"/>
              </w:rPr>
              <w:t xml:space="preserve">               </w:t>
            </w:r>
          </w:p>
        </w:tc>
        <w:tc>
          <w:tcPr>
            <w:tcW w:w="6379" w:type="dxa"/>
          </w:tcPr>
          <w:p w14:paraId="0D92B32D" w14:textId="77777777" w:rsidR="003C2FEE" w:rsidRPr="00D8463A" w:rsidRDefault="003C2FEE" w:rsidP="00D17264">
            <w:pPr>
              <w:ind w:left="708" w:hanging="708"/>
              <w:jc w:val="both"/>
              <w:rPr>
                <w:rFonts w:ascii="Verdana" w:eastAsia="Calibri" w:hAnsi="Verdana" w:cs="Arial"/>
                <w:lang w:val="es-ES_tradnl" w:eastAsia="es-ES_tradnl"/>
              </w:rPr>
            </w:pPr>
            <w:r w:rsidRPr="00D8463A">
              <w:rPr>
                <w:rFonts w:ascii="Verdana" w:eastAsia="Calibri" w:hAnsi="Verdana" w:cs="Arial"/>
                <w:lang w:val="es-ES_tradnl" w:eastAsia="es-ES_tradnl"/>
              </w:rPr>
              <w:t xml:space="preserve">Respuesta a consulta con radicado No. </w:t>
            </w:r>
            <w:r w:rsidRPr="00CA01FA">
              <w:rPr>
                <w:rFonts w:ascii="Verdana" w:eastAsia="Calibri" w:hAnsi="Verdana" w:cs="Arial"/>
                <w:lang w:val="es-ES_tradnl" w:eastAsia="es-ES_tradnl"/>
              </w:rPr>
              <w:t>1_2025_07_15_007222</w:t>
            </w:r>
          </w:p>
        </w:tc>
      </w:tr>
    </w:tbl>
    <w:p w14:paraId="568ED160" w14:textId="77777777" w:rsidR="003C2FEE" w:rsidRPr="00D8463A" w:rsidRDefault="003C2FEE" w:rsidP="003C2FEE">
      <w:pPr>
        <w:spacing w:after="0" w:line="240" w:lineRule="auto"/>
        <w:jc w:val="both"/>
        <w:rPr>
          <w:rFonts w:ascii="Verdana" w:eastAsia="Calibri" w:hAnsi="Verdana" w:cs="Arial"/>
          <w:lang w:val="es-ES_tradnl" w:eastAsia="es-ES_tradnl"/>
        </w:rPr>
      </w:pPr>
    </w:p>
    <w:p w14:paraId="40033D32" w14:textId="77777777" w:rsidR="003C2FEE" w:rsidRPr="00D8463A" w:rsidRDefault="003C2FEE" w:rsidP="003C2FEE">
      <w:pPr>
        <w:spacing w:after="0" w:line="276" w:lineRule="auto"/>
        <w:jc w:val="both"/>
        <w:rPr>
          <w:rFonts w:ascii="Verdana" w:eastAsia="Calibri" w:hAnsi="Verdana" w:cs="Arial"/>
          <w:lang w:val="es-ES" w:eastAsia="es-ES"/>
        </w:rPr>
      </w:pPr>
      <w:r w:rsidRPr="00D8463A">
        <w:rPr>
          <w:rFonts w:ascii="Verdana" w:eastAsia="Calibri" w:hAnsi="Verdana" w:cs="Arial"/>
          <w:lang w:val="es-ES" w:eastAsia="es-ES"/>
        </w:rPr>
        <w:t>Estimad</w:t>
      </w:r>
      <w:r>
        <w:rPr>
          <w:rFonts w:ascii="Verdana" w:eastAsia="Calibri" w:hAnsi="Verdana" w:cs="Arial"/>
          <w:lang w:val="es-ES" w:eastAsia="es-ES"/>
        </w:rPr>
        <w:t>o</w:t>
      </w:r>
      <w:r w:rsidRPr="00D8463A">
        <w:rPr>
          <w:rFonts w:ascii="Verdana" w:eastAsia="Calibri" w:hAnsi="Verdana" w:cs="Arial"/>
          <w:lang w:val="es-ES" w:eastAsia="es-ES"/>
        </w:rPr>
        <w:t xml:space="preserve"> señor</w:t>
      </w:r>
      <w:r>
        <w:rPr>
          <w:rFonts w:ascii="Verdana" w:eastAsia="Calibri" w:hAnsi="Verdana" w:cs="Arial"/>
          <w:lang w:val="es-ES" w:eastAsia="es-ES"/>
        </w:rPr>
        <w:t xml:space="preserve"> </w:t>
      </w:r>
      <w:proofErr w:type="spellStart"/>
      <w:r>
        <w:rPr>
          <w:rFonts w:ascii="Verdana" w:eastAsia="Calibri" w:hAnsi="Verdana" w:cs="Arial"/>
          <w:lang w:val="es-ES" w:eastAsia="es-ES"/>
        </w:rPr>
        <w:t>Cordova</w:t>
      </w:r>
      <w:proofErr w:type="spellEnd"/>
      <w:r>
        <w:rPr>
          <w:rFonts w:ascii="Verdana" w:eastAsia="Calibri" w:hAnsi="Verdana" w:cs="Arial"/>
          <w:lang w:val="es-ES" w:eastAsia="es-ES"/>
        </w:rPr>
        <w:t xml:space="preserve"> </w:t>
      </w:r>
      <w:proofErr w:type="spellStart"/>
      <w:r>
        <w:rPr>
          <w:rFonts w:ascii="Verdana" w:eastAsia="Calibri" w:hAnsi="Verdana" w:cs="Arial"/>
          <w:lang w:val="es-ES" w:eastAsia="es-ES"/>
        </w:rPr>
        <w:t>Huaman</w:t>
      </w:r>
      <w:proofErr w:type="spellEnd"/>
      <w:r w:rsidRPr="00D8463A">
        <w:rPr>
          <w:rFonts w:ascii="Verdana" w:eastAsia="Calibri" w:hAnsi="Verdana" w:cs="Arial"/>
          <w:lang w:val="es-ES" w:eastAsia="es-ES"/>
        </w:rPr>
        <w:t xml:space="preserve">: </w:t>
      </w:r>
    </w:p>
    <w:p w14:paraId="574F8187" w14:textId="77777777" w:rsidR="003C2FEE" w:rsidRPr="00D8463A" w:rsidRDefault="003C2FEE" w:rsidP="003C2FEE">
      <w:pPr>
        <w:tabs>
          <w:tab w:val="left" w:pos="3768"/>
        </w:tabs>
        <w:spacing w:after="0" w:line="276" w:lineRule="auto"/>
        <w:jc w:val="both"/>
        <w:rPr>
          <w:rFonts w:ascii="Verdana" w:eastAsia="Calibri" w:hAnsi="Verdana" w:cs="Arial"/>
          <w:lang w:val="es-ES" w:eastAsia="es-ES"/>
        </w:rPr>
      </w:pPr>
      <w:r w:rsidRPr="00D8463A">
        <w:rPr>
          <w:rFonts w:ascii="Verdana" w:eastAsia="Calibri" w:hAnsi="Verdana" w:cs="Arial"/>
          <w:lang w:val="es-ES" w:eastAsia="es-ES"/>
        </w:rPr>
        <w:tab/>
      </w:r>
    </w:p>
    <w:p w14:paraId="2028F422" w14:textId="77777777" w:rsidR="003C2FEE" w:rsidRPr="00D8463A" w:rsidRDefault="003C2FEE" w:rsidP="003C2FEE">
      <w:pPr>
        <w:spacing w:after="0" w:line="276" w:lineRule="auto"/>
        <w:jc w:val="both"/>
        <w:rPr>
          <w:rFonts w:ascii="Verdana" w:eastAsia="Calibri" w:hAnsi="Verdana" w:cs="Arial"/>
          <w:lang w:val="es-ES" w:eastAsia="es-ES"/>
        </w:rPr>
      </w:pPr>
      <w:r w:rsidRPr="00D8463A">
        <w:rPr>
          <w:rFonts w:ascii="Verdana" w:eastAsia="Calibri" w:hAnsi="Verdana" w:cs="Arial"/>
          <w:lang w:val="es-ES" w:eastAsia="es-ES"/>
        </w:rPr>
        <w:t>En ejercicio de la competencia otorgada por los artículos 3, numeral 5º, y 11, numeral 8º, del Decreto Ley 4170 de 2011,</w:t>
      </w:r>
      <w:r w:rsidRPr="00D8463A">
        <w:rPr>
          <w:rFonts w:ascii="Verdana" w:eastAsia="Arial MT" w:hAnsi="Verdana" w:cs="Arial MT"/>
          <w:lang w:val="es-ES" w:eastAsia="es-ES"/>
        </w:rPr>
        <w:t xml:space="preserve"> </w:t>
      </w:r>
      <w:r w:rsidRPr="00D8463A">
        <w:rPr>
          <w:rFonts w:ascii="Verdana" w:eastAsia="Aptos" w:hAnsi="Verdana" w:cs="Arial"/>
        </w:rPr>
        <w:t xml:space="preserve">así como lo establecido en el artículo 4 de la Resolución 1707 de 2018 expedida por esta Entidad, </w:t>
      </w:r>
      <w:r w:rsidRPr="00D8463A">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15</w:t>
      </w:r>
      <w:r w:rsidRPr="00D8463A">
        <w:rPr>
          <w:rFonts w:ascii="Verdana" w:eastAsia="Calibri" w:hAnsi="Verdana" w:cs="Arial"/>
          <w:lang w:val="es-ES" w:eastAsia="es-ES"/>
        </w:rPr>
        <w:t xml:space="preserve"> de </w:t>
      </w:r>
      <w:r>
        <w:rPr>
          <w:rFonts w:ascii="Verdana" w:eastAsia="Calibri" w:hAnsi="Verdana" w:cs="Arial"/>
          <w:lang w:val="es-ES" w:eastAsia="es-ES"/>
        </w:rPr>
        <w:t>julio</w:t>
      </w:r>
      <w:r w:rsidRPr="00D8463A">
        <w:rPr>
          <w:rFonts w:ascii="Verdana" w:eastAsia="Calibri" w:hAnsi="Verdana" w:cs="Arial"/>
          <w:lang w:val="es-ES" w:eastAsia="es-ES"/>
        </w:rPr>
        <w:t xml:space="preserve"> de 2025, en la cual manifiesta lo siguiente: </w:t>
      </w:r>
    </w:p>
    <w:p w14:paraId="5E2A78E4" w14:textId="77777777" w:rsidR="003C2FEE" w:rsidRPr="00D8463A" w:rsidRDefault="003C2FEE" w:rsidP="003C2FEE">
      <w:pPr>
        <w:tabs>
          <w:tab w:val="left" w:pos="142"/>
          <w:tab w:val="left" w:pos="284"/>
        </w:tabs>
        <w:spacing w:after="120" w:line="240" w:lineRule="auto"/>
        <w:ind w:left="709" w:right="709"/>
        <w:jc w:val="both"/>
        <w:rPr>
          <w:rFonts w:ascii="Arial" w:eastAsia="Century Gothic" w:hAnsi="Arial" w:cs="Arial"/>
          <w:b/>
          <w:bCs/>
          <w:sz w:val="21"/>
          <w:szCs w:val="21"/>
        </w:rPr>
      </w:pPr>
    </w:p>
    <w:p w14:paraId="1E6CBA0B" w14:textId="77777777" w:rsidR="003C2FEE" w:rsidRPr="00CA01FA" w:rsidRDefault="003C2FEE" w:rsidP="003C2FEE">
      <w:pPr>
        <w:autoSpaceDE w:val="0"/>
        <w:autoSpaceDN w:val="0"/>
        <w:adjustRightInd w:val="0"/>
        <w:spacing w:after="0" w:line="240" w:lineRule="auto"/>
        <w:ind w:left="709" w:right="709"/>
        <w:jc w:val="both"/>
        <w:rPr>
          <w:rFonts w:ascii="Verdana" w:hAnsi="Verdana" w:cs="@_A;"/>
          <w:sz w:val="21"/>
          <w:szCs w:val="21"/>
          <w:lang w:val="es-MX"/>
          <w14:ligatures w14:val="standardContextual"/>
        </w:rPr>
      </w:pPr>
      <w:r w:rsidRPr="00CA01FA">
        <w:rPr>
          <w:rFonts w:ascii="Verdana" w:eastAsia="Aptos" w:hAnsi="Verdana" w:cs="Arial"/>
          <w:sz w:val="21"/>
          <w:szCs w:val="21"/>
          <w:lang w:val="es-ES_tradnl" w:eastAsia="es-CO"/>
        </w:rPr>
        <w:t>“</w:t>
      </w:r>
      <w:r w:rsidRPr="00CA01FA">
        <w:rPr>
          <w:rFonts w:ascii="Verdana" w:hAnsi="Verdana" w:cs="@_A;"/>
          <w:sz w:val="21"/>
          <w:szCs w:val="21"/>
          <w:lang w:val="es-MX"/>
          <w14:ligatures w14:val="standardContextual"/>
        </w:rPr>
        <w:t xml:space="preserve">Solicito muy respetuosamente aclarar, si teniendo en cuenta el articulo 4 de la resolución 465 de 2024, se puede exigir en los pliegos tipos de vías, actividades no contempladas en ninguna matriz, es decir ni en la matriz de vías, saneamiento básico, infraestructura social, </w:t>
      </w:r>
      <w:proofErr w:type="gramStart"/>
      <w:r w:rsidRPr="00CA01FA">
        <w:rPr>
          <w:rFonts w:ascii="Verdana" w:hAnsi="Verdana" w:cs="@_A;"/>
          <w:sz w:val="21"/>
          <w:szCs w:val="21"/>
          <w:lang w:val="es-MX"/>
          <w14:ligatures w14:val="standardContextual"/>
        </w:rPr>
        <w:t>etc..</w:t>
      </w:r>
      <w:proofErr w:type="gramEnd"/>
    </w:p>
    <w:p w14:paraId="4C29EB19" w14:textId="77777777" w:rsidR="003C2FEE" w:rsidRPr="00CA01FA" w:rsidRDefault="003C2FEE" w:rsidP="003C2FEE">
      <w:pPr>
        <w:autoSpaceDE w:val="0"/>
        <w:autoSpaceDN w:val="0"/>
        <w:adjustRightInd w:val="0"/>
        <w:spacing w:after="0" w:line="240" w:lineRule="auto"/>
        <w:ind w:left="709" w:right="709"/>
        <w:jc w:val="both"/>
        <w:rPr>
          <w:rFonts w:ascii="Verdana" w:hAnsi="Verdana" w:cs="@_A;"/>
          <w:sz w:val="21"/>
          <w:szCs w:val="21"/>
          <w:lang w:val="es-MX"/>
          <w14:ligatures w14:val="standardContextual"/>
        </w:rPr>
      </w:pPr>
      <w:r w:rsidRPr="00CA01FA">
        <w:rPr>
          <w:rFonts w:ascii="Verdana" w:hAnsi="Verdana" w:cs="@_A;"/>
          <w:sz w:val="21"/>
          <w:szCs w:val="21"/>
          <w:lang w:val="es-MX"/>
          <w14:ligatures w14:val="standardContextual"/>
        </w:rPr>
        <w:lastRenderedPageBreak/>
        <w:t>Se puede realizar la audiencia de apertura del sobre 2 y adjudicació solamente de forma presencial y no virtual, a sabiendas que todo el proceso de contratación se viene realizando en la plataforma del secop 2.</w:t>
      </w:r>
    </w:p>
    <w:p w14:paraId="7F2CF346" w14:textId="77777777" w:rsidR="003C2FEE" w:rsidRPr="00CA01FA" w:rsidRDefault="003C2FEE" w:rsidP="003C2FEE">
      <w:pPr>
        <w:autoSpaceDE w:val="0"/>
        <w:autoSpaceDN w:val="0"/>
        <w:adjustRightInd w:val="0"/>
        <w:spacing w:after="0" w:line="240" w:lineRule="auto"/>
        <w:ind w:left="709" w:right="709"/>
        <w:jc w:val="both"/>
        <w:rPr>
          <w:rFonts w:ascii="@_A;" w:hAnsi="@_A;" w:cs="@_A;"/>
          <w:i/>
          <w:iCs/>
          <w:sz w:val="24"/>
          <w:szCs w:val="24"/>
          <w:lang w:val="es-MX"/>
          <w14:ligatures w14:val="standardContextual"/>
        </w:rPr>
      </w:pPr>
      <w:r w:rsidRPr="00CA01FA">
        <w:rPr>
          <w:rFonts w:ascii="Verdana" w:hAnsi="Verdana" w:cs="@_A;"/>
          <w:sz w:val="21"/>
          <w:szCs w:val="21"/>
          <w:lang w:val="es-MX"/>
          <w14:ligatures w14:val="standardContextual"/>
        </w:rPr>
        <w:t>De acuerdo a los cambios en la nueva versión de los pliegos de vías, la elección del TRM a cambiado o sigue lo mismo, es decir el trm se elige con la fecha de la audiencia efectiva de adjudicación. Por favor dar un ejemplo con las fechas para elección del TRM con respecto a esta interrongante.</w:t>
      </w:r>
      <w:r w:rsidRPr="00CA01FA">
        <w:rPr>
          <w:rFonts w:ascii="Verdana" w:eastAsia="Aptos" w:hAnsi="Verdana" w:cs="Arial"/>
          <w:sz w:val="21"/>
          <w:szCs w:val="21"/>
        </w:rPr>
        <w:t>”.</w:t>
      </w:r>
    </w:p>
    <w:p w14:paraId="7A7DB26C" w14:textId="77777777" w:rsidR="003C2FEE" w:rsidRPr="00D8463A" w:rsidRDefault="003C2FEE" w:rsidP="003C2FEE">
      <w:pPr>
        <w:spacing w:after="0" w:line="240" w:lineRule="auto"/>
        <w:ind w:left="709" w:right="709"/>
        <w:jc w:val="both"/>
        <w:rPr>
          <w:rFonts w:ascii="Arial" w:eastAsia="Aptos" w:hAnsi="Arial" w:cs="Arial"/>
          <w:sz w:val="21"/>
          <w:szCs w:val="21"/>
        </w:rPr>
      </w:pPr>
    </w:p>
    <w:p w14:paraId="4332CBF3" w14:textId="77777777" w:rsidR="003C2FEE" w:rsidRPr="00D8463A" w:rsidRDefault="003C2FEE" w:rsidP="003C2FEE">
      <w:pPr>
        <w:spacing w:after="120" w:line="276" w:lineRule="auto"/>
        <w:ind w:firstLine="709"/>
        <w:jc w:val="both"/>
        <w:rPr>
          <w:rFonts w:ascii="Verdana" w:eastAsia="Calibri" w:hAnsi="Verdana" w:cs="Arial"/>
          <w:szCs w:val="24"/>
          <w:lang w:val="es-ES_tradnl" w:eastAsia="es-ES_tradnl"/>
        </w:rPr>
      </w:pPr>
      <w:r w:rsidRPr="00D8463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8463A">
        <w:rPr>
          <w:rFonts w:ascii="Verdana" w:eastAsia="Calibri" w:hAnsi="Verdana" w:cs="Arial"/>
          <w:szCs w:val="24"/>
          <w:lang w:val="es-ES_tradnl" w:eastAsia="es-ES_tradnl"/>
        </w:rPr>
        <w:tab/>
      </w:r>
    </w:p>
    <w:p w14:paraId="0EC706B7" w14:textId="77777777" w:rsidR="003C2FEE" w:rsidRPr="00D8463A" w:rsidRDefault="003C2FEE" w:rsidP="003C2FEE">
      <w:pPr>
        <w:spacing w:after="0" w:line="276" w:lineRule="auto"/>
        <w:ind w:firstLine="708"/>
        <w:jc w:val="both"/>
        <w:rPr>
          <w:rFonts w:ascii="Verdana" w:eastAsia="Calibri" w:hAnsi="Verdana" w:cs="Arial"/>
          <w:lang w:val="es-ES" w:eastAsia="es-ES"/>
        </w:rPr>
      </w:pPr>
      <w:r w:rsidRPr="00D8463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459615E" w14:textId="77777777" w:rsidR="003C2FEE" w:rsidRPr="00D8463A" w:rsidRDefault="003C2FEE" w:rsidP="003C2FEE">
      <w:pPr>
        <w:spacing w:after="0" w:line="276" w:lineRule="auto"/>
        <w:jc w:val="both"/>
        <w:rPr>
          <w:rFonts w:ascii="Verdana" w:eastAsia="Calibri" w:hAnsi="Verdana" w:cs="Arial"/>
          <w:lang w:val="es-ES" w:eastAsia="es-ES"/>
        </w:rPr>
      </w:pPr>
    </w:p>
    <w:p w14:paraId="73F9002D" w14:textId="77777777" w:rsidR="003C2FEE" w:rsidRPr="00D8463A" w:rsidRDefault="003C2FEE" w:rsidP="003C2FEE">
      <w:pPr>
        <w:numPr>
          <w:ilvl w:val="0"/>
          <w:numId w:val="18"/>
        </w:numPr>
        <w:tabs>
          <w:tab w:val="left" w:pos="142"/>
          <w:tab w:val="left" w:pos="284"/>
        </w:tabs>
        <w:spacing w:after="0" w:line="276" w:lineRule="auto"/>
        <w:jc w:val="both"/>
        <w:rPr>
          <w:rFonts w:ascii="Verdana" w:eastAsia="Century Gothic" w:hAnsi="Verdana" w:cs="Century Gothic"/>
          <w:b/>
          <w:bCs/>
        </w:rPr>
      </w:pPr>
      <w:r w:rsidRPr="00D8463A">
        <w:rPr>
          <w:rFonts w:ascii="Verdana" w:eastAsia="Century Gothic" w:hAnsi="Verdana" w:cs="Century Gothic"/>
          <w:b/>
          <w:bCs/>
        </w:rPr>
        <w:t>Problema planteado:</w:t>
      </w:r>
    </w:p>
    <w:p w14:paraId="3288C4EC" w14:textId="77777777" w:rsidR="003C2FEE" w:rsidRPr="00D8463A" w:rsidRDefault="003C2FEE" w:rsidP="003C2FEE">
      <w:pPr>
        <w:tabs>
          <w:tab w:val="left" w:pos="426"/>
        </w:tabs>
        <w:spacing w:after="0" w:line="276" w:lineRule="auto"/>
        <w:jc w:val="both"/>
        <w:rPr>
          <w:rFonts w:ascii="Verdana" w:eastAsia="Century Gothic" w:hAnsi="Verdana" w:cs="Century Gothic"/>
          <w:lang w:val="es-ES"/>
        </w:rPr>
      </w:pPr>
    </w:p>
    <w:p w14:paraId="43F74DE7" w14:textId="77777777" w:rsidR="003C2FEE" w:rsidRPr="00D8463A" w:rsidRDefault="003C2FEE" w:rsidP="003C2FEE">
      <w:pPr>
        <w:spacing w:after="0" w:line="276" w:lineRule="auto"/>
        <w:jc w:val="both"/>
        <w:rPr>
          <w:rFonts w:ascii="Verdana" w:eastAsia="Calibri" w:hAnsi="Verdana" w:cs="Arial"/>
          <w:bCs/>
          <w:lang w:val="es-ES_tradnl" w:eastAsia="es-ES_tradnl"/>
        </w:rPr>
      </w:pPr>
      <w:r w:rsidRPr="00D8463A">
        <w:rPr>
          <w:rFonts w:ascii="Verdana" w:eastAsia="Century Gothic" w:hAnsi="Verdana" w:cs="Century Gothic"/>
        </w:rPr>
        <w:t xml:space="preserve">De acuerdo con el contenido de su solicitud, </w:t>
      </w:r>
      <w:r>
        <w:rPr>
          <w:rFonts w:ascii="Verdana" w:eastAsia="Century Gothic" w:hAnsi="Verdana" w:cs="Century Gothic"/>
        </w:rPr>
        <w:t xml:space="preserve">en relación con los </w:t>
      </w:r>
      <w:r w:rsidRPr="00D8463A">
        <w:rPr>
          <w:rFonts w:ascii="Verdana" w:eastAsia="Calibri" w:hAnsi="Verdana" w:cs="Arial"/>
          <w:bCs/>
          <w:lang w:val="es-ES_tradnl" w:eastAsia="es-ES_tradnl"/>
        </w:rPr>
        <w:t>documentos tipo de licitación de obra pública de infraestructura de transporte – versión</w:t>
      </w:r>
      <w:r>
        <w:rPr>
          <w:rFonts w:ascii="Verdana" w:eastAsia="Century Gothic" w:hAnsi="Verdana" w:cs="Century Gothic"/>
        </w:rPr>
        <w:t xml:space="preserve"> 4, </w:t>
      </w:r>
      <w:r w:rsidRPr="00D8463A">
        <w:rPr>
          <w:rFonts w:ascii="Verdana" w:eastAsia="Century Gothic" w:hAnsi="Verdana" w:cs="Century Gothic"/>
        </w:rPr>
        <w:t>esta Agencia resolverá l</w:t>
      </w:r>
      <w:r>
        <w:rPr>
          <w:rFonts w:ascii="Verdana" w:eastAsia="Century Gothic" w:hAnsi="Verdana" w:cs="Century Gothic"/>
        </w:rPr>
        <w:t>os</w:t>
      </w:r>
      <w:r w:rsidRPr="00D8463A">
        <w:rPr>
          <w:rFonts w:ascii="Verdana" w:eastAsia="Century Gothic" w:hAnsi="Verdana" w:cs="Century Gothic"/>
        </w:rPr>
        <w:t xml:space="preserve"> siguiente</w:t>
      </w:r>
      <w:r>
        <w:rPr>
          <w:rFonts w:ascii="Verdana" w:eastAsia="Century Gothic" w:hAnsi="Verdana" w:cs="Century Gothic"/>
        </w:rPr>
        <w:t>s</w:t>
      </w:r>
      <w:r w:rsidRPr="00D8463A">
        <w:rPr>
          <w:rFonts w:ascii="Verdana" w:eastAsia="Century Gothic" w:hAnsi="Verdana" w:cs="Century Gothic"/>
        </w:rPr>
        <w:t xml:space="preserve"> problema</w:t>
      </w:r>
      <w:r>
        <w:rPr>
          <w:rFonts w:ascii="Verdana" w:eastAsia="Century Gothic" w:hAnsi="Verdana" w:cs="Century Gothic"/>
        </w:rPr>
        <w:t>s</w:t>
      </w:r>
      <w:r w:rsidRPr="00D8463A">
        <w:rPr>
          <w:rFonts w:ascii="Verdana" w:eastAsia="Century Gothic" w:hAnsi="Verdana" w:cs="Century Gothic"/>
        </w:rPr>
        <w:t xml:space="preserve"> jurídico</w:t>
      </w:r>
      <w:r>
        <w:rPr>
          <w:rFonts w:ascii="Verdana" w:eastAsia="Century Gothic" w:hAnsi="Verdana" w:cs="Century Gothic"/>
        </w:rPr>
        <w:t>s</w:t>
      </w:r>
      <w:r w:rsidRPr="007201B2">
        <w:rPr>
          <w:rFonts w:ascii="Verdana" w:eastAsia="Century Gothic" w:hAnsi="Verdana" w:cs="Century Gothic"/>
        </w:rPr>
        <w:t>:</w:t>
      </w:r>
      <w:r w:rsidRPr="007201B2">
        <w:rPr>
          <w:rFonts w:ascii="Verdana" w:eastAsia="Calibri" w:hAnsi="Verdana" w:cs="Arial"/>
          <w:bCs/>
          <w:lang w:val="es-ES_tradnl" w:eastAsia="es-ES_tradnl"/>
        </w:rPr>
        <w:t xml:space="preserve"> i) ¿Se pueden solicitar obras, bienes o servicios </w:t>
      </w:r>
      <w:r>
        <w:rPr>
          <w:rFonts w:ascii="Verdana" w:eastAsia="Calibri" w:hAnsi="Verdana" w:cs="Arial"/>
          <w:bCs/>
          <w:lang w:val="es-ES_tradnl" w:eastAsia="es-ES_tradnl"/>
        </w:rPr>
        <w:t xml:space="preserve">adicionales </w:t>
      </w:r>
      <w:r w:rsidRPr="007201B2">
        <w:rPr>
          <w:rFonts w:ascii="Verdana" w:eastAsia="Calibri" w:hAnsi="Verdana" w:cs="Arial"/>
          <w:bCs/>
          <w:lang w:val="es-ES_tradnl" w:eastAsia="es-ES_tradnl"/>
        </w:rPr>
        <w:t>a la obra pública de infraestructura de transporte?,</w:t>
      </w:r>
      <w:r>
        <w:rPr>
          <w:rFonts w:ascii="Verdana" w:eastAsia="Calibri" w:hAnsi="Verdana" w:cs="Arial"/>
          <w:bCs/>
          <w:lang w:val="es-ES_tradnl" w:eastAsia="es-ES_tradnl"/>
        </w:rPr>
        <w:t xml:space="preserve"> </w:t>
      </w:r>
      <w:proofErr w:type="spellStart"/>
      <w:r>
        <w:rPr>
          <w:rFonts w:ascii="Verdana" w:eastAsia="Calibri" w:hAnsi="Verdana" w:cs="Arial"/>
          <w:bCs/>
          <w:lang w:val="es-ES_tradnl" w:eastAsia="es-ES_tradnl"/>
        </w:rPr>
        <w:t>ii</w:t>
      </w:r>
      <w:proofErr w:type="spellEnd"/>
      <w:r>
        <w:rPr>
          <w:rFonts w:ascii="Verdana" w:eastAsia="Calibri" w:hAnsi="Verdana" w:cs="Arial"/>
          <w:bCs/>
          <w:lang w:val="es-ES_tradnl" w:eastAsia="es-ES_tradnl"/>
        </w:rPr>
        <w:t xml:space="preserve">) ¿Es posible realizar la audiencia efectiva de adjudicación de forma virtual, independientemente de que el proceso se esté desarrollando por SECOP I o II?  y </w:t>
      </w:r>
      <w:proofErr w:type="spellStart"/>
      <w:r>
        <w:rPr>
          <w:rFonts w:ascii="Verdana" w:eastAsia="Calibri" w:hAnsi="Verdana" w:cs="Arial"/>
          <w:bCs/>
          <w:lang w:val="es-ES_tradnl" w:eastAsia="es-ES_tradnl"/>
        </w:rPr>
        <w:t>iii</w:t>
      </w:r>
      <w:proofErr w:type="spellEnd"/>
      <w:r>
        <w:rPr>
          <w:rFonts w:ascii="Verdana" w:eastAsia="Calibri" w:hAnsi="Verdana" w:cs="Arial"/>
          <w:bCs/>
          <w:lang w:val="es-ES_tradnl" w:eastAsia="es-ES_tradnl"/>
        </w:rPr>
        <w:t xml:space="preserve">) </w:t>
      </w:r>
      <w:r w:rsidRPr="006C304A">
        <w:rPr>
          <w:rFonts w:ascii="Verdana" w:eastAsia="Calibri" w:hAnsi="Verdana" w:cs="Arial"/>
          <w:bCs/>
          <w:lang w:val="es-ES_tradnl" w:eastAsia="es-ES_tradnl"/>
        </w:rPr>
        <w:t>¿</w:t>
      </w:r>
      <w:r>
        <w:rPr>
          <w:rFonts w:ascii="Verdana" w:eastAsia="Calibri" w:hAnsi="Verdana" w:cs="Arial"/>
          <w:bCs/>
          <w:lang w:val="es-ES_tradnl" w:eastAsia="es-ES_tradnl"/>
        </w:rPr>
        <w:t>Cómo operan las reglas para definir el método de ponderación de las propuestas?</w:t>
      </w:r>
    </w:p>
    <w:p w14:paraId="01746B4B" w14:textId="77777777" w:rsidR="003C2FEE" w:rsidRPr="00D8463A" w:rsidRDefault="003C2FEE" w:rsidP="003C2FEE">
      <w:pPr>
        <w:spacing w:after="0" w:line="276" w:lineRule="auto"/>
        <w:jc w:val="both"/>
        <w:rPr>
          <w:rFonts w:ascii="Verdana" w:eastAsia="Century Gothic" w:hAnsi="Verdana" w:cs="Century Gothic"/>
        </w:rPr>
      </w:pPr>
    </w:p>
    <w:p w14:paraId="6A44BD96" w14:textId="5C3FE637" w:rsidR="003C2FEE" w:rsidRPr="00F40F11" w:rsidRDefault="00F40F11" w:rsidP="00F40F11">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lastRenderedPageBreak/>
        <w:t xml:space="preserve">2. </w:t>
      </w:r>
      <w:r w:rsidR="003C2FEE" w:rsidRPr="00F40F11">
        <w:rPr>
          <w:rFonts w:ascii="Verdana" w:eastAsia="Century Gothic" w:hAnsi="Verdana" w:cs="Century Gothic"/>
          <w:b/>
          <w:bCs/>
        </w:rPr>
        <w:t>Respuestas:</w:t>
      </w:r>
    </w:p>
    <w:p w14:paraId="6A2A1D2D" w14:textId="77777777" w:rsidR="003C2FEE" w:rsidRPr="00D8463A" w:rsidRDefault="003C2FEE" w:rsidP="003C2FEE">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C2FEE" w:rsidRPr="00D8463A" w14:paraId="474C4F41" w14:textId="77777777" w:rsidTr="00D17264">
        <w:trPr>
          <w:trHeight w:val="40"/>
        </w:trPr>
        <w:tc>
          <w:tcPr>
            <w:tcW w:w="8828" w:type="dxa"/>
            <w:tcBorders>
              <w:top w:val="dotted" w:sz="4" w:space="0" w:color="auto"/>
              <w:left w:val="dotted" w:sz="4" w:space="0" w:color="auto"/>
              <w:bottom w:val="dotted" w:sz="4" w:space="0" w:color="auto"/>
              <w:right w:val="dotted" w:sz="4" w:space="0" w:color="auto"/>
            </w:tcBorders>
          </w:tcPr>
          <w:p w14:paraId="6CAE2C0D" w14:textId="77777777" w:rsidR="003C2FEE" w:rsidRPr="00CD7CA0" w:rsidRDefault="003C2FEE" w:rsidP="00D17264">
            <w:pPr>
              <w:snapToGrid w:val="0"/>
              <w:spacing w:after="120"/>
              <w:jc w:val="both"/>
              <w:rPr>
                <w:rFonts w:ascii="Verdana" w:eastAsia="Aptos" w:hAnsi="Verdana" w:cs="Arial"/>
                <w:lang w:val="es-ES"/>
              </w:rPr>
            </w:pPr>
            <w:r>
              <w:rPr>
                <w:rFonts w:ascii="Verdana" w:eastAsia="Aptos" w:hAnsi="Verdana" w:cs="Arial"/>
                <w:lang w:val="es-ES"/>
              </w:rPr>
              <w:t xml:space="preserve">i) Sí, teniendo en cuenta la siguiente consideración: </w:t>
            </w:r>
            <w:r w:rsidRPr="00D8463A">
              <w:rPr>
                <w:rFonts w:ascii="Verdana" w:eastAsia="Aptos" w:hAnsi="Verdana" w:cs="Arial"/>
                <w:lang w:val="es-ES"/>
              </w:rPr>
              <w:t xml:space="preserve">La parte introductoria del pliego de condiciones de los documentos tipo de licitación de obra pública de infraestructura de transporte – versión 4, dispone que estos se aplican a los procedimientos de selección de licitación de obra pública de infraestructura de transporte (versión 4), que correspondan a las actividades definidas en la “Matriz 1 – Experiencia”. En consecuencia, las actividades de infraestructura de transporte no contempladas en la Matriz 1 – Experiencia no tienen que aplicar los documentos tipo; </w:t>
            </w:r>
            <w:r w:rsidRPr="00CC3180">
              <w:rPr>
                <w:rFonts w:ascii="Verdana" w:eastAsia="Aptos" w:hAnsi="Verdana" w:cs="Arial"/>
                <w:i/>
                <w:iCs/>
                <w:lang w:val="es-ES"/>
              </w:rPr>
              <w:t>sin perjuicio de lo previsto en el artículo 2.2.1.1.1.2.1 del Decreto 1082 de 2015 o la norma que la modifique, sustituya o complemente, además, de lo contenido en el artículo 4 de la Resolución 465 de 2024, relacionados con la posibilidad de exigir experiencia adicional en determinados supuestos</w:t>
            </w:r>
            <w:r w:rsidRPr="00D8463A">
              <w:rPr>
                <w:rFonts w:ascii="Verdana" w:eastAsia="Aptos" w:hAnsi="Verdana" w:cs="Arial"/>
                <w:lang w:val="es-ES"/>
              </w:rPr>
              <w:t>.</w:t>
            </w:r>
          </w:p>
          <w:p w14:paraId="70DCCD5B" w14:textId="77777777" w:rsidR="003C2FEE" w:rsidRPr="00D8463A" w:rsidRDefault="003C2FEE" w:rsidP="00D17264">
            <w:pPr>
              <w:snapToGrid w:val="0"/>
              <w:spacing w:after="120"/>
              <w:ind w:firstLine="709"/>
              <w:jc w:val="both"/>
              <w:rPr>
                <w:rFonts w:ascii="Verdana" w:eastAsia="Calibri" w:hAnsi="Verdana" w:cs="Arial"/>
              </w:rPr>
            </w:pPr>
            <w:r>
              <w:rPr>
                <w:rFonts w:ascii="Verdana" w:eastAsia="Calibri" w:hAnsi="Verdana" w:cs="Arial"/>
              </w:rPr>
              <w:t>En este sentido, e</w:t>
            </w:r>
            <w:r w:rsidRPr="00D8463A">
              <w:rPr>
                <w:rFonts w:ascii="Verdana" w:eastAsia="Calibri" w:hAnsi="Verdana" w:cs="Arial"/>
              </w:rPr>
              <w:t xml:space="preserve">l artículo 4 de la Resolución No. 465 del 10 de septiembre de 2024, dispone que la entidad puede solicitar experiencia adicional para evaluar la idoneidad del contratista en procesos de contratación de licitación de obra pública de infraestructura de transporte, que incluyen obras, bienes o servicios adicionales a la obra pública de infraestructura de transporte. </w:t>
            </w:r>
            <w:r w:rsidRPr="00CC3180">
              <w:rPr>
                <w:rFonts w:ascii="Verdana" w:eastAsia="Calibri" w:hAnsi="Verdana" w:cs="Arial"/>
                <w:i/>
                <w:iCs/>
              </w:rPr>
              <w:t>Estos corresponden a necesidades no incluidas en el alcance de la obra pública de infraestructura de transporte, cuya ejecución se contempla en el mismo procedimiento contractual</w:t>
            </w:r>
            <w:r w:rsidRPr="00D8463A">
              <w:rPr>
                <w:rFonts w:ascii="Verdana" w:eastAsia="Calibri" w:hAnsi="Verdana" w:cs="Arial"/>
              </w:rPr>
              <w:t>. Por ello, con fundamento en esta disposición, las entidades pueden requerir experiencia añadida cuando el bien o servicio adicional a la obra de infraestructura de transporte es de tal relevancia que se considere que no es posible valorar la idoneidad del contratista únicamente a partir de la experiencia establecida en la “Matriz 1 – Experiencia”.</w:t>
            </w:r>
          </w:p>
          <w:p w14:paraId="784DAEE2" w14:textId="4CC534B6" w:rsidR="003C2FEE" w:rsidRPr="00D8463A" w:rsidRDefault="003C2FEE" w:rsidP="009F318A">
            <w:pPr>
              <w:snapToGrid w:val="0"/>
              <w:spacing w:after="120"/>
              <w:ind w:firstLine="709"/>
              <w:jc w:val="both"/>
              <w:rPr>
                <w:rFonts w:ascii="Verdana" w:eastAsia="Calibri" w:hAnsi="Verdana" w:cs="Arial"/>
              </w:rPr>
            </w:pPr>
            <w:r w:rsidRPr="00805F52">
              <w:rPr>
                <w:rFonts w:ascii="Verdana" w:eastAsia="Calibri" w:hAnsi="Verdana" w:cs="Arial"/>
                <w:i/>
                <w:iCs/>
              </w:rPr>
              <w:t>Cuando la entidad requiere obras, bienes y servicios que no se encuentran incluidos como obra de infraestructura de transporte en la “Matriz 1 – Experiencia” y considera necesario exigir experiencia adicional, se debe aplicar el artículo 4 de la Resolución No. 465 del 10 de septiembre de 2024</w:t>
            </w:r>
            <w:r w:rsidRPr="00D8463A">
              <w:rPr>
                <w:rFonts w:ascii="Verdana" w:eastAsia="Calibri" w:hAnsi="Verdana" w:cs="Arial"/>
              </w:rPr>
              <w:t xml:space="preserve">. Esta norma dispone los eventos en los que el objeto contractual incluye </w:t>
            </w:r>
            <w:r>
              <w:rPr>
                <w:rFonts w:ascii="Verdana" w:eastAsia="Calibri" w:hAnsi="Verdana" w:cs="Arial"/>
              </w:rPr>
              <w:t xml:space="preserve">obras, </w:t>
            </w:r>
            <w:r w:rsidRPr="00D8463A">
              <w:rPr>
                <w:rFonts w:ascii="Verdana" w:eastAsia="Calibri" w:hAnsi="Verdana" w:cs="Arial"/>
              </w:rPr>
              <w:t>bienes o servicios adicionales a la obra pública de infraestructura de transporte. En este caso, la entidad puede incluir experiencia adicional para evaluar la idoneidad respecto de los bienes o servicios ajenos a la obra pública de infraestructura de transporte.</w:t>
            </w:r>
          </w:p>
          <w:p w14:paraId="573AFD26" w14:textId="77777777" w:rsidR="003C2FEE" w:rsidRPr="00D8463A" w:rsidRDefault="003C2FEE" w:rsidP="00D17264">
            <w:pPr>
              <w:snapToGrid w:val="0"/>
              <w:spacing w:after="120"/>
              <w:ind w:firstLine="709"/>
              <w:jc w:val="both"/>
              <w:rPr>
                <w:rFonts w:ascii="Verdana" w:eastAsia="Calibri" w:hAnsi="Verdana" w:cs="Arial"/>
              </w:rPr>
            </w:pPr>
            <w:r w:rsidRPr="00D8463A">
              <w:rPr>
                <w:rFonts w:ascii="Verdana" w:eastAsia="Calibri" w:hAnsi="Verdana" w:cs="Arial"/>
              </w:rPr>
              <w:t xml:space="preserve">Para ello, se deben seguir los siguientes parámetros: i) demostrar en los estudios previos que ha verificado las condiciones de mercado para la contratación de las obras, bienes o servicios adicionales al componente de obra pública, de tal forma que la experiencia adicional que se exija para tales bienes o servicios procure la pluralidad de oferentes y no limite la concurrencia </w:t>
            </w:r>
            <w:r w:rsidRPr="00D8463A">
              <w:rPr>
                <w:rFonts w:ascii="Verdana" w:eastAsia="Calibri" w:hAnsi="Verdana" w:cs="Arial"/>
              </w:rPr>
              <w:lastRenderedPageBreak/>
              <w:t xml:space="preserve">al proceso de contratación, </w:t>
            </w:r>
            <w:proofErr w:type="spellStart"/>
            <w:r w:rsidRPr="00D8463A">
              <w:rPr>
                <w:rFonts w:ascii="Verdana" w:eastAsia="Calibri" w:hAnsi="Verdana" w:cs="Arial"/>
              </w:rPr>
              <w:t>ii</w:t>
            </w:r>
            <w:proofErr w:type="spellEnd"/>
            <w:r w:rsidRPr="00D8463A">
              <w:rPr>
                <w:rFonts w:ascii="Verdana" w:eastAsia="Calibri" w:hAnsi="Verdana" w:cs="Arial"/>
              </w:rPr>
              <w:t xml:space="preserve">) conservar los requisitos exigidos en los documentos tipo, </w:t>
            </w:r>
            <w:proofErr w:type="spellStart"/>
            <w:r w:rsidRPr="00D8463A">
              <w:rPr>
                <w:rFonts w:ascii="Verdana" w:eastAsia="Calibri" w:hAnsi="Verdana" w:cs="Arial"/>
              </w:rPr>
              <w:t>iii</w:t>
            </w:r>
            <w:proofErr w:type="spellEnd"/>
            <w:r w:rsidRPr="00D8463A">
              <w:rPr>
                <w:rFonts w:ascii="Verdana" w:eastAsia="Calibri" w:hAnsi="Verdana" w:cs="Arial"/>
              </w:rPr>
              <w:t xml:space="preserve">) abstenerse de pedir experiencia exclusiva con entidades estatales, experiencia previa en un territorio específico, limitada en el tiempo o que incluya volúmenes o cantidades de obra específica, </w:t>
            </w:r>
            <w:proofErr w:type="spellStart"/>
            <w:r w:rsidRPr="00D8463A">
              <w:rPr>
                <w:rFonts w:ascii="Verdana" w:eastAsia="Calibri" w:hAnsi="Verdana" w:cs="Arial"/>
              </w:rPr>
              <w:t>iv</w:t>
            </w:r>
            <w:proofErr w:type="spellEnd"/>
            <w:r w:rsidRPr="00D8463A">
              <w:rPr>
                <w:rFonts w:ascii="Verdana" w:eastAsia="Calibri" w:hAnsi="Verdana" w:cs="Arial"/>
              </w:rPr>
              <w:t>) clasificar la experiencia requerida solo hasta el tercer nivel del clasificador de bienes y servicios e incluir exclusivamente los códigos que estén relacionados directamente con el objeto a contratar.</w:t>
            </w:r>
          </w:p>
          <w:p w14:paraId="0D0E8DF9" w14:textId="77777777" w:rsidR="003C2FEE" w:rsidRPr="00805F52" w:rsidRDefault="003C2FEE" w:rsidP="00D17264">
            <w:pPr>
              <w:snapToGrid w:val="0"/>
              <w:spacing w:after="120"/>
              <w:ind w:firstLine="709"/>
              <w:jc w:val="both"/>
              <w:rPr>
                <w:rFonts w:ascii="Verdana" w:eastAsia="Calibri" w:hAnsi="Verdana" w:cs="Arial"/>
                <w:i/>
                <w:iCs/>
              </w:rPr>
            </w:pPr>
            <w:r w:rsidRPr="00805F52">
              <w:rPr>
                <w:rFonts w:ascii="Verdana" w:eastAsia="Calibri" w:hAnsi="Verdana" w:cs="Arial"/>
                <w:i/>
                <w:iCs/>
              </w:rPr>
              <w:t xml:space="preserve">Debe indicarse que, de acuerdo con el parágrafo 2 de la Resolución 465 de 2024, se entiende por "obras, bienes o servicios adicionales" aquellas actividades que no están incluidas en la matriz de experiencia de los documentos tipo de infraestructura de transporte aplicable, pero que están relacionadas con el contrato a ejecutar. </w:t>
            </w:r>
          </w:p>
          <w:p w14:paraId="026943E8" w14:textId="77777777" w:rsidR="003C2FEE" w:rsidRPr="00D8463A" w:rsidRDefault="003C2FEE" w:rsidP="00D17264">
            <w:pPr>
              <w:snapToGrid w:val="0"/>
              <w:spacing w:after="120"/>
              <w:ind w:firstLine="709"/>
              <w:jc w:val="both"/>
              <w:rPr>
                <w:rFonts w:ascii="Verdana" w:eastAsia="Calibri" w:hAnsi="Verdana" w:cs="Arial"/>
              </w:rPr>
            </w:pPr>
            <w:r w:rsidRPr="00D8463A">
              <w:rPr>
                <w:rFonts w:ascii="Verdana" w:eastAsia="Calibri" w:hAnsi="Verdana" w:cs="Arial"/>
              </w:rPr>
              <w:t xml:space="preserve">Adicionalmente, debe tenerse presente la regla de la inalterabilidad de los Documentos Tipo, que se fundamenta en los artículos 2 y 3 de la Resolución No. 465 del 10 de septiembre de 2024, que disponen que las entidades contratantes no podrán incluir o modificar dentro de los documentos del proceso las condiciones habilitantes, los factores técnicos y económicos de escogencia y los sistemas de ponderación señalados en los documentos tipo. </w:t>
            </w:r>
          </w:p>
          <w:p w14:paraId="1B5EC279" w14:textId="77777777" w:rsidR="003C2FEE" w:rsidRPr="00D8463A" w:rsidRDefault="003C2FEE" w:rsidP="00D17264">
            <w:pPr>
              <w:snapToGrid w:val="0"/>
              <w:spacing w:after="120"/>
              <w:ind w:firstLine="709"/>
              <w:jc w:val="both"/>
              <w:rPr>
                <w:rFonts w:ascii="Verdana" w:eastAsia="Calibri" w:hAnsi="Verdana" w:cs="Arial"/>
              </w:rPr>
            </w:pPr>
            <w:r w:rsidRPr="00D8463A">
              <w:rPr>
                <w:rFonts w:ascii="Verdana" w:eastAsia="Calibri" w:hAnsi="Verdana" w:cs="Arial"/>
              </w:rPr>
              <w:t xml:space="preserve">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Por consiguiente, para solicitar experiencia frente a obras, bienes o servicios adicionales que no se encuentren contemplados en la “Matriz 1 – Experiencia”, </w:t>
            </w:r>
            <w:r>
              <w:rPr>
                <w:rFonts w:ascii="Verdana" w:eastAsia="Calibri" w:hAnsi="Verdana" w:cs="Arial"/>
              </w:rPr>
              <w:t xml:space="preserve">la entidad deberá aplicar </w:t>
            </w:r>
            <w:r w:rsidRPr="00D8463A">
              <w:rPr>
                <w:rFonts w:ascii="Verdana" w:eastAsia="Calibri" w:hAnsi="Verdana" w:cs="Arial"/>
              </w:rPr>
              <w:t>el literal H del numeral 3.5.2 “CARACTERÍSTICAS DE LOS CONTRATOS PRESENTADOS PARA ACREDITAR EXPERIENCIA”</w:t>
            </w:r>
            <w:r w:rsidRPr="00D8463A">
              <w:rPr>
                <w:rFonts w:ascii="Verdana" w:eastAsia="Calibri" w:hAnsi="Verdana" w:cs="Arial"/>
                <w:vertAlign w:val="superscript"/>
              </w:rPr>
              <w:footnoteReference w:id="1"/>
            </w:r>
            <w:r w:rsidRPr="00D8463A">
              <w:rPr>
                <w:rFonts w:ascii="Verdana" w:eastAsia="Calibri" w:hAnsi="Verdana" w:cs="Arial"/>
              </w:rPr>
              <w:t xml:space="preserve">, del </w:t>
            </w:r>
            <w:r>
              <w:rPr>
                <w:rFonts w:ascii="Verdana" w:eastAsia="Calibri" w:hAnsi="Verdana" w:cs="Arial"/>
              </w:rPr>
              <w:t>d</w:t>
            </w:r>
            <w:r w:rsidRPr="00D8463A">
              <w:rPr>
                <w:rFonts w:ascii="Verdana" w:eastAsia="Calibri" w:hAnsi="Verdana" w:cs="Arial"/>
              </w:rPr>
              <w:t xml:space="preserve">ocumento </w:t>
            </w:r>
            <w:r>
              <w:rPr>
                <w:rFonts w:ascii="Verdana" w:eastAsia="Calibri" w:hAnsi="Verdana" w:cs="Arial"/>
              </w:rPr>
              <w:t>b</w:t>
            </w:r>
            <w:r w:rsidRPr="00D8463A">
              <w:rPr>
                <w:rFonts w:ascii="Verdana" w:eastAsia="Calibri" w:hAnsi="Verdana" w:cs="Arial"/>
              </w:rPr>
              <w:t>ase</w:t>
            </w:r>
            <w:r>
              <w:rPr>
                <w:rFonts w:ascii="Verdana" w:eastAsia="Calibri" w:hAnsi="Verdana" w:cs="Arial"/>
              </w:rPr>
              <w:t>.</w:t>
            </w:r>
          </w:p>
          <w:p w14:paraId="1D574F5D" w14:textId="77777777" w:rsidR="003C2FEE" w:rsidRPr="00D8463A" w:rsidRDefault="003C2FEE" w:rsidP="00D17264">
            <w:pPr>
              <w:snapToGrid w:val="0"/>
              <w:spacing w:after="120" w:line="276" w:lineRule="auto"/>
              <w:ind w:firstLine="709"/>
              <w:jc w:val="both"/>
              <w:rPr>
                <w:rFonts w:ascii="Verdana" w:eastAsia="Calibri" w:hAnsi="Verdana" w:cs="Arial"/>
              </w:rPr>
            </w:pPr>
            <w:r w:rsidRPr="00D8463A">
              <w:rPr>
                <w:rFonts w:ascii="Verdana" w:eastAsia="Calibri" w:hAnsi="Verdana" w:cs="Arial"/>
              </w:rPr>
              <w:t xml:space="preserve">De esta manera, la regla general frente a la aplicación del documento base es 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 4 de la Resolución No. 465 de 2024. Por tanto, si el objeto contractual incluye obras, bienes o servicios ajenos a la obra pública de infraestructura de transporte, de </w:t>
            </w:r>
            <w:r w:rsidRPr="00D8463A">
              <w:rPr>
                <w:rFonts w:ascii="Verdana" w:eastAsia="Calibri" w:hAnsi="Verdana" w:cs="Arial"/>
              </w:rPr>
              <w:lastRenderedPageBreak/>
              <w:t>allí solo se deriva que podrá incluirse la experiencia adicional que se considere conveniente, atendiendo a las reglas explicadas con anterioridad.</w:t>
            </w:r>
          </w:p>
          <w:p w14:paraId="398C5E21" w14:textId="77777777" w:rsidR="003C2FEE" w:rsidRPr="00D8463A" w:rsidRDefault="003C2FEE" w:rsidP="00D17264">
            <w:pPr>
              <w:snapToGrid w:val="0"/>
              <w:spacing w:after="120" w:line="276" w:lineRule="auto"/>
              <w:ind w:firstLine="709"/>
              <w:jc w:val="both"/>
              <w:rPr>
                <w:rFonts w:ascii="Verdana" w:eastAsia="Calibri" w:hAnsi="Verdana" w:cs="Arial"/>
              </w:rPr>
            </w:pPr>
            <w:r w:rsidRPr="00D8463A">
              <w:rPr>
                <w:rFonts w:ascii="Verdana" w:eastAsia="Calibri" w:hAnsi="Verdana" w:cs="Arial"/>
              </w:rPr>
              <w:t>Cuando se pretenda ejecutar una de las actividades establecidas en la “Matriz 1 – Experiencia” y adicionalmente se requiera contratar otro tipo de obras, bienes y servicios adicionales a la obra pública de infraestructura de transporte, los documentos tipo adoptados mediante la Resolución 465 de 2024 son obligatorios.</w:t>
            </w:r>
          </w:p>
          <w:p w14:paraId="5903EC6E" w14:textId="77777777" w:rsidR="003C2FEE" w:rsidRDefault="003C2FEE" w:rsidP="00D17264">
            <w:pPr>
              <w:spacing w:line="276" w:lineRule="auto"/>
              <w:jc w:val="both"/>
              <w:rPr>
                <w:rFonts w:ascii="Verdana" w:hAnsi="Verdana" w:cs="Arial"/>
                <w:i/>
                <w:iCs/>
                <w:color w:val="000000" w:themeColor="text1"/>
              </w:rPr>
            </w:pPr>
            <w:proofErr w:type="spellStart"/>
            <w:r>
              <w:rPr>
                <w:rFonts w:ascii="Verdana" w:eastAsia="Calibri" w:hAnsi="Verdana" w:cs="Arial"/>
              </w:rPr>
              <w:t>ii</w:t>
            </w:r>
            <w:proofErr w:type="spellEnd"/>
            <w:r>
              <w:rPr>
                <w:rFonts w:ascii="Verdana" w:eastAsia="Calibri" w:hAnsi="Verdana" w:cs="Arial"/>
              </w:rPr>
              <w:t xml:space="preserve">) </w:t>
            </w:r>
            <w:r>
              <w:rPr>
                <w:rFonts w:ascii="Verdana" w:eastAsia="Calibri" w:hAnsi="Verdana" w:cs="Arial"/>
                <w:lang w:val="es-MX"/>
              </w:rPr>
              <w:t xml:space="preserve">El </w:t>
            </w:r>
            <w:r w:rsidRPr="00F7656B">
              <w:rPr>
                <w:rFonts w:ascii="Verdana" w:eastAsia="Calibri" w:hAnsi="Verdana" w:cs="Arial"/>
                <w:lang w:val="es-MX"/>
              </w:rPr>
              <w:t>numeral “2.6 audiencia efectiva de adjudicación” contenido en el documento base del documento tipo de licitación de obra pública de infraestructura de transporte – versión 4</w:t>
            </w:r>
            <w:r>
              <w:rPr>
                <w:rFonts w:ascii="Verdana" w:eastAsia="Calibri" w:hAnsi="Verdana" w:cs="Arial"/>
                <w:lang w:val="es-MX"/>
              </w:rPr>
              <w:t xml:space="preserve">, en el </w:t>
            </w:r>
            <w:r w:rsidRPr="00F7656B">
              <w:rPr>
                <w:rFonts w:ascii="Verdana" w:hAnsi="Verdana" w:cs="Arial"/>
              </w:rPr>
              <w:t xml:space="preserve">primer inciso </w:t>
            </w:r>
            <w:r>
              <w:rPr>
                <w:rFonts w:ascii="Verdana" w:hAnsi="Verdana" w:cs="Arial"/>
              </w:rPr>
              <w:t xml:space="preserve">dispone </w:t>
            </w:r>
            <w:r w:rsidRPr="00F7656B">
              <w:rPr>
                <w:rFonts w:ascii="Verdana" w:eastAsia="Calibri" w:hAnsi="Verdana" w:cs="Arial"/>
                <w:lang w:val="es-MX"/>
              </w:rPr>
              <w:t xml:space="preserve">que la entidad deberá instalar y desarrollar la audiencia efectiva de adjudicación en la fecha indicada en el Anexo 2 – Cronograma, sin perjuicio de la utilización de los medios virtuales. Sobre este último aspecto a criterio de esta Agencia la expresión “sin perjuicio de la utilización de los medios virtuales” debe entenderse como la posibilidad para la entidad de realizar la audiencia efectiva de adjudicación por medios electrónicos, </w:t>
            </w:r>
            <w:r w:rsidRPr="00F7656B">
              <w:rPr>
                <w:rFonts w:ascii="Verdana" w:hAnsi="Verdana" w:cs="Arial"/>
                <w:color w:val="000000" w:themeColor="text1"/>
              </w:rPr>
              <w:t xml:space="preserve">es decir, utilizando los sistemas de información digitales que favorecen la tele-presencia, de modo que se permita una interacción simultánea entre las personas que quieran estar presentes y las entidades estatales. </w:t>
            </w:r>
            <w:r w:rsidRPr="00DD6D27">
              <w:rPr>
                <w:rFonts w:ascii="Verdana" w:hAnsi="Verdana" w:cs="Arial"/>
                <w:i/>
                <w:iCs/>
                <w:color w:val="000000" w:themeColor="text1"/>
              </w:rPr>
              <w:t xml:space="preserve">Esta posibilidad, se encuentra abierta para la entidad independientemente que se encuentre adelantando el proceso de contratación por el SECOP I o II. </w:t>
            </w:r>
          </w:p>
          <w:p w14:paraId="06922D01" w14:textId="77777777" w:rsidR="003C2FEE" w:rsidRDefault="003C2FEE" w:rsidP="00D17264">
            <w:pPr>
              <w:spacing w:line="276" w:lineRule="auto"/>
              <w:jc w:val="both"/>
              <w:rPr>
                <w:rFonts w:ascii="Verdana" w:hAnsi="Verdana" w:cs="Arial"/>
                <w:i/>
                <w:iCs/>
                <w:color w:val="000000" w:themeColor="text1"/>
              </w:rPr>
            </w:pPr>
          </w:p>
          <w:p w14:paraId="30D52833" w14:textId="77777777" w:rsidR="003C2FEE" w:rsidRPr="003E4109" w:rsidRDefault="003C2FEE" w:rsidP="00D17264">
            <w:pPr>
              <w:spacing w:after="120" w:line="276" w:lineRule="auto"/>
              <w:jc w:val="both"/>
              <w:textAlignment w:val="baseline"/>
              <w:rPr>
                <w:rFonts w:ascii="Verdana" w:eastAsia="Times New Roman" w:hAnsi="Verdana" w:cs="Arial"/>
                <w:lang w:eastAsia="es-CO"/>
              </w:rPr>
            </w:pPr>
            <w:proofErr w:type="spellStart"/>
            <w:r w:rsidRPr="00DD6D27">
              <w:rPr>
                <w:rFonts w:ascii="Verdana" w:hAnsi="Verdana" w:cs="Arial"/>
                <w:color w:val="000000" w:themeColor="text1"/>
              </w:rPr>
              <w:t>iii</w:t>
            </w:r>
            <w:proofErr w:type="spellEnd"/>
            <w:r w:rsidRPr="00DD6D27">
              <w:rPr>
                <w:rFonts w:ascii="Verdana" w:hAnsi="Verdana" w:cs="Arial"/>
                <w:color w:val="000000" w:themeColor="text1"/>
              </w:rPr>
              <w:t xml:space="preserve">) </w:t>
            </w:r>
            <w:r>
              <w:rPr>
                <w:rFonts w:ascii="Verdana" w:hAnsi="Verdana" w:cs="Arial"/>
                <w:color w:val="000000" w:themeColor="text1"/>
              </w:rPr>
              <w:t>E</w:t>
            </w:r>
            <w:r w:rsidRPr="003E4109">
              <w:rPr>
                <w:rFonts w:ascii="Verdana" w:eastAsia="Times New Roman" w:hAnsi="Verdana" w:cs="Arial"/>
                <w:lang w:eastAsia="es-CO"/>
              </w:rPr>
              <w:t>l numeral 4.1.4 establece que el día de la audiencia efectiva de adjudicación, la entidad responderá y resolverá las observaciones presentadas al informe de evaluación y dará apertura de las ofertas económicas contenidas en los sobres No. 2. Además, “(…) verificará, si procede, determinará las correcciones aritméticas y solicitará la justificación de precios artificialmente bajos a que haya lugar, si es necesario, la entidad se pronunciará sobre las ofertas requeridas en los términos del numeral 4.1.3”.</w:t>
            </w:r>
          </w:p>
          <w:p w14:paraId="7C740623" w14:textId="77777777" w:rsidR="003C2FEE" w:rsidRPr="003E4109" w:rsidRDefault="003C2FEE" w:rsidP="00D17264">
            <w:pPr>
              <w:spacing w:line="276" w:lineRule="auto"/>
              <w:ind w:firstLine="708"/>
              <w:jc w:val="both"/>
              <w:textAlignment w:val="baseline"/>
              <w:rPr>
                <w:rFonts w:ascii="Verdana" w:eastAsia="Times New Roman" w:hAnsi="Verdana" w:cs="Arial"/>
                <w:lang w:eastAsia="es-CO"/>
              </w:rPr>
            </w:pPr>
            <w:r w:rsidRPr="003E4109">
              <w:rPr>
                <w:rFonts w:ascii="Verdana" w:eastAsia="Times New Roman" w:hAnsi="Verdana" w:cs="Arial"/>
                <w:lang w:eastAsia="es-CO"/>
              </w:rPr>
              <w:t>Agotado el procedimiento anterior, la entidad definirá el método de ponderación de las propuestas de acuerdo con las siguientes reglas:</w:t>
            </w:r>
          </w:p>
          <w:p w14:paraId="0A1C7636" w14:textId="77777777" w:rsidR="003C2FEE" w:rsidRPr="004B408D" w:rsidRDefault="003C2FEE" w:rsidP="00D17264">
            <w:pPr>
              <w:pStyle w:val="Prrafodelista"/>
              <w:rPr>
                <w:rFonts w:ascii="Verdana" w:eastAsia="Times New Roman" w:hAnsi="Verdana" w:cs="Arial"/>
                <w:lang w:eastAsia="es-CO"/>
              </w:rPr>
            </w:pPr>
          </w:p>
          <w:p w14:paraId="00EFB516" w14:textId="77777777" w:rsidR="003C2FEE" w:rsidRPr="00E87B7A" w:rsidRDefault="003C2FEE" w:rsidP="003C2FEE">
            <w:pPr>
              <w:pStyle w:val="Prrafodelista"/>
              <w:numPr>
                <w:ilvl w:val="0"/>
                <w:numId w:val="20"/>
              </w:numPr>
              <w:spacing w:line="276" w:lineRule="auto"/>
              <w:jc w:val="both"/>
              <w:textAlignment w:val="baseline"/>
              <w:rPr>
                <w:rFonts w:ascii="Verdana" w:eastAsia="Times New Roman" w:hAnsi="Verdana" w:cs="Arial"/>
                <w:lang w:eastAsia="es-CO"/>
              </w:rPr>
            </w:pPr>
            <w:r w:rsidRPr="00E87B7A">
              <w:rPr>
                <w:rFonts w:ascii="Verdana" w:hAnsi="Verdana"/>
              </w:rPr>
              <w:t>Deberá pronunciarse sobre las propuestas que han sido rechazadas y las que se encuentran validas.</w:t>
            </w:r>
          </w:p>
          <w:p w14:paraId="0702BAB4" w14:textId="77777777" w:rsidR="003C2FEE" w:rsidRPr="00E87B7A" w:rsidRDefault="003C2FEE" w:rsidP="003C2FEE">
            <w:pPr>
              <w:pStyle w:val="Prrafodelista"/>
              <w:numPr>
                <w:ilvl w:val="0"/>
                <w:numId w:val="20"/>
              </w:numPr>
              <w:spacing w:line="276" w:lineRule="auto"/>
              <w:jc w:val="both"/>
              <w:textAlignment w:val="baseline"/>
              <w:rPr>
                <w:rFonts w:ascii="Verdana" w:eastAsia="Times New Roman" w:hAnsi="Verdana" w:cs="Arial"/>
                <w:lang w:eastAsia="es-CO"/>
              </w:rPr>
            </w:pPr>
            <w:r w:rsidRPr="00E87B7A">
              <w:rPr>
                <w:rFonts w:ascii="Verdana" w:hAnsi="Verdana"/>
              </w:rPr>
              <w:t>Si este pronunciamiento, se realiza hasta las 3:00 pm, la entidad tomará la TRM que rija para el día hábil siguiente.</w:t>
            </w:r>
          </w:p>
          <w:p w14:paraId="0EC1373A" w14:textId="77777777" w:rsidR="003C2FEE" w:rsidRPr="00E87B7A" w:rsidRDefault="003C2FEE" w:rsidP="003C2FEE">
            <w:pPr>
              <w:pStyle w:val="Prrafodelista"/>
              <w:numPr>
                <w:ilvl w:val="0"/>
                <w:numId w:val="20"/>
              </w:numPr>
              <w:jc w:val="both"/>
              <w:rPr>
                <w:rFonts w:ascii="Verdana" w:hAnsi="Verdana"/>
                <w:lang w:val="es-MX"/>
              </w:rPr>
            </w:pPr>
            <w:r w:rsidRPr="00E87B7A">
              <w:rPr>
                <w:rFonts w:ascii="Verdana" w:hAnsi="Verdana"/>
              </w:rPr>
              <w:lastRenderedPageBreak/>
              <w:t>Si el pronunciamiento se da después de las 3:00 pm, la entidad tomará la TRM que rija para el segundo día hábil siguiente.</w:t>
            </w:r>
          </w:p>
          <w:p w14:paraId="25707504" w14:textId="77777777" w:rsidR="003C2FEE" w:rsidRDefault="003C2FEE" w:rsidP="00D17264">
            <w:pPr>
              <w:pStyle w:val="Prrafodelista"/>
              <w:ind w:left="1080"/>
              <w:jc w:val="both"/>
              <w:rPr>
                <w:lang w:val="es-MX"/>
              </w:rPr>
            </w:pPr>
          </w:p>
          <w:p w14:paraId="6645DA7A" w14:textId="77777777" w:rsidR="003C2FEE" w:rsidRPr="003E4109" w:rsidRDefault="003C2FEE" w:rsidP="00D17264">
            <w:pPr>
              <w:spacing w:after="120" w:line="276" w:lineRule="auto"/>
              <w:ind w:firstLine="708"/>
              <w:jc w:val="both"/>
              <w:rPr>
                <w:rFonts w:ascii="Verdana" w:hAnsi="Verdana" w:cs="Arial"/>
              </w:rPr>
            </w:pPr>
            <w:r w:rsidRPr="003E4109">
              <w:rPr>
                <w:rFonts w:ascii="Verdana" w:eastAsia="Calibri" w:hAnsi="Verdana" w:cs="Arial"/>
              </w:rPr>
              <w:t xml:space="preserve">En este sentido, el numeral 4.1.4 al regular el mecanismo de escogencia del método de ponderación, dispone las reglas que debe seguir la entidad para determinarlo. Lo cual, inicia con el pronunciamiento de la entidad sobre las propuestas u ofertas económicas rechazadas y las válidas. </w:t>
            </w:r>
          </w:p>
          <w:p w14:paraId="20DB6F79" w14:textId="77777777" w:rsidR="003C2FEE" w:rsidRPr="002C3036" w:rsidRDefault="003C2FEE" w:rsidP="00D17264">
            <w:pPr>
              <w:spacing w:after="120" w:line="276" w:lineRule="auto"/>
              <w:ind w:firstLine="708"/>
              <w:jc w:val="both"/>
              <w:rPr>
                <w:rFonts w:ascii="Verdana" w:hAnsi="Verdana" w:cs="Arial"/>
              </w:rPr>
            </w:pPr>
            <w:r w:rsidRPr="003E4109">
              <w:rPr>
                <w:rFonts w:ascii="Verdana" w:eastAsia="Calibri" w:hAnsi="Verdana" w:cs="Arial"/>
              </w:rPr>
              <w:t>Ahora bien, si este pronunciamiento se realiza antes de las 3:00 p.m., la regla contenida en el numeral 4.1.4 establece que se tomará la TRM vigente para el día hábil siguiente. De este modo, fijar una hora límite para el pronunciamiento garantiza que las entidades estatales no puedan conocer anticipadamente la TRM que determinará el método de ponderación, ya que esta es publicada por la Superfinanciera en un momento posterior al pronunciamiento, usualmente entre las 4:00 p.m. y las 6:00 p.m.</w:t>
            </w:r>
          </w:p>
          <w:p w14:paraId="1D503B78" w14:textId="77777777" w:rsidR="003C2FEE" w:rsidRPr="003E4109" w:rsidRDefault="003C2FEE" w:rsidP="00D17264">
            <w:pPr>
              <w:spacing w:after="120" w:line="276" w:lineRule="auto"/>
              <w:ind w:firstLine="708"/>
              <w:jc w:val="both"/>
              <w:rPr>
                <w:rFonts w:ascii="Verdana" w:hAnsi="Verdana" w:cs="Arial"/>
              </w:rPr>
            </w:pPr>
            <w:r w:rsidRPr="003E4109">
              <w:rPr>
                <w:rFonts w:ascii="Verdana" w:eastAsia="Calibri" w:hAnsi="Verdana" w:cs="Arial"/>
              </w:rPr>
              <w:t>No obstante, si el pronunciamiento de la entidad sobre las propuestas rechazadas y válidas se realiza después de las 3:00 p.m., la regla establece que se tomará la TRM vigente para el segundo día hábil siguiente. Esta disposición busca evitar que la entidad conozca previamente la TRM que determinará el método de ponderación de las ofertas, dado que la Superintendencia la publicaría antes del pronunciamiento de la entidad.</w:t>
            </w:r>
          </w:p>
          <w:p w14:paraId="2A061B26" w14:textId="77777777" w:rsidR="003C2FEE" w:rsidRPr="007524E5" w:rsidRDefault="003C2FEE" w:rsidP="00D17264">
            <w:pPr>
              <w:spacing w:after="120" w:line="276" w:lineRule="auto"/>
              <w:ind w:firstLine="708"/>
              <w:jc w:val="both"/>
              <w:textAlignment w:val="baseline"/>
              <w:rPr>
                <w:rFonts w:ascii="Verdana" w:eastAsia="Times New Roman" w:hAnsi="Verdana" w:cs="Arial"/>
                <w:lang w:eastAsia="es-CO"/>
              </w:rPr>
            </w:pPr>
            <w:r w:rsidRPr="00B32A92">
              <w:rPr>
                <w:rFonts w:ascii="Verdana" w:eastAsia="Times New Roman" w:hAnsi="Verdana" w:cs="Arial"/>
                <w:lang w:eastAsia="es-CO"/>
              </w:rPr>
              <w:t>Estos dos eventos, pueden evidenciarse en el siguiente ejemplo: en el primer supuesto, si la entidad se pronuncia sobre las propuestas el día lunes antes de las 3:00 pm la TRM será la que públique la Superintendencia para el día martes. En el segundo supuesto, sí el pronunciamiento de la entidad sobre las propuestas se da el día lunes después de las 3:00 pm, se aplicará la TRM que publique la Superintendencia para el día miércoles.</w:t>
            </w:r>
            <w:r>
              <w:rPr>
                <w:rFonts w:ascii="Verdana" w:eastAsia="Times New Roman" w:hAnsi="Verdana" w:cs="Arial"/>
                <w:lang w:eastAsia="es-CO"/>
              </w:rPr>
              <w:t xml:space="preserve"> </w:t>
            </w:r>
          </w:p>
        </w:tc>
      </w:tr>
    </w:tbl>
    <w:p w14:paraId="55895145" w14:textId="77777777" w:rsidR="003C2FEE" w:rsidRPr="00D8463A" w:rsidRDefault="003C2FEE" w:rsidP="003C2FEE">
      <w:pPr>
        <w:tabs>
          <w:tab w:val="left" w:pos="142"/>
          <w:tab w:val="left" w:pos="284"/>
        </w:tabs>
        <w:spacing w:after="0" w:line="276" w:lineRule="auto"/>
        <w:jc w:val="both"/>
        <w:rPr>
          <w:rFonts w:ascii="Verdana" w:eastAsia="Century Gothic" w:hAnsi="Verdana" w:cs="Century Gothic"/>
          <w:b/>
          <w:bCs/>
          <w:lang w:val="es-ES"/>
        </w:rPr>
      </w:pPr>
    </w:p>
    <w:p w14:paraId="0FFFAA0C" w14:textId="7132ABB0" w:rsidR="003C2FEE" w:rsidRPr="009F318A" w:rsidRDefault="009F318A" w:rsidP="009F318A">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3. </w:t>
      </w:r>
      <w:r w:rsidR="003C2FEE" w:rsidRPr="009F318A">
        <w:rPr>
          <w:rFonts w:ascii="Verdana" w:eastAsia="Century Gothic" w:hAnsi="Verdana" w:cs="Century Gothic"/>
          <w:b/>
          <w:bCs/>
        </w:rPr>
        <w:t>Razones de la respuesta:</w:t>
      </w:r>
    </w:p>
    <w:p w14:paraId="5E2B4A00" w14:textId="77777777" w:rsidR="003C2FEE" w:rsidRPr="00D8463A" w:rsidRDefault="003C2FEE" w:rsidP="003C2FEE">
      <w:pPr>
        <w:spacing w:after="0" w:line="276" w:lineRule="auto"/>
        <w:jc w:val="both"/>
        <w:rPr>
          <w:rFonts w:ascii="Verdana" w:eastAsia="Calibri" w:hAnsi="Verdana" w:cs="Arial"/>
          <w:lang w:val="es-ES"/>
        </w:rPr>
      </w:pPr>
    </w:p>
    <w:p w14:paraId="3DC2D251" w14:textId="77777777" w:rsidR="003C2FEE" w:rsidRPr="00D8463A" w:rsidRDefault="003C2FEE" w:rsidP="003C2FEE">
      <w:pPr>
        <w:spacing w:after="0" w:line="276" w:lineRule="auto"/>
        <w:jc w:val="both"/>
        <w:rPr>
          <w:rFonts w:ascii="Verdana" w:eastAsia="Calibri" w:hAnsi="Verdana" w:cs="Arial"/>
          <w:lang w:val="es-ES"/>
        </w:rPr>
      </w:pPr>
      <w:r w:rsidRPr="00D8463A">
        <w:rPr>
          <w:rFonts w:ascii="Verdana" w:eastAsia="Calibri" w:hAnsi="Verdana" w:cs="Arial"/>
          <w:lang w:val="es-ES"/>
        </w:rPr>
        <w:t xml:space="preserve">Lo anterior se sustenta en las siguientes consideraciones: </w:t>
      </w:r>
    </w:p>
    <w:p w14:paraId="760B51FA" w14:textId="77777777" w:rsidR="003C2FEE" w:rsidRPr="00D8463A" w:rsidRDefault="003C2FEE" w:rsidP="003C2FEE">
      <w:pPr>
        <w:spacing w:after="0" w:line="276" w:lineRule="auto"/>
        <w:jc w:val="both"/>
        <w:rPr>
          <w:rFonts w:ascii="Verdana" w:eastAsia="Calibri" w:hAnsi="Verdana" w:cs="Arial"/>
          <w:lang w:val="es-ES"/>
        </w:rPr>
      </w:pPr>
    </w:p>
    <w:p w14:paraId="2B54DAE2" w14:textId="77777777" w:rsidR="003C2FEE" w:rsidRPr="00D8463A" w:rsidRDefault="003C2FEE" w:rsidP="003C2FEE">
      <w:pPr>
        <w:spacing w:after="120" w:line="240" w:lineRule="auto"/>
        <w:jc w:val="both"/>
        <w:rPr>
          <w:rFonts w:ascii="Verdana" w:eastAsia="Calibri" w:hAnsi="Verdana" w:cs="Arial"/>
          <w:lang w:val="es-ES_tradnl" w:eastAsia="es-ES"/>
        </w:rPr>
      </w:pPr>
      <w:bookmarkStart w:id="1" w:name="_Hlk113022941"/>
      <w:r>
        <w:rPr>
          <w:rFonts w:ascii="Verdana" w:eastAsia="Calibri" w:hAnsi="Verdana" w:cs="Arial"/>
          <w:lang w:val="es-ES_tradnl" w:eastAsia="es-ES"/>
        </w:rPr>
        <w:lastRenderedPageBreak/>
        <w:t xml:space="preserve">i) </w:t>
      </w:r>
      <w:r w:rsidRPr="00D8463A">
        <w:rPr>
          <w:rFonts w:ascii="Verdana" w:eastAsia="Calibri" w:hAnsi="Verdana" w:cs="Arial"/>
          <w:lang w:val="es-ES_tradnl" w:eastAsia="es-ES"/>
        </w:rPr>
        <w:t xml:space="preserve">La </w:t>
      </w:r>
      <w:bookmarkStart w:id="2" w:name="_Hlk176876754"/>
      <w:r w:rsidRPr="00D8463A">
        <w:rPr>
          <w:rFonts w:ascii="Verdana" w:eastAsia="Calibri" w:hAnsi="Verdana" w:cs="Arial"/>
          <w:lang w:val="es-ES_tradnl" w:eastAsia="es-ES"/>
        </w:rPr>
        <w:t>Ley 2022 de 2020, modificó el contenido del parágrafo 7 del artículo 2 de la Ley 1150 de 2007, que había sido adicionado por la Ley 1882 de 2018</w:t>
      </w:r>
      <w:bookmarkEnd w:id="2"/>
      <w:r w:rsidRPr="00D8463A">
        <w:rPr>
          <w:rFonts w:ascii="Verdana" w:eastAsia="Aptos" w:hAnsi="Verdana" w:cs="Times New Roman"/>
          <w:vertAlign w:val="superscript"/>
          <w:lang w:val="es-ES_tradnl" w:eastAsia="es-ES"/>
        </w:rPr>
        <w:footnoteReference w:id="2"/>
      </w:r>
      <w:r w:rsidRPr="00D8463A">
        <w:rPr>
          <w:rFonts w:ascii="Verdana" w:eastAsia="Calibri" w:hAnsi="Verdana" w:cs="Arial"/>
          <w:lang w:val="es-ES_tradnl" w:eastAsia="es-ES"/>
        </w:rPr>
        <w:t xml:space="preserve">. Con esta modificación, si bien se mantuvo el mandato de aplicación obligatoria de los </w:t>
      </w:r>
      <w:r>
        <w:rPr>
          <w:rFonts w:ascii="Verdana" w:eastAsia="Calibri" w:hAnsi="Verdana" w:cs="Arial"/>
          <w:lang w:val="es-ES_tradnl" w:eastAsia="es-ES"/>
        </w:rPr>
        <w:t>d</w:t>
      </w:r>
      <w:r w:rsidRPr="00D8463A">
        <w:rPr>
          <w:rFonts w:ascii="Verdana" w:eastAsia="Calibri" w:hAnsi="Verdana" w:cs="Arial"/>
          <w:lang w:val="es-ES_tradnl" w:eastAsia="es-ES"/>
        </w:rPr>
        <w:t xml:space="preserve">ocumentos </w:t>
      </w:r>
      <w:r>
        <w:rPr>
          <w:rFonts w:ascii="Verdana" w:eastAsia="Calibri" w:hAnsi="Verdana" w:cs="Arial"/>
          <w:lang w:val="es-ES_tradnl" w:eastAsia="es-ES"/>
        </w:rPr>
        <w:t>t</w:t>
      </w:r>
      <w:r w:rsidRPr="00D8463A">
        <w:rPr>
          <w:rFonts w:ascii="Verdana" w:eastAsia="Calibri" w:hAnsi="Verdana" w:cs="Arial"/>
          <w:lang w:val="es-ES_tradnl" w:eastAsia="es-ES"/>
        </w:rPr>
        <w:t xml:space="preserve">ipo por parte de las entidades sometidas al </w:t>
      </w:r>
      <w:r w:rsidRPr="00D8463A">
        <w:rPr>
          <w:rFonts w:ascii="Verdana" w:eastAsia="Calibri" w:hAnsi="Verdana" w:cs="Arial"/>
          <w:bCs/>
          <w:lang w:val="es-ES_tradnl" w:eastAsia="es-ES_tradnl"/>
        </w:rPr>
        <w:t>EGCAP</w:t>
      </w:r>
      <w:r w:rsidRPr="00D8463A">
        <w:rPr>
          <w:rFonts w:ascii="Verdana" w:eastAsia="Calibri" w:hAnsi="Verdana" w:cs="Arial"/>
          <w:lang w:val="es-ES_tradnl" w:eastAsia="es-ES"/>
        </w:rPr>
        <w:t xml:space="preserve">, se atribuyó a la </w:t>
      </w:r>
      <w:r w:rsidRPr="00D8463A">
        <w:rPr>
          <w:rFonts w:ascii="Verdana" w:eastAsia="Calibri" w:hAnsi="Verdana" w:cs="Arial"/>
          <w:lang w:val="es-ES_tradnl" w:eastAsia="es-ES_tradnl"/>
        </w:rPr>
        <w:t xml:space="preserve">Agencia Nacional de Contratación Pública – Colombia Compra Eficiente la competencia para su expedición. </w:t>
      </w:r>
    </w:p>
    <w:p w14:paraId="715DDBB4" w14:textId="77777777" w:rsidR="003C2FEE" w:rsidRPr="00B952CE" w:rsidRDefault="003C2FEE" w:rsidP="003C2FEE">
      <w:pPr>
        <w:spacing w:after="120" w:line="240" w:lineRule="auto"/>
        <w:ind w:firstLine="709"/>
        <w:jc w:val="both"/>
        <w:rPr>
          <w:rFonts w:ascii="Verdana" w:eastAsia="Aptos" w:hAnsi="Verdana" w:cs="Arial"/>
          <w:lang w:val="es-ES"/>
        </w:rPr>
      </w:pPr>
      <w:r w:rsidRPr="00D8463A">
        <w:rPr>
          <w:rFonts w:ascii="Verdana" w:eastAsia="Aptos" w:hAnsi="Verdana" w:cs="Arial"/>
          <w:lang w:val="es-ES"/>
        </w:rPr>
        <w:t xml:space="preserve">Con sustento en esta competencia, esta </w:t>
      </w:r>
      <w:r>
        <w:rPr>
          <w:rFonts w:ascii="Verdana" w:eastAsia="Aptos" w:hAnsi="Verdana" w:cs="Arial"/>
          <w:lang w:val="es-ES"/>
        </w:rPr>
        <w:t>a</w:t>
      </w:r>
      <w:r w:rsidRPr="00D8463A">
        <w:rPr>
          <w:rFonts w:ascii="Verdana" w:eastAsia="Aptos" w:hAnsi="Verdana" w:cs="Arial"/>
          <w:lang w:val="es-ES"/>
        </w:rPr>
        <w:t>gencia exp</w:t>
      </w:r>
      <w:r>
        <w:rPr>
          <w:rFonts w:ascii="Verdana" w:eastAsia="Aptos" w:hAnsi="Verdana" w:cs="Arial"/>
          <w:lang w:val="es-ES"/>
        </w:rPr>
        <w:t>i</w:t>
      </w:r>
      <w:r w:rsidRPr="00D8463A">
        <w:rPr>
          <w:rFonts w:ascii="Verdana" w:eastAsia="Aptos" w:hAnsi="Verdana" w:cs="Arial"/>
          <w:lang w:val="es-ES"/>
        </w:rPr>
        <w:t>di</w:t>
      </w:r>
      <w:r>
        <w:rPr>
          <w:rFonts w:ascii="Verdana" w:eastAsia="Aptos" w:hAnsi="Verdana" w:cs="Arial"/>
          <w:lang w:val="es-ES"/>
        </w:rPr>
        <w:t>ó</w:t>
      </w:r>
      <w:r w:rsidRPr="00D8463A">
        <w:rPr>
          <w:rFonts w:ascii="Verdana" w:eastAsia="Aptos" w:hAnsi="Verdana" w:cs="Arial"/>
          <w:lang w:val="es-ES"/>
        </w:rPr>
        <w:t xml:space="preserve"> diversos grupos de </w:t>
      </w:r>
      <w:r>
        <w:rPr>
          <w:rFonts w:ascii="Verdana" w:eastAsia="Aptos" w:hAnsi="Verdana" w:cs="Arial"/>
          <w:lang w:val="es-ES"/>
        </w:rPr>
        <w:t>d</w:t>
      </w:r>
      <w:r w:rsidRPr="00D8463A">
        <w:rPr>
          <w:rFonts w:ascii="Verdana" w:eastAsia="Aptos" w:hAnsi="Verdana" w:cs="Arial"/>
          <w:lang w:val="es-ES"/>
        </w:rPr>
        <w:t xml:space="preserve">ocumentos </w:t>
      </w:r>
      <w:r>
        <w:rPr>
          <w:rFonts w:ascii="Verdana" w:eastAsia="Aptos" w:hAnsi="Verdana" w:cs="Arial"/>
          <w:lang w:val="es-ES"/>
        </w:rPr>
        <w:t>t</w:t>
      </w:r>
      <w:r w:rsidRPr="00D8463A">
        <w:rPr>
          <w:rFonts w:ascii="Verdana" w:eastAsia="Aptos" w:hAnsi="Verdana" w:cs="Arial"/>
          <w:lang w:val="es-ES"/>
        </w:rPr>
        <w:t xml:space="preserve">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w:t>
      </w:r>
      <w:r>
        <w:rPr>
          <w:rFonts w:ascii="Verdana" w:eastAsia="Aptos" w:hAnsi="Verdana" w:cs="Arial"/>
          <w:lang w:val="es-ES"/>
        </w:rPr>
        <w:t>d</w:t>
      </w:r>
      <w:r w:rsidRPr="00D8463A">
        <w:rPr>
          <w:rFonts w:ascii="Verdana" w:eastAsia="Aptos" w:hAnsi="Verdana" w:cs="Arial"/>
          <w:lang w:val="es-ES"/>
        </w:rPr>
        <w:t xml:space="preserve">ocumentos </w:t>
      </w:r>
      <w:r>
        <w:rPr>
          <w:rFonts w:ascii="Verdana" w:eastAsia="Aptos" w:hAnsi="Verdana" w:cs="Arial"/>
          <w:lang w:val="es-ES"/>
        </w:rPr>
        <w:t>t</w:t>
      </w:r>
      <w:r w:rsidRPr="00D8463A">
        <w:rPr>
          <w:rFonts w:ascii="Verdana" w:eastAsia="Aptos" w:hAnsi="Verdana" w:cs="Arial"/>
          <w:lang w:val="es-ES"/>
        </w:rPr>
        <w:t xml:space="preserve">ipo se han expedido para las modalidades de selección </w:t>
      </w:r>
      <w:r w:rsidRPr="00D8463A">
        <w:rPr>
          <w:rFonts w:ascii="Verdana" w:eastAsia="Aptos" w:hAnsi="Verdana" w:cs="Arial"/>
          <w:lang w:val="es-ES"/>
        </w:rPr>
        <w:lastRenderedPageBreak/>
        <w:t>de licitación pública, selección abreviada de menor cuantía, mínima cuantía, concurso de méritos y contratación directa.</w:t>
      </w:r>
    </w:p>
    <w:p w14:paraId="38C26CCC"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En ejercicio de su competencia, esta agencia estableció un procedimiento para recibir y revisar los comentarios de todos los partícipes del sistema de la compra pública en el primero y parte del segundo semestre del año 2024. Como consecuencia de ello, se expidieron los diferentes actos administrativos por medio de los cuales se adoptaron los documentos tipo del sector de infraestructura de transporte y en simultaneo se publicaron las respuestas a todas las observaciones y/o comentarios realizados a los proyectos de documentos tipo.</w:t>
      </w:r>
    </w:p>
    <w:p w14:paraId="15D490E0"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sidRPr="00D8463A">
        <w:rPr>
          <w:rFonts w:ascii="Verdana" w:eastAsia="Aptos" w:hAnsi="Verdana" w:cs="Arial"/>
          <w:lang w:val="es-ES"/>
        </w:rPr>
        <w:t xml:space="preserve">Los </w:t>
      </w:r>
      <w:r>
        <w:rPr>
          <w:rFonts w:ascii="Verdana" w:eastAsia="Aptos" w:hAnsi="Verdana" w:cs="Arial"/>
          <w:lang w:val="es-ES"/>
        </w:rPr>
        <w:t>d</w:t>
      </w:r>
      <w:r w:rsidRPr="00D8463A">
        <w:rPr>
          <w:rFonts w:ascii="Verdana" w:eastAsia="Aptos" w:hAnsi="Verdana" w:cs="Arial"/>
          <w:lang w:val="es-ES"/>
        </w:rPr>
        <w:t xml:space="preserve">ocumentos </w:t>
      </w:r>
      <w:r>
        <w:rPr>
          <w:rFonts w:ascii="Verdana" w:eastAsia="Aptos" w:hAnsi="Verdana" w:cs="Arial"/>
          <w:lang w:val="es-ES"/>
        </w:rPr>
        <w:t>t</w:t>
      </w:r>
      <w:r w:rsidRPr="00D8463A">
        <w:rPr>
          <w:rFonts w:ascii="Verdana" w:eastAsia="Aptos" w:hAnsi="Verdana" w:cs="Arial"/>
          <w:lang w:val="es-ES"/>
        </w:rPr>
        <w:t xml:space="preserve">ipo para la contratación de obra pública de infraestructura de transporte fueron modificados después de surtir el procedimiento interno establecido por esta agencia. En relación con los documentos tipo de licitación de obra pública de infraestructura de transporte, mediante la Resolución 465 del 10 de septiembre de 2024, se adoptó la </w:t>
      </w:r>
      <w:r w:rsidRPr="00D8463A">
        <w:rPr>
          <w:rFonts w:ascii="Verdana" w:eastAsia="Calibri" w:hAnsi="Verdana" w:cs="Arial"/>
          <w:kern w:val="2"/>
          <w14:ligatures w14:val="standardContextual"/>
        </w:rPr>
        <w:t xml:space="preserve">versión 4 de estos documentos y se derogó la Resolución 240 de 2020. </w:t>
      </w:r>
    </w:p>
    <w:p w14:paraId="16C68EC9" w14:textId="77777777" w:rsidR="003C2FEE" w:rsidRPr="00D8463A" w:rsidRDefault="003C2FEE" w:rsidP="003C2FEE">
      <w:pPr>
        <w:snapToGrid w:val="0"/>
        <w:spacing w:after="120" w:line="240" w:lineRule="auto"/>
        <w:ind w:firstLine="709"/>
        <w:jc w:val="both"/>
        <w:rPr>
          <w:rFonts w:ascii="Verdana" w:eastAsia="Aptos" w:hAnsi="Verdana" w:cs="Arial"/>
          <w:lang w:val="es-ES"/>
        </w:rPr>
      </w:pPr>
      <w:r w:rsidRPr="00D8463A">
        <w:rPr>
          <w:rFonts w:ascii="Verdana" w:eastAsia="Aptos" w:hAnsi="Verdana" w:cs="Arial"/>
          <w:lang w:val="es-ES"/>
        </w:rPr>
        <w:t>La parte introductoria del pliego de condiciones de los documentos tipo analizados dispone que estos se aplican a los procedimientos de selección de licitación de obra pública de infraestructura de transporte (versión 4), que correspondan a las actividades definidas en la “Matriz 1 – Experiencia”. En consecuencia, las actividades de infraestructura de transporte no contempladas en la Matriz 1 – Experiencia no tienen que aplicar los documentos tipo; sin perjuicio de lo previsto en el artículo 2.2.1.1.1.2.1 del Decreto 1082 de 2015 o la norma que la modifique, sustituya o complemente, además, de lo contenido en el artículo 4 de la Resolución 465 de 2024, relacionados con la posibilidad de exigir experiencia adicional en determinados supuestos</w:t>
      </w:r>
      <w:r w:rsidRPr="00D8463A">
        <w:rPr>
          <w:rFonts w:ascii="Verdana" w:eastAsia="Aptos" w:hAnsi="Verdana" w:cs="Times New Roman"/>
          <w:sz w:val="24"/>
          <w:szCs w:val="24"/>
          <w:vertAlign w:val="superscript"/>
          <w:lang w:val="es-ES"/>
        </w:rPr>
        <w:footnoteReference w:id="3"/>
      </w:r>
      <w:r w:rsidRPr="00D8463A">
        <w:rPr>
          <w:rFonts w:ascii="Verdana" w:eastAsia="Aptos" w:hAnsi="Verdana" w:cs="Arial"/>
          <w:lang w:val="es-ES"/>
        </w:rPr>
        <w:t>.</w:t>
      </w:r>
    </w:p>
    <w:p w14:paraId="5A606B57"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Pr>
          <w:rFonts w:ascii="Verdana" w:eastAsia="Calibri" w:hAnsi="Verdana" w:cs="Arial"/>
          <w:kern w:val="2"/>
          <w14:ligatures w14:val="standardContextual"/>
        </w:rPr>
        <w:t>En este sentido, e</w:t>
      </w:r>
      <w:r w:rsidRPr="00D8463A">
        <w:rPr>
          <w:rFonts w:ascii="Verdana" w:eastAsia="Calibri" w:hAnsi="Verdana" w:cs="Arial"/>
          <w:kern w:val="2"/>
          <w14:ligatures w14:val="standardContextual"/>
        </w:rPr>
        <w:t xml:space="preserve">l artículo 4 de la Resolución No. 465 del 10 de septiembre de 2024, dispone que la entidad puede solicitar experiencia adicional para evaluar la idoneidad del contratista en procesos de contratación de licitación de obra pública de infraestructura de transporte, que incluyen obras, bienes o servicios adicionales a la obra pública de infraestructura de transporte. Estos corresponden a necesidades no incluidas en el alcance de la obra pública de infraestructura de transporte, cuya ejecución se contempla en el mismo procedimiento contractual. Por ello, con fundamento en esta disposición, las entidades pueden requerir experiencia añadida cuando </w:t>
      </w:r>
      <w:r>
        <w:rPr>
          <w:rFonts w:ascii="Verdana" w:eastAsia="Calibri" w:hAnsi="Verdana" w:cs="Arial"/>
          <w:kern w:val="2"/>
          <w14:ligatures w14:val="standardContextual"/>
        </w:rPr>
        <w:t>la obra</w:t>
      </w:r>
      <w:r w:rsidRPr="00D8463A">
        <w:rPr>
          <w:rFonts w:ascii="Verdana" w:eastAsia="Calibri" w:hAnsi="Verdana" w:cs="Arial"/>
          <w:kern w:val="2"/>
          <w14:ligatures w14:val="standardContextual"/>
        </w:rPr>
        <w:t xml:space="preserve"> </w:t>
      </w:r>
      <w:r>
        <w:rPr>
          <w:rFonts w:ascii="Verdana" w:eastAsia="Calibri" w:hAnsi="Verdana" w:cs="Arial"/>
          <w:kern w:val="2"/>
          <w14:ligatures w14:val="standardContextual"/>
        </w:rPr>
        <w:t xml:space="preserve">bien </w:t>
      </w:r>
      <w:r w:rsidRPr="00D8463A">
        <w:rPr>
          <w:rFonts w:ascii="Verdana" w:eastAsia="Calibri" w:hAnsi="Verdana" w:cs="Arial"/>
          <w:kern w:val="2"/>
          <w14:ligatures w14:val="standardContextual"/>
        </w:rPr>
        <w:t xml:space="preserve">o servicio adicional a la obra de infraestructura de transporte es de tal relevancia que se </w:t>
      </w:r>
      <w:r w:rsidRPr="00D8463A">
        <w:rPr>
          <w:rFonts w:ascii="Verdana" w:eastAsia="Calibri" w:hAnsi="Verdana" w:cs="Arial"/>
          <w:kern w:val="2"/>
          <w14:ligatures w14:val="standardContextual"/>
        </w:rPr>
        <w:lastRenderedPageBreak/>
        <w:t>considere que no es posible valorar la idoneidad del contratista únicamente a partir de la experiencia establecida en la “Matriz 1 – Experiencia”.</w:t>
      </w:r>
    </w:p>
    <w:p w14:paraId="4002DCE5"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Cuando la entidad requiere bienes</w:t>
      </w:r>
      <w:r>
        <w:rPr>
          <w:rFonts w:ascii="Verdana" w:eastAsia="Calibri" w:hAnsi="Verdana" w:cs="Arial"/>
          <w:kern w:val="2"/>
          <w14:ligatures w14:val="standardContextual"/>
        </w:rPr>
        <w:t xml:space="preserve">, obras o </w:t>
      </w:r>
      <w:r w:rsidRPr="00D8463A">
        <w:rPr>
          <w:rFonts w:ascii="Verdana" w:eastAsia="Calibri" w:hAnsi="Verdana" w:cs="Arial"/>
          <w:kern w:val="2"/>
          <w14:ligatures w14:val="standardContextual"/>
        </w:rPr>
        <w:t xml:space="preserve">servicios que no se encuentran incluidos como obra de infraestructura de transporte en la “Matriz 1 – Experiencia” y considera necesario exigir experiencia adicional, se debe aplicar el artículo 4 de la Resolución No. 465 del 10 de septiembre de 2024. Esta norma dispone los eventos en los que el objeto contractual incluye </w:t>
      </w:r>
      <w:r>
        <w:rPr>
          <w:rFonts w:ascii="Verdana" w:eastAsia="Calibri" w:hAnsi="Verdana" w:cs="Arial"/>
          <w:kern w:val="2"/>
          <w14:ligatures w14:val="standardContextual"/>
        </w:rPr>
        <w:t xml:space="preserve">obras, </w:t>
      </w:r>
      <w:r w:rsidRPr="00D8463A">
        <w:rPr>
          <w:rFonts w:ascii="Verdana" w:eastAsia="Calibri" w:hAnsi="Verdana" w:cs="Arial"/>
          <w:kern w:val="2"/>
          <w14:ligatures w14:val="standardContextual"/>
        </w:rPr>
        <w:t>bienes o servicios adicionales a la obra pública de infraestructura de transporte. En este caso, la entidad puede incluir experiencia adicional para evaluar la idoneidad respecto de los bienes o servicios ajenos a la obra pública de infraestructura de transporte.</w:t>
      </w:r>
    </w:p>
    <w:p w14:paraId="48E1136F"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Para ello, se deben seguir los siguientes parámetros: i) demostrar en los estudios previos que ha verificado las condiciones de mercado para la contratación de las obras, bienes o servicios adicionales al componente de obra pública, de tal forma que la experiencia adicional que se exija para tales </w:t>
      </w:r>
      <w:r>
        <w:rPr>
          <w:rFonts w:ascii="Verdana" w:eastAsia="Calibri" w:hAnsi="Verdana" w:cs="Arial"/>
          <w:kern w:val="2"/>
          <w14:ligatures w14:val="standardContextual"/>
        </w:rPr>
        <w:t xml:space="preserve">obras, </w:t>
      </w:r>
      <w:r w:rsidRPr="00D8463A">
        <w:rPr>
          <w:rFonts w:ascii="Verdana" w:eastAsia="Calibri" w:hAnsi="Verdana" w:cs="Arial"/>
          <w:kern w:val="2"/>
          <w14:ligatures w14:val="standardContextual"/>
        </w:rPr>
        <w:t xml:space="preserve">bienes o servicios procure la pluralidad de oferentes y no limite la concurrencia al proceso de contratación, </w:t>
      </w:r>
      <w:proofErr w:type="spellStart"/>
      <w:r w:rsidRPr="00D8463A">
        <w:rPr>
          <w:rFonts w:ascii="Verdana" w:eastAsia="Calibri" w:hAnsi="Verdana" w:cs="Arial"/>
          <w:kern w:val="2"/>
          <w14:ligatures w14:val="standardContextual"/>
        </w:rPr>
        <w:t>ii</w:t>
      </w:r>
      <w:proofErr w:type="spellEnd"/>
      <w:r w:rsidRPr="00D8463A">
        <w:rPr>
          <w:rFonts w:ascii="Verdana" w:eastAsia="Calibri" w:hAnsi="Verdana" w:cs="Arial"/>
          <w:kern w:val="2"/>
          <w14:ligatures w14:val="standardContextual"/>
        </w:rPr>
        <w:t xml:space="preserve">) conservar los requisitos exigidos en los documentos tipo, </w:t>
      </w:r>
      <w:proofErr w:type="spellStart"/>
      <w:r w:rsidRPr="00D8463A">
        <w:rPr>
          <w:rFonts w:ascii="Verdana" w:eastAsia="Calibri" w:hAnsi="Verdana" w:cs="Arial"/>
          <w:kern w:val="2"/>
          <w14:ligatures w14:val="standardContextual"/>
        </w:rPr>
        <w:t>iii</w:t>
      </w:r>
      <w:proofErr w:type="spellEnd"/>
      <w:r w:rsidRPr="00D8463A">
        <w:rPr>
          <w:rFonts w:ascii="Verdana" w:eastAsia="Calibri" w:hAnsi="Verdana" w:cs="Arial"/>
          <w:kern w:val="2"/>
          <w14:ligatures w14:val="standardContextual"/>
        </w:rPr>
        <w:t xml:space="preserve">) abstenerse de pedir experiencia exclusiva con entidades estatales, experiencia previa en un territorio específico, limitada en el tiempo o que incluya volúmenes o cantidades de obra específica, </w:t>
      </w:r>
      <w:proofErr w:type="spellStart"/>
      <w:r w:rsidRPr="00D8463A">
        <w:rPr>
          <w:rFonts w:ascii="Verdana" w:eastAsia="Calibri" w:hAnsi="Verdana" w:cs="Arial"/>
          <w:kern w:val="2"/>
          <w14:ligatures w14:val="standardContextual"/>
        </w:rPr>
        <w:t>iv</w:t>
      </w:r>
      <w:proofErr w:type="spellEnd"/>
      <w:r w:rsidRPr="00D8463A">
        <w:rPr>
          <w:rFonts w:ascii="Verdana" w:eastAsia="Calibri" w:hAnsi="Verdana" w:cs="Arial"/>
          <w:kern w:val="2"/>
          <w14:ligatures w14:val="standardContextual"/>
        </w:rPr>
        <w:t>) clasificar la experiencia requerida solo hasta el tercer nivel del clasificador de bienes y servicios e incluir exclusivamente los códigos que estén relacionados directamente con el objeto a contratar.</w:t>
      </w:r>
    </w:p>
    <w:p w14:paraId="7DB365C8"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La entidad que opte por solicitar experiencia adicional en desarrollo de esta norma debe evidenciar en los documentos del proceso que agotó estos parámetros. Para ello, debe justificar en los estudios y documentos previos, como parte del deber de análisis y planeación, que ha verificado que la experiencia adicional relacionada con las obras, bienes o servicios no afecta significativamente la pluralidad de oferentes. Es decir, la entidad debe revisar que al solicitar esta experiencia existen suficientes potenciales proponentes que puedan acreditar estas condiciones.</w:t>
      </w:r>
    </w:p>
    <w:p w14:paraId="6654AF67"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En segundo lugar, la solicitud de esta experiencia no permite que la entidad modifique los requisitos habilitantes y de ponderación de la propuesta, por lo cual se deben mantener los establecidos en los documentos tipo.</w:t>
      </w:r>
    </w:p>
    <w:p w14:paraId="59D9E519"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En tercer lugar, la experiencia adicional solicitada debe relacionarse con las obras, bienes y servicios sobre los cuales la entidad requiere que se demuestre idoneidad por parte de los proponentes. Esta experiencia no puede estar limitada o referida a que se haya adquirido en un territorio o con alguna entidad determinada, ni establecer limitantes temporales o la acreditación de volúmenes o cantidades. Este parámetro va encaminado a determinar si la </w:t>
      </w:r>
      <w:r w:rsidRPr="00D8463A">
        <w:rPr>
          <w:rFonts w:ascii="Verdana" w:eastAsia="Calibri" w:hAnsi="Verdana" w:cs="Arial"/>
          <w:kern w:val="2"/>
          <w14:ligatures w14:val="standardContextual"/>
        </w:rPr>
        <w:lastRenderedPageBreak/>
        <w:t>experiencia solicitada es acorde, adecuada y proporcional a la necesidad identificada por la entidad, por lo cual no puede desbordar los límites racionales ni solicitar experiencias de imposible cumplimiento.</w:t>
      </w:r>
      <w:r>
        <w:rPr>
          <w:rFonts w:ascii="Verdana" w:eastAsia="Calibri" w:hAnsi="Verdana" w:cs="Arial"/>
          <w:kern w:val="2"/>
          <w14:ligatures w14:val="standardContextual"/>
        </w:rPr>
        <w:t xml:space="preserve"> </w:t>
      </w:r>
      <w:r w:rsidRPr="00D8463A">
        <w:rPr>
          <w:rFonts w:ascii="Verdana" w:eastAsia="Calibri" w:hAnsi="Verdana" w:cs="Arial"/>
          <w:kern w:val="2"/>
          <w14:ligatures w14:val="standardContextual"/>
        </w:rPr>
        <w:t>Por último, la experiencia requerida debe clasificarse hasta el tercer nivel del clasificador de bienes y servicios. Por lo tanto, la entidad no puede requerir que se acredite el “producto” de este clasificador.</w:t>
      </w:r>
    </w:p>
    <w:p w14:paraId="1736D264"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Debe indicarse que, de acuerdo con el parágrafo 2 de la Resolución 465 de 2024, se entiende por "obras, bienes o servicios adicionales" aquellas actividades que no están incluidas en la matriz de experiencia de los documentos tipo de infraestructura de transporte aplicable, pero que están relacionadas con el contrato a ejecutar. </w:t>
      </w:r>
    </w:p>
    <w:p w14:paraId="2D3205CB"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Adicionalmente, debe tenerse presente la regla de la inalterabilidad de los </w:t>
      </w:r>
      <w:r>
        <w:rPr>
          <w:rFonts w:ascii="Verdana" w:eastAsia="Calibri" w:hAnsi="Verdana" w:cs="Arial"/>
          <w:kern w:val="2"/>
          <w14:ligatures w14:val="standardContextual"/>
        </w:rPr>
        <w:t>d</w:t>
      </w:r>
      <w:r w:rsidRPr="00D8463A">
        <w:rPr>
          <w:rFonts w:ascii="Verdana" w:eastAsia="Calibri" w:hAnsi="Verdana" w:cs="Arial"/>
          <w:kern w:val="2"/>
          <w14:ligatures w14:val="standardContextual"/>
        </w:rPr>
        <w:t xml:space="preserve">ocumentos </w:t>
      </w:r>
      <w:r>
        <w:rPr>
          <w:rFonts w:ascii="Verdana" w:eastAsia="Calibri" w:hAnsi="Verdana" w:cs="Arial"/>
          <w:kern w:val="2"/>
          <w14:ligatures w14:val="standardContextual"/>
        </w:rPr>
        <w:t>t</w:t>
      </w:r>
      <w:r w:rsidRPr="00D8463A">
        <w:rPr>
          <w:rFonts w:ascii="Verdana" w:eastAsia="Calibri" w:hAnsi="Verdana" w:cs="Arial"/>
          <w:kern w:val="2"/>
          <w14:ligatures w14:val="standardContextual"/>
        </w:rPr>
        <w:t xml:space="preserve">ipo, que se fundamenta en los artículos 2 y 3 de la Resolución No. 465 del 10 de septiembre de 2024, que disponen que las entidades contratantes no podrán incluir o modificar dentro de los documentos del proceso las condiciones habilitantes, los factores técnicos y económicos de escogencia y los sistemas de ponderación señalados en los documentos tipo. </w:t>
      </w:r>
    </w:p>
    <w:p w14:paraId="731510D0" w14:textId="77777777" w:rsidR="003C2FEE" w:rsidRPr="00D8463A" w:rsidRDefault="003C2FEE" w:rsidP="003C2FEE">
      <w:pPr>
        <w:snapToGrid w:val="0"/>
        <w:spacing w:after="120" w:line="240" w:lineRule="auto"/>
        <w:ind w:firstLine="709"/>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Por consiguiente, para solicitar experiencia frente a obras, bienes o servicios adicionales que no se encuentren contemplados en la “Matriz 1 – Experiencia”, el literal H del numeral 3.5.2 “CARACTERÍSTICAS DE LOS CONTRATOS PRESENTADOS PARA ACREDITAR EXPERIENCIA”</w:t>
      </w:r>
      <w:r w:rsidRPr="00D8463A">
        <w:rPr>
          <w:rFonts w:ascii="Verdana" w:eastAsia="Calibri" w:hAnsi="Verdana" w:cs="Arial"/>
          <w:kern w:val="2"/>
          <w:vertAlign w:val="superscript"/>
          <w14:ligatures w14:val="standardContextual"/>
        </w:rPr>
        <w:footnoteReference w:id="4"/>
      </w:r>
      <w:r w:rsidRPr="00D8463A">
        <w:rPr>
          <w:rFonts w:ascii="Verdana" w:eastAsia="Calibri" w:hAnsi="Verdana" w:cs="Arial"/>
          <w:kern w:val="2"/>
          <w14:ligatures w14:val="standardContextual"/>
        </w:rPr>
        <w:t>, del Documento Base actualmente dispone lo siguiente:</w:t>
      </w:r>
    </w:p>
    <w:p w14:paraId="0A32F420" w14:textId="77777777" w:rsidR="003C2FEE" w:rsidRPr="00D8463A" w:rsidRDefault="003C2FEE" w:rsidP="003C2FEE">
      <w:pPr>
        <w:snapToGrid w:val="0"/>
        <w:spacing w:after="0" w:line="276" w:lineRule="auto"/>
        <w:ind w:left="720"/>
        <w:jc w:val="both"/>
        <w:rPr>
          <w:rFonts w:ascii="Verdana" w:eastAsia="Calibri" w:hAnsi="Verdana" w:cs="Arial"/>
          <w:kern w:val="2"/>
          <w14:ligatures w14:val="standardContextual"/>
        </w:rPr>
      </w:pPr>
    </w:p>
    <w:p w14:paraId="5FCC2D24" w14:textId="77777777" w:rsidR="003C2FEE" w:rsidRPr="00D8463A" w:rsidRDefault="003C2FEE" w:rsidP="003C2FEE">
      <w:pPr>
        <w:spacing w:after="120" w:line="240" w:lineRule="auto"/>
        <w:ind w:left="709" w:right="709"/>
        <w:jc w:val="both"/>
        <w:rPr>
          <w:rFonts w:ascii="Arial" w:eastAsia="Calibri" w:hAnsi="Arial" w:cs="Arial"/>
          <w:color w:val="000000"/>
          <w:sz w:val="21"/>
          <w:szCs w:val="21"/>
          <w:lang w:eastAsia="es-ES"/>
        </w:rPr>
      </w:pPr>
      <w:r w:rsidRPr="00D8463A">
        <w:rPr>
          <w:rFonts w:ascii="Arial" w:eastAsia="Calibri" w:hAnsi="Arial" w:cs="Arial"/>
          <w:color w:val="000000"/>
          <w:sz w:val="21"/>
          <w:szCs w:val="21"/>
          <w:highlight w:val="lightGray"/>
          <w:lang w:val="es-MX"/>
        </w:rPr>
        <w:t>“[</w:t>
      </w:r>
      <w:r w:rsidRPr="00D8463A">
        <w:rPr>
          <w:rFonts w:ascii="Arial" w:eastAsia="Times New Roman" w:hAnsi="Arial" w:cs="Arial"/>
          <w:color w:val="000000"/>
          <w:sz w:val="21"/>
          <w:szCs w:val="21"/>
          <w:highlight w:val="lightGray"/>
          <w:lang w:val="es-MX" w:eastAsia="es-ES"/>
        </w:rPr>
        <w:t xml:space="preserve">Cuando el objeto contractual incluya bienes o servicios ajenos a la obra pública de infraestructura de transporte y de manera excepcional se requiere incluir experiencia adicional para evaluar la idoneidad respecto de dichos bienes o servicios, la Entidad </w:t>
      </w:r>
      <w:r w:rsidRPr="00D8463A">
        <w:rPr>
          <w:rFonts w:ascii="Arial" w:eastAsia="Times New Roman" w:hAnsi="Arial" w:cs="Arial"/>
          <w:color w:val="000000"/>
          <w:sz w:val="21"/>
          <w:szCs w:val="21"/>
          <w:highlight w:val="lightGray"/>
          <w:lang w:eastAsia="es-ES"/>
        </w:rPr>
        <w:t>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w:t>
      </w:r>
      <w:r w:rsidRPr="00D8463A">
        <w:rPr>
          <w:rFonts w:ascii="Arial" w:eastAsia="Times New Roman" w:hAnsi="Arial" w:cs="Arial"/>
          <w:color w:val="000000"/>
          <w:sz w:val="21"/>
          <w:szCs w:val="21"/>
          <w:highlight w:val="lightGray"/>
          <w:lang w:val="es-MX" w:eastAsia="es-ES"/>
        </w:rPr>
        <w:t xml:space="preserve"> En todo caso, si el objeto contractual contempla bienes o servicios ajenos que no están </w:t>
      </w:r>
      <w:r w:rsidRPr="00D8463A">
        <w:rPr>
          <w:rFonts w:ascii="Arial" w:eastAsia="Times New Roman" w:hAnsi="Arial" w:cs="Arial"/>
          <w:color w:val="000000"/>
          <w:sz w:val="21"/>
          <w:szCs w:val="21"/>
          <w:lang w:val="es-MX" w:eastAsia="es-ES"/>
        </w:rPr>
        <w:t>regulados en los Documentos Tipo, la Entidad Estatal aplicará los parámetros del artículo 4 de la Resolución 465 de 2024.</w:t>
      </w:r>
      <w:r w:rsidRPr="00D8463A">
        <w:rPr>
          <w:rFonts w:ascii="Arial" w:eastAsia="Times New Roman" w:hAnsi="Arial" w:cs="Arial"/>
          <w:color w:val="000000"/>
          <w:sz w:val="21"/>
          <w:szCs w:val="21"/>
          <w:lang w:eastAsia="es-ES"/>
        </w:rPr>
        <w:t xml:space="preserve"> </w:t>
      </w:r>
    </w:p>
    <w:p w14:paraId="36EC9CCA" w14:textId="77777777" w:rsidR="003C2FEE" w:rsidRPr="00D8463A" w:rsidRDefault="003C2FEE" w:rsidP="003C2FEE">
      <w:pPr>
        <w:spacing w:after="120" w:line="240" w:lineRule="auto"/>
        <w:ind w:left="709" w:right="709"/>
        <w:jc w:val="both"/>
        <w:rPr>
          <w:rFonts w:ascii="Arial" w:eastAsia="Times New Roman" w:hAnsi="Arial" w:cs="Arial"/>
          <w:color w:val="000000"/>
          <w:sz w:val="21"/>
          <w:szCs w:val="21"/>
          <w:highlight w:val="lightGray"/>
          <w:lang w:val="es-MX" w:eastAsia="es-ES"/>
        </w:rPr>
      </w:pPr>
      <w:r w:rsidRPr="00D8463A">
        <w:rPr>
          <w:rFonts w:ascii="Arial" w:eastAsia="Times New Roman" w:hAnsi="Arial" w:cs="Arial"/>
          <w:color w:val="000000"/>
          <w:sz w:val="21"/>
          <w:szCs w:val="21"/>
          <w:highlight w:val="lightGray"/>
          <w:lang w:val="es-MX" w:eastAsia="es-ES"/>
        </w:rPr>
        <w:lastRenderedPageBreak/>
        <w:t>Conforme con esta disposición, la Entidad no puede requerir experiencia adicional que incluya volúmenes o cantidades de obra específica expresada en SMMLV.</w:t>
      </w:r>
    </w:p>
    <w:p w14:paraId="2E47BBA3" w14:textId="77777777" w:rsidR="003C2FEE" w:rsidRPr="00D8463A" w:rsidRDefault="003C2FEE" w:rsidP="003C2FEE">
      <w:pPr>
        <w:spacing w:after="120" w:line="240" w:lineRule="auto"/>
        <w:ind w:left="709" w:right="709"/>
        <w:jc w:val="both"/>
        <w:rPr>
          <w:rFonts w:ascii="Arial" w:eastAsia="Calibri" w:hAnsi="Arial" w:cs="Arial"/>
          <w:color w:val="000000"/>
          <w:sz w:val="21"/>
          <w:szCs w:val="21"/>
          <w:lang w:val="es-MX"/>
        </w:rPr>
      </w:pPr>
      <w:r w:rsidRPr="00D8463A">
        <w:rPr>
          <w:rFonts w:ascii="Arial" w:eastAsia="Times New Roman" w:hAnsi="Arial" w:cs="Arial"/>
          <w:color w:val="000000"/>
          <w:sz w:val="21"/>
          <w:szCs w:val="21"/>
          <w:highlight w:val="lightGray"/>
          <w:lang w:val="es-MX" w:eastAsia="es-ES"/>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10F63648" w14:textId="77777777" w:rsidR="003C2FEE" w:rsidRPr="00D8463A" w:rsidRDefault="003C2FEE" w:rsidP="003C2FEE">
      <w:pPr>
        <w:spacing w:after="120" w:line="240" w:lineRule="auto"/>
        <w:ind w:left="709" w:right="709"/>
        <w:jc w:val="both"/>
        <w:rPr>
          <w:rFonts w:ascii="Arial" w:eastAsia="Times New Roman" w:hAnsi="Arial" w:cs="Arial"/>
          <w:color w:val="000000"/>
          <w:sz w:val="21"/>
          <w:szCs w:val="21"/>
          <w:highlight w:val="lightGray"/>
          <w:lang w:val="es-MX" w:eastAsia="es-ES"/>
        </w:rPr>
      </w:pPr>
      <w:r w:rsidRPr="00D8463A">
        <w:rPr>
          <w:rFonts w:ascii="Arial" w:eastAsia="Times New Roman" w:hAnsi="Arial" w:cs="Arial"/>
          <w:color w:val="000000"/>
          <w:sz w:val="21"/>
          <w:szCs w:val="21"/>
          <w:highlight w:val="lightGray"/>
          <w:lang w:val="es-MX" w:eastAsia="es-ES"/>
        </w:rPr>
        <w:t xml:space="preserve">Nota: Lo anterior sin perjuicio de la obligación que tienen las entidades de cumplir con unos requisitos mínimos frente a las “obras ajenas a la infraestructura de transporte”, los cuales deben ser claramente consignados en los estudios previos, en caso que se considere su pertinencia y con fundamento en aspectos de conveniencia técnicos y económicos suficientes que determinen que la experiencia incluida en documentos tipo existentes es insuficiente de cara a la complejidad o grado de especialidad que comporta el objeto a contratar. </w:t>
      </w:r>
    </w:p>
    <w:p w14:paraId="508D285E" w14:textId="77777777" w:rsidR="003C2FEE" w:rsidRPr="00D8463A" w:rsidRDefault="003C2FEE" w:rsidP="003C2FEE">
      <w:pPr>
        <w:spacing w:after="0" w:line="240" w:lineRule="auto"/>
        <w:ind w:left="709" w:right="709"/>
        <w:jc w:val="both"/>
        <w:rPr>
          <w:rFonts w:ascii="Arial" w:eastAsia="Times New Roman" w:hAnsi="Arial" w:cs="Arial"/>
          <w:color w:val="000000"/>
          <w:sz w:val="21"/>
          <w:szCs w:val="21"/>
          <w:highlight w:val="lightGray"/>
          <w:lang w:val="es-MX" w:eastAsia="es-ES"/>
        </w:rPr>
      </w:pPr>
      <w:r w:rsidRPr="00D8463A">
        <w:rPr>
          <w:rFonts w:ascii="Arial" w:eastAsia="Times New Roman" w:hAnsi="Arial" w:cs="Arial"/>
          <w:color w:val="000000"/>
          <w:sz w:val="21"/>
          <w:szCs w:val="21"/>
          <w:highlight w:val="lightGray"/>
          <w:lang w:val="es-MX" w:eastAsia="es-ES"/>
        </w:rPr>
        <w:t>La entidad debe demostrar que la experiencia adicional, “obra ajena a la infraestructura de Transporte”, no se encuentra incluida en las matrices de los sectores adoptados por la Agencia y adicionalmente, que esta experiencia requerida responde a las condiciones de mercado, específicamente a las características del proceso de selección a contratar, las cuales deberían estar consignadas en el respectivo estudio de mercado y con la consideración de usar los Documentos Tipo”.</w:t>
      </w:r>
    </w:p>
    <w:p w14:paraId="5252918A" w14:textId="77777777" w:rsidR="003C2FEE" w:rsidRPr="00D8463A" w:rsidRDefault="003C2FEE" w:rsidP="003C2FEE">
      <w:pPr>
        <w:snapToGrid w:val="0"/>
        <w:spacing w:after="0" w:line="276" w:lineRule="auto"/>
        <w:ind w:left="720"/>
        <w:jc w:val="both"/>
        <w:rPr>
          <w:rFonts w:ascii="Verdana" w:eastAsia="Calibri" w:hAnsi="Verdana" w:cs="Arial"/>
          <w:kern w:val="2"/>
          <w14:ligatures w14:val="standardContextual"/>
        </w:rPr>
      </w:pPr>
    </w:p>
    <w:p w14:paraId="44A62A7B" w14:textId="77777777" w:rsidR="003C2FEE" w:rsidRPr="00D8463A" w:rsidRDefault="003C2FEE" w:rsidP="003C2FEE">
      <w:pPr>
        <w:snapToGrid w:val="0"/>
        <w:spacing w:after="120" w:line="276" w:lineRule="auto"/>
        <w:ind w:firstLine="708"/>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De esta manera, la regla general frente a la aplicación del documento base es 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 4 de la Resolución No. 465 de 2024. Por tanto, si el objeto contractual incluye obras, bienes o servicios </w:t>
      </w:r>
      <w:r>
        <w:rPr>
          <w:rFonts w:ascii="Verdana" w:eastAsia="Calibri" w:hAnsi="Verdana" w:cs="Arial"/>
          <w:kern w:val="2"/>
          <w14:ligatures w14:val="standardContextual"/>
        </w:rPr>
        <w:t>adicionales</w:t>
      </w:r>
      <w:r w:rsidRPr="00D8463A">
        <w:rPr>
          <w:rFonts w:ascii="Verdana" w:eastAsia="Calibri" w:hAnsi="Verdana" w:cs="Arial"/>
          <w:kern w:val="2"/>
          <w14:ligatures w14:val="standardContextual"/>
        </w:rPr>
        <w:t xml:space="preserve"> a la obra pública de infraestructura de transporte, de allí solo se deriva que podrá incluirse la experiencia adicional que se considere conveniente, atendiendo a las reglas explicadas con anterioridad.</w:t>
      </w:r>
    </w:p>
    <w:p w14:paraId="35B8983C" w14:textId="77777777" w:rsidR="003C2FEE" w:rsidRPr="00D8463A" w:rsidRDefault="003C2FEE" w:rsidP="003C2FEE">
      <w:pPr>
        <w:snapToGrid w:val="0"/>
        <w:spacing w:after="120" w:line="276" w:lineRule="auto"/>
        <w:ind w:firstLine="708"/>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Cuando se pretenda ejecutar una de las actividades establecidas en la “Matriz 1 – Experiencia” y adicionalmente se requiera contratar otro tipo de obras, bienes y servicios adicionales a la obra pública de infraestructura de transporte, los documentos tipo adoptados mediante la Resolución 465 de 2024 son obligatorios.</w:t>
      </w:r>
    </w:p>
    <w:p w14:paraId="05B510B0" w14:textId="77777777" w:rsidR="003C2FEE" w:rsidRPr="00D8463A" w:rsidRDefault="003C2FEE" w:rsidP="003C2FEE">
      <w:pPr>
        <w:snapToGrid w:val="0"/>
        <w:spacing w:after="120" w:line="276" w:lineRule="auto"/>
        <w:ind w:firstLine="708"/>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Por otra parte, es pertinente mencionar el numeral 3.5.2. del Documento Base o pliego tipo consagra las características que deben cumplir los contratos </w:t>
      </w:r>
      <w:r w:rsidRPr="00D8463A">
        <w:rPr>
          <w:rFonts w:ascii="Verdana" w:eastAsia="Calibri" w:hAnsi="Verdana" w:cs="Arial"/>
          <w:kern w:val="2"/>
          <w14:ligatures w14:val="standardContextual"/>
        </w:rPr>
        <w:lastRenderedPageBreak/>
        <w:t xml:space="preserve">a través de los cuales se acredita la experiencia exigida conforme a los lineamientos antes descritos. </w:t>
      </w:r>
    </w:p>
    <w:p w14:paraId="0E4DF014" w14:textId="77777777" w:rsidR="003C2FEE" w:rsidRPr="00D8463A" w:rsidRDefault="003C2FEE" w:rsidP="003C2FEE">
      <w:pPr>
        <w:snapToGrid w:val="0"/>
        <w:spacing w:after="120" w:line="276" w:lineRule="auto"/>
        <w:ind w:firstLine="708"/>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 xml:space="preserve">Teniendo en cuenta lo anterior, la eventual exigencia de experiencia adicional, frente a obras, bienes y servicios adicionales a la obra de infraestructura de transporte, solo se podrá realizar conforme a los parámetros del artículo 4 de la Resolución No. 465 de 2024 -en relación con los documentos tipo de licitación- y artículo 4 de la Resolución No. 463 de 2024 -respecto de los documentos tipo de selección abreviada de menor cuantía-, de acuerdo con lo explicado. En todo caso, se reitera, tal requisito de experiencia establecido por la entidad solo podrá aplicarse para la experiencia respecto de las obras, bienes y servicios adicionales a la obra pública de infraestructura de transporte. </w:t>
      </w:r>
    </w:p>
    <w:p w14:paraId="5EFFF552" w14:textId="77777777" w:rsidR="003C2FEE" w:rsidRPr="00F7656B" w:rsidRDefault="003C2FEE" w:rsidP="003C2FEE">
      <w:pPr>
        <w:spacing w:after="0" w:line="276" w:lineRule="auto"/>
        <w:jc w:val="both"/>
        <w:rPr>
          <w:rFonts w:ascii="Verdana" w:hAnsi="Verdana" w:cs="Arial"/>
        </w:rPr>
      </w:pPr>
      <w:r>
        <w:rPr>
          <w:rFonts w:ascii="Verdana" w:eastAsia="Calibri" w:hAnsi="Verdana" w:cs="Arial"/>
          <w:lang w:val="es-MX"/>
        </w:rPr>
        <w:t xml:space="preserve">ii) El </w:t>
      </w:r>
      <w:r w:rsidRPr="00F7656B">
        <w:rPr>
          <w:rFonts w:ascii="Verdana" w:eastAsia="Calibri" w:hAnsi="Verdana" w:cs="Arial"/>
          <w:lang w:val="es-MX"/>
        </w:rPr>
        <w:t>numeral “2.6 audiencia efectiva de adjudicación” contenido en el documento base del documento tipo de licitación de obra pública de infraestructura de transporte – versión 4</w:t>
      </w:r>
      <w:r>
        <w:rPr>
          <w:rFonts w:ascii="Verdana" w:eastAsia="Calibri" w:hAnsi="Verdana" w:cs="Arial"/>
          <w:lang w:val="es-MX"/>
        </w:rPr>
        <w:t xml:space="preserve">, en el </w:t>
      </w:r>
      <w:r w:rsidRPr="00F7656B">
        <w:rPr>
          <w:rFonts w:ascii="Verdana" w:hAnsi="Verdana" w:cs="Arial"/>
        </w:rPr>
        <w:t xml:space="preserve">primer inciso </w:t>
      </w:r>
      <w:r>
        <w:rPr>
          <w:rFonts w:ascii="Verdana" w:hAnsi="Verdana" w:cs="Arial"/>
        </w:rPr>
        <w:t xml:space="preserve">dispone </w:t>
      </w:r>
      <w:r w:rsidRPr="00F7656B">
        <w:rPr>
          <w:rFonts w:ascii="Verdana" w:hAnsi="Verdana" w:cs="Arial"/>
        </w:rPr>
        <w:t>l</w:t>
      </w:r>
      <w:r>
        <w:rPr>
          <w:rFonts w:ascii="Verdana" w:hAnsi="Verdana" w:cs="Arial"/>
        </w:rPr>
        <w:t>o</w:t>
      </w:r>
      <w:r w:rsidRPr="00F7656B">
        <w:rPr>
          <w:rFonts w:ascii="Verdana" w:hAnsi="Verdana" w:cs="Arial"/>
        </w:rPr>
        <w:t xml:space="preserve"> siguiente:</w:t>
      </w:r>
    </w:p>
    <w:p w14:paraId="1C7344A0" w14:textId="77777777" w:rsidR="003C2FEE" w:rsidRPr="00F879BF" w:rsidRDefault="003C2FEE" w:rsidP="003C2FEE">
      <w:pPr>
        <w:pStyle w:val="Prrafodelista"/>
        <w:spacing w:after="0"/>
        <w:contextualSpacing w:val="0"/>
        <w:rPr>
          <w:rFonts w:ascii="Verdana" w:hAnsi="Verdana" w:cs="Arial"/>
        </w:rPr>
      </w:pPr>
    </w:p>
    <w:p w14:paraId="0D1C6EF1" w14:textId="77777777" w:rsidR="003C2FEE" w:rsidRPr="002A1600" w:rsidRDefault="003C2FEE" w:rsidP="003C2FEE">
      <w:pPr>
        <w:spacing w:after="0"/>
        <w:ind w:left="708" w:right="709"/>
        <w:jc w:val="both"/>
        <w:rPr>
          <w:rFonts w:ascii="Verdana" w:hAnsi="Verdana"/>
          <w:sz w:val="21"/>
          <w:szCs w:val="21"/>
          <w:lang w:val="es-MX"/>
        </w:rPr>
      </w:pPr>
      <w:r w:rsidRPr="002A1600">
        <w:rPr>
          <w:rFonts w:ascii="Verdana" w:hAnsi="Verdana"/>
          <w:sz w:val="21"/>
          <w:szCs w:val="21"/>
          <w:lang w:val="es-MX"/>
        </w:rPr>
        <w:t>“En la fecha establecida en el Anexo 2 – Cronograma, la entidad procederá a la instalación y desarrollo de la audiencia efectiva de adjudicación, sin perjuicio de la utilización de los medios virtuales que garanticen la participación y la interacción de los interesados con la entidad contratante”.</w:t>
      </w:r>
    </w:p>
    <w:p w14:paraId="16D8CB9A" w14:textId="77777777" w:rsidR="003C2FEE" w:rsidRPr="00F879BF" w:rsidRDefault="003C2FEE" w:rsidP="003C2FEE">
      <w:pPr>
        <w:spacing w:after="0"/>
        <w:ind w:left="708"/>
        <w:jc w:val="both"/>
        <w:rPr>
          <w:rFonts w:ascii="Verdana" w:hAnsi="Verdana"/>
          <w:lang w:val="es-MX"/>
        </w:rPr>
      </w:pPr>
    </w:p>
    <w:p w14:paraId="16078154" w14:textId="77777777" w:rsidR="003C2FEE" w:rsidRPr="00F7656B" w:rsidRDefault="003C2FEE" w:rsidP="003C2FEE">
      <w:pPr>
        <w:spacing w:after="120" w:line="240" w:lineRule="auto"/>
        <w:ind w:firstLine="708"/>
        <w:jc w:val="both"/>
        <w:rPr>
          <w:rFonts w:ascii="Verdana" w:hAnsi="Verdana" w:cs="Arial"/>
        </w:rPr>
      </w:pPr>
      <w:r w:rsidRPr="00F7656B">
        <w:rPr>
          <w:rFonts w:ascii="Verdana" w:eastAsia="Calibri" w:hAnsi="Verdana" w:cs="Arial"/>
          <w:lang w:val="es-MX"/>
        </w:rPr>
        <w:t xml:space="preserve">En el inciso señalado, se fija que la entidad deberá instalar y desarrollar la audiencia efectiva de adjudicación en la fecha indicada en el Anexo 2 – Cronograma, sin perjuicio de la utilización de los medios virtuales. Sobre este último aspecto a criterio de esta Agencia la expresión “sin perjuicio de la utilización de los medios virtuales” debe entenderse como la posibilidad para la entidad de realizar la audiencia efectiva de adjudicación por medios electrónicos, </w:t>
      </w:r>
      <w:r w:rsidRPr="00F7656B">
        <w:rPr>
          <w:rFonts w:ascii="Verdana" w:hAnsi="Verdana" w:cs="Arial"/>
          <w:color w:val="000000" w:themeColor="text1"/>
        </w:rPr>
        <w:t xml:space="preserve">es decir, utilizando los sistemas de información digitales que favorecen la tele-presencia, de modo que se permita una interacción simultánea entre las personas que quieran estar presentes y las entidades estatales. Esta posibilidad, se encuentra abierta para la entidad independientemente que se encuentre adelantando el proceso de contratación por el SECOP I o II. </w:t>
      </w:r>
    </w:p>
    <w:p w14:paraId="38F937B3" w14:textId="77777777" w:rsidR="003C2FEE" w:rsidRPr="00F7656B" w:rsidRDefault="003C2FEE" w:rsidP="003C2FEE">
      <w:pPr>
        <w:spacing w:after="120" w:line="240" w:lineRule="auto"/>
        <w:ind w:firstLine="709"/>
        <w:jc w:val="both"/>
        <w:rPr>
          <w:rFonts w:ascii="Verdana" w:hAnsi="Verdana" w:cs="Arial"/>
        </w:rPr>
      </w:pPr>
      <w:r w:rsidRPr="00F7656B">
        <w:rPr>
          <w:rFonts w:ascii="Verdana" w:hAnsi="Verdana" w:cs="Arial"/>
        </w:rPr>
        <w:t xml:space="preserve">La posibilidad de realizar la audiencia de adjudicación por medios virtuales ha sido analizada por la Agencia Nacional de Contratación Pública – Colombia Compra Eficiente en diferentes conceptos. Recientemente, el tema fue tratado en el concepto C-113 del 17 de febrero de 2025, en donde se señaló que “(…) </w:t>
      </w:r>
      <w:r w:rsidRPr="00F7656B">
        <w:rPr>
          <w:rFonts w:ascii="Verdana" w:hAnsi="Verdana" w:cs="Arial"/>
          <w:color w:val="000000" w:themeColor="text1"/>
        </w:rPr>
        <w:t xml:space="preserve">es viable concluir que la audiencia de adjudicación en la licitación pública se puede realizar por medios electrónicos” y además, se instó a que las tecnologías </w:t>
      </w:r>
      <w:r w:rsidRPr="00F7656B">
        <w:rPr>
          <w:rFonts w:ascii="Verdana" w:hAnsi="Verdana" w:cs="Arial"/>
          <w:color w:val="000000" w:themeColor="text1"/>
        </w:rPr>
        <w:lastRenderedPageBreak/>
        <w:t>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4BDAB31B" w14:textId="77777777" w:rsidR="003C2FEE" w:rsidRPr="00C410FC" w:rsidRDefault="003C2FEE" w:rsidP="003C2FEE">
      <w:pPr>
        <w:spacing w:after="120" w:line="240" w:lineRule="auto"/>
        <w:ind w:firstLine="708"/>
        <w:jc w:val="both"/>
        <w:rPr>
          <w:rFonts w:ascii="Verdana" w:eastAsia="Calibri" w:hAnsi="Verdana" w:cs="Arial"/>
          <w:color w:val="000000" w:themeColor="text1"/>
          <w:lang w:val="es-ES_tradnl"/>
        </w:rPr>
      </w:pPr>
      <w:r w:rsidRPr="00F7656B">
        <w:rPr>
          <w:rFonts w:ascii="Verdana" w:hAnsi="Verdana" w:cs="Arial"/>
        </w:rPr>
        <w:t xml:space="preserve">Así mismo, debe señalarse que, </w:t>
      </w:r>
      <w:r w:rsidRPr="00F7656B">
        <w:rPr>
          <w:rFonts w:ascii="Verdana" w:eastAsia="Century Gothic" w:hAnsi="Verdana" w:cs="Century Gothic"/>
          <w:color w:val="000000" w:themeColor="text1"/>
        </w:rPr>
        <w:t>aunque la audiencia de adjudicación, en la licitación pública, puede efectuarse por medios electrónicos, debe estar revestida de las garantías procedimentales establecidas en las normas que regulan esta etapa del procedimiento de selección. En efecto, de un lado, durante la audiencia de adjudicación las entidades estatales contratantes deben respetar los principios de la función administrativa previstos en el artículo 209 de la Constitución, que, además del interés general, exige la satisfacción de la igualdad, la moralidad, la eficacia, la economía, la celeridad, la imparcialidad y la publicidad.</w:t>
      </w:r>
    </w:p>
    <w:p w14:paraId="2015EDEC" w14:textId="77777777" w:rsidR="003C2FEE" w:rsidRDefault="003C2FEE" w:rsidP="003C2FEE">
      <w:pPr>
        <w:widowControl w:val="0"/>
        <w:autoSpaceDE w:val="0"/>
        <w:autoSpaceDN w:val="0"/>
        <w:spacing w:after="120" w:line="240" w:lineRule="auto"/>
        <w:ind w:firstLine="709"/>
        <w:jc w:val="both"/>
        <w:rPr>
          <w:rFonts w:ascii="Verdana" w:eastAsia="Century Gothic" w:hAnsi="Verdana" w:cs="Century Gothic"/>
          <w:color w:val="000000" w:themeColor="text1"/>
        </w:rPr>
      </w:pPr>
      <w:r w:rsidRPr="00F7656B">
        <w:rPr>
          <w:rFonts w:ascii="Verdana" w:eastAsia="Century Gothic" w:hAnsi="Verdana" w:cs="Century Gothic"/>
          <w:color w:val="000000" w:themeColor="text1"/>
        </w:rPr>
        <w:t xml:space="preserve">De otro lado, durante la audiencia de adjudicación debe garantizarse el debido proceso, pues, como indica el artículo 29 de la Constitución, este es un derecho fundamental que también rige en las actuaciones administrativas. Las actuaciones contractuales no están exentas del deber de cumplir los principios que integran este derecho, como reconoce el artículo 17 de la Ley 1150 de 2007 y, en forma más transversal, el artículo 3.1 de la Ley 1437 de 2011. En tal medida, durante la audiencia de adjudicación, aunque se desarrolle de manera virtual –electrónica–, deben salvaguardarse principios del debido proceso como el de legalidad de las formas propias del procedimiento, funcionario competente, derecho de contradicción, prohibición de dilaciones injustificadas, publicidad, entre otros. </w:t>
      </w:r>
    </w:p>
    <w:p w14:paraId="04554BC8" w14:textId="77777777" w:rsidR="003C2FEE" w:rsidRDefault="003C2FEE" w:rsidP="003C2FEE">
      <w:pPr>
        <w:tabs>
          <w:tab w:val="left" w:pos="-142"/>
        </w:tabs>
        <w:autoSpaceDE w:val="0"/>
        <w:autoSpaceDN w:val="0"/>
        <w:adjustRightInd w:val="0"/>
        <w:spacing w:after="0" w:line="276" w:lineRule="auto"/>
        <w:jc w:val="both"/>
        <w:outlineLvl w:val="2"/>
        <w:rPr>
          <w:rFonts w:ascii="Verdana" w:eastAsia="Calibri" w:hAnsi="Verdana" w:cs="Arial"/>
          <w:lang w:val="x-none" w:eastAsia="es-ES"/>
        </w:rPr>
      </w:pPr>
      <w:proofErr w:type="spellStart"/>
      <w:r>
        <w:rPr>
          <w:rFonts w:ascii="Verdana" w:eastAsia="Century Gothic" w:hAnsi="Verdana" w:cs="Century Gothic"/>
          <w:color w:val="000000" w:themeColor="text1"/>
        </w:rPr>
        <w:t>iii</w:t>
      </w:r>
      <w:proofErr w:type="spellEnd"/>
      <w:r>
        <w:rPr>
          <w:rFonts w:ascii="Verdana" w:eastAsia="Century Gothic" w:hAnsi="Verdana" w:cs="Century Gothic"/>
          <w:color w:val="000000" w:themeColor="text1"/>
        </w:rPr>
        <w:t xml:space="preserve">) El </w:t>
      </w:r>
      <w:r>
        <w:rPr>
          <w:rFonts w:ascii="Verdana" w:eastAsia="Calibri" w:hAnsi="Verdana" w:cs="Arial"/>
        </w:rPr>
        <w:t xml:space="preserve">numeral </w:t>
      </w:r>
      <w:bookmarkStart w:id="3" w:name="_Toc32147369"/>
      <w:bookmarkStart w:id="4" w:name="_Toc84413953"/>
      <w:bookmarkStart w:id="5" w:name="_Hlk511666009"/>
      <w:r w:rsidRPr="00CD4D9D">
        <w:rPr>
          <w:rFonts w:ascii="Verdana" w:eastAsia="Calibri" w:hAnsi="Verdana" w:cs="Arial"/>
          <w:lang w:eastAsia="es-ES"/>
        </w:rPr>
        <w:t>4.1.4. “</w:t>
      </w:r>
      <w:r w:rsidRPr="00CD4D9D">
        <w:rPr>
          <w:rFonts w:ascii="Verdana" w:eastAsia="Arial" w:hAnsi="Verdana" w:cs="Arial"/>
          <w:lang w:eastAsia="es-ES"/>
        </w:rPr>
        <w:t>determinación del método para la ponderación de la propuesta económica</w:t>
      </w:r>
      <w:bookmarkEnd w:id="3"/>
      <w:bookmarkEnd w:id="4"/>
      <w:bookmarkEnd w:id="5"/>
      <w:r w:rsidRPr="00CD4D9D">
        <w:rPr>
          <w:rFonts w:ascii="Verdana" w:eastAsia="Arial" w:hAnsi="Verdana" w:cs="Arial"/>
          <w:lang w:eastAsia="es-ES"/>
        </w:rPr>
        <w:t>”,</w:t>
      </w:r>
      <w:r>
        <w:rPr>
          <w:rFonts w:ascii="Verdana" w:eastAsia="Arial" w:hAnsi="Verdana" w:cs="Arial"/>
          <w:lang w:eastAsia="es-ES"/>
        </w:rPr>
        <w:t xml:space="preserve"> contenido en el documento base de los documentos tipo de licitación de obra pública de infraestructura de transporte – versión 4, contiene </w:t>
      </w:r>
      <w:r w:rsidRPr="00CD4D9D">
        <w:rPr>
          <w:rFonts w:ascii="Verdana" w:eastAsia="Calibri" w:hAnsi="Verdana" w:cs="Arial"/>
          <w:lang w:val="x-none" w:eastAsia="es-ES"/>
        </w:rPr>
        <w:t>cuatro</w:t>
      </w:r>
      <w:r w:rsidRPr="00CD4D9D">
        <w:rPr>
          <w:rFonts w:ascii="Verdana" w:eastAsia="Calibri" w:hAnsi="Verdana" w:cs="Arial"/>
          <w:lang w:val="es-MX" w:eastAsia="es-ES"/>
        </w:rPr>
        <w:t xml:space="preserve"> (4)</w:t>
      </w:r>
      <w:r w:rsidRPr="00CD4D9D">
        <w:rPr>
          <w:rFonts w:ascii="Verdana" w:eastAsia="Calibri" w:hAnsi="Verdana" w:cs="Arial"/>
          <w:lang w:val="x-none" w:eastAsia="es-ES"/>
        </w:rPr>
        <w:t xml:space="preserve"> alternativas para escoger el método de ponderación de la</w:t>
      </w:r>
      <w:r w:rsidRPr="00CD4D9D">
        <w:rPr>
          <w:rFonts w:ascii="Verdana" w:eastAsia="Calibri" w:hAnsi="Verdana" w:cs="Arial"/>
          <w:lang w:eastAsia="es-ES"/>
        </w:rPr>
        <w:t>s</w:t>
      </w:r>
      <w:r w:rsidRPr="00CD4D9D">
        <w:rPr>
          <w:rFonts w:ascii="Verdana" w:eastAsia="Calibri" w:hAnsi="Verdana" w:cs="Arial"/>
          <w:lang w:val="x-none" w:eastAsia="es-ES"/>
        </w:rPr>
        <w:t xml:space="preserve"> propuesta</w:t>
      </w:r>
      <w:r w:rsidRPr="00CD4D9D">
        <w:rPr>
          <w:rFonts w:ascii="Verdana" w:eastAsia="Calibri" w:hAnsi="Verdana" w:cs="Arial"/>
          <w:lang w:eastAsia="es-ES"/>
        </w:rPr>
        <w:t>s</w:t>
      </w:r>
      <w:r w:rsidRPr="00CD4D9D">
        <w:rPr>
          <w:rFonts w:ascii="Verdana" w:eastAsia="Calibri" w:hAnsi="Verdana" w:cs="Arial"/>
          <w:lang w:val="x-none" w:eastAsia="es-ES"/>
        </w:rPr>
        <w:t xml:space="preserve"> económica</w:t>
      </w:r>
      <w:r w:rsidRPr="00CD4D9D">
        <w:rPr>
          <w:rFonts w:ascii="Verdana" w:eastAsia="Calibri" w:hAnsi="Verdana" w:cs="Arial"/>
          <w:lang w:eastAsia="es-ES"/>
        </w:rPr>
        <w:t>s</w:t>
      </w:r>
      <w:r w:rsidRPr="00CD4D9D">
        <w:rPr>
          <w:rFonts w:ascii="Verdana" w:eastAsia="Calibri" w:hAnsi="Verdana" w:cs="Arial"/>
          <w:lang w:val="x-none" w:eastAsia="es-ES"/>
        </w:rPr>
        <w:t>, a saber: i) mediana con valor absoluto; ii) media geométrica; iii) media aritmética baja, y iv) menor valor.</w:t>
      </w:r>
      <w:r w:rsidRPr="00CD4D9D">
        <w:rPr>
          <w:rFonts w:ascii="Verdana" w:eastAsia="Calibri" w:hAnsi="Verdana" w:cs="Arial"/>
          <w:lang w:eastAsia="es-ES"/>
        </w:rPr>
        <w:t xml:space="preserve"> A partir de estas alternativas</w:t>
      </w:r>
      <w:r w:rsidRPr="00CD4D9D">
        <w:rPr>
          <w:rFonts w:ascii="Verdana" w:eastAsia="Calibri" w:hAnsi="Verdana" w:cs="Arial"/>
          <w:lang w:val="x-none" w:eastAsia="es-ES"/>
        </w:rPr>
        <w:t>, la entidad</w:t>
      </w:r>
      <w:r w:rsidRPr="00CD4D9D">
        <w:rPr>
          <w:rFonts w:ascii="Verdana" w:eastAsia="Calibri" w:hAnsi="Verdana" w:cs="Arial"/>
          <w:lang w:val="es-ES" w:eastAsia="es-ES"/>
        </w:rPr>
        <w:t>,</w:t>
      </w:r>
      <w:r w:rsidRPr="00CD4D9D">
        <w:rPr>
          <w:rFonts w:ascii="Verdana" w:eastAsia="Calibri" w:hAnsi="Verdana" w:cs="Arial"/>
          <w:lang w:val="x-none" w:eastAsia="es-ES"/>
        </w:rPr>
        <w:t xml:space="preserve"> para establecer el método de ponderación</w:t>
      </w:r>
      <w:r w:rsidRPr="00CD4D9D">
        <w:rPr>
          <w:rFonts w:ascii="Verdana" w:eastAsia="Calibri" w:hAnsi="Verdana" w:cs="Arial"/>
          <w:lang w:val="es-ES" w:eastAsia="es-ES"/>
        </w:rPr>
        <w:t>,</w:t>
      </w:r>
      <w:r w:rsidRPr="00CD4D9D">
        <w:rPr>
          <w:rFonts w:ascii="Verdana" w:eastAsia="Calibri" w:hAnsi="Verdana" w:cs="Arial"/>
          <w:lang w:val="x-none" w:eastAsia="es-ES"/>
        </w:rPr>
        <w:t xml:space="preserve"> tomará los centavos de la Tasa de Cambio Representativa del Mercado (TRM), certificada por la Superintendencia Financiera de Colombia</w:t>
      </w:r>
      <w:r w:rsidRPr="00CD4D9D">
        <w:rPr>
          <w:rFonts w:ascii="Verdana" w:eastAsia="Calibri" w:hAnsi="Verdana" w:cs="Arial"/>
          <w:color w:val="3A3A3A"/>
          <w:lang w:val="x-none" w:eastAsia="es-ES"/>
        </w:rPr>
        <w:t>.</w:t>
      </w:r>
      <w:r w:rsidRPr="00CD4D9D">
        <w:rPr>
          <w:rFonts w:ascii="Verdana" w:eastAsia="Calibri" w:hAnsi="Verdana" w:cs="Arial"/>
          <w:lang w:val="x-none" w:eastAsia="es-ES"/>
        </w:rPr>
        <w:t xml:space="preserve"> </w:t>
      </w:r>
      <w:r>
        <w:rPr>
          <w:rFonts w:ascii="Verdana" w:eastAsia="Calibri" w:hAnsi="Verdana" w:cs="Arial"/>
          <w:lang w:val="x-none" w:eastAsia="es-ES"/>
        </w:rPr>
        <w:t>Al respecto, el documento base señala lo siguiente:</w:t>
      </w:r>
    </w:p>
    <w:p w14:paraId="5748F15A" w14:textId="77777777" w:rsidR="003C2FEE" w:rsidRDefault="003C2FEE" w:rsidP="003C2FEE">
      <w:pPr>
        <w:tabs>
          <w:tab w:val="left" w:pos="-142"/>
        </w:tabs>
        <w:autoSpaceDE w:val="0"/>
        <w:autoSpaceDN w:val="0"/>
        <w:adjustRightInd w:val="0"/>
        <w:spacing w:after="0" w:line="276" w:lineRule="auto"/>
        <w:ind w:left="720"/>
        <w:jc w:val="both"/>
        <w:outlineLvl w:val="2"/>
        <w:rPr>
          <w:rFonts w:ascii="Verdana" w:eastAsia="Calibri" w:hAnsi="Verdana" w:cs="Arial"/>
          <w:lang w:val="x-none" w:eastAsia="es-ES"/>
        </w:rPr>
      </w:pPr>
    </w:p>
    <w:p w14:paraId="245FDE4B" w14:textId="77777777" w:rsidR="003C2FEE" w:rsidRPr="00BD4973" w:rsidRDefault="003C2FEE" w:rsidP="003C2FEE">
      <w:pPr>
        <w:ind w:left="709" w:right="709"/>
        <w:jc w:val="both"/>
        <w:rPr>
          <w:rFonts w:ascii="Verdana" w:hAnsi="Verdana"/>
          <w:sz w:val="21"/>
          <w:szCs w:val="21"/>
          <w:lang w:val="es-MX"/>
        </w:rPr>
      </w:pPr>
      <w:r w:rsidRPr="00BD4973">
        <w:rPr>
          <w:rFonts w:ascii="Verdana" w:hAnsi="Verdana"/>
          <w:sz w:val="21"/>
          <w:szCs w:val="21"/>
          <w:lang w:val="es-MX"/>
        </w:rPr>
        <w:t>“La entidad seleccionará el método de ponderación de la propuesta económica de acuerdo con las siguientes alternativas:</w:t>
      </w:r>
    </w:p>
    <w:tbl>
      <w:tblPr>
        <w:tblStyle w:val="Tablaconcuadrcula"/>
        <w:tblW w:w="0" w:type="auto"/>
        <w:jc w:val="center"/>
        <w:tblLook w:val="04A0" w:firstRow="1" w:lastRow="0" w:firstColumn="1" w:lastColumn="0" w:noHBand="0" w:noVBand="1"/>
      </w:tblPr>
      <w:tblGrid>
        <w:gridCol w:w="2573"/>
        <w:gridCol w:w="2644"/>
      </w:tblGrid>
      <w:tr w:rsidR="003C2FEE" w:rsidRPr="00BD4973" w14:paraId="04DCC716" w14:textId="77777777" w:rsidTr="00D17264">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0CDF997F" w14:textId="77777777" w:rsidR="003C2FEE" w:rsidRPr="00B21006" w:rsidRDefault="003C2FEE" w:rsidP="00D17264">
            <w:pPr>
              <w:spacing w:line="276" w:lineRule="auto"/>
              <w:ind w:left="709" w:right="709"/>
              <w:jc w:val="both"/>
              <w:rPr>
                <w:rFonts w:ascii="Verdana" w:hAnsi="Verdana" w:cs="Arial"/>
                <w:b/>
                <w:bCs/>
                <w:color w:val="FFFFFF" w:themeColor="background1"/>
                <w:sz w:val="18"/>
                <w:szCs w:val="18"/>
              </w:rPr>
            </w:pPr>
            <w:bookmarkStart w:id="6" w:name="_Hlk511666058"/>
            <w:r w:rsidRPr="00B21006">
              <w:rPr>
                <w:rFonts w:ascii="Verdana" w:hAnsi="Verdana" w:cs="Arial"/>
                <w:b/>
                <w:bCs/>
                <w:color w:val="FFFFFF" w:themeColor="background1"/>
                <w:sz w:val="18"/>
                <w:szCs w:val="18"/>
              </w:rPr>
              <w:lastRenderedPageBreak/>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79106417" w14:textId="77777777" w:rsidR="003C2FEE" w:rsidRPr="00B21006" w:rsidRDefault="003C2FEE" w:rsidP="00D17264">
            <w:pPr>
              <w:spacing w:line="276" w:lineRule="auto"/>
              <w:ind w:left="709" w:right="709"/>
              <w:jc w:val="both"/>
              <w:rPr>
                <w:rFonts w:ascii="Verdana" w:hAnsi="Verdana" w:cs="Arial"/>
                <w:b/>
                <w:bCs/>
                <w:color w:val="FFFFFF" w:themeColor="background1"/>
                <w:sz w:val="18"/>
                <w:szCs w:val="18"/>
              </w:rPr>
            </w:pPr>
            <w:r w:rsidRPr="00B21006">
              <w:rPr>
                <w:rFonts w:ascii="Verdana" w:hAnsi="Verdana" w:cs="Arial"/>
                <w:b/>
                <w:bCs/>
                <w:color w:val="FFFFFF" w:themeColor="background1"/>
                <w:sz w:val="18"/>
                <w:szCs w:val="18"/>
              </w:rPr>
              <w:t>Método</w:t>
            </w:r>
          </w:p>
        </w:tc>
      </w:tr>
      <w:tr w:rsidR="003C2FEE" w:rsidRPr="00BD4973" w14:paraId="5C9005D0" w14:textId="77777777" w:rsidTr="00D17264">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24CE4CB8" w14:textId="77777777" w:rsidR="003C2FEE" w:rsidRPr="00B21006" w:rsidRDefault="003C2FEE" w:rsidP="00D17264">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1961EB63" w14:textId="77777777" w:rsidR="003C2FEE" w:rsidRPr="00B21006" w:rsidRDefault="003C2FEE" w:rsidP="00D17264">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Mediana con valor absoluto</w:t>
            </w:r>
          </w:p>
        </w:tc>
      </w:tr>
      <w:tr w:rsidR="003C2FEE" w:rsidRPr="00BD4973" w14:paraId="0092DD4C" w14:textId="77777777" w:rsidTr="00D17264">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1C3BD608" w14:textId="77777777" w:rsidR="003C2FEE" w:rsidRPr="00B21006" w:rsidRDefault="003C2FEE" w:rsidP="00D17264">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3E8E9FBD" w14:textId="77777777" w:rsidR="003C2FEE" w:rsidRPr="00B21006" w:rsidRDefault="003C2FEE" w:rsidP="00D17264">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Media geométrica</w:t>
            </w:r>
          </w:p>
        </w:tc>
      </w:tr>
      <w:tr w:rsidR="003C2FEE" w:rsidRPr="00BD4973" w14:paraId="6937D354" w14:textId="77777777" w:rsidTr="00D17264">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1D40529A" w14:textId="77777777" w:rsidR="003C2FEE" w:rsidRPr="00B21006" w:rsidRDefault="003C2FEE" w:rsidP="00D17264">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3</w:t>
            </w:r>
          </w:p>
        </w:tc>
        <w:tc>
          <w:tcPr>
            <w:tcW w:w="1984" w:type="dxa"/>
            <w:tcBorders>
              <w:top w:val="single" w:sz="4" w:space="0" w:color="auto"/>
              <w:left w:val="single" w:sz="4" w:space="0" w:color="auto"/>
              <w:bottom w:val="single" w:sz="4" w:space="0" w:color="auto"/>
              <w:right w:val="double" w:sz="4" w:space="0" w:color="auto"/>
            </w:tcBorders>
            <w:vAlign w:val="center"/>
          </w:tcPr>
          <w:p w14:paraId="47AD94F2" w14:textId="77777777" w:rsidR="003C2FEE" w:rsidRPr="00B21006" w:rsidRDefault="003C2FEE" w:rsidP="00D17264">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Media aritmética baja</w:t>
            </w:r>
          </w:p>
        </w:tc>
      </w:tr>
      <w:tr w:rsidR="003C2FEE" w:rsidRPr="00BD4973" w14:paraId="26F75249" w14:textId="77777777" w:rsidTr="00D17264">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1DB323B8" w14:textId="77777777" w:rsidR="003C2FEE" w:rsidRPr="00B21006" w:rsidRDefault="003C2FEE" w:rsidP="00D17264">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4</w:t>
            </w:r>
          </w:p>
        </w:tc>
        <w:tc>
          <w:tcPr>
            <w:tcW w:w="1984" w:type="dxa"/>
            <w:tcBorders>
              <w:top w:val="single" w:sz="4" w:space="0" w:color="auto"/>
              <w:left w:val="single" w:sz="4" w:space="0" w:color="auto"/>
              <w:bottom w:val="double" w:sz="4" w:space="0" w:color="auto"/>
              <w:right w:val="double" w:sz="4" w:space="0" w:color="auto"/>
            </w:tcBorders>
            <w:vAlign w:val="center"/>
          </w:tcPr>
          <w:p w14:paraId="7C6E1A63" w14:textId="77777777" w:rsidR="003C2FEE" w:rsidRPr="00B21006" w:rsidRDefault="003C2FEE" w:rsidP="00D17264">
            <w:pPr>
              <w:spacing w:line="276" w:lineRule="auto"/>
              <w:ind w:left="709" w:right="709"/>
              <w:jc w:val="both"/>
              <w:rPr>
                <w:rFonts w:ascii="Verdana" w:hAnsi="Verdana" w:cs="Arial"/>
                <w:sz w:val="18"/>
                <w:szCs w:val="18"/>
                <w:lang w:val="es-ES"/>
              </w:rPr>
            </w:pPr>
            <w:r w:rsidRPr="00B21006">
              <w:rPr>
                <w:rFonts w:ascii="Verdana" w:hAnsi="Verdana" w:cs="Arial"/>
                <w:sz w:val="18"/>
                <w:szCs w:val="18"/>
                <w:lang w:val="es-ES"/>
              </w:rPr>
              <w:t>Menor valor</w:t>
            </w:r>
          </w:p>
        </w:tc>
      </w:tr>
    </w:tbl>
    <w:bookmarkEnd w:id="6"/>
    <w:p w14:paraId="791C79D5" w14:textId="77777777" w:rsidR="003C2FEE" w:rsidRPr="00BD4973" w:rsidRDefault="003C2FEE" w:rsidP="003C2FEE">
      <w:pPr>
        <w:ind w:left="709" w:right="709"/>
        <w:jc w:val="both"/>
        <w:rPr>
          <w:rFonts w:ascii="Verdana" w:hAnsi="Verdana"/>
          <w:sz w:val="21"/>
          <w:szCs w:val="21"/>
          <w:lang w:val="es-MX"/>
        </w:rPr>
      </w:pPr>
      <w:r w:rsidRPr="00BD4973">
        <w:rPr>
          <w:rFonts w:ascii="Verdana" w:hAnsi="Verdana"/>
          <w:sz w:val="21"/>
          <w:szCs w:val="21"/>
          <w:lang w:val="es-MX"/>
        </w:rPr>
        <w:t>Para determinar el método de ponderación, la entidad tomará los centavos de la Tasa de Cambio Representativa del Mercado (TRM), certificada por la Superintendencia Financiera de Colombia (en su sitio web: https://www.superfinanciera.gov.co/publicacion/60819).</w:t>
      </w:r>
    </w:p>
    <w:p w14:paraId="547ACCE0" w14:textId="77777777" w:rsidR="003C2FEE" w:rsidRPr="00BD4973" w:rsidRDefault="003C2FEE" w:rsidP="003C2FEE">
      <w:pPr>
        <w:ind w:left="709" w:right="709"/>
        <w:jc w:val="both"/>
        <w:rPr>
          <w:rFonts w:ascii="Verdana" w:hAnsi="Verdana"/>
          <w:sz w:val="21"/>
          <w:szCs w:val="21"/>
          <w:lang w:val="es-MX"/>
        </w:rPr>
      </w:pPr>
      <w:r w:rsidRPr="00BD4973">
        <w:rPr>
          <w:rFonts w:ascii="Verdana" w:hAnsi="Verdana"/>
          <w:sz w:val="21"/>
          <w:szCs w:val="21"/>
        </w:rPr>
        <w:t>El día de la audiencia efectiva de adjudicación, la entidad iniciará respondiendo y resolviendo las observaciones presentadas al informe de evaluación, de conformidad con el numeral 2.6. Después, la entidad iniciará la apertura de los sobres de las ofertas económicas, verificará, si procede, determinará las correcciones aritméticas y solicitará la justificación de precios artificialmente bajos a que haya lugar, si es necesario, la entidad se pronunciará sobre las ofertas requeridas en los términos del numeral 4.1.3. Posteriormente, la entidad definirá el método de ponderación de las propuestas de acuerdo con las siguientes reglas:</w:t>
      </w:r>
      <w:r w:rsidRPr="00BD4973">
        <w:rPr>
          <w:rFonts w:ascii="Verdana" w:hAnsi="Verdana"/>
          <w:sz w:val="21"/>
          <w:szCs w:val="21"/>
          <w:lang w:val="es-MX"/>
        </w:rPr>
        <w:t> </w:t>
      </w:r>
    </w:p>
    <w:p w14:paraId="061287D1" w14:textId="77777777" w:rsidR="003C2FEE" w:rsidRPr="00BD4973" w:rsidRDefault="003C2FEE" w:rsidP="003C2FEE">
      <w:pPr>
        <w:pStyle w:val="Prrafodelista"/>
        <w:ind w:left="1416" w:right="709"/>
        <w:jc w:val="both"/>
        <w:rPr>
          <w:rFonts w:ascii="Verdana" w:hAnsi="Verdana"/>
          <w:sz w:val="21"/>
          <w:szCs w:val="21"/>
          <w:lang w:val="es-MX"/>
        </w:rPr>
      </w:pPr>
      <w:r w:rsidRPr="00BD4973">
        <w:rPr>
          <w:rFonts w:ascii="Verdana" w:hAnsi="Verdana"/>
          <w:sz w:val="21"/>
          <w:szCs w:val="21"/>
        </w:rPr>
        <w:t>Una vez agotado el procedimiento anterior, la Entidad deberá pronunciarse sobre las propuestas que han sido rechazadas y las que se encuentran validas. Si este pronunciamiento, se realiza hasta las 3:00 pm, la entidad tomará la TRM que rija para el día hábil siguiente.</w:t>
      </w:r>
      <w:r w:rsidRPr="00BD4973" w:rsidDel="007C178D">
        <w:rPr>
          <w:rFonts w:ascii="Verdana" w:hAnsi="Verdana"/>
          <w:sz w:val="21"/>
          <w:szCs w:val="21"/>
        </w:rPr>
        <w:t xml:space="preserve"> </w:t>
      </w:r>
      <w:r w:rsidRPr="00BD4973">
        <w:rPr>
          <w:rFonts w:ascii="Verdana" w:hAnsi="Verdana"/>
          <w:sz w:val="21"/>
          <w:szCs w:val="21"/>
        </w:rPr>
        <w:t>En caso contrario, cuando el pronunciamiento se dé después de las 3:00 pm, la entidad tomará la TRM que rija para el segundo día hábil siguiente.</w:t>
      </w:r>
    </w:p>
    <w:p w14:paraId="0FF1199F" w14:textId="77777777" w:rsidR="003C2FEE" w:rsidRPr="00BD4973" w:rsidRDefault="003C2FEE" w:rsidP="003C2FEE">
      <w:pPr>
        <w:ind w:left="709" w:right="709"/>
        <w:jc w:val="both"/>
        <w:rPr>
          <w:rFonts w:ascii="Verdana" w:hAnsi="Verdana"/>
          <w:sz w:val="21"/>
          <w:szCs w:val="21"/>
          <w:lang w:val="es-MX"/>
        </w:rPr>
      </w:pPr>
      <w:r w:rsidRPr="00BD4973">
        <w:rPr>
          <w:rFonts w:ascii="Verdana" w:hAnsi="Verdana"/>
          <w:sz w:val="21"/>
          <w:szCs w:val="21"/>
        </w:rPr>
        <w:t>En este sentido, atendiendo a las circunstancias anteriores y las particularidades de cada caso, la entidad podrá optar por suspender la audiencia y reiniciarla cuando lo considere conveniente.</w:t>
      </w:r>
    </w:p>
    <w:p w14:paraId="2F70A12F" w14:textId="77777777" w:rsidR="003C2FEE" w:rsidRPr="00BD4973" w:rsidRDefault="003C2FEE" w:rsidP="003C2FEE">
      <w:pPr>
        <w:ind w:left="709" w:right="709"/>
        <w:jc w:val="both"/>
        <w:rPr>
          <w:rFonts w:ascii="Verdana" w:hAnsi="Verdana"/>
          <w:sz w:val="21"/>
          <w:szCs w:val="21"/>
          <w:lang w:val="es-MX"/>
        </w:rPr>
      </w:pPr>
      <w:r w:rsidRPr="00BD4973">
        <w:rPr>
          <w:rFonts w:ascii="Verdana" w:hAnsi="Verdana"/>
          <w:sz w:val="21"/>
          <w:szCs w:val="21"/>
        </w:rPr>
        <w:t>Una vez definido el método de ponderación de la oferta económica el mismo seguirá rigiendo aun cuando la entidad deba suspender la audiencia.</w:t>
      </w:r>
    </w:p>
    <w:p w14:paraId="0EE4594D" w14:textId="77777777" w:rsidR="003C2FEE" w:rsidRPr="00BD4973" w:rsidRDefault="003C2FEE" w:rsidP="003C2FEE">
      <w:pPr>
        <w:ind w:left="709" w:right="709"/>
        <w:jc w:val="both"/>
        <w:rPr>
          <w:rFonts w:ascii="Verdana" w:hAnsi="Verdana"/>
          <w:sz w:val="21"/>
          <w:szCs w:val="21"/>
          <w:lang w:val="es-MX"/>
        </w:rPr>
      </w:pPr>
      <w:r w:rsidRPr="00BD4973">
        <w:rPr>
          <w:rFonts w:ascii="Verdana" w:hAnsi="Verdana"/>
          <w:sz w:val="21"/>
          <w:szCs w:val="21"/>
        </w:rPr>
        <w:lastRenderedPageBreak/>
        <w:t>Al momento de definir o modificar el cronograma del Proceso de Contratación la entidad deberá verificar que el día hábil siguiente a la fecha de apertura de las ofertas económicas no corresponda a un día festivo en Estados Unidos, con el objetivo de no afectar el proceso de definición del método de ponderación de las propuestas.</w:t>
      </w:r>
      <w:r w:rsidRPr="00BD4973">
        <w:rPr>
          <w:rFonts w:ascii="Verdana" w:hAnsi="Verdana"/>
          <w:sz w:val="21"/>
          <w:szCs w:val="21"/>
          <w:lang w:val="es-MX"/>
        </w:rPr>
        <w:t> </w:t>
      </w:r>
    </w:p>
    <w:p w14:paraId="69428E8D" w14:textId="77777777" w:rsidR="003C2FEE" w:rsidRPr="00BD4973" w:rsidRDefault="003C2FEE" w:rsidP="003C2FEE">
      <w:pPr>
        <w:ind w:left="709" w:right="709"/>
        <w:jc w:val="both"/>
        <w:rPr>
          <w:rFonts w:ascii="Verdana" w:hAnsi="Verdana"/>
          <w:sz w:val="21"/>
          <w:szCs w:val="21"/>
          <w:lang w:val="es-MX"/>
        </w:rPr>
      </w:pPr>
      <w:r w:rsidRPr="00BD4973">
        <w:rPr>
          <w:rFonts w:ascii="Verdana" w:hAnsi="Verdana"/>
          <w:sz w:val="21"/>
          <w:szCs w:val="21"/>
          <w:lang w:val="es-MX"/>
        </w:rPr>
        <w:t>El método de ponderación se determinará de acuerdo con los rangos del siguiente cuadro:</w:t>
      </w: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61"/>
        <w:gridCol w:w="2349"/>
        <w:gridCol w:w="3079"/>
      </w:tblGrid>
      <w:tr w:rsidR="003C2FEE" w:rsidRPr="00BD4973" w14:paraId="4FCE6465" w14:textId="77777777" w:rsidTr="00D17264">
        <w:trPr>
          <w:trHeight w:val="12"/>
          <w:tblHeader/>
        </w:trPr>
        <w:tc>
          <w:tcPr>
            <w:tcW w:w="0" w:type="auto"/>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39639E2D" w14:textId="77777777" w:rsidR="003C2FEE" w:rsidRPr="00B21006" w:rsidRDefault="003C2FEE" w:rsidP="00D17264">
            <w:pPr>
              <w:spacing w:after="0" w:line="276" w:lineRule="auto"/>
              <w:ind w:left="709" w:right="709"/>
              <w:jc w:val="both"/>
              <w:rPr>
                <w:rFonts w:ascii="Verdana" w:eastAsia="Arial,Calibri" w:hAnsi="Verdana" w:cs="Arial"/>
                <w:b/>
                <w:bCs/>
                <w:color w:val="FFFFFF" w:themeColor="background1"/>
                <w:sz w:val="16"/>
                <w:szCs w:val="16"/>
              </w:rPr>
            </w:pPr>
            <w:r w:rsidRPr="00B21006">
              <w:rPr>
                <w:rFonts w:ascii="Verdana" w:hAnsi="Verdana" w:cs="Arial"/>
                <w:b/>
                <w:bCs/>
                <w:color w:val="FFFFFF" w:themeColor="background1"/>
                <w:sz w:val="16"/>
                <w:szCs w:val="16"/>
              </w:rPr>
              <w:t>Rango</w:t>
            </w:r>
            <w:r w:rsidRPr="00B21006">
              <w:rPr>
                <w:rFonts w:ascii="Verdana" w:eastAsia="Arial,Calibri" w:hAnsi="Verdana" w:cs="Arial"/>
                <w:b/>
                <w:bCs/>
                <w:color w:val="FFFFFF" w:themeColor="background1"/>
                <w:sz w:val="16"/>
                <w:szCs w:val="16"/>
              </w:rPr>
              <w:t xml:space="preserve"> </w:t>
            </w:r>
            <w:r w:rsidRPr="00B21006">
              <w:rPr>
                <w:rFonts w:ascii="Verdana" w:hAnsi="Verdana" w:cs="Arial"/>
                <w:b/>
                <w:bCs/>
                <w:color w:val="FFFFFF" w:themeColor="background1"/>
                <w:sz w:val="16"/>
                <w:szCs w:val="16"/>
              </w:rPr>
              <w:t>(inclusive)</w:t>
            </w:r>
          </w:p>
        </w:tc>
        <w:tc>
          <w:tcPr>
            <w:tcW w:w="0" w:type="auto"/>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3DB7EDDA" w14:textId="77777777" w:rsidR="003C2FEE" w:rsidRPr="00B21006" w:rsidRDefault="003C2FEE" w:rsidP="00D17264">
            <w:pPr>
              <w:spacing w:after="0" w:line="276" w:lineRule="auto"/>
              <w:ind w:left="709" w:right="709"/>
              <w:jc w:val="both"/>
              <w:rPr>
                <w:rFonts w:ascii="Verdana" w:eastAsia="Arial,Calibri" w:hAnsi="Verdana" w:cs="Arial"/>
                <w:b/>
                <w:bCs/>
                <w:color w:val="FFFFFF" w:themeColor="background1"/>
                <w:sz w:val="16"/>
                <w:szCs w:val="16"/>
              </w:rPr>
            </w:pPr>
            <w:r w:rsidRPr="00B21006">
              <w:rPr>
                <w:rFonts w:ascii="Verdana" w:hAnsi="Verdana" w:cs="Arial"/>
                <w:b/>
                <w:bCs/>
                <w:color w:val="FFFFFF" w:themeColor="background1"/>
                <w:sz w:val="16"/>
                <w:szCs w:val="16"/>
              </w:rPr>
              <w:t>Número</w:t>
            </w:r>
          </w:p>
        </w:tc>
        <w:tc>
          <w:tcPr>
            <w:tcW w:w="3079"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542CA54D" w14:textId="77777777" w:rsidR="003C2FEE" w:rsidRPr="00B21006" w:rsidRDefault="003C2FEE" w:rsidP="00D17264">
            <w:pPr>
              <w:spacing w:after="0" w:line="276" w:lineRule="auto"/>
              <w:ind w:left="709" w:right="709"/>
              <w:jc w:val="both"/>
              <w:rPr>
                <w:rFonts w:ascii="Verdana" w:eastAsia="Arial,Calibri" w:hAnsi="Verdana" w:cs="Arial"/>
                <w:b/>
                <w:bCs/>
                <w:color w:val="FFFFFF" w:themeColor="background1"/>
                <w:sz w:val="16"/>
                <w:szCs w:val="16"/>
              </w:rPr>
            </w:pPr>
            <w:r w:rsidRPr="00B21006">
              <w:rPr>
                <w:rFonts w:ascii="Verdana" w:hAnsi="Verdana" w:cs="Arial"/>
                <w:b/>
                <w:bCs/>
                <w:color w:val="FFFFFF" w:themeColor="background1"/>
                <w:sz w:val="16"/>
                <w:szCs w:val="16"/>
              </w:rPr>
              <w:t>Método</w:t>
            </w:r>
          </w:p>
        </w:tc>
      </w:tr>
      <w:tr w:rsidR="003C2FEE" w:rsidRPr="00BD4973" w14:paraId="30963943" w14:textId="77777777" w:rsidTr="00D17264">
        <w:trPr>
          <w:trHeight w:val="12"/>
        </w:trPr>
        <w:tc>
          <w:tcPr>
            <w:tcW w:w="0" w:type="auto"/>
            <w:tcBorders>
              <w:top w:val="single" w:sz="4" w:space="0" w:color="auto"/>
              <w:left w:val="double" w:sz="4" w:space="0" w:color="auto"/>
              <w:bottom w:val="single" w:sz="4" w:space="0" w:color="auto"/>
              <w:right w:val="single" w:sz="4" w:space="0" w:color="auto"/>
            </w:tcBorders>
            <w:vAlign w:val="center"/>
            <w:hideMark/>
          </w:tcPr>
          <w:p w14:paraId="3BEE6656" w14:textId="77777777" w:rsidR="003C2FEE" w:rsidRPr="00B21006" w:rsidRDefault="003C2FEE" w:rsidP="00D17264">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De 0.00 a 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43D8BD72" w14:textId="77777777" w:rsidR="003C2FEE" w:rsidRPr="00B21006" w:rsidRDefault="003C2FEE" w:rsidP="00D17264">
            <w:pPr>
              <w:spacing w:after="0" w:line="276" w:lineRule="auto"/>
              <w:ind w:left="709" w:right="709"/>
              <w:jc w:val="both"/>
              <w:rPr>
                <w:rFonts w:ascii="Verdana" w:eastAsia="Arial,Times New Roman" w:hAnsi="Verdana" w:cs="Arial"/>
                <w:sz w:val="16"/>
                <w:szCs w:val="16"/>
                <w:lang w:val="es-ES" w:eastAsia="es-CO"/>
              </w:rPr>
            </w:pPr>
            <w:r w:rsidRPr="00B21006">
              <w:rPr>
                <w:rFonts w:ascii="Verdana" w:hAnsi="Verdana" w:cs="Arial"/>
                <w:sz w:val="16"/>
                <w:szCs w:val="16"/>
                <w:lang w:val="es-ES" w:eastAsia="es-CO"/>
              </w:rPr>
              <w:t>1</w:t>
            </w:r>
          </w:p>
        </w:tc>
        <w:tc>
          <w:tcPr>
            <w:tcW w:w="3079" w:type="dxa"/>
            <w:tcBorders>
              <w:top w:val="single" w:sz="4" w:space="0" w:color="auto"/>
              <w:left w:val="single" w:sz="4" w:space="0" w:color="auto"/>
              <w:bottom w:val="single" w:sz="4" w:space="0" w:color="auto"/>
              <w:right w:val="double" w:sz="4" w:space="0" w:color="auto"/>
            </w:tcBorders>
            <w:vAlign w:val="center"/>
            <w:hideMark/>
          </w:tcPr>
          <w:p w14:paraId="6CE88DD6" w14:textId="77777777" w:rsidR="003C2FEE" w:rsidRPr="00B21006" w:rsidRDefault="003C2FEE" w:rsidP="00D17264">
            <w:pPr>
              <w:spacing w:after="0" w:line="276" w:lineRule="auto"/>
              <w:ind w:left="709" w:right="709"/>
              <w:jc w:val="both"/>
              <w:rPr>
                <w:rFonts w:ascii="Verdana" w:eastAsia="Arial,Times New Roman" w:hAnsi="Verdana" w:cs="Arial"/>
                <w:sz w:val="16"/>
                <w:szCs w:val="16"/>
                <w:lang w:val="es-ES" w:eastAsia="es-CO"/>
              </w:rPr>
            </w:pPr>
            <w:r w:rsidRPr="00B21006">
              <w:rPr>
                <w:rFonts w:ascii="Verdana" w:hAnsi="Verdana" w:cs="Arial"/>
                <w:sz w:val="16"/>
                <w:szCs w:val="16"/>
                <w:lang w:val="es-ES" w:eastAsia="es-CO"/>
              </w:rPr>
              <w:t>Mediana con valor absoluto</w:t>
            </w:r>
          </w:p>
        </w:tc>
      </w:tr>
      <w:tr w:rsidR="003C2FEE" w:rsidRPr="00BD4973" w14:paraId="3174A177" w14:textId="77777777" w:rsidTr="00D17264">
        <w:trPr>
          <w:trHeight w:val="26"/>
        </w:trPr>
        <w:tc>
          <w:tcPr>
            <w:tcW w:w="0" w:type="auto"/>
            <w:tcBorders>
              <w:top w:val="single" w:sz="4" w:space="0" w:color="auto"/>
              <w:left w:val="double" w:sz="4" w:space="0" w:color="auto"/>
              <w:bottom w:val="single" w:sz="4" w:space="0" w:color="auto"/>
              <w:right w:val="single" w:sz="4" w:space="0" w:color="auto"/>
            </w:tcBorders>
            <w:vAlign w:val="center"/>
            <w:hideMark/>
          </w:tcPr>
          <w:p w14:paraId="0E1F962F" w14:textId="77777777" w:rsidR="003C2FEE" w:rsidRPr="00B21006" w:rsidRDefault="003C2FEE" w:rsidP="00D17264">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De 0.25 a 0.49</w:t>
            </w:r>
          </w:p>
        </w:tc>
        <w:tc>
          <w:tcPr>
            <w:tcW w:w="0" w:type="auto"/>
            <w:tcBorders>
              <w:top w:val="single" w:sz="4" w:space="0" w:color="auto"/>
              <w:left w:val="single" w:sz="4" w:space="0" w:color="auto"/>
              <w:bottom w:val="single" w:sz="4" w:space="0" w:color="auto"/>
              <w:right w:val="single" w:sz="4" w:space="0" w:color="auto"/>
            </w:tcBorders>
            <w:vAlign w:val="center"/>
            <w:hideMark/>
          </w:tcPr>
          <w:p w14:paraId="6CD1508E" w14:textId="77777777" w:rsidR="003C2FEE" w:rsidRPr="00B21006" w:rsidRDefault="003C2FEE" w:rsidP="00D17264">
            <w:pPr>
              <w:spacing w:after="0" w:line="276" w:lineRule="auto"/>
              <w:ind w:left="709" w:right="709"/>
              <w:jc w:val="both"/>
              <w:rPr>
                <w:rFonts w:ascii="Verdana" w:eastAsia="Arial,Times New Roman" w:hAnsi="Verdana" w:cs="Arial"/>
                <w:sz w:val="16"/>
                <w:szCs w:val="16"/>
                <w:lang w:val="es-ES" w:eastAsia="es-CO"/>
              </w:rPr>
            </w:pPr>
            <w:r w:rsidRPr="00B21006">
              <w:rPr>
                <w:rFonts w:ascii="Verdana" w:eastAsia="Arial,Times New Roman" w:hAnsi="Verdana" w:cs="Arial"/>
                <w:sz w:val="16"/>
                <w:szCs w:val="16"/>
                <w:lang w:val="es-ES" w:eastAsia="es-CO"/>
              </w:rPr>
              <w:t>2</w:t>
            </w:r>
          </w:p>
        </w:tc>
        <w:tc>
          <w:tcPr>
            <w:tcW w:w="3079" w:type="dxa"/>
            <w:tcBorders>
              <w:top w:val="single" w:sz="4" w:space="0" w:color="auto"/>
              <w:left w:val="single" w:sz="4" w:space="0" w:color="auto"/>
              <w:bottom w:val="single" w:sz="4" w:space="0" w:color="auto"/>
              <w:right w:val="double" w:sz="4" w:space="0" w:color="auto"/>
            </w:tcBorders>
            <w:vAlign w:val="center"/>
            <w:hideMark/>
          </w:tcPr>
          <w:p w14:paraId="350C3C5E" w14:textId="77777777" w:rsidR="003C2FEE" w:rsidRPr="00B21006" w:rsidRDefault="003C2FEE" w:rsidP="00D17264">
            <w:pPr>
              <w:spacing w:after="0" w:line="276" w:lineRule="auto"/>
              <w:ind w:left="709" w:right="709"/>
              <w:jc w:val="both"/>
              <w:rPr>
                <w:rFonts w:ascii="Verdana" w:eastAsia="Arial,Times New Roman" w:hAnsi="Verdana" w:cs="Arial"/>
                <w:sz w:val="16"/>
                <w:szCs w:val="16"/>
                <w:lang w:val="es-ES" w:eastAsia="es-CO"/>
              </w:rPr>
            </w:pPr>
            <w:r w:rsidRPr="00B21006">
              <w:rPr>
                <w:rFonts w:ascii="Verdana" w:hAnsi="Verdana" w:cs="Arial"/>
                <w:sz w:val="16"/>
                <w:szCs w:val="16"/>
                <w:lang w:val="es-ES" w:eastAsia="es-CO"/>
              </w:rPr>
              <w:t>Media geométrica</w:t>
            </w:r>
          </w:p>
        </w:tc>
      </w:tr>
      <w:tr w:rsidR="003C2FEE" w:rsidRPr="00BD4973" w14:paraId="03FAC2A1" w14:textId="77777777" w:rsidTr="00D17264">
        <w:trPr>
          <w:trHeight w:val="12"/>
        </w:trPr>
        <w:tc>
          <w:tcPr>
            <w:tcW w:w="0" w:type="auto"/>
            <w:tcBorders>
              <w:top w:val="single" w:sz="4" w:space="0" w:color="auto"/>
              <w:left w:val="double" w:sz="4" w:space="0" w:color="auto"/>
              <w:bottom w:val="single" w:sz="4" w:space="0" w:color="auto"/>
              <w:right w:val="single" w:sz="4" w:space="0" w:color="auto"/>
            </w:tcBorders>
            <w:vAlign w:val="center"/>
          </w:tcPr>
          <w:p w14:paraId="6263185D" w14:textId="77777777" w:rsidR="003C2FEE" w:rsidRPr="00B21006" w:rsidRDefault="003C2FEE" w:rsidP="00D17264">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De 0.50 a 0.74</w:t>
            </w:r>
          </w:p>
        </w:tc>
        <w:tc>
          <w:tcPr>
            <w:tcW w:w="0" w:type="auto"/>
            <w:tcBorders>
              <w:top w:val="single" w:sz="4" w:space="0" w:color="auto"/>
              <w:left w:val="single" w:sz="4" w:space="0" w:color="auto"/>
              <w:bottom w:val="single" w:sz="4" w:space="0" w:color="auto"/>
              <w:right w:val="single" w:sz="4" w:space="0" w:color="auto"/>
            </w:tcBorders>
            <w:vAlign w:val="center"/>
          </w:tcPr>
          <w:p w14:paraId="0EAA823A" w14:textId="77777777" w:rsidR="003C2FEE" w:rsidRPr="00B21006" w:rsidRDefault="003C2FEE" w:rsidP="00D17264">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3</w:t>
            </w:r>
          </w:p>
        </w:tc>
        <w:tc>
          <w:tcPr>
            <w:tcW w:w="3079" w:type="dxa"/>
            <w:tcBorders>
              <w:top w:val="single" w:sz="4" w:space="0" w:color="auto"/>
              <w:left w:val="single" w:sz="4" w:space="0" w:color="auto"/>
              <w:bottom w:val="single" w:sz="4" w:space="0" w:color="auto"/>
              <w:right w:val="double" w:sz="4" w:space="0" w:color="auto"/>
            </w:tcBorders>
            <w:vAlign w:val="center"/>
          </w:tcPr>
          <w:p w14:paraId="3E52A7C3" w14:textId="77777777" w:rsidR="003C2FEE" w:rsidRPr="00B21006" w:rsidRDefault="003C2FEE" w:rsidP="00D17264">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Media aritmética baja</w:t>
            </w:r>
          </w:p>
        </w:tc>
      </w:tr>
      <w:tr w:rsidR="003C2FEE" w:rsidRPr="00BD4973" w14:paraId="5491B21B" w14:textId="77777777" w:rsidTr="00D17264">
        <w:trPr>
          <w:trHeight w:val="12"/>
        </w:trPr>
        <w:tc>
          <w:tcPr>
            <w:tcW w:w="0" w:type="auto"/>
            <w:tcBorders>
              <w:top w:val="single" w:sz="4" w:space="0" w:color="auto"/>
              <w:left w:val="double" w:sz="4" w:space="0" w:color="auto"/>
              <w:bottom w:val="double" w:sz="4" w:space="0" w:color="auto"/>
              <w:right w:val="single" w:sz="4" w:space="0" w:color="auto"/>
            </w:tcBorders>
            <w:vAlign w:val="center"/>
          </w:tcPr>
          <w:p w14:paraId="46094559" w14:textId="77777777" w:rsidR="003C2FEE" w:rsidRPr="00B21006" w:rsidRDefault="003C2FEE" w:rsidP="00D17264">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De 0.75 a 0.99</w:t>
            </w:r>
          </w:p>
        </w:tc>
        <w:tc>
          <w:tcPr>
            <w:tcW w:w="0" w:type="auto"/>
            <w:tcBorders>
              <w:top w:val="single" w:sz="4" w:space="0" w:color="auto"/>
              <w:left w:val="single" w:sz="4" w:space="0" w:color="auto"/>
              <w:bottom w:val="double" w:sz="4" w:space="0" w:color="auto"/>
              <w:right w:val="single" w:sz="4" w:space="0" w:color="auto"/>
            </w:tcBorders>
            <w:vAlign w:val="center"/>
          </w:tcPr>
          <w:p w14:paraId="6CB63D46" w14:textId="77777777" w:rsidR="003C2FEE" w:rsidRPr="00B21006" w:rsidRDefault="003C2FEE" w:rsidP="00D17264">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4</w:t>
            </w:r>
          </w:p>
        </w:tc>
        <w:tc>
          <w:tcPr>
            <w:tcW w:w="3079" w:type="dxa"/>
            <w:tcBorders>
              <w:top w:val="single" w:sz="4" w:space="0" w:color="auto"/>
              <w:left w:val="single" w:sz="4" w:space="0" w:color="auto"/>
              <w:bottom w:val="double" w:sz="4" w:space="0" w:color="auto"/>
              <w:right w:val="double" w:sz="4" w:space="0" w:color="auto"/>
            </w:tcBorders>
            <w:vAlign w:val="center"/>
          </w:tcPr>
          <w:p w14:paraId="26598D62" w14:textId="77777777" w:rsidR="003C2FEE" w:rsidRPr="00B21006" w:rsidRDefault="003C2FEE" w:rsidP="00D17264">
            <w:pPr>
              <w:spacing w:after="0" w:line="276" w:lineRule="auto"/>
              <w:ind w:left="709" w:right="709"/>
              <w:jc w:val="both"/>
              <w:rPr>
                <w:rFonts w:ascii="Verdana" w:hAnsi="Verdana" w:cs="Arial"/>
                <w:sz w:val="16"/>
                <w:szCs w:val="16"/>
                <w:lang w:val="es-ES" w:eastAsia="es-CO"/>
              </w:rPr>
            </w:pPr>
            <w:r w:rsidRPr="00B21006">
              <w:rPr>
                <w:rFonts w:ascii="Verdana" w:hAnsi="Verdana" w:cs="Arial"/>
                <w:sz w:val="16"/>
                <w:szCs w:val="16"/>
                <w:lang w:val="es-ES" w:eastAsia="es-CO"/>
              </w:rPr>
              <w:t>Menor valor</w:t>
            </w:r>
          </w:p>
        </w:tc>
      </w:tr>
    </w:tbl>
    <w:p w14:paraId="746A96EA" w14:textId="77777777" w:rsidR="003C2FEE" w:rsidRPr="00BD4973" w:rsidRDefault="003C2FEE" w:rsidP="003C2FEE">
      <w:pPr>
        <w:ind w:left="708" w:right="709"/>
        <w:jc w:val="both"/>
        <w:rPr>
          <w:rFonts w:ascii="Verdana" w:hAnsi="Verdana"/>
          <w:sz w:val="21"/>
          <w:szCs w:val="21"/>
          <w:lang w:val="es-MX"/>
        </w:rPr>
      </w:pPr>
      <w:r w:rsidRPr="00BD4973">
        <w:rPr>
          <w:rFonts w:ascii="Verdana" w:hAnsi="Verdana"/>
          <w:sz w:val="21"/>
          <w:szCs w:val="21"/>
          <w:lang w:val="es-MX"/>
        </w:rPr>
        <w:t>En todos los casos se tendrá en cuenta hasta el séptimo (7°) decimal del valor obtenido como puntaje y las fórmulas se aplicarán con las propuestas que no han sido rechazadas y se encuentran válidas.</w:t>
      </w:r>
    </w:p>
    <w:p w14:paraId="382C786F" w14:textId="77777777" w:rsidR="003C2FEE" w:rsidRPr="00BD4973" w:rsidRDefault="003C2FEE" w:rsidP="003C2FEE">
      <w:pPr>
        <w:ind w:left="709" w:right="709"/>
        <w:jc w:val="both"/>
        <w:rPr>
          <w:rFonts w:ascii="Verdana" w:hAnsi="Verdana"/>
          <w:sz w:val="21"/>
          <w:szCs w:val="21"/>
          <w:lang w:val="es-MX"/>
        </w:rPr>
      </w:pPr>
      <w:r w:rsidRPr="00BD4973">
        <w:rPr>
          <w:rFonts w:ascii="Verdana" w:hAnsi="Verdana"/>
          <w:sz w:val="21"/>
          <w:szCs w:val="21"/>
          <w:highlight w:val="lightGray"/>
          <w:lang w:val="es-MX"/>
        </w:rPr>
        <w:t>[En los procesos de contratación estructurados por lotes, la TRM definirá el método con el cual se asignará el puntaje para el primer lote o segmento a adjudicar, según el orden definido por la entidad. Para la adjudicación del segundo lote o segmento se tomará el siguiente método de acuerdo con la tabla anterior, en orden ascendente de acuerdo con la numeración definida para los rangos, y así sucesivamente; teniendo en cuenta que se reiniciará desde el primer método en caso de agotarse el último método]</w:t>
      </w:r>
    </w:p>
    <w:p w14:paraId="1D1503AE" w14:textId="77777777" w:rsidR="003C2FEE" w:rsidRPr="00BD4973" w:rsidRDefault="003C2FEE" w:rsidP="003C2FEE">
      <w:pPr>
        <w:spacing w:after="0"/>
        <w:ind w:left="709" w:right="709"/>
        <w:jc w:val="both"/>
        <w:rPr>
          <w:rFonts w:ascii="Verdana" w:hAnsi="Verdana"/>
          <w:sz w:val="21"/>
          <w:szCs w:val="21"/>
          <w:lang w:val="es-MX"/>
        </w:rPr>
      </w:pPr>
      <w:r w:rsidRPr="00BD4973">
        <w:rPr>
          <w:rFonts w:ascii="Verdana" w:hAnsi="Verdana"/>
          <w:sz w:val="21"/>
          <w:szCs w:val="21"/>
          <w:lang w:val="es-MX"/>
        </w:rPr>
        <w:t>Las propuestas que al aplicar las fórmulas obtengan puntajes negativos obtienen cero (0) puntos en la oferta económica”.</w:t>
      </w:r>
    </w:p>
    <w:p w14:paraId="4A3AFD62" w14:textId="77777777" w:rsidR="003C2FEE" w:rsidRDefault="003C2FEE" w:rsidP="003C2FEE">
      <w:pPr>
        <w:spacing w:after="0"/>
        <w:ind w:left="709" w:right="709"/>
        <w:jc w:val="both"/>
        <w:rPr>
          <w:lang w:val="es-MX"/>
        </w:rPr>
      </w:pPr>
    </w:p>
    <w:p w14:paraId="541763E7" w14:textId="77777777" w:rsidR="003C2FEE" w:rsidRPr="003E4109" w:rsidRDefault="003C2FEE" w:rsidP="003C2FEE">
      <w:pPr>
        <w:spacing w:after="120" w:line="276" w:lineRule="auto"/>
        <w:ind w:firstLine="708"/>
        <w:jc w:val="both"/>
        <w:rPr>
          <w:rFonts w:ascii="Verdana" w:eastAsia="Calibri" w:hAnsi="Verdana" w:cs="Arial"/>
          <w:color w:val="000000"/>
          <w:lang w:val="es-ES_tradnl"/>
        </w:rPr>
      </w:pPr>
      <w:r>
        <w:rPr>
          <w:rFonts w:ascii="Verdana" w:eastAsia="Calibri" w:hAnsi="Verdana" w:cs="Arial"/>
          <w:color w:val="000000"/>
          <w:lang w:val="es-ES_tradnl"/>
        </w:rPr>
        <w:t>Sobre el particular, debe indicarse que l</w:t>
      </w:r>
      <w:r w:rsidRPr="003E4109">
        <w:rPr>
          <w:rFonts w:ascii="Verdana" w:eastAsia="Calibri" w:hAnsi="Verdana" w:cs="Arial"/>
          <w:color w:val="000000"/>
          <w:lang w:val="es-ES_tradnl"/>
        </w:rPr>
        <w:t>a Tasa de Cambio Representativa del Mercado – TRM “</w:t>
      </w:r>
      <w:r w:rsidRPr="003E4109">
        <w:rPr>
          <w:rFonts w:ascii="Verdana" w:eastAsia="Calibri" w:hAnsi="Verdana" w:cs="Arial"/>
        </w:rPr>
        <w:t>es el promedio ponderado por monto de las</w:t>
      </w:r>
      <w:r w:rsidRPr="003E4109">
        <w:rPr>
          <w:rFonts w:ascii="Arial" w:eastAsia="Calibri" w:hAnsi="Arial" w:cs="Arial"/>
        </w:rPr>
        <w:t xml:space="preserve"> </w:t>
      </w:r>
      <w:r w:rsidRPr="003E4109">
        <w:rPr>
          <w:rFonts w:ascii="Verdana" w:eastAsia="Calibri" w:hAnsi="Verdana" w:cs="Arial"/>
        </w:rPr>
        <w:t>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3E4109">
        <w:rPr>
          <w:rFonts w:ascii="Verdana" w:eastAsia="Calibri" w:hAnsi="Verdana" w:cs="Arial"/>
          <w:color w:val="000000"/>
          <w:lang w:val="es-ES_tradnl"/>
        </w:rPr>
        <w:t>”</w:t>
      </w:r>
      <w:r w:rsidRPr="00DE5CED">
        <w:rPr>
          <w:color w:val="000000"/>
          <w:vertAlign w:val="superscript"/>
          <w:lang w:val="es-ES_tradnl"/>
        </w:rPr>
        <w:footnoteReference w:id="5"/>
      </w:r>
      <w:r w:rsidRPr="003E4109">
        <w:rPr>
          <w:rFonts w:ascii="Verdana" w:eastAsia="Calibri" w:hAnsi="Verdana" w:cs="Arial"/>
          <w:color w:val="000000"/>
          <w:lang w:val="es-ES_tradnl"/>
        </w:rPr>
        <w:t xml:space="preserve">, definida por la Superintendencia Financiera, es decir, denota la relación entre la moneda </w:t>
      </w:r>
      <w:r w:rsidRPr="003E4109">
        <w:rPr>
          <w:rFonts w:ascii="Verdana" w:eastAsia="Calibri" w:hAnsi="Verdana" w:cs="Arial"/>
          <w:color w:val="000000"/>
          <w:lang w:val="es-ES_tradnl"/>
        </w:rPr>
        <w:lastRenderedPageBreak/>
        <w:t>colombiana y el dólar. Por su parte, el Banco de la República ha definido la tasa de cambio representativa del mercado como “la cantidad de pesos colombianos por un dólar de los Estados Unidos”</w:t>
      </w:r>
      <w:r w:rsidRPr="00DE5CED">
        <w:rPr>
          <w:color w:val="000000"/>
          <w:vertAlign w:val="superscript"/>
          <w:lang w:val="es-ES_tradnl"/>
        </w:rPr>
        <w:footnoteReference w:id="6"/>
      </w:r>
      <w:r w:rsidRPr="003E4109">
        <w:rPr>
          <w:rFonts w:ascii="Verdana" w:eastAsia="Calibri" w:hAnsi="Verdana" w:cs="Arial"/>
          <w:color w:val="000000"/>
          <w:lang w:val="es-ES_tradnl"/>
        </w:rPr>
        <w:t>, de donde se desprende que la TRM es un valor que se origina en la fluctuación del mercado.</w:t>
      </w:r>
    </w:p>
    <w:p w14:paraId="206083D0" w14:textId="77777777" w:rsidR="003C2FEE" w:rsidRPr="00DE5CED" w:rsidRDefault="003C2FEE" w:rsidP="003C2FEE">
      <w:pPr>
        <w:spacing w:after="120" w:line="276" w:lineRule="auto"/>
        <w:ind w:firstLine="708"/>
        <w:jc w:val="both"/>
        <w:rPr>
          <w:rFonts w:ascii="Verdana" w:eastAsia="Calibri" w:hAnsi="Verdana" w:cs="Arial"/>
        </w:rPr>
      </w:pPr>
      <w:r w:rsidRPr="003E4109">
        <w:rPr>
          <w:rFonts w:ascii="Verdana" w:eastAsia="Calibri" w:hAnsi="Verdana" w:cs="Arial"/>
        </w:rPr>
        <w:t xml:space="preserve">De conformidad con lo anterior, se puede concluir que el método aleatorio para seleccionar la fórmula de ponderación de la oferta económica desestimula actos de corrupción, puesto que no es posible manipular la TRM para conocer con anticipación la fórmula aplicable y poder adjudicar al proponente por razones subjetivas. </w:t>
      </w:r>
    </w:p>
    <w:p w14:paraId="31AD95CF" w14:textId="77777777" w:rsidR="003C2FEE" w:rsidRPr="003E4109" w:rsidRDefault="003C2FEE" w:rsidP="003C2FEE">
      <w:pPr>
        <w:spacing w:after="120" w:line="276" w:lineRule="auto"/>
        <w:ind w:firstLine="708"/>
        <w:jc w:val="both"/>
        <w:textAlignment w:val="baseline"/>
        <w:rPr>
          <w:rFonts w:ascii="Verdana" w:eastAsia="Times New Roman" w:hAnsi="Verdana" w:cs="Arial"/>
          <w:lang w:eastAsia="es-CO"/>
        </w:rPr>
      </w:pPr>
      <w:r w:rsidRPr="003E4109">
        <w:rPr>
          <w:rFonts w:ascii="Verdana" w:eastAsia="Times New Roman" w:hAnsi="Verdana" w:cs="Arial"/>
          <w:lang w:eastAsia="es-CO"/>
        </w:rPr>
        <w:t>Para responder a su consulta, debe advertirse entonces que, el numeral 4.1.4 establece que el día de la audiencia efectiva de adjudicación, la entidad responderá y resolverá las observaciones presentadas al informe de evaluación y dará apertura de las ofertas económicas contenidas en los sobres No. 2. Además, “(…) verificará, si procede, determinará las correcciones aritméticas y solicitará la justificación de precios artificialmente bajos a que haya lugar, si es necesario, la entidad se pronunciará sobre las ofertas requeridas en los términos del numeral 4.1.3”.</w:t>
      </w:r>
    </w:p>
    <w:p w14:paraId="6B58F878" w14:textId="77777777" w:rsidR="003C2FEE" w:rsidRPr="003E4109" w:rsidRDefault="003C2FEE" w:rsidP="003C2FEE">
      <w:pPr>
        <w:spacing w:after="0" w:line="276" w:lineRule="auto"/>
        <w:ind w:firstLine="708"/>
        <w:jc w:val="both"/>
        <w:textAlignment w:val="baseline"/>
        <w:rPr>
          <w:rFonts w:ascii="Verdana" w:eastAsia="Times New Roman" w:hAnsi="Verdana" w:cs="Arial"/>
          <w:lang w:eastAsia="es-CO"/>
        </w:rPr>
      </w:pPr>
      <w:r w:rsidRPr="003E4109">
        <w:rPr>
          <w:rFonts w:ascii="Verdana" w:eastAsia="Times New Roman" w:hAnsi="Verdana" w:cs="Arial"/>
          <w:lang w:eastAsia="es-CO"/>
        </w:rPr>
        <w:t>Agotado el procedimiento anterior, la entidad definirá el método de ponderación de las propuestas de acuerdo con las siguientes reglas:</w:t>
      </w:r>
    </w:p>
    <w:p w14:paraId="4F40FE5E" w14:textId="77777777" w:rsidR="003C2FEE" w:rsidRPr="004B408D" w:rsidRDefault="003C2FEE" w:rsidP="003C2FEE">
      <w:pPr>
        <w:pStyle w:val="Prrafodelista"/>
        <w:spacing w:after="0"/>
        <w:rPr>
          <w:rFonts w:ascii="Verdana" w:eastAsia="Times New Roman" w:hAnsi="Verdana" w:cs="Arial"/>
          <w:lang w:eastAsia="es-CO"/>
        </w:rPr>
      </w:pPr>
    </w:p>
    <w:p w14:paraId="34B259DB" w14:textId="77777777" w:rsidR="004D7552" w:rsidRPr="00E87B7A" w:rsidRDefault="004D7552" w:rsidP="004D7552">
      <w:pPr>
        <w:pStyle w:val="Prrafodelista"/>
        <w:numPr>
          <w:ilvl w:val="0"/>
          <w:numId w:val="26"/>
        </w:numPr>
        <w:spacing w:line="276" w:lineRule="auto"/>
        <w:jc w:val="both"/>
        <w:textAlignment w:val="baseline"/>
        <w:rPr>
          <w:rFonts w:ascii="Verdana" w:eastAsia="Times New Roman" w:hAnsi="Verdana" w:cs="Arial"/>
          <w:lang w:eastAsia="es-CO"/>
        </w:rPr>
      </w:pPr>
      <w:r w:rsidRPr="00E87B7A">
        <w:rPr>
          <w:rFonts w:ascii="Verdana" w:hAnsi="Verdana"/>
        </w:rPr>
        <w:t>Deberá pronunciarse sobre las propuestas que han sido rechazadas y las que se encuentran validas.</w:t>
      </w:r>
    </w:p>
    <w:p w14:paraId="392DF9CE" w14:textId="77777777" w:rsidR="004D7552" w:rsidRPr="00E87B7A" w:rsidRDefault="004D7552" w:rsidP="004D7552">
      <w:pPr>
        <w:pStyle w:val="Prrafodelista"/>
        <w:numPr>
          <w:ilvl w:val="0"/>
          <w:numId w:val="26"/>
        </w:numPr>
        <w:spacing w:line="276" w:lineRule="auto"/>
        <w:jc w:val="both"/>
        <w:textAlignment w:val="baseline"/>
        <w:rPr>
          <w:rFonts w:ascii="Verdana" w:eastAsia="Times New Roman" w:hAnsi="Verdana" w:cs="Arial"/>
          <w:lang w:eastAsia="es-CO"/>
        </w:rPr>
      </w:pPr>
      <w:r w:rsidRPr="00E87B7A">
        <w:rPr>
          <w:rFonts w:ascii="Verdana" w:hAnsi="Verdana"/>
        </w:rPr>
        <w:t>Si este pronunciamiento, se realiza hasta las 3:00 pm, la entidad tomará la TRM que rija para el día hábil siguiente.</w:t>
      </w:r>
    </w:p>
    <w:p w14:paraId="33D5261C" w14:textId="77777777" w:rsidR="004D7552" w:rsidRPr="00E87B7A" w:rsidRDefault="004D7552" w:rsidP="004D7552">
      <w:pPr>
        <w:pStyle w:val="Prrafodelista"/>
        <w:numPr>
          <w:ilvl w:val="0"/>
          <w:numId w:val="26"/>
        </w:numPr>
        <w:jc w:val="both"/>
        <w:rPr>
          <w:rFonts w:ascii="Verdana" w:hAnsi="Verdana"/>
          <w:lang w:val="es-MX"/>
        </w:rPr>
      </w:pPr>
      <w:r w:rsidRPr="00E87B7A">
        <w:rPr>
          <w:rFonts w:ascii="Verdana" w:hAnsi="Verdana"/>
        </w:rPr>
        <w:t>Si el pronunciamiento se da después de las 3:00 pm, la entidad tomará la TRM que rija para el segundo día hábil siguiente.</w:t>
      </w:r>
    </w:p>
    <w:p w14:paraId="1E8840EB" w14:textId="77777777" w:rsidR="003C2FEE" w:rsidRDefault="003C2FEE" w:rsidP="003C2FEE">
      <w:pPr>
        <w:pStyle w:val="Prrafodelista"/>
        <w:spacing w:after="0"/>
        <w:ind w:left="1080"/>
        <w:jc w:val="both"/>
        <w:rPr>
          <w:lang w:val="es-MX"/>
        </w:rPr>
      </w:pPr>
    </w:p>
    <w:p w14:paraId="6C2F30FD" w14:textId="77777777" w:rsidR="003C2FEE" w:rsidRPr="003E4109" w:rsidRDefault="003C2FEE" w:rsidP="003C2FEE">
      <w:pPr>
        <w:spacing w:after="120" w:line="276" w:lineRule="auto"/>
        <w:ind w:firstLine="708"/>
        <w:jc w:val="both"/>
        <w:rPr>
          <w:rFonts w:ascii="Verdana" w:hAnsi="Verdana" w:cs="Arial"/>
        </w:rPr>
      </w:pPr>
      <w:r w:rsidRPr="003E4109">
        <w:rPr>
          <w:rFonts w:ascii="Verdana" w:eastAsia="Calibri" w:hAnsi="Verdana" w:cs="Arial"/>
        </w:rPr>
        <w:t xml:space="preserve">En este sentido, el numeral 4.1.4 al regular el mecanismo de escogencia del método de ponderación, dispone las reglas que debe seguir la entidad para determinarlo. Lo cual, inicia con el pronunciamiento de la entidad sobre las propuestas u ofertas económicas rechazadas y las válidas. </w:t>
      </w:r>
    </w:p>
    <w:p w14:paraId="69774DE6" w14:textId="77777777" w:rsidR="003C2FEE" w:rsidRPr="002C3036" w:rsidRDefault="003C2FEE" w:rsidP="003C2FEE">
      <w:pPr>
        <w:spacing w:after="120" w:line="276" w:lineRule="auto"/>
        <w:ind w:firstLine="708"/>
        <w:jc w:val="both"/>
        <w:rPr>
          <w:rFonts w:ascii="Verdana" w:hAnsi="Verdana" w:cs="Arial"/>
        </w:rPr>
      </w:pPr>
      <w:r w:rsidRPr="003E4109">
        <w:rPr>
          <w:rFonts w:ascii="Verdana" w:eastAsia="Calibri" w:hAnsi="Verdana" w:cs="Arial"/>
        </w:rPr>
        <w:t xml:space="preserve">Ahora bien, si este pronunciamiento se realiza antes de las 3:00 p.m., la regla contenida en el numeral 4.1.4 establece que se tomará la TRM vigente </w:t>
      </w:r>
      <w:r w:rsidRPr="003E4109">
        <w:rPr>
          <w:rFonts w:ascii="Verdana" w:eastAsia="Calibri" w:hAnsi="Verdana" w:cs="Arial"/>
        </w:rPr>
        <w:lastRenderedPageBreak/>
        <w:t>para el día hábil siguiente. De este modo, fijar una hora límite para el pronunciamiento garantiza que las entidades estatales no puedan conocer anticipadamente la TRM que determinará el método de ponderación, ya que esta es publicada por la Superfinanciera en un momento posterior al pronunciamiento, usualmente entre las 4:00 p.m. y las 6:00 p.m.</w:t>
      </w:r>
    </w:p>
    <w:p w14:paraId="20F4514A" w14:textId="77777777" w:rsidR="003C2FEE" w:rsidRPr="003E4109" w:rsidRDefault="003C2FEE" w:rsidP="003C2FEE">
      <w:pPr>
        <w:spacing w:after="120" w:line="276" w:lineRule="auto"/>
        <w:ind w:firstLine="708"/>
        <w:jc w:val="both"/>
        <w:rPr>
          <w:rFonts w:ascii="Verdana" w:hAnsi="Verdana" w:cs="Arial"/>
        </w:rPr>
      </w:pPr>
      <w:r w:rsidRPr="003E4109">
        <w:rPr>
          <w:rFonts w:ascii="Verdana" w:eastAsia="Calibri" w:hAnsi="Verdana" w:cs="Arial"/>
        </w:rPr>
        <w:t>No obstante, si el pronunciamiento de la entidad sobre las propuestas rechazadas y válidas se realiza después de las 3:00 p.m., la regla establece que se tomará la TRM vigente para el segundo día hábil siguiente. Esta disposición busca evitar que la entidad conozca previamente la TRM que determinará el método de ponderación de las ofertas, dado que la Superintendencia la publicaría antes del pronunciamiento de la entidad.</w:t>
      </w:r>
    </w:p>
    <w:p w14:paraId="57DF4A77" w14:textId="77777777" w:rsidR="003C2FEE" w:rsidRPr="003E4109" w:rsidRDefault="003C2FEE" w:rsidP="003C2FEE">
      <w:pPr>
        <w:spacing w:after="120" w:line="276" w:lineRule="auto"/>
        <w:ind w:firstLine="708"/>
        <w:jc w:val="both"/>
        <w:textAlignment w:val="baseline"/>
        <w:rPr>
          <w:rFonts w:ascii="Verdana" w:eastAsia="Times New Roman" w:hAnsi="Verdana" w:cs="Arial"/>
          <w:lang w:eastAsia="es-CO"/>
        </w:rPr>
      </w:pPr>
      <w:r w:rsidRPr="003E4109">
        <w:rPr>
          <w:rFonts w:ascii="Verdana" w:eastAsia="Times New Roman" w:hAnsi="Verdana" w:cs="Arial"/>
          <w:lang w:eastAsia="es-CO"/>
        </w:rPr>
        <w:t xml:space="preserve">En ese orden de ideas, el numeral 4.1.4 establece que, para poder cumplir con estos supuestos, atendiendo a las particularidades de cada proceso, la entidad podrá suspender la audiencia y reiniciarla cuando lo estime conveniente. Además, señala que definido el método de ponderación de la oferta este seguirá rigiendo aun cuando se suspenda la audiencia. </w:t>
      </w:r>
    </w:p>
    <w:p w14:paraId="2C38951E" w14:textId="77777777" w:rsidR="003C2FEE" w:rsidRPr="0033254E" w:rsidRDefault="003C2FEE" w:rsidP="003C2FEE">
      <w:pPr>
        <w:spacing w:after="120" w:line="276" w:lineRule="auto"/>
        <w:ind w:firstLine="708"/>
        <w:jc w:val="both"/>
        <w:textAlignment w:val="baseline"/>
        <w:rPr>
          <w:rFonts w:ascii="Verdana" w:eastAsia="Times New Roman" w:hAnsi="Verdana" w:cs="Arial"/>
          <w:lang w:eastAsia="es-CO"/>
        </w:rPr>
      </w:pPr>
      <w:r>
        <w:rPr>
          <w:rFonts w:ascii="Verdana" w:eastAsia="Times New Roman" w:hAnsi="Verdana" w:cs="Arial"/>
          <w:lang w:eastAsia="es-CO"/>
        </w:rPr>
        <w:t>C</w:t>
      </w:r>
      <w:r w:rsidRPr="003E4109">
        <w:rPr>
          <w:rFonts w:ascii="Verdana" w:eastAsia="Times New Roman" w:hAnsi="Verdana" w:cs="Arial"/>
          <w:lang w:eastAsia="es-CO"/>
        </w:rPr>
        <w:t xml:space="preserve">onforme con lo establecido en los incisos segundo y tercero del numeral 4.1.3, y con las reglas aplicables para determinar el método de ponderación de las ofertas contenidas en el numeral 4.1.4, el pronunciamiento que debe realizar la entidad sobre las propuestas u ofertas económicas rechazadas y válidas, incluye el relacionado con las ofertas consideradas artificialmente bajas. En este supuesto, si dicho pronunciamiento se efectúa hasta las 3:00 p.m., la entidad deberá tomar la TRM vigente para el día hábil siguiente. En cambio, si se realiza después de </w:t>
      </w:r>
      <w:r w:rsidRPr="00F85F2A">
        <w:rPr>
          <w:rFonts w:ascii="Verdana" w:eastAsia="Times New Roman" w:hAnsi="Verdana" w:cs="Arial"/>
          <w:lang w:eastAsia="es-CO"/>
        </w:rPr>
        <w:t>las 3:00 p.m., se aplicará la TRM correspondiente al segundo día hábil siguiente. Por ejemplo, en el primer supuesto, si la entidad se pronuncia sobre las propuestas el día lunes antes de las 3:00 pm la TRM será la que públique la Superintendencia para el día martes. En el segundo supuesto, sí el pronunciamiento de la entidad sobre las propuestas se da el día lunes después de las 3:00 pm, se aplicará la TRM que publique la Superintendencia para el día miércoles.</w:t>
      </w:r>
      <w:r>
        <w:rPr>
          <w:rFonts w:ascii="Verdana" w:eastAsia="Times New Roman" w:hAnsi="Verdana" w:cs="Arial"/>
          <w:lang w:eastAsia="es-CO"/>
        </w:rPr>
        <w:t xml:space="preserve"> </w:t>
      </w:r>
    </w:p>
    <w:p w14:paraId="11BD6A3B" w14:textId="77777777" w:rsidR="003C2FEE" w:rsidRPr="0033254E" w:rsidRDefault="003C2FEE" w:rsidP="003C2FEE">
      <w:pPr>
        <w:spacing w:after="120" w:line="276" w:lineRule="auto"/>
        <w:ind w:firstLine="708"/>
        <w:jc w:val="both"/>
        <w:textAlignment w:val="baseline"/>
        <w:rPr>
          <w:rFonts w:ascii="Verdana" w:eastAsia="Times New Roman" w:hAnsi="Verdana" w:cs="Arial"/>
          <w:lang w:eastAsia="es-CO"/>
        </w:rPr>
      </w:pPr>
      <w:r w:rsidRPr="003E4109">
        <w:rPr>
          <w:rFonts w:ascii="Verdana" w:eastAsia="Times New Roman" w:hAnsi="Verdana" w:cs="Arial"/>
          <w:lang w:eastAsia="es-CO"/>
        </w:rPr>
        <w:t>Estos cambios en el mecanismo para definir de forma aleatoria el método de ponderación de las ofertas económicas, garantizan mayor transparencia en la ponderación. Así, se incorporó en los documentos tipo de licitación de obra pública de infraestructura de transporte – versión 4 reglas sobre la TRM y el manejo de precios artificialmente bajos, con el propósito de que aquella no sea conocida en un tiempo prematuro.</w:t>
      </w:r>
    </w:p>
    <w:p w14:paraId="2AA1141B" w14:textId="77777777" w:rsidR="003C2FEE" w:rsidRPr="00D8463A" w:rsidRDefault="003C2FEE" w:rsidP="003C2FEE">
      <w:pPr>
        <w:snapToGrid w:val="0"/>
        <w:spacing w:after="120" w:line="276" w:lineRule="auto"/>
        <w:ind w:firstLine="708"/>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lastRenderedPageBreak/>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08D0BE8" w14:textId="77777777" w:rsidR="003C2FEE" w:rsidRPr="00D8463A" w:rsidRDefault="003C2FEE" w:rsidP="00F37B5B">
      <w:pPr>
        <w:snapToGrid w:val="0"/>
        <w:spacing w:after="0" w:line="276" w:lineRule="auto"/>
        <w:ind w:firstLine="708"/>
        <w:jc w:val="both"/>
        <w:rPr>
          <w:rFonts w:ascii="Verdana" w:eastAsia="Calibri" w:hAnsi="Verdana" w:cs="Arial"/>
          <w:kern w:val="2"/>
          <w14:ligatures w14:val="standardContextual"/>
        </w:rPr>
      </w:pPr>
      <w:r w:rsidRPr="00D8463A">
        <w:rPr>
          <w:rFonts w:ascii="Verdana" w:eastAsia="Calibri" w:hAnsi="Verdana" w:cs="Arial"/>
          <w:kern w:val="2"/>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bookmarkEnd w:id="1"/>
    <w:p w14:paraId="3E0E6A52" w14:textId="77777777" w:rsidR="003C2FEE" w:rsidRPr="00D8463A" w:rsidRDefault="003C2FEE" w:rsidP="00F37B5B">
      <w:pPr>
        <w:spacing w:after="0" w:line="276" w:lineRule="auto"/>
        <w:jc w:val="both"/>
        <w:rPr>
          <w:rFonts w:ascii="Verdana" w:eastAsia="Calibri" w:hAnsi="Verdana" w:cs="Arial"/>
          <w:lang w:val="es-ES_tradnl"/>
        </w:rPr>
      </w:pPr>
    </w:p>
    <w:p w14:paraId="4A11979E" w14:textId="40A7F811" w:rsidR="003C2FEE" w:rsidRPr="00D8463A" w:rsidRDefault="00F37B5B" w:rsidP="00F37B5B">
      <w:pPr>
        <w:tabs>
          <w:tab w:val="left" w:pos="142"/>
          <w:tab w:val="left" w:pos="284"/>
        </w:tabs>
        <w:spacing w:after="0" w:line="276" w:lineRule="auto"/>
        <w:jc w:val="both"/>
        <w:rPr>
          <w:rFonts w:ascii="Verdana" w:eastAsia="Century Gothic" w:hAnsi="Verdana" w:cs="Century Gothic"/>
          <w:b/>
          <w:bCs/>
          <w:lang w:val="es-ES_tradnl"/>
        </w:rPr>
      </w:pPr>
      <w:r>
        <w:rPr>
          <w:rFonts w:ascii="Verdana" w:eastAsia="Century Gothic" w:hAnsi="Verdana" w:cs="Century Gothic"/>
          <w:b/>
          <w:bCs/>
          <w:lang w:val="es-ES_tradnl"/>
        </w:rPr>
        <w:t xml:space="preserve">4. </w:t>
      </w:r>
      <w:r w:rsidR="003C2FEE" w:rsidRPr="00D8463A">
        <w:rPr>
          <w:rFonts w:ascii="Verdana" w:eastAsia="Century Gothic" w:hAnsi="Verdana" w:cs="Century Gothic"/>
          <w:b/>
          <w:bCs/>
          <w:lang w:val="es-ES_tradnl"/>
        </w:rPr>
        <w:t>Referencias normativas, jurisprudenciales y otras fuentes:</w:t>
      </w:r>
    </w:p>
    <w:p w14:paraId="1FF266CF" w14:textId="77777777" w:rsidR="003C2FEE" w:rsidRPr="00D8463A" w:rsidRDefault="003C2FEE" w:rsidP="00F37B5B">
      <w:pPr>
        <w:spacing w:after="0"/>
        <w:ind w:left="-15840"/>
        <w:jc w:val="both"/>
        <w:rPr>
          <w:rFonts w:ascii="Verdana" w:eastAsia="Calibri" w:hAnsi="Verdana" w:cs="Arial"/>
          <w:b/>
          <w:bCs/>
        </w:rPr>
      </w:pPr>
      <w:r w:rsidRPr="00D8463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C2FEE" w:rsidRPr="00D8463A" w14:paraId="73B9A4C4" w14:textId="77777777" w:rsidTr="00D17264">
        <w:trPr>
          <w:trHeight w:val="870"/>
        </w:trPr>
        <w:tc>
          <w:tcPr>
            <w:tcW w:w="8647" w:type="dxa"/>
            <w:tcBorders>
              <w:top w:val="dotted" w:sz="4" w:space="0" w:color="auto"/>
              <w:left w:val="dotted" w:sz="4" w:space="0" w:color="auto"/>
              <w:bottom w:val="dotted" w:sz="4" w:space="0" w:color="auto"/>
              <w:right w:val="dotted" w:sz="4" w:space="0" w:color="auto"/>
            </w:tcBorders>
          </w:tcPr>
          <w:p w14:paraId="315EE7F2" w14:textId="77777777" w:rsidR="003C2FEE" w:rsidRPr="00D8463A" w:rsidRDefault="003C2FEE" w:rsidP="00D17264">
            <w:pPr>
              <w:ind w:left="720"/>
              <w:contextualSpacing/>
              <w:jc w:val="both"/>
              <w:rPr>
                <w:rFonts w:ascii="Verdana" w:eastAsia="Calibri" w:hAnsi="Verdana" w:cs="Arial"/>
                <w:bCs/>
              </w:rPr>
            </w:pPr>
          </w:p>
          <w:p w14:paraId="20F4F31A" w14:textId="77777777" w:rsidR="003C2FEE" w:rsidRPr="00D8463A" w:rsidRDefault="003C2FEE" w:rsidP="003C2FEE">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D8463A">
              <w:rPr>
                <w:rFonts w:ascii="Verdana" w:eastAsia="Calibri" w:hAnsi="Verdana" w:cs="Arial"/>
                <w:lang w:val="es-ES_tradnl"/>
              </w:rPr>
              <w:t xml:space="preserve">Ley 2022 de 2020, artículo 1. </w:t>
            </w:r>
          </w:p>
          <w:p w14:paraId="701EEB28" w14:textId="77777777" w:rsidR="003C2FEE" w:rsidRPr="00D8463A" w:rsidRDefault="003C2FEE" w:rsidP="003C2FEE">
            <w:pPr>
              <w:widowControl w:val="0"/>
              <w:numPr>
                <w:ilvl w:val="0"/>
                <w:numId w:val="17"/>
              </w:numPr>
              <w:autoSpaceDE w:val="0"/>
              <w:autoSpaceDN w:val="0"/>
              <w:spacing w:line="276" w:lineRule="auto"/>
              <w:jc w:val="both"/>
              <w:rPr>
                <w:rFonts w:ascii="Verdana" w:eastAsia="Calibri" w:hAnsi="Verdana" w:cs="Arial"/>
              </w:rPr>
            </w:pPr>
            <w:r w:rsidRPr="00D8463A">
              <w:rPr>
                <w:rFonts w:ascii="Verdana" w:eastAsia="Calibri" w:hAnsi="Verdana" w:cs="Arial"/>
              </w:rPr>
              <w:t>Ley 1150 de 2007, artículo 2.</w:t>
            </w:r>
          </w:p>
          <w:p w14:paraId="6D305F01" w14:textId="77777777" w:rsidR="003C2FEE" w:rsidRPr="00D8463A" w:rsidRDefault="003C2FEE" w:rsidP="003C2FEE">
            <w:pPr>
              <w:widowControl w:val="0"/>
              <w:numPr>
                <w:ilvl w:val="0"/>
                <w:numId w:val="17"/>
              </w:numPr>
              <w:autoSpaceDE w:val="0"/>
              <w:autoSpaceDN w:val="0"/>
              <w:spacing w:line="276" w:lineRule="auto"/>
              <w:contextualSpacing/>
              <w:jc w:val="both"/>
              <w:rPr>
                <w:rFonts w:ascii="Verdana" w:eastAsia="Aptos" w:hAnsi="Verdana" w:cs="Arial"/>
              </w:rPr>
            </w:pPr>
            <w:r w:rsidRPr="00D8463A">
              <w:rPr>
                <w:rFonts w:ascii="Verdana" w:eastAsia="Calibri" w:hAnsi="Verdana" w:cs="Arial"/>
                <w:lang w:val="es-ES_tradnl"/>
              </w:rPr>
              <w:t xml:space="preserve">Documentos Tipo. Disponibles en: </w:t>
            </w:r>
            <w:hyperlink r:id="rId11" w:history="1">
              <w:r w:rsidRPr="00D8463A">
                <w:rPr>
                  <w:rFonts w:ascii="Verdana" w:eastAsia="Calibri" w:hAnsi="Verdana" w:cs="Arial"/>
                  <w:color w:val="0000FF"/>
                  <w:u w:val="single"/>
                  <w:lang w:val="es-ES_tradnl"/>
                </w:rPr>
                <w:t>https://www.colombiacompra.gov.co/documentos-tipo/documentos-tipo</w:t>
              </w:r>
            </w:hyperlink>
            <w:r w:rsidRPr="00D8463A">
              <w:rPr>
                <w:rFonts w:ascii="Verdana" w:eastAsia="Calibri" w:hAnsi="Verdana" w:cs="Arial"/>
                <w:lang w:val="es-ES_tradnl"/>
              </w:rPr>
              <w:t>.</w:t>
            </w:r>
          </w:p>
        </w:tc>
      </w:tr>
    </w:tbl>
    <w:p w14:paraId="33F2F9B3" w14:textId="77777777" w:rsidR="003C2FEE" w:rsidRPr="00D8463A" w:rsidRDefault="003C2FEE" w:rsidP="003C2FEE">
      <w:pPr>
        <w:tabs>
          <w:tab w:val="left" w:pos="142"/>
          <w:tab w:val="left" w:pos="284"/>
        </w:tabs>
        <w:spacing w:after="0" w:line="276" w:lineRule="auto"/>
        <w:jc w:val="both"/>
        <w:rPr>
          <w:rFonts w:ascii="Verdana" w:eastAsia="Calibri" w:hAnsi="Verdana" w:cs="Arial"/>
        </w:rPr>
      </w:pPr>
    </w:p>
    <w:p w14:paraId="0B6223AB" w14:textId="77777777" w:rsidR="003C2FEE" w:rsidRPr="00D8463A" w:rsidRDefault="003C2FEE" w:rsidP="003C2FEE">
      <w:pPr>
        <w:tabs>
          <w:tab w:val="left" w:pos="142"/>
          <w:tab w:val="left" w:pos="284"/>
        </w:tabs>
        <w:spacing w:after="0" w:line="276" w:lineRule="auto"/>
        <w:jc w:val="both"/>
        <w:rPr>
          <w:rFonts w:ascii="Verdana" w:eastAsia="Century Gothic" w:hAnsi="Verdana" w:cs="Century Gothic"/>
          <w:b/>
          <w:bCs/>
          <w:lang w:val="es-ES"/>
        </w:rPr>
      </w:pPr>
      <w:r w:rsidRPr="00D8463A">
        <w:rPr>
          <w:rFonts w:ascii="Verdana" w:eastAsia="Calibri" w:hAnsi="Verdana" w:cs="Arial"/>
          <w:b/>
          <w:bCs/>
        </w:rPr>
        <w:t>5</w:t>
      </w:r>
      <w:r w:rsidRPr="00D8463A">
        <w:rPr>
          <w:rFonts w:ascii="Verdana" w:eastAsia="Calibri" w:hAnsi="Verdana" w:cs="Arial"/>
        </w:rPr>
        <w:t>.</w:t>
      </w:r>
      <w:r w:rsidRPr="00D8463A">
        <w:rPr>
          <w:rFonts w:ascii="Verdana" w:eastAsia="Century Gothic" w:hAnsi="Verdana" w:cs="Century Gothic"/>
          <w:b/>
          <w:bCs/>
          <w:lang w:val="es-ES"/>
        </w:rPr>
        <w:t>Doctrina de la Agencia Nacional de Contratación Pública:</w:t>
      </w:r>
    </w:p>
    <w:p w14:paraId="4EFF1037" w14:textId="77777777" w:rsidR="003C2FEE" w:rsidRPr="00D8463A" w:rsidRDefault="003C2FEE" w:rsidP="003C2FEE">
      <w:pPr>
        <w:tabs>
          <w:tab w:val="left" w:pos="142"/>
          <w:tab w:val="left" w:pos="284"/>
        </w:tabs>
        <w:spacing w:after="0" w:line="276" w:lineRule="auto"/>
        <w:jc w:val="both"/>
        <w:rPr>
          <w:rFonts w:ascii="Verdana" w:eastAsia="Century Gothic" w:hAnsi="Verdana" w:cs="Century Gothic"/>
          <w:b/>
          <w:bCs/>
          <w:lang w:val="es-ES"/>
        </w:rPr>
      </w:pPr>
    </w:p>
    <w:p w14:paraId="2A1DF78E" w14:textId="77777777" w:rsidR="003C2FEE" w:rsidRDefault="003C2FEE" w:rsidP="003C2FEE">
      <w:pPr>
        <w:widowControl w:val="0"/>
        <w:autoSpaceDE w:val="0"/>
        <w:autoSpaceDN w:val="0"/>
        <w:spacing w:after="0" w:line="276" w:lineRule="auto"/>
        <w:jc w:val="both"/>
        <w:rPr>
          <w:rFonts w:ascii="Verdana" w:eastAsia="Aptos" w:hAnsi="Verdana" w:cs="Times New Roman"/>
          <w:kern w:val="2"/>
          <w:lang w:val="es-ES_tradnl"/>
          <w14:ligatures w14:val="standardContextual"/>
        </w:rPr>
      </w:pPr>
      <w:r w:rsidRPr="00D8463A">
        <w:rPr>
          <w:rFonts w:ascii="Verdana" w:eastAsia="Calibri" w:hAnsi="Verdana" w:cs="Arial"/>
          <w:kern w:val="2"/>
          <w:shd w:val="clear" w:color="auto" w:fill="FFFFFF"/>
          <w:lang w:val="es-ES_tradnl"/>
          <w14:ligatures w14:val="standardContextual"/>
        </w:rPr>
        <w:t>la Agencia Nacional de Contratación Pública – Colombia Compra Eficiente se</w:t>
      </w:r>
      <w:r w:rsidRPr="00D8463A">
        <w:rPr>
          <w:rFonts w:ascii="Verdana" w:eastAsia="Aptos" w:hAnsi="Verdana" w:cs="Times New Roman"/>
          <w:kern w:val="2"/>
          <w14:ligatures w14:val="standardContextual"/>
        </w:rPr>
        <w:t xml:space="preserve"> </w:t>
      </w:r>
      <w:r w:rsidRPr="00D8463A">
        <w:rPr>
          <w:rFonts w:ascii="Verdana" w:eastAsia="Calibri" w:hAnsi="Verdana" w:cs="Arial"/>
          <w:kern w:val="2"/>
          <w:shd w:val="clear" w:color="auto" w:fill="FFFFFF"/>
          <w:lang w:val="es-ES_tradnl"/>
          <w14:ligatures w14:val="standardContextual"/>
        </w:rPr>
        <w:t>pronunció</w:t>
      </w:r>
      <w:r w:rsidRPr="00D8463A">
        <w:rPr>
          <w:rFonts w:ascii="Verdana" w:eastAsia="Aptos" w:hAnsi="Verdana" w:cs="Times New Roman"/>
          <w:kern w:val="2"/>
          <w:lang w:val="es-ES_tradnl"/>
          <w14:ligatures w14:val="standardContextual"/>
        </w:rPr>
        <w:t xml:space="preserve"> </w:t>
      </w:r>
      <w:r w:rsidRPr="00D8463A">
        <w:rPr>
          <w:rFonts w:ascii="Verdana" w:eastAsia="Calibri" w:hAnsi="Verdana" w:cs="Arial"/>
          <w:kern w:val="2"/>
          <w:shd w:val="clear" w:color="auto" w:fill="FFFFFF"/>
          <w:lang w:val="es-ES"/>
          <w14:ligatures w14:val="standardContextual"/>
        </w:rPr>
        <w:t>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w:t>
      </w:r>
      <w:r w:rsidRPr="00D8463A">
        <w:rPr>
          <w:rFonts w:ascii="Verdana" w:eastAsia="Calibri" w:hAnsi="Verdana" w:cs="Arial"/>
          <w:kern w:val="2"/>
          <w:shd w:val="clear" w:color="auto" w:fill="FFFFFF"/>
          <w:lang w:val="es-ES"/>
          <w14:ligatures w14:val="standardContextual"/>
        </w:rPr>
        <w:lastRenderedPageBreak/>
        <w:t>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C-337 del 25 de abril de 2025</w:t>
      </w:r>
      <w:r>
        <w:rPr>
          <w:rFonts w:ascii="Verdana" w:eastAsia="Calibri" w:hAnsi="Verdana" w:cs="Arial"/>
          <w:kern w:val="2"/>
          <w:shd w:val="clear" w:color="auto" w:fill="FFFFFF"/>
          <w:lang w:val="es-ES"/>
          <w14:ligatures w14:val="standardContextual"/>
        </w:rPr>
        <w:t>,</w:t>
      </w:r>
      <w:r w:rsidRPr="00D8463A">
        <w:rPr>
          <w:rFonts w:ascii="Verdana" w:eastAsia="Calibri" w:hAnsi="Verdana" w:cs="Arial"/>
          <w:kern w:val="2"/>
          <w:shd w:val="clear" w:color="auto" w:fill="FFFFFF"/>
          <w:lang w:val="es-ES"/>
          <w14:ligatures w14:val="standardContextual"/>
        </w:rPr>
        <w:t xml:space="preserve"> C-567 del 6 de junio de 2025</w:t>
      </w:r>
      <w:r>
        <w:rPr>
          <w:rFonts w:ascii="Verdana" w:eastAsia="Calibri" w:hAnsi="Verdana" w:cs="Arial"/>
          <w:kern w:val="2"/>
          <w:shd w:val="clear" w:color="auto" w:fill="FFFFFF"/>
          <w:lang w:val="es-ES"/>
          <w14:ligatures w14:val="standardContextual"/>
        </w:rPr>
        <w:t xml:space="preserve"> y C-650 del 3 de julio de 2025 y C-683 del 1 de julio de 2025,</w:t>
      </w:r>
      <w:r w:rsidRPr="00D8463A">
        <w:rPr>
          <w:rFonts w:ascii="Verdana" w:eastAsia="Calibri" w:hAnsi="Verdana" w:cs="Arial"/>
          <w:kern w:val="2"/>
          <w:shd w:val="clear" w:color="auto" w:fill="FFFFFF"/>
          <w:lang w:val="es-ES"/>
          <w14:ligatures w14:val="standardContextual"/>
        </w:rPr>
        <w:t xml:space="preserve"> entre otros</w:t>
      </w:r>
      <w:r w:rsidRPr="00D8463A">
        <w:rPr>
          <w:rFonts w:ascii="Verdana" w:eastAsia="Calibri" w:hAnsi="Verdana" w:cs="Arial"/>
          <w:kern w:val="2"/>
          <w:shd w:val="clear" w:color="auto" w:fill="FFFFFF"/>
          <w:lang w:val="es-ES_tradnl"/>
          <w14:ligatures w14:val="standardContextual"/>
        </w:rPr>
        <w:t xml:space="preserve">. </w:t>
      </w:r>
      <w:r>
        <w:rPr>
          <w:rFonts w:ascii="Verdana" w:eastAsia="Aptos" w:hAnsi="Verdana" w:cs="Times New Roman"/>
          <w:kern w:val="2"/>
          <w:lang w:val="es-ES_tradnl"/>
          <w14:ligatures w14:val="standardContextual"/>
        </w:rPr>
        <w:t xml:space="preserve">Por su parte, en relación con lo ponderación de la oferta económica en los documentos tipo de licitación de obra pública de infraestructura de transporte – versión 4, la Agencia se pronunció en el concepto C-594 del 9 de junio de 2025. </w:t>
      </w:r>
    </w:p>
    <w:p w14:paraId="5AAED9CD" w14:textId="77777777" w:rsidR="003C2FEE" w:rsidRDefault="003C2FEE" w:rsidP="003C2FEE">
      <w:pPr>
        <w:widowControl w:val="0"/>
        <w:autoSpaceDE w:val="0"/>
        <w:autoSpaceDN w:val="0"/>
        <w:spacing w:after="0" w:line="276" w:lineRule="auto"/>
        <w:jc w:val="both"/>
        <w:rPr>
          <w:rFonts w:ascii="Verdana" w:eastAsia="Aptos" w:hAnsi="Verdana" w:cs="Times New Roman"/>
          <w:kern w:val="2"/>
          <w:lang w:val="es-ES_tradnl"/>
          <w14:ligatures w14:val="standardContextual"/>
        </w:rPr>
      </w:pPr>
    </w:p>
    <w:p w14:paraId="00E677CD" w14:textId="77777777" w:rsidR="003C2FEE" w:rsidRPr="00FD731D" w:rsidRDefault="003C2FEE" w:rsidP="003C2FE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654F7A">
        <w:rPr>
          <w:rFonts w:ascii="Verdana" w:eastAsia="Aptos" w:hAnsi="Verdana" w:cs="Arial"/>
          <w:color w:val="000000" w:themeColor="text1"/>
          <w:shd w:val="clear" w:color="auto" w:fill="FFFFFF"/>
          <w:lang w:val="es-ES"/>
        </w:rPr>
        <w:t xml:space="preserve">En relación con la posibilidad de realizar la audiencia de adjudicación en la licitación pública a través de medios electrónicos </w:t>
      </w:r>
      <w:r>
        <w:rPr>
          <w:rFonts w:ascii="Verdana" w:eastAsia="Aptos" w:hAnsi="Verdana" w:cs="Arial"/>
          <w:color w:val="000000" w:themeColor="text1"/>
          <w:shd w:val="clear" w:color="auto" w:fill="FFFFFF"/>
          <w:lang w:val="es-ES"/>
        </w:rPr>
        <w:t xml:space="preserve">y sus garantías procedimentales, </w:t>
      </w:r>
      <w:r w:rsidRPr="00654F7A">
        <w:rPr>
          <w:rFonts w:ascii="Verdana" w:eastAsia="Aptos" w:hAnsi="Verdana" w:cs="Arial"/>
          <w:color w:val="000000" w:themeColor="text1"/>
          <w:shd w:val="clear" w:color="auto" w:fill="FFFFFF"/>
          <w:lang w:val="es-ES"/>
        </w:rPr>
        <w:t>pueden consultarse, entre otros, los conceptos C-243 de 24 de marzo de 2020</w:t>
      </w:r>
      <w:r>
        <w:rPr>
          <w:rFonts w:ascii="Verdana" w:eastAsia="Aptos" w:hAnsi="Verdana" w:cs="Arial"/>
          <w:color w:val="000000" w:themeColor="text1"/>
          <w:shd w:val="clear" w:color="auto" w:fill="FFFFFF"/>
          <w:lang w:val="es-ES"/>
        </w:rPr>
        <w:t xml:space="preserve">, </w:t>
      </w:r>
      <w:r w:rsidRPr="00654F7A">
        <w:rPr>
          <w:rFonts w:ascii="Verdana" w:eastAsia="Aptos" w:hAnsi="Verdana" w:cs="Arial"/>
          <w:color w:val="000000" w:themeColor="text1"/>
          <w:shd w:val="clear" w:color="auto" w:fill="FFFFFF"/>
          <w:lang w:val="es-ES"/>
        </w:rPr>
        <w:t>C-247 de 7 de abril de 2020</w:t>
      </w:r>
      <w:r>
        <w:rPr>
          <w:rFonts w:ascii="Verdana" w:eastAsia="Aptos" w:hAnsi="Verdana" w:cs="Arial"/>
          <w:color w:val="000000" w:themeColor="text1"/>
          <w:shd w:val="clear" w:color="auto" w:fill="FFFFFF"/>
          <w:lang w:val="es-ES"/>
        </w:rPr>
        <w:t xml:space="preserve">, C-113 </w:t>
      </w:r>
      <w:r>
        <w:rPr>
          <w:rFonts w:ascii="Verdana" w:hAnsi="Verdana" w:cs="Arial"/>
          <w:lang w:val="es-ES"/>
        </w:rPr>
        <w:t>del 17 de febrero de 2025 y C-374 del 22 de abril de 2025.</w:t>
      </w:r>
    </w:p>
    <w:p w14:paraId="248E9D49" w14:textId="77777777" w:rsidR="003C2FEE" w:rsidRPr="00D8463A" w:rsidRDefault="003C2FEE" w:rsidP="003C2FEE">
      <w:pPr>
        <w:widowControl w:val="0"/>
        <w:autoSpaceDE w:val="0"/>
        <w:autoSpaceDN w:val="0"/>
        <w:spacing w:after="0" w:line="276" w:lineRule="auto"/>
        <w:jc w:val="both"/>
        <w:rPr>
          <w:rFonts w:ascii="Verdana" w:eastAsia="Times New Roman" w:hAnsi="Verdana" w:cs="Arial"/>
          <w:shd w:val="clear" w:color="auto" w:fill="FFFFFF"/>
          <w:lang w:val="es-ES"/>
        </w:rPr>
      </w:pPr>
    </w:p>
    <w:p w14:paraId="0E34BAA3" w14:textId="77777777" w:rsidR="003C2FEE" w:rsidRPr="004424C5" w:rsidRDefault="003C2FEE" w:rsidP="003C2FEE">
      <w:pPr>
        <w:widowControl w:val="0"/>
        <w:autoSpaceDE w:val="0"/>
        <w:autoSpaceDN w:val="0"/>
        <w:spacing w:after="0" w:line="276" w:lineRule="auto"/>
        <w:jc w:val="both"/>
        <w:rPr>
          <w:rFonts w:ascii="Verdana" w:eastAsia="Calibri" w:hAnsi="Verdana" w:cs="Times New Roman"/>
        </w:rPr>
      </w:pPr>
      <w:r w:rsidRPr="00AC0A48">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AC0A48">
          <w:rPr>
            <w:rFonts w:ascii="Verdana" w:eastAsia="Calibri" w:hAnsi="Verdana" w:cs="Arial"/>
            <w:color w:val="000000"/>
            <w:u w:val="single"/>
            <w:shd w:val="clear" w:color="auto" w:fill="FFFFFF"/>
          </w:rPr>
          <w:t>https://relatoria.colombiacompra.gov.co/</w:t>
        </w:r>
      </w:hyperlink>
      <w:r w:rsidRPr="00AC0A48">
        <w:rPr>
          <w:rFonts w:ascii="Verdana" w:eastAsia="Calibri" w:hAnsi="Verdana" w:cs="Arial"/>
          <w:color w:val="000000"/>
          <w:shd w:val="clear" w:color="auto" w:fill="FFFFFF"/>
        </w:rPr>
        <w:t> .</w:t>
      </w:r>
    </w:p>
    <w:p w14:paraId="17E8B847" w14:textId="77777777" w:rsidR="003C2FEE" w:rsidRPr="00AC0A48" w:rsidRDefault="003C2FEE" w:rsidP="003C2FEE">
      <w:pPr>
        <w:spacing w:after="0" w:line="240" w:lineRule="auto"/>
        <w:jc w:val="both"/>
        <w:rPr>
          <w:rFonts w:ascii="Verdana" w:eastAsia="Calibri" w:hAnsi="Verdana" w:cs="Arial"/>
          <w:color w:val="000000"/>
          <w:shd w:val="clear" w:color="auto" w:fill="FFFFFF"/>
        </w:rPr>
      </w:pPr>
    </w:p>
    <w:p w14:paraId="55F22856" w14:textId="77777777" w:rsidR="003C2FEE" w:rsidRPr="00AC0A48" w:rsidRDefault="003C2FEE" w:rsidP="003C2FEE">
      <w:pPr>
        <w:spacing w:after="0" w:line="240" w:lineRule="auto"/>
        <w:jc w:val="both"/>
        <w:rPr>
          <w:rFonts w:ascii="Verdana" w:eastAsia="Calibri" w:hAnsi="Verdana" w:cs="Arial"/>
          <w:color w:val="000000"/>
          <w:shd w:val="clear" w:color="auto" w:fill="FFFFFF"/>
        </w:rPr>
      </w:pPr>
      <w:r w:rsidRPr="00AC0A48">
        <w:rPr>
          <w:rFonts w:ascii="Verdana" w:eastAsia="Calibri" w:hAnsi="Verdana" w:cs="Arial"/>
          <w:color w:val="000000"/>
          <w:shd w:val="clear" w:color="auto" w:fill="FFFFFF"/>
        </w:rPr>
        <w:t xml:space="preserve">La Agencia Nacional de Contratación Pública – Colombia Compra Eficiente </w:t>
      </w:r>
      <w:r>
        <w:rPr>
          <w:rFonts w:ascii="Verdana" w:eastAsia="Calibri" w:hAnsi="Verdana" w:cs="Arial"/>
          <w:color w:val="000000"/>
          <w:shd w:val="clear" w:color="auto" w:fill="FFFFFF"/>
        </w:rPr>
        <w:t xml:space="preserve">le informa </w:t>
      </w:r>
      <w:r w:rsidRPr="00AC0A48">
        <w:rPr>
          <w:rFonts w:ascii="Verdana" w:eastAsia="Calibri" w:hAnsi="Verdana" w:cs="Arial"/>
          <w:color w:val="000000"/>
          <w:shd w:val="clear" w:color="auto" w:fill="FFFFFF"/>
        </w:rPr>
        <w:t>que ya se encuentra disponible la </w:t>
      </w:r>
      <w:r w:rsidRPr="00AC0A48">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AC0A48">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w:t>
      </w:r>
      <w:r w:rsidRPr="00AC0A48">
        <w:rPr>
          <w:rFonts w:ascii="Verdana" w:eastAsia="Calibri" w:hAnsi="Verdana" w:cs="Arial"/>
          <w:color w:val="000000"/>
          <w:shd w:val="clear" w:color="auto" w:fill="FFFFFF"/>
        </w:rPr>
        <w:lastRenderedPageBreak/>
        <w:t xml:space="preserve">busca contribuir a la superación del Estado de Cosas Inconstitucional declarado por la situación de vulneración masiva y recurrente de los derechos fundamentales de los niños y de las niñas del Pueblo </w:t>
      </w:r>
      <w:proofErr w:type="spellStart"/>
      <w:r w:rsidRPr="00AC0A48">
        <w:rPr>
          <w:rFonts w:ascii="Verdana" w:eastAsia="Calibri" w:hAnsi="Verdana" w:cs="Arial"/>
          <w:color w:val="000000"/>
          <w:shd w:val="clear" w:color="auto" w:fill="FFFFFF"/>
        </w:rPr>
        <w:t>Wayúu</w:t>
      </w:r>
      <w:proofErr w:type="spellEnd"/>
      <w:r w:rsidRPr="00AC0A48">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AC0A48">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AC0A48">
        <w:rPr>
          <w:rFonts w:ascii="Verdana" w:eastAsia="Calibri" w:hAnsi="Verdana" w:cs="Arial"/>
          <w:color w:val="000000"/>
          <w:u w:val="single"/>
          <w:shd w:val="clear" w:color="auto" w:fill="FFFFFF"/>
        </w:rPr>
        <w:t>"</w:t>
      </w:r>
    </w:p>
    <w:p w14:paraId="460257B3" w14:textId="77777777" w:rsidR="003C2FEE" w:rsidRPr="00AC0A48" w:rsidRDefault="003C2FEE" w:rsidP="003C2FEE">
      <w:pPr>
        <w:spacing w:after="0"/>
        <w:jc w:val="both"/>
        <w:rPr>
          <w:rFonts w:ascii="Verdana" w:eastAsia="Aptos" w:hAnsi="Verdana" w:cs="Times New Roman"/>
          <w:color w:val="212121"/>
        </w:rPr>
      </w:pPr>
    </w:p>
    <w:p w14:paraId="62EB5833" w14:textId="77777777" w:rsidR="003C2FEE" w:rsidRPr="00AC0A48" w:rsidRDefault="003C2FEE" w:rsidP="003C2FEE">
      <w:pPr>
        <w:spacing w:after="0" w:line="240" w:lineRule="auto"/>
        <w:jc w:val="both"/>
        <w:rPr>
          <w:rFonts w:ascii="Verdana" w:eastAsia="Calibri" w:hAnsi="Verdana" w:cs="Times New Roman"/>
        </w:rPr>
      </w:pPr>
      <w:r w:rsidRPr="00AC0A48">
        <w:rPr>
          <w:rFonts w:ascii="Verdana" w:eastAsia="Aptos" w:hAnsi="Verdana" w:cs="Times New Roman"/>
        </w:rPr>
        <w:t xml:space="preserve">Por último, lo invitamos a seguirnos en las redes sociales en las cuales se difunde información institucional: </w:t>
      </w:r>
    </w:p>
    <w:p w14:paraId="79A38520" w14:textId="77777777" w:rsidR="003C2FEE" w:rsidRPr="00AC0A48" w:rsidRDefault="003C2FEE" w:rsidP="003C2FEE">
      <w:pPr>
        <w:spacing w:after="0" w:line="240" w:lineRule="auto"/>
        <w:jc w:val="both"/>
        <w:rPr>
          <w:rFonts w:ascii="Verdana" w:eastAsia="Aptos" w:hAnsi="Verdana" w:cs="Times New Roman"/>
        </w:rPr>
      </w:pPr>
    </w:p>
    <w:p w14:paraId="11370C59" w14:textId="77777777" w:rsidR="003C2FEE" w:rsidRPr="00AC0A48" w:rsidRDefault="003C2FEE" w:rsidP="003C2FEE">
      <w:pPr>
        <w:spacing w:after="0" w:line="240" w:lineRule="auto"/>
        <w:jc w:val="both"/>
        <w:rPr>
          <w:rFonts w:ascii="Verdana" w:eastAsia="Aptos" w:hAnsi="Verdana" w:cs="Times New Roman"/>
        </w:rPr>
      </w:pPr>
      <w:r w:rsidRPr="00AC0A48">
        <w:rPr>
          <w:rFonts w:ascii="Verdana" w:eastAsia="Aptos" w:hAnsi="Verdana" w:cs="Times New Roman"/>
        </w:rPr>
        <w:t xml:space="preserve">Twitter: </w:t>
      </w:r>
      <w:r w:rsidRPr="00AC0A48">
        <w:rPr>
          <w:rFonts w:ascii="Verdana" w:eastAsia="Calibri" w:hAnsi="Verdana" w:cs="Times New Roman"/>
          <w:color w:val="156082"/>
          <w:u w:val="single"/>
        </w:rPr>
        <w:t>@colombiacompra</w:t>
      </w:r>
      <w:r w:rsidRPr="00AC0A48">
        <w:rPr>
          <w:rFonts w:ascii="Verdana" w:eastAsia="Calibri" w:hAnsi="Verdana" w:cs="Times New Roman"/>
          <w:color w:val="156082"/>
        </w:rPr>
        <w:t xml:space="preserve"> </w:t>
      </w:r>
    </w:p>
    <w:p w14:paraId="07E15F38" w14:textId="77777777" w:rsidR="003C2FEE" w:rsidRPr="00AC0A48" w:rsidRDefault="003C2FEE" w:rsidP="003C2FEE">
      <w:pPr>
        <w:spacing w:after="0" w:line="240" w:lineRule="auto"/>
        <w:jc w:val="both"/>
        <w:rPr>
          <w:rFonts w:ascii="Verdana" w:eastAsia="Aptos" w:hAnsi="Verdana" w:cs="Times New Roman"/>
        </w:rPr>
      </w:pPr>
      <w:r w:rsidRPr="00AC0A48">
        <w:rPr>
          <w:rFonts w:ascii="Verdana" w:eastAsia="Aptos" w:hAnsi="Verdana" w:cs="Times New Roman"/>
        </w:rPr>
        <w:t xml:space="preserve">Facebook: </w:t>
      </w:r>
      <w:proofErr w:type="spellStart"/>
      <w:r w:rsidRPr="00AC0A48">
        <w:rPr>
          <w:rFonts w:ascii="Verdana" w:eastAsia="Calibri" w:hAnsi="Verdana" w:cs="Times New Roman"/>
          <w:color w:val="156082"/>
          <w:u w:val="single"/>
        </w:rPr>
        <w:t>ColombiaCompraEficiente</w:t>
      </w:r>
      <w:proofErr w:type="spellEnd"/>
    </w:p>
    <w:p w14:paraId="6C0E9340" w14:textId="77777777" w:rsidR="003C2FEE" w:rsidRPr="00AC0A48" w:rsidRDefault="003C2FEE" w:rsidP="003C2FEE">
      <w:pPr>
        <w:spacing w:after="0" w:line="240" w:lineRule="auto"/>
        <w:jc w:val="both"/>
        <w:rPr>
          <w:rFonts w:ascii="Verdana" w:eastAsia="Aptos" w:hAnsi="Verdana" w:cs="Times New Roman"/>
        </w:rPr>
      </w:pPr>
      <w:r w:rsidRPr="00AC0A48">
        <w:rPr>
          <w:rFonts w:ascii="Verdana" w:eastAsia="Aptos" w:hAnsi="Verdana" w:cs="Times New Roman"/>
        </w:rPr>
        <w:t xml:space="preserve">LinkedIn: </w:t>
      </w:r>
      <w:r w:rsidRPr="00AC0A48">
        <w:rPr>
          <w:rFonts w:ascii="Verdana" w:eastAsia="Calibri" w:hAnsi="Verdana" w:cs="Times New Roman"/>
          <w:color w:val="156082"/>
          <w:u w:val="single"/>
        </w:rPr>
        <w:t>Agencia Nacional de Contratación Pública - Colombia Compra Eficiente</w:t>
      </w:r>
      <w:r w:rsidRPr="00AC0A48">
        <w:rPr>
          <w:rFonts w:ascii="Verdana" w:eastAsia="Calibri" w:hAnsi="Verdana" w:cs="Times New Roman"/>
          <w:color w:val="156082"/>
        </w:rPr>
        <w:t xml:space="preserve"> </w:t>
      </w:r>
      <w:r w:rsidRPr="00AC0A48">
        <w:rPr>
          <w:rFonts w:ascii="Verdana" w:eastAsia="Aptos" w:hAnsi="Verdana" w:cs="Times New Roman"/>
        </w:rPr>
        <w:t xml:space="preserve">Instagram: </w:t>
      </w:r>
      <w:r w:rsidRPr="00AC0A48">
        <w:rPr>
          <w:rFonts w:ascii="Verdana" w:eastAsia="Calibri" w:hAnsi="Verdana" w:cs="Times New Roman"/>
          <w:color w:val="156082"/>
          <w:u w:val="single"/>
        </w:rPr>
        <w:t>@colombiacompraeficiente_cce</w:t>
      </w:r>
    </w:p>
    <w:p w14:paraId="0633E907" w14:textId="77777777" w:rsidR="003C2FEE" w:rsidRPr="00801B1E" w:rsidRDefault="003C2FEE" w:rsidP="003C2FEE">
      <w:pPr>
        <w:spacing w:after="0" w:line="276" w:lineRule="auto"/>
        <w:jc w:val="both"/>
        <w:rPr>
          <w:rFonts w:ascii="Verdana" w:hAnsi="Verdana"/>
        </w:rPr>
      </w:pPr>
    </w:p>
    <w:p w14:paraId="107F5EE1" w14:textId="77777777" w:rsidR="003C2FEE" w:rsidRPr="00801B1E" w:rsidRDefault="003C2FEE" w:rsidP="003C2FEE">
      <w:pPr>
        <w:spacing w:after="0" w:line="276" w:lineRule="auto"/>
        <w:jc w:val="both"/>
        <w:rPr>
          <w:rFonts w:ascii="Verdana" w:eastAsia="Calibri" w:hAnsi="Verdana" w:cs="Times New Roman"/>
          <w:bCs/>
          <w:lang w:val="es-ES_tradnl"/>
        </w:rPr>
      </w:pPr>
      <w:r w:rsidRPr="00801B1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1678D19" w14:textId="77777777" w:rsidR="003C2FEE" w:rsidRPr="00801B1E" w:rsidRDefault="003C2FEE" w:rsidP="003C2FEE">
      <w:pPr>
        <w:spacing w:after="0" w:line="276" w:lineRule="auto"/>
        <w:jc w:val="both"/>
        <w:rPr>
          <w:rFonts w:ascii="Verdana" w:eastAsia="Calibri" w:hAnsi="Verdana" w:cs="Times New Roman"/>
        </w:rPr>
      </w:pPr>
    </w:p>
    <w:p w14:paraId="7C9CA3C3" w14:textId="77777777" w:rsidR="003C2FEE" w:rsidRPr="00CA01FA" w:rsidRDefault="003C2FEE" w:rsidP="003C2FEE">
      <w:pPr>
        <w:spacing w:after="0" w:line="276" w:lineRule="auto"/>
        <w:jc w:val="both"/>
        <w:rPr>
          <w:rFonts w:ascii="Verdana" w:eastAsia="Calibri" w:hAnsi="Verdana" w:cs="Times New Roman"/>
        </w:rPr>
      </w:pPr>
      <w:r w:rsidRPr="2EC93900">
        <w:rPr>
          <w:rFonts w:ascii="Verdana" w:eastAsia="Calibri" w:hAnsi="Verdana" w:cs="Times New Roman"/>
        </w:rPr>
        <w:t>Atentamente,</w:t>
      </w:r>
    </w:p>
    <w:p w14:paraId="20436C13" w14:textId="47E56216" w:rsidR="003C2FEE" w:rsidRDefault="001F7048" w:rsidP="003C2FEE">
      <w:pPr>
        <w:tabs>
          <w:tab w:val="left" w:pos="1320"/>
        </w:tabs>
        <w:jc w:val="center"/>
        <w:rPr>
          <w:rFonts w:ascii="Verdana" w:eastAsia="Aptos" w:hAnsi="Verdana" w:cs="Times New Roman"/>
        </w:rPr>
      </w:pPr>
      <w:r w:rsidRPr="004D5C25">
        <w:rPr>
          <w:rFonts w:ascii="Century Gothic" w:hAnsi="Century Gothic"/>
          <w:noProof/>
        </w:rPr>
        <w:drawing>
          <wp:anchor distT="0" distB="0" distL="114300" distR="114300" simplePos="0" relativeHeight="251658240" behindDoc="0" locked="0" layoutInCell="1" allowOverlap="1" wp14:anchorId="24126F29" wp14:editId="1B335CA0">
            <wp:simplePos x="0" y="0"/>
            <wp:positionH relativeFrom="column">
              <wp:posOffset>1384300</wp:posOffset>
            </wp:positionH>
            <wp:positionV relativeFrom="paragraph">
              <wp:posOffset>145415</wp:posOffset>
            </wp:positionV>
            <wp:extent cx="3148330" cy="1256030"/>
            <wp:effectExtent l="0" t="0" r="0" b="1270"/>
            <wp:wrapSquare wrapText="bothSides"/>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148330" cy="1256030"/>
                    </a:xfrm>
                    <a:prstGeom prst="rect">
                      <a:avLst/>
                    </a:prstGeom>
                  </pic:spPr>
                </pic:pic>
              </a:graphicData>
            </a:graphic>
            <wp14:sizeRelH relativeFrom="margin">
              <wp14:pctWidth>0</wp14:pctWidth>
            </wp14:sizeRelH>
            <wp14:sizeRelV relativeFrom="margin">
              <wp14:pctHeight>0</wp14:pctHeight>
            </wp14:sizeRelV>
          </wp:anchor>
        </w:drawing>
      </w:r>
    </w:p>
    <w:p w14:paraId="784E4C74" w14:textId="26A94C6B" w:rsidR="00AE5C3C" w:rsidRDefault="00AE5C3C" w:rsidP="003C2FEE">
      <w:pPr>
        <w:tabs>
          <w:tab w:val="left" w:pos="1320"/>
        </w:tabs>
        <w:jc w:val="center"/>
        <w:rPr>
          <w:rFonts w:ascii="Verdana" w:eastAsia="Aptos" w:hAnsi="Verdana" w:cs="Times New Roman"/>
        </w:rPr>
      </w:pPr>
    </w:p>
    <w:p w14:paraId="4249658A" w14:textId="77777777" w:rsidR="001F7048" w:rsidRDefault="001F7048" w:rsidP="003C2FEE">
      <w:pPr>
        <w:tabs>
          <w:tab w:val="left" w:pos="1320"/>
        </w:tabs>
        <w:jc w:val="center"/>
        <w:rPr>
          <w:rFonts w:ascii="Verdana" w:eastAsia="Aptos" w:hAnsi="Verdana" w:cs="Times New Roman"/>
        </w:rPr>
      </w:pPr>
    </w:p>
    <w:p w14:paraId="200F6E76" w14:textId="77777777" w:rsidR="001F7048" w:rsidRDefault="001F7048" w:rsidP="003C2FEE">
      <w:pPr>
        <w:tabs>
          <w:tab w:val="left" w:pos="1320"/>
        </w:tabs>
        <w:jc w:val="center"/>
        <w:rPr>
          <w:rFonts w:ascii="Verdana" w:eastAsia="Aptos" w:hAnsi="Verdana" w:cs="Times New Roman"/>
        </w:rPr>
      </w:pPr>
    </w:p>
    <w:p w14:paraId="1CAF1ADD" w14:textId="77777777" w:rsidR="001F7048" w:rsidRDefault="001F7048" w:rsidP="003C2FEE">
      <w:pPr>
        <w:tabs>
          <w:tab w:val="left" w:pos="1320"/>
        </w:tabs>
        <w:jc w:val="center"/>
        <w:rPr>
          <w:rFonts w:ascii="Verdana" w:eastAsia="Aptos" w:hAnsi="Verdana" w:cs="Times New Roman"/>
        </w:rPr>
      </w:pPr>
    </w:p>
    <w:p w14:paraId="7BEF4593" w14:textId="77777777" w:rsidR="001F7048" w:rsidRPr="00D8463A" w:rsidRDefault="001F7048" w:rsidP="003C2FEE">
      <w:pPr>
        <w:tabs>
          <w:tab w:val="left" w:pos="1320"/>
        </w:tabs>
        <w:jc w:val="center"/>
        <w:rPr>
          <w:rFonts w:ascii="Verdana" w:eastAsia="Aptos"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C2FEE" w:rsidRPr="00D8463A" w14:paraId="342557D8" w14:textId="77777777" w:rsidTr="00D17264">
        <w:trPr>
          <w:trHeight w:val="315"/>
        </w:trPr>
        <w:tc>
          <w:tcPr>
            <w:tcW w:w="893" w:type="dxa"/>
            <w:vAlign w:val="center"/>
            <w:hideMark/>
          </w:tcPr>
          <w:p w14:paraId="5595DA0F" w14:textId="77777777" w:rsidR="003C2FEE" w:rsidRPr="00D8463A" w:rsidRDefault="003C2FEE" w:rsidP="00D17264">
            <w:pPr>
              <w:rPr>
                <w:rFonts w:ascii="Verdana" w:eastAsia="Calibri" w:hAnsi="Verdana" w:cs="Arial"/>
                <w:sz w:val="16"/>
                <w:szCs w:val="16"/>
                <w:lang w:val="es-ES_tradnl" w:eastAsia="es-ES"/>
              </w:rPr>
            </w:pPr>
            <w:r w:rsidRPr="00D8463A">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0DB6463" w14:textId="77777777" w:rsidR="003C2FEE" w:rsidRPr="00D8463A" w:rsidRDefault="003C2FEE" w:rsidP="00D17264">
            <w:pPr>
              <w:rPr>
                <w:rFonts w:ascii="Verdana" w:eastAsia="Arial" w:hAnsi="Verdana" w:cs="Arial"/>
                <w:sz w:val="16"/>
                <w:szCs w:val="16"/>
                <w:lang w:val="es-ES"/>
              </w:rPr>
            </w:pPr>
            <w:r w:rsidRPr="00D8463A">
              <w:rPr>
                <w:rFonts w:ascii="Verdana" w:eastAsia="Arial" w:hAnsi="Verdana" w:cs="Arial"/>
                <w:sz w:val="16"/>
                <w:szCs w:val="16"/>
                <w:lang w:val="es-ES"/>
              </w:rPr>
              <w:t xml:space="preserve">Carlos Mario </w:t>
            </w:r>
            <w:proofErr w:type="spellStart"/>
            <w:r w:rsidRPr="00D8463A">
              <w:rPr>
                <w:rFonts w:ascii="Verdana" w:eastAsia="Arial" w:hAnsi="Verdana" w:cs="Arial"/>
                <w:sz w:val="16"/>
                <w:szCs w:val="16"/>
                <w:lang w:val="es-ES"/>
              </w:rPr>
              <w:t>Castrillon</w:t>
            </w:r>
            <w:proofErr w:type="spellEnd"/>
            <w:r w:rsidRPr="00D8463A">
              <w:rPr>
                <w:rFonts w:ascii="Verdana" w:eastAsia="Arial" w:hAnsi="Verdana" w:cs="Arial"/>
                <w:sz w:val="16"/>
                <w:szCs w:val="16"/>
                <w:lang w:val="es-ES"/>
              </w:rPr>
              <w:t xml:space="preserve"> Endo </w:t>
            </w:r>
          </w:p>
          <w:p w14:paraId="2BA71C3B" w14:textId="77777777" w:rsidR="003C2FEE" w:rsidRPr="00D8463A" w:rsidRDefault="003C2FEE" w:rsidP="00D17264">
            <w:pPr>
              <w:rPr>
                <w:rFonts w:ascii="Verdana" w:eastAsia="Arial" w:hAnsi="Verdana" w:cs="Arial"/>
                <w:sz w:val="16"/>
                <w:szCs w:val="16"/>
                <w:lang w:val="es-ES_tradnl"/>
              </w:rPr>
            </w:pPr>
            <w:r w:rsidRPr="00D8463A">
              <w:rPr>
                <w:rFonts w:ascii="Verdana" w:eastAsia="Arial" w:hAnsi="Verdana" w:cs="Arial"/>
                <w:sz w:val="16"/>
                <w:szCs w:val="16"/>
                <w:lang w:val="es-ES_tradnl"/>
              </w:rPr>
              <w:t>Contratista de la Subdirección de Gestión Contractual</w:t>
            </w:r>
          </w:p>
          <w:p w14:paraId="44F2DD6C" w14:textId="77777777" w:rsidR="003C2FEE" w:rsidRPr="00D8463A" w:rsidRDefault="003C2FEE" w:rsidP="00D17264">
            <w:pPr>
              <w:rPr>
                <w:rFonts w:ascii="Verdana" w:eastAsia="Arial" w:hAnsi="Verdana" w:cs="Arial"/>
                <w:sz w:val="16"/>
                <w:szCs w:val="16"/>
                <w:lang w:val="es-ES_tradnl"/>
              </w:rPr>
            </w:pPr>
          </w:p>
        </w:tc>
      </w:tr>
      <w:tr w:rsidR="003C2FEE" w:rsidRPr="00D8463A" w14:paraId="4D8AC90B" w14:textId="77777777" w:rsidTr="00D17264">
        <w:trPr>
          <w:trHeight w:val="330"/>
        </w:trPr>
        <w:tc>
          <w:tcPr>
            <w:tcW w:w="893" w:type="dxa"/>
            <w:vAlign w:val="center"/>
            <w:hideMark/>
          </w:tcPr>
          <w:p w14:paraId="17A7CA9E" w14:textId="77777777" w:rsidR="003C2FEE" w:rsidRPr="00D8463A" w:rsidRDefault="003C2FEE" w:rsidP="00D17264">
            <w:pPr>
              <w:rPr>
                <w:rFonts w:ascii="Verdana" w:eastAsia="Calibri" w:hAnsi="Verdana" w:cs="Arial"/>
                <w:sz w:val="16"/>
                <w:szCs w:val="16"/>
                <w:lang w:val="es-ES_tradnl" w:eastAsia="es-ES"/>
              </w:rPr>
            </w:pPr>
            <w:r w:rsidRPr="00D8463A">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B14DE60" w14:textId="77777777" w:rsidR="003C2FEE" w:rsidRPr="00D8463A" w:rsidRDefault="003C2FEE" w:rsidP="00D17264">
            <w:pPr>
              <w:contextualSpacing/>
              <w:textAlignment w:val="baseline"/>
              <w:rPr>
                <w:rFonts w:ascii="Verdana" w:eastAsia="Arial" w:hAnsi="Verdana" w:cs="Arial"/>
                <w:sz w:val="16"/>
                <w:szCs w:val="16"/>
              </w:rPr>
            </w:pPr>
            <w:r w:rsidRPr="00D8463A">
              <w:rPr>
                <w:rFonts w:ascii="Verdana" w:eastAsia="Arial" w:hAnsi="Verdana" w:cs="Arial"/>
                <w:sz w:val="16"/>
                <w:szCs w:val="16"/>
              </w:rPr>
              <w:t xml:space="preserve">Lida Milena </w:t>
            </w:r>
            <w:proofErr w:type="spellStart"/>
            <w:r w:rsidRPr="00D8463A">
              <w:rPr>
                <w:rFonts w:ascii="Verdana" w:eastAsia="Arial" w:hAnsi="Verdana" w:cs="Arial"/>
                <w:sz w:val="16"/>
                <w:szCs w:val="16"/>
              </w:rPr>
              <w:t>Guanumen</w:t>
            </w:r>
            <w:proofErr w:type="spellEnd"/>
            <w:r w:rsidRPr="00D8463A">
              <w:rPr>
                <w:rFonts w:ascii="Verdana" w:eastAsia="Arial" w:hAnsi="Verdana" w:cs="Arial"/>
                <w:sz w:val="16"/>
                <w:szCs w:val="16"/>
              </w:rPr>
              <w:t xml:space="preserve"> </w:t>
            </w:r>
            <w:proofErr w:type="spellStart"/>
            <w:r w:rsidRPr="00D8463A">
              <w:rPr>
                <w:rFonts w:ascii="Verdana" w:eastAsia="Arial" w:hAnsi="Verdana" w:cs="Arial"/>
                <w:sz w:val="16"/>
                <w:szCs w:val="16"/>
              </w:rPr>
              <w:t>Pachecho</w:t>
            </w:r>
            <w:proofErr w:type="spellEnd"/>
            <w:r w:rsidRPr="00D8463A">
              <w:rPr>
                <w:rFonts w:ascii="Verdana" w:eastAsia="Arial" w:hAnsi="Verdana" w:cs="Arial"/>
                <w:sz w:val="16"/>
                <w:szCs w:val="16"/>
              </w:rPr>
              <w:t xml:space="preserve"> </w:t>
            </w:r>
          </w:p>
          <w:p w14:paraId="0AA3CD96" w14:textId="77777777" w:rsidR="003C2FEE" w:rsidRPr="00D8463A" w:rsidRDefault="003C2FEE" w:rsidP="00D17264">
            <w:pPr>
              <w:contextualSpacing/>
              <w:textAlignment w:val="baseline"/>
              <w:rPr>
                <w:rFonts w:ascii="Verdana" w:eastAsia="Arial" w:hAnsi="Verdana" w:cs="Arial"/>
                <w:sz w:val="16"/>
                <w:szCs w:val="16"/>
              </w:rPr>
            </w:pPr>
            <w:r w:rsidRPr="00D8463A">
              <w:rPr>
                <w:rFonts w:ascii="Verdana" w:eastAsia="Arial" w:hAnsi="Verdana" w:cs="Arial"/>
                <w:sz w:val="16"/>
                <w:szCs w:val="16"/>
              </w:rPr>
              <w:t>Contratista de la Subdirección de Gestión Contractual</w:t>
            </w:r>
          </w:p>
          <w:p w14:paraId="4912BC9F" w14:textId="77777777" w:rsidR="003C2FEE" w:rsidRPr="00D8463A" w:rsidRDefault="003C2FEE" w:rsidP="00D17264">
            <w:pPr>
              <w:contextualSpacing/>
              <w:textAlignment w:val="baseline"/>
              <w:rPr>
                <w:rFonts w:ascii="Verdana" w:eastAsia="Times New Roman" w:hAnsi="Verdana" w:cs="Segoe UI"/>
                <w:sz w:val="16"/>
                <w:szCs w:val="16"/>
                <w:lang w:eastAsia="es-ES_tradnl"/>
              </w:rPr>
            </w:pPr>
            <w:r w:rsidRPr="00D8463A">
              <w:rPr>
                <w:rFonts w:ascii="Verdana" w:eastAsia="Times New Roman" w:hAnsi="Verdana" w:cs="Segoe UI"/>
                <w:sz w:val="16"/>
                <w:szCs w:val="16"/>
                <w:lang w:eastAsia="es-ES_tradnl"/>
              </w:rPr>
              <w:t xml:space="preserve">Adriana </w:t>
            </w:r>
            <w:proofErr w:type="spellStart"/>
            <w:r w:rsidRPr="00D8463A">
              <w:rPr>
                <w:rFonts w:ascii="Verdana" w:eastAsia="Times New Roman" w:hAnsi="Verdana" w:cs="Segoe UI"/>
                <w:sz w:val="16"/>
                <w:szCs w:val="16"/>
                <w:lang w:eastAsia="es-ES_tradnl"/>
              </w:rPr>
              <w:t>Katerine</w:t>
            </w:r>
            <w:proofErr w:type="spellEnd"/>
            <w:r w:rsidRPr="00D8463A">
              <w:rPr>
                <w:rFonts w:ascii="Verdana" w:eastAsia="Times New Roman" w:hAnsi="Verdana" w:cs="Segoe UI"/>
                <w:sz w:val="16"/>
                <w:szCs w:val="16"/>
                <w:lang w:eastAsia="es-ES_tradnl"/>
              </w:rPr>
              <w:t xml:space="preserve"> López Rodríguez </w:t>
            </w:r>
          </w:p>
          <w:p w14:paraId="6EDB0463" w14:textId="77777777" w:rsidR="003C2FEE" w:rsidRPr="00D8463A" w:rsidRDefault="003C2FEE" w:rsidP="00D17264">
            <w:pPr>
              <w:contextualSpacing/>
              <w:textAlignment w:val="baseline"/>
              <w:rPr>
                <w:rFonts w:ascii="Verdana" w:eastAsia="Arial" w:hAnsi="Verdana" w:cs="Arial"/>
                <w:sz w:val="16"/>
                <w:szCs w:val="16"/>
              </w:rPr>
            </w:pPr>
            <w:r w:rsidRPr="00D8463A">
              <w:rPr>
                <w:rFonts w:ascii="Verdana" w:eastAsia="Arial" w:hAnsi="Verdana" w:cs="Arial"/>
                <w:sz w:val="16"/>
                <w:szCs w:val="16"/>
              </w:rPr>
              <w:t>Contratista de la Subdirección de Gestión Contractual</w:t>
            </w:r>
          </w:p>
          <w:p w14:paraId="634447FE" w14:textId="77777777" w:rsidR="003C2FEE" w:rsidRPr="00D8463A" w:rsidRDefault="003C2FEE" w:rsidP="00D17264">
            <w:pPr>
              <w:textAlignment w:val="baseline"/>
              <w:rPr>
                <w:rFonts w:ascii="Verdana" w:eastAsia="Times New Roman" w:hAnsi="Verdana" w:cs="Segoe UI"/>
                <w:sz w:val="16"/>
                <w:szCs w:val="16"/>
                <w:lang w:val="es-ES_tradnl" w:eastAsia="es-ES_tradnl"/>
              </w:rPr>
            </w:pPr>
          </w:p>
        </w:tc>
      </w:tr>
      <w:tr w:rsidR="003C2FEE" w:rsidRPr="00D8463A" w14:paraId="0AB09E88" w14:textId="77777777" w:rsidTr="00D17264">
        <w:trPr>
          <w:trHeight w:val="300"/>
        </w:trPr>
        <w:tc>
          <w:tcPr>
            <w:tcW w:w="893" w:type="dxa"/>
            <w:vAlign w:val="center"/>
          </w:tcPr>
          <w:p w14:paraId="604F88CE" w14:textId="77777777" w:rsidR="003C2FEE" w:rsidRPr="00D8463A" w:rsidRDefault="003C2FEE" w:rsidP="00D17264">
            <w:pPr>
              <w:rPr>
                <w:rFonts w:ascii="Verdana" w:eastAsia="Calibri" w:hAnsi="Verdana" w:cs="Arial"/>
                <w:sz w:val="16"/>
                <w:szCs w:val="16"/>
                <w:lang w:val="es-ES_tradnl" w:eastAsia="es-ES"/>
              </w:rPr>
            </w:pPr>
            <w:r w:rsidRPr="00D8463A">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11F99004" w14:textId="77777777" w:rsidR="007379BC" w:rsidRPr="00495CFF" w:rsidRDefault="007379BC" w:rsidP="007379BC">
            <w:pPr>
              <w:rPr>
                <w:rFonts w:ascii="Verdana" w:eastAsia="Calibri" w:hAnsi="Verdana" w:cs="Arial"/>
                <w:sz w:val="16"/>
                <w:szCs w:val="16"/>
                <w:lang w:eastAsia="es-ES"/>
              </w:rPr>
            </w:pPr>
            <w:r w:rsidRPr="00495CFF">
              <w:rPr>
                <w:rFonts w:ascii="Verdana" w:eastAsia="Calibri" w:hAnsi="Verdana" w:cs="Arial"/>
                <w:sz w:val="16"/>
                <w:szCs w:val="16"/>
                <w:lang w:eastAsia="es-ES"/>
              </w:rPr>
              <w:t xml:space="preserve">Carolina Quintero </w:t>
            </w:r>
            <w:proofErr w:type="spellStart"/>
            <w:r w:rsidRPr="00495CFF">
              <w:rPr>
                <w:rFonts w:ascii="Verdana" w:eastAsia="Calibri" w:hAnsi="Verdana" w:cs="Arial"/>
                <w:sz w:val="16"/>
                <w:szCs w:val="16"/>
                <w:lang w:eastAsia="es-ES"/>
              </w:rPr>
              <w:t>Gacharná</w:t>
            </w:r>
            <w:proofErr w:type="spellEnd"/>
          </w:p>
          <w:p w14:paraId="4793C31A" w14:textId="2E169DAE" w:rsidR="003C2FEE" w:rsidRPr="00D8463A" w:rsidRDefault="007379BC" w:rsidP="007379BC">
            <w:pPr>
              <w:rPr>
                <w:rFonts w:ascii="Verdana" w:eastAsia="Calibri" w:hAnsi="Verdana" w:cs="Arial"/>
                <w:sz w:val="16"/>
                <w:szCs w:val="16"/>
                <w:lang w:val="es-ES_tradnl" w:eastAsia="es-ES"/>
              </w:rPr>
            </w:pPr>
            <w:r w:rsidRPr="00495CFF">
              <w:rPr>
                <w:rFonts w:ascii="Verdana" w:eastAsia="Calibri" w:hAnsi="Verdana" w:cs="Arial"/>
                <w:sz w:val="16"/>
                <w:szCs w:val="16"/>
                <w:lang w:eastAsia="es-ES"/>
              </w:rPr>
              <w:t>Subdirectora de Gestión Contractual ANCP – CCE</w:t>
            </w:r>
          </w:p>
        </w:tc>
      </w:tr>
      <w:bookmarkEnd w:id="0"/>
    </w:tbl>
    <w:p w14:paraId="34BE71F7" w14:textId="77777777" w:rsidR="003C2FEE" w:rsidRPr="00D8463A" w:rsidRDefault="003C2FEE" w:rsidP="003C2FEE">
      <w:pPr>
        <w:tabs>
          <w:tab w:val="left" w:pos="1320"/>
        </w:tabs>
        <w:rPr>
          <w:rFonts w:ascii="Verdana" w:eastAsia="Aptos" w:hAnsi="Verdana" w:cs="Times New Roman"/>
        </w:rPr>
      </w:pPr>
    </w:p>
    <w:p w14:paraId="35FEA955" w14:textId="77777777" w:rsidR="003C2FEE" w:rsidRPr="00D8463A" w:rsidRDefault="003C2FEE" w:rsidP="003C2FEE">
      <w:pPr>
        <w:spacing w:line="278" w:lineRule="auto"/>
        <w:rPr>
          <w:rFonts w:ascii="Verdana" w:eastAsia="Aptos" w:hAnsi="Verdana" w:cs="Times New Roman"/>
          <w:kern w:val="2"/>
          <w:sz w:val="24"/>
          <w:szCs w:val="24"/>
          <w14:ligatures w14:val="standardContextual"/>
        </w:rPr>
      </w:pPr>
    </w:p>
    <w:p w14:paraId="3900974D" w14:textId="77777777" w:rsidR="003D5B0D" w:rsidRPr="00D7053E" w:rsidRDefault="003D5B0D" w:rsidP="00D7053E"/>
    <w:sectPr w:rsidR="003D5B0D" w:rsidRPr="00D7053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67494" w14:textId="77777777" w:rsidR="000E3EB5" w:rsidRDefault="000E3EB5" w:rsidP="004A1847">
      <w:pPr>
        <w:spacing w:after="0" w:line="240" w:lineRule="auto"/>
      </w:pPr>
      <w:r>
        <w:separator/>
      </w:r>
    </w:p>
  </w:endnote>
  <w:endnote w:type="continuationSeparator" w:id="0">
    <w:p w14:paraId="503C04FE" w14:textId="77777777" w:rsidR="000E3EB5" w:rsidRDefault="000E3EB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_A;">
    <w:altName w:val="Calibri"/>
    <w:panose1 w:val="00000000000000000000"/>
    <w:charset w:val="4D"/>
    <w:family w:val="auto"/>
    <w:notTrueType/>
    <w:pitch w:val="default"/>
    <w:sig w:usb0="00000003" w:usb1="00000000" w:usb2="00000000" w:usb3="00000000" w:csb0="00000001" w:csb1="00000000"/>
  </w:font>
  <w:font w:name="Arial,Calibri">
    <w:altName w:val="Times New Roman"/>
    <w:charset w:val="00"/>
    <w:family w:val="roman"/>
    <w:pitch w:val="default"/>
  </w:font>
  <w:font w:name="Arial,Times New Roman">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B2EF0" w14:textId="77777777" w:rsidR="000E3EB5" w:rsidRDefault="000E3EB5" w:rsidP="004A1847">
      <w:pPr>
        <w:spacing w:after="0" w:line="240" w:lineRule="auto"/>
      </w:pPr>
      <w:r>
        <w:separator/>
      </w:r>
    </w:p>
  </w:footnote>
  <w:footnote w:type="continuationSeparator" w:id="0">
    <w:p w14:paraId="5322F3BF" w14:textId="77777777" w:rsidR="000E3EB5" w:rsidRDefault="000E3EB5" w:rsidP="004A1847">
      <w:pPr>
        <w:spacing w:after="0" w:line="240" w:lineRule="auto"/>
      </w:pPr>
      <w:r>
        <w:continuationSeparator/>
      </w:r>
    </w:p>
  </w:footnote>
  <w:footnote w:id="1">
    <w:p w14:paraId="14E7EA9E" w14:textId="77777777" w:rsidR="003C2FEE" w:rsidRDefault="003C2FEE" w:rsidP="003C2FEE">
      <w:pPr>
        <w:pStyle w:val="Textonotapie"/>
        <w:ind w:firstLine="708"/>
        <w:jc w:val="both"/>
      </w:pPr>
      <w:r>
        <w:rPr>
          <w:rStyle w:val="Refdenotaalpie"/>
        </w:rPr>
        <w:footnoteRef/>
      </w:r>
      <w:r>
        <w:t xml:space="preserve"> En el mismo sentido, puede revisarse el literal H) del numeral 3.5.2 características de los contratos presentados para acreditar la experiencia exigida, de los documentos tipo de selección abreviada de menor cuantía de obra pública de infraestructura de transporte, adoptados por medio de la Resolución 463 de 2024. </w:t>
      </w:r>
    </w:p>
  </w:footnote>
  <w:footnote w:id="2">
    <w:p w14:paraId="20207875" w14:textId="77777777" w:rsidR="003C2FEE" w:rsidRPr="002B5CC2" w:rsidRDefault="003C2FEE" w:rsidP="003C2FEE">
      <w:pPr>
        <w:pStyle w:val="NormalWeb"/>
        <w:spacing w:after="120"/>
        <w:ind w:firstLine="708"/>
        <w:jc w:val="both"/>
        <w:rPr>
          <w:rFonts w:ascii="Arial" w:hAnsi="Arial" w:cs="Arial"/>
          <w:color w:val="000000"/>
          <w:sz w:val="18"/>
          <w:szCs w:val="18"/>
        </w:rPr>
      </w:pPr>
      <w:r w:rsidRPr="002B5CC2">
        <w:rPr>
          <w:rStyle w:val="Refdenotaalpie"/>
          <w:rFonts w:ascii="Arial" w:eastAsiaTheme="majorEastAsia" w:hAnsi="Arial" w:cs="Arial"/>
          <w:color w:val="000000"/>
          <w:sz w:val="18"/>
          <w:szCs w:val="18"/>
        </w:rPr>
        <w:footnoteRef/>
      </w:r>
      <w:r w:rsidRPr="002B5CC2">
        <w:rPr>
          <w:rFonts w:ascii="Arial" w:hAnsi="Arial" w:cs="Arial"/>
          <w:color w:val="000000"/>
          <w:sz w:val="18"/>
          <w:szCs w:val="18"/>
        </w:rPr>
        <w:t xml:space="preserve"> Ley 2022 de 2020: “</w:t>
      </w:r>
      <w:r w:rsidRPr="002B5CC2">
        <w:rPr>
          <w:rStyle w:val="Textoennegrita"/>
          <w:rFonts w:ascii="Arial" w:hAnsi="Arial" w:cs="Arial"/>
          <w:color w:val="000000"/>
          <w:sz w:val="18"/>
          <w:szCs w:val="18"/>
        </w:rPr>
        <w:t xml:space="preserve">Artículo 1º. </w:t>
      </w:r>
      <w:r w:rsidRPr="002B5CC2">
        <w:rPr>
          <w:rFonts w:ascii="Arial" w:hAnsi="Arial" w:cs="Arial"/>
          <w:color w:val="000000"/>
          <w:sz w:val="18"/>
          <w:szCs w:val="18"/>
        </w:rPr>
        <w:t>Modifíquese el artículo 4º de la Ley 1882 de 2018, el cual quedará así:</w:t>
      </w:r>
    </w:p>
    <w:p w14:paraId="18B9D7CE" w14:textId="77777777" w:rsidR="003C2FEE" w:rsidRPr="002B5CC2" w:rsidRDefault="003C2FEE" w:rsidP="003C2FEE">
      <w:pPr>
        <w:pStyle w:val="NormalWeb"/>
        <w:spacing w:after="120"/>
        <w:ind w:firstLine="708"/>
        <w:jc w:val="both"/>
        <w:rPr>
          <w:rFonts w:ascii="Arial" w:hAnsi="Arial" w:cs="Arial"/>
          <w:color w:val="000000"/>
          <w:sz w:val="18"/>
          <w:szCs w:val="18"/>
        </w:rPr>
      </w:pPr>
      <w:r w:rsidRPr="002B5CC2">
        <w:rPr>
          <w:rStyle w:val="Textoennegrita"/>
          <w:rFonts w:ascii="Arial" w:hAnsi="Arial" w:cs="Arial"/>
          <w:color w:val="000000"/>
          <w:sz w:val="18"/>
          <w:szCs w:val="18"/>
        </w:rPr>
        <w:t xml:space="preserve">“Artículo 4º. </w:t>
      </w:r>
      <w:r w:rsidRPr="002B5CC2">
        <w:rPr>
          <w:rFonts w:ascii="Arial" w:hAnsi="Arial" w:cs="Arial"/>
          <w:color w:val="000000"/>
          <w:sz w:val="18"/>
          <w:szCs w:val="18"/>
        </w:rPr>
        <w:t>Adiciónese el siguiente parágrafo al artículo 2º de la Ley 1150 de 2007.</w:t>
      </w:r>
    </w:p>
    <w:p w14:paraId="2C98AF43" w14:textId="77777777" w:rsidR="003C2FEE" w:rsidRPr="002B5CC2" w:rsidRDefault="003C2FEE" w:rsidP="003C2FEE">
      <w:pPr>
        <w:pStyle w:val="NormalWeb"/>
        <w:spacing w:after="120"/>
        <w:ind w:firstLine="708"/>
        <w:jc w:val="both"/>
        <w:rPr>
          <w:rFonts w:ascii="Arial" w:hAnsi="Arial" w:cs="Arial"/>
          <w:color w:val="000000"/>
          <w:sz w:val="18"/>
          <w:szCs w:val="18"/>
        </w:rPr>
      </w:pPr>
      <w:r w:rsidRPr="002B5CC2">
        <w:rPr>
          <w:rStyle w:val="Textoennegrita"/>
          <w:rFonts w:ascii="Arial" w:hAnsi="Arial" w:cs="Arial"/>
          <w:color w:val="000000"/>
          <w:sz w:val="18"/>
          <w:szCs w:val="18"/>
        </w:rPr>
        <w:t xml:space="preserve">Parágrafo 7º. </w:t>
      </w:r>
      <w:r w:rsidRPr="002B5CC2">
        <w:rPr>
          <w:rFonts w:ascii="Arial" w:hAnsi="Arial" w:cs="Arial"/>
          <w:color w:val="000000"/>
          <w:sz w:val="18"/>
          <w:szCs w:val="18"/>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888645E" w14:textId="77777777" w:rsidR="003C2FEE" w:rsidRPr="002B5CC2" w:rsidRDefault="003C2FEE" w:rsidP="003C2FEE">
      <w:pPr>
        <w:pStyle w:val="NormalWeb"/>
        <w:spacing w:after="120"/>
        <w:ind w:firstLine="708"/>
        <w:jc w:val="both"/>
        <w:rPr>
          <w:rFonts w:ascii="Arial" w:hAnsi="Arial" w:cs="Arial"/>
          <w:color w:val="000000"/>
          <w:sz w:val="18"/>
          <w:szCs w:val="18"/>
        </w:rPr>
      </w:pPr>
      <w:r w:rsidRPr="002B5CC2">
        <w:rPr>
          <w:rFonts w:ascii="Arial" w:hAnsi="Arial"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37F71D8" w14:textId="77777777" w:rsidR="003C2FEE" w:rsidRPr="002B5CC2" w:rsidRDefault="003C2FEE" w:rsidP="003C2FEE">
      <w:pPr>
        <w:pStyle w:val="NormalWeb"/>
        <w:spacing w:after="120"/>
        <w:ind w:firstLine="708"/>
        <w:jc w:val="both"/>
        <w:rPr>
          <w:rFonts w:ascii="Arial" w:hAnsi="Arial" w:cs="Arial"/>
          <w:color w:val="000000"/>
          <w:sz w:val="18"/>
          <w:szCs w:val="18"/>
        </w:rPr>
      </w:pPr>
      <w:r w:rsidRPr="002B5CC2">
        <w:rPr>
          <w:rFonts w:ascii="Arial" w:hAnsi="Arial"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B3F4382" w14:textId="77777777" w:rsidR="003C2FEE" w:rsidRPr="002B5CC2" w:rsidRDefault="003C2FEE" w:rsidP="003C2FEE">
      <w:pPr>
        <w:pStyle w:val="NormalWeb"/>
        <w:spacing w:after="120"/>
        <w:ind w:firstLine="708"/>
        <w:jc w:val="both"/>
        <w:rPr>
          <w:rFonts w:ascii="Arial" w:hAnsi="Arial" w:cs="Arial"/>
          <w:color w:val="000000"/>
          <w:sz w:val="18"/>
          <w:szCs w:val="18"/>
        </w:rPr>
      </w:pPr>
      <w:r w:rsidRPr="002B5CC2">
        <w:rPr>
          <w:rFonts w:ascii="Arial" w:hAnsi="Arial"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50DBC79" w14:textId="77777777" w:rsidR="003C2FEE" w:rsidRPr="002B5CC2" w:rsidRDefault="003C2FEE" w:rsidP="003C2FEE">
      <w:pPr>
        <w:pStyle w:val="NormalWeb"/>
        <w:spacing w:after="120"/>
        <w:ind w:firstLine="708"/>
        <w:jc w:val="both"/>
        <w:rPr>
          <w:rFonts w:ascii="Arial" w:hAnsi="Arial" w:cs="Arial"/>
          <w:color w:val="000000"/>
          <w:sz w:val="18"/>
          <w:szCs w:val="18"/>
        </w:rPr>
      </w:pPr>
      <w:r w:rsidRPr="002B5CC2">
        <w:rPr>
          <w:rFonts w:ascii="Arial" w:hAnsi="Arial"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2B045D87" w14:textId="77777777" w:rsidR="003C2FEE" w:rsidRPr="002B5CC2" w:rsidRDefault="003C2FEE" w:rsidP="003C2FEE">
      <w:pPr>
        <w:pStyle w:val="Textonotapie"/>
        <w:ind w:firstLine="708"/>
        <w:jc w:val="both"/>
        <w:rPr>
          <w:rFonts w:ascii="Arial" w:hAnsi="Arial" w:cs="Arial"/>
          <w:sz w:val="18"/>
          <w:szCs w:val="18"/>
        </w:rPr>
      </w:pPr>
      <w:r w:rsidRPr="002B5CC2">
        <w:rPr>
          <w:rStyle w:val="Refdenotaalpie"/>
          <w:rFonts w:ascii="Arial" w:hAnsi="Arial" w:cs="Arial"/>
          <w:sz w:val="18"/>
          <w:szCs w:val="18"/>
        </w:rPr>
        <w:footnoteRef/>
      </w:r>
      <w:r w:rsidRPr="002B5CC2">
        <w:rPr>
          <w:rFonts w:ascii="Arial" w:hAnsi="Arial" w:cs="Arial"/>
          <w:sz w:val="18"/>
          <w:szCs w:val="18"/>
        </w:rPr>
        <w:t xml:space="preserve"> En relación con los documentos tipo para los procesos de selección abreviada de menor cuantía de obra pública de infraestructura de transporte, esta posibilidad se encuentra establecida en el artículo 4 de la Resolución 463 de 2024. </w:t>
      </w:r>
    </w:p>
  </w:footnote>
  <w:footnote w:id="4">
    <w:p w14:paraId="6184C95A" w14:textId="77777777" w:rsidR="003C2FEE" w:rsidRDefault="003C2FEE" w:rsidP="003C2FEE">
      <w:pPr>
        <w:pStyle w:val="Textonotapie"/>
        <w:ind w:firstLine="708"/>
        <w:jc w:val="both"/>
      </w:pPr>
      <w:r>
        <w:rPr>
          <w:rStyle w:val="Refdenotaalpie"/>
        </w:rPr>
        <w:footnoteRef/>
      </w:r>
      <w:r>
        <w:t xml:space="preserve"> En el mismo sentido, puede revisarse el literal H) del numeral 3.5.2 características de los contratos presentados para acreditar la experiencia exigida, de los documentos tipo de selección abreviada de menor cuantía de obra pública de infraestructura de transporte, adoptados por medio de la Resolución 463 de 2024. </w:t>
      </w:r>
    </w:p>
  </w:footnote>
  <w:footnote w:id="5">
    <w:p w14:paraId="3E2D5C36" w14:textId="77777777" w:rsidR="003C2FEE" w:rsidRPr="005A5BF9" w:rsidRDefault="003C2FEE" w:rsidP="003C2FEE">
      <w:pPr>
        <w:pStyle w:val="Textonotapie"/>
        <w:ind w:firstLine="708"/>
        <w:jc w:val="both"/>
        <w:rPr>
          <w:rFonts w:ascii="Arial" w:hAnsi="Arial" w:cs="Arial"/>
          <w:color w:val="000000" w:themeColor="text1"/>
          <w:sz w:val="19"/>
          <w:szCs w:val="19"/>
        </w:rPr>
      </w:pPr>
      <w:r w:rsidRPr="005A0B35">
        <w:rPr>
          <w:rStyle w:val="Refdenotaalpie"/>
          <w:rFonts w:ascii="Arial" w:hAnsi="Arial" w:cs="Arial"/>
          <w:color w:val="000000" w:themeColor="text1"/>
          <w:sz w:val="19"/>
          <w:szCs w:val="19"/>
        </w:rPr>
        <w:footnoteRef/>
      </w:r>
      <w:r w:rsidRPr="005A0B35">
        <w:rPr>
          <w:rFonts w:ascii="Arial" w:hAnsi="Arial" w:cs="Arial"/>
          <w:color w:val="000000" w:themeColor="text1"/>
          <w:sz w:val="19"/>
          <w:szCs w:val="19"/>
        </w:rPr>
        <w:t xml:space="preserve"> Banco </w:t>
      </w:r>
      <w:r>
        <w:rPr>
          <w:rFonts w:ascii="Arial" w:hAnsi="Arial" w:cs="Arial"/>
          <w:color w:val="000000" w:themeColor="text1"/>
          <w:sz w:val="19"/>
          <w:szCs w:val="19"/>
        </w:rPr>
        <w:t>d</w:t>
      </w:r>
      <w:r w:rsidRPr="005A0B35">
        <w:rPr>
          <w:rFonts w:ascii="Arial" w:hAnsi="Arial" w:cs="Arial"/>
          <w:color w:val="000000" w:themeColor="text1"/>
          <w:sz w:val="19"/>
          <w:szCs w:val="19"/>
        </w:rPr>
        <w:t xml:space="preserve">e </w:t>
      </w:r>
      <w:r>
        <w:rPr>
          <w:rFonts w:ascii="Arial" w:hAnsi="Arial" w:cs="Arial"/>
          <w:color w:val="000000" w:themeColor="text1"/>
          <w:sz w:val="19"/>
          <w:szCs w:val="19"/>
        </w:rPr>
        <w:t>l</w:t>
      </w:r>
      <w:r w:rsidRPr="005A0B35">
        <w:rPr>
          <w:rFonts w:ascii="Arial" w:hAnsi="Arial" w:cs="Arial"/>
          <w:color w:val="000000" w:themeColor="text1"/>
          <w:sz w:val="19"/>
          <w:szCs w:val="19"/>
        </w:rPr>
        <w:t xml:space="preserve">a República. </w:t>
      </w:r>
      <w:r w:rsidRPr="00A2737D">
        <w:rPr>
          <w:rFonts w:ascii="Arial" w:hAnsi="Arial" w:cs="Arial"/>
          <w:color w:val="000000" w:themeColor="text1"/>
          <w:sz w:val="19"/>
          <w:szCs w:val="19"/>
        </w:rPr>
        <w:t>Circular Reglamentaria Externa – DOAM</w:t>
      </w:r>
      <w:r w:rsidRPr="002E0FAD">
        <w:rPr>
          <w:rFonts w:ascii="Arial" w:hAnsi="Arial" w:cs="Arial"/>
          <w:color w:val="000000" w:themeColor="text1"/>
          <w:sz w:val="19"/>
          <w:szCs w:val="19"/>
        </w:rPr>
        <w:t>- 146 de 4 de noviembre de 2020</w:t>
      </w:r>
      <w:r w:rsidRPr="005A5BF9">
        <w:rPr>
          <w:rFonts w:ascii="Arial" w:hAnsi="Arial" w:cs="Arial"/>
          <w:color w:val="000000" w:themeColor="text1"/>
          <w:sz w:val="19"/>
          <w:szCs w:val="19"/>
        </w:rPr>
        <w:t xml:space="preserve">. </w:t>
      </w:r>
    </w:p>
    <w:p w14:paraId="6D374746" w14:textId="77777777" w:rsidR="003C2FEE" w:rsidRPr="005A5BF9" w:rsidRDefault="003C2FEE" w:rsidP="003C2FEE">
      <w:pPr>
        <w:pStyle w:val="Textonotapie"/>
        <w:ind w:firstLine="708"/>
        <w:jc w:val="both"/>
        <w:rPr>
          <w:rFonts w:ascii="Arial" w:hAnsi="Arial" w:cs="Arial"/>
          <w:color w:val="000000" w:themeColor="text1"/>
          <w:sz w:val="19"/>
          <w:szCs w:val="19"/>
        </w:rPr>
      </w:pPr>
    </w:p>
  </w:footnote>
  <w:footnote w:id="6">
    <w:p w14:paraId="7CB64974" w14:textId="77777777" w:rsidR="003C2FEE" w:rsidRPr="002E0FAD" w:rsidRDefault="003C2FEE" w:rsidP="003C2FEE">
      <w:pPr>
        <w:pStyle w:val="Textonotapie"/>
        <w:ind w:firstLine="708"/>
        <w:jc w:val="both"/>
        <w:rPr>
          <w:rFonts w:ascii="Arial" w:hAnsi="Arial" w:cs="Arial"/>
          <w:color w:val="000000" w:themeColor="text1"/>
          <w:sz w:val="19"/>
          <w:szCs w:val="19"/>
        </w:rPr>
      </w:pPr>
      <w:r w:rsidRPr="005A0B35">
        <w:rPr>
          <w:rStyle w:val="Refdenotaalpie"/>
          <w:rFonts w:ascii="Arial" w:hAnsi="Arial" w:cs="Arial"/>
          <w:color w:val="000000" w:themeColor="text1"/>
          <w:sz w:val="19"/>
          <w:szCs w:val="19"/>
        </w:rPr>
        <w:footnoteRef/>
      </w:r>
      <w:r w:rsidRPr="005A0B35">
        <w:rPr>
          <w:rFonts w:ascii="Arial" w:hAnsi="Arial" w:cs="Arial"/>
          <w:color w:val="000000" w:themeColor="text1"/>
          <w:sz w:val="19"/>
          <w:szCs w:val="19"/>
        </w:rPr>
        <w:t xml:space="preserve"> Banco </w:t>
      </w:r>
      <w:r>
        <w:rPr>
          <w:rFonts w:ascii="Arial" w:hAnsi="Arial" w:cs="Arial"/>
          <w:color w:val="000000" w:themeColor="text1"/>
          <w:sz w:val="19"/>
          <w:szCs w:val="19"/>
        </w:rPr>
        <w:t>d</w:t>
      </w:r>
      <w:r w:rsidRPr="005A0B35">
        <w:rPr>
          <w:rFonts w:ascii="Arial" w:hAnsi="Arial" w:cs="Arial"/>
          <w:color w:val="000000" w:themeColor="text1"/>
          <w:sz w:val="19"/>
          <w:szCs w:val="19"/>
        </w:rPr>
        <w:t xml:space="preserve">e </w:t>
      </w:r>
      <w:r>
        <w:rPr>
          <w:rFonts w:ascii="Arial" w:hAnsi="Arial" w:cs="Arial"/>
          <w:color w:val="000000" w:themeColor="text1"/>
          <w:sz w:val="19"/>
          <w:szCs w:val="19"/>
        </w:rPr>
        <w:t>l</w:t>
      </w:r>
      <w:r w:rsidRPr="005A0B35">
        <w:rPr>
          <w:rFonts w:ascii="Arial" w:hAnsi="Arial" w:cs="Arial"/>
          <w:color w:val="000000" w:themeColor="text1"/>
          <w:sz w:val="19"/>
          <w:szCs w:val="19"/>
        </w:rPr>
        <w:t xml:space="preserve">a República. Disponible en línea: </w:t>
      </w:r>
      <w:hyperlink r:id="rId1" w:history="1">
        <w:r w:rsidRPr="005A5BF9">
          <w:rPr>
            <w:rStyle w:val="Hipervnculo"/>
            <w:rFonts w:ascii="Arial" w:hAnsi="Arial" w:cs="Arial"/>
            <w:color w:val="000000" w:themeColor="text1"/>
            <w:sz w:val="19"/>
            <w:szCs w:val="19"/>
          </w:rPr>
          <w:t>https://www.banrep.gov.co/es/estadisticas/trm</w:t>
        </w:r>
      </w:hyperlink>
      <w:r w:rsidRPr="005A0B35">
        <w:rPr>
          <w:rStyle w:val="Hipervnculo"/>
          <w:rFonts w:ascii="Arial" w:hAnsi="Arial" w:cs="Arial"/>
          <w:color w:val="000000" w:themeColor="text1"/>
          <w:sz w:val="19"/>
          <w:szCs w:val="19"/>
        </w:rPr>
        <w:t>. Consultado el 3 de diciembre de 2021.</w:t>
      </w:r>
      <w:r w:rsidRPr="00A2737D">
        <w:rPr>
          <w:rStyle w:val="Hipervnculo"/>
          <w:rFonts w:ascii="Arial" w:hAnsi="Arial" w:cs="Arial"/>
          <w:color w:val="000000" w:themeColor="text1"/>
          <w:sz w:val="19"/>
          <w:szCs w:val="19"/>
        </w:rPr>
        <w:t xml:space="preserve"> </w:t>
      </w:r>
      <w:r w:rsidRPr="002E0FAD">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2B20BE9"/>
    <w:multiLevelType w:val="hybridMultilevel"/>
    <w:tmpl w:val="597670B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A067B59"/>
    <w:multiLevelType w:val="hybridMultilevel"/>
    <w:tmpl w:val="867CE2BC"/>
    <w:lvl w:ilvl="0" w:tplc="FFFFFFFF">
      <w:start w:val="1"/>
      <w:numFmt w:val="lowerRoman"/>
      <w:lvlText w:val="%1)"/>
      <w:lvlJc w:val="left"/>
      <w:pPr>
        <w:ind w:left="1800" w:hanging="720"/>
      </w:pPr>
      <w:rPr>
        <w:rFonts w:eastAsiaTheme="minorHAnsi" w:cstheme="min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B3A3AF5"/>
    <w:multiLevelType w:val="hybridMultilevel"/>
    <w:tmpl w:val="ECA8799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233DD"/>
    <w:multiLevelType w:val="hybridMultilevel"/>
    <w:tmpl w:val="3E300F48"/>
    <w:lvl w:ilvl="0" w:tplc="1D603D34">
      <w:start w:val="1"/>
      <w:numFmt w:val="lowerRoman"/>
      <w:lvlText w:val="%1)"/>
      <w:lvlJc w:val="left"/>
      <w:pPr>
        <w:ind w:left="2520" w:hanging="720"/>
      </w:pPr>
      <w:rPr>
        <w:rFonts w:hint="default"/>
      </w:r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4" w15:restartNumberingAfterBreak="0">
    <w:nsid w:val="3AE941CD"/>
    <w:multiLevelType w:val="hybridMultilevel"/>
    <w:tmpl w:val="867CE2BC"/>
    <w:lvl w:ilvl="0" w:tplc="8084EBB6">
      <w:start w:val="1"/>
      <w:numFmt w:val="lowerRoman"/>
      <w:lvlText w:val="%1)"/>
      <w:lvlJc w:val="left"/>
      <w:pPr>
        <w:ind w:left="1800" w:hanging="720"/>
      </w:pPr>
      <w:rPr>
        <w:rFonts w:eastAsiaTheme="minorHAnsi" w:cstheme="minorBidi"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48FF1356"/>
    <w:multiLevelType w:val="hybridMultilevel"/>
    <w:tmpl w:val="8D2C4418"/>
    <w:lvl w:ilvl="0" w:tplc="A5A2BD24">
      <w:start w:val="1"/>
      <w:numFmt w:val="lowerRoman"/>
      <w:lvlText w:val="%1)"/>
      <w:lvlJc w:val="left"/>
      <w:pPr>
        <w:ind w:left="1080" w:hanging="360"/>
      </w:pPr>
      <w:rPr>
        <w:rFonts w:asciiTheme="minorHAnsi" w:eastAsiaTheme="minorHAnsi" w:hAnsiTheme="minorHAnsi" w:cstheme="minorBidi"/>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4FBA57A1"/>
    <w:multiLevelType w:val="hybridMultilevel"/>
    <w:tmpl w:val="2D22EAD8"/>
    <w:lvl w:ilvl="0" w:tplc="080A0013">
      <w:start w:val="1"/>
      <w:numFmt w:val="upperRoman"/>
      <w:lvlText w:val="%1."/>
      <w:lvlJc w:val="right"/>
      <w:pPr>
        <w:ind w:left="2520" w:hanging="360"/>
      </w:pPr>
    </w:lvl>
    <w:lvl w:ilvl="1" w:tplc="080A0019" w:tentative="1">
      <w:start w:val="1"/>
      <w:numFmt w:val="lowerLetter"/>
      <w:lvlText w:val="%2."/>
      <w:lvlJc w:val="left"/>
      <w:pPr>
        <w:ind w:left="3240" w:hanging="360"/>
      </w:pPr>
    </w:lvl>
    <w:lvl w:ilvl="2" w:tplc="080A001B" w:tentative="1">
      <w:start w:val="1"/>
      <w:numFmt w:val="lowerRoman"/>
      <w:lvlText w:val="%3."/>
      <w:lvlJc w:val="right"/>
      <w:pPr>
        <w:ind w:left="3960" w:hanging="180"/>
      </w:pPr>
    </w:lvl>
    <w:lvl w:ilvl="3" w:tplc="080A000F" w:tentative="1">
      <w:start w:val="1"/>
      <w:numFmt w:val="decimal"/>
      <w:lvlText w:val="%4."/>
      <w:lvlJc w:val="left"/>
      <w:pPr>
        <w:ind w:left="4680" w:hanging="360"/>
      </w:pPr>
    </w:lvl>
    <w:lvl w:ilvl="4" w:tplc="080A0019" w:tentative="1">
      <w:start w:val="1"/>
      <w:numFmt w:val="lowerLetter"/>
      <w:lvlText w:val="%5."/>
      <w:lvlJc w:val="left"/>
      <w:pPr>
        <w:ind w:left="5400" w:hanging="360"/>
      </w:pPr>
    </w:lvl>
    <w:lvl w:ilvl="5" w:tplc="080A001B" w:tentative="1">
      <w:start w:val="1"/>
      <w:numFmt w:val="lowerRoman"/>
      <w:lvlText w:val="%6."/>
      <w:lvlJc w:val="right"/>
      <w:pPr>
        <w:ind w:left="6120" w:hanging="180"/>
      </w:pPr>
    </w:lvl>
    <w:lvl w:ilvl="6" w:tplc="080A000F" w:tentative="1">
      <w:start w:val="1"/>
      <w:numFmt w:val="decimal"/>
      <w:lvlText w:val="%7."/>
      <w:lvlJc w:val="left"/>
      <w:pPr>
        <w:ind w:left="6840" w:hanging="360"/>
      </w:pPr>
    </w:lvl>
    <w:lvl w:ilvl="7" w:tplc="080A0019" w:tentative="1">
      <w:start w:val="1"/>
      <w:numFmt w:val="lowerLetter"/>
      <w:lvlText w:val="%8."/>
      <w:lvlJc w:val="left"/>
      <w:pPr>
        <w:ind w:left="7560" w:hanging="360"/>
      </w:pPr>
    </w:lvl>
    <w:lvl w:ilvl="8" w:tplc="080A001B" w:tentative="1">
      <w:start w:val="1"/>
      <w:numFmt w:val="lowerRoman"/>
      <w:lvlText w:val="%9."/>
      <w:lvlJc w:val="right"/>
      <w:pPr>
        <w:ind w:left="8280" w:hanging="180"/>
      </w:p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7724B21"/>
    <w:multiLevelType w:val="hybridMultilevel"/>
    <w:tmpl w:val="D47065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5868624">
    <w:abstractNumId w:val="10"/>
  </w:num>
  <w:num w:numId="2" w16cid:durableId="1720782745">
    <w:abstractNumId w:val="3"/>
  </w:num>
  <w:num w:numId="3" w16cid:durableId="2048023618">
    <w:abstractNumId w:val="8"/>
  </w:num>
  <w:num w:numId="4" w16cid:durableId="910967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0468665">
    <w:abstractNumId w:val="3"/>
  </w:num>
  <w:num w:numId="6" w16cid:durableId="11038193">
    <w:abstractNumId w:val="21"/>
  </w:num>
  <w:num w:numId="7" w16cid:durableId="755829780">
    <w:abstractNumId w:val="9"/>
  </w:num>
  <w:num w:numId="8" w16cid:durableId="959842128">
    <w:abstractNumId w:val="20"/>
  </w:num>
  <w:num w:numId="9" w16cid:durableId="657073385">
    <w:abstractNumId w:val="11"/>
  </w:num>
  <w:num w:numId="10" w16cid:durableId="1125729833">
    <w:abstractNumId w:val="19"/>
  </w:num>
  <w:num w:numId="11" w16cid:durableId="1026100410">
    <w:abstractNumId w:val="12"/>
  </w:num>
  <w:num w:numId="12" w16cid:durableId="1228956505">
    <w:abstractNumId w:val="2"/>
  </w:num>
  <w:num w:numId="13" w16cid:durableId="543058347">
    <w:abstractNumId w:val="6"/>
  </w:num>
  <w:num w:numId="14" w16cid:durableId="484131240">
    <w:abstractNumId w:val="22"/>
  </w:num>
  <w:num w:numId="15" w16cid:durableId="2130002483">
    <w:abstractNumId w:val="17"/>
  </w:num>
  <w:num w:numId="16" w16cid:durableId="64338750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2285873">
    <w:abstractNumId w:val="13"/>
  </w:num>
  <w:num w:numId="18" w16cid:durableId="333650342">
    <w:abstractNumId w:val="0"/>
  </w:num>
  <w:num w:numId="19" w16cid:durableId="11076605">
    <w:abstractNumId w:val="15"/>
  </w:num>
  <w:num w:numId="20" w16cid:durableId="1329939566">
    <w:abstractNumId w:val="14"/>
  </w:num>
  <w:num w:numId="21" w16cid:durableId="2126267769">
    <w:abstractNumId w:val="18"/>
  </w:num>
  <w:num w:numId="22" w16cid:durableId="951981172">
    <w:abstractNumId w:val="16"/>
  </w:num>
  <w:num w:numId="23" w16cid:durableId="1067143520">
    <w:abstractNumId w:val="7"/>
  </w:num>
  <w:num w:numId="24" w16cid:durableId="854421351">
    <w:abstractNumId w:val="1"/>
  </w:num>
  <w:num w:numId="25" w16cid:durableId="1703825920">
    <w:abstractNumId w:val="5"/>
  </w:num>
  <w:num w:numId="26" w16cid:durableId="1275484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4E14"/>
    <w:rsid w:val="000D0334"/>
    <w:rsid w:val="000E3EB5"/>
    <w:rsid w:val="000E7288"/>
    <w:rsid w:val="000F6486"/>
    <w:rsid w:val="001122A2"/>
    <w:rsid w:val="00125105"/>
    <w:rsid w:val="00127233"/>
    <w:rsid w:val="001511A0"/>
    <w:rsid w:val="001E4177"/>
    <w:rsid w:val="001F7048"/>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328B6"/>
    <w:rsid w:val="003448F4"/>
    <w:rsid w:val="00374F5E"/>
    <w:rsid w:val="00377E3E"/>
    <w:rsid w:val="003A779E"/>
    <w:rsid w:val="003C2FEE"/>
    <w:rsid w:val="003D0F4D"/>
    <w:rsid w:val="003D5B0D"/>
    <w:rsid w:val="003E0499"/>
    <w:rsid w:val="003F3941"/>
    <w:rsid w:val="00406575"/>
    <w:rsid w:val="00414C74"/>
    <w:rsid w:val="0042722E"/>
    <w:rsid w:val="00445153"/>
    <w:rsid w:val="0044528D"/>
    <w:rsid w:val="004A1847"/>
    <w:rsid w:val="004A305D"/>
    <w:rsid w:val="004D7552"/>
    <w:rsid w:val="004F21C4"/>
    <w:rsid w:val="004F685F"/>
    <w:rsid w:val="005566E8"/>
    <w:rsid w:val="00574867"/>
    <w:rsid w:val="00591460"/>
    <w:rsid w:val="005B3816"/>
    <w:rsid w:val="005C3777"/>
    <w:rsid w:val="005C5CDC"/>
    <w:rsid w:val="005D476C"/>
    <w:rsid w:val="006219F8"/>
    <w:rsid w:val="00665D70"/>
    <w:rsid w:val="006900D9"/>
    <w:rsid w:val="006E6BBB"/>
    <w:rsid w:val="006F79A1"/>
    <w:rsid w:val="00706C16"/>
    <w:rsid w:val="00712806"/>
    <w:rsid w:val="007379BC"/>
    <w:rsid w:val="00756841"/>
    <w:rsid w:val="007649AB"/>
    <w:rsid w:val="00771D0C"/>
    <w:rsid w:val="007833AC"/>
    <w:rsid w:val="007B268C"/>
    <w:rsid w:val="007B7171"/>
    <w:rsid w:val="007C0C0F"/>
    <w:rsid w:val="007C3DC2"/>
    <w:rsid w:val="007E5497"/>
    <w:rsid w:val="00806F5F"/>
    <w:rsid w:val="00811A46"/>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18A"/>
    <w:rsid w:val="009F3A13"/>
    <w:rsid w:val="00A122D3"/>
    <w:rsid w:val="00A17F13"/>
    <w:rsid w:val="00A20739"/>
    <w:rsid w:val="00A33C78"/>
    <w:rsid w:val="00A45A3C"/>
    <w:rsid w:val="00AB0ADB"/>
    <w:rsid w:val="00AE5C3C"/>
    <w:rsid w:val="00B01B1A"/>
    <w:rsid w:val="00B66319"/>
    <w:rsid w:val="00B72CD3"/>
    <w:rsid w:val="00B72FFF"/>
    <w:rsid w:val="00BC3D36"/>
    <w:rsid w:val="00BD7F72"/>
    <w:rsid w:val="00C04FB3"/>
    <w:rsid w:val="00C2346A"/>
    <w:rsid w:val="00C330EB"/>
    <w:rsid w:val="00C41061"/>
    <w:rsid w:val="00C754BE"/>
    <w:rsid w:val="00C76B1C"/>
    <w:rsid w:val="00CB6357"/>
    <w:rsid w:val="00CC1B26"/>
    <w:rsid w:val="00D423A2"/>
    <w:rsid w:val="00D520D8"/>
    <w:rsid w:val="00D63AC2"/>
    <w:rsid w:val="00D7053E"/>
    <w:rsid w:val="00D7383B"/>
    <w:rsid w:val="00DA231B"/>
    <w:rsid w:val="00DC39FC"/>
    <w:rsid w:val="00DF2BE6"/>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325B8"/>
    <w:rsid w:val="00F37B5B"/>
    <w:rsid w:val="00F40F11"/>
    <w:rsid w:val="00F462B3"/>
    <w:rsid w:val="00F47F62"/>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C2FEE"/>
    <w:pPr>
      <w:spacing w:line="240" w:lineRule="exact"/>
    </w:pPr>
    <w:rPr>
      <w:vertAlign w:val="superscript"/>
    </w:rPr>
  </w:style>
  <w:style w:type="table" w:customStyle="1" w:styleId="Tablaconcuadrcula1">
    <w:name w:val="Tabla con cuadrícula1"/>
    <w:basedOn w:val="Tablanormal"/>
    <w:next w:val="Tablaconcuadrcula"/>
    <w:uiPriority w:val="39"/>
    <w:qFormat/>
    <w:rsid w:val="003C2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3C2FEE"/>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3C2FE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CB8DD3E-1B09-473E-99A0-DAA6286C8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8410</Words>
  <Characters>46255</Characters>
  <Application>Microsoft Office Word</Application>
  <DocSecurity>0</DocSecurity>
  <Lines>385</Lines>
  <Paragraphs>109</Paragraphs>
  <ScaleCrop>false</ScaleCrop>
  <Company/>
  <LinksUpToDate>false</LinksUpToDate>
  <CharactersWithSpaces>54556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2025-08-26T15:07:00Z</dcterms:created>
  <dcterms:modified xsi:type="dcterms:W3CDTF">2025-08-26T15:07:00Z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