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8B07E" w14:textId="63378266" w:rsidR="008516DA" w:rsidRDefault="008516DA" w:rsidP="00516A89">
      <w:pPr>
        <w:spacing w:after="0" w:line="240" w:lineRule="auto"/>
        <w:jc w:val="both"/>
        <w:rPr>
          <w:rFonts w:ascii="Verdana" w:hAnsi="Verdana" w:cs="Arial"/>
          <w:b/>
          <w:bCs/>
          <w:lang w:val="es-MX" w:eastAsia="es-ES_tradnl"/>
        </w:rPr>
      </w:pPr>
      <w:r w:rsidRPr="008516DA">
        <w:rPr>
          <w:rFonts w:ascii="Verdana" w:eastAsia="Geomanist Light" w:hAnsi="Verdana" w:cs="Arial"/>
          <w:b/>
          <w:bCs/>
          <w:color w:val="000000"/>
          <w:lang w:val="es-MX"/>
        </w:rPr>
        <w:t xml:space="preserve">LEY DE GARANTÍAS ELECTORALES </w:t>
      </w:r>
      <w:r w:rsidRPr="008516DA">
        <w:rPr>
          <w:rFonts w:ascii="Verdana" w:hAnsi="Verdana" w:cs="Arial"/>
          <w:b/>
          <w:bCs/>
          <w:lang w:val="es-MX" w:eastAsia="es-ES_tradnl"/>
        </w:rPr>
        <w:t>LEY DE GARANTÍAS ELECTORALES ‒ Finalidad</w:t>
      </w:r>
    </w:p>
    <w:p w14:paraId="0546AE62" w14:textId="77777777" w:rsidR="008516DA" w:rsidRDefault="008516DA" w:rsidP="00516A89">
      <w:pPr>
        <w:spacing w:after="0" w:line="240" w:lineRule="auto"/>
        <w:jc w:val="both"/>
        <w:rPr>
          <w:rFonts w:ascii="Verdana" w:hAnsi="Verdana" w:cs="Arial"/>
          <w:b/>
          <w:bCs/>
          <w:lang w:val="es-MX" w:eastAsia="es-ES_tradnl"/>
        </w:rPr>
      </w:pPr>
    </w:p>
    <w:p w14:paraId="2DAADC5B" w14:textId="77777777" w:rsidR="008516DA" w:rsidRDefault="008516DA" w:rsidP="008516DA">
      <w:pPr>
        <w:spacing w:after="120" w:line="276" w:lineRule="auto"/>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0ED46C6C" w14:textId="77777777" w:rsidR="008516DA" w:rsidRPr="00F10E52" w:rsidRDefault="008516DA" w:rsidP="008516DA">
      <w:pPr>
        <w:spacing w:after="120" w:line="276" w:lineRule="auto"/>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28F72DF5" w14:textId="77FD2792" w:rsidR="008516DA" w:rsidRPr="008516DA" w:rsidRDefault="008516DA" w:rsidP="00516A89">
      <w:pPr>
        <w:spacing w:after="0" w:line="240" w:lineRule="auto"/>
        <w:jc w:val="both"/>
        <w:rPr>
          <w:rFonts w:ascii="Verdana" w:hAnsi="Verdana" w:cs="Arial"/>
          <w:b/>
          <w:bCs/>
          <w:lang w:val="es-MX" w:eastAsia="es-ES_tradnl"/>
        </w:rPr>
      </w:pPr>
      <w:r w:rsidRPr="008516DA">
        <w:rPr>
          <w:rFonts w:ascii="Verdana" w:hAnsi="Verdana" w:cs="Arial"/>
          <w:b/>
          <w:bCs/>
          <w:lang w:val="es-MX" w:eastAsia="es-ES_tradnl"/>
        </w:rPr>
        <w:t>LEY DE GARANTÍAS ELECTORALES ‒ Tipos de restricciones</w:t>
      </w:r>
      <w:r>
        <w:rPr>
          <w:rFonts w:ascii="Verdana" w:hAnsi="Verdana" w:cs="Arial"/>
          <w:b/>
          <w:bCs/>
          <w:lang w:val="es-MX" w:eastAsia="es-ES_tradnl"/>
        </w:rPr>
        <w:t xml:space="preserve"> </w:t>
      </w:r>
      <w:r w:rsidRPr="008516DA">
        <w:rPr>
          <w:rFonts w:ascii="Verdana" w:hAnsi="Verdana" w:cs="Arial"/>
          <w:b/>
          <w:bCs/>
          <w:lang w:val="es-MX" w:eastAsia="es-ES_tradnl"/>
        </w:rPr>
        <w:t>‒</w:t>
      </w:r>
      <w:r>
        <w:rPr>
          <w:rFonts w:ascii="Verdana" w:hAnsi="Verdana" w:cs="Arial"/>
          <w:b/>
          <w:bCs/>
          <w:lang w:val="es-MX" w:eastAsia="es-ES_tradnl"/>
        </w:rPr>
        <w:t xml:space="preserve"> </w:t>
      </w:r>
      <w:r w:rsidRPr="008516DA">
        <w:rPr>
          <w:rFonts w:ascii="Verdana" w:hAnsi="Verdana" w:cs="Arial"/>
          <w:b/>
          <w:bCs/>
          <w:lang w:val="es-MX" w:eastAsia="es-ES_tradnl"/>
        </w:rPr>
        <w:t>LEY DE GARANTÍAS ELECTORALES ‒ Ley 996 de 2005 – Artículo 33 – Contratación directa / LEY DE GARANTÍAS ELECTORALES ‒ Ley 996 de 2005 – Artículo 38 – Parágrafo</w:t>
      </w:r>
    </w:p>
    <w:p w14:paraId="4C5EB975" w14:textId="77777777" w:rsidR="008516DA" w:rsidRDefault="008516DA" w:rsidP="00516A89">
      <w:pPr>
        <w:spacing w:after="0" w:line="240" w:lineRule="auto"/>
        <w:jc w:val="both"/>
        <w:rPr>
          <w:rFonts w:ascii="Verdana" w:hAnsi="Verdana" w:cs="Arial"/>
          <w:b/>
          <w:bCs/>
          <w:lang w:val="es-MX" w:eastAsia="es-ES_tradnl"/>
        </w:rPr>
      </w:pPr>
    </w:p>
    <w:p w14:paraId="70BD25B9" w14:textId="77777777" w:rsidR="008516DA" w:rsidRPr="00F10E52" w:rsidRDefault="008516DA" w:rsidP="008516DA">
      <w:pPr>
        <w:spacing w:after="120" w:line="276" w:lineRule="auto"/>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235D1402" w14:textId="280C8BC4" w:rsidR="008516DA" w:rsidRPr="00F10E52" w:rsidRDefault="008516DA" w:rsidP="008516DA">
      <w:pPr>
        <w:spacing w:after="120" w:line="276" w:lineRule="auto"/>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sidRPr="00F10E52">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rPr>
        <w:t>.</w:t>
      </w:r>
    </w:p>
    <w:p w14:paraId="659DC5E1" w14:textId="1738A218" w:rsidR="008516DA" w:rsidRDefault="008516DA" w:rsidP="008516DA">
      <w:pPr>
        <w:spacing w:after="0" w:line="240" w:lineRule="auto"/>
        <w:jc w:val="both"/>
        <w:rPr>
          <w:rFonts w:ascii="Verdana" w:eastAsia="Calibri" w:hAnsi="Verdana" w:cs="Arial"/>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celebrar convenios interadministrativos para la ejecución de recursos públicos, ni participar, promover y destinar recursos </w:t>
      </w:r>
      <w:r w:rsidRPr="00F10E52">
        <w:rPr>
          <w:rFonts w:ascii="Verdana" w:eastAsia="Calibri" w:hAnsi="Verdana" w:cs="Arial"/>
        </w:rPr>
        <w:lastRenderedPageBreak/>
        <w:t>públicos de las entidades a su cargo, como tampoco de las que participen como miembros de sus juntas directivas, en o para reuniones de carácter proselitista</w:t>
      </w:r>
      <w:r>
        <w:rPr>
          <w:rFonts w:ascii="Verdana" w:eastAsia="Calibri" w:hAnsi="Verdana" w:cs="Arial"/>
        </w:rPr>
        <w:t>.</w:t>
      </w:r>
    </w:p>
    <w:p w14:paraId="2465CE08" w14:textId="77777777" w:rsidR="008516DA" w:rsidRDefault="008516DA" w:rsidP="008516DA">
      <w:pPr>
        <w:spacing w:after="0" w:line="240" w:lineRule="auto"/>
        <w:jc w:val="both"/>
        <w:rPr>
          <w:rFonts w:ascii="Verdana" w:eastAsia="Calibri" w:hAnsi="Verdana" w:cs="Arial"/>
        </w:rPr>
      </w:pPr>
    </w:p>
    <w:p w14:paraId="6E53AD24" w14:textId="39F680C2" w:rsidR="008516DA" w:rsidRDefault="008516DA" w:rsidP="008516DA">
      <w:pPr>
        <w:spacing w:after="0" w:line="240" w:lineRule="auto"/>
        <w:jc w:val="both"/>
        <w:rPr>
          <w:rFonts w:ascii="Verdana" w:eastAsia="Geomanist Light" w:hAnsi="Verdana" w:cs="Arial"/>
          <w:b/>
          <w:bCs/>
          <w:color w:val="000000"/>
          <w:lang w:val="es-MX"/>
        </w:rPr>
      </w:pPr>
      <w:r w:rsidRPr="008516DA">
        <w:rPr>
          <w:rFonts w:ascii="Verdana" w:eastAsia="Geomanist Light" w:hAnsi="Verdana" w:cs="Arial"/>
          <w:b/>
          <w:bCs/>
          <w:color w:val="000000"/>
          <w:lang w:val="es-MX"/>
        </w:rPr>
        <w:t>EMPRESAS INDUSTRIALES Y COMERCIALES DEL ESTADO – Naturaleza jurídica – Régimen de contratación</w:t>
      </w:r>
      <w:r>
        <w:rPr>
          <w:rFonts w:ascii="Verdana" w:eastAsia="Geomanist Light" w:hAnsi="Verdana" w:cs="Arial"/>
          <w:b/>
          <w:bCs/>
          <w:color w:val="000000"/>
          <w:lang w:val="es-MX"/>
        </w:rPr>
        <w:t xml:space="preserve"> - </w:t>
      </w:r>
      <w:r w:rsidRPr="008516DA">
        <w:rPr>
          <w:rFonts w:ascii="Verdana" w:hAnsi="Verdana" w:cs="Arial"/>
          <w:b/>
          <w:bCs/>
          <w:lang w:val="es-MX" w:eastAsia="es-ES_tradnl"/>
        </w:rPr>
        <w:t xml:space="preserve">LEY DE GARANTÍAS ELECTORALES ‒ </w:t>
      </w:r>
      <w:r w:rsidRPr="008516DA">
        <w:rPr>
          <w:rFonts w:ascii="Verdana" w:eastAsia="Geomanist Light" w:hAnsi="Verdana" w:cs="Arial"/>
          <w:b/>
          <w:bCs/>
          <w:color w:val="000000"/>
          <w:lang w:val="es-MX"/>
        </w:rPr>
        <w:t>Aplicabilidad – Naturaleza jurídica de las Entidades – Régimen de contratación</w:t>
      </w:r>
    </w:p>
    <w:p w14:paraId="43668266" w14:textId="77777777" w:rsidR="008516DA" w:rsidRDefault="008516DA" w:rsidP="008516DA">
      <w:pPr>
        <w:spacing w:after="0" w:line="240" w:lineRule="auto"/>
        <w:jc w:val="both"/>
        <w:rPr>
          <w:rFonts w:ascii="Verdana" w:eastAsia="Geomanist Light" w:hAnsi="Verdana" w:cs="Arial"/>
          <w:b/>
          <w:bCs/>
          <w:color w:val="000000"/>
          <w:lang w:val="es-MX"/>
        </w:rPr>
      </w:pPr>
    </w:p>
    <w:p w14:paraId="305F54B0" w14:textId="77777777" w:rsidR="008516DA" w:rsidRPr="000E722C" w:rsidRDefault="008516DA" w:rsidP="008516DA">
      <w:pPr>
        <w:spacing w:after="120" w:line="276" w:lineRule="auto"/>
        <w:jc w:val="both"/>
        <w:rPr>
          <w:rFonts w:ascii="Verdana" w:eastAsia="Calibri" w:hAnsi="Verdana" w:cs="Arial"/>
          <w:color w:val="000000"/>
          <w:szCs w:val="24"/>
          <w:lang w:eastAsia="es-ES_tradnl"/>
        </w:rPr>
      </w:pPr>
      <w:r w:rsidRPr="000E722C">
        <w:rPr>
          <w:rFonts w:ascii="Verdana" w:eastAsia="Calibri" w:hAnsi="Verdana" w:cs="Arial"/>
          <w:color w:val="000000"/>
          <w:szCs w:val="24"/>
          <w:lang w:eastAsia="es-ES_tradnl"/>
        </w:rPr>
        <w:t>De conformidad con el artículo 85 de la Ley 489 de 1998, las Empresas Industriales y Comerciales del Estado (EICE) son Entidades Estatales con personería jurídica, autonomía administrativa y patrimonio independiente, creadas para desarrollar actividades de carácter industrial o comercial y de gestión económica, conforme a las reglas establecidas por el derecho privado, salvo las excepciones contempladas en la ley.</w:t>
      </w:r>
    </w:p>
    <w:p w14:paraId="5440ABF1" w14:textId="77777777" w:rsidR="008516DA" w:rsidRPr="000E722C" w:rsidRDefault="008516DA" w:rsidP="008516DA">
      <w:pPr>
        <w:spacing w:after="120" w:line="276" w:lineRule="auto"/>
        <w:jc w:val="both"/>
        <w:rPr>
          <w:rFonts w:ascii="Verdana" w:eastAsia="Calibri" w:hAnsi="Verdana" w:cs="Arial"/>
          <w:color w:val="000000"/>
          <w:szCs w:val="24"/>
          <w:lang w:eastAsia="es-ES_tradnl"/>
        </w:rPr>
      </w:pPr>
      <w:r w:rsidRPr="000E722C">
        <w:rPr>
          <w:rFonts w:ascii="Verdana" w:eastAsia="Calibri" w:hAnsi="Verdana" w:cs="Arial"/>
          <w:color w:val="000000"/>
          <w:szCs w:val="24"/>
          <w:lang w:eastAsia="es-ES_tradnl"/>
        </w:rPr>
        <w:t>En este sentido, el artículo 33 de la Ley 996 de 2005 establece restricciones para la celebración de convenios y contratos durante los períodos electorales, señalando que dichas limitaciones aplican a “todos los entes del Estado”. Esta expresión ha sido interpretada por el Consejo de Estado en el sentido más amplio posible, abarcando la totalidad de los organismos y Entidades Estatales, sin que sea relevante su naturaleza jurídica, su régimen de contratación, su forma de organización o su grado de autonomía. Incluso se incluyen aquellas entidades con régimen especial de contratación, que se encuentren excluidas del ámbito de aplicación del Estatuto General de Contratación de la Administración Pública.</w:t>
      </w:r>
    </w:p>
    <w:p w14:paraId="50112BBE" w14:textId="77777777" w:rsidR="008516DA" w:rsidRPr="000E722C" w:rsidRDefault="008516DA" w:rsidP="008516DA">
      <w:pPr>
        <w:spacing w:after="120" w:line="276" w:lineRule="auto"/>
        <w:jc w:val="both"/>
        <w:rPr>
          <w:rFonts w:ascii="Verdana" w:eastAsia="Calibri" w:hAnsi="Verdana" w:cs="Arial"/>
          <w:i/>
          <w:iCs/>
          <w:color w:val="000000"/>
          <w:szCs w:val="24"/>
          <w:lang w:eastAsia="es-ES_tradnl"/>
        </w:rPr>
      </w:pPr>
      <w:r w:rsidRPr="000E722C">
        <w:rPr>
          <w:rFonts w:ascii="Verdana" w:eastAsia="Calibri" w:hAnsi="Verdana" w:cs="Arial"/>
          <w:color w:val="000000"/>
          <w:szCs w:val="24"/>
          <w:lang w:eastAsia="es-ES_tradnl"/>
        </w:rPr>
        <w:t>No obstante, el mismo artículo 33, en su inciso final, contempla ciertas excepciones a la restricción, las cuales se enuncian de manera taxativa. El tenor literal de la norma señala:</w:t>
      </w:r>
      <w:r>
        <w:rPr>
          <w:rFonts w:ascii="Verdana" w:eastAsia="Calibri" w:hAnsi="Verdana" w:cs="Arial"/>
          <w:i/>
          <w:iCs/>
          <w:color w:val="000000"/>
          <w:szCs w:val="24"/>
          <w:lang w:eastAsia="es-ES_tradnl"/>
        </w:rPr>
        <w:t xml:space="preserve"> </w:t>
      </w:r>
      <w:r w:rsidRPr="000E722C">
        <w:rPr>
          <w:rFonts w:ascii="Verdana" w:eastAsia="Calibri" w:hAnsi="Verdana" w:cs="Arial"/>
          <w:i/>
          <w:iCs/>
          <w:color w:val="000000"/>
          <w:szCs w:val="24"/>
          <w:lang w:eastAsia="es-ES_tradnl"/>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3DC80724" w14:textId="77777777" w:rsidR="008516DA" w:rsidRDefault="008516DA" w:rsidP="008516DA">
      <w:pPr>
        <w:spacing w:line="276" w:lineRule="auto"/>
        <w:jc w:val="both"/>
        <w:rPr>
          <w:rFonts w:ascii="Verdana" w:eastAsia="Calibri" w:hAnsi="Verdana" w:cs="Arial"/>
          <w:color w:val="000000"/>
          <w:szCs w:val="24"/>
          <w:lang w:eastAsia="es-ES_tradnl"/>
        </w:rPr>
      </w:pPr>
      <w:r w:rsidRPr="000E722C">
        <w:rPr>
          <w:rFonts w:ascii="Verdana" w:eastAsia="Calibri" w:hAnsi="Verdana" w:cs="Arial"/>
          <w:color w:val="000000"/>
          <w:szCs w:val="24"/>
          <w:lang w:eastAsia="es-ES_tradnl"/>
        </w:rPr>
        <w:t xml:space="preserve">En virtud de lo anterior, y con base en la normativa citada, esta Agencia considera que la actividad contractual de las Empresas Industriales y Comerciales del Estado sí se encuentra sujeta a las restricciones previstas en </w:t>
      </w:r>
      <w:r>
        <w:rPr>
          <w:rFonts w:ascii="Verdana" w:eastAsia="Calibri" w:hAnsi="Verdana" w:cs="Arial"/>
          <w:color w:val="000000"/>
          <w:szCs w:val="24"/>
          <w:lang w:eastAsia="es-ES_tradnl"/>
        </w:rPr>
        <w:t>el artículo 33 de</w:t>
      </w:r>
      <w:r w:rsidRPr="000E722C">
        <w:rPr>
          <w:rFonts w:ascii="Verdana" w:eastAsia="Calibri" w:hAnsi="Verdana" w:cs="Arial"/>
          <w:color w:val="000000"/>
          <w:szCs w:val="24"/>
          <w:lang w:eastAsia="es-ES_tradnl"/>
        </w:rPr>
        <w:t xml:space="preserve"> la Ley de Garantías Electorales, salvo que se trate de alguno de los supuestos exceptuados expresamente por la norma.</w:t>
      </w:r>
    </w:p>
    <w:p w14:paraId="64F4F676" w14:textId="79226FA4" w:rsidR="00516A89" w:rsidRPr="008516DA" w:rsidRDefault="00516A89" w:rsidP="00516A89">
      <w:pPr>
        <w:spacing w:after="0" w:line="240" w:lineRule="auto"/>
        <w:jc w:val="both"/>
        <w:rPr>
          <w:rFonts w:ascii="Verdana" w:eastAsia="Times New Roman" w:hAnsi="Verdana" w:cs="Arial"/>
          <w:noProof/>
          <w:lang w:val="pt-PT" w:eastAsia="es-ES_tradnl"/>
        </w:rPr>
      </w:pPr>
      <w:r w:rsidRPr="008516DA">
        <w:rPr>
          <w:rFonts w:ascii="Verdana" w:eastAsia="Times New Roman" w:hAnsi="Verdana" w:cs="Arial"/>
          <w:noProof/>
          <w:lang w:val="pt-PT" w:eastAsia="es-ES_tradnl"/>
        </w:rPr>
        <w:lastRenderedPageBreak/>
        <w:t xml:space="preserve">Bogotá D.C., </w:t>
      </w:r>
      <w:r w:rsidR="008516DA" w:rsidRPr="008516DA">
        <w:rPr>
          <w:rFonts w:ascii="Verdana" w:eastAsia="Times New Roman" w:hAnsi="Verdana" w:cs="Arial"/>
          <w:noProof/>
          <w:lang w:val="pt-PT" w:eastAsia="es-ES_tradnl"/>
        </w:rPr>
        <w:t>15</w:t>
      </w:r>
      <w:r w:rsidRPr="008516DA">
        <w:rPr>
          <w:rFonts w:ascii="Verdana" w:eastAsia="Times New Roman" w:hAnsi="Verdana" w:cs="Arial"/>
          <w:noProof/>
          <w:lang w:val="pt-PT" w:eastAsia="es-ES_tradnl"/>
        </w:rPr>
        <w:t xml:space="preserve"> de </w:t>
      </w:r>
      <w:r w:rsidR="008516DA" w:rsidRPr="008516DA">
        <w:rPr>
          <w:rFonts w:ascii="Verdana" w:eastAsia="Times New Roman" w:hAnsi="Verdana" w:cs="Arial"/>
          <w:noProof/>
          <w:lang w:val="pt-PT" w:eastAsia="es-ES_tradnl"/>
        </w:rPr>
        <w:t>agosto</w:t>
      </w:r>
      <w:r w:rsidRPr="008516DA">
        <w:rPr>
          <w:rFonts w:ascii="Verdana" w:eastAsia="Times New Roman" w:hAnsi="Verdana" w:cs="Arial"/>
          <w:noProof/>
          <w:lang w:val="pt-PT" w:eastAsia="es-ES_tradnl"/>
        </w:rPr>
        <w:t xml:space="preserve"> de </w:t>
      </w:r>
      <w:r w:rsidR="008516DA" w:rsidRPr="008516DA">
        <w:rPr>
          <w:rFonts w:ascii="Verdana" w:eastAsia="Times New Roman" w:hAnsi="Verdana" w:cs="Arial"/>
          <w:noProof/>
          <w:lang w:val="pt-PT" w:eastAsia="es-ES_tradnl"/>
        </w:rPr>
        <w:t>2</w:t>
      </w:r>
      <w:r w:rsidR="008516DA">
        <w:rPr>
          <w:rFonts w:ascii="Verdana" w:eastAsia="Times New Roman" w:hAnsi="Verdana" w:cs="Arial"/>
          <w:noProof/>
          <w:lang w:val="pt-PT" w:eastAsia="es-ES_tradnl"/>
        </w:rPr>
        <w:t>025</w:t>
      </w:r>
    </w:p>
    <w:p w14:paraId="249FEC2E" w14:textId="1169033A" w:rsidR="00516A89" w:rsidRDefault="008516DA" w:rsidP="008516DA">
      <w:pPr>
        <w:spacing w:after="0" w:line="240" w:lineRule="auto"/>
        <w:ind w:left="4956"/>
        <w:jc w:val="both"/>
        <w:rPr>
          <w:rFonts w:ascii="Verdana" w:eastAsia="Times New Roman" w:hAnsi="Verdana" w:cs="Arial"/>
          <w:noProof/>
          <w:color w:val="EE0000"/>
          <w:lang w:val="es-ES_tradnl" w:eastAsia="es-ES_tradnl"/>
        </w:rPr>
      </w:pPr>
      <w:r w:rsidRPr="008516DA">
        <w:rPr>
          <w:rFonts w:ascii="Verdana" w:eastAsia="Times New Roman" w:hAnsi="Verdana" w:cs="Arial"/>
          <w:noProof/>
          <w:color w:val="EE0000"/>
          <w:lang w:val="es-ES_tradnl" w:eastAsia="es-ES_tradnl"/>
        </w:rPr>
        <w:drawing>
          <wp:inline distT="0" distB="0" distL="0" distR="0" wp14:anchorId="04AD9566" wp14:editId="735272C7">
            <wp:extent cx="2495549" cy="971550"/>
            <wp:effectExtent l="0" t="0" r="635" b="0"/>
            <wp:docPr id="3336029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02906" name=""/>
                    <pic:cNvPicPr/>
                  </pic:nvPicPr>
                  <pic:blipFill>
                    <a:blip r:embed="rId10"/>
                    <a:stretch>
                      <a:fillRect/>
                    </a:stretch>
                  </pic:blipFill>
                  <pic:spPr>
                    <a:xfrm>
                      <a:off x="0" y="0"/>
                      <a:ext cx="2500976" cy="973663"/>
                    </a:xfrm>
                    <a:prstGeom prst="rect">
                      <a:avLst/>
                    </a:prstGeom>
                  </pic:spPr>
                </pic:pic>
              </a:graphicData>
            </a:graphic>
          </wp:inline>
        </w:drawing>
      </w:r>
    </w:p>
    <w:p w14:paraId="40D38401" w14:textId="3EADF8FA" w:rsidR="00516A89" w:rsidRPr="00515C0B" w:rsidRDefault="00516A89" w:rsidP="00516A89">
      <w:pPr>
        <w:spacing w:after="0" w:line="240" w:lineRule="auto"/>
        <w:jc w:val="both"/>
        <w:rPr>
          <w:rFonts w:ascii="Verdana" w:eastAsia="Calibri" w:hAnsi="Verdana" w:cs="Arial"/>
          <w:lang w:val="es-ES" w:eastAsia="es-ES_tradnl"/>
        </w:rPr>
      </w:pPr>
      <w:r w:rsidRPr="00CA451F">
        <w:rPr>
          <w:rFonts w:ascii="Verdana" w:eastAsia="Calibri" w:hAnsi="Verdana" w:cs="Arial"/>
          <w:lang w:val="es-ES" w:eastAsia="es-ES_tradnl"/>
        </w:rPr>
        <w:t>Señor</w:t>
      </w:r>
    </w:p>
    <w:p w14:paraId="0D7C03F1" w14:textId="77777777" w:rsidR="00516A89" w:rsidRPr="00515C0B" w:rsidRDefault="00516A89" w:rsidP="00516A89">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 xml:space="preserve">Carlos Mario Hoyos Rendón        </w:t>
      </w:r>
    </w:p>
    <w:p w14:paraId="69AFE567" w14:textId="77777777" w:rsidR="00516A89" w:rsidRPr="00B0056E" w:rsidRDefault="00516A89" w:rsidP="00516A89">
      <w:pPr>
        <w:spacing w:after="0" w:line="240" w:lineRule="auto"/>
        <w:rPr>
          <w:rFonts w:ascii="Verdana" w:eastAsia="Calibri" w:hAnsi="Verdana" w:cs="Times New Roman"/>
          <w:color w:val="EE0000"/>
        </w:rPr>
      </w:pPr>
      <w:hyperlink r:id="rId11" w:history="1">
        <w:r w:rsidRPr="00B0056E">
          <w:rPr>
            <w:rStyle w:val="Hipervnculo"/>
            <w:rFonts w:ascii="Verdana" w:hAnsi="Verdana"/>
            <w:lang w:val="es-419"/>
          </w:rPr>
          <w:t>jurídica@loteriademanizales.com</w:t>
        </w:r>
      </w:hyperlink>
    </w:p>
    <w:p w14:paraId="5BD76B32" w14:textId="7F8B06C3" w:rsidR="00516A89" w:rsidRPr="00516A89" w:rsidRDefault="00516A89" w:rsidP="00516A89">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Manizales, Caldas</w:t>
      </w:r>
    </w:p>
    <w:p w14:paraId="723844A3" w14:textId="77777777" w:rsidR="00516A89" w:rsidRPr="00515C0B" w:rsidRDefault="00516A89" w:rsidP="00516A89">
      <w:pPr>
        <w:spacing w:after="0" w:line="240" w:lineRule="auto"/>
        <w:rPr>
          <w:rFonts w:ascii="Verdana" w:eastAsia="Calibri" w:hAnsi="Verdana" w:cs="Arial"/>
          <w:color w:val="EE0000"/>
          <w:lang w:val="es-ES_tradnl" w:eastAsia="es-ES_tradnl"/>
        </w:rPr>
      </w:pPr>
    </w:p>
    <w:p w14:paraId="73AE1B7F" w14:textId="77777777" w:rsidR="00516A89" w:rsidRPr="00515C0B" w:rsidRDefault="00516A89" w:rsidP="00516A89">
      <w:pPr>
        <w:spacing w:after="0" w:line="240" w:lineRule="auto"/>
        <w:ind w:left="2694"/>
        <w:rPr>
          <w:rFonts w:ascii="Verdana" w:eastAsia="Calibri" w:hAnsi="Verdana" w:cs="Arial"/>
          <w:b/>
          <w:bCs/>
          <w:lang w:val="es-ES" w:eastAsia="es-ES_tradnl"/>
        </w:rPr>
      </w:pPr>
      <w:r w:rsidRPr="00515C0B">
        <w:rPr>
          <w:rFonts w:ascii="Verdana" w:eastAsia="Calibri" w:hAnsi="Verdana" w:cs="Arial"/>
          <w:b/>
          <w:bCs/>
          <w:lang w:val="es-ES" w:eastAsia="es-ES_tradnl"/>
        </w:rPr>
        <w:t>Concepto C-</w:t>
      </w:r>
      <w:r>
        <w:rPr>
          <w:rFonts w:ascii="Verdana" w:eastAsia="Calibri" w:hAnsi="Verdana" w:cs="Arial"/>
          <w:b/>
          <w:bCs/>
          <w:lang w:val="es-ES" w:eastAsia="es-ES_tradnl"/>
        </w:rPr>
        <w:t>955</w:t>
      </w:r>
      <w:r w:rsidRPr="00515C0B">
        <w:rPr>
          <w:rFonts w:ascii="Verdana" w:eastAsia="Calibri" w:hAnsi="Verdana" w:cs="Arial"/>
          <w:b/>
          <w:bCs/>
          <w:lang w:val="es-ES" w:eastAsia="es-ES_tradnl"/>
        </w:rPr>
        <w:t xml:space="preserve"> de 2025</w:t>
      </w:r>
    </w:p>
    <w:p w14:paraId="7961C1C2" w14:textId="77777777" w:rsidR="00516A89" w:rsidRPr="00515C0B" w:rsidRDefault="00516A89" w:rsidP="00516A89">
      <w:pPr>
        <w:spacing w:after="0" w:line="240" w:lineRule="auto"/>
        <w:jc w:val="both"/>
        <w:rPr>
          <w:rFonts w:ascii="Verdana" w:eastAsia="Calibri" w:hAnsi="Verdana" w:cs="Arial"/>
          <w:color w:val="EE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516A89" w:rsidRPr="00515C0B" w14:paraId="51D98D8C" w14:textId="77777777" w:rsidTr="00E855E2">
        <w:tc>
          <w:tcPr>
            <w:tcW w:w="2694" w:type="dxa"/>
          </w:tcPr>
          <w:p w14:paraId="36531B99" w14:textId="77777777" w:rsidR="00516A89" w:rsidRPr="000E6B98" w:rsidRDefault="00516A89" w:rsidP="00E855E2">
            <w:pPr>
              <w:rPr>
                <w:rFonts w:ascii="Verdana" w:eastAsia="Calibri" w:hAnsi="Verdana" w:cs="Arial"/>
                <w:color w:val="EE0000"/>
                <w:lang w:val="es-ES_tradnl" w:eastAsia="es-ES_tradnl"/>
              </w:rPr>
            </w:pPr>
            <w:r w:rsidRPr="000E6B98">
              <w:rPr>
                <w:rFonts w:ascii="Verdana" w:eastAsia="Calibri" w:hAnsi="Verdana" w:cs="Arial"/>
                <w:b/>
                <w:lang w:val="es-ES_tradnl" w:eastAsia="es-ES_tradnl"/>
              </w:rPr>
              <w:t>Temas:</w:t>
            </w:r>
          </w:p>
        </w:tc>
        <w:tc>
          <w:tcPr>
            <w:tcW w:w="6095" w:type="dxa"/>
          </w:tcPr>
          <w:p w14:paraId="2D569A9E" w14:textId="31AE0A9E" w:rsidR="00516A89" w:rsidRPr="000E6B98" w:rsidRDefault="00516A89" w:rsidP="00E855E2">
            <w:pPr>
              <w:jc w:val="both"/>
              <w:rPr>
                <w:rFonts w:ascii="Verdana" w:eastAsia="Geomanist Light" w:hAnsi="Verdana" w:cs="Arial"/>
                <w:color w:val="000000"/>
                <w:lang w:val="es-MX"/>
              </w:rPr>
            </w:pPr>
            <w:r w:rsidRPr="00CA451F">
              <w:rPr>
                <w:rFonts w:ascii="Verdana" w:eastAsia="Geomanist Light" w:hAnsi="Verdana" w:cs="Arial"/>
                <w:color w:val="000000"/>
                <w:lang w:val="es-MX"/>
              </w:rPr>
              <w:t xml:space="preserve">LEY DE GARANTÍAS ELECTORALES </w:t>
            </w:r>
            <w:r w:rsidR="00A46230" w:rsidRPr="00284B9D">
              <w:rPr>
                <w:rFonts w:ascii="Verdana" w:hAnsi="Verdana" w:cs="Arial"/>
                <w:lang w:val="es-MX" w:eastAsia="es-ES_tradnl"/>
              </w:rPr>
              <w:t xml:space="preserve">LEY DE GARANTÍAS ELECTORALES </w:t>
            </w:r>
            <w:r w:rsidR="00A46230" w:rsidRPr="00284B9D">
              <w:rPr>
                <w:rFonts w:ascii="Verdana" w:hAnsi="Verdana" w:cs="Arial"/>
                <w:bCs/>
                <w:lang w:val="es-MX" w:eastAsia="es-ES_tradnl"/>
              </w:rPr>
              <w:t>‒</w:t>
            </w:r>
            <w:r w:rsidR="00A46230" w:rsidRPr="00284B9D">
              <w:rPr>
                <w:rFonts w:ascii="Verdana" w:hAnsi="Verdana" w:cs="Arial"/>
                <w:lang w:val="es-MX" w:eastAsia="es-ES_tradnl"/>
              </w:rPr>
              <w:t xml:space="preserve"> Finalidad / LEY DE GARANTÍAS ELECTORALES </w:t>
            </w:r>
            <w:r w:rsidR="00A46230" w:rsidRPr="00284B9D">
              <w:rPr>
                <w:rFonts w:ascii="Verdana" w:hAnsi="Verdana" w:cs="Arial"/>
                <w:bCs/>
                <w:lang w:val="es-MX" w:eastAsia="es-ES_tradnl"/>
              </w:rPr>
              <w:t>‒</w:t>
            </w:r>
            <w:r w:rsidR="00A46230" w:rsidRPr="00284B9D">
              <w:rPr>
                <w:rFonts w:ascii="Verdana" w:hAnsi="Verdana" w:cs="Arial"/>
                <w:lang w:val="es-MX" w:eastAsia="es-ES_tradnl"/>
              </w:rPr>
              <w:t xml:space="preserve"> Tipos de restricciones </w:t>
            </w:r>
            <w:r w:rsidR="00A46230">
              <w:rPr>
                <w:rFonts w:ascii="Verdana" w:hAnsi="Verdana" w:cs="Arial"/>
                <w:bCs/>
                <w:lang w:val="es-MX" w:eastAsia="es-ES_tradnl"/>
              </w:rPr>
              <w:t xml:space="preserve">/ </w:t>
            </w:r>
            <w:r w:rsidR="00A46230" w:rsidRPr="00284B9D">
              <w:rPr>
                <w:rFonts w:ascii="Verdana" w:hAnsi="Verdana" w:cs="Arial"/>
                <w:lang w:val="es-MX" w:eastAsia="es-ES_tradnl"/>
              </w:rPr>
              <w:t xml:space="preserve">LEY DE GARANTÍAS ELECTORALES </w:t>
            </w:r>
            <w:r w:rsidR="00A46230" w:rsidRPr="00284B9D">
              <w:rPr>
                <w:rFonts w:ascii="Verdana" w:hAnsi="Verdana" w:cs="Arial"/>
                <w:bCs/>
                <w:lang w:val="es-MX" w:eastAsia="es-ES_tradnl"/>
              </w:rPr>
              <w:t>‒</w:t>
            </w:r>
            <w:r w:rsidR="00A46230" w:rsidRPr="00284B9D">
              <w:rPr>
                <w:rFonts w:ascii="Verdana" w:hAnsi="Verdana" w:cs="Arial"/>
                <w:lang w:val="es-MX" w:eastAsia="es-ES_tradnl"/>
              </w:rPr>
              <w:t xml:space="preserve"> </w:t>
            </w:r>
            <w:r w:rsidR="00A46230">
              <w:rPr>
                <w:rFonts w:ascii="Verdana" w:hAnsi="Verdana" w:cs="Arial"/>
                <w:lang w:val="es-MX" w:eastAsia="es-ES_tradnl"/>
              </w:rPr>
              <w:t xml:space="preserve">Ley </w:t>
            </w:r>
            <w:r w:rsidR="001E5305">
              <w:rPr>
                <w:rFonts w:ascii="Verdana" w:hAnsi="Verdana" w:cs="Arial"/>
                <w:lang w:val="es-MX" w:eastAsia="es-ES_tradnl"/>
              </w:rPr>
              <w:t xml:space="preserve">996 de 2005 – Artículo 33 – Contratación directa / </w:t>
            </w:r>
            <w:r w:rsidR="001E5305" w:rsidRPr="00284B9D">
              <w:rPr>
                <w:rFonts w:ascii="Verdana" w:hAnsi="Verdana" w:cs="Arial"/>
                <w:lang w:val="es-MX" w:eastAsia="es-ES_tradnl"/>
              </w:rPr>
              <w:t xml:space="preserve">LEY DE GARANTÍAS ELECTORALES </w:t>
            </w:r>
            <w:r w:rsidR="001E5305" w:rsidRPr="00284B9D">
              <w:rPr>
                <w:rFonts w:ascii="Verdana" w:hAnsi="Verdana" w:cs="Arial"/>
                <w:bCs/>
                <w:lang w:val="es-MX" w:eastAsia="es-ES_tradnl"/>
              </w:rPr>
              <w:t>‒</w:t>
            </w:r>
            <w:r w:rsidR="001E5305" w:rsidRPr="00284B9D">
              <w:rPr>
                <w:rFonts w:ascii="Verdana" w:hAnsi="Verdana" w:cs="Arial"/>
                <w:lang w:val="es-MX" w:eastAsia="es-ES_tradnl"/>
              </w:rPr>
              <w:t xml:space="preserve"> </w:t>
            </w:r>
            <w:r w:rsidR="001E5305">
              <w:rPr>
                <w:rFonts w:ascii="Verdana" w:hAnsi="Verdana" w:cs="Arial"/>
                <w:lang w:val="es-MX" w:eastAsia="es-ES_tradnl"/>
              </w:rPr>
              <w:t xml:space="preserve">Ley 996 de 2005 – Artículo 38 – Parágrafo / </w:t>
            </w:r>
            <w:r w:rsidR="001E5305" w:rsidRPr="00CA451F">
              <w:rPr>
                <w:rFonts w:ascii="Verdana" w:eastAsia="Geomanist Light" w:hAnsi="Verdana" w:cs="Arial"/>
                <w:color w:val="000000"/>
                <w:lang w:val="es-MX"/>
              </w:rPr>
              <w:t>EMPRESAS INDUSTRIALES Y COMERCIALES DEL ESTADO – Naturaleza jurídica – Régimen de contratación /</w:t>
            </w:r>
            <w:r w:rsidR="0025599E">
              <w:rPr>
                <w:rFonts w:ascii="Verdana" w:eastAsia="Geomanist Light" w:hAnsi="Verdana" w:cs="Arial"/>
                <w:color w:val="000000"/>
                <w:lang w:val="es-MX"/>
              </w:rPr>
              <w:t xml:space="preserve"> </w:t>
            </w:r>
            <w:r w:rsidR="0025599E" w:rsidRPr="00284B9D">
              <w:rPr>
                <w:rFonts w:ascii="Verdana" w:hAnsi="Verdana" w:cs="Arial"/>
                <w:lang w:val="es-MX" w:eastAsia="es-ES_tradnl"/>
              </w:rPr>
              <w:t xml:space="preserve">LEY DE GARANTÍAS ELECTORALES </w:t>
            </w:r>
            <w:r w:rsidR="0025599E" w:rsidRPr="00284B9D">
              <w:rPr>
                <w:rFonts w:ascii="Verdana" w:hAnsi="Verdana" w:cs="Arial"/>
                <w:bCs/>
                <w:lang w:val="es-MX" w:eastAsia="es-ES_tradnl"/>
              </w:rPr>
              <w:t>‒</w:t>
            </w:r>
            <w:r w:rsidR="0025599E" w:rsidRPr="00284B9D">
              <w:rPr>
                <w:rFonts w:ascii="Verdana" w:hAnsi="Verdana" w:cs="Arial"/>
                <w:lang w:val="es-MX" w:eastAsia="es-ES_tradnl"/>
              </w:rPr>
              <w:t xml:space="preserve"> </w:t>
            </w:r>
            <w:r w:rsidRPr="00CA451F">
              <w:rPr>
                <w:rFonts w:ascii="Verdana" w:eastAsia="Geomanist Light" w:hAnsi="Verdana" w:cs="Arial"/>
                <w:color w:val="000000"/>
                <w:lang w:val="es-MX"/>
              </w:rPr>
              <w:t xml:space="preserve">Aplicabilidad – Naturaleza </w:t>
            </w:r>
            <w:r w:rsidR="0025599E" w:rsidRPr="00CA451F">
              <w:rPr>
                <w:rFonts w:ascii="Verdana" w:eastAsia="Geomanist Light" w:hAnsi="Verdana" w:cs="Arial"/>
                <w:color w:val="000000"/>
                <w:lang w:val="es-MX"/>
              </w:rPr>
              <w:t xml:space="preserve">jurídica </w:t>
            </w:r>
            <w:r w:rsidRPr="00CA451F">
              <w:rPr>
                <w:rFonts w:ascii="Verdana" w:eastAsia="Geomanist Light" w:hAnsi="Verdana" w:cs="Arial"/>
                <w:color w:val="000000"/>
                <w:lang w:val="es-MX"/>
              </w:rPr>
              <w:t xml:space="preserve">de las Entidades – </w:t>
            </w:r>
            <w:r w:rsidR="0025599E" w:rsidRPr="00CA451F">
              <w:rPr>
                <w:rFonts w:ascii="Verdana" w:eastAsia="Geomanist Light" w:hAnsi="Verdana" w:cs="Arial"/>
                <w:color w:val="000000"/>
                <w:lang w:val="es-MX"/>
              </w:rPr>
              <w:t xml:space="preserve">Régimen </w:t>
            </w:r>
            <w:r w:rsidRPr="00CA451F">
              <w:rPr>
                <w:rFonts w:ascii="Verdana" w:eastAsia="Geomanist Light" w:hAnsi="Verdana" w:cs="Arial"/>
                <w:color w:val="000000"/>
                <w:lang w:val="es-MX"/>
              </w:rPr>
              <w:t>de contratación</w:t>
            </w:r>
            <w:r w:rsidR="001F7DD0" w:rsidRPr="00CA451F">
              <w:rPr>
                <w:rFonts w:ascii="Verdana" w:eastAsia="Geomanist Light" w:hAnsi="Verdana" w:cs="Arial"/>
                <w:color w:val="000000"/>
                <w:lang w:val="es-MX"/>
              </w:rPr>
              <w:t xml:space="preserve"> </w:t>
            </w:r>
          </w:p>
          <w:p w14:paraId="6E7677A9" w14:textId="77777777" w:rsidR="00516A89" w:rsidRPr="000E6B98" w:rsidRDefault="00516A89" w:rsidP="00E855E2">
            <w:pPr>
              <w:jc w:val="both"/>
              <w:rPr>
                <w:rFonts w:ascii="Verdana" w:eastAsia="Geomanist Light" w:hAnsi="Verdana" w:cs="Arial"/>
                <w:b/>
                <w:bCs/>
                <w:color w:val="000000"/>
              </w:rPr>
            </w:pPr>
          </w:p>
        </w:tc>
      </w:tr>
      <w:tr w:rsidR="00516A89" w:rsidRPr="00515C0B" w14:paraId="5B0993A4" w14:textId="77777777" w:rsidTr="00E855E2">
        <w:trPr>
          <w:trHeight w:val="95"/>
        </w:trPr>
        <w:tc>
          <w:tcPr>
            <w:tcW w:w="2694" w:type="dxa"/>
          </w:tcPr>
          <w:p w14:paraId="22181724" w14:textId="77777777" w:rsidR="00516A89" w:rsidRPr="00515C0B" w:rsidRDefault="00516A89" w:rsidP="00E855E2">
            <w:pPr>
              <w:rPr>
                <w:rFonts w:ascii="Verdana" w:eastAsia="Calibri" w:hAnsi="Verdana" w:cs="Arial"/>
                <w:b/>
                <w:lang w:val="es-ES" w:eastAsia="es-ES_tradnl"/>
              </w:rPr>
            </w:pPr>
            <w:r w:rsidRPr="00515C0B">
              <w:rPr>
                <w:rFonts w:ascii="Verdana" w:eastAsia="Calibri" w:hAnsi="Verdana" w:cs="Arial"/>
                <w:b/>
                <w:lang w:val="es-ES" w:eastAsia="es-ES_tradnl"/>
              </w:rPr>
              <w:t>Radicación:</w:t>
            </w:r>
          </w:p>
        </w:tc>
        <w:tc>
          <w:tcPr>
            <w:tcW w:w="6095" w:type="dxa"/>
          </w:tcPr>
          <w:p w14:paraId="113C8D68" w14:textId="77777777" w:rsidR="00516A89" w:rsidRPr="00515C0B" w:rsidRDefault="00516A89" w:rsidP="00E855E2">
            <w:pPr>
              <w:jc w:val="both"/>
              <w:rPr>
                <w:rFonts w:ascii="Verdana" w:eastAsia="Calibri" w:hAnsi="Verdana" w:cs="Arial"/>
                <w:lang w:val="es-ES" w:eastAsia="es-ES_tradnl"/>
              </w:rPr>
            </w:pPr>
            <w:r w:rsidRPr="00515C0B">
              <w:rPr>
                <w:rFonts w:ascii="Verdana" w:eastAsia="Calibri" w:hAnsi="Verdana" w:cs="Arial"/>
                <w:lang w:val="es-ES" w:eastAsia="es-ES_tradnl"/>
              </w:rPr>
              <w:t xml:space="preserve">Respuesta a consulta radicado No. </w:t>
            </w:r>
            <w:r w:rsidRPr="00CA451F">
              <w:rPr>
                <w:rFonts w:ascii="Verdana" w:eastAsia="Times New Roman" w:hAnsi="Verdana" w:cs="Arial"/>
                <w:lang w:eastAsia="es-ES_tradnl"/>
              </w:rPr>
              <w:t>1_2025_07_16_007239</w:t>
            </w:r>
          </w:p>
        </w:tc>
      </w:tr>
    </w:tbl>
    <w:p w14:paraId="3E848354" w14:textId="77777777" w:rsidR="00516A89" w:rsidRPr="00515C0B" w:rsidRDefault="00516A89" w:rsidP="00516A89">
      <w:pPr>
        <w:spacing w:after="0" w:line="240" w:lineRule="auto"/>
        <w:jc w:val="both"/>
        <w:rPr>
          <w:rFonts w:ascii="Verdana" w:eastAsia="Calibri" w:hAnsi="Verdana" w:cs="Arial"/>
          <w:color w:val="EE0000"/>
          <w:lang w:val="es-ES_tradnl" w:eastAsia="es-ES_tradnl"/>
        </w:rPr>
      </w:pPr>
    </w:p>
    <w:p w14:paraId="4903D80D" w14:textId="77777777" w:rsidR="00CA451F" w:rsidRPr="00CA451F" w:rsidRDefault="00CA451F" w:rsidP="00CA451F">
      <w:pPr>
        <w:spacing w:after="0" w:line="240" w:lineRule="auto"/>
        <w:jc w:val="both"/>
        <w:rPr>
          <w:rFonts w:ascii="Verdana" w:eastAsia="Calibri" w:hAnsi="Verdana" w:cs="Arial"/>
          <w:color w:val="EE0000"/>
          <w:lang w:val="es-ES_tradnl" w:eastAsia="es-ES_tradnl"/>
        </w:rPr>
      </w:pPr>
    </w:p>
    <w:p w14:paraId="7CAF05ED" w14:textId="77777777" w:rsidR="00516A89" w:rsidRPr="00515C0B" w:rsidRDefault="00516A89" w:rsidP="00516A89">
      <w:pPr>
        <w:spacing w:after="0" w:line="276" w:lineRule="auto"/>
        <w:jc w:val="both"/>
        <w:rPr>
          <w:rFonts w:ascii="Verdana" w:eastAsia="Calibri" w:hAnsi="Verdana" w:cs="Arial"/>
          <w:bCs/>
          <w:lang w:val="es-ES_tradnl" w:eastAsia="es-ES_tradnl"/>
        </w:rPr>
      </w:pPr>
      <w:r w:rsidRPr="00515C0B">
        <w:rPr>
          <w:rFonts w:ascii="Verdana" w:eastAsia="Calibri" w:hAnsi="Verdana" w:cs="Arial"/>
          <w:lang w:val="es-ES_tradnl" w:eastAsia="es-ES_tradnl"/>
        </w:rPr>
        <w:t>Estimad</w:t>
      </w:r>
      <w:r>
        <w:rPr>
          <w:rFonts w:ascii="Verdana" w:eastAsia="Calibri" w:hAnsi="Verdana" w:cs="Arial"/>
          <w:lang w:val="es-ES_tradnl" w:eastAsia="es-ES_tradnl"/>
        </w:rPr>
        <w:t xml:space="preserve">o </w:t>
      </w:r>
      <w:r w:rsidRPr="00515C0B">
        <w:rPr>
          <w:rFonts w:ascii="Verdana" w:eastAsia="Calibri" w:hAnsi="Verdana" w:cs="Arial"/>
          <w:lang w:val="es-ES_tradnl" w:eastAsia="es-ES_tradnl"/>
        </w:rPr>
        <w:t xml:space="preserve">señor </w:t>
      </w:r>
      <w:r>
        <w:rPr>
          <w:rFonts w:ascii="Verdana" w:eastAsia="Calibri" w:hAnsi="Verdana" w:cs="Arial"/>
          <w:lang w:val="es-ES_tradnl" w:eastAsia="es-ES_tradnl"/>
        </w:rPr>
        <w:t>Hoyos</w:t>
      </w:r>
      <w:r w:rsidRPr="00515C0B">
        <w:rPr>
          <w:rFonts w:ascii="Verdana" w:eastAsia="Calibri" w:hAnsi="Verdana" w:cs="Arial"/>
          <w:bCs/>
          <w:lang w:val="es-ES_tradnl" w:eastAsia="es-ES_tradnl"/>
        </w:rPr>
        <w:t>:</w:t>
      </w:r>
    </w:p>
    <w:p w14:paraId="61836230" w14:textId="77777777" w:rsidR="00516A89" w:rsidRPr="00515C0B" w:rsidRDefault="00516A89" w:rsidP="00516A89">
      <w:pPr>
        <w:spacing w:after="0" w:line="276" w:lineRule="auto"/>
        <w:jc w:val="both"/>
        <w:rPr>
          <w:rFonts w:ascii="Verdana" w:eastAsia="Calibri" w:hAnsi="Verdana" w:cs="Arial"/>
          <w:lang w:val="es-ES_tradnl" w:eastAsia="es-ES_tradnl"/>
        </w:rPr>
      </w:pPr>
    </w:p>
    <w:p w14:paraId="085AA67B" w14:textId="77777777" w:rsidR="00516A89" w:rsidRPr="00515C0B" w:rsidRDefault="00516A89" w:rsidP="00516A89">
      <w:pPr>
        <w:spacing w:after="0" w:line="276" w:lineRule="auto"/>
        <w:jc w:val="both"/>
        <w:rPr>
          <w:rFonts w:ascii="Verdana" w:eastAsia="Calibri" w:hAnsi="Verdana" w:cs="Arial"/>
          <w:lang w:val="es-ES" w:eastAsia="es-ES_tradnl"/>
        </w:rPr>
      </w:pPr>
      <w:r w:rsidRPr="00515C0B">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16</w:t>
      </w:r>
      <w:r w:rsidRPr="00515C0B">
        <w:rPr>
          <w:rFonts w:ascii="Verdana" w:eastAsia="Calibri" w:hAnsi="Verdana" w:cs="Arial"/>
          <w:lang w:val="es-ES" w:eastAsia="es-ES_tradnl"/>
        </w:rPr>
        <w:t xml:space="preserve"> de </w:t>
      </w:r>
      <w:r>
        <w:rPr>
          <w:rFonts w:ascii="Verdana" w:eastAsia="Calibri" w:hAnsi="Verdana" w:cs="Arial"/>
          <w:lang w:val="es-ES" w:eastAsia="es-ES_tradnl"/>
        </w:rPr>
        <w:t>junio</w:t>
      </w:r>
      <w:r w:rsidRPr="00515C0B">
        <w:rPr>
          <w:rFonts w:ascii="Verdana" w:eastAsia="Calibri" w:hAnsi="Verdana" w:cs="Arial"/>
          <w:lang w:val="es-ES" w:eastAsia="es-ES_tradnl"/>
        </w:rPr>
        <w:t xml:space="preserve"> de 202</w:t>
      </w:r>
      <w:r>
        <w:rPr>
          <w:rFonts w:ascii="Verdana" w:eastAsia="Calibri" w:hAnsi="Verdana" w:cs="Arial"/>
          <w:lang w:val="es-ES" w:eastAsia="es-ES_tradnl"/>
        </w:rPr>
        <w:t>5</w:t>
      </w:r>
      <w:r w:rsidRPr="00515C0B">
        <w:rPr>
          <w:rFonts w:ascii="Verdana" w:eastAsia="Calibri" w:hAnsi="Verdana" w:cs="Arial"/>
          <w:lang w:val="es-ES" w:eastAsia="es-ES_tradnl"/>
        </w:rPr>
        <w:t>, en la cual manifiesta lo siguiente:</w:t>
      </w:r>
    </w:p>
    <w:p w14:paraId="18B16466" w14:textId="77777777" w:rsidR="00516A89" w:rsidRPr="00515C0B" w:rsidRDefault="00516A89" w:rsidP="00516A89">
      <w:pPr>
        <w:spacing w:after="0" w:line="276" w:lineRule="auto"/>
        <w:ind w:left="709" w:right="709"/>
        <w:jc w:val="both"/>
        <w:rPr>
          <w:rFonts w:ascii="Verdana" w:eastAsia="Calibri" w:hAnsi="Verdana" w:cs="Arial"/>
          <w:b/>
          <w:color w:val="EE0000"/>
          <w:szCs w:val="24"/>
          <w:lang w:val="es-ES_tradnl" w:eastAsia="es-ES_tradnl"/>
        </w:rPr>
      </w:pPr>
    </w:p>
    <w:p w14:paraId="68655ADE" w14:textId="77777777" w:rsidR="00516A89" w:rsidRPr="004927B5" w:rsidRDefault="00516A89" w:rsidP="004927B5">
      <w:pPr>
        <w:numPr>
          <w:ilvl w:val="0"/>
          <w:numId w:val="17"/>
        </w:numPr>
        <w:spacing w:after="0" w:line="240" w:lineRule="auto"/>
        <w:ind w:left="1069" w:right="709"/>
        <w:jc w:val="both"/>
        <w:rPr>
          <w:rFonts w:ascii="Verdana" w:eastAsia="Times New Roman" w:hAnsi="Verdana" w:cs="Arial"/>
          <w:sz w:val="20"/>
          <w:szCs w:val="20"/>
          <w:lang w:val="es-419" w:eastAsia="es-ES_tradnl"/>
        </w:rPr>
      </w:pPr>
      <w:r w:rsidRPr="004927B5">
        <w:rPr>
          <w:rFonts w:ascii="Verdana" w:eastAsia="Times New Roman" w:hAnsi="Verdana" w:cs="Arial"/>
          <w:sz w:val="20"/>
          <w:szCs w:val="20"/>
          <w:lang w:eastAsia="es-ES_tradnl"/>
        </w:rPr>
        <w:t>“</w:t>
      </w:r>
      <w:r w:rsidRPr="004927B5">
        <w:rPr>
          <w:rFonts w:ascii="Verdana" w:eastAsia="Times New Roman" w:hAnsi="Verdana" w:cs="Arial"/>
          <w:sz w:val="20"/>
          <w:szCs w:val="20"/>
          <w:lang w:val="es-419" w:eastAsia="es-ES_tradnl"/>
        </w:rPr>
        <w:t xml:space="preserve">¿Los contratos interadministrativos que se celebren las empresas industriales y comerciales del estado que operan las loterías del país que tengan por objeto la transmisión de los sorteos con las empresas industriales y comerciales regionales de televisión (como </w:t>
      </w:r>
      <w:proofErr w:type="spellStart"/>
      <w:r w:rsidRPr="004927B5">
        <w:rPr>
          <w:rFonts w:ascii="Verdana" w:eastAsia="Times New Roman" w:hAnsi="Verdana" w:cs="Arial"/>
          <w:sz w:val="20"/>
          <w:szCs w:val="20"/>
          <w:lang w:val="es-419" w:eastAsia="es-ES_tradnl"/>
        </w:rPr>
        <w:t>telecafé</w:t>
      </w:r>
      <w:proofErr w:type="spellEnd"/>
      <w:r w:rsidRPr="004927B5">
        <w:rPr>
          <w:rFonts w:ascii="Verdana" w:eastAsia="Times New Roman" w:hAnsi="Verdana" w:cs="Arial"/>
          <w:sz w:val="20"/>
          <w:szCs w:val="20"/>
          <w:lang w:val="es-419" w:eastAsia="es-ES_tradnl"/>
        </w:rPr>
        <w:t xml:space="preserve">) les </w:t>
      </w:r>
      <w:r w:rsidRPr="004927B5">
        <w:rPr>
          <w:rFonts w:ascii="Verdana" w:eastAsia="Times New Roman" w:hAnsi="Verdana" w:cs="Arial"/>
          <w:sz w:val="20"/>
          <w:szCs w:val="20"/>
          <w:lang w:val="es-419" w:eastAsia="es-ES_tradnl"/>
        </w:rPr>
        <w:lastRenderedPageBreak/>
        <w:t>son aplicables las restricciones de ley de garantías contempladas en el artículo 38 o 33 de la ley 996 de 2005, considerando que dichos contratos se celebran en cumplimiento de un mandato normativo?</w:t>
      </w:r>
    </w:p>
    <w:p w14:paraId="135BF13C" w14:textId="77777777" w:rsidR="00516A89" w:rsidRPr="004927B5" w:rsidRDefault="00516A89" w:rsidP="004927B5">
      <w:pPr>
        <w:spacing w:after="0" w:line="240" w:lineRule="auto"/>
        <w:ind w:left="709" w:right="709"/>
        <w:jc w:val="both"/>
        <w:rPr>
          <w:rFonts w:ascii="Verdana" w:eastAsia="Times New Roman" w:hAnsi="Verdana" w:cs="Arial"/>
          <w:sz w:val="20"/>
          <w:szCs w:val="20"/>
          <w:lang w:val="es-419" w:eastAsia="es-ES_tradnl"/>
        </w:rPr>
      </w:pPr>
    </w:p>
    <w:p w14:paraId="49424491" w14:textId="77777777" w:rsidR="00516A89" w:rsidRPr="004927B5" w:rsidRDefault="00516A89" w:rsidP="00CA451F">
      <w:pPr>
        <w:numPr>
          <w:ilvl w:val="0"/>
          <w:numId w:val="17"/>
        </w:numPr>
        <w:spacing w:after="0" w:line="240" w:lineRule="auto"/>
        <w:ind w:left="1069" w:right="709"/>
        <w:jc w:val="both"/>
        <w:rPr>
          <w:rFonts w:ascii="Verdana" w:eastAsia="Times New Roman" w:hAnsi="Verdana" w:cs="Arial"/>
          <w:sz w:val="20"/>
          <w:szCs w:val="20"/>
          <w:lang w:val="es-419" w:eastAsia="es-ES_tradnl"/>
        </w:rPr>
      </w:pPr>
      <w:r w:rsidRPr="004927B5">
        <w:rPr>
          <w:rFonts w:ascii="Verdana" w:eastAsia="Times New Roman" w:hAnsi="Verdana" w:cs="Arial"/>
          <w:sz w:val="20"/>
          <w:szCs w:val="20"/>
          <w:lang w:val="es-419" w:eastAsia="es-ES_tradnl"/>
        </w:rPr>
        <w:t>¿Las restricciones del artículo 33 de la ley 996 de 2005 prohíben la celebración de contratos interadministrativos, incluso cuando los mismos se realicen en cumplimiento de un mandato normativo y estrictamente para la operación y funcionamiento de las empresas industriales y comerciales del estado como loterías del país?</w:t>
      </w:r>
    </w:p>
    <w:p w14:paraId="0E4D4A3E" w14:textId="77777777" w:rsidR="00516A89" w:rsidRPr="004927B5" w:rsidRDefault="00516A89" w:rsidP="004927B5">
      <w:pPr>
        <w:spacing w:after="0" w:line="240" w:lineRule="auto"/>
        <w:ind w:left="709" w:right="709"/>
        <w:jc w:val="both"/>
        <w:rPr>
          <w:rFonts w:ascii="Verdana" w:eastAsia="Times New Roman" w:hAnsi="Verdana" w:cs="Arial"/>
          <w:sz w:val="20"/>
          <w:szCs w:val="20"/>
          <w:lang w:val="es-419" w:eastAsia="es-ES_tradnl"/>
        </w:rPr>
      </w:pPr>
    </w:p>
    <w:p w14:paraId="4625DEA7" w14:textId="77777777" w:rsidR="00516A89" w:rsidRPr="004927B5" w:rsidRDefault="00516A89" w:rsidP="00CA451F">
      <w:pPr>
        <w:numPr>
          <w:ilvl w:val="0"/>
          <w:numId w:val="17"/>
        </w:numPr>
        <w:spacing w:after="0" w:line="240" w:lineRule="auto"/>
        <w:ind w:left="1069" w:right="709"/>
        <w:jc w:val="both"/>
        <w:rPr>
          <w:rFonts w:ascii="Verdana" w:eastAsia="Times New Roman" w:hAnsi="Verdana" w:cs="Arial"/>
          <w:sz w:val="20"/>
          <w:szCs w:val="20"/>
          <w:lang w:val="es-419" w:eastAsia="es-ES_tradnl"/>
        </w:rPr>
      </w:pPr>
      <w:r w:rsidRPr="004927B5">
        <w:rPr>
          <w:rFonts w:ascii="Verdana" w:eastAsia="Times New Roman" w:hAnsi="Verdana" w:cs="Arial"/>
          <w:sz w:val="20"/>
          <w:szCs w:val="20"/>
          <w:lang w:val="es-419" w:eastAsia="es-ES_tradnl"/>
        </w:rPr>
        <w:t>¿Las empresas industriales y comerciales del estado que operen loterías del país podrían celebrar contratos interadministrativos con canales regionales para la transmisión de los sorteos en vigencia de las restricciones de la ley de garantías (ley 996 de 2005)?</w:t>
      </w:r>
      <w:r w:rsidRPr="004927B5">
        <w:rPr>
          <w:rFonts w:ascii="Verdana" w:eastAsia="Times New Roman" w:hAnsi="Verdana" w:cs="Arial"/>
          <w:sz w:val="20"/>
          <w:szCs w:val="20"/>
          <w:lang w:eastAsia="es-ES_tradnl"/>
        </w:rPr>
        <w:t>”.</w:t>
      </w:r>
    </w:p>
    <w:p w14:paraId="35DB7400" w14:textId="77777777" w:rsidR="00516A89" w:rsidRPr="00CA451F" w:rsidRDefault="00516A89" w:rsidP="00516A89">
      <w:pPr>
        <w:spacing w:after="0" w:line="240" w:lineRule="auto"/>
        <w:ind w:left="709" w:right="709"/>
        <w:contextualSpacing/>
        <w:jc w:val="both"/>
        <w:rPr>
          <w:rFonts w:ascii="Verdana" w:eastAsia="Times New Roman" w:hAnsi="Verdana" w:cs="Arial"/>
          <w:color w:val="EE0000"/>
          <w:lang w:eastAsia="es-ES_tradnl"/>
        </w:rPr>
      </w:pPr>
    </w:p>
    <w:p w14:paraId="3EFDFAD8" w14:textId="77777777" w:rsidR="00516A89" w:rsidRPr="00515C0B" w:rsidRDefault="00516A89" w:rsidP="00516A89">
      <w:pPr>
        <w:spacing w:after="120" w:line="276" w:lineRule="auto"/>
        <w:ind w:firstLine="709"/>
        <w:jc w:val="both"/>
        <w:rPr>
          <w:rFonts w:ascii="Verdana" w:eastAsia="Calibri" w:hAnsi="Verdana" w:cs="Arial"/>
          <w:szCs w:val="24"/>
          <w:lang w:val="es-ES_tradnl" w:eastAsia="es-ES_tradnl"/>
        </w:rPr>
      </w:pPr>
      <w:r w:rsidRPr="00515C0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15C0B">
        <w:rPr>
          <w:rFonts w:ascii="Verdana" w:eastAsia="Calibri" w:hAnsi="Verdana" w:cs="Arial"/>
          <w:szCs w:val="24"/>
          <w:lang w:val="es-ES_tradnl" w:eastAsia="es-ES_tradnl"/>
        </w:rPr>
        <w:tab/>
      </w:r>
    </w:p>
    <w:p w14:paraId="308CF7F4" w14:textId="77777777" w:rsidR="00516A89" w:rsidRPr="00515C0B" w:rsidRDefault="00516A89" w:rsidP="00516A89">
      <w:pPr>
        <w:spacing w:after="0" w:line="276" w:lineRule="auto"/>
        <w:ind w:firstLine="709"/>
        <w:jc w:val="both"/>
        <w:rPr>
          <w:rFonts w:ascii="Verdana" w:eastAsia="Calibri" w:hAnsi="Verdana" w:cs="Arial"/>
          <w:lang w:val="es-ES" w:eastAsia="es-ES"/>
        </w:rPr>
      </w:pPr>
      <w:r w:rsidRPr="00515C0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B110A0F" w14:textId="77777777" w:rsidR="00516A89" w:rsidRPr="00515C0B" w:rsidRDefault="00516A89" w:rsidP="00516A89">
      <w:pPr>
        <w:spacing w:after="0" w:line="276" w:lineRule="auto"/>
        <w:jc w:val="both"/>
        <w:rPr>
          <w:rFonts w:ascii="Verdana" w:eastAsia="Times New Roman" w:hAnsi="Verdana" w:cs="Arial"/>
          <w:color w:val="EE0000"/>
          <w:szCs w:val="24"/>
          <w:lang w:val="es-ES_tradnl" w:eastAsia="es-ES_tradnl"/>
        </w:rPr>
      </w:pPr>
    </w:p>
    <w:p w14:paraId="47BBA0B0" w14:textId="77777777" w:rsidR="00516A89" w:rsidRPr="00515C0B" w:rsidRDefault="00516A89" w:rsidP="00516A89">
      <w:pPr>
        <w:tabs>
          <w:tab w:val="left" w:pos="0"/>
          <w:tab w:val="left" w:pos="284"/>
        </w:tabs>
        <w:spacing w:after="0" w:line="276" w:lineRule="auto"/>
        <w:jc w:val="both"/>
        <w:rPr>
          <w:rFonts w:ascii="Verdana" w:eastAsia="Calibri" w:hAnsi="Verdana" w:cs="Arial"/>
          <w:b/>
          <w:color w:val="000000"/>
          <w:lang w:val="es-ES_tradnl"/>
        </w:rPr>
      </w:pPr>
      <w:r w:rsidRPr="00515C0B">
        <w:rPr>
          <w:rFonts w:ascii="Verdana" w:eastAsia="Calibri" w:hAnsi="Verdana" w:cs="Arial"/>
          <w:b/>
          <w:color w:val="000000"/>
          <w:lang w:val="es-ES_tradnl"/>
        </w:rPr>
        <w:t>1. Problema planteado:</w:t>
      </w:r>
    </w:p>
    <w:p w14:paraId="04106578" w14:textId="77777777" w:rsidR="00516A89" w:rsidRPr="00515C0B" w:rsidRDefault="00516A89" w:rsidP="00516A89">
      <w:pPr>
        <w:tabs>
          <w:tab w:val="left" w:pos="0"/>
          <w:tab w:val="left" w:pos="284"/>
        </w:tabs>
        <w:spacing w:after="0" w:line="276" w:lineRule="auto"/>
        <w:jc w:val="both"/>
        <w:rPr>
          <w:rFonts w:ascii="Verdana" w:eastAsia="Calibri" w:hAnsi="Verdana" w:cs="Arial"/>
          <w:b/>
          <w:color w:val="EE0000"/>
          <w:lang w:val="es-ES_tradnl"/>
        </w:rPr>
      </w:pPr>
    </w:p>
    <w:p w14:paraId="041164CB" w14:textId="3A8E9A0E" w:rsidR="00516A89" w:rsidRDefault="00516A89" w:rsidP="00516A89">
      <w:pPr>
        <w:spacing w:after="0" w:line="276" w:lineRule="auto"/>
        <w:jc w:val="both"/>
        <w:rPr>
          <w:rFonts w:ascii="Verdana" w:eastAsia="Century Gothic" w:hAnsi="Verdana" w:cs="Century Gothic"/>
        </w:rPr>
      </w:pPr>
      <w:r w:rsidRPr="00515C0B">
        <w:rPr>
          <w:rFonts w:ascii="Verdana" w:eastAsia="Century Gothic" w:hAnsi="Verdana" w:cs="Century Gothic"/>
        </w:rPr>
        <w:t>De acuerdo con el contenido de su solicitud, esta Agencia resolverá l</w:t>
      </w:r>
      <w:r w:rsidR="006F141D">
        <w:rPr>
          <w:rFonts w:ascii="Verdana" w:eastAsia="Century Gothic" w:hAnsi="Verdana" w:cs="Century Gothic"/>
        </w:rPr>
        <w:t>os</w:t>
      </w:r>
      <w:r w:rsidRPr="00515C0B">
        <w:rPr>
          <w:rFonts w:ascii="Verdana" w:eastAsia="Century Gothic" w:hAnsi="Verdana" w:cs="Century Gothic"/>
        </w:rPr>
        <w:t xml:space="preserve"> siguiente</w:t>
      </w:r>
      <w:r w:rsidR="006F141D">
        <w:rPr>
          <w:rFonts w:ascii="Verdana" w:eastAsia="Century Gothic" w:hAnsi="Verdana" w:cs="Century Gothic"/>
        </w:rPr>
        <w:t>s</w:t>
      </w:r>
      <w:r w:rsidRPr="00515C0B">
        <w:rPr>
          <w:rFonts w:ascii="Verdana" w:eastAsia="Century Gothic" w:hAnsi="Verdana" w:cs="Century Gothic"/>
        </w:rPr>
        <w:t xml:space="preserve"> problema</w:t>
      </w:r>
      <w:r w:rsidR="006F141D">
        <w:rPr>
          <w:rFonts w:ascii="Verdana" w:eastAsia="Century Gothic" w:hAnsi="Verdana" w:cs="Century Gothic"/>
        </w:rPr>
        <w:t>s</w:t>
      </w:r>
      <w:r w:rsidRPr="00515C0B">
        <w:rPr>
          <w:rFonts w:ascii="Verdana" w:eastAsia="Century Gothic" w:hAnsi="Verdana" w:cs="Century Gothic"/>
        </w:rPr>
        <w:t xml:space="preserve"> jurídico</w:t>
      </w:r>
      <w:r w:rsidR="006F141D">
        <w:rPr>
          <w:rFonts w:ascii="Verdana" w:eastAsia="Century Gothic" w:hAnsi="Verdana" w:cs="Century Gothic"/>
        </w:rPr>
        <w:t>s</w:t>
      </w:r>
      <w:r w:rsidRPr="00515C0B">
        <w:rPr>
          <w:rFonts w:ascii="Verdana" w:eastAsia="Century Gothic" w:hAnsi="Verdana" w:cs="Century Gothic"/>
        </w:rPr>
        <w:t xml:space="preserve">: </w:t>
      </w:r>
      <w:r w:rsidR="001B78C0">
        <w:rPr>
          <w:rFonts w:ascii="Verdana" w:eastAsia="Century Gothic" w:hAnsi="Verdana" w:cs="Century Gothic"/>
        </w:rPr>
        <w:t>i)</w:t>
      </w:r>
      <w:bookmarkStart w:id="0" w:name="_Hlk199424158"/>
      <w:r w:rsidRPr="00515C0B">
        <w:rPr>
          <w:rFonts w:ascii="Verdana" w:eastAsia="Century Gothic" w:hAnsi="Verdana" w:cs="Century Gothic"/>
        </w:rPr>
        <w:t xml:space="preserve"> </w:t>
      </w:r>
      <w:bookmarkEnd w:id="0"/>
      <w:r w:rsidRPr="000E722C">
        <w:rPr>
          <w:rFonts w:ascii="Verdana" w:eastAsia="Century Gothic" w:hAnsi="Verdana" w:cs="Century Gothic"/>
        </w:rPr>
        <w:t xml:space="preserve">¿Se encuentran sometidas las Empresas Industriales y Comerciales del Estado (EICE) a las restricciones contractuales previstas en la Ley 996 de 2005 —Ley de Garantías Electorales—, durante los períodos previos </w:t>
      </w:r>
      <w:r w:rsidRPr="000E722C">
        <w:rPr>
          <w:rFonts w:ascii="Verdana" w:eastAsia="Century Gothic" w:hAnsi="Verdana" w:cs="Century Gothic"/>
        </w:rPr>
        <w:lastRenderedPageBreak/>
        <w:t>a elecciones?</w:t>
      </w:r>
      <w:r w:rsidR="001B78C0">
        <w:rPr>
          <w:rFonts w:ascii="Verdana" w:eastAsia="Century Gothic" w:hAnsi="Verdana" w:cs="Century Gothic"/>
        </w:rPr>
        <w:t xml:space="preserve">; </w:t>
      </w:r>
      <w:proofErr w:type="spellStart"/>
      <w:r w:rsidR="001B78C0">
        <w:rPr>
          <w:rFonts w:ascii="Verdana" w:eastAsia="Century Gothic" w:hAnsi="Verdana" w:cs="Century Gothic"/>
        </w:rPr>
        <w:t>ii</w:t>
      </w:r>
      <w:proofErr w:type="spellEnd"/>
      <w:r w:rsidR="001B78C0">
        <w:rPr>
          <w:rFonts w:ascii="Verdana" w:eastAsia="Century Gothic" w:hAnsi="Verdana" w:cs="Century Gothic"/>
        </w:rPr>
        <w:t>) ¿Qué tipo de restricciones aplican en materia de contratación estatal en vigencia de la Ley de Garantías Electorales</w:t>
      </w:r>
      <w:r w:rsidRPr="000E722C">
        <w:rPr>
          <w:rFonts w:ascii="Verdana" w:eastAsia="Century Gothic" w:hAnsi="Verdana" w:cs="Century Gothic"/>
        </w:rPr>
        <w:t>?</w:t>
      </w:r>
    </w:p>
    <w:p w14:paraId="2A547C11" w14:textId="77777777" w:rsidR="00516A89" w:rsidRPr="00515C0B" w:rsidRDefault="00516A89" w:rsidP="00516A89">
      <w:pPr>
        <w:spacing w:after="0" w:line="276" w:lineRule="auto"/>
        <w:jc w:val="both"/>
        <w:rPr>
          <w:rFonts w:ascii="Verdana" w:eastAsia="Calibri" w:hAnsi="Verdana" w:cs="Arial"/>
          <w:color w:val="EE0000"/>
          <w:lang w:val="es-ES" w:eastAsia="es-ES_tradnl"/>
        </w:rPr>
      </w:pPr>
    </w:p>
    <w:p w14:paraId="0628541F" w14:textId="77777777" w:rsidR="00516A89" w:rsidRPr="00515C0B" w:rsidRDefault="00516A89" w:rsidP="00516A89">
      <w:pPr>
        <w:tabs>
          <w:tab w:val="left" w:pos="142"/>
          <w:tab w:val="left" w:pos="284"/>
        </w:tabs>
        <w:spacing w:after="0" w:line="276" w:lineRule="auto"/>
        <w:jc w:val="both"/>
        <w:rPr>
          <w:rFonts w:ascii="Verdana" w:eastAsia="Century Gothic" w:hAnsi="Verdana" w:cs="Century Gothic"/>
          <w:b/>
          <w:bCs/>
          <w:color w:val="000000"/>
        </w:rPr>
      </w:pPr>
      <w:r w:rsidRPr="00515C0B">
        <w:rPr>
          <w:rFonts w:ascii="Verdana" w:eastAsia="Century Gothic" w:hAnsi="Verdana" w:cs="Century Gothic"/>
          <w:b/>
          <w:bCs/>
          <w:color w:val="000000"/>
        </w:rPr>
        <w:t>2. Respuesta:</w:t>
      </w:r>
    </w:p>
    <w:p w14:paraId="542FE8BA" w14:textId="77777777" w:rsidR="00516A89" w:rsidRPr="00515C0B" w:rsidRDefault="00516A89" w:rsidP="00516A89">
      <w:pPr>
        <w:tabs>
          <w:tab w:val="left" w:pos="142"/>
          <w:tab w:val="left" w:pos="284"/>
        </w:tabs>
        <w:spacing w:after="0" w:line="276" w:lineRule="auto"/>
        <w:jc w:val="both"/>
        <w:rPr>
          <w:rFonts w:ascii="Verdana" w:eastAsia="Century Gothic" w:hAnsi="Verdana" w:cs="Century Gothic"/>
          <w:b/>
          <w:bCs/>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6A89" w:rsidRPr="00515C0B" w14:paraId="144D6F5A" w14:textId="77777777" w:rsidTr="00E855E2">
        <w:tc>
          <w:tcPr>
            <w:tcW w:w="8828" w:type="dxa"/>
          </w:tcPr>
          <w:p w14:paraId="4CFFFBA4" w14:textId="27743175" w:rsidR="00516A89" w:rsidRPr="000E722C" w:rsidRDefault="00804A5B" w:rsidP="00E855E2">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i) </w:t>
            </w:r>
            <w:r w:rsidR="00516A89" w:rsidRPr="000E722C">
              <w:rPr>
                <w:rFonts w:ascii="Verdana" w:eastAsia="Calibri" w:hAnsi="Verdana" w:cs="Arial"/>
                <w:color w:val="000000"/>
                <w:szCs w:val="24"/>
                <w:lang w:eastAsia="es-ES_tradnl"/>
              </w:rPr>
              <w:t xml:space="preserve">De conformidad con el artículo 85 de la Ley 489 de 1998, las Empresas Industriales y Comerciales del Estado (EICE) son </w:t>
            </w:r>
            <w:r w:rsidRPr="000E722C">
              <w:rPr>
                <w:rFonts w:ascii="Verdana" w:eastAsia="Calibri" w:hAnsi="Verdana" w:cs="Arial"/>
                <w:color w:val="000000"/>
                <w:szCs w:val="24"/>
                <w:lang w:eastAsia="es-ES_tradnl"/>
              </w:rPr>
              <w:t>Entidades Estatales</w:t>
            </w:r>
            <w:r w:rsidR="00516A89" w:rsidRPr="000E722C">
              <w:rPr>
                <w:rFonts w:ascii="Verdana" w:eastAsia="Calibri" w:hAnsi="Verdana" w:cs="Arial"/>
                <w:color w:val="000000"/>
                <w:szCs w:val="24"/>
                <w:lang w:eastAsia="es-ES_tradnl"/>
              </w:rPr>
              <w:t xml:space="preserve"> con personería jurídica, autonomía administrativa y patrimonio independiente, creadas para desarrollar actividades de carácter industrial o comercial y de gestión económica, conforme a las reglas establecidas por el derecho privado, salvo las excepciones contempladas en la ley.</w:t>
            </w:r>
          </w:p>
          <w:p w14:paraId="3B0953BC" w14:textId="01C908AC" w:rsidR="00516A89" w:rsidRPr="000E722C" w:rsidRDefault="00516A89" w:rsidP="00B84B80">
            <w:pPr>
              <w:spacing w:after="120" w:line="276" w:lineRule="auto"/>
              <w:ind w:firstLine="709"/>
              <w:jc w:val="both"/>
              <w:rPr>
                <w:rFonts w:ascii="Verdana" w:eastAsia="Calibri" w:hAnsi="Verdana" w:cs="Arial"/>
                <w:color w:val="000000"/>
                <w:szCs w:val="24"/>
                <w:lang w:eastAsia="es-ES_tradnl"/>
              </w:rPr>
            </w:pPr>
            <w:r w:rsidRPr="000E722C">
              <w:rPr>
                <w:rFonts w:ascii="Verdana" w:eastAsia="Calibri" w:hAnsi="Verdana" w:cs="Arial"/>
                <w:color w:val="000000"/>
                <w:szCs w:val="24"/>
                <w:lang w:eastAsia="es-ES_tradnl"/>
              </w:rPr>
              <w:t xml:space="preserve">En este sentido, el artículo 33 de la Ley 996 de 2005 establece restricciones para la celebración de convenios y contratos durante los períodos electorales, señalando que dichas limitaciones aplican a “todos los entes del Estado”. Esta expresión ha sido interpretada por el Consejo de Estado en el sentido más amplio posible, abarcando la totalidad de los organismos y </w:t>
            </w:r>
            <w:r w:rsidR="003819F6" w:rsidRPr="000E722C">
              <w:rPr>
                <w:rFonts w:ascii="Verdana" w:eastAsia="Calibri" w:hAnsi="Verdana" w:cs="Arial"/>
                <w:color w:val="000000"/>
                <w:szCs w:val="24"/>
                <w:lang w:eastAsia="es-ES_tradnl"/>
              </w:rPr>
              <w:t>Entidades Estatale</w:t>
            </w:r>
            <w:r w:rsidRPr="000E722C">
              <w:rPr>
                <w:rFonts w:ascii="Verdana" w:eastAsia="Calibri" w:hAnsi="Verdana" w:cs="Arial"/>
                <w:color w:val="000000"/>
                <w:szCs w:val="24"/>
                <w:lang w:eastAsia="es-ES_tradnl"/>
              </w:rPr>
              <w:t>s, sin que sea relevante su naturaleza jurídica, su régimen de contratación, su forma de organización o su grado de autonomía. Incluso se incluyen aquellas entidades con régimen especial de contratación, que se encuentren excluidas del ámbito de aplicación del Estatuto General de Contratación de la Administración Pública.</w:t>
            </w:r>
          </w:p>
          <w:p w14:paraId="3925ED02" w14:textId="7BC53B87" w:rsidR="00516A89" w:rsidRPr="000E722C" w:rsidRDefault="00516A89" w:rsidP="00B84B80">
            <w:pPr>
              <w:spacing w:after="120" w:line="276" w:lineRule="auto"/>
              <w:ind w:firstLine="709"/>
              <w:jc w:val="both"/>
              <w:rPr>
                <w:rFonts w:ascii="Verdana" w:eastAsia="Calibri" w:hAnsi="Verdana" w:cs="Arial"/>
                <w:i/>
                <w:iCs/>
                <w:color w:val="000000"/>
                <w:szCs w:val="24"/>
                <w:lang w:eastAsia="es-ES_tradnl"/>
              </w:rPr>
            </w:pPr>
            <w:r w:rsidRPr="000E722C">
              <w:rPr>
                <w:rFonts w:ascii="Verdana" w:eastAsia="Calibri" w:hAnsi="Verdana" w:cs="Arial"/>
                <w:color w:val="000000"/>
                <w:szCs w:val="24"/>
                <w:lang w:eastAsia="es-ES_tradnl"/>
              </w:rPr>
              <w:t>No obstante, el mismo artículo 33, en su inciso final, contempla ciertas excepciones a la restricción, las cuales se enuncian de manera taxativa. El tenor literal de la norma señala:</w:t>
            </w:r>
            <w:r w:rsidR="003819F6">
              <w:rPr>
                <w:rFonts w:ascii="Verdana" w:eastAsia="Calibri" w:hAnsi="Verdana" w:cs="Arial"/>
                <w:i/>
                <w:iCs/>
                <w:color w:val="000000"/>
                <w:szCs w:val="24"/>
                <w:lang w:eastAsia="es-ES_tradnl"/>
              </w:rPr>
              <w:t xml:space="preserve"> </w:t>
            </w:r>
            <w:r w:rsidRPr="000E722C">
              <w:rPr>
                <w:rFonts w:ascii="Verdana" w:eastAsia="Calibri" w:hAnsi="Verdana" w:cs="Arial"/>
                <w:i/>
                <w:iCs/>
                <w:color w:val="000000"/>
                <w:szCs w:val="24"/>
                <w:lang w:eastAsia="es-ES_tradnl"/>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5F7CBC6E" w14:textId="7BC3142D" w:rsidR="00516A89" w:rsidRDefault="00516A89" w:rsidP="00B84B80">
            <w:pPr>
              <w:spacing w:line="276" w:lineRule="auto"/>
              <w:ind w:firstLine="709"/>
              <w:jc w:val="both"/>
              <w:rPr>
                <w:rFonts w:ascii="Verdana" w:eastAsia="Calibri" w:hAnsi="Verdana" w:cs="Arial"/>
                <w:color w:val="000000"/>
                <w:szCs w:val="24"/>
                <w:lang w:eastAsia="es-ES_tradnl"/>
              </w:rPr>
            </w:pPr>
            <w:r w:rsidRPr="000E722C">
              <w:rPr>
                <w:rFonts w:ascii="Verdana" w:eastAsia="Calibri" w:hAnsi="Verdana" w:cs="Arial"/>
                <w:color w:val="000000"/>
                <w:szCs w:val="24"/>
                <w:lang w:eastAsia="es-ES_tradnl"/>
              </w:rPr>
              <w:t xml:space="preserve">En virtud de lo anterior, y con base en la normativa citada, esta Agencia considera que </w:t>
            </w:r>
            <w:r w:rsidR="00876A2D" w:rsidRPr="000E722C">
              <w:rPr>
                <w:rFonts w:ascii="Verdana" w:eastAsia="Calibri" w:hAnsi="Verdana" w:cs="Arial"/>
                <w:color w:val="000000"/>
                <w:szCs w:val="24"/>
                <w:lang w:eastAsia="es-ES_tradnl"/>
              </w:rPr>
              <w:t>la actividad contractual de las Empresas Industriales y Comerciales del Estado sí se encuentra</w:t>
            </w:r>
            <w:r w:rsidRPr="000E722C">
              <w:rPr>
                <w:rFonts w:ascii="Verdana" w:eastAsia="Calibri" w:hAnsi="Verdana" w:cs="Arial"/>
                <w:color w:val="000000"/>
                <w:szCs w:val="24"/>
                <w:lang w:eastAsia="es-ES_tradnl"/>
              </w:rPr>
              <w:t xml:space="preserve"> sujeta a las restricciones previstas en </w:t>
            </w:r>
            <w:r w:rsidR="00876A2D">
              <w:rPr>
                <w:rFonts w:ascii="Verdana" w:eastAsia="Calibri" w:hAnsi="Verdana" w:cs="Arial"/>
                <w:color w:val="000000"/>
                <w:szCs w:val="24"/>
                <w:lang w:eastAsia="es-ES_tradnl"/>
              </w:rPr>
              <w:t>el artículo 33 de</w:t>
            </w:r>
            <w:r w:rsidRPr="000E722C">
              <w:rPr>
                <w:rFonts w:ascii="Verdana" w:eastAsia="Calibri" w:hAnsi="Verdana" w:cs="Arial"/>
                <w:color w:val="000000"/>
                <w:szCs w:val="24"/>
                <w:lang w:eastAsia="es-ES_tradnl"/>
              </w:rPr>
              <w:t xml:space="preserve"> la Ley de Garantías Electorales, salvo que se trate de alguno de los supuestos exceptuados expresamente por la norma.</w:t>
            </w:r>
          </w:p>
          <w:p w14:paraId="3D13A145" w14:textId="77777777" w:rsidR="000002E5" w:rsidRDefault="000002E5" w:rsidP="00B84B80">
            <w:pPr>
              <w:spacing w:line="276" w:lineRule="auto"/>
              <w:jc w:val="both"/>
              <w:rPr>
                <w:rFonts w:ascii="Verdana" w:eastAsia="Calibri" w:hAnsi="Verdana" w:cs="Arial"/>
                <w:color w:val="000000"/>
                <w:szCs w:val="24"/>
                <w:lang w:eastAsia="es-ES_tradnl"/>
              </w:rPr>
            </w:pPr>
          </w:p>
          <w:p w14:paraId="242C68E1" w14:textId="02E80007" w:rsidR="000002E5" w:rsidRPr="00415CD3" w:rsidRDefault="000002E5" w:rsidP="000002E5">
            <w:pPr>
              <w:spacing w:after="120" w:line="276" w:lineRule="auto"/>
              <w:jc w:val="both"/>
              <w:rPr>
                <w:rFonts w:ascii="Verdana" w:eastAsia="Arial" w:hAnsi="Verdana" w:cs="Arial"/>
                <w:lang w:val="es-ES" w:eastAsia="es-ES" w:bidi="es-ES"/>
              </w:rPr>
            </w:pPr>
            <w:proofErr w:type="spellStart"/>
            <w:r>
              <w:rPr>
                <w:rFonts w:ascii="Verdana" w:hAnsi="Verdana" w:cs="Arial"/>
                <w:lang w:bidi="es-ES"/>
              </w:rPr>
              <w:t>ii</w:t>
            </w:r>
            <w:proofErr w:type="spellEnd"/>
            <w:r>
              <w:rPr>
                <w:rFonts w:ascii="Verdana" w:hAnsi="Verdana" w:cs="Arial"/>
                <w:lang w:bidi="es-ES"/>
              </w:rPr>
              <w:t xml:space="preserve">) </w:t>
            </w:r>
            <w:r w:rsidRPr="00415CD3">
              <w:rPr>
                <w:rFonts w:ascii="Verdana" w:hAnsi="Verdana" w:cs="Arial"/>
                <w:lang w:bidi="es-ES"/>
              </w:rPr>
              <w:t>De acuerdo con la interpretación de las normas generales del sistema de compras públicas</w:t>
            </w:r>
            <w:r>
              <w:rPr>
                <w:rFonts w:ascii="Verdana" w:hAnsi="Verdana" w:cs="Arial"/>
                <w:lang w:bidi="es-ES"/>
              </w:rPr>
              <w:t>,</w:t>
            </w:r>
            <w:r w:rsidRPr="00415CD3">
              <w:rPr>
                <w:rFonts w:ascii="Verdana" w:eastAsia="Arial" w:hAnsi="Verdana" w:cs="Arial"/>
                <w:lang w:val="es-ES" w:eastAsia="es-ES" w:bidi="es-ES"/>
              </w:rPr>
              <w:t xml:space="preserve"> la Ley 996 de 2005 establece dos (2) tipos de restricciones en materia de contratación, las cuales coinciden parcialmente. </w:t>
            </w:r>
            <w:r w:rsidRPr="00415CD3">
              <w:rPr>
                <w:rFonts w:ascii="Verdana" w:eastAsia="Arial" w:hAnsi="Verdana" w:cs="Arial"/>
                <w:i/>
                <w:lang w:val="es-ES" w:eastAsia="es-ES" w:bidi="es-ES"/>
              </w:rPr>
              <w:t>En primer lugar</w:t>
            </w:r>
            <w:r w:rsidRPr="00415CD3">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15CD3">
              <w:rPr>
                <w:rFonts w:ascii="Verdana" w:eastAsia="Arial" w:hAnsi="Verdana" w:cs="Arial"/>
                <w:i/>
                <w:lang w:val="es-ES" w:eastAsia="es-ES" w:bidi="es-ES"/>
              </w:rPr>
              <w:t>En segundo lugar</w:t>
            </w:r>
            <w:r w:rsidRPr="00415CD3">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F023F90" w14:textId="50B57503" w:rsidR="00516A89" w:rsidRPr="000C5B17" w:rsidRDefault="000002E5" w:rsidP="00B84B80">
            <w:pPr>
              <w:spacing w:after="120" w:line="276" w:lineRule="auto"/>
              <w:ind w:firstLine="743"/>
              <w:jc w:val="both"/>
              <w:rPr>
                <w:rFonts w:ascii="Verdana" w:eastAsia="Calibri" w:hAnsi="Verdana" w:cs="Arial"/>
              </w:rPr>
            </w:pPr>
            <w:r w:rsidRPr="00415CD3">
              <w:rPr>
                <w:rFonts w:ascii="Verdana" w:eastAsia="Arial" w:hAnsi="Verdana" w:cs="Arial"/>
                <w:lang w:val="es-ES" w:eastAsia="es-ES" w:bidi="es-ES"/>
              </w:rPr>
              <w:t xml:space="preserve">De esta manera, tratándose de elecciones en general, excluyendo las correspondientes al </w:t>
            </w:r>
            <w:proofErr w:type="gramStart"/>
            <w:r w:rsidRPr="00415CD3">
              <w:rPr>
                <w:rFonts w:ascii="Verdana" w:eastAsia="Arial" w:hAnsi="Verdana" w:cs="Arial"/>
                <w:lang w:val="es-ES" w:eastAsia="es-ES" w:bidi="es-ES"/>
              </w:rPr>
              <w:t>Presidente</w:t>
            </w:r>
            <w:proofErr w:type="gramEnd"/>
            <w:r w:rsidRPr="00415CD3">
              <w:rPr>
                <w:rFonts w:ascii="Verdana" w:eastAsia="Arial" w:hAnsi="Verdana" w:cs="Arial"/>
                <w:lang w:val="es-ES" w:eastAsia="es-ES" w:bidi="es-ES"/>
              </w:rPr>
              <w:t xml:space="preserve"> de la República, las restricciones que resultan aplicables son las contenidas en el parágrafo del artículo 38. Es decir, cuando se convoca a elecciones para cargos de elección popular los </w:t>
            </w:r>
            <w:r w:rsidRPr="00415CD3">
              <w:rPr>
                <w:rFonts w:ascii="Verdana" w:eastAsia="Calibri" w:hAnsi="Verdana" w:cs="Arial"/>
              </w:rPr>
              <w:t xml:space="preserve">Gobernadores, </w:t>
            </w:r>
            <w:proofErr w:type="gramStart"/>
            <w:r w:rsidRPr="00415CD3">
              <w:rPr>
                <w:rFonts w:ascii="Verdana" w:eastAsia="Calibri" w:hAnsi="Verdana" w:cs="Arial"/>
              </w:rPr>
              <w:t>Alcaldes</w:t>
            </w:r>
            <w:proofErr w:type="gramEnd"/>
            <w:r w:rsidRPr="00415CD3">
              <w:rPr>
                <w:rFonts w:ascii="Verdana" w:eastAsia="Calibri" w:hAnsi="Verdana" w:cs="Arial"/>
              </w:rPr>
              <w:t xml:space="preserve"> Municipales y/o Distritales, </w:t>
            </w:r>
            <w:proofErr w:type="gramStart"/>
            <w:r w:rsidRPr="00415CD3">
              <w:rPr>
                <w:rFonts w:ascii="Verdana" w:eastAsia="Calibri" w:hAnsi="Verdana" w:cs="Arial"/>
              </w:rPr>
              <w:t>Secretarios</w:t>
            </w:r>
            <w:proofErr w:type="gramEnd"/>
            <w:r w:rsidRPr="00415CD3">
              <w:rPr>
                <w:rFonts w:ascii="Verdana" w:eastAsia="Calibri" w:hAnsi="Verdana" w:cs="Arial"/>
              </w:rPr>
              <w:t xml:space="preserve">, Gerentes y directores de Entidades Descentralizadas del orden Municipal, Departamental o Distrital, no podrán celebrar convenios interadministrativos para la ejecución de recursos públicos, dentro de los cuatro (4) meses anteriores a las elecciones. </w:t>
            </w:r>
          </w:p>
        </w:tc>
      </w:tr>
    </w:tbl>
    <w:p w14:paraId="79B582DE" w14:textId="77777777" w:rsidR="00516A89" w:rsidRPr="00515C0B" w:rsidRDefault="00516A89" w:rsidP="00516A89">
      <w:pPr>
        <w:tabs>
          <w:tab w:val="left" w:pos="142"/>
          <w:tab w:val="left" w:pos="284"/>
        </w:tabs>
        <w:spacing w:after="0" w:line="276" w:lineRule="auto"/>
        <w:jc w:val="both"/>
        <w:rPr>
          <w:rFonts w:ascii="Verdana" w:eastAsia="Century Gothic" w:hAnsi="Verdana" w:cs="Century Gothic"/>
          <w:b/>
          <w:bCs/>
        </w:rPr>
      </w:pPr>
    </w:p>
    <w:p w14:paraId="436A812C" w14:textId="77777777" w:rsidR="00516A89" w:rsidRPr="00515C0B" w:rsidRDefault="00516A89" w:rsidP="00516A89">
      <w:pPr>
        <w:tabs>
          <w:tab w:val="left" w:pos="142"/>
          <w:tab w:val="left" w:pos="284"/>
        </w:tabs>
        <w:spacing w:after="0" w:line="276" w:lineRule="auto"/>
        <w:jc w:val="both"/>
        <w:rPr>
          <w:rFonts w:ascii="Verdana" w:eastAsia="Century Gothic" w:hAnsi="Verdana" w:cs="Century Gothic"/>
          <w:b/>
          <w:bCs/>
        </w:rPr>
      </w:pPr>
      <w:r w:rsidRPr="00515C0B">
        <w:rPr>
          <w:rFonts w:ascii="Verdana" w:eastAsia="Century Gothic" w:hAnsi="Verdana" w:cs="Century Gothic"/>
          <w:b/>
          <w:bCs/>
        </w:rPr>
        <w:t>3. Razones de la respuesta:</w:t>
      </w:r>
    </w:p>
    <w:p w14:paraId="67EA5F01" w14:textId="77777777" w:rsidR="00516A89" w:rsidRPr="00515C0B" w:rsidRDefault="00516A89" w:rsidP="00516A89">
      <w:pPr>
        <w:spacing w:after="0" w:line="276" w:lineRule="auto"/>
        <w:jc w:val="both"/>
        <w:rPr>
          <w:rFonts w:ascii="Verdana" w:eastAsia="Calibri" w:hAnsi="Verdana" w:cs="Arial"/>
          <w:lang w:val="es-ES"/>
        </w:rPr>
      </w:pPr>
    </w:p>
    <w:p w14:paraId="254BAA64" w14:textId="77777777" w:rsidR="00516A89" w:rsidRDefault="00516A89" w:rsidP="00516A89">
      <w:pPr>
        <w:spacing w:after="0" w:line="276" w:lineRule="auto"/>
        <w:jc w:val="both"/>
        <w:rPr>
          <w:rFonts w:ascii="Verdana" w:eastAsia="Calibri" w:hAnsi="Verdana" w:cs="Arial"/>
          <w:lang w:val="es-ES"/>
        </w:rPr>
      </w:pPr>
      <w:r w:rsidRPr="00515C0B">
        <w:rPr>
          <w:rFonts w:ascii="Verdana" w:eastAsia="Calibri" w:hAnsi="Verdana" w:cs="Arial"/>
          <w:lang w:val="es-ES"/>
        </w:rPr>
        <w:t xml:space="preserve">Lo anterior se sustenta en las siguientes consideraciones: </w:t>
      </w:r>
      <w:bookmarkStart w:id="1" w:name="_Hlk98159554"/>
      <w:bookmarkStart w:id="2" w:name="_Hlk97545054"/>
    </w:p>
    <w:p w14:paraId="62D48FEC" w14:textId="77777777" w:rsidR="00516A89" w:rsidRDefault="00516A89" w:rsidP="00516A89">
      <w:pPr>
        <w:spacing w:after="0" w:line="276" w:lineRule="auto"/>
        <w:jc w:val="both"/>
        <w:rPr>
          <w:rFonts w:ascii="Verdana" w:eastAsia="Calibri" w:hAnsi="Verdana" w:cs="Arial"/>
          <w:lang w:val="es-ES"/>
        </w:rPr>
      </w:pPr>
    </w:p>
    <w:p w14:paraId="3B5CB2C1" w14:textId="05B2E5B6" w:rsidR="008F148F" w:rsidRPr="00F10E52" w:rsidRDefault="008834DB" w:rsidP="008F148F">
      <w:pPr>
        <w:tabs>
          <w:tab w:val="left" w:pos="426"/>
        </w:tabs>
        <w:spacing w:after="120" w:line="276" w:lineRule="auto"/>
        <w:jc w:val="both"/>
        <w:rPr>
          <w:rFonts w:ascii="Verdana" w:eastAsia="Times New Roman" w:hAnsi="Verdana" w:cs="Arial"/>
          <w:bCs/>
          <w:lang w:eastAsia="es-CO"/>
        </w:rPr>
      </w:pPr>
      <w:r>
        <w:rPr>
          <w:rFonts w:ascii="Verdana" w:eastAsia="Calibri" w:hAnsi="Verdana" w:cs="Arial"/>
          <w:bCs/>
        </w:rPr>
        <w:t xml:space="preserve">i) </w:t>
      </w:r>
      <w:r w:rsidR="008F148F" w:rsidRPr="00F10E52">
        <w:rPr>
          <w:rFonts w:ascii="Verdana" w:eastAsia="Calibri" w:hAnsi="Verdana" w:cs="Arial"/>
          <w:bCs/>
        </w:rPr>
        <w:t>El ordenamiento jurídico colombiano contempla previsiones claras para evitar la obtención de beneficios personales en asuntos propios de la administración pública</w:t>
      </w:r>
      <w:r w:rsidR="008F148F" w:rsidRPr="00F10E52">
        <w:rPr>
          <w:rFonts w:ascii="Verdana" w:eastAsia="Calibri" w:hAnsi="Verdana" w:cs="Arial"/>
          <w:bCs/>
          <w:i/>
          <w:iCs/>
        </w:rPr>
        <w:t xml:space="preserve">. </w:t>
      </w:r>
      <w:r w:rsidR="008F148F" w:rsidRPr="00F10E52">
        <w:rPr>
          <w:rFonts w:ascii="Verdana" w:eastAsia="Calibri" w:hAnsi="Verdana" w:cs="Arial"/>
          <w:bCs/>
        </w:rPr>
        <w:t xml:space="preserve">Por ejemplo, el artículo 127 de la Constitución Política establece una prohibición contractual a los servidores públicos y en cuanto a aspectos políticos </w:t>
      </w:r>
      <w:r w:rsidR="008F148F" w:rsidRPr="00F10E52">
        <w:rPr>
          <w:rFonts w:ascii="Verdana" w:eastAsia="Calibri" w:hAnsi="Verdana" w:cs="Arial"/>
          <w:bCs/>
        </w:rPr>
        <w:lastRenderedPageBreak/>
        <w:t>establece restricciones a ciertos empleados del Estado, incluso en época no electoral</w:t>
      </w:r>
      <w:r w:rsidR="008F148F" w:rsidRPr="00F10E52">
        <w:rPr>
          <w:rStyle w:val="Refdenotaalpie"/>
          <w:rFonts w:ascii="Verdana" w:eastAsia="Calibri" w:hAnsi="Verdana" w:cs="Arial"/>
          <w:bCs/>
        </w:rPr>
        <w:footnoteReference w:id="1"/>
      </w:r>
      <w:r w:rsidR="008F148F" w:rsidRPr="00F10E52">
        <w:rPr>
          <w:rFonts w:ascii="Verdana" w:eastAsia="Calibri" w:hAnsi="Verdana" w:cs="Arial"/>
          <w:bCs/>
        </w:rPr>
        <w:t xml:space="preserve">. </w:t>
      </w:r>
    </w:p>
    <w:p w14:paraId="6E426130" w14:textId="77777777" w:rsidR="008F148F" w:rsidRDefault="008F148F" w:rsidP="008F148F">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03976ECB" w14:textId="77777777" w:rsidR="008F148F" w:rsidRDefault="008F148F" w:rsidP="008F148F">
      <w:pPr>
        <w:tabs>
          <w:tab w:val="left" w:pos="426"/>
        </w:tabs>
        <w:spacing w:before="120"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63821B10" w14:textId="77777777" w:rsidR="008F148F" w:rsidRPr="00F10E52" w:rsidRDefault="008F148F" w:rsidP="008F148F">
      <w:pPr>
        <w:tabs>
          <w:tab w:val="left" w:pos="426"/>
        </w:tabs>
        <w:spacing w:after="0" w:line="276" w:lineRule="auto"/>
        <w:ind w:firstLine="709"/>
        <w:jc w:val="both"/>
        <w:rPr>
          <w:rFonts w:ascii="Verdana" w:eastAsia="Times New Roman" w:hAnsi="Verdana" w:cs="Arial"/>
          <w:bCs/>
          <w:lang w:eastAsia="es-CO"/>
        </w:rPr>
      </w:pPr>
    </w:p>
    <w:p w14:paraId="1155334B" w14:textId="77777777" w:rsidR="008F148F" w:rsidRPr="006A51F6" w:rsidRDefault="008F148F" w:rsidP="008F148F">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p>
    <w:p w14:paraId="0C9D8F1A" w14:textId="77777777" w:rsidR="008F148F" w:rsidRDefault="008F148F" w:rsidP="008F148F">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13879D88" w14:textId="77777777" w:rsidR="008F148F" w:rsidRPr="009E6EDF" w:rsidRDefault="008F148F" w:rsidP="008F148F">
      <w:pPr>
        <w:spacing w:after="0" w:line="240" w:lineRule="auto"/>
        <w:ind w:left="709" w:right="709"/>
        <w:jc w:val="both"/>
        <w:rPr>
          <w:rFonts w:ascii="Verdana" w:eastAsia="Times New Roman" w:hAnsi="Verdana" w:cs="Arial"/>
          <w:bCs/>
          <w:sz w:val="20"/>
          <w:szCs w:val="20"/>
          <w:lang w:eastAsia="es-CO"/>
        </w:rPr>
      </w:pPr>
    </w:p>
    <w:p w14:paraId="54B33004" w14:textId="77777777" w:rsidR="008F148F" w:rsidRDefault="008F148F" w:rsidP="008F148F">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E6EDF">
        <w:rPr>
          <w:rStyle w:val="Refdenotaalpie"/>
          <w:rFonts w:ascii="Verdana" w:hAnsi="Verdana" w:cs="Arial"/>
          <w:sz w:val="20"/>
          <w:szCs w:val="20"/>
        </w:rPr>
        <w:footnoteReference w:id="3"/>
      </w:r>
      <w:r w:rsidRPr="009E6EDF">
        <w:rPr>
          <w:rFonts w:ascii="Verdana" w:eastAsia="Times New Roman" w:hAnsi="Verdana" w:cs="Arial"/>
          <w:bCs/>
          <w:sz w:val="20"/>
          <w:szCs w:val="20"/>
          <w:lang w:eastAsia="es-CO"/>
        </w:rPr>
        <w:t xml:space="preserve"> </w:t>
      </w:r>
      <w:r w:rsidRPr="006A51F6">
        <w:rPr>
          <w:rFonts w:ascii="Verdana" w:eastAsia="Times New Roman" w:hAnsi="Verdana" w:cs="Arial"/>
          <w:bCs/>
          <w:sz w:val="20"/>
          <w:szCs w:val="20"/>
          <w:lang w:eastAsia="es-CO"/>
        </w:rPr>
        <w:t>[…]</w:t>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p>
    <w:p w14:paraId="7945D979" w14:textId="77777777" w:rsidR="008F148F" w:rsidRPr="009E6EDF" w:rsidRDefault="008F148F" w:rsidP="003821A3">
      <w:pPr>
        <w:spacing w:after="0" w:line="276" w:lineRule="auto"/>
        <w:ind w:left="709" w:right="709"/>
        <w:jc w:val="both"/>
        <w:rPr>
          <w:rFonts w:ascii="Verdana" w:eastAsia="Times New Roman" w:hAnsi="Verdana" w:cs="Arial"/>
          <w:bCs/>
          <w:lang w:eastAsia="es-CO"/>
        </w:rPr>
      </w:pPr>
    </w:p>
    <w:p w14:paraId="07B4F6DD" w14:textId="77777777" w:rsidR="008F148F" w:rsidRPr="00F10E52" w:rsidRDefault="008F148F" w:rsidP="003821A3">
      <w:pPr>
        <w:spacing w:after="0" w:line="276" w:lineRule="auto"/>
        <w:ind w:firstLine="709"/>
        <w:jc w:val="both"/>
        <w:rPr>
          <w:rFonts w:ascii="Verdana" w:eastAsia="Times New Roman" w:hAnsi="Verdana" w:cs="Arial"/>
          <w:bCs/>
          <w:lang w:eastAsia="es-CO"/>
        </w:rPr>
      </w:pPr>
      <w:bookmarkStart w:id="3" w:name="_Hlk78818186"/>
      <w:r w:rsidRPr="00F10E52">
        <w:rPr>
          <w:rFonts w:ascii="Verdana" w:eastAsia="Times New Roman" w:hAnsi="Verdana" w:cs="Arial"/>
          <w:bCs/>
          <w:lang w:eastAsia="es-CO"/>
        </w:rPr>
        <w:lastRenderedPageBreak/>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3"/>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46F3229" w14:textId="77777777" w:rsidR="008F148F" w:rsidRPr="006A51F6" w:rsidRDefault="008F148F" w:rsidP="003821A3">
      <w:pPr>
        <w:spacing w:after="0" w:line="276" w:lineRule="auto"/>
        <w:ind w:left="709" w:right="709"/>
        <w:jc w:val="both"/>
        <w:rPr>
          <w:rFonts w:ascii="Verdana" w:eastAsia="Times New Roman" w:hAnsi="Verdana" w:cs="Arial"/>
          <w:bCs/>
          <w:lang w:eastAsia="es-CO"/>
        </w:rPr>
      </w:pPr>
    </w:p>
    <w:p w14:paraId="78E4195F" w14:textId="03C334B7" w:rsidR="008F148F" w:rsidRDefault="00067CF3" w:rsidP="008F148F">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008F148F"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008F148F" w:rsidRPr="009B20C5">
        <w:rPr>
          <w:rFonts w:ascii="Verdana" w:eastAsia="Times New Roman" w:hAnsi="Verdana" w:cs="Arial"/>
          <w:bCs/>
          <w:sz w:val="20"/>
          <w:szCs w:val="20"/>
          <w:lang w:eastAsia="es-CO"/>
        </w:rPr>
        <w:t>legis</w:t>
      </w:r>
      <w:proofErr w:type="spellEnd"/>
      <w:r w:rsidR="008F148F"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1AE407B" w14:textId="77777777" w:rsidR="008F148F" w:rsidRPr="009B20C5" w:rsidRDefault="008F148F" w:rsidP="008F148F">
      <w:pPr>
        <w:spacing w:after="0" w:line="240" w:lineRule="auto"/>
        <w:ind w:left="709" w:right="709"/>
        <w:jc w:val="both"/>
        <w:rPr>
          <w:rFonts w:ascii="Verdana" w:eastAsia="Times New Roman" w:hAnsi="Verdana" w:cs="Arial"/>
          <w:bCs/>
          <w:sz w:val="20"/>
          <w:szCs w:val="20"/>
          <w:lang w:eastAsia="es-CO"/>
        </w:rPr>
      </w:pPr>
    </w:p>
    <w:p w14:paraId="74EC88F8" w14:textId="03F1F482" w:rsidR="008F148F" w:rsidRPr="009B20C5" w:rsidRDefault="008F148F" w:rsidP="008F148F">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067CF3">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314F8D94" w14:textId="77777777" w:rsidR="008F148F" w:rsidRDefault="008F148F" w:rsidP="008F148F">
      <w:pPr>
        <w:spacing w:after="0" w:line="276"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53F7276E" w14:textId="77777777" w:rsidR="008F148F" w:rsidRDefault="008F148F" w:rsidP="008F148F">
      <w:pPr>
        <w:spacing w:after="120" w:line="276" w:lineRule="auto"/>
        <w:ind w:firstLine="708"/>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4"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w:t>
      </w:r>
      <w:r w:rsidRPr="00F10E52">
        <w:rPr>
          <w:rFonts w:ascii="Verdana" w:eastAsia="Arial" w:hAnsi="Verdana" w:cs="Arial"/>
          <w:lang w:val="es-ES" w:eastAsia="es-ES" w:bidi="es-ES"/>
        </w:rPr>
        <w:lastRenderedPageBreak/>
        <w:t xml:space="preserve">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BB0776F" w14:textId="77777777" w:rsidR="008F148F" w:rsidRPr="00F10E52" w:rsidRDefault="008F148F" w:rsidP="008F148F">
      <w:pPr>
        <w:spacing w:after="120" w:line="276" w:lineRule="auto"/>
        <w:ind w:firstLine="708"/>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4"/>
    </w:p>
    <w:p w14:paraId="4BE2BA4F" w14:textId="77777777" w:rsidR="008F148F" w:rsidRPr="00F10E52" w:rsidRDefault="008F148F" w:rsidP="008F148F">
      <w:pPr>
        <w:spacing w:after="120" w:line="276" w:lineRule="auto"/>
        <w:ind w:firstLine="708"/>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sidRPr="00F10E52">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5412527F" w14:textId="77777777" w:rsidR="008F148F" w:rsidRDefault="008F148F" w:rsidP="008F148F">
      <w:pPr>
        <w:widowControl w:val="0"/>
        <w:autoSpaceDE w:val="0"/>
        <w:autoSpaceDN w:val="0"/>
        <w:spacing w:after="120" w:line="276" w:lineRule="auto"/>
        <w:ind w:firstLine="708"/>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5DF3BE42" w14:textId="77777777" w:rsidR="008F148F" w:rsidRPr="00F10E52" w:rsidRDefault="008F148F" w:rsidP="008F148F">
      <w:pPr>
        <w:widowControl w:val="0"/>
        <w:autoSpaceDE w:val="0"/>
        <w:autoSpaceDN w:val="0"/>
        <w:spacing w:before="120" w:after="0" w:line="276" w:lineRule="auto"/>
        <w:ind w:right="113" w:firstLine="708"/>
        <w:jc w:val="both"/>
        <w:rPr>
          <w:rFonts w:ascii="Verdana" w:eastAsia="Arial" w:hAnsi="Verdana" w:cs="Arial"/>
          <w:lang w:val="es-ES" w:eastAsia="es-ES" w:bidi="es-ES"/>
        </w:rPr>
      </w:pPr>
      <w:r w:rsidRPr="00F10E52">
        <w:rPr>
          <w:rFonts w:ascii="Verdana" w:eastAsia="Arial" w:hAnsi="Verdana" w:cs="Arial"/>
          <w:lang w:val="es-ES" w:eastAsia="es-ES" w:bidi="es-ES"/>
        </w:rPr>
        <w:lastRenderedPageBreak/>
        <w:t>La Sala de Consulta y Servicio Civil del Consejo de Estado ha aclarado la distinción en la aplicación de las prohibiciones de la Ley 996 de 2005, dependiendo del tipo de elección que se trate. Al respecto, considera que:</w:t>
      </w:r>
    </w:p>
    <w:p w14:paraId="6AD6C7EF" w14:textId="77777777" w:rsidR="008F148F" w:rsidRPr="006A51F6" w:rsidRDefault="008F148F" w:rsidP="008F148F">
      <w:pPr>
        <w:widowControl w:val="0"/>
        <w:autoSpaceDE w:val="0"/>
        <w:autoSpaceDN w:val="0"/>
        <w:spacing w:after="0" w:line="276" w:lineRule="auto"/>
        <w:ind w:left="709" w:right="709"/>
        <w:jc w:val="both"/>
        <w:rPr>
          <w:rFonts w:ascii="Verdana" w:eastAsia="Arial" w:hAnsi="Verdana" w:cs="Arial"/>
          <w:lang w:val="es-ES" w:eastAsia="es-ES" w:bidi="es-ES"/>
        </w:rPr>
      </w:pPr>
    </w:p>
    <w:p w14:paraId="4CC1137C" w14:textId="77777777" w:rsidR="008F148F" w:rsidRPr="009B20C5" w:rsidRDefault="008F148F" w:rsidP="008F148F">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9B20C5">
        <w:rPr>
          <w:rFonts w:ascii="Verdana" w:eastAsia="Arial" w:hAnsi="Verdana" w:cs="Arial"/>
          <w:sz w:val="20"/>
          <w:szCs w:val="20"/>
          <w:lang w:val="es-ES" w:eastAsia="es-ES" w:bidi="es-ES"/>
        </w:rPr>
        <w:t>se integran parcialmente</w:t>
      </w:r>
      <w:bookmarkEnd w:id="7"/>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26155909" w14:textId="77777777" w:rsidR="008F148F" w:rsidRDefault="008F148F" w:rsidP="008F148F">
      <w:pPr>
        <w:spacing w:after="0" w:line="276" w:lineRule="auto"/>
        <w:ind w:firstLine="709"/>
        <w:jc w:val="both"/>
        <w:rPr>
          <w:rFonts w:ascii="Verdana" w:eastAsia="Arial" w:hAnsi="Verdana" w:cs="Arial"/>
          <w:lang w:val="es-ES" w:eastAsia="es-ES" w:bidi="es-ES"/>
        </w:rPr>
      </w:pPr>
    </w:p>
    <w:p w14:paraId="1C0571B5" w14:textId="77777777" w:rsidR="008F148F" w:rsidRPr="00F10E52" w:rsidRDefault="008F148F" w:rsidP="008F148F">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8" w:name="_Hlk99438241"/>
      <w:r w:rsidRPr="00F10E52">
        <w:rPr>
          <w:rFonts w:ascii="Verdana" w:eastAsia="Arial" w:hAnsi="Verdana" w:cs="Arial"/>
          <w:lang w:val="es-ES" w:eastAsia="es-ES" w:bidi="es-ES"/>
        </w:rPr>
        <w:t xml:space="preserve">, </w:t>
      </w:r>
      <w:bookmarkStart w:id="9" w:name="_Hlk77236420"/>
      <w:bookmarkStart w:id="10" w:name="_Hlk78818435"/>
      <w:bookmarkStart w:id="11"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8"/>
    <w:bookmarkEnd w:id="10"/>
    <w:p w14:paraId="17E7F284" w14:textId="77777777" w:rsidR="008F148F" w:rsidRPr="00F10E52" w:rsidRDefault="008F148F" w:rsidP="008F148F">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lastRenderedPageBreak/>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1"/>
    <w:p w14:paraId="384F698D" w14:textId="77777777" w:rsidR="008F148F" w:rsidRDefault="008F148F" w:rsidP="008F148F">
      <w:pPr>
        <w:spacing w:after="120" w:line="276" w:lineRule="auto"/>
        <w:ind w:firstLine="708"/>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9911785" w14:textId="4D35A37A" w:rsidR="008F148F" w:rsidRPr="00F10E52" w:rsidRDefault="008F148F" w:rsidP="008F148F">
      <w:pPr>
        <w:spacing w:after="0" w:line="276" w:lineRule="auto"/>
        <w:ind w:firstLine="708"/>
        <w:jc w:val="both"/>
        <w:rPr>
          <w:rFonts w:ascii="Verdana" w:eastAsia="Arial" w:hAnsi="Verdana" w:cs="Arial"/>
          <w:lang w:val="es-ES" w:eastAsia="es-ES" w:bidi="es-ES"/>
        </w:rPr>
      </w:pPr>
      <w:r>
        <w:rPr>
          <w:rFonts w:ascii="Verdana" w:eastAsia="Times New Roman" w:hAnsi="Verdana" w:cs="Arial"/>
          <w:bCs/>
          <w:lang w:val="es-ES" w:eastAsia="es-CO"/>
        </w:rPr>
        <w:t>Teniendo en cuenta el objeto de la consulta, a continuación, se hará un análisis sobre la aplicación de la</w:t>
      </w:r>
      <w:r w:rsidR="000019FC">
        <w:rPr>
          <w:rFonts w:ascii="Verdana" w:eastAsia="Times New Roman" w:hAnsi="Verdana" w:cs="Arial"/>
          <w:bCs/>
          <w:lang w:val="es-ES" w:eastAsia="es-CO"/>
        </w:rPr>
        <w:t>s</w:t>
      </w:r>
      <w:r>
        <w:rPr>
          <w:rFonts w:ascii="Verdana" w:eastAsia="Times New Roman" w:hAnsi="Verdana" w:cs="Arial"/>
          <w:bCs/>
          <w:lang w:val="es-ES" w:eastAsia="es-CO"/>
        </w:rPr>
        <w:t xml:space="preserve"> prohibici</w:t>
      </w:r>
      <w:r w:rsidR="000019FC">
        <w:rPr>
          <w:rFonts w:ascii="Verdana" w:eastAsia="Times New Roman" w:hAnsi="Verdana" w:cs="Arial"/>
          <w:bCs/>
          <w:lang w:val="es-ES" w:eastAsia="es-CO"/>
        </w:rPr>
        <w:t>o</w:t>
      </w:r>
      <w:r>
        <w:rPr>
          <w:rFonts w:ascii="Verdana" w:eastAsia="Times New Roman" w:hAnsi="Verdana" w:cs="Arial"/>
          <w:bCs/>
          <w:lang w:val="es-ES" w:eastAsia="es-CO"/>
        </w:rPr>
        <w:t>n</w:t>
      </w:r>
      <w:r w:rsidR="000019FC">
        <w:rPr>
          <w:rFonts w:ascii="Verdana" w:eastAsia="Times New Roman" w:hAnsi="Verdana" w:cs="Arial"/>
          <w:bCs/>
          <w:lang w:val="es-ES" w:eastAsia="es-CO"/>
        </w:rPr>
        <w:t>es</w:t>
      </w:r>
      <w:r>
        <w:rPr>
          <w:rFonts w:ascii="Verdana" w:eastAsia="Times New Roman" w:hAnsi="Verdana" w:cs="Arial"/>
          <w:bCs/>
          <w:lang w:val="es-ES" w:eastAsia="es-CO"/>
        </w:rPr>
        <w:t xml:space="preserve"> contenida</w:t>
      </w:r>
      <w:r w:rsidR="000019FC">
        <w:rPr>
          <w:rFonts w:ascii="Verdana" w:eastAsia="Times New Roman" w:hAnsi="Verdana" w:cs="Arial"/>
          <w:bCs/>
          <w:lang w:val="es-ES" w:eastAsia="es-CO"/>
        </w:rPr>
        <w:t>s</w:t>
      </w:r>
      <w:r>
        <w:rPr>
          <w:rFonts w:ascii="Verdana" w:eastAsia="Times New Roman" w:hAnsi="Verdana" w:cs="Arial"/>
          <w:bCs/>
          <w:lang w:val="es-ES" w:eastAsia="es-CO"/>
        </w:rPr>
        <w:t xml:space="preserve"> en el artículo 33</w:t>
      </w:r>
      <w:r w:rsidR="000019FC">
        <w:rPr>
          <w:rFonts w:ascii="Verdana" w:eastAsia="Times New Roman" w:hAnsi="Verdana" w:cs="Arial"/>
          <w:bCs/>
          <w:lang w:val="es-ES" w:eastAsia="es-CO"/>
        </w:rPr>
        <w:t xml:space="preserve"> y el parágrafo del artículo 38 </w:t>
      </w:r>
      <w:r w:rsidR="000019FC" w:rsidRPr="007E4B3E">
        <w:rPr>
          <w:rFonts w:ascii="Verdana" w:eastAsia="Times New Roman" w:hAnsi="Verdana" w:cs="Arial"/>
          <w:bCs/>
          <w:i/>
          <w:iCs/>
          <w:lang w:val="es-ES" w:eastAsia="es-CO"/>
        </w:rPr>
        <w:t>ibidem</w:t>
      </w:r>
      <w:r>
        <w:rPr>
          <w:rFonts w:ascii="Verdana" w:eastAsia="Times New Roman" w:hAnsi="Verdana" w:cs="Arial"/>
          <w:bCs/>
          <w:lang w:val="es-ES" w:eastAsia="es-CO"/>
        </w:rPr>
        <w:t xml:space="preserve"> relacionada con su ámbito de aplicación y sus destinatarios. </w:t>
      </w:r>
    </w:p>
    <w:p w14:paraId="47424040" w14:textId="77777777" w:rsidR="00EE2983" w:rsidRDefault="00EE2983" w:rsidP="007E4B3E">
      <w:pPr>
        <w:spacing w:after="0" w:line="276" w:lineRule="auto"/>
        <w:jc w:val="both"/>
        <w:rPr>
          <w:rFonts w:ascii="Verdana" w:hAnsi="Verdana" w:cs="Arial"/>
          <w:bCs/>
          <w:lang w:eastAsia="x-none"/>
        </w:rPr>
      </w:pPr>
    </w:p>
    <w:p w14:paraId="0FA24986" w14:textId="3F5592FD" w:rsidR="00516A89" w:rsidRPr="00195E24" w:rsidRDefault="00EE2983" w:rsidP="008612EF">
      <w:pPr>
        <w:spacing w:after="0" w:line="276" w:lineRule="auto"/>
        <w:jc w:val="both"/>
        <w:rPr>
          <w:rFonts w:ascii="Verdana" w:hAnsi="Verdana" w:cs="Arial"/>
          <w:bCs/>
          <w:lang w:eastAsia="es-CO"/>
        </w:rPr>
      </w:pPr>
      <w:proofErr w:type="spellStart"/>
      <w:r>
        <w:rPr>
          <w:rFonts w:ascii="Verdana" w:hAnsi="Verdana" w:cs="Arial"/>
          <w:bCs/>
          <w:lang w:eastAsia="x-none"/>
        </w:rPr>
        <w:t>ii</w:t>
      </w:r>
      <w:proofErr w:type="spellEnd"/>
      <w:r>
        <w:rPr>
          <w:rFonts w:ascii="Verdana" w:hAnsi="Verdana" w:cs="Arial"/>
          <w:bCs/>
          <w:lang w:eastAsia="x-none"/>
        </w:rPr>
        <w:t xml:space="preserve">) </w:t>
      </w:r>
      <w:r w:rsidR="00516A89" w:rsidRPr="00195E24">
        <w:rPr>
          <w:rFonts w:ascii="Verdana" w:hAnsi="Verdana" w:cs="Arial"/>
          <w:bCs/>
          <w:lang w:eastAsia="x-none"/>
        </w:rPr>
        <w:t xml:space="preserve">El ámbito material de la prohibición contenida </w:t>
      </w:r>
      <w:bookmarkStart w:id="12" w:name="_Hlk75628761"/>
      <w:r w:rsidR="00516A89" w:rsidRPr="00195E24">
        <w:rPr>
          <w:rFonts w:ascii="Verdana" w:hAnsi="Verdana" w:cs="Arial"/>
          <w:bCs/>
          <w:lang w:eastAsia="x-none"/>
        </w:rPr>
        <w:t xml:space="preserve">en el artículo 33 de la ley 996 de 2005 </w:t>
      </w:r>
      <w:bookmarkEnd w:id="12"/>
      <w:r w:rsidR="00516A89" w:rsidRPr="00195E24">
        <w:rPr>
          <w:rFonts w:ascii="Verdana" w:hAnsi="Verdana" w:cs="Arial"/>
          <w:bCs/>
          <w:lang w:eastAsia="x-none"/>
        </w:rPr>
        <w:t xml:space="preserve">está delimitado por la expresión </w:t>
      </w:r>
      <w:r w:rsidR="00516A89" w:rsidRPr="00195E24">
        <w:rPr>
          <w:rFonts w:ascii="Verdana" w:eastAsia="Calibri" w:hAnsi="Verdana" w:cs="Arial"/>
          <w:bCs/>
          <w:i/>
          <w:iCs/>
          <w:sz w:val="20"/>
          <w:szCs w:val="20"/>
        </w:rPr>
        <w:t>“</w:t>
      </w:r>
      <w:r w:rsidR="00516A89" w:rsidRPr="00195E24">
        <w:rPr>
          <w:rFonts w:ascii="Verdana" w:hAnsi="Verdana" w:cs="Arial"/>
          <w:bCs/>
          <w:i/>
          <w:iCs/>
          <w:lang w:eastAsia="x-none"/>
        </w:rPr>
        <w:t>queda prohibida la contratación directa</w:t>
      </w:r>
      <w:r w:rsidR="00516A89" w:rsidRPr="00195E24">
        <w:rPr>
          <w:rFonts w:ascii="Verdana" w:hAnsi="Verdana" w:cs="Arial"/>
          <w:sz w:val="20"/>
          <w:szCs w:val="20"/>
        </w:rPr>
        <w:t>”</w:t>
      </w:r>
      <w:r w:rsidR="00516A89" w:rsidRPr="00195E24">
        <w:rPr>
          <w:rFonts w:ascii="Verdana" w:hAnsi="Verdana" w:cs="Arial"/>
          <w:bCs/>
          <w:lang w:eastAsia="x-none"/>
        </w:rPr>
        <w:t>.</w:t>
      </w:r>
      <w:r w:rsidR="00516A89"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0E359FA0" w14:textId="77777777" w:rsidR="008612EF" w:rsidRPr="00195E24" w:rsidRDefault="008612EF" w:rsidP="007E4B3E">
      <w:pPr>
        <w:spacing w:after="0" w:line="276" w:lineRule="auto"/>
        <w:jc w:val="both"/>
        <w:rPr>
          <w:rFonts w:ascii="Verdana" w:hAnsi="Verdana" w:cs="Arial"/>
          <w:bCs/>
          <w:lang w:eastAsia="es-CO"/>
        </w:rPr>
      </w:pPr>
    </w:p>
    <w:p w14:paraId="5FEB45A9" w14:textId="77777777" w:rsidR="00516A89" w:rsidRDefault="00516A89" w:rsidP="008612EF">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 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5800D0">
        <w:rPr>
          <w:rFonts w:ascii="Verdana" w:hAnsi="Verdana" w:cs="Arial"/>
          <w:sz w:val="20"/>
          <w:szCs w:val="20"/>
        </w:rPr>
        <w:lastRenderedPageBreak/>
        <w:t>2, ley 1150 de 2007), y cumpliendo siempre los principios que rigen la contratación pública</w:t>
      </w:r>
      <w:r w:rsidRPr="005800D0">
        <w:rPr>
          <w:rFonts w:ascii="Verdana" w:hAnsi="Verdana" w:cs="Arial"/>
          <w:sz w:val="20"/>
          <w:szCs w:val="20"/>
          <w:vertAlign w:val="superscript"/>
          <w:lang w:eastAsia="es-CO"/>
        </w:rPr>
        <w:footnoteReference w:id="10"/>
      </w:r>
      <w:r w:rsidRPr="005800D0">
        <w:rPr>
          <w:rFonts w:ascii="Verdana" w:hAnsi="Verdana" w:cs="Arial"/>
          <w:sz w:val="20"/>
          <w:szCs w:val="20"/>
        </w:rPr>
        <w:t>.</w:t>
      </w:r>
    </w:p>
    <w:p w14:paraId="08460CE0" w14:textId="77777777" w:rsidR="008612EF" w:rsidRPr="005800D0" w:rsidRDefault="008612EF" w:rsidP="005800D0">
      <w:pPr>
        <w:spacing w:after="0" w:line="240" w:lineRule="auto"/>
        <w:ind w:left="709" w:right="709"/>
        <w:jc w:val="both"/>
        <w:rPr>
          <w:rFonts w:ascii="Verdana" w:hAnsi="Verdana" w:cs="Arial"/>
          <w:sz w:val="20"/>
          <w:szCs w:val="20"/>
        </w:rPr>
      </w:pPr>
    </w:p>
    <w:p w14:paraId="5FDC5622" w14:textId="77777777" w:rsidR="00516A89" w:rsidRDefault="00516A89" w:rsidP="008612EF">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que para los efectos de la ley de garantías, y dada su finalidad, el enunciado ´contratación directa´ es sinónimo </w:t>
      </w:r>
      <w:bookmarkStart w:id="13" w:name="_Hlk75741738"/>
      <w:r w:rsidRPr="005800D0">
        <w:rPr>
          <w:rFonts w:ascii="Verdana" w:hAnsi="Verdana" w:cs="Arial"/>
          <w:sz w:val="20"/>
          <w:szCs w:val="20"/>
        </w:rPr>
        <w:t xml:space="preserve">de cualquier sistema que no implique convocatoria pública y posibilidad de pluralidad de oferentes, </w:t>
      </w:r>
      <w:bookmarkEnd w:id="13"/>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1"/>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800D0">
        <w:rPr>
          <w:rFonts w:ascii="Verdana" w:hAnsi="Verdana" w:cs="Arial"/>
          <w:sz w:val="20"/>
          <w:szCs w:val="20"/>
          <w:vertAlign w:val="superscript"/>
          <w:lang w:eastAsia="es-CO"/>
        </w:rPr>
        <w:footnoteReference w:id="12"/>
      </w:r>
      <w:r w:rsidRPr="005800D0">
        <w:rPr>
          <w:rFonts w:ascii="Verdana" w:hAnsi="Verdana" w:cs="Arial"/>
          <w:sz w:val="20"/>
          <w:szCs w:val="20"/>
        </w:rPr>
        <w:t xml:space="preserve"> .</w:t>
      </w:r>
    </w:p>
    <w:p w14:paraId="524365DE" w14:textId="77777777" w:rsidR="008612EF" w:rsidRPr="005800D0" w:rsidRDefault="008612EF" w:rsidP="005800D0">
      <w:pPr>
        <w:spacing w:after="0" w:line="276" w:lineRule="auto"/>
        <w:ind w:left="709" w:right="709"/>
        <w:jc w:val="both"/>
        <w:rPr>
          <w:rFonts w:ascii="Verdana" w:hAnsi="Verdana" w:cs="Arial"/>
        </w:rPr>
      </w:pPr>
    </w:p>
    <w:p w14:paraId="22E14C37" w14:textId="3FECEEC8" w:rsidR="00516A89" w:rsidRPr="00195E24" w:rsidRDefault="00516A89" w:rsidP="00516A89">
      <w:pPr>
        <w:spacing w:after="120" w:line="276" w:lineRule="auto"/>
        <w:ind w:firstLine="708"/>
        <w:jc w:val="both"/>
        <w:rPr>
          <w:rFonts w:ascii="Verdana" w:hAnsi="Verdana" w:cs="Arial"/>
          <w:bCs/>
          <w:lang w:eastAsia="x-none"/>
        </w:rPr>
      </w:pPr>
      <w:bookmarkStart w:id="15" w:name="_Hlk94521748"/>
      <w:r w:rsidRPr="00195E24">
        <w:rPr>
          <w:rFonts w:ascii="Verdana" w:hAnsi="Verdana" w:cs="Arial"/>
          <w:lang w:eastAsia="x-none"/>
        </w:rPr>
        <w:t xml:space="preserve">De acuerdo con el citado concepto, la prohibición del artículo 33 de la Ley de Garantías Electorales se refiere a </w:t>
      </w:r>
      <w:r w:rsidR="00F502BB">
        <w:rPr>
          <w:rFonts w:ascii="Verdana" w:hAnsi="Verdana" w:cs="Arial"/>
          <w:sz w:val="19"/>
          <w:szCs w:val="19"/>
          <w:lang w:eastAsia="en-GB"/>
        </w:rPr>
        <w:t>“</w:t>
      </w:r>
      <w:r w:rsidRPr="00195E24">
        <w:rPr>
          <w:rFonts w:ascii="Verdana" w:hAnsi="Verdana" w:cs="Arial"/>
          <w:lang w:eastAsia="x-none"/>
        </w:rPr>
        <w:t>cualquier sistema que no implique convocatoria pública y posibilidad de pluralidad de oferentes</w:t>
      </w:r>
      <w:r w:rsidR="008421D9">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3"/>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4"/>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5"/>
    <w:p w14:paraId="3835A91B" w14:textId="77777777" w:rsidR="00516A89" w:rsidRPr="00195E24" w:rsidRDefault="00516A89" w:rsidP="00516A89">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195E24">
        <w:rPr>
          <w:rFonts w:ascii="Verdana" w:hAnsi="Verdana" w:cs="Arial"/>
          <w:i/>
          <w:iCs/>
          <w:sz w:val="19"/>
          <w:szCs w:val="19"/>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w:t>
      </w:r>
      <w:r w:rsidRPr="00195E24">
        <w:rPr>
          <w:rFonts w:ascii="Verdana" w:hAnsi="Verdana" w:cs="Arial"/>
          <w:lang w:eastAsia="x-none"/>
        </w:rPr>
        <w:lastRenderedPageBreak/>
        <w:t>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5"/>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7DA54373" w14:textId="77777777" w:rsidR="00516A89" w:rsidRPr="00195E24" w:rsidRDefault="00516A89" w:rsidP="00516A89">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6"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6"/>
      <w:r w:rsidRPr="00195E24">
        <w:rPr>
          <w:rFonts w:ascii="Verdana" w:hAnsi="Verdana" w:cs="Arial"/>
          <w:vertAlign w:val="superscript"/>
          <w:lang w:eastAsia="x-none"/>
        </w:rPr>
        <w:footnoteReference w:id="16"/>
      </w:r>
      <w:r w:rsidRPr="00195E24">
        <w:rPr>
          <w:rFonts w:ascii="Verdana" w:hAnsi="Verdana" w:cs="Arial"/>
          <w:lang w:eastAsia="x-none"/>
        </w:rPr>
        <w:t xml:space="preserve">. </w:t>
      </w:r>
    </w:p>
    <w:p w14:paraId="4819A064" w14:textId="77777777" w:rsidR="00516A89" w:rsidRPr="00195E24" w:rsidRDefault="00516A89" w:rsidP="00516A89">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1A2B01DC" w14:textId="77777777" w:rsidR="00516A89" w:rsidRPr="00065D8F" w:rsidRDefault="00516A89" w:rsidP="00516A89">
      <w:pPr>
        <w:spacing w:after="120" w:line="276" w:lineRule="auto"/>
        <w:ind w:firstLine="709"/>
        <w:jc w:val="both"/>
        <w:rPr>
          <w:rFonts w:ascii="Arial" w:hAnsi="Arial" w:cs="Arial"/>
          <w:bCs/>
          <w:lang w:eastAsia="x-none"/>
        </w:rPr>
      </w:pPr>
      <w:bookmarkStart w:id="17"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065D8F">
        <w:rPr>
          <w:rFonts w:ascii="Arial" w:hAnsi="Arial" w:cs="Arial"/>
          <w:vertAlign w:val="superscript"/>
          <w:lang w:eastAsia="x-none"/>
        </w:rPr>
        <w:footnoteReference w:id="17"/>
      </w:r>
      <w:r w:rsidRPr="00065D8F">
        <w:rPr>
          <w:rFonts w:ascii="Arial" w:hAnsi="Arial" w:cs="Arial"/>
          <w:bCs/>
          <w:lang w:eastAsia="x-none"/>
        </w:rPr>
        <w:t>.</w:t>
      </w:r>
      <w:r w:rsidRPr="00065D8F">
        <w:rPr>
          <w:rFonts w:ascii="Arial" w:hAnsi="Arial" w:cs="Arial"/>
          <w:vertAlign w:val="superscript"/>
          <w:lang w:eastAsia="x-none"/>
        </w:rPr>
        <w:t xml:space="preserve"> </w:t>
      </w:r>
    </w:p>
    <w:bookmarkEnd w:id="17"/>
    <w:p w14:paraId="7EF30D1D" w14:textId="77777777" w:rsidR="00516A89" w:rsidRPr="00195E24" w:rsidRDefault="00516A89" w:rsidP="002D058C">
      <w:pPr>
        <w:spacing w:after="0" w:line="276" w:lineRule="auto"/>
        <w:ind w:firstLine="709"/>
        <w:jc w:val="both"/>
        <w:rPr>
          <w:rFonts w:ascii="Arial" w:hAnsi="Arial" w:cs="Arial"/>
          <w:lang w:eastAsia="x-none"/>
        </w:rPr>
      </w:pPr>
      <w:r w:rsidRPr="00195E24">
        <w:rPr>
          <w:rFonts w:ascii="Verdana"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195E24">
        <w:rPr>
          <w:rFonts w:ascii="Verdana" w:hAnsi="Verdana" w:cs="Arial"/>
          <w:lang w:eastAsia="x-none"/>
        </w:rPr>
        <w:t xml:space="preserve"> Por tanto, no son materia de la prohibición las demás modalidades de selección previstas </w:t>
      </w:r>
      <w:r w:rsidRPr="00195E24">
        <w:rPr>
          <w:rFonts w:ascii="Verdana" w:hAnsi="Verdana" w:cs="Arial"/>
          <w:lang w:eastAsia="x-none"/>
        </w:rPr>
        <w:lastRenderedPageBreak/>
        <w:t>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r w:rsidRPr="00065D8F">
        <w:rPr>
          <w:rFonts w:ascii="Arial" w:hAnsi="Arial" w:cs="Arial"/>
          <w:lang w:eastAsia="x-none"/>
        </w:rPr>
        <w:t>.</w:t>
      </w:r>
    </w:p>
    <w:p w14:paraId="1C7E0B4E" w14:textId="77777777" w:rsidR="002D058C" w:rsidRPr="00195E24" w:rsidRDefault="002D058C" w:rsidP="005800D0">
      <w:pPr>
        <w:spacing w:after="0" w:line="276" w:lineRule="auto"/>
        <w:ind w:firstLine="709"/>
        <w:jc w:val="both"/>
        <w:rPr>
          <w:rFonts w:ascii="Arial" w:hAnsi="Arial" w:cs="Arial"/>
          <w:lang w:eastAsia="x-none"/>
        </w:rPr>
      </w:pPr>
    </w:p>
    <w:p w14:paraId="79B75F75" w14:textId="1E01FACC" w:rsidR="000019FC" w:rsidRPr="005800D0" w:rsidRDefault="002D058C" w:rsidP="002D058C">
      <w:pPr>
        <w:spacing w:after="120" w:line="276" w:lineRule="auto"/>
        <w:jc w:val="both"/>
        <w:rPr>
          <w:rFonts w:ascii="Verdana" w:eastAsia="Times New Roman" w:hAnsi="Verdana" w:cs="Arial"/>
          <w:lang w:val="es-MX" w:eastAsia="x-none"/>
        </w:rPr>
      </w:pPr>
      <w:proofErr w:type="spellStart"/>
      <w:r w:rsidRPr="005800D0">
        <w:rPr>
          <w:rFonts w:ascii="Verdana" w:eastAsia="Arial" w:hAnsi="Verdana" w:cs="Arial"/>
          <w:lang w:val="es-ES" w:eastAsia="es-ES" w:bidi="es-ES"/>
        </w:rPr>
        <w:t>iii</w:t>
      </w:r>
      <w:proofErr w:type="spellEnd"/>
      <w:r w:rsidRPr="005800D0">
        <w:rPr>
          <w:rFonts w:ascii="Verdana" w:eastAsia="Arial" w:hAnsi="Verdana" w:cs="Arial"/>
          <w:lang w:val="es-ES" w:eastAsia="es-ES" w:bidi="es-ES"/>
        </w:rPr>
        <w:t>) Por otro lado,</w:t>
      </w:r>
      <w:r w:rsidR="000019FC" w:rsidRPr="005800D0">
        <w:rPr>
          <w:rFonts w:ascii="Verdana" w:eastAsia="Calibri" w:hAnsi="Verdana" w:cs="Arial"/>
          <w:lang w:eastAsia="es-ES" w:bidi="es-ES"/>
        </w:rPr>
        <w:t xml:space="preserve"> resulta necesario precisar el alcance de la prohibición </w:t>
      </w:r>
      <w:r w:rsidR="000019FC" w:rsidRPr="005800D0">
        <w:rPr>
          <w:rFonts w:ascii="Verdana" w:eastAsia="Arial" w:hAnsi="Verdana" w:cs="Arial"/>
          <w:lang w:val="es-ES" w:eastAsia="es-ES" w:bidi="es-ES"/>
        </w:rPr>
        <w:t>establecida en e</w:t>
      </w:r>
      <w:r w:rsidR="000019FC" w:rsidRPr="005800D0">
        <w:rPr>
          <w:rFonts w:ascii="Verdana" w:eastAsia="Calibri" w:hAnsi="Verdana" w:cs="Arial"/>
        </w:rPr>
        <w:t xml:space="preserve">l parágrafo del artículo 38 de la Ley 996 de 2005. La citada norma dispone que “[l]os Gobernadores, </w:t>
      </w:r>
      <w:proofErr w:type="gramStart"/>
      <w:r w:rsidR="000019FC" w:rsidRPr="005800D0">
        <w:rPr>
          <w:rFonts w:ascii="Verdana" w:eastAsia="Calibri" w:hAnsi="Verdana" w:cs="Arial"/>
        </w:rPr>
        <w:t>Alcaldes</w:t>
      </w:r>
      <w:proofErr w:type="gramEnd"/>
      <w:r w:rsidR="000019FC" w:rsidRPr="005800D0">
        <w:rPr>
          <w:rFonts w:ascii="Verdana" w:eastAsia="Calibri" w:hAnsi="Verdana" w:cs="Arial"/>
        </w:rPr>
        <w:t xml:space="preserve"> Municipales y/o Distritales, </w:t>
      </w:r>
      <w:proofErr w:type="gramStart"/>
      <w:r w:rsidR="000019FC" w:rsidRPr="005800D0">
        <w:rPr>
          <w:rFonts w:ascii="Verdana" w:eastAsia="Calibri" w:hAnsi="Verdana" w:cs="Arial"/>
        </w:rPr>
        <w:t>Secretarios</w:t>
      </w:r>
      <w:proofErr w:type="gramEnd"/>
      <w:r w:rsidR="000019FC" w:rsidRPr="005800D0">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000019FC" w:rsidRPr="005800D0">
        <w:rPr>
          <w:rFonts w:ascii="Verdana" w:eastAsia="Calibri" w:hAnsi="Verdana" w:cs="Arial"/>
          <w:i/>
          <w:iCs/>
        </w:rPr>
        <w:t>convenios interadministrativos</w:t>
      </w:r>
      <w:r w:rsidR="000019FC" w:rsidRPr="005800D0">
        <w:rPr>
          <w:rFonts w:ascii="Verdana" w:eastAsia="Calibri" w:hAnsi="Verdana" w:cs="Arial"/>
        </w:rPr>
        <w:t xml:space="preserve"> para la ejecución de recursos públicos”.</w:t>
      </w:r>
      <w:r w:rsidR="000019FC" w:rsidRPr="005800D0">
        <w:rPr>
          <w:rFonts w:ascii="Verdana" w:eastAsia="Times New Roman" w:hAnsi="Verdana" w:cs="Arial"/>
          <w:lang w:val="es-MX" w:eastAsia="x-none"/>
        </w:rPr>
        <w:t xml:space="preserve"> </w:t>
      </w:r>
      <w:bookmarkStart w:id="18" w:name="_Hlk99578153"/>
      <w:r w:rsidR="000019FC" w:rsidRPr="005800D0">
        <w:rPr>
          <w:rFonts w:ascii="Verdana" w:eastAsia="Times New Roman" w:hAnsi="Verdana" w:cs="Arial"/>
          <w:lang w:val="es-MX" w:eastAsia="x-none"/>
        </w:rPr>
        <w:t>[Énfasis fuera del texto original]</w:t>
      </w:r>
    </w:p>
    <w:p w14:paraId="0AD5F9F4" w14:textId="77777777" w:rsidR="000019FC" w:rsidRPr="005800D0" w:rsidRDefault="000019FC" w:rsidP="000019FC">
      <w:pPr>
        <w:spacing w:after="120" w:line="276" w:lineRule="auto"/>
        <w:ind w:firstLine="709"/>
        <w:jc w:val="both"/>
        <w:rPr>
          <w:rFonts w:ascii="Verdana" w:eastAsia="Calibri" w:hAnsi="Verdana" w:cs="Arial"/>
          <w:lang w:bidi="es-ES"/>
        </w:rPr>
      </w:pPr>
      <w:r w:rsidRPr="005800D0">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5800D0">
        <w:rPr>
          <w:rFonts w:ascii="Verdana" w:eastAsia="Arial" w:hAnsi="Verdana" w:cs="Arial"/>
          <w:lang w:val="es-ES" w:eastAsia="es-ES" w:bidi="es-ES"/>
        </w:rPr>
        <w:t>e</w:t>
      </w:r>
      <w:r w:rsidRPr="005800D0">
        <w:rPr>
          <w:rFonts w:ascii="Verdana" w:eastAsia="Calibri" w:hAnsi="Verdana" w:cs="Arial"/>
        </w:rPr>
        <w:t xml:space="preserve">l parágrafo del artículo 38 cobija tanto a los convenios como a los contratos interadministrativos. Esta tesis se fundamenta en que </w:t>
      </w:r>
      <w:r w:rsidRPr="005800D0">
        <w:rPr>
          <w:rFonts w:ascii="Verdana" w:eastAsia="Calibri" w:hAnsi="Verdana" w:cs="Arial"/>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4DE2AF3A" w14:textId="77777777" w:rsidR="000019FC" w:rsidRPr="005800D0" w:rsidRDefault="000019FC" w:rsidP="000019FC">
      <w:pPr>
        <w:spacing w:after="120" w:line="276" w:lineRule="auto"/>
        <w:ind w:firstLine="709"/>
        <w:jc w:val="both"/>
        <w:rPr>
          <w:rFonts w:ascii="Verdana" w:eastAsia="Calibri" w:hAnsi="Verdana" w:cs="Arial"/>
          <w:lang w:bidi="es-ES"/>
        </w:rPr>
      </w:pPr>
      <w:r w:rsidRPr="005800D0">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5800D0">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5800D0">
        <w:rPr>
          <w:rFonts w:ascii="Verdana" w:eastAsia="Arial" w:hAnsi="Verdana" w:cs="Arial"/>
          <w:vertAlign w:val="superscript"/>
          <w:lang w:val="es-ES" w:eastAsia="es-ES" w:bidi="es-ES"/>
        </w:rPr>
        <w:footnoteReference w:id="18"/>
      </w:r>
      <w:r w:rsidRPr="005800D0">
        <w:rPr>
          <w:rFonts w:ascii="Verdana" w:eastAsia="Arial" w:hAnsi="Verdana" w:cs="Arial"/>
          <w:lang w:val="es-ES" w:eastAsia="es-ES" w:bidi="es-ES"/>
        </w:rPr>
        <w:t xml:space="preserve">. Incluso, la Corte Constitucional fundamenta la posibilidad de celebrar convenios </w:t>
      </w:r>
      <w:r w:rsidRPr="005800D0">
        <w:rPr>
          <w:rFonts w:ascii="Verdana" w:eastAsia="Arial" w:hAnsi="Verdana" w:cs="Arial"/>
          <w:lang w:val="es-ES" w:eastAsia="es-ES" w:bidi="es-ES"/>
        </w:rPr>
        <w:lastRenderedPageBreak/>
        <w:t>interadministrativos de forma directa, con fundamento en la causal establecida en la Ley 1150 de 2007 respecto a los contratos interadministrativos</w:t>
      </w:r>
      <w:r w:rsidRPr="005800D0">
        <w:rPr>
          <w:rFonts w:ascii="Verdana" w:eastAsia="Arial" w:hAnsi="Verdana" w:cs="Arial"/>
          <w:vertAlign w:val="superscript"/>
          <w:lang w:val="es-ES" w:eastAsia="es-ES" w:bidi="es-ES"/>
        </w:rPr>
        <w:footnoteReference w:id="19"/>
      </w:r>
      <w:r w:rsidRPr="005800D0">
        <w:rPr>
          <w:rFonts w:ascii="Verdana" w:eastAsia="Arial" w:hAnsi="Verdana" w:cs="Arial"/>
          <w:lang w:val="es-ES" w:eastAsia="es-ES" w:bidi="es-ES"/>
        </w:rPr>
        <w:t>.</w:t>
      </w:r>
    </w:p>
    <w:p w14:paraId="0C6916A5" w14:textId="77777777" w:rsidR="000019FC" w:rsidRPr="005800D0" w:rsidRDefault="000019FC" w:rsidP="000019FC">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5800D0">
        <w:rPr>
          <w:rFonts w:ascii="Verdana" w:eastAsia="Calibri" w:hAnsi="Verdana" w:cs="Arial"/>
          <w:lang w:val="es-ES" w:bidi="es-ES"/>
        </w:rPr>
        <w:t>De este modo, en la Circular Externa</w:t>
      </w:r>
      <w:r w:rsidRPr="005800D0">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369671DD" w14:textId="77777777" w:rsidR="000019FC" w:rsidRPr="005800D0" w:rsidRDefault="000019FC" w:rsidP="000019FC">
      <w:pPr>
        <w:widowControl w:val="0"/>
        <w:autoSpaceDE w:val="0"/>
        <w:autoSpaceDN w:val="0"/>
        <w:spacing w:after="0" w:line="276" w:lineRule="auto"/>
        <w:contextualSpacing/>
        <w:jc w:val="both"/>
        <w:rPr>
          <w:rFonts w:ascii="Verdana" w:eastAsia="Arial" w:hAnsi="Verdana" w:cs="Arial"/>
          <w:lang w:val="es-ES" w:eastAsia="es-ES" w:bidi="es-ES"/>
        </w:rPr>
      </w:pPr>
    </w:p>
    <w:p w14:paraId="449AEE6C" w14:textId="77777777" w:rsidR="000019FC" w:rsidRPr="005800D0" w:rsidRDefault="000019FC" w:rsidP="000019FC">
      <w:pPr>
        <w:spacing w:after="0" w:line="240" w:lineRule="auto"/>
        <w:ind w:left="709" w:right="709"/>
        <w:jc w:val="both"/>
        <w:rPr>
          <w:rFonts w:ascii="Verdana" w:eastAsia="Calibri" w:hAnsi="Verdana" w:cs="Arial"/>
          <w:sz w:val="20"/>
          <w:szCs w:val="20"/>
          <w:lang w:val="es-MX"/>
        </w:rPr>
      </w:pPr>
      <w:r w:rsidRPr="005800D0">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5800D0">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06B9757D" w14:textId="77777777" w:rsidR="000019FC" w:rsidRPr="005800D0" w:rsidRDefault="000019FC" w:rsidP="000019FC">
      <w:pPr>
        <w:spacing w:after="0" w:line="240" w:lineRule="auto"/>
        <w:ind w:left="709" w:right="709"/>
        <w:jc w:val="both"/>
        <w:rPr>
          <w:rFonts w:ascii="Verdana" w:eastAsia="Calibri" w:hAnsi="Verdana" w:cs="Arial"/>
          <w:sz w:val="20"/>
          <w:szCs w:val="20"/>
          <w:lang w:val="es-MX"/>
        </w:rPr>
      </w:pPr>
    </w:p>
    <w:p w14:paraId="13DCDE22" w14:textId="77777777" w:rsidR="000019FC" w:rsidRPr="005800D0" w:rsidRDefault="000019FC" w:rsidP="000019FC">
      <w:pPr>
        <w:spacing w:after="0" w:line="240" w:lineRule="auto"/>
        <w:ind w:left="709" w:right="709"/>
        <w:jc w:val="both"/>
        <w:rPr>
          <w:rFonts w:ascii="Verdana" w:eastAsia="Calibri" w:hAnsi="Verdana" w:cs="Arial"/>
          <w:sz w:val="20"/>
          <w:szCs w:val="20"/>
          <w:lang w:val="es-MX"/>
        </w:rPr>
      </w:pPr>
      <w:r w:rsidRPr="005800D0">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B4267CA" w14:textId="77777777" w:rsidR="000019FC" w:rsidRPr="005800D0" w:rsidRDefault="000019FC" w:rsidP="000019FC">
      <w:pPr>
        <w:spacing w:after="0" w:line="240" w:lineRule="auto"/>
        <w:ind w:left="709" w:right="709"/>
        <w:jc w:val="both"/>
        <w:rPr>
          <w:rFonts w:ascii="Verdana" w:eastAsia="Calibri" w:hAnsi="Verdana" w:cs="Arial"/>
          <w:sz w:val="20"/>
          <w:szCs w:val="20"/>
          <w:lang w:val="es-MX"/>
        </w:rPr>
      </w:pPr>
    </w:p>
    <w:p w14:paraId="5D947504" w14:textId="77777777" w:rsidR="000019FC" w:rsidRPr="005800D0" w:rsidRDefault="000019FC" w:rsidP="000019FC">
      <w:pPr>
        <w:spacing w:after="0" w:line="240" w:lineRule="auto"/>
        <w:ind w:left="709" w:right="709"/>
        <w:jc w:val="both"/>
        <w:rPr>
          <w:rFonts w:ascii="Verdana" w:eastAsia="Calibri" w:hAnsi="Verdana" w:cs="Arial"/>
          <w:sz w:val="20"/>
          <w:szCs w:val="20"/>
          <w:lang w:val="es-MX"/>
        </w:rPr>
      </w:pPr>
      <w:bookmarkStart w:id="19" w:name="_Hlk193459059"/>
      <w:r w:rsidRPr="005800D0">
        <w:rPr>
          <w:rFonts w:ascii="Verdana" w:eastAsia="Calibri" w:hAnsi="Verdana" w:cs="Arial"/>
          <w:sz w:val="20"/>
          <w:szCs w:val="20"/>
          <w:lang w:val="es-MX"/>
        </w:rPr>
        <w:t xml:space="preserve">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w:t>
      </w:r>
      <w:r w:rsidRPr="005800D0">
        <w:rPr>
          <w:rFonts w:ascii="Verdana" w:eastAsia="Calibri" w:hAnsi="Verdana" w:cs="Arial"/>
          <w:sz w:val="20"/>
          <w:szCs w:val="20"/>
          <w:lang w:val="es-MX"/>
        </w:rPr>
        <w:lastRenderedPageBreak/>
        <w:t>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w:t>
      </w:r>
      <w:bookmarkEnd w:id="19"/>
      <w:r w:rsidRPr="005800D0">
        <w:rPr>
          <w:rFonts w:ascii="Verdana" w:eastAsia="Calibri" w:hAnsi="Verdana" w:cs="Arial"/>
          <w:sz w:val="20"/>
          <w:szCs w:val="20"/>
          <w:lang w:val="es-MX"/>
        </w:rPr>
        <w:t>o”.</w:t>
      </w:r>
    </w:p>
    <w:p w14:paraId="235A02FB" w14:textId="77777777" w:rsidR="000019FC" w:rsidRPr="005800D0" w:rsidRDefault="000019FC" w:rsidP="000019FC">
      <w:pPr>
        <w:widowControl w:val="0"/>
        <w:autoSpaceDE w:val="0"/>
        <w:autoSpaceDN w:val="0"/>
        <w:spacing w:after="0" w:line="276" w:lineRule="auto"/>
        <w:contextualSpacing/>
        <w:jc w:val="both"/>
        <w:rPr>
          <w:rFonts w:ascii="Verdana" w:eastAsia="Arial" w:hAnsi="Verdana" w:cs="Arial"/>
          <w:lang w:val="es-ES" w:eastAsia="es-ES" w:bidi="es-ES"/>
        </w:rPr>
      </w:pPr>
    </w:p>
    <w:p w14:paraId="4F311992" w14:textId="77777777" w:rsidR="000019FC" w:rsidRPr="005800D0" w:rsidRDefault="000019FC" w:rsidP="000019FC">
      <w:pPr>
        <w:spacing w:after="120" w:line="276" w:lineRule="auto"/>
        <w:ind w:firstLine="709"/>
        <w:jc w:val="both"/>
        <w:rPr>
          <w:rFonts w:ascii="Verdana" w:eastAsia="Arial" w:hAnsi="Verdana" w:cs="Arial"/>
          <w:lang w:val="es-MX" w:eastAsia="es-ES" w:bidi="es-ES"/>
        </w:rPr>
      </w:pPr>
      <w:r w:rsidRPr="005800D0">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5800D0">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29AECD55" w14:textId="77777777" w:rsidR="000019FC" w:rsidRPr="005800D0" w:rsidRDefault="000019FC" w:rsidP="000019FC">
      <w:pPr>
        <w:spacing w:after="0" w:line="276" w:lineRule="auto"/>
        <w:ind w:firstLine="709"/>
        <w:jc w:val="both"/>
      </w:pPr>
      <w:r w:rsidRPr="005800D0">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5800D0">
        <w:rPr>
          <w:rFonts w:ascii="Verdana" w:hAnsi="Verdana"/>
        </w:rPr>
        <w:t>numeral 16.2 de la Circular Externa Única de 2022 expedida por la Agencia Nacional de Contratación Pública -Colombia Compra Eficiente-, concretamente, respecto de los siguientes apartes normativos</w:t>
      </w:r>
      <w:r w:rsidRPr="005800D0">
        <w:rPr>
          <w:rFonts w:ascii="Verdana" w:hAnsi="Verdana"/>
          <w:vertAlign w:val="superscript"/>
        </w:rPr>
        <w:footnoteReference w:id="20"/>
      </w:r>
      <w:r w:rsidRPr="005800D0">
        <w:rPr>
          <w:rFonts w:ascii="Verdana" w:hAnsi="Verdana"/>
        </w:rPr>
        <w:t>:</w:t>
      </w:r>
      <w:r w:rsidRPr="005800D0">
        <w:t xml:space="preserve"> </w:t>
      </w:r>
    </w:p>
    <w:p w14:paraId="320800CF" w14:textId="77777777" w:rsidR="000019FC" w:rsidRPr="005800D0" w:rsidRDefault="000019FC" w:rsidP="000019FC">
      <w:pPr>
        <w:spacing w:after="0" w:line="276" w:lineRule="auto"/>
        <w:ind w:firstLine="709"/>
        <w:jc w:val="both"/>
      </w:pPr>
    </w:p>
    <w:p w14:paraId="7813D140" w14:textId="77777777" w:rsidR="000019FC" w:rsidRPr="005800D0" w:rsidRDefault="000019FC" w:rsidP="000019FC">
      <w:pPr>
        <w:spacing w:after="0" w:line="240" w:lineRule="auto"/>
        <w:ind w:left="709" w:right="709"/>
        <w:jc w:val="both"/>
        <w:rPr>
          <w:rFonts w:ascii="Verdana" w:eastAsia="Calibri" w:hAnsi="Verdana" w:cs="Arial"/>
          <w:sz w:val="20"/>
          <w:szCs w:val="20"/>
        </w:rPr>
      </w:pPr>
      <w:r w:rsidRPr="005800D0">
        <w:rPr>
          <w:rFonts w:ascii="Verdana" w:eastAsia="Calibri" w:hAnsi="Verdana" w:cs="Arial"/>
          <w:sz w:val="20"/>
          <w:szCs w:val="20"/>
          <w:lang w:val="es-MX"/>
        </w:rPr>
        <w:t>i)</w:t>
      </w:r>
      <w:r w:rsidRPr="005800D0">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2B4F6C1A" w14:textId="77777777" w:rsidR="000019FC" w:rsidRPr="005800D0" w:rsidRDefault="000019FC" w:rsidP="000019FC">
      <w:pPr>
        <w:spacing w:after="0" w:line="240" w:lineRule="auto"/>
        <w:ind w:left="709" w:right="709"/>
        <w:jc w:val="both"/>
        <w:rPr>
          <w:rFonts w:ascii="Verdana" w:eastAsia="Calibri" w:hAnsi="Verdana" w:cs="Arial"/>
          <w:sz w:val="20"/>
          <w:szCs w:val="20"/>
        </w:rPr>
      </w:pPr>
    </w:p>
    <w:p w14:paraId="20F2F1FF" w14:textId="77777777" w:rsidR="000019FC" w:rsidRPr="005800D0" w:rsidRDefault="000019FC" w:rsidP="000019FC">
      <w:pPr>
        <w:spacing w:after="0" w:line="240" w:lineRule="auto"/>
        <w:ind w:left="709" w:right="709"/>
        <w:jc w:val="both"/>
        <w:rPr>
          <w:rFonts w:ascii="Verdana" w:hAnsi="Verdana"/>
          <w:sz w:val="20"/>
          <w:szCs w:val="20"/>
        </w:rPr>
      </w:pPr>
      <w:proofErr w:type="spellStart"/>
      <w:r w:rsidRPr="005800D0">
        <w:rPr>
          <w:rFonts w:ascii="Verdana" w:hAnsi="Verdana"/>
          <w:sz w:val="20"/>
          <w:szCs w:val="20"/>
        </w:rPr>
        <w:t>ii</w:t>
      </w:r>
      <w:proofErr w:type="spellEnd"/>
      <w:r w:rsidRPr="005800D0">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33A813B" w14:textId="77777777" w:rsidR="000019FC" w:rsidRPr="005800D0" w:rsidRDefault="000019FC" w:rsidP="000019FC">
      <w:pPr>
        <w:spacing w:after="0" w:line="276" w:lineRule="auto"/>
        <w:ind w:left="709" w:right="709"/>
        <w:jc w:val="both"/>
        <w:rPr>
          <w:rFonts w:ascii="Verdana" w:hAnsi="Verdana"/>
        </w:rPr>
      </w:pPr>
    </w:p>
    <w:p w14:paraId="167C73C0" w14:textId="77777777" w:rsidR="000019FC" w:rsidRPr="005800D0" w:rsidRDefault="000019FC" w:rsidP="000019FC">
      <w:pPr>
        <w:spacing w:after="120" w:line="276" w:lineRule="auto"/>
        <w:ind w:firstLine="709"/>
        <w:jc w:val="both"/>
        <w:rPr>
          <w:rFonts w:ascii="Verdana" w:eastAsia="Arial" w:hAnsi="Verdana" w:cs="Arial"/>
          <w:i/>
          <w:iCs/>
          <w:lang w:val="es-MX" w:eastAsia="es-ES" w:bidi="es-ES"/>
        </w:rPr>
      </w:pPr>
      <w:r w:rsidRPr="005800D0">
        <w:rPr>
          <w:rFonts w:ascii="Verdana" w:eastAsia="Arial" w:hAnsi="Verdana" w:cs="Arial"/>
          <w:lang w:val="es-MX" w:eastAsia="es-ES" w:bidi="es-ES"/>
        </w:rPr>
        <w:t xml:space="preserve">De conformidad con los argumentos de dicha providencia, se parte de la distinción entre los conceptos </w:t>
      </w:r>
      <w:r w:rsidRPr="005800D0">
        <w:rPr>
          <w:rFonts w:ascii="Verdana" w:eastAsia="Arial" w:hAnsi="Verdana" w:cs="Arial"/>
          <w:lang w:eastAsia="es-ES" w:bidi="es-ES"/>
        </w:rPr>
        <w:t xml:space="preserve">de “convenio” y “contrato” interadministrativos, </w:t>
      </w:r>
      <w:r w:rsidRPr="005800D0">
        <w:rPr>
          <w:rFonts w:ascii="Verdana" w:eastAsia="Arial" w:hAnsi="Verdana" w:cs="Arial"/>
          <w:lang w:eastAsia="es-ES" w:bidi="es-ES"/>
        </w:rPr>
        <w:lastRenderedPageBreak/>
        <w:t xml:space="preserve">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5800D0">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5800D0">
        <w:rPr>
          <w:rFonts w:ascii="Verdana" w:eastAsia="Arial" w:hAnsi="Verdana" w:cs="Arial"/>
          <w:lang w:eastAsia="es-ES" w:bidi="es-ES"/>
        </w:rPr>
        <w:t xml:space="preserve">Por tal motivo, para efectos de decretar la medida de suspensión provisional de los apartes señalados del numeral </w:t>
      </w:r>
      <w:bookmarkStart w:id="20" w:name="_Hlk192497089"/>
      <w:r w:rsidRPr="005800D0">
        <w:rPr>
          <w:rFonts w:ascii="Verdana" w:eastAsia="Arial" w:hAnsi="Verdana" w:cs="Arial"/>
          <w:lang w:eastAsia="es-ES" w:bidi="es-ES"/>
        </w:rPr>
        <w:t>16.2 de la Circular Externa Única</w:t>
      </w:r>
      <w:bookmarkEnd w:id="20"/>
      <w:r w:rsidRPr="005800D0">
        <w:rPr>
          <w:rFonts w:ascii="Verdana" w:eastAsia="Arial" w:hAnsi="Verdana" w:cs="Arial"/>
          <w:lang w:eastAsia="es-ES" w:bidi="es-ES"/>
        </w:rPr>
        <w:t xml:space="preserve">, argumentó que </w:t>
      </w:r>
      <w:r w:rsidRPr="005800D0">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3F7152E2" w14:textId="77777777" w:rsidR="000019FC" w:rsidRPr="005800D0" w:rsidRDefault="000019FC" w:rsidP="000019FC">
      <w:pPr>
        <w:spacing w:after="120" w:line="276" w:lineRule="auto"/>
        <w:ind w:firstLine="709"/>
        <w:jc w:val="both"/>
        <w:rPr>
          <w:rFonts w:ascii="Verdana" w:eastAsia="Calibri" w:hAnsi="Verdana" w:cs="Arial"/>
          <w:lang w:val="es-MX"/>
        </w:rPr>
      </w:pPr>
      <w:r w:rsidRPr="005800D0">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5800D0">
        <w:rPr>
          <w:rFonts w:ascii="Verdana" w:eastAsia="Arial" w:hAnsi="Verdana" w:cs="Arial"/>
          <w:lang w:eastAsia="es-ES" w:bidi="es-ES"/>
        </w:rPr>
        <w:t>16.2 de la Circular Externa Única</w:t>
      </w:r>
      <w:r w:rsidRPr="005800D0">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5800D0">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5800D0">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79858289" w14:textId="77777777" w:rsidR="000019FC" w:rsidRPr="005800D0" w:rsidRDefault="000019FC" w:rsidP="000019FC">
      <w:pPr>
        <w:spacing w:after="120" w:line="276" w:lineRule="auto"/>
        <w:ind w:firstLine="709"/>
        <w:jc w:val="both"/>
        <w:rPr>
          <w:rFonts w:ascii="Verdana" w:eastAsia="Arial" w:hAnsi="Verdana" w:cs="Arial"/>
          <w:lang w:val="es-MX" w:eastAsia="es-ES" w:bidi="es-ES"/>
        </w:rPr>
      </w:pPr>
      <w:r w:rsidRPr="005800D0">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5800D0">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5800D0">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11EDCB31" w14:textId="77777777" w:rsidR="000019FC" w:rsidRPr="005800D0" w:rsidRDefault="000019FC" w:rsidP="000019FC">
      <w:pPr>
        <w:spacing w:after="120" w:line="276" w:lineRule="auto"/>
        <w:ind w:firstLine="709"/>
        <w:jc w:val="both"/>
        <w:rPr>
          <w:rFonts w:ascii="Verdana" w:eastAsia="Times New Roman" w:hAnsi="Verdana" w:cs="Arial"/>
          <w:lang w:val="es-MX" w:eastAsia="es-CO"/>
        </w:rPr>
      </w:pPr>
      <w:r w:rsidRPr="005800D0">
        <w:rPr>
          <w:rFonts w:ascii="Verdana" w:eastAsia="Arial" w:hAnsi="Verdana" w:cs="Arial"/>
          <w:lang w:val="es-MX" w:eastAsia="es-ES" w:bidi="es-ES"/>
        </w:rPr>
        <w:lastRenderedPageBreak/>
        <w:t xml:space="preserve"> De esta manera, </w:t>
      </w:r>
      <w:bookmarkEnd w:id="18"/>
      <w:r w:rsidRPr="005800D0">
        <w:rPr>
          <w:rFonts w:ascii="Verdana" w:eastAsia="Arial" w:hAnsi="Verdana" w:cs="Arial"/>
          <w:lang w:val="es-MX" w:eastAsia="es-ES" w:bidi="es-ES"/>
        </w:rPr>
        <w:t>s</w:t>
      </w:r>
      <w:proofErr w:type="spellStart"/>
      <w:r w:rsidRPr="005800D0">
        <w:rPr>
          <w:rFonts w:ascii="Verdana" w:eastAsia="Times New Roman" w:hAnsi="Verdana" w:cs="Arial"/>
          <w:lang w:eastAsia="es-CO"/>
        </w:rPr>
        <w:t>e</w:t>
      </w:r>
      <w:proofErr w:type="spellEnd"/>
      <w:r w:rsidRPr="005800D0">
        <w:rPr>
          <w:rFonts w:ascii="Verdana" w:eastAsia="Times New Roman" w:hAnsi="Verdana" w:cs="Arial"/>
          <w:lang w:eastAsia="es-CO"/>
        </w:rPr>
        <w:t xml:space="preserve"> observa entonces que </w:t>
      </w:r>
      <w:r w:rsidRPr="005800D0">
        <w:rPr>
          <w:rFonts w:ascii="Verdana" w:eastAsia="Times New Roman" w:hAnsi="Verdana" w:cs="Arial"/>
          <w:lang w:val="es-MX" w:eastAsia="es-CO"/>
        </w:rPr>
        <w:t xml:space="preserve">el parágrafo del artículo 38 de la Ley 996 de 2005 prohíbe a los </w:t>
      </w:r>
      <w:proofErr w:type="gramStart"/>
      <w:r w:rsidRPr="005800D0">
        <w:rPr>
          <w:rFonts w:ascii="Verdana" w:eastAsia="Times New Roman" w:hAnsi="Verdana" w:cs="Arial"/>
          <w:lang w:val="es-MX" w:eastAsia="es-CO"/>
        </w:rPr>
        <w:t>Alcaldes</w:t>
      </w:r>
      <w:proofErr w:type="gramEnd"/>
      <w:r w:rsidRPr="005800D0">
        <w:rPr>
          <w:rFonts w:ascii="Verdana" w:eastAsia="Times New Roman" w:hAnsi="Verdana" w:cs="Arial"/>
          <w:lang w:val="es-MX" w:eastAsia="es-CO"/>
        </w:rPr>
        <w:t xml:space="preserve">, Gobernadores, </w:t>
      </w:r>
      <w:proofErr w:type="gramStart"/>
      <w:r w:rsidRPr="005800D0">
        <w:rPr>
          <w:rFonts w:ascii="Verdana" w:eastAsia="Times New Roman" w:hAnsi="Verdana" w:cs="Arial"/>
          <w:lang w:val="es-MX" w:eastAsia="es-CO"/>
        </w:rPr>
        <w:t>Secretarios</w:t>
      </w:r>
      <w:proofErr w:type="gramEnd"/>
      <w:r w:rsidRPr="005800D0">
        <w:rPr>
          <w:rFonts w:ascii="Verdana" w:eastAsia="Times New Roman" w:hAnsi="Verdana" w:cs="Arial"/>
          <w:lang w:val="es-MX" w:eastAsia="es-CO"/>
        </w:rPr>
        <w:t xml:space="preserve">, Gerentes y </w:t>
      </w:r>
      <w:proofErr w:type="gramStart"/>
      <w:r w:rsidRPr="005800D0">
        <w:rPr>
          <w:rFonts w:ascii="Verdana" w:eastAsia="Times New Roman" w:hAnsi="Verdana" w:cs="Arial"/>
          <w:lang w:val="es-MX" w:eastAsia="es-CO"/>
        </w:rPr>
        <w:t>Directores</w:t>
      </w:r>
      <w:proofErr w:type="gramEnd"/>
      <w:r w:rsidRPr="005800D0">
        <w:rPr>
          <w:rFonts w:ascii="Verdana" w:eastAsia="Times New Roman" w:hAnsi="Verdana" w:cs="Arial"/>
          <w:lang w:val="es-MX" w:eastAsia="es-CO"/>
        </w:rPr>
        <w:t xml:space="preserve"> de las entidades del orden municipal, departamental o distrital celebrar </w:t>
      </w:r>
      <w:r w:rsidRPr="005800D0">
        <w:rPr>
          <w:rFonts w:ascii="Verdana" w:eastAsia="Times New Roman" w:hAnsi="Verdana" w:cs="Arial"/>
          <w:i/>
          <w:iCs/>
          <w:lang w:val="es-MX" w:eastAsia="es-CO"/>
        </w:rPr>
        <w:t>convenios interadministrativos</w:t>
      </w:r>
      <w:r w:rsidRPr="005800D0">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5800D0">
        <w:rPr>
          <w:rFonts w:ascii="Verdana" w:eastAsia="Times New Roman" w:hAnsi="Verdana" w:cs="Arial"/>
          <w:i/>
          <w:lang w:val="es-MX" w:eastAsia="es-CO"/>
        </w:rPr>
        <w:t>ibidem</w:t>
      </w:r>
      <w:r w:rsidRPr="005800D0">
        <w:rPr>
          <w:rFonts w:ascii="Verdana" w:eastAsia="Times New Roman" w:hAnsi="Verdana" w:cs="Arial"/>
          <w:lang w:val="es-MX" w:eastAsia="es-CO"/>
        </w:rPr>
        <w:t xml:space="preserve">, no podrá celebrar tales </w:t>
      </w:r>
      <w:r w:rsidRPr="005800D0">
        <w:rPr>
          <w:rFonts w:ascii="Verdana" w:eastAsia="Times New Roman" w:hAnsi="Verdana" w:cs="Arial"/>
          <w:i/>
          <w:iCs/>
          <w:lang w:val="es-MX" w:eastAsia="es-CO"/>
        </w:rPr>
        <w:t>convenios</w:t>
      </w:r>
      <w:r w:rsidRPr="005800D0">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6A98CF5F" w14:textId="77777777" w:rsidR="000019FC" w:rsidRPr="00415CD3" w:rsidRDefault="000019FC" w:rsidP="005800D0">
      <w:pPr>
        <w:spacing w:after="0" w:line="276" w:lineRule="auto"/>
        <w:ind w:firstLine="709"/>
        <w:jc w:val="both"/>
        <w:rPr>
          <w:rFonts w:ascii="Verdana" w:eastAsia="Arial" w:hAnsi="Verdana" w:cs="Arial"/>
          <w:lang w:val="es-ES" w:eastAsia="es-ES" w:bidi="es-ES"/>
        </w:rPr>
      </w:pPr>
      <w:bookmarkStart w:id="21" w:name="_Hlk77154098"/>
      <w:r w:rsidRPr="005363F6">
        <w:rPr>
          <w:rFonts w:ascii="Verdana" w:eastAsia="Times New Roman" w:hAnsi="Verdana" w:cs="Arial"/>
          <w:lang w:val="es-ES" w:eastAsia="es-CO" w:bidi="es-ES"/>
        </w:rPr>
        <w:t>En todo caso</w:t>
      </w:r>
      <w:r w:rsidRPr="005363F6">
        <w:rPr>
          <w:rFonts w:ascii="Verdana" w:eastAsia="Arial" w:hAnsi="Verdana" w:cs="Arial"/>
          <w:lang w:val="es-ES" w:eastAsia="es-ES" w:bidi="es-ES"/>
        </w:rPr>
        <w:t xml:space="preserve">, es importante resaltar que la Sala de Consulta y Servicio Civil del Consejo de Estado se ha pronunciado en el sentido de que </w:t>
      </w:r>
      <w:bookmarkStart w:id="22" w:name="_Hlk78820889"/>
      <w:r w:rsidRPr="005363F6">
        <w:rPr>
          <w:rFonts w:ascii="Verdana" w:eastAsia="Arial" w:hAnsi="Verdana" w:cs="Arial"/>
          <w:lang w:val="es-ES" w:eastAsia="es-ES" w:bidi="es-ES"/>
        </w:rPr>
        <w:t>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2"/>
      <w:r w:rsidRPr="005363F6">
        <w:rPr>
          <w:rFonts w:ascii="Verdana" w:eastAsia="Arial" w:hAnsi="Verdana" w:cs="Arial"/>
          <w:vertAlign w:val="superscript"/>
          <w:lang w:val="es-ES" w:eastAsia="es-ES" w:bidi="es-ES"/>
        </w:rPr>
        <w:footnoteReference w:id="21"/>
      </w:r>
      <w:r w:rsidRPr="005363F6">
        <w:rPr>
          <w:rFonts w:ascii="Verdana" w:eastAsia="Arial" w:hAnsi="Verdana" w:cs="Arial"/>
          <w:lang w:val="es-ES" w:eastAsia="es-ES" w:bidi="es-ES"/>
        </w:rPr>
        <w:t>.</w:t>
      </w:r>
      <w:bookmarkEnd w:id="21"/>
    </w:p>
    <w:p w14:paraId="0ED73163" w14:textId="77777777" w:rsidR="00BB7D19" w:rsidRDefault="00BB7D19" w:rsidP="005800D0">
      <w:pPr>
        <w:spacing w:after="0" w:line="276" w:lineRule="auto"/>
        <w:jc w:val="both"/>
        <w:rPr>
          <w:rFonts w:ascii="Verdana" w:eastAsia="Calibri" w:hAnsi="Verdana" w:cs="Arial"/>
          <w:lang w:val="es-ES"/>
        </w:rPr>
      </w:pPr>
    </w:p>
    <w:p w14:paraId="4D4B1A94" w14:textId="0B794495" w:rsidR="00516A89" w:rsidRPr="00515C0B" w:rsidRDefault="00357CA5" w:rsidP="00516A89">
      <w:pPr>
        <w:spacing w:after="120" w:line="276" w:lineRule="auto"/>
        <w:jc w:val="both"/>
        <w:rPr>
          <w:rFonts w:ascii="Verdana" w:eastAsia="Calibri" w:hAnsi="Verdana" w:cs="Arial"/>
          <w:lang w:val="es-ES"/>
        </w:rPr>
      </w:pPr>
      <w:proofErr w:type="spellStart"/>
      <w:r>
        <w:rPr>
          <w:rFonts w:ascii="Verdana" w:eastAsia="Calibri" w:hAnsi="Verdana" w:cs="Arial"/>
          <w:lang w:val="es-ES"/>
        </w:rPr>
        <w:t>i</w:t>
      </w:r>
      <w:r w:rsidR="00A75ECF">
        <w:rPr>
          <w:rFonts w:ascii="Verdana" w:eastAsia="Calibri" w:hAnsi="Verdana" w:cs="Arial"/>
          <w:lang w:val="es-ES"/>
        </w:rPr>
        <w:t>v</w:t>
      </w:r>
      <w:proofErr w:type="spellEnd"/>
      <w:r w:rsidR="00A75ECF">
        <w:rPr>
          <w:rFonts w:ascii="Verdana" w:eastAsia="Calibri" w:hAnsi="Verdana" w:cs="Arial"/>
          <w:lang w:val="es-ES"/>
        </w:rPr>
        <w:t xml:space="preserve">) </w:t>
      </w:r>
      <w:r w:rsidR="00516A89">
        <w:rPr>
          <w:rFonts w:ascii="Verdana" w:eastAsia="Calibri" w:hAnsi="Verdana" w:cs="Arial"/>
          <w:lang w:val="es-ES"/>
        </w:rPr>
        <w:t>Ahora bien, f</w:t>
      </w:r>
      <w:r w:rsidR="00516A89" w:rsidRPr="00515C0B">
        <w:rPr>
          <w:rFonts w:ascii="Verdana" w:eastAsia="Calibri" w:hAnsi="Verdana" w:cs="Arial"/>
          <w:lang w:val="es-ES"/>
        </w:rPr>
        <w:t xml:space="preserve">rente al cuestionamiento planteado es necesario </w:t>
      </w:r>
      <w:r w:rsidR="00516A89">
        <w:rPr>
          <w:rFonts w:ascii="Verdana" w:eastAsia="Calibri" w:hAnsi="Verdana" w:cs="Arial"/>
          <w:lang w:val="es-ES"/>
        </w:rPr>
        <w:t>señalar</w:t>
      </w:r>
      <w:r w:rsidR="00516A89" w:rsidRPr="00515C0B">
        <w:rPr>
          <w:rFonts w:ascii="Verdana" w:eastAsia="Calibri" w:hAnsi="Verdana" w:cs="Arial"/>
          <w:lang w:val="es-ES"/>
        </w:rPr>
        <w:t xml:space="preserve"> que dentro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w:t>
      </w:r>
      <w:r w:rsidR="00516A89">
        <w:rPr>
          <w:rFonts w:ascii="Verdana" w:eastAsia="Calibri" w:hAnsi="Verdana" w:cs="Arial"/>
          <w:lang w:val="es-ES"/>
        </w:rPr>
        <w:t xml:space="preserve"> </w:t>
      </w:r>
      <w:r w:rsidR="00516A89" w:rsidRPr="008B2333">
        <w:rPr>
          <w:rFonts w:ascii="Verdana" w:eastAsia="Calibri" w:hAnsi="Verdana" w:cs="Arial"/>
          <w:color w:val="000000" w:themeColor="text1"/>
        </w:rPr>
        <w:t>Así, por ejemplo, son E</w:t>
      </w:r>
      <w:r w:rsidR="00516A89">
        <w:rPr>
          <w:rFonts w:ascii="Verdana" w:eastAsia="Calibri" w:hAnsi="Verdana" w:cs="Arial"/>
          <w:color w:val="000000" w:themeColor="text1"/>
        </w:rPr>
        <w:t xml:space="preserve">mpresas </w:t>
      </w:r>
      <w:r w:rsidR="00516A89" w:rsidRPr="008B2333">
        <w:rPr>
          <w:rFonts w:ascii="Verdana" w:eastAsia="Calibri" w:hAnsi="Verdana" w:cs="Arial"/>
          <w:color w:val="000000" w:themeColor="text1"/>
        </w:rPr>
        <w:t>I</w:t>
      </w:r>
      <w:r w:rsidR="00516A89">
        <w:rPr>
          <w:rFonts w:ascii="Verdana" w:eastAsia="Calibri" w:hAnsi="Verdana" w:cs="Arial"/>
          <w:color w:val="000000" w:themeColor="text1"/>
        </w:rPr>
        <w:t xml:space="preserve">ndustriales y </w:t>
      </w:r>
      <w:r w:rsidR="00516A89" w:rsidRPr="008B2333">
        <w:rPr>
          <w:rFonts w:ascii="Verdana" w:eastAsia="Calibri" w:hAnsi="Verdana" w:cs="Arial"/>
          <w:color w:val="000000" w:themeColor="text1"/>
        </w:rPr>
        <w:t>C</w:t>
      </w:r>
      <w:r w:rsidR="00516A89">
        <w:rPr>
          <w:rFonts w:ascii="Verdana" w:eastAsia="Calibri" w:hAnsi="Verdana" w:cs="Arial"/>
          <w:color w:val="000000" w:themeColor="text1"/>
        </w:rPr>
        <w:t xml:space="preserve">omerciales del </w:t>
      </w:r>
      <w:r w:rsidR="00516A89" w:rsidRPr="008B2333">
        <w:rPr>
          <w:rFonts w:ascii="Verdana" w:eastAsia="Calibri" w:hAnsi="Verdana" w:cs="Arial"/>
          <w:color w:val="000000" w:themeColor="text1"/>
        </w:rPr>
        <w:t>E</w:t>
      </w:r>
      <w:r w:rsidR="00516A89">
        <w:rPr>
          <w:rFonts w:ascii="Verdana" w:eastAsia="Calibri" w:hAnsi="Verdana" w:cs="Arial"/>
          <w:color w:val="000000" w:themeColor="text1"/>
        </w:rPr>
        <w:t>stado</w:t>
      </w:r>
      <w:r w:rsidR="00516A89" w:rsidRPr="008B2333">
        <w:rPr>
          <w:rFonts w:ascii="Verdana" w:eastAsia="Calibri" w:hAnsi="Verdana" w:cs="Arial"/>
          <w:color w:val="000000" w:themeColor="text1"/>
        </w:rPr>
        <w:t xml:space="preserve"> la Imprenta Nacional de Colombia, Coljuegos, Indumil, la Caja Promotora de Vivienda Militar y de Policía, Colpensiones, entre otras</w:t>
      </w:r>
      <w:r w:rsidR="00516A89" w:rsidRPr="008B2333">
        <w:rPr>
          <w:rFonts w:ascii="Verdana" w:hAnsi="Verdana"/>
          <w:vertAlign w:val="superscript"/>
        </w:rPr>
        <w:footnoteReference w:id="22"/>
      </w:r>
      <w:r w:rsidR="00516A89" w:rsidRPr="008B2333">
        <w:rPr>
          <w:rFonts w:ascii="Verdana" w:eastAsia="Calibri" w:hAnsi="Verdana" w:cs="Arial"/>
          <w:color w:val="000000" w:themeColor="text1"/>
        </w:rPr>
        <w:t>.</w:t>
      </w:r>
    </w:p>
    <w:p w14:paraId="55478225" w14:textId="77777777" w:rsidR="00516A89" w:rsidRDefault="00516A89" w:rsidP="00516A89">
      <w:pPr>
        <w:spacing w:after="0" w:line="276" w:lineRule="auto"/>
        <w:ind w:firstLine="708"/>
        <w:jc w:val="both"/>
        <w:rPr>
          <w:rFonts w:ascii="Verdana" w:eastAsia="Calibri" w:hAnsi="Verdana" w:cs="Arial"/>
          <w:lang w:val="es-ES"/>
        </w:rPr>
      </w:pPr>
      <w:r w:rsidRPr="00515C0B">
        <w:rPr>
          <w:rFonts w:ascii="Verdana" w:eastAsia="Calibri" w:hAnsi="Verdana" w:cs="Arial"/>
          <w:lang w:val="es-ES"/>
        </w:rPr>
        <w:lastRenderedPageBreak/>
        <w:t>Las Empresas Industriales y Comerciales del Estado, bajo la denominación de Entidades Estatales, quedaron sometidas al Estatuto General de Contratación de la Administración Pública –Ley 80 de 1993, artículo 2, numeral 1, literal a</w:t>
      </w:r>
      <w:r w:rsidRPr="00515C0B">
        <w:rPr>
          <w:rFonts w:ascii="Verdana" w:eastAsia="Calibri" w:hAnsi="Verdana" w:cs="Arial"/>
          <w:vertAlign w:val="superscript"/>
          <w:lang w:val="es-ES"/>
        </w:rPr>
        <w:footnoteReference w:id="23"/>
      </w:r>
      <w:r w:rsidRPr="00515C0B">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3358B23D" w14:textId="77777777" w:rsidR="00516A89" w:rsidRPr="00515C0B" w:rsidRDefault="00516A89" w:rsidP="00516A89">
      <w:pPr>
        <w:spacing w:after="0" w:line="276" w:lineRule="auto"/>
        <w:ind w:firstLine="708"/>
        <w:jc w:val="both"/>
        <w:rPr>
          <w:rFonts w:ascii="Verdana" w:eastAsia="Calibri" w:hAnsi="Verdana" w:cs="Arial"/>
          <w:lang w:val="es-ES"/>
        </w:rPr>
      </w:pPr>
    </w:p>
    <w:p w14:paraId="6CBA9E1B" w14:textId="77777777" w:rsidR="00516A89" w:rsidRPr="00515C0B" w:rsidRDefault="00516A89" w:rsidP="00516A89">
      <w:pPr>
        <w:spacing w:after="0" w:line="240" w:lineRule="auto"/>
        <w:ind w:left="709" w:right="709"/>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w:t>
      </w:r>
      <w:r w:rsidRPr="00515C0B">
        <w:rPr>
          <w:rFonts w:ascii="Verdana" w:eastAsia="Times New Roman" w:hAnsi="Verdana" w:cs="Arial"/>
          <w:sz w:val="20"/>
          <w:szCs w:val="20"/>
          <w:lang w:eastAsia="es-ES_tradnl"/>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r>
        <w:rPr>
          <w:rFonts w:ascii="Verdana" w:eastAsia="Times New Roman" w:hAnsi="Verdana" w:cs="Arial"/>
          <w:sz w:val="20"/>
          <w:szCs w:val="20"/>
          <w:lang w:eastAsia="es-ES_tradnl"/>
        </w:rPr>
        <w:t>”</w:t>
      </w:r>
      <w:r w:rsidRPr="00515C0B">
        <w:rPr>
          <w:rFonts w:ascii="Verdana" w:eastAsia="Times New Roman" w:hAnsi="Verdana" w:cs="Arial"/>
          <w:sz w:val="20"/>
          <w:szCs w:val="20"/>
          <w:lang w:eastAsia="es-ES_tradnl"/>
        </w:rPr>
        <w:t>.</w:t>
      </w:r>
    </w:p>
    <w:p w14:paraId="4E506ABE" w14:textId="77777777" w:rsidR="00516A89" w:rsidRPr="0037405A" w:rsidRDefault="00516A89" w:rsidP="00516A89">
      <w:pPr>
        <w:widowControl w:val="0"/>
        <w:autoSpaceDE w:val="0"/>
        <w:autoSpaceDN w:val="0"/>
        <w:spacing w:after="0" w:line="276" w:lineRule="auto"/>
        <w:rPr>
          <w:rFonts w:ascii="Verdana" w:eastAsia="Verdana" w:hAnsi="Verdana" w:cs="Verdana"/>
          <w:sz w:val="20"/>
        </w:rPr>
      </w:pPr>
    </w:p>
    <w:p w14:paraId="7E1BDB74" w14:textId="77777777" w:rsidR="00516A89" w:rsidRPr="00515C0B" w:rsidRDefault="00516A89" w:rsidP="005800D0">
      <w:pPr>
        <w:widowControl w:val="0"/>
        <w:autoSpaceDE w:val="0"/>
        <w:autoSpaceDN w:val="0"/>
        <w:spacing w:after="0" w:line="276" w:lineRule="auto"/>
        <w:ind w:firstLine="708"/>
        <w:jc w:val="both"/>
        <w:rPr>
          <w:rFonts w:ascii="Verdana" w:eastAsia="Verdana" w:hAnsi="Verdana" w:cs="Verdana"/>
          <w:lang w:val="es-ES"/>
        </w:rPr>
      </w:pPr>
      <w:bookmarkStart w:id="24" w:name="_bookmark7"/>
      <w:bookmarkEnd w:id="24"/>
      <w:r w:rsidRPr="00515C0B">
        <w:rPr>
          <w:rFonts w:ascii="Verdana" w:eastAsia="Verdana" w:hAnsi="Verdana" w:cs="Verdana"/>
          <w:lang w:val="es-ES"/>
        </w:rPr>
        <w:t>No obstante las dificultades hermenéuticas que suscitaba la disposición anterior,</w:t>
      </w:r>
      <w:r w:rsidRPr="00515C0B">
        <w:rPr>
          <w:rFonts w:ascii="Verdana" w:eastAsia="Verdana" w:hAnsi="Verdana" w:cs="Verdana"/>
          <w:spacing w:val="-8"/>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14</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la</w:t>
      </w:r>
      <w:r w:rsidRPr="00515C0B">
        <w:rPr>
          <w:rFonts w:ascii="Verdana" w:eastAsia="Verdana" w:hAnsi="Verdana" w:cs="Verdana"/>
          <w:spacing w:val="-10"/>
          <w:lang w:val="es-ES"/>
        </w:rPr>
        <w:t xml:space="preserve"> </w:t>
      </w:r>
      <w:r w:rsidRPr="00515C0B">
        <w:rPr>
          <w:rFonts w:ascii="Verdana" w:eastAsia="Verdana" w:hAnsi="Verdana" w:cs="Verdana"/>
          <w:lang w:val="es-ES"/>
        </w:rPr>
        <w:t>Ley</w:t>
      </w:r>
      <w:r w:rsidRPr="00515C0B">
        <w:rPr>
          <w:rFonts w:ascii="Verdana" w:eastAsia="Verdana" w:hAnsi="Verdana" w:cs="Verdana"/>
          <w:spacing w:val="-8"/>
          <w:lang w:val="es-ES"/>
        </w:rPr>
        <w:t xml:space="preserve"> </w:t>
      </w:r>
      <w:r w:rsidRPr="00515C0B">
        <w:rPr>
          <w:rFonts w:ascii="Verdana" w:eastAsia="Verdana" w:hAnsi="Verdana" w:cs="Verdana"/>
          <w:lang w:val="es-ES"/>
        </w:rPr>
        <w:t>1150</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2007 –modificado</w:t>
      </w:r>
      <w:r w:rsidRPr="00515C0B">
        <w:rPr>
          <w:rFonts w:ascii="Verdana" w:eastAsia="Verdana" w:hAnsi="Verdana" w:cs="Verdana"/>
          <w:spacing w:val="-7"/>
          <w:lang w:val="es-ES"/>
        </w:rPr>
        <w:t xml:space="preserve"> </w:t>
      </w:r>
      <w:r w:rsidRPr="00515C0B">
        <w:rPr>
          <w:rFonts w:ascii="Verdana" w:eastAsia="Verdana" w:hAnsi="Verdana" w:cs="Verdana"/>
          <w:lang w:val="es-ES"/>
        </w:rPr>
        <w:t>por</w:t>
      </w:r>
      <w:r w:rsidRPr="00515C0B">
        <w:rPr>
          <w:rFonts w:ascii="Verdana" w:eastAsia="Verdana" w:hAnsi="Verdana" w:cs="Verdana"/>
          <w:spacing w:val="-7"/>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93</w:t>
      </w:r>
      <w:r w:rsidRPr="00515C0B">
        <w:rPr>
          <w:rFonts w:ascii="Verdana" w:eastAsia="Verdana" w:hAnsi="Verdana" w:cs="Verdana"/>
          <w:spacing w:val="-12"/>
          <w:lang w:val="es-ES"/>
        </w:rPr>
        <w:t xml:space="preserve"> </w:t>
      </w:r>
      <w:r w:rsidRPr="00515C0B">
        <w:rPr>
          <w:rFonts w:ascii="Verdana" w:eastAsia="Verdana" w:hAnsi="Verdana" w:cs="Verdana"/>
          <w:lang w:val="es-ES"/>
        </w:rPr>
        <w:t>de la Ley 1474 de 2011– dispuso un régimen exceptivo de aplicación del derecho privado para la actividad contractual de las E</w:t>
      </w:r>
      <w:r>
        <w:rPr>
          <w:rFonts w:ascii="Verdana" w:eastAsia="Verdana" w:hAnsi="Verdana" w:cs="Verdana"/>
          <w:lang w:val="es-ES"/>
        </w:rPr>
        <w:t xml:space="preserve">mpresas </w:t>
      </w:r>
      <w:r w:rsidRPr="00515C0B">
        <w:rPr>
          <w:rFonts w:ascii="Verdana" w:eastAsia="Verdana" w:hAnsi="Verdana" w:cs="Verdana"/>
          <w:lang w:val="es-ES"/>
        </w:rPr>
        <w:t>I</w:t>
      </w:r>
      <w:r>
        <w:rPr>
          <w:rFonts w:ascii="Verdana" w:eastAsia="Verdana" w:hAnsi="Verdana" w:cs="Verdana"/>
          <w:lang w:val="es-ES"/>
        </w:rPr>
        <w:t xml:space="preserve">ndustriales y </w:t>
      </w:r>
      <w:r w:rsidRPr="00515C0B">
        <w:rPr>
          <w:rFonts w:ascii="Verdana" w:eastAsia="Verdana" w:hAnsi="Verdana" w:cs="Verdana"/>
          <w:lang w:val="es-ES"/>
        </w:rPr>
        <w:t>C</w:t>
      </w:r>
      <w:r>
        <w:rPr>
          <w:rFonts w:ascii="Verdana" w:eastAsia="Verdana" w:hAnsi="Verdana" w:cs="Verdana"/>
          <w:lang w:val="es-ES"/>
        </w:rPr>
        <w:t xml:space="preserve">omerciales del </w:t>
      </w:r>
      <w:r w:rsidRPr="00515C0B">
        <w:rPr>
          <w:rFonts w:ascii="Verdana" w:eastAsia="Verdana" w:hAnsi="Verdana" w:cs="Verdana"/>
          <w:lang w:val="es-ES"/>
        </w:rPr>
        <w:t>E</w:t>
      </w:r>
      <w:r>
        <w:rPr>
          <w:rFonts w:ascii="Verdana" w:eastAsia="Verdana" w:hAnsi="Verdana" w:cs="Verdana"/>
          <w:lang w:val="es-ES"/>
        </w:rPr>
        <w:t>stado</w:t>
      </w:r>
      <w:r w:rsidRPr="00515C0B">
        <w:rPr>
          <w:rFonts w:ascii="Verdana" w:eastAsia="Verdana" w:hAnsi="Verdana" w:cs="Verdana"/>
          <w:lang w:val="es-ES"/>
        </w:rPr>
        <w:t xml:space="preserve"> que ejercen su actividad en competencia</w:t>
      </w:r>
      <w:r w:rsidRPr="00515C0B">
        <w:rPr>
          <w:rFonts w:ascii="Verdana" w:eastAsia="Verdana" w:hAnsi="Verdana" w:cs="Verdana"/>
          <w:spacing w:val="-20"/>
          <w:lang w:val="es-ES"/>
        </w:rPr>
        <w:t xml:space="preserve"> </w:t>
      </w:r>
      <w:r w:rsidRPr="00515C0B">
        <w:rPr>
          <w:rFonts w:ascii="Verdana" w:eastAsia="Verdana" w:hAnsi="Verdana" w:cs="Verdana"/>
          <w:lang w:val="es-ES"/>
        </w:rPr>
        <w:t>con</w:t>
      </w:r>
      <w:r w:rsidRPr="00515C0B">
        <w:rPr>
          <w:rFonts w:ascii="Verdana" w:eastAsia="Verdana" w:hAnsi="Verdana" w:cs="Verdana"/>
          <w:spacing w:val="-19"/>
          <w:lang w:val="es-ES"/>
        </w:rPr>
        <w:t xml:space="preserve"> </w:t>
      </w:r>
      <w:r w:rsidRPr="00515C0B">
        <w:rPr>
          <w:rFonts w:ascii="Verdana" w:eastAsia="Verdana" w:hAnsi="Verdana" w:cs="Verdana"/>
          <w:lang w:val="es-ES"/>
        </w:rPr>
        <w:t>el</w:t>
      </w:r>
      <w:r w:rsidRPr="00515C0B">
        <w:rPr>
          <w:rFonts w:ascii="Verdana" w:eastAsia="Verdana" w:hAnsi="Verdana" w:cs="Verdana"/>
          <w:spacing w:val="-19"/>
          <w:lang w:val="es-ES"/>
        </w:rPr>
        <w:t xml:space="preserve"> </w:t>
      </w:r>
      <w:r w:rsidRPr="00515C0B">
        <w:rPr>
          <w:rFonts w:ascii="Verdana" w:eastAsia="Verdana" w:hAnsi="Verdana" w:cs="Verdana"/>
          <w:lang w:val="es-ES"/>
        </w:rPr>
        <w:t>sector</w:t>
      </w:r>
      <w:r w:rsidRPr="00515C0B">
        <w:rPr>
          <w:rFonts w:ascii="Verdana" w:eastAsia="Verdana" w:hAnsi="Verdana" w:cs="Verdana"/>
          <w:spacing w:val="-20"/>
          <w:lang w:val="es-ES"/>
        </w:rPr>
        <w:t xml:space="preserve"> </w:t>
      </w:r>
      <w:r w:rsidRPr="00515C0B">
        <w:rPr>
          <w:rFonts w:ascii="Verdana" w:eastAsia="Verdana" w:hAnsi="Verdana" w:cs="Verdana"/>
          <w:lang w:val="es-ES"/>
        </w:rPr>
        <w:t>público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20"/>
          <w:lang w:val="es-ES"/>
        </w:rPr>
        <w:t xml:space="preserve"> </w:t>
      </w:r>
      <w:r w:rsidRPr="00515C0B">
        <w:rPr>
          <w:rFonts w:ascii="Verdana" w:eastAsia="Verdana" w:hAnsi="Verdana" w:cs="Verdana"/>
          <w:lang w:val="es-ES"/>
        </w:rPr>
        <w:t>privado,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19"/>
          <w:lang w:val="es-ES"/>
        </w:rPr>
        <w:t xml:space="preserve"> </w:t>
      </w:r>
      <w:r w:rsidRPr="00515C0B">
        <w:rPr>
          <w:rFonts w:ascii="Verdana" w:eastAsia="Verdana" w:hAnsi="Verdana" w:cs="Verdana"/>
          <w:lang w:val="es-ES"/>
        </w:rPr>
        <w:t>en</w:t>
      </w:r>
      <w:r w:rsidRPr="00515C0B">
        <w:rPr>
          <w:rFonts w:ascii="Verdana" w:eastAsia="Verdana" w:hAnsi="Verdana" w:cs="Verdana"/>
          <w:spacing w:val="-20"/>
          <w:lang w:val="es-ES"/>
        </w:rPr>
        <w:t xml:space="preserve"> </w:t>
      </w:r>
      <w:r w:rsidRPr="00515C0B">
        <w:rPr>
          <w:rFonts w:ascii="Verdana" w:eastAsia="Verdana" w:hAnsi="Verdana" w:cs="Verdana"/>
          <w:lang w:val="es-ES"/>
        </w:rPr>
        <w:t>mercados</w:t>
      </w:r>
      <w:r w:rsidRPr="00515C0B">
        <w:rPr>
          <w:rFonts w:ascii="Verdana" w:eastAsia="Verdana" w:hAnsi="Verdana" w:cs="Verdana"/>
          <w:spacing w:val="-19"/>
          <w:lang w:val="es-ES"/>
        </w:rPr>
        <w:t xml:space="preserve"> </w:t>
      </w:r>
      <w:r w:rsidRPr="00515C0B">
        <w:rPr>
          <w:rFonts w:ascii="Verdana" w:eastAsia="Verdana" w:hAnsi="Verdana" w:cs="Verdana"/>
          <w:lang w:val="es-ES"/>
        </w:rPr>
        <w:t>regulados,</w:t>
      </w:r>
      <w:r w:rsidRPr="00515C0B">
        <w:rPr>
          <w:rFonts w:ascii="Verdana" w:eastAsia="Verdana" w:hAnsi="Verdana" w:cs="Verdana"/>
          <w:spacing w:val="-19"/>
          <w:lang w:val="es-ES"/>
        </w:rPr>
        <w:t xml:space="preserve"> </w:t>
      </w:r>
      <w:r w:rsidRPr="00515C0B">
        <w:rPr>
          <w:rFonts w:ascii="Verdana" w:eastAsia="Verdana" w:hAnsi="Verdana" w:cs="Verdana"/>
          <w:lang w:val="es-ES"/>
        </w:rPr>
        <w:t xml:space="preserve">quedando las otras </w:t>
      </w:r>
      <w:r>
        <w:rPr>
          <w:rFonts w:ascii="Verdana" w:eastAsia="Verdana" w:hAnsi="Verdana" w:cs="Verdana"/>
          <w:lang w:val="es-ES"/>
        </w:rPr>
        <w:t>empresas de esta índole</w:t>
      </w:r>
      <w:r w:rsidRPr="00515C0B">
        <w:rPr>
          <w:rFonts w:ascii="Verdana" w:eastAsia="Verdana" w:hAnsi="Verdana" w:cs="Verdana"/>
          <w:lang w:val="es-ES"/>
        </w:rPr>
        <w:t xml:space="preserve"> dentro del ámbito de aplicación del Estatuto General de Contratación de la Administración Pública</w:t>
      </w:r>
      <w:r w:rsidRPr="00515C0B">
        <w:rPr>
          <w:rFonts w:ascii="Verdana" w:eastAsia="Verdana" w:hAnsi="Verdana" w:cs="Verdana"/>
          <w:vertAlign w:val="superscript"/>
          <w:lang w:val="es-ES"/>
        </w:rPr>
        <w:footnoteReference w:id="24"/>
      </w:r>
      <w:r w:rsidRPr="00515C0B">
        <w:rPr>
          <w:rFonts w:ascii="Verdana" w:eastAsia="Verdana" w:hAnsi="Verdana" w:cs="Verdana"/>
          <w:lang w:val="es-ES"/>
        </w:rPr>
        <w:t>. Así, la norma</w:t>
      </w:r>
      <w:r w:rsidRPr="00515C0B">
        <w:rPr>
          <w:rFonts w:ascii="Verdana" w:eastAsia="Verdana" w:hAnsi="Verdana" w:cs="Verdana"/>
          <w:spacing w:val="-1"/>
          <w:lang w:val="es-ES"/>
        </w:rPr>
        <w:t xml:space="preserve"> </w:t>
      </w:r>
      <w:r w:rsidRPr="00515C0B">
        <w:rPr>
          <w:rFonts w:ascii="Verdana" w:eastAsia="Verdana" w:hAnsi="Verdana" w:cs="Verdana"/>
          <w:lang w:val="es-ES"/>
        </w:rPr>
        <w:t>vigente respecto a</w:t>
      </w:r>
      <w:r w:rsidRPr="00515C0B">
        <w:rPr>
          <w:rFonts w:ascii="Verdana" w:eastAsia="Verdana" w:hAnsi="Verdana" w:cs="Verdana"/>
          <w:spacing w:val="-1"/>
          <w:lang w:val="es-ES"/>
        </w:rPr>
        <w:t xml:space="preserve"> </w:t>
      </w:r>
      <w:r w:rsidRPr="00515C0B">
        <w:rPr>
          <w:rFonts w:ascii="Verdana" w:eastAsia="Verdana" w:hAnsi="Verdana" w:cs="Verdana"/>
          <w:lang w:val="es-ES"/>
        </w:rPr>
        <w:t xml:space="preserve">su régimen </w:t>
      </w:r>
      <w:r w:rsidRPr="00515C0B">
        <w:rPr>
          <w:rFonts w:ascii="Verdana" w:eastAsia="Verdana" w:hAnsi="Verdana" w:cs="Verdana"/>
          <w:lang w:val="es-ES"/>
        </w:rPr>
        <w:lastRenderedPageBreak/>
        <w:t>contractual establece:</w:t>
      </w:r>
    </w:p>
    <w:p w14:paraId="0DBEE894" w14:textId="77777777" w:rsidR="00516A89" w:rsidRPr="00515C0B" w:rsidRDefault="00516A89" w:rsidP="00516A89">
      <w:pPr>
        <w:widowControl w:val="0"/>
        <w:autoSpaceDE w:val="0"/>
        <w:autoSpaceDN w:val="0"/>
        <w:spacing w:after="0" w:line="276" w:lineRule="auto"/>
        <w:ind w:firstLine="709"/>
        <w:jc w:val="both"/>
        <w:rPr>
          <w:rFonts w:ascii="Verdana" w:eastAsia="Arial" w:hAnsi="Verdana" w:cs="Arial"/>
          <w:color w:val="EE0000"/>
          <w:lang w:val="es-ES"/>
        </w:rPr>
      </w:pPr>
    </w:p>
    <w:p w14:paraId="6FED3DEB" w14:textId="77777777" w:rsidR="00516A89" w:rsidRPr="00515C0B" w:rsidRDefault="00516A89" w:rsidP="00516A89">
      <w:pPr>
        <w:spacing w:after="0" w:line="240" w:lineRule="auto"/>
        <w:ind w:left="709" w:right="709"/>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w:t>
      </w:r>
      <w:r w:rsidRPr="00515C0B">
        <w:rPr>
          <w:rFonts w:ascii="Verdana" w:eastAsia="Times New Roman" w:hAnsi="Verdana" w:cs="Arial"/>
          <w:sz w:val="20"/>
          <w:szCs w:val="20"/>
          <w:lang w:eastAsia="es-ES_tradnl"/>
        </w:rPr>
        <w:t>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Verdana" w:eastAsia="Times New Roman" w:hAnsi="Verdana" w:cs="Arial"/>
          <w:sz w:val="20"/>
          <w:szCs w:val="20"/>
          <w:lang w:eastAsia="es-ES_tradnl"/>
        </w:rPr>
        <w:t>”</w:t>
      </w:r>
      <w:r w:rsidRPr="00515C0B">
        <w:rPr>
          <w:rFonts w:ascii="Calibri" w:eastAsia="Times New Roman" w:hAnsi="Calibri" w:cs="Arial"/>
          <w:sz w:val="20"/>
          <w:szCs w:val="20"/>
          <w:vertAlign w:val="superscript"/>
          <w:lang w:eastAsia="es-ES_tradnl"/>
        </w:rPr>
        <w:footnoteReference w:id="25"/>
      </w:r>
      <w:r w:rsidRPr="00515C0B">
        <w:rPr>
          <w:rFonts w:ascii="Verdana" w:eastAsia="Times New Roman" w:hAnsi="Verdana" w:cs="Arial"/>
          <w:sz w:val="20"/>
          <w:szCs w:val="20"/>
          <w:lang w:eastAsia="es-ES_tradnl"/>
        </w:rPr>
        <w:t>.</w:t>
      </w:r>
    </w:p>
    <w:p w14:paraId="7B6D5D80" w14:textId="77777777" w:rsidR="00516A89" w:rsidRPr="00515C0B" w:rsidRDefault="00516A89" w:rsidP="00516A89">
      <w:pPr>
        <w:spacing w:after="0"/>
        <w:ind w:left="709" w:right="709"/>
        <w:jc w:val="both"/>
        <w:rPr>
          <w:rFonts w:ascii="Verdana" w:eastAsia="Calibri" w:hAnsi="Verdana" w:cs="Times New Roman"/>
          <w:sz w:val="21"/>
          <w:szCs w:val="21"/>
        </w:rPr>
      </w:pPr>
    </w:p>
    <w:bookmarkEnd w:id="1"/>
    <w:bookmarkEnd w:id="2"/>
    <w:p w14:paraId="580955CE" w14:textId="77777777" w:rsidR="00A432B9" w:rsidRDefault="00516A89" w:rsidP="00890D3E">
      <w:pPr>
        <w:spacing w:after="120" w:line="276" w:lineRule="auto"/>
        <w:ind w:firstLine="708"/>
        <w:jc w:val="both"/>
        <w:rPr>
          <w:rFonts w:ascii="Verdana" w:hAnsi="Verdana" w:cs="Arial"/>
          <w:bCs/>
          <w:color w:val="000000" w:themeColor="text1"/>
          <w:lang w:val="es-MX" w:eastAsia="x-none"/>
        </w:rPr>
      </w:pPr>
      <w:r w:rsidRPr="00195E24">
        <w:rPr>
          <w:rFonts w:ascii="Verdana" w:hAnsi="Verdana" w:cs="Arial"/>
          <w:bCs/>
          <w:color w:val="000000" w:themeColor="text1"/>
          <w:lang w:val="es-MX" w:eastAsia="x-none"/>
        </w:rPr>
        <w:t>Ahora bien,</w:t>
      </w:r>
      <w:r w:rsidR="003A7FA5">
        <w:rPr>
          <w:rFonts w:ascii="Verdana" w:hAnsi="Verdana" w:cs="Arial"/>
          <w:bCs/>
          <w:color w:val="000000" w:themeColor="text1"/>
          <w:lang w:val="es-MX" w:eastAsia="x-none"/>
        </w:rPr>
        <w:t xml:space="preserve"> en relación con los destinatarios de la</w:t>
      </w:r>
      <w:r w:rsidR="00A432B9">
        <w:rPr>
          <w:rFonts w:ascii="Verdana" w:hAnsi="Verdana" w:cs="Arial"/>
          <w:bCs/>
          <w:color w:val="000000" w:themeColor="text1"/>
          <w:lang w:val="es-MX" w:eastAsia="x-none"/>
        </w:rPr>
        <w:t>s restricciones</w:t>
      </w:r>
      <w:r w:rsidRPr="00195E24">
        <w:rPr>
          <w:rFonts w:ascii="Verdana" w:hAnsi="Verdana" w:cs="Arial"/>
          <w:bCs/>
          <w:color w:val="000000" w:themeColor="text1"/>
          <w:lang w:val="es-MX" w:eastAsia="x-none"/>
        </w:rPr>
        <w:t>, el artículo 33 de la Ley 996 de 2005 los señala expresamente, en el sentido de que son “</w:t>
      </w:r>
      <w:r w:rsidRPr="00195E24">
        <w:rPr>
          <w:rFonts w:ascii="Verdana" w:hAnsi="Verdana" w:cs="Arial"/>
          <w:bCs/>
          <w:i/>
          <w:iCs/>
          <w:color w:val="000000" w:themeColor="text1"/>
          <w:lang w:val="es-MX" w:eastAsia="x-none"/>
        </w:rPr>
        <w:t>todos los entes del Estado</w:t>
      </w:r>
      <w:r w:rsidRPr="00195E24">
        <w:rPr>
          <w:rFonts w:ascii="Verdana" w:hAnsi="Verdana" w:cs="Arial"/>
          <w:bCs/>
          <w:color w:val="000000" w:themeColor="text1"/>
          <w:lang w:val="es-MX" w:eastAsia="x-none"/>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2DA8DE87" w14:textId="37C01716" w:rsidR="00516A89" w:rsidRPr="00195E24" w:rsidRDefault="00516A89" w:rsidP="005800D0">
      <w:pPr>
        <w:spacing w:after="120" w:line="276" w:lineRule="auto"/>
        <w:ind w:firstLine="708"/>
        <w:jc w:val="both"/>
        <w:rPr>
          <w:rFonts w:ascii="Verdana" w:hAnsi="Verdana" w:cs="Arial"/>
          <w:bCs/>
          <w:color w:val="000000" w:themeColor="text1"/>
          <w:lang w:val="es-MX" w:eastAsia="x-none"/>
        </w:rPr>
      </w:pPr>
      <w:r w:rsidRPr="00195E24">
        <w:rPr>
          <w:rFonts w:ascii="Verdana" w:hAnsi="Verdana" w:cs="Arial"/>
          <w:bCs/>
          <w:color w:val="000000" w:themeColor="text1"/>
          <w:lang w:val="es-MX" w:eastAsia="x-none"/>
        </w:rPr>
        <w:t xml:space="preserve">La Sala de Consulta y Servicio Civil del Consejo de Estado, en Concepto 1727 del 20 de febrero de 2006, consideró que el artículo 33 de la ley 996 de 2005, efectivamente se aplica incluso a las </w:t>
      </w:r>
      <w:r w:rsidR="00A432B9" w:rsidRPr="00195E24">
        <w:rPr>
          <w:rFonts w:ascii="Verdana" w:hAnsi="Verdana" w:cs="Arial"/>
          <w:bCs/>
          <w:color w:val="000000" w:themeColor="text1"/>
          <w:lang w:val="es-MX" w:eastAsia="x-none"/>
        </w:rPr>
        <w:t>Entidades Estatales</w:t>
      </w:r>
      <w:r w:rsidRPr="00195E24">
        <w:rPr>
          <w:rFonts w:ascii="Verdana" w:hAnsi="Verdana" w:cs="Arial"/>
          <w:bCs/>
          <w:color w:val="000000" w:themeColor="text1"/>
          <w:lang w:val="es-MX" w:eastAsia="x-none"/>
        </w:rPr>
        <w:t xml:space="preserve"> con régimen especial de contratación y que están exceptuadas del ámbito de aplicación del Estatuto General de Contratación de la Administración Pública, como por ejemplo “los prestadores de servicios públicos domiciliarios (empresas de servicios </w:t>
      </w:r>
      <w:r w:rsidRPr="00195E24">
        <w:rPr>
          <w:rFonts w:ascii="Verdana" w:hAnsi="Verdana" w:cs="Arial"/>
          <w:bCs/>
          <w:color w:val="000000" w:themeColor="text1"/>
          <w:lang w:val="es-MX" w:eastAsia="x-none"/>
        </w:rPr>
        <w:lastRenderedPageBreak/>
        <w:t>públicos oficiales y empresas industriales y comerciales del Estado) y a los municipios prestadores directos, incluyendo las excepciones contenidas en el segundo inciso de esta norma”</w:t>
      </w:r>
      <w:r w:rsidRPr="00195E24">
        <w:rPr>
          <w:rFonts w:ascii="Verdana" w:hAnsi="Verdana" w:cs="Arial"/>
          <w:bCs/>
          <w:color w:val="000000" w:themeColor="text1"/>
          <w:vertAlign w:val="superscript"/>
          <w:lang w:val="es-MX" w:eastAsia="x-none"/>
        </w:rPr>
        <w:footnoteReference w:id="26"/>
      </w:r>
      <w:r w:rsidRPr="00195E24">
        <w:rPr>
          <w:rFonts w:ascii="Verdana" w:hAnsi="Verdana" w:cs="Arial"/>
          <w:bCs/>
          <w:color w:val="000000" w:themeColor="text1"/>
          <w:lang w:val="es-MX" w:eastAsia="x-none"/>
        </w:rPr>
        <w:t xml:space="preserve">. </w:t>
      </w:r>
    </w:p>
    <w:p w14:paraId="426DB197" w14:textId="77777777" w:rsidR="00516A89" w:rsidRPr="00CE0D82" w:rsidRDefault="00516A89" w:rsidP="003303A5">
      <w:pPr>
        <w:spacing w:after="0" w:line="276" w:lineRule="auto"/>
        <w:ind w:firstLine="708"/>
        <w:jc w:val="both"/>
        <w:rPr>
          <w:rFonts w:ascii="Verdana" w:hAnsi="Verdana" w:cs="Arial"/>
          <w:color w:val="000000" w:themeColor="text1"/>
          <w:lang w:val="es-MX"/>
        </w:rPr>
      </w:pPr>
      <w:r w:rsidRPr="00CE0D82">
        <w:rPr>
          <w:rFonts w:ascii="Verdana" w:hAnsi="Verdana" w:cs="Arial"/>
          <w:bCs/>
          <w:color w:val="000000" w:themeColor="text1"/>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27"/>
      </w:r>
      <w:r w:rsidRPr="00CE0D82">
        <w:rPr>
          <w:rFonts w:ascii="Verdana" w:hAnsi="Verdana" w:cs="Arial"/>
          <w:bCs/>
          <w:color w:val="000000" w:themeColor="text1"/>
          <w:lang w:val="es-MX" w:eastAsia="x-none"/>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7B549549" w14:textId="77777777" w:rsidR="003303A5" w:rsidRPr="00CE0D82" w:rsidRDefault="003303A5" w:rsidP="005800D0">
      <w:pPr>
        <w:spacing w:after="0" w:line="276" w:lineRule="auto"/>
        <w:ind w:firstLine="708"/>
        <w:jc w:val="both"/>
        <w:rPr>
          <w:rFonts w:ascii="Verdana" w:hAnsi="Verdana" w:cs="Arial"/>
          <w:color w:val="000000" w:themeColor="text1"/>
          <w:lang w:val="es-MX"/>
        </w:rPr>
      </w:pPr>
    </w:p>
    <w:p w14:paraId="0542D1D0" w14:textId="77777777" w:rsidR="00516A89" w:rsidRDefault="00516A89" w:rsidP="003303A5">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3C571E8A" w14:textId="77777777" w:rsidR="00393651" w:rsidRPr="005800D0" w:rsidRDefault="00393651" w:rsidP="005800D0">
      <w:pPr>
        <w:spacing w:after="0" w:line="240" w:lineRule="auto"/>
        <w:ind w:left="709" w:right="709"/>
        <w:jc w:val="both"/>
        <w:rPr>
          <w:rFonts w:ascii="Verdana" w:hAnsi="Verdana" w:cs="Arial"/>
          <w:color w:val="000000" w:themeColor="text1"/>
          <w:sz w:val="20"/>
          <w:szCs w:val="20"/>
          <w:lang w:val="es-MX"/>
        </w:rPr>
      </w:pPr>
    </w:p>
    <w:p w14:paraId="6F77D7E0" w14:textId="15502A1A" w:rsidR="00516A89" w:rsidRPr="005800D0" w:rsidRDefault="00516A89" w:rsidP="005800D0">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 xml:space="preserve">Aplicando este razonamiento a los establecimientos de crédito, a las sociedades de servicios financieros y a las entidades aseguradoras, </w:t>
      </w:r>
      <w:r w:rsidRPr="005800D0">
        <w:rPr>
          <w:rFonts w:ascii="Verdana" w:hAnsi="Verdana" w:cs="Arial"/>
          <w:color w:val="000000" w:themeColor="text1"/>
          <w:sz w:val="20"/>
          <w:szCs w:val="20"/>
          <w:lang w:val="es-MX"/>
        </w:rPr>
        <w:lastRenderedPageBreak/>
        <w:t>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00B53A89">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8"/>
      </w:r>
      <w:r w:rsidRPr="005800D0">
        <w:rPr>
          <w:rFonts w:ascii="Verdana" w:hAnsi="Verdana" w:cs="Arial"/>
          <w:color w:val="000000" w:themeColor="text1"/>
          <w:sz w:val="20"/>
          <w:szCs w:val="20"/>
          <w:lang w:val="es-MX" w:eastAsia="x-none"/>
        </w:rPr>
        <w:t>.</w:t>
      </w:r>
    </w:p>
    <w:p w14:paraId="4A9DE3F7" w14:textId="77777777" w:rsidR="003303A5" w:rsidRDefault="003303A5" w:rsidP="005800D0">
      <w:pPr>
        <w:spacing w:after="0" w:line="276" w:lineRule="auto"/>
        <w:ind w:firstLine="709"/>
        <w:jc w:val="both"/>
        <w:rPr>
          <w:rFonts w:ascii="Verdana" w:hAnsi="Verdana" w:cs="Arial"/>
          <w:color w:val="000000" w:themeColor="text1"/>
          <w:lang w:val="es-MX"/>
        </w:rPr>
      </w:pPr>
    </w:p>
    <w:p w14:paraId="00630090" w14:textId="77777777" w:rsidR="00AF0EED" w:rsidRDefault="00516A89" w:rsidP="00516A89">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 la aplicación del E</w:t>
      </w:r>
      <w:r w:rsidR="006F79A6">
        <w:rPr>
          <w:rFonts w:ascii="Verdana" w:hAnsi="Verdana" w:cs="Arial"/>
          <w:color w:val="000000" w:themeColor="text1"/>
          <w:lang w:val="es-MX"/>
        </w:rPr>
        <w:t xml:space="preserve">statuto </w:t>
      </w:r>
      <w:r w:rsidRPr="00195E24">
        <w:rPr>
          <w:rFonts w:ascii="Verdana" w:hAnsi="Verdana" w:cs="Arial"/>
          <w:color w:val="000000" w:themeColor="text1"/>
          <w:lang w:val="es-MX"/>
        </w:rPr>
        <w:t>G</w:t>
      </w:r>
      <w:r w:rsidR="006F79A6">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sidR="006F79A6">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sidR="006F79A6">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sidR="006F79A6">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00195E24">
        <w:rPr>
          <w:rFonts w:ascii="Verdana" w:hAnsi="Verdana" w:cs="Arial"/>
          <w:bCs/>
          <w:color w:val="000000" w:themeColor="text1"/>
          <w:lang w:val="es-MX" w:eastAsia="x-none"/>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9"/>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254680BA" w14:textId="77777777" w:rsidR="00BC1A03" w:rsidRPr="00195E24" w:rsidRDefault="00516A89" w:rsidP="00BC1A03">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w:t>
      </w:r>
      <w:r w:rsidR="006D63FB" w:rsidRPr="00CE0D82">
        <w:rPr>
          <w:rFonts w:ascii="Verdana" w:hAnsi="Verdana" w:cs="Arial"/>
          <w:bCs/>
          <w:color w:val="000000" w:themeColor="text1"/>
          <w:lang w:val="es-MX" w:eastAsia="x-none"/>
        </w:rPr>
        <w:t>Entidad Pública</w:t>
      </w:r>
      <w:r w:rsidRPr="00CE0D82">
        <w:rPr>
          <w:rFonts w:ascii="Verdana" w:hAnsi="Verdana" w:cs="Arial"/>
          <w:bCs/>
          <w:color w:val="000000" w:themeColor="text1"/>
          <w:lang w:val="es-MX" w:eastAsia="x-none"/>
        </w:rPr>
        <w:t xml:space="preserve"> independiente del régimen jurídico, que pueda mediante la contratación directa romper el equilibrio entre los candidatos en desarrollo de las elecciones presidenciales. </w:t>
      </w:r>
      <w:r w:rsidR="00BC1A03">
        <w:rPr>
          <w:rFonts w:ascii="Verdana" w:hAnsi="Verdana" w:cs="Arial"/>
          <w:color w:val="000000" w:themeColor="text1"/>
          <w:lang w:eastAsia="es-CO"/>
        </w:rPr>
        <w:t xml:space="preserve">En este sentido, respecto a sus consultas, es pertinente señalar que las empresas industriales y comerciales del Estado en vigencia de la Ley de Garantías Electorales no podrán hacer contrataciones bajo la modalidad de contratación directa, </w:t>
      </w:r>
      <w:r w:rsidR="00BC1A03" w:rsidRPr="00195E24">
        <w:rPr>
          <w:rFonts w:ascii="Verdana" w:hAnsi="Verdana" w:cs="Arial"/>
          <w:color w:val="000000" w:themeColor="text1"/>
          <w:lang w:val="es-MX"/>
        </w:rPr>
        <w:t>sino por mecanismos competitivos que impliquen convocatoria pública y la posibilidad de la existencia de pluralidad de oferentes</w:t>
      </w:r>
      <w:r w:rsidR="00BC1A03">
        <w:rPr>
          <w:rFonts w:ascii="Verdana" w:hAnsi="Verdana" w:cs="Arial"/>
          <w:color w:val="000000" w:themeColor="text1"/>
          <w:lang w:val="es-MX"/>
        </w:rPr>
        <w:t xml:space="preserve">. </w:t>
      </w:r>
    </w:p>
    <w:p w14:paraId="49727D73" w14:textId="1CC51C1D" w:rsidR="00516A89" w:rsidRPr="00CE0D82" w:rsidRDefault="00516A89" w:rsidP="00516A89">
      <w:pPr>
        <w:spacing w:line="276" w:lineRule="auto"/>
        <w:ind w:firstLine="709"/>
        <w:jc w:val="both"/>
        <w:rPr>
          <w:rFonts w:ascii="Verdana" w:hAnsi="Verdana" w:cs="Arial"/>
          <w:bCs/>
          <w:color w:val="000000" w:themeColor="text1"/>
          <w:lang w:val="es-MX" w:eastAsia="x-none"/>
        </w:rPr>
      </w:pPr>
      <w:r w:rsidRPr="00CE0D82">
        <w:rPr>
          <w:rFonts w:ascii="Verdana" w:hAnsi="Verdana" w:cs="Arial"/>
          <w:bCs/>
          <w:color w:val="000000" w:themeColor="text1"/>
          <w:lang w:val="es-MX" w:eastAsia="x-none"/>
        </w:rPr>
        <w:lastRenderedPageBreak/>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4D5D5FC1" w14:textId="52AEA828" w:rsidR="008C381D" w:rsidRPr="00E2397D" w:rsidRDefault="00CE5774" w:rsidP="005800D0">
      <w:pPr>
        <w:spacing w:after="0" w:line="276" w:lineRule="auto"/>
        <w:ind w:firstLine="709"/>
        <w:jc w:val="both"/>
        <w:rPr>
          <w:rFonts w:ascii="Verdana" w:eastAsia="Times New Roman" w:hAnsi="Verdana" w:cs="Arial"/>
          <w:lang w:val="es-MX" w:eastAsia="es-CO"/>
        </w:rPr>
      </w:pPr>
      <w:r>
        <w:rPr>
          <w:rFonts w:ascii="Verdana" w:eastAsia="Arial" w:hAnsi="Verdana" w:cs="Arial"/>
          <w:lang w:val="es-MX" w:eastAsia="es-ES" w:bidi="es-ES"/>
        </w:rPr>
        <w:t>Ahora bien</w:t>
      </w:r>
      <w:r w:rsidR="008C381D" w:rsidRPr="00E2397D">
        <w:rPr>
          <w:rFonts w:ascii="Verdana" w:eastAsia="Arial" w:hAnsi="Verdana" w:cs="Arial"/>
          <w:lang w:val="es-MX" w:eastAsia="es-ES" w:bidi="es-ES"/>
        </w:rPr>
        <w:t xml:space="preserve">, </w:t>
      </w:r>
      <w:r>
        <w:rPr>
          <w:rFonts w:ascii="Verdana" w:eastAsia="Arial" w:hAnsi="Verdana" w:cs="Arial"/>
          <w:lang w:val="es-MX" w:eastAsia="es-ES" w:bidi="es-ES"/>
        </w:rPr>
        <w:t>tratándose del</w:t>
      </w:r>
      <w:r w:rsidRPr="00E2397D">
        <w:rPr>
          <w:rFonts w:ascii="Verdana" w:eastAsia="Times New Roman" w:hAnsi="Verdana" w:cs="Arial"/>
          <w:lang w:val="es-MX" w:eastAsia="es-CO"/>
        </w:rPr>
        <w:t xml:space="preserve"> parágrafo del </w:t>
      </w:r>
      <w:r>
        <w:rPr>
          <w:rFonts w:ascii="Verdana" w:eastAsia="Arial" w:hAnsi="Verdana" w:cs="Arial"/>
          <w:lang w:val="es-MX" w:eastAsia="es-ES" w:bidi="es-ES"/>
        </w:rPr>
        <w:t xml:space="preserve">artículo 38 </w:t>
      </w:r>
      <w:r w:rsidR="008C381D" w:rsidRPr="00E2397D">
        <w:rPr>
          <w:rFonts w:ascii="Verdana" w:eastAsia="Arial" w:hAnsi="Verdana" w:cs="Arial"/>
          <w:lang w:val="es-MX" w:eastAsia="es-ES" w:bidi="es-ES"/>
        </w:rPr>
        <w:t>s</w:t>
      </w:r>
      <w:proofErr w:type="spellStart"/>
      <w:r w:rsidR="008C381D" w:rsidRPr="00E2397D">
        <w:rPr>
          <w:rFonts w:ascii="Verdana" w:eastAsia="Times New Roman" w:hAnsi="Verdana" w:cs="Arial"/>
          <w:lang w:eastAsia="es-CO"/>
        </w:rPr>
        <w:t>e</w:t>
      </w:r>
      <w:proofErr w:type="spellEnd"/>
      <w:r w:rsidR="008C381D" w:rsidRPr="00E2397D">
        <w:rPr>
          <w:rFonts w:ascii="Verdana" w:eastAsia="Times New Roman" w:hAnsi="Verdana" w:cs="Arial"/>
          <w:lang w:eastAsia="es-CO"/>
        </w:rPr>
        <w:t xml:space="preserve"> observa entonces que </w:t>
      </w:r>
      <w:r w:rsidR="008C381D" w:rsidRPr="00E2397D">
        <w:rPr>
          <w:rFonts w:ascii="Verdana" w:eastAsia="Times New Roman" w:hAnsi="Verdana" w:cs="Arial"/>
          <w:lang w:val="es-MX" w:eastAsia="es-CO"/>
        </w:rPr>
        <w:t xml:space="preserve">prohíbe a los </w:t>
      </w:r>
      <w:proofErr w:type="gramStart"/>
      <w:r w:rsidR="008C381D" w:rsidRPr="00E2397D">
        <w:rPr>
          <w:rFonts w:ascii="Verdana" w:eastAsia="Times New Roman" w:hAnsi="Verdana" w:cs="Arial"/>
          <w:lang w:val="es-MX" w:eastAsia="es-CO"/>
        </w:rPr>
        <w:t>Alcaldes</w:t>
      </w:r>
      <w:proofErr w:type="gramEnd"/>
      <w:r w:rsidR="008C381D" w:rsidRPr="00E2397D">
        <w:rPr>
          <w:rFonts w:ascii="Verdana" w:eastAsia="Times New Roman" w:hAnsi="Verdana" w:cs="Arial"/>
          <w:lang w:val="es-MX" w:eastAsia="es-CO"/>
        </w:rPr>
        <w:t xml:space="preserve">, Gobernadores, </w:t>
      </w:r>
      <w:proofErr w:type="gramStart"/>
      <w:r w:rsidR="008C381D" w:rsidRPr="00E2397D">
        <w:rPr>
          <w:rFonts w:ascii="Verdana" w:eastAsia="Times New Roman" w:hAnsi="Verdana" w:cs="Arial"/>
          <w:lang w:val="es-MX" w:eastAsia="es-CO"/>
        </w:rPr>
        <w:t>Secretarios</w:t>
      </w:r>
      <w:proofErr w:type="gramEnd"/>
      <w:r w:rsidR="008C381D" w:rsidRPr="00E2397D">
        <w:rPr>
          <w:rFonts w:ascii="Verdana" w:eastAsia="Times New Roman" w:hAnsi="Verdana" w:cs="Arial"/>
          <w:lang w:val="es-MX" w:eastAsia="es-CO"/>
        </w:rPr>
        <w:t xml:space="preserve">, Gerentes y </w:t>
      </w:r>
      <w:proofErr w:type="gramStart"/>
      <w:r w:rsidR="008C381D" w:rsidRPr="00E2397D">
        <w:rPr>
          <w:rFonts w:ascii="Verdana" w:eastAsia="Times New Roman" w:hAnsi="Verdana" w:cs="Arial"/>
          <w:lang w:val="es-MX" w:eastAsia="es-CO"/>
        </w:rPr>
        <w:t>Directores</w:t>
      </w:r>
      <w:proofErr w:type="gramEnd"/>
      <w:r w:rsidR="008C381D" w:rsidRPr="00E2397D">
        <w:rPr>
          <w:rFonts w:ascii="Verdana" w:eastAsia="Times New Roman" w:hAnsi="Verdana" w:cs="Arial"/>
          <w:lang w:val="es-MX" w:eastAsia="es-CO"/>
        </w:rPr>
        <w:t xml:space="preserve"> de las entidades del orden municipal, departamental o distrital celebrar </w:t>
      </w:r>
      <w:r w:rsidR="008C381D" w:rsidRPr="00E2397D">
        <w:rPr>
          <w:rFonts w:ascii="Verdana" w:eastAsia="Times New Roman" w:hAnsi="Verdana" w:cs="Arial"/>
          <w:i/>
          <w:iCs/>
          <w:lang w:val="es-MX" w:eastAsia="es-CO"/>
        </w:rPr>
        <w:t>convenios interadministrativos</w:t>
      </w:r>
      <w:r w:rsidR="008C381D"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008C381D" w:rsidRPr="00E2397D">
        <w:rPr>
          <w:rFonts w:ascii="Verdana" w:eastAsia="Times New Roman" w:hAnsi="Verdana" w:cs="Arial"/>
          <w:i/>
          <w:lang w:val="es-MX" w:eastAsia="es-CO"/>
        </w:rPr>
        <w:t>ibidem</w:t>
      </w:r>
      <w:r w:rsidR="008C381D" w:rsidRPr="00E2397D">
        <w:rPr>
          <w:rFonts w:ascii="Verdana" w:eastAsia="Times New Roman" w:hAnsi="Verdana" w:cs="Arial"/>
          <w:lang w:val="es-MX" w:eastAsia="es-CO"/>
        </w:rPr>
        <w:t xml:space="preserve">, no podrá celebrar tales </w:t>
      </w:r>
      <w:r w:rsidR="008C381D" w:rsidRPr="00E2397D">
        <w:rPr>
          <w:rFonts w:ascii="Verdana" w:eastAsia="Times New Roman" w:hAnsi="Verdana" w:cs="Arial"/>
          <w:i/>
          <w:iCs/>
          <w:lang w:val="es-MX" w:eastAsia="es-CO"/>
        </w:rPr>
        <w:t>convenios</w:t>
      </w:r>
      <w:r w:rsidR="008C381D"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w:t>
      </w:r>
      <w:r w:rsidR="008C381D">
        <w:rPr>
          <w:rFonts w:ascii="Verdana" w:eastAsia="Times New Roman" w:hAnsi="Verdana" w:cs="Arial"/>
          <w:lang w:val="es-MX" w:eastAsia="es-CO"/>
        </w:rPr>
        <w:t>a juicio de</w:t>
      </w:r>
      <w:r w:rsidR="008C381D" w:rsidRPr="00E2397D">
        <w:rPr>
          <w:rFonts w:ascii="Verdana" w:eastAsia="Times New Roman" w:hAnsi="Verdana" w:cs="Arial"/>
          <w:lang w:val="es-MX" w:eastAsia="es-CO"/>
        </w:rPr>
        <w:t xml:space="preserve"> esta Agencia tal restricción también cobijaría a los contratos interadministrativos.  </w:t>
      </w:r>
    </w:p>
    <w:p w14:paraId="484387D5" w14:textId="77777777" w:rsidR="00516A89" w:rsidRPr="000E722C" w:rsidRDefault="00516A89" w:rsidP="00516A89">
      <w:pPr>
        <w:spacing w:after="0" w:line="276" w:lineRule="auto"/>
        <w:jc w:val="both"/>
        <w:rPr>
          <w:rFonts w:ascii="Verdana" w:eastAsia="Calibri" w:hAnsi="Verdana" w:cs="Arial"/>
          <w:color w:val="EE0000"/>
          <w:szCs w:val="24"/>
          <w:lang w:val="es-MX" w:eastAsia="es-ES_tradnl"/>
        </w:rPr>
      </w:pPr>
    </w:p>
    <w:p w14:paraId="61BED529" w14:textId="77777777" w:rsidR="00516A89" w:rsidRPr="00515C0B" w:rsidRDefault="00516A89" w:rsidP="00516A89">
      <w:pPr>
        <w:tabs>
          <w:tab w:val="left" w:pos="142"/>
          <w:tab w:val="left" w:pos="284"/>
        </w:tabs>
        <w:spacing w:after="0" w:line="276" w:lineRule="auto"/>
        <w:jc w:val="both"/>
        <w:rPr>
          <w:rFonts w:ascii="Verdana" w:eastAsia="Century Gothic" w:hAnsi="Verdana" w:cs="Century Gothic"/>
          <w:b/>
          <w:bCs/>
        </w:rPr>
      </w:pPr>
      <w:r w:rsidRPr="00515C0B">
        <w:rPr>
          <w:rFonts w:ascii="Verdana" w:eastAsia="Century Gothic" w:hAnsi="Verdana" w:cs="Century Gothic"/>
          <w:b/>
          <w:bCs/>
        </w:rPr>
        <w:t>4. Referencias normativas, jurisprudenciales y otras fuentes:</w:t>
      </w:r>
    </w:p>
    <w:p w14:paraId="71047D7A" w14:textId="77777777" w:rsidR="00516A89" w:rsidRPr="00515C0B" w:rsidRDefault="00516A89" w:rsidP="00516A89">
      <w:pPr>
        <w:widowControl w:val="0"/>
        <w:autoSpaceDE w:val="0"/>
        <w:autoSpaceDN w:val="0"/>
        <w:spacing w:after="0" w:line="276" w:lineRule="auto"/>
        <w:jc w:val="both"/>
        <w:rPr>
          <w:rFonts w:ascii="Verdana" w:eastAsia="Calibri" w:hAnsi="Verdana" w:cs="Arial"/>
          <w:color w:val="EE000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6A89" w:rsidRPr="00515C0B" w14:paraId="228C7935" w14:textId="77777777" w:rsidTr="00E855E2">
        <w:trPr>
          <w:trHeight w:val="632"/>
        </w:trPr>
        <w:tc>
          <w:tcPr>
            <w:tcW w:w="8647" w:type="dxa"/>
          </w:tcPr>
          <w:p w14:paraId="544EADA0" w14:textId="77777777" w:rsidR="00516A89" w:rsidRDefault="00516A89" w:rsidP="00E855E2">
            <w:pPr>
              <w:widowControl w:val="0"/>
              <w:numPr>
                <w:ilvl w:val="0"/>
                <w:numId w:val="16"/>
              </w:numPr>
              <w:autoSpaceDE w:val="0"/>
              <w:autoSpaceDN w:val="0"/>
              <w:spacing w:line="276" w:lineRule="auto"/>
              <w:ind w:left="714" w:hanging="357"/>
              <w:jc w:val="both"/>
              <w:rPr>
                <w:rFonts w:ascii="Verdana" w:eastAsia="Calibri" w:hAnsi="Verdana" w:cs="Arial"/>
              </w:rPr>
            </w:pPr>
            <w:r w:rsidRPr="00386D7A">
              <w:rPr>
                <w:rFonts w:ascii="Verdana" w:eastAsia="Calibri" w:hAnsi="Verdana" w:cs="Arial"/>
              </w:rPr>
              <w:t>Ley 80 de 1993, artículo 2 y 3.</w:t>
            </w:r>
          </w:p>
          <w:p w14:paraId="6967BA26" w14:textId="77777777" w:rsidR="00516A89" w:rsidRPr="00386D7A" w:rsidRDefault="00516A89" w:rsidP="00E855E2">
            <w:pPr>
              <w:widowControl w:val="0"/>
              <w:numPr>
                <w:ilvl w:val="0"/>
                <w:numId w:val="16"/>
              </w:numPr>
              <w:autoSpaceDE w:val="0"/>
              <w:autoSpaceDN w:val="0"/>
              <w:spacing w:line="276" w:lineRule="auto"/>
              <w:ind w:left="714" w:hanging="357"/>
              <w:jc w:val="both"/>
              <w:rPr>
                <w:rFonts w:ascii="Verdana" w:eastAsia="Calibri" w:hAnsi="Verdana" w:cs="Arial"/>
              </w:rPr>
            </w:pPr>
            <w:r w:rsidRPr="00515C0B">
              <w:rPr>
                <w:rFonts w:ascii="Verdana" w:eastAsia="Verdana" w:hAnsi="Verdana" w:cs="Verdana"/>
                <w:lang w:val="es-ES"/>
              </w:rPr>
              <w:t>Ley</w:t>
            </w:r>
            <w:r w:rsidRPr="00515C0B">
              <w:rPr>
                <w:rFonts w:ascii="Verdana" w:eastAsia="Verdana" w:hAnsi="Verdana" w:cs="Verdana"/>
                <w:spacing w:val="-8"/>
                <w:lang w:val="es-ES"/>
              </w:rPr>
              <w:t xml:space="preserve"> </w:t>
            </w:r>
            <w:r w:rsidRPr="00515C0B">
              <w:rPr>
                <w:rFonts w:ascii="Verdana" w:eastAsia="Verdana" w:hAnsi="Verdana" w:cs="Verdana"/>
                <w:lang w:val="es-ES"/>
              </w:rPr>
              <w:t>1150</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2007</w:t>
            </w:r>
            <w:r>
              <w:rPr>
                <w:rFonts w:ascii="Verdana" w:eastAsia="Verdana" w:hAnsi="Verdana" w:cs="Verdana"/>
                <w:lang w:val="es-ES"/>
              </w:rPr>
              <w:t>, articulo 14.</w:t>
            </w:r>
          </w:p>
          <w:p w14:paraId="4B5D3AA4" w14:textId="77777777" w:rsidR="00516A89" w:rsidRPr="00CE0D82" w:rsidRDefault="00516A89" w:rsidP="00E855E2">
            <w:pPr>
              <w:widowControl w:val="0"/>
              <w:numPr>
                <w:ilvl w:val="0"/>
                <w:numId w:val="16"/>
              </w:numPr>
              <w:autoSpaceDE w:val="0"/>
              <w:autoSpaceDN w:val="0"/>
              <w:spacing w:line="276" w:lineRule="auto"/>
              <w:ind w:left="714" w:hanging="357"/>
              <w:jc w:val="both"/>
              <w:rPr>
                <w:rFonts w:ascii="Verdana" w:eastAsia="Calibri" w:hAnsi="Verdana" w:cs="Arial"/>
                <w:color w:val="EE0000"/>
              </w:rPr>
            </w:pPr>
            <w:r w:rsidRPr="00CE0D82">
              <w:rPr>
                <w:rFonts w:ascii="Verdana" w:hAnsi="Verdana" w:cs="Arial"/>
                <w:color w:val="000000" w:themeColor="text1"/>
                <w:lang w:val="es-MX"/>
              </w:rPr>
              <w:t>Ley 996 de 2005</w:t>
            </w:r>
            <w:r>
              <w:rPr>
                <w:rFonts w:ascii="Verdana" w:hAnsi="Verdana" w:cs="Arial"/>
                <w:color w:val="000000" w:themeColor="text1"/>
                <w:lang w:val="es-MX"/>
              </w:rPr>
              <w:t>, artículos 33 y 38.</w:t>
            </w:r>
          </w:p>
          <w:p w14:paraId="529F8290" w14:textId="647BD95B" w:rsidR="00516A89" w:rsidRPr="00CE0D82" w:rsidRDefault="00516A89" w:rsidP="00E855E2">
            <w:pPr>
              <w:widowControl w:val="0"/>
              <w:numPr>
                <w:ilvl w:val="0"/>
                <w:numId w:val="16"/>
              </w:numPr>
              <w:autoSpaceDE w:val="0"/>
              <w:autoSpaceDN w:val="0"/>
              <w:spacing w:line="276" w:lineRule="auto"/>
              <w:ind w:left="714" w:hanging="357"/>
              <w:jc w:val="both"/>
              <w:rPr>
                <w:rFonts w:ascii="Verdana" w:eastAsia="Calibri" w:hAnsi="Verdana" w:cs="Arial"/>
                <w:color w:val="EE0000"/>
              </w:rPr>
            </w:pPr>
            <w:r w:rsidRPr="00515C0B">
              <w:rPr>
                <w:rFonts w:ascii="Verdana" w:eastAsia="Calibri" w:hAnsi="Verdana" w:cs="Arial"/>
                <w:lang w:val="es-ES"/>
              </w:rPr>
              <w:t>Ley 489 de 1998</w:t>
            </w:r>
            <w:r>
              <w:rPr>
                <w:rFonts w:ascii="Verdana" w:eastAsia="Calibri" w:hAnsi="Verdana" w:cs="Arial"/>
                <w:lang w:val="es-ES"/>
              </w:rPr>
              <w:t xml:space="preserve">, </w:t>
            </w:r>
            <w:r w:rsidR="00BC1A03">
              <w:rPr>
                <w:rFonts w:ascii="Verdana" w:eastAsia="Calibri" w:hAnsi="Verdana" w:cs="Arial"/>
                <w:lang w:val="es-ES"/>
              </w:rPr>
              <w:t>a</w:t>
            </w:r>
            <w:r>
              <w:rPr>
                <w:rFonts w:ascii="Verdana" w:eastAsia="Calibri" w:hAnsi="Verdana" w:cs="Arial"/>
                <w:lang w:val="es-ES"/>
              </w:rPr>
              <w:t xml:space="preserve">rticulo 93. </w:t>
            </w:r>
          </w:p>
          <w:p w14:paraId="68A9478C" w14:textId="77777777" w:rsidR="009F5914" w:rsidRPr="005800D0" w:rsidRDefault="00516A89" w:rsidP="001F7DD0">
            <w:pPr>
              <w:widowControl w:val="0"/>
              <w:numPr>
                <w:ilvl w:val="0"/>
                <w:numId w:val="16"/>
              </w:numPr>
              <w:autoSpaceDE w:val="0"/>
              <w:autoSpaceDN w:val="0"/>
              <w:spacing w:line="276" w:lineRule="auto"/>
              <w:ind w:left="714" w:hanging="357"/>
              <w:jc w:val="both"/>
              <w:rPr>
                <w:rFonts w:ascii="Verdana" w:eastAsia="Calibri" w:hAnsi="Verdana" w:cs="Arial"/>
                <w:color w:val="EE0000"/>
              </w:rPr>
            </w:pPr>
            <w:r w:rsidRPr="009F5914">
              <w:rPr>
                <w:rFonts w:ascii="Verdana" w:hAnsi="Verdana" w:cs="Arial"/>
                <w:color w:val="000000" w:themeColor="text1"/>
              </w:rPr>
              <w:t xml:space="preserve">Consejo de Estado. </w:t>
            </w:r>
            <w:r w:rsidR="009F5914" w:rsidRPr="009F5914">
              <w:rPr>
                <w:rFonts w:ascii="Verdana" w:hAnsi="Verdana" w:cs="Arial"/>
                <w:color w:val="000000" w:themeColor="text1"/>
              </w:rPr>
              <w:t xml:space="preserve">Sala de Consulta y Servicio Civil. Concepto de 20 de febrero de 2006. Radicado. 1727. C.P. Enrique José Arboleda Perdomo. </w:t>
            </w:r>
          </w:p>
          <w:p w14:paraId="3467E1C6" w14:textId="77777777" w:rsidR="009F5914" w:rsidRPr="005800D0" w:rsidRDefault="009F5914" w:rsidP="001F7DD0">
            <w:pPr>
              <w:widowControl w:val="0"/>
              <w:numPr>
                <w:ilvl w:val="0"/>
                <w:numId w:val="16"/>
              </w:numPr>
              <w:autoSpaceDE w:val="0"/>
              <w:autoSpaceDN w:val="0"/>
              <w:spacing w:line="276" w:lineRule="auto"/>
              <w:ind w:left="714" w:hanging="357"/>
              <w:jc w:val="both"/>
              <w:rPr>
                <w:rFonts w:ascii="Verdana" w:eastAsia="Calibri" w:hAnsi="Verdana" w:cs="Arial"/>
                <w:color w:val="EE0000"/>
              </w:rPr>
            </w:pPr>
            <w:r w:rsidRPr="009F5914">
              <w:rPr>
                <w:rFonts w:ascii="Verdana" w:hAnsi="Verdana" w:cs="Arial"/>
                <w:color w:val="000000" w:themeColor="text1"/>
              </w:rPr>
              <w:t xml:space="preserve">Consejo de Estado. Sala de Consulta y Servicio Civil. Concepto de 6 de abril de 2006. Radicado. 1738. C.P. Enrique José Arboleda Perdomo. </w:t>
            </w:r>
          </w:p>
          <w:p w14:paraId="7577A6D9" w14:textId="77777777" w:rsidR="009F5914" w:rsidRPr="005800D0" w:rsidRDefault="009F5914" w:rsidP="001F7DD0">
            <w:pPr>
              <w:widowControl w:val="0"/>
              <w:numPr>
                <w:ilvl w:val="0"/>
                <w:numId w:val="16"/>
              </w:numPr>
              <w:autoSpaceDE w:val="0"/>
              <w:autoSpaceDN w:val="0"/>
              <w:spacing w:line="276" w:lineRule="auto"/>
              <w:ind w:left="714" w:hanging="357"/>
              <w:jc w:val="both"/>
              <w:rPr>
                <w:rFonts w:ascii="Verdana" w:eastAsia="Calibri" w:hAnsi="Verdana" w:cs="Arial"/>
                <w:color w:val="EE0000"/>
              </w:rPr>
            </w:pPr>
            <w:r w:rsidRPr="009F5914">
              <w:rPr>
                <w:rFonts w:ascii="Verdana" w:hAnsi="Verdana" w:cs="Arial"/>
                <w:color w:val="000000" w:themeColor="text1"/>
              </w:rPr>
              <w:t xml:space="preserve">Consejo de Estado. Sala de Consulta y Servicio Civil. Concepto de 6 de abril de 2006. Radicado 1738. Consejero Ponente: Enrique José Arboleda Perdomo. </w:t>
            </w:r>
          </w:p>
          <w:p w14:paraId="77BB7F0E" w14:textId="77777777" w:rsidR="009F5914" w:rsidRPr="005800D0" w:rsidRDefault="009F5914" w:rsidP="001F7DD0">
            <w:pPr>
              <w:widowControl w:val="0"/>
              <w:numPr>
                <w:ilvl w:val="0"/>
                <w:numId w:val="16"/>
              </w:numPr>
              <w:autoSpaceDE w:val="0"/>
              <w:autoSpaceDN w:val="0"/>
              <w:spacing w:line="276" w:lineRule="auto"/>
              <w:ind w:left="714" w:hanging="357"/>
              <w:jc w:val="both"/>
              <w:rPr>
                <w:rFonts w:ascii="Verdana" w:eastAsia="Calibri" w:hAnsi="Verdana" w:cs="Arial"/>
                <w:color w:val="EE0000"/>
              </w:rPr>
            </w:pPr>
            <w:r w:rsidRPr="009F5914">
              <w:rPr>
                <w:rFonts w:ascii="Verdana" w:hAnsi="Verdana" w:cs="Arial"/>
                <w:color w:val="000000" w:themeColor="text1"/>
              </w:rPr>
              <w:t xml:space="preserve">Consejo de Estado, Sala de Consulta y Servicio Civil de fecha 24 de julio de 2013, Radicado 2166, C. P. Álvaro </w:t>
            </w:r>
            <w:proofErr w:type="spellStart"/>
            <w:r w:rsidRPr="009F5914">
              <w:rPr>
                <w:rFonts w:ascii="Verdana" w:hAnsi="Verdana" w:cs="Arial"/>
                <w:color w:val="000000" w:themeColor="text1"/>
              </w:rPr>
              <w:t>Namén</w:t>
            </w:r>
            <w:proofErr w:type="spellEnd"/>
            <w:r w:rsidRPr="009F5914">
              <w:rPr>
                <w:rFonts w:ascii="Verdana" w:hAnsi="Verdana" w:cs="Arial"/>
                <w:color w:val="000000" w:themeColor="text1"/>
              </w:rPr>
              <w:t xml:space="preserve"> Vargas. </w:t>
            </w:r>
          </w:p>
          <w:p w14:paraId="2EF2A9B2" w14:textId="43504746" w:rsidR="00FE02B8" w:rsidRPr="005800D0" w:rsidRDefault="009F5914" w:rsidP="001F7DD0">
            <w:pPr>
              <w:widowControl w:val="0"/>
              <w:numPr>
                <w:ilvl w:val="0"/>
                <w:numId w:val="16"/>
              </w:numPr>
              <w:autoSpaceDE w:val="0"/>
              <w:autoSpaceDN w:val="0"/>
              <w:spacing w:line="276" w:lineRule="auto"/>
              <w:ind w:left="714" w:hanging="357"/>
              <w:jc w:val="both"/>
              <w:rPr>
                <w:rFonts w:ascii="Verdana" w:eastAsia="Calibri" w:hAnsi="Verdana" w:cs="Arial"/>
              </w:rPr>
            </w:pPr>
            <w:r w:rsidRPr="009F5914">
              <w:rPr>
                <w:rFonts w:ascii="Verdana" w:hAnsi="Verdana" w:cs="Arial"/>
                <w:color w:val="000000" w:themeColor="text1"/>
              </w:rPr>
              <w:t xml:space="preserve">Consejo de Estado. Sala de Consulta y Servicio Civil. Concepto del 2 </w:t>
            </w:r>
            <w:r w:rsidRPr="009F5914">
              <w:rPr>
                <w:rFonts w:ascii="Verdana" w:hAnsi="Verdana" w:cs="Arial"/>
                <w:color w:val="000000" w:themeColor="text1"/>
              </w:rPr>
              <w:lastRenderedPageBreak/>
              <w:t xml:space="preserve">de septiembre de 2013. Radicado: 2168. Consejero Ponente: Álvaro </w:t>
            </w:r>
            <w:proofErr w:type="spellStart"/>
            <w:r w:rsidRPr="009F5914">
              <w:rPr>
                <w:rFonts w:ascii="Verdana" w:hAnsi="Verdana" w:cs="Arial"/>
                <w:color w:val="000000" w:themeColor="text1"/>
              </w:rPr>
              <w:t>Namén</w:t>
            </w:r>
            <w:proofErr w:type="spellEnd"/>
            <w:r w:rsidRPr="009F5914">
              <w:rPr>
                <w:rFonts w:ascii="Verdana" w:hAnsi="Verdana" w:cs="Arial"/>
                <w:color w:val="000000" w:themeColor="text1"/>
              </w:rPr>
              <w:t xml:space="preserve"> Vargas.</w:t>
            </w:r>
          </w:p>
          <w:p w14:paraId="696D73F1" w14:textId="77777777" w:rsidR="00FE02B8" w:rsidRPr="005800D0" w:rsidRDefault="00FE02B8" w:rsidP="001F7DD0">
            <w:pPr>
              <w:widowControl w:val="0"/>
              <w:numPr>
                <w:ilvl w:val="0"/>
                <w:numId w:val="16"/>
              </w:numPr>
              <w:autoSpaceDE w:val="0"/>
              <w:autoSpaceDN w:val="0"/>
              <w:spacing w:line="276" w:lineRule="auto"/>
              <w:ind w:left="714" w:hanging="357"/>
              <w:jc w:val="both"/>
              <w:rPr>
                <w:rFonts w:ascii="Verdana" w:eastAsia="Calibri" w:hAnsi="Verdana" w:cs="Arial"/>
              </w:rPr>
            </w:pPr>
            <w:r w:rsidRPr="005800D0">
              <w:rPr>
                <w:rFonts w:ascii="Verdana" w:eastAsia="Calibri" w:hAnsi="Verdana" w:cs="Arial"/>
              </w:rPr>
              <w:t xml:space="preserve">Consejo de Estado. Sala de Consulta y Servicio Civil. Concepto del 08 de mayo de 2018. Radicado. 2.382. C.P. Álvaro </w:t>
            </w:r>
            <w:proofErr w:type="spellStart"/>
            <w:r w:rsidRPr="005800D0">
              <w:rPr>
                <w:rFonts w:ascii="Verdana" w:eastAsia="Calibri" w:hAnsi="Verdana" w:cs="Arial"/>
              </w:rPr>
              <w:t>Namén</w:t>
            </w:r>
            <w:proofErr w:type="spellEnd"/>
            <w:r w:rsidRPr="005800D0">
              <w:rPr>
                <w:rFonts w:ascii="Verdana" w:eastAsia="Calibri" w:hAnsi="Verdana" w:cs="Arial"/>
              </w:rPr>
              <w:t xml:space="preserve"> Vargas. </w:t>
            </w:r>
          </w:p>
          <w:p w14:paraId="587A6CC2" w14:textId="77777777" w:rsidR="00FE02B8" w:rsidRPr="005800D0" w:rsidRDefault="00FE02B8" w:rsidP="001F7DD0">
            <w:pPr>
              <w:widowControl w:val="0"/>
              <w:numPr>
                <w:ilvl w:val="0"/>
                <w:numId w:val="16"/>
              </w:numPr>
              <w:autoSpaceDE w:val="0"/>
              <w:autoSpaceDN w:val="0"/>
              <w:spacing w:line="276" w:lineRule="auto"/>
              <w:ind w:left="714" w:hanging="357"/>
              <w:jc w:val="both"/>
              <w:rPr>
                <w:rFonts w:ascii="Verdana" w:eastAsia="Calibri" w:hAnsi="Verdana" w:cs="Arial"/>
              </w:rPr>
            </w:pPr>
            <w:r w:rsidRPr="005800D0">
              <w:rPr>
                <w:rFonts w:ascii="Verdana" w:eastAsia="Calibri" w:hAnsi="Verdana" w:cs="Arial"/>
              </w:rPr>
              <w:t xml:space="preserve">Consejo de Estado, Sala de lo Contencioso Administrativo, Sección Tercera. Auto del 4 de octubre de 2024. Radicado. 70.313. MP: Fredy Ibarra Martínez. </w:t>
            </w:r>
          </w:p>
          <w:p w14:paraId="71B66057" w14:textId="0678DE96" w:rsidR="00FE02B8" w:rsidRPr="005800D0" w:rsidRDefault="00FE02B8" w:rsidP="001F7DD0">
            <w:pPr>
              <w:widowControl w:val="0"/>
              <w:numPr>
                <w:ilvl w:val="0"/>
                <w:numId w:val="16"/>
              </w:numPr>
              <w:autoSpaceDE w:val="0"/>
              <w:autoSpaceDN w:val="0"/>
              <w:spacing w:line="276" w:lineRule="auto"/>
              <w:ind w:left="714" w:hanging="357"/>
              <w:jc w:val="both"/>
              <w:rPr>
                <w:rFonts w:ascii="Verdana" w:eastAsia="Calibri" w:hAnsi="Verdana" w:cs="Arial"/>
                <w:lang w:val="pt-PT"/>
              </w:rPr>
            </w:pPr>
            <w:r w:rsidRPr="005800D0">
              <w:rPr>
                <w:rFonts w:ascii="Verdana" w:eastAsia="Calibri" w:hAnsi="Verdana" w:cs="Arial"/>
                <w:lang w:val="pt-PT"/>
              </w:rPr>
              <w:t xml:space="preserve">Corte Constitucional. Sentencia C-671 de 2015. M.P. Alberto Rojas Ríos. </w:t>
            </w:r>
          </w:p>
          <w:p w14:paraId="53F7A15D" w14:textId="15FEF980" w:rsidR="00FE02B8" w:rsidRPr="005800D0" w:rsidRDefault="00FE02B8" w:rsidP="001F7DD0">
            <w:pPr>
              <w:widowControl w:val="0"/>
              <w:numPr>
                <w:ilvl w:val="0"/>
                <w:numId w:val="16"/>
              </w:numPr>
              <w:autoSpaceDE w:val="0"/>
              <w:autoSpaceDN w:val="0"/>
              <w:spacing w:line="276" w:lineRule="auto"/>
              <w:ind w:left="714" w:hanging="357"/>
              <w:jc w:val="both"/>
              <w:rPr>
                <w:rFonts w:ascii="Verdana" w:eastAsia="Calibri" w:hAnsi="Verdana" w:cs="Arial"/>
              </w:rPr>
            </w:pPr>
            <w:r w:rsidRPr="005800D0">
              <w:rPr>
                <w:rFonts w:ascii="Verdana" w:eastAsia="Calibri" w:hAnsi="Verdana" w:cs="Arial"/>
                <w:lang w:val="pt-PT"/>
              </w:rPr>
              <w:t xml:space="preserve">Corte Constitucional. Sentencia C -1153 de 2005. </w:t>
            </w:r>
            <w:r w:rsidRPr="005800D0">
              <w:rPr>
                <w:rFonts w:ascii="Verdana" w:eastAsia="Calibri" w:hAnsi="Verdana" w:cs="Arial"/>
              </w:rPr>
              <w:t>M.P. Marco Gerardo Monroy Cabra.</w:t>
            </w:r>
          </w:p>
          <w:p w14:paraId="3583F64B" w14:textId="62744B1C" w:rsidR="00516A89" w:rsidRPr="00515C0B" w:rsidRDefault="00CC7960" w:rsidP="00E855E2">
            <w:pPr>
              <w:widowControl w:val="0"/>
              <w:numPr>
                <w:ilvl w:val="0"/>
                <w:numId w:val="16"/>
              </w:numPr>
              <w:autoSpaceDE w:val="0"/>
              <w:autoSpaceDN w:val="0"/>
              <w:spacing w:line="276" w:lineRule="auto"/>
              <w:ind w:left="714" w:hanging="357"/>
              <w:jc w:val="both"/>
              <w:rPr>
                <w:rFonts w:ascii="Verdana" w:eastAsia="Calibri" w:hAnsi="Verdana" w:cs="Arial"/>
                <w:color w:val="EE0000"/>
              </w:rPr>
            </w:pPr>
            <w:r>
              <w:rPr>
                <w:rFonts w:ascii="Verdana" w:hAnsi="Verdana" w:cs="Arial"/>
                <w:bCs/>
                <w:lang w:eastAsia="x-none"/>
              </w:rPr>
              <w:t xml:space="preserve">Agencia Nacional de Contratación Pública – </w:t>
            </w:r>
            <w:r w:rsidRPr="005800D0">
              <w:rPr>
                <w:rFonts w:ascii="Verdana" w:hAnsi="Verdana" w:cs="Arial"/>
                <w:bCs/>
                <w:lang w:eastAsia="x-none"/>
              </w:rPr>
              <w:t>Colombia</w:t>
            </w:r>
            <w:r>
              <w:rPr>
                <w:rFonts w:ascii="Verdana" w:hAnsi="Verdana" w:cs="Arial"/>
                <w:bCs/>
                <w:lang w:eastAsia="x-none"/>
              </w:rPr>
              <w:t xml:space="preserve"> </w:t>
            </w:r>
            <w:r w:rsidRPr="005800D0">
              <w:rPr>
                <w:rFonts w:ascii="Verdana" w:hAnsi="Verdana" w:cs="Arial"/>
                <w:bCs/>
                <w:lang w:eastAsia="x-none"/>
              </w:rPr>
              <w:t>Compra Eficiente. Circular Externa Única. Numeral 16.5. Disponible en línea: https://www.colombiacompra.gov.co/normativa y-</w:t>
            </w:r>
            <w:proofErr w:type="spellStart"/>
            <w:r w:rsidRPr="005800D0">
              <w:rPr>
                <w:rFonts w:ascii="Verdana" w:hAnsi="Verdana" w:cs="Arial"/>
                <w:bCs/>
                <w:lang w:eastAsia="x-none"/>
              </w:rPr>
              <w:t>relatoria</w:t>
            </w:r>
            <w:proofErr w:type="spellEnd"/>
            <w:r w:rsidRPr="005800D0">
              <w:rPr>
                <w:rFonts w:ascii="Verdana" w:hAnsi="Verdana" w:cs="Arial"/>
                <w:bCs/>
                <w:lang w:eastAsia="x-none"/>
              </w:rPr>
              <w:t>/circular-</w:t>
            </w:r>
            <w:proofErr w:type="spellStart"/>
            <w:r w:rsidRPr="005800D0">
              <w:rPr>
                <w:rFonts w:ascii="Verdana" w:hAnsi="Verdana" w:cs="Arial"/>
                <w:bCs/>
                <w:lang w:eastAsia="x-none"/>
              </w:rPr>
              <w:t>unica</w:t>
            </w:r>
            <w:proofErr w:type="spellEnd"/>
            <w:r w:rsidRPr="005800D0">
              <w:rPr>
                <w:rFonts w:ascii="Verdana" w:hAnsi="Verdana" w:cs="Arial"/>
                <w:bCs/>
                <w:lang w:eastAsia="x-none"/>
              </w:rPr>
              <w:t>-extern</w:t>
            </w:r>
            <w:r>
              <w:rPr>
                <w:rFonts w:ascii="Verdana" w:hAnsi="Verdana" w:cs="Arial"/>
                <w:bCs/>
                <w:lang w:eastAsia="x-none"/>
              </w:rPr>
              <w:t xml:space="preserve">a  </w:t>
            </w:r>
            <w:r w:rsidRPr="005800D0" w:rsidDel="009F5914">
              <w:rPr>
                <w:rFonts w:ascii="Verdana" w:hAnsi="Verdana" w:cs="Arial"/>
                <w:bCs/>
                <w:lang w:val="es-MX" w:eastAsia="x-none"/>
              </w:rPr>
              <w:t xml:space="preserve"> </w:t>
            </w:r>
          </w:p>
        </w:tc>
      </w:tr>
    </w:tbl>
    <w:p w14:paraId="0212B78E" w14:textId="77777777" w:rsidR="00516A89" w:rsidRPr="00386D7A" w:rsidRDefault="00516A89" w:rsidP="00516A89">
      <w:pPr>
        <w:tabs>
          <w:tab w:val="left" w:pos="142"/>
          <w:tab w:val="left" w:pos="284"/>
        </w:tabs>
        <w:spacing w:after="0" w:line="276" w:lineRule="auto"/>
        <w:jc w:val="both"/>
        <w:rPr>
          <w:rFonts w:ascii="Verdana" w:eastAsia="Century Gothic" w:hAnsi="Verdana" w:cs="Century Gothic"/>
          <w:b/>
          <w:bCs/>
          <w:color w:val="000000"/>
        </w:rPr>
      </w:pPr>
    </w:p>
    <w:p w14:paraId="23187923" w14:textId="77777777" w:rsidR="00516A89" w:rsidRPr="00386D7A" w:rsidRDefault="00516A89" w:rsidP="00516A89">
      <w:pPr>
        <w:tabs>
          <w:tab w:val="left" w:pos="142"/>
          <w:tab w:val="left" w:pos="284"/>
        </w:tabs>
        <w:spacing w:after="0" w:line="276" w:lineRule="auto"/>
        <w:jc w:val="both"/>
        <w:rPr>
          <w:rFonts w:ascii="Verdana" w:eastAsia="Century Gothic" w:hAnsi="Verdana" w:cs="Century Gothic"/>
          <w:b/>
          <w:bCs/>
          <w:color w:val="000000"/>
        </w:rPr>
      </w:pPr>
      <w:r w:rsidRPr="00386D7A">
        <w:rPr>
          <w:rFonts w:ascii="Verdana" w:eastAsia="Century Gothic" w:hAnsi="Verdana" w:cs="Century Gothic"/>
          <w:b/>
          <w:bCs/>
          <w:color w:val="000000"/>
        </w:rPr>
        <w:t>5. Doctrina de la Agencia Nacional de Contratación Pública:</w:t>
      </w:r>
    </w:p>
    <w:p w14:paraId="7CEBF02E" w14:textId="77777777" w:rsidR="00516A89" w:rsidRPr="00386D7A" w:rsidRDefault="00516A89" w:rsidP="00516A89">
      <w:pPr>
        <w:widowControl w:val="0"/>
        <w:autoSpaceDE w:val="0"/>
        <w:autoSpaceDN w:val="0"/>
        <w:spacing w:after="0" w:line="276" w:lineRule="auto"/>
        <w:jc w:val="both"/>
        <w:rPr>
          <w:rFonts w:ascii="Verdana" w:eastAsia="Calibri" w:hAnsi="Verdana" w:cs="Arial"/>
          <w:color w:val="EE0000"/>
          <w:shd w:val="clear" w:color="auto" w:fill="FFFFFF"/>
          <w:lang w:val="es-ES"/>
        </w:rPr>
      </w:pPr>
    </w:p>
    <w:p w14:paraId="026A1BF6" w14:textId="77777777" w:rsidR="00516A89" w:rsidRPr="00386D7A" w:rsidRDefault="00516A89" w:rsidP="00516A89">
      <w:pPr>
        <w:spacing w:after="0" w:line="276" w:lineRule="auto"/>
        <w:jc w:val="both"/>
        <w:rPr>
          <w:rFonts w:ascii="Verdana" w:eastAsia="Calibri" w:hAnsi="Verdana" w:cs="Times New Roman"/>
          <w:color w:val="000000"/>
        </w:rPr>
      </w:pPr>
      <w:r w:rsidRPr="00386D7A">
        <w:rPr>
          <w:rFonts w:ascii="Verdana" w:eastAsia="Calibri" w:hAnsi="Verdana" w:cs="Times New Roman"/>
          <w:color w:val="000000"/>
        </w:rPr>
        <w:t xml:space="preserve">La Agencia Nacional de Contratación Pública − Colombia Compra Eficiente se pronunció sobre la naturaleza jurídica y el régimen de contratación de las empresas industriales y comerciales del Estado en los conceptos 2201913000009314 del 17 de diciembre de 2019 –dentro del radicado 4201913000001662–, C-251 del 27 de mayo de 2020, C–253 de 2 de junio de 2021 , C-280 del 6 de julio de 2020, C-616 de 3 de noviembre de 2021, C-176 del 6 de abril de 2022 , C-857 de 13 diciembre de 2022, C-501 de 30 de septiembre de 2024 y C-424 del 13 de mayo de 2025.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86D7A">
          <w:rPr>
            <w:rFonts w:ascii="Verdana" w:eastAsia="Calibri" w:hAnsi="Verdana" w:cs="Times New Roman"/>
            <w:color w:val="0000FF"/>
            <w:u w:val="single"/>
          </w:rPr>
          <w:t>https://relatoria.colombiacompra.gov.co/</w:t>
        </w:r>
      </w:hyperlink>
      <w:r w:rsidRPr="00386D7A">
        <w:rPr>
          <w:rFonts w:ascii="Verdana" w:eastAsia="Calibri" w:hAnsi="Verdana" w:cs="Times New Roman"/>
          <w:color w:val="000000"/>
        </w:rPr>
        <w:t xml:space="preserve"> </w:t>
      </w:r>
    </w:p>
    <w:p w14:paraId="3BBF5A99" w14:textId="77777777" w:rsidR="00516A89" w:rsidRPr="00386D7A" w:rsidRDefault="00516A89" w:rsidP="00516A89">
      <w:pPr>
        <w:spacing w:after="0" w:line="276" w:lineRule="auto"/>
        <w:jc w:val="both"/>
        <w:rPr>
          <w:rFonts w:ascii="Verdana" w:eastAsia="Calibri" w:hAnsi="Verdana" w:cs="Times New Roman"/>
          <w:color w:val="EE0000"/>
        </w:rPr>
      </w:pPr>
    </w:p>
    <w:p w14:paraId="37037C32" w14:textId="77777777" w:rsidR="00516A89" w:rsidRPr="00386D7A" w:rsidRDefault="00516A89" w:rsidP="00516A89">
      <w:pPr>
        <w:spacing w:after="0" w:line="276" w:lineRule="auto"/>
        <w:jc w:val="both"/>
        <w:rPr>
          <w:rFonts w:ascii="Verdana" w:eastAsia="Calibri" w:hAnsi="Verdana" w:cs="Times New Roman"/>
        </w:rPr>
      </w:pPr>
      <w:r w:rsidRPr="00386D7A">
        <w:rPr>
          <w:rFonts w:ascii="Verdana" w:eastAsia="Calibri" w:hAnsi="Verdana" w:cs="Times New Roman"/>
        </w:rPr>
        <w:t xml:space="preserve">Por último, lo invitamos a seguirnos en las redes sociales en las cuales se difunde información institucional: </w:t>
      </w:r>
    </w:p>
    <w:p w14:paraId="1BC06820" w14:textId="77777777" w:rsidR="00516A89" w:rsidRPr="00386D7A" w:rsidRDefault="00516A89" w:rsidP="00516A89">
      <w:pPr>
        <w:spacing w:after="0" w:line="276" w:lineRule="auto"/>
        <w:jc w:val="both"/>
        <w:rPr>
          <w:rFonts w:ascii="Verdana" w:eastAsia="Calibri" w:hAnsi="Verdana" w:cs="Times New Roman"/>
        </w:rPr>
      </w:pPr>
    </w:p>
    <w:p w14:paraId="3F6764EC" w14:textId="77777777" w:rsidR="00516A89" w:rsidRPr="00386D7A" w:rsidRDefault="00516A89" w:rsidP="00516A89">
      <w:pPr>
        <w:spacing w:after="0" w:line="276" w:lineRule="auto"/>
        <w:jc w:val="both"/>
        <w:rPr>
          <w:rFonts w:ascii="Verdana" w:eastAsia="Calibri" w:hAnsi="Verdana" w:cs="Times New Roman"/>
        </w:rPr>
      </w:pPr>
      <w:r w:rsidRPr="00386D7A">
        <w:rPr>
          <w:rFonts w:ascii="Verdana" w:eastAsia="Calibri" w:hAnsi="Verdana" w:cs="Times New Roman"/>
        </w:rPr>
        <w:t xml:space="preserve">Twitter: </w:t>
      </w:r>
      <w:r w:rsidRPr="00386D7A">
        <w:rPr>
          <w:rFonts w:ascii="Verdana" w:eastAsia="Calibri" w:hAnsi="Verdana" w:cs="Times New Roman"/>
          <w:color w:val="4472C4"/>
          <w:u w:val="single"/>
        </w:rPr>
        <w:t>@colombiacompra</w:t>
      </w:r>
      <w:r w:rsidRPr="00386D7A">
        <w:rPr>
          <w:rFonts w:ascii="Verdana" w:eastAsia="Calibri" w:hAnsi="Verdana" w:cs="Times New Roman"/>
          <w:color w:val="4472C4"/>
        </w:rPr>
        <w:t xml:space="preserve"> </w:t>
      </w:r>
    </w:p>
    <w:p w14:paraId="7C978EA4" w14:textId="77777777" w:rsidR="00516A89" w:rsidRPr="00386D7A" w:rsidRDefault="00516A89" w:rsidP="00516A89">
      <w:pPr>
        <w:spacing w:after="0" w:line="276" w:lineRule="auto"/>
        <w:jc w:val="both"/>
        <w:rPr>
          <w:rFonts w:ascii="Verdana" w:eastAsia="Calibri" w:hAnsi="Verdana" w:cs="Times New Roman"/>
        </w:rPr>
      </w:pPr>
      <w:r w:rsidRPr="00386D7A">
        <w:rPr>
          <w:rFonts w:ascii="Verdana" w:eastAsia="Calibri" w:hAnsi="Verdana" w:cs="Times New Roman"/>
        </w:rPr>
        <w:t xml:space="preserve">Facebook: </w:t>
      </w:r>
      <w:proofErr w:type="spellStart"/>
      <w:r w:rsidRPr="00386D7A">
        <w:rPr>
          <w:rFonts w:ascii="Verdana" w:eastAsia="Calibri" w:hAnsi="Verdana" w:cs="Times New Roman"/>
          <w:color w:val="4472C4"/>
          <w:u w:val="single"/>
        </w:rPr>
        <w:t>ColombiaCompraEficiente</w:t>
      </w:r>
      <w:proofErr w:type="spellEnd"/>
    </w:p>
    <w:p w14:paraId="5D4832C5" w14:textId="77777777" w:rsidR="00516A89" w:rsidRPr="00386D7A" w:rsidRDefault="00516A89" w:rsidP="00516A89">
      <w:pPr>
        <w:spacing w:after="0" w:line="276" w:lineRule="auto"/>
        <w:jc w:val="both"/>
        <w:rPr>
          <w:rFonts w:ascii="Verdana" w:eastAsia="Calibri" w:hAnsi="Verdana" w:cs="Times New Roman"/>
        </w:rPr>
      </w:pPr>
      <w:r w:rsidRPr="00386D7A">
        <w:rPr>
          <w:rFonts w:ascii="Verdana" w:eastAsia="Calibri" w:hAnsi="Verdana" w:cs="Times New Roman"/>
        </w:rPr>
        <w:lastRenderedPageBreak/>
        <w:t xml:space="preserve">LinkedIn: </w:t>
      </w:r>
      <w:r w:rsidRPr="00386D7A">
        <w:rPr>
          <w:rFonts w:ascii="Verdana" w:eastAsia="Calibri" w:hAnsi="Verdana" w:cs="Times New Roman"/>
          <w:color w:val="4472C4"/>
          <w:u w:val="single"/>
        </w:rPr>
        <w:t>Agencia Nacional de Contratación Pública - Colombia Compra Eficiente</w:t>
      </w:r>
      <w:r w:rsidRPr="00386D7A">
        <w:rPr>
          <w:rFonts w:ascii="Verdana" w:eastAsia="Calibri" w:hAnsi="Verdana" w:cs="Times New Roman"/>
          <w:color w:val="4472C4"/>
        </w:rPr>
        <w:t xml:space="preserve"> </w:t>
      </w:r>
      <w:r w:rsidRPr="00386D7A">
        <w:rPr>
          <w:rFonts w:ascii="Verdana" w:eastAsia="Calibri" w:hAnsi="Verdana" w:cs="Times New Roman"/>
        </w:rPr>
        <w:t xml:space="preserve">Instagram: </w:t>
      </w:r>
      <w:r w:rsidRPr="00386D7A">
        <w:rPr>
          <w:rFonts w:ascii="Verdana" w:eastAsia="Calibri" w:hAnsi="Verdana" w:cs="Times New Roman"/>
          <w:color w:val="4472C4"/>
          <w:u w:val="single"/>
        </w:rPr>
        <w:t>@colombiacompraeficiente_cce</w:t>
      </w:r>
    </w:p>
    <w:p w14:paraId="35D09FE3" w14:textId="77777777" w:rsidR="00516A89" w:rsidRPr="00386D7A" w:rsidRDefault="00516A89" w:rsidP="00516A89">
      <w:pPr>
        <w:widowControl w:val="0"/>
        <w:autoSpaceDE w:val="0"/>
        <w:autoSpaceDN w:val="0"/>
        <w:spacing w:after="0" w:line="276" w:lineRule="auto"/>
        <w:jc w:val="both"/>
        <w:rPr>
          <w:rFonts w:ascii="Verdana" w:eastAsia="Calibri" w:hAnsi="Verdana" w:cs="Times New Roman"/>
          <w:color w:val="EE0000"/>
        </w:rPr>
      </w:pPr>
    </w:p>
    <w:p w14:paraId="1F9285A8" w14:textId="77777777" w:rsidR="00516A89" w:rsidRPr="00386D7A" w:rsidRDefault="00516A89" w:rsidP="00516A89">
      <w:pPr>
        <w:widowControl w:val="0"/>
        <w:autoSpaceDE w:val="0"/>
        <w:autoSpaceDN w:val="0"/>
        <w:spacing w:after="0" w:line="276" w:lineRule="auto"/>
        <w:jc w:val="both"/>
        <w:rPr>
          <w:rFonts w:ascii="Verdana" w:eastAsia="Calibri" w:hAnsi="Verdana" w:cs="Arial"/>
          <w:lang w:val="es-ES_tradnl"/>
        </w:rPr>
      </w:pPr>
      <w:r w:rsidRPr="00386D7A">
        <w:rPr>
          <w:rFonts w:ascii="Verdana" w:eastAsia="Calibri" w:hAnsi="Verdana" w:cs="Arial"/>
        </w:rPr>
        <w:t xml:space="preserve">Este concepto tiene el alcance previsto en el artículo 28 del Código de Procedimiento Administrativo y de lo Contencioso Administrativo </w:t>
      </w:r>
      <w:r w:rsidRPr="00386D7A">
        <w:rPr>
          <w:rFonts w:ascii="Verdana" w:eastAsia="Calibri" w:hAnsi="Verdana" w:cs="Arial"/>
          <w:lang w:val="es-ES_tradnl"/>
        </w:rPr>
        <w:t>y las expresiones aquí utilizadas con mayúscula inicial deben ser entendidas con el significado que les otorga el artículo 2.2.1.1.1.3.1. del Decreto 1082 de 2015.</w:t>
      </w:r>
    </w:p>
    <w:p w14:paraId="531E4EBA" w14:textId="77777777" w:rsidR="00516A89" w:rsidRPr="00386D7A" w:rsidRDefault="00516A89" w:rsidP="00516A89">
      <w:pPr>
        <w:spacing w:after="0" w:line="276" w:lineRule="auto"/>
        <w:ind w:firstLine="709"/>
        <w:jc w:val="both"/>
        <w:rPr>
          <w:rFonts w:ascii="Verdana" w:eastAsia="Times New Roman" w:hAnsi="Verdana" w:cs="Arial"/>
          <w:color w:val="EE0000"/>
          <w:szCs w:val="24"/>
          <w:lang w:val="es-ES_tradnl" w:eastAsia="es-ES_tradnl"/>
        </w:rPr>
      </w:pPr>
    </w:p>
    <w:p w14:paraId="5C59B74D" w14:textId="750F2839" w:rsidR="00516A89" w:rsidRPr="00516A89" w:rsidRDefault="00516A89" w:rsidP="00516A89">
      <w:pPr>
        <w:spacing w:after="0" w:line="276" w:lineRule="auto"/>
        <w:jc w:val="both"/>
        <w:rPr>
          <w:rFonts w:ascii="Verdana" w:eastAsia="Times New Roman" w:hAnsi="Verdana" w:cs="Arial"/>
          <w:lang w:val="es-ES_tradnl" w:eastAsia="es-CO"/>
        </w:rPr>
      </w:pPr>
      <w:bookmarkStart w:id="27" w:name="_Hlk117695077"/>
      <w:r w:rsidRPr="00386D7A">
        <w:rPr>
          <w:rFonts w:ascii="Verdana" w:eastAsia="Times New Roman" w:hAnsi="Verdana" w:cs="Arial"/>
          <w:lang w:val="es-ES_tradnl" w:eastAsia="es-CO"/>
        </w:rPr>
        <w:t>Atentamente,</w:t>
      </w:r>
    </w:p>
    <w:bookmarkEnd w:id="27"/>
    <w:p w14:paraId="78D9F237" w14:textId="21DE1B63" w:rsidR="00516A89" w:rsidRPr="00515C0B" w:rsidRDefault="008516DA" w:rsidP="00516A89">
      <w:pPr>
        <w:spacing w:after="18" w:line="240" w:lineRule="auto"/>
        <w:jc w:val="center"/>
        <w:rPr>
          <w:rFonts w:ascii="Verdana" w:eastAsia="Times New Roman" w:hAnsi="Verdana" w:cs="Arial"/>
          <w:color w:val="EE0000"/>
          <w:sz w:val="24"/>
          <w:szCs w:val="24"/>
          <w:lang w:eastAsia="es-CO"/>
        </w:rPr>
      </w:pPr>
      <w:r w:rsidRPr="002C3AD6">
        <w:rPr>
          <w:rFonts w:ascii="Century Gothic" w:hAnsi="Century Gothic"/>
          <w:noProof/>
        </w:rPr>
        <w:drawing>
          <wp:inline distT="0" distB="0" distL="0" distR="0" wp14:anchorId="60CD5E5C" wp14:editId="41A9CE8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516A89" w:rsidRPr="00515C0B" w14:paraId="42D1FC8A" w14:textId="77777777" w:rsidTr="00E855E2">
        <w:trPr>
          <w:trHeight w:val="286"/>
        </w:trPr>
        <w:tc>
          <w:tcPr>
            <w:tcW w:w="893" w:type="dxa"/>
            <w:vAlign w:val="center"/>
            <w:hideMark/>
          </w:tcPr>
          <w:p w14:paraId="5C2E21BD" w14:textId="77777777" w:rsidR="00516A89" w:rsidRPr="00515C0B" w:rsidRDefault="00516A89" w:rsidP="00E855E2">
            <w:pPr>
              <w:rPr>
                <w:rFonts w:ascii="Verdana" w:eastAsia="Times New Roman" w:hAnsi="Verdana" w:cs="Arial"/>
                <w:sz w:val="14"/>
                <w:szCs w:val="14"/>
                <w:lang w:eastAsia="es-ES"/>
              </w:rPr>
            </w:pPr>
            <w:r w:rsidRPr="00515C0B">
              <w:rPr>
                <w:rFonts w:ascii="Verdana" w:eastAsia="Times New Roman" w:hAnsi="Verdana" w:cs="Arial"/>
                <w:sz w:val="16"/>
                <w:szCs w:val="16"/>
                <w:lang w:eastAsia="es-ES"/>
              </w:rPr>
              <w:t>Elaboró:</w:t>
            </w:r>
          </w:p>
        </w:tc>
        <w:tc>
          <w:tcPr>
            <w:tcW w:w="4777" w:type="dxa"/>
            <w:vAlign w:val="center"/>
            <w:hideMark/>
          </w:tcPr>
          <w:p w14:paraId="70D12FF1" w14:textId="77777777" w:rsidR="00516A89" w:rsidRPr="00515C0B" w:rsidRDefault="00516A89" w:rsidP="00E855E2">
            <w:pPr>
              <w:rPr>
                <w:rFonts w:ascii="Verdana" w:eastAsia="Times New Roman" w:hAnsi="Verdana" w:cs="Arial"/>
                <w:sz w:val="16"/>
                <w:szCs w:val="16"/>
                <w:lang w:val="es-ES_tradnl" w:eastAsia="es-ES"/>
              </w:rPr>
            </w:pPr>
          </w:p>
          <w:p w14:paraId="24291A0D" w14:textId="77777777" w:rsidR="00516A89" w:rsidRPr="00515C0B" w:rsidRDefault="00516A89" w:rsidP="00E855E2">
            <w:pPr>
              <w:rPr>
                <w:rFonts w:ascii="Verdana" w:eastAsia="Times New Roman" w:hAnsi="Verdana" w:cs="Arial"/>
                <w:sz w:val="16"/>
                <w:szCs w:val="16"/>
                <w:lang w:val="es-ES" w:eastAsia="es-ES"/>
              </w:rPr>
            </w:pPr>
            <w:r w:rsidRPr="743F1FE9">
              <w:rPr>
                <w:rFonts w:ascii="Verdana" w:eastAsia="Times New Roman" w:hAnsi="Verdana" w:cs="Arial"/>
                <w:sz w:val="16"/>
                <w:szCs w:val="16"/>
                <w:lang w:val="es-ES" w:eastAsia="es-ES"/>
              </w:rPr>
              <w:t>Richard Andrés Montenegro Siefken</w:t>
            </w:r>
          </w:p>
          <w:p w14:paraId="57D934F8" w14:textId="77777777" w:rsidR="00516A89" w:rsidRPr="00515C0B" w:rsidRDefault="00516A89" w:rsidP="00E855E2">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Pr="00515C0B">
              <w:rPr>
                <w:rFonts w:ascii="Verdana" w:eastAsia="Times New Roman" w:hAnsi="Verdana" w:cs="Arial"/>
                <w:sz w:val="16"/>
                <w:szCs w:val="16"/>
                <w:lang w:eastAsia="es-ES"/>
              </w:rPr>
              <w:t>de la Subdirección de Gestión Contractual</w:t>
            </w:r>
          </w:p>
        </w:tc>
      </w:tr>
      <w:tr w:rsidR="00516A89" w:rsidRPr="00515C0B" w14:paraId="1E2B2C5F" w14:textId="77777777" w:rsidTr="00E855E2">
        <w:trPr>
          <w:trHeight w:val="299"/>
        </w:trPr>
        <w:tc>
          <w:tcPr>
            <w:tcW w:w="893" w:type="dxa"/>
            <w:vAlign w:val="center"/>
            <w:hideMark/>
          </w:tcPr>
          <w:p w14:paraId="0CD209EF" w14:textId="77777777" w:rsidR="00516A89" w:rsidRPr="00515C0B" w:rsidRDefault="00516A89" w:rsidP="00E855E2">
            <w:pPr>
              <w:rPr>
                <w:rFonts w:ascii="Verdana" w:eastAsia="Times New Roman" w:hAnsi="Verdana" w:cs="Arial"/>
                <w:sz w:val="14"/>
                <w:szCs w:val="14"/>
                <w:lang w:eastAsia="es-ES"/>
              </w:rPr>
            </w:pPr>
            <w:r w:rsidRPr="00515C0B">
              <w:rPr>
                <w:rFonts w:ascii="Verdana" w:eastAsia="Times New Roman" w:hAnsi="Verdana" w:cs="Arial"/>
                <w:sz w:val="16"/>
                <w:szCs w:val="16"/>
                <w:lang w:eastAsia="es-ES"/>
              </w:rPr>
              <w:t>Revisó:</w:t>
            </w:r>
          </w:p>
        </w:tc>
        <w:tc>
          <w:tcPr>
            <w:tcW w:w="4777" w:type="dxa"/>
            <w:vAlign w:val="center"/>
            <w:hideMark/>
          </w:tcPr>
          <w:p w14:paraId="70D3DA75" w14:textId="77777777" w:rsidR="00516A89" w:rsidRPr="00515C0B" w:rsidRDefault="00516A89" w:rsidP="00E855E2">
            <w:pPr>
              <w:rPr>
                <w:rFonts w:ascii="Verdana" w:eastAsia="Times New Roman" w:hAnsi="Verdana" w:cs="Arial"/>
                <w:sz w:val="16"/>
                <w:szCs w:val="16"/>
                <w:lang w:val="es-ES_tradnl" w:eastAsia="es-ES"/>
              </w:rPr>
            </w:pPr>
            <w:r w:rsidRPr="00515C0B">
              <w:rPr>
                <w:rFonts w:ascii="Verdana" w:eastAsia="Times New Roman" w:hAnsi="Verdana" w:cs="Arial"/>
                <w:sz w:val="16"/>
                <w:szCs w:val="16"/>
                <w:lang w:val="es-ES_tradnl" w:eastAsia="es-ES"/>
              </w:rPr>
              <w:t>Diana Lucía Saavedr</w:t>
            </w:r>
            <w:r>
              <w:rPr>
                <w:rFonts w:ascii="Verdana" w:eastAsia="Times New Roman" w:hAnsi="Verdana" w:cs="Arial"/>
                <w:sz w:val="16"/>
                <w:szCs w:val="16"/>
                <w:lang w:val="es-ES_tradnl" w:eastAsia="es-ES"/>
              </w:rPr>
              <w:t>a Castañed</w:t>
            </w:r>
            <w:r w:rsidRPr="00515C0B">
              <w:rPr>
                <w:rFonts w:ascii="Verdana" w:eastAsia="Times New Roman" w:hAnsi="Verdana" w:cs="Arial"/>
                <w:sz w:val="16"/>
                <w:szCs w:val="16"/>
                <w:lang w:val="es-ES_tradnl" w:eastAsia="es-ES"/>
              </w:rPr>
              <w:t>a</w:t>
            </w:r>
          </w:p>
          <w:p w14:paraId="0A70A308" w14:textId="77777777" w:rsidR="00516A89" w:rsidRPr="00515C0B" w:rsidRDefault="00516A89" w:rsidP="00E855E2">
            <w:pPr>
              <w:rPr>
                <w:rFonts w:ascii="Verdana" w:eastAsia="Times New Roman" w:hAnsi="Verdana" w:cs="Arial"/>
                <w:sz w:val="14"/>
                <w:szCs w:val="14"/>
                <w:lang w:eastAsia="es-ES"/>
              </w:rPr>
            </w:pPr>
            <w:r w:rsidRPr="00515C0B">
              <w:rPr>
                <w:rFonts w:ascii="Verdana" w:eastAsia="Times New Roman" w:hAnsi="Verdana" w:cs="Arial"/>
                <w:sz w:val="16"/>
                <w:szCs w:val="16"/>
                <w:lang w:eastAsia="es-ES"/>
              </w:rPr>
              <w:t>Contratista de la Subdirección de Gestión Contractual</w:t>
            </w:r>
          </w:p>
        </w:tc>
      </w:tr>
      <w:tr w:rsidR="00516A89" w:rsidRPr="00515C0B" w14:paraId="5544DB60" w14:textId="77777777" w:rsidTr="00E855E2">
        <w:trPr>
          <w:trHeight w:val="272"/>
        </w:trPr>
        <w:tc>
          <w:tcPr>
            <w:tcW w:w="893" w:type="dxa"/>
            <w:vAlign w:val="center"/>
            <w:hideMark/>
          </w:tcPr>
          <w:p w14:paraId="7951F068" w14:textId="77777777" w:rsidR="00516A89" w:rsidRPr="00515C0B" w:rsidRDefault="00516A89" w:rsidP="00E855E2">
            <w:pPr>
              <w:rPr>
                <w:rFonts w:ascii="Verdana" w:eastAsia="Times New Roman" w:hAnsi="Verdana" w:cs="Arial"/>
                <w:sz w:val="14"/>
                <w:szCs w:val="14"/>
                <w:lang w:eastAsia="es-ES"/>
              </w:rPr>
            </w:pPr>
            <w:r w:rsidRPr="00515C0B">
              <w:rPr>
                <w:rFonts w:ascii="Verdana" w:eastAsia="Times New Roman" w:hAnsi="Verdana" w:cs="Arial"/>
                <w:sz w:val="16"/>
                <w:szCs w:val="16"/>
                <w:lang w:eastAsia="es-ES"/>
              </w:rPr>
              <w:t>Aprobó:</w:t>
            </w:r>
          </w:p>
        </w:tc>
        <w:tc>
          <w:tcPr>
            <w:tcW w:w="4777" w:type="dxa"/>
            <w:vAlign w:val="center"/>
            <w:hideMark/>
          </w:tcPr>
          <w:p w14:paraId="5780B2F3" w14:textId="77777777" w:rsidR="00516A89" w:rsidRPr="00515C0B" w:rsidRDefault="00516A89" w:rsidP="00E855E2">
            <w:pPr>
              <w:rPr>
                <w:rFonts w:ascii="Verdana" w:eastAsia="Times New Roman" w:hAnsi="Verdana" w:cs="Arial"/>
                <w:sz w:val="16"/>
                <w:szCs w:val="16"/>
                <w:lang w:eastAsia="es-ES"/>
              </w:rPr>
            </w:pPr>
            <w:r w:rsidRPr="00515C0B">
              <w:rPr>
                <w:rFonts w:ascii="Verdana" w:eastAsia="Times New Roman" w:hAnsi="Verdana" w:cs="Arial"/>
                <w:sz w:val="16"/>
                <w:szCs w:val="16"/>
                <w:lang w:eastAsia="es-ES"/>
              </w:rPr>
              <w:t xml:space="preserve">Carolina Quintero </w:t>
            </w:r>
            <w:proofErr w:type="spellStart"/>
            <w:r w:rsidRPr="00515C0B">
              <w:rPr>
                <w:rFonts w:ascii="Verdana" w:eastAsia="Times New Roman" w:hAnsi="Verdana" w:cs="Arial"/>
                <w:sz w:val="16"/>
                <w:szCs w:val="16"/>
                <w:lang w:eastAsia="es-ES"/>
              </w:rPr>
              <w:t>Gacharná</w:t>
            </w:r>
            <w:proofErr w:type="spellEnd"/>
          </w:p>
          <w:p w14:paraId="7F5E0724" w14:textId="77777777" w:rsidR="00516A89" w:rsidRPr="00515C0B" w:rsidRDefault="00516A89" w:rsidP="00E855E2">
            <w:pPr>
              <w:rPr>
                <w:rFonts w:ascii="Verdana" w:eastAsia="Times New Roman" w:hAnsi="Verdana" w:cs="Arial"/>
                <w:sz w:val="14"/>
                <w:szCs w:val="14"/>
                <w:lang w:eastAsia="es-ES"/>
              </w:rPr>
            </w:pPr>
            <w:r w:rsidRPr="00515C0B">
              <w:rPr>
                <w:rFonts w:ascii="Verdana" w:eastAsia="Times New Roman" w:hAnsi="Verdana" w:cs="Arial"/>
                <w:sz w:val="16"/>
                <w:szCs w:val="16"/>
                <w:lang w:eastAsia="es-ES"/>
              </w:rPr>
              <w:t>Subdirectora de Gestión Contractual ANCP – CCE</w:t>
            </w:r>
          </w:p>
        </w:tc>
      </w:tr>
    </w:tbl>
    <w:p w14:paraId="4DA0CFE9" w14:textId="77777777" w:rsidR="00516A89" w:rsidRPr="00515C0B" w:rsidRDefault="00516A89" w:rsidP="00516A89">
      <w:pPr>
        <w:spacing w:after="0" w:line="276" w:lineRule="auto"/>
        <w:jc w:val="both"/>
        <w:rPr>
          <w:rFonts w:ascii="Verdana" w:eastAsia="Times New Roman" w:hAnsi="Verdana" w:cs="Arial"/>
          <w:color w:val="EE0000"/>
          <w:lang w:val="es-ES_tradnl"/>
        </w:rPr>
      </w:pPr>
    </w:p>
    <w:p w14:paraId="2D54F5E9" w14:textId="77777777" w:rsidR="00516A89" w:rsidRPr="00515C0B" w:rsidRDefault="00516A89" w:rsidP="00516A89">
      <w:pPr>
        <w:spacing w:after="0" w:line="240" w:lineRule="auto"/>
        <w:rPr>
          <w:rFonts w:ascii="Verdana" w:eastAsia="Times New Roman" w:hAnsi="Verdana" w:cs="Arial"/>
          <w:color w:val="EE0000"/>
          <w:sz w:val="24"/>
          <w:szCs w:val="24"/>
          <w:lang w:eastAsia="es-ES_tradnl"/>
        </w:rPr>
      </w:pPr>
    </w:p>
    <w:p w14:paraId="2F6AC470" w14:textId="77777777" w:rsidR="00516A89" w:rsidRPr="00515C0B" w:rsidRDefault="00516A89" w:rsidP="00516A89">
      <w:pPr>
        <w:rPr>
          <w:rFonts w:ascii="Verdana" w:eastAsia="Calibri" w:hAnsi="Verdana" w:cs="Times New Roman"/>
          <w:color w:val="EE0000"/>
        </w:rPr>
      </w:pPr>
    </w:p>
    <w:p w14:paraId="2DFEB988" w14:textId="77777777" w:rsidR="00516A89" w:rsidRPr="00515C0B" w:rsidRDefault="00516A89" w:rsidP="00516A89">
      <w:pPr>
        <w:rPr>
          <w:rFonts w:ascii="Calibri" w:eastAsia="Calibri" w:hAnsi="Calibri" w:cs="Times New Roman"/>
          <w:color w:val="EE0000"/>
        </w:rPr>
      </w:pPr>
    </w:p>
    <w:p w14:paraId="20205CC4" w14:textId="77777777" w:rsidR="00516A89" w:rsidRPr="00515C0B" w:rsidRDefault="00516A89" w:rsidP="00516A89"/>
    <w:p w14:paraId="3900974D" w14:textId="77777777" w:rsidR="003D5B0D" w:rsidRPr="00D23475" w:rsidRDefault="003D5B0D" w:rsidP="00D23475"/>
    <w:sectPr w:rsidR="003D5B0D" w:rsidRPr="00D2347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DD1AF" w14:textId="77777777" w:rsidR="00313A4F" w:rsidRDefault="00313A4F" w:rsidP="004A1847">
      <w:pPr>
        <w:spacing w:after="0" w:line="240" w:lineRule="auto"/>
      </w:pPr>
      <w:r>
        <w:separator/>
      </w:r>
    </w:p>
  </w:endnote>
  <w:endnote w:type="continuationSeparator" w:id="0">
    <w:p w14:paraId="573A1F28" w14:textId="77777777" w:rsidR="00313A4F" w:rsidRDefault="00313A4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6D5D3" w14:textId="77777777" w:rsidR="00313A4F" w:rsidRDefault="00313A4F" w:rsidP="004A1847">
      <w:pPr>
        <w:spacing w:after="0" w:line="240" w:lineRule="auto"/>
      </w:pPr>
      <w:r>
        <w:separator/>
      </w:r>
    </w:p>
  </w:footnote>
  <w:footnote w:type="continuationSeparator" w:id="0">
    <w:p w14:paraId="133E9A56" w14:textId="77777777" w:rsidR="00313A4F" w:rsidRDefault="00313A4F" w:rsidP="004A1847">
      <w:pPr>
        <w:spacing w:after="0" w:line="240" w:lineRule="auto"/>
      </w:pPr>
      <w:r>
        <w:continuationSeparator/>
      </w:r>
    </w:p>
  </w:footnote>
  <w:footnote w:id="1">
    <w:p w14:paraId="2E40263B" w14:textId="77777777" w:rsidR="008F148F" w:rsidRPr="00BE126A" w:rsidRDefault="008F148F" w:rsidP="005800D0">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E0761E6" w14:textId="77777777" w:rsidR="008F148F" w:rsidRPr="00BE126A" w:rsidRDefault="008F148F" w:rsidP="005800D0">
      <w:pPr>
        <w:pStyle w:val="Textonotapie"/>
        <w:ind w:firstLine="709"/>
        <w:contextualSpacing/>
        <w:jc w:val="both"/>
        <w:rPr>
          <w:rFonts w:ascii="Verdana" w:hAnsi="Verdana" w:cs="Arial"/>
          <w:sz w:val="16"/>
          <w:szCs w:val="16"/>
        </w:rPr>
      </w:pPr>
      <w:r w:rsidRPr="00BE126A">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2C43A4CC" w14:textId="77777777" w:rsidR="008F148F" w:rsidRPr="00BE126A" w:rsidRDefault="008F148F" w:rsidP="005800D0">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Gaceta del Congreso de la República No. 71 del 2005.</w:t>
      </w:r>
    </w:p>
  </w:footnote>
  <w:footnote w:id="3">
    <w:p w14:paraId="3A1603D8" w14:textId="77777777" w:rsidR="008F148F" w:rsidRPr="005800D0" w:rsidRDefault="008F148F" w:rsidP="005800D0">
      <w:pPr>
        <w:pStyle w:val="Textonotapie"/>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Corte Constitucional, Sentencia C- 1153 de 2005, M.P. Marco Gerardo Monroy Cabra.</w:t>
      </w:r>
    </w:p>
  </w:footnote>
  <w:footnote w:id="4">
    <w:p w14:paraId="799E5839" w14:textId="77777777" w:rsidR="008F148F" w:rsidRPr="005800D0" w:rsidRDefault="008F148F" w:rsidP="005800D0">
      <w:pPr>
        <w:pStyle w:val="Textonotapie"/>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4AAB6BFB" w14:textId="77777777" w:rsidR="008F148F" w:rsidRPr="00BE126A" w:rsidRDefault="008F148F" w:rsidP="005800D0">
      <w:pPr>
        <w:pStyle w:val="Textonotapie"/>
        <w:ind w:firstLine="709"/>
        <w:contextualSpacing/>
        <w:jc w:val="both"/>
        <w:rPr>
          <w:rFonts w:ascii="Verdana" w:hAnsi="Verdana" w:cs="Arial"/>
          <w:sz w:val="16"/>
          <w:szCs w:val="16"/>
          <w:lang w:val="es-CO"/>
        </w:rPr>
      </w:pPr>
      <w:r w:rsidRPr="00BE126A">
        <w:rPr>
          <w:rStyle w:val="Refdenotaalpie"/>
          <w:rFonts w:ascii="Verdana" w:hAnsi="Verdana" w:cs="Arial"/>
          <w:sz w:val="16"/>
          <w:szCs w:val="16"/>
        </w:rPr>
        <w:footnoteRef/>
      </w:r>
      <w:r w:rsidRPr="00BE126A">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D5A5DF7" w14:textId="77777777" w:rsidR="008F148F" w:rsidRPr="00BE126A" w:rsidRDefault="008F148F" w:rsidP="005800D0">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Consejo de Estado, Sala de Consulta y Servicio Civil de fecha 24 de julio de 2013, radicado 2166, </w:t>
      </w:r>
      <w:r w:rsidRPr="00BE126A">
        <w:rPr>
          <w:rFonts w:ascii="Verdana" w:hAnsi="Verdana" w:cs="Arial"/>
          <w:sz w:val="16"/>
          <w:szCs w:val="16"/>
        </w:rPr>
        <w:t xml:space="preserve">Consejero Ponente: Álvaro </w:t>
      </w:r>
      <w:r w:rsidRPr="00BE126A">
        <w:rPr>
          <w:rFonts w:ascii="Verdana" w:hAnsi="Verdana" w:cs="Arial"/>
          <w:sz w:val="16"/>
          <w:szCs w:val="16"/>
        </w:rPr>
        <w:t xml:space="preserve">Namén Vargas.  </w:t>
      </w:r>
    </w:p>
  </w:footnote>
  <w:footnote w:id="7">
    <w:p w14:paraId="7ED3A824" w14:textId="77777777" w:rsidR="008F148F" w:rsidRPr="00BE126A" w:rsidRDefault="008F148F" w:rsidP="005800D0">
      <w:pPr>
        <w:spacing w:after="0" w:line="240" w:lineRule="auto"/>
        <w:ind w:firstLine="709"/>
        <w:contextualSpacing/>
        <w:jc w:val="both"/>
        <w:rPr>
          <w:rFonts w:ascii="Verdana" w:eastAsia="Times New Roman"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5" w:name="33"/>
      <w:r w:rsidRPr="00BE126A">
        <w:rPr>
          <w:rFonts w:ascii="Verdana" w:eastAsia="Calibri" w:hAnsi="Verdana" w:cs="Arial"/>
          <w:bCs/>
          <w:color w:val="000000"/>
          <w:sz w:val="16"/>
          <w:szCs w:val="16"/>
        </w:rPr>
        <w:t>“</w:t>
      </w:r>
      <w:r w:rsidRPr="00BE126A">
        <w:rPr>
          <w:rFonts w:ascii="Verdana" w:eastAsia="Times New Roman" w:hAnsi="Verdana" w:cs="Arial"/>
          <w:sz w:val="16"/>
          <w:szCs w:val="16"/>
        </w:rPr>
        <w:t>Artículo 33. Restricciones a la contratación pública.</w:t>
      </w:r>
      <w:bookmarkEnd w:id="5"/>
      <w:r w:rsidRPr="00BE126A">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18E65DFF" w14:textId="77777777" w:rsidR="008F148F" w:rsidRPr="00BE126A" w:rsidRDefault="008F148F" w:rsidP="005800D0">
      <w:pPr>
        <w:spacing w:after="0" w:line="240" w:lineRule="auto"/>
        <w:ind w:firstLine="709"/>
        <w:contextualSpacing/>
        <w:jc w:val="both"/>
        <w:rPr>
          <w:rFonts w:ascii="Verdana" w:eastAsia="Times New Roman" w:hAnsi="Verdana" w:cs="Arial"/>
          <w:sz w:val="16"/>
          <w:szCs w:val="16"/>
        </w:rPr>
      </w:pPr>
      <w:r w:rsidRPr="00BE126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E126A">
        <w:rPr>
          <w:rFonts w:ascii="Verdana" w:eastAsia="Calibri" w:hAnsi="Verdana" w:cs="Arial"/>
          <w:bCs/>
          <w:color w:val="000000"/>
          <w:sz w:val="16"/>
          <w:szCs w:val="16"/>
        </w:rPr>
        <w:t>»</w:t>
      </w:r>
      <w:r w:rsidRPr="00BE126A">
        <w:rPr>
          <w:rFonts w:ascii="Verdana" w:eastAsia="Times New Roman" w:hAnsi="Verdana" w:cs="Arial"/>
          <w:sz w:val="16"/>
          <w:szCs w:val="16"/>
        </w:rPr>
        <w:t>.</w:t>
      </w:r>
    </w:p>
  </w:footnote>
  <w:footnote w:id="8">
    <w:p w14:paraId="58B0CF49" w14:textId="77777777" w:rsidR="008F148F" w:rsidRPr="00BE126A" w:rsidRDefault="008F148F" w:rsidP="005800D0">
      <w:pPr>
        <w:pStyle w:val="NormalWeb"/>
        <w:spacing w:before="0" w:beforeAutospacing="0" w:after="0" w:afterAutospacing="0"/>
        <w:ind w:firstLine="709"/>
        <w:contextualSpacing/>
        <w:jc w:val="both"/>
        <w:rPr>
          <w:rFonts w:ascii="Verdana" w:hAnsi="Verdana" w:cs="Arial"/>
          <w:sz w:val="16"/>
          <w:szCs w:val="16"/>
          <w:lang w:val="es-MX"/>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6" w:name="38"/>
      <w:r w:rsidRPr="00BE126A">
        <w:rPr>
          <w:rFonts w:ascii="Verdana" w:eastAsia="Calibri" w:hAnsi="Verdana" w:cs="Arial"/>
          <w:bCs/>
          <w:color w:val="000000"/>
          <w:sz w:val="16"/>
          <w:szCs w:val="16"/>
        </w:rPr>
        <w:t>“</w:t>
      </w:r>
      <w:r w:rsidRPr="00BE126A">
        <w:rPr>
          <w:rFonts w:ascii="Verdana" w:hAnsi="Verdana" w:cs="Arial"/>
          <w:sz w:val="16"/>
          <w:szCs w:val="16"/>
          <w:lang w:val="es-MX"/>
        </w:rPr>
        <w:t>Artículo 38. Prohibiciones para los servidores públicos. A los empleados del Estado les está prohibido:</w:t>
      </w:r>
      <w:bookmarkEnd w:id="6"/>
    </w:p>
    <w:p w14:paraId="120D0095" w14:textId="77777777" w:rsidR="008F148F" w:rsidRPr="00BE126A" w:rsidRDefault="008F148F" w:rsidP="005800D0">
      <w:pPr>
        <w:pStyle w:val="NormalWeb"/>
        <w:spacing w:before="0" w:beforeAutospacing="0" w:after="0" w:afterAutospacing="0"/>
        <w:ind w:firstLine="709"/>
        <w:contextualSpacing/>
        <w:jc w:val="both"/>
        <w:rPr>
          <w:rFonts w:ascii="Verdana" w:hAnsi="Verdana" w:cs="Arial"/>
          <w:sz w:val="16"/>
          <w:szCs w:val="16"/>
          <w:lang w:val="es-MX"/>
        </w:rPr>
      </w:pPr>
      <w:r w:rsidRPr="00BE126A">
        <w:rPr>
          <w:rFonts w:ascii="Verdana" w:hAnsi="Verdana" w:cs="Arial"/>
          <w:sz w:val="16"/>
          <w:szCs w:val="16"/>
          <w:lang w:val="es-MX"/>
        </w:rPr>
        <w:t>[…]</w:t>
      </w:r>
    </w:p>
    <w:p w14:paraId="17DC1E89" w14:textId="77777777" w:rsidR="008F148F" w:rsidRPr="00BE126A" w:rsidRDefault="008F148F" w:rsidP="005800D0">
      <w:pPr>
        <w:pStyle w:val="NormalWeb"/>
        <w:spacing w:before="0" w:beforeAutospacing="0" w:after="0" w:afterAutospacing="0"/>
        <w:ind w:firstLine="709"/>
        <w:contextualSpacing/>
        <w:jc w:val="both"/>
        <w:rPr>
          <w:rFonts w:ascii="Verdana" w:hAnsi="Verdana" w:cs="Arial"/>
          <w:sz w:val="16"/>
          <w:szCs w:val="16"/>
          <w:lang w:val="es-MX"/>
        </w:rPr>
      </w:pPr>
      <w:r w:rsidRPr="00BE126A">
        <w:rPr>
          <w:rStyle w:val="baj"/>
          <w:rFonts w:ascii="Verdana" w:hAnsi="Verdana" w:cs="Arial"/>
          <w:sz w:val="16"/>
          <w:szCs w:val="16"/>
          <w:lang w:val="es-MX"/>
        </w:rPr>
        <w:t>Parágrafo.</w:t>
      </w:r>
      <w:r w:rsidRPr="00BE126A">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126A">
        <w:rPr>
          <w:rFonts w:ascii="Verdana" w:eastAsia="Calibri" w:hAnsi="Verdana" w:cs="Arial"/>
          <w:bCs/>
          <w:color w:val="000000"/>
          <w:sz w:val="16"/>
          <w:szCs w:val="16"/>
        </w:rPr>
        <w:t>”.</w:t>
      </w:r>
      <w:r w:rsidRPr="00BE126A">
        <w:rPr>
          <w:rFonts w:ascii="Verdana" w:hAnsi="Verdana" w:cs="Arial"/>
          <w:sz w:val="16"/>
          <w:szCs w:val="16"/>
          <w:lang w:val="es-MX"/>
        </w:rPr>
        <w:t>.</w:t>
      </w:r>
    </w:p>
  </w:footnote>
  <w:footnote w:id="9">
    <w:p w14:paraId="728C2F67" w14:textId="77777777" w:rsidR="008F148F" w:rsidRPr="00BE126A" w:rsidRDefault="008F148F" w:rsidP="005800D0">
      <w:pPr>
        <w:spacing w:after="0" w:line="240" w:lineRule="auto"/>
        <w:ind w:left="100" w:right="244" w:firstLine="709"/>
        <w:contextualSpacing/>
        <w:jc w:val="both"/>
        <w:rPr>
          <w:rFonts w:ascii="Verdana" w:hAnsi="Verdana" w:cs="Arial"/>
          <w:sz w:val="16"/>
          <w:szCs w:val="16"/>
          <w:lang w:val="es-ES"/>
        </w:rPr>
      </w:pPr>
      <w:r w:rsidRPr="00BE126A">
        <w:rPr>
          <w:rStyle w:val="Refdenotaalpie"/>
          <w:rFonts w:ascii="Verdana" w:hAnsi="Verdana" w:cs="Arial"/>
          <w:sz w:val="16"/>
          <w:szCs w:val="16"/>
        </w:rPr>
        <w:footnoteRef/>
      </w:r>
      <w:r w:rsidRPr="00BE126A">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6CEC301C" w14:textId="77777777" w:rsidR="00516A89" w:rsidRPr="00CE0D82" w:rsidRDefault="00516A89" w:rsidP="005800D0">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[25] </w:t>
      </w:r>
      <w:r w:rsidRPr="00CE0D82">
        <w:rPr>
          <w:rFonts w:ascii="Verdana" w:hAnsi="Verdana" w:cs="Arial"/>
          <w:sz w:val="16"/>
          <w:szCs w:val="16"/>
        </w:rPr>
        <w:t>Cfr. Consejo de Estado. Sección Tercera. Sentencia de 3 de diciembre de 2007. Radicados: 24.715, 25.206, 25.409, 24.524, 27.834, 25.410, 26.105, 28.244, 31.447 -acumulados</w:t>
      </w:r>
      <w:r w:rsidRPr="00CE0D82">
        <w:rPr>
          <w:rFonts w:ascii="Verdana" w:hAnsi="Verdana" w:cs="Arial"/>
          <w:sz w:val="16"/>
          <w:szCs w:val="16"/>
        </w:rPr>
        <w:t>-“.</w:t>
      </w:r>
    </w:p>
  </w:footnote>
  <w:footnote w:id="11">
    <w:p w14:paraId="3BFE8F31" w14:textId="77777777" w:rsidR="00516A89" w:rsidRPr="00CE0D82" w:rsidRDefault="00516A89" w:rsidP="005800D0">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bookmarkStart w:id="14" w:name="_Hlk74294506"/>
      <w:r w:rsidRPr="00CE0D82">
        <w:rPr>
          <w:rFonts w:ascii="Verdana" w:hAnsi="Verdana" w:cs="Arial"/>
          <w:sz w:val="16"/>
          <w:szCs w:val="16"/>
        </w:rPr>
        <w:t>“</w:t>
      </w:r>
      <w:r w:rsidRPr="00CE0D82">
        <w:rPr>
          <w:rFonts w:ascii="Verdana" w:hAnsi="Verdana" w:cs="Arial"/>
          <w:sz w:val="16"/>
          <w:szCs w:val="16"/>
          <w:lang w:val="es-ES"/>
        </w:rPr>
        <w:t xml:space="preserve">[26] </w:t>
      </w:r>
      <w:bookmarkEnd w:id="14"/>
      <w:r w:rsidRPr="00CE0D82">
        <w:rPr>
          <w:rFonts w:ascii="Verdana" w:hAnsi="Verdana" w:cs="Arial"/>
          <w:sz w:val="16"/>
          <w:szCs w:val="16"/>
        </w:rPr>
        <w:t>Al respecto ver el concepto 1712 de 2 de febrero de 2006. Consejo de Estado Sala de Consulta y Servicio Civil”.</w:t>
      </w:r>
    </w:p>
  </w:footnote>
  <w:footnote w:id="12">
    <w:p w14:paraId="2FC82FBB" w14:textId="77777777" w:rsidR="00516A89" w:rsidRPr="005800D0" w:rsidRDefault="00516A89" w:rsidP="005800D0">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Consejo de Estado. Sala de Consulta y Servicio Civil. Concepto del 2 de septiembre de 2013. Radicación número: 11001-03-06-000-2013-00412-00 (2168). Consejero Ponente: Álvaro </w:t>
      </w:r>
      <w:r w:rsidRPr="00CE0D82">
        <w:rPr>
          <w:rFonts w:ascii="Verdana" w:hAnsi="Verdana" w:cs="Arial"/>
          <w:sz w:val="16"/>
          <w:szCs w:val="16"/>
        </w:rPr>
        <w:t>Namén Vargas.</w:t>
      </w:r>
    </w:p>
  </w:footnote>
  <w:footnote w:id="13">
    <w:p w14:paraId="2DDBE61C" w14:textId="77777777" w:rsidR="00516A89" w:rsidRPr="00CE0D82" w:rsidRDefault="00516A89" w:rsidP="005800D0">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Artículo 2. </w:t>
      </w:r>
    </w:p>
  </w:footnote>
  <w:footnote w:id="14">
    <w:p w14:paraId="68179D75" w14:textId="77777777" w:rsidR="00516A89" w:rsidRPr="00CE0D82" w:rsidRDefault="00516A89" w:rsidP="005800D0">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i/>
          <w:sz w:val="16"/>
          <w:szCs w:val="16"/>
          <w:lang w:val="es-ES"/>
        </w:rPr>
        <w:t>Ídem</w:t>
      </w:r>
      <w:r w:rsidRPr="00CE0D82">
        <w:rPr>
          <w:rFonts w:ascii="Verdana" w:hAnsi="Verdana" w:cs="Arial"/>
          <w:sz w:val="16"/>
          <w:szCs w:val="16"/>
          <w:lang w:val="es-ES"/>
        </w:rPr>
        <w:t>.</w:t>
      </w:r>
    </w:p>
  </w:footnote>
  <w:footnote w:id="15">
    <w:p w14:paraId="6D0070CF" w14:textId="77777777" w:rsidR="00516A89" w:rsidRPr="00CE0D82" w:rsidRDefault="00516A89" w:rsidP="005800D0">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 xml:space="preserve">[…] A este respecto, cabe recordar que el artículo 860 del Código de Comercio regula la licitación en el derecho privado. </w:t>
      </w:r>
    </w:p>
  </w:footnote>
  <w:footnote w:id="16">
    <w:p w14:paraId="44F4B733" w14:textId="77777777" w:rsidR="00516A89" w:rsidRPr="005800D0" w:rsidRDefault="00516A89" w:rsidP="005800D0">
      <w:pPr>
        <w:shd w:val="clear" w:color="auto" w:fill="FFFFFF"/>
        <w:spacing w:after="0" w:line="240" w:lineRule="auto"/>
        <w:ind w:firstLine="709"/>
        <w:contextualSpacing/>
        <w:jc w:val="both"/>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 xml:space="preserve">Consejo de Estado. Sala de Consulta y Servicio Civil, Concepto de 8 de mayo de 2018. Radicación Número: 11001-03-06-000-2018-00095-00(2382). Consejero Ponente: Álvaro </w:t>
      </w:r>
      <w:r w:rsidRPr="00CE0D82">
        <w:rPr>
          <w:rFonts w:ascii="Verdana" w:hAnsi="Verdana" w:cs="Arial"/>
          <w:sz w:val="16"/>
          <w:szCs w:val="16"/>
          <w:lang w:val="es-ES"/>
        </w:rPr>
        <w:t>Namén Vargas</w:t>
      </w:r>
      <w:r w:rsidRPr="005800D0">
        <w:rPr>
          <w:rFonts w:ascii="Verdana" w:hAnsi="Verdana" w:cs="Arial"/>
          <w:sz w:val="16"/>
          <w:szCs w:val="16"/>
          <w:lang w:val="es-ES"/>
        </w:rPr>
        <w:t>.</w:t>
      </w:r>
    </w:p>
  </w:footnote>
  <w:footnote w:id="17">
    <w:p w14:paraId="7B24FF0F" w14:textId="77777777" w:rsidR="00516A89" w:rsidRPr="00195E24" w:rsidRDefault="00516A89" w:rsidP="005800D0">
      <w:pPr>
        <w:pStyle w:val="Textonotapie"/>
        <w:ind w:firstLine="709"/>
        <w:contextualSpacing/>
        <w:rPr>
          <w:rFonts w:ascii="Verdana" w:hAnsi="Verdana" w:cs="Arial"/>
          <w:sz w:val="16"/>
          <w:szCs w:val="16"/>
        </w:rPr>
      </w:pPr>
      <w:r w:rsidRPr="00195E24">
        <w:rPr>
          <w:rStyle w:val="Refdenotaalpie"/>
          <w:rFonts w:ascii="Verdana" w:hAnsi="Verdana" w:cs="Arial"/>
          <w:sz w:val="16"/>
          <w:szCs w:val="16"/>
        </w:rPr>
        <w:footnoteRef/>
      </w:r>
      <w:r w:rsidRPr="00195E24">
        <w:rPr>
          <w:rFonts w:ascii="Verdana" w:hAnsi="Verdana" w:cs="Arial"/>
          <w:sz w:val="16"/>
          <w:szCs w:val="16"/>
        </w:rPr>
        <w:t xml:space="preserve"> Consejo de Estado. Sala de Consulta y Servicio Civil. Concepto del 08 de mayo de 2018. </w:t>
      </w:r>
      <w:r w:rsidRPr="00195E24">
        <w:rPr>
          <w:rFonts w:ascii="Verdana" w:hAnsi="Verdana" w:cs="Arial"/>
          <w:sz w:val="16"/>
          <w:szCs w:val="16"/>
        </w:rPr>
        <w:t>Exp. 2.382. C.P. Álvaro Namén Vargas.</w:t>
      </w:r>
    </w:p>
  </w:footnote>
  <w:footnote w:id="18">
    <w:p w14:paraId="03584EAD" w14:textId="77777777" w:rsidR="000019FC" w:rsidRPr="00BE126A" w:rsidRDefault="000019FC" w:rsidP="00BE126A">
      <w:pPr>
        <w:pStyle w:val="Textonotapie"/>
        <w:ind w:firstLine="708"/>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Es lo que sucede, por ejemplo, con el Decreto 092 de 2017, que en su desarrollo hace referencia tanto a los “contratos” como a los “convenios”. </w:t>
      </w:r>
    </w:p>
  </w:footnote>
  <w:footnote w:id="19">
    <w:p w14:paraId="6DCEEA2F" w14:textId="77777777" w:rsidR="000019FC" w:rsidRPr="005800D0" w:rsidRDefault="000019FC" w:rsidP="00BE126A">
      <w:pPr>
        <w:pStyle w:val="Textonotapie"/>
        <w:ind w:firstLine="708"/>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BE126A">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5800D0">
        <w:rPr>
          <w:rFonts w:ascii="Verdana" w:hAnsi="Verdana" w:cs="Arial"/>
          <w:sz w:val="16"/>
          <w:szCs w:val="16"/>
          <w:lang w:val="pt-PT"/>
        </w:rPr>
        <w:t>(Corte Constitucional. Sentencia C-671 de 2015. M.P. Alberto Rojas Ríos).</w:t>
      </w:r>
    </w:p>
  </w:footnote>
  <w:footnote w:id="20">
    <w:p w14:paraId="35FAF4C7" w14:textId="77777777" w:rsidR="000019FC" w:rsidRPr="005800D0" w:rsidRDefault="000019FC" w:rsidP="005800D0">
      <w:pPr>
        <w:pStyle w:val="Textonotapie"/>
        <w:ind w:firstLine="709"/>
        <w:contextualSpacing/>
        <w:rPr>
          <w:rFonts w:ascii="Verdana" w:hAnsi="Verdana"/>
          <w:sz w:val="16"/>
          <w:szCs w:val="16"/>
          <w:lang w:val="pt-PT"/>
        </w:rPr>
      </w:pPr>
      <w:r w:rsidRPr="005800D0">
        <w:rPr>
          <w:rStyle w:val="Refdenotaalpie"/>
          <w:rFonts w:ascii="Verdana" w:hAnsi="Verdana"/>
          <w:sz w:val="16"/>
          <w:szCs w:val="16"/>
        </w:rPr>
        <w:footnoteRef/>
      </w:r>
      <w:r w:rsidRPr="005800D0">
        <w:rPr>
          <w:rFonts w:ascii="Verdana" w:hAnsi="Verdana"/>
          <w:sz w:val="16"/>
          <w:szCs w:val="16"/>
          <w:lang w:val="pt-PT"/>
        </w:rPr>
        <w:t xml:space="preserve"> </w:t>
      </w:r>
      <w:r w:rsidRPr="005800D0">
        <w:rPr>
          <w:rFonts w:ascii="Verdana" w:hAnsi="Verdana" w:cs="Arial"/>
          <w:sz w:val="16"/>
          <w:szCs w:val="16"/>
          <w:lang w:val="pt-PT"/>
        </w:rPr>
        <w:t>Consejo de Estado, Sala de lo Contencioso Administrativo, Sección Tercera. Auto del 4 de octubre de 2024. Radicado No. 70.313. MP: Fredy Ibarra Martínez</w:t>
      </w:r>
    </w:p>
  </w:footnote>
  <w:footnote w:id="21">
    <w:p w14:paraId="778D38C0" w14:textId="77777777" w:rsidR="000019FC" w:rsidRPr="00BE126A" w:rsidRDefault="000019FC" w:rsidP="00BE126A">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23" w:name="_Hlk192533196"/>
      <w:r w:rsidRPr="00BE126A">
        <w:rPr>
          <w:rFonts w:ascii="Verdana" w:hAnsi="Verdana" w:cs="Arial"/>
          <w:sz w:val="16"/>
          <w:szCs w:val="16"/>
        </w:rPr>
        <w:t>Consejo de Estado. Sala de Consulta y Servicio Civil. Concepto del 15 de noviembre de 2007. Expediente número 1863. Consejero Ponente: Luis Fernando Álvarez Jaramillo.</w:t>
      </w:r>
      <w:bookmarkEnd w:id="23"/>
    </w:p>
  </w:footnote>
  <w:footnote w:id="22">
    <w:p w14:paraId="5559D2FE" w14:textId="77777777" w:rsidR="00516A89" w:rsidRPr="00195E24" w:rsidRDefault="00516A89" w:rsidP="00516A89">
      <w:pPr>
        <w:pStyle w:val="Textonotapie"/>
        <w:ind w:firstLine="708"/>
        <w:contextualSpacing/>
        <w:jc w:val="both"/>
        <w:rPr>
          <w:rFonts w:ascii="Verdana" w:hAnsi="Verdana" w:cs="Arial"/>
          <w:sz w:val="16"/>
          <w:szCs w:val="16"/>
        </w:rPr>
      </w:pPr>
      <w:r w:rsidRPr="00195E24">
        <w:rPr>
          <w:rStyle w:val="Refdenotaalpie"/>
          <w:rFonts w:ascii="Verdana" w:hAnsi="Verdana" w:cs="Arial"/>
          <w:sz w:val="16"/>
          <w:szCs w:val="16"/>
        </w:rPr>
        <w:footnoteRef/>
      </w:r>
      <w:r w:rsidRPr="00195E24">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72002D84" w14:textId="77777777" w:rsidR="00516A89" w:rsidRPr="00195E24" w:rsidRDefault="00516A89" w:rsidP="00516A89">
      <w:pPr>
        <w:pStyle w:val="Textonotapie"/>
        <w:ind w:firstLine="708"/>
        <w:contextualSpacing/>
        <w:jc w:val="both"/>
        <w:rPr>
          <w:rFonts w:ascii="Verdana" w:hAnsi="Verdana" w:cs="Arial"/>
          <w:sz w:val="16"/>
          <w:szCs w:val="16"/>
        </w:rPr>
      </w:pPr>
      <w:r w:rsidRPr="00195E24">
        <w:rPr>
          <w:rFonts w:ascii="Verdana" w:hAnsi="Verdana" w:cs="Arial"/>
          <w:sz w:val="16"/>
          <w:szCs w:val="16"/>
        </w:rPr>
        <w:t xml:space="preserve">a) Personería jurídica; </w:t>
      </w:r>
    </w:p>
    <w:p w14:paraId="0BDF1997" w14:textId="77777777" w:rsidR="00516A89" w:rsidRPr="00195E24" w:rsidRDefault="00516A89" w:rsidP="00516A89">
      <w:pPr>
        <w:pStyle w:val="Textonotapie"/>
        <w:ind w:firstLine="708"/>
        <w:contextualSpacing/>
        <w:jc w:val="both"/>
        <w:rPr>
          <w:rFonts w:ascii="Verdana" w:hAnsi="Verdana" w:cs="Arial"/>
          <w:sz w:val="16"/>
          <w:szCs w:val="16"/>
        </w:rPr>
      </w:pPr>
      <w:r w:rsidRPr="00195E24">
        <w:rPr>
          <w:rFonts w:ascii="Verdana" w:hAnsi="Verdana" w:cs="Arial"/>
          <w:sz w:val="16"/>
          <w:szCs w:val="16"/>
        </w:rPr>
        <w:t xml:space="preserve">b) Autonomía administrativa y financiera; </w:t>
      </w:r>
    </w:p>
    <w:p w14:paraId="66961610" w14:textId="56D2768B" w:rsidR="00516A89" w:rsidRPr="005800D0" w:rsidRDefault="00516A89" w:rsidP="00516A89">
      <w:pPr>
        <w:pStyle w:val="Textonotapie"/>
        <w:ind w:firstLine="708"/>
        <w:contextualSpacing/>
        <w:jc w:val="both"/>
        <w:rPr>
          <w:rFonts w:ascii="Verdana" w:hAnsi="Verdana" w:cs="Arial"/>
          <w:sz w:val="16"/>
          <w:szCs w:val="16"/>
        </w:rPr>
      </w:pPr>
      <w:r w:rsidRPr="00195E24">
        <w:rPr>
          <w:rFonts w:ascii="Verdana" w:hAnsi="Verdana" w:cs="Arial"/>
          <w:sz w:val="16"/>
          <w:szCs w:val="16"/>
        </w:rPr>
        <w:t>c) Capital independiente, constituido totalmente con bienes o fondos públicos comunes, los productos de ellos, o el rendimiento de tasas que perciban por las funciones o servicios, y contribuciones de destinación especial en los casos autorizados por la Constitución</w:t>
      </w:r>
      <w:r>
        <w:rPr>
          <w:rFonts w:ascii="Verdana" w:hAnsi="Verdana" w:cs="Arial"/>
          <w:sz w:val="16"/>
          <w:szCs w:val="16"/>
        </w:rPr>
        <w:t>.</w:t>
      </w:r>
      <w:r w:rsidRPr="00CE0D82">
        <w:rPr>
          <w:rFonts w:ascii="Verdana" w:hAnsi="Verdana" w:cs="Arial"/>
          <w:sz w:val="16"/>
          <w:szCs w:val="16"/>
        </w:rPr>
        <w:t xml:space="preserve"> </w:t>
      </w:r>
    </w:p>
  </w:footnote>
  <w:footnote w:id="23">
    <w:p w14:paraId="26D950AF" w14:textId="77777777" w:rsidR="00516A89" w:rsidRPr="005800D0" w:rsidRDefault="00516A89" w:rsidP="00516A89">
      <w:pPr>
        <w:spacing w:after="0" w:line="240" w:lineRule="auto"/>
        <w:ind w:right="49" w:firstLine="709"/>
        <w:contextualSpacing/>
        <w:jc w:val="both"/>
        <w:rPr>
          <w:rFonts w:ascii="Verdana" w:hAnsi="Verdana"/>
          <w:sz w:val="16"/>
          <w:szCs w:val="16"/>
        </w:rPr>
      </w:pPr>
      <w:r w:rsidRPr="005800D0">
        <w:rPr>
          <w:rStyle w:val="Refdenotaalpie"/>
          <w:rFonts w:ascii="Verdana" w:hAnsi="Verdana"/>
          <w:sz w:val="16"/>
          <w:szCs w:val="16"/>
        </w:rPr>
        <w:footnoteRef/>
      </w:r>
      <w:r w:rsidRPr="005800D0">
        <w:rPr>
          <w:rFonts w:ascii="Verdana" w:hAnsi="Verdana"/>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5800D0">
        <w:rPr>
          <w:rFonts w:ascii="Verdana" w:hAnsi="Verdana"/>
          <w:spacing w:val="-15"/>
          <w:sz w:val="16"/>
          <w:szCs w:val="16"/>
        </w:rPr>
        <w:t xml:space="preserve"> </w:t>
      </w:r>
      <w:r w:rsidRPr="005800D0">
        <w:rPr>
          <w:rFonts w:ascii="Verdana" w:hAnsi="Verdana"/>
          <w:sz w:val="16"/>
          <w:szCs w:val="16"/>
        </w:rPr>
        <w:t>y comerciales estatales y de las sociedades de economía mixta, con excepción de los contratos que a título enunciativo identifica el artículo 32 de esta ley”, o sea, los de obra, consultoría, prestación de servicios,</w:t>
      </w:r>
      <w:r w:rsidRPr="005800D0">
        <w:rPr>
          <w:rFonts w:ascii="Verdana" w:hAnsi="Verdana"/>
          <w:spacing w:val="-7"/>
          <w:sz w:val="16"/>
          <w:szCs w:val="16"/>
        </w:rPr>
        <w:t xml:space="preserve"> </w:t>
      </w:r>
      <w:r w:rsidRPr="005800D0">
        <w:rPr>
          <w:rFonts w:ascii="Verdana" w:hAnsi="Verdana"/>
          <w:sz w:val="16"/>
          <w:szCs w:val="16"/>
        </w:rPr>
        <w:t>concesión,</w:t>
      </w:r>
      <w:r w:rsidRPr="005800D0">
        <w:rPr>
          <w:rFonts w:ascii="Verdana" w:hAnsi="Verdana"/>
          <w:spacing w:val="-7"/>
          <w:sz w:val="16"/>
          <w:szCs w:val="16"/>
        </w:rPr>
        <w:t xml:space="preserve"> </w:t>
      </w:r>
      <w:r w:rsidRPr="005800D0">
        <w:rPr>
          <w:rFonts w:ascii="Verdana" w:hAnsi="Verdana"/>
          <w:sz w:val="16"/>
          <w:szCs w:val="16"/>
        </w:rPr>
        <w:t>encargos</w:t>
      </w:r>
      <w:r w:rsidRPr="005800D0">
        <w:rPr>
          <w:rFonts w:ascii="Verdana" w:hAnsi="Verdana"/>
          <w:spacing w:val="-7"/>
          <w:sz w:val="16"/>
          <w:szCs w:val="16"/>
        </w:rPr>
        <w:t xml:space="preserve"> </w:t>
      </w:r>
      <w:r w:rsidRPr="005800D0">
        <w:rPr>
          <w:rFonts w:ascii="Verdana" w:hAnsi="Verdana"/>
          <w:sz w:val="16"/>
          <w:szCs w:val="16"/>
        </w:rPr>
        <w:t>fiduciarios</w:t>
      </w:r>
      <w:r w:rsidRPr="005800D0">
        <w:rPr>
          <w:rFonts w:ascii="Verdana" w:hAnsi="Verdana"/>
          <w:spacing w:val="-7"/>
          <w:sz w:val="16"/>
          <w:szCs w:val="16"/>
        </w:rPr>
        <w:t xml:space="preserve"> </w:t>
      </w:r>
      <w:r w:rsidRPr="005800D0">
        <w:rPr>
          <w:rFonts w:ascii="Verdana" w:hAnsi="Verdana"/>
          <w:sz w:val="16"/>
          <w:szCs w:val="16"/>
        </w:rPr>
        <w:t>y</w:t>
      </w:r>
      <w:r w:rsidRPr="005800D0">
        <w:rPr>
          <w:rFonts w:ascii="Verdana" w:hAnsi="Verdana"/>
          <w:spacing w:val="-8"/>
          <w:sz w:val="16"/>
          <w:szCs w:val="16"/>
        </w:rPr>
        <w:t xml:space="preserve"> </w:t>
      </w:r>
      <w:r w:rsidRPr="005800D0">
        <w:rPr>
          <w:rFonts w:ascii="Verdana" w:hAnsi="Verdana"/>
          <w:sz w:val="16"/>
          <w:szCs w:val="16"/>
        </w:rPr>
        <w:t>fiducia</w:t>
      </w:r>
      <w:r w:rsidRPr="005800D0">
        <w:rPr>
          <w:rFonts w:ascii="Verdana" w:hAnsi="Verdana"/>
          <w:spacing w:val="-9"/>
          <w:sz w:val="16"/>
          <w:szCs w:val="16"/>
        </w:rPr>
        <w:t xml:space="preserve"> </w:t>
      </w:r>
      <w:r w:rsidRPr="005800D0">
        <w:rPr>
          <w:rFonts w:ascii="Verdana" w:hAnsi="Verdana"/>
          <w:sz w:val="16"/>
          <w:szCs w:val="16"/>
        </w:rPr>
        <w:t>pública,</w:t>
      </w:r>
      <w:r w:rsidRPr="005800D0">
        <w:rPr>
          <w:rFonts w:ascii="Verdana" w:hAnsi="Verdana"/>
          <w:spacing w:val="-7"/>
          <w:sz w:val="16"/>
          <w:szCs w:val="16"/>
        </w:rPr>
        <w:t xml:space="preserve"> </w:t>
      </w:r>
      <w:r w:rsidRPr="005800D0">
        <w:rPr>
          <w:rFonts w:ascii="Verdana" w:hAnsi="Verdana"/>
          <w:sz w:val="16"/>
          <w:szCs w:val="16"/>
        </w:rPr>
        <w:t>que</w:t>
      </w:r>
      <w:r w:rsidRPr="005800D0">
        <w:rPr>
          <w:rFonts w:ascii="Verdana" w:hAnsi="Verdana"/>
          <w:spacing w:val="-13"/>
          <w:sz w:val="16"/>
          <w:szCs w:val="16"/>
        </w:rPr>
        <w:t xml:space="preserve"> </w:t>
      </w:r>
      <w:r w:rsidRPr="005800D0">
        <w:rPr>
          <w:rFonts w:ascii="Verdana" w:hAnsi="Verdana"/>
          <w:sz w:val="16"/>
          <w:szCs w:val="16"/>
        </w:rPr>
        <w:t>se</w:t>
      </w:r>
      <w:r w:rsidRPr="005800D0">
        <w:rPr>
          <w:rFonts w:ascii="Verdana" w:hAnsi="Verdana"/>
          <w:spacing w:val="-8"/>
          <w:sz w:val="16"/>
          <w:szCs w:val="16"/>
        </w:rPr>
        <w:t xml:space="preserve"> </w:t>
      </w:r>
      <w:r w:rsidRPr="005800D0">
        <w:rPr>
          <w:rFonts w:ascii="Verdana" w:hAnsi="Verdana"/>
          <w:sz w:val="16"/>
          <w:szCs w:val="16"/>
        </w:rPr>
        <w:t>regirían</w:t>
      </w:r>
      <w:r w:rsidRPr="005800D0">
        <w:rPr>
          <w:rFonts w:ascii="Verdana" w:hAnsi="Verdana"/>
          <w:spacing w:val="-9"/>
          <w:sz w:val="16"/>
          <w:szCs w:val="16"/>
        </w:rPr>
        <w:t xml:space="preserve"> </w:t>
      </w:r>
      <w:r w:rsidRPr="005800D0">
        <w:rPr>
          <w:rFonts w:ascii="Verdana" w:hAnsi="Verdana"/>
          <w:sz w:val="16"/>
          <w:szCs w:val="16"/>
        </w:rPr>
        <w:t>por</w:t>
      </w:r>
      <w:r w:rsidRPr="005800D0">
        <w:rPr>
          <w:rFonts w:ascii="Verdana" w:hAnsi="Verdana"/>
          <w:spacing w:val="-7"/>
          <w:sz w:val="16"/>
          <w:szCs w:val="16"/>
        </w:rPr>
        <w:t xml:space="preserve"> </w:t>
      </w:r>
      <w:r w:rsidRPr="005800D0">
        <w:rPr>
          <w:rFonts w:ascii="Verdana" w:hAnsi="Verdana"/>
          <w:sz w:val="16"/>
          <w:szCs w:val="16"/>
        </w:rPr>
        <w:t>la</w:t>
      </w:r>
      <w:r w:rsidRPr="005800D0">
        <w:rPr>
          <w:rFonts w:ascii="Verdana" w:hAnsi="Verdana"/>
          <w:spacing w:val="-9"/>
          <w:sz w:val="16"/>
          <w:szCs w:val="16"/>
        </w:rPr>
        <w:t xml:space="preserve"> </w:t>
      </w:r>
      <w:r w:rsidRPr="005800D0">
        <w:rPr>
          <w:rFonts w:ascii="Verdana" w:hAnsi="Verdana"/>
          <w:sz w:val="16"/>
          <w:szCs w:val="16"/>
        </w:rPr>
        <w:t>regla</w:t>
      </w:r>
      <w:r w:rsidRPr="005800D0">
        <w:rPr>
          <w:rFonts w:ascii="Verdana" w:hAnsi="Verdana"/>
          <w:spacing w:val="-9"/>
          <w:sz w:val="16"/>
          <w:szCs w:val="16"/>
        </w:rPr>
        <w:t xml:space="preserve"> </w:t>
      </w:r>
      <w:r w:rsidRPr="005800D0">
        <w:rPr>
          <w:rFonts w:ascii="Verdana" w:hAnsi="Verdana"/>
          <w:sz w:val="16"/>
          <w:szCs w:val="16"/>
        </w:rPr>
        <w:t>general,</w:t>
      </w:r>
      <w:r w:rsidRPr="005800D0">
        <w:rPr>
          <w:rFonts w:ascii="Verdana" w:hAnsi="Verdana"/>
          <w:spacing w:val="-7"/>
          <w:sz w:val="16"/>
          <w:szCs w:val="16"/>
        </w:rPr>
        <w:t xml:space="preserve"> </w:t>
      </w:r>
      <w:r w:rsidRPr="005800D0">
        <w:rPr>
          <w:rFonts w:ascii="Verdana" w:hAnsi="Verdana"/>
          <w:sz w:val="16"/>
          <w:szCs w:val="16"/>
        </w:rPr>
        <w:t>salvo</w:t>
      </w:r>
      <w:r w:rsidRPr="005800D0">
        <w:rPr>
          <w:rFonts w:ascii="Verdana" w:hAnsi="Verdana"/>
          <w:spacing w:val="-10"/>
          <w:sz w:val="16"/>
          <w:szCs w:val="16"/>
        </w:rPr>
        <w:t xml:space="preserve"> </w:t>
      </w:r>
      <w:r w:rsidRPr="005800D0">
        <w:rPr>
          <w:rFonts w:ascii="Verdana" w:hAnsi="Verdana"/>
          <w:sz w:val="16"/>
          <w:szCs w:val="16"/>
        </w:rPr>
        <w:t>los</w:t>
      </w:r>
      <w:r w:rsidRPr="005800D0">
        <w:rPr>
          <w:rFonts w:ascii="Verdana" w:hAnsi="Verdana"/>
          <w:spacing w:val="-7"/>
          <w:sz w:val="16"/>
          <w:szCs w:val="16"/>
        </w:rPr>
        <w:t xml:space="preserve"> </w:t>
      </w:r>
      <w:r w:rsidRPr="005800D0">
        <w:rPr>
          <w:rFonts w:ascii="Verdana" w:hAnsi="Verdana"/>
          <w:sz w:val="16"/>
          <w:szCs w:val="16"/>
        </w:rPr>
        <w:t>casos de</w:t>
      </w:r>
      <w:r w:rsidRPr="005800D0">
        <w:rPr>
          <w:rFonts w:ascii="Verdana" w:hAnsi="Verdana"/>
          <w:spacing w:val="-2"/>
          <w:sz w:val="16"/>
          <w:szCs w:val="16"/>
        </w:rPr>
        <w:t xml:space="preserve"> </w:t>
      </w:r>
      <w:r w:rsidRPr="005800D0">
        <w:rPr>
          <w:rFonts w:ascii="Verdana" w:hAnsi="Verdana"/>
          <w:sz w:val="16"/>
          <w:szCs w:val="16"/>
        </w:rPr>
        <w:t>menor cuantía –previstos en el ordinal a), numeral 1 del artículo 24, original, de la Ley 80 de 1993</w:t>
      </w:r>
      <w:r w:rsidRPr="005800D0">
        <w:rPr>
          <w:rFonts w:ascii="Verdana" w:hAnsi="Verdana"/>
          <w:spacing w:val="-15"/>
          <w:sz w:val="16"/>
          <w:szCs w:val="16"/>
        </w:rPr>
        <w:t xml:space="preserve"> </w:t>
      </w:r>
      <w:r w:rsidRPr="005800D0">
        <w:rPr>
          <w:rFonts w:ascii="Verdana" w:hAnsi="Verdana"/>
          <w:sz w:val="16"/>
          <w:szCs w:val="16"/>
        </w:rPr>
        <w:t>–. Además,</w:t>
      </w:r>
      <w:r w:rsidRPr="005800D0">
        <w:rPr>
          <w:rFonts w:ascii="Verdana" w:hAnsi="Verdana"/>
          <w:spacing w:val="-1"/>
          <w:sz w:val="16"/>
          <w:szCs w:val="16"/>
        </w:rPr>
        <w:t xml:space="preserve"> </w:t>
      </w:r>
      <w:r w:rsidRPr="005800D0">
        <w:rPr>
          <w:rFonts w:ascii="Verdana" w:hAnsi="Verdana"/>
          <w:sz w:val="16"/>
          <w:szCs w:val="16"/>
        </w:rPr>
        <w:t>en</w:t>
      </w:r>
      <w:r w:rsidRPr="005800D0">
        <w:rPr>
          <w:rFonts w:ascii="Verdana" w:hAnsi="Verdana"/>
          <w:spacing w:val="-5"/>
          <w:sz w:val="16"/>
          <w:szCs w:val="16"/>
        </w:rPr>
        <w:t xml:space="preserve"> </w:t>
      </w:r>
      <w:r w:rsidRPr="005800D0">
        <w:rPr>
          <w:rFonts w:ascii="Verdana" w:hAnsi="Verdana"/>
          <w:sz w:val="16"/>
          <w:szCs w:val="16"/>
        </w:rPr>
        <w:t>el</w:t>
      </w:r>
      <w:r w:rsidRPr="005800D0">
        <w:rPr>
          <w:rFonts w:ascii="Verdana" w:hAnsi="Verdana"/>
          <w:spacing w:val="-2"/>
          <w:sz w:val="16"/>
          <w:szCs w:val="16"/>
        </w:rPr>
        <w:t xml:space="preserve"> </w:t>
      </w:r>
      <w:r w:rsidRPr="005800D0">
        <w:rPr>
          <w:rFonts w:ascii="Verdana" w:hAnsi="Verdana"/>
          <w:sz w:val="16"/>
          <w:szCs w:val="16"/>
        </w:rPr>
        <w:t>parágrafo</w:t>
      </w:r>
      <w:r w:rsidRPr="005800D0">
        <w:rPr>
          <w:rFonts w:ascii="Verdana" w:hAnsi="Verdana"/>
          <w:spacing w:val="-5"/>
          <w:sz w:val="16"/>
          <w:szCs w:val="16"/>
        </w:rPr>
        <w:t xml:space="preserve"> </w:t>
      </w:r>
      <w:r w:rsidRPr="005800D0">
        <w:rPr>
          <w:rFonts w:ascii="Verdana" w:hAnsi="Verdana"/>
          <w:sz w:val="16"/>
          <w:szCs w:val="16"/>
        </w:rPr>
        <w:t>del</w:t>
      </w:r>
      <w:r w:rsidRPr="005800D0">
        <w:rPr>
          <w:rFonts w:ascii="Verdana" w:hAnsi="Verdana"/>
          <w:spacing w:val="-2"/>
          <w:sz w:val="16"/>
          <w:szCs w:val="16"/>
        </w:rPr>
        <w:t xml:space="preserve"> </w:t>
      </w:r>
      <w:r w:rsidRPr="005800D0">
        <w:rPr>
          <w:rFonts w:ascii="Verdana" w:hAnsi="Verdana"/>
          <w:sz w:val="16"/>
          <w:szCs w:val="16"/>
        </w:rPr>
        <w:t>artículo</w:t>
      </w:r>
      <w:r w:rsidRPr="005800D0">
        <w:rPr>
          <w:rFonts w:ascii="Verdana" w:hAnsi="Verdana"/>
          <w:spacing w:val="-5"/>
          <w:sz w:val="16"/>
          <w:szCs w:val="16"/>
        </w:rPr>
        <w:t xml:space="preserve"> </w:t>
      </w:r>
      <w:r w:rsidRPr="005800D0">
        <w:rPr>
          <w:rFonts w:ascii="Verdana" w:hAnsi="Verdana"/>
          <w:sz w:val="16"/>
          <w:szCs w:val="16"/>
        </w:rPr>
        <w:t>14</w:t>
      </w:r>
      <w:r w:rsidRPr="005800D0">
        <w:rPr>
          <w:rFonts w:ascii="Verdana" w:hAnsi="Verdana"/>
          <w:spacing w:val="-5"/>
          <w:sz w:val="16"/>
          <w:szCs w:val="16"/>
        </w:rPr>
        <w:t xml:space="preserve"> </w:t>
      </w:r>
      <w:r w:rsidRPr="005800D0">
        <w:rPr>
          <w:rFonts w:ascii="Verdana" w:hAnsi="Verdana"/>
          <w:sz w:val="16"/>
          <w:szCs w:val="16"/>
        </w:rPr>
        <w:t>de</w:t>
      </w:r>
      <w:r w:rsidRPr="005800D0">
        <w:rPr>
          <w:rFonts w:ascii="Verdana" w:hAnsi="Verdana"/>
          <w:spacing w:val="-3"/>
          <w:sz w:val="16"/>
          <w:szCs w:val="16"/>
        </w:rPr>
        <w:t xml:space="preserve"> </w:t>
      </w:r>
      <w:r w:rsidRPr="005800D0">
        <w:rPr>
          <w:rFonts w:ascii="Verdana" w:hAnsi="Verdana"/>
          <w:sz w:val="16"/>
          <w:szCs w:val="16"/>
        </w:rPr>
        <w:t>la</w:t>
      </w:r>
      <w:r w:rsidRPr="005800D0">
        <w:rPr>
          <w:rFonts w:ascii="Verdana" w:hAnsi="Verdana"/>
          <w:spacing w:val="-4"/>
          <w:sz w:val="16"/>
          <w:szCs w:val="16"/>
        </w:rPr>
        <w:t xml:space="preserve"> </w:t>
      </w:r>
      <w:r w:rsidRPr="005800D0">
        <w:rPr>
          <w:rFonts w:ascii="Verdana" w:hAnsi="Verdana"/>
          <w:sz w:val="16"/>
          <w:szCs w:val="16"/>
        </w:rPr>
        <w:t>Ley</w:t>
      </w:r>
      <w:r w:rsidRPr="005800D0">
        <w:rPr>
          <w:rFonts w:ascii="Verdana" w:hAnsi="Verdana"/>
          <w:spacing w:val="-3"/>
          <w:sz w:val="16"/>
          <w:szCs w:val="16"/>
        </w:rPr>
        <w:t xml:space="preserve"> </w:t>
      </w:r>
      <w:r w:rsidRPr="005800D0">
        <w:rPr>
          <w:rFonts w:ascii="Verdana" w:hAnsi="Verdana"/>
          <w:sz w:val="16"/>
          <w:szCs w:val="16"/>
        </w:rPr>
        <w:t>80</w:t>
      </w:r>
      <w:r w:rsidRPr="005800D0">
        <w:rPr>
          <w:rFonts w:ascii="Verdana" w:hAnsi="Verdana"/>
          <w:spacing w:val="-5"/>
          <w:sz w:val="16"/>
          <w:szCs w:val="16"/>
        </w:rPr>
        <w:t xml:space="preserve"> </w:t>
      </w:r>
      <w:r w:rsidRPr="005800D0">
        <w:rPr>
          <w:rFonts w:ascii="Verdana" w:hAnsi="Verdana"/>
          <w:sz w:val="16"/>
          <w:szCs w:val="16"/>
        </w:rPr>
        <w:t>de</w:t>
      </w:r>
      <w:r w:rsidRPr="005800D0">
        <w:rPr>
          <w:rFonts w:ascii="Verdana" w:hAnsi="Verdana"/>
          <w:spacing w:val="-3"/>
          <w:sz w:val="16"/>
          <w:szCs w:val="16"/>
        </w:rPr>
        <w:t xml:space="preserve"> </w:t>
      </w:r>
      <w:r w:rsidRPr="005800D0">
        <w:rPr>
          <w:rFonts w:ascii="Verdana" w:hAnsi="Verdana"/>
          <w:sz w:val="16"/>
          <w:szCs w:val="16"/>
        </w:rPr>
        <w:t>1993,</w:t>
      </w:r>
      <w:r w:rsidRPr="005800D0">
        <w:rPr>
          <w:rFonts w:ascii="Verdana" w:hAnsi="Verdana"/>
          <w:spacing w:val="-1"/>
          <w:sz w:val="16"/>
          <w:szCs w:val="16"/>
        </w:rPr>
        <w:t xml:space="preserve"> </w:t>
      </w:r>
      <w:r w:rsidRPr="005800D0">
        <w:rPr>
          <w:rFonts w:ascii="Verdana" w:hAnsi="Verdana"/>
          <w:sz w:val="16"/>
          <w:szCs w:val="16"/>
        </w:rPr>
        <w:t>se</w:t>
      </w:r>
      <w:r w:rsidRPr="005800D0">
        <w:rPr>
          <w:rFonts w:ascii="Verdana" w:hAnsi="Verdana"/>
          <w:spacing w:val="-3"/>
          <w:sz w:val="16"/>
          <w:szCs w:val="16"/>
        </w:rPr>
        <w:t xml:space="preserve"> </w:t>
      </w:r>
      <w:r w:rsidRPr="005800D0">
        <w:rPr>
          <w:rFonts w:ascii="Verdana" w:hAnsi="Verdana"/>
          <w:sz w:val="16"/>
          <w:szCs w:val="16"/>
        </w:rPr>
        <w:t>señaló</w:t>
      </w:r>
      <w:r w:rsidRPr="005800D0">
        <w:rPr>
          <w:rFonts w:ascii="Verdana" w:hAnsi="Verdana"/>
          <w:spacing w:val="-5"/>
          <w:sz w:val="16"/>
          <w:szCs w:val="16"/>
        </w:rPr>
        <w:t xml:space="preserve"> </w:t>
      </w:r>
      <w:r w:rsidRPr="005800D0">
        <w:rPr>
          <w:rFonts w:ascii="Verdana" w:hAnsi="Verdana"/>
          <w:sz w:val="16"/>
          <w:szCs w:val="16"/>
        </w:rPr>
        <w:t>que</w:t>
      </w:r>
      <w:r w:rsidRPr="005800D0">
        <w:rPr>
          <w:rFonts w:ascii="Verdana" w:hAnsi="Verdana"/>
          <w:spacing w:val="-3"/>
          <w:sz w:val="16"/>
          <w:szCs w:val="16"/>
        </w:rPr>
        <w:t xml:space="preserve"> </w:t>
      </w:r>
      <w:r w:rsidRPr="005800D0">
        <w:rPr>
          <w:rFonts w:ascii="Verdana" w:hAnsi="Verdana"/>
          <w:sz w:val="16"/>
          <w:szCs w:val="16"/>
        </w:rPr>
        <w:t>“en</w:t>
      </w:r>
      <w:r w:rsidRPr="005800D0">
        <w:rPr>
          <w:rFonts w:ascii="Verdana" w:hAnsi="Verdana"/>
          <w:spacing w:val="-5"/>
          <w:sz w:val="16"/>
          <w:szCs w:val="16"/>
        </w:rPr>
        <w:t xml:space="preserve"> </w:t>
      </w:r>
      <w:r w:rsidRPr="005800D0">
        <w:rPr>
          <w:rFonts w:ascii="Verdana" w:hAnsi="Verdana"/>
          <w:sz w:val="16"/>
          <w:szCs w:val="16"/>
        </w:rPr>
        <w:t>los</w:t>
      </w:r>
      <w:r w:rsidRPr="005800D0">
        <w:rPr>
          <w:rFonts w:ascii="Verdana" w:hAnsi="Verdana"/>
          <w:spacing w:val="-2"/>
          <w:sz w:val="16"/>
          <w:szCs w:val="16"/>
        </w:rPr>
        <w:t xml:space="preserve"> </w:t>
      </w:r>
      <w:r w:rsidRPr="005800D0">
        <w:rPr>
          <w:rFonts w:ascii="Verdana" w:hAnsi="Verdana"/>
          <w:sz w:val="16"/>
          <w:szCs w:val="16"/>
        </w:rPr>
        <w:t>contratos</w:t>
      </w:r>
      <w:r w:rsidRPr="005800D0">
        <w:rPr>
          <w:rFonts w:ascii="Verdana" w:hAnsi="Verdana"/>
          <w:spacing w:val="-2"/>
          <w:sz w:val="16"/>
          <w:szCs w:val="16"/>
        </w:rPr>
        <w:t xml:space="preserve"> </w:t>
      </w:r>
      <w:r w:rsidRPr="005800D0">
        <w:rPr>
          <w:rFonts w:ascii="Verdana" w:hAnsi="Verdana"/>
          <w:sz w:val="16"/>
          <w:szCs w:val="16"/>
        </w:rPr>
        <w:t>que</w:t>
      </w:r>
      <w:r w:rsidRPr="005800D0">
        <w:rPr>
          <w:rFonts w:ascii="Verdana" w:hAnsi="Verdana"/>
          <w:spacing w:val="-3"/>
          <w:sz w:val="16"/>
          <w:szCs w:val="16"/>
        </w:rPr>
        <w:t xml:space="preserve"> </w:t>
      </w:r>
      <w:r w:rsidRPr="005800D0">
        <w:rPr>
          <w:rFonts w:ascii="Verdana" w:hAnsi="Verdana"/>
          <w:sz w:val="16"/>
          <w:szCs w:val="16"/>
        </w:rPr>
        <w:t>tengan</w:t>
      </w:r>
      <w:r w:rsidRPr="005800D0">
        <w:rPr>
          <w:rFonts w:ascii="Verdana" w:hAnsi="Verdana"/>
          <w:spacing w:val="-4"/>
          <w:sz w:val="16"/>
          <w:szCs w:val="16"/>
        </w:rPr>
        <w:t xml:space="preserve"> </w:t>
      </w:r>
      <w:r w:rsidRPr="005800D0">
        <w:rPr>
          <w:rFonts w:ascii="Verdana" w:hAnsi="Verdana"/>
          <w:sz w:val="16"/>
          <w:szCs w:val="16"/>
        </w:rPr>
        <w:t>por objeto</w:t>
      </w:r>
      <w:r w:rsidRPr="005800D0">
        <w:rPr>
          <w:rFonts w:ascii="Verdana" w:hAnsi="Verdana"/>
          <w:spacing w:val="-1"/>
          <w:sz w:val="16"/>
          <w:szCs w:val="16"/>
        </w:rPr>
        <w:t xml:space="preserve"> </w:t>
      </w:r>
      <w:r w:rsidRPr="005800D0">
        <w:rPr>
          <w:rFonts w:ascii="Verdana" w:hAnsi="Verdana"/>
          <w:sz w:val="16"/>
          <w:szCs w:val="16"/>
        </w:rPr>
        <w:t>actividades comerciales o</w:t>
      </w:r>
      <w:r w:rsidRPr="005800D0">
        <w:rPr>
          <w:rFonts w:ascii="Verdana" w:hAnsi="Verdana"/>
          <w:spacing w:val="-1"/>
          <w:sz w:val="16"/>
          <w:szCs w:val="16"/>
        </w:rPr>
        <w:t xml:space="preserve"> </w:t>
      </w:r>
      <w:r w:rsidRPr="005800D0">
        <w:rPr>
          <w:rFonts w:ascii="Verdana" w:hAnsi="Verdana"/>
          <w:sz w:val="16"/>
          <w:szCs w:val="16"/>
        </w:rPr>
        <w:t>industriales de las entidades</w:t>
      </w:r>
      <w:r w:rsidRPr="005800D0">
        <w:rPr>
          <w:rFonts w:ascii="Verdana" w:hAnsi="Verdana"/>
          <w:spacing w:val="-3"/>
          <w:sz w:val="16"/>
          <w:szCs w:val="16"/>
        </w:rPr>
        <w:t xml:space="preserve"> </w:t>
      </w:r>
      <w:r w:rsidRPr="005800D0">
        <w:rPr>
          <w:rFonts w:ascii="Verdana" w:hAnsi="Verdana"/>
          <w:sz w:val="16"/>
          <w:szCs w:val="16"/>
        </w:rPr>
        <w:t>estatales que no</w:t>
      </w:r>
      <w:r w:rsidRPr="005800D0">
        <w:rPr>
          <w:rFonts w:ascii="Verdana" w:hAnsi="Verdana"/>
          <w:spacing w:val="-1"/>
          <w:sz w:val="16"/>
          <w:szCs w:val="16"/>
        </w:rPr>
        <w:t xml:space="preserve"> </w:t>
      </w:r>
      <w:r w:rsidRPr="005800D0">
        <w:rPr>
          <w:rFonts w:ascii="Verdana" w:hAnsi="Verdana"/>
          <w:sz w:val="16"/>
          <w:szCs w:val="16"/>
        </w:rPr>
        <w:t xml:space="preserve">correspondan a las señaladas en el numeral 2º de este artículo (…) se prescindirá de la utilización de las cláusulas o estipulaciones </w:t>
      </w:r>
      <w:r w:rsidRPr="005800D0">
        <w:rPr>
          <w:rFonts w:ascii="Verdana" w:hAnsi="Verdana"/>
          <w:spacing w:val="-2"/>
          <w:sz w:val="16"/>
          <w:szCs w:val="16"/>
        </w:rPr>
        <w:t>excepcionales”.</w:t>
      </w:r>
    </w:p>
  </w:footnote>
  <w:footnote w:id="24">
    <w:p w14:paraId="79F9207D" w14:textId="77777777" w:rsidR="00516A89" w:rsidRPr="005800D0" w:rsidRDefault="00516A89" w:rsidP="00516A89">
      <w:pPr>
        <w:tabs>
          <w:tab w:val="left" w:pos="142"/>
          <w:tab w:val="left" w:pos="8789"/>
        </w:tabs>
        <w:spacing w:after="0" w:line="240" w:lineRule="auto"/>
        <w:ind w:right="49" w:firstLine="709"/>
        <w:contextualSpacing/>
        <w:jc w:val="both"/>
        <w:rPr>
          <w:rFonts w:ascii="Verdana" w:hAnsi="Verdana"/>
          <w:sz w:val="16"/>
          <w:szCs w:val="16"/>
        </w:rPr>
      </w:pPr>
      <w:r w:rsidRPr="005800D0">
        <w:rPr>
          <w:rStyle w:val="Refdenotaalpie"/>
          <w:rFonts w:ascii="Verdana" w:hAnsi="Verdana"/>
          <w:sz w:val="16"/>
          <w:szCs w:val="16"/>
        </w:rPr>
        <w:footnoteRef/>
      </w:r>
      <w:r w:rsidRPr="005800D0">
        <w:rPr>
          <w:rFonts w:ascii="Verdana" w:hAnsi="Verdana"/>
          <w:sz w:val="16"/>
          <w:szCs w:val="16"/>
        </w:rPr>
        <w:t xml:space="preserve"> </w:t>
      </w:r>
      <w:bookmarkStart w:id="25" w:name="_Hlk199860326"/>
      <w:r w:rsidRPr="005800D0">
        <w:rPr>
          <w:rFonts w:ascii="Verdana" w:hAnsi="Verdana"/>
          <w:sz w:val="16"/>
          <w:szCs w:val="16"/>
        </w:rPr>
        <w:t>Sin perjuicio</w:t>
      </w:r>
      <w:r w:rsidRPr="005800D0">
        <w:rPr>
          <w:rFonts w:ascii="Verdana" w:hAnsi="Verdana"/>
          <w:spacing w:val="-1"/>
          <w:sz w:val="16"/>
          <w:szCs w:val="16"/>
        </w:rPr>
        <w:t xml:space="preserve"> </w:t>
      </w:r>
      <w:r w:rsidRPr="005800D0">
        <w:rPr>
          <w:rFonts w:ascii="Verdana" w:hAnsi="Verdana"/>
          <w:sz w:val="16"/>
          <w:szCs w:val="16"/>
        </w:rPr>
        <w:t>de la regla indicada, es importante</w:t>
      </w:r>
      <w:r w:rsidRPr="005800D0">
        <w:rPr>
          <w:rFonts w:ascii="Verdana" w:hAnsi="Verdana"/>
          <w:spacing w:val="-4"/>
          <w:sz w:val="16"/>
          <w:szCs w:val="16"/>
        </w:rPr>
        <w:t xml:space="preserve"> </w:t>
      </w:r>
      <w:r w:rsidRPr="005800D0">
        <w:rPr>
          <w:rFonts w:ascii="Verdana" w:hAnsi="Verdana"/>
          <w:sz w:val="16"/>
          <w:szCs w:val="16"/>
        </w:rPr>
        <w:t>señalar que el literal</w:t>
      </w:r>
      <w:r w:rsidRPr="005800D0">
        <w:rPr>
          <w:rFonts w:ascii="Verdana" w:hAnsi="Verdana"/>
          <w:spacing w:val="-3"/>
          <w:sz w:val="16"/>
          <w:szCs w:val="16"/>
        </w:rPr>
        <w:t xml:space="preserve"> </w:t>
      </w:r>
      <w:r w:rsidRPr="005800D0">
        <w:rPr>
          <w:rFonts w:ascii="Verdana" w:hAnsi="Verdana"/>
          <w:sz w:val="16"/>
          <w:szCs w:val="16"/>
        </w:rPr>
        <w:t>g, numeral 2, artículo</w:t>
      </w:r>
      <w:r w:rsidRPr="005800D0">
        <w:rPr>
          <w:rFonts w:ascii="Verdana" w:hAnsi="Verdana"/>
          <w:spacing w:val="-1"/>
          <w:sz w:val="16"/>
          <w:szCs w:val="16"/>
        </w:rPr>
        <w:t xml:space="preserve"> </w:t>
      </w:r>
      <w:r w:rsidRPr="005800D0">
        <w:rPr>
          <w:rFonts w:ascii="Verdana" w:hAnsi="Verdana"/>
          <w:sz w:val="16"/>
          <w:szCs w:val="16"/>
        </w:rPr>
        <w:t>2</w:t>
      </w:r>
      <w:r w:rsidRPr="005800D0">
        <w:rPr>
          <w:rFonts w:ascii="Verdana" w:hAnsi="Verdana"/>
          <w:spacing w:val="-1"/>
          <w:sz w:val="16"/>
          <w:szCs w:val="16"/>
        </w:rPr>
        <w:t xml:space="preserve"> </w:t>
      </w:r>
      <w:r w:rsidRPr="005800D0">
        <w:rPr>
          <w:rFonts w:ascii="Verdana" w:hAnsi="Verdana"/>
          <w:sz w:val="16"/>
          <w:szCs w:val="16"/>
        </w:rPr>
        <w:t>de la Ley 1150 de 2007, prevé como causal de selección abreviada: “Los actos y contratos que tengan por objeto directo</w:t>
      </w:r>
      <w:r w:rsidRPr="005800D0">
        <w:rPr>
          <w:rFonts w:ascii="Verdana" w:hAnsi="Verdana"/>
          <w:spacing w:val="-10"/>
          <w:sz w:val="16"/>
          <w:szCs w:val="16"/>
        </w:rPr>
        <w:t xml:space="preserve"> </w:t>
      </w:r>
      <w:r w:rsidRPr="005800D0">
        <w:rPr>
          <w:rFonts w:ascii="Verdana" w:hAnsi="Verdana"/>
          <w:sz w:val="16"/>
          <w:szCs w:val="16"/>
        </w:rPr>
        <w:t>las</w:t>
      </w:r>
      <w:r w:rsidRPr="005800D0">
        <w:rPr>
          <w:rFonts w:ascii="Verdana" w:hAnsi="Verdana"/>
          <w:spacing w:val="-7"/>
          <w:sz w:val="16"/>
          <w:szCs w:val="16"/>
        </w:rPr>
        <w:t xml:space="preserve"> </w:t>
      </w:r>
      <w:r w:rsidRPr="005800D0">
        <w:rPr>
          <w:rFonts w:ascii="Verdana" w:hAnsi="Verdana"/>
          <w:sz w:val="16"/>
          <w:szCs w:val="16"/>
        </w:rPr>
        <w:t>actividades</w:t>
      </w:r>
      <w:r w:rsidRPr="005800D0">
        <w:rPr>
          <w:rFonts w:ascii="Verdana" w:hAnsi="Verdana"/>
          <w:spacing w:val="-7"/>
          <w:sz w:val="16"/>
          <w:szCs w:val="16"/>
        </w:rPr>
        <w:t xml:space="preserve"> </w:t>
      </w:r>
      <w:r w:rsidRPr="005800D0">
        <w:rPr>
          <w:rFonts w:ascii="Verdana" w:hAnsi="Verdana"/>
          <w:sz w:val="16"/>
          <w:szCs w:val="16"/>
        </w:rPr>
        <w:t>comerciales</w:t>
      </w:r>
      <w:r w:rsidRPr="005800D0">
        <w:rPr>
          <w:rFonts w:ascii="Verdana" w:hAnsi="Verdana"/>
          <w:spacing w:val="-7"/>
          <w:sz w:val="16"/>
          <w:szCs w:val="16"/>
        </w:rPr>
        <w:t xml:space="preserve"> </w:t>
      </w:r>
      <w:r w:rsidRPr="005800D0">
        <w:rPr>
          <w:rFonts w:ascii="Verdana" w:hAnsi="Verdana"/>
          <w:sz w:val="16"/>
          <w:szCs w:val="16"/>
        </w:rPr>
        <w:t>e</w:t>
      </w:r>
      <w:r w:rsidRPr="005800D0">
        <w:rPr>
          <w:rFonts w:ascii="Verdana" w:hAnsi="Verdana"/>
          <w:spacing w:val="-8"/>
          <w:sz w:val="16"/>
          <w:szCs w:val="16"/>
        </w:rPr>
        <w:t xml:space="preserve"> </w:t>
      </w:r>
      <w:r w:rsidRPr="005800D0">
        <w:rPr>
          <w:rFonts w:ascii="Verdana" w:hAnsi="Verdana"/>
          <w:sz w:val="16"/>
          <w:szCs w:val="16"/>
        </w:rPr>
        <w:t>industriales</w:t>
      </w:r>
      <w:r w:rsidRPr="005800D0">
        <w:rPr>
          <w:rFonts w:ascii="Verdana" w:hAnsi="Verdana"/>
          <w:spacing w:val="-7"/>
          <w:sz w:val="16"/>
          <w:szCs w:val="16"/>
        </w:rPr>
        <w:t xml:space="preserve"> </w:t>
      </w:r>
      <w:r w:rsidRPr="005800D0">
        <w:rPr>
          <w:rFonts w:ascii="Verdana" w:hAnsi="Verdana"/>
          <w:sz w:val="16"/>
          <w:szCs w:val="16"/>
        </w:rPr>
        <w:t>propias</w:t>
      </w:r>
      <w:r w:rsidRPr="005800D0">
        <w:rPr>
          <w:rFonts w:ascii="Verdana" w:hAnsi="Verdana"/>
          <w:spacing w:val="-7"/>
          <w:sz w:val="16"/>
          <w:szCs w:val="16"/>
        </w:rPr>
        <w:t xml:space="preserve"> </w:t>
      </w:r>
      <w:r w:rsidRPr="005800D0">
        <w:rPr>
          <w:rFonts w:ascii="Verdana" w:hAnsi="Verdana"/>
          <w:sz w:val="16"/>
          <w:szCs w:val="16"/>
        </w:rPr>
        <w:t>de</w:t>
      </w:r>
      <w:r w:rsidRPr="005800D0">
        <w:rPr>
          <w:rFonts w:ascii="Verdana" w:hAnsi="Verdana"/>
          <w:spacing w:val="-8"/>
          <w:sz w:val="16"/>
          <w:szCs w:val="16"/>
        </w:rPr>
        <w:t xml:space="preserve"> </w:t>
      </w:r>
      <w:r w:rsidRPr="005800D0">
        <w:rPr>
          <w:rFonts w:ascii="Verdana" w:hAnsi="Verdana"/>
          <w:sz w:val="16"/>
          <w:szCs w:val="16"/>
        </w:rPr>
        <w:t>las</w:t>
      </w:r>
      <w:r w:rsidRPr="005800D0">
        <w:rPr>
          <w:rFonts w:ascii="Verdana" w:hAnsi="Verdana"/>
          <w:spacing w:val="-7"/>
          <w:sz w:val="16"/>
          <w:szCs w:val="16"/>
        </w:rPr>
        <w:t xml:space="preserve"> </w:t>
      </w:r>
      <w:r w:rsidRPr="005800D0">
        <w:rPr>
          <w:rFonts w:ascii="Verdana" w:hAnsi="Verdana"/>
          <w:sz w:val="16"/>
          <w:szCs w:val="16"/>
        </w:rPr>
        <w:t>Empresas</w:t>
      </w:r>
      <w:r w:rsidRPr="005800D0">
        <w:rPr>
          <w:rFonts w:ascii="Verdana" w:hAnsi="Verdana"/>
          <w:spacing w:val="-7"/>
          <w:sz w:val="16"/>
          <w:szCs w:val="16"/>
        </w:rPr>
        <w:t xml:space="preserve"> </w:t>
      </w:r>
      <w:r w:rsidRPr="005800D0">
        <w:rPr>
          <w:rFonts w:ascii="Verdana" w:hAnsi="Verdana"/>
          <w:sz w:val="16"/>
          <w:szCs w:val="16"/>
        </w:rPr>
        <w:t>Industriales</w:t>
      </w:r>
      <w:r w:rsidRPr="005800D0">
        <w:rPr>
          <w:rFonts w:ascii="Verdana" w:hAnsi="Verdana"/>
          <w:spacing w:val="-7"/>
          <w:sz w:val="16"/>
          <w:szCs w:val="16"/>
        </w:rPr>
        <w:t xml:space="preserve"> </w:t>
      </w:r>
      <w:r w:rsidRPr="005800D0">
        <w:rPr>
          <w:rFonts w:ascii="Verdana" w:hAnsi="Verdana"/>
          <w:sz w:val="16"/>
          <w:szCs w:val="16"/>
        </w:rPr>
        <w:t>y</w:t>
      </w:r>
      <w:r w:rsidRPr="005800D0">
        <w:rPr>
          <w:rFonts w:ascii="Verdana" w:hAnsi="Verdana"/>
          <w:spacing w:val="-8"/>
          <w:sz w:val="16"/>
          <w:szCs w:val="16"/>
        </w:rPr>
        <w:t xml:space="preserve"> </w:t>
      </w:r>
      <w:r w:rsidRPr="005800D0">
        <w:rPr>
          <w:rFonts w:ascii="Verdana" w:hAnsi="Verdana"/>
          <w:sz w:val="16"/>
          <w:szCs w:val="16"/>
        </w:rPr>
        <w:t>Comerciales</w:t>
      </w:r>
      <w:r w:rsidRPr="005800D0">
        <w:rPr>
          <w:rFonts w:ascii="Verdana" w:hAnsi="Verdana"/>
          <w:spacing w:val="-7"/>
          <w:sz w:val="16"/>
          <w:szCs w:val="16"/>
        </w:rPr>
        <w:t xml:space="preserve"> </w:t>
      </w:r>
      <w:r w:rsidRPr="005800D0">
        <w:rPr>
          <w:rFonts w:ascii="Verdana" w:hAnsi="Verdana"/>
          <w:sz w:val="16"/>
          <w:szCs w:val="16"/>
        </w:rPr>
        <w:t>Estatales y de las Sociedades de Economía Mixta, con excepción de los contratos que a título enunciativo identifica el artículo</w:t>
      </w:r>
      <w:r w:rsidRPr="005800D0">
        <w:rPr>
          <w:rFonts w:ascii="Verdana" w:hAnsi="Verdana"/>
          <w:spacing w:val="-15"/>
          <w:sz w:val="16"/>
          <w:szCs w:val="16"/>
        </w:rPr>
        <w:t xml:space="preserve"> </w:t>
      </w:r>
      <w:r w:rsidRPr="005800D0">
        <w:rPr>
          <w:rFonts w:ascii="Verdana" w:hAnsi="Verdana"/>
          <w:sz w:val="16"/>
          <w:szCs w:val="16"/>
        </w:rPr>
        <w:t>32</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la</w:t>
      </w:r>
      <w:r w:rsidRPr="005800D0">
        <w:rPr>
          <w:rFonts w:ascii="Verdana" w:hAnsi="Verdana"/>
          <w:spacing w:val="-14"/>
          <w:sz w:val="16"/>
          <w:szCs w:val="16"/>
        </w:rPr>
        <w:t xml:space="preserve"> </w:t>
      </w:r>
      <w:r w:rsidRPr="005800D0">
        <w:rPr>
          <w:rFonts w:ascii="Verdana" w:hAnsi="Verdana"/>
          <w:sz w:val="16"/>
          <w:szCs w:val="16"/>
        </w:rPr>
        <w:t>Ley</w:t>
      </w:r>
      <w:r w:rsidRPr="005800D0">
        <w:rPr>
          <w:rFonts w:ascii="Verdana" w:hAnsi="Verdana"/>
          <w:spacing w:val="-14"/>
          <w:sz w:val="16"/>
          <w:szCs w:val="16"/>
        </w:rPr>
        <w:t xml:space="preserve"> </w:t>
      </w:r>
      <w:r w:rsidRPr="005800D0">
        <w:rPr>
          <w:rFonts w:ascii="Verdana" w:hAnsi="Verdana"/>
          <w:sz w:val="16"/>
          <w:szCs w:val="16"/>
        </w:rPr>
        <w:t>80</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1993</w:t>
      </w:r>
      <w:r w:rsidRPr="005800D0">
        <w:rPr>
          <w:rFonts w:ascii="Verdana" w:hAnsi="Verdana"/>
          <w:spacing w:val="-14"/>
          <w:sz w:val="16"/>
          <w:szCs w:val="16"/>
        </w:rPr>
        <w:t xml:space="preserve"> </w:t>
      </w:r>
      <w:r w:rsidRPr="005800D0">
        <w:rPr>
          <w:rFonts w:ascii="Verdana" w:hAnsi="Verdana"/>
          <w:sz w:val="16"/>
          <w:szCs w:val="16"/>
        </w:rPr>
        <w:t>[obra,</w:t>
      </w:r>
      <w:r w:rsidRPr="005800D0">
        <w:rPr>
          <w:rFonts w:ascii="Verdana" w:hAnsi="Verdana"/>
          <w:spacing w:val="-14"/>
          <w:sz w:val="16"/>
          <w:szCs w:val="16"/>
        </w:rPr>
        <w:t xml:space="preserve"> </w:t>
      </w:r>
      <w:r w:rsidRPr="005800D0">
        <w:rPr>
          <w:rFonts w:ascii="Verdana" w:hAnsi="Verdana"/>
          <w:sz w:val="16"/>
          <w:szCs w:val="16"/>
        </w:rPr>
        <w:t>concesión,</w:t>
      </w:r>
      <w:r w:rsidRPr="005800D0">
        <w:rPr>
          <w:rFonts w:ascii="Verdana" w:hAnsi="Verdana"/>
          <w:spacing w:val="-14"/>
          <w:sz w:val="16"/>
          <w:szCs w:val="16"/>
        </w:rPr>
        <w:t xml:space="preserve"> </w:t>
      </w:r>
      <w:r w:rsidRPr="005800D0">
        <w:rPr>
          <w:rFonts w:ascii="Verdana" w:hAnsi="Verdana"/>
          <w:sz w:val="16"/>
          <w:szCs w:val="16"/>
        </w:rPr>
        <w:t>prestación</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servicios,</w:t>
      </w:r>
      <w:r w:rsidRPr="005800D0">
        <w:rPr>
          <w:rFonts w:ascii="Verdana" w:hAnsi="Verdana"/>
          <w:spacing w:val="-14"/>
          <w:sz w:val="16"/>
          <w:szCs w:val="16"/>
        </w:rPr>
        <w:t xml:space="preserve"> </w:t>
      </w:r>
      <w:r w:rsidRPr="005800D0">
        <w:rPr>
          <w:rFonts w:ascii="Verdana" w:hAnsi="Verdana"/>
          <w:sz w:val="16"/>
          <w:szCs w:val="16"/>
        </w:rPr>
        <w:t>consultoría,</w:t>
      </w:r>
      <w:r w:rsidRPr="005800D0">
        <w:rPr>
          <w:rFonts w:ascii="Verdana" w:hAnsi="Verdana"/>
          <w:spacing w:val="-14"/>
          <w:sz w:val="16"/>
          <w:szCs w:val="16"/>
        </w:rPr>
        <w:t xml:space="preserve"> </w:t>
      </w:r>
      <w:r w:rsidRPr="005800D0">
        <w:rPr>
          <w:rFonts w:ascii="Verdana" w:hAnsi="Verdana"/>
          <w:sz w:val="16"/>
          <w:szCs w:val="16"/>
        </w:rPr>
        <w:t>fiducia</w:t>
      </w:r>
      <w:r w:rsidRPr="005800D0">
        <w:rPr>
          <w:rFonts w:ascii="Verdana" w:hAnsi="Verdana"/>
          <w:spacing w:val="-14"/>
          <w:sz w:val="16"/>
          <w:szCs w:val="16"/>
        </w:rPr>
        <w:t xml:space="preserve"> </w:t>
      </w:r>
      <w:r w:rsidRPr="005800D0">
        <w:rPr>
          <w:rFonts w:ascii="Verdana" w:hAnsi="Verdana"/>
          <w:sz w:val="16"/>
          <w:szCs w:val="16"/>
        </w:rPr>
        <w:t>pública]”.</w:t>
      </w:r>
      <w:r w:rsidRPr="005800D0">
        <w:rPr>
          <w:rFonts w:ascii="Verdana" w:hAnsi="Verdana"/>
          <w:spacing w:val="-15"/>
          <w:sz w:val="16"/>
          <w:szCs w:val="16"/>
        </w:rPr>
        <w:t xml:space="preserve"> </w:t>
      </w:r>
      <w:r w:rsidRPr="005800D0">
        <w:rPr>
          <w:rFonts w:ascii="Verdana" w:hAnsi="Verdana"/>
          <w:sz w:val="16"/>
          <w:szCs w:val="16"/>
        </w:rPr>
        <w:t>g)</w:t>
      </w:r>
      <w:r w:rsidRPr="005800D0">
        <w:rPr>
          <w:rFonts w:ascii="Verdana" w:hAnsi="Verdana"/>
          <w:spacing w:val="23"/>
          <w:sz w:val="16"/>
          <w:szCs w:val="16"/>
        </w:rPr>
        <w:t xml:space="preserve"> </w:t>
      </w:r>
      <w:r w:rsidRPr="005800D0">
        <w:rPr>
          <w:rFonts w:ascii="Verdana" w:hAnsi="Verdana"/>
          <w:sz w:val="16"/>
          <w:szCs w:val="16"/>
        </w:rPr>
        <w:t>Los actos y contratos que tengan por objeto directo las actividades comerciales e industriales propias de las Empresas Industriales y Comerciales Estatales y de las Sociedades de Economía Mixta, con excepción de los contratos</w:t>
      </w:r>
      <w:r w:rsidRPr="005800D0">
        <w:rPr>
          <w:rFonts w:ascii="Verdana" w:hAnsi="Verdana"/>
          <w:spacing w:val="-6"/>
          <w:sz w:val="16"/>
          <w:szCs w:val="16"/>
        </w:rPr>
        <w:t xml:space="preserve"> </w:t>
      </w:r>
      <w:r w:rsidRPr="005800D0">
        <w:rPr>
          <w:rFonts w:ascii="Verdana" w:hAnsi="Verdana"/>
          <w:sz w:val="16"/>
          <w:szCs w:val="16"/>
        </w:rPr>
        <w:t>que</w:t>
      </w:r>
      <w:r w:rsidRPr="005800D0">
        <w:rPr>
          <w:rFonts w:ascii="Verdana" w:hAnsi="Verdana"/>
          <w:spacing w:val="-7"/>
          <w:sz w:val="16"/>
          <w:szCs w:val="16"/>
        </w:rPr>
        <w:t xml:space="preserve"> </w:t>
      </w:r>
      <w:r w:rsidRPr="005800D0">
        <w:rPr>
          <w:rFonts w:ascii="Verdana" w:hAnsi="Verdana"/>
          <w:sz w:val="16"/>
          <w:szCs w:val="16"/>
        </w:rPr>
        <w:t>a</w:t>
      </w:r>
      <w:r w:rsidRPr="005800D0">
        <w:rPr>
          <w:rFonts w:ascii="Verdana" w:hAnsi="Verdana"/>
          <w:spacing w:val="-3"/>
          <w:sz w:val="16"/>
          <w:szCs w:val="16"/>
        </w:rPr>
        <w:t xml:space="preserve"> </w:t>
      </w:r>
      <w:r w:rsidRPr="005800D0">
        <w:rPr>
          <w:rFonts w:ascii="Verdana" w:hAnsi="Verdana"/>
          <w:sz w:val="16"/>
          <w:szCs w:val="16"/>
        </w:rPr>
        <w:t>título</w:t>
      </w:r>
      <w:r w:rsidRPr="005800D0">
        <w:rPr>
          <w:rFonts w:ascii="Verdana" w:hAnsi="Verdana"/>
          <w:spacing w:val="-9"/>
          <w:sz w:val="16"/>
          <w:szCs w:val="16"/>
        </w:rPr>
        <w:t xml:space="preserve"> </w:t>
      </w:r>
      <w:r w:rsidRPr="005800D0">
        <w:rPr>
          <w:rFonts w:ascii="Verdana" w:hAnsi="Verdana"/>
          <w:sz w:val="16"/>
          <w:szCs w:val="16"/>
        </w:rPr>
        <w:t>enunciativo</w:t>
      </w:r>
      <w:r w:rsidRPr="005800D0">
        <w:rPr>
          <w:rFonts w:ascii="Verdana" w:hAnsi="Verdana"/>
          <w:spacing w:val="-9"/>
          <w:sz w:val="16"/>
          <w:szCs w:val="16"/>
        </w:rPr>
        <w:t xml:space="preserve"> </w:t>
      </w:r>
      <w:r w:rsidRPr="005800D0">
        <w:rPr>
          <w:rFonts w:ascii="Verdana" w:hAnsi="Verdana"/>
          <w:sz w:val="16"/>
          <w:szCs w:val="16"/>
        </w:rPr>
        <w:t>identifica</w:t>
      </w:r>
      <w:r w:rsidRPr="005800D0">
        <w:rPr>
          <w:rFonts w:ascii="Verdana" w:hAnsi="Verdana"/>
          <w:spacing w:val="-8"/>
          <w:sz w:val="16"/>
          <w:szCs w:val="16"/>
        </w:rPr>
        <w:t xml:space="preserve"> </w:t>
      </w:r>
      <w:r w:rsidRPr="005800D0">
        <w:rPr>
          <w:rFonts w:ascii="Verdana" w:hAnsi="Verdana"/>
          <w:sz w:val="16"/>
          <w:szCs w:val="16"/>
        </w:rPr>
        <w:t>el</w:t>
      </w:r>
      <w:r w:rsidRPr="005800D0">
        <w:rPr>
          <w:rFonts w:ascii="Verdana" w:hAnsi="Verdana"/>
          <w:spacing w:val="-1"/>
          <w:sz w:val="16"/>
          <w:szCs w:val="16"/>
        </w:rPr>
        <w:t xml:space="preserve"> </w:t>
      </w:r>
      <w:r w:rsidRPr="005800D0">
        <w:rPr>
          <w:rFonts w:ascii="Verdana" w:hAnsi="Verdana"/>
          <w:sz w:val="16"/>
          <w:szCs w:val="16"/>
        </w:rPr>
        <w:t>artículo</w:t>
      </w:r>
      <w:r w:rsidRPr="005800D0">
        <w:rPr>
          <w:rFonts w:ascii="Verdana" w:hAnsi="Verdana"/>
          <w:spacing w:val="-9"/>
          <w:sz w:val="16"/>
          <w:szCs w:val="16"/>
        </w:rPr>
        <w:t xml:space="preserve"> </w:t>
      </w:r>
      <w:r w:rsidRPr="005800D0">
        <w:rPr>
          <w:rFonts w:ascii="Verdana" w:hAnsi="Verdana"/>
          <w:sz w:val="16"/>
          <w:szCs w:val="16"/>
        </w:rPr>
        <w:t>32</w:t>
      </w:r>
      <w:r w:rsidRPr="005800D0">
        <w:rPr>
          <w:rFonts w:ascii="Verdana" w:hAnsi="Verdana"/>
          <w:spacing w:val="-4"/>
          <w:sz w:val="16"/>
          <w:szCs w:val="16"/>
        </w:rPr>
        <w:t xml:space="preserve"> </w:t>
      </w:r>
      <w:r w:rsidRPr="005800D0">
        <w:rPr>
          <w:rFonts w:ascii="Verdana" w:hAnsi="Verdana"/>
          <w:sz w:val="16"/>
          <w:szCs w:val="16"/>
        </w:rPr>
        <w:t>de</w:t>
      </w:r>
      <w:r w:rsidRPr="005800D0">
        <w:rPr>
          <w:rFonts w:ascii="Verdana" w:hAnsi="Verdana"/>
          <w:spacing w:val="-7"/>
          <w:sz w:val="16"/>
          <w:szCs w:val="16"/>
        </w:rPr>
        <w:t xml:space="preserve"> </w:t>
      </w:r>
      <w:r w:rsidRPr="005800D0">
        <w:rPr>
          <w:rFonts w:ascii="Verdana" w:hAnsi="Verdana"/>
          <w:sz w:val="16"/>
          <w:szCs w:val="16"/>
        </w:rPr>
        <w:t>la Ley</w:t>
      </w:r>
      <w:r w:rsidRPr="005800D0">
        <w:rPr>
          <w:rFonts w:ascii="Verdana" w:hAnsi="Verdana"/>
          <w:spacing w:val="-7"/>
          <w:sz w:val="16"/>
          <w:szCs w:val="16"/>
        </w:rPr>
        <w:t xml:space="preserve"> </w:t>
      </w:r>
      <w:r w:rsidRPr="005800D0">
        <w:rPr>
          <w:rFonts w:ascii="Verdana" w:hAnsi="Verdana"/>
          <w:sz w:val="16"/>
          <w:szCs w:val="16"/>
        </w:rPr>
        <w:t>80</w:t>
      </w:r>
      <w:r w:rsidRPr="005800D0">
        <w:rPr>
          <w:rFonts w:ascii="Verdana" w:hAnsi="Verdana"/>
          <w:spacing w:val="-4"/>
          <w:sz w:val="16"/>
          <w:szCs w:val="16"/>
        </w:rPr>
        <w:t xml:space="preserve"> </w:t>
      </w:r>
      <w:r w:rsidRPr="005800D0">
        <w:rPr>
          <w:rFonts w:ascii="Verdana" w:hAnsi="Verdana"/>
          <w:sz w:val="16"/>
          <w:szCs w:val="16"/>
        </w:rPr>
        <w:t>de</w:t>
      </w:r>
      <w:r w:rsidRPr="005800D0">
        <w:rPr>
          <w:rFonts w:ascii="Verdana" w:hAnsi="Verdana"/>
          <w:spacing w:val="-2"/>
          <w:sz w:val="16"/>
          <w:szCs w:val="16"/>
        </w:rPr>
        <w:t xml:space="preserve"> </w:t>
      </w:r>
      <w:r w:rsidRPr="005800D0">
        <w:rPr>
          <w:rFonts w:ascii="Verdana" w:hAnsi="Verdana"/>
          <w:sz w:val="16"/>
          <w:szCs w:val="16"/>
        </w:rPr>
        <w:t>1993.</w:t>
      </w:r>
      <w:bookmarkEnd w:id="25"/>
    </w:p>
  </w:footnote>
  <w:footnote w:id="25">
    <w:p w14:paraId="65605039" w14:textId="77777777" w:rsidR="00516A89" w:rsidRPr="00195E24" w:rsidRDefault="00516A89" w:rsidP="00516A89">
      <w:pPr>
        <w:pStyle w:val="Textonotapie"/>
        <w:ind w:right="49" w:firstLine="709"/>
        <w:contextualSpacing/>
        <w:jc w:val="both"/>
        <w:rPr>
          <w:rFonts w:ascii="Verdana" w:hAnsi="Verdana"/>
          <w:sz w:val="16"/>
          <w:szCs w:val="16"/>
        </w:rPr>
      </w:pPr>
      <w:r w:rsidRPr="00195E24">
        <w:rPr>
          <w:rStyle w:val="Refdenotaalpie"/>
          <w:rFonts w:ascii="Verdana" w:hAnsi="Verdana"/>
          <w:sz w:val="16"/>
          <w:szCs w:val="16"/>
        </w:rPr>
        <w:footnoteRef/>
      </w:r>
      <w:r w:rsidRPr="00195E24">
        <w:rPr>
          <w:rFonts w:ascii="Verdana" w:hAnsi="Verdana"/>
          <w:sz w:val="16"/>
          <w:szCs w:val="16"/>
        </w:rPr>
        <w:t xml:space="preserve"> El artículo</w:t>
      </w:r>
      <w:r w:rsidRPr="00195E24">
        <w:rPr>
          <w:rFonts w:ascii="Verdana" w:hAnsi="Verdana"/>
          <w:spacing w:val="-2"/>
          <w:sz w:val="16"/>
          <w:szCs w:val="16"/>
        </w:rPr>
        <w:t xml:space="preserve"> </w:t>
      </w:r>
      <w:r w:rsidRPr="00195E24">
        <w:rPr>
          <w:rFonts w:ascii="Verdana" w:hAnsi="Verdana"/>
          <w:sz w:val="16"/>
          <w:szCs w:val="16"/>
        </w:rPr>
        <w:t>14</w:t>
      </w:r>
      <w:r w:rsidRPr="00195E24">
        <w:rPr>
          <w:rFonts w:ascii="Verdana" w:hAnsi="Verdana"/>
          <w:spacing w:val="-2"/>
          <w:sz w:val="16"/>
          <w:szCs w:val="16"/>
        </w:rPr>
        <w:t xml:space="preserve"> </w:t>
      </w:r>
      <w:r w:rsidRPr="00195E24">
        <w:rPr>
          <w:rFonts w:ascii="Verdana" w:hAnsi="Verdana"/>
          <w:sz w:val="16"/>
          <w:szCs w:val="16"/>
        </w:rPr>
        <w:t>original de la</w:t>
      </w:r>
      <w:r w:rsidRPr="00195E24">
        <w:rPr>
          <w:rFonts w:ascii="Verdana" w:hAnsi="Verdana"/>
          <w:spacing w:val="-1"/>
          <w:sz w:val="16"/>
          <w:szCs w:val="16"/>
        </w:rPr>
        <w:t xml:space="preserve"> </w:t>
      </w:r>
      <w:r w:rsidRPr="00195E24">
        <w:rPr>
          <w:rFonts w:ascii="Verdana" w:hAnsi="Verdana"/>
          <w:sz w:val="16"/>
          <w:szCs w:val="16"/>
        </w:rPr>
        <w:t>Ley 1150</w:t>
      </w:r>
      <w:r w:rsidRPr="00195E24">
        <w:rPr>
          <w:rFonts w:ascii="Verdana" w:hAnsi="Verdana"/>
          <w:spacing w:val="-2"/>
          <w:sz w:val="16"/>
          <w:szCs w:val="16"/>
        </w:rPr>
        <w:t xml:space="preserve"> </w:t>
      </w:r>
      <w:r w:rsidRPr="00195E24">
        <w:rPr>
          <w:rFonts w:ascii="Verdana" w:hAnsi="Verdana"/>
          <w:sz w:val="16"/>
          <w:szCs w:val="16"/>
        </w:rPr>
        <w:t>de 2007</w:t>
      </w:r>
      <w:r w:rsidRPr="00195E24">
        <w:rPr>
          <w:rFonts w:ascii="Verdana" w:hAnsi="Verdana"/>
          <w:spacing w:val="-2"/>
          <w:sz w:val="16"/>
          <w:szCs w:val="16"/>
        </w:rPr>
        <w:t xml:space="preserve"> </w:t>
      </w:r>
      <w:r w:rsidRPr="00195E24">
        <w:rPr>
          <w:rFonts w:ascii="Verdana" w:hAnsi="Verdana"/>
          <w:sz w:val="16"/>
          <w:szCs w:val="16"/>
        </w:rPr>
        <w:t>excluía</w:t>
      </w:r>
      <w:r w:rsidRPr="00195E24">
        <w:rPr>
          <w:rFonts w:ascii="Verdana" w:hAnsi="Verdana"/>
          <w:spacing w:val="-1"/>
          <w:sz w:val="16"/>
          <w:szCs w:val="16"/>
        </w:rPr>
        <w:t xml:space="preserve"> </w:t>
      </w:r>
      <w:r w:rsidRPr="00195E24">
        <w:rPr>
          <w:rFonts w:ascii="Verdana" w:hAnsi="Verdana"/>
          <w:sz w:val="16"/>
          <w:szCs w:val="16"/>
        </w:rPr>
        <w:t>además aquellas cuya</w:t>
      </w:r>
      <w:r w:rsidRPr="00195E24">
        <w:rPr>
          <w:rFonts w:ascii="Verdana" w:hAnsi="Verdana"/>
          <w:spacing w:val="-1"/>
          <w:sz w:val="16"/>
          <w:szCs w:val="16"/>
        </w:rPr>
        <w:t xml:space="preserve"> </w:t>
      </w:r>
      <w:r w:rsidRPr="00195E24">
        <w:rPr>
          <w:rFonts w:ascii="Verdana" w:hAnsi="Verdana"/>
          <w:sz w:val="16"/>
          <w:szCs w:val="16"/>
        </w:rPr>
        <w:t>actividad</w:t>
      </w:r>
      <w:r w:rsidRPr="00195E24">
        <w:rPr>
          <w:rFonts w:ascii="Verdana" w:hAnsi="Verdana"/>
          <w:spacing w:val="-5"/>
          <w:sz w:val="16"/>
          <w:szCs w:val="16"/>
        </w:rPr>
        <w:t xml:space="preserve"> </w:t>
      </w:r>
      <w:r w:rsidRPr="00195E24">
        <w:rPr>
          <w:rFonts w:ascii="Verdana" w:hAnsi="Verdana"/>
          <w:sz w:val="16"/>
          <w:szCs w:val="16"/>
        </w:rPr>
        <w:t>se realizaba en</w:t>
      </w:r>
      <w:r w:rsidRPr="00195E24">
        <w:rPr>
          <w:rFonts w:ascii="Verdana" w:hAnsi="Verdana"/>
          <w:spacing w:val="-6"/>
          <w:sz w:val="16"/>
          <w:szCs w:val="16"/>
        </w:rPr>
        <w:t xml:space="preserve"> </w:t>
      </w:r>
      <w:r w:rsidRPr="00195E24">
        <w:rPr>
          <w:rFonts w:ascii="Verdana" w:hAnsi="Verdana"/>
          <w:sz w:val="16"/>
          <w:szCs w:val="16"/>
        </w:rPr>
        <w:t>“mercados</w:t>
      </w:r>
      <w:r w:rsidRPr="00195E24">
        <w:rPr>
          <w:rFonts w:ascii="Verdana" w:hAnsi="Verdana"/>
          <w:spacing w:val="-3"/>
          <w:sz w:val="16"/>
          <w:szCs w:val="16"/>
        </w:rPr>
        <w:t xml:space="preserve"> </w:t>
      </w:r>
      <w:r w:rsidRPr="00195E24">
        <w:rPr>
          <w:rFonts w:ascii="Verdana" w:hAnsi="Verdana"/>
          <w:sz w:val="16"/>
          <w:szCs w:val="16"/>
        </w:rPr>
        <w:t>monopolísticos”,</w:t>
      </w:r>
      <w:r w:rsidRPr="00195E24">
        <w:rPr>
          <w:rFonts w:ascii="Verdana" w:hAnsi="Verdana"/>
          <w:spacing w:val="-2"/>
          <w:sz w:val="16"/>
          <w:szCs w:val="16"/>
        </w:rPr>
        <w:t xml:space="preserve"> </w:t>
      </w:r>
      <w:r w:rsidRPr="00195E24">
        <w:rPr>
          <w:rFonts w:ascii="Verdana" w:hAnsi="Verdana"/>
          <w:sz w:val="16"/>
          <w:szCs w:val="16"/>
        </w:rPr>
        <w:t>pero,</w:t>
      </w:r>
      <w:r w:rsidRPr="00195E24">
        <w:rPr>
          <w:rFonts w:ascii="Verdana" w:hAnsi="Verdana"/>
          <w:spacing w:val="-2"/>
          <w:sz w:val="16"/>
          <w:szCs w:val="16"/>
        </w:rPr>
        <w:t xml:space="preserve"> </w:t>
      </w:r>
      <w:r w:rsidRPr="00195E24">
        <w:rPr>
          <w:rFonts w:ascii="Verdana" w:hAnsi="Verdana"/>
          <w:sz w:val="16"/>
          <w:szCs w:val="16"/>
        </w:rPr>
        <w:t>con</w:t>
      </w:r>
      <w:r w:rsidRPr="00195E24">
        <w:rPr>
          <w:rFonts w:ascii="Verdana" w:hAnsi="Verdana"/>
          <w:spacing w:val="-5"/>
          <w:sz w:val="16"/>
          <w:szCs w:val="16"/>
        </w:rPr>
        <w:t xml:space="preserve"> </w:t>
      </w:r>
      <w:r w:rsidRPr="00195E24">
        <w:rPr>
          <w:rFonts w:ascii="Verdana" w:hAnsi="Verdana"/>
          <w:sz w:val="16"/>
          <w:szCs w:val="16"/>
        </w:rPr>
        <w:t>buen</w:t>
      </w:r>
      <w:r w:rsidRPr="00195E24">
        <w:rPr>
          <w:rFonts w:ascii="Verdana" w:hAnsi="Verdana"/>
          <w:spacing w:val="-6"/>
          <w:sz w:val="16"/>
          <w:szCs w:val="16"/>
        </w:rPr>
        <w:t xml:space="preserve"> </w:t>
      </w:r>
      <w:r w:rsidRPr="00195E24">
        <w:rPr>
          <w:rFonts w:ascii="Verdana" w:hAnsi="Verdana"/>
          <w:sz w:val="16"/>
          <w:szCs w:val="16"/>
        </w:rPr>
        <w:t>tino,</w:t>
      </w:r>
      <w:r w:rsidRPr="00195E24">
        <w:rPr>
          <w:rFonts w:ascii="Verdana" w:hAnsi="Verdana"/>
          <w:spacing w:val="-2"/>
          <w:sz w:val="16"/>
          <w:szCs w:val="16"/>
        </w:rPr>
        <w:t xml:space="preserve"> </w:t>
      </w:r>
      <w:r w:rsidRPr="00195E24">
        <w:rPr>
          <w:rFonts w:ascii="Verdana" w:hAnsi="Verdana"/>
          <w:sz w:val="16"/>
          <w:szCs w:val="16"/>
        </w:rPr>
        <w:t>se</w:t>
      </w:r>
      <w:r w:rsidRPr="00195E24">
        <w:rPr>
          <w:rFonts w:ascii="Verdana" w:hAnsi="Verdana"/>
          <w:spacing w:val="-4"/>
          <w:sz w:val="16"/>
          <w:szCs w:val="16"/>
        </w:rPr>
        <w:t xml:space="preserve"> </w:t>
      </w:r>
      <w:r w:rsidRPr="00195E24">
        <w:rPr>
          <w:rFonts w:ascii="Verdana" w:hAnsi="Verdana"/>
          <w:sz w:val="16"/>
          <w:szCs w:val="16"/>
        </w:rPr>
        <w:t>eliminó</w:t>
      </w:r>
      <w:r w:rsidRPr="00195E24">
        <w:rPr>
          <w:rFonts w:ascii="Verdana" w:hAnsi="Verdana"/>
          <w:spacing w:val="-6"/>
          <w:sz w:val="16"/>
          <w:szCs w:val="16"/>
        </w:rPr>
        <w:t xml:space="preserve"> </w:t>
      </w:r>
      <w:r w:rsidRPr="00195E24">
        <w:rPr>
          <w:rFonts w:ascii="Verdana" w:hAnsi="Verdana"/>
          <w:sz w:val="16"/>
          <w:szCs w:val="16"/>
        </w:rPr>
        <w:t>en</w:t>
      </w:r>
      <w:r w:rsidRPr="00195E24">
        <w:rPr>
          <w:rFonts w:ascii="Verdana" w:hAnsi="Verdana"/>
          <w:spacing w:val="-6"/>
          <w:sz w:val="16"/>
          <w:szCs w:val="16"/>
        </w:rPr>
        <w:t xml:space="preserve"> </w:t>
      </w:r>
      <w:r w:rsidRPr="00195E24">
        <w:rPr>
          <w:rFonts w:ascii="Verdana" w:hAnsi="Verdana"/>
          <w:sz w:val="16"/>
          <w:szCs w:val="16"/>
        </w:rPr>
        <w:t>el</w:t>
      </w:r>
      <w:r w:rsidRPr="00195E24">
        <w:rPr>
          <w:rFonts w:ascii="Verdana" w:hAnsi="Verdana"/>
          <w:spacing w:val="-3"/>
          <w:sz w:val="16"/>
          <w:szCs w:val="16"/>
        </w:rPr>
        <w:t xml:space="preserve"> </w:t>
      </w:r>
      <w:r w:rsidRPr="00195E24">
        <w:rPr>
          <w:rFonts w:ascii="Verdana" w:hAnsi="Verdana"/>
          <w:sz w:val="16"/>
          <w:szCs w:val="16"/>
        </w:rPr>
        <w:t>artículo</w:t>
      </w:r>
      <w:r w:rsidRPr="00195E24">
        <w:rPr>
          <w:rFonts w:ascii="Verdana" w:hAnsi="Verdana"/>
          <w:spacing w:val="-6"/>
          <w:sz w:val="16"/>
          <w:szCs w:val="16"/>
        </w:rPr>
        <w:t xml:space="preserve"> </w:t>
      </w:r>
      <w:r w:rsidRPr="00195E24">
        <w:rPr>
          <w:rFonts w:ascii="Verdana" w:hAnsi="Verdana"/>
          <w:sz w:val="16"/>
          <w:szCs w:val="16"/>
        </w:rPr>
        <w:t>93</w:t>
      </w:r>
      <w:r w:rsidRPr="00195E24">
        <w:rPr>
          <w:rFonts w:ascii="Verdana" w:hAnsi="Verdana"/>
          <w:spacing w:val="-6"/>
          <w:sz w:val="16"/>
          <w:szCs w:val="16"/>
        </w:rPr>
        <w:t xml:space="preserve"> </w:t>
      </w:r>
      <w:r w:rsidRPr="00195E24">
        <w:rPr>
          <w:rFonts w:ascii="Verdana" w:hAnsi="Verdana"/>
          <w:sz w:val="16"/>
          <w:szCs w:val="16"/>
        </w:rPr>
        <w:t>de</w:t>
      </w:r>
      <w:r w:rsidRPr="00195E24">
        <w:rPr>
          <w:rFonts w:ascii="Verdana" w:hAnsi="Verdana"/>
          <w:spacing w:val="-4"/>
          <w:sz w:val="16"/>
          <w:szCs w:val="16"/>
        </w:rPr>
        <w:t xml:space="preserve"> </w:t>
      </w:r>
      <w:r w:rsidRPr="00195E24">
        <w:rPr>
          <w:rFonts w:ascii="Verdana" w:hAnsi="Verdana"/>
          <w:sz w:val="16"/>
          <w:szCs w:val="16"/>
        </w:rPr>
        <w:t>la</w:t>
      </w:r>
      <w:r w:rsidRPr="00195E24">
        <w:rPr>
          <w:rFonts w:ascii="Verdana" w:hAnsi="Verdana"/>
          <w:spacing w:val="-5"/>
          <w:sz w:val="16"/>
          <w:szCs w:val="16"/>
        </w:rPr>
        <w:t xml:space="preserve"> </w:t>
      </w:r>
      <w:r w:rsidRPr="00195E24">
        <w:rPr>
          <w:rFonts w:ascii="Verdana" w:hAnsi="Verdana"/>
          <w:sz w:val="16"/>
          <w:szCs w:val="16"/>
        </w:rPr>
        <w:t>Ley</w:t>
      </w:r>
      <w:r w:rsidRPr="00195E24">
        <w:rPr>
          <w:rFonts w:ascii="Verdana" w:hAnsi="Verdana"/>
          <w:spacing w:val="-4"/>
          <w:sz w:val="16"/>
          <w:szCs w:val="16"/>
        </w:rPr>
        <w:t xml:space="preserve"> </w:t>
      </w:r>
      <w:r w:rsidRPr="00195E24">
        <w:rPr>
          <w:rFonts w:ascii="Verdana" w:hAnsi="Verdana"/>
          <w:sz w:val="16"/>
          <w:szCs w:val="16"/>
        </w:rPr>
        <w:t>1474</w:t>
      </w:r>
      <w:r w:rsidRPr="00195E24">
        <w:rPr>
          <w:rFonts w:ascii="Verdana" w:hAnsi="Verdana"/>
          <w:spacing w:val="-6"/>
          <w:sz w:val="16"/>
          <w:szCs w:val="16"/>
        </w:rPr>
        <w:t xml:space="preserve"> </w:t>
      </w:r>
      <w:r w:rsidRPr="00195E24">
        <w:rPr>
          <w:rFonts w:ascii="Verdana" w:hAnsi="Verdana"/>
          <w:sz w:val="16"/>
          <w:szCs w:val="16"/>
        </w:rPr>
        <w:t>de</w:t>
      </w:r>
      <w:r w:rsidRPr="00195E24">
        <w:rPr>
          <w:rFonts w:ascii="Verdana" w:hAnsi="Verdana"/>
          <w:spacing w:val="-4"/>
          <w:sz w:val="16"/>
          <w:szCs w:val="16"/>
        </w:rPr>
        <w:t xml:space="preserve"> </w:t>
      </w:r>
      <w:r w:rsidRPr="00195E24">
        <w:rPr>
          <w:rFonts w:ascii="Verdana" w:hAnsi="Verdana"/>
          <w:sz w:val="16"/>
          <w:szCs w:val="16"/>
        </w:rPr>
        <w:t>2011,</w:t>
      </w:r>
      <w:r w:rsidRPr="00195E24">
        <w:rPr>
          <w:rFonts w:ascii="Verdana" w:hAnsi="Verdana"/>
          <w:spacing w:val="-2"/>
          <w:sz w:val="16"/>
          <w:szCs w:val="16"/>
        </w:rPr>
        <w:t xml:space="preserve"> </w:t>
      </w:r>
      <w:r w:rsidRPr="00195E24">
        <w:rPr>
          <w:rFonts w:ascii="Verdana" w:hAnsi="Verdana"/>
          <w:sz w:val="16"/>
          <w:szCs w:val="16"/>
        </w:rPr>
        <w:t>pues en ese caso no se está en presencia de los fundamentos que soportan la excepción de no aplicar el Estatuto General de Contratación de la Administración Pública, cual es la “competencia y el libre juego del mercado”.</w:t>
      </w:r>
    </w:p>
  </w:footnote>
  <w:footnote w:id="26">
    <w:p w14:paraId="3AF27B71" w14:textId="77777777" w:rsidR="00516A89" w:rsidRPr="005800D0" w:rsidRDefault="00516A89" w:rsidP="005800D0">
      <w:pPr>
        <w:spacing w:after="0" w:line="240" w:lineRule="auto"/>
        <w:ind w:firstLine="709"/>
        <w:contextualSpacing/>
        <w:jc w:val="both"/>
        <w:rPr>
          <w:rFonts w:ascii="Verdana" w:hAnsi="Verdana" w:cs="Arial"/>
          <w:color w:val="000000" w:themeColor="text1"/>
          <w:sz w:val="16"/>
          <w:szCs w:val="16"/>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7">
    <w:p w14:paraId="037664A3" w14:textId="77777777" w:rsidR="00516A89" w:rsidRPr="00195E24" w:rsidRDefault="00516A89" w:rsidP="005800D0">
      <w:pPr>
        <w:pStyle w:val="Textonotapie"/>
        <w:ind w:firstLine="709"/>
        <w:contextualSpacing/>
        <w:jc w:val="both"/>
        <w:rPr>
          <w:rFonts w:ascii="Verdana" w:hAnsi="Verdana" w:cs="Arial"/>
          <w:color w:val="000000" w:themeColor="text1"/>
          <w:sz w:val="16"/>
          <w:szCs w:val="16"/>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6 de abril de 2006. Radicación Número: 11001-03-06-000-2006-00038-00 (1738). Consejero Ponente: Enrique José Arboleda Perdomo:</w:t>
      </w:r>
      <w:r w:rsidRPr="00195E24">
        <w:rPr>
          <w:rFonts w:ascii="Verdana" w:eastAsia="Times New Roman" w:hAnsi="Verdana" w:cs="Arial"/>
          <w:bCs/>
          <w:color w:val="000000" w:themeColor="text1"/>
          <w:sz w:val="16"/>
          <w:szCs w:val="16"/>
          <w:lang w:eastAsia="x-none"/>
        </w:rPr>
        <w:t xml:space="preserve"> «</w:t>
      </w:r>
      <w:bookmarkStart w:id="26" w:name="_Hlk97890572"/>
      <w:r w:rsidRPr="00195E24">
        <w:rPr>
          <w:rFonts w:ascii="Verdana" w:hAnsi="Verdana" w:cs="Arial"/>
          <w:color w:val="000000" w:themeColor="text1"/>
          <w:sz w:val="16"/>
          <w:szCs w:val="16"/>
        </w:rPr>
        <w:t xml:space="preserve">Si bien en el tema del concepto del que se extractaron </w:t>
      </w:r>
      <w:bookmarkEnd w:id="26"/>
      <w:r w:rsidRPr="00195E24">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195E24">
        <w:rPr>
          <w:rFonts w:ascii="Verdana" w:eastAsia="Times New Roman" w:hAnsi="Verdana" w:cs="Arial"/>
          <w:bCs/>
          <w:color w:val="000000" w:themeColor="text1"/>
          <w:sz w:val="16"/>
          <w:szCs w:val="16"/>
          <w:lang w:eastAsia="x-none"/>
        </w:rPr>
        <w:t>».</w:t>
      </w:r>
    </w:p>
  </w:footnote>
  <w:footnote w:id="28">
    <w:p w14:paraId="6FFF78BC" w14:textId="77777777" w:rsidR="00516A89" w:rsidRPr="005800D0" w:rsidRDefault="00516A89" w:rsidP="005800D0">
      <w:pPr>
        <w:spacing w:after="0" w:line="240" w:lineRule="auto"/>
        <w:ind w:firstLine="708"/>
        <w:contextualSpacing/>
        <w:jc w:val="both"/>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Concepto de 6 de abril de 2006. Radicación Número: 11001-03-06-000-2006-00038-00(1738). Consejero Ponente: Enrique José Arboleda Perdomo. </w:t>
      </w:r>
    </w:p>
  </w:footnote>
  <w:footnote w:id="29">
    <w:p w14:paraId="36C7B4FD" w14:textId="77777777" w:rsidR="00516A89" w:rsidRPr="005800D0" w:rsidRDefault="00516A89" w:rsidP="005800D0">
      <w:pPr>
        <w:pStyle w:val="Textonotapie"/>
        <w:ind w:firstLine="709"/>
        <w:contextualSpacing/>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BA0002AA"/>
    <w:lvl w:ilvl="0" w:tplc="8970045A">
      <w:start w:val="1"/>
      <w:numFmt w:val="bullet"/>
      <w:lvlText w:val=""/>
      <w:lvlJc w:val="left"/>
      <w:pPr>
        <w:ind w:left="720" w:hanging="360"/>
      </w:pPr>
      <w:rPr>
        <w:rFonts w:ascii="Symbol" w:hAnsi="Symbo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570431"/>
    <w:multiLevelType w:val="hybridMultilevel"/>
    <w:tmpl w:val="A064935E"/>
    <w:lvl w:ilvl="0" w:tplc="580A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9"/>
  </w:num>
  <w:num w:numId="16" w16cid:durableId="679089576">
    <w:abstractNumId w:val="8"/>
  </w:num>
  <w:num w:numId="17" w16cid:durableId="290213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2E5"/>
    <w:rsid w:val="000019FC"/>
    <w:rsid w:val="00016F78"/>
    <w:rsid w:val="00046945"/>
    <w:rsid w:val="00061B2A"/>
    <w:rsid w:val="00067CF3"/>
    <w:rsid w:val="00082362"/>
    <w:rsid w:val="000A683E"/>
    <w:rsid w:val="000B19B9"/>
    <w:rsid w:val="000C5B17"/>
    <w:rsid w:val="000D0334"/>
    <w:rsid w:val="000F6486"/>
    <w:rsid w:val="00125105"/>
    <w:rsid w:val="00127233"/>
    <w:rsid w:val="001511A0"/>
    <w:rsid w:val="00182819"/>
    <w:rsid w:val="001B78C0"/>
    <w:rsid w:val="001E4177"/>
    <w:rsid w:val="001E5305"/>
    <w:rsid w:val="001F7DC6"/>
    <w:rsid w:val="001F7DD0"/>
    <w:rsid w:val="002421BB"/>
    <w:rsid w:val="0025599E"/>
    <w:rsid w:val="0025796E"/>
    <w:rsid w:val="002707A2"/>
    <w:rsid w:val="002951A0"/>
    <w:rsid w:val="002962BC"/>
    <w:rsid w:val="002A093D"/>
    <w:rsid w:val="002A0DD0"/>
    <w:rsid w:val="002A49AC"/>
    <w:rsid w:val="002A64FD"/>
    <w:rsid w:val="002C7A84"/>
    <w:rsid w:val="002D058C"/>
    <w:rsid w:val="002D2549"/>
    <w:rsid w:val="002E4FD9"/>
    <w:rsid w:val="00313A4F"/>
    <w:rsid w:val="00322A85"/>
    <w:rsid w:val="00324168"/>
    <w:rsid w:val="003303A5"/>
    <w:rsid w:val="003448F4"/>
    <w:rsid w:val="00357CA5"/>
    <w:rsid w:val="00361C24"/>
    <w:rsid w:val="00374F5E"/>
    <w:rsid w:val="00377E3E"/>
    <w:rsid w:val="003819F6"/>
    <w:rsid w:val="003821A3"/>
    <w:rsid w:val="00393651"/>
    <w:rsid w:val="003A779E"/>
    <w:rsid w:val="003A7FA5"/>
    <w:rsid w:val="003D0F4D"/>
    <w:rsid w:val="003D5B0D"/>
    <w:rsid w:val="003E0499"/>
    <w:rsid w:val="003F3941"/>
    <w:rsid w:val="003F43BE"/>
    <w:rsid w:val="00406575"/>
    <w:rsid w:val="00414C74"/>
    <w:rsid w:val="0042722E"/>
    <w:rsid w:val="0044528D"/>
    <w:rsid w:val="004927B5"/>
    <w:rsid w:val="004A1847"/>
    <w:rsid w:val="004A305D"/>
    <w:rsid w:val="004A5E8D"/>
    <w:rsid w:val="004E4412"/>
    <w:rsid w:val="004F21C4"/>
    <w:rsid w:val="004F685F"/>
    <w:rsid w:val="00516A89"/>
    <w:rsid w:val="005566E8"/>
    <w:rsid w:val="00574867"/>
    <w:rsid w:val="005800D0"/>
    <w:rsid w:val="00591460"/>
    <w:rsid w:val="005B3816"/>
    <w:rsid w:val="005C3777"/>
    <w:rsid w:val="005C3F1B"/>
    <w:rsid w:val="005C5CDC"/>
    <w:rsid w:val="005D476C"/>
    <w:rsid w:val="006219F8"/>
    <w:rsid w:val="00635B94"/>
    <w:rsid w:val="00644BB0"/>
    <w:rsid w:val="00665D70"/>
    <w:rsid w:val="006900D9"/>
    <w:rsid w:val="006D63FB"/>
    <w:rsid w:val="006F141D"/>
    <w:rsid w:val="006F79A6"/>
    <w:rsid w:val="00706C16"/>
    <w:rsid w:val="00752F2F"/>
    <w:rsid w:val="00756841"/>
    <w:rsid w:val="007649AB"/>
    <w:rsid w:val="00771D0C"/>
    <w:rsid w:val="007833AC"/>
    <w:rsid w:val="007B268C"/>
    <w:rsid w:val="007B7171"/>
    <w:rsid w:val="007C0C0F"/>
    <w:rsid w:val="007C3DC2"/>
    <w:rsid w:val="007E4B3E"/>
    <w:rsid w:val="007E5497"/>
    <w:rsid w:val="00804A5B"/>
    <w:rsid w:val="00806F5F"/>
    <w:rsid w:val="00820278"/>
    <w:rsid w:val="00831930"/>
    <w:rsid w:val="008421D9"/>
    <w:rsid w:val="008516DA"/>
    <w:rsid w:val="008578B9"/>
    <w:rsid w:val="008612EF"/>
    <w:rsid w:val="00867F95"/>
    <w:rsid w:val="00876A2D"/>
    <w:rsid w:val="008834DB"/>
    <w:rsid w:val="008843B6"/>
    <w:rsid w:val="00890D3E"/>
    <w:rsid w:val="00891928"/>
    <w:rsid w:val="008A446D"/>
    <w:rsid w:val="008B0DFF"/>
    <w:rsid w:val="008C381D"/>
    <w:rsid w:val="008D180B"/>
    <w:rsid w:val="008E7416"/>
    <w:rsid w:val="008F0EA7"/>
    <w:rsid w:val="008F148F"/>
    <w:rsid w:val="00923EEF"/>
    <w:rsid w:val="009419F9"/>
    <w:rsid w:val="00956191"/>
    <w:rsid w:val="009563B2"/>
    <w:rsid w:val="0095685E"/>
    <w:rsid w:val="00961B09"/>
    <w:rsid w:val="00965334"/>
    <w:rsid w:val="0097093E"/>
    <w:rsid w:val="00986AC5"/>
    <w:rsid w:val="009A0DFA"/>
    <w:rsid w:val="009B2D26"/>
    <w:rsid w:val="009C71FA"/>
    <w:rsid w:val="009C72E7"/>
    <w:rsid w:val="009D3058"/>
    <w:rsid w:val="009F3A13"/>
    <w:rsid w:val="009F5914"/>
    <w:rsid w:val="00A122D3"/>
    <w:rsid w:val="00A17F13"/>
    <w:rsid w:val="00A20739"/>
    <w:rsid w:val="00A33C78"/>
    <w:rsid w:val="00A432B9"/>
    <w:rsid w:val="00A46230"/>
    <w:rsid w:val="00A75ECF"/>
    <w:rsid w:val="00AB0ADB"/>
    <w:rsid w:val="00AF0EED"/>
    <w:rsid w:val="00B01B1A"/>
    <w:rsid w:val="00B53A89"/>
    <w:rsid w:val="00B66319"/>
    <w:rsid w:val="00B72CD3"/>
    <w:rsid w:val="00B72FFF"/>
    <w:rsid w:val="00B84B80"/>
    <w:rsid w:val="00B90333"/>
    <w:rsid w:val="00BB7D19"/>
    <w:rsid w:val="00BC1A03"/>
    <w:rsid w:val="00BC3D36"/>
    <w:rsid w:val="00BD7F72"/>
    <w:rsid w:val="00BE0DFE"/>
    <w:rsid w:val="00BE126A"/>
    <w:rsid w:val="00BE26F1"/>
    <w:rsid w:val="00C04FB3"/>
    <w:rsid w:val="00C330EB"/>
    <w:rsid w:val="00C41061"/>
    <w:rsid w:val="00C754BE"/>
    <w:rsid w:val="00C76B1C"/>
    <w:rsid w:val="00CA451F"/>
    <w:rsid w:val="00CB6357"/>
    <w:rsid w:val="00CC1B26"/>
    <w:rsid w:val="00CC7960"/>
    <w:rsid w:val="00CE5774"/>
    <w:rsid w:val="00D23475"/>
    <w:rsid w:val="00D423A2"/>
    <w:rsid w:val="00D520D8"/>
    <w:rsid w:val="00D63AC2"/>
    <w:rsid w:val="00D7383B"/>
    <w:rsid w:val="00DA231B"/>
    <w:rsid w:val="00DA6D6F"/>
    <w:rsid w:val="00DC39FC"/>
    <w:rsid w:val="00DF5254"/>
    <w:rsid w:val="00E16408"/>
    <w:rsid w:val="00E20894"/>
    <w:rsid w:val="00E245AB"/>
    <w:rsid w:val="00E2764C"/>
    <w:rsid w:val="00E27F2E"/>
    <w:rsid w:val="00E50AFE"/>
    <w:rsid w:val="00E57D0B"/>
    <w:rsid w:val="00E75C92"/>
    <w:rsid w:val="00E771DC"/>
    <w:rsid w:val="00E8772A"/>
    <w:rsid w:val="00E90F6B"/>
    <w:rsid w:val="00E92C27"/>
    <w:rsid w:val="00EA0E3D"/>
    <w:rsid w:val="00EC38A7"/>
    <w:rsid w:val="00ED7384"/>
    <w:rsid w:val="00EE1AA8"/>
    <w:rsid w:val="00EE2983"/>
    <w:rsid w:val="00F31EDC"/>
    <w:rsid w:val="00F462B3"/>
    <w:rsid w:val="00F502BB"/>
    <w:rsid w:val="00F5664F"/>
    <w:rsid w:val="00F666C4"/>
    <w:rsid w:val="00F76AFC"/>
    <w:rsid w:val="00FA47C0"/>
    <w:rsid w:val="00FA656D"/>
    <w:rsid w:val="00FB5DD1"/>
    <w:rsid w:val="00FC2B5D"/>
    <w:rsid w:val="00FE02B8"/>
    <w:rsid w:val="00FF1449"/>
    <w:rsid w:val="165E9519"/>
    <w:rsid w:val="382536D9"/>
    <w:rsid w:val="6EFDAB80"/>
    <w:rsid w:val="743F1FE9"/>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516A8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16A89"/>
    <w:pPr>
      <w:spacing w:line="240" w:lineRule="exact"/>
    </w:pPr>
    <w:rPr>
      <w:vertAlign w:val="superscript"/>
    </w:rPr>
  </w:style>
  <w:style w:type="character" w:customStyle="1" w:styleId="NormalWebCar">
    <w:name w:val="Normal (Web) Car"/>
    <w:link w:val="NormalWeb"/>
    <w:uiPriority w:val="99"/>
    <w:locked/>
    <w:rsid w:val="00BE0DFE"/>
    <w:rPr>
      <w:rFonts w:ascii="Times New Roman" w:eastAsia="Times New Roman" w:hAnsi="Times New Roman" w:cs="Times New Roman"/>
      <w:sz w:val="24"/>
      <w:szCs w:val="24"/>
      <w:lang w:eastAsia="es-CO"/>
    </w:rPr>
  </w:style>
  <w:style w:type="character" w:customStyle="1" w:styleId="baj">
    <w:name w:val="b_aj"/>
    <w:basedOn w:val="Fuentedeprrafopredeter"/>
    <w:rsid w:val="00BE0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237;dica@loteriademanizale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CAADE5-D999-42FB-B618-1E92B96C3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8332</Words>
  <Characters>45832</Characters>
  <Application>Microsoft Office Word</Application>
  <DocSecurity>0</DocSecurity>
  <Lines>381</Lines>
  <Paragraphs>108</Paragraphs>
  <ScaleCrop>false</ScaleCrop>
  <Company/>
  <LinksUpToDate>false</LinksUpToDate>
  <CharactersWithSpaces>54056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2025-08-26T23:11:00Z</dcterms:created>
  <dcterms:modified xsi:type="dcterms:W3CDTF">2025-08-26T23:11:00Z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