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7C69D" w14:textId="77777777" w:rsidR="00CE3D70" w:rsidRPr="00EC69D7" w:rsidRDefault="00CE3D70" w:rsidP="00CE3D70">
      <w:pPr>
        <w:spacing w:after="0"/>
        <w:rPr>
          <w:rFonts w:ascii="Verdana" w:hAnsi="Verdana"/>
        </w:rPr>
      </w:pPr>
      <w:bookmarkStart w:id="0" w:name="_Hlk143780582"/>
      <w:r w:rsidRPr="00EC69D7">
        <w:rPr>
          <w:rFonts w:ascii="Verdana" w:hAnsi="Verdana"/>
          <w:b/>
          <w:bCs/>
          <w:color w:val="000000"/>
          <w:sz w:val="20"/>
          <w:szCs w:val="20"/>
        </w:rPr>
        <w:t>DOCUMENTOS TIPO – Fundamento normativo</w:t>
      </w:r>
    </w:p>
    <w:p w14:paraId="0AFB4E6E" w14:textId="77777777" w:rsidR="00CE3D70" w:rsidRPr="00EC69D7" w:rsidRDefault="00CE3D70" w:rsidP="00CE3D70">
      <w:pPr>
        <w:pStyle w:val="NormalWeb"/>
        <w:jc w:val="both"/>
        <w:rPr>
          <w:rFonts w:ascii="Verdana" w:hAnsi="Verdana"/>
          <w:color w:val="000000"/>
          <w:sz w:val="20"/>
          <w:szCs w:val="20"/>
        </w:rPr>
      </w:pPr>
      <w:r w:rsidRPr="00EC69D7">
        <w:rPr>
          <w:rFonts w:ascii="Verdana" w:hAnsi="Verdana"/>
          <w:color w:val="000000"/>
          <w:sz w:val="20"/>
          <w:szCs w:val="20"/>
        </w:rPr>
        <w:t>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Esta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p>
    <w:p w14:paraId="65FC79D2" w14:textId="77777777" w:rsidR="00CE3D70" w:rsidRDefault="00CE3D70" w:rsidP="00CE3D70">
      <w:pPr>
        <w:pStyle w:val="NormalWeb"/>
        <w:jc w:val="both"/>
        <w:rPr>
          <w:rFonts w:ascii="Verdana" w:hAnsi="Verdana"/>
          <w:color w:val="000000"/>
          <w:sz w:val="20"/>
          <w:szCs w:val="20"/>
        </w:rPr>
      </w:pPr>
      <w:r w:rsidRPr="00EC69D7">
        <w:rPr>
          <w:rFonts w:ascii="Verdana" w:hAnsi="Verdana"/>
          <w:color w:val="000000"/>
          <w:sz w:val="20"/>
          <w:szCs w:val="20"/>
        </w:rPr>
        <w:t>Por otra parte,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w:t>
      </w:r>
    </w:p>
    <w:p w14:paraId="21DA5F68" w14:textId="77777777" w:rsidR="00CE3D70" w:rsidRPr="00B75F0A" w:rsidRDefault="00CE3D70" w:rsidP="00CE3D70">
      <w:pPr>
        <w:spacing w:after="0" w:line="276" w:lineRule="auto"/>
        <w:jc w:val="both"/>
        <w:rPr>
          <w:rFonts w:ascii="Verdana" w:eastAsia="Geomanist Light" w:hAnsi="Verdana" w:cs="Arial"/>
          <w:b/>
          <w:bCs/>
          <w:lang w:val="es-ES_tradnl"/>
        </w:rPr>
      </w:pPr>
      <w:r w:rsidRPr="00B75F0A">
        <w:rPr>
          <w:rFonts w:ascii="Verdana" w:eastAsia="Calibri" w:hAnsi="Verdana" w:cs="Arial"/>
          <w:b/>
          <w:bCs/>
          <w:lang w:val="es-ES_tradnl"/>
        </w:rPr>
        <w:t xml:space="preserve">DOCUMENTOS TIPO – Inalterabilidad – Obligatoriedad </w:t>
      </w:r>
    </w:p>
    <w:p w14:paraId="518AE4C2" w14:textId="77777777" w:rsidR="00CE3D70" w:rsidRPr="00B75F0A" w:rsidRDefault="00CE3D70" w:rsidP="00CE3D70">
      <w:pPr>
        <w:spacing w:after="0" w:line="276" w:lineRule="auto"/>
        <w:jc w:val="both"/>
        <w:rPr>
          <w:rFonts w:ascii="Verdana" w:eastAsia="Geomanist Light" w:hAnsi="Verdana" w:cs="Arial"/>
          <w:lang w:val="es-ES_tradnl"/>
        </w:rPr>
      </w:pPr>
    </w:p>
    <w:p w14:paraId="5876C75C" w14:textId="77777777" w:rsidR="00CE3D70" w:rsidRPr="00B75F0A" w:rsidRDefault="00CE3D70" w:rsidP="00CE3D70">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B75F0A">
        <w:rPr>
          <w:rFonts w:ascii="Verdana" w:eastAsia="Times New Roman" w:hAnsi="Verdana" w:cs="Arial"/>
          <w:kern w:val="2"/>
          <w:sz w:val="20"/>
          <w:szCs w:val="20"/>
          <w:shd w:val="clear" w:color="auto" w:fill="FFFFFF"/>
          <w:lang w:val="es-ES_tradnl" w:eastAsia="es-ES_tradnl"/>
          <w14:ligatures w14:val="standardContextual"/>
        </w:rPr>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5FCAE8F0" w14:textId="77777777" w:rsidR="00CE3D70" w:rsidRPr="00B75F0A" w:rsidRDefault="00CE3D70" w:rsidP="00CE3D70">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p>
    <w:p w14:paraId="06573B33" w14:textId="77777777" w:rsidR="00CE3D70" w:rsidRPr="00B75F0A" w:rsidRDefault="00CE3D70" w:rsidP="00CE3D70">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B75F0A">
        <w:rPr>
          <w:rFonts w:ascii="Verdana" w:eastAsia="Times New Roman" w:hAnsi="Verdana" w:cs="Arial"/>
          <w:kern w:val="2"/>
          <w:sz w:val="20"/>
          <w:szCs w:val="20"/>
          <w:shd w:val="clear" w:color="auto" w:fill="FFFFFF"/>
          <w:lang w:val="es-ES_tradnl" w:eastAsia="es-ES_tradnl"/>
          <w14:ligatures w14:val="standardContextual"/>
        </w:rPr>
        <w:t>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 en los términos expuestos en este concepto.</w:t>
      </w:r>
    </w:p>
    <w:p w14:paraId="5B86B83E" w14:textId="77777777" w:rsidR="00CE3D70" w:rsidRPr="00B75F0A" w:rsidRDefault="00CE3D70" w:rsidP="00CE3D70">
      <w:pPr>
        <w:spacing w:after="0" w:line="276" w:lineRule="auto"/>
        <w:jc w:val="both"/>
        <w:rPr>
          <w:rFonts w:ascii="Verdana" w:eastAsia="Geomanist Light" w:hAnsi="Verdana" w:cs="Arial"/>
          <w:lang w:val="es-ES_tradnl"/>
        </w:rPr>
      </w:pPr>
    </w:p>
    <w:p w14:paraId="5A56FC83" w14:textId="77777777" w:rsidR="00CE3D70" w:rsidRPr="00B75F0A" w:rsidRDefault="00CE3D70" w:rsidP="00CE3D70">
      <w:pPr>
        <w:spacing w:after="0" w:line="276" w:lineRule="auto"/>
        <w:jc w:val="both"/>
        <w:rPr>
          <w:rFonts w:ascii="Verdana" w:eastAsia="Calibri" w:hAnsi="Verdana" w:cs="Times New Roman"/>
          <w:kern w:val="2"/>
          <w:sz w:val="20"/>
          <w:szCs w:val="20"/>
          <w14:ligatures w14:val="standardContextual"/>
        </w:rPr>
      </w:pPr>
      <w:r w:rsidRPr="00B75F0A">
        <w:rPr>
          <w:rFonts w:ascii="Verdana" w:eastAsia="Calibri" w:hAnsi="Verdana" w:cs="Arial"/>
          <w:b/>
          <w:bCs/>
          <w:kern w:val="2"/>
          <w:sz w:val="20"/>
          <w:szCs w:val="20"/>
          <w:lang w:val="es-ES_tradnl"/>
          <w14:ligatures w14:val="standardContextual"/>
        </w:rPr>
        <w:t>CONTRATOS Y CONVENIOS INTERADMINISTRATIVOS – Régimen jurídico – Noción – Contratación directa</w:t>
      </w:r>
    </w:p>
    <w:p w14:paraId="56220D33" w14:textId="77777777" w:rsidR="00CE3D70" w:rsidRPr="00B75F0A" w:rsidRDefault="00CE3D70" w:rsidP="00CE3D70">
      <w:pPr>
        <w:snapToGrid w:val="0"/>
        <w:spacing w:after="0" w:line="276" w:lineRule="auto"/>
        <w:jc w:val="both"/>
        <w:rPr>
          <w:rFonts w:ascii="Verdana" w:eastAsia="Calibri" w:hAnsi="Verdana" w:cs="Arial"/>
          <w:kern w:val="2"/>
          <w:lang w:val="es-ES_tradnl"/>
          <w14:ligatures w14:val="standardContextual"/>
        </w:rPr>
      </w:pPr>
    </w:p>
    <w:p w14:paraId="73612EAC" w14:textId="77777777" w:rsidR="00CE3D70" w:rsidRPr="00B75F0A" w:rsidRDefault="00CE3D70" w:rsidP="00CE3D70">
      <w:pPr>
        <w:tabs>
          <w:tab w:val="left" w:pos="709"/>
        </w:tabs>
        <w:snapToGrid w:val="0"/>
        <w:spacing w:after="0" w:line="240" w:lineRule="auto"/>
        <w:jc w:val="both"/>
        <w:rPr>
          <w:rFonts w:ascii="Verdana" w:eastAsia="Aptos" w:hAnsi="Verdana" w:cs="Arial"/>
          <w:kern w:val="2"/>
          <w:sz w:val="20"/>
          <w:szCs w:val="20"/>
          <w:lang w:val="es-ES"/>
          <w14:ligatures w14:val="standardContextual"/>
        </w:rPr>
      </w:pPr>
      <w:r w:rsidRPr="00B75F0A">
        <w:rPr>
          <w:rFonts w:ascii="Verdana" w:eastAsia="Aptos" w:hAnsi="Verdana" w:cs="Arial"/>
          <w:kern w:val="2"/>
          <w:sz w:val="20"/>
          <w:szCs w:val="20"/>
          <w:lang w:val="es-ES"/>
          <w14:ligatures w14:val="standardContextual"/>
        </w:rPr>
        <w:t>[…]</w:t>
      </w:r>
      <w:r w:rsidRPr="00B75F0A">
        <w:rPr>
          <w:rFonts w:ascii="Calibri" w:eastAsia="Calibri" w:hAnsi="Calibri" w:cs="Arial"/>
          <w:lang w:val="es-ES"/>
        </w:rPr>
        <w:t xml:space="preserve"> </w:t>
      </w:r>
      <w:r w:rsidRPr="00B75F0A">
        <w:rPr>
          <w:rFonts w:ascii="Verdana" w:eastAsia="Aptos" w:hAnsi="Verdana" w:cs="Arial"/>
          <w:kern w:val="2"/>
          <w:sz w:val="20"/>
          <w:szCs w:val="20"/>
          <w:lang w:val="es-ES"/>
          <w14:ligatures w14:val="standardContextual"/>
        </w:rPr>
        <w:t xml:space="preserve">la tipología del contrato o convenio interadministrativo fue creada en la Ley 80 de 1993, y el Decreto 1082 de 2015 la califica como aquella contratación entre Entidades Estatales. De acuerdo con lo anterior, el contrato o el convenio interadministrativo es el </w:t>
      </w:r>
      <w:r w:rsidRPr="00B75F0A">
        <w:rPr>
          <w:rFonts w:ascii="Verdana" w:eastAsia="Aptos" w:hAnsi="Verdana" w:cs="Arial"/>
          <w:kern w:val="2"/>
          <w:sz w:val="20"/>
          <w:szCs w:val="20"/>
          <w:lang w:val="es-ES"/>
          <w14:ligatures w14:val="standardContextual"/>
        </w:rPr>
        <w:lastRenderedPageBreak/>
        <w:t>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724871D2" w14:textId="77777777" w:rsidR="00CE3D70" w:rsidRPr="00B75F0A" w:rsidRDefault="00CE3D70" w:rsidP="00CE3D70">
      <w:pPr>
        <w:tabs>
          <w:tab w:val="left" w:pos="709"/>
        </w:tabs>
        <w:snapToGrid w:val="0"/>
        <w:spacing w:after="0" w:line="240" w:lineRule="auto"/>
        <w:jc w:val="both"/>
        <w:rPr>
          <w:rFonts w:ascii="Verdana" w:eastAsia="Aptos" w:hAnsi="Verdana" w:cs="Arial"/>
          <w:kern w:val="2"/>
          <w:sz w:val="20"/>
          <w:szCs w:val="20"/>
          <w:lang w:val="es-ES"/>
          <w14:ligatures w14:val="standardContextual"/>
        </w:rPr>
      </w:pPr>
    </w:p>
    <w:p w14:paraId="60437083" w14:textId="77777777" w:rsidR="00CE3D70" w:rsidRPr="00B75F0A" w:rsidRDefault="00CE3D70" w:rsidP="00CE3D70">
      <w:pPr>
        <w:tabs>
          <w:tab w:val="left" w:pos="709"/>
        </w:tabs>
        <w:snapToGrid w:val="0"/>
        <w:spacing w:after="0" w:line="240" w:lineRule="auto"/>
        <w:jc w:val="both"/>
        <w:rPr>
          <w:rFonts w:ascii="Verdana" w:eastAsia="Times New Roman" w:hAnsi="Verdana" w:cs="Arial"/>
          <w:kern w:val="2"/>
          <w:sz w:val="20"/>
          <w:szCs w:val="20"/>
          <w:lang w:val="es-ES" w:eastAsia="es-CO"/>
          <w14:ligatures w14:val="standardContextual"/>
        </w:rPr>
      </w:pPr>
      <w:r w:rsidRPr="00B75F0A">
        <w:rPr>
          <w:rFonts w:ascii="Verdana" w:eastAsia="Aptos" w:hAnsi="Verdana" w:cs="Arial"/>
          <w:kern w:val="2"/>
          <w:sz w:val="20"/>
          <w:szCs w:val="20"/>
          <w:lang w:val="es-ES"/>
          <w14:ligatures w14:val="standardContextua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164028BC" w14:textId="77777777" w:rsidR="00CE3D70" w:rsidRPr="00B75F0A" w:rsidRDefault="00CE3D70" w:rsidP="00CE3D70">
      <w:pPr>
        <w:tabs>
          <w:tab w:val="left" w:pos="709"/>
        </w:tabs>
        <w:snapToGrid w:val="0"/>
        <w:spacing w:after="0" w:line="240" w:lineRule="auto"/>
        <w:jc w:val="both"/>
        <w:rPr>
          <w:rFonts w:ascii="Verdana" w:eastAsia="Times New Roman" w:hAnsi="Verdana" w:cs="Arial"/>
          <w:kern w:val="2"/>
          <w:sz w:val="20"/>
          <w:szCs w:val="20"/>
          <w:lang w:val="es-ES" w:eastAsia="es-CO"/>
          <w14:ligatures w14:val="standardContextual"/>
        </w:rPr>
      </w:pPr>
    </w:p>
    <w:p w14:paraId="3667714A" w14:textId="77777777" w:rsidR="00CE3D70" w:rsidRPr="00B75F0A" w:rsidRDefault="00CE3D70" w:rsidP="00CE3D70">
      <w:pPr>
        <w:spacing w:after="0" w:line="240" w:lineRule="auto"/>
        <w:rPr>
          <w:rFonts w:ascii="Verdana" w:eastAsia="Calibri" w:hAnsi="Verdana" w:cs="Times New Roman"/>
          <w:lang w:val="es-ES_tradnl"/>
        </w:rPr>
      </w:pPr>
    </w:p>
    <w:p w14:paraId="3971F82E" w14:textId="77777777" w:rsidR="00CE3D70" w:rsidRDefault="00CE3D70" w:rsidP="00CE3D70">
      <w:pPr>
        <w:pStyle w:val="NormalWeb"/>
        <w:jc w:val="both"/>
        <w:rPr>
          <w:rFonts w:ascii="Verdana" w:hAnsi="Verdana"/>
          <w:color w:val="000000"/>
          <w:sz w:val="20"/>
          <w:szCs w:val="20"/>
          <w:lang w:val="es-ES_tradnl"/>
        </w:rPr>
      </w:pPr>
    </w:p>
    <w:p w14:paraId="644ABD72" w14:textId="77777777" w:rsidR="00CE3D70" w:rsidRDefault="00CE3D70" w:rsidP="00CE3D70">
      <w:pPr>
        <w:pStyle w:val="NormalWeb"/>
        <w:jc w:val="both"/>
        <w:rPr>
          <w:rFonts w:ascii="Verdana" w:hAnsi="Verdana"/>
          <w:color w:val="000000"/>
          <w:sz w:val="20"/>
          <w:szCs w:val="20"/>
          <w:lang w:val="es-ES_tradnl"/>
        </w:rPr>
      </w:pPr>
    </w:p>
    <w:p w14:paraId="2252BC39" w14:textId="77777777" w:rsidR="00CE3D70" w:rsidRDefault="00CE3D70" w:rsidP="00CE3D70">
      <w:pPr>
        <w:pStyle w:val="NormalWeb"/>
        <w:jc w:val="both"/>
        <w:rPr>
          <w:rFonts w:ascii="Verdana" w:hAnsi="Verdana"/>
          <w:color w:val="000000"/>
          <w:sz w:val="20"/>
          <w:szCs w:val="20"/>
          <w:lang w:val="es-ES_tradnl"/>
        </w:rPr>
      </w:pPr>
    </w:p>
    <w:p w14:paraId="5B0B8935" w14:textId="77777777" w:rsidR="00CE3D70" w:rsidRDefault="00CE3D70" w:rsidP="00CE3D70">
      <w:pPr>
        <w:pStyle w:val="NormalWeb"/>
        <w:jc w:val="both"/>
        <w:rPr>
          <w:rFonts w:ascii="Verdana" w:hAnsi="Verdana"/>
          <w:color w:val="000000"/>
          <w:sz w:val="20"/>
          <w:szCs w:val="20"/>
          <w:lang w:val="es-ES_tradnl"/>
        </w:rPr>
      </w:pPr>
    </w:p>
    <w:p w14:paraId="649BA06D" w14:textId="77777777" w:rsidR="00CE3D70" w:rsidRDefault="00CE3D70" w:rsidP="00CE3D70">
      <w:pPr>
        <w:pStyle w:val="NormalWeb"/>
        <w:jc w:val="both"/>
        <w:rPr>
          <w:rFonts w:ascii="Verdana" w:hAnsi="Verdana"/>
          <w:color w:val="000000"/>
          <w:sz w:val="20"/>
          <w:szCs w:val="20"/>
          <w:lang w:val="es-ES_tradnl"/>
        </w:rPr>
      </w:pPr>
    </w:p>
    <w:p w14:paraId="41665E33" w14:textId="77777777" w:rsidR="00CE3D70" w:rsidRDefault="00CE3D70" w:rsidP="00CE3D70">
      <w:pPr>
        <w:pStyle w:val="NormalWeb"/>
        <w:jc w:val="both"/>
        <w:rPr>
          <w:rFonts w:ascii="Verdana" w:hAnsi="Verdana"/>
          <w:color w:val="000000"/>
          <w:sz w:val="20"/>
          <w:szCs w:val="20"/>
          <w:lang w:val="es-ES_tradnl"/>
        </w:rPr>
      </w:pPr>
    </w:p>
    <w:p w14:paraId="0F3893E3" w14:textId="77777777" w:rsidR="00CE3D70" w:rsidRDefault="00CE3D70" w:rsidP="00CE3D70">
      <w:pPr>
        <w:pStyle w:val="NormalWeb"/>
        <w:jc w:val="both"/>
        <w:rPr>
          <w:rFonts w:ascii="Verdana" w:hAnsi="Verdana"/>
          <w:color w:val="000000"/>
          <w:sz w:val="20"/>
          <w:szCs w:val="20"/>
          <w:lang w:val="es-ES_tradnl"/>
        </w:rPr>
      </w:pPr>
    </w:p>
    <w:p w14:paraId="088E1847" w14:textId="77777777" w:rsidR="00CE3D70" w:rsidRDefault="00CE3D70" w:rsidP="00CE3D70">
      <w:pPr>
        <w:pStyle w:val="NormalWeb"/>
        <w:jc w:val="both"/>
        <w:rPr>
          <w:rFonts w:ascii="Verdana" w:hAnsi="Verdana"/>
          <w:color w:val="000000"/>
          <w:sz w:val="20"/>
          <w:szCs w:val="20"/>
          <w:lang w:val="es-ES_tradnl"/>
        </w:rPr>
      </w:pPr>
    </w:p>
    <w:p w14:paraId="4E4600BB" w14:textId="77777777" w:rsidR="00CE3D70" w:rsidRDefault="00CE3D70" w:rsidP="00CE3D70">
      <w:pPr>
        <w:pStyle w:val="NormalWeb"/>
        <w:jc w:val="both"/>
        <w:rPr>
          <w:rFonts w:ascii="Verdana" w:hAnsi="Verdana"/>
          <w:color w:val="000000"/>
          <w:sz w:val="20"/>
          <w:szCs w:val="20"/>
          <w:lang w:val="es-ES_tradnl"/>
        </w:rPr>
      </w:pPr>
    </w:p>
    <w:p w14:paraId="6E96F4D3" w14:textId="77777777" w:rsidR="00CE3D70" w:rsidRDefault="00CE3D70" w:rsidP="00CE3D70">
      <w:pPr>
        <w:pStyle w:val="NormalWeb"/>
        <w:jc w:val="both"/>
        <w:rPr>
          <w:rFonts w:ascii="Verdana" w:hAnsi="Verdana"/>
          <w:color w:val="000000"/>
          <w:sz w:val="20"/>
          <w:szCs w:val="20"/>
          <w:lang w:val="es-ES_tradnl"/>
        </w:rPr>
      </w:pPr>
    </w:p>
    <w:p w14:paraId="303B3C43" w14:textId="77777777" w:rsidR="00CE3D70" w:rsidRDefault="00CE3D70" w:rsidP="00CE3D70">
      <w:pPr>
        <w:pStyle w:val="NormalWeb"/>
        <w:jc w:val="both"/>
        <w:rPr>
          <w:rFonts w:ascii="Verdana" w:hAnsi="Verdana"/>
          <w:color w:val="000000"/>
          <w:sz w:val="20"/>
          <w:szCs w:val="20"/>
          <w:lang w:val="es-ES_tradnl"/>
        </w:rPr>
      </w:pPr>
    </w:p>
    <w:p w14:paraId="6B83A8AF" w14:textId="77777777" w:rsidR="00CE3D70" w:rsidRDefault="00CE3D70" w:rsidP="00CE3D70">
      <w:pPr>
        <w:pStyle w:val="NormalWeb"/>
        <w:jc w:val="both"/>
        <w:rPr>
          <w:rFonts w:ascii="Verdana" w:hAnsi="Verdana"/>
          <w:color w:val="000000"/>
          <w:sz w:val="20"/>
          <w:szCs w:val="20"/>
          <w:lang w:val="es-ES_tradnl"/>
        </w:rPr>
      </w:pPr>
    </w:p>
    <w:p w14:paraId="34EB3351" w14:textId="77777777" w:rsidR="00CE3D70" w:rsidRDefault="00CE3D70" w:rsidP="00CE3D70">
      <w:pPr>
        <w:pStyle w:val="NormalWeb"/>
        <w:jc w:val="both"/>
        <w:rPr>
          <w:rFonts w:ascii="Verdana" w:hAnsi="Verdana"/>
          <w:color w:val="000000"/>
          <w:sz w:val="20"/>
          <w:szCs w:val="20"/>
          <w:lang w:val="es-ES_tradnl"/>
        </w:rPr>
      </w:pPr>
    </w:p>
    <w:p w14:paraId="15325923" w14:textId="77777777" w:rsidR="00CE3D70" w:rsidRPr="00B75F0A" w:rsidRDefault="00CE3D70" w:rsidP="00CE3D70">
      <w:pPr>
        <w:pStyle w:val="NormalWeb"/>
        <w:jc w:val="both"/>
        <w:rPr>
          <w:rFonts w:ascii="Verdana" w:hAnsi="Verdana"/>
          <w:color w:val="000000"/>
          <w:sz w:val="20"/>
          <w:szCs w:val="20"/>
          <w:lang w:val="es-ES_tradnl"/>
        </w:rPr>
      </w:pPr>
    </w:p>
    <w:p w14:paraId="4792555A" w14:textId="77777777" w:rsidR="00CE3D70" w:rsidRDefault="00CE3D70" w:rsidP="00CE3D70">
      <w:pPr>
        <w:spacing w:after="0" w:line="240" w:lineRule="auto"/>
        <w:jc w:val="both"/>
        <w:rPr>
          <w:rFonts w:ascii="Verdana" w:eastAsia="Geomanist Light" w:hAnsi="Verdana" w:cs="Arial"/>
          <w:lang w:val="es-ES_tradnl"/>
        </w:rPr>
      </w:pPr>
    </w:p>
    <w:p w14:paraId="53E13C07" w14:textId="77777777" w:rsidR="00CE3D70" w:rsidRPr="009322DA" w:rsidRDefault="00CE3D70" w:rsidP="00CE3D70">
      <w:pPr>
        <w:spacing w:after="0" w:line="240" w:lineRule="auto"/>
        <w:rPr>
          <w:rFonts w:ascii="Verdana" w:eastAsia="Geomanist Light" w:hAnsi="Verdana" w:cs="Arial"/>
          <w:lang w:val="es-MX"/>
        </w:rPr>
      </w:pPr>
      <w:r w:rsidRPr="009322DA">
        <w:rPr>
          <w:rFonts w:ascii="Verdana" w:eastAsia="Geomanist Light" w:hAnsi="Verdana" w:cs="Arial"/>
          <w:lang w:val="es-MX"/>
        </w:rPr>
        <w:lastRenderedPageBreak/>
        <w:t>Bogotá D.C., [Día] de [</w:t>
      </w:r>
      <w:proofErr w:type="spellStart"/>
      <w:r w:rsidRPr="009322DA">
        <w:rPr>
          <w:rFonts w:ascii="Verdana" w:eastAsia="Geomanist Light" w:hAnsi="Verdana" w:cs="Arial"/>
          <w:lang w:val="es-MX"/>
        </w:rPr>
        <w:t>Mes.NombreCapitalizado</w:t>
      </w:r>
      <w:proofErr w:type="spellEnd"/>
      <w:r w:rsidRPr="009322DA">
        <w:rPr>
          <w:rFonts w:ascii="Verdana" w:eastAsia="Geomanist Light" w:hAnsi="Verdana" w:cs="Arial"/>
          <w:lang w:val="es-MX"/>
        </w:rPr>
        <w:t>] de [Año]</w:t>
      </w:r>
    </w:p>
    <w:p w14:paraId="02C8CCB0" w14:textId="77777777" w:rsidR="00CE3D70" w:rsidRPr="009322DA" w:rsidRDefault="00CE3D70" w:rsidP="00CE3D70">
      <w:pPr>
        <w:spacing w:after="0" w:line="240" w:lineRule="auto"/>
        <w:jc w:val="both"/>
        <w:rPr>
          <w:rFonts w:ascii="Verdana" w:eastAsia="Calibri" w:hAnsi="Verdana" w:cs="Arial"/>
          <w:lang w:val="es-ES"/>
        </w:rPr>
      </w:pPr>
    </w:p>
    <w:p w14:paraId="6C611DE1" w14:textId="77777777" w:rsidR="00CE3D70" w:rsidRDefault="00CE3D70" w:rsidP="00CE3D70">
      <w:pPr>
        <w:spacing w:after="0" w:line="240" w:lineRule="auto"/>
        <w:rPr>
          <w:rFonts w:ascii="Verdana" w:eastAsia="Calibri" w:hAnsi="Verdana" w:cs="Arial"/>
          <w:lang w:val="es-MX" w:eastAsia="es-ES"/>
        </w:rPr>
      </w:pPr>
    </w:p>
    <w:p w14:paraId="64C42571" w14:textId="77777777" w:rsidR="00CE3D70" w:rsidRDefault="00CE3D70" w:rsidP="00CE3D70">
      <w:pPr>
        <w:spacing w:after="0" w:line="240" w:lineRule="auto"/>
        <w:rPr>
          <w:rFonts w:ascii="Verdana" w:eastAsia="Calibri" w:hAnsi="Verdana" w:cs="Arial"/>
          <w:lang w:val="es-MX" w:eastAsia="es-ES"/>
        </w:rPr>
      </w:pPr>
    </w:p>
    <w:p w14:paraId="53DD55C3" w14:textId="77777777" w:rsidR="00CE3D70" w:rsidRPr="002F03C7" w:rsidRDefault="00CE3D70" w:rsidP="00CE3D70">
      <w:pPr>
        <w:spacing w:after="0" w:line="240" w:lineRule="auto"/>
        <w:rPr>
          <w:rFonts w:ascii="Verdana" w:eastAsia="Calibri" w:hAnsi="Verdana" w:cs="Arial"/>
          <w:lang w:val="en-US" w:eastAsia="es-ES"/>
        </w:rPr>
      </w:pPr>
      <w:r w:rsidRPr="002F03C7">
        <w:rPr>
          <w:rFonts w:ascii="Verdana" w:eastAsia="Calibri" w:hAnsi="Verdana" w:cs="Arial"/>
          <w:lang w:val="en-US" w:eastAsia="es-ES"/>
        </w:rPr>
        <w:t>Señor</w:t>
      </w:r>
    </w:p>
    <w:p w14:paraId="6D300163" w14:textId="77777777" w:rsidR="00CE3D70" w:rsidRPr="002F03C7" w:rsidRDefault="00CE3D70" w:rsidP="00CE3D70">
      <w:pPr>
        <w:spacing w:after="0" w:line="240" w:lineRule="auto"/>
        <w:rPr>
          <w:rFonts w:ascii="Verdana" w:eastAsia="Calibri" w:hAnsi="Verdana" w:cs="Arial"/>
          <w:b/>
          <w:bCs/>
          <w:lang w:val="en-US" w:eastAsia="es-ES"/>
        </w:rPr>
      </w:pPr>
      <w:r w:rsidRPr="002F03C7">
        <w:rPr>
          <w:rFonts w:ascii="Verdana" w:eastAsia="Calibri" w:hAnsi="Verdana" w:cs="Arial"/>
          <w:b/>
          <w:bCs/>
          <w:lang w:val="en-US" w:eastAsia="es-ES"/>
        </w:rPr>
        <w:t>William Eduardo Meneses</w:t>
      </w:r>
    </w:p>
    <w:p w14:paraId="65B23437" w14:textId="77777777" w:rsidR="00CE3D70" w:rsidRPr="002F03C7" w:rsidRDefault="00CE3D70" w:rsidP="00CE3D70">
      <w:pPr>
        <w:spacing w:after="0" w:line="240" w:lineRule="auto"/>
        <w:rPr>
          <w:rFonts w:ascii="Verdana" w:eastAsia="Calibri" w:hAnsi="Verdana" w:cs="Arial"/>
          <w:lang w:val="en-US" w:eastAsia="es-ES"/>
        </w:rPr>
      </w:pPr>
      <w:hyperlink r:id="rId10" w:history="1">
        <w:r w:rsidRPr="002F03C7">
          <w:rPr>
            <w:rStyle w:val="Hipervnculo"/>
            <w:rFonts w:ascii="Verdana" w:eastAsia="Calibri" w:hAnsi="Verdana" w:cs="Arial"/>
            <w:lang w:val="en-US" w:eastAsia="es-ES"/>
          </w:rPr>
          <w:t>Wem2293@hotmail.com</w:t>
        </w:r>
      </w:hyperlink>
      <w:r w:rsidRPr="002F03C7">
        <w:rPr>
          <w:rFonts w:ascii="Verdana" w:eastAsia="Calibri" w:hAnsi="Verdana" w:cs="Arial"/>
          <w:lang w:val="en-US" w:eastAsia="es-ES"/>
        </w:rPr>
        <w:t xml:space="preserve"> </w:t>
      </w:r>
    </w:p>
    <w:p w14:paraId="008A0890" w14:textId="77777777" w:rsidR="00CE3D70" w:rsidRPr="00D37430" w:rsidRDefault="00CE3D70" w:rsidP="00CE3D70">
      <w:pPr>
        <w:spacing w:after="0" w:line="240" w:lineRule="auto"/>
        <w:rPr>
          <w:rFonts w:ascii="Verdana" w:eastAsia="Calibri" w:hAnsi="Verdana" w:cs="Arial"/>
          <w:lang w:val="pt-BR" w:eastAsia="es-ES"/>
        </w:rPr>
      </w:pPr>
      <w:r>
        <w:rPr>
          <w:rFonts w:ascii="Verdana" w:eastAsia="Calibri" w:hAnsi="Verdana" w:cs="Arial"/>
          <w:lang w:val="es-MX" w:eastAsia="es-ES"/>
        </w:rPr>
        <w:t>Bogotá D.C</w:t>
      </w:r>
    </w:p>
    <w:p w14:paraId="4A7722FA" w14:textId="4A778189" w:rsidR="00CE3D70" w:rsidRDefault="00882A71" w:rsidP="00882A71">
      <w:pPr>
        <w:spacing w:after="0" w:line="240" w:lineRule="auto"/>
        <w:jc w:val="right"/>
        <w:rPr>
          <w:rFonts w:ascii="Verdana" w:eastAsia="Calibri" w:hAnsi="Verdana" w:cs="Arial"/>
          <w:lang w:val="pt-BR" w:eastAsia="es-ES"/>
        </w:rPr>
      </w:pPr>
      <w:r w:rsidRPr="00882A71">
        <w:rPr>
          <w:rFonts w:ascii="Verdana" w:eastAsia="Calibri" w:hAnsi="Verdana" w:cs="Arial"/>
          <w:lang w:val="pt-BR" w:eastAsia="es-ES"/>
        </w:rPr>
        <w:drawing>
          <wp:inline distT="0" distB="0" distL="0" distR="0" wp14:anchorId="65B13983" wp14:editId="74FFFAF7">
            <wp:extent cx="4133850" cy="1228725"/>
            <wp:effectExtent l="0" t="0" r="0" b="9525"/>
            <wp:docPr id="1648236180" name="Imagen 1" descr="Interfaz de usuario gráfica, Texto,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236180" name="Imagen 1" descr="Interfaz de usuario gráfica, Texto, Chat o mensaje de texto&#10;&#10;Descripción generada automáticamente"/>
                    <pic:cNvPicPr/>
                  </pic:nvPicPr>
                  <pic:blipFill>
                    <a:blip r:embed="rId11"/>
                    <a:stretch>
                      <a:fillRect/>
                    </a:stretch>
                  </pic:blipFill>
                  <pic:spPr>
                    <a:xfrm>
                      <a:off x="0" y="0"/>
                      <a:ext cx="4133850" cy="1228725"/>
                    </a:xfrm>
                    <a:prstGeom prst="rect">
                      <a:avLst/>
                    </a:prstGeom>
                  </pic:spPr>
                </pic:pic>
              </a:graphicData>
            </a:graphic>
          </wp:inline>
        </w:drawing>
      </w:r>
    </w:p>
    <w:p w14:paraId="5785A02B" w14:textId="77777777" w:rsidR="00CE3D70" w:rsidRDefault="00CE3D70" w:rsidP="00CE3D70">
      <w:pPr>
        <w:spacing w:after="0" w:line="240" w:lineRule="auto"/>
        <w:rPr>
          <w:rFonts w:ascii="Verdana" w:eastAsia="Calibri" w:hAnsi="Verdana" w:cs="Arial"/>
          <w:lang w:val="pt-BR" w:eastAsia="es-ES"/>
        </w:rPr>
      </w:pPr>
    </w:p>
    <w:p w14:paraId="3C5E84A3" w14:textId="77777777" w:rsidR="00CE3D70" w:rsidRPr="009322DA" w:rsidRDefault="00CE3D70" w:rsidP="00CE3D70">
      <w:pPr>
        <w:spacing w:after="0" w:line="240" w:lineRule="auto"/>
        <w:jc w:val="right"/>
        <w:rPr>
          <w:rFonts w:ascii="Verdana" w:eastAsia="Calibri" w:hAnsi="Verdana" w:cs="Arial"/>
          <w:b/>
          <w:bCs/>
          <w:lang w:val="es-ES_tradnl" w:eastAsia="es-ES_tradnl"/>
        </w:rPr>
      </w:pPr>
    </w:p>
    <w:p w14:paraId="11133417" w14:textId="77777777" w:rsidR="00CE3D70" w:rsidRPr="009322DA" w:rsidRDefault="00CE3D70" w:rsidP="00CE3D70">
      <w:pPr>
        <w:spacing w:after="0" w:line="240" w:lineRule="auto"/>
        <w:rPr>
          <w:rFonts w:ascii="Verdana" w:eastAsia="Calibri" w:hAnsi="Verdana" w:cs="Arial"/>
          <w:b/>
          <w:bCs/>
          <w:lang w:val="es-ES_tradnl"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831"/>
      </w:tblGrid>
      <w:tr w:rsidR="00CE3D70" w:rsidRPr="009322DA" w14:paraId="53813004" w14:textId="77777777" w:rsidTr="003954A6">
        <w:trPr>
          <w:trHeight w:val="999"/>
        </w:trPr>
        <w:tc>
          <w:tcPr>
            <w:tcW w:w="3402" w:type="dxa"/>
          </w:tcPr>
          <w:p w14:paraId="28C205C9" w14:textId="77777777" w:rsidR="00CE3D70" w:rsidRPr="009322DA" w:rsidRDefault="00CE3D70" w:rsidP="003954A6">
            <w:pPr>
              <w:jc w:val="both"/>
              <w:rPr>
                <w:rFonts w:ascii="Verdana" w:hAnsi="Verdana" w:cs="Arial"/>
                <w:b/>
                <w:bCs/>
                <w:lang w:val="es-ES_tradnl" w:eastAsia="es-ES_tradnl"/>
              </w:rPr>
            </w:pPr>
          </w:p>
        </w:tc>
        <w:tc>
          <w:tcPr>
            <w:tcW w:w="5831" w:type="dxa"/>
            <w:hideMark/>
          </w:tcPr>
          <w:p w14:paraId="3664C909" w14:textId="77777777" w:rsidR="00CE3D70" w:rsidRPr="009322DA" w:rsidRDefault="00CE3D70" w:rsidP="003954A6">
            <w:pPr>
              <w:jc w:val="both"/>
              <w:rPr>
                <w:rFonts w:ascii="Verdana" w:hAnsi="Verdana" w:cs="Arial"/>
                <w:b/>
                <w:bCs/>
                <w:lang w:val="es-ES" w:eastAsia="es-ES"/>
              </w:rPr>
            </w:pPr>
            <w:r w:rsidRPr="009322DA">
              <w:rPr>
                <w:rFonts w:ascii="Verdana" w:hAnsi="Verdana" w:cs="Arial"/>
                <w:b/>
                <w:bCs/>
                <w:lang w:val="es-ES" w:eastAsia="es-ES"/>
              </w:rPr>
              <w:t xml:space="preserve">Concepto C- </w:t>
            </w:r>
            <w:r>
              <w:rPr>
                <w:rFonts w:ascii="Verdana" w:hAnsi="Verdana" w:cs="Arial"/>
                <w:b/>
                <w:bCs/>
                <w:lang w:val="es-ES" w:eastAsia="es-ES"/>
              </w:rPr>
              <w:t xml:space="preserve">956 </w:t>
            </w:r>
            <w:r w:rsidRPr="009322DA">
              <w:rPr>
                <w:rFonts w:ascii="Verdana" w:hAnsi="Verdana" w:cs="Arial"/>
                <w:b/>
                <w:bCs/>
                <w:lang w:val="es-ES" w:eastAsia="es-ES"/>
              </w:rPr>
              <w:t>de 2024</w:t>
            </w:r>
          </w:p>
        </w:tc>
      </w:tr>
      <w:tr w:rsidR="00CE3D70" w:rsidRPr="009322DA" w14:paraId="45153D08" w14:textId="77777777" w:rsidTr="003954A6">
        <w:trPr>
          <w:trHeight w:val="999"/>
        </w:trPr>
        <w:tc>
          <w:tcPr>
            <w:tcW w:w="3402" w:type="dxa"/>
            <w:hideMark/>
          </w:tcPr>
          <w:p w14:paraId="1E1BE9D0" w14:textId="77777777" w:rsidR="00CE3D70" w:rsidRPr="009322DA" w:rsidRDefault="00CE3D70" w:rsidP="003954A6">
            <w:pPr>
              <w:jc w:val="both"/>
              <w:rPr>
                <w:rFonts w:ascii="Verdana" w:hAnsi="Verdana" w:cs="Arial"/>
                <w:lang w:val="es-ES_tradnl" w:eastAsia="es-ES_tradnl"/>
              </w:rPr>
            </w:pPr>
            <w:r w:rsidRPr="009322DA">
              <w:rPr>
                <w:rFonts w:ascii="Verdana" w:hAnsi="Verdana" w:cs="Arial"/>
                <w:b/>
                <w:lang w:val="es-ES_tradnl" w:eastAsia="es-ES_tradnl"/>
              </w:rPr>
              <w:t>Temas:</w:t>
            </w:r>
            <w:r w:rsidRPr="009322DA">
              <w:rPr>
                <w:rFonts w:ascii="Verdana" w:hAnsi="Verdana" w:cs="Arial"/>
                <w:lang w:val="es-ES_tradnl" w:eastAsia="es-ES_tradnl"/>
              </w:rPr>
              <w:t xml:space="preserve">                   </w:t>
            </w:r>
          </w:p>
        </w:tc>
        <w:tc>
          <w:tcPr>
            <w:tcW w:w="5831" w:type="dxa"/>
          </w:tcPr>
          <w:p w14:paraId="2FE59AAB" w14:textId="77777777" w:rsidR="00CE3D70" w:rsidRPr="00B75F0A" w:rsidRDefault="00CE3D70" w:rsidP="003954A6">
            <w:pPr>
              <w:spacing w:line="276" w:lineRule="auto"/>
              <w:jc w:val="both"/>
              <w:rPr>
                <w:rFonts w:ascii="Verdana" w:eastAsia="Calibri" w:hAnsi="Verdana" w:cs="Times New Roman"/>
                <w:bCs/>
                <w:kern w:val="2"/>
                <w14:ligatures w14:val="standardContextual"/>
              </w:rPr>
            </w:pPr>
            <w:r w:rsidRPr="00A76593">
              <w:rPr>
                <w:rFonts w:ascii="Verdana" w:hAnsi="Verdana" w:cs="Arial"/>
                <w:bCs/>
                <w:lang w:val="es-MX" w:eastAsia="es-ES"/>
              </w:rPr>
              <w:t>DOCUMENTO TIPO – Fundamento normativo /</w:t>
            </w:r>
            <w:r w:rsidRPr="00A76593">
              <w:rPr>
                <w:rFonts w:ascii="Verdana" w:eastAsia="Calibri" w:hAnsi="Verdana" w:cs="Arial"/>
                <w:bCs/>
                <w:lang w:val="es-ES_tradnl"/>
              </w:rPr>
              <w:t xml:space="preserve"> </w:t>
            </w:r>
            <w:r w:rsidRPr="00B75F0A">
              <w:rPr>
                <w:rFonts w:ascii="Verdana" w:eastAsia="Calibri" w:hAnsi="Verdana" w:cs="Arial"/>
                <w:bCs/>
                <w:lang w:val="es-ES_tradnl"/>
              </w:rPr>
              <w:t xml:space="preserve">DOCUMENTOS TIPO – Inalterabilidad – Obligatoriedad </w:t>
            </w:r>
            <w:r w:rsidRPr="00A76593">
              <w:rPr>
                <w:rFonts w:ascii="Verdana" w:eastAsia="Calibri" w:hAnsi="Verdana" w:cs="Arial"/>
                <w:bCs/>
                <w:lang w:val="es-ES_tradnl"/>
              </w:rPr>
              <w:t>/</w:t>
            </w:r>
            <w:r w:rsidRPr="00B75F0A">
              <w:rPr>
                <w:rFonts w:ascii="Verdana" w:eastAsia="Calibri" w:hAnsi="Verdana" w:cs="Arial"/>
                <w:bCs/>
                <w:kern w:val="2"/>
                <w:lang w:val="es-ES_tradnl"/>
                <w14:ligatures w14:val="standardContextual"/>
              </w:rPr>
              <w:t>CONTRATOS Y CONVENIOS INTERADMINISTRATIVOS – Régimen jurídico – Noción – Contratación directa</w:t>
            </w:r>
          </w:p>
          <w:p w14:paraId="166B5E40" w14:textId="77777777" w:rsidR="00CE3D70" w:rsidRPr="00B75F0A" w:rsidRDefault="00CE3D70" w:rsidP="003954A6">
            <w:pPr>
              <w:spacing w:line="276" w:lineRule="auto"/>
              <w:jc w:val="both"/>
              <w:rPr>
                <w:rFonts w:ascii="Verdana" w:eastAsia="Geomanist Light" w:hAnsi="Verdana" w:cs="Arial"/>
                <w:b/>
                <w:bCs/>
              </w:rPr>
            </w:pPr>
          </w:p>
          <w:p w14:paraId="300B85B5" w14:textId="77777777" w:rsidR="00CE3D70" w:rsidRPr="00A76593" w:rsidRDefault="00CE3D70" w:rsidP="003954A6">
            <w:pPr>
              <w:snapToGrid w:val="0"/>
              <w:spacing w:line="276" w:lineRule="auto"/>
              <w:jc w:val="both"/>
              <w:rPr>
                <w:rFonts w:ascii="Verdana" w:eastAsia="Times New Roman" w:hAnsi="Verdana" w:cs="Arial"/>
                <w:bCs/>
                <w:lang w:val="es-MX"/>
              </w:rPr>
            </w:pPr>
            <w:r w:rsidRPr="004D56BC">
              <w:rPr>
                <w:rFonts w:ascii="Verdana" w:eastAsia="Times New Roman" w:hAnsi="Verdana" w:cs="Arial"/>
                <w:bCs/>
                <w:lang w:val="es-MX"/>
              </w:rPr>
              <w:t xml:space="preserve"> </w:t>
            </w:r>
          </w:p>
        </w:tc>
      </w:tr>
      <w:tr w:rsidR="00CE3D70" w:rsidRPr="009322DA" w14:paraId="1831BBDF" w14:textId="77777777" w:rsidTr="003954A6">
        <w:trPr>
          <w:trHeight w:val="597"/>
        </w:trPr>
        <w:tc>
          <w:tcPr>
            <w:tcW w:w="3402" w:type="dxa"/>
            <w:hideMark/>
          </w:tcPr>
          <w:p w14:paraId="5AD3324C" w14:textId="77777777" w:rsidR="00CE3D70" w:rsidRPr="009322DA" w:rsidRDefault="00CE3D70" w:rsidP="003954A6">
            <w:pPr>
              <w:jc w:val="both"/>
              <w:rPr>
                <w:rFonts w:ascii="Verdana" w:hAnsi="Verdana" w:cs="Arial"/>
                <w:b/>
                <w:lang w:val="es-ES_tradnl" w:eastAsia="es-ES_tradnl"/>
              </w:rPr>
            </w:pPr>
            <w:r w:rsidRPr="009322DA">
              <w:rPr>
                <w:rFonts w:ascii="Verdana" w:hAnsi="Verdana" w:cs="Arial"/>
                <w:b/>
                <w:lang w:val="es-ES_tradnl" w:eastAsia="es-ES_tradnl"/>
              </w:rPr>
              <w:t>Radicación:</w:t>
            </w:r>
            <w:r w:rsidRPr="009322DA">
              <w:rPr>
                <w:rFonts w:ascii="Verdana" w:hAnsi="Verdana" w:cs="Arial"/>
                <w:lang w:val="es-ES_tradnl" w:eastAsia="es-ES_tradnl"/>
              </w:rPr>
              <w:t xml:space="preserve">               </w:t>
            </w:r>
          </w:p>
        </w:tc>
        <w:tc>
          <w:tcPr>
            <w:tcW w:w="5831" w:type="dxa"/>
          </w:tcPr>
          <w:p w14:paraId="733D7801" w14:textId="77777777" w:rsidR="00CE3D70" w:rsidRPr="009322DA" w:rsidRDefault="00CE3D70" w:rsidP="003954A6">
            <w:pPr>
              <w:jc w:val="both"/>
              <w:rPr>
                <w:rFonts w:ascii="Verdana" w:hAnsi="Verdana" w:cs="Arial"/>
                <w:lang w:val="es-ES_tradnl" w:eastAsia="es-ES_tradnl"/>
              </w:rPr>
            </w:pPr>
            <w:r w:rsidRPr="009322DA">
              <w:rPr>
                <w:rFonts w:ascii="Verdana" w:hAnsi="Verdana" w:cs="Arial"/>
                <w:lang w:val="es-ES_tradnl" w:eastAsia="es-ES_tradnl"/>
              </w:rPr>
              <w:t xml:space="preserve">Respuesta a consulta con radicado No. </w:t>
            </w:r>
            <w:r w:rsidRPr="00BF5889">
              <w:rPr>
                <w:rFonts w:ascii="Verdana" w:hAnsi="Verdana"/>
                <w:lang w:eastAsia="es-ES_tradnl"/>
              </w:rPr>
              <w:t>P202</w:t>
            </w:r>
            <w:r>
              <w:rPr>
                <w:rFonts w:ascii="Verdana" w:hAnsi="Verdana"/>
                <w:lang w:eastAsia="es-ES_tradnl"/>
              </w:rPr>
              <w:t>41202012049</w:t>
            </w:r>
          </w:p>
        </w:tc>
      </w:tr>
    </w:tbl>
    <w:p w14:paraId="47011714" w14:textId="77777777" w:rsidR="00CE3D70" w:rsidRPr="009322DA" w:rsidRDefault="00CE3D70" w:rsidP="00CE3D70">
      <w:pPr>
        <w:spacing w:after="0" w:line="240" w:lineRule="auto"/>
        <w:jc w:val="both"/>
        <w:rPr>
          <w:rFonts w:ascii="Verdana" w:eastAsia="Calibri" w:hAnsi="Verdana" w:cs="Arial"/>
          <w:lang w:val="es-ES_tradnl" w:eastAsia="es-ES_tradnl"/>
        </w:rPr>
      </w:pPr>
    </w:p>
    <w:p w14:paraId="0FDF3588" w14:textId="77777777" w:rsidR="00CE3D70" w:rsidRPr="009322DA" w:rsidRDefault="00CE3D70" w:rsidP="00CE3D70">
      <w:pPr>
        <w:spacing w:after="0" w:line="240" w:lineRule="auto"/>
        <w:jc w:val="both"/>
        <w:rPr>
          <w:rFonts w:ascii="Verdana" w:eastAsia="Calibri" w:hAnsi="Verdana" w:cs="Arial"/>
          <w:lang w:val="es-ES_tradnl" w:eastAsia="es-ES_tradnl"/>
        </w:rPr>
      </w:pPr>
    </w:p>
    <w:p w14:paraId="01155F07" w14:textId="77777777" w:rsidR="00CE3D70" w:rsidRPr="009322DA" w:rsidRDefault="00CE3D70" w:rsidP="00CE3D70">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Estimad</w:t>
      </w:r>
      <w:r>
        <w:rPr>
          <w:rFonts w:ascii="Verdana" w:eastAsia="Calibri" w:hAnsi="Verdana" w:cs="Arial"/>
          <w:lang w:val="es-ES" w:eastAsia="es-ES"/>
        </w:rPr>
        <w:t>o</w:t>
      </w:r>
      <w:r w:rsidRPr="009322DA">
        <w:rPr>
          <w:rFonts w:ascii="Verdana" w:eastAsia="Calibri" w:hAnsi="Verdana" w:cs="Arial"/>
          <w:lang w:val="es-ES" w:eastAsia="es-ES"/>
        </w:rPr>
        <w:t xml:space="preserve"> señor</w:t>
      </w:r>
      <w:r>
        <w:rPr>
          <w:rFonts w:ascii="Verdana" w:eastAsia="Calibri" w:hAnsi="Verdana" w:cs="Arial"/>
          <w:lang w:val="es-ES" w:eastAsia="es-ES"/>
        </w:rPr>
        <w:t xml:space="preserve"> Meneses: </w:t>
      </w:r>
      <w:r w:rsidRPr="009322DA">
        <w:rPr>
          <w:rFonts w:ascii="Verdana" w:eastAsia="Calibri" w:hAnsi="Verdana" w:cs="Arial"/>
          <w:lang w:val="es-ES" w:eastAsia="es-ES"/>
        </w:rPr>
        <w:t xml:space="preserve"> </w:t>
      </w:r>
    </w:p>
    <w:p w14:paraId="2BEB40FF" w14:textId="77777777" w:rsidR="00CE3D70" w:rsidRPr="009322DA" w:rsidRDefault="00CE3D70" w:rsidP="00CE3D70">
      <w:pPr>
        <w:tabs>
          <w:tab w:val="left" w:pos="3768"/>
        </w:tabs>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ab/>
      </w:r>
    </w:p>
    <w:p w14:paraId="7B294BFA" w14:textId="77777777" w:rsidR="00CE3D70" w:rsidRPr="009322DA" w:rsidRDefault="00CE3D70" w:rsidP="00CE3D70">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En ejercicio de la competencia otorgada por los artículos 3, numeral 5º, y 11, numeral 8º, del Decreto Ley 4170 de 2011,</w:t>
      </w:r>
      <w:r w:rsidRPr="009322DA">
        <w:rPr>
          <w:rFonts w:ascii="Verdana" w:eastAsia="Arial MT" w:hAnsi="Verdana" w:cs="Arial MT"/>
          <w:lang w:val="es-ES" w:eastAsia="es-ES"/>
        </w:rPr>
        <w:t xml:space="preserve"> </w:t>
      </w:r>
      <w:r w:rsidRPr="009322DA">
        <w:rPr>
          <w:rFonts w:ascii="Verdana" w:eastAsia="Calibri" w:hAnsi="Verdana" w:cs="Arial"/>
        </w:rPr>
        <w:t xml:space="preserve">así como lo establecido en el artículo 4 de la Resolución 1707 de 2018 expedida por esta Entidad, </w:t>
      </w:r>
      <w:r w:rsidRPr="009322DA">
        <w:rPr>
          <w:rFonts w:ascii="Verdana" w:eastAsia="Calibri" w:hAnsi="Verdana" w:cs="Arial"/>
          <w:lang w:val="es-ES" w:eastAsia="es-ES"/>
        </w:rPr>
        <w:t xml:space="preserve">la Agencia Nacional de Contratación Pública – Colombia Compra Eficiente– responde su solicitud de consulta de fecha de </w:t>
      </w:r>
      <w:r>
        <w:rPr>
          <w:rFonts w:ascii="Verdana" w:eastAsia="Calibri" w:hAnsi="Verdana" w:cs="Arial"/>
          <w:lang w:val="es-ES" w:eastAsia="es-ES"/>
        </w:rPr>
        <w:t xml:space="preserve">02 de diciembre </w:t>
      </w:r>
      <w:r w:rsidRPr="009322DA">
        <w:rPr>
          <w:rFonts w:ascii="Verdana" w:eastAsia="Calibri" w:hAnsi="Verdana" w:cs="Arial"/>
          <w:lang w:val="es-ES" w:eastAsia="es-ES"/>
        </w:rPr>
        <w:t>de 2024,</w:t>
      </w:r>
      <w:r>
        <w:rPr>
          <w:rFonts w:ascii="Verdana" w:eastAsia="Calibri" w:hAnsi="Verdana" w:cs="Arial"/>
          <w:lang w:val="es-ES" w:eastAsia="es-ES"/>
        </w:rPr>
        <w:t xml:space="preserve"> remitida por la fiscalía general </w:t>
      </w:r>
      <w:r>
        <w:rPr>
          <w:rFonts w:ascii="Verdana" w:eastAsia="Calibri" w:hAnsi="Verdana" w:cs="Arial"/>
          <w:lang w:val="es-ES" w:eastAsia="es-ES"/>
        </w:rPr>
        <w:lastRenderedPageBreak/>
        <w:t>de la Nación bajo el radicado 20246170783082,</w:t>
      </w:r>
      <w:r w:rsidRPr="009322DA">
        <w:rPr>
          <w:rFonts w:ascii="Verdana" w:eastAsia="Calibri" w:hAnsi="Verdana" w:cs="Arial"/>
          <w:lang w:val="es-ES" w:eastAsia="es-ES"/>
        </w:rPr>
        <w:t xml:space="preserve"> en la cual manifiesta lo siguiente: </w:t>
      </w:r>
    </w:p>
    <w:p w14:paraId="7A54BD40" w14:textId="77777777" w:rsidR="00CE3D70" w:rsidRPr="009322DA" w:rsidRDefault="00CE3D70" w:rsidP="00CE3D70">
      <w:pPr>
        <w:spacing w:after="0" w:line="240" w:lineRule="auto"/>
        <w:ind w:left="709" w:right="709"/>
        <w:jc w:val="both"/>
        <w:rPr>
          <w:rFonts w:ascii="Verdana" w:eastAsia="Century Gothic" w:hAnsi="Verdana" w:cs="Century Gothic"/>
          <w:sz w:val="20"/>
          <w:szCs w:val="20"/>
          <w:lang w:val="es-ES"/>
        </w:rPr>
      </w:pPr>
      <w:bookmarkStart w:id="1" w:name="_Hlk95313578"/>
    </w:p>
    <w:bookmarkEnd w:id="1"/>
    <w:p w14:paraId="1FED3969" w14:textId="77777777" w:rsidR="00CE3D70" w:rsidRDefault="00CE3D70" w:rsidP="00CE3D70">
      <w:pPr>
        <w:spacing w:line="240" w:lineRule="auto"/>
        <w:ind w:left="709" w:right="680"/>
        <w:jc w:val="both"/>
        <w:rPr>
          <w:rFonts w:ascii="Verdana" w:eastAsia="Century Gothic" w:hAnsi="Verdana" w:cs="Century Gothic"/>
          <w:sz w:val="20"/>
          <w:szCs w:val="20"/>
          <w:lang w:val="es-ES"/>
        </w:rPr>
      </w:pPr>
      <w:r w:rsidRPr="004D70FC">
        <w:rPr>
          <w:rFonts w:ascii="Verdana" w:eastAsia="Century Gothic" w:hAnsi="Verdana" w:cs="Century Gothic"/>
          <w:sz w:val="20"/>
          <w:szCs w:val="20"/>
          <w:lang w:val="es-ES"/>
        </w:rPr>
        <w:t>“</w:t>
      </w:r>
      <w:r>
        <w:rPr>
          <w:rFonts w:ascii="Verdana" w:eastAsia="Century Gothic" w:hAnsi="Verdana" w:cs="Century Gothic"/>
          <w:sz w:val="20"/>
          <w:szCs w:val="20"/>
          <w:lang w:val="es-ES"/>
        </w:rPr>
        <w:t>1. Una Entidad Estatal que se rige por el estatuto de contratación estatal puede hacer el análisis en no aplicar documentos tipo, a sabiendas que el objeto que pretende contratar contempla documentos tipo o pliegos tipo”.</w:t>
      </w:r>
    </w:p>
    <w:p w14:paraId="6AC0400B" w14:textId="77777777" w:rsidR="00CE3D70" w:rsidRDefault="00CE3D70" w:rsidP="00CE3D70">
      <w:pPr>
        <w:spacing w:line="240" w:lineRule="auto"/>
        <w:ind w:left="709" w:right="680"/>
        <w:jc w:val="both"/>
        <w:rPr>
          <w:rFonts w:ascii="Verdana" w:eastAsia="Century Gothic" w:hAnsi="Verdana" w:cs="Century Gothic"/>
          <w:sz w:val="20"/>
          <w:szCs w:val="20"/>
          <w:lang w:val="es-ES"/>
        </w:rPr>
      </w:pPr>
      <w:r>
        <w:rPr>
          <w:rFonts w:ascii="Verdana" w:eastAsia="Century Gothic" w:hAnsi="Verdana" w:cs="Century Gothic"/>
          <w:sz w:val="20"/>
          <w:szCs w:val="20"/>
          <w:lang w:val="es-ES"/>
        </w:rPr>
        <w:t>2. La Entidad Estatal que se rige por el estatuto de contratación estatal puede celebrar contrato y convenio interadministrativos, sabiendo que existe documentos tipo o pliegos tipo.</w:t>
      </w:r>
    </w:p>
    <w:p w14:paraId="6C65CA19" w14:textId="77777777" w:rsidR="00CE3D70" w:rsidRDefault="00CE3D70" w:rsidP="00CE3D70">
      <w:pPr>
        <w:spacing w:line="240" w:lineRule="auto"/>
        <w:ind w:left="709" w:right="680"/>
        <w:jc w:val="both"/>
        <w:rPr>
          <w:rFonts w:ascii="Verdana" w:eastAsia="Century Gothic" w:hAnsi="Verdana" w:cs="Century Gothic"/>
          <w:sz w:val="20"/>
          <w:szCs w:val="20"/>
          <w:lang w:val="es-ES"/>
        </w:rPr>
      </w:pPr>
      <w:r>
        <w:rPr>
          <w:rFonts w:ascii="Verdana" w:eastAsia="Century Gothic" w:hAnsi="Verdana" w:cs="Century Gothic"/>
          <w:sz w:val="20"/>
          <w:szCs w:val="20"/>
          <w:lang w:val="es-ES"/>
        </w:rPr>
        <w:t>3. Hay responsabilidad disciplinaria y delito penal por no aplicar los documentos tipo o pliegos tipo, por parte de las Entidades Estatales que se rigen el estatuto de contratación estatal”.</w:t>
      </w:r>
    </w:p>
    <w:p w14:paraId="180714B3" w14:textId="77777777" w:rsidR="00CE3D70" w:rsidRPr="004D70FC" w:rsidRDefault="00CE3D70" w:rsidP="00CE3D70">
      <w:pPr>
        <w:spacing w:line="240" w:lineRule="auto"/>
        <w:ind w:left="709" w:right="680"/>
        <w:jc w:val="both"/>
        <w:rPr>
          <w:rFonts w:ascii="Verdana" w:eastAsia="Century Gothic" w:hAnsi="Verdana" w:cs="Century Gothic"/>
          <w:b/>
          <w:bCs/>
          <w:sz w:val="20"/>
          <w:szCs w:val="20"/>
          <w:lang w:val="es-ES"/>
        </w:rPr>
      </w:pPr>
    </w:p>
    <w:p w14:paraId="62B1D4FE" w14:textId="77777777" w:rsidR="00CE3D70" w:rsidRPr="009322DA" w:rsidRDefault="00CE3D70" w:rsidP="00CE3D70">
      <w:pPr>
        <w:spacing w:after="120" w:line="276" w:lineRule="auto"/>
        <w:ind w:firstLine="709"/>
        <w:jc w:val="both"/>
        <w:rPr>
          <w:rFonts w:ascii="Verdana" w:eastAsia="Calibri" w:hAnsi="Verdana" w:cs="Arial"/>
          <w:szCs w:val="24"/>
          <w:lang w:val="es-ES_tradnl" w:eastAsia="es-ES_tradnl"/>
        </w:rPr>
      </w:pPr>
      <w:r w:rsidRPr="009322DA">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322DA">
        <w:rPr>
          <w:rFonts w:ascii="Verdana" w:eastAsia="Calibri" w:hAnsi="Verdana" w:cs="Arial"/>
          <w:szCs w:val="24"/>
          <w:lang w:val="es-ES_tradnl" w:eastAsia="es-ES_tradnl"/>
        </w:rPr>
        <w:tab/>
      </w:r>
    </w:p>
    <w:p w14:paraId="5B44F66E" w14:textId="77777777" w:rsidR="00CE3D70" w:rsidRPr="009322DA" w:rsidRDefault="00CE3D70" w:rsidP="00CE3D70">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FAEB1D9" w14:textId="77777777" w:rsidR="00CE3D70" w:rsidRPr="009322DA" w:rsidRDefault="00CE3D70" w:rsidP="00CE3D70">
      <w:pPr>
        <w:spacing w:after="0" w:line="276" w:lineRule="auto"/>
        <w:ind w:firstLine="709"/>
        <w:jc w:val="both"/>
        <w:rPr>
          <w:rFonts w:ascii="Verdana" w:eastAsia="Calibri" w:hAnsi="Verdana" w:cs="Arial"/>
          <w:lang w:val="es-ES" w:eastAsia="es-ES"/>
        </w:rPr>
      </w:pPr>
    </w:p>
    <w:p w14:paraId="6BE9D481" w14:textId="77777777" w:rsidR="00CE3D70" w:rsidRPr="009322DA" w:rsidRDefault="00CE3D70" w:rsidP="00CE3D70">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Problema planteado:</w:t>
      </w:r>
    </w:p>
    <w:p w14:paraId="048A50AD" w14:textId="77777777" w:rsidR="00CE3D70" w:rsidRPr="009322DA" w:rsidRDefault="00CE3D70" w:rsidP="00CE3D70">
      <w:pPr>
        <w:tabs>
          <w:tab w:val="left" w:pos="426"/>
        </w:tabs>
        <w:spacing w:after="0" w:line="276" w:lineRule="auto"/>
        <w:jc w:val="both"/>
        <w:rPr>
          <w:rFonts w:ascii="Verdana" w:eastAsia="Century Gothic" w:hAnsi="Verdana" w:cs="Century Gothic"/>
          <w:lang w:val="es-ES"/>
        </w:rPr>
      </w:pPr>
    </w:p>
    <w:p w14:paraId="4945C168" w14:textId="77777777" w:rsidR="00CE3D70" w:rsidRDefault="00CE3D70" w:rsidP="00CE3D70">
      <w:pPr>
        <w:spacing w:after="0" w:line="276" w:lineRule="auto"/>
        <w:jc w:val="both"/>
        <w:rPr>
          <w:rFonts w:ascii="Verdana" w:eastAsia="Century Gothic" w:hAnsi="Verdana" w:cs="Century Gothic"/>
        </w:rPr>
      </w:pPr>
      <w:r w:rsidRPr="009322DA">
        <w:rPr>
          <w:rFonts w:ascii="Verdana" w:eastAsia="Century Gothic" w:hAnsi="Verdana" w:cs="Century Gothic"/>
        </w:rPr>
        <w:t>De acuerdo con el contenido de su solicitud, esta Agencia resolverá los siguientes problemas jurídicos:</w:t>
      </w:r>
      <w:r>
        <w:rPr>
          <w:rFonts w:ascii="Verdana" w:eastAsia="Century Gothic" w:hAnsi="Verdana" w:cs="Century Gothic"/>
        </w:rPr>
        <w:t xml:space="preserve"> 1. ¿Las Entidades Estatales deben realizar análisis previo para determinar si es obligatorio el uso de determinado documento tipo?, 2. ¿Las Entidades Estatales pueden suscribir convenios o contratos interadministrativos </w:t>
      </w:r>
      <w:r>
        <w:rPr>
          <w:rFonts w:ascii="Verdana" w:eastAsia="Century Gothic" w:hAnsi="Verdana" w:cs="Century Gothic"/>
        </w:rPr>
        <w:lastRenderedPageBreak/>
        <w:t>y omitir la utilización de los documentos tipo? y 3. ¿Existe responsabilidad disciplinaria y penal por omitir la utilización de los documentos tipo?</w:t>
      </w:r>
    </w:p>
    <w:p w14:paraId="14199457" w14:textId="77777777" w:rsidR="00CE3D70" w:rsidRDefault="00CE3D70" w:rsidP="00CE3D70">
      <w:pPr>
        <w:spacing w:after="0" w:line="276" w:lineRule="auto"/>
        <w:jc w:val="both"/>
        <w:rPr>
          <w:rFonts w:ascii="Verdana" w:eastAsia="Century Gothic" w:hAnsi="Verdana" w:cs="Century Gothic"/>
        </w:rPr>
      </w:pPr>
    </w:p>
    <w:p w14:paraId="345C941D" w14:textId="77777777" w:rsidR="00CE3D70" w:rsidRDefault="00CE3D70" w:rsidP="00CE3D70">
      <w:pPr>
        <w:spacing w:after="0" w:line="276" w:lineRule="auto"/>
        <w:jc w:val="both"/>
        <w:rPr>
          <w:rFonts w:ascii="Verdana" w:eastAsia="Century Gothic" w:hAnsi="Verdana" w:cs="Century Gothic"/>
        </w:rPr>
      </w:pPr>
    </w:p>
    <w:p w14:paraId="5EAAF373" w14:textId="77777777" w:rsidR="00CE3D70" w:rsidRPr="009322DA" w:rsidRDefault="00CE3D70" w:rsidP="00CE3D70">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Respuesta</w:t>
      </w:r>
      <w:r>
        <w:rPr>
          <w:rFonts w:ascii="Verdana" w:eastAsia="Century Gothic" w:hAnsi="Verdana" w:cs="Century Gothic"/>
          <w:b/>
          <w:bCs/>
          <w:lang w:val="es-ES"/>
        </w:rPr>
        <w:t>s</w:t>
      </w:r>
      <w:r w:rsidRPr="009322DA">
        <w:rPr>
          <w:rFonts w:ascii="Verdana" w:eastAsia="Century Gothic" w:hAnsi="Verdana" w:cs="Century Gothic"/>
          <w:b/>
          <w:bCs/>
          <w:lang w:val="es-ES"/>
        </w:rPr>
        <w:t>:</w:t>
      </w: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E3D70" w:rsidRPr="009322DA" w14:paraId="56F69D1A" w14:textId="77777777" w:rsidTr="003954A6">
        <w:tc>
          <w:tcPr>
            <w:tcW w:w="8828" w:type="dxa"/>
            <w:tcBorders>
              <w:top w:val="dotted" w:sz="4" w:space="0" w:color="auto"/>
              <w:left w:val="dotted" w:sz="4" w:space="0" w:color="auto"/>
              <w:bottom w:val="dotted" w:sz="4" w:space="0" w:color="auto"/>
              <w:right w:val="dotted" w:sz="4" w:space="0" w:color="auto"/>
            </w:tcBorders>
          </w:tcPr>
          <w:p w14:paraId="5F4A7797" w14:textId="77777777" w:rsidR="00CE3D70" w:rsidRPr="00561374" w:rsidRDefault="00CE3D70" w:rsidP="003954A6">
            <w:pPr>
              <w:spacing w:line="276" w:lineRule="auto"/>
              <w:jc w:val="both"/>
              <w:rPr>
                <w:rFonts w:ascii="Verdana" w:eastAsia="Calibri" w:hAnsi="Verdana" w:cs="Arial"/>
              </w:rPr>
            </w:pPr>
          </w:p>
          <w:p w14:paraId="46DABC83" w14:textId="77777777" w:rsidR="00CE3D70" w:rsidRDefault="00CE3D70" w:rsidP="003954A6">
            <w:pPr>
              <w:spacing w:line="276" w:lineRule="auto"/>
              <w:jc w:val="both"/>
              <w:rPr>
                <w:rFonts w:ascii="Verdana" w:eastAsia="Century Gothic" w:hAnsi="Verdana" w:cs="Century Gothic"/>
              </w:rPr>
            </w:pPr>
            <w:r w:rsidRPr="00C16023">
              <w:rPr>
                <w:rFonts w:ascii="Verdana" w:eastAsia="Century Gothic" w:hAnsi="Verdana" w:cs="Century Gothic"/>
                <w:b/>
                <w:bCs/>
              </w:rPr>
              <w:t>Respuesta 1.</w:t>
            </w:r>
            <w:r>
              <w:rPr>
                <w:rFonts w:ascii="Verdana" w:eastAsia="Century Gothic" w:hAnsi="Verdana" w:cs="Century Gothic"/>
              </w:rPr>
              <w:t xml:space="preserve"> L</w:t>
            </w:r>
            <w:r w:rsidRPr="00C16023">
              <w:rPr>
                <w:rFonts w:ascii="Verdana" w:eastAsia="Century Gothic" w:hAnsi="Verdana" w:cs="Century Gothic"/>
              </w:rPr>
              <w:t>a entidad contratante definirá la aplicación o no de los documentos tipo en cada caso concreto. Al tratarse de un análisis que debe realizarse en el procedimiento contractual específico, la Agencia Nacional de Contratación Pública – Colombia Compra Eficiente- no puede definir un criterio universal y absoluto por vía consultiva, sino que brinda elementos de carácter general para que los partícipes del sistema de compras y contratación pública adopten la decisión que corresponda, lo cual es acorde con el principio de juridicidad.</w:t>
            </w:r>
          </w:p>
          <w:p w14:paraId="507ED391" w14:textId="77777777" w:rsidR="00CE3D70" w:rsidRPr="00C16023" w:rsidRDefault="00CE3D70" w:rsidP="003954A6">
            <w:pPr>
              <w:spacing w:line="276" w:lineRule="auto"/>
              <w:jc w:val="both"/>
              <w:rPr>
                <w:rFonts w:ascii="Verdana" w:eastAsia="Century Gothic" w:hAnsi="Verdana" w:cs="Century Gothic"/>
              </w:rPr>
            </w:pPr>
          </w:p>
          <w:p w14:paraId="2C8743AF" w14:textId="77777777" w:rsidR="00CE3D70" w:rsidRDefault="00CE3D70" w:rsidP="003954A6">
            <w:pPr>
              <w:spacing w:line="276" w:lineRule="auto"/>
              <w:jc w:val="both"/>
              <w:rPr>
                <w:rFonts w:ascii="Verdana" w:eastAsia="Century Gothic" w:hAnsi="Verdana" w:cs="Century Gothic"/>
              </w:rPr>
            </w:pPr>
            <w:r w:rsidRPr="00C16023">
              <w:rPr>
                <w:rFonts w:ascii="Verdana" w:eastAsia="Century Gothic" w:hAnsi="Verdana" w:cs="Century Gothic"/>
              </w:rPr>
              <w:t xml:space="preserve">Conforme a la interpretación de las normas generales del sistema de compras públicas, en virtud de lo establecido en el parágrafo 7 del artículo 2 de la Ley 1150 de 2007, modificado por el artículo 1 de la Ley 2022 de 2020, las entidades estatales regidas por el Estatuto General de Contratación de la Administración Pública están obligadas a aplicar los documentos tipo en los procedimientos y contratos que adelanten en aplicación de dicha normativa. </w:t>
            </w:r>
          </w:p>
          <w:p w14:paraId="5C3C5A87" w14:textId="77777777" w:rsidR="00CE3D70" w:rsidRPr="00C16023" w:rsidRDefault="00CE3D70" w:rsidP="003954A6">
            <w:pPr>
              <w:spacing w:line="276" w:lineRule="auto"/>
              <w:jc w:val="both"/>
              <w:rPr>
                <w:rFonts w:ascii="Verdana" w:eastAsia="Century Gothic" w:hAnsi="Verdana" w:cs="Century Gothic"/>
              </w:rPr>
            </w:pPr>
          </w:p>
          <w:p w14:paraId="1269D19A" w14:textId="77777777" w:rsidR="00CE3D70" w:rsidRPr="00F41D5B" w:rsidRDefault="00CE3D70" w:rsidP="003954A6">
            <w:pPr>
              <w:spacing w:line="276" w:lineRule="auto"/>
              <w:jc w:val="both"/>
              <w:rPr>
                <w:rFonts w:ascii="Verdana" w:eastAsia="Century Gothic" w:hAnsi="Verdana" w:cs="Century Gothic"/>
                <w:lang w:val="es-ES_tradnl"/>
              </w:rPr>
            </w:pPr>
            <w:r w:rsidRPr="00D1062D">
              <w:rPr>
                <w:rFonts w:ascii="Verdana" w:eastAsia="Century Gothic" w:hAnsi="Verdana" w:cs="Century Gothic"/>
                <w:b/>
                <w:bCs/>
              </w:rPr>
              <w:t>Respuesta 2.</w:t>
            </w:r>
            <w:r>
              <w:rPr>
                <w:rFonts w:ascii="Verdana" w:eastAsia="Century Gothic" w:hAnsi="Verdana" w:cs="Century Gothic"/>
              </w:rPr>
              <w:t xml:space="preserve"> </w:t>
            </w:r>
            <w:r w:rsidRPr="00F41D5B">
              <w:rPr>
                <w:rFonts w:ascii="Verdana" w:eastAsia="Century Gothic" w:hAnsi="Verdana" w:cs="Century Gothic"/>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009AAB49" w14:textId="77777777" w:rsidR="00CE3D70" w:rsidRPr="00F41D5B" w:rsidRDefault="00CE3D70" w:rsidP="003954A6">
            <w:pPr>
              <w:spacing w:line="276" w:lineRule="auto"/>
              <w:jc w:val="both"/>
              <w:rPr>
                <w:rFonts w:ascii="Verdana" w:eastAsia="Century Gothic" w:hAnsi="Verdana" w:cs="Century Gothic"/>
                <w:lang w:val="es-ES_tradnl"/>
              </w:rPr>
            </w:pPr>
          </w:p>
          <w:p w14:paraId="48A9B4AF" w14:textId="77777777" w:rsidR="00CE3D70" w:rsidRDefault="00CE3D70" w:rsidP="003954A6">
            <w:pPr>
              <w:spacing w:line="276" w:lineRule="auto"/>
              <w:jc w:val="both"/>
              <w:rPr>
                <w:rFonts w:ascii="Verdana" w:eastAsia="Century Gothic" w:hAnsi="Verdana" w:cs="Century Gothic"/>
                <w:lang w:val="es-ES_tradnl"/>
              </w:rPr>
            </w:pPr>
            <w:r w:rsidRPr="00F41D5B">
              <w:rPr>
                <w:rFonts w:ascii="Verdana" w:eastAsia="Century Gothic" w:hAnsi="Verdana" w:cs="Century Gothic"/>
                <w:lang w:val="es-ES_tradnl"/>
              </w:rPr>
              <w:t xml:space="preserve">En este sentido,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 </w:t>
            </w:r>
          </w:p>
          <w:p w14:paraId="31857B03" w14:textId="77777777" w:rsidR="00CE3D70" w:rsidRPr="003636A2" w:rsidRDefault="00CE3D70" w:rsidP="003954A6">
            <w:pPr>
              <w:spacing w:line="276" w:lineRule="auto"/>
              <w:jc w:val="both"/>
              <w:rPr>
                <w:rFonts w:ascii="Verdana" w:eastAsia="Century Gothic" w:hAnsi="Verdana" w:cs="Century Gothic"/>
                <w:lang w:val="es-ES_tradnl"/>
              </w:rPr>
            </w:pPr>
          </w:p>
          <w:p w14:paraId="68CCF46F" w14:textId="77777777" w:rsidR="00CE3D70" w:rsidRDefault="00CE3D70" w:rsidP="003954A6">
            <w:pPr>
              <w:spacing w:line="276" w:lineRule="auto"/>
              <w:jc w:val="both"/>
              <w:rPr>
                <w:rFonts w:ascii="Verdana" w:eastAsia="Century Gothic" w:hAnsi="Verdana" w:cs="Century Gothic"/>
              </w:rPr>
            </w:pPr>
            <w:r>
              <w:rPr>
                <w:rFonts w:ascii="Verdana" w:eastAsia="Century Gothic" w:hAnsi="Verdana" w:cs="Century Gothic"/>
              </w:rPr>
              <w:lastRenderedPageBreak/>
              <w:t>E</w:t>
            </w:r>
            <w:r w:rsidRPr="00C16023">
              <w:rPr>
                <w:rFonts w:ascii="Verdana" w:eastAsia="Century Gothic" w:hAnsi="Verdana" w:cs="Century Gothic"/>
              </w:rPr>
              <w:t xml:space="preserve">n atención a lo dispuesto en los dos primeros incisos del artículo 56 de la Ley 2195 de 2022, cuando </w:t>
            </w:r>
            <w:r>
              <w:rPr>
                <w:rFonts w:ascii="Verdana" w:eastAsia="Century Gothic" w:hAnsi="Verdana" w:cs="Century Gothic"/>
              </w:rPr>
              <w:t xml:space="preserve">las </w:t>
            </w:r>
            <w:r w:rsidRPr="00C16023">
              <w:rPr>
                <w:rFonts w:ascii="Verdana" w:eastAsia="Century Gothic" w:hAnsi="Verdana" w:cs="Century Gothic"/>
              </w:rPr>
              <w:t>entidades suscriban convenios o contratos de cualquier índole con entidades estatales de régimen especial o exceptuado, patrimonios autónomos, personas naturales o jurídicas de derecho privado, también deberán aplicar documentos tipo, y en general, las disposiciones del Estatuto General de Contratación de la Administración Pública. No obstante, se encuentran exceptuadas del ámbito de aplicación de la norma las instituciones de educación superior públicas, las empresas sociales del Estado, las sociedades de economía mixta y las empresas industriales y comerciales del Estado, únicamente en cuanto a la contratación de su giro ordinario</w:t>
            </w:r>
            <w:r>
              <w:rPr>
                <w:rFonts w:ascii="Verdana" w:eastAsia="Century Gothic" w:hAnsi="Verdana" w:cs="Century Gothic"/>
              </w:rPr>
              <w:t>.</w:t>
            </w:r>
          </w:p>
          <w:p w14:paraId="19CA3811" w14:textId="77777777" w:rsidR="00CE3D70" w:rsidRDefault="00CE3D70" w:rsidP="003954A6">
            <w:pPr>
              <w:spacing w:line="276" w:lineRule="auto"/>
              <w:jc w:val="both"/>
              <w:rPr>
                <w:rFonts w:ascii="Verdana" w:eastAsia="Calibri" w:hAnsi="Verdana" w:cs="Arial"/>
              </w:rPr>
            </w:pPr>
          </w:p>
          <w:p w14:paraId="7DD5B3AC" w14:textId="77777777" w:rsidR="00CE3D70" w:rsidRPr="003636A2" w:rsidRDefault="00CE3D70" w:rsidP="003954A6">
            <w:pPr>
              <w:spacing w:line="276" w:lineRule="auto"/>
              <w:jc w:val="both"/>
              <w:rPr>
                <w:rFonts w:ascii="Verdana" w:eastAsia="Calibri" w:hAnsi="Verdana" w:cs="Arial"/>
                <w:lang w:val="es-ES"/>
              </w:rPr>
            </w:pPr>
            <w:r w:rsidRPr="002A533A">
              <w:rPr>
                <w:rFonts w:ascii="Verdana" w:eastAsia="Calibri" w:hAnsi="Verdana" w:cs="Arial"/>
                <w:b/>
                <w:bCs/>
                <w:lang w:val="es-ES"/>
              </w:rPr>
              <w:t>Respuesta 3.</w:t>
            </w:r>
            <w:r>
              <w:rPr>
                <w:rFonts w:ascii="Verdana" w:eastAsia="Calibri" w:hAnsi="Verdana" w:cs="Arial"/>
                <w:lang w:val="es-ES"/>
              </w:rPr>
              <w:t xml:space="preserve"> La no observancia de los documentos tipo puede derivar en </w:t>
            </w:r>
            <w:r w:rsidRPr="003636A2">
              <w:rPr>
                <w:rFonts w:ascii="Verdana" w:eastAsia="Calibri" w:hAnsi="Verdana" w:cs="Arial"/>
                <w:lang w:val="es-ES"/>
              </w:rPr>
              <w:t>la comisión de presuntas irregularidades por parte de las entidades públicas en desarrollo de su actividad contractual con</w:t>
            </w:r>
            <w:r>
              <w:rPr>
                <w:rFonts w:ascii="Verdana" w:eastAsia="Calibri" w:hAnsi="Verdana" w:cs="Arial"/>
                <w:lang w:val="es-ES"/>
              </w:rPr>
              <w:t xml:space="preserve"> el instrumento en mención</w:t>
            </w:r>
            <w:r w:rsidRPr="003636A2">
              <w:rPr>
                <w:rFonts w:ascii="Verdana" w:eastAsia="Calibri" w:hAnsi="Verdana" w:cs="Arial"/>
                <w:lang w:val="es-ES"/>
              </w:rPr>
              <w:t xml:space="preserve">, entre otras, en faltas disciplinarias o, incluso, delitos, dependiendo de las circunstancias particulares de cada caso. De esta manera, la inobservancia de los documentos tipo puede conllevar a que las autoridades de control o judiciales competentes, como la Procuraduría General de la Nación, Contraloría General de la República y/o fiscalía general de la Nación, adelanten las investigaciones a que haya lugar y, si es del caso, establezcan la responsabilidad derivada de las infracciones que se cometan. </w:t>
            </w:r>
          </w:p>
          <w:p w14:paraId="0A5AC2FA" w14:textId="77777777" w:rsidR="00CE3D70" w:rsidRPr="009322DA" w:rsidRDefault="00CE3D70" w:rsidP="003954A6">
            <w:pPr>
              <w:spacing w:line="276" w:lineRule="auto"/>
              <w:jc w:val="both"/>
              <w:rPr>
                <w:rFonts w:ascii="Verdana" w:eastAsia="Calibri" w:hAnsi="Verdana" w:cs="Arial"/>
                <w:lang w:val="es-ES"/>
              </w:rPr>
            </w:pPr>
          </w:p>
        </w:tc>
      </w:tr>
    </w:tbl>
    <w:p w14:paraId="4DF5D5B2" w14:textId="77777777" w:rsidR="00CE3D70" w:rsidRPr="009322DA" w:rsidRDefault="00CE3D70" w:rsidP="00CE3D70">
      <w:pPr>
        <w:tabs>
          <w:tab w:val="left" w:pos="142"/>
          <w:tab w:val="left" w:pos="284"/>
        </w:tabs>
        <w:spacing w:after="0" w:line="276" w:lineRule="auto"/>
        <w:jc w:val="both"/>
        <w:rPr>
          <w:rFonts w:ascii="Verdana" w:eastAsia="Century Gothic" w:hAnsi="Verdana" w:cs="Century Gothic"/>
          <w:b/>
          <w:bCs/>
          <w:lang w:val="es-ES"/>
        </w:rPr>
      </w:pPr>
    </w:p>
    <w:p w14:paraId="6B13F30A" w14:textId="77777777" w:rsidR="00CE3D70" w:rsidRPr="009322DA" w:rsidRDefault="00CE3D70" w:rsidP="00CE3D70">
      <w:pPr>
        <w:tabs>
          <w:tab w:val="left" w:pos="142"/>
          <w:tab w:val="left" w:pos="284"/>
        </w:tabs>
        <w:spacing w:after="0" w:line="276" w:lineRule="auto"/>
        <w:jc w:val="both"/>
        <w:rPr>
          <w:rFonts w:ascii="Verdana" w:eastAsia="Century Gothic" w:hAnsi="Verdana" w:cs="Century Gothic"/>
          <w:b/>
          <w:bCs/>
          <w:lang w:val="es-ES"/>
        </w:rPr>
      </w:pPr>
    </w:p>
    <w:p w14:paraId="775FBD9E" w14:textId="77777777" w:rsidR="00CE3D70" w:rsidRPr="009322DA" w:rsidRDefault="00CE3D70" w:rsidP="00CE3D70">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Razones de la respuesta:</w:t>
      </w:r>
    </w:p>
    <w:p w14:paraId="2EFA4153" w14:textId="77777777" w:rsidR="00CE3D70" w:rsidRPr="009322DA" w:rsidRDefault="00CE3D70" w:rsidP="00CE3D70">
      <w:pPr>
        <w:spacing w:after="0" w:line="276" w:lineRule="auto"/>
        <w:jc w:val="both"/>
        <w:rPr>
          <w:rFonts w:ascii="Verdana" w:eastAsia="Calibri" w:hAnsi="Verdana" w:cs="Arial"/>
          <w:lang w:val="es-ES"/>
        </w:rPr>
      </w:pPr>
    </w:p>
    <w:p w14:paraId="51A8C86B" w14:textId="77777777" w:rsidR="00CE3D70" w:rsidRDefault="00CE3D70" w:rsidP="00CE3D70">
      <w:pPr>
        <w:spacing w:after="0" w:line="276" w:lineRule="auto"/>
        <w:jc w:val="both"/>
        <w:rPr>
          <w:rFonts w:ascii="Verdana" w:eastAsia="Calibri" w:hAnsi="Verdana" w:cs="Arial"/>
          <w:lang w:val="es-ES"/>
        </w:rPr>
      </w:pPr>
      <w:r w:rsidRPr="009322DA">
        <w:rPr>
          <w:rFonts w:ascii="Verdana" w:eastAsia="Calibri" w:hAnsi="Verdana" w:cs="Arial"/>
          <w:lang w:val="es-ES"/>
        </w:rPr>
        <w:t xml:space="preserve">Lo anterior se sustenta en las siguientes consideraciones: </w:t>
      </w:r>
    </w:p>
    <w:p w14:paraId="531DA4B6" w14:textId="77777777" w:rsidR="00CE3D70" w:rsidRDefault="00CE3D70" w:rsidP="00CE3D70">
      <w:pPr>
        <w:spacing w:after="0" w:line="276" w:lineRule="auto"/>
        <w:jc w:val="both"/>
        <w:rPr>
          <w:rFonts w:ascii="Verdana" w:eastAsia="Calibri" w:hAnsi="Verdana" w:cs="Arial"/>
          <w:lang w:val="es-ES"/>
        </w:rPr>
      </w:pPr>
    </w:p>
    <w:p w14:paraId="3344ACEA" w14:textId="77777777" w:rsidR="00CE3D70" w:rsidRDefault="00CE3D70" w:rsidP="00CE3D70">
      <w:pPr>
        <w:spacing w:after="0" w:line="276" w:lineRule="auto"/>
        <w:jc w:val="both"/>
        <w:rPr>
          <w:rFonts w:ascii="Verdana" w:eastAsia="Calibri" w:hAnsi="Verdana" w:cs="Arial"/>
          <w:lang w:val="es-ES"/>
        </w:rPr>
      </w:pPr>
    </w:p>
    <w:p w14:paraId="6CAA5BD4" w14:textId="77777777" w:rsidR="00CE3D70" w:rsidRPr="008B5B75" w:rsidRDefault="00CE3D70" w:rsidP="00CE3D70">
      <w:pPr>
        <w:numPr>
          <w:ilvl w:val="0"/>
          <w:numId w:val="17"/>
        </w:numPr>
        <w:spacing w:after="0" w:line="276" w:lineRule="auto"/>
        <w:jc w:val="both"/>
        <w:rPr>
          <w:rFonts w:ascii="Verdana" w:eastAsia="Calibri" w:hAnsi="Verdana" w:cs="Arial"/>
          <w:b/>
          <w:bCs/>
          <w:lang w:val="es-ES"/>
        </w:rPr>
      </w:pPr>
      <w:r w:rsidRPr="008B5B75">
        <w:rPr>
          <w:rFonts w:ascii="Verdana" w:eastAsia="Calibri" w:hAnsi="Verdana" w:cs="Arial"/>
          <w:bCs/>
        </w:rPr>
        <w:t>La adopción de los documentos tipo obligatorios en el ordenamiento jurídico colombiano se incluyó por primera vez en el parágrafo 3 del artículo 2 de la Ley 1150 de 2007</w:t>
      </w:r>
      <w:r w:rsidRPr="008B5B75">
        <w:rPr>
          <w:rFonts w:ascii="Verdana" w:eastAsia="Calibri" w:hAnsi="Verdana" w:cs="Arial"/>
          <w:bCs/>
          <w:vertAlign w:val="superscript"/>
        </w:rPr>
        <w:footnoteReference w:id="1"/>
      </w:r>
      <w:r w:rsidRPr="008B5B75">
        <w:rPr>
          <w:rFonts w:ascii="Verdana" w:eastAsia="Calibri" w:hAnsi="Verdana" w:cs="Arial"/>
          <w:bCs/>
        </w:rPr>
        <w:t xml:space="preserve">, que facultó al gobierno nacional para expedirlos, pero solo cuando se tratara de la adquisición o suministro de </w:t>
      </w:r>
      <w:r w:rsidRPr="008B5B75">
        <w:rPr>
          <w:rFonts w:ascii="Verdana" w:eastAsia="Calibri" w:hAnsi="Verdana" w:cs="Arial"/>
          <w:bCs/>
        </w:rPr>
        <w:lastRenderedPageBreak/>
        <w:t>bienes y servicios de características técnicas uniformes y de común utilización. Sin embargo, esta facultad no ha sido ejercida hasta la actualidad.</w:t>
      </w:r>
    </w:p>
    <w:p w14:paraId="5E91D783" w14:textId="77777777" w:rsidR="00CE3D70" w:rsidRPr="008B5B75" w:rsidRDefault="00CE3D70" w:rsidP="00CE3D70">
      <w:pPr>
        <w:spacing w:after="0" w:line="276" w:lineRule="auto"/>
        <w:jc w:val="both"/>
        <w:rPr>
          <w:rFonts w:ascii="Verdana" w:eastAsia="Calibri" w:hAnsi="Verdana" w:cs="Arial"/>
          <w:b/>
          <w:bCs/>
          <w:lang w:val="es-ES"/>
        </w:rPr>
      </w:pPr>
    </w:p>
    <w:p w14:paraId="1C05B467" w14:textId="77777777" w:rsidR="00CE3D70" w:rsidRDefault="00CE3D70" w:rsidP="00CE3D70">
      <w:pPr>
        <w:numPr>
          <w:ilvl w:val="0"/>
          <w:numId w:val="17"/>
        </w:numPr>
        <w:spacing w:after="0" w:line="276" w:lineRule="auto"/>
        <w:jc w:val="both"/>
        <w:rPr>
          <w:rFonts w:ascii="Verdana" w:eastAsia="Calibri" w:hAnsi="Verdana" w:cs="Arial"/>
          <w:bCs/>
        </w:rPr>
      </w:pPr>
      <w:r w:rsidRPr="009C11F0">
        <w:rPr>
          <w:rFonts w:ascii="Verdana" w:eastAsia="Calibri" w:hAnsi="Verdana" w:cs="Arial"/>
          <w:bCs/>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21E697E8" w14:textId="77777777" w:rsidR="00CE3D70" w:rsidRDefault="00CE3D70" w:rsidP="00CE3D70">
      <w:pPr>
        <w:pStyle w:val="Prrafodelista"/>
        <w:rPr>
          <w:rFonts w:ascii="Verdana" w:eastAsia="Calibri" w:hAnsi="Verdana" w:cs="Arial"/>
          <w:bCs/>
        </w:rPr>
      </w:pPr>
    </w:p>
    <w:p w14:paraId="265E5382" w14:textId="77777777" w:rsidR="00CE3D70" w:rsidRPr="004A38C5" w:rsidRDefault="00CE3D70" w:rsidP="00CE3D70">
      <w:pPr>
        <w:numPr>
          <w:ilvl w:val="0"/>
          <w:numId w:val="17"/>
        </w:numPr>
        <w:spacing w:after="0" w:line="276" w:lineRule="auto"/>
        <w:jc w:val="both"/>
        <w:rPr>
          <w:rFonts w:ascii="Verdana" w:eastAsia="Calibri" w:hAnsi="Verdana" w:cs="Arial"/>
          <w:bCs/>
        </w:rPr>
      </w:pPr>
      <w:r w:rsidRPr="008E79FF">
        <w:rPr>
          <w:rFonts w:ascii="Verdana" w:eastAsia="Calibri" w:hAnsi="Verdana" w:cs="Arial"/>
          <w:bCs/>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r>
        <w:rPr>
          <w:rFonts w:ascii="Verdana" w:eastAsia="Calibri" w:hAnsi="Verdana" w:cs="Arial"/>
          <w:bCs/>
          <w:lang w:val="es-ES"/>
        </w:rPr>
        <w:t>.</w:t>
      </w:r>
    </w:p>
    <w:p w14:paraId="0BB66CDC" w14:textId="77777777" w:rsidR="00CE3D70" w:rsidRDefault="00CE3D70" w:rsidP="00CE3D70">
      <w:pPr>
        <w:pStyle w:val="Prrafodelista"/>
        <w:rPr>
          <w:rFonts w:ascii="Verdana" w:eastAsia="Calibri" w:hAnsi="Verdana" w:cs="Arial"/>
          <w:bCs/>
        </w:rPr>
      </w:pPr>
    </w:p>
    <w:p w14:paraId="707AE419" w14:textId="77777777" w:rsidR="00CE3D70" w:rsidRPr="000F540C" w:rsidRDefault="00CE3D70" w:rsidP="00CE3D70">
      <w:pPr>
        <w:numPr>
          <w:ilvl w:val="0"/>
          <w:numId w:val="17"/>
        </w:numPr>
        <w:spacing w:after="0" w:line="276" w:lineRule="auto"/>
        <w:jc w:val="both"/>
        <w:rPr>
          <w:rFonts w:ascii="Verdana" w:eastAsia="Calibri" w:hAnsi="Verdana" w:cs="Arial"/>
          <w:bCs/>
        </w:rPr>
      </w:pPr>
      <w:r>
        <w:rPr>
          <w:rFonts w:ascii="Verdana" w:hAnsi="Verdana" w:cs="Times New Roman"/>
          <w:lang w:val="es-ES_tradnl"/>
        </w:rPr>
        <w:t>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Pr>
          <w:rStyle w:val="Refdenotaalpie"/>
          <w:rFonts w:ascii="Verdana" w:hAnsi="Verdana" w:cs="Times New Roman"/>
          <w:lang w:val="es-ES_tradnl"/>
        </w:rPr>
        <w:footnoteReference w:id="2"/>
      </w:r>
    </w:p>
    <w:p w14:paraId="358D8B6B" w14:textId="77777777" w:rsidR="00CE3D70" w:rsidRDefault="00CE3D70" w:rsidP="00CE3D70">
      <w:pPr>
        <w:pStyle w:val="Prrafodelista"/>
        <w:rPr>
          <w:rFonts w:ascii="Verdana" w:eastAsia="Calibri" w:hAnsi="Verdana" w:cs="Arial"/>
          <w:bCs/>
        </w:rPr>
      </w:pPr>
    </w:p>
    <w:p w14:paraId="122A56EC" w14:textId="77777777" w:rsidR="00CE3D70" w:rsidRPr="000F540C" w:rsidRDefault="00CE3D70" w:rsidP="00CE3D70">
      <w:pPr>
        <w:numPr>
          <w:ilvl w:val="0"/>
          <w:numId w:val="18"/>
        </w:numPr>
        <w:snapToGrid w:val="0"/>
        <w:spacing w:line="276" w:lineRule="auto"/>
        <w:contextualSpacing/>
        <w:jc w:val="both"/>
        <w:rPr>
          <w:rFonts w:ascii="Verdana" w:eastAsia="Times New Roman" w:hAnsi="Verdana" w:cs="Arial"/>
          <w:kern w:val="2"/>
          <w:shd w:val="clear" w:color="auto" w:fill="FFFFFF"/>
          <w:lang w:val="es-ES" w:eastAsia="es-ES"/>
          <w14:ligatures w14:val="standardContextual"/>
        </w:rPr>
      </w:pPr>
      <w:r w:rsidRPr="000F540C">
        <w:rPr>
          <w:rFonts w:ascii="Verdana" w:eastAsia="Times New Roman" w:hAnsi="Verdana" w:cs="Arial"/>
          <w:kern w:val="2"/>
          <w:shd w:val="clear" w:color="auto" w:fill="FFFFFF"/>
          <w:lang w:val="es-ES" w:eastAsia="es-ES"/>
          <w14:ligatures w14:val="standardContextual"/>
        </w:rPr>
        <w:t xml:space="preserve">Es importante resaltar que, en virtud de la regla de inalterabilidad, los Documentos Tipo solo pueden ser modificados en los aspectos en que </w:t>
      </w:r>
      <w:r w:rsidRPr="000F540C">
        <w:rPr>
          <w:rFonts w:ascii="Verdana" w:eastAsia="Times New Roman" w:hAnsi="Verdana" w:cs="Arial"/>
          <w:kern w:val="2"/>
          <w:shd w:val="clear" w:color="auto" w:fill="FFFFFF"/>
          <w:lang w:val="es-ES" w:eastAsia="es-ES"/>
          <w14:ligatures w14:val="standardContextual"/>
        </w:rPr>
        <w:lastRenderedPageBreak/>
        <w:t xml:space="preserve">estos lo permitan. Esto corresponde a aquellos aspectos que se encuentran entre corchetes y resaltados en gris </w:t>
      </w:r>
      <w:r w:rsidRPr="000F540C">
        <w:rPr>
          <w:rFonts w:ascii="Verdana" w:eastAsia="Times New Roman" w:hAnsi="Verdana" w:cs="Arial"/>
          <w:kern w:val="2"/>
          <w:highlight w:val="lightGray"/>
          <w:shd w:val="clear" w:color="auto" w:fill="FFFFFF"/>
          <w:lang w:val="es-ES" w:eastAsia="es-ES"/>
          <w14:ligatures w14:val="standardContextual"/>
        </w:rPr>
        <w:t>–[texto]–</w:t>
      </w:r>
      <w:r w:rsidRPr="000F540C">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7D556769" w14:textId="77777777" w:rsidR="00CE3D70" w:rsidRPr="000F540C" w:rsidRDefault="00CE3D70" w:rsidP="00CE3D70">
      <w:p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r w:rsidRPr="000F540C">
        <w:rPr>
          <w:rFonts w:ascii="Verdana" w:eastAsia="Times New Roman" w:hAnsi="Verdana" w:cs="Arial"/>
          <w:kern w:val="2"/>
          <w:shd w:val="clear" w:color="auto" w:fill="FFFFFF"/>
          <w:lang w:val="es-ES_tradnl" w:eastAsia="es-ES_tradnl"/>
          <w14:ligatures w14:val="standardContextual"/>
        </w:rPr>
        <w:t xml:space="preserve"> </w:t>
      </w:r>
    </w:p>
    <w:p w14:paraId="506D1284" w14:textId="77777777" w:rsidR="00CE3D70" w:rsidRPr="000F540C" w:rsidRDefault="00CE3D70" w:rsidP="00CE3D70">
      <w:pPr>
        <w:numPr>
          <w:ilvl w:val="0"/>
          <w:numId w:val="19"/>
        </w:numPr>
        <w:snapToGrid w:val="0"/>
        <w:spacing w:after="0" w:line="276" w:lineRule="auto"/>
        <w:ind w:left="720"/>
        <w:jc w:val="both"/>
        <w:rPr>
          <w:rFonts w:ascii="Verdana" w:eastAsia="Times New Roman" w:hAnsi="Verdana" w:cs="Arial"/>
          <w:kern w:val="2"/>
          <w:shd w:val="clear" w:color="auto" w:fill="FFFFFF"/>
          <w:lang w:val="es-ES_tradnl" w:eastAsia="es-ES_tradnl"/>
          <w14:ligatures w14:val="standardContextual"/>
        </w:rPr>
      </w:pPr>
      <w:r w:rsidRPr="000F540C">
        <w:rPr>
          <w:rFonts w:ascii="Verdana" w:eastAsia="Times New Roman" w:hAnsi="Verdana" w:cs="Arial"/>
          <w:kern w:val="2"/>
          <w:shd w:val="clear" w:color="auto" w:fill="FFFFFF"/>
          <w:lang w:val="es-ES_tradnl" w:eastAsia="es-ES_tradnl"/>
          <w14:ligatures w14:val="standardContextual"/>
        </w:rPr>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036C3709" w14:textId="77777777" w:rsidR="00CE3D70" w:rsidRPr="000F540C" w:rsidRDefault="00CE3D70" w:rsidP="00CE3D70">
      <w:pPr>
        <w:snapToGrid w:val="0"/>
        <w:spacing w:after="0" w:line="276" w:lineRule="auto"/>
        <w:ind w:left="360"/>
        <w:jc w:val="both"/>
        <w:rPr>
          <w:rFonts w:ascii="Verdana" w:eastAsia="Times New Roman" w:hAnsi="Verdana" w:cs="Arial"/>
          <w:kern w:val="2"/>
          <w:shd w:val="clear" w:color="auto" w:fill="FFFFFF"/>
          <w:lang w:val="es-ES_tradnl" w:eastAsia="es-ES_tradnl"/>
          <w14:ligatures w14:val="standardContextual"/>
        </w:rPr>
      </w:pPr>
    </w:p>
    <w:p w14:paraId="69880904" w14:textId="77777777" w:rsidR="00CE3D70" w:rsidRPr="000F540C" w:rsidRDefault="00CE3D70" w:rsidP="00CE3D70">
      <w:pPr>
        <w:numPr>
          <w:ilvl w:val="0"/>
          <w:numId w:val="19"/>
        </w:numPr>
        <w:snapToGrid w:val="0"/>
        <w:spacing w:after="0" w:line="276" w:lineRule="auto"/>
        <w:ind w:left="720"/>
        <w:jc w:val="both"/>
        <w:rPr>
          <w:rFonts w:ascii="Verdana" w:eastAsia="Times New Roman" w:hAnsi="Verdana" w:cs="Arial"/>
          <w:kern w:val="2"/>
          <w:shd w:val="clear" w:color="auto" w:fill="FFFFFF"/>
          <w:lang w:val="es-ES_tradnl" w:eastAsia="es-ES_tradnl"/>
          <w14:ligatures w14:val="standardContextual"/>
        </w:rPr>
      </w:pPr>
      <w:r w:rsidRPr="000F540C">
        <w:rPr>
          <w:rFonts w:ascii="Verdana" w:eastAsia="Times New Roman" w:hAnsi="Verdana" w:cs="Arial"/>
          <w:kern w:val="2"/>
          <w:shd w:val="clear" w:color="auto" w:fill="FFFFFF"/>
          <w:lang w:val="es-ES_tradnl" w:eastAsia="es-ES_tradnl"/>
          <w14:ligatures w14:val="standardContextual"/>
        </w:rPr>
        <w:t xml:space="preserve">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 en los términos expuestos en este concepto. </w:t>
      </w:r>
    </w:p>
    <w:p w14:paraId="22CED9DD" w14:textId="77777777" w:rsidR="00CE3D70" w:rsidRPr="000F540C" w:rsidRDefault="00CE3D70" w:rsidP="00CE3D70">
      <w:pPr>
        <w:snapToGrid w:val="0"/>
        <w:spacing w:after="0" w:line="276" w:lineRule="auto"/>
        <w:ind w:left="720"/>
        <w:jc w:val="both"/>
        <w:rPr>
          <w:rFonts w:ascii="Verdana" w:eastAsia="Times New Roman" w:hAnsi="Verdana" w:cs="Arial"/>
          <w:kern w:val="2"/>
          <w:shd w:val="clear" w:color="auto" w:fill="FFFFFF"/>
          <w:lang w:val="es-ES_tradnl" w:eastAsia="es-ES_tradnl"/>
          <w14:ligatures w14:val="standardContextual"/>
        </w:rPr>
      </w:pPr>
    </w:p>
    <w:p w14:paraId="7488ACFA" w14:textId="77777777" w:rsidR="00CE3D70" w:rsidRDefault="00CE3D70" w:rsidP="00CE3D70">
      <w:pPr>
        <w:numPr>
          <w:ilvl w:val="0"/>
          <w:numId w:val="19"/>
        </w:numPr>
        <w:snapToGrid w:val="0"/>
        <w:spacing w:after="0" w:line="276" w:lineRule="auto"/>
        <w:ind w:left="720"/>
        <w:jc w:val="both"/>
        <w:rPr>
          <w:rFonts w:ascii="Verdana" w:eastAsia="Times New Roman" w:hAnsi="Verdana" w:cs="Arial"/>
          <w:kern w:val="2"/>
          <w:shd w:val="clear" w:color="auto" w:fill="FFFFFF"/>
          <w:lang w:val="es-ES" w:eastAsia="es-ES"/>
          <w14:ligatures w14:val="standardContextual"/>
        </w:rPr>
      </w:pPr>
      <w:r w:rsidRPr="000F540C">
        <w:rPr>
          <w:rFonts w:ascii="Verdana" w:eastAsia="Times New Roman" w:hAnsi="Verdana" w:cs="Arial"/>
          <w:kern w:val="2"/>
          <w:shd w:val="clear" w:color="auto" w:fill="FFFFFF"/>
          <w:lang w:val="es-ES" w:eastAsia="es-ES"/>
          <w14:ligatures w14:val="standardContextual"/>
        </w:rPr>
        <w:t xml:space="preserve">La comisión de presuntas irregularidades por parte de las entidades públicas en desarrollo de su actividad contractual con documentos tipo puede derivar, entre otras, en faltas disciplinarias o, incluso, delitos, dependiendo de las circunstancias particulares de cada caso. De esta manera, la inobservancia de los documentos tipo puede conllevar a que las autoridades de control o judiciales competentes, como la Procuraduría General de la Nación, Contraloría General de la República y/o fiscalía general de la Nación, adelanten las investigaciones a que haya lugar y, si es del caso, establezcan la responsabilidad derivada de las infracciones que se cometan. </w:t>
      </w:r>
    </w:p>
    <w:p w14:paraId="3A60EDC7" w14:textId="77777777" w:rsidR="00CE3D70" w:rsidRPr="000F540C" w:rsidRDefault="00CE3D70" w:rsidP="00CE3D70">
      <w:pPr>
        <w:snapToGrid w:val="0"/>
        <w:spacing w:after="0" w:line="276" w:lineRule="auto"/>
        <w:jc w:val="both"/>
        <w:rPr>
          <w:rFonts w:ascii="Verdana" w:eastAsia="Times New Roman" w:hAnsi="Verdana" w:cs="Arial"/>
          <w:kern w:val="2"/>
          <w:shd w:val="clear" w:color="auto" w:fill="FFFFFF"/>
          <w:lang w:val="es-ES" w:eastAsia="es-ES"/>
          <w14:ligatures w14:val="standardContextual"/>
        </w:rPr>
      </w:pPr>
    </w:p>
    <w:p w14:paraId="338EC7FB" w14:textId="77777777" w:rsidR="00CE3D70" w:rsidRPr="00753F03" w:rsidRDefault="00CE3D70" w:rsidP="00CE3D70">
      <w:pPr>
        <w:numPr>
          <w:ilvl w:val="0"/>
          <w:numId w:val="20"/>
        </w:numPr>
        <w:tabs>
          <w:tab w:val="left" w:pos="709"/>
        </w:tabs>
        <w:snapToGrid w:val="0"/>
        <w:spacing w:after="0" w:line="276" w:lineRule="auto"/>
        <w:contextualSpacing/>
        <w:jc w:val="both"/>
        <w:rPr>
          <w:rFonts w:ascii="Verdana" w:eastAsia="Times New Roman" w:hAnsi="Verdana" w:cs="Arial"/>
          <w:lang w:eastAsia="es-CO"/>
        </w:rPr>
      </w:pPr>
      <w:r w:rsidRPr="00753F03">
        <w:rPr>
          <w:rFonts w:ascii="Verdana" w:eastAsia="Aptos" w:hAnsi="Verdana" w:cs="Arial"/>
        </w:rPr>
        <w:t xml:space="preserve">Por otra parte, teniendo en cuenta el objeto de su consulta, es importante señalar que, </w:t>
      </w:r>
      <w:bookmarkStart w:id="2" w:name="_Hlk185411776"/>
      <w:r w:rsidRPr="00753F03">
        <w:rPr>
          <w:rFonts w:ascii="Verdana" w:eastAsia="Aptos" w:hAnsi="Verdana" w:cs="Arial"/>
        </w:rPr>
        <w:t>la tipología del contrato o convenio interadministrativo fue creada en la Ley 80 de 1993, y el Decreto 1082 de 2015 la califica como aquella contratación entre Entidades Estatales</w:t>
      </w:r>
      <w:r w:rsidRPr="00753F03">
        <w:rPr>
          <w:rFonts w:ascii="Aptos" w:eastAsia="Times New Roman" w:hAnsi="Aptos" w:cs="Times New Roman"/>
          <w:kern w:val="2"/>
          <w:sz w:val="24"/>
          <w:szCs w:val="24"/>
          <w:vertAlign w:val="superscript"/>
          <w:lang w:eastAsia="es-CO"/>
          <w14:ligatures w14:val="standardContextual"/>
        </w:rPr>
        <w:footnoteReference w:id="3"/>
      </w:r>
      <w:r w:rsidRPr="00753F03">
        <w:rPr>
          <w:rFonts w:ascii="Verdana" w:eastAsia="Times New Roman" w:hAnsi="Verdana" w:cs="Arial"/>
          <w:lang w:eastAsia="es-CO"/>
        </w:rPr>
        <w:t xml:space="preserve">. De acuerdo con lo </w:t>
      </w:r>
      <w:r w:rsidRPr="00753F03">
        <w:rPr>
          <w:rFonts w:ascii="Verdana" w:eastAsia="Times New Roman" w:hAnsi="Verdana" w:cs="Arial"/>
          <w:lang w:eastAsia="es-CO"/>
        </w:rPr>
        <w:lastRenderedPageBreak/>
        <w:t>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079AB61D" w14:textId="77777777" w:rsidR="00CE3D70" w:rsidRPr="00753F03" w:rsidRDefault="00CE3D70" w:rsidP="00CE3D70">
      <w:pPr>
        <w:tabs>
          <w:tab w:val="left" w:pos="709"/>
        </w:tabs>
        <w:snapToGrid w:val="0"/>
        <w:spacing w:after="0" w:line="276" w:lineRule="auto"/>
        <w:jc w:val="both"/>
        <w:rPr>
          <w:rFonts w:ascii="Verdana" w:eastAsia="Aptos" w:hAnsi="Verdana" w:cs="Arial"/>
        </w:rPr>
      </w:pPr>
    </w:p>
    <w:p w14:paraId="5549266A" w14:textId="77777777" w:rsidR="00CE3D70" w:rsidRPr="00753F03" w:rsidRDefault="00CE3D70" w:rsidP="00CE3D70">
      <w:pPr>
        <w:numPr>
          <w:ilvl w:val="0"/>
          <w:numId w:val="20"/>
        </w:numPr>
        <w:tabs>
          <w:tab w:val="left" w:pos="709"/>
        </w:tabs>
        <w:snapToGrid w:val="0"/>
        <w:spacing w:after="0" w:line="276" w:lineRule="auto"/>
        <w:contextualSpacing/>
        <w:jc w:val="both"/>
        <w:rPr>
          <w:rFonts w:ascii="Verdana" w:eastAsia="Aptos" w:hAnsi="Verdana" w:cs="Arial"/>
        </w:rPr>
      </w:pPr>
      <w:r w:rsidRPr="00753F03">
        <w:rPr>
          <w:rFonts w:ascii="Verdana" w:eastAsia="Aptos" w:hAnsi="Verdana" w:cs="Aria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2"/>
    <w:p w14:paraId="72538CF7" w14:textId="77777777" w:rsidR="00CE3D70" w:rsidRPr="00753F03" w:rsidRDefault="00CE3D70" w:rsidP="00CE3D70">
      <w:pPr>
        <w:tabs>
          <w:tab w:val="left" w:pos="709"/>
        </w:tabs>
        <w:snapToGrid w:val="0"/>
        <w:spacing w:after="0" w:line="276" w:lineRule="auto"/>
        <w:jc w:val="both"/>
        <w:rPr>
          <w:rFonts w:ascii="Verdana" w:eastAsia="Aptos" w:hAnsi="Verdana" w:cs="Arial"/>
        </w:rPr>
      </w:pPr>
    </w:p>
    <w:p w14:paraId="0A53E57B" w14:textId="77777777" w:rsidR="00CE3D70" w:rsidRPr="00753F03" w:rsidRDefault="00CE3D70" w:rsidP="00CE3D70">
      <w:pPr>
        <w:numPr>
          <w:ilvl w:val="0"/>
          <w:numId w:val="20"/>
        </w:numPr>
        <w:tabs>
          <w:tab w:val="left" w:pos="709"/>
        </w:tabs>
        <w:snapToGrid w:val="0"/>
        <w:spacing w:after="0" w:line="276" w:lineRule="auto"/>
        <w:contextualSpacing/>
        <w:jc w:val="both"/>
        <w:rPr>
          <w:rFonts w:ascii="Verdana" w:eastAsia="Aptos" w:hAnsi="Verdana" w:cs="Arial"/>
        </w:rPr>
      </w:pPr>
      <w:r w:rsidRPr="00753F03">
        <w:rPr>
          <w:rFonts w:ascii="Verdana" w:eastAsia="Aptos" w:hAnsi="Verdana" w:cs="Arial"/>
        </w:rPr>
        <w:t>Un contrato o convenio interadministrativo no está determinado por la modalidad de selección utilizada para celebrarlo. La Ley 1150 de 2007 dispone que pueden celebrarse directamente, siempre que las obligaciones de este tengan relación directa con el objeto de la entidad ejecutora, señalado en la ley o en sus reglamentos, a menos que, según las excepciones previstas en dicha ley, deba adelantarse un procedimiento con pluralidad de oferentes</w:t>
      </w:r>
      <w:r w:rsidRPr="00753F03">
        <w:rPr>
          <w:rFonts w:ascii="Aptos" w:eastAsia="Times New Roman" w:hAnsi="Aptos" w:cs="Times New Roman"/>
          <w:kern w:val="2"/>
          <w:sz w:val="24"/>
          <w:szCs w:val="24"/>
          <w:vertAlign w:val="superscript"/>
          <w:lang w:eastAsia="es-CO"/>
          <w14:ligatures w14:val="standardContextual"/>
        </w:rPr>
        <w:footnoteReference w:id="4"/>
      </w:r>
      <w:r w:rsidRPr="00753F03">
        <w:rPr>
          <w:rFonts w:ascii="Verdana" w:eastAsia="Times New Roman" w:hAnsi="Verdana" w:cs="Arial"/>
          <w:lang w:eastAsia="es-CO"/>
        </w:rPr>
        <w:t>. Nótese que, en este caso, lo que cambia es la modalidad de selección y no la naturaleza de contrato o convenio interadministrativo.</w:t>
      </w:r>
    </w:p>
    <w:p w14:paraId="4F975C00" w14:textId="77777777" w:rsidR="00CE3D70" w:rsidRPr="00753F03" w:rsidRDefault="00CE3D70" w:rsidP="00CE3D70">
      <w:pPr>
        <w:tabs>
          <w:tab w:val="left" w:pos="709"/>
        </w:tabs>
        <w:snapToGrid w:val="0"/>
        <w:spacing w:after="0" w:line="276" w:lineRule="auto"/>
        <w:jc w:val="both"/>
        <w:rPr>
          <w:rFonts w:ascii="Verdana" w:eastAsia="Aptos" w:hAnsi="Verdana" w:cs="Arial"/>
        </w:rPr>
      </w:pPr>
      <w:r w:rsidRPr="00753F03">
        <w:rPr>
          <w:rFonts w:ascii="Verdana" w:eastAsia="Aptos" w:hAnsi="Verdana" w:cs="Arial"/>
        </w:rPr>
        <w:tab/>
      </w:r>
    </w:p>
    <w:p w14:paraId="7CB14E4D" w14:textId="77777777" w:rsidR="00CE3D70" w:rsidRPr="00753F03" w:rsidRDefault="00CE3D70" w:rsidP="00CE3D70">
      <w:pPr>
        <w:numPr>
          <w:ilvl w:val="0"/>
          <w:numId w:val="20"/>
        </w:numPr>
        <w:tabs>
          <w:tab w:val="left" w:pos="709"/>
        </w:tabs>
        <w:snapToGrid w:val="0"/>
        <w:spacing w:after="0" w:line="276" w:lineRule="auto"/>
        <w:contextualSpacing/>
        <w:jc w:val="both"/>
        <w:rPr>
          <w:rFonts w:ascii="Verdana" w:eastAsia="Aptos" w:hAnsi="Verdana" w:cs="Arial"/>
        </w:rPr>
      </w:pPr>
      <w:r w:rsidRPr="00753F03">
        <w:rPr>
          <w:rFonts w:ascii="Verdana" w:eastAsia="Aptos" w:hAnsi="Verdana" w:cs="Arial"/>
        </w:rPr>
        <w:lastRenderedPageBreak/>
        <w:t xml:space="preserve">La Corte Constitucional, en Sentencia C-671 de 2015, expresó que “Lo que hace interadministrativo a un contrato o convenio no es el procedimiento de selección aplicable, sino la calidad de los sujetos contratantes, </w:t>
      </w:r>
      <w:r w:rsidRPr="00753F03">
        <w:rPr>
          <w:rFonts w:ascii="Verdana" w:eastAsia="Aptos" w:hAnsi="Verdana" w:cs="Arial"/>
          <w:i/>
        </w:rPr>
        <w:t xml:space="preserve">esto es que las dos partes de la relación jurídica contractual </w:t>
      </w:r>
      <w:r w:rsidRPr="00753F03">
        <w:rPr>
          <w:rFonts w:ascii="Verdana" w:eastAsia="Times New Roman" w:hAnsi="Verdana" w:cs="Arial"/>
          <w:i/>
          <w:lang w:eastAsia="es-CO"/>
        </w:rPr>
        <w:t>formen parte de la administración pública</w:t>
      </w:r>
      <w:r w:rsidRPr="00753F03">
        <w:rPr>
          <w:rFonts w:ascii="Verdana" w:eastAsia="Times New Roman" w:hAnsi="Verdana" w:cs="Arial"/>
          <w:lang w:eastAsia="es-CO"/>
        </w:rPr>
        <w:t>” [Énfasis fuera de texto].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753F03">
        <w:rPr>
          <w:rFonts w:ascii="Verdana" w:eastAsia="Times New Roman" w:hAnsi="Verdana" w:cs="Arial"/>
          <w:spacing w:val="-13"/>
          <w:lang w:eastAsia="es-CO"/>
        </w:rPr>
        <w:t xml:space="preserve"> </w:t>
      </w:r>
      <w:r w:rsidRPr="00753F03">
        <w:rPr>
          <w:rFonts w:ascii="Verdana" w:eastAsia="Times New Roman" w:hAnsi="Verdana" w:cs="Arial"/>
          <w:lang w:eastAsia="es-CO"/>
        </w:rPr>
        <w:t>que:</w:t>
      </w:r>
    </w:p>
    <w:p w14:paraId="3915EC2A" w14:textId="77777777" w:rsidR="00CE3D70" w:rsidRPr="00753F03" w:rsidRDefault="00CE3D70" w:rsidP="00CE3D70">
      <w:pPr>
        <w:snapToGrid w:val="0"/>
        <w:spacing w:after="0" w:line="276" w:lineRule="auto"/>
        <w:ind w:firstLine="707"/>
        <w:jc w:val="both"/>
        <w:rPr>
          <w:rFonts w:ascii="Verdana" w:eastAsia="Times New Roman" w:hAnsi="Verdana" w:cs="Arial"/>
          <w:lang w:eastAsia="es-CO"/>
        </w:rPr>
      </w:pPr>
    </w:p>
    <w:p w14:paraId="1911DB68" w14:textId="77777777" w:rsidR="00CE3D70" w:rsidRPr="00753F03" w:rsidRDefault="00CE3D70" w:rsidP="00CE3D70">
      <w:pPr>
        <w:snapToGrid w:val="0"/>
        <w:spacing w:after="0" w:line="240" w:lineRule="auto"/>
        <w:ind w:left="709" w:right="709"/>
        <w:jc w:val="both"/>
        <w:rPr>
          <w:rFonts w:ascii="Verdana" w:eastAsia="Aptos" w:hAnsi="Verdana" w:cs="Arial"/>
          <w:sz w:val="21"/>
          <w:szCs w:val="21"/>
        </w:rPr>
      </w:pPr>
      <w:r w:rsidRPr="00753F03">
        <w:rPr>
          <w:rFonts w:ascii="Verdana" w:eastAsia="Aptos" w:hAnsi="Verdana" w:cs="Arial"/>
          <w:sz w:val="21"/>
          <w:szCs w:val="21"/>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w:t>
      </w:r>
      <w:proofErr w:type="spellStart"/>
      <w:r w:rsidRPr="00753F03">
        <w:rPr>
          <w:rFonts w:ascii="Verdana" w:eastAsia="Aptos" w:hAnsi="Verdana" w:cs="Arial"/>
          <w:sz w:val="21"/>
          <w:szCs w:val="21"/>
        </w:rPr>
        <w:t>iv</w:t>
      </w:r>
      <w:proofErr w:type="spellEnd"/>
      <w:r w:rsidRPr="00753F03">
        <w:rPr>
          <w:rFonts w:ascii="Verdana" w:eastAsia="Aptos" w:hAnsi="Verdana" w:cs="Arial"/>
          <w:sz w:val="21"/>
          <w:szCs w:val="21"/>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753F03">
        <w:rPr>
          <w:rFonts w:ascii="Verdana" w:eastAsia="Aptos" w:hAnsi="Verdana" w:cs="Arial"/>
          <w:sz w:val="21"/>
          <w:szCs w:val="21"/>
        </w:rPr>
        <w:t>vii</w:t>
      </w:r>
      <w:proofErr w:type="spellEnd"/>
      <w:r w:rsidRPr="00753F03">
        <w:rPr>
          <w:rFonts w:ascii="Verdana" w:eastAsia="Aptos" w:hAnsi="Verdana" w:cs="Arial"/>
          <w:sz w:val="21"/>
          <w:szCs w:val="21"/>
        </w:rPr>
        <w:t>) persiguen  una finalidad común a través de la realización de intereses compartidos entre las entidades vinculadas; (</w:t>
      </w:r>
      <w:proofErr w:type="spellStart"/>
      <w:r w:rsidRPr="00753F03">
        <w:rPr>
          <w:rFonts w:ascii="Verdana" w:eastAsia="Aptos" w:hAnsi="Verdana" w:cs="Arial"/>
          <w:sz w:val="21"/>
          <w:szCs w:val="21"/>
        </w:rPr>
        <w:t>viii</w:t>
      </w:r>
      <w:proofErr w:type="spellEnd"/>
      <w:r w:rsidRPr="00753F03">
        <w:rPr>
          <w:rFonts w:ascii="Verdana" w:eastAsia="Aptos" w:hAnsi="Verdana" w:cs="Arial"/>
          <w:sz w:val="21"/>
          <w:szCs w:val="21"/>
        </w:rPr>
        <w:t>) la acción mediante la cual se deben ventilar las diferencias que sobre el particular surjan es la de controversias contractuales</w:t>
      </w:r>
      <w:r w:rsidRPr="00753F03">
        <w:rPr>
          <w:rFonts w:ascii="Verdana" w:eastAsia="Aptos" w:hAnsi="Verdana" w:cs="Arial"/>
          <w:sz w:val="21"/>
          <w:szCs w:val="21"/>
          <w:vertAlign w:val="superscript"/>
        </w:rPr>
        <w:footnoteReference w:id="5"/>
      </w:r>
      <w:r w:rsidRPr="00753F03">
        <w:rPr>
          <w:rFonts w:ascii="Verdana" w:eastAsia="Aptos" w:hAnsi="Verdana" w:cs="Arial"/>
          <w:sz w:val="21"/>
          <w:szCs w:val="21"/>
        </w:rPr>
        <w:t>”.</w:t>
      </w:r>
    </w:p>
    <w:p w14:paraId="5D1AD795" w14:textId="77777777" w:rsidR="00CE3D70" w:rsidRPr="00753F03" w:rsidRDefault="00CE3D70" w:rsidP="00CE3D70">
      <w:pPr>
        <w:snapToGrid w:val="0"/>
        <w:spacing w:after="0" w:line="276" w:lineRule="auto"/>
        <w:jc w:val="both"/>
        <w:rPr>
          <w:rFonts w:ascii="Verdana" w:eastAsia="Aptos" w:hAnsi="Verdana" w:cs="Arial"/>
        </w:rPr>
      </w:pPr>
    </w:p>
    <w:p w14:paraId="69CD4ECF" w14:textId="77777777" w:rsidR="00CE3D70" w:rsidRPr="00753F03" w:rsidRDefault="00CE3D70" w:rsidP="00CE3D70">
      <w:pPr>
        <w:numPr>
          <w:ilvl w:val="0"/>
          <w:numId w:val="21"/>
        </w:numPr>
        <w:snapToGrid w:val="0"/>
        <w:spacing w:line="276" w:lineRule="auto"/>
        <w:contextualSpacing/>
        <w:jc w:val="both"/>
        <w:rPr>
          <w:rFonts w:ascii="Verdana" w:eastAsia="Times New Roman" w:hAnsi="Verdana" w:cs="Arial"/>
          <w:lang w:eastAsia="es-CO"/>
        </w:rPr>
      </w:pPr>
      <w:r w:rsidRPr="00753F03">
        <w:rPr>
          <w:rFonts w:ascii="Verdana" w:eastAsia="Times New Roman" w:hAnsi="Verdana" w:cs="Arial"/>
          <w:lang w:eastAsia="es-CO"/>
        </w:rPr>
        <w:t xml:space="preserve">En ese sentido, los 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El EGCAP establece la contratación directa como la modalidad </w:t>
      </w:r>
      <w:r w:rsidRPr="00753F03">
        <w:rPr>
          <w:rFonts w:ascii="Verdana" w:eastAsia="Times New Roman" w:hAnsi="Verdana" w:cs="Arial"/>
          <w:lang w:eastAsia="es-CO"/>
        </w:rPr>
        <w:lastRenderedPageBreak/>
        <w:t>de selección aplicable, por regla general, a la celebración de los contratos interadministrativos.</w:t>
      </w:r>
    </w:p>
    <w:p w14:paraId="045559AF" w14:textId="77777777" w:rsidR="00CE3D70" w:rsidRPr="00753F03" w:rsidRDefault="00CE3D70" w:rsidP="00CE3D70">
      <w:pPr>
        <w:snapToGrid w:val="0"/>
        <w:spacing w:after="0" w:line="276" w:lineRule="auto"/>
        <w:ind w:left="720"/>
        <w:contextualSpacing/>
        <w:jc w:val="both"/>
        <w:rPr>
          <w:rFonts w:ascii="Verdana" w:eastAsia="Times New Roman" w:hAnsi="Verdana" w:cs="Arial"/>
          <w:lang w:eastAsia="es-CO"/>
        </w:rPr>
      </w:pPr>
    </w:p>
    <w:p w14:paraId="595E3310" w14:textId="77777777" w:rsidR="00CE3D70" w:rsidRPr="00753F03" w:rsidRDefault="00CE3D70" w:rsidP="00CE3D70">
      <w:pPr>
        <w:numPr>
          <w:ilvl w:val="0"/>
          <w:numId w:val="21"/>
        </w:numPr>
        <w:snapToGrid w:val="0"/>
        <w:spacing w:line="276" w:lineRule="auto"/>
        <w:contextualSpacing/>
        <w:jc w:val="both"/>
        <w:rPr>
          <w:rFonts w:ascii="Verdana" w:eastAsia="Times New Roman" w:hAnsi="Verdana" w:cs="Arial"/>
          <w:lang w:eastAsia="es-CO"/>
        </w:rPr>
      </w:pPr>
      <w:r w:rsidRPr="00753F03">
        <w:rPr>
          <w:rFonts w:ascii="Verdana" w:eastAsia="Times New Roman" w:hAnsi="Verdana" w:cs="Arial"/>
          <w:lang w:eastAsia="es-CO"/>
        </w:rPr>
        <w:t xml:space="preserve">Además, es necesario tener en cuenta que para que un contrato o convenio interadministrativo exista, debe cumplir con los siguientes elementos: acuerdo sobre el objeto y la contraprestación, y que se eleve a escrito. Por otra parte, si bien actualmente el </w:t>
      </w:r>
      <w:r w:rsidRPr="00753F03">
        <w:rPr>
          <w:rFonts w:ascii="Verdana" w:eastAsia="Calibri" w:hAnsi="Verdana" w:cs="Arial"/>
        </w:rPr>
        <w:t xml:space="preserve">Estatuto General de Contratación de la Administración Pública </w:t>
      </w:r>
      <w:r w:rsidRPr="00753F03">
        <w:rPr>
          <w:rFonts w:ascii="Verdana" w:eastAsia="Times New Roman" w:hAnsi="Verdana" w:cs="Arial"/>
          <w:lang w:eastAsia="es-CO"/>
        </w:rPr>
        <w:t>hace referencia de manera expresa a los contratos interadministrativos y no a los convenios,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que lo hace frente a los convenios, entre otras razones, es porque este cuerpo normativo faculta a las entidades públicas a celebrar los demás acuerdos que permitan la autonomía de la voluntad y requieran el cumplimiento de los fines</w:t>
      </w:r>
      <w:r w:rsidRPr="00753F03">
        <w:rPr>
          <w:rFonts w:ascii="Verdana" w:eastAsia="Times New Roman" w:hAnsi="Verdana" w:cs="Arial"/>
          <w:spacing w:val="-4"/>
          <w:lang w:eastAsia="es-CO"/>
        </w:rPr>
        <w:t xml:space="preserve"> </w:t>
      </w:r>
      <w:r w:rsidRPr="00753F03">
        <w:rPr>
          <w:rFonts w:ascii="Verdana" w:eastAsia="Times New Roman" w:hAnsi="Verdana" w:cs="Arial"/>
          <w:lang w:eastAsia="es-CO"/>
        </w:rPr>
        <w:t>estatales.</w:t>
      </w:r>
    </w:p>
    <w:p w14:paraId="0DD9D843" w14:textId="77777777" w:rsidR="00CE3D70" w:rsidRPr="00753F03" w:rsidRDefault="00CE3D70" w:rsidP="00CE3D70">
      <w:pPr>
        <w:snapToGrid w:val="0"/>
        <w:spacing w:after="0" w:line="276" w:lineRule="auto"/>
        <w:ind w:left="720"/>
        <w:contextualSpacing/>
        <w:jc w:val="both"/>
        <w:rPr>
          <w:rFonts w:ascii="Verdana" w:eastAsia="Times New Roman" w:hAnsi="Verdana" w:cs="Arial"/>
          <w:lang w:eastAsia="es-CO"/>
        </w:rPr>
      </w:pPr>
    </w:p>
    <w:p w14:paraId="794A47F2" w14:textId="77777777" w:rsidR="00CE3D70" w:rsidRPr="00753F03" w:rsidRDefault="00CE3D70" w:rsidP="00CE3D70">
      <w:pPr>
        <w:numPr>
          <w:ilvl w:val="0"/>
          <w:numId w:val="21"/>
        </w:numPr>
        <w:snapToGrid w:val="0"/>
        <w:spacing w:line="276" w:lineRule="auto"/>
        <w:contextualSpacing/>
        <w:jc w:val="both"/>
        <w:rPr>
          <w:rFonts w:ascii="Verdana" w:eastAsia="Times New Roman" w:hAnsi="Verdana" w:cs="Arial"/>
          <w:lang w:eastAsia="es-CO"/>
        </w:rPr>
      </w:pPr>
      <w:r w:rsidRPr="00753F03">
        <w:rPr>
          <w:rFonts w:ascii="Verdana" w:eastAsia="Times New Roman" w:hAnsi="Verdana" w:cs="Arial"/>
          <w:lang w:eastAsia="es-CO"/>
        </w:rPr>
        <w:t xml:space="preserve">Por tal razón conforme a lo previsto en el artículo 95 de la Ley 489 de 1995 y al alcance que la jurisprudencia del Consejo de Estado y la doctrina le han dado a la regulación de los convenios interadministrativos, esta tipología tiene las siguientes características: 1. Se celebran entre dos entidades públicas que se encuentran en pie de igualdad con el objeto de cumplir competencias de ambas entidades dirigidas a un propósito común. Es decir, en los convenios interadministrativos no existen intereses contrapuestos. 2. La modalidad para su celebración es la contratación directa. 3. Los convenios interadministrativos pueden suponer el compromiso de recursos públicos y, en consecuencia, la realización de aportes financieros. Este hecho, sin embargo, no supone a posibilidad de que en este tipo de relaciones jurídicas exista una remuneración en favor de uno de los </w:t>
      </w:r>
      <w:proofErr w:type="spellStart"/>
      <w:r w:rsidRPr="00753F03">
        <w:rPr>
          <w:rFonts w:ascii="Verdana" w:eastAsia="Times New Roman" w:hAnsi="Verdana" w:cs="Arial"/>
          <w:lang w:eastAsia="es-CO"/>
        </w:rPr>
        <w:t>co-contratantes</w:t>
      </w:r>
      <w:proofErr w:type="spellEnd"/>
      <w:r w:rsidRPr="00753F03">
        <w:rPr>
          <w:rFonts w:ascii="Verdana" w:eastAsia="Times New Roman" w:hAnsi="Verdana" w:cs="Arial"/>
          <w:lang w:eastAsia="es-CO"/>
        </w:rPr>
        <w:t xml:space="preserve"> y a cargo de otro y otro.</w:t>
      </w:r>
    </w:p>
    <w:p w14:paraId="31B7054D" w14:textId="77777777" w:rsidR="00CE3D70" w:rsidRPr="00753F03" w:rsidRDefault="00CE3D70" w:rsidP="00CE3D70">
      <w:pPr>
        <w:snapToGrid w:val="0"/>
        <w:spacing w:after="0" w:line="276" w:lineRule="auto"/>
        <w:jc w:val="both"/>
        <w:rPr>
          <w:rFonts w:ascii="Verdana" w:eastAsia="Times New Roman" w:hAnsi="Verdana" w:cs="Arial"/>
          <w:lang w:eastAsia="es-CO"/>
        </w:rPr>
      </w:pPr>
    </w:p>
    <w:p w14:paraId="55533483" w14:textId="77777777" w:rsidR="00CE3D70" w:rsidRPr="00753F03" w:rsidRDefault="00CE3D70" w:rsidP="00CE3D70">
      <w:pPr>
        <w:numPr>
          <w:ilvl w:val="0"/>
          <w:numId w:val="21"/>
        </w:numPr>
        <w:snapToGrid w:val="0"/>
        <w:spacing w:line="276" w:lineRule="auto"/>
        <w:contextualSpacing/>
        <w:jc w:val="both"/>
        <w:rPr>
          <w:rFonts w:ascii="Verdana" w:eastAsia="Aptos" w:hAnsi="Verdana" w:cs="Arial"/>
        </w:rPr>
      </w:pPr>
      <w:r w:rsidRPr="00753F03">
        <w:rPr>
          <w:rFonts w:ascii="Verdana" w:eastAsia="Aptos" w:hAnsi="Verdana" w:cs="Arial"/>
        </w:rPr>
        <w:t xml:space="preserve">Es conveniente destacar que, el Decreto 1082 de 2015, en su artículo 2.2.1.2.1.4.4, dispone que los contratos o convenios interadministrativos se contratan directamente, así: </w:t>
      </w:r>
      <w:r w:rsidRPr="00753F03">
        <w:rPr>
          <w:rFonts w:ascii="Verdana" w:eastAsia="Aptos" w:hAnsi="Verdana" w:cs="Arial"/>
          <w:i/>
          <w:iCs/>
        </w:rPr>
        <w:t xml:space="preserve">“[l]a modalidad de selección para la </w:t>
      </w:r>
      <w:r w:rsidRPr="00753F03">
        <w:rPr>
          <w:rFonts w:ascii="Verdana" w:eastAsia="Aptos" w:hAnsi="Verdana" w:cs="Arial"/>
          <w:i/>
          <w:iCs/>
        </w:rPr>
        <w:lastRenderedPageBreak/>
        <w:t xml:space="preserve">contratación entre Entidades Estatales es la contratación directa; y en consecuencia, le es aplicable lo establecido en el artículo 2.2.1.2.1.4.1 del presente decreto.” </w:t>
      </w:r>
      <w:r w:rsidRPr="00753F03">
        <w:rPr>
          <w:rFonts w:ascii="Verdana" w:eastAsia="Aptos" w:hAnsi="Verdana" w:cs="Arial"/>
          <w:kern w:val="2"/>
          <w14:ligatures w14:val="standardContextual"/>
        </w:rPr>
        <w:t>Así, se establece la contratación directa tanto para contratos como convenios interadministrativos, en concordancia con lo establecido en el literal c) del numeral 4 del artículo 2 de la Ley 1150 de 2007.</w:t>
      </w:r>
      <w:r w:rsidRPr="00753F03">
        <w:rPr>
          <w:rFonts w:ascii="Verdana" w:eastAsia="Aptos" w:hAnsi="Verdana" w:cs="Arial"/>
          <w:kern w:val="2"/>
          <w:sz w:val="24"/>
          <w:szCs w:val="24"/>
          <w14:ligatures w14:val="standardContextual"/>
        </w:rPr>
        <w:t xml:space="preserve"> </w:t>
      </w:r>
      <w:r w:rsidRPr="00753F03">
        <w:rPr>
          <w:rFonts w:ascii="Verdana" w:eastAsia="Aptos" w:hAnsi="Verdana" w:cs="Arial"/>
        </w:rPr>
        <w:t xml:space="preserve"> </w:t>
      </w:r>
    </w:p>
    <w:p w14:paraId="741261C0" w14:textId="77777777" w:rsidR="00CE3D70" w:rsidRPr="00753F03" w:rsidRDefault="00CE3D70" w:rsidP="00CE3D70">
      <w:pPr>
        <w:snapToGrid w:val="0"/>
        <w:spacing w:after="0" w:line="276" w:lineRule="auto"/>
        <w:jc w:val="both"/>
        <w:rPr>
          <w:rFonts w:ascii="Verdana" w:eastAsia="Aptos" w:hAnsi="Verdana" w:cs="Arial"/>
        </w:rPr>
      </w:pPr>
    </w:p>
    <w:p w14:paraId="003CECA1" w14:textId="77777777" w:rsidR="00CE3D70" w:rsidRPr="00753F03" w:rsidRDefault="00CE3D70" w:rsidP="00CE3D70">
      <w:pPr>
        <w:numPr>
          <w:ilvl w:val="0"/>
          <w:numId w:val="21"/>
        </w:numPr>
        <w:snapToGrid w:val="0"/>
        <w:spacing w:line="276" w:lineRule="auto"/>
        <w:contextualSpacing/>
        <w:jc w:val="both"/>
        <w:rPr>
          <w:rFonts w:ascii="Verdana" w:eastAsia="Calibri" w:hAnsi="Verdana" w:cs="Arial"/>
          <w:bCs/>
          <w:color w:val="000000"/>
          <w:lang w:bidi="es-ES"/>
        </w:rPr>
      </w:pPr>
      <w:r w:rsidRPr="00753F03">
        <w:rPr>
          <w:rFonts w:ascii="Verdana" w:eastAsia="Calibri" w:hAnsi="Verdana" w:cs="Arial"/>
          <w:bCs/>
          <w:color w:val="000000"/>
          <w:lang w:bidi="es-ES"/>
        </w:rPr>
        <w:t>Además, es importante señalar que, si bien tanto los contratos como convenios comparten características comunes explicadas en los párrafos precedentes, difieren en cuanto a ciertos aspectos esenciales</w:t>
      </w:r>
      <w:r w:rsidRPr="00753F03">
        <w:rPr>
          <w:rFonts w:ascii="Verdana" w:eastAsia="Calibri" w:hAnsi="Verdana" w:cs="Arial"/>
          <w:color w:val="000000"/>
          <w:lang w:bidi="es-ES"/>
        </w:rPr>
        <w:t xml:space="preserve">. </w:t>
      </w:r>
      <w:r w:rsidRPr="00753F03">
        <w:rPr>
          <w:rFonts w:ascii="Verdana" w:eastAsia="Calibri" w:hAnsi="Verdana" w:cs="Arial"/>
          <w:bCs/>
          <w:color w:val="000000"/>
          <w:lang w:bidi="es-ES"/>
        </w:rPr>
        <w:t xml:space="preserve">Así, mientras que el </w:t>
      </w:r>
      <w:r w:rsidRPr="00753F03">
        <w:rPr>
          <w:rFonts w:ascii="Verdana" w:eastAsia="Calibri" w:hAnsi="Verdana" w:cs="Arial"/>
          <w:bCs/>
          <w:i/>
          <w:iCs/>
          <w:color w:val="000000"/>
          <w:lang w:bidi="es-ES"/>
        </w:rPr>
        <w:t>contrato interadministrativo</w:t>
      </w:r>
      <w:r w:rsidRPr="00753F03">
        <w:rPr>
          <w:rFonts w:ascii="Verdana" w:eastAsia="Calibri" w:hAnsi="Verdana" w:cs="Arial"/>
          <w:bCs/>
          <w:color w:val="000000"/>
          <w:lang w:bidi="es-ES"/>
        </w:rPr>
        <w:t xml:space="preserve"> se caracteriza por su naturaleza onerosa, patrimonial y se conforma por intereses básicamente contrapuestos, los </w:t>
      </w:r>
      <w:r w:rsidRPr="00753F03">
        <w:rPr>
          <w:rFonts w:ascii="Verdana" w:eastAsia="Calibri" w:hAnsi="Verdana" w:cs="Arial"/>
          <w:bCs/>
          <w:i/>
          <w:iCs/>
          <w:color w:val="000000"/>
          <w:lang w:bidi="es-ES"/>
        </w:rPr>
        <w:t>convenios interadministrativos</w:t>
      </w:r>
      <w:r w:rsidRPr="00753F03">
        <w:rPr>
          <w:rFonts w:ascii="Verdana" w:eastAsia="Calibri" w:hAnsi="Verdana" w:cs="Arial"/>
          <w:bCs/>
          <w:color w:val="000000"/>
          <w:lang w:bidi="es-ES"/>
        </w:rPr>
        <w:t>, por su parte, tienen una finalidad asociativa perseguida por las partes suscriptoras cuyos intereses se encaminan en la misma dirección y persiguen los mismos objetivos, de conformidad con el ejercicio de las funciones y competencias que les son propias y propendiendo por la cooperación interinstitucional. De aquí que la Sala de Consulta y Servicio Civil del Consejo de Estado haya señalado la necesidad de diferenciar el régimen jurídico aplicable a ciertas situaciones específicas del convenio interadministrativo que se separan del régimen jurídico común:</w:t>
      </w:r>
    </w:p>
    <w:p w14:paraId="3C4E82ED" w14:textId="77777777" w:rsidR="00CE3D70" w:rsidRPr="00753F03" w:rsidRDefault="00CE3D70" w:rsidP="00CE3D70">
      <w:pPr>
        <w:snapToGrid w:val="0"/>
        <w:spacing w:after="0" w:line="276" w:lineRule="auto"/>
        <w:ind w:left="709" w:right="709"/>
        <w:jc w:val="both"/>
        <w:rPr>
          <w:rFonts w:ascii="Verdana" w:eastAsia="Calibri" w:hAnsi="Verdana" w:cs="Arial"/>
          <w:bCs/>
          <w:color w:val="000000"/>
          <w:lang w:bidi="es-ES"/>
        </w:rPr>
      </w:pPr>
    </w:p>
    <w:p w14:paraId="2B019EE8" w14:textId="77777777" w:rsidR="00CE3D70" w:rsidRPr="00753F03" w:rsidRDefault="00CE3D70" w:rsidP="00CE3D70">
      <w:pPr>
        <w:snapToGrid w:val="0"/>
        <w:spacing w:after="0" w:line="240" w:lineRule="auto"/>
        <w:ind w:left="709" w:right="709"/>
        <w:jc w:val="both"/>
        <w:rPr>
          <w:rFonts w:ascii="Verdana" w:eastAsia="Calibri" w:hAnsi="Verdana" w:cs="Arial"/>
          <w:color w:val="000000"/>
          <w:sz w:val="21"/>
          <w:szCs w:val="21"/>
          <w:lang w:bidi="es-ES"/>
        </w:rPr>
      </w:pPr>
      <w:r w:rsidRPr="00753F03">
        <w:rPr>
          <w:rFonts w:ascii="Verdana" w:eastAsia="Calibri" w:hAnsi="Verdana" w:cs="Arial"/>
          <w:color w:val="000000"/>
          <w:sz w:val="21"/>
          <w:szCs w:val="21"/>
          <w:lang w:bidi="es-ES"/>
        </w:rPr>
        <w:t xml:space="preserve">“[E]s preciso señalar que los convenios interadministrativos se someten a los principios constitucionales y legales de la actividad contractual del Estado (transparencia, planeación, buena fe, entre otros) y, obviamente, a los principios de la función administrativa previstos en el artículo 209 CP (moralidad, economía, celeridad, entre otros), en virtud del carácter vinculante de los mismos, dentro del contexto de un ánimo de cooperación que se refleja en el plano de igualdad o equivalencia en que se celebran y ejecutan, lo que significa ausencia de prerrogativas en favor de una parte a costa de la otra. </w:t>
      </w:r>
    </w:p>
    <w:p w14:paraId="783A0637" w14:textId="77777777" w:rsidR="00CE3D70" w:rsidRPr="00753F03" w:rsidRDefault="00CE3D70" w:rsidP="00CE3D70">
      <w:pPr>
        <w:snapToGrid w:val="0"/>
        <w:spacing w:after="0" w:line="240" w:lineRule="auto"/>
        <w:ind w:left="709" w:right="709"/>
        <w:jc w:val="both"/>
        <w:rPr>
          <w:rFonts w:ascii="Verdana" w:eastAsia="Calibri" w:hAnsi="Verdana" w:cs="Arial"/>
          <w:color w:val="000000"/>
          <w:sz w:val="21"/>
          <w:szCs w:val="21"/>
          <w:lang w:bidi="es-ES"/>
        </w:rPr>
      </w:pPr>
    </w:p>
    <w:p w14:paraId="650D674F" w14:textId="77777777" w:rsidR="00CE3D70" w:rsidRPr="00753F03" w:rsidRDefault="00CE3D70" w:rsidP="00CE3D70">
      <w:pPr>
        <w:snapToGrid w:val="0"/>
        <w:spacing w:after="0" w:line="240" w:lineRule="auto"/>
        <w:ind w:left="709" w:right="709"/>
        <w:jc w:val="both"/>
        <w:rPr>
          <w:rFonts w:ascii="Verdana" w:eastAsia="Calibri" w:hAnsi="Verdana" w:cs="Arial"/>
          <w:color w:val="000000"/>
          <w:sz w:val="21"/>
          <w:szCs w:val="21"/>
          <w:lang w:bidi="es-ES"/>
        </w:rPr>
      </w:pPr>
      <w:r w:rsidRPr="00753F03">
        <w:rPr>
          <w:rFonts w:ascii="Verdana" w:eastAsia="Calibri" w:hAnsi="Verdana" w:cs="Arial"/>
          <w:color w:val="000000"/>
          <w:sz w:val="21"/>
          <w:szCs w:val="21"/>
          <w:lang w:bidi="es-ES"/>
        </w:rPr>
        <w:t>Ahora, dada la naturaleza jurídica explicada de los convenios interadministrativos</w:t>
      </w:r>
      <w:r w:rsidRPr="00753F03">
        <w:rPr>
          <w:rFonts w:ascii="Verdana" w:eastAsia="Calibri" w:hAnsi="Verdana" w:cs="Arial"/>
          <w:i/>
          <w:color w:val="000000"/>
          <w:sz w:val="21"/>
          <w:szCs w:val="21"/>
          <w:lang w:bidi="es-ES"/>
        </w:rPr>
        <w:t xml:space="preserve">, las reglas del Estatuto General de Contratación de la Administración Pública contenidas en la actualidad en las Leyes 80 de 1993, 1150 de 2007 y 1474 de 2011, no resultan de aplicación automática a tales convenios, toda vez que ese Estatuto lo que esencialmente regula son relaciones contractuales de contenido patrimonial y oneroso. En tal sentido, en cada caso concreto deberá analizarse, de conformidad con la naturaleza jurídica, objeto y finalidad </w:t>
      </w:r>
      <w:r w:rsidRPr="00753F03">
        <w:rPr>
          <w:rFonts w:ascii="Verdana" w:eastAsia="Calibri" w:hAnsi="Verdana" w:cs="Arial"/>
          <w:i/>
          <w:color w:val="000000"/>
          <w:sz w:val="21"/>
          <w:szCs w:val="21"/>
          <w:lang w:bidi="es-ES"/>
        </w:rPr>
        <w:lastRenderedPageBreak/>
        <w:t>que se pretende cumplir o desarrollar con el respectivo convenio, si la disposición correspondiente del Estatuto Contractual es aplicable o no”</w:t>
      </w:r>
      <w:r w:rsidRPr="00753F03">
        <w:rPr>
          <w:rFonts w:ascii="Verdana" w:eastAsia="Calibri" w:hAnsi="Verdana" w:cs="Arial"/>
          <w:color w:val="000000"/>
          <w:sz w:val="21"/>
          <w:szCs w:val="21"/>
          <w:lang w:bidi="es-ES"/>
        </w:rPr>
        <w:t>.</w:t>
      </w:r>
      <w:r w:rsidRPr="00753F03">
        <w:rPr>
          <w:rFonts w:ascii="Verdana" w:eastAsia="Calibri" w:hAnsi="Verdana" w:cs="Arial"/>
          <w:color w:val="000000"/>
          <w:sz w:val="21"/>
          <w:szCs w:val="21"/>
          <w:vertAlign w:val="superscript"/>
          <w:lang w:bidi="es-ES"/>
        </w:rPr>
        <w:footnoteReference w:id="6"/>
      </w:r>
      <w:r w:rsidRPr="00753F03">
        <w:rPr>
          <w:rFonts w:ascii="Verdana" w:eastAsia="Calibri" w:hAnsi="Verdana" w:cs="Arial"/>
          <w:color w:val="000000"/>
          <w:sz w:val="21"/>
          <w:szCs w:val="21"/>
          <w:lang w:bidi="es-ES"/>
        </w:rPr>
        <w:t xml:space="preserve"> [Énfasis fuera de texto] </w:t>
      </w:r>
    </w:p>
    <w:p w14:paraId="4E41414D" w14:textId="77777777" w:rsidR="00CE3D70" w:rsidRPr="00753F03" w:rsidRDefault="00CE3D70" w:rsidP="00CE3D70">
      <w:pPr>
        <w:tabs>
          <w:tab w:val="left" w:pos="426"/>
        </w:tabs>
        <w:snapToGrid w:val="0"/>
        <w:spacing w:after="0" w:line="240" w:lineRule="auto"/>
        <w:jc w:val="both"/>
        <w:rPr>
          <w:rFonts w:ascii="Verdana" w:eastAsia="Times New Roman" w:hAnsi="Verdana" w:cs="Arial"/>
          <w:lang w:eastAsia="es-CO"/>
        </w:rPr>
      </w:pPr>
    </w:p>
    <w:p w14:paraId="38730DA0" w14:textId="77777777" w:rsidR="00CE3D70" w:rsidRPr="00753F03" w:rsidRDefault="00CE3D70" w:rsidP="00CE3D70">
      <w:pPr>
        <w:numPr>
          <w:ilvl w:val="0"/>
          <w:numId w:val="22"/>
        </w:numPr>
        <w:snapToGrid w:val="0"/>
        <w:spacing w:line="276" w:lineRule="auto"/>
        <w:contextualSpacing/>
        <w:jc w:val="both"/>
        <w:rPr>
          <w:rFonts w:ascii="Verdana" w:eastAsia="Times New Roman" w:hAnsi="Verdana" w:cs="Arial"/>
          <w:kern w:val="2"/>
          <w:lang w:val="es-ES_tradnl" w:eastAsia="es-CO"/>
          <w14:ligatures w14:val="standardContextual"/>
        </w:rPr>
      </w:pPr>
      <w:r w:rsidRPr="00753F03">
        <w:rPr>
          <w:rFonts w:ascii="Verdana" w:eastAsia="Times New Roman" w:hAnsi="Verdana" w:cs="Arial"/>
          <w:kern w:val="2"/>
          <w:lang w:val="es-ES_tradnl" w:eastAsia="es-CO"/>
          <w14:ligatures w14:val="standardContextual"/>
        </w:rPr>
        <w:t xml:space="preserve">No existe una definición legal que diferencie los conceptos de contrato y convenio. En tal sentido, teniendo en cuenta sus características comunes, las referencias realizadas por el legislador a estos términos deben asimilarse, salvo que de su contenido logre inferirse que se quiere otorgar un contenido en particular. Por lo demás, se reitera la conclusión en el sentido de que lo que define los contratos o convenios interadministrativos es la naturaleza de las partes, de manera que están determinados por un criterio orgánico, en el sentido de que lo serán aquellos celebrados entre Entidades Estatales. </w:t>
      </w:r>
    </w:p>
    <w:p w14:paraId="30DE871F" w14:textId="77777777" w:rsidR="00CE3D70" w:rsidRPr="00753F03" w:rsidRDefault="00CE3D70" w:rsidP="00CE3D70">
      <w:pPr>
        <w:snapToGrid w:val="0"/>
        <w:spacing w:after="0" w:line="276" w:lineRule="auto"/>
        <w:ind w:left="720"/>
        <w:contextualSpacing/>
        <w:jc w:val="both"/>
        <w:rPr>
          <w:rFonts w:ascii="Verdana" w:eastAsia="Times New Roman" w:hAnsi="Verdana" w:cs="Arial"/>
          <w:kern w:val="2"/>
          <w:lang w:val="es-ES_tradnl" w:eastAsia="es-CO"/>
          <w14:ligatures w14:val="standardContextual"/>
        </w:rPr>
      </w:pPr>
    </w:p>
    <w:p w14:paraId="63F27B7D" w14:textId="77777777" w:rsidR="00CE3D70" w:rsidRPr="00753F03" w:rsidRDefault="00CE3D70" w:rsidP="00CE3D70">
      <w:pPr>
        <w:numPr>
          <w:ilvl w:val="0"/>
          <w:numId w:val="23"/>
        </w:numPr>
        <w:spacing w:line="276" w:lineRule="auto"/>
        <w:contextualSpacing/>
        <w:jc w:val="both"/>
        <w:rPr>
          <w:rFonts w:ascii="Verdana" w:eastAsia="Calibri" w:hAnsi="Verdana" w:cs="Calibri Light"/>
          <w:kern w:val="2"/>
          <w14:ligatures w14:val="standardContextual"/>
        </w:rPr>
      </w:pPr>
      <w:r w:rsidRPr="00753F03">
        <w:rPr>
          <w:rFonts w:ascii="Verdana" w:eastAsia="Calibri" w:hAnsi="Verdana" w:cs="Calibri Light"/>
          <w:kern w:val="2"/>
          <w14:ligatures w14:val="standardContextual"/>
        </w:rPr>
        <w:t xml:space="preserve">Sin perjuicio de lo anterior, corresponderá a cada entidad estatal, en el marco de su autonomía y de acuerdo con las necesidades que procure satisfacer, determinar si lo más adecuado es celebrar un contrato o un convenio interadministrativo, o cualquier otro negocio jurídico, en cada caso concreto, teniendo en cuenta, también, los documentos tipo que para el sector y modalidad de selección hayan sido expedidos. </w:t>
      </w:r>
    </w:p>
    <w:p w14:paraId="68785255" w14:textId="77777777" w:rsidR="00CE3D70" w:rsidRPr="009C11F0" w:rsidRDefault="00CE3D70" w:rsidP="00CE3D70">
      <w:pPr>
        <w:spacing w:after="0" w:line="276" w:lineRule="auto"/>
        <w:jc w:val="both"/>
        <w:rPr>
          <w:rFonts w:ascii="Verdana" w:eastAsia="Calibri" w:hAnsi="Verdana" w:cs="Arial"/>
        </w:rPr>
      </w:pPr>
    </w:p>
    <w:p w14:paraId="6AFB849B" w14:textId="77777777" w:rsidR="00CE3D70" w:rsidRPr="009322DA" w:rsidRDefault="00CE3D70" w:rsidP="00CE3D70">
      <w:pPr>
        <w:jc w:val="both"/>
        <w:rPr>
          <w:rFonts w:ascii="Verdana" w:eastAsia="Calibri" w:hAnsi="Verdana" w:cs="Arial"/>
          <w:b/>
          <w:bCs/>
        </w:rPr>
      </w:pPr>
      <w:r w:rsidRPr="009322DA">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CE3D70" w:rsidRPr="009322DA" w14:paraId="3D20BFB5" w14:textId="77777777" w:rsidTr="003954A6">
        <w:trPr>
          <w:trHeight w:val="870"/>
        </w:trPr>
        <w:tc>
          <w:tcPr>
            <w:tcW w:w="8647" w:type="dxa"/>
            <w:tcBorders>
              <w:top w:val="dotted" w:sz="4" w:space="0" w:color="auto"/>
              <w:left w:val="dotted" w:sz="4" w:space="0" w:color="auto"/>
              <w:bottom w:val="dotted" w:sz="4" w:space="0" w:color="auto"/>
              <w:right w:val="dotted" w:sz="4" w:space="0" w:color="auto"/>
            </w:tcBorders>
          </w:tcPr>
          <w:p w14:paraId="4E1B2691" w14:textId="77777777" w:rsidR="00CE3D70" w:rsidRPr="000C6AD5" w:rsidRDefault="00CE3D70" w:rsidP="003954A6">
            <w:pPr>
              <w:pStyle w:val="Prrafodelista"/>
              <w:jc w:val="both"/>
              <w:rPr>
                <w:rFonts w:ascii="Verdana" w:eastAsia="Calibri" w:hAnsi="Verdana" w:cs="Arial"/>
                <w:bCs/>
              </w:rPr>
            </w:pPr>
          </w:p>
          <w:p w14:paraId="02A3770D" w14:textId="77777777" w:rsidR="00CE3D70" w:rsidRPr="00915E40" w:rsidRDefault="00CE3D70" w:rsidP="00CE3D70">
            <w:pPr>
              <w:widowControl w:val="0"/>
              <w:numPr>
                <w:ilvl w:val="0"/>
                <w:numId w:val="24"/>
              </w:numPr>
              <w:autoSpaceDE w:val="0"/>
              <w:autoSpaceDN w:val="0"/>
              <w:spacing w:after="120" w:line="276" w:lineRule="auto"/>
              <w:ind w:left="714" w:hanging="357"/>
              <w:jc w:val="both"/>
              <w:rPr>
                <w:rFonts w:ascii="Verdana" w:eastAsia="Calibri" w:hAnsi="Verdana" w:cs="Arial"/>
                <w:lang w:val="es-ES_tradnl"/>
              </w:rPr>
            </w:pPr>
            <w:r w:rsidRPr="00915E40">
              <w:rPr>
                <w:rFonts w:ascii="Verdana" w:eastAsia="Calibri" w:hAnsi="Verdana" w:cs="Arial"/>
                <w:lang w:val="es-ES_tradnl"/>
              </w:rPr>
              <w:t xml:space="preserve">Ley 2022 de 2020, artículo 1. </w:t>
            </w:r>
          </w:p>
          <w:p w14:paraId="541AD030" w14:textId="77777777" w:rsidR="00CE3D70" w:rsidRPr="00915E40" w:rsidRDefault="00CE3D70" w:rsidP="00CE3D70">
            <w:pPr>
              <w:widowControl w:val="0"/>
              <w:numPr>
                <w:ilvl w:val="0"/>
                <w:numId w:val="24"/>
              </w:numPr>
              <w:autoSpaceDE w:val="0"/>
              <w:autoSpaceDN w:val="0"/>
              <w:spacing w:after="120" w:line="276" w:lineRule="auto"/>
              <w:jc w:val="both"/>
              <w:rPr>
                <w:rFonts w:ascii="Verdana" w:eastAsia="Calibri" w:hAnsi="Verdana" w:cs="Arial"/>
              </w:rPr>
            </w:pPr>
            <w:r w:rsidRPr="00915E40">
              <w:rPr>
                <w:rFonts w:ascii="Verdana" w:eastAsia="Calibri" w:hAnsi="Verdana" w:cs="Arial"/>
              </w:rPr>
              <w:t>Ley 1150 de 2007, artículo 2.</w:t>
            </w:r>
          </w:p>
          <w:p w14:paraId="23B1B090" w14:textId="77777777" w:rsidR="00CE3D70" w:rsidRPr="00915E40" w:rsidRDefault="00CE3D70" w:rsidP="00CE3D70">
            <w:pPr>
              <w:widowControl w:val="0"/>
              <w:numPr>
                <w:ilvl w:val="0"/>
                <w:numId w:val="24"/>
              </w:numPr>
              <w:autoSpaceDE w:val="0"/>
              <w:autoSpaceDN w:val="0"/>
              <w:spacing w:after="120" w:line="276" w:lineRule="auto"/>
              <w:jc w:val="both"/>
              <w:rPr>
                <w:rFonts w:ascii="Verdana" w:eastAsia="Calibri" w:hAnsi="Verdana" w:cs="Arial"/>
              </w:rPr>
            </w:pPr>
            <w:r w:rsidRPr="00915E40">
              <w:rPr>
                <w:rFonts w:ascii="Verdana" w:eastAsia="Calibri" w:hAnsi="Verdana" w:cs="Arial"/>
              </w:rPr>
              <w:t>Ley 489 de 1995, artículo 95.</w:t>
            </w:r>
          </w:p>
          <w:p w14:paraId="72CF36BD" w14:textId="77777777" w:rsidR="00CE3D70" w:rsidRPr="00915E40" w:rsidRDefault="00CE3D70" w:rsidP="00CE3D70">
            <w:pPr>
              <w:widowControl w:val="0"/>
              <w:numPr>
                <w:ilvl w:val="0"/>
                <w:numId w:val="24"/>
              </w:numPr>
              <w:autoSpaceDE w:val="0"/>
              <w:autoSpaceDN w:val="0"/>
              <w:spacing w:after="120" w:line="276" w:lineRule="auto"/>
              <w:jc w:val="both"/>
              <w:rPr>
                <w:rFonts w:ascii="Verdana" w:eastAsia="Calibri" w:hAnsi="Verdana" w:cs="Arial"/>
              </w:rPr>
            </w:pPr>
            <w:r w:rsidRPr="00915E40">
              <w:rPr>
                <w:rFonts w:ascii="Verdana" w:eastAsia="Calibri" w:hAnsi="Verdana" w:cs="Arial"/>
              </w:rPr>
              <w:t>Decreto 1082 de 2015, artículo 2.2.1.2.1.4.4.</w:t>
            </w:r>
          </w:p>
          <w:p w14:paraId="1273D3DE" w14:textId="77777777" w:rsidR="00CE3D70" w:rsidRPr="00915E40" w:rsidRDefault="00CE3D70" w:rsidP="00CE3D70">
            <w:pPr>
              <w:widowControl w:val="0"/>
              <w:numPr>
                <w:ilvl w:val="0"/>
                <w:numId w:val="24"/>
              </w:numPr>
              <w:autoSpaceDE w:val="0"/>
              <w:autoSpaceDN w:val="0"/>
              <w:spacing w:after="120" w:line="276" w:lineRule="auto"/>
              <w:jc w:val="both"/>
              <w:rPr>
                <w:rFonts w:ascii="Verdana" w:eastAsia="Calibri" w:hAnsi="Verdana" w:cs="Arial"/>
              </w:rPr>
            </w:pPr>
            <w:r w:rsidRPr="00915E40">
              <w:rPr>
                <w:rFonts w:ascii="Verdana" w:eastAsia="Calibri" w:hAnsi="Verdana" w:cs="Arial"/>
              </w:rPr>
              <w:t xml:space="preserve">Consejo de Estado. Sección Tercera. Sentencia del 23 de junio de 2010. Radicación No. 66001-23-31-000-1998-00261-01(17.860). </w:t>
            </w:r>
            <w:r w:rsidRPr="00915E40">
              <w:rPr>
                <w:rFonts w:ascii="Verdana" w:eastAsia="Calibri" w:hAnsi="Verdana" w:cs="Arial"/>
              </w:rPr>
              <w:lastRenderedPageBreak/>
              <w:t>C.P. Mauricio Fajardo Gómez.</w:t>
            </w:r>
          </w:p>
          <w:p w14:paraId="0093B203" w14:textId="77777777" w:rsidR="00CE3D70" w:rsidRPr="00775458" w:rsidRDefault="00CE3D70" w:rsidP="003954A6">
            <w:pPr>
              <w:widowControl w:val="0"/>
              <w:autoSpaceDE w:val="0"/>
              <w:autoSpaceDN w:val="0"/>
              <w:spacing w:line="276" w:lineRule="auto"/>
              <w:contextualSpacing/>
              <w:jc w:val="both"/>
              <w:rPr>
                <w:rFonts w:ascii="Verdana" w:hAnsi="Verdana" w:cs="Arial"/>
              </w:rPr>
            </w:pPr>
            <w:r w:rsidRPr="00915E40">
              <w:rPr>
                <w:rFonts w:ascii="Verdana" w:eastAsia="Calibri" w:hAnsi="Verdana" w:cs="Arial"/>
                <w:lang w:val="es-ES_tradnl"/>
              </w:rPr>
              <w:t xml:space="preserve">Documentos Tipo. Disponibles en: </w:t>
            </w:r>
            <w:hyperlink r:id="rId12" w:history="1">
              <w:r w:rsidRPr="00915E40">
                <w:rPr>
                  <w:rFonts w:ascii="Verdana" w:eastAsia="Calibri" w:hAnsi="Verdana" w:cs="Arial"/>
                  <w:color w:val="0000FF"/>
                  <w:u w:val="single"/>
                  <w:lang w:val="es-ES_tradnl"/>
                </w:rPr>
                <w:t>https://www.colombiacompra.gov.co/documentos-tipo/documentos-tipo</w:t>
              </w:r>
            </w:hyperlink>
            <w:r w:rsidRPr="00915E40">
              <w:rPr>
                <w:rFonts w:ascii="Verdana" w:eastAsia="Calibri" w:hAnsi="Verdana" w:cs="Arial"/>
                <w:lang w:val="es-ES_tradnl"/>
              </w:rPr>
              <w:t>.</w:t>
            </w:r>
          </w:p>
        </w:tc>
      </w:tr>
    </w:tbl>
    <w:p w14:paraId="2C675973" w14:textId="77777777" w:rsidR="00CE3D70" w:rsidRPr="009322DA" w:rsidRDefault="00CE3D70" w:rsidP="00CE3D70">
      <w:pPr>
        <w:tabs>
          <w:tab w:val="left" w:pos="142"/>
          <w:tab w:val="left" w:pos="284"/>
        </w:tabs>
        <w:spacing w:after="0" w:line="276" w:lineRule="auto"/>
        <w:jc w:val="both"/>
        <w:rPr>
          <w:rFonts w:ascii="Verdana" w:eastAsia="Calibri" w:hAnsi="Verdana" w:cs="Arial"/>
        </w:rPr>
      </w:pPr>
    </w:p>
    <w:p w14:paraId="13DF55CA" w14:textId="77777777" w:rsidR="00CE3D70" w:rsidRPr="009322DA" w:rsidRDefault="00CE3D70" w:rsidP="00CE3D70">
      <w:pPr>
        <w:tabs>
          <w:tab w:val="left" w:pos="142"/>
          <w:tab w:val="left" w:pos="284"/>
        </w:tabs>
        <w:spacing w:after="0" w:line="276" w:lineRule="auto"/>
        <w:jc w:val="both"/>
        <w:rPr>
          <w:rFonts w:ascii="Verdana" w:eastAsia="Century Gothic" w:hAnsi="Verdana" w:cs="Century Gothic"/>
          <w:b/>
          <w:bCs/>
          <w:lang w:val="es-ES"/>
        </w:rPr>
      </w:pPr>
      <w:r w:rsidRPr="009322DA">
        <w:rPr>
          <w:rFonts w:ascii="Verdana" w:eastAsia="Calibri" w:hAnsi="Verdana" w:cs="Arial"/>
        </w:rPr>
        <w:t>5.</w:t>
      </w:r>
      <w:r w:rsidRPr="009322DA">
        <w:rPr>
          <w:rFonts w:ascii="Verdana" w:eastAsia="Century Gothic" w:hAnsi="Verdana" w:cs="Century Gothic"/>
          <w:b/>
          <w:bCs/>
          <w:lang w:val="es-ES"/>
        </w:rPr>
        <w:t>Doctrina de la Agencia Nacional de Contratación Pública:</w:t>
      </w:r>
    </w:p>
    <w:p w14:paraId="79EAE505" w14:textId="77777777" w:rsidR="00CE3D70" w:rsidRPr="009322DA" w:rsidRDefault="00CE3D70" w:rsidP="00CE3D70">
      <w:pPr>
        <w:widowControl w:val="0"/>
        <w:autoSpaceDE w:val="0"/>
        <w:autoSpaceDN w:val="0"/>
        <w:spacing w:after="0" w:line="276" w:lineRule="auto"/>
        <w:jc w:val="both"/>
        <w:rPr>
          <w:rFonts w:ascii="Verdana" w:eastAsia="Calibri" w:hAnsi="Verdana" w:cs="Arial"/>
        </w:rPr>
      </w:pPr>
    </w:p>
    <w:p w14:paraId="4360EB53" w14:textId="77777777" w:rsidR="00CE3D70" w:rsidRDefault="00CE3D70" w:rsidP="00CE3D70">
      <w:pPr>
        <w:widowControl w:val="0"/>
        <w:autoSpaceDE w:val="0"/>
        <w:autoSpaceDN w:val="0"/>
        <w:spacing w:after="0" w:line="276" w:lineRule="auto"/>
        <w:jc w:val="both"/>
        <w:rPr>
          <w:rFonts w:ascii="Verdana" w:eastAsia="Times New Roman" w:hAnsi="Verdana" w:cs="Arial"/>
          <w:shd w:val="clear" w:color="auto" w:fill="FFFFFF"/>
          <w:lang w:val="es-ES"/>
        </w:rPr>
      </w:pPr>
      <w:r w:rsidRPr="00C269C0">
        <w:rPr>
          <w:rFonts w:ascii="Verdana" w:eastAsia="Calibri" w:hAnsi="Verdana" w:cs="Arial"/>
          <w:shd w:val="clear" w:color="auto" w:fill="FFFFFF"/>
        </w:rPr>
        <w:t>L</w:t>
      </w:r>
      <w:r w:rsidRPr="00C269C0">
        <w:rPr>
          <w:rFonts w:ascii="Verdana" w:eastAsia="Calibri" w:hAnsi="Verdana" w:cs="Arial"/>
          <w:shd w:val="clear" w:color="auto" w:fill="FFFFFF"/>
          <w:lang w:val="es-ES"/>
        </w:rPr>
        <w:t>a Agencia Nacional de Contratación Pública – Colombia Compra Eficiente,</w:t>
      </w:r>
      <w:r w:rsidRPr="0075145D">
        <w:rPr>
          <w:rFonts w:ascii="Verdana" w:eastAsia="Calibri" w:hAnsi="Verdana" w:cs="Arial"/>
          <w:shd w:val="clear" w:color="auto" w:fill="FFFFFF"/>
          <w:lang w:val="es-ES"/>
        </w:rPr>
        <w:t xml:space="preserve"> </w:t>
      </w:r>
      <w:r>
        <w:rPr>
          <w:rFonts w:ascii="Verdana" w:eastAsia="Calibri" w:hAnsi="Verdana" w:cs="Arial"/>
          <w:shd w:val="clear" w:color="auto" w:fill="FFFFFF"/>
          <w:lang w:val="es-ES"/>
        </w:rPr>
        <w:t xml:space="preserve">se ha pronunciado sobre el fundamento normativo de los documentos tipo en los conceptos: </w:t>
      </w:r>
      <w:r w:rsidRPr="00484D44">
        <w:rPr>
          <w:rFonts w:ascii="Verdana" w:eastAsia="Times New Roman" w:hAnsi="Verdana" w:cs="Arial"/>
          <w:shd w:val="clear" w:color="auto" w:fill="FFFFFF"/>
          <w:lang w:val="es-ES"/>
        </w:rPr>
        <w:t>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w:t>
      </w:r>
      <w:r>
        <w:rPr>
          <w:rFonts w:ascii="Verdana" w:eastAsia="Times New Roman" w:hAnsi="Verdana" w:cs="Arial"/>
          <w:shd w:val="clear" w:color="auto" w:fill="FFFFFF"/>
          <w:lang w:val="es-ES"/>
        </w:rPr>
        <w:t xml:space="preserve">, C- 272 del 22 de agosto de 2024, C- 516 del 07 de octubre de 2024, C- 481 del 09 de noviembre de 2024 y C- 692 del 19 de noviembre de 2024. </w:t>
      </w:r>
    </w:p>
    <w:p w14:paraId="7830A864" w14:textId="77777777" w:rsidR="00CE3D70" w:rsidRDefault="00CE3D70" w:rsidP="00CE3D70">
      <w:pPr>
        <w:widowControl w:val="0"/>
        <w:autoSpaceDE w:val="0"/>
        <w:autoSpaceDN w:val="0"/>
        <w:spacing w:after="0" w:line="276" w:lineRule="auto"/>
        <w:jc w:val="both"/>
        <w:rPr>
          <w:rFonts w:ascii="Verdana" w:eastAsia="Times New Roman" w:hAnsi="Verdana" w:cs="Arial"/>
          <w:shd w:val="clear" w:color="auto" w:fill="FFFFFF"/>
          <w:lang w:val="es-ES"/>
        </w:rPr>
      </w:pPr>
    </w:p>
    <w:p w14:paraId="7DB8EAFA" w14:textId="77777777" w:rsidR="00CE3D70" w:rsidRPr="00301216" w:rsidRDefault="00CE3D70" w:rsidP="00CE3D70">
      <w:pPr>
        <w:widowControl w:val="0"/>
        <w:autoSpaceDE w:val="0"/>
        <w:autoSpaceDN w:val="0"/>
        <w:spacing w:after="0" w:line="276" w:lineRule="auto"/>
        <w:jc w:val="both"/>
        <w:rPr>
          <w:rFonts w:ascii="Verdana" w:eastAsia="Times New Roman" w:hAnsi="Verdana" w:cs="Arial"/>
          <w:shd w:val="clear" w:color="auto" w:fill="FFFFFF"/>
          <w:lang w:val="es-ES"/>
        </w:rPr>
      </w:pPr>
      <w:r>
        <w:rPr>
          <w:rFonts w:ascii="Verdana" w:eastAsia="Times New Roman" w:hAnsi="Verdana" w:cs="Arial"/>
          <w:shd w:val="clear" w:color="auto" w:fill="FFFFFF"/>
          <w:lang w:val="es-ES"/>
        </w:rPr>
        <w:t>Además,</w:t>
      </w:r>
      <w:r w:rsidRPr="0034260B">
        <w:rPr>
          <w:rFonts w:ascii="Verdana" w:hAnsi="Verdana"/>
          <w:kern w:val="2"/>
          <w:shd w:val="clear" w:color="auto" w:fill="FFFFFF"/>
          <w:lang w:val="es-ES"/>
          <w14:ligatures w14:val="standardContextual"/>
        </w:rPr>
        <w:t xml:space="preserve"> </w:t>
      </w:r>
      <w:r>
        <w:rPr>
          <w:rFonts w:ascii="Verdana" w:hAnsi="Verdana"/>
          <w:kern w:val="2"/>
          <w:shd w:val="clear" w:color="auto" w:fill="FFFFFF"/>
          <w:lang w:val="es-ES"/>
          <w14:ligatures w14:val="standardContextual"/>
        </w:rPr>
        <w:t>analizó el régimen jurídico de los convenios y/o contratos interadministrativos, entre otros, en los conceptos C-562 del 7 de septiembre del 2022, C-738 de 4 de noviembre de 2022, C-021 del 24 de febrero de 2023, C-182 del 29 de junio de 2023, C-187 del 15 de junio de 2023, C-360 del 12 de septiembre de 2023, C-379 del 19 de octubre de 2023, C-427 del 27 de noviembre de 2023 y C-091 del 6 de junio de 2024. Esta Agencia también</w:t>
      </w:r>
      <w:r>
        <w:rPr>
          <w:rFonts w:ascii="Aptos" w:eastAsia="Aptos" w:hAnsi="Aptos" w:cs="Times New Roman"/>
          <w:kern w:val="2"/>
          <w14:ligatures w14:val="standardContextual"/>
        </w:rPr>
        <w:t xml:space="preserve"> </w:t>
      </w:r>
      <w:r>
        <w:rPr>
          <w:rFonts w:ascii="Verdana" w:hAnsi="Verdana"/>
          <w:kern w:val="2"/>
          <w:shd w:val="clear" w:color="auto" w:fill="FFFFFF"/>
          <w:lang w:val="es-ES"/>
          <w14:ligatures w14:val="standardContextual"/>
        </w:rPr>
        <w:t xml:space="preserve">se pronunció sobre los pliegos de condiciones tipo en la contratación estatal, en los conceptos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w:t>
      </w:r>
      <w:r>
        <w:rPr>
          <w:rFonts w:ascii="Verdana" w:hAnsi="Verdana"/>
          <w:kern w:val="2"/>
          <w:shd w:val="clear" w:color="auto" w:fill="FFFFFF"/>
          <w:lang w:val="es-ES"/>
          <w14:ligatures w14:val="standardContextual"/>
        </w:rPr>
        <w:lastRenderedPageBreak/>
        <w:t>del 26 de agosto de 2020, C-570 del 27 de agosto de 2020, C-713 del 2 de diciembre de 2020, C-744 del 22 de diciembre de 2020, C-031 del 1 de febrero de 2021, C-157 de 13 de abril de 2021, C-862 del 16 de diciembre de 2022, C-217 del 12 de julio de 2024</w:t>
      </w:r>
      <w:r>
        <w:rPr>
          <w:rFonts w:ascii="Verdana" w:eastAsia="Times New Roman" w:hAnsi="Verdana" w:cs="Arial"/>
          <w:shd w:val="clear" w:color="auto" w:fill="FFFFFF"/>
          <w:lang w:val="es-ES"/>
        </w:rPr>
        <w:t xml:space="preserve">  y C- 870 del 15 de diciembre de 2024.  </w:t>
      </w:r>
      <w:r w:rsidRPr="008328CE">
        <w:rPr>
          <w:rFonts w:ascii="Verdana" w:eastAsia="Calibri"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8328CE">
          <w:rPr>
            <w:rStyle w:val="Hipervnculo"/>
            <w:rFonts w:ascii="Verdana" w:eastAsia="Calibri" w:hAnsi="Verdana" w:cs="Arial"/>
            <w:color w:val="000000" w:themeColor="text1"/>
            <w:shd w:val="clear" w:color="auto" w:fill="FFFFFF"/>
          </w:rPr>
          <w:t>https://relatoria.colombiacompra.gov.co/</w:t>
        </w:r>
      </w:hyperlink>
      <w:r w:rsidRPr="008328CE">
        <w:rPr>
          <w:rFonts w:ascii="Verdana" w:eastAsia="Calibri" w:hAnsi="Verdana" w:cs="Arial"/>
          <w:color w:val="000000" w:themeColor="text1"/>
          <w:shd w:val="clear" w:color="auto" w:fill="FFFFFF"/>
        </w:rPr>
        <w:t> .</w:t>
      </w:r>
    </w:p>
    <w:p w14:paraId="3A1B7354" w14:textId="77777777" w:rsidR="00CE3D70" w:rsidRDefault="00CE3D70" w:rsidP="00CE3D70">
      <w:pPr>
        <w:spacing w:after="0" w:line="240" w:lineRule="auto"/>
        <w:jc w:val="both"/>
        <w:rPr>
          <w:rFonts w:ascii="Verdana" w:eastAsia="Calibri" w:hAnsi="Verdana" w:cs="Arial"/>
          <w:color w:val="000000" w:themeColor="text1"/>
          <w:shd w:val="clear" w:color="auto" w:fill="FFFFFF"/>
        </w:rPr>
      </w:pPr>
    </w:p>
    <w:p w14:paraId="4A2436C1" w14:textId="77777777" w:rsidR="00CE3D70" w:rsidRPr="00A456A7" w:rsidRDefault="00CE3D70" w:rsidP="00CE3D70">
      <w:pPr>
        <w:widowControl w:val="0"/>
        <w:autoSpaceDE w:val="0"/>
        <w:autoSpaceDN w:val="0"/>
        <w:spacing w:after="0" w:line="276" w:lineRule="auto"/>
        <w:jc w:val="both"/>
        <w:rPr>
          <w:rFonts w:ascii="Verdana" w:hAnsi="Verdana"/>
          <w:u w:val="single"/>
        </w:rPr>
      </w:pPr>
      <w:r w:rsidRPr="00A456A7">
        <w:rPr>
          <w:rFonts w:ascii="Verdana" w:hAnsi="Verdana"/>
        </w:rPr>
        <w:t>Le informamos que ya se encuentra disponible la </w:t>
      </w:r>
      <w:r w:rsidRPr="00A456A7">
        <w:rPr>
          <w:rFonts w:ascii="Verdana" w:hAnsi="Verdana"/>
          <w:b/>
          <w:bCs/>
        </w:rPr>
        <w:t>Guía para el manejo de ofertas artificialmente bajas en Procesos de Contratación.</w:t>
      </w:r>
      <w:r w:rsidRPr="00A456A7">
        <w:rPr>
          <w:rFonts w:ascii="Verdana" w:hAnsi="Verdana"/>
        </w:rPr>
        <w:t xml:space="preserve"> En </w:t>
      </w:r>
      <w:r w:rsidRPr="008774D0">
        <w:rPr>
          <w:rFonts w:ascii="Verdana" w:hAnsi="Verdana"/>
        </w:rPr>
        <w:t>este documento</w:t>
      </w:r>
      <w:r w:rsidRPr="00A456A7">
        <w:rPr>
          <w:rFonts w:ascii="Verdana" w:hAnsi="Verdana"/>
        </w:rPr>
        <w:t xml:space="preserve"> podrás consultar una serie de pautas para el manejo ofertas artificialmente bajas, en línea con las mejores prácticas internacionales en la materia. Puede consultar la versión actualizada en el siguiente enlace: </w:t>
      </w:r>
      <w:hyperlink r:id="rId14" w:tgtFrame="_blank" w:tooltip="Dirección URL original: https://www.colombiacompra.gov.co/manuales-guias-y-pliegos-tipo/manuales-y-guias/guia-para-el-manejo-de-ofertas-artificialmente-baja-0. Haga clic o pulse si confía en este vínculo." w:history="1">
        <w:r w:rsidRPr="00A456A7">
          <w:rPr>
            <w:rStyle w:val="Hipervnculo"/>
            <w:rFonts w:ascii="Verdana" w:hAnsi="Verdana"/>
          </w:rPr>
          <w:t>https://www.colombiacompra.gov.co/manuales-guias-y-pliegos-tipo/manuales-y-guias/guia-para-el-manejo-de-ofertas-artificialmente-baja-0</w:t>
        </w:r>
      </w:hyperlink>
      <w:r w:rsidRPr="00A456A7">
        <w:rPr>
          <w:rFonts w:ascii="Verdana" w:hAnsi="Verdana"/>
          <w:u w:val="single"/>
        </w:rPr>
        <w:t> </w:t>
      </w:r>
    </w:p>
    <w:p w14:paraId="6A5570C3" w14:textId="77777777" w:rsidR="00CE3D70" w:rsidRPr="00A456A7" w:rsidRDefault="00CE3D70" w:rsidP="00CE3D70">
      <w:pPr>
        <w:widowControl w:val="0"/>
        <w:autoSpaceDE w:val="0"/>
        <w:autoSpaceDN w:val="0"/>
        <w:spacing w:after="0" w:line="276" w:lineRule="auto"/>
        <w:jc w:val="both"/>
        <w:rPr>
          <w:rFonts w:ascii="Verdana" w:hAnsi="Verdana"/>
        </w:rPr>
      </w:pPr>
    </w:p>
    <w:p w14:paraId="6AD3E332" w14:textId="77777777" w:rsidR="00CE3D70" w:rsidRPr="00A456A7" w:rsidRDefault="00CE3D70" w:rsidP="00CE3D70">
      <w:pPr>
        <w:widowControl w:val="0"/>
        <w:autoSpaceDE w:val="0"/>
        <w:autoSpaceDN w:val="0"/>
        <w:spacing w:after="0" w:line="276" w:lineRule="auto"/>
        <w:jc w:val="both"/>
        <w:rPr>
          <w:rFonts w:ascii="Verdana" w:hAnsi="Verdana"/>
        </w:rPr>
      </w:pPr>
      <w:r w:rsidRPr="00A456A7">
        <w:rPr>
          <w:rFonts w:ascii="Verdana" w:hAnsi="Verdana"/>
        </w:rPr>
        <w:t>De otra parte, te contamos que ya publicamos la </w:t>
      </w:r>
      <w:r w:rsidRPr="00A456A7">
        <w:rPr>
          <w:rFonts w:ascii="Verdana" w:hAnsi="Verdana"/>
          <w:b/>
          <w:bCs/>
        </w:rPr>
        <w:t>Guía para incentivar la participación de Mujeres en el Sistema de Compras y Contratación Pública</w:t>
      </w:r>
      <w:r w:rsidRPr="00A456A7">
        <w:rPr>
          <w:rFonts w:ascii="Verdana" w:hAnsi="Verdana"/>
        </w:rPr>
        <w:t>. Esta guía tiene como finalidad ofrecer información de valor para que las Entidades Estatales fomenten de manera efectiva la participación de las mujeres en el mercado de compras públicas. Puedes consultar la guía en el siguiente enlace: </w:t>
      </w:r>
      <w:hyperlink r:id="rId15" w:tgtFrame="_blank" w:tooltip="Dirección URL original: https://www.colombiacompra.gov.co/manuales-guias-y-pliegos-tipo/manuales-y-guias/guia-para-incentivar-la-participacion-de-las-mujeres. Haga clic o pulse si confía en este vínculo." w:history="1">
        <w:r w:rsidRPr="00A456A7">
          <w:rPr>
            <w:rStyle w:val="Hipervnculo"/>
            <w:rFonts w:ascii="Verdana" w:hAnsi="Verdana"/>
          </w:rPr>
          <w:t>https://www.colombiacompra.gov.co/manuales-guias-y-pliegos-tipo/manuales-y-guias/guia-para-incentivar-la-participacion-de-las-mujeres</w:t>
        </w:r>
      </w:hyperlink>
    </w:p>
    <w:p w14:paraId="5DBFE6C1" w14:textId="77777777" w:rsidR="00CE3D70" w:rsidRPr="00A456A7" w:rsidRDefault="00CE3D70" w:rsidP="00CE3D70">
      <w:pPr>
        <w:widowControl w:val="0"/>
        <w:autoSpaceDE w:val="0"/>
        <w:autoSpaceDN w:val="0"/>
        <w:spacing w:after="0" w:line="276" w:lineRule="auto"/>
        <w:jc w:val="both"/>
        <w:rPr>
          <w:rFonts w:ascii="Verdana" w:hAnsi="Verdana"/>
        </w:rPr>
      </w:pPr>
    </w:p>
    <w:p w14:paraId="2604620A" w14:textId="77777777" w:rsidR="00CE3D70" w:rsidRPr="00A456A7" w:rsidRDefault="00CE3D70" w:rsidP="00CE3D70">
      <w:pPr>
        <w:widowControl w:val="0"/>
        <w:autoSpaceDE w:val="0"/>
        <w:autoSpaceDN w:val="0"/>
        <w:spacing w:after="0" w:line="276" w:lineRule="auto"/>
        <w:jc w:val="both"/>
        <w:rPr>
          <w:rFonts w:ascii="Verdana" w:hAnsi="Verdana"/>
        </w:rPr>
      </w:pPr>
      <w:r w:rsidRPr="00A456A7">
        <w:rPr>
          <w:rFonts w:ascii="Verdana" w:hAnsi="Verdana"/>
        </w:rPr>
        <w:t>También te invitamos a consultar la </w:t>
      </w:r>
      <w:r w:rsidRPr="00A456A7">
        <w:rPr>
          <w:rFonts w:ascii="Verdana" w:hAnsi="Verdana"/>
          <w:b/>
          <w:bCs/>
        </w:rPr>
        <w:t>versión VIII de 2024</w:t>
      </w:r>
      <w:r w:rsidRPr="00A456A7">
        <w:rPr>
          <w:rFonts w:ascii="Verdana" w:hAnsi="Verdana"/>
        </w:rPr>
        <w:t>, del </w:t>
      </w:r>
      <w:r w:rsidRPr="00A456A7">
        <w:rPr>
          <w:rFonts w:ascii="Verdana" w:hAnsi="Verdana"/>
          <w:b/>
          <w:bCs/>
        </w:rPr>
        <w:t>Boletín de Relatoría</w:t>
      </w:r>
      <w:r w:rsidRPr="00A456A7">
        <w:rPr>
          <w:rFonts w:ascii="Verdana" w:hAnsi="Verdana"/>
        </w:rPr>
        <w:t> de la Subdirección de Gestión Contractual relacionado con la participación de las MIPYMES en los procesos de compra y contratación pública, el cual se puede descargar en la página web de la Agencia: </w:t>
      </w:r>
      <w:hyperlink r:id="rId16" w:tgtFrame="_blank" w:tooltip="Dirección URL original: https://www.colombiacompra.gov.co/sites/cce_public/files/files_2020/boletin_de_realtoria_viii.pdf. Haga clic o pulse si confía en este vínculo." w:history="1">
        <w:r w:rsidRPr="00A456A7">
          <w:rPr>
            <w:rStyle w:val="Hipervnculo"/>
            <w:rFonts w:ascii="Verdana" w:hAnsi="Verdana"/>
          </w:rPr>
          <w:t>https://www.colombiacompra.gov.co/sites/cce_public/files/files_2020/boletin_de_realtoria_viii.pdf</w:t>
        </w:r>
      </w:hyperlink>
    </w:p>
    <w:p w14:paraId="1131F101" w14:textId="77777777" w:rsidR="00CE3D70" w:rsidRPr="006C7E16" w:rsidRDefault="00CE3D70" w:rsidP="00CE3D70">
      <w:pPr>
        <w:widowControl w:val="0"/>
        <w:autoSpaceDE w:val="0"/>
        <w:autoSpaceDN w:val="0"/>
        <w:spacing w:after="0" w:line="276" w:lineRule="auto"/>
        <w:jc w:val="both"/>
      </w:pPr>
    </w:p>
    <w:p w14:paraId="43F75EE6" w14:textId="77777777" w:rsidR="00CE3D70" w:rsidRPr="009322DA" w:rsidRDefault="00CE3D70" w:rsidP="00CE3D70">
      <w:pPr>
        <w:spacing w:after="0" w:line="240" w:lineRule="auto"/>
        <w:jc w:val="both"/>
        <w:rPr>
          <w:rFonts w:ascii="Calibri" w:eastAsia="Calibri" w:hAnsi="Calibri" w:cs="Times New Roman"/>
        </w:rPr>
      </w:pPr>
      <w:r w:rsidRPr="0044528D">
        <w:rPr>
          <w:rFonts w:ascii="Verdana" w:hAnsi="Verdana"/>
        </w:rPr>
        <w:t xml:space="preserve">Por último, lo invitamos a seguirnos en las redes sociales en las cuales se difunde información institucional: </w:t>
      </w:r>
    </w:p>
    <w:p w14:paraId="0400657D" w14:textId="77777777" w:rsidR="00CE3D70" w:rsidRPr="0044528D" w:rsidRDefault="00CE3D70" w:rsidP="00CE3D70">
      <w:pPr>
        <w:spacing w:after="0" w:line="240" w:lineRule="auto"/>
        <w:jc w:val="both"/>
        <w:rPr>
          <w:rFonts w:ascii="Verdana" w:hAnsi="Verdana"/>
        </w:rPr>
      </w:pPr>
    </w:p>
    <w:p w14:paraId="1E422E46" w14:textId="77777777" w:rsidR="00CE3D70" w:rsidRPr="0044528D" w:rsidRDefault="00CE3D70" w:rsidP="00CE3D70">
      <w:pPr>
        <w:spacing w:after="0" w:line="240" w:lineRule="auto"/>
        <w:jc w:val="both"/>
        <w:rPr>
          <w:rFonts w:ascii="Verdana" w:hAnsi="Verdana"/>
        </w:rPr>
      </w:pPr>
      <w:r w:rsidRPr="0044528D">
        <w:rPr>
          <w:rFonts w:ascii="Verdana" w:hAnsi="Verdana"/>
        </w:rPr>
        <w:t xml:space="preserve">Twitter: </w:t>
      </w:r>
      <w:r w:rsidRPr="009322DA">
        <w:rPr>
          <w:rFonts w:ascii="Verdana" w:eastAsia="Calibri" w:hAnsi="Verdana" w:cs="Times New Roman"/>
          <w:color w:val="4472C4" w:themeColor="accent1"/>
          <w:u w:val="single"/>
        </w:rPr>
        <w:t>@colombiacompra</w:t>
      </w:r>
      <w:r w:rsidRPr="009322DA">
        <w:rPr>
          <w:rFonts w:ascii="Verdana" w:eastAsia="Calibri" w:hAnsi="Verdana" w:cs="Times New Roman"/>
          <w:color w:val="4472C4" w:themeColor="accent1"/>
        </w:rPr>
        <w:t xml:space="preserve"> </w:t>
      </w:r>
    </w:p>
    <w:p w14:paraId="6BF6004E" w14:textId="77777777" w:rsidR="00CE3D70" w:rsidRPr="0044528D" w:rsidRDefault="00CE3D70" w:rsidP="00CE3D70">
      <w:pPr>
        <w:spacing w:after="0" w:line="240" w:lineRule="auto"/>
        <w:jc w:val="both"/>
        <w:rPr>
          <w:rFonts w:ascii="Verdana" w:hAnsi="Verdana"/>
        </w:rPr>
      </w:pPr>
      <w:r w:rsidRPr="0044528D">
        <w:rPr>
          <w:rFonts w:ascii="Verdana" w:hAnsi="Verdana"/>
        </w:rPr>
        <w:lastRenderedPageBreak/>
        <w:t xml:space="preserve">Facebook: </w:t>
      </w:r>
      <w:proofErr w:type="spellStart"/>
      <w:r w:rsidRPr="009322DA">
        <w:rPr>
          <w:rFonts w:ascii="Verdana" w:eastAsia="Calibri" w:hAnsi="Verdana" w:cs="Times New Roman"/>
          <w:color w:val="4472C4" w:themeColor="accent1"/>
          <w:u w:val="single"/>
        </w:rPr>
        <w:t>ColombiaCompraEficiente</w:t>
      </w:r>
      <w:proofErr w:type="spellEnd"/>
    </w:p>
    <w:p w14:paraId="5776981C" w14:textId="77777777" w:rsidR="00CE3D70" w:rsidRPr="0044528D" w:rsidRDefault="00CE3D70" w:rsidP="00CE3D70">
      <w:pPr>
        <w:spacing w:after="0" w:line="240" w:lineRule="auto"/>
        <w:jc w:val="both"/>
        <w:rPr>
          <w:rFonts w:ascii="Verdana" w:hAnsi="Verdana"/>
        </w:rPr>
      </w:pPr>
      <w:r w:rsidRPr="0044528D">
        <w:rPr>
          <w:rFonts w:ascii="Verdana" w:hAnsi="Verdana"/>
        </w:rPr>
        <w:t xml:space="preserve">LinkedIn: </w:t>
      </w:r>
      <w:r w:rsidRPr="009322DA">
        <w:rPr>
          <w:rFonts w:ascii="Verdana" w:eastAsia="Calibri" w:hAnsi="Verdana" w:cs="Times New Roman"/>
          <w:color w:val="4472C4" w:themeColor="accent1"/>
          <w:u w:val="single"/>
        </w:rPr>
        <w:t>Agencia Nacional de Contratación Pública - Colombia Compra Eficiente</w:t>
      </w:r>
      <w:r w:rsidRPr="009322DA">
        <w:rPr>
          <w:rFonts w:ascii="Verdana" w:eastAsia="Calibri" w:hAnsi="Verdana" w:cs="Times New Roman"/>
          <w:color w:val="4472C4" w:themeColor="accent1"/>
        </w:rPr>
        <w:t xml:space="preserve"> </w:t>
      </w:r>
      <w:r w:rsidRPr="0044528D">
        <w:rPr>
          <w:rFonts w:ascii="Verdana" w:hAnsi="Verdana"/>
        </w:rPr>
        <w:t xml:space="preserve">Instagram: </w:t>
      </w:r>
      <w:r w:rsidRPr="009322DA">
        <w:rPr>
          <w:rFonts w:ascii="Verdana" w:eastAsia="Calibri" w:hAnsi="Verdana" w:cs="Times New Roman"/>
          <w:color w:val="4472C4" w:themeColor="accent1"/>
          <w:u w:val="single"/>
        </w:rPr>
        <w:t>@colombiacompraeficiente_cce</w:t>
      </w:r>
    </w:p>
    <w:p w14:paraId="7BB65A09" w14:textId="77777777" w:rsidR="00CE3D70" w:rsidRPr="0044528D" w:rsidRDefault="00CE3D70" w:rsidP="00CE3D70">
      <w:pPr>
        <w:widowControl w:val="0"/>
        <w:autoSpaceDE w:val="0"/>
        <w:autoSpaceDN w:val="0"/>
        <w:spacing w:after="0" w:line="276" w:lineRule="auto"/>
        <w:jc w:val="both"/>
        <w:rPr>
          <w:rFonts w:ascii="Verdana" w:hAnsi="Verdana"/>
        </w:rPr>
      </w:pPr>
    </w:p>
    <w:p w14:paraId="1DA912BE" w14:textId="77777777" w:rsidR="00CE3D70" w:rsidRPr="009322DA" w:rsidRDefault="00CE3D70" w:rsidP="00CE3D70">
      <w:pPr>
        <w:widowControl w:val="0"/>
        <w:autoSpaceDE w:val="0"/>
        <w:autoSpaceDN w:val="0"/>
        <w:spacing w:after="0" w:line="276" w:lineRule="auto"/>
        <w:jc w:val="both"/>
        <w:rPr>
          <w:rFonts w:ascii="Verdana" w:eastAsia="Calibri" w:hAnsi="Verdana" w:cs="Arial"/>
          <w:lang w:val="es-ES_tradnl"/>
        </w:rPr>
      </w:pPr>
      <w:r w:rsidRPr="009322DA">
        <w:rPr>
          <w:rFonts w:ascii="Verdana" w:eastAsia="Calibri" w:hAnsi="Verdana" w:cs="Arial"/>
        </w:rPr>
        <w:t>Este concepto tiene el alcance previsto en el artículo 28 del Código de Procedimiento Administrativo y de lo Contencioso Administrativo.</w:t>
      </w:r>
    </w:p>
    <w:p w14:paraId="7A40C615" w14:textId="77777777" w:rsidR="00CE3D70" w:rsidRPr="009322DA" w:rsidRDefault="00CE3D70" w:rsidP="00CE3D70">
      <w:pPr>
        <w:widowControl w:val="0"/>
        <w:autoSpaceDE w:val="0"/>
        <w:autoSpaceDN w:val="0"/>
        <w:spacing w:after="0" w:line="276" w:lineRule="auto"/>
        <w:jc w:val="both"/>
        <w:rPr>
          <w:rFonts w:ascii="Verdana" w:eastAsia="Calibri" w:hAnsi="Verdana" w:cs="Arial"/>
        </w:rPr>
      </w:pPr>
    </w:p>
    <w:p w14:paraId="21FC0346" w14:textId="77777777" w:rsidR="00CE3D70" w:rsidRPr="009322DA" w:rsidRDefault="00CE3D70" w:rsidP="00CE3D70">
      <w:pPr>
        <w:spacing w:after="0" w:line="240" w:lineRule="auto"/>
        <w:rPr>
          <w:rFonts w:ascii="Verdana" w:eastAsia="Calibri" w:hAnsi="Verdana" w:cs="Arial"/>
          <w:lang w:eastAsia="es-CO"/>
        </w:rPr>
      </w:pPr>
      <w:r w:rsidRPr="009322DA">
        <w:rPr>
          <w:rFonts w:ascii="Verdana" w:eastAsia="Times New Roman" w:hAnsi="Verdana" w:cs="Arial"/>
          <w:lang w:eastAsia="es-CO"/>
        </w:rPr>
        <w:t>Atentamente,</w:t>
      </w:r>
      <w:r w:rsidRPr="009322DA">
        <w:rPr>
          <w:rFonts w:ascii="Verdana" w:eastAsia="Calibri" w:hAnsi="Verdana" w:cs="Arial"/>
          <w:lang w:eastAsia="es-CO"/>
        </w:rPr>
        <w:t xml:space="preserve"> </w:t>
      </w:r>
    </w:p>
    <w:p w14:paraId="5C1660C8" w14:textId="77777777" w:rsidR="00CE3D70" w:rsidRPr="000C6D78" w:rsidRDefault="00CE3D70" w:rsidP="00CE3D70">
      <w:pPr>
        <w:tabs>
          <w:tab w:val="left" w:pos="1320"/>
        </w:tabs>
        <w:rPr>
          <w:rFonts w:ascii="Century Gothic" w:hAnsi="Century Gothic"/>
        </w:rPr>
      </w:pPr>
    </w:p>
    <w:p w14:paraId="618BB604" w14:textId="693671DE" w:rsidR="00CE3D70" w:rsidRDefault="006D76C6" w:rsidP="00CE3D70">
      <w:pPr>
        <w:spacing w:line="276" w:lineRule="auto"/>
        <w:jc w:val="center"/>
        <w:rPr>
          <w:rFonts w:ascii="Century Gothic" w:hAnsi="Century Gothic"/>
          <w:noProof/>
          <w:color w:val="000000"/>
        </w:rPr>
      </w:pPr>
      <w:r w:rsidRPr="00F6639F">
        <w:rPr>
          <w:rFonts w:ascii="Century Gothic" w:eastAsia="Aptos" w:hAnsi="Century Gothic" w:cs="Arial"/>
          <w:noProof/>
          <w:kern w:val="2"/>
          <w14:ligatures w14:val="standardContextual"/>
        </w:rPr>
        <w:drawing>
          <wp:inline distT="0" distB="0" distL="0" distR="0" wp14:anchorId="68BB4470" wp14:editId="733D610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p w14:paraId="47D29DBB" w14:textId="77777777" w:rsidR="00CE3D70" w:rsidRPr="009322DA" w:rsidRDefault="00CE3D70" w:rsidP="00CE3D70">
      <w:pPr>
        <w:spacing w:line="276" w:lineRule="auto"/>
        <w:jc w:val="center"/>
        <w:rPr>
          <w:rFonts w:ascii="Verdana" w:eastAsia="Calibri" w:hAnsi="Verdana" w:cs="Arial"/>
          <w:color w:val="000000"/>
          <w:lang w:val="es-ES_tradnl" w:eastAsia="es-CO"/>
        </w:rPr>
      </w:pP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E3D70" w:rsidRPr="009322DA" w14:paraId="1EE0A10E" w14:textId="77777777" w:rsidTr="003954A6">
        <w:trPr>
          <w:trHeight w:val="315"/>
        </w:trPr>
        <w:tc>
          <w:tcPr>
            <w:tcW w:w="893" w:type="dxa"/>
            <w:vAlign w:val="center"/>
            <w:hideMark/>
          </w:tcPr>
          <w:p w14:paraId="75F9E672" w14:textId="77777777" w:rsidR="00CE3D70" w:rsidRPr="009322DA" w:rsidRDefault="00CE3D70" w:rsidP="003954A6">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F0AA99D" w14:textId="77777777" w:rsidR="00CE3D70" w:rsidRPr="009322DA" w:rsidRDefault="00CE3D70" w:rsidP="003954A6">
            <w:pPr>
              <w:spacing w:after="255"/>
              <w:contextualSpacing/>
              <w:rPr>
                <w:rFonts w:ascii="Verdana" w:eastAsia="Arial" w:hAnsi="Verdana" w:cs="Arial"/>
                <w:sz w:val="16"/>
                <w:szCs w:val="16"/>
              </w:rPr>
            </w:pPr>
            <w:r>
              <w:rPr>
                <w:rFonts w:ascii="Verdana" w:eastAsia="Arial" w:hAnsi="Verdana" w:cs="Arial"/>
                <w:sz w:val="16"/>
                <w:szCs w:val="16"/>
              </w:rPr>
              <w:t xml:space="preserve">Héctor Luis Quiñones </w:t>
            </w:r>
            <w:proofErr w:type="spellStart"/>
            <w:r>
              <w:rPr>
                <w:rFonts w:ascii="Verdana" w:eastAsia="Arial" w:hAnsi="Verdana" w:cs="Arial"/>
                <w:sz w:val="16"/>
                <w:szCs w:val="16"/>
              </w:rPr>
              <w:t>Quiñones</w:t>
            </w:r>
            <w:proofErr w:type="spellEnd"/>
          </w:p>
          <w:p w14:paraId="2719ABCD" w14:textId="77777777" w:rsidR="00CE3D70" w:rsidRPr="009322DA" w:rsidRDefault="00CE3D70" w:rsidP="003954A6">
            <w:pPr>
              <w:spacing w:after="255"/>
              <w:contextualSpacing/>
              <w:rPr>
                <w:rFonts w:ascii="Verdana" w:eastAsia="Arial" w:hAnsi="Verdana" w:cs="Arial"/>
                <w:sz w:val="16"/>
                <w:szCs w:val="16"/>
              </w:rPr>
            </w:pPr>
            <w:r>
              <w:rPr>
                <w:rFonts w:ascii="Verdana" w:eastAsia="Arial" w:hAnsi="Verdana" w:cs="Arial"/>
                <w:sz w:val="16"/>
                <w:szCs w:val="16"/>
              </w:rPr>
              <w:t>Analista T2 – 02</w:t>
            </w:r>
            <w:r w:rsidRPr="009322DA">
              <w:rPr>
                <w:rFonts w:ascii="Verdana" w:eastAsia="Arial" w:hAnsi="Verdana" w:cs="Arial"/>
                <w:sz w:val="16"/>
                <w:szCs w:val="16"/>
              </w:rPr>
              <w:t xml:space="preserve"> de la Subdirección de Gestión Contractual</w:t>
            </w:r>
            <w:r>
              <w:rPr>
                <w:rFonts w:ascii="Verdana" w:eastAsia="Arial" w:hAnsi="Verdana" w:cs="Arial"/>
                <w:sz w:val="16"/>
                <w:szCs w:val="16"/>
              </w:rPr>
              <w:t xml:space="preserve"> </w:t>
            </w:r>
          </w:p>
        </w:tc>
      </w:tr>
      <w:tr w:rsidR="00CE3D70" w:rsidRPr="009322DA" w14:paraId="70C5B1F0" w14:textId="77777777" w:rsidTr="003954A6">
        <w:trPr>
          <w:trHeight w:val="330"/>
        </w:trPr>
        <w:tc>
          <w:tcPr>
            <w:tcW w:w="893" w:type="dxa"/>
            <w:vAlign w:val="center"/>
            <w:hideMark/>
          </w:tcPr>
          <w:p w14:paraId="2A8F57CD" w14:textId="77777777" w:rsidR="00CE3D70" w:rsidRPr="009322DA" w:rsidRDefault="00CE3D70" w:rsidP="003954A6">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8281269" w14:textId="77777777" w:rsidR="00CE3D70" w:rsidRPr="009322DA" w:rsidRDefault="00CE3D70" w:rsidP="003954A6">
            <w:pPr>
              <w:spacing w:after="255"/>
              <w:contextualSpacing/>
              <w:textAlignment w:val="baseline"/>
              <w:rPr>
                <w:rFonts w:ascii="Verdana" w:eastAsia="Times New Roman" w:hAnsi="Verdana" w:cs="Arial"/>
                <w:sz w:val="16"/>
                <w:szCs w:val="16"/>
                <w:lang w:eastAsia="es-ES_tradnl"/>
              </w:rPr>
            </w:pPr>
            <w:r>
              <w:rPr>
                <w:rFonts w:ascii="Verdana" w:eastAsia="Times New Roman" w:hAnsi="Verdana" w:cs="Arial"/>
                <w:sz w:val="16"/>
                <w:szCs w:val="16"/>
                <w:lang w:eastAsia="es-ES_tradnl"/>
              </w:rPr>
              <w:t>Juan Carlos González</w:t>
            </w:r>
          </w:p>
          <w:p w14:paraId="1457362A" w14:textId="77777777" w:rsidR="00CE3D70" w:rsidRPr="009322DA" w:rsidRDefault="00CE3D70" w:rsidP="003954A6">
            <w:pPr>
              <w:contextualSpacing/>
              <w:textAlignment w:val="baseline"/>
              <w:rPr>
                <w:rFonts w:ascii="Verdana" w:eastAsia="Times New Roman" w:hAnsi="Verdana" w:cs="Segoe UI"/>
                <w:sz w:val="16"/>
                <w:szCs w:val="16"/>
                <w:lang w:eastAsia="es-ES_tradnl"/>
              </w:rPr>
            </w:pPr>
            <w:r w:rsidRPr="009322DA">
              <w:rPr>
                <w:rFonts w:ascii="Verdana" w:eastAsia="Times New Roman" w:hAnsi="Verdana" w:cs="Arial"/>
                <w:sz w:val="16"/>
                <w:szCs w:val="16"/>
                <w:lang w:eastAsia="es-ES_tradnl"/>
              </w:rPr>
              <w:t>Contratista de la Subdirección de Gestión Contractual</w:t>
            </w:r>
          </w:p>
        </w:tc>
      </w:tr>
      <w:tr w:rsidR="00CE3D70" w:rsidRPr="009322DA" w14:paraId="0B50475F" w14:textId="77777777" w:rsidTr="003954A6">
        <w:trPr>
          <w:trHeight w:val="300"/>
        </w:trPr>
        <w:tc>
          <w:tcPr>
            <w:tcW w:w="893" w:type="dxa"/>
            <w:vAlign w:val="center"/>
            <w:hideMark/>
          </w:tcPr>
          <w:p w14:paraId="6B48255E" w14:textId="77777777" w:rsidR="00CE3D70" w:rsidRPr="009322DA" w:rsidRDefault="00CE3D70" w:rsidP="003954A6">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9CE779E" w14:textId="77777777" w:rsidR="00CE3D70" w:rsidRPr="009322DA" w:rsidRDefault="00CE3D70" w:rsidP="003954A6">
            <w:pPr>
              <w:spacing w:after="255"/>
              <w:contextualSpacing/>
              <w:rPr>
                <w:rFonts w:ascii="Verdana" w:hAnsi="Verdana" w:cs="Arial"/>
                <w:sz w:val="16"/>
                <w:szCs w:val="16"/>
                <w:lang w:val="pt-BR" w:eastAsia="es-ES"/>
              </w:rPr>
            </w:pPr>
            <w:r w:rsidRPr="009322DA">
              <w:rPr>
                <w:rFonts w:ascii="Verdana" w:hAnsi="Verdana" w:cs="Arial"/>
                <w:sz w:val="16"/>
                <w:szCs w:val="16"/>
                <w:lang w:val="pt-BR" w:eastAsia="es-ES"/>
              </w:rPr>
              <w:t xml:space="preserve">Carolina Quintero </w:t>
            </w:r>
            <w:proofErr w:type="spellStart"/>
            <w:r w:rsidRPr="009322DA">
              <w:rPr>
                <w:rFonts w:ascii="Verdana" w:hAnsi="Verdana" w:cs="Arial"/>
                <w:sz w:val="16"/>
                <w:szCs w:val="16"/>
                <w:lang w:val="pt-BR" w:eastAsia="es-ES"/>
              </w:rPr>
              <w:t>Gacharná</w:t>
            </w:r>
            <w:proofErr w:type="spellEnd"/>
          </w:p>
          <w:p w14:paraId="10CFB49B" w14:textId="77777777" w:rsidR="00CE3D70" w:rsidRPr="009322DA" w:rsidRDefault="00CE3D70" w:rsidP="003954A6">
            <w:pPr>
              <w:spacing w:after="255"/>
              <w:contextualSpacing/>
              <w:rPr>
                <w:rFonts w:ascii="Verdana" w:hAnsi="Verdana" w:cs="Arial"/>
                <w:sz w:val="16"/>
                <w:szCs w:val="16"/>
                <w:lang w:val="pt-BR" w:eastAsia="es-ES"/>
              </w:rPr>
            </w:pPr>
            <w:r w:rsidRPr="009322DA">
              <w:rPr>
                <w:rFonts w:ascii="Verdana" w:hAnsi="Verdana" w:cs="Arial"/>
                <w:sz w:val="16"/>
                <w:szCs w:val="16"/>
                <w:lang w:eastAsia="es-ES"/>
              </w:rPr>
              <w:t>Subdirectora</w:t>
            </w:r>
            <w:r w:rsidRPr="009322DA">
              <w:rPr>
                <w:rFonts w:ascii="Verdana" w:hAnsi="Verdana" w:cs="Arial"/>
                <w:sz w:val="16"/>
                <w:szCs w:val="16"/>
                <w:lang w:val="pt-BR" w:eastAsia="es-ES"/>
              </w:rPr>
              <w:t xml:space="preserve"> de Gestión </w:t>
            </w:r>
            <w:proofErr w:type="spellStart"/>
            <w:r w:rsidRPr="009322DA">
              <w:rPr>
                <w:rFonts w:ascii="Verdana" w:hAnsi="Verdana" w:cs="Arial"/>
                <w:sz w:val="16"/>
                <w:szCs w:val="16"/>
                <w:lang w:val="pt-BR" w:eastAsia="es-ES"/>
              </w:rPr>
              <w:t>Contractual</w:t>
            </w:r>
            <w:proofErr w:type="spellEnd"/>
            <w:r w:rsidRPr="009322DA">
              <w:rPr>
                <w:rFonts w:ascii="Verdana" w:hAnsi="Verdana" w:cs="Arial"/>
                <w:sz w:val="16"/>
                <w:szCs w:val="16"/>
                <w:lang w:val="pt-BR" w:eastAsia="es-ES"/>
              </w:rPr>
              <w:t xml:space="preserve"> ANCP – CCE</w:t>
            </w:r>
          </w:p>
        </w:tc>
      </w:tr>
    </w:tbl>
    <w:p w14:paraId="21CECFAB" w14:textId="77777777" w:rsidR="00CE3D70" w:rsidRPr="009322DA" w:rsidRDefault="00CE3D70" w:rsidP="00CE3D70"/>
    <w:bookmarkEnd w:id="0"/>
    <w:p w14:paraId="1601A9E4" w14:textId="77777777" w:rsidR="00CE3D70" w:rsidRPr="0044528D" w:rsidRDefault="00CE3D70" w:rsidP="00CE3D70">
      <w:pPr>
        <w:spacing w:after="0"/>
        <w:rPr>
          <w:rFonts w:ascii="Verdana" w:hAnsi="Verdana"/>
        </w:rPr>
      </w:pPr>
    </w:p>
    <w:p w14:paraId="3900974D" w14:textId="77777777" w:rsidR="003D5B0D" w:rsidRPr="002F0679" w:rsidRDefault="003D5B0D" w:rsidP="002F0679"/>
    <w:sectPr w:rsidR="003D5B0D" w:rsidRPr="002F0679"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EE1E8" w14:textId="77777777" w:rsidR="00ED7384" w:rsidRDefault="00ED7384" w:rsidP="004A1847">
      <w:pPr>
        <w:spacing w:after="0" w:line="240" w:lineRule="auto"/>
      </w:pPr>
      <w:r>
        <w:separator/>
      </w:r>
    </w:p>
  </w:endnote>
  <w:endnote w:type="continuationSeparator" w:id="0">
    <w:p w14:paraId="4A7AB4CB"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Bold">
    <w:altName w:val="Corbe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B691" w14:textId="77777777" w:rsidR="00ED7384" w:rsidRDefault="00ED7384" w:rsidP="004A1847">
      <w:pPr>
        <w:spacing w:after="0" w:line="240" w:lineRule="auto"/>
      </w:pPr>
      <w:r>
        <w:separator/>
      </w:r>
    </w:p>
  </w:footnote>
  <w:footnote w:type="continuationSeparator" w:id="0">
    <w:p w14:paraId="46133D6B" w14:textId="77777777" w:rsidR="00ED7384" w:rsidRDefault="00ED7384" w:rsidP="004A1847">
      <w:pPr>
        <w:spacing w:after="0" w:line="240" w:lineRule="auto"/>
      </w:pPr>
      <w:r>
        <w:continuationSeparator/>
      </w:r>
    </w:p>
  </w:footnote>
  <w:footnote w:id="1">
    <w:p w14:paraId="22DEF418" w14:textId="77777777" w:rsidR="00CE3D70" w:rsidRPr="00522A1C" w:rsidRDefault="00CE3D70" w:rsidP="00CE3D70">
      <w:pPr>
        <w:pStyle w:val="Textonotapie"/>
        <w:ind w:firstLine="709"/>
        <w:jc w:val="both"/>
        <w:rPr>
          <w:rFonts w:ascii="Verdana" w:hAnsi="Verdana"/>
          <w:color w:val="000000"/>
          <w:sz w:val="16"/>
          <w:szCs w:val="16"/>
        </w:rPr>
      </w:pPr>
      <w:r w:rsidRPr="00522A1C">
        <w:rPr>
          <w:rFonts w:ascii="Verdana" w:hAnsi="Verdana"/>
          <w:sz w:val="16"/>
          <w:szCs w:val="16"/>
          <w:vertAlign w:val="superscript"/>
        </w:rPr>
        <w:footnoteRef/>
      </w:r>
      <w:r w:rsidRPr="00522A1C">
        <w:rPr>
          <w:rFonts w:ascii="Verdana" w:hAnsi="Verdana"/>
          <w:sz w:val="16"/>
          <w:szCs w:val="16"/>
        </w:rPr>
        <w:t xml:space="preserve"> </w:t>
      </w:r>
      <w:r w:rsidRPr="00522A1C">
        <w:rPr>
          <w:rFonts w:ascii="Verdana" w:hAnsi="Verdana"/>
          <w:color w:val="000000"/>
          <w:sz w:val="16"/>
          <w:szCs w:val="16"/>
        </w:rPr>
        <w:t>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5E46FF67" w14:textId="77777777" w:rsidR="00CE3D70" w:rsidRPr="00522A1C" w:rsidRDefault="00CE3D70" w:rsidP="00CE3D70">
      <w:pPr>
        <w:pStyle w:val="Textonotapie"/>
        <w:ind w:firstLine="709"/>
        <w:jc w:val="both"/>
        <w:rPr>
          <w:rFonts w:ascii="Verdana" w:hAnsi="Verdana"/>
          <w:sz w:val="16"/>
          <w:szCs w:val="16"/>
        </w:rPr>
      </w:pPr>
    </w:p>
  </w:footnote>
  <w:footnote w:id="2">
    <w:p w14:paraId="64C10595" w14:textId="77777777" w:rsidR="00CE3D70" w:rsidRPr="00522A1C" w:rsidRDefault="00CE3D70" w:rsidP="00CE3D70">
      <w:pPr>
        <w:pStyle w:val="Textonotapie"/>
        <w:rPr>
          <w:rFonts w:ascii="Verdana" w:hAnsi="Verdana"/>
          <w:sz w:val="16"/>
          <w:szCs w:val="16"/>
        </w:rPr>
      </w:pPr>
      <w:r w:rsidRPr="00522A1C">
        <w:rPr>
          <w:rStyle w:val="Refdenotaalpie"/>
          <w:rFonts w:ascii="Verdana" w:hAnsi="Verdana"/>
          <w:sz w:val="16"/>
          <w:szCs w:val="16"/>
        </w:rPr>
        <w:footnoteRef/>
      </w:r>
      <w:r w:rsidRPr="00522A1C">
        <w:rPr>
          <w:rFonts w:ascii="Verdana" w:hAnsi="Verdana"/>
          <w:sz w:val="16"/>
          <w:szCs w:val="16"/>
        </w:rPr>
        <w:t xml:space="preserve"> Estos Documentos Tipo pueden ser consultados en la página web de Colombia Compra Eficiente, a través del siguiente enlace: </w:t>
      </w:r>
      <w:hyperlink r:id="rId1" w:history="1">
        <w:r w:rsidRPr="00522A1C">
          <w:rPr>
            <w:rStyle w:val="Hipervnculo"/>
            <w:rFonts w:ascii="Verdana" w:hAnsi="Verdana"/>
            <w:sz w:val="16"/>
            <w:szCs w:val="16"/>
          </w:rPr>
          <w:t>https://www.colombiacompra.gov.co/documentos-tipo/documentos-tipo</w:t>
        </w:r>
      </w:hyperlink>
      <w:r w:rsidRPr="00522A1C">
        <w:rPr>
          <w:rFonts w:ascii="Verdana" w:hAnsi="Verdana"/>
          <w:sz w:val="16"/>
          <w:szCs w:val="16"/>
        </w:rPr>
        <w:t xml:space="preserve"> </w:t>
      </w:r>
    </w:p>
    <w:p w14:paraId="5C0005EF" w14:textId="77777777" w:rsidR="00CE3D70" w:rsidRPr="00522A1C" w:rsidRDefault="00CE3D70" w:rsidP="00CE3D70">
      <w:pPr>
        <w:pStyle w:val="Textonotapie"/>
        <w:rPr>
          <w:rFonts w:ascii="Verdana" w:hAnsi="Verdana"/>
          <w:sz w:val="16"/>
          <w:szCs w:val="16"/>
        </w:rPr>
      </w:pPr>
    </w:p>
  </w:footnote>
  <w:footnote w:id="3">
    <w:p w14:paraId="07F095BE" w14:textId="77777777" w:rsidR="00CE3D70" w:rsidRPr="00522A1C" w:rsidRDefault="00CE3D70" w:rsidP="00CE3D70">
      <w:pPr>
        <w:spacing w:after="0" w:line="240" w:lineRule="auto"/>
        <w:jc w:val="both"/>
        <w:rPr>
          <w:rFonts w:ascii="Verdana" w:hAnsi="Verdana" w:cs="Arial"/>
          <w:sz w:val="16"/>
          <w:szCs w:val="16"/>
        </w:rPr>
      </w:pPr>
    </w:p>
    <w:p w14:paraId="33AD4D6D" w14:textId="77777777" w:rsidR="00CE3D70" w:rsidRPr="00522A1C" w:rsidRDefault="00CE3D70" w:rsidP="00CE3D70">
      <w:pPr>
        <w:spacing w:after="0" w:line="240" w:lineRule="auto"/>
        <w:ind w:firstLine="709"/>
        <w:jc w:val="both"/>
        <w:rPr>
          <w:rFonts w:ascii="Verdana" w:hAnsi="Verdana"/>
          <w:sz w:val="16"/>
          <w:szCs w:val="16"/>
        </w:rPr>
      </w:pPr>
      <w:r w:rsidRPr="00522A1C">
        <w:rPr>
          <w:rStyle w:val="Refdenotaalpie"/>
          <w:rFonts w:ascii="Verdana" w:hAnsi="Verdana"/>
          <w:sz w:val="16"/>
          <w:szCs w:val="16"/>
        </w:rPr>
        <w:footnoteRef/>
      </w:r>
      <w:r w:rsidRPr="00522A1C">
        <w:rPr>
          <w:rFonts w:ascii="Verdana" w:hAnsi="Verdana"/>
          <w:sz w:val="16"/>
          <w:szCs w:val="16"/>
        </w:rPr>
        <w:t xml:space="preserve"> Decreto 1082 de 2015: “Artículo </w:t>
      </w:r>
      <w:bookmarkStart w:id="3" w:name="_Hlk132977831"/>
      <w:r w:rsidRPr="00522A1C">
        <w:rPr>
          <w:rFonts w:ascii="Verdana" w:hAnsi="Verdana"/>
          <w:sz w:val="16"/>
          <w:szCs w:val="16"/>
        </w:rPr>
        <w:t>2.2.1.2.1.4.4</w:t>
      </w:r>
      <w:bookmarkEnd w:id="3"/>
      <w:r w:rsidRPr="00522A1C">
        <w:rPr>
          <w:rFonts w:ascii="Verdana" w:hAnsi="Verdana"/>
          <w:sz w:val="16"/>
          <w:szCs w:val="16"/>
        </w:rPr>
        <w:t xml:space="preserve">. Convenios o contratos interadministrativos. La modalidad de selección para la contratación entre Entidades Estatales es la contratación directa; y en consecuencia, le es aplicable lo establecido en el artículo 2.2.1.2.1.4.1 del presente decreto. </w:t>
      </w:r>
    </w:p>
    <w:p w14:paraId="1A80194E" w14:textId="77777777" w:rsidR="00CE3D70" w:rsidRPr="00522A1C" w:rsidRDefault="00CE3D70" w:rsidP="00CE3D70">
      <w:pPr>
        <w:spacing w:after="0" w:line="240" w:lineRule="auto"/>
        <w:ind w:firstLine="709"/>
        <w:jc w:val="both"/>
        <w:rPr>
          <w:rFonts w:ascii="Verdana" w:hAnsi="Verdana"/>
          <w:sz w:val="16"/>
          <w:szCs w:val="16"/>
        </w:rPr>
      </w:pPr>
      <w:r w:rsidRPr="00522A1C">
        <w:rPr>
          <w:rFonts w:ascii="Verdana" w:hAnsi="Verdana"/>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522A1C">
        <w:rPr>
          <w:rFonts w:ascii="Verdana" w:hAnsi="Verdana"/>
          <w:spacing w:val="-1"/>
          <w:sz w:val="16"/>
          <w:szCs w:val="16"/>
        </w:rPr>
        <w:t xml:space="preserve"> </w:t>
      </w:r>
      <w:r w:rsidRPr="00522A1C">
        <w:rPr>
          <w:rFonts w:ascii="Verdana" w:hAnsi="Verdana"/>
          <w:sz w:val="16"/>
          <w:szCs w:val="16"/>
        </w:rPr>
        <w:t>Estatales”.</w:t>
      </w:r>
    </w:p>
  </w:footnote>
  <w:footnote w:id="4">
    <w:p w14:paraId="3F577C7C" w14:textId="77777777" w:rsidR="00CE3D70" w:rsidRPr="00522A1C" w:rsidRDefault="00CE3D70" w:rsidP="00CE3D70">
      <w:pPr>
        <w:spacing w:after="0" w:line="240" w:lineRule="auto"/>
        <w:ind w:firstLine="709"/>
        <w:jc w:val="both"/>
        <w:rPr>
          <w:rFonts w:ascii="Verdana" w:hAnsi="Verdana"/>
          <w:sz w:val="16"/>
          <w:szCs w:val="16"/>
        </w:rPr>
      </w:pPr>
      <w:r w:rsidRPr="00522A1C">
        <w:rPr>
          <w:rStyle w:val="Refdenotaalpie"/>
          <w:rFonts w:ascii="Verdana" w:hAnsi="Verdana"/>
          <w:sz w:val="16"/>
          <w:szCs w:val="16"/>
        </w:rPr>
        <w:footnoteRef/>
      </w:r>
      <w:r w:rsidRPr="00522A1C">
        <w:rPr>
          <w:rFonts w:ascii="Verdana" w:hAnsi="Verdana"/>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522A1C">
        <w:rPr>
          <w:rFonts w:ascii="Verdana" w:hAnsi="Verdana"/>
          <w:spacing w:val="-6"/>
          <w:sz w:val="16"/>
          <w:szCs w:val="16"/>
        </w:rPr>
        <w:t xml:space="preserve"> </w:t>
      </w:r>
      <w:r w:rsidRPr="00522A1C">
        <w:rPr>
          <w:rFonts w:ascii="Verdana" w:hAnsi="Verdana"/>
          <w:sz w:val="16"/>
          <w:szCs w:val="16"/>
        </w:rPr>
        <w:t>artículo”.</w:t>
      </w:r>
    </w:p>
    <w:p w14:paraId="1A4F6EE6" w14:textId="77777777" w:rsidR="00CE3D70" w:rsidRPr="00522A1C" w:rsidRDefault="00CE3D70" w:rsidP="00CE3D70">
      <w:pPr>
        <w:spacing w:after="0" w:line="240" w:lineRule="auto"/>
        <w:ind w:firstLine="709"/>
        <w:jc w:val="both"/>
        <w:rPr>
          <w:rFonts w:ascii="Verdana" w:hAnsi="Verdana"/>
          <w:sz w:val="16"/>
          <w:szCs w:val="16"/>
        </w:rPr>
      </w:pPr>
    </w:p>
  </w:footnote>
  <w:footnote w:id="5">
    <w:p w14:paraId="745E3CD3" w14:textId="77777777" w:rsidR="00CE3D70" w:rsidRPr="00522A1C" w:rsidRDefault="00CE3D70" w:rsidP="00CE3D70">
      <w:pPr>
        <w:spacing w:after="0" w:line="240" w:lineRule="auto"/>
        <w:ind w:firstLine="709"/>
        <w:jc w:val="both"/>
        <w:rPr>
          <w:rFonts w:ascii="Verdana" w:hAnsi="Verdana"/>
          <w:sz w:val="16"/>
          <w:szCs w:val="16"/>
        </w:rPr>
      </w:pPr>
      <w:r w:rsidRPr="00522A1C">
        <w:rPr>
          <w:rStyle w:val="Refdenotaalpie"/>
          <w:rFonts w:ascii="Verdana" w:hAnsi="Verdana"/>
          <w:sz w:val="16"/>
          <w:szCs w:val="16"/>
        </w:rPr>
        <w:footnoteRef/>
      </w:r>
      <w:r w:rsidRPr="00522A1C">
        <w:rPr>
          <w:rFonts w:ascii="Verdana" w:hAnsi="Verdana"/>
          <w:position w:val="7"/>
          <w:sz w:val="16"/>
          <w:szCs w:val="16"/>
        </w:rPr>
        <w:t xml:space="preserve"> </w:t>
      </w:r>
      <w:r w:rsidRPr="00522A1C">
        <w:rPr>
          <w:rFonts w:ascii="Verdana" w:hAnsi="Verdana"/>
          <w:sz w:val="16"/>
          <w:szCs w:val="16"/>
        </w:rPr>
        <w:t>Consejo de Estado. Sección Tercera. Sentencia del 23 de junio de 2010. Radicación No. 66001-23-31-000-1998-00261-01(17.860). C. P. Mauricio Fajardo Gómez.</w:t>
      </w:r>
    </w:p>
  </w:footnote>
  <w:footnote w:id="6">
    <w:p w14:paraId="5E507199" w14:textId="77777777" w:rsidR="00CE3D70" w:rsidRPr="00522A1C" w:rsidRDefault="00CE3D70" w:rsidP="00CE3D70">
      <w:pPr>
        <w:pStyle w:val="Textonotapie"/>
        <w:ind w:firstLine="708"/>
        <w:jc w:val="both"/>
        <w:rPr>
          <w:rFonts w:ascii="Verdana" w:hAnsi="Verdana"/>
          <w:sz w:val="16"/>
          <w:szCs w:val="16"/>
        </w:rPr>
      </w:pPr>
      <w:r w:rsidRPr="00522A1C">
        <w:rPr>
          <w:rStyle w:val="Refdenotaalpie"/>
          <w:rFonts w:ascii="Verdana" w:hAnsi="Verdana"/>
          <w:sz w:val="16"/>
          <w:szCs w:val="16"/>
        </w:rPr>
        <w:footnoteRef/>
      </w:r>
      <w:r w:rsidRPr="00522A1C">
        <w:rPr>
          <w:rFonts w:ascii="Verdana" w:hAnsi="Verdana"/>
          <w:sz w:val="16"/>
          <w:szCs w:val="16"/>
        </w:rPr>
        <w:t xml:space="preserve"> CONSEJO DE ESTADO. Sala de Consulta y Servicio Civil. Concepto 26 de julio de 2016. Exp. 2.257. C.P. Álvaro Namén Vargas. Esta diferencia entre contrato y convenio está mucho más apuntalada en el derecho español de acuerdo con el artículo 47.1 de la Ley 40 de 2015, la cual regula el régimen jurídico del sector público. Por ello, la doctrina extrajera también estima que: “De la figura del “contrato” se diferencia la del “convenio”. Mientras el núcleo característico del “contrato” es el contenido económico de las obligaciones que asumen las partes que lo celebran, el “convenio” tiene por objeto el desarrollo de una actividad de una actividad de colaboración interadministrativa. El convenio tiene una función esencialmente organizatoria, o de promoción y fomento de actividades públicas y privadas; de forma indirecta el convenio puede tener efectos económicos, pero el fundamento de la celebración del convenio es la colaboración entre dos personas” (Cfr. BLANQUER CRIADO, David. Los contratos del sector público. Valencia: Tirant lo Blanch, 2013. p.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4pt;height:11.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9FE5B57"/>
    <w:multiLevelType w:val="hybridMultilevel"/>
    <w:tmpl w:val="0FE64C8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FFFFFFFF"/>
    <w:lvl w:ilvl="0" w:tplc="040A0001">
      <w:start w:val="1"/>
      <w:numFmt w:val="bullet"/>
      <w:lvlText w:val=""/>
      <w:lvlJc w:val="left"/>
      <w:pPr>
        <w:ind w:left="644" w:hanging="360"/>
      </w:pPr>
      <w:rPr>
        <w:rFonts w:ascii="Symbol" w:hAnsi="Symbol" w:hint="default"/>
      </w:rPr>
    </w:lvl>
    <w:lvl w:ilvl="1" w:tplc="040A0003" w:tentative="1">
      <w:start w:val="1"/>
      <w:numFmt w:val="bullet"/>
      <w:lvlText w:val="o"/>
      <w:lvlJc w:val="left"/>
      <w:pPr>
        <w:ind w:left="1364" w:hanging="360"/>
      </w:pPr>
      <w:rPr>
        <w:rFonts w:ascii="Courier New" w:hAnsi="Courier New" w:hint="default"/>
      </w:rPr>
    </w:lvl>
    <w:lvl w:ilvl="2" w:tplc="040A0005" w:tentative="1">
      <w:start w:val="1"/>
      <w:numFmt w:val="bullet"/>
      <w:lvlText w:val=""/>
      <w:lvlJc w:val="left"/>
      <w:pPr>
        <w:ind w:left="2084" w:hanging="360"/>
      </w:pPr>
      <w:rPr>
        <w:rFonts w:ascii="Wingdings" w:hAnsi="Wingdings" w:hint="default"/>
      </w:rPr>
    </w:lvl>
    <w:lvl w:ilvl="3" w:tplc="040A0001" w:tentative="1">
      <w:start w:val="1"/>
      <w:numFmt w:val="bullet"/>
      <w:lvlText w:val=""/>
      <w:lvlJc w:val="left"/>
      <w:pPr>
        <w:ind w:left="2804" w:hanging="360"/>
      </w:pPr>
      <w:rPr>
        <w:rFonts w:ascii="Symbol" w:hAnsi="Symbol" w:hint="default"/>
      </w:rPr>
    </w:lvl>
    <w:lvl w:ilvl="4" w:tplc="040A0003" w:tentative="1">
      <w:start w:val="1"/>
      <w:numFmt w:val="bullet"/>
      <w:lvlText w:val="o"/>
      <w:lvlJc w:val="left"/>
      <w:pPr>
        <w:ind w:left="3524" w:hanging="360"/>
      </w:pPr>
      <w:rPr>
        <w:rFonts w:ascii="Courier New" w:hAnsi="Courier New" w:hint="default"/>
      </w:rPr>
    </w:lvl>
    <w:lvl w:ilvl="5" w:tplc="040A0005" w:tentative="1">
      <w:start w:val="1"/>
      <w:numFmt w:val="bullet"/>
      <w:lvlText w:val=""/>
      <w:lvlJc w:val="left"/>
      <w:pPr>
        <w:ind w:left="4244" w:hanging="360"/>
      </w:pPr>
      <w:rPr>
        <w:rFonts w:ascii="Wingdings" w:hAnsi="Wingdings" w:hint="default"/>
      </w:rPr>
    </w:lvl>
    <w:lvl w:ilvl="6" w:tplc="040A0001" w:tentative="1">
      <w:start w:val="1"/>
      <w:numFmt w:val="bullet"/>
      <w:lvlText w:val=""/>
      <w:lvlJc w:val="left"/>
      <w:pPr>
        <w:ind w:left="4964" w:hanging="360"/>
      </w:pPr>
      <w:rPr>
        <w:rFonts w:ascii="Symbol" w:hAnsi="Symbol" w:hint="default"/>
      </w:rPr>
    </w:lvl>
    <w:lvl w:ilvl="7" w:tplc="040A0003" w:tentative="1">
      <w:start w:val="1"/>
      <w:numFmt w:val="bullet"/>
      <w:lvlText w:val="o"/>
      <w:lvlJc w:val="left"/>
      <w:pPr>
        <w:ind w:left="5684" w:hanging="360"/>
      </w:pPr>
      <w:rPr>
        <w:rFonts w:ascii="Courier New" w:hAnsi="Courier New" w:hint="default"/>
      </w:rPr>
    </w:lvl>
    <w:lvl w:ilvl="8" w:tplc="040A0005" w:tentative="1">
      <w:start w:val="1"/>
      <w:numFmt w:val="bullet"/>
      <w:lvlText w:val=""/>
      <w:lvlJc w:val="left"/>
      <w:pPr>
        <w:ind w:left="6404"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2" w15:restartNumberingAfterBreak="0">
    <w:nsid w:val="42B5634A"/>
    <w:multiLevelType w:val="hybridMultilevel"/>
    <w:tmpl w:val="2A4AE64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0">
    <w:nsid w:val="46976054"/>
    <w:multiLevelType w:val="hybridMultilevel"/>
    <w:tmpl w:val="16E0F13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3CF4778"/>
    <w:multiLevelType w:val="hybridMultilevel"/>
    <w:tmpl w:val="2A90444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6"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B0F3274"/>
    <w:multiLevelType w:val="hybridMultilevel"/>
    <w:tmpl w:val="0A524F7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9"/>
  </w:num>
  <w:num w:numId="7" w16cid:durableId="1946422806">
    <w:abstractNumId w:val="7"/>
  </w:num>
  <w:num w:numId="8" w16cid:durableId="152644682">
    <w:abstractNumId w:val="18"/>
  </w:num>
  <w:num w:numId="9" w16cid:durableId="1317221377">
    <w:abstractNumId w:val="9"/>
  </w:num>
  <w:num w:numId="10" w16cid:durableId="1471245386">
    <w:abstractNumId w:val="17"/>
  </w:num>
  <w:num w:numId="11" w16cid:durableId="289172385">
    <w:abstractNumId w:val="10"/>
  </w:num>
  <w:num w:numId="12" w16cid:durableId="1470781324">
    <w:abstractNumId w:val="1"/>
  </w:num>
  <w:num w:numId="13" w16cid:durableId="1512908409">
    <w:abstractNumId w:val="4"/>
  </w:num>
  <w:num w:numId="14" w16cid:durableId="895897244">
    <w:abstractNumId w:val="20"/>
  </w:num>
  <w:num w:numId="15" w16cid:durableId="390349800">
    <w:abstractNumId w:val="14"/>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567968">
    <w:abstractNumId w:val="16"/>
  </w:num>
  <w:num w:numId="18" w16cid:durableId="1962295211">
    <w:abstractNumId w:val="13"/>
  </w:num>
  <w:num w:numId="19" w16cid:durableId="106973597">
    <w:abstractNumId w:val="6"/>
  </w:num>
  <w:num w:numId="20" w16cid:durableId="484050125">
    <w:abstractNumId w:val="12"/>
  </w:num>
  <w:num w:numId="21" w16cid:durableId="473566798">
    <w:abstractNumId w:val="21"/>
  </w:num>
  <w:num w:numId="22" w16cid:durableId="569121641">
    <w:abstractNumId w:val="15"/>
  </w:num>
  <w:num w:numId="23" w16cid:durableId="1601647419">
    <w:abstractNumId w:val="3"/>
  </w:num>
  <w:num w:numId="24" w16cid:durableId="8279856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B2561"/>
    <w:rsid w:val="002C7A84"/>
    <w:rsid w:val="002D7587"/>
    <w:rsid w:val="002E4FD9"/>
    <w:rsid w:val="002F0679"/>
    <w:rsid w:val="00322A85"/>
    <w:rsid w:val="00324168"/>
    <w:rsid w:val="003448F4"/>
    <w:rsid w:val="00374F5E"/>
    <w:rsid w:val="00377E3E"/>
    <w:rsid w:val="003A779E"/>
    <w:rsid w:val="003D0F4D"/>
    <w:rsid w:val="003D5B0D"/>
    <w:rsid w:val="003E0499"/>
    <w:rsid w:val="003F3941"/>
    <w:rsid w:val="003F74DD"/>
    <w:rsid w:val="00406575"/>
    <w:rsid w:val="00414C74"/>
    <w:rsid w:val="0042722E"/>
    <w:rsid w:val="0044528D"/>
    <w:rsid w:val="004A1847"/>
    <w:rsid w:val="004A305D"/>
    <w:rsid w:val="004F21C4"/>
    <w:rsid w:val="004F685F"/>
    <w:rsid w:val="005566E8"/>
    <w:rsid w:val="00574867"/>
    <w:rsid w:val="00591460"/>
    <w:rsid w:val="005B3816"/>
    <w:rsid w:val="005C3777"/>
    <w:rsid w:val="005C5CDC"/>
    <w:rsid w:val="005D476C"/>
    <w:rsid w:val="006219F8"/>
    <w:rsid w:val="00665D70"/>
    <w:rsid w:val="006900D9"/>
    <w:rsid w:val="006D76C6"/>
    <w:rsid w:val="00706C16"/>
    <w:rsid w:val="00756841"/>
    <w:rsid w:val="007649AB"/>
    <w:rsid w:val="00771D0C"/>
    <w:rsid w:val="00777749"/>
    <w:rsid w:val="007833AC"/>
    <w:rsid w:val="007B268C"/>
    <w:rsid w:val="007B7171"/>
    <w:rsid w:val="007C0C0F"/>
    <w:rsid w:val="007C3DC2"/>
    <w:rsid w:val="007E5497"/>
    <w:rsid w:val="00806F5F"/>
    <w:rsid w:val="00820278"/>
    <w:rsid w:val="00867F95"/>
    <w:rsid w:val="00882A71"/>
    <w:rsid w:val="008843B6"/>
    <w:rsid w:val="00891928"/>
    <w:rsid w:val="008A446D"/>
    <w:rsid w:val="008D180B"/>
    <w:rsid w:val="008F0EA7"/>
    <w:rsid w:val="0091510C"/>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65305"/>
    <w:rsid w:val="00AB0ADB"/>
    <w:rsid w:val="00B01B1A"/>
    <w:rsid w:val="00B31584"/>
    <w:rsid w:val="00B31CCE"/>
    <w:rsid w:val="00B66319"/>
    <w:rsid w:val="00B72CD3"/>
    <w:rsid w:val="00B72FFF"/>
    <w:rsid w:val="00BC3D36"/>
    <w:rsid w:val="00BD7F72"/>
    <w:rsid w:val="00BF3EFE"/>
    <w:rsid w:val="00C04FB3"/>
    <w:rsid w:val="00C330EB"/>
    <w:rsid w:val="00C41061"/>
    <w:rsid w:val="00C754BE"/>
    <w:rsid w:val="00C76B1C"/>
    <w:rsid w:val="00CB6357"/>
    <w:rsid w:val="00CC1B26"/>
    <w:rsid w:val="00CE3D70"/>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E6D12"/>
    <w:rsid w:val="00FF144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E3D70"/>
    <w:pPr>
      <w:spacing w:line="240" w:lineRule="exact"/>
    </w:pPr>
    <w:rPr>
      <w:vertAlign w:val="superscript"/>
    </w:rPr>
  </w:style>
  <w:style w:type="table" w:customStyle="1" w:styleId="Tablaconcuadrcula1">
    <w:name w:val="Tabla con cuadrícula1"/>
    <w:basedOn w:val="Tablanormal"/>
    <w:next w:val="Tablaconcuadrcula"/>
    <w:uiPriority w:val="39"/>
    <w:qFormat/>
    <w:rsid w:val="00CE3D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E3D70"/>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ites%2Fcce_public%2Ffiles%2Ffiles_2020%2Fboletin_de_realtoria_viii.pdf&amp;data=05%7C02%7Cximena.rios%40colombiacompra.gov.co%7C925ae1c2336243aecb2908dd21173dd2%7C7b09041e245149d08cb179d5e3d8c1be%7C0%7C0%7C638703105922082528%7CUnknown%7CTWFpbGZsb3d8eyJFbXB0eU1hcGkiOnRydWUsIlYiOiIwLjAuMDAwMCIsIlAiOiJXaW4zMiIsIkFOIjoiTWFpbCIsIldUIjoyfQ%3D%3D%7C0%7C%7C%7C&amp;sdata=khP%2F2iYrd%2FnMnNmft0kzGoC5Cj%2FHv3LI1pIqTmHlOVM%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para-incentivar-la-participacion-de-las-mujeres&amp;data=05%7C02%7Cximena.rios%40colombiacompra.gov.co%7C925ae1c2336243aecb2908dd21173dd2%7C7b09041e245149d08cb179d5e3d8c1be%7C0%7C0%7C638703105922068095%7CUnknown%7CTWFpbGZsb3d8eyJFbXB0eU1hcGkiOnRydWUsIlYiOiIwLjAuMDAwMCIsIlAiOiJXaW4zMiIsIkFOIjoiTWFpbCIsIldUIjoyfQ%3D%3D%7C0%7C%7C%7C&amp;sdata=yDhB312BYTl5oJy1AIhNXB4PL3prlTWF5I7aYuyaMUQ%3D&amp;reserved=0" TargetMode="External"/><Relationship Id="rId10" Type="http://schemas.openxmlformats.org/officeDocument/2006/relationships/hyperlink" Target="mailto:Wem2293@hotmail.com"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guia-para-el-manejo-de-ofertas-artificialmente-baja-0&amp;data=05%7C02%7Cximena.rios%40colombiacompra.gov.co%7C925ae1c2336243aecb2908dd21173dd2%7C7b09041e245149d08cb179d5e3d8c1be%7C0%7C0%7C638703105922048095%7CUnknown%7CTWFpbGZsb3d8eyJFbXB0eU1hcGkiOnRydWUsIlYiOiIwLjAuMDAwMCIsIlAiOiJXaW4zMiIsIkFOIjoiTWFpbCIsIldUIjoyfQ%3D%3D%7C0%7C%7C%7C&amp;sdata=kpKLf4I8TnUgGhJW6p2hmuY%2FyCxiCTXl%2BRd9WTaI%2BE8%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www.w3.org/XML/1998/namespace"/>
    <ds:schemaRef ds:uri="http://schemas.microsoft.com/office/2006/metadata/properties"/>
    <ds:schemaRef ds:uri="8ae15d26-076e-464e-81a7-6f76a0fb3917"/>
    <ds:schemaRef ds:uri="http://schemas.microsoft.com/office/infopath/2007/PartnerControls"/>
    <ds:schemaRef ds:uri="http://schemas.microsoft.com/office/2006/documentManagement/types"/>
    <ds:schemaRef ds:uri="http://schemas.openxmlformats.org/package/2006/metadata/core-properties"/>
    <ds:schemaRef ds:uri="http://purl.org/dc/elements/1.1/"/>
    <ds:schemaRef ds:uri="http://purl.org/dc/dcmitype/"/>
    <ds:schemaRef ds:uri="36c82cfe-0eda-494d-b392-a9281b89aaf0"/>
    <ds:schemaRef ds:uri="http://purl.org/dc/terms/"/>
  </ds:schemaRefs>
</ds:datastoreItem>
</file>

<file path=customXml/itemProps3.xml><?xml version="1.0" encoding="utf-8"?>
<ds:datastoreItem xmlns:ds="http://schemas.openxmlformats.org/officeDocument/2006/customXml" ds:itemID="{9516A00C-BDF3-4DC0-85A1-A66D915F7270}"/>
</file>

<file path=docProps/app.xml><?xml version="1.0" encoding="utf-8"?>
<Properties xmlns="http://schemas.openxmlformats.org/officeDocument/2006/extended-properties" xmlns:vt="http://schemas.openxmlformats.org/officeDocument/2006/docPropsVTypes">
  <Template>Normal</Template>
  <TotalTime>0</TotalTime>
  <Pages>16</Pages>
  <Words>5141</Words>
  <Characters>28280</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Hector Luis Quiñones Quiñones</cp:lastModifiedBy>
  <cp:revision>2</cp:revision>
  <cp:lastPrinted>2023-01-10T21:18:00Z</cp:lastPrinted>
  <dcterms:created xsi:type="dcterms:W3CDTF">2025-01-21T15:08:00Z</dcterms:created>
  <dcterms:modified xsi:type="dcterms:W3CDTF">2025-01-21T15:08:00Z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