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45074" w14:textId="77777777" w:rsidR="004F5180" w:rsidRDefault="004F5180" w:rsidP="00E245AB">
      <w:pPr>
        <w:spacing w:after="0"/>
        <w:rPr>
          <w:rFonts w:ascii="Verdana" w:hAnsi="Verdana"/>
        </w:rPr>
      </w:pPr>
      <w:bookmarkStart w:id="0" w:name="_Hlk143780582"/>
    </w:p>
    <w:p w14:paraId="6CDCF1D4" w14:textId="77777777" w:rsidR="004F5180" w:rsidRPr="006118ED" w:rsidRDefault="004F5180" w:rsidP="004F5180">
      <w:pPr>
        <w:spacing w:after="0" w:line="240" w:lineRule="auto"/>
        <w:jc w:val="both"/>
        <w:rPr>
          <w:rStyle w:val="normaltextrun"/>
          <w:rFonts w:ascii="Verdana" w:hAnsi="Verdana"/>
          <w:b/>
          <w:bCs/>
          <w:shd w:val="clear" w:color="auto" w:fill="FFFFFF"/>
          <w:lang w:val="es-ES"/>
        </w:rPr>
      </w:pPr>
      <w:r w:rsidRPr="006118ED">
        <w:rPr>
          <w:rFonts w:ascii="Verdana" w:eastAsia="Calibri" w:hAnsi="Verdana" w:cs="Arial"/>
          <w:b/>
          <w:bCs/>
          <w:lang w:val="es-ES_tradnl"/>
        </w:rPr>
        <w:t>M</w:t>
      </w:r>
      <w:r w:rsidRPr="006118ED">
        <w:rPr>
          <w:rStyle w:val="normaltextrun"/>
          <w:rFonts w:ascii="Verdana" w:hAnsi="Verdana"/>
          <w:b/>
          <w:bCs/>
          <w:shd w:val="clear" w:color="auto" w:fill="FFFFFF"/>
          <w:lang w:val="es-ES"/>
        </w:rPr>
        <w:t>ODIFICACIÓN DE LOS CONTRATOS ESTATALES - Procedencia – Límites</w:t>
      </w:r>
    </w:p>
    <w:p w14:paraId="73364E9E" w14:textId="77777777" w:rsidR="004F5180" w:rsidRPr="006118ED" w:rsidRDefault="004F5180" w:rsidP="004F5180">
      <w:pPr>
        <w:spacing w:after="0" w:line="240" w:lineRule="auto"/>
        <w:jc w:val="both"/>
        <w:rPr>
          <w:rStyle w:val="normaltextrun"/>
          <w:rFonts w:ascii="Verdana" w:hAnsi="Verdana"/>
          <w:b/>
          <w:bCs/>
          <w:shd w:val="clear" w:color="auto" w:fill="FFFFFF"/>
          <w:lang w:val="es-ES"/>
        </w:rPr>
      </w:pPr>
    </w:p>
    <w:p w14:paraId="0573064D" w14:textId="77777777" w:rsidR="004F5180" w:rsidRPr="006118ED" w:rsidRDefault="004F5180" w:rsidP="004F5180">
      <w:pPr>
        <w:spacing w:after="0" w:line="240" w:lineRule="auto"/>
        <w:jc w:val="both"/>
        <w:rPr>
          <w:rStyle w:val="normaltextrun"/>
          <w:rFonts w:ascii="Verdana" w:hAnsi="Verdana"/>
          <w:shd w:val="clear" w:color="auto" w:fill="FFFFFF"/>
          <w:lang w:val="es-ES"/>
        </w:rPr>
      </w:pPr>
      <w:r w:rsidRPr="006118ED">
        <w:rPr>
          <w:rFonts w:ascii="Verdana" w:eastAsia="Calibri" w:hAnsi="Verdana" w:cs="Arial"/>
          <w:bCs/>
          <w:lang w:val="es-ES_tradnl" w:eastAsia="es-ES_tradnl"/>
        </w:rPr>
        <w:t xml:space="preserve">[…] </w:t>
      </w:r>
      <w:r w:rsidRPr="006118ED">
        <w:rPr>
          <w:rStyle w:val="normaltextrun"/>
          <w:rFonts w:ascii="Verdana" w:hAnsi="Verdana"/>
          <w:shd w:val="clear" w:color="auto" w:fill="FFFFFF"/>
          <w:lang w:val="es-ES"/>
        </w:rPr>
        <w:t xml:space="preserve">Conforme a la regulación legal y a la interpretación que de la misma han hecho el Consejo de Estado y la Corte Constitucional, la cual se comparte por esta Agencia, es viable jurídicamente modificar los contratos estatales, pero esta medida tiene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 </w:t>
      </w:r>
      <w:r w:rsidRPr="006118ED">
        <w:rPr>
          <w:rFonts w:ascii="Verdana" w:eastAsia="Calibri" w:hAnsi="Verdana" w:cs="Arial"/>
          <w:bCs/>
          <w:lang w:val="es-ES_tradnl" w:eastAsia="es-ES_tradnl"/>
        </w:rPr>
        <w:t>[…]</w:t>
      </w:r>
    </w:p>
    <w:p w14:paraId="28C5780A" w14:textId="77777777" w:rsidR="004F5180" w:rsidRPr="006118ED" w:rsidRDefault="004F5180" w:rsidP="004F5180">
      <w:pPr>
        <w:spacing w:after="0" w:line="240" w:lineRule="auto"/>
        <w:jc w:val="both"/>
        <w:rPr>
          <w:rStyle w:val="normaltextrun"/>
          <w:rFonts w:ascii="Verdana" w:hAnsi="Verdana"/>
          <w:b/>
          <w:bCs/>
          <w:shd w:val="clear" w:color="auto" w:fill="FFFFFF"/>
          <w:lang w:val="es-ES"/>
        </w:rPr>
      </w:pPr>
    </w:p>
    <w:p w14:paraId="3A9AD6B9" w14:textId="77777777" w:rsidR="004F5180" w:rsidRPr="006118ED" w:rsidRDefault="004F5180" w:rsidP="004F5180">
      <w:pPr>
        <w:spacing w:after="0" w:line="240" w:lineRule="auto"/>
        <w:jc w:val="both"/>
        <w:rPr>
          <w:rStyle w:val="eop"/>
          <w:rFonts w:ascii="Verdana" w:hAnsi="Verdana"/>
          <w:b/>
          <w:bCs/>
          <w:shd w:val="clear" w:color="auto" w:fill="FFFFFF"/>
        </w:rPr>
      </w:pPr>
      <w:r w:rsidRPr="006118ED">
        <w:rPr>
          <w:rStyle w:val="normaltextrun"/>
          <w:rFonts w:ascii="Verdana" w:hAnsi="Verdana"/>
          <w:b/>
          <w:bCs/>
          <w:shd w:val="clear" w:color="auto" w:fill="FFFFFF"/>
          <w:lang w:val="es-ES"/>
        </w:rPr>
        <w:t>ADICIÓN - Concepto - Distintos supuestos - Prohibición - Adición en más del 50%</w:t>
      </w:r>
      <w:r w:rsidRPr="006118ED">
        <w:rPr>
          <w:rStyle w:val="eop"/>
          <w:rFonts w:ascii="Verdana" w:hAnsi="Verdana"/>
          <w:b/>
          <w:bCs/>
          <w:shd w:val="clear" w:color="auto" w:fill="FFFFFF"/>
        </w:rPr>
        <w:t> </w:t>
      </w:r>
    </w:p>
    <w:p w14:paraId="612C4ECC" w14:textId="77777777" w:rsidR="004F5180" w:rsidRPr="006118ED" w:rsidRDefault="004F5180" w:rsidP="004F5180">
      <w:pPr>
        <w:spacing w:after="0" w:line="240" w:lineRule="auto"/>
        <w:jc w:val="both"/>
        <w:rPr>
          <w:rStyle w:val="eop"/>
          <w:rFonts w:ascii="Verdana" w:hAnsi="Verdana"/>
          <w:b/>
          <w:bCs/>
          <w:shd w:val="clear" w:color="auto" w:fill="FFFFFF"/>
        </w:rPr>
      </w:pPr>
    </w:p>
    <w:p w14:paraId="7BD7CEE8" w14:textId="77777777" w:rsidR="004F5180" w:rsidRPr="006118ED" w:rsidRDefault="004F5180" w:rsidP="004F51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rPr>
      </w:pPr>
      <w:r w:rsidRPr="006118ED">
        <w:rPr>
          <w:rFonts w:ascii="Verdana" w:eastAsia="Calibri" w:hAnsi="Verdana" w:cs="Arial"/>
          <w:bCs/>
          <w:lang w:val="es-ES_tradnl" w:eastAsia="es-ES_tradnl"/>
        </w:rPr>
        <w:t xml:space="preserve">[…] </w:t>
      </w:r>
      <w:r w:rsidRPr="006118ED">
        <w:rPr>
          <w:rFonts w:ascii="Verdana" w:hAnsi="Verdana" w:cs="Arial"/>
          <w:color w:val="000000"/>
        </w:rPr>
        <w:t>Como se ha resaltado por esta Agencia en oportunidades anteriores, es que frente a cualquier incremento del valor inicial del contrato, que implica una adición, por cualquiera de los dos supuestos señalados previamente, e independientemente del nombre que se le dé al acuerdo, aplica el límite previsto en el parágrafo del artículo 40 de la Ley 80 de 1993.: “Los contratos no podrán adicionarse en más del cincuenta por ciento (50%) de su valor inicial, expresado éste en salarios mínimos legales mensuales” […]</w:t>
      </w:r>
    </w:p>
    <w:p w14:paraId="2129A294" w14:textId="77777777" w:rsidR="004F5180" w:rsidRPr="006118ED" w:rsidRDefault="004F5180" w:rsidP="004F51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rPr>
      </w:pPr>
    </w:p>
    <w:p w14:paraId="554ECAD3" w14:textId="77777777" w:rsidR="004F5180" w:rsidRPr="006118ED" w:rsidRDefault="004F5180" w:rsidP="004F5180">
      <w:pPr>
        <w:spacing w:after="0" w:line="240" w:lineRule="auto"/>
        <w:jc w:val="both"/>
        <w:rPr>
          <w:rStyle w:val="normaltextrun"/>
          <w:rFonts w:ascii="Verdana" w:hAnsi="Verdana"/>
          <w:b/>
          <w:bCs/>
          <w:shd w:val="clear" w:color="auto" w:fill="FFFFFF"/>
          <w:lang w:val="es-ES"/>
        </w:rPr>
      </w:pPr>
      <w:r w:rsidRPr="006118ED">
        <w:rPr>
          <w:rStyle w:val="normaltextrun"/>
          <w:rFonts w:ascii="Verdana" w:hAnsi="Verdana"/>
          <w:b/>
          <w:bCs/>
          <w:shd w:val="clear" w:color="auto" w:fill="FFFFFF"/>
          <w:lang w:val="es-ES"/>
        </w:rPr>
        <w:t>LIMITE A LAS MODIFICACIONES – Imposibilidad de modificación del objeto</w:t>
      </w:r>
    </w:p>
    <w:p w14:paraId="4AC7F04C" w14:textId="77777777" w:rsidR="004F5180" w:rsidRPr="006118ED" w:rsidRDefault="004F5180" w:rsidP="004F51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rPr>
      </w:pPr>
    </w:p>
    <w:p w14:paraId="735A5FCF" w14:textId="77777777" w:rsidR="004F5180" w:rsidRPr="006118ED" w:rsidRDefault="004F5180" w:rsidP="004F51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rPr>
      </w:pPr>
      <w:r w:rsidRPr="006118ED">
        <w:rPr>
          <w:rFonts w:ascii="Verdana" w:hAnsi="Verdana" w:cs="Arial"/>
          <w:color w:val="000000"/>
        </w:rPr>
        <w:t xml:space="preserve">[…]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 </w:t>
      </w:r>
    </w:p>
    <w:p w14:paraId="6D1A7DFC" w14:textId="77777777" w:rsidR="004F5180" w:rsidRPr="006118ED" w:rsidRDefault="004F5180" w:rsidP="004F51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lang w:val="es-ES"/>
        </w:rPr>
      </w:pPr>
    </w:p>
    <w:p w14:paraId="2C601B11" w14:textId="77777777" w:rsidR="004F5180" w:rsidRPr="006118ED" w:rsidRDefault="004F5180" w:rsidP="004F5180">
      <w:pPr>
        <w:spacing w:after="0" w:line="240" w:lineRule="auto"/>
        <w:jc w:val="both"/>
        <w:rPr>
          <w:rFonts w:ascii="Verdana" w:hAnsi="Verdana" w:cs="Arial"/>
          <w:color w:val="000000"/>
        </w:rPr>
      </w:pPr>
      <w:r w:rsidRPr="006118ED">
        <w:rPr>
          <w:rStyle w:val="normaltextrun"/>
          <w:rFonts w:ascii="Verdana" w:hAnsi="Verdana"/>
          <w:b/>
          <w:bCs/>
          <w:shd w:val="clear" w:color="auto" w:fill="FFFFFF"/>
          <w:lang w:val="es-ES"/>
        </w:rPr>
        <w:t>ANÁLISIS CASO CONCRETO – Circunstancias fácticas – Identificación necesidad</w:t>
      </w:r>
    </w:p>
    <w:p w14:paraId="7DFB3204" w14:textId="77777777" w:rsidR="004F5180" w:rsidRPr="006118ED" w:rsidRDefault="004F5180" w:rsidP="004F51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rPr>
      </w:pPr>
    </w:p>
    <w:p w14:paraId="28BAB14D" w14:textId="77777777" w:rsidR="004F5180" w:rsidRPr="006118ED" w:rsidRDefault="004F5180" w:rsidP="004F51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rPr>
      </w:pPr>
      <w:r w:rsidRPr="006118ED">
        <w:rPr>
          <w:rFonts w:ascii="Verdana" w:hAnsi="Verdana" w:cs="Arial"/>
          <w:color w:val="000000"/>
        </w:rPr>
        <w:t xml:space="preserve">En todo caso, corresponderá a cada Entidad 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técnica y financiera. </w:t>
      </w:r>
    </w:p>
    <w:p w14:paraId="1D30958A" w14:textId="77777777" w:rsidR="004F5180" w:rsidRPr="006118ED" w:rsidRDefault="004F5180" w:rsidP="004F51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lang w:val="es-ES"/>
        </w:rPr>
      </w:pPr>
    </w:p>
    <w:p w14:paraId="3FE2184B" w14:textId="54C0994B" w:rsidR="00E245AB" w:rsidRPr="0044528D" w:rsidRDefault="00E245AB" w:rsidP="00E245AB">
      <w:pPr>
        <w:spacing w:after="0"/>
        <w:rPr>
          <w:rFonts w:ascii="Verdana" w:hAnsi="Verdana"/>
        </w:rPr>
      </w:pPr>
      <w:r w:rsidRPr="0044528D">
        <w:rPr>
          <w:rFonts w:ascii="Verdana" w:hAnsi="Verdana"/>
        </w:rPr>
        <w:lastRenderedPageBreak/>
        <w:t xml:space="preserve">Bogotá D.C., </w:t>
      </w:r>
      <w:r w:rsidR="00891928" w:rsidRPr="0044528D">
        <w:rPr>
          <w:rFonts w:ascii="Verdana" w:hAnsi="Verdana"/>
        </w:rPr>
        <w:t xml:space="preserve">[Día] </w:t>
      </w:r>
      <w:r w:rsidR="001511A0" w:rsidRPr="001511A0">
        <w:rPr>
          <w:rFonts w:ascii="Verdana" w:hAnsi="Verdana"/>
        </w:rPr>
        <w:t>[</w:t>
      </w:r>
      <w:proofErr w:type="spellStart"/>
      <w:r w:rsidR="001511A0" w:rsidRPr="001511A0">
        <w:rPr>
          <w:rFonts w:ascii="Verdana" w:hAnsi="Verdana"/>
        </w:rPr>
        <w:t>Mes.NombreCapitalizado</w:t>
      </w:r>
      <w:proofErr w:type="spellEnd"/>
      <w:r w:rsidR="001511A0" w:rsidRPr="001511A0">
        <w:rPr>
          <w:rFonts w:ascii="Verdana" w:hAnsi="Verdana"/>
        </w:rPr>
        <w:t xml:space="preserve">] </w:t>
      </w:r>
      <w:r w:rsidR="00891928" w:rsidRPr="0044528D">
        <w:rPr>
          <w:rFonts w:ascii="Verdana" w:hAnsi="Verdana"/>
        </w:rPr>
        <w:t>[Año]</w:t>
      </w:r>
      <w:r w:rsidR="00891928" w:rsidRPr="0044528D">
        <w:rPr>
          <w:rFonts w:ascii="Verdana" w:hAnsi="Verdana"/>
        </w:rPr>
        <w:tab/>
      </w:r>
    </w:p>
    <w:p w14:paraId="5FCADBF9" w14:textId="661AC334" w:rsidR="00E245AB" w:rsidRPr="0044528D" w:rsidRDefault="004F5180" w:rsidP="00E245AB">
      <w:pPr>
        <w:spacing w:after="0"/>
        <w:rPr>
          <w:rFonts w:ascii="Verdana" w:hAnsi="Verdana"/>
        </w:rPr>
      </w:pPr>
      <w:r w:rsidRPr="004F5180">
        <w:rPr>
          <w:rFonts w:ascii="Verdana" w:hAnsi="Verdana"/>
          <w:b/>
          <w:bCs/>
          <w:noProof/>
          <w:color w:val="000000" w:themeColor="text1"/>
        </w:rPr>
        <w:drawing>
          <wp:anchor distT="0" distB="0" distL="114300" distR="114300" simplePos="0" relativeHeight="251658240" behindDoc="1" locked="0" layoutInCell="1" allowOverlap="1" wp14:anchorId="7F5D1FE9" wp14:editId="77B2F2F9">
            <wp:simplePos x="0" y="0"/>
            <wp:positionH relativeFrom="column">
              <wp:posOffset>3023636</wp:posOffset>
            </wp:positionH>
            <wp:positionV relativeFrom="paragraph">
              <wp:posOffset>178435</wp:posOffset>
            </wp:positionV>
            <wp:extent cx="3030454" cy="885825"/>
            <wp:effectExtent l="0" t="0" r="0" b="0"/>
            <wp:wrapNone/>
            <wp:docPr id="9886315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631571" name=""/>
                    <pic:cNvPicPr/>
                  </pic:nvPicPr>
                  <pic:blipFill>
                    <a:blip r:embed="rId10">
                      <a:extLst>
                        <a:ext uri="{28A0092B-C50C-407E-A947-70E740481C1C}">
                          <a14:useLocalDpi xmlns:a14="http://schemas.microsoft.com/office/drawing/2010/main" val="0"/>
                        </a:ext>
                      </a:extLst>
                    </a:blip>
                    <a:stretch>
                      <a:fillRect/>
                    </a:stretch>
                  </pic:blipFill>
                  <pic:spPr>
                    <a:xfrm>
                      <a:off x="0" y="0"/>
                      <a:ext cx="3033462" cy="886704"/>
                    </a:xfrm>
                    <a:prstGeom prst="rect">
                      <a:avLst/>
                    </a:prstGeom>
                  </pic:spPr>
                </pic:pic>
              </a:graphicData>
            </a:graphic>
            <wp14:sizeRelH relativeFrom="page">
              <wp14:pctWidth>0</wp14:pctWidth>
            </wp14:sizeRelH>
            <wp14:sizeRelV relativeFrom="page">
              <wp14:pctHeight>0</wp14:pctHeight>
            </wp14:sizeRelV>
          </wp:anchor>
        </w:drawing>
      </w:r>
    </w:p>
    <w:p w14:paraId="1AF30444" w14:textId="77777777" w:rsidR="00E576C4" w:rsidRPr="0077145C" w:rsidRDefault="00E576C4" w:rsidP="00E576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lang w:val="es-ES"/>
        </w:rPr>
      </w:pPr>
    </w:p>
    <w:p w14:paraId="77F771BA" w14:textId="77777777" w:rsidR="00E576C4" w:rsidRPr="0077145C" w:rsidRDefault="00E576C4" w:rsidP="00E576C4">
      <w:pPr>
        <w:spacing w:after="0" w:line="240" w:lineRule="auto"/>
        <w:jc w:val="both"/>
        <w:rPr>
          <w:rFonts w:ascii="Verdana" w:eastAsia="Calibri" w:hAnsi="Verdana" w:cs="Arial"/>
          <w:color w:val="000000" w:themeColor="text1"/>
          <w:lang w:val="es-ES" w:eastAsia="es-ES"/>
        </w:rPr>
      </w:pPr>
      <w:r w:rsidRPr="0077145C">
        <w:rPr>
          <w:rFonts w:ascii="Verdana" w:eastAsia="Calibri" w:hAnsi="Verdana" w:cs="Arial"/>
          <w:color w:val="000000" w:themeColor="text1"/>
          <w:lang w:val="es-ES" w:eastAsia="es-ES"/>
        </w:rPr>
        <w:t>Señor</w:t>
      </w:r>
    </w:p>
    <w:p w14:paraId="6AD2E248" w14:textId="5B945F59" w:rsidR="00E576C4" w:rsidRPr="00AF3DC0" w:rsidRDefault="00E576C4" w:rsidP="00E576C4">
      <w:pPr>
        <w:spacing w:after="0" w:line="240" w:lineRule="auto"/>
        <w:jc w:val="both"/>
        <w:rPr>
          <w:rFonts w:ascii="Verdana" w:hAnsi="Verdana"/>
          <w:b/>
          <w:bCs/>
          <w:color w:val="000000" w:themeColor="text1"/>
        </w:rPr>
      </w:pPr>
      <w:proofErr w:type="spellStart"/>
      <w:r w:rsidRPr="00AF3DC0">
        <w:rPr>
          <w:rFonts w:ascii="Verdana" w:hAnsi="Verdana"/>
          <w:b/>
          <w:bCs/>
          <w:color w:val="000000" w:themeColor="text1"/>
        </w:rPr>
        <w:t>Jose</w:t>
      </w:r>
      <w:proofErr w:type="spellEnd"/>
      <w:r w:rsidRPr="00AF3DC0">
        <w:rPr>
          <w:rFonts w:ascii="Verdana" w:hAnsi="Verdana"/>
          <w:b/>
          <w:bCs/>
          <w:color w:val="000000" w:themeColor="text1"/>
        </w:rPr>
        <w:t xml:space="preserve"> Manuel Ramírez Rincón</w:t>
      </w:r>
      <w:r w:rsidR="004F5180">
        <w:rPr>
          <w:rFonts w:ascii="Verdana" w:hAnsi="Verdana"/>
          <w:b/>
          <w:bCs/>
          <w:color w:val="000000" w:themeColor="text1"/>
        </w:rPr>
        <w:t xml:space="preserve"> </w:t>
      </w:r>
    </w:p>
    <w:p w14:paraId="373FCBC8" w14:textId="77777777" w:rsidR="00E576C4" w:rsidRPr="0077145C" w:rsidRDefault="00E576C4" w:rsidP="00E576C4">
      <w:pPr>
        <w:spacing w:after="0" w:line="240" w:lineRule="auto"/>
        <w:jc w:val="both"/>
        <w:rPr>
          <w:rFonts w:ascii="Verdana" w:hAnsi="Verdana"/>
          <w:color w:val="000000" w:themeColor="text1"/>
        </w:rPr>
      </w:pPr>
      <w:hyperlink r:id="rId11" w:history="1">
        <w:r w:rsidRPr="0077145C">
          <w:rPr>
            <w:rStyle w:val="Hipervnculo"/>
            <w:rFonts w:ascii="Verdana" w:hAnsi="Verdana"/>
            <w:color w:val="000000" w:themeColor="text1"/>
          </w:rPr>
          <w:t>Joserami144@Gmail.Com</w:t>
        </w:r>
      </w:hyperlink>
    </w:p>
    <w:p w14:paraId="25799997" w14:textId="77777777" w:rsidR="00E576C4" w:rsidRPr="0077145C" w:rsidRDefault="00E576C4" w:rsidP="00E576C4">
      <w:pPr>
        <w:spacing w:after="0" w:line="240" w:lineRule="auto"/>
        <w:jc w:val="both"/>
        <w:rPr>
          <w:rFonts w:ascii="Verdana" w:eastAsia="Calibri" w:hAnsi="Verdana" w:cs="Arial"/>
          <w:color w:val="000000" w:themeColor="text1"/>
          <w:szCs w:val="24"/>
          <w:lang w:val="es-ES_tradnl" w:eastAsia="es-ES_tradnl"/>
        </w:rPr>
      </w:pPr>
      <w:r w:rsidRPr="0077145C">
        <w:rPr>
          <w:rFonts w:ascii="Verdana" w:eastAsia="Calibri" w:hAnsi="Verdana" w:cs="Arial"/>
          <w:color w:val="000000" w:themeColor="text1"/>
          <w:szCs w:val="24"/>
          <w:lang w:val="es-ES_tradnl" w:eastAsia="es-ES_tradnl"/>
        </w:rPr>
        <w:t>Bogotá D.C.</w:t>
      </w:r>
    </w:p>
    <w:p w14:paraId="45590C3C" w14:textId="77777777" w:rsidR="00E576C4" w:rsidRDefault="00E576C4" w:rsidP="00E576C4">
      <w:pPr>
        <w:spacing w:after="0" w:line="240" w:lineRule="auto"/>
        <w:rPr>
          <w:rFonts w:ascii="Verdana" w:eastAsia="Calibri" w:hAnsi="Verdana" w:cs="Arial"/>
          <w:b/>
          <w:bCs/>
          <w:color w:val="000000"/>
          <w:lang w:val="es-ES_tradnl" w:eastAsia="es-ES_tradnl"/>
        </w:rPr>
      </w:pPr>
    </w:p>
    <w:p w14:paraId="68E8325B" w14:textId="77777777" w:rsidR="00AF3DC0" w:rsidRPr="00593A5F" w:rsidRDefault="00AF3DC0" w:rsidP="00E576C4">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804"/>
      </w:tblGrid>
      <w:tr w:rsidR="00E576C4" w:rsidRPr="00593A5F" w14:paraId="31EC4185" w14:textId="77777777" w:rsidTr="00746D01">
        <w:trPr>
          <w:trHeight w:val="884"/>
        </w:trPr>
        <w:tc>
          <w:tcPr>
            <w:tcW w:w="2410" w:type="dxa"/>
          </w:tcPr>
          <w:p w14:paraId="0437257A" w14:textId="77777777" w:rsidR="00E576C4" w:rsidRPr="00E5644F" w:rsidRDefault="00E576C4" w:rsidP="00746D01">
            <w:pPr>
              <w:jc w:val="both"/>
              <w:rPr>
                <w:rFonts w:ascii="Verdana" w:eastAsia="Calibri" w:hAnsi="Verdana" w:cs="Arial"/>
                <w:b/>
                <w:bCs/>
                <w:color w:val="7030A0"/>
                <w:lang w:val="es-ES_tradnl" w:eastAsia="es-ES_tradnl"/>
              </w:rPr>
            </w:pPr>
          </w:p>
        </w:tc>
        <w:tc>
          <w:tcPr>
            <w:tcW w:w="6804" w:type="dxa"/>
          </w:tcPr>
          <w:p w14:paraId="52A57E54" w14:textId="180E667F" w:rsidR="00E576C4" w:rsidRPr="00E5644F" w:rsidRDefault="00E576C4" w:rsidP="00746D01">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Concepto C</w:t>
            </w:r>
            <w:r w:rsidR="008B17B4">
              <w:rPr>
                <w:rFonts w:ascii="Verdana" w:eastAsia="Calibri" w:hAnsi="Verdana" w:cs="Arial"/>
                <w:b/>
                <w:bCs/>
                <w:lang w:val="es-ES" w:eastAsia="es-ES"/>
              </w:rPr>
              <w:t xml:space="preserve"> </w:t>
            </w:r>
            <w:r w:rsidRPr="00E5644F">
              <w:rPr>
                <w:rFonts w:ascii="Verdana" w:eastAsia="Calibri" w:hAnsi="Verdana" w:cs="Arial"/>
                <w:b/>
                <w:bCs/>
                <w:lang w:val="es-ES" w:eastAsia="es-ES"/>
              </w:rPr>
              <w:t xml:space="preserve">- </w:t>
            </w:r>
            <w:r>
              <w:rPr>
                <w:rFonts w:ascii="Verdana" w:eastAsia="Calibri" w:hAnsi="Verdana" w:cs="Arial"/>
                <w:b/>
                <w:bCs/>
                <w:lang w:val="es-ES" w:eastAsia="es-ES"/>
              </w:rPr>
              <w:t xml:space="preserve">960 </w:t>
            </w:r>
            <w:r w:rsidRPr="00E5644F">
              <w:rPr>
                <w:rFonts w:ascii="Verdana" w:eastAsia="Calibri" w:hAnsi="Verdana" w:cs="Arial"/>
                <w:b/>
                <w:bCs/>
                <w:lang w:val="es-ES" w:eastAsia="es-ES"/>
              </w:rPr>
              <w:t>de 2024</w:t>
            </w:r>
          </w:p>
        </w:tc>
      </w:tr>
      <w:tr w:rsidR="00E576C4" w:rsidRPr="00593A5F" w14:paraId="4888A60C" w14:textId="77777777" w:rsidTr="00746D01">
        <w:trPr>
          <w:trHeight w:val="884"/>
        </w:trPr>
        <w:tc>
          <w:tcPr>
            <w:tcW w:w="2410" w:type="dxa"/>
          </w:tcPr>
          <w:p w14:paraId="4F9A5F76" w14:textId="77777777" w:rsidR="00E576C4" w:rsidRPr="00593A5F" w:rsidRDefault="00E576C4" w:rsidP="00746D01">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tcPr>
          <w:p w14:paraId="704D0B07" w14:textId="154F615E" w:rsidR="00E576C4" w:rsidRDefault="00E576C4" w:rsidP="00746D01">
            <w:pPr>
              <w:spacing w:line="276" w:lineRule="auto"/>
              <w:jc w:val="both"/>
              <w:textAlignment w:val="baseline"/>
              <w:rPr>
                <w:rFonts w:ascii="Verdana" w:eastAsia="Arial" w:hAnsi="Verdana" w:cs="Arial"/>
                <w:lang w:bidi="es-ES"/>
              </w:rPr>
            </w:pPr>
            <w:r w:rsidRPr="00485B58">
              <w:rPr>
                <w:rFonts w:ascii="Verdana" w:eastAsia="Arial" w:hAnsi="Verdana" w:cs="Arial"/>
                <w:bCs/>
                <w:lang w:val="es-ES" w:bidi="es-ES"/>
              </w:rPr>
              <w:t xml:space="preserve">MODIFICACIÓN DE LOS CONTRATOS ESTATALES - Procedencia </w:t>
            </w:r>
            <w:r w:rsidRPr="00485B58">
              <w:rPr>
                <w:rFonts w:ascii="Verdana" w:eastAsia="Arial" w:hAnsi="Verdana" w:cs="Arial"/>
                <w:lang w:bidi="es-ES"/>
              </w:rPr>
              <w:t xml:space="preserve">- Concepto - Prohibición - </w:t>
            </w:r>
            <w:r w:rsidR="00BE747E">
              <w:rPr>
                <w:rFonts w:ascii="Verdana" w:eastAsia="Arial" w:hAnsi="Verdana" w:cs="Arial"/>
                <w:lang w:bidi="es-ES"/>
              </w:rPr>
              <w:t>Lí</w:t>
            </w:r>
            <w:r w:rsidRPr="00485B58">
              <w:rPr>
                <w:rFonts w:ascii="Verdana" w:eastAsia="Arial" w:hAnsi="Verdana" w:cs="Arial"/>
                <w:lang w:bidi="es-ES"/>
              </w:rPr>
              <w:t>mite a las modificaciones</w:t>
            </w:r>
          </w:p>
          <w:p w14:paraId="56AD1197" w14:textId="77777777" w:rsidR="00E576C4" w:rsidRPr="00E6165F" w:rsidRDefault="00E576C4" w:rsidP="00746D01">
            <w:pPr>
              <w:spacing w:line="276" w:lineRule="auto"/>
              <w:jc w:val="both"/>
              <w:rPr>
                <w:rFonts w:ascii="Verdana" w:eastAsia="Calibri" w:hAnsi="Verdana" w:cs="Arial"/>
                <w:lang w:val="es-ES" w:eastAsia="es-ES"/>
              </w:rPr>
            </w:pPr>
          </w:p>
        </w:tc>
      </w:tr>
      <w:tr w:rsidR="00E576C4" w:rsidRPr="00593A5F" w14:paraId="4B02AD9E" w14:textId="77777777" w:rsidTr="00746D01">
        <w:tc>
          <w:tcPr>
            <w:tcW w:w="2410" w:type="dxa"/>
          </w:tcPr>
          <w:p w14:paraId="3D56EC2E" w14:textId="77777777" w:rsidR="00E576C4" w:rsidRPr="006730E9" w:rsidRDefault="00E576C4" w:rsidP="00746D01">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tcPr>
          <w:p w14:paraId="4AAF8809" w14:textId="58F2BDD8" w:rsidR="00E576C4" w:rsidRPr="006730E9" w:rsidRDefault="00E576C4" w:rsidP="00746D01">
            <w:pPr>
              <w:jc w:val="both"/>
              <w:rPr>
                <w:rFonts w:ascii="Verdana" w:eastAsia="Calibri" w:hAnsi="Verdana" w:cs="Arial"/>
                <w:lang w:val="es-ES_tradnl" w:eastAsia="es-ES_tradnl"/>
              </w:rPr>
            </w:pPr>
            <w:r w:rsidRPr="0011467B">
              <w:rPr>
                <w:rFonts w:ascii="Verdana" w:eastAsia="Calibri" w:hAnsi="Verdana" w:cs="Arial"/>
                <w:szCs w:val="24"/>
                <w:lang w:val="es-ES_tradnl" w:eastAsia="es-ES_tradnl"/>
              </w:rPr>
              <w:t>Respuesta a consulta con radicado No.</w:t>
            </w:r>
            <w:r>
              <w:rPr>
                <w:rFonts w:ascii="Verdana" w:eastAsia="Calibri" w:hAnsi="Verdana" w:cs="Arial"/>
                <w:szCs w:val="24"/>
                <w:lang w:val="es-ES_tradnl" w:eastAsia="es-ES_tradnl"/>
              </w:rPr>
              <w:t xml:space="preserve"> </w:t>
            </w:r>
            <w:r w:rsidRPr="004F7870">
              <w:rPr>
                <w:rFonts w:ascii="Verdana" w:eastAsia="Calibri" w:hAnsi="Verdana" w:cs="Arial"/>
                <w:szCs w:val="24"/>
                <w:lang w:val="es-ES_tradnl" w:eastAsia="es-ES_tradnl"/>
              </w:rPr>
              <w:t>P20241118011534</w:t>
            </w:r>
          </w:p>
        </w:tc>
      </w:tr>
    </w:tbl>
    <w:p w14:paraId="40CB52E7" w14:textId="77777777" w:rsidR="00E576C4" w:rsidRPr="00593A5F" w:rsidRDefault="00E576C4" w:rsidP="00E576C4">
      <w:pPr>
        <w:spacing w:after="0" w:line="240" w:lineRule="auto"/>
        <w:jc w:val="both"/>
        <w:rPr>
          <w:rFonts w:ascii="Verdana" w:eastAsia="Calibri" w:hAnsi="Verdana" w:cs="Arial"/>
          <w:color w:val="000000"/>
          <w:lang w:val="es-ES_tradnl" w:eastAsia="es-ES_tradnl"/>
        </w:rPr>
      </w:pPr>
    </w:p>
    <w:p w14:paraId="53382CDA" w14:textId="77777777" w:rsidR="00E576C4" w:rsidRPr="00593A5F" w:rsidRDefault="00E576C4" w:rsidP="00E576C4">
      <w:pPr>
        <w:spacing w:after="0" w:line="240" w:lineRule="auto"/>
        <w:jc w:val="both"/>
        <w:rPr>
          <w:rFonts w:ascii="Verdana" w:eastAsia="Calibri" w:hAnsi="Verdana" w:cs="Arial"/>
          <w:color w:val="000000"/>
          <w:lang w:val="es-ES_tradnl" w:eastAsia="es-ES_tradnl"/>
        </w:rPr>
      </w:pPr>
    </w:p>
    <w:p w14:paraId="2D1D853B" w14:textId="39FB3A9B" w:rsidR="00E576C4" w:rsidRPr="006730E9" w:rsidRDefault="00E576C4" w:rsidP="00E576C4">
      <w:pPr>
        <w:tabs>
          <w:tab w:val="left" w:pos="5140"/>
        </w:tabs>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 xml:space="preserve">señor </w:t>
      </w:r>
      <w:r>
        <w:rPr>
          <w:rFonts w:ascii="Verdana" w:eastAsia="Calibri" w:hAnsi="Verdana" w:cs="Arial"/>
          <w:lang w:val="es-ES" w:eastAsia="es-ES"/>
        </w:rPr>
        <w:t>Ramírez;</w:t>
      </w:r>
      <w:r w:rsidRPr="006730E9">
        <w:rPr>
          <w:rFonts w:ascii="Verdana" w:eastAsia="Calibri" w:hAnsi="Verdana" w:cs="Arial"/>
          <w:lang w:val="es-ES" w:eastAsia="es-ES"/>
        </w:rPr>
        <w:t xml:space="preserve"> </w:t>
      </w:r>
      <w:r>
        <w:rPr>
          <w:rFonts w:ascii="Verdana" w:eastAsia="Calibri" w:hAnsi="Verdana" w:cs="Arial"/>
          <w:lang w:val="es-ES" w:eastAsia="es-ES"/>
        </w:rPr>
        <w:tab/>
      </w:r>
    </w:p>
    <w:p w14:paraId="608D00B3" w14:textId="77777777" w:rsidR="00E576C4" w:rsidRDefault="00E576C4" w:rsidP="00E576C4">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C60ABD2" w14:textId="77777777" w:rsidR="00E576C4" w:rsidRPr="006730E9" w:rsidRDefault="00E576C4" w:rsidP="00E576C4">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trasladada por competencia por el Departamento Administrativo de la Función Pública y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18</w:t>
      </w:r>
      <w:r w:rsidRPr="00E5644F">
        <w:rPr>
          <w:rFonts w:ascii="Verdana" w:eastAsia="Calibri" w:hAnsi="Verdana" w:cs="Arial"/>
          <w:lang w:val="es-ES" w:eastAsia="es-ES"/>
        </w:rPr>
        <w:t xml:space="preserve"> de </w:t>
      </w:r>
      <w:r>
        <w:rPr>
          <w:rFonts w:ascii="Verdana" w:eastAsia="Calibri" w:hAnsi="Verdana" w:cs="Arial"/>
          <w:lang w:val="es-ES" w:eastAsia="es-ES"/>
        </w:rPr>
        <w:t>noviembre</w:t>
      </w:r>
      <w:r w:rsidRPr="00E5644F">
        <w:rPr>
          <w:rFonts w:ascii="Verdana" w:eastAsia="Calibri" w:hAnsi="Verdana" w:cs="Arial"/>
          <w:lang w:val="es-ES" w:eastAsia="es-ES"/>
        </w:rPr>
        <w:t xml:space="preserve"> de 2024, en</w:t>
      </w:r>
      <w:r w:rsidRPr="006730E9">
        <w:rPr>
          <w:rFonts w:ascii="Verdana" w:eastAsia="Calibri" w:hAnsi="Verdana" w:cs="Arial"/>
          <w:lang w:val="es-ES" w:eastAsia="es-ES"/>
        </w:rPr>
        <w:t xml:space="preserve"> la cual manifiesta lo siguiente: </w:t>
      </w:r>
    </w:p>
    <w:p w14:paraId="43AC5422" w14:textId="77777777" w:rsidR="00E576C4" w:rsidRPr="00326382" w:rsidRDefault="00E576C4" w:rsidP="00E576C4">
      <w:pPr>
        <w:spacing w:after="0" w:line="240" w:lineRule="auto"/>
        <w:ind w:left="709" w:right="709"/>
        <w:jc w:val="both"/>
        <w:rPr>
          <w:rFonts w:ascii="Verdana" w:hAnsi="Verdana" w:cs="Arial"/>
          <w:sz w:val="20"/>
          <w:szCs w:val="20"/>
          <w:shd w:val="clear" w:color="auto" w:fill="FFFFFF"/>
        </w:rPr>
      </w:pPr>
      <w:bookmarkStart w:id="1" w:name="_Hlk95313578"/>
    </w:p>
    <w:bookmarkEnd w:id="1"/>
    <w:p w14:paraId="452462B6" w14:textId="365B8B23" w:rsidR="00E576C4" w:rsidRDefault="00E576C4" w:rsidP="00E576C4">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r>
        <w:rPr>
          <w:rFonts w:ascii="Verdana" w:eastAsia="Century Gothic" w:hAnsi="Verdana" w:cs="Century Gothic"/>
          <w:i/>
          <w:iCs/>
          <w:lang w:val="es-CO"/>
        </w:rPr>
        <w:t xml:space="preserve">“Puede una entidad estatal modificar un contrato estatal y </w:t>
      </w:r>
      <w:r w:rsidR="00117B90">
        <w:rPr>
          <w:rFonts w:ascii="Verdana" w:eastAsia="Century Gothic" w:hAnsi="Verdana" w:cs="Century Gothic"/>
          <w:i/>
          <w:iCs/>
          <w:lang w:val="es-CO"/>
        </w:rPr>
        <w:t>cuáles</w:t>
      </w:r>
      <w:r>
        <w:rPr>
          <w:rFonts w:ascii="Verdana" w:eastAsia="Century Gothic" w:hAnsi="Verdana" w:cs="Century Gothic"/>
          <w:i/>
          <w:iCs/>
          <w:lang w:val="es-CO"/>
        </w:rPr>
        <w:t xml:space="preserve"> son sus </w:t>
      </w:r>
      <w:r w:rsidR="00117B90">
        <w:rPr>
          <w:rFonts w:ascii="Verdana" w:eastAsia="Century Gothic" w:hAnsi="Verdana" w:cs="Century Gothic"/>
          <w:i/>
          <w:iCs/>
          <w:lang w:val="es-CO"/>
        </w:rPr>
        <w:t>límites</w:t>
      </w:r>
      <w:r>
        <w:rPr>
          <w:rFonts w:ascii="Verdana" w:eastAsia="Century Gothic" w:hAnsi="Verdana" w:cs="Century Gothic"/>
          <w:i/>
          <w:iCs/>
          <w:lang w:val="es-CO"/>
        </w:rPr>
        <w:t xml:space="preserve"> conforme a la normatividad vigente?”</w:t>
      </w:r>
    </w:p>
    <w:p w14:paraId="1FEBA91A" w14:textId="77777777" w:rsidR="00E576C4" w:rsidRDefault="00E576C4" w:rsidP="00E576C4">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2EC2FAC7" w14:textId="77777777" w:rsidR="00E576C4" w:rsidRPr="00263A88" w:rsidRDefault="00E576C4" w:rsidP="00E576C4">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091B5DD7" w14:textId="77777777" w:rsidR="00E576C4" w:rsidRPr="00593A5F" w:rsidRDefault="00E576C4" w:rsidP="00E576C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9EBC7C2" w14:textId="77777777" w:rsidR="00E576C4" w:rsidRPr="00593A5F" w:rsidRDefault="00E576C4" w:rsidP="00E576C4">
      <w:pPr>
        <w:tabs>
          <w:tab w:val="left" w:pos="426"/>
        </w:tabs>
        <w:spacing w:after="0" w:line="276" w:lineRule="auto"/>
        <w:jc w:val="both"/>
        <w:rPr>
          <w:rFonts w:ascii="Verdana" w:eastAsia="Century Gothic" w:hAnsi="Verdana" w:cs="Century Gothic"/>
          <w:lang w:val="es-ES"/>
        </w:rPr>
      </w:pPr>
    </w:p>
    <w:p w14:paraId="655B68B1" w14:textId="77777777" w:rsidR="00E576C4" w:rsidRDefault="00E576C4" w:rsidP="00E576C4">
      <w:pPr>
        <w:pStyle w:val="Prrafodelista"/>
        <w:ind w:left="0" w:right="49"/>
        <w:jc w:val="both"/>
        <w:rPr>
          <w:rFonts w:ascii="Verdana" w:hAnsi="Verdana" w:cs="Arial"/>
        </w:rPr>
      </w:pPr>
      <w:r w:rsidRPr="006F2F7E">
        <w:rPr>
          <w:rFonts w:ascii="Verdana" w:eastAsia="Century Gothic" w:hAnsi="Verdana" w:cs="Century Gothic"/>
        </w:rPr>
        <w:t>De acuerdo con el contenido de su solicitud, esta Agencia resolverá el siguiente problema jurídico: ¿</w:t>
      </w:r>
      <w:r>
        <w:rPr>
          <w:rFonts w:ascii="Verdana" w:hAnsi="Verdana" w:cs="Arial"/>
        </w:rPr>
        <w:t>Pueden las entidades estatales modificar un contrato y cuáles son los límites a esto?</w:t>
      </w:r>
    </w:p>
    <w:p w14:paraId="7ECC3B05" w14:textId="77777777" w:rsidR="00E576C4" w:rsidRDefault="00E576C4" w:rsidP="00E576C4">
      <w:pPr>
        <w:pStyle w:val="Prrafodelista"/>
        <w:ind w:left="0" w:right="49"/>
        <w:jc w:val="both"/>
        <w:rPr>
          <w:rFonts w:ascii="Verdana" w:hAnsi="Verdana" w:cs="Arial"/>
        </w:rPr>
      </w:pPr>
    </w:p>
    <w:p w14:paraId="51EEE1BC" w14:textId="77777777" w:rsidR="00E576C4" w:rsidRPr="00593A5F" w:rsidRDefault="00E576C4" w:rsidP="00E576C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456D737" w14:textId="77777777" w:rsidR="00E576C4" w:rsidRPr="00593A5F" w:rsidRDefault="00E576C4" w:rsidP="00E576C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576C4" w:rsidRPr="00593A5F" w14:paraId="11EE2A2A" w14:textId="77777777" w:rsidTr="00746D01">
        <w:tc>
          <w:tcPr>
            <w:tcW w:w="8828" w:type="dxa"/>
            <w:shd w:val="clear" w:color="auto" w:fill="auto"/>
          </w:tcPr>
          <w:p w14:paraId="363DCCA2" w14:textId="77777777" w:rsidR="00154D3E" w:rsidRPr="00AC12FF" w:rsidRDefault="00154D3E" w:rsidP="002D752F">
            <w:pPr>
              <w:pStyle w:val="Textoindependiente"/>
              <w:spacing w:line="276" w:lineRule="auto"/>
              <w:ind w:right="101"/>
              <w:jc w:val="both"/>
              <w:rPr>
                <w:rFonts w:ascii="Verdana" w:hAnsi="Verdana"/>
              </w:rPr>
            </w:pPr>
            <w:r w:rsidRPr="00AC12FF">
              <w:rPr>
                <w:rFonts w:ascii="Verdana" w:hAnsi="Verdana"/>
              </w:rPr>
              <w:lastRenderedPageBreak/>
              <w:t>Conforme</w:t>
            </w:r>
            <w:r w:rsidRPr="00AC12FF">
              <w:rPr>
                <w:rFonts w:ascii="Verdana" w:hAnsi="Verdana"/>
                <w:spacing w:val="-17"/>
              </w:rPr>
              <w:t xml:space="preserve"> </w:t>
            </w:r>
            <w:r w:rsidRPr="00AC12FF">
              <w:rPr>
                <w:rFonts w:ascii="Verdana" w:hAnsi="Verdana"/>
              </w:rPr>
              <w:t>a</w:t>
            </w:r>
            <w:r w:rsidRPr="00AC12FF">
              <w:rPr>
                <w:rFonts w:ascii="Verdana" w:hAnsi="Verdana"/>
                <w:spacing w:val="-19"/>
              </w:rPr>
              <w:t xml:space="preserve"> </w:t>
            </w:r>
            <w:r w:rsidRPr="00AC12FF">
              <w:rPr>
                <w:rFonts w:ascii="Verdana" w:hAnsi="Verdana"/>
              </w:rPr>
              <w:t>la</w:t>
            </w:r>
            <w:r w:rsidRPr="00AC12FF">
              <w:rPr>
                <w:rFonts w:ascii="Verdana" w:hAnsi="Verdana"/>
                <w:spacing w:val="-18"/>
              </w:rPr>
              <w:t xml:space="preserve"> </w:t>
            </w:r>
            <w:r w:rsidRPr="00AC12FF">
              <w:rPr>
                <w:rFonts w:ascii="Verdana" w:hAnsi="Verdana"/>
              </w:rPr>
              <w:t>regulación</w:t>
            </w:r>
            <w:r w:rsidRPr="00AC12FF">
              <w:rPr>
                <w:rFonts w:ascii="Verdana" w:hAnsi="Verdana"/>
                <w:spacing w:val="-15"/>
              </w:rPr>
              <w:t xml:space="preserve"> </w:t>
            </w:r>
            <w:r w:rsidRPr="00AC12FF">
              <w:rPr>
                <w:rFonts w:ascii="Verdana" w:hAnsi="Verdana"/>
              </w:rPr>
              <w:t>legal</w:t>
            </w:r>
            <w:r w:rsidRPr="00AC12FF">
              <w:rPr>
                <w:rFonts w:ascii="Verdana" w:hAnsi="Verdana"/>
                <w:spacing w:val="-17"/>
              </w:rPr>
              <w:t xml:space="preserve"> </w:t>
            </w:r>
            <w:r w:rsidRPr="00AC12FF">
              <w:rPr>
                <w:rFonts w:ascii="Verdana" w:hAnsi="Verdana"/>
              </w:rPr>
              <w:t>y</w:t>
            </w:r>
            <w:r w:rsidRPr="00AC12FF">
              <w:rPr>
                <w:rFonts w:ascii="Verdana" w:hAnsi="Verdana"/>
                <w:spacing w:val="-19"/>
              </w:rPr>
              <w:t xml:space="preserve"> </w:t>
            </w:r>
            <w:r w:rsidRPr="00AC12FF">
              <w:rPr>
                <w:rFonts w:ascii="Verdana" w:hAnsi="Verdana"/>
              </w:rPr>
              <w:t>a</w:t>
            </w:r>
            <w:r w:rsidRPr="00AC12FF">
              <w:rPr>
                <w:rFonts w:ascii="Verdana" w:hAnsi="Verdana"/>
                <w:spacing w:val="-20"/>
              </w:rPr>
              <w:t xml:space="preserve"> </w:t>
            </w:r>
            <w:r w:rsidRPr="00AC12FF">
              <w:rPr>
                <w:rFonts w:ascii="Verdana" w:hAnsi="Verdana"/>
              </w:rPr>
              <w:t>la</w:t>
            </w:r>
            <w:r w:rsidRPr="00AC12FF">
              <w:rPr>
                <w:rFonts w:ascii="Verdana" w:hAnsi="Verdana"/>
                <w:spacing w:val="-18"/>
              </w:rPr>
              <w:t xml:space="preserve"> </w:t>
            </w:r>
            <w:r w:rsidRPr="00AC12FF">
              <w:rPr>
                <w:rFonts w:ascii="Verdana" w:hAnsi="Verdana"/>
              </w:rPr>
              <w:t>interpretación</w:t>
            </w:r>
            <w:r w:rsidRPr="00AC12FF">
              <w:rPr>
                <w:rFonts w:ascii="Verdana" w:hAnsi="Verdana"/>
                <w:spacing w:val="-14"/>
              </w:rPr>
              <w:t xml:space="preserve"> </w:t>
            </w:r>
            <w:r w:rsidRPr="00AC12FF">
              <w:rPr>
                <w:rFonts w:ascii="Verdana" w:hAnsi="Verdana"/>
              </w:rPr>
              <w:t>que</w:t>
            </w:r>
            <w:r w:rsidRPr="00AC12FF">
              <w:rPr>
                <w:rFonts w:ascii="Verdana" w:hAnsi="Verdana"/>
                <w:spacing w:val="-18"/>
              </w:rPr>
              <w:t xml:space="preserve"> </w:t>
            </w:r>
            <w:r w:rsidRPr="00AC12FF">
              <w:rPr>
                <w:rFonts w:ascii="Verdana" w:hAnsi="Verdana"/>
              </w:rPr>
              <w:t>de</w:t>
            </w:r>
            <w:r w:rsidRPr="00AC12FF">
              <w:rPr>
                <w:rFonts w:ascii="Verdana" w:hAnsi="Verdana"/>
                <w:spacing w:val="-18"/>
              </w:rPr>
              <w:t xml:space="preserve"> </w:t>
            </w:r>
            <w:r w:rsidRPr="00AC12FF">
              <w:rPr>
                <w:rFonts w:ascii="Verdana" w:hAnsi="Verdana"/>
              </w:rPr>
              <w:t>la</w:t>
            </w:r>
            <w:r w:rsidRPr="00AC12FF">
              <w:rPr>
                <w:rFonts w:ascii="Verdana" w:hAnsi="Verdana"/>
                <w:spacing w:val="-18"/>
              </w:rPr>
              <w:t xml:space="preserve"> </w:t>
            </w:r>
            <w:r w:rsidRPr="00AC12FF">
              <w:rPr>
                <w:rFonts w:ascii="Verdana" w:hAnsi="Verdana"/>
              </w:rPr>
              <w:t>misma</w:t>
            </w:r>
            <w:r w:rsidRPr="00AC12FF">
              <w:rPr>
                <w:rFonts w:ascii="Verdana" w:hAnsi="Verdana"/>
                <w:spacing w:val="-18"/>
              </w:rPr>
              <w:t xml:space="preserve"> </w:t>
            </w:r>
            <w:r w:rsidRPr="00AC12FF">
              <w:rPr>
                <w:rFonts w:ascii="Verdana" w:hAnsi="Verdana"/>
              </w:rPr>
              <w:t>han</w:t>
            </w:r>
            <w:r w:rsidRPr="00AC12FF">
              <w:rPr>
                <w:rFonts w:ascii="Verdana" w:hAnsi="Verdana"/>
                <w:spacing w:val="-18"/>
              </w:rPr>
              <w:t xml:space="preserve"> </w:t>
            </w:r>
            <w:r w:rsidRPr="00AC12FF">
              <w:rPr>
                <w:rFonts w:ascii="Verdana" w:hAnsi="Verdana"/>
              </w:rPr>
              <w:t>hecho</w:t>
            </w:r>
            <w:r w:rsidRPr="00AC12FF">
              <w:rPr>
                <w:rFonts w:ascii="Verdana" w:hAnsi="Verdana"/>
                <w:spacing w:val="-75"/>
              </w:rPr>
              <w:t xml:space="preserve"> </w:t>
            </w:r>
            <w:r w:rsidRPr="00AC12FF">
              <w:rPr>
                <w:rFonts w:ascii="Verdana" w:hAnsi="Verdana"/>
              </w:rPr>
              <w:t>el Consejo de Estado y la Corte Constitucional, la cual se comparte por esta</w:t>
            </w:r>
            <w:r w:rsidRPr="00AC12FF">
              <w:rPr>
                <w:rFonts w:ascii="Verdana" w:hAnsi="Verdana"/>
                <w:spacing w:val="1"/>
              </w:rPr>
              <w:t xml:space="preserve"> </w:t>
            </w:r>
            <w:r w:rsidRPr="00AC12FF">
              <w:rPr>
                <w:rFonts w:ascii="Verdana" w:hAnsi="Verdana"/>
              </w:rPr>
              <w:t>Agencia, es viable jurídicamente modificar los contratos estatales, pero esta</w:t>
            </w:r>
            <w:r w:rsidRPr="00AC12FF">
              <w:rPr>
                <w:rFonts w:ascii="Verdana" w:hAnsi="Verdana"/>
                <w:spacing w:val="1"/>
              </w:rPr>
              <w:t xml:space="preserve"> </w:t>
            </w:r>
            <w:r w:rsidRPr="00AC12FF">
              <w:rPr>
                <w:rFonts w:ascii="Verdana" w:hAnsi="Verdana"/>
                <w:spacing w:val="-1"/>
              </w:rPr>
              <w:t>medida</w:t>
            </w:r>
            <w:r w:rsidRPr="00AC12FF">
              <w:rPr>
                <w:rFonts w:ascii="Verdana" w:hAnsi="Verdana"/>
                <w:spacing w:val="-18"/>
              </w:rPr>
              <w:t xml:space="preserve"> </w:t>
            </w:r>
            <w:r w:rsidRPr="00AC12FF">
              <w:rPr>
                <w:rFonts w:ascii="Verdana" w:hAnsi="Verdana"/>
                <w:spacing w:val="-1"/>
              </w:rPr>
              <w:t>tiene</w:t>
            </w:r>
            <w:r w:rsidRPr="00AC12FF">
              <w:rPr>
                <w:rFonts w:ascii="Verdana" w:hAnsi="Verdana"/>
                <w:spacing w:val="-18"/>
              </w:rPr>
              <w:t xml:space="preserve"> </w:t>
            </w:r>
            <w:r w:rsidRPr="00AC12FF">
              <w:rPr>
                <w:rFonts w:ascii="Verdana" w:hAnsi="Verdana"/>
                <w:spacing w:val="-1"/>
              </w:rPr>
              <w:t>carácter</w:t>
            </w:r>
            <w:r w:rsidRPr="00AC12FF">
              <w:rPr>
                <w:rFonts w:ascii="Verdana" w:hAnsi="Verdana"/>
                <w:spacing w:val="-17"/>
              </w:rPr>
              <w:t xml:space="preserve"> </w:t>
            </w:r>
            <w:r w:rsidRPr="00AC12FF">
              <w:rPr>
                <w:rFonts w:ascii="Verdana" w:hAnsi="Verdana"/>
                <w:spacing w:val="-1"/>
              </w:rPr>
              <w:t>excepcional</w:t>
            </w:r>
            <w:r w:rsidRPr="00AC12FF">
              <w:rPr>
                <w:rFonts w:ascii="Verdana" w:hAnsi="Verdana"/>
                <w:spacing w:val="-16"/>
              </w:rPr>
              <w:t xml:space="preserve"> </w:t>
            </w:r>
            <w:r w:rsidRPr="00AC12FF">
              <w:rPr>
                <w:rFonts w:ascii="Verdana" w:hAnsi="Verdana"/>
              </w:rPr>
              <w:t>y</w:t>
            </w:r>
            <w:r w:rsidRPr="00AC12FF">
              <w:rPr>
                <w:rFonts w:ascii="Verdana" w:hAnsi="Verdana"/>
                <w:spacing w:val="-19"/>
              </w:rPr>
              <w:t xml:space="preserve"> </w:t>
            </w:r>
            <w:r w:rsidRPr="00AC12FF">
              <w:rPr>
                <w:rFonts w:ascii="Verdana" w:hAnsi="Verdana"/>
              </w:rPr>
              <w:t>solo</w:t>
            </w:r>
            <w:r w:rsidRPr="00AC12FF">
              <w:rPr>
                <w:rFonts w:ascii="Verdana" w:hAnsi="Verdana"/>
                <w:spacing w:val="-18"/>
              </w:rPr>
              <w:t xml:space="preserve"> </w:t>
            </w:r>
            <w:r w:rsidRPr="00AC12FF">
              <w:rPr>
                <w:rFonts w:ascii="Verdana" w:hAnsi="Verdana"/>
              </w:rPr>
              <w:t>procede</w:t>
            </w:r>
            <w:r w:rsidRPr="00AC12FF">
              <w:rPr>
                <w:rFonts w:ascii="Verdana" w:hAnsi="Verdana"/>
                <w:spacing w:val="-17"/>
              </w:rPr>
              <w:t xml:space="preserve"> </w:t>
            </w:r>
            <w:r w:rsidRPr="00AC12FF">
              <w:rPr>
                <w:rFonts w:ascii="Verdana" w:hAnsi="Verdana"/>
              </w:rPr>
              <w:t>cuando</w:t>
            </w:r>
            <w:r w:rsidRPr="00AC12FF">
              <w:rPr>
                <w:rFonts w:ascii="Verdana" w:hAnsi="Verdana"/>
                <w:spacing w:val="-18"/>
              </w:rPr>
              <w:t xml:space="preserve"> </w:t>
            </w:r>
            <w:r w:rsidRPr="00AC12FF">
              <w:rPr>
                <w:rFonts w:ascii="Verdana" w:hAnsi="Verdana"/>
              </w:rPr>
              <w:t>con</w:t>
            </w:r>
            <w:r w:rsidRPr="00AC12FF">
              <w:rPr>
                <w:rFonts w:ascii="Verdana" w:hAnsi="Verdana"/>
                <w:spacing w:val="-18"/>
              </w:rPr>
              <w:t xml:space="preserve"> </w:t>
            </w:r>
            <w:r w:rsidRPr="00AC12FF">
              <w:rPr>
                <w:rFonts w:ascii="Verdana" w:hAnsi="Verdana"/>
              </w:rPr>
              <w:t>ella</w:t>
            </w:r>
            <w:r w:rsidRPr="00AC12FF">
              <w:rPr>
                <w:rFonts w:ascii="Verdana" w:hAnsi="Verdana"/>
                <w:spacing w:val="-18"/>
              </w:rPr>
              <w:t xml:space="preserve"> </w:t>
            </w:r>
            <w:r w:rsidRPr="00AC12FF">
              <w:rPr>
                <w:rFonts w:ascii="Verdana" w:hAnsi="Verdana"/>
              </w:rPr>
              <w:t>se</w:t>
            </w:r>
            <w:r w:rsidRPr="00AC12FF">
              <w:rPr>
                <w:rFonts w:ascii="Verdana" w:hAnsi="Verdana"/>
                <w:spacing w:val="-19"/>
              </w:rPr>
              <w:t xml:space="preserve"> </w:t>
            </w:r>
            <w:r w:rsidRPr="00AC12FF">
              <w:rPr>
                <w:rFonts w:ascii="Verdana" w:hAnsi="Verdana"/>
              </w:rPr>
              <w:t>pretenda</w:t>
            </w:r>
            <w:r w:rsidRPr="00AC12FF">
              <w:rPr>
                <w:rFonts w:ascii="Verdana" w:hAnsi="Verdana"/>
                <w:spacing w:val="-75"/>
              </w:rPr>
              <w:t xml:space="preserve"> </w:t>
            </w:r>
            <w:r w:rsidRPr="00AC12FF">
              <w:rPr>
                <w:rFonts w:ascii="Verdana" w:hAnsi="Verdana"/>
              </w:rPr>
              <w:t>garantizar el interés público, cuando la entidad haya verificado y así pueda</w:t>
            </w:r>
            <w:r w:rsidRPr="00AC12FF">
              <w:rPr>
                <w:rFonts w:ascii="Verdana" w:hAnsi="Verdana"/>
                <w:spacing w:val="1"/>
              </w:rPr>
              <w:t xml:space="preserve"> </w:t>
            </w:r>
            <w:r w:rsidRPr="00AC12FF">
              <w:rPr>
                <w:rFonts w:ascii="Verdana" w:hAnsi="Verdana"/>
              </w:rPr>
              <w:t>constatarse que la causa de la modificación es real y cierta, y</w:t>
            </w:r>
            <w:r w:rsidRPr="00AC12FF">
              <w:rPr>
                <w:rFonts w:ascii="Verdana" w:hAnsi="Verdana"/>
                <w:spacing w:val="1"/>
              </w:rPr>
              <w:t xml:space="preserve"> </w:t>
            </w:r>
            <w:r w:rsidRPr="00AC12FF">
              <w:rPr>
                <w:rFonts w:ascii="Verdana" w:hAnsi="Verdana"/>
              </w:rPr>
              <w:t>cuando se deriva de previsiones legales, esto es, cuando la modificación</w:t>
            </w:r>
            <w:r w:rsidRPr="00AC12FF">
              <w:rPr>
                <w:rFonts w:ascii="Verdana" w:hAnsi="Verdana"/>
                <w:spacing w:val="1"/>
              </w:rPr>
              <w:t xml:space="preserve"> </w:t>
            </w:r>
            <w:r w:rsidRPr="00AC12FF">
              <w:rPr>
                <w:rFonts w:ascii="Verdana" w:hAnsi="Verdana"/>
              </w:rPr>
              <w:t>encuentra sustento no solo en circunstancias fácticas propias de la ejecución</w:t>
            </w:r>
            <w:r w:rsidRPr="00AC12FF">
              <w:rPr>
                <w:rFonts w:ascii="Verdana" w:hAnsi="Verdana"/>
                <w:spacing w:val="1"/>
              </w:rPr>
              <w:t xml:space="preserve"> </w:t>
            </w:r>
            <w:r w:rsidRPr="00AC12FF">
              <w:rPr>
                <w:rFonts w:ascii="Verdana" w:hAnsi="Verdana"/>
              </w:rPr>
              <w:t>del contrato, sino, además, cuando tales situaciones ponen de presente la</w:t>
            </w:r>
            <w:r w:rsidRPr="00AC12FF">
              <w:rPr>
                <w:rFonts w:ascii="Verdana" w:hAnsi="Verdana"/>
                <w:spacing w:val="1"/>
              </w:rPr>
              <w:t xml:space="preserve"> </w:t>
            </w:r>
            <w:r w:rsidRPr="00AC12FF">
              <w:rPr>
                <w:rFonts w:ascii="Verdana" w:hAnsi="Verdana"/>
              </w:rPr>
              <w:t>necesidad de dar cumplimiento a previsiones establecidas por el legislador.</w:t>
            </w:r>
            <w:r w:rsidRPr="00AC12FF">
              <w:rPr>
                <w:rFonts w:ascii="Verdana" w:hAnsi="Verdana"/>
                <w:spacing w:val="1"/>
              </w:rPr>
              <w:t xml:space="preserve"> </w:t>
            </w:r>
            <w:r w:rsidRPr="00AC12FF">
              <w:rPr>
                <w:rFonts w:ascii="Verdana" w:hAnsi="Verdana"/>
                <w:spacing w:val="-1"/>
              </w:rPr>
              <w:t>Así</w:t>
            </w:r>
            <w:r w:rsidRPr="00AC12FF">
              <w:rPr>
                <w:rFonts w:ascii="Verdana" w:hAnsi="Verdana"/>
                <w:spacing w:val="-19"/>
              </w:rPr>
              <w:t xml:space="preserve"> </w:t>
            </w:r>
            <w:r w:rsidRPr="00AC12FF">
              <w:rPr>
                <w:rFonts w:ascii="Verdana" w:hAnsi="Verdana"/>
                <w:spacing w:val="-1"/>
              </w:rPr>
              <w:t>las</w:t>
            </w:r>
            <w:r w:rsidRPr="00AC12FF">
              <w:rPr>
                <w:rFonts w:ascii="Verdana" w:hAnsi="Verdana"/>
                <w:spacing w:val="-18"/>
              </w:rPr>
              <w:t xml:space="preserve"> </w:t>
            </w:r>
            <w:r w:rsidRPr="00AC12FF">
              <w:rPr>
                <w:rFonts w:ascii="Verdana" w:hAnsi="Verdana"/>
                <w:spacing w:val="-1"/>
              </w:rPr>
              <w:t>cosas,</w:t>
            </w:r>
            <w:r w:rsidRPr="00AC12FF">
              <w:rPr>
                <w:rFonts w:ascii="Verdana" w:hAnsi="Verdana"/>
                <w:spacing w:val="-17"/>
              </w:rPr>
              <w:t xml:space="preserve"> </w:t>
            </w:r>
            <w:r w:rsidRPr="00AC12FF">
              <w:rPr>
                <w:rFonts w:ascii="Verdana" w:hAnsi="Verdana"/>
                <w:spacing w:val="-1"/>
              </w:rPr>
              <w:t>para</w:t>
            </w:r>
            <w:r w:rsidRPr="00AC12FF">
              <w:rPr>
                <w:rFonts w:ascii="Verdana" w:hAnsi="Verdana"/>
                <w:spacing w:val="-18"/>
              </w:rPr>
              <w:t xml:space="preserve"> </w:t>
            </w:r>
            <w:r w:rsidRPr="00AC12FF">
              <w:rPr>
                <w:rFonts w:ascii="Verdana" w:hAnsi="Verdana"/>
                <w:spacing w:val="-1"/>
              </w:rPr>
              <w:t>establecer</w:t>
            </w:r>
            <w:r w:rsidRPr="00AC12FF">
              <w:rPr>
                <w:rFonts w:ascii="Verdana" w:hAnsi="Verdana"/>
                <w:spacing w:val="-15"/>
              </w:rPr>
              <w:t xml:space="preserve"> </w:t>
            </w:r>
            <w:r w:rsidRPr="00AC12FF">
              <w:rPr>
                <w:rFonts w:ascii="Verdana" w:hAnsi="Verdana"/>
                <w:spacing w:val="-1"/>
              </w:rPr>
              <w:t>si</w:t>
            </w:r>
            <w:r w:rsidRPr="00AC12FF">
              <w:rPr>
                <w:rFonts w:ascii="Verdana" w:hAnsi="Verdana"/>
                <w:spacing w:val="-18"/>
              </w:rPr>
              <w:t xml:space="preserve"> </w:t>
            </w:r>
            <w:r w:rsidRPr="00AC12FF">
              <w:rPr>
                <w:rFonts w:ascii="Verdana" w:hAnsi="Verdana"/>
                <w:spacing w:val="-1"/>
              </w:rPr>
              <w:t>un</w:t>
            </w:r>
            <w:r w:rsidRPr="00AC12FF">
              <w:rPr>
                <w:rFonts w:ascii="Verdana" w:hAnsi="Verdana"/>
                <w:spacing w:val="-19"/>
              </w:rPr>
              <w:t xml:space="preserve"> </w:t>
            </w:r>
            <w:r w:rsidRPr="00AC12FF">
              <w:rPr>
                <w:rFonts w:ascii="Verdana" w:hAnsi="Verdana"/>
                <w:spacing w:val="-1"/>
              </w:rPr>
              <w:t>contrato</w:t>
            </w:r>
            <w:r w:rsidRPr="00AC12FF">
              <w:rPr>
                <w:rFonts w:ascii="Verdana" w:hAnsi="Verdana"/>
                <w:spacing w:val="-17"/>
              </w:rPr>
              <w:t xml:space="preserve"> </w:t>
            </w:r>
            <w:r w:rsidRPr="00AC12FF">
              <w:rPr>
                <w:rFonts w:ascii="Verdana" w:hAnsi="Verdana"/>
                <w:spacing w:val="-1"/>
              </w:rPr>
              <w:t>determinado</w:t>
            </w:r>
            <w:r w:rsidRPr="00AC12FF">
              <w:rPr>
                <w:rFonts w:ascii="Verdana" w:hAnsi="Verdana"/>
                <w:spacing w:val="-16"/>
              </w:rPr>
              <w:t xml:space="preserve"> </w:t>
            </w:r>
            <w:r w:rsidRPr="00AC12FF">
              <w:rPr>
                <w:rFonts w:ascii="Verdana" w:hAnsi="Verdana"/>
                <w:spacing w:val="-1"/>
              </w:rPr>
              <w:t>puede</w:t>
            </w:r>
            <w:r w:rsidRPr="00AC12FF">
              <w:rPr>
                <w:rFonts w:ascii="Verdana" w:hAnsi="Verdana"/>
                <w:spacing w:val="-17"/>
              </w:rPr>
              <w:t xml:space="preserve"> </w:t>
            </w:r>
            <w:r w:rsidRPr="00AC12FF">
              <w:rPr>
                <w:rFonts w:ascii="Verdana" w:hAnsi="Verdana"/>
                <w:spacing w:val="-1"/>
              </w:rPr>
              <w:t>ser</w:t>
            </w:r>
            <w:r w:rsidRPr="00AC12FF">
              <w:rPr>
                <w:rFonts w:ascii="Verdana" w:hAnsi="Verdana"/>
                <w:spacing w:val="-18"/>
              </w:rPr>
              <w:t xml:space="preserve"> </w:t>
            </w:r>
            <w:r w:rsidRPr="00AC12FF">
              <w:rPr>
                <w:rFonts w:ascii="Verdana" w:hAnsi="Verdana"/>
                <w:spacing w:val="-1"/>
              </w:rPr>
              <w:t>susceptible</w:t>
            </w:r>
            <w:r w:rsidRPr="00AC12FF">
              <w:rPr>
                <w:rFonts w:ascii="Verdana" w:hAnsi="Verdana"/>
                <w:spacing w:val="-75"/>
              </w:rPr>
              <w:t xml:space="preserve"> </w:t>
            </w:r>
            <w:r w:rsidRPr="00AC12FF">
              <w:rPr>
                <w:rFonts w:ascii="Verdana" w:hAnsi="Verdana"/>
              </w:rPr>
              <w:t>de</w:t>
            </w:r>
            <w:r w:rsidRPr="00AC12FF">
              <w:rPr>
                <w:rFonts w:ascii="Verdana" w:hAnsi="Verdana"/>
                <w:spacing w:val="36"/>
              </w:rPr>
              <w:t xml:space="preserve"> </w:t>
            </w:r>
            <w:r w:rsidRPr="00AC12FF">
              <w:rPr>
                <w:rFonts w:ascii="Verdana" w:hAnsi="Verdana"/>
              </w:rPr>
              <w:t>modificación,</w:t>
            </w:r>
            <w:r w:rsidRPr="00AC12FF">
              <w:rPr>
                <w:rFonts w:ascii="Verdana" w:hAnsi="Verdana"/>
                <w:spacing w:val="40"/>
              </w:rPr>
              <w:t xml:space="preserve"> </w:t>
            </w:r>
            <w:r w:rsidRPr="00AC12FF">
              <w:rPr>
                <w:rFonts w:ascii="Verdana" w:hAnsi="Verdana"/>
              </w:rPr>
              <w:t>se</w:t>
            </w:r>
            <w:r w:rsidRPr="00AC12FF">
              <w:rPr>
                <w:rFonts w:ascii="Verdana" w:hAnsi="Verdana"/>
                <w:spacing w:val="37"/>
              </w:rPr>
              <w:t xml:space="preserve"> </w:t>
            </w:r>
            <w:r w:rsidRPr="00AC12FF">
              <w:rPr>
                <w:rFonts w:ascii="Verdana" w:hAnsi="Verdana"/>
              </w:rPr>
              <w:t>hace</w:t>
            </w:r>
            <w:r w:rsidRPr="00AC12FF">
              <w:rPr>
                <w:rFonts w:ascii="Verdana" w:hAnsi="Verdana"/>
                <w:spacing w:val="37"/>
              </w:rPr>
              <w:t xml:space="preserve"> </w:t>
            </w:r>
            <w:r w:rsidRPr="00AC12FF">
              <w:rPr>
                <w:rFonts w:ascii="Verdana" w:hAnsi="Verdana"/>
              </w:rPr>
              <w:t>necesario</w:t>
            </w:r>
            <w:r w:rsidRPr="00AC12FF">
              <w:rPr>
                <w:rFonts w:ascii="Verdana" w:hAnsi="Verdana"/>
                <w:spacing w:val="39"/>
              </w:rPr>
              <w:t xml:space="preserve"> </w:t>
            </w:r>
            <w:r w:rsidRPr="00AC12FF">
              <w:rPr>
                <w:rFonts w:ascii="Verdana" w:hAnsi="Verdana"/>
              </w:rPr>
              <w:t>que</w:t>
            </w:r>
            <w:r w:rsidRPr="00AC12FF">
              <w:rPr>
                <w:rFonts w:ascii="Verdana" w:hAnsi="Verdana"/>
                <w:spacing w:val="37"/>
              </w:rPr>
              <w:t xml:space="preserve"> </w:t>
            </w:r>
            <w:r w:rsidRPr="00AC12FF">
              <w:rPr>
                <w:rFonts w:ascii="Verdana" w:hAnsi="Verdana"/>
              </w:rPr>
              <w:t>la</w:t>
            </w:r>
            <w:r w:rsidRPr="00AC12FF">
              <w:rPr>
                <w:rFonts w:ascii="Verdana" w:hAnsi="Verdana"/>
                <w:spacing w:val="36"/>
              </w:rPr>
              <w:t xml:space="preserve"> </w:t>
            </w:r>
            <w:r w:rsidRPr="00AC12FF">
              <w:rPr>
                <w:rFonts w:ascii="Verdana" w:hAnsi="Verdana"/>
              </w:rPr>
              <w:t>Administración</w:t>
            </w:r>
            <w:r w:rsidRPr="00AC12FF">
              <w:rPr>
                <w:rFonts w:ascii="Verdana" w:hAnsi="Verdana"/>
                <w:spacing w:val="40"/>
              </w:rPr>
              <w:t xml:space="preserve"> </w:t>
            </w:r>
            <w:r w:rsidRPr="00AC12FF">
              <w:rPr>
                <w:rFonts w:ascii="Verdana" w:hAnsi="Verdana"/>
              </w:rPr>
              <w:t>analice,</w:t>
            </w:r>
            <w:r w:rsidRPr="00AC12FF">
              <w:rPr>
                <w:rFonts w:ascii="Verdana" w:hAnsi="Verdana"/>
                <w:spacing w:val="38"/>
              </w:rPr>
              <w:t xml:space="preserve"> </w:t>
            </w:r>
            <w:r w:rsidRPr="00AC12FF">
              <w:rPr>
                <w:rFonts w:ascii="Verdana" w:hAnsi="Verdana"/>
              </w:rPr>
              <w:t>en</w:t>
            </w:r>
            <w:r w:rsidRPr="00AC12FF">
              <w:rPr>
                <w:rFonts w:ascii="Verdana" w:hAnsi="Verdana"/>
                <w:spacing w:val="37"/>
              </w:rPr>
              <w:t xml:space="preserve"> </w:t>
            </w:r>
            <w:r w:rsidRPr="00AC12FF">
              <w:rPr>
                <w:rFonts w:ascii="Verdana" w:hAnsi="Verdana"/>
              </w:rPr>
              <w:t>cada caso, la concurrencia de los aspectos antes referidos.</w:t>
            </w:r>
          </w:p>
          <w:p w14:paraId="7BE0435B" w14:textId="77777777" w:rsidR="00154D3E" w:rsidRDefault="00154D3E" w:rsidP="00B22440">
            <w:pPr>
              <w:spacing w:line="276" w:lineRule="auto"/>
              <w:jc w:val="both"/>
              <w:rPr>
                <w:rFonts w:ascii="Verdana" w:hAnsi="Verdana"/>
              </w:rPr>
            </w:pPr>
            <w:r w:rsidRPr="00AC12FF">
              <w:rPr>
                <w:rFonts w:ascii="Verdana" w:hAnsi="Verdana"/>
              </w:rPr>
              <w:t xml:space="preserve">        Adicionalmente, la jurisprudencia del Consejo de Estado ha establecido unas limitaciones de orden temporal, formal y material. Dentro de los límites de orden temporal están comprendidos: i) la vigencia del contrato, pues no podría modificarse un contrato cuyo plazo ha culminado y </w:t>
            </w:r>
            <w:proofErr w:type="spellStart"/>
            <w:r w:rsidRPr="00AC12FF">
              <w:rPr>
                <w:rFonts w:ascii="Verdana" w:hAnsi="Verdana"/>
              </w:rPr>
              <w:t>ii</w:t>
            </w:r>
            <w:proofErr w:type="spellEnd"/>
            <w:r w:rsidRPr="00AC12FF">
              <w:rPr>
                <w:rFonts w:ascii="Verdana" w:hAnsi="Verdana"/>
              </w:rPr>
              <w:t xml:space="preserve">) la prohibición de consagrar prórrogas automáticas, sucesivas o indefinidas, en tanto resultan contrarias al derecho esencial de la libertad de competencia. Dentro de los límites de orden formal están: i) La solemnidad del contrato de modificación, derivada del carácter solemne del contrato estatal, que exige que modificación de los contratos conste por escrito; </w:t>
            </w:r>
            <w:proofErr w:type="spellStart"/>
            <w:r w:rsidRPr="00AC12FF">
              <w:rPr>
                <w:rFonts w:ascii="Verdana" w:hAnsi="Verdana"/>
              </w:rPr>
              <w:t>ii</w:t>
            </w:r>
            <w:proofErr w:type="spellEnd"/>
            <w:r w:rsidRPr="00AC12FF">
              <w:rPr>
                <w:rFonts w:ascii="Verdana" w:hAnsi="Verdana"/>
              </w:rPr>
              <w:t>) la motivación y justificación de la modificación, la cual constituye un elemento esencial que permite determinar la juridicidad y la necesidad de una modificación determinada; así como su racionalidad y la proporcionalidad de su contenido. Los límites de orden material corresponden a: i) la prohibición de modificar las condiciones sustanciales del contrato, que se presentará en los casos en que se incluyan elementos que,</w:t>
            </w:r>
            <w:r>
              <w:rPr>
                <w:rFonts w:ascii="Verdana" w:hAnsi="Verdana"/>
              </w:rPr>
              <w:t xml:space="preserve"> </w:t>
            </w:r>
            <w:r w:rsidRPr="00AC12FF">
              <w:rPr>
                <w:rFonts w:ascii="Verdana" w:hAnsi="Verdana"/>
              </w:rPr>
              <w:t xml:space="preserve">habiendo figurado en el procedimiento inicial, hubiera permitido la participación de otros interesados aparte de los inicialmente admitidos, o seleccionar una oferta distinta de la inicialmente seleccionada. Estos aspectos deberán ser tenidos en cuenta por las Entidades Estatales al momento de proceder con la </w:t>
            </w:r>
            <w:r>
              <w:rPr>
                <w:rFonts w:ascii="Verdana" w:hAnsi="Verdana"/>
              </w:rPr>
              <w:t>modificación</w:t>
            </w:r>
            <w:r w:rsidRPr="00AC12FF">
              <w:rPr>
                <w:rFonts w:ascii="Verdana" w:hAnsi="Verdana"/>
              </w:rPr>
              <w:t xml:space="preserve"> de los contratos.</w:t>
            </w:r>
          </w:p>
          <w:p w14:paraId="6584F876" w14:textId="77777777" w:rsidR="00154D3E" w:rsidRPr="00AC12FF" w:rsidRDefault="00154D3E" w:rsidP="00B22440">
            <w:pPr>
              <w:spacing w:line="276" w:lineRule="auto"/>
              <w:jc w:val="both"/>
              <w:rPr>
                <w:rFonts w:ascii="Verdana" w:hAnsi="Verdana"/>
              </w:rPr>
            </w:pPr>
          </w:p>
          <w:p w14:paraId="393CB131" w14:textId="77777777" w:rsidR="00154D3E" w:rsidRPr="00AC12FF" w:rsidRDefault="00154D3E" w:rsidP="00B22440">
            <w:pPr>
              <w:spacing w:line="276" w:lineRule="auto"/>
              <w:jc w:val="both"/>
              <w:rPr>
                <w:rFonts w:ascii="Verdana" w:hAnsi="Verdana"/>
              </w:rPr>
            </w:pPr>
            <w:r w:rsidRPr="00AC12FF">
              <w:rPr>
                <w:rFonts w:ascii="Verdana" w:hAnsi="Verdana"/>
              </w:rPr>
              <w:t>Respecto al incremento del valor inicial del contrato, que implica una adición, el parágrafo del artículo 40 de la Ley 80 de 1993 estipula un límite según el cual “Los contratos no podrán adicionarse en más del cincuenta por ciento (50%) de su valor inicial, expresado éste en salarios mínimos legales mensuales”.</w:t>
            </w:r>
            <w:r>
              <w:rPr>
                <w:rFonts w:ascii="Verdana" w:hAnsi="Verdana"/>
              </w:rPr>
              <w:t xml:space="preserve"> </w:t>
            </w:r>
            <w:r w:rsidRPr="00AC12FF">
              <w:rPr>
                <w:rFonts w:ascii="Verdana" w:hAnsi="Verdana"/>
              </w:rPr>
              <w:t xml:space="preserve">Además de lo anterior, las modificaciones no podrían suponer la variación del objeto de un contrato, pues ello supondría la alteración de su </w:t>
            </w:r>
            <w:r w:rsidRPr="00AC12FF">
              <w:rPr>
                <w:rFonts w:ascii="Verdana" w:hAnsi="Verdana"/>
              </w:rPr>
              <w:lastRenderedPageBreak/>
              <w:t>esencia y lo convertiría en otro tipo de negocio jurídico. Si se presentara esta situación lo indicado no sería modificar el contrato sino celebrar uno nuevo.</w:t>
            </w:r>
          </w:p>
          <w:p w14:paraId="072CFBB9" w14:textId="77777777" w:rsidR="00154D3E" w:rsidRDefault="00154D3E" w:rsidP="00B22440">
            <w:pPr>
              <w:spacing w:after="120" w:line="276" w:lineRule="auto"/>
              <w:jc w:val="both"/>
              <w:rPr>
                <w:rFonts w:ascii="Verdana" w:hAnsi="Verdana" w:cs="Arial"/>
                <w:color w:val="000000" w:themeColor="text1"/>
              </w:rPr>
            </w:pPr>
          </w:p>
          <w:p w14:paraId="320F59A0" w14:textId="487920B6" w:rsidR="00E576C4" w:rsidRPr="00A3545C" w:rsidRDefault="00DA74BC" w:rsidP="00B22440">
            <w:pPr>
              <w:spacing w:after="120" w:line="276" w:lineRule="auto"/>
              <w:jc w:val="both"/>
              <w:rPr>
                <w:rFonts w:ascii="Verdana" w:hAnsi="Verdana" w:cs="Arial"/>
                <w:color w:val="333333"/>
              </w:rPr>
            </w:pPr>
            <w:r w:rsidRPr="007565EF">
              <w:rPr>
                <w:rFonts w:ascii="Verdana" w:hAnsi="Verdana" w:cs="Arial"/>
                <w:color w:val="000000" w:themeColor="text1"/>
              </w:rPr>
              <w:t>Finalmente</w:t>
            </w:r>
            <w:r w:rsidR="00943B6C">
              <w:rPr>
                <w:rFonts w:ascii="Verdana" w:hAnsi="Verdana" w:cs="Arial"/>
                <w:color w:val="000000" w:themeColor="text1"/>
              </w:rPr>
              <w:t>,</w:t>
            </w:r>
            <w:r w:rsidRPr="007565EF">
              <w:rPr>
                <w:rFonts w:ascii="Verdana" w:hAnsi="Verdana" w:cs="Arial"/>
                <w:color w:val="000000" w:themeColor="text1"/>
              </w:rPr>
              <w:t xml:space="preserve"> el artículo 16 de la Ley 80 de 1993 señala </w:t>
            </w:r>
            <w:r w:rsidR="00F600EA" w:rsidRPr="007565EF">
              <w:rPr>
                <w:rFonts w:ascii="Verdana" w:hAnsi="Verdana" w:cs="Arial"/>
                <w:color w:val="000000" w:themeColor="text1"/>
              </w:rPr>
              <w:t>l</w:t>
            </w:r>
            <w:r w:rsidRPr="007565EF">
              <w:rPr>
                <w:rFonts w:ascii="Verdana" w:hAnsi="Verdana" w:cs="Arial"/>
                <w:color w:val="000000" w:themeColor="text1"/>
              </w:rPr>
              <w:t>a facultad de la administración de modificar unilateralmente el contrato mediante la supresión  o adición de obra, trabajos, suministros o servicios</w:t>
            </w:r>
            <w:r w:rsidR="00D3219D">
              <w:rPr>
                <w:rFonts w:ascii="Verdana" w:hAnsi="Verdana" w:cs="Arial"/>
                <w:color w:val="000000" w:themeColor="text1"/>
              </w:rPr>
              <w:t>;</w:t>
            </w:r>
            <w:r w:rsidRPr="007565EF">
              <w:rPr>
                <w:rFonts w:ascii="Verdana" w:hAnsi="Verdana" w:cs="Arial"/>
                <w:color w:val="000000" w:themeColor="text1"/>
              </w:rPr>
              <w:t xml:space="preserve"> es una potestad excepcional, pues la entidad estatal tiene la dirección general y la responsabilidad de ejercer el control y la vigilancia en la ejecución del contrato para el cumplimiento de los fines de la contratación con el exclusivo objeto de garantizar la prevalencia del interés público y evitar la paralización del objeto contratado.</w:t>
            </w:r>
          </w:p>
        </w:tc>
      </w:tr>
    </w:tbl>
    <w:p w14:paraId="78D45B54" w14:textId="77777777" w:rsidR="00E576C4" w:rsidRDefault="00E576C4" w:rsidP="00E576C4">
      <w:pPr>
        <w:tabs>
          <w:tab w:val="left" w:pos="142"/>
          <w:tab w:val="left" w:pos="284"/>
        </w:tabs>
        <w:spacing w:after="0" w:line="276" w:lineRule="auto"/>
        <w:jc w:val="both"/>
        <w:rPr>
          <w:rFonts w:ascii="Verdana" w:eastAsia="Century Gothic" w:hAnsi="Verdana" w:cs="Century Gothic"/>
          <w:b/>
          <w:bCs/>
          <w:lang w:val="es-ES"/>
        </w:rPr>
      </w:pPr>
    </w:p>
    <w:p w14:paraId="05C0B010" w14:textId="77777777" w:rsidR="00E576C4" w:rsidRPr="00593A5F" w:rsidRDefault="00E576C4" w:rsidP="00E576C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C2F03BE" w14:textId="77777777" w:rsidR="00E576C4" w:rsidRPr="00593A5F" w:rsidRDefault="00E576C4" w:rsidP="00E576C4">
      <w:pPr>
        <w:spacing w:after="0" w:line="276" w:lineRule="auto"/>
        <w:jc w:val="both"/>
        <w:rPr>
          <w:rFonts w:ascii="Verdana" w:eastAsia="Calibri" w:hAnsi="Verdana" w:cs="Arial"/>
          <w:color w:val="7030A0"/>
          <w:lang w:val="es-ES"/>
        </w:rPr>
      </w:pPr>
    </w:p>
    <w:p w14:paraId="42AF7720" w14:textId="77777777" w:rsidR="00E576C4" w:rsidRPr="00D23A72" w:rsidRDefault="00E576C4" w:rsidP="00E576C4">
      <w:pPr>
        <w:spacing w:after="0" w:line="276" w:lineRule="auto"/>
        <w:jc w:val="both"/>
        <w:rPr>
          <w:rFonts w:ascii="Verdana" w:eastAsia="Calibri" w:hAnsi="Verdana" w:cs="Arial"/>
          <w:lang w:val="es-ES"/>
        </w:rPr>
      </w:pPr>
      <w:r w:rsidRPr="00D23A72">
        <w:rPr>
          <w:rFonts w:ascii="Verdana" w:eastAsia="Calibri" w:hAnsi="Verdana" w:cs="Arial"/>
          <w:lang w:val="es-ES"/>
        </w:rPr>
        <w:t xml:space="preserve">Lo anterior se sustenta en las siguientes consideraciones: </w:t>
      </w:r>
    </w:p>
    <w:p w14:paraId="6079DE11" w14:textId="77777777" w:rsidR="00E576C4" w:rsidRPr="00D23A72" w:rsidRDefault="00E576C4" w:rsidP="00E576C4">
      <w:pPr>
        <w:spacing w:after="0" w:line="276" w:lineRule="auto"/>
        <w:jc w:val="both"/>
        <w:rPr>
          <w:rFonts w:ascii="Verdana" w:eastAsia="Calibri" w:hAnsi="Verdana" w:cs="Arial"/>
          <w:lang w:val="es-ES"/>
        </w:rPr>
      </w:pPr>
    </w:p>
    <w:p w14:paraId="3E490B0B" w14:textId="77777777" w:rsidR="00E576C4" w:rsidRDefault="00E576C4" w:rsidP="00E576C4">
      <w:pPr>
        <w:tabs>
          <w:tab w:val="left" w:pos="284"/>
        </w:tabs>
        <w:spacing w:line="276" w:lineRule="auto"/>
        <w:jc w:val="both"/>
        <w:rPr>
          <w:rFonts w:ascii="Verdana" w:hAnsi="Verdana" w:cs="Arial"/>
        </w:rPr>
      </w:pPr>
      <w:r w:rsidRPr="00D23A72">
        <w:rPr>
          <w:rFonts w:ascii="Verdana" w:hAnsi="Verdana" w:cs="Arial"/>
        </w:rPr>
        <w:t xml:space="preserve">El Estatuto General de Contratación de la Administración Pública, contenido en las Leyes 80 de 1993 y 1150 de 2007, así como en las normas que las han modificado y las reglamentan, no consagran una regulación expresa sobre la posibilidad de modificar los contratos celebrados por las Entidades Estatales. </w:t>
      </w:r>
    </w:p>
    <w:p w14:paraId="133968CF" w14:textId="77777777" w:rsidR="00E576C4" w:rsidRPr="00D23A72" w:rsidRDefault="00E576C4" w:rsidP="00E576C4">
      <w:pPr>
        <w:tabs>
          <w:tab w:val="left" w:pos="284"/>
        </w:tabs>
        <w:spacing w:line="276" w:lineRule="auto"/>
        <w:jc w:val="both"/>
        <w:rPr>
          <w:rFonts w:ascii="Verdana" w:hAnsi="Verdana" w:cs="Arial"/>
        </w:rPr>
      </w:pPr>
      <w:r>
        <w:rPr>
          <w:rFonts w:ascii="Verdana" w:hAnsi="Verdana" w:cs="Arial"/>
        </w:rPr>
        <w:tab/>
      </w:r>
      <w:r>
        <w:rPr>
          <w:rFonts w:ascii="Verdana" w:hAnsi="Verdana" w:cs="Arial"/>
        </w:rPr>
        <w:tab/>
      </w:r>
      <w:r w:rsidRPr="00D23A72">
        <w:rPr>
          <w:rFonts w:ascii="Verdana" w:hAnsi="Verdana" w:cs="Arial"/>
        </w:rPr>
        <w:t>Ello encuentra sustento en que, en principio, los contratos deben ejecutarse en las condiciones pactadas inicialmente, pues tales condiciones fueron convenidas luego de que la Entidad Estatal surtiera todos los procedimientos previstos para la selección de su contratista y definiera los aspectos, técnicos, legales y financieros propios de cada caso, con observancia de los principios de transparencia, economía y responsabilidad, así como de todos los demás principios de la función administrativa, aplicables al proceso de gestión contractual. La regulación expresa contenida en la Ley se limita a fijar</w:t>
      </w:r>
      <w:r>
        <w:rPr>
          <w:rFonts w:ascii="Verdana" w:hAnsi="Verdana" w:cs="Arial"/>
        </w:rPr>
        <w:t xml:space="preserve"> </w:t>
      </w:r>
      <w:r w:rsidRPr="00D23A72">
        <w:rPr>
          <w:rFonts w:ascii="Verdana" w:hAnsi="Verdana" w:cs="Arial"/>
        </w:rPr>
        <w:t>los porcentajes límite para adicionar los valores inicialmente pactados, como lo hace el artículo 40 de la Ley 80 de 1993</w:t>
      </w:r>
      <w:r w:rsidRPr="00EC7006">
        <w:rPr>
          <w:rFonts w:ascii="Arial" w:eastAsia="Arial" w:hAnsi="Arial" w:cs="Arial"/>
          <w:vertAlign w:val="superscript"/>
          <w:lang w:val="es-MX" w:eastAsia="es-ES" w:bidi="es-ES"/>
        </w:rPr>
        <w:footnoteReference w:id="2"/>
      </w:r>
      <w:r w:rsidRPr="00D23A72">
        <w:rPr>
          <w:rFonts w:ascii="Verdana" w:hAnsi="Verdana" w:cs="Arial"/>
        </w:rPr>
        <w:t xml:space="preserve">.  </w:t>
      </w:r>
    </w:p>
    <w:p w14:paraId="1C768F70" w14:textId="77777777" w:rsidR="00E576C4" w:rsidRDefault="00E576C4" w:rsidP="00E576C4">
      <w:pPr>
        <w:tabs>
          <w:tab w:val="left" w:pos="284"/>
        </w:tabs>
        <w:spacing w:after="0" w:line="276" w:lineRule="auto"/>
        <w:jc w:val="both"/>
        <w:rPr>
          <w:rFonts w:ascii="Verdana" w:hAnsi="Verdana" w:cs="Arial"/>
        </w:rPr>
      </w:pPr>
      <w:r>
        <w:rPr>
          <w:rFonts w:ascii="Verdana" w:hAnsi="Verdana" w:cs="Arial"/>
        </w:rPr>
        <w:tab/>
      </w:r>
      <w:r>
        <w:rPr>
          <w:rFonts w:ascii="Verdana" w:hAnsi="Verdana" w:cs="Arial"/>
        </w:rPr>
        <w:tab/>
      </w:r>
      <w:r w:rsidRPr="00D23A72">
        <w:rPr>
          <w:rFonts w:ascii="Verdana" w:hAnsi="Verdana" w:cs="Arial"/>
        </w:rPr>
        <w:t xml:space="preserve">Ahora bien, no existe ninguna restricción expresa para modificar los contratos estatales y los mismos principios antes referidos puede poner en evidencia la necesidad de suscribir documentos de modificación en los cuales se cambie parte de las estipulaciones pactadas en un comienzo. En el contexto antes descrito, la jurisprudencia ha fijado pautas generales conforme a las cuales </w:t>
      </w:r>
      <w:r w:rsidRPr="00D23A72">
        <w:rPr>
          <w:rFonts w:ascii="Verdana" w:hAnsi="Verdana" w:cs="Arial"/>
        </w:rPr>
        <w:lastRenderedPageBreak/>
        <w:t>la Administración Pública debe evaluar, teniendo cuenta las particularidades de cada caso, si resulta procedente suscribir documentos de modificación a los contratos que ha celebrado. Así, por ejemplo, la Corte Constitucional, mediante sentencia C - 416 de 2012</w:t>
      </w:r>
      <w:r>
        <w:rPr>
          <w:rStyle w:val="Refdenotaalpie"/>
          <w:rFonts w:ascii="Arial" w:eastAsia="Arial" w:hAnsi="Arial" w:cs="Arial"/>
          <w:lang w:val="es-ES" w:eastAsia="es-ES" w:bidi="es-ES"/>
        </w:rPr>
        <w:footnoteReference w:id="3"/>
      </w:r>
      <w:r w:rsidRPr="00D23A72">
        <w:rPr>
          <w:rFonts w:ascii="Verdana" w:hAnsi="Verdana" w:cs="Arial"/>
        </w:rPr>
        <w:t>, expresó lo siguiente sobre la posibilidad de modificar los contratos estatales:</w:t>
      </w:r>
    </w:p>
    <w:p w14:paraId="0B69850C" w14:textId="77777777" w:rsidR="00E576C4" w:rsidRDefault="00E576C4" w:rsidP="00E576C4">
      <w:pPr>
        <w:tabs>
          <w:tab w:val="left" w:pos="284"/>
        </w:tabs>
        <w:spacing w:after="0" w:line="276" w:lineRule="auto"/>
        <w:jc w:val="both"/>
        <w:rPr>
          <w:rFonts w:ascii="Verdana" w:hAnsi="Verdana" w:cs="Arial"/>
        </w:rPr>
      </w:pPr>
    </w:p>
    <w:p w14:paraId="6A21CA2A" w14:textId="77777777" w:rsidR="00E576C4" w:rsidRDefault="00E576C4" w:rsidP="00E576C4">
      <w:pPr>
        <w:tabs>
          <w:tab w:val="left" w:pos="284"/>
        </w:tabs>
        <w:spacing w:after="0" w:line="240" w:lineRule="auto"/>
        <w:ind w:left="1049" w:right="709"/>
        <w:jc w:val="both"/>
        <w:rPr>
          <w:rFonts w:ascii="Verdana" w:hAnsi="Verdana" w:cs="Arial"/>
          <w:sz w:val="21"/>
          <w:szCs w:val="21"/>
          <w:lang w:val="es-ES"/>
        </w:rPr>
      </w:pPr>
      <w:r>
        <w:rPr>
          <w:rFonts w:ascii="Verdana" w:hAnsi="Verdana" w:cs="Arial"/>
          <w:sz w:val="21"/>
          <w:szCs w:val="21"/>
        </w:rPr>
        <w:t>“</w:t>
      </w:r>
      <w:r w:rsidRPr="00A677A9">
        <w:rPr>
          <w:rFonts w:ascii="Verdana" w:hAnsi="Verdana" w:cs="Arial"/>
          <w:sz w:val="21"/>
          <w:szCs w:val="21"/>
        </w:rPr>
        <w:t>Por regla general, los contratos estatales pueden ser modificados cuando sea necesario para lograr su finalidad y en aras de la realización de los fines del Estado, a los cuales sirve el contrato</w:t>
      </w:r>
      <w:r w:rsidRPr="003A0A80">
        <w:rPr>
          <w:rFonts w:ascii="Arial" w:eastAsia="Arial" w:hAnsi="Arial" w:cs="Arial"/>
          <w:sz w:val="20"/>
          <w:szCs w:val="20"/>
          <w:vertAlign w:val="superscript"/>
          <w:lang w:val="es-ES" w:eastAsia="es-ES" w:bidi="es-ES"/>
        </w:rPr>
        <w:footnoteReference w:id="4"/>
      </w:r>
      <w:r>
        <w:rPr>
          <w:rFonts w:ascii="Verdana" w:hAnsi="Verdana" w:cs="Arial"/>
          <w:sz w:val="21"/>
          <w:szCs w:val="21"/>
        </w:rPr>
        <w:t xml:space="preserve">. </w:t>
      </w:r>
      <w:r w:rsidRPr="00A677A9">
        <w:rPr>
          <w:rFonts w:ascii="Verdana" w:hAnsi="Verdana" w:cs="Arial"/>
          <w:sz w:val="21"/>
          <w:szCs w:val="21"/>
        </w:rPr>
        <w:t xml:space="preserve">Así lo prevén por ejemplo los artículos 14 y 16 de la ley 80, los cuales facultan a las entidades contratantes a modificar los contratos de común acuerdo o de forma unilateral, para </w:t>
      </w:r>
      <w:r>
        <w:rPr>
          <w:rFonts w:ascii="Verdana" w:hAnsi="Verdana" w:cs="Arial"/>
          <w:sz w:val="21"/>
          <w:szCs w:val="21"/>
        </w:rPr>
        <w:t>“</w:t>
      </w:r>
      <w:r w:rsidRPr="00A677A9">
        <w:rPr>
          <w:rFonts w:ascii="Verdana" w:hAnsi="Verdana" w:cs="Arial"/>
          <w:sz w:val="21"/>
          <w:szCs w:val="21"/>
        </w:rPr>
        <w:t>[…] evitar la paralización o la afectación grave de los servicios públicos a su cargo y asegurar la inmediata, continua y adecuada prestación”, entre otros. En el mismo sentido, en la sentencia C-949 de 2001</w:t>
      </w:r>
      <w:r w:rsidRPr="003A0A80">
        <w:rPr>
          <w:rFonts w:ascii="Arial" w:eastAsia="Arial" w:hAnsi="Arial" w:cs="Arial"/>
          <w:sz w:val="20"/>
          <w:szCs w:val="20"/>
          <w:vertAlign w:val="superscript"/>
          <w:lang w:val="es-ES" w:eastAsia="es-ES" w:bidi="es-ES"/>
        </w:rPr>
        <w:footnoteReference w:id="5"/>
      </w:r>
      <w:r w:rsidRPr="00A677A9">
        <w:rPr>
          <w:rFonts w:ascii="Verdana" w:hAnsi="Verdana" w:cs="Arial"/>
          <w:sz w:val="21"/>
          <w:szCs w:val="21"/>
        </w:rPr>
        <w:t>, la Corte Constitucional señaló que las prórrogas de los contratos –como especie de modificación- pueden ser un instrumento útil para lograr los fines propios de la contratación estatal</w:t>
      </w:r>
      <w:r w:rsidRPr="003A0A80">
        <w:rPr>
          <w:rFonts w:ascii="Arial" w:eastAsia="Arial" w:hAnsi="Arial" w:cs="Arial"/>
          <w:sz w:val="20"/>
          <w:szCs w:val="20"/>
          <w:vertAlign w:val="superscript"/>
          <w:lang w:val="es-ES" w:eastAsia="es-ES" w:bidi="es-ES"/>
        </w:rPr>
        <w:footnoteReference w:id="6"/>
      </w:r>
      <w:r>
        <w:rPr>
          <w:rFonts w:ascii="Verdana" w:hAnsi="Verdana" w:cs="Arial"/>
          <w:sz w:val="21"/>
          <w:szCs w:val="21"/>
          <w:lang w:val="es-ES"/>
        </w:rPr>
        <w:t>.</w:t>
      </w:r>
    </w:p>
    <w:p w14:paraId="2D559EED" w14:textId="77777777" w:rsidR="00E576C4" w:rsidRPr="005C7610" w:rsidRDefault="00E576C4" w:rsidP="00E576C4">
      <w:pPr>
        <w:tabs>
          <w:tab w:val="left" w:pos="284"/>
        </w:tabs>
        <w:spacing w:after="0" w:line="240" w:lineRule="auto"/>
        <w:ind w:left="1049" w:right="709"/>
        <w:jc w:val="both"/>
        <w:rPr>
          <w:rFonts w:ascii="Verdana" w:hAnsi="Verdana" w:cs="Arial"/>
          <w:sz w:val="21"/>
          <w:szCs w:val="21"/>
          <w:lang w:val="es-ES"/>
        </w:rPr>
      </w:pPr>
    </w:p>
    <w:p w14:paraId="48BEB2A1" w14:textId="77777777" w:rsidR="00E576C4" w:rsidRDefault="00E576C4" w:rsidP="00E576C4">
      <w:pPr>
        <w:tabs>
          <w:tab w:val="left" w:pos="284"/>
        </w:tabs>
        <w:spacing w:after="0" w:line="240" w:lineRule="auto"/>
        <w:ind w:left="1049" w:right="709"/>
        <w:jc w:val="both"/>
        <w:rPr>
          <w:rFonts w:ascii="Verdana" w:hAnsi="Verdana" w:cs="Arial"/>
          <w:sz w:val="21"/>
          <w:szCs w:val="21"/>
        </w:rPr>
      </w:pPr>
      <w:r w:rsidRPr="00A677A9">
        <w:rPr>
          <w:rFonts w:ascii="Verdana" w:hAnsi="Verdana" w:cs="Arial"/>
          <w:sz w:val="21"/>
          <w:szCs w:val="21"/>
        </w:rPr>
        <w:t xml:space="preserve">[…] </w:t>
      </w:r>
    </w:p>
    <w:p w14:paraId="56D79DBC" w14:textId="77777777" w:rsidR="00E576C4" w:rsidRPr="00A677A9" w:rsidRDefault="00E576C4" w:rsidP="00E576C4">
      <w:pPr>
        <w:tabs>
          <w:tab w:val="left" w:pos="284"/>
        </w:tabs>
        <w:spacing w:after="0" w:line="240" w:lineRule="auto"/>
        <w:ind w:left="1049" w:right="709"/>
        <w:jc w:val="both"/>
        <w:rPr>
          <w:rFonts w:ascii="Verdana" w:hAnsi="Verdana" w:cs="Arial"/>
          <w:sz w:val="21"/>
          <w:szCs w:val="21"/>
        </w:rPr>
      </w:pPr>
    </w:p>
    <w:p w14:paraId="28CB0792" w14:textId="77777777" w:rsidR="00E576C4" w:rsidRDefault="00E576C4" w:rsidP="00E576C4">
      <w:pPr>
        <w:tabs>
          <w:tab w:val="left" w:pos="284"/>
        </w:tabs>
        <w:spacing w:after="0" w:line="240" w:lineRule="auto"/>
        <w:ind w:left="1049" w:right="709"/>
        <w:jc w:val="both"/>
        <w:rPr>
          <w:rFonts w:ascii="Verdana" w:hAnsi="Verdana" w:cs="Arial"/>
          <w:sz w:val="21"/>
          <w:szCs w:val="21"/>
        </w:rPr>
      </w:pPr>
      <w:r w:rsidRPr="00A677A9">
        <w:rPr>
          <w:rFonts w:ascii="Verdana" w:hAnsi="Verdana" w:cs="Arial"/>
          <w:sz w:val="21"/>
          <w:szCs w:val="21"/>
        </w:rPr>
        <w:t>La modificación de los contratos estatales es especialmente importante en aquellos por naturaleza incompletos, es decir, (i) los afectados por asimetrías de información que impiden la previsión de todas las contingencias que pueden afectar su ejecución, y (</w:t>
      </w:r>
      <w:proofErr w:type="spellStart"/>
      <w:r w:rsidRPr="00A677A9">
        <w:rPr>
          <w:rFonts w:ascii="Verdana" w:hAnsi="Verdana" w:cs="Arial"/>
          <w:sz w:val="21"/>
          <w:szCs w:val="21"/>
        </w:rPr>
        <w:t>ii</w:t>
      </w:r>
      <w:proofErr w:type="spellEnd"/>
      <w:r w:rsidRPr="00A677A9">
        <w:rPr>
          <w:rFonts w:ascii="Verdana" w:hAnsi="Verdana" w:cs="Arial"/>
          <w:sz w:val="21"/>
          <w:szCs w:val="21"/>
        </w:rPr>
        <w:t xml:space="preserve">) en el marco de los cuales, por esa misma razón, es difícil prever ex ante los remedios necesarios para afrontar tales contingencias, como ocurre por lo general con los contratos de largo plazo.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que las que tampoco era posible, en dicho momento, prever un remedio adecuado y específico. En este tipo de contratos es preciso entonces el diseño de reglas que permitan la adaptación y la resolución pacífica de las controversias para evitar el fracaso. </w:t>
      </w:r>
    </w:p>
    <w:p w14:paraId="0FEE3074" w14:textId="77777777" w:rsidR="00E576C4" w:rsidRPr="00A677A9" w:rsidRDefault="00E576C4" w:rsidP="00E576C4">
      <w:pPr>
        <w:tabs>
          <w:tab w:val="left" w:pos="284"/>
        </w:tabs>
        <w:spacing w:after="0" w:line="240" w:lineRule="auto"/>
        <w:ind w:left="1049" w:right="709"/>
        <w:jc w:val="both"/>
        <w:rPr>
          <w:rFonts w:ascii="Verdana" w:hAnsi="Verdana" w:cs="Arial"/>
          <w:sz w:val="21"/>
          <w:szCs w:val="21"/>
        </w:rPr>
      </w:pPr>
    </w:p>
    <w:p w14:paraId="3FC57F66" w14:textId="77777777" w:rsidR="00E576C4" w:rsidRDefault="00E576C4" w:rsidP="00E576C4">
      <w:pPr>
        <w:tabs>
          <w:tab w:val="left" w:pos="284"/>
        </w:tabs>
        <w:spacing w:after="0" w:line="240" w:lineRule="auto"/>
        <w:ind w:left="1049" w:right="709"/>
        <w:jc w:val="both"/>
        <w:rPr>
          <w:rFonts w:ascii="Verdana" w:hAnsi="Verdana" w:cs="Arial"/>
          <w:sz w:val="21"/>
          <w:szCs w:val="21"/>
        </w:rPr>
      </w:pPr>
      <w:r w:rsidRPr="00A677A9">
        <w:rPr>
          <w:rFonts w:ascii="Verdana" w:hAnsi="Verdana" w:cs="Arial"/>
          <w:sz w:val="21"/>
          <w:szCs w:val="21"/>
        </w:rPr>
        <w:lastRenderedPageBreak/>
        <w:t>Ahora bien, el que la mutabilidad de los contratos estatales sea posible no significa que pueda llevarse a cabo por la mera voluntad de las partes o de la entidad contratante; por el contrario, la modificación del contrato debe ser excepcional en virtud de los principios de planeación y seguridad jurídica. Por ello la Corte concuerda con la Sala de Consulta y Servicio Civil en que la modificación debe obedecer a una causa real y cierta autorizada en la ley, sustentada y probada, y acorde con los fines estatales a los que sirve la contratación estatal</w:t>
      </w:r>
      <w:r>
        <w:rPr>
          <w:rFonts w:ascii="Verdana" w:hAnsi="Verdana" w:cs="Arial"/>
          <w:sz w:val="21"/>
          <w:szCs w:val="21"/>
        </w:rPr>
        <w:t>”.</w:t>
      </w:r>
    </w:p>
    <w:p w14:paraId="16B53ACF" w14:textId="77777777" w:rsidR="00E576C4" w:rsidRPr="00A677A9" w:rsidRDefault="00E576C4" w:rsidP="00E576C4">
      <w:pPr>
        <w:tabs>
          <w:tab w:val="left" w:pos="284"/>
        </w:tabs>
        <w:spacing w:after="0" w:line="240" w:lineRule="auto"/>
        <w:ind w:left="1049" w:right="709"/>
        <w:jc w:val="both"/>
        <w:rPr>
          <w:rFonts w:ascii="Verdana" w:eastAsia="Arial MT" w:hAnsi="Verdana" w:cs="Arial"/>
        </w:rPr>
      </w:pPr>
    </w:p>
    <w:p w14:paraId="419DC701" w14:textId="77777777" w:rsidR="00E576C4" w:rsidRDefault="00E576C4" w:rsidP="00C64003">
      <w:pPr>
        <w:widowControl w:val="0"/>
        <w:autoSpaceDE w:val="0"/>
        <w:autoSpaceDN w:val="0"/>
        <w:spacing w:after="0" w:line="276" w:lineRule="auto"/>
        <w:ind w:right="-2" w:firstLine="708"/>
        <w:jc w:val="both"/>
        <w:rPr>
          <w:rFonts w:ascii="Verdana" w:hAnsi="Verdana" w:cs="Arial"/>
        </w:rPr>
      </w:pPr>
      <w:r w:rsidRPr="001432E1">
        <w:rPr>
          <w:rFonts w:ascii="Verdana" w:hAnsi="Verdana" w:cs="Arial"/>
        </w:rPr>
        <w:t>A su turno, el Consejo de Estado</w:t>
      </w:r>
      <w:r w:rsidRPr="001432E1">
        <w:rPr>
          <w:rFonts w:ascii="Verdana" w:hAnsi="Verdana" w:cs="Arial"/>
          <w:vertAlign w:val="superscript"/>
        </w:rPr>
        <w:footnoteReference w:id="7"/>
      </w:r>
      <w:r w:rsidRPr="001432E1">
        <w:rPr>
          <w:rFonts w:ascii="Verdana" w:hAnsi="Verdana" w:cs="Arial"/>
        </w:rPr>
        <w:t>, ha expresado lo siguiente sobre el asunto:</w:t>
      </w:r>
    </w:p>
    <w:p w14:paraId="5CE846DB" w14:textId="77777777" w:rsidR="00E576C4" w:rsidRDefault="00E576C4" w:rsidP="00E576C4">
      <w:pPr>
        <w:widowControl w:val="0"/>
        <w:autoSpaceDE w:val="0"/>
        <w:autoSpaceDN w:val="0"/>
        <w:spacing w:after="0" w:line="276" w:lineRule="auto"/>
        <w:ind w:right="-2" w:firstLine="709"/>
        <w:jc w:val="both"/>
        <w:rPr>
          <w:rFonts w:ascii="Verdana" w:hAnsi="Verdana" w:cs="Arial"/>
        </w:rPr>
      </w:pPr>
    </w:p>
    <w:p w14:paraId="55F32310" w14:textId="77777777" w:rsidR="00E576C4" w:rsidRDefault="00E576C4" w:rsidP="00E576C4">
      <w:pPr>
        <w:tabs>
          <w:tab w:val="left" w:pos="284"/>
        </w:tabs>
        <w:spacing w:after="0" w:line="240" w:lineRule="auto"/>
        <w:ind w:left="1049" w:right="709"/>
        <w:jc w:val="both"/>
        <w:rPr>
          <w:rFonts w:ascii="Verdana" w:hAnsi="Verdana" w:cs="Arial"/>
          <w:sz w:val="21"/>
          <w:szCs w:val="21"/>
        </w:rPr>
      </w:pPr>
      <w:r w:rsidRPr="00680411">
        <w:rPr>
          <w:rFonts w:ascii="Verdana" w:hAnsi="Verdana" w:cs="Arial"/>
          <w:sz w:val="21"/>
          <w:szCs w:val="21"/>
        </w:rPr>
        <w:t xml:space="preserve">“La contratación estatal responde de múltiples maneras a ese mandato y, en cuanto al concepto que se emite, se resalta que la posibilidad de modificar los contratos estatales es una especial forma de hacer prevalecer la finalidad del contrato sobre los restantes elementos </w:t>
      </w:r>
      <w:proofErr w:type="gramStart"/>
      <w:r w:rsidRPr="00680411">
        <w:rPr>
          <w:rFonts w:ascii="Verdana" w:hAnsi="Verdana" w:cs="Arial"/>
          <w:sz w:val="21"/>
          <w:szCs w:val="21"/>
        </w:rPr>
        <w:t>del mismo</w:t>
      </w:r>
      <w:proofErr w:type="gramEnd"/>
      <w:r w:rsidRPr="00680411">
        <w:rPr>
          <w:rFonts w:ascii="Verdana" w:hAnsi="Verdana" w:cs="Arial"/>
          <w:sz w:val="21"/>
          <w:szCs w:val="21"/>
        </w:rPr>
        <w:t>.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6B94FF0B" w14:textId="77777777" w:rsidR="00E576C4" w:rsidRPr="00680411" w:rsidRDefault="00E576C4" w:rsidP="00E576C4">
      <w:pPr>
        <w:tabs>
          <w:tab w:val="left" w:pos="284"/>
        </w:tabs>
        <w:spacing w:after="0" w:line="240" w:lineRule="auto"/>
        <w:ind w:left="1049" w:right="709"/>
        <w:jc w:val="both"/>
        <w:rPr>
          <w:rFonts w:ascii="Verdana" w:hAnsi="Verdana" w:cs="Arial"/>
          <w:sz w:val="21"/>
          <w:szCs w:val="21"/>
        </w:rPr>
      </w:pPr>
    </w:p>
    <w:p w14:paraId="4E0927DB" w14:textId="77777777" w:rsidR="00E576C4" w:rsidRDefault="00E576C4" w:rsidP="00E576C4">
      <w:pPr>
        <w:tabs>
          <w:tab w:val="left" w:pos="284"/>
        </w:tabs>
        <w:spacing w:after="0" w:line="240" w:lineRule="auto"/>
        <w:ind w:left="1049" w:right="709"/>
        <w:jc w:val="both"/>
        <w:rPr>
          <w:rFonts w:ascii="Verdana" w:hAnsi="Verdana" w:cs="Arial"/>
          <w:sz w:val="21"/>
          <w:szCs w:val="21"/>
        </w:rPr>
      </w:pPr>
      <w:r w:rsidRPr="00680411">
        <w:rPr>
          <w:rFonts w:ascii="Verdana" w:hAnsi="Verdana" w:cs="Arial"/>
          <w:sz w:val="21"/>
          <w:szCs w:val="21"/>
        </w:rPr>
        <w:t>[…]</w:t>
      </w:r>
    </w:p>
    <w:p w14:paraId="504AD4E6" w14:textId="77777777" w:rsidR="00E576C4" w:rsidRPr="00680411" w:rsidRDefault="00E576C4" w:rsidP="00E576C4">
      <w:pPr>
        <w:tabs>
          <w:tab w:val="left" w:pos="284"/>
        </w:tabs>
        <w:spacing w:after="0" w:line="240" w:lineRule="auto"/>
        <w:ind w:left="1049" w:right="709"/>
        <w:jc w:val="both"/>
        <w:rPr>
          <w:rFonts w:ascii="Verdana" w:hAnsi="Verdana" w:cs="Arial"/>
          <w:sz w:val="21"/>
          <w:szCs w:val="21"/>
        </w:rPr>
      </w:pPr>
    </w:p>
    <w:p w14:paraId="61D65B50" w14:textId="77777777" w:rsidR="00E576C4" w:rsidRDefault="00E576C4" w:rsidP="00E576C4">
      <w:pPr>
        <w:tabs>
          <w:tab w:val="left" w:pos="284"/>
        </w:tabs>
        <w:spacing w:after="0" w:line="240" w:lineRule="auto"/>
        <w:ind w:left="1049" w:right="709"/>
        <w:jc w:val="both"/>
        <w:rPr>
          <w:rFonts w:ascii="Verdana" w:hAnsi="Verdana" w:cs="Arial"/>
          <w:sz w:val="21"/>
          <w:szCs w:val="21"/>
        </w:rPr>
      </w:pPr>
      <w:r w:rsidRPr="00680411">
        <w:rPr>
          <w:rFonts w:ascii="Verdana" w:hAnsi="Verdana" w:cs="Arial"/>
          <w:sz w:val="21"/>
          <w:szCs w:val="21"/>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w:t>
      </w:r>
      <w:proofErr w:type="spellStart"/>
      <w:r w:rsidRPr="00680411">
        <w:rPr>
          <w:rFonts w:ascii="Verdana" w:hAnsi="Verdana" w:cs="Arial"/>
          <w:sz w:val="21"/>
          <w:szCs w:val="21"/>
        </w:rPr>
        <w:t>ibídem</w:t>
      </w:r>
      <w:proofErr w:type="spellEnd"/>
      <w:r w:rsidRPr="00680411">
        <w:rPr>
          <w:rFonts w:ascii="Verdana" w:hAnsi="Verdana" w:cs="Arial"/>
          <w:sz w:val="21"/>
          <w:szCs w:val="21"/>
        </w:rPr>
        <w:t xml:space="preserve">), evitar la paralización y la afectación grave de los servicios públicos a su cargo y asegurar la inmediata, continua y adecuada prestación, (artículo 14); etc. Nótese que, sin embargo, en ellas van inmersas </w:t>
      </w:r>
      <w:r w:rsidRPr="00680411">
        <w:rPr>
          <w:rFonts w:ascii="Verdana" w:hAnsi="Verdana" w:cs="Arial"/>
          <w:sz w:val="21"/>
          <w:szCs w:val="21"/>
        </w:rPr>
        <w:lastRenderedPageBreak/>
        <w:t>las ideas de una causa cierta y unos fines públicos que hay que salvaguardar.</w:t>
      </w:r>
    </w:p>
    <w:p w14:paraId="7779EB25" w14:textId="77777777" w:rsidR="00E576C4" w:rsidRPr="00680411" w:rsidRDefault="00E576C4" w:rsidP="00E576C4">
      <w:pPr>
        <w:tabs>
          <w:tab w:val="left" w:pos="284"/>
        </w:tabs>
        <w:spacing w:after="0" w:line="240" w:lineRule="auto"/>
        <w:ind w:left="1049" w:right="709"/>
        <w:jc w:val="both"/>
        <w:rPr>
          <w:rFonts w:ascii="Verdana" w:hAnsi="Verdana" w:cs="Arial"/>
          <w:sz w:val="21"/>
          <w:szCs w:val="21"/>
        </w:rPr>
      </w:pPr>
    </w:p>
    <w:p w14:paraId="1B3ED78A" w14:textId="77777777" w:rsidR="00E576C4" w:rsidRDefault="00E576C4" w:rsidP="00E576C4">
      <w:pPr>
        <w:tabs>
          <w:tab w:val="left" w:pos="284"/>
        </w:tabs>
        <w:spacing w:after="0" w:line="240" w:lineRule="auto"/>
        <w:ind w:left="1049" w:right="709"/>
        <w:jc w:val="both"/>
        <w:rPr>
          <w:rFonts w:ascii="Verdana" w:hAnsi="Verdana" w:cs="Arial"/>
          <w:sz w:val="21"/>
          <w:szCs w:val="21"/>
        </w:rPr>
      </w:pPr>
      <w:r w:rsidRPr="00680411">
        <w:rPr>
          <w:rFonts w:ascii="Verdana" w:hAnsi="Verdana" w:cs="Arial"/>
          <w:sz w:val="21"/>
          <w:szCs w:val="21"/>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p>
    <w:p w14:paraId="54DF8E97" w14:textId="77777777" w:rsidR="00E576C4" w:rsidRPr="00680411" w:rsidRDefault="00E576C4" w:rsidP="00E576C4">
      <w:pPr>
        <w:tabs>
          <w:tab w:val="left" w:pos="284"/>
        </w:tabs>
        <w:spacing w:after="0" w:line="240" w:lineRule="auto"/>
        <w:ind w:left="1049" w:right="709"/>
        <w:jc w:val="both"/>
        <w:rPr>
          <w:rFonts w:ascii="Verdana" w:hAnsi="Verdana" w:cs="Arial"/>
          <w:sz w:val="21"/>
          <w:szCs w:val="21"/>
        </w:rPr>
      </w:pPr>
    </w:p>
    <w:p w14:paraId="1F6E1F4F" w14:textId="77777777" w:rsidR="00E576C4" w:rsidRDefault="00E576C4" w:rsidP="00E576C4">
      <w:pPr>
        <w:tabs>
          <w:tab w:val="left" w:pos="284"/>
        </w:tabs>
        <w:spacing w:after="0" w:line="240" w:lineRule="auto"/>
        <w:ind w:left="1049" w:right="709"/>
        <w:jc w:val="both"/>
        <w:rPr>
          <w:rFonts w:ascii="Verdana" w:hAnsi="Verdana" w:cs="Arial"/>
          <w:sz w:val="21"/>
          <w:szCs w:val="21"/>
        </w:rPr>
      </w:pPr>
      <w:r w:rsidRPr="00680411">
        <w:rPr>
          <w:rFonts w:ascii="Verdana" w:hAnsi="Verdana" w:cs="Arial"/>
          <w:sz w:val="21"/>
          <w:szCs w:val="21"/>
        </w:rPr>
        <w:t>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toda modificación debe tener una causa real y cierta, contemplada en la ley, diferente de la mera voluntad de los contratantes”.</w:t>
      </w:r>
    </w:p>
    <w:p w14:paraId="5EB3D51E" w14:textId="77777777" w:rsidR="00E576C4" w:rsidRDefault="00E576C4" w:rsidP="00E576C4">
      <w:pPr>
        <w:tabs>
          <w:tab w:val="left" w:pos="284"/>
        </w:tabs>
        <w:spacing w:after="0" w:line="240" w:lineRule="auto"/>
        <w:ind w:left="1049" w:right="709"/>
        <w:jc w:val="both"/>
        <w:rPr>
          <w:rFonts w:ascii="Verdana" w:hAnsi="Verdana" w:cs="Arial"/>
          <w:sz w:val="21"/>
          <w:szCs w:val="21"/>
        </w:rPr>
      </w:pPr>
    </w:p>
    <w:p w14:paraId="3403BB50" w14:textId="77777777" w:rsidR="00E576C4" w:rsidRDefault="00E576C4" w:rsidP="00E576C4">
      <w:pPr>
        <w:widowControl w:val="0"/>
        <w:autoSpaceDE w:val="0"/>
        <w:autoSpaceDN w:val="0"/>
        <w:spacing w:after="0" w:line="276" w:lineRule="auto"/>
        <w:ind w:right="-2" w:firstLine="709"/>
        <w:jc w:val="both"/>
        <w:rPr>
          <w:rFonts w:ascii="Verdana" w:eastAsia="Arial" w:hAnsi="Verdana" w:cs="Arial"/>
          <w:lang w:val="es-MX" w:eastAsia="es-ES" w:bidi="es-ES"/>
        </w:rPr>
      </w:pPr>
      <w:r w:rsidRPr="00DA7C75">
        <w:rPr>
          <w:rFonts w:ascii="Verdana" w:eastAsia="Arial" w:hAnsi="Verdana" w:cs="Arial"/>
          <w:lang w:val="es-ES" w:eastAsia="es-ES" w:bidi="es-ES"/>
        </w:rPr>
        <w:t xml:space="preserve">En el mismo sentido, en el concepto 2263 del 17 de marzo del 2016, la Sala de Consulta y Servicio Civil del Consejo de Estado precisó que </w:t>
      </w:r>
      <w:r w:rsidRPr="00DA7C75">
        <w:rPr>
          <w:rFonts w:ascii="Verdana" w:eastAsia="Arial" w:hAnsi="Verdana" w:cs="Arial"/>
          <w:lang w:val="es-MX" w:eastAsia="es-ES" w:bidi="es-ES"/>
        </w:rPr>
        <w:t>la regla general es la no modificación del contrato, y la vía excepcional su modificación, sometida a límites legales; límites que, en los términos definidos en el referido concepto, corresponden a los siguientes:</w:t>
      </w:r>
    </w:p>
    <w:p w14:paraId="0E35B69F" w14:textId="77777777" w:rsidR="00E576C4" w:rsidRPr="00DA7C75" w:rsidRDefault="00E576C4" w:rsidP="00E576C4">
      <w:pPr>
        <w:widowControl w:val="0"/>
        <w:autoSpaceDE w:val="0"/>
        <w:autoSpaceDN w:val="0"/>
        <w:spacing w:after="0" w:line="276" w:lineRule="auto"/>
        <w:ind w:right="-2" w:firstLine="709"/>
        <w:jc w:val="both"/>
        <w:rPr>
          <w:rFonts w:ascii="Verdana" w:eastAsia="Arial" w:hAnsi="Verdana" w:cs="Arial"/>
          <w:lang w:val="es-MX" w:eastAsia="es-ES" w:bidi="es-ES"/>
        </w:rPr>
      </w:pPr>
    </w:p>
    <w:p w14:paraId="3DAB9AF9" w14:textId="77777777" w:rsidR="00E576C4" w:rsidRPr="002F4C21" w:rsidRDefault="00E576C4" w:rsidP="00E576C4">
      <w:pPr>
        <w:tabs>
          <w:tab w:val="left" w:pos="284"/>
        </w:tabs>
        <w:spacing w:after="0" w:line="240" w:lineRule="auto"/>
        <w:ind w:left="1049" w:right="709"/>
        <w:jc w:val="both"/>
        <w:rPr>
          <w:rFonts w:ascii="Verdana" w:hAnsi="Verdana" w:cs="Arial"/>
          <w:sz w:val="21"/>
          <w:szCs w:val="21"/>
        </w:rPr>
      </w:pPr>
      <w:r>
        <w:rPr>
          <w:rFonts w:ascii="Verdana" w:hAnsi="Verdana" w:cs="Arial"/>
          <w:sz w:val="21"/>
          <w:szCs w:val="21"/>
        </w:rPr>
        <w:t>“</w:t>
      </w:r>
      <w:r w:rsidRPr="002F4C21">
        <w:rPr>
          <w:rFonts w:ascii="Verdana" w:hAnsi="Verdana" w:cs="Arial"/>
          <w:sz w:val="21"/>
          <w:szCs w:val="21"/>
        </w:rPr>
        <w:t>1.</w:t>
      </w:r>
      <w:r>
        <w:rPr>
          <w:rFonts w:ascii="Verdana" w:hAnsi="Verdana" w:cs="Arial"/>
          <w:sz w:val="21"/>
          <w:szCs w:val="21"/>
        </w:rPr>
        <w:t xml:space="preserve"> </w:t>
      </w:r>
      <w:r w:rsidRPr="002F4C21">
        <w:rPr>
          <w:rFonts w:ascii="Verdana" w:hAnsi="Verdana" w:cs="Arial"/>
          <w:sz w:val="21"/>
          <w:szCs w:val="21"/>
        </w:rPr>
        <w:t xml:space="preserve">La necesidad de preservar los principios de igualdad, transparencia y libertad de concurrencia, durante la fase de ejecución del contrato. </w:t>
      </w:r>
    </w:p>
    <w:p w14:paraId="7B65188C" w14:textId="77777777" w:rsidR="00E576C4" w:rsidRPr="002F4C21" w:rsidRDefault="00E576C4" w:rsidP="00E576C4">
      <w:pPr>
        <w:tabs>
          <w:tab w:val="left" w:pos="284"/>
        </w:tabs>
        <w:spacing w:after="0" w:line="240" w:lineRule="auto"/>
        <w:ind w:left="1049" w:right="709"/>
        <w:jc w:val="both"/>
        <w:rPr>
          <w:rFonts w:ascii="Verdana" w:hAnsi="Verdana" w:cs="Arial"/>
          <w:sz w:val="21"/>
          <w:szCs w:val="21"/>
        </w:rPr>
      </w:pPr>
    </w:p>
    <w:p w14:paraId="706BA7BF" w14:textId="77777777" w:rsidR="00E576C4" w:rsidRPr="002F4C21" w:rsidRDefault="00E576C4" w:rsidP="00E576C4">
      <w:pPr>
        <w:tabs>
          <w:tab w:val="left" w:pos="284"/>
        </w:tabs>
        <w:spacing w:after="0" w:line="240" w:lineRule="auto"/>
        <w:ind w:left="1049" w:right="709"/>
        <w:jc w:val="both"/>
        <w:rPr>
          <w:rFonts w:ascii="Verdana" w:hAnsi="Verdana" w:cs="Arial"/>
          <w:sz w:val="21"/>
          <w:szCs w:val="21"/>
        </w:rPr>
      </w:pPr>
      <w:r w:rsidRPr="002F4C21">
        <w:rPr>
          <w:rFonts w:ascii="Verdana" w:hAnsi="Verdana" w:cs="Arial"/>
          <w:sz w:val="21"/>
          <w:szCs w:val="21"/>
        </w:rPr>
        <w:t xml:space="preserve">Este límite encuentra sustento en el hecho de que, para celebrar contratos estatales las entidades públicas eligen, dentro de un </w:t>
      </w:r>
      <w:r>
        <w:rPr>
          <w:rFonts w:ascii="Verdana" w:hAnsi="Verdana" w:cs="Arial"/>
          <w:sz w:val="21"/>
          <w:szCs w:val="21"/>
        </w:rPr>
        <w:t>“</w:t>
      </w:r>
      <w:r w:rsidRPr="002F4C21">
        <w:rPr>
          <w:rFonts w:ascii="Verdana" w:hAnsi="Verdana" w:cs="Arial"/>
          <w:sz w:val="21"/>
          <w:szCs w:val="21"/>
        </w:rPr>
        <w:t>régimen de concurrencia y de igualdad, las mejores condiciones de costo, calidad e idoneidad de la prestación requerida</w:t>
      </w:r>
      <w:r>
        <w:rPr>
          <w:rFonts w:ascii="Verdana" w:hAnsi="Verdana" w:cs="Arial"/>
          <w:sz w:val="21"/>
          <w:szCs w:val="21"/>
        </w:rPr>
        <w:t>”</w:t>
      </w:r>
      <w:r w:rsidRPr="002F4C21">
        <w:rPr>
          <w:rFonts w:ascii="Verdana" w:hAnsi="Verdana" w:cs="Arial"/>
          <w:sz w:val="21"/>
          <w:szCs w:val="21"/>
        </w:rPr>
        <w:t>,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6D0F3203" w14:textId="77777777" w:rsidR="00E576C4" w:rsidRPr="002F4C21" w:rsidRDefault="00E576C4" w:rsidP="00E576C4">
      <w:pPr>
        <w:tabs>
          <w:tab w:val="left" w:pos="284"/>
        </w:tabs>
        <w:spacing w:after="0" w:line="240" w:lineRule="auto"/>
        <w:ind w:left="1049" w:right="709"/>
        <w:jc w:val="both"/>
        <w:rPr>
          <w:rFonts w:ascii="Verdana" w:hAnsi="Verdana" w:cs="Arial"/>
          <w:sz w:val="21"/>
          <w:szCs w:val="21"/>
        </w:rPr>
      </w:pPr>
    </w:p>
    <w:p w14:paraId="7AFE7F05" w14:textId="77777777" w:rsidR="00E576C4" w:rsidRPr="002F4C21" w:rsidRDefault="00E576C4" w:rsidP="00E576C4">
      <w:pPr>
        <w:tabs>
          <w:tab w:val="left" w:pos="284"/>
        </w:tabs>
        <w:spacing w:after="0" w:line="240" w:lineRule="auto"/>
        <w:ind w:left="1049" w:right="709"/>
        <w:jc w:val="both"/>
        <w:rPr>
          <w:rFonts w:ascii="Verdana" w:hAnsi="Verdana" w:cs="Arial"/>
          <w:sz w:val="21"/>
          <w:szCs w:val="21"/>
        </w:rPr>
      </w:pPr>
      <w:r w:rsidRPr="002F4C21">
        <w:rPr>
          <w:rFonts w:ascii="Verdana" w:hAnsi="Verdana" w:cs="Arial"/>
          <w:sz w:val="21"/>
          <w:szCs w:val="21"/>
        </w:rPr>
        <w:t xml:space="preserve">Así, según lo expuesto en el concepto en cuestión </w:t>
      </w:r>
      <w:r>
        <w:rPr>
          <w:rFonts w:ascii="Verdana" w:hAnsi="Verdana" w:cs="Arial"/>
          <w:sz w:val="21"/>
          <w:szCs w:val="21"/>
        </w:rPr>
        <w:t>“</w:t>
      </w:r>
      <w:r w:rsidRPr="002F4C21">
        <w:rPr>
          <w:rFonts w:ascii="Verdana" w:hAnsi="Verdana" w:cs="Arial"/>
          <w:sz w:val="21"/>
          <w:szCs w:val="21"/>
        </w:rPr>
        <w:t xml:space="preserve">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w:t>
      </w:r>
      <w:r w:rsidRPr="002F4C21">
        <w:rPr>
          <w:rFonts w:ascii="Verdana" w:hAnsi="Verdana" w:cs="Arial"/>
          <w:sz w:val="21"/>
          <w:szCs w:val="21"/>
        </w:rPr>
        <w:lastRenderedPageBreak/>
        <w:t>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105BCC3E" w14:textId="77777777" w:rsidR="00E576C4" w:rsidRPr="002F4C21" w:rsidRDefault="00E576C4" w:rsidP="00E576C4">
      <w:pPr>
        <w:tabs>
          <w:tab w:val="left" w:pos="284"/>
        </w:tabs>
        <w:spacing w:after="0" w:line="240" w:lineRule="auto"/>
        <w:ind w:left="1049" w:right="709"/>
        <w:jc w:val="both"/>
        <w:rPr>
          <w:rFonts w:ascii="Verdana" w:hAnsi="Verdana" w:cs="Arial"/>
          <w:sz w:val="21"/>
          <w:szCs w:val="21"/>
        </w:rPr>
      </w:pPr>
    </w:p>
    <w:p w14:paraId="2CB72FE1" w14:textId="77777777" w:rsidR="00E576C4" w:rsidRPr="002F4C21" w:rsidRDefault="00E576C4" w:rsidP="00E576C4">
      <w:pPr>
        <w:tabs>
          <w:tab w:val="left" w:pos="284"/>
        </w:tabs>
        <w:spacing w:after="0" w:line="240" w:lineRule="auto"/>
        <w:ind w:left="1049" w:right="709"/>
        <w:jc w:val="both"/>
        <w:rPr>
          <w:rFonts w:ascii="Verdana" w:hAnsi="Verdana" w:cs="Arial"/>
          <w:sz w:val="21"/>
          <w:szCs w:val="21"/>
        </w:rPr>
      </w:pPr>
      <w:r w:rsidRPr="002F4C21">
        <w:rPr>
          <w:rFonts w:ascii="Verdana" w:hAnsi="Verdana" w:cs="Arial"/>
          <w:sz w:val="21"/>
          <w:szCs w:val="21"/>
        </w:rPr>
        <w:t xml:space="preserve">2.Límites de orden temporal, entre los que están comprendidos: i) la vigencia del contrato, pues no podría modificarse un contrato cuyo plazo ha culminado y </w:t>
      </w:r>
      <w:proofErr w:type="spellStart"/>
      <w:r w:rsidRPr="002F4C21">
        <w:rPr>
          <w:rFonts w:ascii="Verdana" w:hAnsi="Verdana" w:cs="Arial"/>
          <w:sz w:val="21"/>
          <w:szCs w:val="21"/>
        </w:rPr>
        <w:t>ii</w:t>
      </w:r>
      <w:proofErr w:type="spellEnd"/>
      <w:r w:rsidRPr="002F4C21">
        <w:rPr>
          <w:rFonts w:ascii="Verdana" w:hAnsi="Verdana" w:cs="Arial"/>
          <w:sz w:val="21"/>
          <w:szCs w:val="21"/>
        </w:rPr>
        <w:t>) la prohibición de consagrar prórrogas automáticas, sucesivas o indefinidas, en tanto resultan contrarias al derecho esencial de la libertad de competencia.</w:t>
      </w:r>
    </w:p>
    <w:p w14:paraId="0AB49DEA" w14:textId="77777777" w:rsidR="00E576C4" w:rsidRPr="002F4C21" w:rsidRDefault="00E576C4" w:rsidP="00E576C4">
      <w:pPr>
        <w:tabs>
          <w:tab w:val="left" w:pos="284"/>
        </w:tabs>
        <w:spacing w:after="0" w:line="240" w:lineRule="auto"/>
        <w:ind w:left="1049" w:right="709"/>
        <w:jc w:val="both"/>
        <w:rPr>
          <w:rFonts w:ascii="Verdana" w:hAnsi="Verdana" w:cs="Arial"/>
          <w:sz w:val="21"/>
          <w:szCs w:val="21"/>
        </w:rPr>
      </w:pPr>
    </w:p>
    <w:p w14:paraId="4E1ABEF2" w14:textId="77777777" w:rsidR="00E576C4" w:rsidRPr="002F4C21" w:rsidRDefault="00E576C4" w:rsidP="00E576C4">
      <w:pPr>
        <w:tabs>
          <w:tab w:val="left" w:pos="284"/>
        </w:tabs>
        <w:spacing w:after="0" w:line="240" w:lineRule="auto"/>
        <w:ind w:left="1049" w:right="709"/>
        <w:jc w:val="both"/>
        <w:rPr>
          <w:rFonts w:ascii="Verdana" w:hAnsi="Verdana" w:cs="Arial"/>
          <w:sz w:val="21"/>
          <w:szCs w:val="21"/>
        </w:rPr>
      </w:pPr>
      <w:r w:rsidRPr="002F4C21">
        <w:rPr>
          <w:rFonts w:ascii="Verdana" w:hAnsi="Verdana" w:cs="Arial"/>
          <w:sz w:val="21"/>
          <w:szCs w:val="21"/>
        </w:rPr>
        <w:t xml:space="preserve">3. Límites de orden formal, que comprenden: i) La solemnidad del contrato de modificación, derivada del carácter solemne del contrato estatal, que exige que </w:t>
      </w:r>
      <w:r>
        <w:rPr>
          <w:rFonts w:ascii="Verdana" w:hAnsi="Verdana" w:cs="Arial"/>
          <w:sz w:val="21"/>
          <w:szCs w:val="21"/>
        </w:rPr>
        <w:t xml:space="preserve">la </w:t>
      </w:r>
      <w:r w:rsidRPr="002F4C21">
        <w:rPr>
          <w:rFonts w:ascii="Verdana" w:hAnsi="Verdana" w:cs="Arial"/>
          <w:sz w:val="21"/>
          <w:szCs w:val="21"/>
        </w:rPr>
        <w:t>modificación de los contratos conste por escrito</w:t>
      </w:r>
      <w:r w:rsidRPr="0064170D">
        <w:rPr>
          <w:rFonts w:ascii="Verdana" w:hAnsi="Verdana" w:cs="Arial"/>
          <w:sz w:val="21"/>
          <w:szCs w:val="21"/>
          <w:vertAlign w:val="superscript"/>
        </w:rPr>
        <w:footnoteReference w:id="8"/>
      </w:r>
      <w:r w:rsidRPr="002F4C21">
        <w:rPr>
          <w:rFonts w:ascii="Verdana" w:hAnsi="Verdana" w:cs="Arial"/>
          <w:sz w:val="21"/>
          <w:szCs w:val="21"/>
        </w:rPr>
        <w:t xml:space="preserve">; </w:t>
      </w:r>
      <w:proofErr w:type="spellStart"/>
      <w:r w:rsidRPr="002F4C21">
        <w:rPr>
          <w:rFonts w:ascii="Verdana" w:hAnsi="Verdana" w:cs="Arial"/>
          <w:sz w:val="21"/>
          <w:szCs w:val="21"/>
        </w:rPr>
        <w:t>ii</w:t>
      </w:r>
      <w:proofErr w:type="spellEnd"/>
      <w:r w:rsidRPr="002F4C21">
        <w:rPr>
          <w:rFonts w:ascii="Verdana" w:hAnsi="Verdana" w:cs="Arial"/>
          <w:sz w:val="21"/>
          <w:szCs w:val="21"/>
        </w:rPr>
        <w:t>) la motivación y justificación de la modificación, la cual constituye un elemento esencial que permite determinar la juridicidad y la necesidad de una modificación determinada; así como su racionalidad y la proporcionalidad de su contenido.</w:t>
      </w:r>
    </w:p>
    <w:p w14:paraId="731C38CE" w14:textId="77777777" w:rsidR="00E576C4" w:rsidRPr="002F4C21" w:rsidRDefault="00E576C4" w:rsidP="00E576C4">
      <w:pPr>
        <w:tabs>
          <w:tab w:val="left" w:pos="284"/>
        </w:tabs>
        <w:spacing w:after="0" w:line="240" w:lineRule="auto"/>
        <w:ind w:left="1049" w:right="709"/>
        <w:jc w:val="both"/>
        <w:rPr>
          <w:rFonts w:ascii="Verdana" w:hAnsi="Verdana" w:cs="Arial"/>
          <w:sz w:val="21"/>
          <w:szCs w:val="21"/>
        </w:rPr>
      </w:pPr>
    </w:p>
    <w:p w14:paraId="1CBC3072" w14:textId="77777777" w:rsidR="00E576C4" w:rsidRPr="002F4C21" w:rsidRDefault="00E576C4" w:rsidP="00E576C4">
      <w:pPr>
        <w:tabs>
          <w:tab w:val="left" w:pos="284"/>
        </w:tabs>
        <w:spacing w:after="0" w:line="240" w:lineRule="auto"/>
        <w:ind w:left="1049" w:right="709"/>
        <w:jc w:val="both"/>
        <w:rPr>
          <w:rFonts w:ascii="Verdana" w:hAnsi="Verdana" w:cs="Arial"/>
          <w:sz w:val="21"/>
          <w:szCs w:val="21"/>
        </w:rPr>
      </w:pPr>
      <w:r w:rsidRPr="002F4C21">
        <w:rPr>
          <w:rFonts w:ascii="Verdana" w:hAnsi="Verdana" w:cs="Arial"/>
          <w:sz w:val="21"/>
          <w:szCs w:val="21"/>
        </w:rPr>
        <w:t xml:space="preserve">4. Límites de orden material, que corresponden a: i) la prohibición de modificar las condiciones sustanciales del contrato, que se presentará en los casos en que se incluyan elementos que, </w:t>
      </w:r>
      <w:r>
        <w:rPr>
          <w:rFonts w:ascii="Verdana" w:hAnsi="Verdana" w:cs="Arial"/>
          <w:sz w:val="21"/>
          <w:szCs w:val="21"/>
        </w:rPr>
        <w:t>“</w:t>
      </w:r>
      <w:r w:rsidRPr="002F4C21">
        <w:rPr>
          <w:rFonts w:ascii="Verdana" w:hAnsi="Verdana" w:cs="Arial"/>
          <w:sz w:val="21"/>
          <w:szCs w:val="21"/>
        </w:rPr>
        <w:t>habiendo figurado en el procedimiento inicial, hubiera permitido la participación de otros interesados aparte de los inicialmente admitidos, o seleccionar una oferta distinta de la inicialmente seleccionada</w:t>
      </w:r>
      <w:r>
        <w:rPr>
          <w:rFonts w:ascii="Verdana" w:hAnsi="Verdana" w:cs="Arial"/>
          <w:sz w:val="21"/>
          <w:szCs w:val="21"/>
        </w:rPr>
        <w:t>”</w:t>
      </w:r>
      <w:r w:rsidRPr="002F4C21">
        <w:rPr>
          <w:rFonts w:ascii="Verdana" w:hAnsi="Verdana" w:cs="Arial"/>
          <w:sz w:val="21"/>
          <w:szCs w:val="21"/>
        </w:rPr>
        <w:t>.</w:t>
      </w:r>
    </w:p>
    <w:p w14:paraId="7A9B57C2" w14:textId="77777777" w:rsidR="00E576C4" w:rsidRPr="002F4C21" w:rsidRDefault="00E576C4" w:rsidP="00E576C4">
      <w:pPr>
        <w:tabs>
          <w:tab w:val="left" w:pos="284"/>
        </w:tabs>
        <w:spacing w:after="0" w:line="240" w:lineRule="auto"/>
        <w:ind w:left="1049" w:right="709"/>
        <w:jc w:val="both"/>
        <w:rPr>
          <w:rFonts w:ascii="Verdana" w:hAnsi="Verdana" w:cs="Arial"/>
          <w:sz w:val="21"/>
          <w:szCs w:val="21"/>
          <w:lang w:val="es-ES_tradnl"/>
        </w:rPr>
      </w:pPr>
    </w:p>
    <w:p w14:paraId="34829F38" w14:textId="77777777" w:rsidR="00E576C4" w:rsidRDefault="00E576C4" w:rsidP="00E576C4">
      <w:pPr>
        <w:widowControl w:val="0"/>
        <w:autoSpaceDE w:val="0"/>
        <w:autoSpaceDN w:val="0"/>
        <w:spacing w:after="0" w:line="276" w:lineRule="auto"/>
        <w:ind w:right="104" w:firstLine="708"/>
        <w:jc w:val="both"/>
        <w:rPr>
          <w:rFonts w:ascii="Verdana" w:eastAsia="Arial" w:hAnsi="Verdana" w:cs="Arial"/>
          <w:lang w:val="es-MX" w:eastAsia="es-ES" w:bidi="es-ES"/>
        </w:rPr>
      </w:pPr>
      <w:r w:rsidRPr="00A1034F">
        <w:rPr>
          <w:rFonts w:ascii="Verdana" w:eastAsia="Arial" w:hAnsi="Verdana" w:cs="Arial"/>
          <w:lang w:val="es-MX" w:eastAsia="es-ES" w:bidi="es-ES"/>
        </w:rPr>
        <w:t>Sobre el alcance de dicha prohibición, la Sala de Consulta y Servicio Civil expresó lo siguiente</w:t>
      </w:r>
      <w:r w:rsidRPr="00A1034F">
        <w:rPr>
          <w:rFonts w:ascii="Verdana" w:eastAsia="Arial" w:hAnsi="Verdana" w:cs="Arial"/>
          <w:vertAlign w:val="superscript"/>
          <w:lang w:val="es-MX" w:eastAsia="es-ES" w:bidi="es-ES"/>
        </w:rPr>
        <w:footnoteReference w:id="9"/>
      </w:r>
      <w:r w:rsidRPr="00A1034F">
        <w:rPr>
          <w:rFonts w:ascii="Verdana" w:eastAsia="Arial" w:hAnsi="Verdana" w:cs="Arial"/>
          <w:lang w:val="es-MX" w:eastAsia="es-ES" w:bidi="es-ES"/>
        </w:rPr>
        <w:t>:</w:t>
      </w:r>
    </w:p>
    <w:p w14:paraId="1222F6FF" w14:textId="77777777" w:rsidR="00E576C4" w:rsidRDefault="00E576C4" w:rsidP="00E576C4">
      <w:pPr>
        <w:widowControl w:val="0"/>
        <w:autoSpaceDE w:val="0"/>
        <w:autoSpaceDN w:val="0"/>
        <w:spacing w:after="0" w:line="276" w:lineRule="auto"/>
        <w:ind w:right="104" w:firstLine="708"/>
        <w:jc w:val="both"/>
        <w:rPr>
          <w:rFonts w:ascii="Verdana" w:eastAsia="Arial" w:hAnsi="Verdana" w:cs="Arial"/>
          <w:lang w:val="es-MX" w:eastAsia="es-ES" w:bidi="es-ES"/>
        </w:rPr>
      </w:pPr>
    </w:p>
    <w:p w14:paraId="626A4B55" w14:textId="77777777" w:rsidR="00E576C4" w:rsidRPr="005A7020" w:rsidRDefault="00E576C4" w:rsidP="00E576C4">
      <w:pPr>
        <w:widowControl w:val="0"/>
        <w:autoSpaceDE w:val="0"/>
        <w:autoSpaceDN w:val="0"/>
        <w:spacing w:line="276" w:lineRule="auto"/>
        <w:ind w:left="709" w:right="709"/>
        <w:jc w:val="both"/>
        <w:rPr>
          <w:rFonts w:ascii="Verdana" w:eastAsia="Arial" w:hAnsi="Verdana" w:cs="Arial"/>
          <w:bCs/>
          <w:iCs/>
          <w:sz w:val="21"/>
          <w:szCs w:val="21"/>
          <w:lang w:val="es-MX" w:eastAsia="es-ES" w:bidi="es-ES"/>
        </w:rPr>
      </w:pPr>
      <w:r>
        <w:rPr>
          <w:rFonts w:ascii="Verdana" w:eastAsia="Arial" w:hAnsi="Verdana" w:cs="Arial"/>
          <w:bCs/>
          <w:iCs/>
          <w:sz w:val="21"/>
          <w:szCs w:val="21"/>
          <w:lang w:val="es-MX" w:eastAsia="es-ES" w:bidi="es-ES"/>
        </w:rPr>
        <w:t>“</w:t>
      </w:r>
      <w:r w:rsidRPr="005A7020">
        <w:rPr>
          <w:rFonts w:ascii="Verdana" w:eastAsia="Arial" w:hAnsi="Verdana" w:cs="Arial"/>
          <w:bCs/>
          <w:iCs/>
          <w:sz w:val="21"/>
          <w:szCs w:val="21"/>
          <w:lang w:val="es-MX" w:eastAsia="es-ES" w:bidi="es-ES"/>
        </w:rPr>
        <w:t>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22D8ECA6" w14:textId="77777777" w:rsidR="00E576C4" w:rsidRPr="005A7020" w:rsidRDefault="00E576C4" w:rsidP="00E576C4">
      <w:pPr>
        <w:widowControl w:val="0"/>
        <w:autoSpaceDE w:val="0"/>
        <w:autoSpaceDN w:val="0"/>
        <w:spacing w:line="276" w:lineRule="auto"/>
        <w:ind w:left="709" w:right="709"/>
        <w:jc w:val="both"/>
        <w:rPr>
          <w:rFonts w:ascii="Verdana" w:eastAsia="Arial" w:hAnsi="Verdana" w:cs="Arial"/>
          <w:bCs/>
          <w:iCs/>
          <w:sz w:val="21"/>
          <w:szCs w:val="21"/>
          <w:lang w:val="es-MX" w:eastAsia="es-ES" w:bidi="es-ES"/>
        </w:rPr>
      </w:pPr>
      <w:r w:rsidRPr="005A7020">
        <w:rPr>
          <w:rFonts w:ascii="Verdana" w:eastAsia="Arial" w:hAnsi="Verdana" w:cs="Arial"/>
          <w:bCs/>
          <w:iCs/>
          <w:sz w:val="21"/>
          <w:szCs w:val="21"/>
          <w:lang w:val="es-MX" w:eastAsia="es-ES" w:bidi="es-ES"/>
        </w:rPr>
        <w:t xml:space="preserve">- No podría aceptarse un poder ilimitado o absoluto de modificación, </w:t>
      </w:r>
      <w:r w:rsidRPr="005A7020">
        <w:rPr>
          <w:rFonts w:ascii="Verdana" w:eastAsia="Arial" w:hAnsi="Verdana" w:cs="Arial"/>
          <w:bCs/>
          <w:iCs/>
          <w:sz w:val="21"/>
          <w:szCs w:val="21"/>
          <w:lang w:val="es-MX" w:eastAsia="es-ES" w:bidi="es-ES"/>
        </w:rPr>
        <w:lastRenderedPageBreak/>
        <w:t>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76FB5DF0" w14:textId="77777777" w:rsidR="00E576C4" w:rsidRPr="005A7020" w:rsidRDefault="00E576C4" w:rsidP="00E576C4">
      <w:pPr>
        <w:widowControl w:val="0"/>
        <w:autoSpaceDE w:val="0"/>
        <w:autoSpaceDN w:val="0"/>
        <w:spacing w:line="276" w:lineRule="auto"/>
        <w:ind w:left="709" w:right="709"/>
        <w:jc w:val="both"/>
        <w:rPr>
          <w:rFonts w:ascii="Verdana" w:eastAsia="Arial" w:hAnsi="Verdana" w:cs="Arial"/>
          <w:bCs/>
          <w:iCs/>
          <w:sz w:val="21"/>
          <w:szCs w:val="21"/>
          <w:lang w:val="es-MX" w:eastAsia="es-ES" w:bidi="es-ES"/>
        </w:rPr>
      </w:pPr>
      <w:r w:rsidRPr="005A7020">
        <w:rPr>
          <w:rFonts w:ascii="Verdana" w:eastAsia="Arial" w:hAnsi="Verdana" w:cs="Arial"/>
          <w:bCs/>
          <w:iCs/>
          <w:sz w:val="21"/>
          <w:szCs w:val="21"/>
          <w:lang w:val="es-MX" w:eastAsia="es-ES" w:bidi="es-ES"/>
        </w:rPr>
        <w:t>[…]</w:t>
      </w:r>
    </w:p>
    <w:p w14:paraId="244FC4E3" w14:textId="77777777" w:rsidR="00E576C4" w:rsidRPr="005A7020" w:rsidRDefault="00E576C4" w:rsidP="00E576C4">
      <w:pPr>
        <w:widowControl w:val="0"/>
        <w:autoSpaceDE w:val="0"/>
        <w:autoSpaceDN w:val="0"/>
        <w:spacing w:line="276" w:lineRule="auto"/>
        <w:ind w:left="709" w:right="709"/>
        <w:jc w:val="both"/>
        <w:rPr>
          <w:rFonts w:ascii="Verdana" w:eastAsia="Arial" w:hAnsi="Verdana" w:cs="Arial"/>
          <w:bCs/>
          <w:iCs/>
          <w:sz w:val="21"/>
          <w:szCs w:val="21"/>
          <w:lang w:val="es-MX" w:eastAsia="es-ES" w:bidi="es-ES"/>
        </w:rPr>
      </w:pPr>
      <w:r w:rsidRPr="005A7020">
        <w:rPr>
          <w:rFonts w:ascii="Verdana" w:eastAsia="Arial" w:hAnsi="Verdana" w:cs="Arial"/>
          <w:bCs/>
          <w:iCs/>
          <w:sz w:val="21"/>
          <w:szCs w:val="21"/>
          <w:lang w:val="es-MX" w:eastAsia="es-ES" w:bidi="es-ES"/>
        </w:rPr>
        <w:t>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23410651" w14:textId="77777777" w:rsidR="00E576C4" w:rsidRPr="005A7020" w:rsidRDefault="00E576C4" w:rsidP="00E576C4">
      <w:pPr>
        <w:widowControl w:val="0"/>
        <w:autoSpaceDE w:val="0"/>
        <w:autoSpaceDN w:val="0"/>
        <w:spacing w:line="276" w:lineRule="auto"/>
        <w:ind w:left="709" w:right="709"/>
        <w:jc w:val="both"/>
        <w:rPr>
          <w:rFonts w:ascii="Verdana" w:eastAsia="Arial" w:hAnsi="Verdana" w:cs="Arial"/>
          <w:bCs/>
          <w:iCs/>
          <w:sz w:val="21"/>
          <w:szCs w:val="21"/>
          <w:lang w:val="es-MX" w:eastAsia="es-ES" w:bidi="es-ES"/>
        </w:rPr>
      </w:pPr>
      <w:r w:rsidRPr="005A7020">
        <w:rPr>
          <w:rFonts w:ascii="Verdana" w:eastAsia="Arial" w:hAnsi="Verdana" w:cs="Arial"/>
          <w:bCs/>
          <w:iCs/>
          <w:sz w:val="21"/>
          <w:szCs w:val="21"/>
          <w:lang w:val="es-MX" w:eastAsia="es-ES" w:bidi="es-ES"/>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r>
        <w:rPr>
          <w:rFonts w:ascii="Verdana" w:eastAsia="Arial" w:hAnsi="Verdana" w:cs="Arial"/>
          <w:bCs/>
          <w:iCs/>
          <w:sz w:val="21"/>
          <w:szCs w:val="21"/>
          <w:lang w:val="es-MX" w:eastAsia="es-ES" w:bidi="es-ES"/>
        </w:rPr>
        <w:t>.</w:t>
      </w:r>
    </w:p>
    <w:p w14:paraId="109C20B4" w14:textId="77777777" w:rsidR="00E576C4" w:rsidRPr="005A7020" w:rsidRDefault="00E576C4" w:rsidP="00E576C4">
      <w:pPr>
        <w:widowControl w:val="0"/>
        <w:autoSpaceDE w:val="0"/>
        <w:autoSpaceDN w:val="0"/>
        <w:spacing w:line="276" w:lineRule="auto"/>
        <w:ind w:left="709" w:right="709"/>
        <w:jc w:val="both"/>
        <w:rPr>
          <w:rFonts w:ascii="Verdana" w:eastAsia="Arial" w:hAnsi="Verdana" w:cs="Arial"/>
          <w:bCs/>
          <w:iCs/>
          <w:sz w:val="21"/>
          <w:szCs w:val="21"/>
          <w:lang w:val="es-MX" w:eastAsia="es-ES" w:bidi="es-ES"/>
        </w:rPr>
      </w:pPr>
      <w:r w:rsidRPr="005A7020">
        <w:rPr>
          <w:rFonts w:ascii="Verdana" w:eastAsia="Arial" w:hAnsi="Verdana" w:cs="Arial"/>
          <w:bCs/>
          <w:iCs/>
          <w:sz w:val="21"/>
          <w:szCs w:val="21"/>
          <w:lang w:val="es-MX" w:eastAsia="es-ES" w:bidi="es-ES"/>
        </w:rPr>
        <w:t>-El cumplimiento del límite cuantitativo consagrado en la ley para los contratos adicionales. […]</w:t>
      </w:r>
    </w:p>
    <w:p w14:paraId="509F539C" w14:textId="77777777" w:rsidR="00E576C4" w:rsidRDefault="00E576C4" w:rsidP="00E576C4">
      <w:pPr>
        <w:widowControl w:val="0"/>
        <w:autoSpaceDE w:val="0"/>
        <w:autoSpaceDN w:val="0"/>
        <w:spacing w:after="0" w:line="276" w:lineRule="auto"/>
        <w:ind w:left="709" w:right="709"/>
        <w:jc w:val="both"/>
        <w:rPr>
          <w:rFonts w:ascii="Verdana" w:eastAsia="Arial" w:hAnsi="Verdana" w:cs="Arial"/>
          <w:bCs/>
          <w:iCs/>
          <w:sz w:val="21"/>
          <w:szCs w:val="21"/>
          <w:lang w:val="es-ES_tradnl" w:eastAsia="es-ES" w:bidi="es-ES"/>
        </w:rPr>
      </w:pPr>
      <w:r w:rsidRPr="005A7020">
        <w:rPr>
          <w:rFonts w:ascii="Verdana" w:eastAsia="Arial" w:hAnsi="Verdana" w:cs="Arial"/>
          <w:bCs/>
          <w:iCs/>
          <w:sz w:val="21"/>
          <w:szCs w:val="21"/>
          <w:lang w:val="es-MX" w:eastAsia="es-ES" w:bidi="es-ES"/>
        </w:rPr>
        <w:t>-Debe tratarse de prestaciones necesarias e inseparables técnica o económicamente del contrato inicial, que no permitan su uso o aprovechamiento independiente</w:t>
      </w:r>
      <w:r>
        <w:rPr>
          <w:rFonts w:ascii="Verdana" w:eastAsia="Arial" w:hAnsi="Verdana" w:cs="Arial"/>
          <w:bCs/>
          <w:iCs/>
          <w:sz w:val="21"/>
          <w:szCs w:val="21"/>
          <w:lang w:val="es-MX" w:eastAsia="es-ES" w:bidi="es-ES"/>
        </w:rPr>
        <w:t>.</w:t>
      </w:r>
      <w:r w:rsidRPr="005A7020">
        <w:rPr>
          <w:rFonts w:ascii="Verdana" w:eastAsia="Arial" w:hAnsi="Verdana" w:cs="Arial"/>
          <w:bCs/>
          <w:iCs/>
          <w:sz w:val="21"/>
          <w:szCs w:val="21"/>
          <w:lang w:val="es-MX" w:eastAsia="es-ES" w:bidi="es-ES"/>
        </w:rPr>
        <w:t xml:space="preserve"> La modificación de las condiciones de la prestación o del contrato debe presuponer que no pueda ser materia de un nuevo proceso de selección, o de su contratación con un tercero, en razón a que, por su naturaleza, resulte inseparable técnica o </w:t>
      </w:r>
      <w:r w:rsidRPr="005A7020">
        <w:rPr>
          <w:rFonts w:ascii="Verdana" w:eastAsia="Arial" w:hAnsi="Verdana" w:cs="Arial"/>
          <w:bCs/>
          <w:iCs/>
          <w:sz w:val="21"/>
          <w:szCs w:val="21"/>
          <w:lang w:val="es-MX" w:eastAsia="es-ES" w:bidi="es-ES"/>
        </w:rPr>
        <w:lastRenderedPageBreak/>
        <w:t>económicamente de la prestación pactada en el contrato inicial</w:t>
      </w:r>
      <w:r>
        <w:rPr>
          <w:rFonts w:ascii="Verdana" w:eastAsia="Arial" w:hAnsi="Verdana" w:cs="Arial"/>
          <w:bCs/>
          <w:iCs/>
          <w:sz w:val="21"/>
          <w:szCs w:val="21"/>
          <w:lang w:val="es-ES_tradnl" w:eastAsia="es-ES" w:bidi="es-ES"/>
        </w:rPr>
        <w:t>.”</w:t>
      </w:r>
    </w:p>
    <w:p w14:paraId="0B5766AF" w14:textId="77777777" w:rsidR="00E576C4" w:rsidRDefault="00E576C4" w:rsidP="00E576C4">
      <w:pPr>
        <w:widowControl w:val="0"/>
        <w:autoSpaceDE w:val="0"/>
        <w:autoSpaceDN w:val="0"/>
        <w:spacing w:after="0" w:line="276" w:lineRule="auto"/>
        <w:ind w:left="709" w:right="709"/>
        <w:jc w:val="both"/>
        <w:rPr>
          <w:rFonts w:ascii="Verdana" w:eastAsia="Arial" w:hAnsi="Verdana" w:cs="Arial"/>
          <w:bCs/>
          <w:iCs/>
          <w:sz w:val="21"/>
          <w:szCs w:val="21"/>
          <w:lang w:val="es-ES_tradnl" w:eastAsia="es-ES" w:bidi="es-ES"/>
        </w:rPr>
      </w:pPr>
    </w:p>
    <w:p w14:paraId="49255E2F" w14:textId="5DE63702" w:rsidR="00E576C4" w:rsidRDefault="00E576C4" w:rsidP="00E576C4">
      <w:pPr>
        <w:widowControl w:val="0"/>
        <w:autoSpaceDE w:val="0"/>
        <w:autoSpaceDN w:val="0"/>
        <w:spacing w:after="120" w:line="276" w:lineRule="auto"/>
        <w:ind w:firstLine="709"/>
        <w:jc w:val="both"/>
        <w:rPr>
          <w:rFonts w:ascii="Verdana" w:eastAsia="Arial" w:hAnsi="Verdana" w:cs="Arial"/>
          <w:color w:val="000000" w:themeColor="text1"/>
          <w:lang w:val="es-ES" w:eastAsia="es-ES" w:bidi="es-ES"/>
        </w:rPr>
      </w:pPr>
      <w:r w:rsidRPr="00C776BC">
        <w:rPr>
          <w:rFonts w:ascii="Verdana" w:eastAsia="Arial" w:hAnsi="Verdana" w:cs="Arial"/>
          <w:color w:val="000000" w:themeColor="text1"/>
          <w:lang w:val="es-ES" w:eastAsia="es-ES" w:bidi="es-ES"/>
        </w:rPr>
        <w:t>En todo caso, corresponderá a cada Entidad Estatal realizar el análisis respecto a la pr</w:t>
      </w:r>
      <w:r w:rsidR="002F497A">
        <w:rPr>
          <w:rFonts w:ascii="Verdana" w:eastAsia="Arial" w:hAnsi="Verdana" w:cs="Arial"/>
          <w:color w:val="000000" w:themeColor="text1"/>
          <w:lang w:val="es-ES" w:eastAsia="es-ES" w:bidi="es-ES"/>
        </w:rPr>
        <w:t>o</w:t>
      </w:r>
      <w:r w:rsidRPr="00C776BC">
        <w:rPr>
          <w:rFonts w:ascii="Verdana" w:eastAsia="Arial" w:hAnsi="Verdana" w:cs="Arial"/>
          <w:color w:val="000000" w:themeColor="text1"/>
          <w:lang w:val="es-ES" w:eastAsia="es-ES" w:bidi="es-ES"/>
        </w:rPr>
        <w:t xml:space="preserve">cedencia de modificar determinado contrato estatal, en el entendido que se respeten las reglas establecidas en el ordenamiento jurídico, de acuerdo con lo expuesto anteriormente, además de definir previamente su </w:t>
      </w:r>
      <w:r w:rsidR="002F497A">
        <w:rPr>
          <w:rFonts w:ascii="Verdana" w:eastAsia="Arial" w:hAnsi="Verdana" w:cs="Arial"/>
          <w:color w:val="000000" w:themeColor="text1"/>
          <w:lang w:val="es-ES" w:eastAsia="es-ES" w:bidi="es-ES"/>
        </w:rPr>
        <w:t>viabilidad</w:t>
      </w:r>
      <w:r w:rsidRPr="00C776BC">
        <w:rPr>
          <w:rFonts w:ascii="Verdana" w:eastAsia="Arial" w:hAnsi="Verdana" w:cs="Arial"/>
          <w:color w:val="000000" w:themeColor="text1"/>
          <w:lang w:val="es-ES" w:eastAsia="es-ES" w:bidi="es-ES"/>
        </w:rPr>
        <w:t xml:space="preserve"> desde la perspectiva jurídica, técnica y financiera. </w:t>
      </w:r>
    </w:p>
    <w:p w14:paraId="62C4A760" w14:textId="77777777" w:rsidR="00E576C4" w:rsidRDefault="00E576C4" w:rsidP="00E576C4">
      <w:pPr>
        <w:widowControl w:val="0"/>
        <w:autoSpaceDE w:val="0"/>
        <w:autoSpaceDN w:val="0"/>
        <w:spacing w:after="120" w:line="276" w:lineRule="auto"/>
        <w:ind w:firstLine="709"/>
        <w:jc w:val="both"/>
        <w:rPr>
          <w:rFonts w:ascii="Verdana" w:eastAsia="Arial" w:hAnsi="Verdana" w:cs="Arial"/>
          <w:color w:val="000000" w:themeColor="text1"/>
          <w:lang w:val="es-ES" w:eastAsia="es-ES" w:bidi="es-ES"/>
        </w:rPr>
      </w:pPr>
    </w:p>
    <w:p w14:paraId="003CC8B3" w14:textId="192C7743" w:rsidR="00E576C4" w:rsidRPr="00593A5F" w:rsidRDefault="002F497A" w:rsidP="002F497A">
      <w:pPr>
        <w:spacing w:after="120" w:line="276" w:lineRule="auto"/>
        <w:jc w:val="both"/>
        <w:rPr>
          <w:rFonts w:ascii="Verdana" w:eastAsia="Century Gothic" w:hAnsi="Verdana" w:cs="Century Gothic"/>
          <w:b/>
          <w:bCs/>
        </w:rPr>
      </w:pPr>
      <w:r>
        <w:rPr>
          <w:rFonts w:ascii="Verdana" w:eastAsia="Century Gothic" w:hAnsi="Verdana" w:cs="Century Gothic"/>
          <w:b/>
          <w:bCs/>
        </w:rPr>
        <w:t xml:space="preserve">4. </w:t>
      </w:r>
      <w:r w:rsidR="00E576C4" w:rsidRPr="00593A5F">
        <w:rPr>
          <w:rFonts w:ascii="Verdana" w:eastAsia="Century Gothic" w:hAnsi="Verdana" w:cs="Century Gothic"/>
          <w:b/>
          <w:bCs/>
        </w:rPr>
        <w:t>Referencias normativas, jurisprudenciales y otras fuentes:</w:t>
      </w:r>
    </w:p>
    <w:p w14:paraId="36EC35D9" w14:textId="77777777" w:rsidR="00E576C4" w:rsidRPr="00593A5F" w:rsidRDefault="00E576C4" w:rsidP="00E576C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576C4" w:rsidRPr="00593A5F" w14:paraId="0BF05372" w14:textId="77777777" w:rsidTr="00746D01">
        <w:trPr>
          <w:trHeight w:val="870"/>
        </w:trPr>
        <w:tc>
          <w:tcPr>
            <w:tcW w:w="8647" w:type="dxa"/>
          </w:tcPr>
          <w:p w14:paraId="1EDA8FDD" w14:textId="77777777" w:rsidR="00E576C4" w:rsidRDefault="00E576C4" w:rsidP="00746D01">
            <w:pPr>
              <w:pStyle w:val="Prrafodelista"/>
              <w:jc w:val="both"/>
              <w:rPr>
                <w:rFonts w:ascii="Verdana" w:hAnsi="Verdana" w:cs="Arial"/>
              </w:rPr>
            </w:pPr>
          </w:p>
          <w:p w14:paraId="41CDE4D5" w14:textId="77777777" w:rsidR="00E576C4" w:rsidRPr="0014055D" w:rsidRDefault="00E576C4" w:rsidP="00746D01">
            <w:pPr>
              <w:pStyle w:val="Prrafodelista"/>
              <w:widowControl w:val="0"/>
              <w:numPr>
                <w:ilvl w:val="0"/>
                <w:numId w:val="17"/>
              </w:numPr>
              <w:autoSpaceDE w:val="0"/>
              <w:autoSpaceDN w:val="0"/>
              <w:spacing w:line="276" w:lineRule="auto"/>
              <w:jc w:val="both"/>
              <w:rPr>
                <w:rFonts w:ascii="Verdana" w:hAnsi="Verdana" w:cs="Arial"/>
              </w:rPr>
            </w:pPr>
            <w:r w:rsidRPr="0014055D">
              <w:rPr>
                <w:rFonts w:ascii="Verdana" w:hAnsi="Verdana" w:cs="Arial"/>
              </w:rPr>
              <w:t>Ley 80 de 1993, artículos 14, 16 y 40.</w:t>
            </w:r>
          </w:p>
          <w:p w14:paraId="12D0872A" w14:textId="1AB3C0D8" w:rsidR="00E576C4" w:rsidRPr="0014055D" w:rsidRDefault="00E576C4" w:rsidP="00746D01">
            <w:pPr>
              <w:pStyle w:val="Prrafodelista"/>
              <w:widowControl w:val="0"/>
              <w:numPr>
                <w:ilvl w:val="0"/>
                <w:numId w:val="17"/>
              </w:numPr>
              <w:tabs>
                <w:tab w:val="left" w:pos="8419"/>
              </w:tabs>
              <w:autoSpaceDE w:val="0"/>
              <w:autoSpaceDN w:val="0"/>
              <w:spacing w:line="276" w:lineRule="auto"/>
              <w:jc w:val="both"/>
              <w:rPr>
                <w:rFonts w:ascii="Verdana" w:hAnsi="Verdana" w:cs="Arial"/>
              </w:rPr>
            </w:pPr>
            <w:r w:rsidRPr="0014055D">
              <w:rPr>
                <w:rFonts w:ascii="Verdana" w:hAnsi="Verdana" w:cs="Arial"/>
              </w:rPr>
              <w:t>Código Civil, artículo</w:t>
            </w:r>
            <w:r w:rsidR="00C32EDE">
              <w:rPr>
                <w:rFonts w:ascii="Verdana" w:hAnsi="Verdana" w:cs="Arial"/>
              </w:rPr>
              <w:t xml:space="preserve">s 1500 </w:t>
            </w:r>
            <w:r w:rsidR="008A160A">
              <w:rPr>
                <w:rFonts w:ascii="Verdana" w:hAnsi="Verdana" w:cs="Arial"/>
              </w:rPr>
              <w:t xml:space="preserve">y </w:t>
            </w:r>
            <w:r w:rsidR="008A160A" w:rsidRPr="0014055D">
              <w:rPr>
                <w:rFonts w:ascii="Verdana" w:hAnsi="Verdana" w:cs="Arial"/>
              </w:rPr>
              <w:t>1501</w:t>
            </w:r>
            <w:r w:rsidRPr="0014055D">
              <w:rPr>
                <w:rFonts w:ascii="Verdana" w:hAnsi="Verdana" w:cs="Arial"/>
              </w:rPr>
              <w:t>.</w:t>
            </w:r>
          </w:p>
          <w:p w14:paraId="64DE0A2E" w14:textId="77777777" w:rsidR="00E576C4" w:rsidRPr="0014055D" w:rsidRDefault="00E576C4" w:rsidP="00746D01">
            <w:pPr>
              <w:pStyle w:val="Prrafodelista"/>
              <w:widowControl w:val="0"/>
              <w:numPr>
                <w:ilvl w:val="0"/>
                <w:numId w:val="17"/>
              </w:numPr>
              <w:tabs>
                <w:tab w:val="left" w:pos="8419"/>
              </w:tabs>
              <w:autoSpaceDE w:val="0"/>
              <w:autoSpaceDN w:val="0"/>
              <w:spacing w:line="276" w:lineRule="auto"/>
              <w:jc w:val="both"/>
              <w:rPr>
                <w:rFonts w:ascii="Verdana" w:hAnsi="Verdana" w:cs="Arial"/>
              </w:rPr>
            </w:pPr>
            <w:r w:rsidRPr="0014055D">
              <w:rPr>
                <w:rFonts w:ascii="Verdana" w:hAnsi="Verdana" w:cs="Arial"/>
              </w:rPr>
              <w:t>Ley 1150 de 2007, articulo 3.</w:t>
            </w:r>
          </w:p>
          <w:p w14:paraId="35398232" w14:textId="77777777" w:rsidR="00E576C4" w:rsidRPr="0014055D" w:rsidRDefault="00E576C4" w:rsidP="00746D01">
            <w:pPr>
              <w:pStyle w:val="Prrafodelista"/>
              <w:widowControl w:val="0"/>
              <w:numPr>
                <w:ilvl w:val="0"/>
                <w:numId w:val="17"/>
              </w:numPr>
              <w:tabs>
                <w:tab w:val="left" w:pos="8419"/>
              </w:tabs>
              <w:autoSpaceDE w:val="0"/>
              <w:autoSpaceDN w:val="0"/>
              <w:spacing w:line="276" w:lineRule="auto"/>
              <w:jc w:val="both"/>
              <w:rPr>
                <w:rFonts w:ascii="Verdana" w:hAnsi="Verdana" w:cs="Arial"/>
              </w:rPr>
            </w:pPr>
            <w:r w:rsidRPr="0014055D">
              <w:rPr>
                <w:rFonts w:ascii="Verdana" w:hAnsi="Verdana" w:cs="Arial"/>
              </w:rPr>
              <w:t xml:space="preserve">Decreto 1082 de 2015, </w:t>
            </w:r>
            <w:r w:rsidRPr="0014055D">
              <w:rPr>
                <w:rFonts w:ascii="Verdana" w:eastAsia="Arial MT" w:hAnsi="Verdana" w:cs="Arial"/>
                <w:lang w:eastAsia="es-ES" w:bidi="es-ES"/>
              </w:rPr>
              <w:t>artículo 2.2.1.1.1.7</w:t>
            </w:r>
          </w:p>
          <w:p w14:paraId="7A4478D3" w14:textId="77777777" w:rsidR="00E576C4" w:rsidRPr="0014055D" w:rsidRDefault="00E576C4" w:rsidP="00746D01">
            <w:pPr>
              <w:pStyle w:val="Prrafodelista"/>
              <w:widowControl w:val="0"/>
              <w:numPr>
                <w:ilvl w:val="0"/>
                <w:numId w:val="17"/>
              </w:numPr>
              <w:tabs>
                <w:tab w:val="left" w:pos="8419"/>
              </w:tabs>
              <w:autoSpaceDE w:val="0"/>
              <w:autoSpaceDN w:val="0"/>
              <w:spacing w:line="276" w:lineRule="auto"/>
              <w:jc w:val="both"/>
              <w:rPr>
                <w:rFonts w:ascii="Verdana" w:hAnsi="Verdana" w:cs="Arial"/>
              </w:rPr>
            </w:pPr>
            <w:r w:rsidRPr="0014055D">
              <w:rPr>
                <w:rFonts w:ascii="Verdana" w:hAnsi="Verdana" w:cs="Arial"/>
                <w:lang w:val="pt-BR"/>
              </w:rPr>
              <w:t xml:space="preserve">Corte Constitucional. Sentencia C - 416 de 2012. </w:t>
            </w:r>
            <w:r w:rsidRPr="0014055D">
              <w:rPr>
                <w:rFonts w:ascii="Verdana" w:hAnsi="Verdana" w:cs="Arial"/>
              </w:rPr>
              <w:t>M. P.: Adriana María Guillén Arango:</w:t>
            </w:r>
          </w:p>
          <w:p w14:paraId="2FDC2D7D" w14:textId="77777777" w:rsidR="00E576C4" w:rsidRPr="0014055D" w:rsidRDefault="00E576C4" w:rsidP="00746D01">
            <w:pPr>
              <w:pStyle w:val="Prrafodelista"/>
              <w:widowControl w:val="0"/>
              <w:tabs>
                <w:tab w:val="left" w:pos="8419"/>
              </w:tabs>
              <w:autoSpaceDE w:val="0"/>
              <w:autoSpaceDN w:val="0"/>
              <w:spacing w:line="276" w:lineRule="auto"/>
              <w:jc w:val="both"/>
              <w:rPr>
                <w:rFonts w:ascii="Verdana" w:hAnsi="Verdana" w:cs="Arial"/>
              </w:rPr>
            </w:pPr>
            <w:hyperlink r:id="rId12" w:history="1">
              <w:r w:rsidRPr="0014055D">
                <w:rPr>
                  <w:rStyle w:val="Hipervnculo"/>
                  <w:rFonts w:ascii="Verdana" w:hAnsi="Verdana" w:cs="Arial"/>
                </w:rPr>
                <w:t>https://www.corteconstitucional.gov.co/relatoria/2012/C-416-12.htm</w:t>
              </w:r>
            </w:hyperlink>
            <w:r w:rsidRPr="0014055D">
              <w:rPr>
                <w:rFonts w:ascii="Verdana" w:hAnsi="Verdana" w:cs="Arial"/>
              </w:rPr>
              <w:t xml:space="preserve"> </w:t>
            </w:r>
          </w:p>
          <w:p w14:paraId="2CC9F18C" w14:textId="77777777" w:rsidR="00E576C4" w:rsidRPr="0014055D" w:rsidRDefault="00E576C4" w:rsidP="00746D01">
            <w:pPr>
              <w:pStyle w:val="Prrafodelista"/>
              <w:widowControl w:val="0"/>
              <w:numPr>
                <w:ilvl w:val="0"/>
                <w:numId w:val="17"/>
              </w:numPr>
              <w:tabs>
                <w:tab w:val="left" w:pos="8419"/>
              </w:tabs>
              <w:autoSpaceDE w:val="0"/>
              <w:autoSpaceDN w:val="0"/>
              <w:spacing w:line="276" w:lineRule="auto"/>
              <w:jc w:val="both"/>
              <w:rPr>
                <w:rFonts w:ascii="Verdana" w:hAnsi="Verdana" w:cs="Arial"/>
                <w:lang w:val="pt-BR"/>
              </w:rPr>
            </w:pPr>
            <w:r w:rsidRPr="0014055D">
              <w:rPr>
                <w:rFonts w:ascii="Verdana" w:hAnsi="Verdana" w:cs="Arial"/>
                <w:lang w:val="pt-BR"/>
              </w:rPr>
              <w:t xml:space="preserve">Corte Constitucional. Sentencia C-949 de 2001. M. P.: </w:t>
            </w:r>
            <w:r w:rsidRPr="0014055D">
              <w:rPr>
                <w:rFonts w:ascii="Verdana" w:hAnsi="Verdana" w:cs="Arial"/>
              </w:rPr>
              <w:t xml:space="preserve">Clara Inés Vargas </w:t>
            </w:r>
            <w:proofErr w:type="spellStart"/>
            <w:r w:rsidRPr="0014055D">
              <w:rPr>
                <w:rFonts w:ascii="Verdana" w:hAnsi="Verdana" w:cs="Arial"/>
              </w:rPr>
              <w:t>Hernandez</w:t>
            </w:r>
            <w:proofErr w:type="spellEnd"/>
            <w:r w:rsidRPr="0014055D">
              <w:rPr>
                <w:rFonts w:ascii="Verdana" w:hAnsi="Verdana" w:cs="Arial"/>
              </w:rPr>
              <w:t>:</w:t>
            </w:r>
          </w:p>
          <w:p w14:paraId="5A44593B" w14:textId="77777777" w:rsidR="00E576C4" w:rsidRPr="0014055D" w:rsidRDefault="00E576C4" w:rsidP="00746D01">
            <w:pPr>
              <w:pStyle w:val="Prrafodelista"/>
              <w:widowControl w:val="0"/>
              <w:tabs>
                <w:tab w:val="left" w:pos="8419"/>
              </w:tabs>
              <w:autoSpaceDE w:val="0"/>
              <w:autoSpaceDN w:val="0"/>
              <w:spacing w:line="276" w:lineRule="auto"/>
              <w:jc w:val="both"/>
              <w:rPr>
                <w:rFonts w:ascii="Verdana" w:hAnsi="Verdana" w:cs="Arial"/>
                <w:lang w:val="pt-BR"/>
              </w:rPr>
            </w:pPr>
            <w:hyperlink r:id="rId13" w:history="1">
              <w:r w:rsidRPr="0014055D">
                <w:rPr>
                  <w:rStyle w:val="Hipervnculo"/>
                  <w:rFonts w:ascii="Verdana" w:hAnsi="Verdana" w:cs="Arial"/>
                  <w:lang w:val="pt-BR"/>
                </w:rPr>
                <w:t>https://www.corteconstitucional.gov.co/relatoria/2001/C-949-01.htm</w:t>
              </w:r>
            </w:hyperlink>
            <w:r w:rsidRPr="0014055D">
              <w:rPr>
                <w:rFonts w:ascii="Verdana" w:hAnsi="Verdana" w:cs="Arial"/>
                <w:lang w:val="pt-BR"/>
              </w:rPr>
              <w:t xml:space="preserve"> </w:t>
            </w:r>
          </w:p>
          <w:p w14:paraId="0B201051" w14:textId="77777777" w:rsidR="00E576C4" w:rsidRPr="0014055D" w:rsidRDefault="00E576C4" w:rsidP="00746D01">
            <w:pPr>
              <w:pStyle w:val="Prrafodelista"/>
              <w:widowControl w:val="0"/>
              <w:numPr>
                <w:ilvl w:val="0"/>
                <w:numId w:val="17"/>
              </w:numPr>
              <w:tabs>
                <w:tab w:val="left" w:pos="8419"/>
              </w:tabs>
              <w:autoSpaceDE w:val="0"/>
              <w:autoSpaceDN w:val="0"/>
              <w:spacing w:line="276" w:lineRule="auto"/>
              <w:jc w:val="both"/>
              <w:rPr>
                <w:rFonts w:ascii="Verdana" w:hAnsi="Verdana" w:cs="Arial"/>
                <w:lang w:val="pt-BR"/>
              </w:rPr>
            </w:pPr>
            <w:proofErr w:type="spellStart"/>
            <w:r w:rsidRPr="0014055D">
              <w:rPr>
                <w:rFonts w:ascii="Verdana" w:hAnsi="Verdana" w:cs="Arial"/>
                <w:lang w:val="pt-BR"/>
              </w:rPr>
              <w:t>Consejo</w:t>
            </w:r>
            <w:proofErr w:type="spellEnd"/>
            <w:r w:rsidRPr="0014055D">
              <w:rPr>
                <w:rFonts w:ascii="Verdana" w:hAnsi="Verdana" w:cs="Arial"/>
                <w:lang w:val="pt-BR"/>
              </w:rPr>
              <w:t xml:space="preserve"> de Estado. Sala de Consulta y </w:t>
            </w:r>
            <w:proofErr w:type="spellStart"/>
            <w:r w:rsidRPr="0014055D">
              <w:rPr>
                <w:rFonts w:ascii="Verdana" w:hAnsi="Verdana" w:cs="Arial"/>
                <w:lang w:val="pt-BR"/>
              </w:rPr>
              <w:t>Servicio</w:t>
            </w:r>
            <w:proofErr w:type="spellEnd"/>
            <w:r w:rsidRPr="0014055D">
              <w:rPr>
                <w:rFonts w:ascii="Verdana" w:hAnsi="Verdana" w:cs="Arial"/>
                <w:lang w:val="pt-BR"/>
              </w:rPr>
              <w:t xml:space="preserve"> Civil, concepto </w:t>
            </w:r>
            <w:proofErr w:type="spellStart"/>
            <w:r w:rsidRPr="0014055D">
              <w:rPr>
                <w:rFonts w:ascii="Verdana" w:hAnsi="Verdana" w:cs="Arial"/>
                <w:lang w:val="pt-BR"/>
              </w:rPr>
              <w:t>del</w:t>
            </w:r>
            <w:proofErr w:type="spellEnd"/>
            <w:r w:rsidRPr="0014055D">
              <w:rPr>
                <w:rFonts w:ascii="Verdana" w:hAnsi="Verdana" w:cs="Arial"/>
                <w:lang w:val="pt-BR"/>
              </w:rPr>
              <w:t xml:space="preserve"> 13 de agosto de 2009, rad. 1.952, C.P.: Enrique José Arboleda </w:t>
            </w:r>
            <w:proofErr w:type="spellStart"/>
            <w:r w:rsidRPr="0014055D">
              <w:rPr>
                <w:rFonts w:ascii="Verdana" w:hAnsi="Verdana" w:cs="Arial"/>
                <w:lang w:val="pt-BR"/>
              </w:rPr>
              <w:t>Perdomo</w:t>
            </w:r>
            <w:proofErr w:type="spellEnd"/>
            <w:r w:rsidRPr="0014055D">
              <w:rPr>
                <w:rFonts w:ascii="Verdana" w:hAnsi="Verdana" w:cs="Arial"/>
                <w:lang w:val="pt-BR"/>
              </w:rPr>
              <w:t>:</w:t>
            </w:r>
          </w:p>
          <w:p w14:paraId="681EABC5" w14:textId="77777777" w:rsidR="00E576C4" w:rsidRPr="0014055D" w:rsidRDefault="00E576C4" w:rsidP="00746D01">
            <w:pPr>
              <w:pStyle w:val="Prrafodelista"/>
              <w:widowControl w:val="0"/>
              <w:tabs>
                <w:tab w:val="left" w:pos="8419"/>
              </w:tabs>
              <w:autoSpaceDE w:val="0"/>
              <w:autoSpaceDN w:val="0"/>
              <w:spacing w:line="276" w:lineRule="auto"/>
              <w:jc w:val="both"/>
              <w:rPr>
                <w:rFonts w:ascii="Verdana" w:hAnsi="Verdana" w:cs="Arial"/>
                <w:lang w:val="pt-BR"/>
              </w:rPr>
            </w:pPr>
            <w:hyperlink r:id="rId14" w:history="1">
              <w:r w:rsidRPr="0014055D">
                <w:rPr>
                  <w:rStyle w:val="Hipervnculo"/>
                  <w:rFonts w:ascii="Verdana" w:hAnsi="Verdana" w:cs="Arial"/>
                  <w:lang w:val="pt-BR"/>
                </w:rPr>
                <w:t>http://servicios.consejodeestado.gov.co/WebRelatoria/FileReferenceServlet?corp=ce&amp;ext=doc&amp;file=2000171</w:t>
              </w:r>
            </w:hyperlink>
            <w:r w:rsidRPr="0014055D">
              <w:rPr>
                <w:rFonts w:ascii="Verdana" w:hAnsi="Verdana" w:cs="Arial"/>
                <w:lang w:val="pt-BR"/>
              </w:rPr>
              <w:t xml:space="preserve"> </w:t>
            </w:r>
          </w:p>
          <w:p w14:paraId="7BB0952E" w14:textId="77777777" w:rsidR="00E576C4" w:rsidRPr="0014055D" w:rsidRDefault="00E576C4" w:rsidP="00746D01">
            <w:pPr>
              <w:pStyle w:val="Prrafodelista"/>
              <w:widowControl w:val="0"/>
              <w:numPr>
                <w:ilvl w:val="0"/>
                <w:numId w:val="17"/>
              </w:numPr>
              <w:tabs>
                <w:tab w:val="left" w:pos="8419"/>
              </w:tabs>
              <w:autoSpaceDE w:val="0"/>
              <w:autoSpaceDN w:val="0"/>
              <w:spacing w:line="276" w:lineRule="auto"/>
              <w:jc w:val="both"/>
              <w:rPr>
                <w:rFonts w:ascii="Verdana" w:hAnsi="Verdana" w:cs="Arial"/>
              </w:rPr>
            </w:pPr>
            <w:r w:rsidRPr="0014055D">
              <w:rPr>
                <w:rFonts w:ascii="Verdana" w:hAnsi="Verdana" w:cs="Arial"/>
              </w:rPr>
              <w:t xml:space="preserve">Consejo de Estado. </w:t>
            </w:r>
            <w:r w:rsidRPr="0014055D">
              <w:rPr>
                <w:rFonts w:ascii="Verdana" w:eastAsia="Arial" w:hAnsi="Verdana" w:cs="Arial"/>
                <w:lang w:eastAsia="es-ES" w:bidi="es-ES"/>
              </w:rPr>
              <w:t>Sala de Consulta y Servicio Civil del Consejo de Estado.</w:t>
            </w:r>
            <w:r w:rsidRPr="0014055D">
              <w:rPr>
                <w:rFonts w:ascii="Verdana" w:hAnsi="Verdana" w:cs="Arial"/>
              </w:rPr>
              <w:t xml:space="preserve"> C</w:t>
            </w:r>
            <w:r w:rsidRPr="0014055D">
              <w:rPr>
                <w:rFonts w:ascii="Verdana" w:eastAsia="Arial" w:hAnsi="Verdana" w:cs="Arial"/>
                <w:lang w:eastAsia="es-ES" w:bidi="es-ES"/>
              </w:rPr>
              <w:t xml:space="preserve">oncepto 2263 del 17 de marzo del 2016, C. P.: </w:t>
            </w:r>
            <w:r w:rsidRPr="0014055D">
              <w:rPr>
                <w:rFonts w:ascii="Verdana" w:hAnsi="Verdana" w:cs="Arial"/>
              </w:rPr>
              <w:t>Édgar González López.</w:t>
            </w:r>
          </w:p>
          <w:p w14:paraId="40580623" w14:textId="77777777" w:rsidR="00E576C4" w:rsidRPr="000D446F" w:rsidRDefault="00E576C4" w:rsidP="00746D01">
            <w:pPr>
              <w:pStyle w:val="Prrafodelista"/>
              <w:jc w:val="both"/>
              <w:rPr>
                <w:rFonts w:ascii="Verdana" w:hAnsi="Verdana" w:cs="Arial"/>
              </w:rPr>
            </w:pPr>
          </w:p>
        </w:tc>
      </w:tr>
    </w:tbl>
    <w:p w14:paraId="1DBDF104" w14:textId="77777777" w:rsidR="00E576C4" w:rsidRPr="00593A5F" w:rsidRDefault="00E576C4" w:rsidP="00E576C4">
      <w:pPr>
        <w:widowControl w:val="0"/>
        <w:autoSpaceDE w:val="0"/>
        <w:autoSpaceDN w:val="0"/>
        <w:spacing w:after="0" w:line="276" w:lineRule="auto"/>
        <w:jc w:val="both"/>
        <w:rPr>
          <w:rFonts w:ascii="Verdana" w:hAnsi="Verdana" w:cs="Arial"/>
        </w:rPr>
      </w:pPr>
    </w:p>
    <w:p w14:paraId="1AD3ED90" w14:textId="77777777" w:rsidR="00E576C4" w:rsidRPr="00593A5F" w:rsidRDefault="00E576C4" w:rsidP="00E576C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F4D6F40" w14:textId="77777777" w:rsidR="00E576C4" w:rsidRDefault="00E576C4" w:rsidP="00E576C4">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68B1BE18" w14:textId="41A3BAFD" w:rsidR="00E576C4" w:rsidRDefault="00E576C4" w:rsidP="00E576C4">
      <w:pPr>
        <w:widowControl w:val="0"/>
        <w:autoSpaceDE w:val="0"/>
        <w:autoSpaceDN w:val="0"/>
        <w:spacing w:after="0" w:line="276" w:lineRule="auto"/>
        <w:jc w:val="both"/>
        <w:rPr>
          <w:rFonts w:ascii="Verdana" w:hAnsi="Verdana"/>
          <w:color w:val="000000"/>
          <w:shd w:val="clear" w:color="auto" w:fill="FFFFFF"/>
        </w:rPr>
      </w:pPr>
      <w:r w:rsidRPr="0053731C">
        <w:rPr>
          <w:rFonts w:ascii="Verdana" w:eastAsia="Calibri" w:hAnsi="Verdana" w:cs="Arial"/>
          <w:lang w:val="es-ES_tradnl" w:eastAsia="es-ES_tradnl"/>
        </w:rPr>
        <w:t xml:space="preserve">Sobre </w:t>
      </w:r>
      <w:r w:rsidRPr="00823C6A">
        <w:rPr>
          <w:rFonts w:ascii="Verdana" w:hAnsi="Verdana"/>
        </w:rPr>
        <w:t>las modificaciones</w:t>
      </w:r>
      <w:r>
        <w:rPr>
          <w:rFonts w:ascii="Verdana" w:hAnsi="Verdana"/>
        </w:rPr>
        <w:t xml:space="preserve"> </w:t>
      </w:r>
      <w:r w:rsidRPr="00823C6A">
        <w:rPr>
          <w:rFonts w:ascii="Verdana" w:hAnsi="Verdana"/>
        </w:rPr>
        <w:t>en los contratos estatales</w:t>
      </w:r>
      <w:r>
        <w:rPr>
          <w:rFonts w:ascii="Verdana" w:hAnsi="Verdana"/>
        </w:rPr>
        <w:t>, la Agencia se ha pronunciado</w:t>
      </w:r>
      <w:r w:rsidRPr="00823C6A">
        <w:rPr>
          <w:rFonts w:ascii="Verdana" w:hAnsi="Verdana"/>
        </w:rPr>
        <w:t xml:space="preserve"> en los conceptos Nro. C-277 de 21 de junio de 2021, C-644 de 18 de noviembre de 2021, C-755 de 21 de enero de 2022, C-152 de 1 de abril de 2022, C-267 de 5 de mayo de 2022, C-432 de 13 de julio de 2022, C-630 del 29 de septiembre </w:t>
      </w:r>
      <w:r w:rsidRPr="00823C6A">
        <w:rPr>
          <w:rFonts w:ascii="Verdana" w:hAnsi="Verdana"/>
        </w:rPr>
        <w:lastRenderedPageBreak/>
        <w:t>de 2022, C784 del 21 de noviembre del 2022, C-398 del 27 de septiembre de 2023, C-452 del 7 de noviembre de 2023, C-463 del 22 de noviembre de 2023, C-471 del 25 de enero del 2024</w:t>
      </w:r>
      <w:r w:rsidR="009055D0">
        <w:rPr>
          <w:rFonts w:ascii="Verdana" w:hAnsi="Verdana"/>
        </w:rPr>
        <w:t xml:space="preserve"> y C-581 del 23 de Octubre de 2024.</w:t>
      </w:r>
      <w:r w:rsidRPr="005D2A01">
        <w:rPr>
          <w:rFonts w:ascii="Verdana" w:hAnsi="Verdana"/>
          <w:color w:val="000000"/>
          <w:shd w:val="clear" w:color="auto" w:fill="FFFFFF"/>
        </w:rPr>
        <w:t xml:space="preserve"> </w:t>
      </w:r>
      <w:r w:rsidRPr="001B26A3">
        <w:rPr>
          <w:rFonts w:ascii="Verdana" w:hAnsi="Verdana"/>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tgtFrame="_blank" w:tooltip="Dirección URL original: https://relatoria.colombiacompra.gov.co/. Haga clic o pulse si confía en este vínculo." w:history="1">
        <w:r w:rsidRPr="001B26A3">
          <w:rPr>
            <w:rStyle w:val="Hipervnculo"/>
            <w:rFonts w:ascii="Verdana" w:hAnsi="Verdana"/>
            <w:bdr w:val="none" w:sz="0" w:space="0" w:color="auto" w:frame="1"/>
            <w:shd w:val="clear" w:color="auto" w:fill="FFFFFF"/>
          </w:rPr>
          <w:t>https://relatoria.colombiacompra.gov.co/</w:t>
        </w:r>
      </w:hyperlink>
      <w:r w:rsidRPr="001B26A3">
        <w:rPr>
          <w:rFonts w:ascii="Verdana" w:hAnsi="Verdana"/>
          <w:color w:val="000000"/>
          <w:shd w:val="clear" w:color="auto" w:fill="FFFFFF"/>
        </w:rPr>
        <w:t> </w:t>
      </w:r>
    </w:p>
    <w:p w14:paraId="05D68261" w14:textId="77777777" w:rsidR="00E576C4" w:rsidRDefault="00E576C4" w:rsidP="00E576C4">
      <w:pPr>
        <w:widowControl w:val="0"/>
        <w:autoSpaceDE w:val="0"/>
        <w:autoSpaceDN w:val="0"/>
        <w:spacing w:after="0" w:line="276" w:lineRule="auto"/>
        <w:jc w:val="both"/>
        <w:rPr>
          <w:rStyle w:val="normaltextrun"/>
          <w:rFonts w:ascii="Verdana" w:hAnsi="Verdana" w:cs="Arial"/>
          <w:shd w:val="clear" w:color="auto" w:fill="FFFFFF"/>
          <w:lang w:val="es-ES"/>
        </w:rPr>
      </w:pPr>
    </w:p>
    <w:p w14:paraId="45F84546" w14:textId="77777777" w:rsidR="000306B4" w:rsidRDefault="000306B4" w:rsidP="000306B4">
      <w:pPr>
        <w:spacing w:after="0" w:line="276" w:lineRule="auto"/>
        <w:jc w:val="both"/>
        <w:rPr>
          <w:rFonts w:ascii="Verdana" w:hAnsi="Verdana" w:cs="Arial"/>
          <w:shd w:val="clear" w:color="auto" w:fill="FFFFFF"/>
        </w:rPr>
      </w:pPr>
      <w:r w:rsidRPr="00416749">
        <w:rPr>
          <w:rFonts w:ascii="Verdana" w:hAnsi="Verdana" w:cs="Arial"/>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6086735B" w14:textId="77777777" w:rsidR="000306B4" w:rsidRPr="00416749" w:rsidRDefault="000306B4" w:rsidP="000306B4">
      <w:pPr>
        <w:spacing w:after="0" w:line="276" w:lineRule="auto"/>
        <w:jc w:val="both"/>
        <w:rPr>
          <w:rFonts w:ascii="Verdana" w:hAnsi="Verdana" w:cs="Arial"/>
          <w:shd w:val="clear" w:color="auto" w:fill="FFFFFF"/>
        </w:rPr>
      </w:pPr>
    </w:p>
    <w:p w14:paraId="21045D9A" w14:textId="77777777" w:rsidR="000306B4" w:rsidRPr="00416749" w:rsidRDefault="000306B4" w:rsidP="000306B4">
      <w:pPr>
        <w:numPr>
          <w:ilvl w:val="0"/>
          <w:numId w:val="19"/>
        </w:numPr>
        <w:spacing w:after="0" w:line="276" w:lineRule="auto"/>
        <w:jc w:val="both"/>
        <w:rPr>
          <w:rFonts w:ascii="Verdana" w:hAnsi="Verdana" w:cs="Arial"/>
          <w:shd w:val="clear" w:color="auto" w:fill="FFFFFF"/>
        </w:rPr>
      </w:pPr>
      <w:r w:rsidRPr="00416749">
        <w:rPr>
          <w:rFonts w:ascii="Verdana" w:hAnsi="Verdana" w:cs="Arial"/>
          <w:b/>
          <w:bCs/>
          <w:shd w:val="clear" w:color="auto" w:fill="FFFFFF"/>
        </w:rPr>
        <w:t>Documentos tipo para los procesos de selección de interventoría de obra pública de infraestructura de transporte – versión 3: </w:t>
      </w:r>
      <w:hyperlink r:id="rId16" w:tgtFrame="_blank" w:tooltip="Dirección URL original: https://www.colombiacompra.gov.co/content/03-documentos-tipo-para-los-procesos-de-seleccion-de-interventoria-de-obra-publica-de. Haga clic o pulse si confía en este vínculo." w:history="1">
        <w:r w:rsidRPr="00416749">
          <w:rPr>
            <w:rStyle w:val="Hipervnculo"/>
            <w:rFonts w:ascii="Verdana" w:hAnsi="Verdana" w:cs="Arial"/>
            <w:shd w:val="clear" w:color="auto" w:fill="FFFFFF"/>
          </w:rPr>
          <w:t>03. Documentos tipo para los procesos de selección de interventoría de obra pública de infraestructura de transporte – versión 3 | Colombia Compra Eficiente | Agencia Nacional de Contratación Pública</w:t>
        </w:r>
      </w:hyperlink>
    </w:p>
    <w:p w14:paraId="3F8793DE" w14:textId="77777777" w:rsidR="000306B4" w:rsidRDefault="000306B4" w:rsidP="000306B4">
      <w:pPr>
        <w:numPr>
          <w:ilvl w:val="0"/>
          <w:numId w:val="19"/>
        </w:numPr>
        <w:spacing w:after="0" w:line="276" w:lineRule="auto"/>
        <w:jc w:val="both"/>
        <w:rPr>
          <w:rFonts w:ascii="Verdana" w:hAnsi="Verdana" w:cs="Arial"/>
          <w:shd w:val="clear" w:color="auto" w:fill="FFFFFF"/>
        </w:rPr>
      </w:pPr>
      <w:r w:rsidRPr="00416749">
        <w:rPr>
          <w:rFonts w:ascii="Verdana" w:hAnsi="Verdana" w:cs="Arial"/>
          <w:b/>
          <w:bCs/>
          <w:shd w:val="clear" w:color="auto" w:fill="FFFFFF"/>
        </w:rPr>
        <w:t>Documentos tipo para los procesos de selección de consultoría de obra pública de infraestructura de transporte – versión 2:</w:t>
      </w:r>
      <w:r w:rsidRPr="00416749">
        <w:rPr>
          <w:rFonts w:ascii="Verdana" w:hAnsi="Verdana" w:cs="Arial"/>
          <w:shd w:val="clear" w:color="auto" w:fill="FFFFFF"/>
        </w:rPr>
        <w:t> </w:t>
      </w:r>
      <w:hyperlink r:id="rId17" w:tgtFrame="_blank" w:tooltip="Dirección URL original: https://www.colombiacompra.gov.co/content/02-documentos-tipo-para-los-procesos-de-seleccion-de-consultoria-de-obra-publica-de. Haga clic o pulse si confía en este vínculo." w:history="1">
        <w:r w:rsidRPr="00416749">
          <w:rPr>
            <w:rStyle w:val="Hipervnculo"/>
            <w:rFonts w:ascii="Verdana" w:hAnsi="Verdana" w:cs="Arial"/>
            <w:shd w:val="clear" w:color="auto" w:fill="FFFFFF"/>
          </w:rPr>
          <w:t>02. Documentos tipo para los procesos de selección de consultoría de obra pública de infraestructura de transporte – versión 2. | Colombia Compra Eficiente | Agencia Nacional de Contratación Pública</w:t>
        </w:r>
      </w:hyperlink>
    </w:p>
    <w:p w14:paraId="4F408AF5" w14:textId="77777777" w:rsidR="000306B4" w:rsidRPr="00416749" w:rsidRDefault="000306B4" w:rsidP="000306B4">
      <w:pPr>
        <w:spacing w:after="0" w:line="276" w:lineRule="auto"/>
        <w:ind w:left="720"/>
        <w:jc w:val="both"/>
        <w:rPr>
          <w:rFonts w:ascii="Verdana" w:hAnsi="Verdana" w:cs="Arial"/>
          <w:shd w:val="clear" w:color="auto" w:fill="FFFFFF"/>
        </w:rPr>
      </w:pPr>
    </w:p>
    <w:p w14:paraId="7A1FB4A3" w14:textId="77777777" w:rsidR="000306B4" w:rsidRPr="00416749" w:rsidRDefault="000306B4" w:rsidP="000306B4">
      <w:pPr>
        <w:spacing w:after="0" w:line="276" w:lineRule="auto"/>
        <w:jc w:val="both"/>
        <w:rPr>
          <w:rFonts w:ascii="Verdana" w:hAnsi="Verdana" w:cs="Arial"/>
          <w:shd w:val="clear" w:color="auto" w:fill="FFFFFF"/>
        </w:rPr>
      </w:pPr>
      <w:r w:rsidRPr="00416749">
        <w:rPr>
          <w:rFonts w:ascii="Verdana" w:hAnsi="Verdana" w:cs="Arial"/>
          <w:shd w:val="clear" w:color="auto" w:fill="FFFFFF"/>
        </w:rPr>
        <w:t>También, te contamos que ya publicamos </w:t>
      </w:r>
      <w:r w:rsidRPr="00416749">
        <w:rPr>
          <w:rFonts w:ascii="Verdana" w:hAnsi="Verdana" w:cs="Arial"/>
          <w:b/>
          <w:bCs/>
          <w:shd w:val="clear" w:color="auto" w:fill="FFFFFF"/>
        </w:rPr>
        <w:t>la nueva Guía de Contratación Pública Sostenible y Socialmente Responsable</w:t>
      </w:r>
      <w:r w:rsidRPr="00416749">
        <w:rPr>
          <w:rFonts w:ascii="Verdana" w:hAnsi="Verdana" w:cs="Arial"/>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8" w:tgtFrame="_blank" w:tooltip="Dirección URL original: https://www.colombiacompra.gov.co/manuales-guias-y-pliegos-tipo/manuales-y-guias/guia-de-contratacion-publica-sostenible-y-socialmente. Haga clic o pulse si confía en este vínculo." w:history="1">
        <w:r w:rsidRPr="00416749">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2D61D70A" w14:textId="77777777" w:rsidR="000306B4" w:rsidRDefault="000306B4" w:rsidP="000306B4">
      <w:pPr>
        <w:spacing w:after="0" w:line="276" w:lineRule="auto"/>
        <w:jc w:val="both"/>
        <w:rPr>
          <w:rFonts w:ascii="Verdana" w:hAnsi="Verdana" w:cs="Arial"/>
          <w:shd w:val="clear" w:color="auto" w:fill="FFFFFF"/>
        </w:rPr>
      </w:pPr>
    </w:p>
    <w:p w14:paraId="53B9BE6D" w14:textId="77777777" w:rsidR="000306B4" w:rsidRPr="0011467B" w:rsidRDefault="000306B4" w:rsidP="000306B4">
      <w:pPr>
        <w:spacing w:after="0" w:line="240" w:lineRule="auto"/>
        <w:jc w:val="both"/>
        <w:rPr>
          <w:rFonts w:ascii="Verdana" w:hAnsi="Verdana"/>
        </w:rPr>
      </w:pPr>
      <w:r w:rsidRPr="0011467B">
        <w:rPr>
          <w:rFonts w:ascii="Verdana" w:hAnsi="Verdana"/>
        </w:rPr>
        <w:t xml:space="preserve">Por último, lo invitamos a seguirnos en las redes sociales en las cuales se difunde información institucional: </w:t>
      </w:r>
    </w:p>
    <w:p w14:paraId="17CB3DAE" w14:textId="77777777" w:rsidR="000306B4" w:rsidRPr="0011467B" w:rsidRDefault="000306B4" w:rsidP="000306B4">
      <w:pPr>
        <w:spacing w:after="0" w:line="240" w:lineRule="auto"/>
        <w:jc w:val="both"/>
        <w:rPr>
          <w:rFonts w:ascii="Verdana" w:hAnsi="Verdana"/>
        </w:rPr>
      </w:pPr>
    </w:p>
    <w:p w14:paraId="6B0A0D22" w14:textId="77777777" w:rsidR="000306B4" w:rsidRPr="0011467B" w:rsidRDefault="000306B4" w:rsidP="000306B4">
      <w:pPr>
        <w:spacing w:after="0" w:line="240" w:lineRule="auto"/>
        <w:jc w:val="both"/>
        <w:rPr>
          <w:rFonts w:ascii="Verdana" w:hAnsi="Verdana"/>
        </w:rPr>
      </w:pPr>
      <w:r w:rsidRPr="0011467B">
        <w:rPr>
          <w:rFonts w:ascii="Verdana" w:hAnsi="Verdana"/>
        </w:rPr>
        <w:t xml:space="preserve">Twitter: </w:t>
      </w:r>
      <w:r w:rsidRPr="0011467B">
        <w:rPr>
          <w:rStyle w:val="Hipervnculo"/>
          <w:rFonts w:ascii="Verdana" w:hAnsi="Verdana"/>
          <w:color w:val="4472C4" w:themeColor="accent1"/>
        </w:rPr>
        <w:t>@colombiacompra</w:t>
      </w:r>
      <w:r w:rsidRPr="0011467B">
        <w:rPr>
          <w:rFonts w:ascii="Verdana" w:hAnsi="Verdana"/>
          <w:color w:val="4472C4" w:themeColor="accent1"/>
        </w:rPr>
        <w:t xml:space="preserve"> </w:t>
      </w:r>
    </w:p>
    <w:p w14:paraId="7BA6B1C8" w14:textId="77777777" w:rsidR="000306B4" w:rsidRPr="0011467B" w:rsidRDefault="000306B4" w:rsidP="000306B4">
      <w:pPr>
        <w:spacing w:after="0" w:line="240" w:lineRule="auto"/>
        <w:jc w:val="both"/>
        <w:rPr>
          <w:rFonts w:ascii="Verdana" w:hAnsi="Verdana"/>
        </w:rPr>
      </w:pPr>
      <w:r w:rsidRPr="0011467B">
        <w:rPr>
          <w:rFonts w:ascii="Verdana" w:hAnsi="Verdana"/>
        </w:rPr>
        <w:t xml:space="preserve">Facebook: </w:t>
      </w:r>
      <w:proofErr w:type="spellStart"/>
      <w:r w:rsidRPr="0011467B">
        <w:rPr>
          <w:rStyle w:val="Hipervnculo"/>
          <w:rFonts w:ascii="Verdana" w:hAnsi="Verdana"/>
          <w:color w:val="4472C4" w:themeColor="accent1"/>
        </w:rPr>
        <w:t>ColombiaCompraEficiente</w:t>
      </w:r>
      <w:proofErr w:type="spellEnd"/>
    </w:p>
    <w:p w14:paraId="44FF3D2B" w14:textId="77777777" w:rsidR="000306B4" w:rsidRPr="0011467B" w:rsidRDefault="000306B4" w:rsidP="000306B4">
      <w:pPr>
        <w:spacing w:after="0" w:line="240" w:lineRule="auto"/>
        <w:jc w:val="both"/>
        <w:rPr>
          <w:rFonts w:ascii="Verdana" w:hAnsi="Verdana"/>
        </w:rPr>
      </w:pPr>
      <w:r w:rsidRPr="0011467B">
        <w:rPr>
          <w:rFonts w:ascii="Verdana" w:hAnsi="Verdana"/>
        </w:rPr>
        <w:lastRenderedPageBreak/>
        <w:t xml:space="preserve">LinkedIn: </w:t>
      </w:r>
      <w:r w:rsidRPr="0011467B">
        <w:rPr>
          <w:rStyle w:val="Hipervnculo"/>
          <w:rFonts w:ascii="Verdana" w:hAnsi="Verdana"/>
          <w:color w:val="4472C4" w:themeColor="accent1"/>
        </w:rPr>
        <w:t>Agencia Nacional de Contratación Pública - Colombia Compra Eficiente</w:t>
      </w:r>
      <w:r w:rsidRPr="0011467B">
        <w:rPr>
          <w:rFonts w:ascii="Verdana" w:hAnsi="Verdana"/>
          <w:color w:val="4472C4" w:themeColor="accent1"/>
        </w:rPr>
        <w:t xml:space="preserve"> </w:t>
      </w:r>
      <w:r w:rsidRPr="0011467B">
        <w:rPr>
          <w:rFonts w:ascii="Verdana" w:hAnsi="Verdana"/>
        </w:rPr>
        <w:t xml:space="preserve">Instagram: </w:t>
      </w:r>
      <w:r w:rsidRPr="0011467B">
        <w:rPr>
          <w:rStyle w:val="Hipervnculo"/>
          <w:rFonts w:ascii="Verdana" w:hAnsi="Verdana"/>
          <w:color w:val="4472C4" w:themeColor="accent1"/>
        </w:rPr>
        <w:t>@colombiacompraeficiente_cce</w:t>
      </w:r>
    </w:p>
    <w:p w14:paraId="0EDA69AC" w14:textId="77777777" w:rsidR="000306B4" w:rsidRPr="0011467B" w:rsidRDefault="000306B4" w:rsidP="000306B4">
      <w:pPr>
        <w:spacing w:after="120" w:line="276" w:lineRule="auto"/>
        <w:jc w:val="both"/>
        <w:rPr>
          <w:rFonts w:ascii="Verdana" w:hAnsi="Verdana" w:cs="Arial"/>
          <w:lang w:val="es-ES"/>
        </w:rPr>
      </w:pPr>
    </w:p>
    <w:p w14:paraId="6C14B729" w14:textId="77777777" w:rsidR="000306B4" w:rsidRPr="00022ABF" w:rsidRDefault="000306B4" w:rsidP="000306B4">
      <w:pPr>
        <w:spacing w:after="120" w:line="276" w:lineRule="auto"/>
        <w:jc w:val="both"/>
        <w:rPr>
          <w:rFonts w:ascii="Verdana" w:hAnsi="Verdana" w:cs="Arial"/>
          <w:color w:val="000000" w:themeColor="text1"/>
          <w:lang w:val="es-ES_tradnl"/>
        </w:rPr>
      </w:pPr>
      <w:r w:rsidRPr="0011467B">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1C38B44" w14:textId="77777777" w:rsidR="000306B4" w:rsidRPr="001B7C94" w:rsidRDefault="000306B4" w:rsidP="000306B4">
      <w:pPr>
        <w:spacing w:after="0" w:line="240" w:lineRule="auto"/>
        <w:rPr>
          <w:rFonts w:ascii="Verdana" w:eastAsia="Times New Roman" w:hAnsi="Verdana" w:cs="Arial"/>
          <w:lang w:eastAsia="es-CO"/>
        </w:rPr>
      </w:pPr>
      <w:r w:rsidRPr="0011467B">
        <w:rPr>
          <w:rFonts w:ascii="Verdana" w:eastAsia="Times New Roman" w:hAnsi="Verdana" w:cs="Arial"/>
          <w:lang w:eastAsia="es-CO"/>
        </w:rPr>
        <w:t>Atentamente,</w:t>
      </w:r>
    </w:p>
    <w:p w14:paraId="6756FB94" w14:textId="77777777" w:rsidR="00E576C4" w:rsidRPr="0011467B" w:rsidRDefault="00E576C4" w:rsidP="00E576C4">
      <w:pPr>
        <w:spacing w:after="0" w:line="276" w:lineRule="auto"/>
        <w:jc w:val="center"/>
        <w:rPr>
          <w:rFonts w:ascii="Verdana" w:eastAsia="Times New Roman" w:hAnsi="Verdana" w:cs="Arial"/>
          <w:color w:val="000000"/>
          <w:lang w:val="es-ES_tradnl" w:eastAsia="es-CO"/>
        </w:rPr>
      </w:pPr>
    </w:p>
    <w:p w14:paraId="0EFE5328" w14:textId="487DEF22" w:rsidR="00E576C4" w:rsidRPr="0011467B" w:rsidRDefault="004F5180" w:rsidP="00E576C4">
      <w:pPr>
        <w:spacing w:after="0" w:line="276" w:lineRule="auto"/>
        <w:jc w:val="center"/>
        <w:rPr>
          <w:rFonts w:ascii="Verdana" w:eastAsia="Times New Roman" w:hAnsi="Verdana" w:cs="Arial"/>
          <w:color w:val="000000"/>
          <w:lang w:val="es-ES_tradnl" w:eastAsia="es-CO"/>
        </w:rPr>
      </w:pPr>
      <w:bookmarkStart w:id="2" w:name="_Hlk184289275"/>
      <w:r w:rsidRPr="004D5C25">
        <w:rPr>
          <w:rFonts w:ascii="Century Gothic" w:hAnsi="Century Gothic"/>
          <w:noProof/>
        </w:rPr>
        <w:drawing>
          <wp:inline distT="0" distB="0" distL="0" distR="0" wp14:anchorId="376C66D2" wp14:editId="54B15796">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9"/>
                    <a:stretch>
                      <a:fillRect/>
                    </a:stretch>
                  </pic:blipFill>
                  <pic:spPr>
                    <a:xfrm>
                      <a:off x="0" y="0"/>
                      <a:ext cx="3705742" cy="1590897"/>
                    </a:xfrm>
                    <a:prstGeom prst="rect">
                      <a:avLst/>
                    </a:prstGeom>
                  </pic:spPr>
                </pic:pic>
              </a:graphicData>
            </a:graphic>
          </wp:inline>
        </w:drawing>
      </w:r>
    </w:p>
    <w:p w14:paraId="4DC8D8B5" w14:textId="77777777" w:rsidR="00E576C4" w:rsidRPr="0011467B" w:rsidRDefault="00E576C4" w:rsidP="00E576C4">
      <w:pPr>
        <w:spacing w:after="0" w:line="276" w:lineRule="auto"/>
        <w:jc w:val="center"/>
        <w:rPr>
          <w:rFonts w:ascii="Verdana" w:eastAsia="Times New Roman" w:hAnsi="Verdana" w:cs="Arial"/>
          <w:color w:val="000000"/>
          <w:sz w:val="18"/>
          <w:szCs w:val="18"/>
          <w:lang w:val="es-ES" w:eastAsia="es-CO"/>
        </w:rPr>
      </w:pPr>
    </w:p>
    <w:tbl>
      <w:tblPr>
        <w:tblW w:w="64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3"/>
        <w:gridCol w:w="5525"/>
      </w:tblGrid>
      <w:tr w:rsidR="00E576C4" w:rsidRPr="0011467B" w14:paraId="2759E9DB" w14:textId="77777777" w:rsidTr="00746D01">
        <w:trPr>
          <w:trHeight w:val="409"/>
        </w:trPr>
        <w:tc>
          <w:tcPr>
            <w:tcW w:w="913" w:type="dxa"/>
            <w:tcBorders>
              <w:top w:val="nil"/>
              <w:left w:val="nil"/>
              <w:bottom w:val="nil"/>
              <w:right w:val="nil"/>
            </w:tcBorders>
            <w:vAlign w:val="center"/>
            <w:hideMark/>
          </w:tcPr>
          <w:p w14:paraId="2D2E73EB" w14:textId="77777777" w:rsidR="00E576C4" w:rsidRPr="0011467B" w:rsidRDefault="00E576C4" w:rsidP="00746D01">
            <w:pPr>
              <w:spacing w:after="0"/>
              <w:jc w:val="both"/>
              <w:rPr>
                <w:rFonts w:ascii="Verdana" w:hAnsi="Verdana" w:cs="Arial"/>
                <w:sz w:val="16"/>
                <w:szCs w:val="16"/>
              </w:rPr>
            </w:pPr>
            <w:r w:rsidRPr="0011467B">
              <w:rPr>
                <w:rFonts w:ascii="Verdana" w:hAnsi="Verdana" w:cs="Arial"/>
                <w:sz w:val="16"/>
                <w:szCs w:val="16"/>
              </w:rPr>
              <w:t>Elaboró: </w:t>
            </w:r>
          </w:p>
        </w:tc>
        <w:tc>
          <w:tcPr>
            <w:tcW w:w="5525" w:type="dxa"/>
            <w:tcBorders>
              <w:top w:val="nil"/>
              <w:left w:val="nil"/>
              <w:bottom w:val="dotted" w:sz="6" w:space="0" w:color="7F7F7F" w:themeColor="text1" w:themeTint="80"/>
              <w:right w:val="nil"/>
            </w:tcBorders>
            <w:vAlign w:val="center"/>
            <w:hideMark/>
          </w:tcPr>
          <w:p w14:paraId="6A21C1E1" w14:textId="77777777" w:rsidR="00E576C4" w:rsidRPr="0011467B" w:rsidRDefault="00E576C4" w:rsidP="00746D01">
            <w:pPr>
              <w:spacing w:after="0"/>
              <w:jc w:val="both"/>
              <w:rPr>
                <w:rFonts w:ascii="Verdana" w:hAnsi="Verdana" w:cs="Arial"/>
                <w:sz w:val="16"/>
                <w:szCs w:val="16"/>
              </w:rPr>
            </w:pPr>
            <w:r>
              <w:rPr>
                <w:rFonts w:ascii="Verdana" w:hAnsi="Verdana" w:cs="Arial"/>
                <w:sz w:val="16"/>
                <w:szCs w:val="16"/>
              </w:rPr>
              <w:t>Keila Margarita Reyes Cassiani</w:t>
            </w:r>
          </w:p>
          <w:p w14:paraId="2C17C7D4" w14:textId="77777777" w:rsidR="00E576C4" w:rsidRPr="0011467B" w:rsidRDefault="00E576C4" w:rsidP="00746D01">
            <w:pPr>
              <w:spacing w:after="0"/>
              <w:jc w:val="both"/>
              <w:rPr>
                <w:rFonts w:ascii="Verdana" w:hAnsi="Verdana" w:cs="Arial"/>
                <w:sz w:val="16"/>
                <w:szCs w:val="16"/>
              </w:rPr>
            </w:pPr>
            <w:r w:rsidRPr="0011467B">
              <w:rPr>
                <w:rFonts w:ascii="Verdana" w:hAnsi="Verdana" w:cs="Arial"/>
                <w:sz w:val="16"/>
                <w:szCs w:val="16"/>
              </w:rPr>
              <w:t>Contratista de la Subdirección de Gestión Contractual</w:t>
            </w:r>
          </w:p>
        </w:tc>
      </w:tr>
      <w:tr w:rsidR="00E576C4" w:rsidRPr="0011467B" w14:paraId="1EB3577E" w14:textId="77777777" w:rsidTr="00746D01">
        <w:trPr>
          <w:trHeight w:val="409"/>
        </w:trPr>
        <w:tc>
          <w:tcPr>
            <w:tcW w:w="913" w:type="dxa"/>
            <w:tcBorders>
              <w:top w:val="nil"/>
              <w:left w:val="nil"/>
              <w:right w:val="nil"/>
            </w:tcBorders>
            <w:vAlign w:val="center"/>
          </w:tcPr>
          <w:p w14:paraId="3F6D483B" w14:textId="77777777" w:rsidR="00E576C4" w:rsidRPr="0011467B" w:rsidRDefault="00E576C4" w:rsidP="00746D01">
            <w:pPr>
              <w:spacing w:after="0"/>
              <w:jc w:val="both"/>
              <w:rPr>
                <w:rFonts w:ascii="Verdana" w:hAnsi="Verdana" w:cs="Arial"/>
                <w:sz w:val="16"/>
                <w:szCs w:val="16"/>
              </w:rPr>
            </w:pPr>
            <w:r w:rsidRPr="0011467B">
              <w:rPr>
                <w:rFonts w:ascii="Verdana" w:hAnsi="Verdana" w:cs="Arial"/>
                <w:sz w:val="16"/>
                <w:szCs w:val="16"/>
              </w:rPr>
              <w:t>Revisó</w:t>
            </w:r>
          </w:p>
        </w:tc>
        <w:tc>
          <w:tcPr>
            <w:tcW w:w="5525" w:type="dxa"/>
            <w:tcBorders>
              <w:top w:val="dotted" w:sz="6" w:space="0" w:color="7F7F7F" w:themeColor="text1" w:themeTint="80"/>
              <w:left w:val="nil"/>
              <w:bottom w:val="dotted" w:sz="6" w:space="0" w:color="7F7F7F" w:themeColor="text1" w:themeTint="80"/>
              <w:right w:val="nil"/>
            </w:tcBorders>
            <w:vAlign w:val="center"/>
          </w:tcPr>
          <w:p w14:paraId="5E78D8D2" w14:textId="77777777" w:rsidR="00E576C4" w:rsidRPr="00AB11C1" w:rsidRDefault="00E576C4" w:rsidP="00746D01">
            <w:pPr>
              <w:spacing w:after="0"/>
              <w:jc w:val="both"/>
              <w:rPr>
                <w:rStyle w:val="normaltextrun"/>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X</w:t>
            </w:r>
            <w:r w:rsidRPr="00886A34">
              <w:rPr>
                <w:rStyle w:val="normaltextrun"/>
                <w:rFonts w:ascii="Verdana" w:eastAsia="Arial" w:hAnsi="Verdana" w:cs="Arial"/>
                <w:color w:val="000000" w:themeColor="text1"/>
                <w:sz w:val="16"/>
                <w:szCs w:val="16"/>
              </w:rPr>
              <w:t>imen</w:t>
            </w:r>
            <w:r w:rsidRPr="00AB11C1">
              <w:rPr>
                <w:rStyle w:val="normaltextrun"/>
                <w:rFonts w:ascii="Verdana" w:eastAsia="Arial" w:hAnsi="Verdana" w:cs="Arial"/>
                <w:color w:val="000000" w:themeColor="text1"/>
                <w:sz w:val="16"/>
                <w:szCs w:val="16"/>
              </w:rPr>
              <w:t>a Ríos López</w:t>
            </w:r>
          </w:p>
          <w:p w14:paraId="5D22E4E0" w14:textId="77777777" w:rsidR="00E576C4" w:rsidRPr="0011467B" w:rsidRDefault="00E576C4" w:rsidP="00746D01">
            <w:pPr>
              <w:spacing w:after="0"/>
              <w:jc w:val="both"/>
              <w:rPr>
                <w:rFonts w:ascii="Verdana" w:hAnsi="Verdana" w:cs="Arial"/>
                <w:sz w:val="16"/>
                <w:szCs w:val="16"/>
              </w:rPr>
            </w:pPr>
            <w:r w:rsidRPr="00AB11C1">
              <w:rPr>
                <w:rStyle w:val="normaltextrun"/>
                <w:rFonts w:ascii="Verdana" w:eastAsia="Arial" w:hAnsi="Verdana" w:cs="Arial"/>
                <w:color w:val="000000" w:themeColor="text1"/>
                <w:sz w:val="16"/>
                <w:szCs w:val="16"/>
              </w:rPr>
              <w:t>Gestor código T1 grado 11 de la Subdirección de Gestión Contractual</w:t>
            </w:r>
          </w:p>
        </w:tc>
      </w:tr>
      <w:tr w:rsidR="00E576C4" w:rsidRPr="0011467B" w14:paraId="5D0A9F27" w14:textId="77777777" w:rsidTr="00746D01">
        <w:trPr>
          <w:trHeight w:val="389"/>
        </w:trPr>
        <w:tc>
          <w:tcPr>
            <w:tcW w:w="913" w:type="dxa"/>
            <w:tcBorders>
              <w:top w:val="nil"/>
              <w:left w:val="nil"/>
              <w:bottom w:val="nil"/>
              <w:right w:val="nil"/>
            </w:tcBorders>
            <w:vAlign w:val="center"/>
            <w:hideMark/>
          </w:tcPr>
          <w:p w14:paraId="613048C0" w14:textId="77777777" w:rsidR="00E576C4" w:rsidRPr="0011467B" w:rsidRDefault="00E576C4" w:rsidP="00746D01">
            <w:pPr>
              <w:spacing w:after="0"/>
              <w:jc w:val="both"/>
              <w:rPr>
                <w:rFonts w:ascii="Verdana" w:hAnsi="Verdana" w:cs="Arial"/>
                <w:sz w:val="16"/>
                <w:szCs w:val="16"/>
              </w:rPr>
            </w:pPr>
            <w:r w:rsidRPr="0011467B">
              <w:rPr>
                <w:rFonts w:ascii="Verdana" w:hAnsi="Verdana" w:cs="Arial"/>
                <w:sz w:val="16"/>
                <w:szCs w:val="16"/>
              </w:rPr>
              <w:t>Aprobó: </w:t>
            </w:r>
          </w:p>
        </w:tc>
        <w:tc>
          <w:tcPr>
            <w:tcW w:w="5525" w:type="dxa"/>
            <w:tcBorders>
              <w:top w:val="dotted" w:sz="6" w:space="0" w:color="7F7F7F" w:themeColor="text1" w:themeTint="80"/>
              <w:left w:val="nil"/>
              <w:bottom w:val="dotted" w:sz="6" w:space="0" w:color="7F7F7F" w:themeColor="text1" w:themeTint="80"/>
              <w:right w:val="nil"/>
            </w:tcBorders>
            <w:vAlign w:val="center"/>
            <w:hideMark/>
          </w:tcPr>
          <w:p w14:paraId="1463CEA3" w14:textId="77777777" w:rsidR="00E576C4" w:rsidRPr="0011467B" w:rsidRDefault="00E576C4" w:rsidP="00746D01">
            <w:pPr>
              <w:spacing w:after="0"/>
              <w:rPr>
                <w:rFonts w:ascii="Verdana" w:eastAsia="Calibri" w:hAnsi="Verdana" w:cs="Arial"/>
                <w:sz w:val="16"/>
                <w:szCs w:val="16"/>
                <w:lang w:val="pt-BR" w:eastAsia="es-ES"/>
              </w:rPr>
            </w:pPr>
            <w:r w:rsidRPr="0011467B">
              <w:rPr>
                <w:rFonts w:ascii="Verdana" w:eastAsia="Calibri" w:hAnsi="Verdana" w:cs="Arial"/>
                <w:sz w:val="16"/>
                <w:szCs w:val="16"/>
                <w:lang w:val="pt-BR" w:eastAsia="es-ES"/>
              </w:rPr>
              <w:t xml:space="preserve">Carolina Quintero </w:t>
            </w:r>
            <w:proofErr w:type="spellStart"/>
            <w:r w:rsidRPr="0011467B">
              <w:rPr>
                <w:rFonts w:ascii="Verdana" w:eastAsia="Calibri" w:hAnsi="Verdana" w:cs="Arial"/>
                <w:sz w:val="16"/>
                <w:szCs w:val="16"/>
                <w:lang w:val="pt-BR" w:eastAsia="es-ES"/>
              </w:rPr>
              <w:t>Gacharná</w:t>
            </w:r>
            <w:proofErr w:type="spellEnd"/>
          </w:p>
          <w:p w14:paraId="53FAF15F" w14:textId="77777777" w:rsidR="00E576C4" w:rsidRPr="0011467B" w:rsidRDefault="00E576C4" w:rsidP="00746D01">
            <w:pPr>
              <w:spacing w:after="0"/>
              <w:jc w:val="both"/>
              <w:rPr>
                <w:rFonts w:ascii="Verdana" w:hAnsi="Verdana" w:cs="Arial"/>
                <w:sz w:val="16"/>
                <w:szCs w:val="16"/>
              </w:rPr>
            </w:pPr>
            <w:r w:rsidRPr="0011467B">
              <w:rPr>
                <w:rFonts w:ascii="Verdana" w:hAnsi="Verdana" w:cs="Arial"/>
                <w:sz w:val="16"/>
                <w:szCs w:val="16"/>
              </w:rPr>
              <w:t>Subdirectora de Gestión Contractual ANCP – CCE</w:t>
            </w:r>
          </w:p>
        </w:tc>
      </w:tr>
      <w:bookmarkEnd w:id="0"/>
      <w:bookmarkEnd w:id="2"/>
    </w:tbl>
    <w:p w14:paraId="0465BA6D" w14:textId="77777777" w:rsidR="00E245AB" w:rsidRPr="0044528D" w:rsidRDefault="00E245AB" w:rsidP="00E245AB">
      <w:pPr>
        <w:spacing w:after="0"/>
        <w:rPr>
          <w:rFonts w:ascii="Verdana" w:hAnsi="Verdana"/>
        </w:rPr>
      </w:pPr>
    </w:p>
    <w:sectPr w:rsidR="00E245AB" w:rsidRPr="0044528D" w:rsidSect="00803A06">
      <w:headerReference w:type="default" r:id="rId20"/>
      <w:footerReference w:type="default" r:id="rId21"/>
      <w:pgSz w:w="12240" w:h="15840" w:code="1"/>
      <w:pgMar w:top="1417" w:right="1701" w:bottom="1417" w:left="1701"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241A4" w14:textId="77777777" w:rsidR="00163F17" w:rsidRDefault="00163F17" w:rsidP="004A1847">
      <w:pPr>
        <w:spacing w:after="0" w:line="240" w:lineRule="auto"/>
      </w:pPr>
      <w:r>
        <w:separator/>
      </w:r>
    </w:p>
  </w:endnote>
  <w:endnote w:type="continuationSeparator" w:id="0">
    <w:p w14:paraId="7ED89879" w14:textId="77777777" w:rsidR="00163F17" w:rsidRDefault="00163F17" w:rsidP="004A1847">
      <w:pPr>
        <w:spacing w:after="0" w:line="240" w:lineRule="auto"/>
      </w:pPr>
      <w:r>
        <w:continuationSeparator/>
      </w:r>
    </w:p>
  </w:endnote>
  <w:endnote w:type="continuationNotice" w:id="1">
    <w:p w14:paraId="7DCF5BF7" w14:textId="77777777" w:rsidR="00163F17" w:rsidRDefault="00163F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2F1D3" w14:textId="77777777" w:rsidR="00163F17" w:rsidRDefault="00163F17" w:rsidP="004A1847">
      <w:pPr>
        <w:spacing w:after="0" w:line="240" w:lineRule="auto"/>
      </w:pPr>
      <w:r>
        <w:separator/>
      </w:r>
    </w:p>
  </w:footnote>
  <w:footnote w:type="continuationSeparator" w:id="0">
    <w:p w14:paraId="51A98040" w14:textId="77777777" w:rsidR="00163F17" w:rsidRDefault="00163F17" w:rsidP="004A1847">
      <w:pPr>
        <w:spacing w:after="0" w:line="240" w:lineRule="auto"/>
      </w:pPr>
      <w:r>
        <w:continuationSeparator/>
      </w:r>
    </w:p>
  </w:footnote>
  <w:footnote w:type="continuationNotice" w:id="1">
    <w:p w14:paraId="090E6B78" w14:textId="77777777" w:rsidR="00163F17" w:rsidRDefault="00163F17">
      <w:pPr>
        <w:spacing w:after="0" w:line="240" w:lineRule="auto"/>
      </w:pPr>
    </w:p>
  </w:footnote>
  <w:footnote w:id="2">
    <w:p w14:paraId="493F0E74" w14:textId="77777777" w:rsidR="00E576C4" w:rsidRPr="005C0627" w:rsidRDefault="00E576C4" w:rsidP="00054F1D">
      <w:pPr>
        <w:pStyle w:val="Textonotapie"/>
        <w:ind w:firstLine="708"/>
        <w:jc w:val="both"/>
        <w:rPr>
          <w:rFonts w:ascii="Verdana" w:hAnsi="Verdana" w:cs="Arial"/>
          <w:sz w:val="14"/>
          <w:szCs w:val="14"/>
          <w:lang w:val="es-CO"/>
        </w:rPr>
      </w:pPr>
      <w:r w:rsidRPr="005C0627">
        <w:rPr>
          <w:rStyle w:val="Refdenotaalpie"/>
          <w:rFonts w:ascii="Verdana" w:hAnsi="Verdana" w:cs="Arial"/>
          <w:sz w:val="14"/>
          <w:szCs w:val="14"/>
        </w:rPr>
        <w:footnoteRef/>
      </w:r>
      <w:r w:rsidRPr="005C0627">
        <w:rPr>
          <w:rFonts w:ascii="Verdana" w:hAnsi="Verdana" w:cs="Arial"/>
          <w:sz w:val="14"/>
          <w:szCs w:val="14"/>
        </w:rPr>
        <w:t xml:space="preserve"> </w:t>
      </w:r>
      <w:r w:rsidRPr="005C0627">
        <w:rPr>
          <w:rFonts w:ascii="Verdana" w:hAnsi="Verdana" w:cs="Arial"/>
          <w:sz w:val="14"/>
          <w:szCs w:val="14"/>
          <w:lang w:val="es-CO"/>
        </w:rPr>
        <w:t>El artículo 40 de la Ley 80 de 1993 dispone que los contratos no podrán adicionarse en más del 50% de su valor inicial, expresado en SMLMV.</w:t>
      </w:r>
    </w:p>
    <w:p w14:paraId="131A63AA" w14:textId="77777777" w:rsidR="00E576C4" w:rsidRPr="005C0627" w:rsidRDefault="00E576C4" w:rsidP="00E576C4">
      <w:pPr>
        <w:pStyle w:val="Textonotapie"/>
        <w:jc w:val="both"/>
        <w:rPr>
          <w:rFonts w:ascii="Verdana" w:hAnsi="Verdana" w:cs="Arial"/>
          <w:sz w:val="14"/>
          <w:szCs w:val="14"/>
          <w:lang w:val="es-CO"/>
        </w:rPr>
      </w:pPr>
    </w:p>
  </w:footnote>
  <w:footnote w:id="3">
    <w:p w14:paraId="766E3D55" w14:textId="77777777" w:rsidR="00E576C4" w:rsidRPr="005C0627" w:rsidRDefault="00E576C4" w:rsidP="00C64003">
      <w:pPr>
        <w:pStyle w:val="Textonotapie"/>
        <w:ind w:firstLine="708"/>
        <w:jc w:val="both"/>
        <w:rPr>
          <w:rFonts w:ascii="Verdana" w:hAnsi="Verdana" w:cs="Arial"/>
          <w:color w:val="2D2D2D"/>
          <w:sz w:val="14"/>
          <w:szCs w:val="14"/>
          <w:shd w:val="clear" w:color="auto" w:fill="FFFFFF"/>
        </w:rPr>
      </w:pPr>
      <w:r w:rsidRPr="005C0627">
        <w:rPr>
          <w:rStyle w:val="Refdenotaalpie"/>
          <w:rFonts w:ascii="Verdana" w:hAnsi="Verdana" w:cs="Arial"/>
          <w:sz w:val="14"/>
          <w:szCs w:val="14"/>
        </w:rPr>
        <w:footnoteRef/>
      </w:r>
      <w:r w:rsidRPr="005C0627">
        <w:rPr>
          <w:rFonts w:ascii="Verdana" w:hAnsi="Verdana" w:cs="Arial"/>
          <w:sz w:val="14"/>
          <w:szCs w:val="14"/>
        </w:rPr>
        <w:t xml:space="preserve">  M.P. </w:t>
      </w:r>
      <w:r w:rsidRPr="005C0627">
        <w:rPr>
          <w:rFonts w:ascii="Verdana" w:hAnsi="Verdana" w:cs="Arial"/>
          <w:color w:val="2D2D2D"/>
          <w:sz w:val="14"/>
          <w:szCs w:val="14"/>
          <w:shd w:val="clear" w:color="auto" w:fill="FFFFFF"/>
        </w:rPr>
        <w:t>Adriana María Guillén Arango.</w:t>
      </w:r>
    </w:p>
    <w:p w14:paraId="7E33D824" w14:textId="77777777" w:rsidR="00E576C4" w:rsidRPr="005C0627" w:rsidRDefault="00E576C4" w:rsidP="00E576C4">
      <w:pPr>
        <w:pStyle w:val="Textonotapie"/>
        <w:ind w:firstLine="708"/>
        <w:jc w:val="both"/>
        <w:rPr>
          <w:rFonts w:ascii="Verdana" w:hAnsi="Verdana" w:cs="Arial"/>
          <w:sz w:val="14"/>
          <w:szCs w:val="14"/>
        </w:rPr>
      </w:pPr>
    </w:p>
  </w:footnote>
  <w:footnote w:id="4">
    <w:p w14:paraId="25F7DD6F" w14:textId="77777777" w:rsidR="00E576C4" w:rsidRPr="005C0627" w:rsidRDefault="00E576C4" w:rsidP="00C64003">
      <w:pPr>
        <w:pStyle w:val="Textonotapie"/>
        <w:ind w:firstLine="708"/>
        <w:jc w:val="both"/>
        <w:rPr>
          <w:rFonts w:ascii="Verdana" w:hAnsi="Verdana" w:cs="Arial"/>
          <w:sz w:val="14"/>
          <w:szCs w:val="14"/>
        </w:rPr>
      </w:pPr>
      <w:r w:rsidRPr="005C0627">
        <w:rPr>
          <w:rStyle w:val="Refdenotaalpie"/>
          <w:rFonts w:ascii="Verdana" w:hAnsi="Verdana" w:cs="Arial"/>
          <w:sz w:val="14"/>
          <w:szCs w:val="14"/>
        </w:rPr>
        <w:footnoteRef/>
      </w:r>
      <w:r w:rsidRPr="005C0627">
        <w:rPr>
          <w:rFonts w:ascii="Verdana" w:hAnsi="Verdana" w:cs="Arial"/>
          <w:sz w:val="14"/>
          <w:szCs w:val="14"/>
        </w:rPr>
        <w:t xml:space="preserve"> Sobre la naturaleza instrumental del contrato para alcanzar los fines propios del estado social de derecho, ver la sentencia C-932 de </w:t>
      </w:r>
      <w:smartTag w:uri="urn:schemas-microsoft-com:office:smarttags" w:element="metricconverter">
        <w:smartTagPr>
          <w:attr w:name="ProductID" w:val="2007, M"/>
        </w:smartTagPr>
        <w:r w:rsidRPr="005C0627">
          <w:rPr>
            <w:rFonts w:ascii="Verdana" w:hAnsi="Verdana" w:cs="Arial"/>
            <w:sz w:val="14"/>
            <w:szCs w:val="14"/>
          </w:rPr>
          <w:t>2007, M</w:t>
        </w:r>
      </w:smartTag>
      <w:r w:rsidRPr="005C0627">
        <w:rPr>
          <w:rFonts w:ascii="Verdana" w:hAnsi="Verdana" w:cs="Arial"/>
          <w:sz w:val="14"/>
          <w:szCs w:val="14"/>
        </w:rPr>
        <w:t>.P. Marco Gerardo Monroy Cabra.</w:t>
      </w:r>
    </w:p>
    <w:p w14:paraId="30F6A4A5" w14:textId="77777777" w:rsidR="00E576C4" w:rsidRPr="005C0627" w:rsidRDefault="00E576C4" w:rsidP="00E576C4">
      <w:pPr>
        <w:pStyle w:val="Textonotapie"/>
        <w:jc w:val="both"/>
        <w:rPr>
          <w:rFonts w:ascii="Verdana" w:hAnsi="Verdana" w:cs="Arial"/>
          <w:sz w:val="14"/>
          <w:szCs w:val="14"/>
        </w:rPr>
      </w:pPr>
    </w:p>
  </w:footnote>
  <w:footnote w:id="5">
    <w:p w14:paraId="01172610" w14:textId="77777777" w:rsidR="00E576C4" w:rsidRPr="005C0627" w:rsidRDefault="00E576C4" w:rsidP="00C64003">
      <w:pPr>
        <w:pStyle w:val="Textonotapie"/>
        <w:ind w:firstLine="708"/>
        <w:jc w:val="both"/>
        <w:rPr>
          <w:rFonts w:ascii="Verdana" w:hAnsi="Verdana" w:cs="Arial"/>
          <w:sz w:val="14"/>
          <w:szCs w:val="14"/>
        </w:rPr>
      </w:pPr>
      <w:r w:rsidRPr="005C0627">
        <w:rPr>
          <w:rStyle w:val="Refdenotaalpie"/>
          <w:rFonts w:ascii="Verdana" w:hAnsi="Verdana" w:cs="Arial"/>
          <w:sz w:val="14"/>
          <w:szCs w:val="14"/>
        </w:rPr>
        <w:footnoteRef/>
      </w:r>
      <w:r w:rsidRPr="005C0627">
        <w:rPr>
          <w:rFonts w:ascii="Verdana" w:hAnsi="Verdana" w:cs="Arial"/>
          <w:sz w:val="14"/>
          <w:szCs w:val="14"/>
        </w:rPr>
        <w:t xml:space="preserve"> M.P. Clara Inés Vargas Hernández.</w:t>
      </w:r>
    </w:p>
    <w:p w14:paraId="701BD84D" w14:textId="77777777" w:rsidR="00E576C4" w:rsidRPr="005C0627" w:rsidRDefault="00E576C4" w:rsidP="00E576C4">
      <w:pPr>
        <w:pStyle w:val="Textonotapie"/>
        <w:jc w:val="both"/>
        <w:rPr>
          <w:rFonts w:ascii="Verdana" w:hAnsi="Verdana" w:cs="Arial"/>
          <w:sz w:val="14"/>
          <w:szCs w:val="14"/>
        </w:rPr>
      </w:pPr>
    </w:p>
  </w:footnote>
  <w:footnote w:id="6">
    <w:p w14:paraId="7745ED6B" w14:textId="77777777" w:rsidR="00E576C4" w:rsidRPr="005C0627" w:rsidRDefault="00E576C4" w:rsidP="00C64003">
      <w:pPr>
        <w:pStyle w:val="Textonotapie"/>
        <w:ind w:firstLine="708"/>
        <w:jc w:val="both"/>
        <w:rPr>
          <w:rFonts w:ascii="Verdana" w:hAnsi="Verdana" w:cs="Arial"/>
          <w:sz w:val="14"/>
          <w:szCs w:val="14"/>
        </w:rPr>
      </w:pPr>
      <w:r w:rsidRPr="005C0627">
        <w:rPr>
          <w:rStyle w:val="Refdenotaalpie"/>
          <w:rFonts w:ascii="Verdana" w:hAnsi="Verdana" w:cs="Arial"/>
          <w:sz w:val="14"/>
          <w:szCs w:val="14"/>
        </w:rPr>
        <w:footnoteRef/>
      </w:r>
      <w:r w:rsidRPr="005C0627">
        <w:rPr>
          <w:rFonts w:ascii="Verdana" w:hAnsi="Verdana" w:cs="Arial"/>
          <w:sz w:val="14"/>
          <w:szCs w:val="14"/>
        </w:rPr>
        <w:t xml:space="preserve"> Ver también la sentencia C-068 de </w:t>
      </w:r>
      <w:smartTag w:uri="urn:schemas-microsoft-com:office:smarttags" w:element="metricconverter">
        <w:smartTagPr>
          <w:attr w:name="ProductID" w:val="2009, M"/>
        </w:smartTagPr>
        <w:r w:rsidRPr="005C0627">
          <w:rPr>
            <w:rFonts w:ascii="Verdana" w:hAnsi="Verdana" w:cs="Arial"/>
            <w:sz w:val="14"/>
            <w:szCs w:val="14"/>
          </w:rPr>
          <w:t>2009, M</w:t>
        </w:r>
      </w:smartTag>
      <w:r w:rsidRPr="005C0627">
        <w:rPr>
          <w:rFonts w:ascii="Verdana" w:hAnsi="Verdana" w:cs="Arial"/>
          <w:sz w:val="14"/>
          <w:szCs w:val="14"/>
        </w:rPr>
        <w:t>.P. Mauricio González Cuervo</w:t>
      </w:r>
      <w:r w:rsidRPr="005C0627">
        <w:rPr>
          <w:rFonts w:ascii="Verdana" w:hAnsi="Verdana" w:cs="Arial"/>
          <w:b/>
          <w:sz w:val="14"/>
          <w:szCs w:val="14"/>
        </w:rPr>
        <w:t xml:space="preserve">, </w:t>
      </w:r>
      <w:r w:rsidRPr="005C0627">
        <w:rPr>
          <w:rFonts w:ascii="Verdana" w:hAnsi="Verdana" w:cs="Arial"/>
          <w:sz w:val="14"/>
          <w:szCs w:val="14"/>
        </w:rPr>
        <w:t>sobre la constitucional</w:t>
      </w:r>
      <w:r w:rsidRPr="005C0627">
        <w:rPr>
          <w:rFonts w:ascii="Verdana" w:hAnsi="Verdana" w:cs="Arial"/>
          <w:b/>
          <w:sz w:val="14"/>
          <w:szCs w:val="14"/>
        </w:rPr>
        <w:t xml:space="preserve"> </w:t>
      </w:r>
      <w:r w:rsidRPr="005C0627">
        <w:rPr>
          <w:rFonts w:ascii="Verdana" w:hAnsi="Verdana" w:cs="Arial"/>
          <w:sz w:val="14"/>
          <w:szCs w:val="14"/>
        </w:rPr>
        <w:t>de la posibilidad de prorrogar los contratos de concesión portuaria [artículo 8º de la ley 1º de 1991].</w:t>
      </w:r>
    </w:p>
  </w:footnote>
  <w:footnote w:id="7">
    <w:p w14:paraId="50B21962" w14:textId="77777777" w:rsidR="00E576C4" w:rsidRPr="005C0627" w:rsidRDefault="00E576C4" w:rsidP="00C64003">
      <w:pPr>
        <w:pStyle w:val="Textonotapie"/>
        <w:ind w:firstLine="708"/>
        <w:jc w:val="both"/>
        <w:rPr>
          <w:rFonts w:ascii="Verdana" w:hAnsi="Verdana" w:cs="Arial"/>
          <w:sz w:val="14"/>
          <w:szCs w:val="14"/>
        </w:rPr>
      </w:pPr>
      <w:r w:rsidRPr="005C0627">
        <w:rPr>
          <w:rStyle w:val="Refdenotaalpie"/>
          <w:rFonts w:ascii="Verdana" w:hAnsi="Verdana" w:cs="Arial"/>
          <w:sz w:val="14"/>
          <w:szCs w:val="14"/>
        </w:rPr>
        <w:footnoteRef/>
      </w:r>
      <w:r w:rsidRPr="005C0627">
        <w:rPr>
          <w:rFonts w:ascii="Verdana" w:hAnsi="Verdana" w:cs="Arial"/>
          <w:sz w:val="14"/>
          <w:szCs w:val="14"/>
        </w:rPr>
        <w:t xml:space="preserve"> </w:t>
      </w:r>
      <w:r w:rsidRPr="005C0627">
        <w:rPr>
          <w:rFonts w:ascii="Verdana" w:hAnsi="Verdana" w:cs="Arial"/>
          <w:i/>
          <w:sz w:val="14"/>
          <w:szCs w:val="14"/>
        </w:rPr>
        <w:t xml:space="preserve">Cfr. </w:t>
      </w:r>
      <w:r w:rsidRPr="005C0627">
        <w:rPr>
          <w:rFonts w:ascii="Verdana" w:hAnsi="Verdana" w:cs="Arial"/>
          <w:sz w:val="14"/>
          <w:szCs w:val="14"/>
        </w:rPr>
        <w:t xml:space="preserve">Consejo de Estado, Sala de Consulta y Servicio Civil, concepto del 13 de agosto de 2009, rad. </w:t>
      </w:r>
      <w:smartTag w:uri="urn:schemas-microsoft-com:office:smarttags" w:element="metricconverter">
        <w:smartTagPr>
          <w:attr w:name="ProductID" w:val="1.952, C"/>
        </w:smartTagPr>
        <w:r w:rsidRPr="005C0627">
          <w:rPr>
            <w:rFonts w:ascii="Verdana" w:hAnsi="Verdana" w:cs="Arial"/>
            <w:bCs/>
            <w:sz w:val="14"/>
            <w:szCs w:val="14"/>
          </w:rPr>
          <w:t>1.952, C</w:t>
        </w:r>
      </w:smartTag>
      <w:r w:rsidRPr="005C0627">
        <w:rPr>
          <w:rFonts w:ascii="Verdana" w:hAnsi="Verdana" w:cs="Arial"/>
          <w:bCs/>
          <w:sz w:val="14"/>
          <w:szCs w:val="14"/>
        </w:rPr>
        <w:t>.P. Enrique José Arboleda Perdomo. En este concepto la Sala de Consulta se ocupó, entre otras preguntas, de la siguiente formulada por el Ministerio de Transporte: “</w:t>
      </w:r>
      <w:r w:rsidRPr="005C0627">
        <w:rPr>
          <w:rFonts w:ascii="Verdana" w:hAnsi="Verdana" w:cs="Arial"/>
          <w:bCs/>
          <w:iCs/>
          <w:sz w:val="14"/>
          <w:szCs w:val="14"/>
          <w:lang w:val="es-ES_tradnl"/>
        </w:rPr>
        <w:t>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8">
    <w:p w14:paraId="5B8493A6" w14:textId="77777777" w:rsidR="00E576C4" w:rsidRPr="005C0627" w:rsidRDefault="00E576C4" w:rsidP="00C64003">
      <w:pPr>
        <w:pStyle w:val="Textonotapie"/>
        <w:ind w:firstLine="708"/>
        <w:jc w:val="both"/>
        <w:rPr>
          <w:rFonts w:ascii="Verdana" w:hAnsi="Verdana" w:cs="Arial"/>
          <w:bCs/>
          <w:iCs/>
          <w:sz w:val="14"/>
          <w:szCs w:val="14"/>
          <w:lang w:val="es-ES_tradnl"/>
        </w:rPr>
      </w:pPr>
      <w:r w:rsidRPr="005C0627">
        <w:rPr>
          <w:rStyle w:val="Refdenotaalpie"/>
          <w:rFonts w:ascii="Verdana" w:hAnsi="Verdana" w:cs="Arial"/>
          <w:sz w:val="14"/>
          <w:szCs w:val="14"/>
        </w:rPr>
        <w:footnoteRef/>
      </w:r>
      <w:r w:rsidRPr="005C0627">
        <w:rPr>
          <w:rFonts w:ascii="Verdana" w:hAnsi="Verdana" w:cs="Arial"/>
          <w:sz w:val="14"/>
          <w:szCs w:val="14"/>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5C0627">
        <w:rPr>
          <w:rFonts w:ascii="Verdana" w:hAnsi="Verdana" w:cs="Arial"/>
          <w:bCs/>
          <w:iCs/>
          <w:sz w:val="14"/>
          <w:szCs w:val="14"/>
          <w:lang w:val="es-ES_tradnl"/>
        </w:rPr>
        <w:t>”.</w:t>
      </w:r>
    </w:p>
    <w:p w14:paraId="08213959" w14:textId="77777777" w:rsidR="00E576C4" w:rsidRPr="005C0627" w:rsidRDefault="00E576C4" w:rsidP="00E576C4">
      <w:pPr>
        <w:pStyle w:val="Textonotapie"/>
        <w:jc w:val="both"/>
        <w:rPr>
          <w:rFonts w:ascii="Verdana" w:hAnsi="Verdana" w:cs="Arial"/>
          <w:sz w:val="14"/>
          <w:szCs w:val="14"/>
          <w:lang w:val="es-CO"/>
        </w:rPr>
      </w:pPr>
    </w:p>
  </w:footnote>
  <w:footnote w:id="9">
    <w:p w14:paraId="7DA1D056" w14:textId="77777777" w:rsidR="00E576C4" w:rsidRPr="005C0627" w:rsidRDefault="00E576C4" w:rsidP="00C64003">
      <w:pPr>
        <w:pStyle w:val="Textonotapie"/>
        <w:ind w:firstLine="708"/>
        <w:jc w:val="both"/>
        <w:rPr>
          <w:rFonts w:ascii="Verdana" w:hAnsi="Verdana" w:cs="Arial"/>
          <w:sz w:val="14"/>
          <w:szCs w:val="14"/>
          <w:lang w:val="es-CO"/>
        </w:rPr>
      </w:pPr>
      <w:r w:rsidRPr="005C0627">
        <w:rPr>
          <w:rStyle w:val="Refdenotaalpie"/>
          <w:rFonts w:ascii="Verdana" w:hAnsi="Verdana" w:cs="Arial"/>
          <w:sz w:val="14"/>
          <w:szCs w:val="14"/>
        </w:rPr>
        <w:footnoteRef/>
      </w:r>
      <w:r w:rsidRPr="005C0627">
        <w:rPr>
          <w:rFonts w:ascii="Verdana" w:hAnsi="Verdana" w:cs="Arial"/>
          <w:sz w:val="14"/>
          <w:szCs w:val="14"/>
        </w:rPr>
        <w:t xml:space="preserve"> </w:t>
      </w:r>
      <w:proofErr w:type="spellStart"/>
      <w:r w:rsidRPr="005C0627">
        <w:rPr>
          <w:rFonts w:ascii="Verdana" w:hAnsi="Verdana" w:cs="Arial"/>
          <w:sz w:val="14"/>
          <w:szCs w:val="14"/>
        </w:rPr>
        <w:t>Ibídem</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716355"/>
    <w:multiLevelType w:val="multilevel"/>
    <w:tmpl w:val="1EAA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41D29B5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07B2867"/>
    <w:multiLevelType w:val="multilevel"/>
    <w:tmpl w:val="4626B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1380713882">
    <w:abstractNumId w:val="0"/>
  </w:num>
  <w:num w:numId="17" w16cid:durableId="679089576">
    <w:abstractNumId w:val="10"/>
  </w:num>
  <w:num w:numId="18" w16cid:durableId="712460762">
    <w:abstractNumId w:val="2"/>
  </w:num>
  <w:num w:numId="19" w16cid:durableId="20154942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8FA"/>
    <w:rsid w:val="00016F78"/>
    <w:rsid w:val="000306B4"/>
    <w:rsid w:val="00046945"/>
    <w:rsid w:val="00054F1D"/>
    <w:rsid w:val="00061B2A"/>
    <w:rsid w:val="00082362"/>
    <w:rsid w:val="000A683E"/>
    <w:rsid w:val="000B19B9"/>
    <w:rsid w:val="000D0334"/>
    <w:rsid w:val="000F6486"/>
    <w:rsid w:val="00117B90"/>
    <w:rsid w:val="00123F2C"/>
    <w:rsid w:val="00125105"/>
    <w:rsid w:val="00127233"/>
    <w:rsid w:val="001511A0"/>
    <w:rsid w:val="00154D3E"/>
    <w:rsid w:val="00163F17"/>
    <w:rsid w:val="001808BB"/>
    <w:rsid w:val="001E4177"/>
    <w:rsid w:val="001F7DC6"/>
    <w:rsid w:val="002421BB"/>
    <w:rsid w:val="0025796E"/>
    <w:rsid w:val="002707A2"/>
    <w:rsid w:val="002951A0"/>
    <w:rsid w:val="002962BC"/>
    <w:rsid w:val="002A093D"/>
    <w:rsid w:val="002A0DD0"/>
    <w:rsid w:val="002A49AC"/>
    <w:rsid w:val="002A64FD"/>
    <w:rsid w:val="002C7A84"/>
    <w:rsid w:val="002D752F"/>
    <w:rsid w:val="002E4FD9"/>
    <w:rsid w:val="002E5E69"/>
    <w:rsid w:val="002F497A"/>
    <w:rsid w:val="00322A85"/>
    <w:rsid w:val="00324168"/>
    <w:rsid w:val="003448F4"/>
    <w:rsid w:val="00344CCB"/>
    <w:rsid w:val="00374F5E"/>
    <w:rsid w:val="00377E3E"/>
    <w:rsid w:val="00383E02"/>
    <w:rsid w:val="003A779E"/>
    <w:rsid w:val="003D0F4D"/>
    <w:rsid w:val="003D5B0D"/>
    <w:rsid w:val="003E0499"/>
    <w:rsid w:val="003F3941"/>
    <w:rsid w:val="00406575"/>
    <w:rsid w:val="00414C74"/>
    <w:rsid w:val="004239B3"/>
    <w:rsid w:val="0042722E"/>
    <w:rsid w:val="0044528D"/>
    <w:rsid w:val="004A1847"/>
    <w:rsid w:val="004A305D"/>
    <w:rsid w:val="004F21C4"/>
    <w:rsid w:val="004F5180"/>
    <w:rsid w:val="004F685F"/>
    <w:rsid w:val="005054F7"/>
    <w:rsid w:val="005566E8"/>
    <w:rsid w:val="00574867"/>
    <w:rsid w:val="00575B35"/>
    <w:rsid w:val="00591460"/>
    <w:rsid w:val="005B3816"/>
    <w:rsid w:val="005C3777"/>
    <w:rsid w:val="005C5CDC"/>
    <w:rsid w:val="005D4532"/>
    <w:rsid w:val="005D476C"/>
    <w:rsid w:val="006219F8"/>
    <w:rsid w:val="00665D70"/>
    <w:rsid w:val="0066754D"/>
    <w:rsid w:val="006900D9"/>
    <w:rsid w:val="006C1DE6"/>
    <w:rsid w:val="006F2F7E"/>
    <w:rsid w:val="00706C16"/>
    <w:rsid w:val="00745F06"/>
    <w:rsid w:val="00752A6C"/>
    <w:rsid w:val="007565EF"/>
    <w:rsid w:val="00756841"/>
    <w:rsid w:val="007649AB"/>
    <w:rsid w:val="00771D0C"/>
    <w:rsid w:val="007833AC"/>
    <w:rsid w:val="007B268C"/>
    <w:rsid w:val="007B7171"/>
    <w:rsid w:val="007C0C0F"/>
    <w:rsid w:val="007C3DC2"/>
    <w:rsid w:val="007C7527"/>
    <w:rsid w:val="007E5497"/>
    <w:rsid w:val="00803A06"/>
    <w:rsid w:val="00806F5F"/>
    <w:rsid w:val="00820278"/>
    <w:rsid w:val="00841736"/>
    <w:rsid w:val="00860AEE"/>
    <w:rsid w:val="00861997"/>
    <w:rsid w:val="00867F95"/>
    <w:rsid w:val="008843B6"/>
    <w:rsid w:val="00891928"/>
    <w:rsid w:val="008A160A"/>
    <w:rsid w:val="008A446D"/>
    <w:rsid w:val="008B17B4"/>
    <w:rsid w:val="008D1616"/>
    <w:rsid w:val="008D180B"/>
    <w:rsid w:val="008F0EA7"/>
    <w:rsid w:val="009055D0"/>
    <w:rsid w:val="00923EEF"/>
    <w:rsid w:val="009419F9"/>
    <w:rsid w:val="00943B6C"/>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51655"/>
    <w:rsid w:val="00AA2545"/>
    <w:rsid w:val="00AB0ADB"/>
    <w:rsid w:val="00AF3DC0"/>
    <w:rsid w:val="00B01B1A"/>
    <w:rsid w:val="00B22440"/>
    <w:rsid w:val="00B66319"/>
    <w:rsid w:val="00B72CD3"/>
    <w:rsid w:val="00B72FFF"/>
    <w:rsid w:val="00B83196"/>
    <w:rsid w:val="00B93ACA"/>
    <w:rsid w:val="00BC3D36"/>
    <w:rsid w:val="00BD60FF"/>
    <w:rsid w:val="00BD7F72"/>
    <w:rsid w:val="00BE747E"/>
    <w:rsid w:val="00C04FB3"/>
    <w:rsid w:val="00C32EDE"/>
    <w:rsid w:val="00C330EB"/>
    <w:rsid w:val="00C41061"/>
    <w:rsid w:val="00C64003"/>
    <w:rsid w:val="00C754BE"/>
    <w:rsid w:val="00C76B1C"/>
    <w:rsid w:val="00CB6357"/>
    <w:rsid w:val="00CC1B26"/>
    <w:rsid w:val="00CE4A21"/>
    <w:rsid w:val="00D25B97"/>
    <w:rsid w:val="00D317CF"/>
    <w:rsid w:val="00D3219D"/>
    <w:rsid w:val="00D423A2"/>
    <w:rsid w:val="00D520D8"/>
    <w:rsid w:val="00D63AC2"/>
    <w:rsid w:val="00D7383B"/>
    <w:rsid w:val="00D759C3"/>
    <w:rsid w:val="00DA231B"/>
    <w:rsid w:val="00DA74BC"/>
    <w:rsid w:val="00DC0393"/>
    <w:rsid w:val="00DC39FC"/>
    <w:rsid w:val="00DF5254"/>
    <w:rsid w:val="00E16408"/>
    <w:rsid w:val="00E17F27"/>
    <w:rsid w:val="00E20894"/>
    <w:rsid w:val="00E245AB"/>
    <w:rsid w:val="00E25DB9"/>
    <w:rsid w:val="00E2764C"/>
    <w:rsid w:val="00E27F2E"/>
    <w:rsid w:val="00E50AFE"/>
    <w:rsid w:val="00E54EDD"/>
    <w:rsid w:val="00E55878"/>
    <w:rsid w:val="00E576C4"/>
    <w:rsid w:val="00E75C92"/>
    <w:rsid w:val="00E771DC"/>
    <w:rsid w:val="00E8772A"/>
    <w:rsid w:val="00E90F6B"/>
    <w:rsid w:val="00E92C27"/>
    <w:rsid w:val="00EA0E3D"/>
    <w:rsid w:val="00EC38A7"/>
    <w:rsid w:val="00EC6B0F"/>
    <w:rsid w:val="00ED6A8F"/>
    <w:rsid w:val="00ED7384"/>
    <w:rsid w:val="00EE1AA8"/>
    <w:rsid w:val="00EF0941"/>
    <w:rsid w:val="00F16642"/>
    <w:rsid w:val="00F31EDC"/>
    <w:rsid w:val="00F462B3"/>
    <w:rsid w:val="00F5664F"/>
    <w:rsid w:val="00F56E42"/>
    <w:rsid w:val="00F600EA"/>
    <w:rsid w:val="00F61B60"/>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E576C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576C4"/>
    <w:rPr>
      <w:rFonts w:ascii="Geomanist Light" w:hAnsi="Geomanist Light"/>
      <w:lang w:val="es-ES"/>
    </w:rPr>
  </w:style>
  <w:style w:type="character" w:styleId="Refdecomentario">
    <w:name w:val="annotation reference"/>
    <w:basedOn w:val="Fuentedeprrafopredeter"/>
    <w:uiPriority w:val="99"/>
    <w:semiHidden/>
    <w:unhideWhenUsed/>
    <w:rsid w:val="00CE4A21"/>
    <w:rPr>
      <w:sz w:val="16"/>
      <w:szCs w:val="16"/>
    </w:rPr>
  </w:style>
  <w:style w:type="paragraph" w:styleId="Textocomentario">
    <w:name w:val="annotation text"/>
    <w:basedOn w:val="Normal"/>
    <w:link w:val="TextocomentarioCar"/>
    <w:uiPriority w:val="99"/>
    <w:unhideWhenUsed/>
    <w:rsid w:val="00CE4A21"/>
    <w:pPr>
      <w:spacing w:line="240" w:lineRule="auto"/>
    </w:pPr>
    <w:rPr>
      <w:sz w:val="20"/>
      <w:szCs w:val="20"/>
    </w:rPr>
  </w:style>
  <w:style w:type="character" w:customStyle="1" w:styleId="TextocomentarioCar">
    <w:name w:val="Texto comentario Car"/>
    <w:basedOn w:val="Fuentedeprrafopredeter"/>
    <w:link w:val="Textocomentario"/>
    <w:uiPriority w:val="99"/>
    <w:rsid w:val="00CE4A21"/>
    <w:rPr>
      <w:sz w:val="20"/>
      <w:szCs w:val="20"/>
    </w:rPr>
  </w:style>
  <w:style w:type="paragraph" w:styleId="Asuntodelcomentario">
    <w:name w:val="annotation subject"/>
    <w:basedOn w:val="Textocomentario"/>
    <w:next w:val="Textocomentario"/>
    <w:link w:val="AsuntodelcomentarioCar"/>
    <w:uiPriority w:val="99"/>
    <w:semiHidden/>
    <w:unhideWhenUsed/>
    <w:rsid w:val="00CE4A21"/>
    <w:rPr>
      <w:b/>
      <w:bCs/>
    </w:rPr>
  </w:style>
  <w:style w:type="character" w:customStyle="1" w:styleId="AsuntodelcomentarioCar">
    <w:name w:val="Asunto del comentario Car"/>
    <w:basedOn w:val="TextocomentarioCar"/>
    <w:link w:val="Asuntodelcomentario"/>
    <w:uiPriority w:val="99"/>
    <w:semiHidden/>
    <w:rsid w:val="00CE4A21"/>
    <w:rPr>
      <w:b/>
      <w:bCs/>
      <w:sz w:val="20"/>
      <w:szCs w:val="20"/>
    </w:rPr>
  </w:style>
  <w:style w:type="paragraph" w:styleId="Textoindependiente">
    <w:name w:val="Body Text"/>
    <w:basedOn w:val="Normal"/>
    <w:link w:val="TextoindependienteCar"/>
    <w:uiPriority w:val="99"/>
    <w:unhideWhenUsed/>
    <w:rsid w:val="00154D3E"/>
    <w:pPr>
      <w:spacing w:after="120"/>
    </w:pPr>
    <w:rPr>
      <w:kern w:val="2"/>
      <w14:ligatures w14:val="standardContextual"/>
    </w:rPr>
  </w:style>
  <w:style w:type="character" w:customStyle="1" w:styleId="TextoindependienteCar">
    <w:name w:val="Texto independiente Car"/>
    <w:basedOn w:val="Fuentedeprrafopredeter"/>
    <w:link w:val="Textoindependiente"/>
    <w:uiPriority w:val="99"/>
    <w:rsid w:val="00154D3E"/>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rteconstitucional.gov.co/relatoria/2001/C-949-01.htm" TargetMode="External"/><Relationship Id="rId18" Type="http://schemas.openxmlformats.org/officeDocument/2006/relationships/hyperlink" Target="https://nam02.safelinks.protection.outlook.com/?url=https%3A%2F%2Fwww.colombiacompra.gov.co%2Fmanuales-guias-y-pliegos-tipo%2Fmanuales-y-guias%2Fguia-de-contratacion-publica-sostenible-y-socialmente&amp;data=05%7C02%7Ckeila.reyes%40colombiacompra.gov.co%7Cb18b651bca3a4eb8eab008dd269b400d%7C7b09041e245149d08cb179d5e3d8c1be%7C0%7C0%7C638709170413661192%7CUnknown%7CTWFpbGZsb3d8eyJFbXB0eU1hcGkiOnRydWUsIlYiOiIwLjAuMDAwMCIsIlAiOiJXaW4zMiIsIkFOIjoiTWFpbCIsIldUIjoyfQ%3D%3D%7C0%7C%7C%7C&amp;sdata=EzXDWj%2BjwYqLH62mm3pNXCgCTstvfZGFCR5OPD8s8ak%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orteconstitucional.gov.co/relatoria/2012/C-416-12.htm" TargetMode="External"/><Relationship Id="rId17" Type="http://schemas.openxmlformats.org/officeDocument/2006/relationships/hyperlink" Target="https://nam02.safelinks.protection.outlook.com/?url=https%3A%2F%2Fwww.colombiacompra.gov.co%2Fcontent%2F02-documentos-tipo-para-los-procesos-de-seleccion-de-consultoria-de-obra-publica-de&amp;data=05%7C02%7Ckeila.reyes%40colombiacompra.gov.co%7Cb18b651bca3a4eb8eab008dd269b400d%7C7b09041e245149d08cb179d5e3d8c1be%7C0%7C0%7C638709170413646028%7CUnknown%7CTWFpbGZsb3d8eyJFbXB0eU1hcGkiOnRydWUsIlYiOiIwLjAuMDAwMCIsIlAiOiJXaW4zMiIsIkFOIjoiTWFpbCIsIldUIjoyfQ%3D%3D%7C0%7C%7C%7C&amp;sdata=8E1xtp2jVnnzmPkEF3xPTIeDt6kSmuEJj1F1kJKQ53U%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3-documentos-tipo-para-los-procesos-de-seleccion-de-interventoria-de-obra-publica-de&amp;data=05%7C02%7Ckeila.reyes%40colombiacompra.gov.co%7Cb18b651bca3a4eb8eab008dd269b400d%7C7b09041e245149d08cb179d5e3d8c1be%7C0%7C0%7C638709170413621677%7CUnknown%7CTWFpbGZsb3d8eyJFbXB0eU1hcGkiOnRydWUsIlYiOiIwLjAuMDAwMCIsIlAiOiJXaW4zMiIsIkFOIjoiTWFpbCIsIldUIjoyfQ%3D%3D%7C0%7C%7C%7C&amp;sdata=jkuR44StAzv0Yg%2BDOohataC9ufc2FDIqCSd8p5wErBw%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serami144@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rvicios.consejodeestado.gov.co/WebRelatoria/FileReferenceServlet?corp=ce&amp;ext=doc&amp;file=2000171"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321144-67E4-402C-BA1C-EFAD60D58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4275</Words>
  <Characters>23517</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5</cp:revision>
  <cp:lastPrinted>2023-01-10T21:18:00Z</cp:lastPrinted>
  <dcterms:created xsi:type="dcterms:W3CDTF">2024-12-30T22:29:00Z</dcterms:created>
  <dcterms:modified xsi:type="dcterms:W3CDTF">2024-12-30T22:54:00Z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