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26F66" w14:textId="2A05600B"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bookmarkStart w:id="0" w:name="_Hlk143780582"/>
      <w:r w:rsidRPr="00A43145">
        <w:rPr>
          <w:rStyle w:val="normaltextrun"/>
          <w:rFonts w:ascii="Verdana" w:hAnsi="Verdana" w:cs="Arial"/>
          <w:b/>
          <w:bCs/>
          <w:sz w:val="22"/>
          <w:szCs w:val="22"/>
        </w:rPr>
        <w:t>CONTRATO D</w:t>
      </w:r>
      <w:r w:rsidR="00C65755">
        <w:rPr>
          <w:rStyle w:val="normaltextrun"/>
          <w:rFonts w:ascii="Verdana" w:hAnsi="Verdana" w:cs="Arial"/>
          <w:b/>
          <w:bCs/>
          <w:sz w:val="22"/>
          <w:szCs w:val="22"/>
        </w:rPr>
        <w:t>E</w:t>
      </w:r>
      <w:r w:rsidRPr="00A43145">
        <w:rPr>
          <w:rStyle w:val="normaltextrun"/>
          <w:rFonts w:ascii="Verdana" w:hAnsi="Verdana" w:cs="Arial"/>
          <w:b/>
          <w:bCs/>
          <w:sz w:val="22"/>
          <w:szCs w:val="22"/>
        </w:rPr>
        <w:t xml:space="preserve"> PRESTACIÓN DE SERVICIOS – Concepto – Características</w:t>
      </w:r>
      <w:r w:rsidRPr="00A43145">
        <w:rPr>
          <w:rStyle w:val="eop"/>
          <w:rFonts w:ascii="Verdana" w:hAnsi="Verdana" w:cs="Arial"/>
          <w:sz w:val="22"/>
          <w:szCs w:val="22"/>
        </w:rPr>
        <w:t> </w:t>
      </w:r>
    </w:p>
    <w:p w14:paraId="4AC87631"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sz w:val="22"/>
          <w:szCs w:val="22"/>
        </w:rPr>
        <w:t> </w:t>
      </w:r>
    </w:p>
    <w:p w14:paraId="076B235A" w14:textId="5EB3E1A9"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w:t>
      </w:r>
      <w:r w:rsidRPr="00A43145">
        <w:rPr>
          <w:rStyle w:val="normaltextrun"/>
          <w:rFonts w:ascii="Verdana" w:hAnsi="Verdana" w:cs="Calibri"/>
          <w:sz w:val="22"/>
          <w:szCs w:val="22"/>
        </w:rPr>
        <w:t xml:space="preserve"> </w:t>
      </w:r>
      <w:r w:rsidRPr="00A43145">
        <w:rPr>
          <w:rStyle w:val="normaltextrun"/>
          <w:rFonts w:ascii="Verdana" w:hAnsi="Verdana" w:cs="Arial"/>
          <w:sz w:val="20"/>
          <w:szCs w:val="20"/>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A43145">
        <w:rPr>
          <w:rStyle w:val="normaltextrun"/>
          <w:rFonts w:ascii="Verdana" w:hAnsi="Verdana" w:cs="Arial"/>
          <w:sz w:val="20"/>
          <w:szCs w:val="20"/>
        </w:rPr>
        <w:t>”</w:t>
      </w:r>
      <w:r w:rsidRPr="00A43145">
        <w:rPr>
          <w:rStyle w:val="normaltextrun"/>
          <w:rFonts w:ascii="Verdana" w:hAnsi="Verdana" w:cs="Arial"/>
          <w:sz w:val="20"/>
          <w:szCs w:val="20"/>
        </w:rPr>
        <w:t>. La celebración de dicho contrato debe efectuarse a través de la modalidad de contratación directa.</w:t>
      </w:r>
      <w:r w:rsidRPr="00A43145">
        <w:rPr>
          <w:rStyle w:val="eop"/>
          <w:rFonts w:ascii="Verdana" w:hAnsi="Verdana" w:cs="Arial"/>
        </w:rPr>
        <w:t> </w:t>
      </w:r>
    </w:p>
    <w:p w14:paraId="3437D63D"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w:t>
      </w:r>
      <w:r w:rsidRPr="00A43145">
        <w:rPr>
          <w:rStyle w:val="eop"/>
          <w:rFonts w:ascii="Verdana" w:hAnsi="Verdana" w:cs="Arial"/>
        </w:rPr>
        <w:t> </w:t>
      </w:r>
    </w:p>
    <w:p w14:paraId="5D22B1E2" w14:textId="2D9867D4"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 xml:space="preserve">[…] de la reciente Sentencia de Unificación Jurisprudencial del 9 de septiembre de 2021, proferida por el Consejo de Estado, es posible señalar las siguientes características del contrato de prestación de servicios: i) Solo puede celebrarse para realizar </w:t>
      </w:r>
      <w:r w:rsidR="00A43145">
        <w:rPr>
          <w:rStyle w:val="normaltextrun"/>
          <w:rFonts w:ascii="Verdana" w:hAnsi="Verdana" w:cs="Arial"/>
          <w:sz w:val="20"/>
          <w:szCs w:val="20"/>
        </w:rPr>
        <w:t>“</w:t>
      </w:r>
      <w:r w:rsidRPr="00A43145">
        <w:rPr>
          <w:rStyle w:val="normaltextrun"/>
          <w:rFonts w:ascii="Verdana" w:hAnsi="Verdana" w:cs="Arial"/>
          <w:sz w:val="20"/>
          <w:szCs w:val="20"/>
        </w:rPr>
        <w:t>actividades relacionadas con la administración o funcionamiento de la entidad</w:t>
      </w:r>
      <w:r w:rsidR="00A43145">
        <w:rPr>
          <w:rStyle w:val="normaltextrun"/>
          <w:rFonts w:ascii="Verdana" w:hAnsi="Verdana" w:cs="Arial"/>
          <w:sz w:val="20"/>
          <w:szCs w:val="20"/>
        </w:rPr>
        <w:t>”</w:t>
      </w:r>
      <w:r w:rsidRPr="00A43145">
        <w:rPr>
          <w:rStyle w:val="normaltextrun"/>
          <w:rFonts w:ascii="Verdana" w:hAnsi="Verdana" w:cs="Arial"/>
          <w:sz w:val="20"/>
          <w:szCs w:val="20"/>
        </w:rPr>
        <w:t xml:space="preserve"> […]. ii) Respecto del tipo de personas que pueden ser contratadas, admite que se suscriba con personas naturales o jurídicas. iii) Si bien se celebran para obtener la prestación personal de un servicio, se diferencian del contrato de trabajo en que quien celebra el contrato de prestación de servicios debe mantener autonomía e independencia en la ejecución de la labor […]; iv)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vii) El contrato admite la inclusión de cláusulas excepcionales. viii) No es obligatoria la liquidación de estos contratos, como lo establece el artículo 217 del Decreto 019 de 2012, que modificó el artículo 60 de la Ley 80 de 1993. ix) Para su celebración el contratista no requiere estar inscrito en el Registro Único de Proponentes –RUP–, como lo señala el artículo 6 de la Ley 1150 de 2007. x) No es obligatoria la exigencia de garantías. xi) Como los demás contratos estatales, se trata de un contrato solemne que debe constar por escrito y debe ser publicado en el SECOP. xii)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r w:rsidRPr="00A43145">
        <w:rPr>
          <w:rStyle w:val="eop"/>
          <w:rFonts w:ascii="Verdana" w:hAnsi="Verdana" w:cs="Arial"/>
        </w:rPr>
        <w:t> </w:t>
      </w:r>
    </w:p>
    <w:p w14:paraId="170F0F22"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rPr>
        <w:t> </w:t>
      </w:r>
    </w:p>
    <w:p w14:paraId="37C451A3" w14:textId="13BA571B"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b/>
          <w:bCs/>
          <w:sz w:val="22"/>
          <w:szCs w:val="22"/>
        </w:rPr>
        <w:t xml:space="preserve">CONTRATOS DE PRESTACIÓN DE SERVICIOS – Fijación de honorarios – Tablas de honorarios – </w:t>
      </w:r>
    </w:p>
    <w:p w14:paraId="017C9C3B"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rPr>
        <w:t> </w:t>
      </w:r>
    </w:p>
    <w:p w14:paraId="248237E3"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 xml:space="preserve">[…]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w:t>
      </w:r>
      <w:r w:rsidRPr="00A43145">
        <w:rPr>
          <w:rStyle w:val="normaltextrun"/>
          <w:rFonts w:ascii="Verdana" w:hAnsi="Verdana" w:cs="Arial"/>
          <w:sz w:val="20"/>
          <w:szCs w:val="20"/>
        </w:rPr>
        <w:lastRenderedPageBreak/>
        <w:t>de implementar tablas de honorarios o estandarizar perfiles para los contratos de prestación de servicios, pero, lo anterior, no significa que las entidades no puedan hacerlo.</w:t>
      </w:r>
      <w:r w:rsidRPr="00A43145">
        <w:rPr>
          <w:rStyle w:val="eop"/>
          <w:rFonts w:ascii="Verdana" w:hAnsi="Verdana" w:cs="Arial"/>
        </w:rPr>
        <w:t> </w:t>
      </w:r>
    </w:p>
    <w:p w14:paraId="32A6B8A3" w14:textId="77777777" w:rsidR="00A02C57" w:rsidRPr="00A43145" w:rsidRDefault="00A02C57" w:rsidP="00A02C57">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rPr>
        <w:t> </w:t>
      </w:r>
    </w:p>
    <w:p w14:paraId="2CE97856" w14:textId="422432A7" w:rsidR="00A43145" w:rsidRDefault="00A43145">
      <w:pPr>
        <w:rPr>
          <w:rFonts w:ascii="Verdana" w:eastAsia="Times New Roman" w:hAnsi="Verdana" w:cs="Arial"/>
          <w:i/>
          <w:iCs/>
          <w:color w:val="333333"/>
          <w:lang w:eastAsia="es-CO"/>
        </w:rPr>
      </w:pPr>
      <w:r>
        <w:rPr>
          <w:rFonts w:ascii="Verdana" w:eastAsia="Times New Roman" w:hAnsi="Verdana" w:cs="Arial"/>
          <w:i/>
          <w:iCs/>
          <w:color w:val="333333"/>
          <w:lang w:eastAsia="es-CO"/>
        </w:rPr>
        <w:br w:type="page"/>
      </w:r>
    </w:p>
    <w:p w14:paraId="01B81168" w14:textId="77777777" w:rsidR="00C04209" w:rsidRPr="00A43145" w:rsidRDefault="00C04209" w:rsidP="00C04209">
      <w:pPr>
        <w:spacing w:after="0" w:line="240" w:lineRule="auto"/>
        <w:contextualSpacing/>
        <w:jc w:val="both"/>
        <w:rPr>
          <w:rFonts w:ascii="Verdana" w:eastAsia="Times New Roman" w:hAnsi="Verdana" w:cs="Arial"/>
          <w:i/>
          <w:iCs/>
          <w:color w:val="333333"/>
          <w:lang w:eastAsia="es-CO"/>
        </w:rPr>
      </w:pPr>
    </w:p>
    <w:p w14:paraId="690A0668" w14:textId="77777777" w:rsidR="00A02C57" w:rsidRPr="00A43145" w:rsidRDefault="00A02C57" w:rsidP="00C04209">
      <w:pPr>
        <w:spacing w:after="0" w:line="240" w:lineRule="auto"/>
        <w:contextualSpacing/>
        <w:jc w:val="both"/>
        <w:rPr>
          <w:rFonts w:ascii="Verdana" w:eastAsia="Times New Roman" w:hAnsi="Verdana" w:cs="Arial"/>
          <w:i/>
          <w:iCs/>
          <w:color w:val="333333"/>
          <w:lang w:eastAsia="es-CO"/>
        </w:rPr>
      </w:pPr>
    </w:p>
    <w:p w14:paraId="131A973B" w14:textId="56937114" w:rsidR="00AB64A5" w:rsidRPr="00A43145" w:rsidRDefault="00AB64A5" w:rsidP="00CD258B">
      <w:pPr>
        <w:rPr>
          <w:rFonts w:ascii="Verdana" w:eastAsia="Calibri" w:hAnsi="Verdana" w:cs="Arial"/>
          <w:bCs/>
          <w:lang w:val="es-ES_tradnl"/>
        </w:rPr>
      </w:pPr>
      <w:r w:rsidRPr="00A43145">
        <w:rPr>
          <w:rFonts w:ascii="Verdana" w:hAnsi="Verdana"/>
        </w:rPr>
        <w:t>Bogo</w:t>
      </w:r>
      <w:r w:rsidR="00FC3EC1" w:rsidRPr="00A43145">
        <w:rPr>
          <w:rFonts w:ascii="Verdana" w:hAnsi="Verdana"/>
        </w:rPr>
        <w:t>t</w:t>
      </w:r>
      <w:r w:rsidRPr="00A43145">
        <w:rPr>
          <w:rFonts w:ascii="Verdana" w:hAnsi="Verdana"/>
        </w:rPr>
        <w:t>á D.C., [Día] [Mes.NombreCapitalizado] [Año]</w:t>
      </w:r>
      <w:r w:rsidRPr="00A43145">
        <w:rPr>
          <w:rFonts w:ascii="Verdana" w:hAnsi="Verdana"/>
        </w:rPr>
        <w:tab/>
      </w:r>
    </w:p>
    <w:p w14:paraId="6F8CA54C" w14:textId="77777777" w:rsidR="00AB64A5" w:rsidRPr="00A43145" w:rsidRDefault="00AB64A5" w:rsidP="00AB64A5">
      <w:pPr>
        <w:spacing w:after="0"/>
        <w:rPr>
          <w:rFonts w:ascii="Verdana" w:hAnsi="Verdana"/>
        </w:rPr>
      </w:pPr>
    </w:p>
    <w:p w14:paraId="693FAB77" w14:textId="77777777" w:rsidR="00A02C57" w:rsidRPr="00A43145" w:rsidRDefault="00AB64A5" w:rsidP="00A02C57">
      <w:pPr>
        <w:spacing w:after="0" w:line="240" w:lineRule="auto"/>
        <w:jc w:val="both"/>
        <w:rPr>
          <w:rFonts w:ascii="Verdana" w:eastAsia="Calibri" w:hAnsi="Verdana" w:cs="Arial"/>
          <w:lang w:eastAsia="es-ES"/>
        </w:rPr>
      </w:pPr>
      <w:r w:rsidRPr="00A43145">
        <w:rPr>
          <w:rFonts w:ascii="Verdana" w:eastAsia="Calibri" w:hAnsi="Verdana" w:cs="Arial"/>
          <w:lang w:eastAsia="es-ES"/>
        </w:rPr>
        <w:t>Señor</w:t>
      </w:r>
      <w:r w:rsidR="00A02C57" w:rsidRPr="00A43145">
        <w:rPr>
          <w:rFonts w:ascii="Verdana" w:eastAsia="Calibri" w:hAnsi="Verdana" w:cs="Arial"/>
          <w:lang w:eastAsia="es-ES"/>
        </w:rPr>
        <w:t>a</w:t>
      </w:r>
    </w:p>
    <w:p w14:paraId="6AE17A8A" w14:textId="77777777" w:rsidR="00A02C57" w:rsidRPr="00A43145" w:rsidRDefault="00A02C57" w:rsidP="00A02C57">
      <w:pPr>
        <w:spacing w:after="0" w:line="240" w:lineRule="auto"/>
        <w:jc w:val="both"/>
        <w:rPr>
          <w:rFonts w:ascii="Verdana" w:eastAsia="Calibri" w:hAnsi="Verdana" w:cs="Arial"/>
          <w:b/>
          <w:bCs/>
          <w:lang w:eastAsia="es-ES"/>
        </w:rPr>
      </w:pPr>
      <w:r w:rsidRPr="00A43145">
        <w:rPr>
          <w:rFonts w:ascii="Verdana" w:eastAsia="Calibri" w:hAnsi="Verdana" w:cs="Arial"/>
          <w:b/>
          <w:bCs/>
          <w:lang w:eastAsia="es-ES"/>
        </w:rPr>
        <w:t xml:space="preserve">Maria Victoria Ovalle Guerrero </w:t>
      </w:r>
    </w:p>
    <w:p w14:paraId="4974A049" w14:textId="569EA63C" w:rsidR="00A02C57" w:rsidRPr="00A43145" w:rsidRDefault="00A02C57" w:rsidP="00FC3EC1">
      <w:pPr>
        <w:spacing w:after="0" w:line="240" w:lineRule="auto"/>
        <w:rPr>
          <w:rFonts w:ascii="Verdana" w:eastAsia="Calibri" w:hAnsi="Verdana" w:cs="Arial"/>
          <w:b/>
          <w:bCs/>
          <w:lang w:eastAsia="es-ES"/>
        </w:rPr>
      </w:pPr>
      <w:hyperlink r:id="rId11" w:history="1">
        <w:r w:rsidRPr="00A43145">
          <w:rPr>
            <w:rStyle w:val="Hipervnculo"/>
            <w:rFonts w:ascii="Verdana" w:eastAsia="Calibri" w:hAnsi="Verdana" w:cs="Arial"/>
            <w:b/>
            <w:bCs/>
            <w:lang w:eastAsia="es-ES"/>
          </w:rPr>
          <w:t>mariaviovalle@yahoo.com</w:t>
        </w:r>
      </w:hyperlink>
    </w:p>
    <w:p w14:paraId="38021ECE" w14:textId="73882808" w:rsidR="00AB64A5" w:rsidRPr="00A43145" w:rsidRDefault="00AB64A5" w:rsidP="00FC3EC1">
      <w:pPr>
        <w:spacing w:after="0" w:line="240" w:lineRule="auto"/>
        <w:rPr>
          <w:rFonts w:ascii="Verdana" w:eastAsia="Calibri" w:hAnsi="Verdana" w:cs="Arial"/>
          <w:lang w:eastAsia="es-ES"/>
        </w:rPr>
      </w:pPr>
      <w:r w:rsidRPr="00A43145">
        <w:rPr>
          <w:rFonts w:ascii="Verdana" w:eastAsia="Calibri" w:hAnsi="Verdana" w:cs="Arial"/>
          <w:lang w:eastAsia="es-ES"/>
        </w:rPr>
        <w:t>Bogotá D.C.</w:t>
      </w:r>
    </w:p>
    <w:p w14:paraId="44649E13" w14:textId="77777777" w:rsidR="00AB64A5" w:rsidRDefault="00AB64A5" w:rsidP="00AB64A5">
      <w:pPr>
        <w:spacing w:after="0" w:line="240" w:lineRule="auto"/>
        <w:rPr>
          <w:rFonts w:ascii="Verdana" w:eastAsia="Calibri" w:hAnsi="Verdana" w:cs="Arial"/>
          <w:b/>
          <w:bCs/>
          <w:color w:val="000000"/>
          <w:lang w:val="es-ES_tradnl" w:eastAsia="es-ES_tradnl"/>
        </w:rPr>
      </w:pPr>
    </w:p>
    <w:p w14:paraId="7E141FD9" w14:textId="64BD9291" w:rsidR="00AB01BD" w:rsidRPr="00A43145" w:rsidRDefault="00AB01BD" w:rsidP="00AB01BD">
      <w:pPr>
        <w:spacing w:after="0" w:line="240" w:lineRule="auto"/>
        <w:jc w:val="right"/>
        <w:rPr>
          <w:rFonts w:ascii="Verdana" w:eastAsia="Calibri" w:hAnsi="Verdana" w:cs="Arial"/>
          <w:b/>
          <w:bCs/>
          <w:color w:val="000000"/>
          <w:lang w:val="es-ES_tradnl" w:eastAsia="es-ES_tradnl"/>
        </w:rPr>
      </w:pPr>
      <w:r w:rsidRPr="00AB01BD">
        <w:rPr>
          <w:rFonts w:ascii="Verdana" w:eastAsia="Calibri" w:hAnsi="Verdana" w:cs="Arial"/>
          <w:b/>
          <w:bCs/>
          <w:noProof/>
          <w:color w:val="000000"/>
          <w:lang w:val="es-ES_tradnl" w:eastAsia="es-ES_tradnl"/>
        </w:rPr>
        <w:drawing>
          <wp:inline distT="0" distB="0" distL="0" distR="0" wp14:anchorId="57ACB6CA" wp14:editId="17ED55BA">
            <wp:extent cx="2408129" cy="632515"/>
            <wp:effectExtent l="0" t="0" r="0" b="0"/>
            <wp:docPr id="860167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67178" name=""/>
                    <pic:cNvPicPr/>
                  </pic:nvPicPr>
                  <pic:blipFill>
                    <a:blip r:embed="rId12"/>
                    <a:stretch>
                      <a:fillRect/>
                    </a:stretch>
                  </pic:blipFill>
                  <pic:spPr>
                    <a:xfrm>
                      <a:off x="0" y="0"/>
                      <a:ext cx="2408129" cy="632515"/>
                    </a:xfrm>
                    <a:prstGeom prst="rect">
                      <a:avLst/>
                    </a:prstGeom>
                  </pic:spPr>
                </pic:pic>
              </a:graphicData>
            </a:graphic>
          </wp:inline>
        </w:drawing>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AB64A5" w:rsidRPr="00A43145" w14:paraId="124FFB5C" w14:textId="77777777" w:rsidTr="007B0B27">
        <w:trPr>
          <w:trHeight w:val="884"/>
        </w:trPr>
        <w:tc>
          <w:tcPr>
            <w:tcW w:w="2268" w:type="dxa"/>
          </w:tcPr>
          <w:p w14:paraId="6311258D" w14:textId="77777777" w:rsidR="00AB64A5" w:rsidRPr="00A43145" w:rsidRDefault="00AB64A5" w:rsidP="007B0B27">
            <w:pPr>
              <w:jc w:val="both"/>
              <w:rPr>
                <w:rFonts w:ascii="Verdana" w:eastAsia="Calibri" w:hAnsi="Verdana" w:cs="Arial"/>
                <w:b/>
                <w:bCs/>
                <w:color w:val="7030A0"/>
                <w:lang w:val="es-ES_tradnl" w:eastAsia="es-ES_tradnl"/>
              </w:rPr>
            </w:pPr>
          </w:p>
        </w:tc>
        <w:tc>
          <w:tcPr>
            <w:tcW w:w="6946" w:type="dxa"/>
          </w:tcPr>
          <w:p w14:paraId="23DA8C95" w14:textId="7F8448B1" w:rsidR="00AB64A5" w:rsidRPr="00A43145" w:rsidRDefault="00AB64A5" w:rsidP="007B0B27">
            <w:pPr>
              <w:jc w:val="both"/>
              <w:rPr>
                <w:rFonts w:ascii="Verdana" w:eastAsia="Calibri" w:hAnsi="Verdana" w:cs="Arial"/>
                <w:b/>
                <w:bCs/>
                <w:color w:val="7030A0"/>
                <w:lang w:val="es-ES" w:eastAsia="es-ES"/>
              </w:rPr>
            </w:pPr>
            <w:r w:rsidRPr="00A43145">
              <w:rPr>
                <w:rFonts w:ascii="Verdana" w:eastAsia="Calibri" w:hAnsi="Verdana" w:cs="Arial"/>
                <w:b/>
                <w:bCs/>
                <w:lang w:val="es-ES" w:eastAsia="es-ES"/>
              </w:rPr>
              <w:t xml:space="preserve">Concepto C- </w:t>
            </w:r>
            <w:r w:rsidR="005C6825" w:rsidRPr="00A43145">
              <w:rPr>
                <w:rFonts w:ascii="Verdana" w:eastAsia="Calibri" w:hAnsi="Verdana" w:cs="Arial"/>
                <w:b/>
                <w:bCs/>
                <w:lang w:val="es-ES" w:eastAsia="es-ES"/>
              </w:rPr>
              <w:t>9</w:t>
            </w:r>
            <w:r w:rsidR="00A02C57" w:rsidRPr="00A43145">
              <w:rPr>
                <w:rFonts w:ascii="Verdana" w:eastAsia="Calibri" w:hAnsi="Verdana" w:cs="Arial"/>
                <w:b/>
                <w:bCs/>
                <w:lang w:val="es-ES" w:eastAsia="es-ES"/>
              </w:rPr>
              <w:t>62</w:t>
            </w:r>
            <w:r w:rsidR="00BE2B78" w:rsidRPr="00A43145">
              <w:rPr>
                <w:rFonts w:ascii="Verdana" w:eastAsia="Calibri" w:hAnsi="Verdana" w:cs="Arial"/>
                <w:b/>
                <w:bCs/>
                <w:lang w:val="es-ES" w:eastAsia="es-ES"/>
              </w:rPr>
              <w:t xml:space="preserve"> </w:t>
            </w:r>
            <w:r w:rsidRPr="00A43145">
              <w:rPr>
                <w:rFonts w:ascii="Verdana" w:eastAsia="Calibri" w:hAnsi="Verdana" w:cs="Arial"/>
                <w:b/>
                <w:bCs/>
                <w:lang w:val="es-ES" w:eastAsia="es-ES"/>
              </w:rPr>
              <w:t>de 2024</w:t>
            </w:r>
          </w:p>
        </w:tc>
      </w:tr>
      <w:tr w:rsidR="0050012F" w:rsidRPr="00A43145" w14:paraId="317258D8" w14:textId="77777777" w:rsidTr="007B0B27">
        <w:trPr>
          <w:trHeight w:val="884"/>
        </w:trPr>
        <w:tc>
          <w:tcPr>
            <w:tcW w:w="2268" w:type="dxa"/>
          </w:tcPr>
          <w:p w14:paraId="216AB9FC" w14:textId="77777777" w:rsidR="0050012F" w:rsidRPr="00A43145" w:rsidRDefault="0050012F" w:rsidP="0050012F">
            <w:pPr>
              <w:jc w:val="both"/>
              <w:rPr>
                <w:rFonts w:ascii="Verdana" w:eastAsia="Calibri" w:hAnsi="Verdana" w:cs="Arial"/>
                <w:b/>
                <w:bCs/>
                <w:lang w:val="es-ES_tradnl" w:eastAsia="es-ES_tradnl"/>
              </w:rPr>
            </w:pPr>
            <w:r w:rsidRPr="00A43145">
              <w:rPr>
                <w:rFonts w:ascii="Verdana" w:eastAsia="Calibri" w:hAnsi="Verdana" w:cs="Arial"/>
                <w:b/>
                <w:bCs/>
                <w:lang w:val="es-ES_tradnl" w:eastAsia="es-ES_tradnl"/>
              </w:rPr>
              <w:t xml:space="preserve">Temas:                   </w:t>
            </w:r>
          </w:p>
        </w:tc>
        <w:tc>
          <w:tcPr>
            <w:tcW w:w="6946" w:type="dxa"/>
          </w:tcPr>
          <w:p w14:paraId="64C08F18" w14:textId="77777777" w:rsidR="0050012F" w:rsidRDefault="00A02C57" w:rsidP="0050012F">
            <w:pPr>
              <w:spacing w:line="276" w:lineRule="auto"/>
              <w:jc w:val="both"/>
              <w:rPr>
                <w:rFonts w:ascii="Verdana" w:eastAsia="Calibri" w:hAnsi="Verdana" w:cs="Arial"/>
                <w:bCs/>
                <w:color w:val="000000"/>
                <w:lang w:val="es-ES_tradnl"/>
              </w:rPr>
            </w:pPr>
            <w:r w:rsidRPr="00A43145">
              <w:rPr>
                <w:rFonts w:ascii="Verdana" w:eastAsia="Calibri" w:hAnsi="Verdana" w:cs="Arial"/>
                <w:bCs/>
                <w:color w:val="000000"/>
                <w:lang w:val="es-ES_tradnl"/>
              </w:rPr>
              <w:t xml:space="preserve">CONTRATO DE PRESTACIÓN DE SERVICIOS – Concepto / Características / CONTRATOS DE PRESTACIÓN DE SERVICIOS – Fijación de honorarios </w:t>
            </w:r>
          </w:p>
          <w:p w14:paraId="362B2D37" w14:textId="53705E8C" w:rsidR="00ED6631" w:rsidRPr="00A43145" w:rsidRDefault="00ED6631" w:rsidP="0050012F">
            <w:pPr>
              <w:spacing w:line="276" w:lineRule="auto"/>
              <w:jc w:val="both"/>
              <w:rPr>
                <w:rFonts w:ascii="Verdana" w:eastAsia="Calibri" w:hAnsi="Verdana" w:cs="Arial"/>
                <w:lang w:eastAsia="es-ES_tradnl"/>
              </w:rPr>
            </w:pPr>
          </w:p>
        </w:tc>
      </w:tr>
      <w:tr w:rsidR="0050012F" w:rsidRPr="00A43145" w14:paraId="6B3F3ED0" w14:textId="77777777" w:rsidTr="007B0B27">
        <w:tc>
          <w:tcPr>
            <w:tcW w:w="2268" w:type="dxa"/>
          </w:tcPr>
          <w:p w14:paraId="0AC72359" w14:textId="77777777" w:rsidR="0050012F" w:rsidRPr="00A43145" w:rsidRDefault="0050012F" w:rsidP="0050012F">
            <w:pPr>
              <w:jc w:val="both"/>
              <w:rPr>
                <w:rFonts w:ascii="Verdana" w:eastAsia="Calibri" w:hAnsi="Verdana" w:cs="Arial"/>
                <w:b/>
                <w:lang w:val="es-ES_tradnl" w:eastAsia="es-ES_tradnl"/>
              </w:rPr>
            </w:pPr>
            <w:r w:rsidRPr="00A43145">
              <w:rPr>
                <w:rFonts w:ascii="Verdana" w:eastAsia="Calibri" w:hAnsi="Verdana" w:cs="Arial"/>
                <w:b/>
                <w:lang w:val="es-ES_tradnl" w:eastAsia="es-ES_tradnl"/>
              </w:rPr>
              <w:t>Radicación:</w:t>
            </w:r>
            <w:r w:rsidRPr="00A43145">
              <w:rPr>
                <w:rFonts w:ascii="Verdana" w:eastAsia="Calibri" w:hAnsi="Verdana" w:cs="Arial"/>
                <w:lang w:val="es-ES_tradnl" w:eastAsia="es-ES_tradnl"/>
              </w:rPr>
              <w:t xml:space="preserve">               </w:t>
            </w:r>
          </w:p>
        </w:tc>
        <w:tc>
          <w:tcPr>
            <w:tcW w:w="6946" w:type="dxa"/>
          </w:tcPr>
          <w:p w14:paraId="3BC81AFB" w14:textId="4F528C17" w:rsidR="0050012F" w:rsidRPr="00A43145" w:rsidRDefault="0050012F" w:rsidP="0050012F">
            <w:pPr>
              <w:rPr>
                <w:rFonts w:ascii="Verdana" w:eastAsia="Times New Roman" w:hAnsi="Verdana" w:cs="Calibri"/>
                <w:color w:val="000000"/>
                <w:lang w:val="es-419" w:eastAsia="es-419"/>
              </w:rPr>
            </w:pPr>
            <w:r w:rsidRPr="00A43145">
              <w:rPr>
                <w:rFonts w:ascii="Verdana" w:eastAsia="Calibri" w:hAnsi="Verdana" w:cs="Arial"/>
                <w:lang w:val="es-ES_tradnl" w:eastAsia="es-ES_tradnl"/>
              </w:rPr>
              <w:t xml:space="preserve">Respuesta a consulta con radicado No. </w:t>
            </w:r>
            <w:r w:rsidR="005C6825" w:rsidRPr="00A43145">
              <w:rPr>
                <w:rFonts w:ascii="Verdana" w:eastAsia="Times New Roman" w:hAnsi="Verdana" w:cs="Calibri"/>
                <w:color w:val="000000"/>
                <w:lang w:val="es-419" w:eastAsia="es-419"/>
              </w:rPr>
              <w:t>P2024</w:t>
            </w:r>
            <w:r w:rsidR="00A02C57" w:rsidRPr="00A43145">
              <w:rPr>
                <w:rFonts w:ascii="Verdana" w:eastAsia="Times New Roman" w:hAnsi="Verdana" w:cs="Calibri"/>
                <w:color w:val="000000"/>
                <w:lang w:val="es-419" w:eastAsia="es-419"/>
              </w:rPr>
              <w:t>1204012165</w:t>
            </w:r>
          </w:p>
          <w:p w14:paraId="14A3CEBF" w14:textId="06BFF59D" w:rsidR="0050012F" w:rsidRPr="00A43145" w:rsidRDefault="0050012F" w:rsidP="0050012F">
            <w:pPr>
              <w:jc w:val="both"/>
              <w:rPr>
                <w:rFonts w:ascii="Verdana" w:eastAsia="Calibri" w:hAnsi="Verdana" w:cs="Arial"/>
                <w:lang w:val="es-ES_tradnl" w:eastAsia="es-ES_tradnl"/>
              </w:rPr>
            </w:pPr>
          </w:p>
        </w:tc>
      </w:tr>
    </w:tbl>
    <w:p w14:paraId="7459B210" w14:textId="77777777" w:rsidR="00AB64A5" w:rsidRPr="00A43145" w:rsidRDefault="00AB64A5" w:rsidP="00AB64A5">
      <w:pPr>
        <w:spacing w:after="0" w:line="240" w:lineRule="auto"/>
        <w:jc w:val="both"/>
        <w:rPr>
          <w:rFonts w:ascii="Verdana" w:eastAsia="Calibri" w:hAnsi="Verdana" w:cs="Arial"/>
          <w:color w:val="000000"/>
          <w:lang w:val="es-ES_tradnl" w:eastAsia="es-ES_tradnl"/>
        </w:rPr>
      </w:pPr>
    </w:p>
    <w:p w14:paraId="3010FD6F" w14:textId="77777777" w:rsidR="00AB64A5" w:rsidRPr="00A43145" w:rsidRDefault="00AB64A5" w:rsidP="00AB64A5">
      <w:pPr>
        <w:spacing w:after="0" w:line="240" w:lineRule="auto"/>
        <w:jc w:val="both"/>
        <w:rPr>
          <w:rFonts w:ascii="Verdana" w:eastAsia="Calibri" w:hAnsi="Verdana" w:cs="Arial"/>
          <w:color w:val="000000"/>
          <w:lang w:val="es-ES_tradnl" w:eastAsia="es-ES_tradnl"/>
        </w:rPr>
      </w:pPr>
    </w:p>
    <w:p w14:paraId="16D75B47" w14:textId="1DC94756" w:rsidR="00AB64A5" w:rsidRPr="00A43145" w:rsidRDefault="00AB64A5" w:rsidP="00AB64A5">
      <w:pPr>
        <w:spacing w:after="0" w:line="276" w:lineRule="auto"/>
        <w:jc w:val="both"/>
        <w:rPr>
          <w:rFonts w:ascii="Verdana" w:eastAsia="Calibri" w:hAnsi="Verdana" w:cs="Arial"/>
          <w:lang w:val="es-ES" w:eastAsia="es-ES"/>
        </w:rPr>
      </w:pPr>
      <w:r w:rsidRPr="00A43145">
        <w:rPr>
          <w:rFonts w:ascii="Verdana" w:eastAsia="Calibri" w:hAnsi="Verdana" w:cs="Arial"/>
          <w:lang w:val="es-ES" w:eastAsia="es-ES"/>
        </w:rPr>
        <w:t>Estimad</w:t>
      </w:r>
      <w:r w:rsidR="00A02C57" w:rsidRPr="00A43145">
        <w:rPr>
          <w:rFonts w:ascii="Verdana" w:eastAsia="Calibri" w:hAnsi="Verdana" w:cs="Arial"/>
          <w:lang w:val="es-ES" w:eastAsia="es-ES"/>
        </w:rPr>
        <w:t>a señora Ovalle</w:t>
      </w:r>
      <w:r w:rsidR="00A96BF0" w:rsidRPr="00A43145">
        <w:rPr>
          <w:rFonts w:ascii="Verdana" w:eastAsia="Calibri" w:hAnsi="Verdana" w:cs="Arial"/>
          <w:lang w:val="es-ES" w:eastAsia="es-ES"/>
        </w:rPr>
        <w:t>:</w:t>
      </w:r>
      <w:r w:rsidRPr="00A43145">
        <w:rPr>
          <w:rFonts w:ascii="Verdana" w:eastAsia="Calibri" w:hAnsi="Verdana" w:cs="Arial"/>
          <w:lang w:val="es-ES" w:eastAsia="es-ES"/>
        </w:rPr>
        <w:t xml:space="preserve"> </w:t>
      </w:r>
    </w:p>
    <w:p w14:paraId="5ED55F00" w14:textId="77777777" w:rsidR="00AB64A5" w:rsidRPr="00A43145" w:rsidRDefault="00AB64A5" w:rsidP="00AB64A5">
      <w:pPr>
        <w:tabs>
          <w:tab w:val="left" w:pos="3768"/>
        </w:tabs>
        <w:spacing w:after="0" w:line="276" w:lineRule="auto"/>
        <w:jc w:val="both"/>
        <w:rPr>
          <w:rFonts w:ascii="Verdana" w:eastAsia="Calibri" w:hAnsi="Verdana" w:cs="Arial"/>
          <w:color w:val="000000" w:themeColor="text1"/>
          <w:lang w:val="es-ES" w:eastAsia="es-ES"/>
        </w:rPr>
      </w:pPr>
      <w:r w:rsidRPr="00A43145">
        <w:rPr>
          <w:rFonts w:ascii="Verdana" w:eastAsia="Calibri" w:hAnsi="Verdana" w:cs="Arial"/>
          <w:color w:val="000000" w:themeColor="text1"/>
          <w:lang w:val="es-ES" w:eastAsia="es-ES"/>
        </w:rPr>
        <w:tab/>
      </w:r>
    </w:p>
    <w:p w14:paraId="3AAA6349" w14:textId="349A87DE" w:rsidR="00AB64A5" w:rsidRPr="00A43145" w:rsidRDefault="00AB64A5" w:rsidP="00AB64A5">
      <w:pPr>
        <w:spacing w:after="0" w:line="276" w:lineRule="auto"/>
        <w:jc w:val="both"/>
        <w:rPr>
          <w:rFonts w:ascii="Verdana" w:eastAsia="Calibri" w:hAnsi="Verdana" w:cs="Arial"/>
          <w:lang w:val="es-ES" w:eastAsia="es-ES"/>
        </w:rPr>
      </w:pPr>
      <w:r w:rsidRPr="00A43145">
        <w:rPr>
          <w:rFonts w:ascii="Verdana" w:eastAsia="Calibri" w:hAnsi="Verdana" w:cs="Arial"/>
          <w:lang w:val="es-ES" w:eastAsia="es-ES"/>
        </w:rPr>
        <w:t>En ejercicio de la competencia otorgada por los artículos 3, numeral 5º, y 11, numeral 8º, del Decreto Ley 4170 de 2011,</w:t>
      </w:r>
      <w:r w:rsidRPr="00A43145">
        <w:rPr>
          <w:rFonts w:ascii="Verdana" w:eastAsia="Arial MT" w:hAnsi="Verdana" w:cs="Arial MT"/>
          <w:lang w:val="es-ES" w:eastAsia="es-ES"/>
        </w:rPr>
        <w:t xml:space="preserve"> </w:t>
      </w:r>
      <w:r w:rsidRPr="00A43145">
        <w:rPr>
          <w:rFonts w:ascii="Verdana" w:hAnsi="Verdana" w:cs="Arial"/>
        </w:rPr>
        <w:t xml:space="preserve">así como lo establecido en el artículo 4 de la Resolución 1707 de 2018 expedida por esta Entidad, </w:t>
      </w:r>
      <w:r w:rsidRPr="00A43145">
        <w:rPr>
          <w:rFonts w:ascii="Verdana" w:eastAsia="Calibri" w:hAnsi="Verdana" w:cs="Arial"/>
          <w:lang w:val="es-ES" w:eastAsia="es-ES"/>
        </w:rPr>
        <w:t xml:space="preserve">la Agencia Nacional de Contratación Pública – Colombia Compra Eficiente– responde su solicitud radicada en esta entidad el </w:t>
      </w:r>
      <w:r w:rsidR="00934F7F">
        <w:rPr>
          <w:rFonts w:ascii="Verdana" w:eastAsia="Calibri" w:hAnsi="Verdana" w:cs="Arial"/>
          <w:lang w:val="es-ES" w:eastAsia="es-ES"/>
        </w:rPr>
        <w:t>4</w:t>
      </w:r>
      <w:r w:rsidRPr="00A43145">
        <w:rPr>
          <w:rFonts w:ascii="Verdana" w:eastAsia="Calibri" w:hAnsi="Verdana" w:cs="Arial"/>
          <w:lang w:val="es-ES" w:eastAsia="es-ES"/>
        </w:rPr>
        <w:t xml:space="preserve"> de </w:t>
      </w:r>
      <w:r w:rsidR="00934F7F">
        <w:rPr>
          <w:rFonts w:ascii="Verdana" w:eastAsia="Calibri" w:hAnsi="Verdana" w:cs="Arial"/>
          <w:lang w:val="es-ES" w:eastAsia="es-ES"/>
        </w:rPr>
        <w:t>diciembre</w:t>
      </w:r>
      <w:r w:rsidR="00A02C57" w:rsidRPr="00A43145">
        <w:rPr>
          <w:rFonts w:ascii="Verdana" w:eastAsia="Calibri" w:hAnsi="Verdana" w:cs="Arial"/>
          <w:lang w:val="es-ES" w:eastAsia="es-ES"/>
        </w:rPr>
        <w:t xml:space="preserve"> </w:t>
      </w:r>
      <w:r w:rsidRPr="00A43145">
        <w:rPr>
          <w:rFonts w:ascii="Verdana" w:eastAsia="Calibri" w:hAnsi="Verdana" w:cs="Arial"/>
          <w:lang w:val="es-ES" w:eastAsia="es-ES"/>
        </w:rPr>
        <w:t xml:space="preserve">de 2024, en la cual manifiesta lo siguiente: </w:t>
      </w:r>
    </w:p>
    <w:p w14:paraId="35AFAAA8" w14:textId="77777777" w:rsidR="00AB64A5" w:rsidRPr="00A43145" w:rsidRDefault="00AB64A5" w:rsidP="00AB64A5">
      <w:pPr>
        <w:spacing w:after="0" w:line="240" w:lineRule="auto"/>
        <w:ind w:left="709" w:right="709"/>
        <w:jc w:val="both"/>
        <w:rPr>
          <w:rFonts w:ascii="Verdana" w:hAnsi="Verdana" w:cs="Arial"/>
          <w:sz w:val="20"/>
          <w:szCs w:val="20"/>
          <w:shd w:val="clear" w:color="auto" w:fill="FFFFFF"/>
        </w:rPr>
      </w:pPr>
      <w:bookmarkStart w:id="1" w:name="_Hlk95313578"/>
    </w:p>
    <w:bookmarkEnd w:id="1"/>
    <w:p w14:paraId="4E543B6E" w14:textId="4E8D1935" w:rsidR="00AB64A5" w:rsidRPr="00A43145" w:rsidRDefault="00FC3EC1" w:rsidP="00A02C57">
      <w:pPr>
        <w:spacing w:after="0" w:line="276" w:lineRule="auto"/>
        <w:ind w:left="709" w:right="758"/>
        <w:jc w:val="both"/>
        <w:rPr>
          <w:rFonts w:ascii="Verdana" w:eastAsia="Calibri" w:hAnsi="Verdana" w:cs="Arial"/>
          <w:sz w:val="20"/>
          <w:szCs w:val="20"/>
          <w:lang w:val="es-ES" w:eastAsia="es-ES"/>
        </w:rPr>
      </w:pPr>
      <w:r w:rsidRPr="00A43145">
        <w:rPr>
          <w:rFonts w:ascii="Verdana" w:eastAsia="Calibri" w:hAnsi="Verdana" w:cs="Arial"/>
          <w:sz w:val="20"/>
          <w:szCs w:val="20"/>
          <w:lang w:val="es-ES" w:eastAsia="es-ES"/>
        </w:rPr>
        <w:t>“</w:t>
      </w:r>
      <w:r w:rsidR="00A02C57" w:rsidRPr="00A43145">
        <w:rPr>
          <w:rFonts w:ascii="Verdana" w:eastAsia="Calibri" w:hAnsi="Verdana" w:cs="Arial"/>
          <w:sz w:val="20"/>
          <w:szCs w:val="20"/>
          <w:lang w:val="es-ES" w:eastAsia="es-ES"/>
        </w:rPr>
        <w:t xml:space="preserve">Quisiera saber que decreto tiene Función pública Por el cual se fija la escala de viáticos para un contratista? se hace sobre el 60% del salario del contratista? Una entidad publica debe regirse por ese decreto o ellos pueden sacar una resolución propia. </w:t>
      </w:r>
      <w:r w:rsidRPr="00A43145">
        <w:rPr>
          <w:rFonts w:ascii="Verdana" w:eastAsia="Calibri" w:hAnsi="Verdana" w:cs="Arial"/>
          <w:sz w:val="20"/>
          <w:szCs w:val="20"/>
          <w:lang w:val="es-ES" w:eastAsia="es-ES"/>
        </w:rPr>
        <w:t>[sic]</w:t>
      </w:r>
      <w:r w:rsidR="00A96BF0" w:rsidRPr="00A43145">
        <w:rPr>
          <w:rFonts w:ascii="Verdana" w:eastAsia="Calibri" w:hAnsi="Verdana" w:cs="Arial"/>
          <w:sz w:val="20"/>
          <w:szCs w:val="20"/>
          <w:lang w:val="es-ES" w:eastAsia="es-ES"/>
        </w:rPr>
        <w:t>”</w:t>
      </w:r>
    </w:p>
    <w:p w14:paraId="59ACC790" w14:textId="77777777" w:rsidR="00FC3EC1" w:rsidRPr="00A43145" w:rsidRDefault="00FC3EC1" w:rsidP="00FC3EC1">
      <w:pPr>
        <w:spacing w:after="0" w:line="276" w:lineRule="auto"/>
        <w:ind w:left="709" w:right="758"/>
        <w:jc w:val="both"/>
        <w:rPr>
          <w:rFonts w:ascii="Verdana" w:eastAsia="Century Gothic" w:hAnsi="Verdana" w:cs="Century Gothic"/>
          <w:i/>
          <w:iCs/>
        </w:rPr>
      </w:pPr>
    </w:p>
    <w:p w14:paraId="1078C241" w14:textId="77777777" w:rsidR="00AB64A5" w:rsidRPr="00A43145" w:rsidRDefault="00AB64A5" w:rsidP="00AB64A5">
      <w:pPr>
        <w:spacing w:after="120" w:line="276" w:lineRule="auto"/>
        <w:ind w:firstLine="709"/>
        <w:jc w:val="both"/>
        <w:rPr>
          <w:rFonts w:ascii="Verdana" w:eastAsia="Calibri" w:hAnsi="Verdana" w:cs="Arial"/>
          <w:color w:val="000000"/>
          <w:lang w:val="es-ES_tradnl" w:eastAsia="es-ES_tradnl"/>
        </w:rPr>
      </w:pPr>
      <w:r w:rsidRPr="00A43145">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43145">
        <w:rPr>
          <w:rFonts w:ascii="Verdana" w:eastAsia="Calibri" w:hAnsi="Verdana" w:cs="Arial"/>
          <w:color w:val="000000"/>
          <w:lang w:val="es-ES_tradnl" w:eastAsia="es-ES_tradnl"/>
        </w:rPr>
        <w:tab/>
      </w:r>
    </w:p>
    <w:p w14:paraId="03C1028C" w14:textId="77777777" w:rsidR="00AB64A5" w:rsidRPr="00A43145" w:rsidRDefault="00AB64A5" w:rsidP="00AB64A5">
      <w:pPr>
        <w:spacing w:after="0" w:line="276" w:lineRule="auto"/>
        <w:ind w:firstLine="709"/>
        <w:jc w:val="both"/>
        <w:rPr>
          <w:rFonts w:ascii="Verdana" w:eastAsia="Calibri" w:hAnsi="Verdana" w:cs="Arial"/>
          <w:color w:val="000000"/>
          <w:lang w:val="es-ES" w:eastAsia="es-ES"/>
        </w:rPr>
      </w:pPr>
      <w:r w:rsidRPr="00A4314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A43145">
        <w:rPr>
          <w:rFonts w:ascii="Verdana" w:eastAsia="Calibri" w:hAnsi="Verdana" w:cs="Arial"/>
          <w:color w:val="7030A0"/>
          <w:lang w:val="es-ES" w:eastAsia="es-ES"/>
        </w:rPr>
        <w:t xml:space="preserve"> </w:t>
      </w:r>
      <w:r w:rsidRPr="00A43145">
        <w:rPr>
          <w:rFonts w:ascii="Verdana" w:eastAsia="Calibri" w:hAnsi="Verdana" w:cs="Arial"/>
          <w:color w:val="000000"/>
          <w:lang w:val="es-ES" w:eastAsia="es-ES"/>
        </w:rPr>
        <w:t>jurídico</w:t>
      </w:r>
      <w:r w:rsidRPr="00A43145">
        <w:rPr>
          <w:rFonts w:ascii="Verdana" w:eastAsia="Calibri" w:hAnsi="Verdana" w:cs="Arial"/>
          <w:color w:val="7030A0"/>
          <w:lang w:val="es-ES" w:eastAsia="es-ES"/>
        </w:rPr>
        <w:t xml:space="preserve"> </w:t>
      </w:r>
      <w:r w:rsidRPr="00A43145">
        <w:rPr>
          <w:rFonts w:ascii="Verdana" w:eastAsia="Calibri" w:hAnsi="Verdana" w:cs="Arial"/>
          <w:color w:val="000000"/>
          <w:lang w:val="es-ES" w:eastAsia="es-ES"/>
        </w:rPr>
        <w:t xml:space="preserve">de su consulta. </w:t>
      </w:r>
    </w:p>
    <w:p w14:paraId="1E8B5A8D" w14:textId="77777777" w:rsidR="00AB64A5" w:rsidRPr="00A43145" w:rsidRDefault="00AB64A5" w:rsidP="00AB64A5">
      <w:pPr>
        <w:spacing w:after="0" w:line="276" w:lineRule="auto"/>
        <w:ind w:firstLine="709"/>
        <w:jc w:val="both"/>
        <w:rPr>
          <w:rFonts w:ascii="Verdana" w:eastAsia="Calibri" w:hAnsi="Verdana" w:cs="Arial"/>
          <w:color w:val="000000"/>
          <w:lang w:val="es-ES" w:eastAsia="es-ES"/>
        </w:rPr>
      </w:pPr>
    </w:p>
    <w:p w14:paraId="631D94B5" w14:textId="77777777" w:rsidR="00AB64A5" w:rsidRPr="00A43145" w:rsidRDefault="00AB64A5" w:rsidP="00AB64A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43145">
        <w:rPr>
          <w:rFonts w:ascii="Verdana" w:eastAsia="Century Gothic" w:hAnsi="Verdana" w:cs="Century Gothic"/>
          <w:b/>
          <w:bCs/>
        </w:rPr>
        <w:t>Problema planteado:</w:t>
      </w:r>
    </w:p>
    <w:p w14:paraId="00DEDA85" w14:textId="77777777" w:rsidR="00AB64A5" w:rsidRPr="00A43145" w:rsidRDefault="00AB64A5" w:rsidP="00AB64A5">
      <w:pPr>
        <w:tabs>
          <w:tab w:val="left" w:pos="426"/>
        </w:tabs>
        <w:spacing w:after="0" w:line="276" w:lineRule="auto"/>
        <w:jc w:val="both"/>
        <w:rPr>
          <w:rFonts w:ascii="Verdana" w:eastAsia="Century Gothic" w:hAnsi="Verdana" w:cs="Century Gothic"/>
          <w:lang w:val="es-ES"/>
        </w:rPr>
      </w:pPr>
    </w:p>
    <w:p w14:paraId="6C677CB7" w14:textId="3D8AF862" w:rsidR="00FC3EC1" w:rsidRPr="00A43145" w:rsidRDefault="00AB64A5" w:rsidP="00553F39">
      <w:pPr>
        <w:spacing w:after="0" w:line="276" w:lineRule="auto"/>
        <w:ind w:right="49"/>
        <w:jc w:val="both"/>
        <w:rPr>
          <w:rFonts w:ascii="Verdana" w:eastAsia="Calibri" w:hAnsi="Verdana" w:cs="Arial"/>
          <w:lang w:val="es-ES" w:eastAsia="es-ES"/>
        </w:rPr>
      </w:pPr>
      <w:r w:rsidRPr="00A43145">
        <w:rPr>
          <w:rFonts w:ascii="Verdana" w:eastAsia="Century Gothic" w:hAnsi="Verdana" w:cs="Century Gothic"/>
        </w:rPr>
        <w:t>De acuerdo con el contenido de su solicitud, esta Agencia resolverá el siguiente problema jurídic</w:t>
      </w:r>
      <w:r w:rsidR="0060538B" w:rsidRPr="00A43145">
        <w:rPr>
          <w:rFonts w:ascii="Verdana" w:eastAsia="Century Gothic" w:hAnsi="Verdana" w:cs="Century Gothic"/>
        </w:rPr>
        <w:t>o</w:t>
      </w:r>
      <w:r w:rsidR="0060538B" w:rsidRPr="00A43145">
        <w:rPr>
          <w:rFonts w:ascii="Verdana" w:eastAsia="Calibri" w:hAnsi="Verdana" w:cs="Times New Roman"/>
        </w:rPr>
        <w:t xml:space="preserve">: </w:t>
      </w:r>
      <w:r w:rsidR="00A02C57" w:rsidRPr="00A43145">
        <w:rPr>
          <w:rFonts w:ascii="Verdana" w:eastAsia="Calibri" w:hAnsi="Verdana" w:cs="Times New Roman"/>
        </w:rPr>
        <w:t>¿Una Entidad Estatal puede incluir gastos de desplazamiento en un contrato de prestación de servicios</w:t>
      </w:r>
      <w:r w:rsidR="0060538B" w:rsidRPr="00A43145">
        <w:rPr>
          <w:rFonts w:ascii="Verdana" w:eastAsia="Calibri" w:hAnsi="Verdana" w:cs="Times New Roman"/>
        </w:rPr>
        <w:t>?</w:t>
      </w:r>
    </w:p>
    <w:p w14:paraId="510EDFE3" w14:textId="77777777" w:rsidR="00CD258B" w:rsidRPr="00A43145" w:rsidRDefault="00CD258B" w:rsidP="00CD258B">
      <w:pPr>
        <w:spacing w:after="0" w:line="276" w:lineRule="auto"/>
        <w:jc w:val="both"/>
        <w:rPr>
          <w:rFonts w:ascii="Verdana" w:eastAsia="Century Gothic" w:hAnsi="Verdana" w:cs="Century Gothic"/>
          <w:lang w:val="es-ES"/>
        </w:rPr>
      </w:pPr>
    </w:p>
    <w:p w14:paraId="09F450DC" w14:textId="537FCE6A" w:rsidR="00AB64A5" w:rsidRPr="00A43145"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43145">
        <w:rPr>
          <w:rFonts w:ascii="Verdana" w:eastAsia="Century Gothic" w:hAnsi="Verdana" w:cs="Century Gothic"/>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B64A5" w:rsidRPr="00A43145" w14:paraId="7E3B28CD" w14:textId="77777777" w:rsidTr="007B0B27">
        <w:tc>
          <w:tcPr>
            <w:tcW w:w="8828" w:type="dxa"/>
            <w:shd w:val="clear" w:color="auto" w:fill="auto"/>
          </w:tcPr>
          <w:p w14:paraId="25EBCD48" w14:textId="77777777" w:rsidR="005C6825" w:rsidRPr="00A43145" w:rsidRDefault="005C6825" w:rsidP="00A02C57">
            <w:pPr>
              <w:spacing w:after="120" w:line="276" w:lineRule="auto"/>
              <w:jc w:val="both"/>
              <w:rPr>
                <w:rFonts w:ascii="Verdana" w:eastAsia="Calibri" w:hAnsi="Verdana" w:cs="Arial"/>
                <w:u w:val="single"/>
                <w:lang w:val="es-ES_tradnl"/>
              </w:rPr>
            </w:pPr>
          </w:p>
          <w:p w14:paraId="5F1C0F8A" w14:textId="17D2D8D0" w:rsidR="00A02C57" w:rsidRPr="00A43145" w:rsidRDefault="00A02C57" w:rsidP="00A43145">
            <w:pPr>
              <w:widowControl w:val="0"/>
              <w:autoSpaceDE w:val="0"/>
              <w:autoSpaceDN w:val="0"/>
              <w:spacing w:before="120" w:after="120" w:line="276" w:lineRule="auto"/>
              <w:jc w:val="both"/>
              <w:rPr>
                <w:rFonts w:ascii="Verdana" w:eastAsia="Calibri" w:hAnsi="Verdana" w:cs="Arial"/>
                <w:bCs/>
                <w:color w:val="000000"/>
                <w:kern w:val="2"/>
                <w:lang w:val="es-ES"/>
                <w14:ligatures w14:val="standardContextual"/>
              </w:rPr>
            </w:pPr>
            <w:r w:rsidRPr="00A43145">
              <w:rPr>
                <w:rFonts w:ascii="Verdana" w:eastAsia="Calibri" w:hAnsi="Verdana" w:cs="Arial"/>
                <w:bCs/>
                <w:color w:val="000000"/>
                <w:kern w:val="2"/>
                <w:lang w:val="es-ES"/>
                <w14:ligatures w14:val="standardContextual"/>
              </w:rPr>
              <w:t xml:space="preserve">Al respecto es necesario mencionar que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w:t>
            </w:r>
            <w:r w:rsidRPr="00A43145">
              <w:rPr>
                <w:rFonts w:ascii="Verdana" w:eastAsia="Calibri" w:hAnsi="Verdana" w:cs="Arial"/>
                <w:bCs/>
                <w:color w:val="000000"/>
                <w:kern w:val="2"/>
                <w:lang w:val="es-ES"/>
                <w14:ligatures w14:val="standardContextual"/>
              </w:rPr>
              <w:lastRenderedPageBreak/>
              <w:t>las entidades no puedan hacerlo.</w:t>
            </w:r>
          </w:p>
          <w:p w14:paraId="528D0C94" w14:textId="52C87515" w:rsidR="00A02C57" w:rsidRPr="00A43145" w:rsidRDefault="00A02C57" w:rsidP="00A43145">
            <w:pPr>
              <w:widowControl w:val="0"/>
              <w:autoSpaceDE w:val="0"/>
              <w:autoSpaceDN w:val="0"/>
              <w:spacing w:before="120" w:after="120" w:line="276" w:lineRule="auto"/>
              <w:jc w:val="both"/>
              <w:rPr>
                <w:rFonts w:ascii="Verdana" w:eastAsia="Calibri" w:hAnsi="Verdana" w:cs="Arial"/>
                <w:bCs/>
                <w:color w:val="000000"/>
                <w:kern w:val="2"/>
                <w:lang w:val="es-ES"/>
                <w14:ligatures w14:val="standardContextual"/>
              </w:rPr>
            </w:pPr>
            <w:r w:rsidRPr="00A43145">
              <w:rPr>
                <w:rFonts w:ascii="Verdana" w:eastAsia="Calibri" w:hAnsi="Verdana" w:cs="Arial"/>
                <w:bCs/>
                <w:color w:val="000000"/>
                <w:kern w:val="2"/>
                <w:lang w:val="es-ES"/>
                <w14:ligatures w14:val="standardContextual"/>
              </w:rPr>
              <w:t>Finalmente se aclara, que en la fijación de honorarios o valor del contrato se incluyen impuestos, desplazamientos y otros costos que se generen para el contratista con ocasión de la ejecución del contrato. Esto en razón a que, la ejecución de un contrato de prestación de servicios puede involucrar múltiples tributos o gastos, para las partes del contrato, siempre que las actividades derivadas de su ejecución o dependiendo del régimen tributario del contratista, en todo caso cada entidad deberá analizar y determinar las condiciones a estipular en el contrato para su debida ejecución contractual, lo anterior, bajo la facultad discrecional de la cual gozan las Entidades Estatales.</w:t>
            </w:r>
          </w:p>
          <w:p w14:paraId="4108809F" w14:textId="53A6FC33" w:rsidR="00A02C57" w:rsidRPr="00A43145" w:rsidRDefault="00A02C57" w:rsidP="00A02C57">
            <w:pPr>
              <w:spacing w:after="120" w:line="276" w:lineRule="auto"/>
              <w:jc w:val="both"/>
              <w:rPr>
                <w:rFonts w:ascii="Verdana" w:eastAsia="Calibri" w:hAnsi="Verdana" w:cs="Arial"/>
                <w:u w:val="single"/>
                <w:lang w:val="es-ES_tradnl"/>
              </w:rPr>
            </w:pPr>
          </w:p>
        </w:tc>
      </w:tr>
    </w:tbl>
    <w:p w14:paraId="25FD70A0" w14:textId="77777777" w:rsidR="00C04209" w:rsidRPr="00A43145" w:rsidRDefault="00C04209" w:rsidP="00C0420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94193F0" w14:textId="1CFCB6CC" w:rsidR="00AB64A5" w:rsidRPr="00A43145"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43145">
        <w:rPr>
          <w:rFonts w:ascii="Verdana" w:eastAsia="Century Gothic" w:hAnsi="Verdana" w:cs="Century Gothic"/>
          <w:b/>
          <w:bCs/>
        </w:rPr>
        <w:t>Razones de la respuesta:</w:t>
      </w:r>
    </w:p>
    <w:p w14:paraId="03D52260" w14:textId="77777777" w:rsidR="00AB64A5" w:rsidRPr="00A43145" w:rsidRDefault="00AB64A5" w:rsidP="00AB64A5">
      <w:pPr>
        <w:spacing w:after="0" w:line="276" w:lineRule="auto"/>
        <w:jc w:val="both"/>
        <w:rPr>
          <w:rFonts w:ascii="Verdana" w:eastAsia="Calibri" w:hAnsi="Verdana" w:cs="Arial"/>
          <w:color w:val="7030A0"/>
          <w:lang w:val="es-ES"/>
        </w:rPr>
      </w:pPr>
    </w:p>
    <w:p w14:paraId="22947B98" w14:textId="77777777" w:rsidR="00AB64A5" w:rsidRPr="00A43145" w:rsidRDefault="00AB64A5" w:rsidP="00AB64A5">
      <w:pPr>
        <w:spacing w:after="0" w:line="276" w:lineRule="auto"/>
        <w:jc w:val="both"/>
        <w:rPr>
          <w:rFonts w:ascii="Verdana" w:eastAsia="Calibri" w:hAnsi="Verdana" w:cs="Arial"/>
          <w:lang w:val="es-ES"/>
        </w:rPr>
      </w:pPr>
      <w:r w:rsidRPr="00A43145">
        <w:rPr>
          <w:rFonts w:ascii="Verdana" w:eastAsia="Calibri" w:hAnsi="Verdana" w:cs="Arial"/>
          <w:lang w:val="es-ES"/>
        </w:rPr>
        <w:t xml:space="preserve">Lo anterior se sustenta en las siguientes consideraciones: </w:t>
      </w:r>
    </w:p>
    <w:p w14:paraId="1B0B6DAD" w14:textId="77777777" w:rsidR="000E2148" w:rsidRPr="00A43145" w:rsidRDefault="000E2148" w:rsidP="00AB64A5">
      <w:pPr>
        <w:spacing w:after="0" w:line="276" w:lineRule="auto"/>
        <w:jc w:val="both"/>
        <w:rPr>
          <w:rFonts w:ascii="Verdana" w:eastAsia="Calibri" w:hAnsi="Verdana" w:cs="Arial"/>
          <w:lang w:val="es-ES"/>
        </w:rPr>
      </w:pPr>
    </w:p>
    <w:p w14:paraId="2A2F76A2" w14:textId="77777777" w:rsidR="00A02C57" w:rsidRPr="00A43145" w:rsidRDefault="00A02C57" w:rsidP="00A02C57">
      <w:pPr>
        <w:spacing w:after="0" w:line="276" w:lineRule="auto"/>
        <w:contextualSpacing/>
        <w:jc w:val="both"/>
        <w:rPr>
          <w:rFonts w:ascii="Verdana" w:eastAsia="Calibri" w:hAnsi="Verdana" w:cs="Arial"/>
          <w:b/>
          <w:lang w:val="es-MX"/>
        </w:rPr>
      </w:pPr>
      <w:bookmarkStart w:id="2" w:name="_Hlk133214950"/>
    </w:p>
    <w:p w14:paraId="79E6F2B3" w14:textId="77777777" w:rsidR="00A02C57" w:rsidRPr="00A43145" w:rsidRDefault="00A02C57" w:rsidP="00A02C57">
      <w:pPr>
        <w:pStyle w:val="Prrafodelista"/>
        <w:numPr>
          <w:ilvl w:val="0"/>
          <w:numId w:val="37"/>
        </w:numPr>
        <w:tabs>
          <w:tab w:val="left" w:pos="0"/>
        </w:tabs>
        <w:spacing w:after="120" w:line="276" w:lineRule="auto"/>
        <w:jc w:val="both"/>
        <w:rPr>
          <w:rFonts w:ascii="Verdana" w:eastAsia="Calibri" w:hAnsi="Verdana" w:cs="Arial"/>
          <w:color w:val="000000"/>
          <w:lang w:val="es-ES_tradnl"/>
        </w:rPr>
      </w:pPr>
      <w:r w:rsidRPr="00A43145">
        <w:rPr>
          <w:rFonts w:ascii="Verdana" w:eastAsia="Calibri" w:hAnsi="Verdana" w:cs="Arial"/>
          <w:bCs/>
          <w:lang w:val="es-MX"/>
        </w:rPr>
        <w:t>El contrato de prestación de servicios es un contrato estatal típico regulado en el</w:t>
      </w:r>
      <w:r w:rsidRPr="00A43145">
        <w:rPr>
          <w:rFonts w:ascii="Verdana" w:eastAsia="Calibri" w:hAnsi="Verdana" w:cs="Arial"/>
          <w:bCs/>
        </w:rPr>
        <w:t xml:space="preserve">el numeral 3 del artículo 32 </w:t>
      </w:r>
      <w:r w:rsidRPr="00A43145">
        <w:rPr>
          <w:rFonts w:ascii="Verdana" w:eastAsia="Calibri" w:hAnsi="Verdana" w:cs="Arial"/>
          <w:color w:val="000000"/>
        </w:rPr>
        <w:t>de la Ley 80 de 1993. Es definido como aquel que “celebren las entidades estatales para desarrollar actividades relacionadas con la administración o funcionamiento de la entidad.</w:t>
      </w:r>
      <w:bookmarkEnd w:id="2"/>
      <w:r w:rsidRPr="00A43145">
        <w:rPr>
          <w:rFonts w:ascii="Verdana" w:eastAsia="Calibri" w:hAnsi="Verdana" w:cs="Arial"/>
          <w:color w:val="000000"/>
        </w:rPr>
        <w:t xml:space="preserve">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43145">
        <w:rPr>
          <w:rFonts w:ascii="Verdana" w:eastAsia="Calibri" w:hAnsi="Verdana" w:cs="Arial"/>
          <w:color w:val="000000"/>
          <w:lang w:val="es-ES_tradnl"/>
        </w:rPr>
        <w:t xml:space="preserve"> </w:t>
      </w:r>
    </w:p>
    <w:p w14:paraId="3A65790B" w14:textId="77777777" w:rsidR="00A02C57" w:rsidRPr="00A43145" w:rsidRDefault="00A02C57" w:rsidP="00A02C57">
      <w:pPr>
        <w:pStyle w:val="Prrafodelista"/>
        <w:tabs>
          <w:tab w:val="left" w:pos="0"/>
        </w:tabs>
        <w:spacing w:after="120" w:line="276" w:lineRule="auto"/>
        <w:jc w:val="both"/>
        <w:rPr>
          <w:rFonts w:ascii="Verdana" w:eastAsia="Calibri" w:hAnsi="Verdana" w:cs="Arial"/>
          <w:color w:val="000000"/>
          <w:lang w:val="es-ES_tradnl"/>
        </w:rPr>
      </w:pPr>
    </w:p>
    <w:p w14:paraId="2BF9B2AB" w14:textId="36C8FA38" w:rsidR="00A02C57" w:rsidRPr="00A43145" w:rsidRDefault="00A02C57" w:rsidP="468AF0CE">
      <w:pPr>
        <w:pStyle w:val="Prrafodelista"/>
        <w:numPr>
          <w:ilvl w:val="0"/>
          <w:numId w:val="37"/>
        </w:numPr>
        <w:spacing w:after="0" w:line="276" w:lineRule="auto"/>
        <w:jc w:val="both"/>
        <w:rPr>
          <w:rFonts w:ascii="Verdana" w:eastAsia="Calibri" w:hAnsi="Verdana" w:cs="Arial"/>
          <w:color w:val="000000"/>
          <w:lang w:val="es-ES"/>
        </w:rPr>
      </w:pPr>
      <w:r w:rsidRPr="468AF0CE">
        <w:rPr>
          <w:rFonts w:ascii="Verdana" w:eastAsia="Calibri" w:hAnsi="Verdana" w:cs="Arial"/>
          <w:color w:val="000000" w:themeColor="text1"/>
          <w:lang w:val="es-ES"/>
        </w:rPr>
        <w:t>La celebración de dicho contrato debe efectuarse a través de la modalidad de contratación directa. Así lo dispone el artículo 2, numeral 4º, literal h), de la Ley 1150 de 2007:</w:t>
      </w:r>
    </w:p>
    <w:p w14:paraId="2548047E" w14:textId="77777777" w:rsidR="00A02C57" w:rsidRPr="00A43145" w:rsidRDefault="00A02C57" w:rsidP="00A02C57">
      <w:pPr>
        <w:tabs>
          <w:tab w:val="left" w:pos="0"/>
        </w:tabs>
        <w:spacing w:after="0" w:line="276" w:lineRule="auto"/>
        <w:jc w:val="both"/>
        <w:rPr>
          <w:rFonts w:ascii="Verdana" w:eastAsia="Calibri" w:hAnsi="Verdana" w:cs="Arial"/>
          <w:color w:val="000000"/>
          <w:lang w:val="es-ES_tradnl"/>
        </w:rPr>
      </w:pPr>
    </w:p>
    <w:p w14:paraId="56E11C5B" w14:textId="77777777" w:rsidR="00A02C57" w:rsidRPr="00A43145" w:rsidRDefault="00A02C57" w:rsidP="00A02C57">
      <w:pPr>
        <w:pStyle w:val="Prrafodelista"/>
        <w:spacing w:after="0" w:line="276" w:lineRule="auto"/>
        <w:ind w:right="709"/>
        <w:jc w:val="both"/>
        <w:rPr>
          <w:rFonts w:ascii="Verdana" w:eastAsia="Calibri" w:hAnsi="Verdana" w:cs="Arial"/>
          <w:color w:val="000000"/>
          <w:sz w:val="20"/>
          <w:szCs w:val="20"/>
        </w:rPr>
      </w:pPr>
      <w:r w:rsidRPr="00A43145">
        <w:rPr>
          <w:rFonts w:ascii="Verdana" w:eastAsia="Calibri" w:hAnsi="Verdana" w:cs="Arial"/>
          <w:color w:val="000000"/>
          <w:sz w:val="20"/>
          <w:szCs w:val="20"/>
        </w:rPr>
        <w:t>“La escogencia del contratista se efectuará con arreglo a las modalidades de selección de licitación pública, selección abreviada, concurso de méritos y contratación directa, con base en las siguientes reglas:</w:t>
      </w:r>
    </w:p>
    <w:p w14:paraId="1509ACF2" w14:textId="77777777" w:rsidR="00A02C57" w:rsidRPr="00A43145" w:rsidRDefault="00A02C57" w:rsidP="00A02C57">
      <w:pPr>
        <w:spacing w:after="0" w:line="276" w:lineRule="auto"/>
        <w:ind w:left="709" w:right="709"/>
        <w:jc w:val="both"/>
        <w:rPr>
          <w:rFonts w:ascii="Verdana" w:eastAsia="Calibri" w:hAnsi="Verdana" w:cs="Arial"/>
          <w:color w:val="000000"/>
          <w:sz w:val="20"/>
          <w:szCs w:val="20"/>
        </w:rPr>
      </w:pPr>
    </w:p>
    <w:p w14:paraId="2F3C8A3F" w14:textId="77777777" w:rsidR="00A02C57" w:rsidRPr="00A43145" w:rsidRDefault="00A02C57" w:rsidP="00A02C57">
      <w:pPr>
        <w:pStyle w:val="Prrafodelista"/>
        <w:spacing w:after="0" w:line="276" w:lineRule="auto"/>
        <w:ind w:right="709"/>
        <w:jc w:val="both"/>
        <w:rPr>
          <w:rFonts w:ascii="Verdana" w:eastAsia="Calibri" w:hAnsi="Verdana" w:cs="Arial"/>
          <w:color w:val="000000"/>
          <w:sz w:val="20"/>
          <w:szCs w:val="20"/>
        </w:rPr>
      </w:pPr>
      <w:r w:rsidRPr="00A43145">
        <w:rPr>
          <w:rFonts w:ascii="Verdana" w:eastAsia="Calibri" w:hAnsi="Verdana" w:cs="Arial"/>
          <w:color w:val="000000"/>
          <w:sz w:val="20"/>
          <w:szCs w:val="20"/>
        </w:rPr>
        <w:t>[…]</w:t>
      </w:r>
    </w:p>
    <w:p w14:paraId="40904D8E" w14:textId="77777777" w:rsidR="00A02C57" w:rsidRPr="00A43145" w:rsidRDefault="00A02C57" w:rsidP="00A02C57">
      <w:pPr>
        <w:spacing w:after="0" w:line="276" w:lineRule="auto"/>
        <w:ind w:left="709" w:right="709"/>
        <w:jc w:val="both"/>
        <w:rPr>
          <w:rFonts w:ascii="Verdana" w:eastAsia="Calibri" w:hAnsi="Verdana" w:cs="Arial"/>
          <w:color w:val="000000"/>
          <w:sz w:val="20"/>
          <w:szCs w:val="20"/>
        </w:rPr>
      </w:pPr>
    </w:p>
    <w:p w14:paraId="7AFC230A" w14:textId="43B65528" w:rsidR="00A02C57" w:rsidRPr="00A43145" w:rsidRDefault="00A02C57" w:rsidP="00A02C57">
      <w:pPr>
        <w:pStyle w:val="Prrafodelista"/>
        <w:spacing w:after="0" w:line="276" w:lineRule="auto"/>
        <w:ind w:right="709"/>
        <w:jc w:val="both"/>
        <w:rPr>
          <w:rFonts w:ascii="Verdana" w:eastAsia="Calibri" w:hAnsi="Verdana" w:cs="Arial"/>
          <w:color w:val="000000"/>
          <w:sz w:val="20"/>
          <w:szCs w:val="20"/>
        </w:rPr>
      </w:pPr>
      <w:r w:rsidRPr="00A43145">
        <w:rPr>
          <w:rFonts w:ascii="Verdana" w:eastAsia="Calibri" w:hAnsi="Verdana" w:cs="Arial"/>
          <w:color w:val="000000"/>
          <w:sz w:val="20"/>
          <w:szCs w:val="20"/>
        </w:rPr>
        <w:t>Contratación directa. La modalidad de selección de contratación directa solamente procederá en los siguientes casos:</w:t>
      </w:r>
    </w:p>
    <w:p w14:paraId="35D92A66" w14:textId="77777777" w:rsidR="00A02C57" w:rsidRPr="00A43145" w:rsidRDefault="00A02C57" w:rsidP="00A02C57">
      <w:pPr>
        <w:spacing w:after="0" w:line="276" w:lineRule="auto"/>
        <w:ind w:left="709" w:right="709"/>
        <w:jc w:val="both"/>
        <w:rPr>
          <w:rFonts w:ascii="Verdana" w:eastAsia="Calibri" w:hAnsi="Verdana" w:cs="Arial"/>
          <w:color w:val="000000"/>
          <w:sz w:val="20"/>
          <w:szCs w:val="20"/>
        </w:rPr>
      </w:pPr>
    </w:p>
    <w:p w14:paraId="673C56F4" w14:textId="1F71BCC1" w:rsidR="00A02C57" w:rsidRPr="00A43145" w:rsidRDefault="00A02C57" w:rsidP="00A02C57">
      <w:pPr>
        <w:pStyle w:val="Prrafodelista"/>
        <w:spacing w:after="0" w:line="276" w:lineRule="auto"/>
        <w:ind w:right="709"/>
        <w:jc w:val="both"/>
        <w:rPr>
          <w:rFonts w:ascii="Verdana" w:eastAsia="Calibri" w:hAnsi="Verdana" w:cs="Arial"/>
          <w:color w:val="000000"/>
          <w:sz w:val="20"/>
          <w:szCs w:val="20"/>
        </w:rPr>
      </w:pPr>
      <w:r w:rsidRPr="00A43145">
        <w:rPr>
          <w:rFonts w:ascii="Verdana" w:eastAsia="Calibri" w:hAnsi="Verdana" w:cs="Arial"/>
          <w:color w:val="000000"/>
          <w:sz w:val="20"/>
          <w:szCs w:val="20"/>
        </w:rPr>
        <w:t>[…]</w:t>
      </w:r>
    </w:p>
    <w:p w14:paraId="10E0CEEC" w14:textId="77777777" w:rsidR="00A02C57" w:rsidRPr="00A43145" w:rsidRDefault="00A02C57" w:rsidP="00A02C57">
      <w:pPr>
        <w:spacing w:after="0" w:line="276" w:lineRule="auto"/>
        <w:ind w:left="709" w:right="709"/>
        <w:jc w:val="both"/>
        <w:rPr>
          <w:rFonts w:ascii="Verdana" w:eastAsia="Calibri" w:hAnsi="Verdana" w:cs="Arial"/>
          <w:color w:val="000000"/>
          <w:sz w:val="20"/>
          <w:szCs w:val="20"/>
        </w:rPr>
      </w:pPr>
    </w:p>
    <w:p w14:paraId="1B6EE604" w14:textId="77777777" w:rsidR="00A02C57" w:rsidRPr="00A43145" w:rsidRDefault="00A02C57" w:rsidP="00A02C57">
      <w:pPr>
        <w:pStyle w:val="Prrafodelista"/>
        <w:spacing w:after="0" w:line="276" w:lineRule="auto"/>
        <w:ind w:right="709"/>
        <w:jc w:val="both"/>
        <w:rPr>
          <w:rFonts w:ascii="Verdana" w:eastAsia="Calibri" w:hAnsi="Verdana" w:cs="Arial"/>
          <w:color w:val="000000"/>
          <w:sz w:val="20"/>
          <w:szCs w:val="20"/>
        </w:rPr>
      </w:pPr>
      <w:r w:rsidRPr="00A43145">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p>
    <w:p w14:paraId="087AD65D" w14:textId="77777777" w:rsidR="00A02C57" w:rsidRPr="00A43145" w:rsidRDefault="00A02C57" w:rsidP="00A02C57">
      <w:pPr>
        <w:spacing w:after="0" w:line="276" w:lineRule="auto"/>
        <w:ind w:left="709" w:right="709"/>
        <w:jc w:val="both"/>
        <w:rPr>
          <w:rFonts w:ascii="Verdana" w:eastAsia="Calibri" w:hAnsi="Verdana" w:cs="Arial"/>
          <w:color w:val="000000"/>
        </w:rPr>
      </w:pPr>
    </w:p>
    <w:p w14:paraId="6B7E5605" w14:textId="137ED6A6" w:rsidR="00A02C57" w:rsidRPr="00A43145" w:rsidRDefault="00A02C57" w:rsidP="00A02C57">
      <w:pPr>
        <w:pStyle w:val="Prrafodelista"/>
        <w:numPr>
          <w:ilvl w:val="0"/>
          <w:numId w:val="37"/>
        </w:numPr>
        <w:tabs>
          <w:tab w:val="left" w:pos="0"/>
        </w:tabs>
        <w:spacing w:after="120" w:line="276" w:lineRule="auto"/>
        <w:jc w:val="both"/>
        <w:rPr>
          <w:rFonts w:ascii="Verdana" w:eastAsia="Calibri" w:hAnsi="Verdana" w:cs="Arial"/>
          <w:noProof/>
          <w:lang w:val="es-ES_tradnl"/>
        </w:rPr>
      </w:pPr>
      <w:r w:rsidRPr="00A43145">
        <w:rPr>
          <w:rFonts w:ascii="Verdana" w:eastAsia="Calibri" w:hAnsi="Verdana" w:cs="Arial"/>
          <w:color w:val="000000"/>
          <w:lang w:val="es-ES_tradnl"/>
        </w:rPr>
        <w:t>A partir de las disposiciones normativas citadas y de los pronunciamientos judiciales más destacados sobre el tema, es posible señalar las siguientes características del contrato de prestación de servicios</w:t>
      </w:r>
      <w:r w:rsidRPr="00A43145">
        <w:rPr>
          <w:rFonts w:ascii="Verdana" w:eastAsia="Calibri" w:hAnsi="Verdana" w:cs="Arial"/>
          <w:noProof/>
          <w:lang w:val="es-ES_tradnl"/>
        </w:rPr>
        <w:t>:</w:t>
      </w:r>
    </w:p>
    <w:p w14:paraId="729768AA" w14:textId="77777777" w:rsidR="00A02C57" w:rsidRPr="00A43145" w:rsidRDefault="00A02C57" w:rsidP="00A02C57">
      <w:pPr>
        <w:tabs>
          <w:tab w:val="left" w:pos="0"/>
        </w:tabs>
        <w:spacing w:after="120" w:line="276" w:lineRule="auto"/>
        <w:jc w:val="both"/>
        <w:rPr>
          <w:rFonts w:ascii="Verdana" w:eastAsia="Calibri" w:hAnsi="Verdana" w:cs="Arial"/>
          <w:noProof/>
          <w:lang w:val="es-ES_tradnl"/>
        </w:rPr>
      </w:pPr>
    </w:p>
    <w:p w14:paraId="26536AB5"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i) Solo puede celebrarse para realizar “actividades relacionadas con la administración o funcionamiento de la entidad”, es decir, que hagan parte de su giro ordinario o quehacer cotidiano.</w:t>
      </w:r>
    </w:p>
    <w:p w14:paraId="69317AB1"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ii) Admite que se suscriba tanto con personas naturales como con personas jurídicas. Sin embargo, cuando se celebre con personas naturales,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A3CC972" w14:textId="40159010"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43145">
        <w:rPr>
          <w:rFonts w:ascii="Verdana" w:eastAsia="Calibri" w:hAnsi="Verdana" w:cs="Arial"/>
          <w:i/>
          <w:noProof/>
          <w:lang w:val="es-ES_tradnl"/>
        </w:rPr>
        <w:t xml:space="preserve">subordinación </w:t>
      </w:r>
      <w:r w:rsidRPr="00A43145">
        <w:rPr>
          <w:rFonts w:ascii="Verdana" w:eastAsia="Calibri" w:hAnsi="Verdana" w:cs="Arial"/>
          <w:iCs/>
          <w:noProof/>
          <w:lang w:val="es-ES_tradnl"/>
        </w:rPr>
        <w:t>ni</w:t>
      </w:r>
      <w:r w:rsidRPr="00A43145">
        <w:rPr>
          <w:rFonts w:ascii="Verdana" w:eastAsia="Calibri" w:hAnsi="Verdana" w:cs="Arial"/>
          <w:i/>
          <w:noProof/>
          <w:lang w:val="es-ES_tradnl"/>
        </w:rPr>
        <w:t xml:space="preserve"> dependencia</w:t>
      </w:r>
      <w:r w:rsidRPr="00A43145">
        <w:rPr>
          <w:rFonts w:ascii="Verdana" w:eastAsia="Calibri" w:hAnsi="Verdana" w:cs="Arial"/>
          <w:iCs/>
          <w:noProof/>
          <w:lang w:val="es-ES_tradnl"/>
        </w:rPr>
        <w:t>,</w:t>
      </w:r>
      <w:r w:rsidRPr="00A43145">
        <w:rPr>
          <w:rFonts w:ascii="Verdana" w:eastAsia="Calibri" w:hAnsi="Verdana" w:cs="Arial"/>
          <w:noProof/>
          <w:lang w:val="es-ES_tradnl"/>
        </w:rPr>
        <w:t xml:space="preserve"> que es uno de los elementos constitutivos del vínculo </w:t>
      </w:r>
      <w:r w:rsidRPr="00A43145">
        <w:rPr>
          <w:rFonts w:ascii="Verdana" w:eastAsia="Calibri" w:hAnsi="Verdana" w:cs="Arial"/>
          <w:noProof/>
          <w:lang w:val="es-ES_tradnl"/>
        </w:rPr>
        <w:lastRenderedPageBreak/>
        <w:t>laboral</w:t>
      </w:r>
      <w:r w:rsidRPr="00A43145">
        <w:rPr>
          <w:rFonts w:ascii="Verdana" w:eastAsia="Calibri" w:hAnsi="Verdana" w:cs="Arial"/>
          <w:noProof/>
          <w:vertAlign w:val="superscript"/>
          <w:lang w:val="es-ES_tradnl"/>
        </w:rPr>
        <w:footnoteReference w:id="1"/>
      </w:r>
      <w:r w:rsidRPr="00A43145">
        <w:rPr>
          <w:rFonts w:ascii="Verdana" w:eastAsia="Calibri"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A43145">
        <w:rPr>
          <w:rFonts w:ascii="Verdana" w:eastAsia="Calibri" w:hAnsi="Verdana" w:cs="Arial"/>
          <w:i/>
          <w:noProof/>
          <w:lang w:val="es-ES_tradnl"/>
        </w:rPr>
        <w:t>no pueden</w:t>
      </w:r>
      <w:r w:rsidRPr="00A43145">
        <w:rPr>
          <w:rFonts w:ascii="Verdana" w:eastAsia="Calibri"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00A43145">
        <w:rPr>
          <w:rFonts w:ascii="Verdana" w:eastAsia="Calibri" w:hAnsi="Verdana" w:cs="Arial"/>
          <w:noProof/>
          <w:lang w:val="es-ES_tradnl"/>
        </w:rPr>
        <w:t>“</w:t>
      </w:r>
      <w:r w:rsidRPr="00A43145">
        <w:rPr>
          <w:rFonts w:ascii="Verdana" w:eastAsia="Calibri" w:hAnsi="Verdana" w:cs="Arial"/>
          <w:noProof/>
          <w:lang w:val="es-ES_tradnl"/>
        </w:rPr>
        <w:t>trabajador independiente</w:t>
      </w:r>
      <w:r w:rsidR="00A43145">
        <w:rPr>
          <w:rFonts w:ascii="Verdana" w:eastAsia="Calibri" w:hAnsi="Verdana" w:cs="Arial"/>
          <w:noProof/>
          <w:lang w:val="es-ES_tradnl"/>
        </w:rPr>
        <w:t>”</w:t>
      </w:r>
      <w:r w:rsidRPr="00A43145">
        <w:rPr>
          <w:rFonts w:ascii="Verdana" w:eastAsia="Calibri" w:hAnsi="Verdana" w:cs="Arial"/>
          <w:noProof/>
          <w:lang w:val="es-ES_tradnl"/>
        </w:rPr>
        <w:t xml:space="preserve"> –como lo califican las normas de la seguridad social– debe cotizar por su cuenta y riesgo al Sistema de Seguridad Social Integral</w:t>
      </w:r>
      <w:r w:rsidRPr="00A43145">
        <w:rPr>
          <w:rFonts w:ascii="Verdana" w:eastAsia="Calibri" w:hAnsi="Verdana" w:cs="Arial"/>
          <w:noProof/>
          <w:vertAlign w:val="superscript"/>
          <w:lang w:val="es-ES_tradnl"/>
        </w:rPr>
        <w:footnoteReference w:id="2"/>
      </w:r>
      <w:r w:rsidRPr="00A43145">
        <w:rPr>
          <w:rFonts w:ascii="Verdana" w:eastAsia="Calibri" w:hAnsi="Verdana" w:cs="Arial"/>
          <w:noProof/>
          <w:lang w:val="es-ES_tradnl"/>
        </w:rPr>
        <w:t xml:space="preserve">. </w:t>
      </w:r>
    </w:p>
    <w:p w14:paraId="7908D887"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 xml:space="preserve">A pesar de este mandato deontológico, es posible que en la práctica se configure una relación laboral, pues el contrato de trabajo es </w:t>
      </w:r>
      <w:r w:rsidRPr="00A43145">
        <w:rPr>
          <w:rFonts w:ascii="Verdana" w:eastAsia="Calibri" w:hAnsi="Verdana" w:cs="Arial"/>
          <w:i/>
          <w:iCs/>
          <w:noProof/>
          <w:lang w:val="es-ES_tradnl"/>
        </w:rPr>
        <w:t xml:space="preserve">de </w:t>
      </w:r>
      <w:r w:rsidRPr="00A43145">
        <w:rPr>
          <w:rFonts w:ascii="Verdana" w:eastAsia="Calibri" w:hAnsi="Verdana" w:cs="Arial"/>
          <w:i/>
          <w:noProof/>
          <w:lang w:val="es-ES_tradnl"/>
        </w:rPr>
        <w:t>realidad</w:t>
      </w:r>
      <w:r w:rsidRPr="00A43145">
        <w:rPr>
          <w:rFonts w:ascii="Verdana" w:eastAsia="Calibri" w:hAnsi="Verdana" w:cs="Arial"/>
          <w:noProof/>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A43145">
        <w:rPr>
          <w:rFonts w:ascii="Verdana" w:eastAsia="Calibri" w:hAnsi="Verdana" w:cs="Arial"/>
          <w:noProof/>
          <w:vertAlign w:val="superscript"/>
          <w:lang w:val="es-ES_tradnl"/>
        </w:rPr>
        <w:footnoteReference w:id="3"/>
      </w:r>
      <w:r w:rsidRPr="00A43145">
        <w:rPr>
          <w:rFonts w:ascii="Verdana" w:eastAsia="Calibri" w:hAnsi="Verdana" w:cs="Arial"/>
          <w:noProof/>
          <w:lang w:val="es-ES_tradnl"/>
        </w:rPr>
        <w:t>.</w:t>
      </w:r>
    </w:p>
    <w:p w14:paraId="6367A322" w14:textId="77777777" w:rsidR="00A02C57" w:rsidRPr="00A43145" w:rsidRDefault="00A02C57" w:rsidP="00A02C57">
      <w:pPr>
        <w:tabs>
          <w:tab w:val="left" w:pos="851"/>
        </w:tabs>
        <w:spacing w:after="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 xml:space="preserve">iv) Deben ser temporales. Así lo consideró la Corte Constitucional en la misma providencia a la que se aludió antes, expresando que: </w:t>
      </w:r>
    </w:p>
    <w:p w14:paraId="19EA455E" w14:textId="77777777" w:rsidR="00A02C57" w:rsidRPr="00A43145" w:rsidRDefault="00A02C57" w:rsidP="00A02C57">
      <w:pPr>
        <w:tabs>
          <w:tab w:val="left" w:pos="851"/>
        </w:tabs>
        <w:spacing w:after="0" w:line="276" w:lineRule="auto"/>
        <w:ind w:left="709"/>
        <w:jc w:val="both"/>
        <w:rPr>
          <w:rFonts w:ascii="Verdana" w:eastAsia="Calibri" w:hAnsi="Verdana" w:cs="Arial"/>
          <w:noProof/>
          <w:sz w:val="20"/>
          <w:szCs w:val="20"/>
          <w:lang w:val="es-ES_tradnl"/>
        </w:rPr>
      </w:pPr>
    </w:p>
    <w:p w14:paraId="4B73DDD9" w14:textId="3F2DBFFC" w:rsidR="00A02C57" w:rsidRPr="00A43145" w:rsidRDefault="00A02C57" w:rsidP="00A02C57">
      <w:pPr>
        <w:tabs>
          <w:tab w:val="left" w:pos="851"/>
        </w:tabs>
        <w:spacing w:after="0" w:line="240" w:lineRule="auto"/>
        <w:ind w:left="709" w:right="709"/>
        <w:jc w:val="both"/>
        <w:rPr>
          <w:rFonts w:ascii="Verdana" w:eastAsia="Calibri" w:hAnsi="Verdana" w:cs="Arial"/>
          <w:noProof/>
          <w:sz w:val="20"/>
          <w:szCs w:val="20"/>
          <w:lang w:val="es-ES_tradnl"/>
        </w:rPr>
      </w:pPr>
      <w:r w:rsidRPr="00A43145">
        <w:rPr>
          <w:rFonts w:ascii="Verdana" w:eastAsia="Calibri"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w:t>
      </w:r>
      <w:r w:rsidRPr="00A43145">
        <w:rPr>
          <w:rFonts w:ascii="Verdana" w:eastAsia="Calibri" w:hAnsi="Verdana" w:cs="Arial"/>
          <w:noProof/>
          <w:sz w:val="20"/>
          <w:szCs w:val="20"/>
          <w:lang w:val="es-ES_tradnl"/>
        </w:rPr>
        <w:lastRenderedPageBreak/>
        <w:t>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00A43145">
        <w:rPr>
          <w:rFonts w:ascii="Verdana" w:eastAsia="Calibri" w:hAnsi="Verdana" w:cs="Arial"/>
          <w:noProof/>
          <w:sz w:val="20"/>
          <w:szCs w:val="20"/>
          <w:lang w:val="es-ES_tradnl"/>
        </w:rPr>
        <w:t>”</w:t>
      </w:r>
      <w:r w:rsidRPr="00A43145">
        <w:rPr>
          <w:rFonts w:ascii="Verdana" w:eastAsia="Calibri" w:hAnsi="Verdana" w:cs="Arial"/>
          <w:noProof/>
          <w:sz w:val="20"/>
          <w:szCs w:val="20"/>
          <w:vertAlign w:val="superscript"/>
          <w:lang w:val="es-ES_tradnl"/>
        </w:rPr>
        <w:footnoteReference w:id="4"/>
      </w:r>
      <w:r w:rsidRPr="00A43145">
        <w:rPr>
          <w:rFonts w:ascii="Verdana" w:eastAsia="Calibri" w:hAnsi="Verdana" w:cs="Arial"/>
          <w:noProof/>
          <w:sz w:val="20"/>
          <w:szCs w:val="20"/>
          <w:lang w:val="es-ES_tradnl"/>
        </w:rPr>
        <w:t>.</w:t>
      </w:r>
    </w:p>
    <w:p w14:paraId="3712983D" w14:textId="77777777" w:rsidR="00A02C57" w:rsidRPr="00A43145" w:rsidRDefault="00A02C57" w:rsidP="00A02C57">
      <w:pPr>
        <w:tabs>
          <w:tab w:val="left" w:pos="851"/>
        </w:tabs>
        <w:spacing w:after="0" w:line="276" w:lineRule="auto"/>
        <w:ind w:left="709" w:right="709"/>
        <w:jc w:val="both"/>
        <w:rPr>
          <w:rFonts w:ascii="Verdana" w:eastAsia="Calibri" w:hAnsi="Verdana" w:cs="Arial"/>
          <w:noProof/>
          <w:lang w:val="es-ES_tradnl"/>
        </w:rPr>
      </w:pPr>
    </w:p>
    <w:p w14:paraId="5F671DCC" w14:textId="77777777" w:rsidR="00A02C57" w:rsidRPr="00A43145" w:rsidRDefault="00A02C57" w:rsidP="468AF0CE">
      <w:pPr>
        <w:tabs>
          <w:tab w:val="left" w:pos="851"/>
        </w:tabs>
        <w:spacing w:after="0" w:line="276" w:lineRule="auto"/>
        <w:ind w:left="709"/>
        <w:jc w:val="both"/>
        <w:rPr>
          <w:rFonts w:ascii="Verdana" w:eastAsia="Calibri" w:hAnsi="Verdana" w:cs="Arial"/>
          <w:color w:val="000000"/>
          <w:lang w:val="es-ES"/>
        </w:rPr>
      </w:pPr>
      <w:r w:rsidRPr="468AF0CE">
        <w:rPr>
          <w:rFonts w:ascii="Verdana" w:eastAsia="Calibri" w:hAnsi="Verdana" w:cs="Arial"/>
          <w:noProof/>
          <w:lang w:val="es-ES"/>
        </w:rPr>
        <w:t xml:space="preserve">v) </w:t>
      </w:r>
      <w:r w:rsidRPr="468AF0CE">
        <w:rPr>
          <w:rFonts w:ascii="Verdana" w:eastAsia="Calibri" w:hAnsi="Verdana" w:cs="Arial"/>
          <w:color w:val="000000"/>
          <w:lang w:val="es-ES"/>
        </w:rPr>
        <w:t xml:space="preserve">Los contratos de prestación de servicios constituyen un </w:t>
      </w:r>
      <w:r w:rsidRPr="468AF0CE">
        <w:rPr>
          <w:rFonts w:ascii="Verdana" w:eastAsia="Calibri" w:hAnsi="Verdana" w:cs="Arial"/>
          <w:i/>
          <w:iCs/>
          <w:color w:val="000000"/>
          <w:lang w:val="es-ES"/>
        </w:rPr>
        <w:t>género</w:t>
      </w:r>
      <w:r w:rsidRPr="468AF0CE">
        <w:rPr>
          <w:rFonts w:ascii="Verdana" w:eastAsia="Calibri" w:hAnsi="Verdana" w:cs="Arial"/>
          <w:color w:val="000000"/>
          <w:lang w:val="es-ES"/>
        </w:rPr>
        <w:t xml:space="preserve"> que incluye, como </w:t>
      </w:r>
      <w:r w:rsidRPr="468AF0CE">
        <w:rPr>
          <w:rFonts w:ascii="Verdana" w:eastAsia="Calibri" w:hAnsi="Verdana" w:cs="Arial"/>
          <w:i/>
          <w:iCs/>
          <w:color w:val="000000"/>
          <w:lang w:val="es-ES"/>
        </w:rPr>
        <w:t>especies</w:t>
      </w:r>
      <w:r w:rsidRPr="468AF0CE">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468AF0CE">
        <w:rPr>
          <w:rFonts w:ascii="Verdana" w:eastAsia="Calibri" w:hAnsi="Verdana" w:cs="Arial"/>
          <w:color w:val="000000"/>
          <w:vertAlign w:val="superscript"/>
          <w:lang w:val="es-ES"/>
        </w:rPr>
        <w:footnoteReference w:id="5"/>
      </w:r>
      <w:r w:rsidRPr="468AF0CE">
        <w:rPr>
          <w:rFonts w:ascii="Verdana" w:eastAsia="Calibri" w:hAnsi="Verdana" w:cs="Arial"/>
          <w:color w:val="000000"/>
          <w:lang w:val="es-ES"/>
        </w:rPr>
        <w:t xml:space="preserve">. La diferencia entre el contrato de prestación de servicios </w:t>
      </w:r>
      <w:r w:rsidRPr="468AF0CE">
        <w:rPr>
          <w:rFonts w:ascii="Verdana" w:eastAsia="Calibri" w:hAnsi="Verdana" w:cs="Arial"/>
          <w:i/>
          <w:iCs/>
          <w:color w:val="000000"/>
          <w:lang w:val="es-ES"/>
        </w:rPr>
        <w:t>profesionales</w:t>
      </w:r>
      <w:r w:rsidRPr="468AF0CE">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11EEF972"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p>
    <w:p w14:paraId="17E45831" w14:textId="77777777" w:rsidR="00A02C57" w:rsidRPr="00A43145" w:rsidRDefault="00A02C57" w:rsidP="00A02C57">
      <w:pPr>
        <w:tabs>
          <w:tab w:val="left" w:pos="851"/>
        </w:tabs>
        <w:spacing w:after="0" w:line="240" w:lineRule="auto"/>
        <w:ind w:left="709" w:right="709"/>
        <w:jc w:val="both"/>
        <w:rPr>
          <w:rFonts w:ascii="Verdana" w:eastAsia="Calibri" w:hAnsi="Verdana" w:cs="Arial"/>
          <w:color w:val="000000"/>
          <w:sz w:val="20"/>
          <w:szCs w:val="20"/>
          <w:lang w:val="es-ES"/>
        </w:rPr>
      </w:pPr>
      <w:r w:rsidRPr="00A43145">
        <w:rPr>
          <w:rFonts w:ascii="Verdana" w:eastAsia="Calibri" w:hAnsi="Verdana" w:cs="Arial"/>
          <w:color w:val="000000"/>
          <w:sz w:val="20"/>
          <w:szCs w:val="20"/>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43145">
        <w:rPr>
          <w:rFonts w:ascii="Verdana" w:eastAsia="Calibri" w:hAnsi="Verdana" w:cs="Arial"/>
          <w:color w:val="000000"/>
          <w:sz w:val="20"/>
          <w:szCs w:val="20"/>
          <w:vertAlign w:val="superscript"/>
          <w:lang w:val="es-ES"/>
        </w:rPr>
        <w:footnoteReference w:id="6"/>
      </w:r>
    </w:p>
    <w:p w14:paraId="2E18181C"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p>
    <w:p w14:paraId="6D61A883"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r w:rsidRPr="00A43145">
        <w:rPr>
          <w:rFonts w:ascii="Verdana" w:eastAsia="Calibri" w:hAnsi="Verdana" w:cs="Arial"/>
          <w:color w:val="000000"/>
          <w:lang w:val="es-ES_tradnl"/>
        </w:rPr>
        <w:t>Objeto que, según la sentencia que se cita, se diferencia del objeto del contrato de prestación de servicios de apoyo a la gestión, porque en este:</w:t>
      </w:r>
    </w:p>
    <w:p w14:paraId="568A8839"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p>
    <w:p w14:paraId="1B98DC6F" w14:textId="77777777" w:rsidR="00A02C57" w:rsidRPr="00A43145" w:rsidRDefault="00A02C57" w:rsidP="00A02C57">
      <w:pPr>
        <w:tabs>
          <w:tab w:val="left" w:pos="851"/>
        </w:tabs>
        <w:spacing w:after="0" w:line="276" w:lineRule="auto"/>
        <w:ind w:left="709" w:right="709"/>
        <w:jc w:val="both"/>
        <w:rPr>
          <w:rFonts w:ascii="Verdana" w:eastAsia="Calibri" w:hAnsi="Verdana" w:cs="Arial"/>
          <w:color w:val="000000"/>
          <w:sz w:val="20"/>
          <w:szCs w:val="20"/>
          <w:lang w:val="es-ES_tradnl"/>
        </w:rPr>
      </w:pPr>
      <w:r w:rsidRPr="00A43145">
        <w:rPr>
          <w:rFonts w:ascii="Verdana" w:eastAsia="Calibri" w:hAnsi="Verdana" w:cs="Arial"/>
          <w:color w:val="000000"/>
          <w:sz w:val="20"/>
          <w:szCs w:val="20"/>
          <w:lang w:val="es-ES_tradnl"/>
        </w:rPr>
        <w:lastRenderedPageBreak/>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24D4D1D" w14:textId="77777777" w:rsidR="00A02C57" w:rsidRPr="00A43145" w:rsidRDefault="00A02C57" w:rsidP="00A02C57">
      <w:pPr>
        <w:tabs>
          <w:tab w:val="left" w:pos="851"/>
        </w:tabs>
        <w:spacing w:after="0" w:line="276" w:lineRule="auto"/>
        <w:ind w:left="709" w:right="709"/>
        <w:jc w:val="both"/>
        <w:rPr>
          <w:rFonts w:ascii="Verdana" w:eastAsia="Calibri" w:hAnsi="Verdana" w:cs="Arial"/>
          <w:color w:val="000000"/>
          <w:sz w:val="20"/>
          <w:szCs w:val="20"/>
          <w:lang w:val="es-ES_tradnl"/>
        </w:rPr>
      </w:pPr>
    </w:p>
    <w:p w14:paraId="7A94339D" w14:textId="77777777" w:rsidR="00A02C57" w:rsidRPr="00A43145" w:rsidRDefault="00A02C57" w:rsidP="468AF0CE">
      <w:pPr>
        <w:tabs>
          <w:tab w:val="left" w:pos="851"/>
        </w:tabs>
        <w:spacing w:after="0" w:line="276" w:lineRule="auto"/>
        <w:ind w:left="709" w:right="709"/>
        <w:jc w:val="both"/>
        <w:rPr>
          <w:rFonts w:ascii="Verdana" w:eastAsia="Calibri" w:hAnsi="Verdana" w:cs="Arial"/>
          <w:color w:val="000000"/>
          <w:sz w:val="20"/>
          <w:szCs w:val="20"/>
          <w:lang w:val="es-ES"/>
        </w:rPr>
      </w:pPr>
      <w:r w:rsidRPr="468AF0CE">
        <w:rPr>
          <w:rFonts w:ascii="Verdana" w:eastAsia="Calibri" w:hAnsi="Verdana" w:cs="Arial"/>
          <w:color w:val="000000" w:themeColor="text1"/>
          <w:sz w:val="20"/>
          <w:szCs w:val="20"/>
          <w:lang w:val="es-ES"/>
        </w:rPr>
        <w:t xml:space="preserve">Aunque también se caracteriza por el desempeño de actividad intelectiva, ésta </w:t>
      </w:r>
      <w:proofErr w:type="gramStart"/>
      <w:r w:rsidRPr="468AF0CE">
        <w:rPr>
          <w:rFonts w:ascii="Verdana" w:eastAsia="Calibri" w:hAnsi="Verdana" w:cs="Arial"/>
          <w:color w:val="000000" w:themeColor="text1"/>
          <w:sz w:val="20"/>
          <w:szCs w:val="20"/>
          <w:lang w:val="es-ES"/>
        </w:rPr>
        <w:t>se enmarca dentro de</w:t>
      </w:r>
      <w:proofErr w:type="gramEnd"/>
      <w:r w:rsidRPr="468AF0CE">
        <w:rPr>
          <w:rFonts w:ascii="Verdana" w:eastAsia="Calibri"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228D0553" w14:textId="77777777" w:rsidR="00A02C57" w:rsidRPr="00A43145" w:rsidRDefault="00A02C57" w:rsidP="00A02C57">
      <w:pPr>
        <w:tabs>
          <w:tab w:val="left" w:pos="851"/>
        </w:tabs>
        <w:spacing w:after="0" w:line="276" w:lineRule="auto"/>
        <w:ind w:left="709" w:right="709"/>
        <w:jc w:val="both"/>
        <w:rPr>
          <w:rFonts w:ascii="Verdana" w:eastAsia="Calibri" w:hAnsi="Verdana" w:cs="Arial"/>
          <w:color w:val="000000"/>
          <w:sz w:val="20"/>
          <w:szCs w:val="20"/>
          <w:lang w:val="es-ES_tradnl"/>
        </w:rPr>
      </w:pPr>
    </w:p>
    <w:p w14:paraId="1711FB39" w14:textId="77777777" w:rsidR="00A02C57" w:rsidRPr="00A43145" w:rsidRDefault="00A02C57" w:rsidP="00A02C57">
      <w:pPr>
        <w:tabs>
          <w:tab w:val="left" w:pos="851"/>
        </w:tabs>
        <w:spacing w:after="0" w:line="276" w:lineRule="auto"/>
        <w:ind w:left="709" w:right="709"/>
        <w:jc w:val="both"/>
        <w:rPr>
          <w:rFonts w:ascii="Verdana" w:eastAsia="Calibri" w:hAnsi="Verdana" w:cs="Arial"/>
          <w:color w:val="000000"/>
          <w:sz w:val="20"/>
          <w:szCs w:val="20"/>
          <w:lang w:val="es-ES_tradnl"/>
        </w:rPr>
      </w:pPr>
      <w:r w:rsidRPr="00A43145">
        <w:rPr>
          <w:rFonts w:ascii="Verdana" w:eastAsia="Calibri" w:hAnsi="Verdana" w:cs="Arial"/>
          <w:color w:val="000000"/>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43145">
        <w:rPr>
          <w:rFonts w:ascii="Verdana" w:eastAsia="Calibri" w:hAnsi="Verdana" w:cs="Arial"/>
          <w:color w:val="000000"/>
          <w:sz w:val="20"/>
          <w:szCs w:val="20"/>
          <w:vertAlign w:val="superscript"/>
          <w:lang w:val="es-ES_tradnl"/>
        </w:rPr>
        <w:footnoteReference w:id="7"/>
      </w:r>
      <w:r w:rsidRPr="00A43145">
        <w:rPr>
          <w:rFonts w:ascii="Verdana" w:eastAsia="Calibri" w:hAnsi="Verdana" w:cs="Arial"/>
          <w:color w:val="000000"/>
          <w:sz w:val="20"/>
          <w:szCs w:val="20"/>
          <w:lang w:val="es-ES_tradnl"/>
        </w:rPr>
        <w:t>.</w:t>
      </w:r>
    </w:p>
    <w:p w14:paraId="27DF8AC8"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p>
    <w:p w14:paraId="45DBE2AA" w14:textId="77777777" w:rsidR="00A02C57" w:rsidRPr="00A43145" w:rsidRDefault="00A02C57" w:rsidP="00A02C57">
      <w:pPr>
        <w:tabs>
          <w:tab w:val="left" w:pos="851"/>
        </w:tabs>
        <w:spacing w:after="0" w:line="276" w:lineRule="auto"/>
        <w:ind w:left="709"/>
        <w:jc w:val="both"/>
        <w:rPr>
          <w:rFonts w:ascii="Verdana" w:eastAsia="Calibri" w:hAnsi="Verdana" w:cs="Arial"/>
          <w:color w:val="000000"/>
          <w:lang w:val="es-ES_tradnl"/>
        </w:rPr>
      </w:pPr>
      <w:r w:rsidRPr="00A43145">
        <w:rPr>
          <w:rFonts w:ascii="Verdana" w:eastAsia="Calibri" w:hAnsi="Verdana" w:cs="Arial"/>
          <w:color w:val="000000"/>
          <w:lang w:val="es-ES_tradnl"/>
        </w:rPr>
        <w:t>En relación con el contrato de prestación de servicios artísticos que solo pueden encomendarse a determinadas personas naturales, señala el mencionado fallo que:</w:t>
      </w:r>
    </w:p>
    <w:p w14:paraId="1F935C97" w14:textId="77777777" w:rsidR="00A02C57" w:rsidRPr="00A43145" w:rsidRDefault="00A02C57" w:rsidP="00A02C57">
      <w:pPr>
        <w:tabs>
          <w:tab w:val="left" w:pos="851"/>
        </w:tabs>
        <w:spacing w:after="0" w:line="276" w:lineRule="auto"/>
        <w:ind w:left="709" w:right="709"/>
        <w:jc w:val="both"/>
        <w:rPr>
          <w:rFonts w:ascii="Verdana" w:eastAsia="Calibri" w:hAnsi="Verdana" w:cs="Arial"/>
          <w:color w:val="000000"/>
          <w:sz w:val="20"/>
          <w:szCs w:val="20"/>
          <w:lang w:val="es-ES_tradnl"/>
        </w:rPr>
      </w:pPr>
    </w:p>
    <w:p w14:paraId="7353D59C" w14:textId="77777777" w:rsidR="00A02C57" w:rsidRPr="00A43145" w:rsidRDefault="00A02C57" w:rsidP="00A02C57">
      <w:pPr>
        <w:tabs>
          <w:tab w:val="left" w:pos="851"/>
        </w:tabs>
        <w:spacing w:after="0" w:line="240" w:lineRule="auto"/>
        <w:ind w:left="709" w:right="709"/>
        <w:jc w:val="both"/>
        <w:rPr>
          <w:rFonts w:ascii="Verdana" w:eastAsia="Calibri" w:hAnsi="Verdana" w:cs="Arial"/>
          <w:color w:val="000000"/>
          <w:sz w:val="20"/>
          <w:szCs w:val="20"/>
          <w:lang w:val="es-ES_tradnl"/>
        </w:rPr>
      </w:pPr>
      <w:r w:rsidRPr="00A43145">
        <w:rPr>
          <w:rFonts w:ascii="Verdana" w:eastAsia="Calibri" w:hAnsi="Verdana" w:cs="Arial"/>
          <w:color w:val="000000"/>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A43145">
        <w:rPr>
          <w:rFonts w:ascii="Verdana" w:eastAsia="Calibri" w:hAnsi="Verdana" w:cs="Arial"/>
          <w:color w:val="000000"/>
          <w:sz w:val="20"/>
          <w:szCs w:val="20"/>
          <w:vertAlign w:val="superscript"/>
          <w:lang w:val="es-ES_tradnl"/>
        </w:rPr>
        <w:footnoteReference w:id="8"/>
      </w:r>
      <w:r w:rsidRPr="00A43145">
        <w:rPr>
          <w:rFonts w:ascii="Verdana" w:eastAsia="Calibri" w:hAnsi="Verdana" w:cs="Arial"/>
          <w:color w:val="000000"/>
          <w:sz w:val="20"/>
          <w:szCs w:val="20"/>
          <w:lang w:val="es-ES_tradnl"/>
        </w:rPr>
        <w:t>.</w:t>
      </w:r>
    </w:p>
    <w:p w14:paraId="7236A9D2" w14:textId="77777777" w:rsidR="00A02C57" w:rsidRPr="00A43145" w:rsidRDefault="00A02C57" w:rsidP="00A02C57">
      <w:pPr>
        <w:tabs>
          <w:tab w:val="left" w:pos="851"/>
        </w:tabs>
        <w:spacing w:after="0" w:line="276" w:lineRule="auto"/>
        <w:ind w:left="709"/>
        <w:jc w:val="both"/>
        <w:rPr>
          <w:rFonts w:ascii="Verdana" w:eastAsia="Calibri" w:hAnsi="Verdana" w:cs="Arial"/>
          <w:noProof/>
          <w:lang w:val="es-ES_tradnl"/>
        </w:rPr>
      </w:pPr>
    </w:p>
    <w:p w14:paraId="361DC9B6"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vi)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A43145">
        <w:rPr>
          <w:rFonts w:ascii="Verdana" w:eastAsia="Calibri" w:hAnsi="Verdana" w:cs="Arial"/>
          <w:noProof/>
          <w:vertAlign w:val="superscript"/>
          <w:lang w:val="es-ES_tradnl"/>
        </w:rPr>
        <w:footnoteReference w:id="9"/>
      </w:r>
      <w:r w:rsidRPr="00A43145">
        <w:rPr>
          <w:rFonts w:ascii="Verdana" w:eastAsia="Calibri" w:hAnsi="Verdana" w:cs="Arial"/>
          <w:noProof/>
          <w:lang w:val="es-ES_tradnl"/>
        </w:rPr>
        <w:t xml:space="preserve">. Debe aclararse que no debe </w:t>
      </w:r>
      <w:r w:rsidRPr="00A43145">
        <w:rPr>
          <w:rFonts w:ascii="Verdana" w:eastAsia="Calibri" w:hAnsi="Verdana" w:cs="Arial"/>
          <w:noProof/>
          <w:lang w:val="es-ES_tradnl"/>
        </w:rPr>
        <w:lastRenderedPageBreak/>
        <w:t>suscribirse un contrato de prestación de servicios profesionales para ejecutar actividades que se enmarcan en los otros contratos tipificados en el artículo 32 de la Ley 80 de 1993, como, por ejemplo, la construcción de una obra.</w:t>
      </w:r>
    </w:p>
    <w:p w14:paraId="2FD01EAA"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vi) Para celebrarlo no se requiere en algunos casos expedir un acto administrativo de justificación de la contratación directa</w:t>
      </w:r>
      <w:r w:rsidRPr="00A43145">
        <w:rPr>
          <w:rFonts w:ascii="Verdana" w:eastAsia="Calibri" w:hAnsi="Verdana" w:cs="Arial"/>
          <w:noProof/>
          <w:vertAlign w:val="superscript"/>
          <w:lang w:val="es-ES_tradnl"/>
        </w:rPr>
        <w:footnoteReference w:id="10"/>
      </w:r>
      <w:r w:rsidRPr="00A43145">
        <w:rPr>
          <w:rFonts w:ascii="Verdana" w:eastAsia="Calibri" w:hAnsi="Verdana" w:cs="Arial"/>
          <w:noProof/>
          <w:lang w:val="es-ES_tradnl"/>
        </w:rPr>
        <w:t>.</w:t>
      </w:r>
    </w:p>
    <w:p w14:paraId="5E35278A"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sidRPr="00A43145">
        <w:rPr>
          <w:rFonts w:ascii="Verdana" w:eastAsia="Calibri" w:hAnsi="Verdana" w:cs="Arial"/>
          <w:noProof/>
          <w:vertAlign w:val="superscript"/>
          <w:lang w:val="es-ES_tradnl"/>
        </w:rPr>
        <w:footnoteReference w:id="11"/>
      </w:r>
      <w:r w:rsidRPr="00A43145">
        <w:rPr>
          <w:rFonts w:ascii="Verdana" w:eastAsia="Calibri" w:hAnsi="Verdana" w:cs="Arial"/>
          <w:noProof/>
          <w:lang w:val="es-ES_tradnl"/>
        </w:rPr>
        <w:t>.</w:t>
      </w:r>
    </w:p>
    <w:p w14:paraId="383AB36C"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viii) No es obligatorio liquidar estos contratos, como lo establece el artículo 217 del Decreto 019 de 2012, que modificó el artículo 60 de la Ley 80 de 1993, refiriendose a los contratos de prestacion de servicios y de paoyo a la gestión</w:t>
      </w:r>
      <w:r w:rsidRPr="00A43145">
        <w:rPr>
          <w:rFonts w:ascii="Verdana" w:eastAsia="Calibri" w:hAnsi="Verdana" w:cs="Arial"/>
          <w:noProof/>
          <w:vertAlign w:val="superscript"/>
          <w:lang w:val="es-ES_tradnl"/>
        </w:rPr>
        <w:footnoteReference w:id="12"/>
      </w:r>
      <w:r w:rsidRPr="00A43145">
        <w:rPr>
          <w:rFonts w:ascii="Verdana" w:eastAsia="Calibri" w:hAnsi="Verdana" w:cs="Arial"/>
          <w:noProof/>
          <w:lang w:val="es-ES_tradnl"/>
        </w:rPr>
        <w:t>.</w:t>
      </w:r>
    </w:p>
    <w:p w14:paraId="3F020B5A"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ix) Para celebrarlos no se requiere estar inscrito en el Registro Único de Proponentes –RUP–, como lo señala el artículo 6 de la Ley 1150 de 2007</w:t>
      </w:r>
      <w:r w:rsidRPr="00A43145">
        <w:rPr>
          <w:rFonts w:ascii="Verdana" w:eastAsia="Calibri" w:hAnsi="Verdana" w:cs="Arial"/>
          <w:noProof/>
          <w:vertAlign w:val="superscript"/>
          <w:lang w:val="es-ES_tradnl"/>
        </w:rPr>
        <w:footnoteReference w:id="13"/>
      </w:r>
      <w:r w:rsidRPr="00A43145">
        <w:rPr>
          <w:rFonts w:ascii="Verdana" w:eastAsia="Calibri" w:hAnsi="Verdana" w:cs="Arial"/>
          <w:noProof/>
          <w:lang w:val="es-ES_tradnl"/>
        </w:rPr>
        <w:t>.</w:t>
      </w:r>
    </w:p>
    <w:p w14:paraId="4C7A62B9" w14:textId="77777777" w:rsidR="00A02C57" w:rsidRPr="00A43145" w:rsidRDefault="00A02C57" w:rsidP="00A02C57">
      <w:pPr>
        <w:tabs>
          <w:tab w:val="left" w:pos="851"/>
        </w:tabs>
        <w:spacing w:after="120" w:line="276" w:lineRule="auto"/>
        <w:ind w:left="709"/>
        <w:jc w:val="both"/>
        <w:rPr>
          <w:rFonts w:ascii="Verdana" w:eastAsia="Calibri" w:hAnsi="Verdana" w:cs="Arial"/>
          <w:noProof/>
          <w:lang w:val="es-ES_tradnl"/>
        </w:rPr>
      </w:pPr>
      <w:r w:rsidRPr="00A43145">
        <w:rPr>
          <w:rFonts w:ascii="Verdana" w:eastAsia="Calibri" w:hAnsi="Verdana" w:cs="Arial"/>
          <w:noProof/>
          <w:lang w:val="es-ES_tradnl"/>
        </w:rPr>
        <w:t>x) No es necesario que el Estado exija garantías</w:t>
      </w:r>
      <w:r w:rsidRPr="00A43145">
        <w:rPr>
          <w:rFonts w:ascii="Verdana" w:eastAsia="Calibri" w:hAnsi="Verdana" w:cs="Arial"/>
          <w:noProof/>
          <w:vertAlign w:val="superscript"/>
          <w:lang w:val="es-ES_tradnl"/>
        </w:rPr>
        <w:footnoteReference w:id="14"/>
      </w:r>
      <w:r w:rsidRPr="00A43145">
        <w:rPr>
          <w:rFonts w:ascii="Verdana" w:eastAsia="Calibri" w:hAnsi="Verdana" w:cs="Arial"/>
          <w:noProof/>
          <w:lang w:val="es-ES_tradnl"/>
        </w:rPr>
        <w:t>.</w:t>
      </w:r>
      <w:r w:rsidRPr="00A43145">
        <w:rPr>
          <w:rFonts w:ascii="Verdana" w:eastAsia="Calibri" w:hAnsi="Verdana" w:cs="Arial"/>
          <w:color w:val="000000"/>
          <w:lang w:val="es-ES_tradnl"/>
        </w:rPr>
        <w:t xml:space="preserve">. </w:t>
      </w:r>
    </w:p>
    <w:p w14:paraId="0E2A23AF" w14:textId="77777777" w:rsidR="00A02C57" w:rsidRPr="00A43145" w:rsidRDefault="00A02C57" w:rsidP="00A02C57">
      <w:pPr>
        <w:pStyle w:val="paragraph"/>
        <w:tabs>
          <w:tab w:val="left" w:pos="851"/>
        </w:tabs>
        <w:spacing w:before="0" w:beforeAutospacing="0" w:after="0" w:afterAutospacing="0"/>
        <w:ind w:left="709"/>
        <w:jc w:val="both"/>
        <w:textAlignment w:val="baseline"/>
        <w:rPr>
          <w:rFonts w:ascii="Verdana" w:hAnsi="Verdana" w:cs="Segoe UI"/>
          <w:sz w:val="18"/>
          <w:szCs w:val="18"/>
        </w:rPr>
      </w:pPr>
      <w:r w:rsidRPr="00A43145">
        <w:rPr>
          <w:rStyle w:val="normaltextrun"/>
          <w:rFonts w:ascii="Verdana" w:hAnsi="Verdana" w:cs="Arial"/>
          <w:sz w:val="22"/>
          <w:szCs w:val="22"/>
          <w:lang w:val="es-ES"/>
        </w:rPr>
        <w:t>xi) Como los demás contratos estatales, se trata de un contrato solemne que debe constar por escrito y debe ser publicado en el SECOP.</w:t>
      </w:r>
      <w:r w:rsidRPr="00A43145">
        <w:rPr>
          <w:rStyle w:val="eop"/>
          <w:rFonts w:ascii="Verdana" w:hAnsi="Verdana" w:cs="Arial"/>
          <w:sz w:val="22"/>
          <w:szCs w:val="22"/>
        </w:rPr>
        <w:t> </w:t>
      </w:r>
    </w:p>
    <w:p w14:paraId="01A7A733" w14:textId="77777777" w:rsidR="00A02C57" w:rsidRPr="00A43145" w:rsidRDefault="00A02C57" w:rsidP="00A02C57">
      <w:pPr>
        <w:pStyle w:val="paragraph"/>
        <w:tabs>
          <w:tab w:val="left" w:pos="851"/>
        </w:tabs>
        <w:spacing w:before="120" w:beforeAutospacing="0" w:after="0" w:afterAutospacing="0"/>
        <w:ind w:left="709"/>
        <w:jc w:val="both"/>
        <w:textAlignment w:val="baseline"/>
        <w:rPr>
          <w:rFonts w:ascii="Verdana" w:hAnsi="Verdana" w:cs="Segoe UI"/>
          <w:sz w:val="18"/>
          <w:szCs w:val="18"/>
        </w:rPr>
      </w:pPr>
      <w:r w:rsidRPr="00A43145">
        <w:rPr>
          <w:rStyle w:val="normaltextrun"/>
          <w:rFonts w:ascii="Verdana" w:hAnsi="Verdana" w:cs="Arial"/>
          <w:color w:val="000000"/>
          <w:sz w:val="22"/>
          <w:szCs w:val="22"/>
          <w:lang w:val="es-ES"/>
        </w:rPr>
        <w:lastRenderedPageBreak/>
        <w:t>xii) C</w:t>
      </w:r>
      <w:r w:rsidRPr="00A43145">
        <w:rPr>
          <w:rStyle w:val="normaltextrun"/>
          <w:rFonts w:ascii="Verdana" w:hAnsi="Verdana" w:cs="Arial"/>
          <w:color w:val="000000"/>
          <w:sz w:val="22"/>
          <w:szCs w:val="22"/>
          <w:lang w:val="es-MX"/>
        </w:rPr>
        <w:t xml:space="preserve">omo especies del género prestación de servicios, se incluyen </w:t>
      </w:r>
      <w:r w:rsidRPr="00A43145">
        <w:rPr>
          <w:rStyle w:val="normaltextrun"/>
          <w:rFonts w:ascii="Verdana" w:hAnsi="Verdana" w:cs="Arial"/>
          <w:color w:val="000000"/>
          <w:sz w:val="22"/>
          <w:szCs w:val="22"/>
          <w:lang w:val="es-ES"/>
        </w:rPr>
        <w:t>los contratos de prestación de servicios profesionales, los contratos de prestación de servicios de apoyo a la gestión y los contratos de prestación de servicios artísticos que solo pueden encomendarse a determinadas personas naturales</w:t>
      </w:r>
      <w:r w:rsidRPr="00A43145">
        <w:rPr>
          <w:rStyle w:val="superscript"/>
          <w:rFonts w:ascii="Verdana" w:hAnsi="Verdana" w:cs="Arial"/>
          <w:color w:val="000000"/>
          <w:sz w:val="17"/>
          <w:szCs w:val="17"/>
          <w:vertAlign w:val="superscript"/>
          <w:lang w:val="es-ES"/>
        </w:rPr>
        <w:t>13</w:t>
      </w:r>
      <w:r w:rsidRPr="00A43145">
        <w:rPr>
          <w:rStyle w:val="normaltextrun"/>
          <w:rFonts w:ascii="Verdana" w:hAnsi="Verdana" w:cs="Arial"/>
          <w:color w:val="000000"/>
          <w:sz w:val="22"/>
          <w:szCs w:val="22"/>
          <w:lang w:val="es-MX"/>
        </w:rPr>
        <w:t xml:space="preserve">. </w:t>
      </w:r>
      <w:r w:rsidRPr="00A43145">
        <w:rPr>
          <w:rStyle w:val="normaltextrun"/>
          <w:rFonts w:ascii="Verdana" w:hAnsi="Verdana" w:cs="Arial"/>
          <w:color w:val="000000"/>
          <w:sz w:val="22"/>
          <w:szCs w:val="22"/>
          <w:lang w:val="es-ES"/>
        </w:rPr>
        <w:t xml:space="preserve">La diferencia entre el contrato de prestación de servicios profesionales con las otras dos especies del género en el cual se </w:t>
      </w:r>
      <w:proofErr w:type="gramStart"/>
      <w:r w:rsidRPr="00A43145">
        <w:rPr>
          <w:rStyle w:val="normaltextrun"/>
          <w:rFonts w:ascii="Verdana" w:hAnsi="Verdana" w:cs="Arial"/>
          <w:color w:val="000000"/>
          <w:sz w:val="22"/>
          <w:szCs w:val="22"/>
          <w:lang w:val="es-ES"/>
        </w:rPr>
        <w:t>ubican,</w:t>
      </w:r>
      <w:proofErr w:type="gramEnd"/>
      <w:r w:rsidRPr="00A43145">
        <w:rPr>
          <w:rStyle w:val="normaltextrun"/>
          <w:rFonts w:ascii="Verdana" w:hAnsi="Verdana" w:cs="Arial"/>
          <w:color w:val="000000"/>
          <w:sz w:val="22"/>
          <w:szCs w:val="22"/>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r w:rsidRPr="00A43145">
        <w:rPr>
          <w:rStyle w:val="eop"/>
          <w:rFonts w:ascii="Verdana" w:hAnsi="Verdana" w:cs="Arial"/>
          <w:color w:val="000000"/>
          <w:sz w:val="22"/>
          <w:szCs w:val="22"/>
        </w:rPr>
        <w:t> </w:t>
      </w:r>
    </w:p>
    <w:p w14:paraId="17C612F7" w14:textId="77777777" w:rsidR="00A02C57" w:rsidRPr="00A43145" w:rsidRDefault="00A02C57" w:rsidP="00A02C57">
      <w:pPr>
        <w:pStyle w:val="paragraph"/>
        <w:tabs>
          <w:tab w:val="left" w:pos="851"/>
        </w:tabs>
        <w:spacing w:before="0" w:beforeAutospacing="0" w:after="0" w:afterAutospacing="0"/>
        <w:ind w:left="709"/>
        <w:jc w:val="both"/>
        <w:textAlignment w:val="baseline"/>
        <w:rPr>
          <w:rFonts w:ascii="Verdana" w:hAnsi="Verdana" w:cs="Segoe UI"/>
          <w:sz w:val="18"/>
          <w:szCs w:val="18"/>
        </w:rPr>
      </w:pPr>
      <w:r w:rsidRPr="00A43145">
        <w:rPr>
          <w:rStyle w:val="eop"/>
          <w:rFonts w:ascii="Verdana" w:hAnsi="Verdana" w:cs="Arial"/>
          <w:color w:val="000000"/>
          <w:sz w:val="22"/>
          <w:szCs w:val="22"/>
        </w:rPr>
        <w:t> </w:t>
      </w:r>
    </w:p>
    <w:p w14:paraId="24D2537E" w14:textId="77777777" w:rsidR="00A02C57" w:rsidRPr="00A43145" w:rsidRDefault="00A02C57" w:rsidP="00A02C57">
      <w:pPr>
        <w:pStyle w:val="paragraph"/>
        <w:tabs>
          <w:tab w:val="left" w:pos="851"/>
        </w:tabs>
        <w:spacing w:before="0" w:beforeAutospacing="0" w:after="0" w:afterAutospacing="0"/>
        <w:ind w:left="709" w:right="705"/>
        <w:jc w:val="both"/>
        <w:textAlignment w:val="baseline"/>
        <w:rPr>
          <w:rFonts w:ascii="Verdana" w:hAnsi="Verdana" w:cs="Segoe UI"/>
          <w:sz w:val="20"/>
          <w:szCs w:val="20"/>
        </w:rPr>
      </w:pPr>
      <w:r w:rsidRPr="00A43145">
        <w:rPr>
          <w:rStyle w:val="normaltextrun"/>
          <w:rFonts w:ascii="Verdana" w:hAnsi="Verdana" w:cs="Arial"/>
          <w:color w:val="000000"/>
          <w:sz w:val="20"/>
          <w:szCs w:val="20"/>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43145">
        <w:rPr>
          <w:rStyle w:val="superscript"/>
          <w:rFonts w:ascii="Verdana" w:hAnsi="Verdana" w:cs="Arial"/>
          <w:color w:val="000000"/>
          <w:sz w:val="20"/>
          <w:szCs w:val="20"/>
          <w:vertAlign w:val="superscript"/>
          <w:lang w:val="es-ES"/>
        </w:rPr>
        <w:t>14</w:t>
      </w:r>
      <w:r w:rsidRPr="00A43145">
        <w:rPr>
          <w:rStyle w:val="normaltextrun"/>
          <w:rFonts w:ascii="Verdana" w:hAnsi="Verdana" w:cs="Arial"/>
          <w:color w:val="000000"/>
          <w:sz w:val="20"/>
          <w:szCs w:val="20"/>
          <w:lang w:val="es-ES"/>
        </w:rPr>
        <w:t>.</w:t>
      </w:r>
      <w:r w:rsidRPr="00A43145">
        <w:rPr>
          <w:rStyle w:val="eop"/>
          <w:rFonts w:ascii="Verdana" w:hAnsi="Verdana" w:cs="Arial"/>
          <w:color w:val="000000"/>
          <w:sz w:val="20"/>
          <w:szCs w:val="20"/>
        </w:rPr>
        <w:t> </w:t>
      </w:r>
    </w:p>
    <w:p w14:paraId="33D9CBDF" w14:textId="77777777" w:rsidR="00A02C57" w:rsidRPr="00A43145" w:rsidRDefault="00A02C57" w:rsidP="00A02C57">
      <w:pPr>
        <w:pStyle w:val="paragraph"/>
        <w:tabs>
          <w:tab w:val="left" w:pos="851"/>
        </w:tabs>
        <w:spacing w:before="0" w:beforeAutospacing="0" w:after="0" w:afterAutospacing="0"/>
        <w:ind w:left="709"/>
        <w:jc w:val="both"/>
        <w:textAlignment w:val="baseline"/>
        <w:rPr>
          <w:rFonts w:ascii="Verdana" w:hAnsi="Verdana" w:cs="Segoe UI"/>
          <w:sz w:val="20"/>
          <w:szCs w:val="20"/>
        </w:rPr>
      </w:pPr>
      <w:r w:rsidRPr="00A43145">
        <w:rPr>
          <w:rStyle w:val="eop"/>
          <w:rFonts w:ascii="Verdana" w:hAnsi="Verdana" w:cs="Arial"/>
          <w:color w:val="000000"/>
          <w:sz w:val="20"/>
          <w:szCs w:val="20"/>
        </w:rPr>
        <w:t> </w:t>
      </w:r>
    </w:p>
    <w:p w14:paraId="456F09F5" w14:textId="60A0F44F" w:rsidR="00A02C57" w:rsidRPr="00A43145" w:rsidRDefault="00A02C57" w:rsidP="00A02C57">
      <w:pPr>
        <w:pStyle w:val="paragraph"/>
        <w:tabs>
          <w:tab w:val="left" w:pos="851"/>
        </w:tabs>
        <w:spacing w:before="0" w:beforeAutospacing="0" w:after="0" w:afterAutospacing="0"/>
        <w:ind w:left="709" w:right="705"/>
        <w:jc w:val="both"/>
        <w:textAlignment w:val="baseline"/>
        <w:rPr>
          <w:rFonts w:ascii="Verdana" w:hAnsi="Verdana" w:cs="Segoe UI"/>
          <w:sz w:val="20"/>
          <w:szCs w:val="20"/>
        </w:rPr>
      </w:pPr>
      <w:r w:rsidRPr="00A43145">
        <w:rPr>
          <w:rStyle w:val="eop"/>
          <w:rFonts w:ascii="Verdana" w:hAnsi="Verdana" w:cs="Arial"/>
          <w:color w:val="000000"/>
          <w:sz w:val="20"/>
          <w:szCs w:val="20"/>
        </w:rPr>
        <w:t> </w:t>
      </w:r>
      <w:r w:rsidRPr="00A43145">
        <w:rPr>
          <w:rStyle w:val="normaltextrun"/>
          <w:rFonts w:ascii="Verdana" w:hAnsi="Verdana" w:cs="Arial"/>
          <w:color w:val="000000"/>
          <w:sz w:val="20"/>
          <w:szCs w:val="20"/>
          <w:lang w:val="es-ES"/>
        </w:rPr>
        <w:t xml:space="preserve">En este sentido, el contrato de prestación de servicios profesionales se caracteriza porque su objeto guarda relación con el desarrollo de actividades que demandan competencias y habilidades profesionales o especializadas de la persona natural o jurídica a contratar, de manera que se trata de un saber intelectivo cualificado. En cambio, los contratos de prestación de servicios de apoyo a la gestión y de servicios artísticos no involucran ese conocimiento profesional </w:t>
      </w:r>
      <w:r w:rsidRPr="00A43145">
        <w:rPr>
          <w:rStyle w:val="normaltextrun"/>
          <w:rFonts w:ascii="Verdana" w:hAnsi="Verdana" w:cs="Arial"/>
          <w:color w:val="000000"/>
          <w:sz w:val="20"/>
          <w:szCs w:val="20"/>
          <w:lang w:val="es-MX"/>
        </w:rPr>
        <w:t xml:space="preserve">o especializados para su ejecución. En los contratos de apoyo a la gestión </w:t>
      </w:r>
      <w:r w:rsidRPr="00A43145">
        <w:rPr>
          <w:rStyle w:val="normaltextrun"/>
          <w:rFonts w:ascii="Verdana" w:hAnsi="Verdana" w:cs="Arial"/>
          <w:color w:val="000000"/>
          <w:sz w:val="20"/>
          <w:szCs w:val="20"/>
          <w:lang w:val="es-ES"/>
        </w:rPr>
        <w:t xml:space="preserve">el contratista desempeña un esfuerzo o actividad de apoyo, acompañamiento, o soporte, </w:t>
      </w:r>
      <w:r w:rsidRPr="00A43145">
        <w:rPr>
          <w:rStyle w:val="normaltextrun"/>
          <w:rFonts w:ascii="Verdana" w:hAnsi="Verdana" w:cs="Arial"/>
          <w:color w:val="000000"/>
          <w:sz w:val="20"/>
          <w:szCs w:val="20"/>
          <w:lang w:val="es-MX"/>
        </w:rPr>
        <w:t xml:space="preserve">donde </w:t>
      </w:r>
      <w:r w:rsidRPr="00A43145">
        <w:rPr>
          <w:rStyle w:val="normaltextrun"/>
          <w:rFonts w:ascii="Verdana" w:hAnsi="Verdana" w:cs="Arial"/>
          <w:color w:val="000000"/>
          <w:sz w:val="20"/>
          <w:szCs w:val="20"/>
          <w:lang w:val="es-ES"/>
        </w:rPr>
        <w:t xml:space="preserve">“lo predominante es el actuar como ejecutor, con el propósito y finalidad de satisfacer necesidades de las Entidades Estatales en lo relacionado con la gestión administrativa o funcionamiento de </w:t>
      </w:r>
      <w:proofErr w:type="gramStart"/>
      <w:r w:rsidRPr="00A43145">
        <w:rPr>
          <w:rStyle w:val="normaltextrun"/>
          <w:rFonts w:ascii="Verdana" w:hAnsi="Verdana" w:cs="Arial"/>
          <w:color w:val="000000"/>
          <w:sz w:val="20"/>
          <w:szCs w:val="20"/>
          <w:lang w:val="es-ES"/>
        </w:rPr>
        <w:t>la misma</w:t>
      </w:r>
      <w:proofErr w:type="gramEnd"/>
      <w:r w:rsidRPr="00A43145">
        <w:rPr>
          <w:rStyle w:val="normaltextrun"/>
          <w:rFonts w:ascii="Verdana" w:hAnsi="Verdana" w:cs="Arial"/>
          <w:color w:val="000000"/>
          <w:sz w:val="20"/>
          <w:szCs w:val="20"/>
          <w:lang w:val="es-ES"/>
        </w:rPr>
        <w:t xml:space="preserve">, por personas no profesionales y que no implican el ejercicio de funciones públicas administrativas”. Igualmente, en el contrato de prestación de servicios artísticos lo prevalente es que la persona que lo ejecute se trate de un artista, es decir, </w:t>
      </w:r>
      <w:r w:rsidR="00A43145">
        <w:rPr>
          <w:rStyle w:val="normaltextrun"/>
          <w:rFonts w:ascii="Verdana" w:hAnsi="Verdana" w:cs="Arial"/>
          <w:color w:val="000000"/>
          <w:sz w:val="20"/>
          <w:szCs w:val="20"/>
          <w:lang w:val="es-ES"/>
        </w:rPr>
        <w:t>“</w:t>
      </w:r>
      <w:r w:rsidRPr="00A43145">
        <w:rPr>
          <w:rStyle w:val="normaltextrun"/>
          <w:rFonts w:ascii="Verdana" w:hAnsi="Verdana" w:cs="Arial"/>
          <w:color w:val="000000"/>
          <w:sz w:val="20"/>
          <w:szCs w:val="20"/>
          <w:lang w:val="es-ES"/>
        </w:rPr>
        <w:t>una persona reconocida como realizador o productor de arte, de obras de arte, ejecutor de trabajos artísticos</w:t>
      </w:r>
      <w:r w:rsidR="00A43145">
        <w:rPr>
          <w:rStyle w:val="normaltextrun"/>
          <w:rFonts w:ascii="Verdana" w:hAnsi="Verdana" w:cs="Arial"/>
          <w:color w:val="000000"/>
          <w:sz w:val="20"/>
          <w:szCs w:val="20"/>
          <w:lang w:val="es-ES"/>
        </w:rPr>
        <w:t>”</w:t>
      </w:r>
      <w:r w:rsidRPr="00A43145">
        <w:rPr>
          <w:rStyle w:val="normaltextrun"/>
          <w:rFonts w:ascii="Verdana" w:hAnsi="Verdana" w:cs="Arial"/>
          <w:color w:val="000000"/>
          <w:sz w:val="20"/>
          <w:szCs w:val="20"/>
          <w:lang w:val="es-ES"/>
        </w:rPr>
        <w:t>, para lo cual es indiferente el carácter de profesional.</w:t>
      </w:r>
      <w:r w:rsidRPr="00A43145">
        <w:rPr>
          <w:rStyle w:val="eop"/>
          <w:rFonts w:ascii="Verdana" w:hAnsi="Verdana" w:cs="Arial"/>
          <w:color w:val="000000"/>
          <w:sz w:val="20"/>
          <w:szCs w:val="20"/>
        </w:rPr>
        <w:t> </w:t>
      </w:r>
    </w:p>
    <w:p w14:paraId="77FCE83E" w14:textId="77777777" w:rsidR="00A02C57" w:rsidRPr="00A43145" w:rsidRDefault="00A02C57" w:rsidP="00A02C57">
      <w:pPr>
        <w:pStyle w:val="paragraph"/>
        <w:spacing w:before="0" w:beforeAutospacing="0" w:after="0" w:afterAutospacing="0"/>
        <w:jc w:val="both"/>
        <w:textAlignment w:val="baseline"/>
        <w:rPr>
          <w:rStyle w:val="normaltextrun"/>
          <w:rFonts w:ascii="Verdana" w:hAnsi="Verdana" w:cs="Arial"/>
          <w:color w:val="000000"/>
          <w:sz w:val="22"/>
          <w:szCs w:val="22"/>
          <w:lang w:val="es-ES"/>
        </w:rPr>
      </w:pPr>
    </w:p>
    <w:p w14:paraId="78313B3C" w14:textId="221E1AF5" w:rsidR="00A02C57" w:rsidRPr="00A43145" w:rsidRDefault="00A02C57" w:rsidP="00A02C57">
      <w:pPr>
        <w:pStyle w:val="paragraph"/>
        <w:numPr>
          <w:ilvl w:val="0"/>
          <w:numId w:val="37"/>
        </w:numPr>
        <w:spacing w:before="0" w:beforeAutospacing="0" w:after="0" w:afterAutospacing="0"/>
        <w:jc w:val="both"/>
        <w:textAlignment w:val="baseline"/>
        <w:rPr>
          <w:rStyle w:val="eop"/>
          <w:rFonts w:ascii="Verdana" w:hAnsi="Verdana" w:cs="Segoe UI"/>
          <w:sz w:val="18"/>
          <w:szCs w:val="18"/>
        </w:rPr>
      </w:pPr>
      <w:r w:rsidRPr="00A43145">
        <w:rPr>
          <w:rStyle w:val="normaltextrun"/>
          <w:rFonts w:ascii="Verdana" w:hAnsi="Verdana" w:cs="Arial"/>
          <w:color w:val="000000"/>
          <w:sz w:val="22"/>
          <w:szCs w:val="22"/>
          <w:lang w:val="es-ES"/>
        </w:rPr>
        <w:t xml:space="preserve">Ahora bien, teniendo en cuenta que para la celebración de este tipo contractual las entidades están en la obligación de aplicar el principio de planeación, esta Agencia analizará a continuación, la importancia de la </w:t>
      </w:r>
      <w:r w:rsidRPr="00A43145">
        <w:rPr>
          <w:rStyle w:val="normaltextrun"/>
          <w:rFonts w:ascii="Verdana" w:hAnsi="Verdana" w:cs="Arial"/>
          <w:color w:val="000000"/>
          <w:sz w:val="22"/>
          <w:szCs w:val="22"/>
          <w:lang w:val="es-ES"/>
        </w:rPr>
        <w:lastRenderedPageBreak/>
        <w:t>elaboración de estudios previos y del sector en la contratación estatal, según lo dispuesto en el Estatuto General de Contratación de la Administración Pública –Ley 80 de 1993, Ley 1150 de 2007, y demás normas complementarias–.</w:t>
      </w:r>
      <w:r w:rsidRPr="00A43145">
        <w:rPr>
          <w:rStyle w:val="eop"/>
          <w:rFonts w:ascii="Verdana" w:hAnsi="Verdana" w:cs="Arial"/>
          <w:color w:val="000000"/>
          <w:sz w:val="22"/>
          <w:szCs w:val="22"/>
        </w:rPr>
        <w:t> </w:t>
      </w:r>
    </w:p>
    <w:p w14:paraId="09116812" w14:textId="77777777" w:rsidR="00A02C57" w:rsidRPr="00A43145" w:rsidRDefault="00A02C57" w:rsidP="00A02C57">
      <w:pPr>
        <w:pStyle w:val="paragraph"/>
        <w:spacing w:before="0" w:beforeAutospacing="0" w:after="0" w:afterAutospacing="0"/>
        <w:ind w:left="720"/>
        <w:jc w:val="both"/>
        <w:textAlignment w:val="baseline"/>
        <w:rPr>
          <w:rFonts w:ascii="Verdana" w:hAnsi="Verdana" w:cs="Segoe UI"/>
          <w:sz w:val="18"/>
          <w:szCs w:val="18"/>
        </w:rPr>
      </w:pPr>
    </w:p>
    <w:p w14:paraId="5CEA1F4A" w14:textId="77777777" w:rsidR="00A43145" w:rsidRDefault="00A02C57" w:rsidP="00A43145">
      <w:pPr>
        <w:pStyle w:val="Prrafodelista"/>
        <w:numPr>
          <w:ilvl w:val="0"/>
          <w:numId w:val="37"/>
        </w:numPr>
        <w:spacing w:after="0" w:line="276" w:lineRule="auto"/>
        <w:jc w:val="both"/>
        <w:rPr>
          <w:rFonts w:ascii="Verdana" w:eastAsia="Calibri" w:hAnsi="Verdana" w:cs="Arial"/>
          <w:bCs/>
          <w:color w:val="000000"/>
          <w:kern w:val="2"/>
          <w14:ligatures w14:val="standardContextual"/>
        </w:rPr>
      </w:pPr>
      <w:r w:rsidRPr="00A43145">
        <w:rPr>
          <w:rFonts w:ascii="Verdana" w:eastAsia="Calibri" w:hAnsi="Verdana" w:cs="Arial"/>
          <w:bCs/>
          <w:color w:val="000000"/>
          <w:kern w:val="2"/>
          <w14:ligatures w14:val="standardContextual"/>
        </w:rPr>
        <w:t>En relación con el objeto bajo consulta, es pertinente precisar que no existe en el sistema de compra y contratación pública una disposición que establezca la forma en la que deberían fijarse los honorarios de los contratistas de prestación de servicios profesionales, de apoyo a la gestión y de trabajas artísticos, pues en virtud del principio de autonomía de la voluntad, las partes pueden determinar el contenido de los contratos estatales e incluir las condiciones, cláusulas o estipulaciones que consideren necesarias para desarrollar el objeto contractual, siempre que no sean contrarias a la Constitución Política, la ley y el orden público.</w:t>
      </w:r>
    </w:p>
    <w:p w14:paraId="1CBF3B97" w14:textId="77777777" w:rsidR="00A43145" w:rsidRPr="00A43145" w:rsidRDefault="00A43145" w:rsidP="00A43145">
      <w:pPr>
        <w:pStyle w:val="Prrafodelista"/>
        <w:rPr>
          <w:rFonts w:ascii="Verdana" w:eastAsia="Calibri" w:hAnsi="Verdana" w:cs="Arial"/>
          <w:bCs/>
          <w:color w:val="000000"/>
          <w:kern w:val="2"/>
          <w14:ligatures w14:val="standardContextual"/>
        </w:rPr>
      </w:pPr>
    </w:p>
    <w:p w14:paraId="15E694C7" w14:textId="45DA25D4" w:rsidR="00A02C57" w:rsidRPr="00A43145" w:rsidRDefault="00A02C57" w:rsidP="00A43145">
      <w:pPr>
        <w:pStyle w:val="Prrafodelista"/>
        <w:numPr>
          <w:ilvl w:val="0"/>
          <w:numId w:val="37"/>
        </w:numPr>
        <w:spacing w:after="0" w:line="276" w:lineRule="auto"/>
        <w:jc w:val="both"/>
        <w:rPr>
          <w:rFonts w:ascii="Verdana" w:eastAsia="Calibri" w:hAnsi="Verdana" w:cs="Arial"/>
          <w:bCs/>
          <w:color w:val="000000"/>
          <w:kern w:val="2"/>
          <w14:ligatures w14:val="standardContextual"/>
        </w:rPr>
      </w:pPr>
      <w:r w:rsidRPr="00A43145">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1C421583" w14:textId="77777777" w:rsidR="00A02C57" w:rsidRPr="00A43145" w:rsidRDefault="00A02C57" w:rsidP="00A02C57">
      <w:pPr>
        <w:pStyle w:val="Prrafodelista"/>
        <w:rPr>
          <w:rFonts w:ascii="Verdana" w:eastAsia="Calibri" w:hAnsi="Verdana" w:cs="Arial"/>
          <w:bCs/>
          <w:color w:val="000000"/>
          <w:kern w:val="2"/>
          <w14:ligatures w14:val="standardContextual"/>
        </w:rPr>
      </w:pPr>
    </w:p>
    <w:p w14:paraId="545A036B" w14:textId="77777777" w:rsidR="00A02C57" w:rsidRPr="00A43145" w:rsidRDefault="00A02C57" w:rsidP="00A02C57">
      <w:pPr>
        <w:pStyle w:val="Prrafodelista"/>
        <w:spacing w:before="120" w:after="120" w:line="276" w:lineRule="auto"/>
        <w:jc w:val="both"/>
        <w:rPr>
          <w:rFonts w:ascii="Verdana" w:eastAsia="Calibri" w:hAnsi="Verdana" w:cs="Arial"/>
          <w:bCs/>
          <w:color w:val="000000"/>
          <w:kern w:val="2"/>
          <w14:ligatures w14:val="standardContextual"/>
        </w:rPr>
      </w:pPr>
    </w:p>
    <w:p w14:paraId="094ECD7C" w14:textId="77777777" w:rsidR="00A02C57" w:rsidRPr="00A43145" w:rsidRDefault="00A02C57" w:rsidP="00A02C57">
      <w:pPr>
        <w:pStyle w:val="Prrafodelista"/>
        <w:numPr>
          <w:ilvl w:val="0"/>
          <w:numId w:val="37"/>
        </w:numPr>
        <w:spacing w:before="120" w:after="120" w:line="276" w:lineRule="auto"/>
        <w:jc w:val="both"/>
        <w:rPr>
          <w:rFonts w:ascii="Verdana" w:eastAsia="Calibri" w:hAnsi="Verdana" w:cs="Arial"/>
          <w:bCs/>
          <w:color w:val="000000"/>
          <w:kern w:val="2"/>
          <w14:ligatures w14:val="standardContextual"/>
        </w:rPr>
      </w:pPr>
      <w:r w:rsidRPr="00A43145">
        <w:rPr>
          <w:rFonts w:ascii="Verdana" w:eastAsia="Calibri" w:hAnsi="Verdana" w:cs="Arial"/>
          <w:bCs/>
          <w:color w:val="000000"/>
          <w:kern w:val="2"/>
          <w14:ligatures w14:val="standardContextual"/>
        </w:rPr>
        <w:t>En ese sentido,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p>
    <w:p w14:paraId="559A9503" w14:textId="77777777" w:rsidR="00A02C57" w:rsidRPr="00A43145" w:rsidRDefault="00A02C57" w:rsidP="00A02C57">
      <w:pPr>
        <w:tabs>
          <w:tab w:val="left" w:pos="0"/>
        </w:tabs>
        <w:spacing w:after="120" w:line="276" w:lineRule="auto"/>
        <w:jc w:val="both"/>
        <w:rPr>
          <w:rFonts w:ascii="Verdana" w:eastAsia="Calibri" w:hAnsi="Verdana" w:cs="Arial"/>
          <w:noProof/>
        </w:rPr>
      </w:pPr>
    </w:p>
    <w:p w14:paraId="170E0254" w14:textId="77777777" w:rsidR="00A02C57" w:rsidRPr="00A43145" w:rsidRDefault="00A02C57" w:rsidP="00A02C57">
      <w:pPr>
        <w:pStyle w:val="Prrafodelista"/>
        <w:tabs>
          <w:tab w:val="left" w:pos="0"/>
        </w:tabs>
        <w:spacing w:after="120" w:line="276" w:lineRule="auto"/>
        <w:jc w:val="both"/>
        <w:rPr>
          <w:rFonts w:ascii="Verdana" w:eastAsia="Calibri" w:hAnsi="Verdana" w:cs="Arial"/>
          <w:noProof/>
          <w:lang w:val="es-ES_tradnl"/>
        </w:rPr>
      </w:pPr>
    </w:p>
    <w:p w14:paraId="51691684" w14:textId="77777777" w:rsidR="00AB64A5" w:rsidRPr="00A43145"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43145">
        <w:rPr>
          <w:rFonts w:ascii="Verdana" w:eastAsia="Century Gothic" w:hAnsi="Verdana" w:cs="Century Gothic"/>
          <w:b/>
          <w:bCs/>
        </w:rPr>
        <w:t>Referencias normativas, jurisprudenciales y otras fuentes:</w:t>
      </w:r>
    </w:p>
    <w:p w14:paraId="4791A111" w14:textId="77777777" w:rsidR="00AB64A5" w:rsidRPr="00A43145" w:rsidRDefault="00AB64A5" w:rsidP="00AB64A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B64A5" w:rsidRPr="00A43145" w14:paraId="713E4602" w14:textId="77777777" w:rsidTr="007B0B27">
        <w:trPr>
          <w:trHeight w:val="870"/>
        </w:trPr>
        <w:tc>
          <w:tcPr>
            <w:tcW w:w="8647" w:type="dxa"/>
          </w:tcPr>
          <w:p w14:paraId="414714DC" w14:textId="77777777" w:rsidR="00A02C57" w:rsidRPr="00A43145" w:rsidRDefault="00A02C57" w:rsidP="00A02C57">
            <w:pPr>
              <w:pStyle w:val="Prrafodelista"/>
              <w:numPr>
                <w:ilvl w:val="0"/>
                <w:numId w:val="39"/>
              </w:numPr>
              <w:spacing w:line="276" w:lineRule="auto"/>
              <w:ind w:right="709"/>
              <w:jc w:val="both"/>
              <w:rPr>
                <w:rStyle w:val="normaltextrun"/>
                <w:rFonts w:ascii="Verdana" w:hAnsi="Verdana" w:cs="Arial"/>
              </w:rPr>
            </w:pPr>
            <w:r w:rsidRPr="00A43145">
              <w:rPr>
                <w:rStyle w:val="normaltextrun"/>
                <w:rFonts w:ascii="Verdana" w:hAnsi="Verdana" w:cs="Arial"/>
                <w:color w:val="000000"/>
                <w:lang w:val="es-ES"/>
              </w:rPr>
              <w:t xml:space="preserve">Ley 80 de 1993, </w:t>
            </w:r>
          </w:p>
          <w:p w14:paraId="7EE74852" w14:textId="0B8325A0" w:rsidR="004C7C90" w:rsidRPr="00A43145" w:rsidRDefault="00A02C57" w:rsidP="00A02C57">
            <w:pPr>
              <w:pStyle w:val="Prrafodelista"/>
              <w:numPr>
                <w:ilvl w:val="0"/>
                <w:numId w:val="39"/>
              </w:numPr>
              <w:spacing w:line="276" w:lineRule="auto"/>
              <w:ind w:right="709"/>
              <w:jc w:val="both"/>
              <w:rPr>
                <w:rStyle w:val="normaltextrun"/>
                <w:rFonts w:ascii="Verdana" w:hAnsi="Verdana" w:cs="Arial"/>
              </w:rPr>
            </w:pPr>
            <w:r w:rsidRPr="00A43145">
              <w:rPr>
                <w:rStyle w:val="normaltextrun"/>
                <w:rFonts w:ascii="Verdana" w:hAnsi="Verdana" w:cs="Arial"/>
                <w:color w:val="000000"/>
                <w:lang w:val="es-ES"/>
              </w:rPr>
              <w:t>Ley 1150 de 2007</w:t>
            </w:r>
          </w:p>
          <w:p w14:paraId="6F678000" w14:textId="77777777" w:rsidR="00A02C57" w:rsidRPr="00A43145" w:rsidRDefault="00A02C57" w:rsidP="00A02C57">
            <w:pPr>
              <w:pStyle w:val="Prrafodelista"/>
              <w:spacing w:line="276" w:lineRule="auto"/>
              <w:ind w:right="709"/>
              <w:jc w:val="both"/>
              <w:rPr>
                <w:rFonts w:ascii="Verdana" w:hAnsi="Verdana" w:cs="Arial"/>
              </w:rPr>
            </w:pPr>
          </w:p>
          <w:p w14:paraId="05860E2B" w14:textId="77777777" w:rsidR="004C7C90" w:rsidRPr="00A43145" w:rsidRDefault="004C7C90" w:rsidP="004C7C90">
            <w:pPr>
              <w:pStyle w:val="Prrafodelista"/>
              <w:widowControl w:val="0"/>
              <w:numPr>
                <w:ilvl w:val="0"/>
                <w:numId w:val="2"/>
              </w:numPr>
              <w:autoSpaceDE w:val="0"/>
              <w:autoSpaceDN w:val="0"/>
              <w:spacing w:after="120" w:line="276" w:lineRule="auto"/>
              <w:contextualSpacing w:val="0"/>
              <w:jc w:val="both"/>
              <w:rPr>
                <w:rFonts w:ascii="Verdana" w:eastAsia="Calibri" w:hAnsi="Verdana" w:cs="Arial"/>
                <w:color w:val="000000"/>
                <w:lang w:val="es-ES"/>
              </w:rPr>
            </w:pPr>
            <w:r w:rsidRPr="00A43145">
              <w:rPr>
                <w:rFonts w:ascii="Verdana" w:eastAsia="Calibri" w:hAnsi="Verdana" w:cs="Arial"/>
                <w:color w:val="000000"/>
                <w:lang w:val="es-ES"/>
              </w:rPr>
              <w:t xml:space="preserve">Jurisprudencia del Consejo de Estado. Disponible en: </w:t>
            </w:r>
            <w:hyperlink r:id="rId13" w:history="1">
              <w:r w:rsidRPr="00A43145">
                <w:rPr>
                  <w:rFonts w:ascii="Verdana" w:eastAsia="Calibri" w:hAnsi="Verdana"/>
                  <w:color w:val="000000"/>
                  <w:lang w:val="es-ES"/>
                </w:rPr>
                <w:t>https://relatoria.colombiacompra.gov.co/providencias-consejo-de-estado/</w:t>
              </w:r>
            </w:hyperlink>
            <w:r w:rsidRPr="00A43145">
              <w:rPr>
                <w:rFonts w:ascii="Verdana" w:eastAsia="Calibri" w:hAnsi="Verdana" w:cs="Arial"/>
                <w:color w:val="000000"/>
                <w:lang w:val="es-ES"/>
              </w:rPr>
              <w:t xml:space="preserve"> </w:t>
            </w:r>
          </w:p>
          <w:p w14:paraId="02DA4C7C" w14:textId="77777777" w:rsidR="004C7C90" w:rsidRPr="00A43145" w:rsidRDefault="004C7C90" w:rsidP="004C7C90">
            <w:pPr>
              <w:pStyle w:val="Prrafodelista"/>
              <w:widowControl w:val="0"/>
              <w:numPr>
                <w:ilvl w:val="0"/>
                <w:numId w:val="2"/>
              </w:numPr>
              <w:autoSpaceDE w:val="0"/>
              <w:autoSpaceDN w:val="0"/>
              <w:spacing w:after="120" w:line="276" w:lineRule="auto"/>
              <w:contextualSpacing w:val="0"/>
              <w:jc w:val="both"/>
              <w:rPr>
                <w:rFonts w:ascii="Verdana" w:eastAsia="Calibri" w:hAnsi="Verdana" w:cs="Arial"/>
                <w:color w:val="000000"/>
                <w:lang w:val="es-ES"/>
              </w:rPr>
            </w:pPr>
            <w:r w:rsidRPr="00A43145">
              <w:rPr>
                <w:rFonts w:ascii="Verdana" w:eastAsia="Calibri" w:hAnsi="Verdana" w:cs="Arial"/>
                <w:color w:val="000000"/>
                <w:lang w:val="es-ES"/>
              </w:rPr>
              <w:t xml:space="preserve">Guías y manuales expedidos por la ANCP-CCE. Disponible en: </w:t>
            </w:r>
            <w:hyperlink r:id="rId14" w:history="1">
              <w:r w:rsidRPr="00A43145">
                <w:rPr>
                  <w:rFonts w:ascii="Verdana" w:eastAsia="Calibri" w:hAnsi="Verdana"/>
                  <w:color w:val="000000"/>
                  <w:lang w:val="es-ES"/>
                </w:rPr>
                <w:t>https://www.colombiacompra.gov.co/manuales-guias-y-pliegos-tipo/manuales-y-guias</w:t>
              </w:r>
            </w:hyperlink>
            <w:r w:rsidRPr="00A43145">
              <w:rPr>
                <w:rFonts w:ascii="Verdana" w:eastAsia="Calibri" w:hAnsi="Verdana" w:cs="Arial"/>
                <w:color w:val="000000"/>
                <w:lang w:val="es-ES"/>
              </w:rPr>
              <w:t xml:space="preserve"> </w:t>
            </w:r>
          </w:p>
          <w:p w14:paraId="0C45EA68" w14:textId="6F257403" w:rsidR="004C7C90" w:rsidRPr="00A43145" w:rsidRDefault="004C7C90" w:rsidP="004C7C90">
            <w:pPr>
              <w:spacing w:line="276" w:lineRule="auto"/>
              <w:ind w:right="709"/>
              <w:jc w:val="both"/>
              <w:rPr>
                <w:rFonts w:ascii="Verdana" w:hAnsi="Verdana" w:cs="Arial"/>
              </w:rPr>
            </w:pPr>
          </w:p>
        </w:tc>
      </w:tr>
    </w:tbl>
    <w:p w14:paraId="7D10BDB3" w14:textId="77777777" w:rsidR="00AB64A5" w:rsidRPr="00A43145" w:rsidRDefault="00AB64A5" w:rsidP="00AB64A5">
      <w:pPr>
        <w:widowControl w:val="0"/>
        <w:autoSpaceDE w:val="0"/>
        <w:autoSpaceDN w:val="0"/>
        <w:spacing w:after="0" w:line="276" w:lineRule="auto"/>
        <w:jc w:val="both"/>
        <w:rPr>
          <w:rFonts w:ascii="Verdana" w:hAnsi="Verdana" w:cs="Arial"/>
        </w:rPr>
      </w:pPr>
    </w:p>
    <w:p w14:paraId="064A695A" w14:textId="77777777" w:rsidR="00AB64A5" w:rsidRPr="00A43145" w:rsidRDefault="00AB64A5" w:rsidP="00AB64A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43145">
        <w:rPr>
          <w:rFonts w:ascii="Verdana" w:eastAsia="Century Gothic" w:hAnsi="Verdana" w:cs="Century Gothic"/>
          <w:b/>
          <w:bCs/>
        </w:rPr>
        <w:t>Doctrina de la Agencia Nacional de Contratación Pública:</w:t>
      </w:r>
    </w:p>
    <w:p w14:paraId="6FB855C5" w14:textId="77777777" w:rsidR="00AB64A5" w:rsidRPr="00A43145" w:rsidRDefault="00AB64A5" w:rsidP="00AB64A5">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4CCAA68" w14:textId="5385B4A3" w:rsidR="00F67849" w:rsidRPr="00A43145" w:rsidRDefault="004C7C90" w:rsidP="004C7C90">
      <w:pPr>
        <w:tabs>
          <w:tab w:val="left" w:pos="426"/>
        </w:tabs>
        <w:spacing w:before="120" w:line="276" w:lineRule="auto"/>
        <w:jc w:val="both"/>
        <w:rPr>
          <w:rStyle w:val="normaltextrun"/>
          <w:rFonts w:ascii="Verdana" w:eastAsia="Calibri" w:hAnsi="Verdana" w:cs="Arial"/>
          <w:b/>
          <w:bCs/>
          <w:color w:val="000000" w:themeColor="text1"/>
          <w:lang w:val="es-ES_tradnl"/>
        </w:rPr>
      </w:pPr>
      <w:r w:rsidRPr="00A43145">
        <w:rPr>
          <w:rFonts w:ascii="Verdana" w:eastAsia="Calibri" w:hAnsi="Verdana" w:cs="Arial"/>
          <w:color w:val="000000"/>
          <w:lang w:val="es-ES_tradnl" w:eastAsia="en-GB"/>
        </w:rPr>
        <w:t xml:space="preserve">La Agencia Nacional de Contratación Pública – Colombia Compra Eficiente en el </w:t>
      </w:r>
      <w:r w:rsidR="00A43145" w:rsidRPr="00A43145">
        <w:rPr>
          <w:rFonts w:ascii="Verdana" w:eastAsia="Calibri" w:hAnsi="Verdana" w:cs="Arial"/>
          <w:bCs/>
          <w:lang w:val="es-MX"/>
        </w:rPr>
        <w:t xml:space="preserve">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w:t>
      </w:r>
      <w:r w:rsidR="00A43145" w:rsidRPr="00A43145">
        <w:rPr>
          <w:rFonts w:ascii="Verdana" w:eastAsia="Calibri" w:hAnsi="Verdana" w:cs="Arial"/>
          <w:bCs/>
          <w:lang w:val="es-MX"/>
        </w:rPr>
        <w:lastRenderedPageBreak/>
        <w:t>del  07 de abril de 2022, C-214 del 22 de abril de 2022 y C-491 de 01 de agosto de 2022</w:t>
      </w:r>
      <w:r w:rsidR="00A43145" w:rsidRPr="00A43145">
        <w:rPr>
          <w:rFonts w:ascii="Verdana" w:eastAsia="Calibri" w:hAnsi="Verdana" w:cs="Arial"/>
          <w:lang w:val="es-ES_tradnl" w:eastAsia="es-MX"/>
        </w:rPr>
        <w:t xml:space="preserve">, </w:t>
      </w:r>
      <w:r w:rsidR="00A43145" w:rsidRPr="00A43145">
        <w:rPr>
          <w:rFonts w:ascii="Verdana" w:eastAsia="Calibri" w:hAnsi="Verdana" w:cs="Arial"/>
          <w:color w:val="000000"/>
          <w:lang w:val="es-MX" w:eastAsia="es-MX"/>
        </w:rPr>
        <w:t>entre otros</w:t>
      </w:r>
      <w:r w:rsidRPr="00A43145">
        <w:rPr>
          <w:rFonts w:ascii="Verdana" w:eastAsia="Calibri" w:hAnsi="Verdana" w:cs="Arial"/>
          <w:color w:val="000000"/>
          <w:lang w:val="es-ES_tradnl" w:eastAsia="en-GB"/>
        </w:rPr>
        <w:t>. La tesis desarrollada se expone a continuación y se complementa en lo pertinente</w:t>
      </w:r>
      <w:r w:rsidR="00F67849" w:rsidRPr="00A43145">
        <w:rPr>
          <w:rStyle w:val="normaltextrun"/>
          <w:rFonts w:ascii="Verdana" w:hAnsi="Verdana" w:cs="Arial"/>
          <w:shd w:val="clear" w:color="auto" w:fill="FFFFFF"/>
          <w:lang w:val="es-ES"/>
        </w:rPr>
        <w:t>. Es</w:t>
      </w:r>
      <w:r w:rsidR="00F67849" w:rsidRPr="00A43145">
        <w:rPr>
          <w:rFonts w:ascii="Verdana" w:hAnsi="Verdana"/>
        </w:rPr>
        <w:t>tos y otros conceptos se encuentran disponibles para consulta en el Sistema de relatoría de la Agencia, al cual se puede acceder a través del siguiente enlace:</w:t>
      </w:r>
      <w:r w:rsidR="00F67849" w:rsidRPr="00A43145">
        <w:rPr>
          <w:rStyle w:val="normaltextrun"/>
          <w:rFonts w:ascii="Verdana" w:hAnsi="Verdana" w:cs="Arial"/>
          <w:shd w:val="clear" w:color="auto" w:fill="FFFFFF"/>
          <w:lang w:val="es-ES"/>
        </w:rPr>
        <w:t xml:space="preserve"> </w:t>
      </w:r>
      <w:hyperlink r:id="rId15" w:history="1">
        <w:r w:rsidR="00F67849" w:rsidRPr="00A43145">
          <w:rPr>
            <w:rStyle w:val="Hipervnculo"/>
            <w:rFonts w:ascii="Verdana" w:hAnsi="Verdana" w:cs="Arial"/>
            <w:color w:val="156082" w:themeColor="accent1"/>
            <w:shd w:val="clear" w:color="auto" w:fill="FFFFFF"/>
            <w:lang w:val="es-ES"/>
          </w:rPr>
          <w:t>https://relatoria.colombiacompra.gov.co/busqueda/conceptos</w:t>
        </w:r>
      </w:hyperlink>
      <w:r w:rsidR="00F67849" w:rsidRPr="00A43145">
        <w:rPr>
          <w:rStyle w:val="normaltextrun"/>
          <w:rFonts w:ascii="Verdana" w:hAnsi="Verdana" w:cs="Arial"/>
          <w:color w:val="156082" w:themeColor="accent1"/>
          <w:shd w:val="clear" w:color="auto" w:fill="FFFFFF"/>
          <w:lang w:val="es-ES"/>
        </w:rPr>
        <w:t xml:space="preserve">. </w:t>
      </w:r>
    </w:p>
    <w:p w14:paraId="5F8E3F20" w14:textId="77777777" w:rsidR="0050012F" w:rsidRPr="00A43145" w:rsidRDefault="0050012F" w:rsidP="00AB64A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FEF4589" w14:textId="77777777" w:rsidR="00F67849" w:rsidRPr="00A43145" w:rsidRDefault="00F67849" w:rsidP="00F67849">
      <w:pPr>
        <w:widowControl w:val="0"/>
        <w:autoSpaceDE w:val="0"/>
        <w:autoSpaceDN w:val="0"/>
        <w:spacing w:after="0" w:line="276" w:lineRule="auto"/>
        <w:jc w:val="both"/>
        <w:rPr>
          <w:rFonts w:ascii="Verdana" w:eastAsia="Calibri" w:hAnsi="Verdana" w:cs="Arial"/>
          <w:shd w:val="clear" w:color="auto" w:fill="FFFFFF"/>
          <w:lang w:val="es-ES"/>
        </w:rPr>
      </w:pPr>
      <w:r w:rsidRPr="00A43145">
        <w:rPr>
          <w:rFonts w:ascii="Verdana" w:hAnsi="Verdana" w:cs="Arial"/>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A43145">
          <w:rPr>
            <w:rStyle w:val="Hipervnculo"/>
            <w:rFonts w:ascii="Verdana" w:hAnsi="Verdana" w:cs="Arial"/>
            <w:shd w:val="clear" w:color="auto" w:fill="FFFFFF"/>
          </w:rPr>
          <w:t>https://www.colombiacompra.gov.co/sala-de-prensa/boletin-digital</w:t>
        </w:r>
      </w:hyperlink>
      <w:r w:rsidRPr="00A43145">
        <w:rPr>
          <w:rFonts w:ascii="Verdana" w:hAnsi="Verdana" w:cs="Arial"/>
          <w:shd w:val="clear" w:color="auto" w:fill="FFFFFF"/>
        </w:rPr>
        <w:t>    </w:t>
      </w:r>
    </w:p>
    <w:p w14:paraId="494B802C" w14:textId="77777777" w:rsidR="00F67849" w:rsidRPr="00A43145" w:rsidRDefault="00F67849" w:rsidP="00F67849">
      <w:pPr>
        <w:spacing w:after="0" w:line="240" w:lineRule="auto"/>
        <w:jc w:val="both"/>
        <w:rPr>
          <w:rFonts w:ascii="Verdana" w:eastAsia="Calibri" w:hAnsi="Verdana" w:cs="Times New Roman"/>
        </w:rPr>
      </w:pPr>
      <w:r w:rsidRPr="00A43145">
        <w:rPr>
          <w:rFonts w:ascii="Verdana" w:eastAsia="Calibri" w:hAnsi="Verdana" w:cs="Times New Roman"/>
        </w:rPr>
        <w:t xml:space="preserve">Por último, los invitamos a seguirnos en las redes sociales, en las cuales se difunde información institucional: </w:t>
      </w:r>
    </w:p>
    <w:p w14:paraId="7080E4EF" w14:textId="77777777" w:rsidR="00F67849" w:rsidRPr="00A43145" w:rsidRDefault="00F67849" w:rsidP="00F67849">
      <w:pPr>
        <w:spacing w:after="0" w:line="240" w:lineRule="auto"/>
        <w:jc w:val="both"/>
        <w:rPr>
          <w:rFonts w:ascii="Verdana" w:eastAsia="Calibri" w:hAnsi="Verdana" w:cs="Times New Roman"/>
        </w:rPr>
      </w:pPr>
    </w:p>
    <w:p w14:paraId="1BDB9392" w14:textId="77777777" w:rsidR="00F67849" w:rsidRPr="00A43145" w:rsidRDefault="00F67849" w:rsidP="00F67849">
      <w:pPr>
        <w:spacing w:after="0" w:line="240" w:lineRule="auto"/>
        <w:jc w:val="both"/>
        <w:rPr>
          <w:rFonts w:ascii="Verdana" w:eastAsia="Calibri" w:hAnsi="Verdana" w:cs="Times New Roman"/>
        </w:rPr>
      </w:pPr>
      <w:r w:rsidRPr="00A43145">
        <w:rPr>
          <w:rFonts w:ascii="Verdana" w:eastAsia="Calibri" w:hAnsi="Verdana" w:cs="Times New Roman"/>
        </w:rPr>
        <w:t xml:space="preserve">Twitter: </w:t>
      </w:r>
      <w:r w:rsidRPr="00A43145">
        <w:rPr>
          <w:rFonts w:ascii="Verdana" w:eastAsia="Calibri" w:hAnsi="Verdana" w:cs="Times New Roman"/>
          <w:u w:val="single"/>
        </w:rPr>
        <w:t>@colombiacompra</w:t>
      </w:r>
      <w:r w:rsidRPr="00A43145">
        <w:rPr>
          <w:rFonts w:ascii="Verdana" w:eastAsia="Calibri" w:hAnsi="Verdana" w:cs="Times New Roman"/>
        </w:rPr>
        <w:t xml:space="preserve"> </w:t>
      </w:r>
    </w:p>
    <w:p w14:paraId="51B90D7F" w14:textId="77777777" w:rsidR="00F67849" w:rsidRPr="00A43145" w:rsidRDefault="00F67849" w:rsidP="00F67849">
      <w:pPr>
        <w:spacing w:after="0" w:line="240" w:lineRule="auto"/>
        <w:jc w:val="both"/>
        <w:rPr>
          <w:rFonts w:ascii="Verdana" w:eastAsia="Calibri" w:hAnsi="Verdana" w:cs="Times New Roman"/>
        </w:rPr>
      </w:pPr>
      <w:r w:rsidRPr="00A43145">
        <w:rPr>
          <w:rFonts w:ascii="Verdana" w:eastAsia="Calibri" w:hAnsi="Verdana" w:cs="Times New Roman"/>
        </w:rPr>
        <w:t xml:space="preserve">Facebook: </w:t>
      </w:r>
      <w:r w:rsidRPr="00A43145">
        <w:rPr>
          <w:rFonts w:ascii="Verdana" w:eastAsia="Calibri" w:hAnsi="Verdana" w:cs="Times New Roman"/>
          <w:u w:val="single"/>
        </w:rPr>
        <w:t>ColombiaCompraEficiente</w:t>
      </w:r>
    </w:p>
    <w:p w14:paraId="4347A996" w14:textId="77777777" w:rsidR="00F67849" w:rsidRPr="00A43145" w:rsidRDefault="00F67849" w:rsidP="00F67849">
      <w:pPr>
        <w:spacing w:after="0" w:line="240" w:lineRule="auto"/>
        <w:jc w:val="both"/>
        <w:rPr>
          <w:rFonts w:ascii="Verdana" w:eastAsia="Calibri" w:hAnsi="Verdana" w:cs="Times New Roman"/>
        </w:rPr>
      </w:pPr>
      <w:r w:rsidRPr="00A43145">
        <w:rPr>
          <w:rFonts w:ascii="Verdana" w:eastAsia="Calibri" w:hAnsi="Verdana" w:cs="Times New Roman"/>
        </w:rPr>
        <w:t xml:space="preserve">LinkedIn: </w:t>
      </w:r>
      <w:r w:rsidRPr="00A43145">
        <w:rPr>
          <w:rFonts w:ascii="Verdana" w:eastAsia="Calibri" w:hAnsi="Verdana" w:cs="Times New Roman"/>
          <w:u w:val="single"/>
        </w:rPr>
        <w:t>Agencia Nacional de Contratación Pública - Colombia Compra Eficiente</w:t>
      </w:r>
      <w:r w:rsidRPr="00A43145">
        <w:rPr>
          <w:rFonts w:ascii="Verdana" w:eastAsia="Calibri" w:hAnsi="Verdana" w:cs="Times New Roman"/>
        </w:rPr>
        <w:t xml:space="preserve"> Instagram: </w:t>
      </w:r>
      <w:r w:rsidRPr="00A43145">
        <w:rPr>
          <w:rFonts w:ascii="Verdana" w:eastAsia="Calibri" w:hAnsi="Verdana" w:cs="Times New Roman"/>
          <w:u w:val="single"/>
        </w:rPr>
        <w:t>@colombiacompraeficiente_cce</w:t>
      </w:r>
    </w:p>
    <w:p w14:paraId="2F41C146" w14:textId="77777777" w:rsidR="00F67849" w:rsidRPr="00A43145" w:rsidRDefault="00F67849" w:rsidP="00F67849">
      <w:pPr>
        <w:widowControl w:val="0"/>
        <w:autoSpaceDE w:val="0"/>
        <w:autoSpaceDN w:val="0"/>
        <w:spacing w:after="0" w:line="276" w:lineRule="auto"/>
        <w:jc w:val="both"/>
        <w:rPr>
          <w:rFonts w:ascii="Verdana" w:eastAsia="Calibri" w:hAnsi="Verdana" w:cs="Arial"/>
        </w:rPr>
      </w:pPr>
    </w:p>
    <w:p w14:paraId="08A075D9" w14:textId="77777777" w:rsidR="00F67849" w:rsidRPr="00A43145" w:rsidRDefault="00F67849" w:rsidP="00F67849">
      <w:pPr>
        <w:widowControl w:val="0"/>
        <w:autoSpaceDE w:val="0"/>
        <w:autoSpaceDN w:val="0"/>
        <w:spacing w:after="0" w:line="276" w:lineRule="auto"/>
        <w:jc w:val="both"/>
        <w:rPr>
          <w:rFonts w:ascii="Verdana" w:eastAsia="Calibri" w:hAnsi="Verdana" w:cs="Arial"/>
          <w:lang w:val="es-ES_tradnl"/>
        </w:rPr>
      </w:pPr>
      <w:r w:rsidRPr="00A43145">
        <w:rPr>
          <w:rFonts w:ascii="Verdana" w:eastAsia="Calibri" w:hAnsi="Verdana" w:cs="Arial"/>
        </w:rPr>
        <w:t xml:space="preserve">Este concepto tiene el alcance previsto en el artículo 28 del Código de Procedimiento Administrativo y de lo Contencioso Administrativo </w:t>
      </w:r>
      <w:r w:rsidRPr="00A43145">
        <w:rPr>
          <w:rFonts w:ascii="Verdana" w:eastAsia="Calibri" w:hAnsi="Verdana" w:cs="Arial"/>
          <w:lang w:val="es-ES_tradnl"/>
        </w:rPr>
        <w:t>y las expresiones aquí utilizadas con mayúscula inicial deben ser entendidas con el significado que les otorga el artículo 2.2.1.1.1.3.1. del Decreto 1082 de 2015.</w:t>
      </w:r>
    </w:p>
    <w:p w14:paraId="20464B9D" w14:textId="77777777" w:rsidR="00AB64A5" w:rsidRPr="00A43145" w:rsidRDefault="00AB64A5" w:rsidP="00AB64A5">
      <w:pPr>
        <w:widowControl w:val="0"/>
        <w:autoSpaceDE w:val="0"/>
        <w:autoSpaceDN w:val="0"/>
        <w:spacing w:after="0" w:line="276" w:lineRule="auto"/>
        <w:jc w:val="both"/>
        <w:rPr>
          <w:rFonts w:ascii="Verdana" w:hAnsi="Verdana" w:cs="Arial"/>
          <w:lang w:val="es-ES_tradnl"/>
        </w:rPr>
      </w:pPr>
    </w:p>
    <w:p w14:paraId="43CF8739" w14:textId="77777777" w:rsidR="00AB64A5" w:rsidRPr="00A43145" w:rsidRDefault="00AB64A5" w:rsidP="00AB64A5">
      <w:pPr>
        <w:spacing w:after="0" w:line="240" w:lineRule="auto"/>
        <w:rPr>
          <w:rFonts w:ascii="Verdana" w:hAnsi="Verdana" w:cs="Arial"/>
          <w:lang w:eastAsia="es-CO"/>
        </w:rPr>
      </w:pPr>
      <w:r w:rsidRPr="00A43145">
        <w:rPr>
          <w:rFonts w:ascii="Verdana" w:eastAsia="Times New Roman" w:hAnsi="Verdana" w:cs="Arial"/>
          <w:lang w:eastAsia="es-CO"/>
        </w:rPr>
        <w:t>Atentamente,</w:t>
      </w:r>
      <w:r w:rsidRPr="00A43145">
        <w:rPr>
          <w:rFonts w:ascii="Verdana" w:hAnsi="Verdana" w:cs="Arial"/>
          <w:lang w:eastAsia="es-CO"/>
        </w:rPr>
        <w:t xml:space="preserve"> </w:t>
      </w:r>
    </w:p>
    <w:p w14:paraId="0B837099" w14:textId="066EEB64" w:rsidR="00AB64A5" w:rsidRPr="00A43145" w:rsidRDefault="007424EB" w:rsidP="00AB64A5">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8490390" wp14:editId="541A99E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B64A5" w:rsidRPr="00A43145" w14:paraId="1CCF7B2A" w14:textId="77777777" w:rsidTr="005A5AFA">
        <w:trPr>
          <w:trHeight w:val="315"/>
        </w:trPr>
        <w:tc>
          <w:tcPr>
            <w:tcW w:w="893" w:type="dxa"/>
            <w:vAlign w:val="center"/>
            <w:hideMark/>
          </w:tcPr>
          <w:p w14:paraId="4C835DB8" w14:textId="77777777" w:rsidR="00AB64A5" w:rsidRPr="00A43145" w:rsidRDefault="00AB64A5" w:rsidP="007B0B27">
            <w:pPr>
              <w:contextualSpacing/>
              <w:rPr>
                <w:rFonts w:ascii="Verdana" w:hAnsi="Verdana" w:cs="Arial"/>
                <w:sz w:val="16"/>
                <w:szCs w:val="16"/>
                <w:lang w:val="es-ES" w:eastAsia="es-ES"/>
              </w:rPr>
            </w:pPr>
            <w:r w:rsidRPr="00A43145">
              <w:rPr>
                <w:rFonts w:ascii="Verdana" w:hAnsi="Verdana" w:cs="Arial"/>
                <w:sz w:val="16"/>
                <w:szCs w:val="16"/>
                <w:lang w:val="es-ES" w:eastAsia="es-ES"/>
              </w:rPr>
              <w:t>Elaboró:</w:t>
            </w:r>
          </w:p>
        </w:tc>
        <w:tc>
          <w:tcPr>
            <w:tcW w:w="5628" w:type="dxa"/>
            <w:tcBorders>
              <w:top w:val="nil"/>
              <w:left w:val="nil"/>
              <w:right w:val="nil"/>
            </w:tcBorders>
            <w:vAlign w:val="center"/>
            <w:hideMark/>
          </w:tcPr>
          <w:p w14:paraId="66AF4843" w14:textId="17CD47B4" w:rsidR="00AB64A5" w:rsidRPr="00A43145" w:rsidRDefault="00934F7F" w:rsidP="007B0B27">
            <w:pPr>
              <w:contextualSpacing/>
              <w:rPr>
                <w:rStyle w:val="normaltextrun"/>
                <w:rFonts w:ascii="Verdana" w:hAnsi="Verdana"/>
                <w:sz w:val="16"/>
                <w:szCs w:val="16"/>
              </w:rPr>
            </w:pPr>
            <w:r>
              <w:rPr>
                <w:rStyle w:val="normaltextrun"/>
                <w:rFonts w:ascii="Verdana" w:hAnsi="Verdana"/>
                <w:sz w:val="16"/>
                <w:szCs w:val="16"/>
              </w:rPr>
              <w:t>D</w:t>
            </w:r>
            <w:r>
              <w:rPr>
                <w:rStyle w:val="normaltextrun"/>
                <w:sz w:val="16"/>
                <w:szCs w:val="16"/>
              </w:rPr>
              <w:t xml:space="preserve">iana </w:t>
            </w:r>
            <w:r w:rsidR="005A5AFA" w:rsidRPr="00A43145">
              <w:rPr>
                <w:rStyle w:val="normaltextrun"/>
                <w:rFonts w:ascii="Verdana" w:hAnsi="Verdana"/>
                <w:sz w:val="16"/>
                <w:szCs w:val="16"/>
              </w:rPr>
              <w:t xml:space="preserve">Carolina Blanco Rodriguez </w:t>
            </w:r>
          </w:p>
          <w:p w14:paraId="05D16EFD" w14:textId="77777777" w:rsidR="00AB64A5" w:rsidRPr="00A43145" w:rsidRDefault="00AB64A5" w:rsidP="007B0B27">
            <w:pPr>
              <w:contextualSpacing/>
              <w:rPr>
                <w:rStyle w:val="normaltextrun"/>
                <w:rFonts w:ascii="Verdana" w:hAnsi="Verdana"/>
                <w:sz w:val="16"/>
                <w:szCs w:val="16"/>
              </w:rPr>
            </w:pPr>
            <w:r w:rsidRPr="00A43145">
              <w:rPr>
                <w:rStyle w:val="normaltextrun"/>
                <w:rFonts w:ascii="Verdana" w:hAnsi="Verdana"/>
                <w:sz w:val="16"/>
                <w:szCs w:val="16"/>
              </w:rPr>
              <w:t>Contratista de la Subdirección de Gestión Contractual</w:t>
            </w:r>
          </w:p>
          <w:p w14:paraId="6D742C2C" w14:textId="33389542" w:rsidR="009F5FB8" w:rsidRPr="00A43145" w:rsidRDefault="009F5FB8" w:rsidP="007B0B27">
            <w:pPr>
              <w:contextualSpacing/>
              <w:rPr>
                <w:rStyle w:val="normaltextrun"/>
                <w:rFonts w:ascii="Verdana" w:hAnsi="Verdana"/>
                <w:sz w:val="16"/>
                <w:szCs w:val="16"/>
              </w:rPr>
            </w:pPr>
          </w:p>
        </w:tc>
      </w:tr>
      <w:tr w:rsidR="00AB64A5" w:rsidRPr="00A43145" w14:paraId="25DEECD8" w14:textId="77777777" w:rsidTr="005A5AFA">
        <w:trPr>
          <w:trHeight w:val="330"/>
        </w:trPr>
        <w:tc>
          <w:tcPr>
            <w:tcW w:w="893" w:type="dxa"/>
            <w:vAlign w:val="center"/>
            <w:hideMark/>
          </w:tcPr>
          <w:p w14:paraId="5EB4B261" w14:textId="77777777" w:rsidR="00AB64A5" w:rsidRPr="00A43145" w:rsidRDefault="00AB64A5" w:rsidP="007B0B27">
            <w:pPr>
              <w:contextualSpacing/>
              <w:rPr>
                <w:rFonts w:ascii="Verdana" w:hAnsi="Verdana" w:cs="Arial"/>
                <w:sz w:val="16"/>
                <w:szCs w:val="16"/>
                <w:lang w:val="es-ES" w:eastAsia="es-ES"/>
              </w:rPr>
            </w:pPr>
            <w:r w:rsidRPr="00A43145">
              <w:rPr>
                <w:rFonts w:ascii="Verdana" w:hAnsi="Verdana" w:cs="Arial"/>
                <w:sz w:val="16"/>
                <w:szCs w:val="16"/>
                <w:lang w:val="es-ES" w:eastAsia="es-ES"/>
              </w:rPr>
              <w:t>Revisó:</w:t>
            </w:r>
          </w:p>
        </w:tc>
        <w:tc>
          <w:tcPr>
            <w:tcW w:w="5628" w:type="dxa"/>
            <w:vAlign w:val="center"/>
            <w:hideMark/>
          </w:tcPr>
          <w:p w14:paraId="0FDC8FEE" w14:textId="5511930E" w:rsidR="00FF2F27" w:rsidRPr="00A43145" w:rsidRDefault="00A43145" w:rsidP="00553F39">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A43145">
              <w:rPr>
                <w:rStyle w:val="normaltextrun"/>
                <w:rFonts w:ascii="Verdana" w:eastAsiaTheme="minorHAnsi" w:hAnsi="Verdana" w:cstheme="minorBidi"/>
                <w:sz w:val="16"/>
                <w:szCs w:val="16"/>
                <w:lang w:eastAsia="en-US"/>
              </w:rPr>
              <w:t>J</w:t>
            </w:r>
            <w:r w:rsidRPr="00A43145">
              <w:rPr>
                <w:rStyle w:val="normaltextrun"/>
                <w:rFonts w:ascii="Verdana" w:eastAsiaTheme="minorHAnsi" w:hAnsi="Verdana" w:cstheme="minorBidi"/>
                <w:sz w:val="16"/>
                <w:szCs w:val="16"/>
              </w:rPr>
              <w:t xml:space="preserve">uan Carlos González </w:t>
            </w:r>
          </w:p>
          <w:p w14:paraId="164666B5" w14:textId="1A3676BA" w:rsidR="00AB64A5" w:rsidRPr="00A43145" w:rsidRDefault="00553F39" w:rsidP="00553F39">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A43145">
              <w:rPr>
                <w:rStyle w:val="normaltextrun"/>
                <w:rFonts w:ascii="Verdana" w:eastAsiaTheme="minorHAnsi" w:hAnsi="Verdana" w:cstheme="minorBidi"/>
                <w:sz w:val="16"/>
                <w:szCs w:val="16"/>
                <w:lang w:eastAsia="en-US"/>
              </w:rPr>
              <w:t>Contratista de la Subdirección de Gestión Contractual</w:t>
            </w:r>
          </w:p>
        </w:tc>
      </w:tr>
      <w:tr w:rsidR="00AB64A5" w:rsidRPr="00A43145" w14:paraId="082B5310" w14:textId="77777777" w:rsidTr="005A5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7430F20F" w14:textId="77777777" w:rsidR="00AB64A5" w:rsidRPr="00A43145" w:rsidRDefault="00AB64A5" w:rsidP="007B0B27">
            <w:pPr>
              <w:contextualSpacing/>
              <w:rPr>
                <w:rFonts w:ascii="Verdana" w:hAnsi="Verdana" w:cs="Arial"/>
                <w:sz w:val="16"/>
                <w:szCs w:val="16"/>
                <w:lang w:val="es-ES" w:eastAsia="es-ES"/>
              </w:rPr>
            </w:pPr>
            <w:r w:rsidRPr="00A43145">
              <w:rPr>
                <w:rFonts w:ascii="Verdana" w:hAnsi="Verdana" w:cs="Arial"/>
                <w:sz w:val="16"/>
                <w:szCs w:val="16"/>
                <w:lang w:val="es-ES" w:eastAsia="es-ES"/>
              </w:rPr>
              <w:t>Aprobó:</w:t>
            </w:r>
          </w:p>
        </w:tc>
        <w:tc>
          <w:tcPr>
            <w:tcW w:w="5628" w:type="dxa"/>
            <w:tcBorders>
              <w:top w:val="nil"/>
              <w:left w:val="nil"/>
              <w:bottom w:val="nil"/>
              <w:right w:val="nil"/>
            </w:tcBorders>
            <w:vAlign w:val="center"/>
          </w:tcPr>
          <w:p w14:paraId="14C31041" w14:textId="77777777" w:rsidR="00AB64A5" w:rsidRPr="00A43145" w:rsidRDefault="00AB64A5" w:rsidP="007B0B27">
            <w:pPr>
              <w:contextualSpacing/>
              <w:rPr>
                <w:rFonts w:ascii="Verdana" w:eastAsia="Calibri" w:hAnsi="Verdana" w:cs="Arial"/>
                <w:sz w:val="16"/>
                <w:szCs w:val="16"/>
                <w:lang w:val="pt-BR" w:eastAsia="es-ES"/>
              </w:rPr>
            </w:pPr>
            <w:r w:rsidRPr="00A43145">
              <w:rPr>
                <w:rFonts w:ascii="Verdana" w:eastAsia="Calibri" w:hAnsi="Verdana" w:cs="Arial"/>
                <w:sz w:val="16"/>
                <w:szCs w:val="16"/>
                <w:lang w:val="pt-BR" w:eastAsia="es-ES"/>
              </w:rPr>
              <w:t>Carolina Quintero Gacharná</w:t>
            </w:r>
          </w:p>
          <w:p w14:paraId="1A53492F" w14:textId="77777777" w:rsidR="00AB64A5" w:rsidRPr="00A43145" w:rsidRDefault="00AB64A5" w:rsidP="007B0B27">
            <w:pPr>
              <w:contextualSpacing/>
              <w:rPr>
                <w:rFonts w:ascii="Verdana" w:eastAsia="Calibri" w:hAnsi="Verdana" w:cs="Arial"/>
                <w:sz w:val="16"/>
                <w:szCs w:val="16"/>
                <w:lang w:val="pt-BR" w:eastAsia="es-ES"/>
              </w:rPr>
            </w:pPr>
            <w:r w:rsidRPr="00A43145">
              <w:rPr>
                <w:rFonts w:ascii="Verdana" w:eastAsia="Calibri" w:hAnsi="Verdana" w:cs="Arial"/>
                <w:sz w:val="16"/>
                <w:szCs w:val="16"/>
                <w:lang w:eastAsia="es-ES"/>
              </w:rPr>
              <w:lastRenderedPageBreak/>
              <w:t>Subdirectora</w:t>
            </w:r>
            <w:r w:rsidRPr="00A43145">
              <w:rPr>
                <w:rFonts w:ascii="Verdana" w:eastAsia="Calibri" w:hAnsi="Verdana" w:cs="Arial"/>
                <w:sz w:val="16"/>
                <w:szCs w:val="16"/>
                <w:lang w:val="pt-BR" w:eastAsia="es-ES"/>
              </w:rPr>
              <w:t xml:space="preserve"> de Gestión Contractual ANCP – CCE</w:t>
            </w:r>
          </w:p>
        </w:tc>
      </w:tr>
    </w:tbl>
    <w:p w14:paraId="011E4F21" w14:textId="77777777" w:rsidR="00AB64A5" w:rsidRPr="00A43145" w:rsidRDefault="00AB64A5" w:rsidP="00AB64A5">
      <w:pPr>
        <w:spacing w:after="0" w:line="240" w:lineRule="auto"/>
        <w:rPr>
          <w:rFonts w:ascii="Verdana" w:eastAsia="Times New Roman" w:hAnsi="Verdana" w:cs="Arial"/>
          <w:sz w:val="16"/>
          <w:szCs w:val="16"/>
          <w:lang w:eastAsia="es-ES"/>
        </w:rPr>
      </w:pPr>
    </w:p>
    <w:p w14:paraId="02CE4EF4" w14:textId="77777777" w:rsidR="00AB64A5" w:rsidRPr="00A43145" w:rsidRDefault="00AB64A5" w:rsidP="00AB64A5">
      <w:pPr>
        <w:rPr>
          <w:rFonts w:ascii="Verdana" w:hAnsi="Verdana"/>
        </w:rPr>
      </w:pPr>
    </w:p>
    <w:p w14:paraId="7644495A" w14:textId="77777777" w:rsidR="00AB64A5" w:rsidRPr="00A43145" w:rsidRDefault="00AB64A5" w:rsidP="00AB64A5">
      <w:pPr>
        <w:spacing w:after="0"/>
        <w:rPr>
          <w:rFonts w:ascii="Verdana" w:hAnsi="Verdana"/>
        </w:rPr>
      </w:pPr>
      <w:r w:rsidRPr="00A43145">
        <w:rPr>
          <w:rFonts w:ascii="Verdana" w:hAnsi="Verdana"/>
        </w:rPr>
        <w:tab/>
      </w:r>
    </w:p>
    <w:p w14:paraId="34BF06D8" w14:textId="77777777" w:rsidR="00AB64A5" w:rsidRPr="00A43145" w:rsidRDefault="00AB64A5" w:rsidP="00AB64A5">
      <w:pPr>
        <w:spacing w:after="0"/>
        <w:rPr>
          <w:rFonts w:ascii="Verdana" w:hAnsi="Verdana"/>
        </w:rPr>
      </w:pPr>
    </w:p>
    <w:p w14:paraId="1F766B8E" w14:textId="77777777" w:rsidR="00AB64A5" w:rsidRPr="00A43145" w:rsidRDefault="00AB64A5" w:rsidP="00AB64A5">
      <w:pPr>
        <w:spacing w:after="0"/>
        <w:rPr>
          <w:rFonts w:ascii="Verdana" w:hAnsi="Verdana"/>
        </w:rPr>
      </w:pPr>
    </w:p>
    <w:bookmarkEnd w:id="0"/>
    <w:p w14:paraId="1D08ED52" w14:textId="77777777" w:rsidR="00AB64A5" w:rsidRPr="00A43145" w:rsidRDefault="00AB64A5" w:rsidP="00AB64A5">
      <w:pPr>
        <w:spacing w:after="0"/>
        <w:rPr>
          <w:rFonts w:ascii="Verdana" w:hAnsi="Verdana"/>
        </w:rPr>
      </w:pPr>
    </w:p>
    <w:p w14:paraId="5CDCF197" w14:textId="77777777" w:rsidR="009C4900" w:rsidRPr="00A43145" w:rsidRDefault="009C4900">
      <w:pPr>
        <w:rPr>
          <w:rFonts w:ascii="Verdana" w:hAnsi="Verdana"/>
        </w:rPr>
      </w:pPr>
    </w:p>
    <w:p w14:paraId="179292BD" w14:textId="77777777" w:rsidR="004C7C90" w:rsidRPr="00A43145" w:rsidRDefault="004C7C90">
      <w:pPr>
        <w:rPr>
          <w:rFonts w:ascii="Verdana" w:hAnsi="Verdana"/>
        </w:rPr>
      </w:pPr>
    </w:p>
    <w:sectPr w:rsidR="004C7C90" w:rsidRPr="00A43145" w:rsidSect="00AB64A5">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52CDF" w14:textId="77777777" w:rsidR="008D662C" w:rsidRDefault="008D662C" w:rsidP="00AB64A5">
      <w:pPr>
        <w:spacing w:after="0" w:line="240" w:lineRule="auto"/>
      </w:pPr>
      <w:r>
        <w:separator/>
      </w:r>
    </w:p>
  </w:endnote>
  <w:endnote w:type="continuationSeparator" w:id="0">
    <w:p w14:paraId="359A0161" w14:textId="77777777" w:rsidR="008D662C" w:rsidRDefault="008D662C"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2035" w14:textId="77777777" w:rsidR="008D662C" w:rsidRDefault="008D662C" w:rsidP="00AB64A5">
      <w:pPr>
        <w:spacing w:after="0" w:line="240" w:lineRule="auto"/>
      </w:pPr>
      <w:r>
        <w:separator/>
      </w:r>
    </w:p>
  </w:footnote>
  <w:footnote w:type="continuationSeparator" w:id="0">
    <w:p w14:paraId="69598A92" w14:textId="77777777" w:rsidR="008D662C" w:rsidRDefault="008D662C" w:rsidP="00AB64A5">
      <w:pPr>
        <w:spacing w:after="0" w:line="240" w:lineRule="auto"/>
      </w:pPr>
      <w:r>
        <w:continuationSeparator/>
      </w:r>
    </w:p>
  </w:footnote>
  <w:footnote w:id="1">
    <w:p w14:paraId="4FDDD954" w14:textId="5FB5066C"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El artículo 22 del Código Sustantivo del Trabajo establece: </w:t>
      </w:r>
      <w:r w:rsidR="00A43145">
        <w:rPr>
          <w:rFonts w:ascii="Arial" w:hAnsi="Arial" w:cs="Arial"/>
          <w:sz w:val="10"/>
          <w:szCs w:val="10"/>
          <w:lang w:val="es-ES"/>
        </w:rPr>
        <w:t>“</w:t>
      </w:r>
      <w:r w:rsidRPr="007322CB">
        <w:rPr>
          <w:rFonts w:ascii="Arial" w:hAnsi="Arial" w:cs="Arial"/>
          <w:sz w:val="10"/>
          <w:szCs w:val="10"/>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sidR="00A43145">
        <w:rPr>
          <w:rFonts w:ascii="Arial" w:hAnsi="Arial" w:cs="Arial"/>
          <w:sz w:val="10"/>
          <w:szCs w:val="10"/>
          <w:lang w:val="es-ES"/>
        </w:rPr>
        <w:t>”</w:t>
      </w:r>
      <w:r w:rsidRPr="007322CB">
        <w:rPr>
          <w:rFonts w:ascii="Arial" w:hAnsi="Arial" w:cs="Arial"/>
          <w:sz w:val="10"/>
          <w:szCs w:val="10"/>
          <w:lang w:val="es-ES"/>
        </w:rPr>
        <w:t>.</w:t>
      </w:r>
    </w:p>
    <w:p w14:paraId="0CE73B18" w14:textId="77777777" w:rsidR="00A02C57" w:rsidRPr="007322CB" w:rsidRDefault="00A02C57" w:rsidP="00A02C57">
      <w:pPr>
        <w:pStyle w:val="Textonotapie"/>
        <w:ind w:firstLine="709"/>
        <w:contextualSpacing/>
        <w:jc w:val="both"/>
        <w:rPr>
          <w:rFonts w:ascii="Arial" w:hAnsi="Arial" w:cs="Arial"/>
          <w:sz w:val="10"/>
          <w:szCs w:val="10"/>
          <w:lang w:val="es-ES"/>
        </w:rPr>
      </w:pPr>
    </w:p>
  </w:footnote>
  <w:footnote w:id="2">
    <w:p w14:paraId="1DD2B773" w14:textId="02AB95BE"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En efecto, el artículo 244 de la Ley 1955 de 2015 dispone, en lo pertinente: </w:t>
      </w:r>
      <w:r w:rsidR="00A43145">
        <w:rPr>
          <w:rFonts w:ascii="Arial" w:hAnsi="Arial" w:cs="Arial"/>
          <w:sz w:val="10"/>
          <w:szCs w:val="10"/>
          <w:lang w:val="es-ES"/>
        </w:rPr>
        <w:t>“</w:t>
      </w:r>
      <w:r w:rsidRPr="007322CB">
        <w:rPr>
          <w:rFonts w:ascii="Arial" w:hAnsi="Arial" w:cs="Arial"/>
          <w:sz w:val="10"/>
          <w:szCs w:val="10"/>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7D4854E"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6F0AC299"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El Gobierno nacional reglamentará el mecanismo para realizar la mensualización de que trata el presente artículo.</w:t>
      </w:r>
    </w:p>
    <w:p w14:paraId="0AD84971" w14:textId="0DB76992" w:rsidR="00A02C57" w:rsidRPr="007322CB" w:rsidRDefault="00A02C57" w:rsidP="00A02C57">
      <w:pPr>
        <w:pStyle w:val="Textonotapie"/>
        <w:ind w:firstLine="709"/>
        <w:contextualSpacing/>
        <w:jc w:val="both"/>
        <w:rPr>
          <w:rFonts w:ascii="Arial" w:hAnsi="Arial" w:cs="Arial"/>
          <w:sz w:val="10"/>
          <w:szCs w:val="10"/>
          <w:lang w:val="pt-BR"/>
        </w:rPr>
      </w:pPr>
      <w:r w:rsidRPr="007322CB">
        <w:rPr>
          <w:rFonts w:ascii="Arial" w:hAnsi="Arial" w:cs="Arial"/>
          <w:sz w:val="10"/>
          <w:szCs w:val="10"/>
          <w:lang w:val="pt-BR"/>
        </w:rPr>
        <w:t>[…]</w:t>
      </w:r>
      <w:r w:rsidR="00A43145">
        <w:rPr>
          <w:rFonts w:ascii="Arial" w:hAnsi="Arial" w:cs="Arial"/>
          <w:sz w:val="10"/>
          <w:szCs w:val="10"/>
          <w:lang w:val="pt-BR"/>
        </w:rPr>
        <w:t>”</w:t>
      </w:r>
      <w:r w:rsidRPr="007322CB">
        <w:rPr>
          <w:rFonts w:ascii="Arial" w:hAnsi="Arial" w:cs="Arial"/>
          <w:sz w:val="10"/>
          <w:szCs w:val="10"/>
          <w:lang w:val="pt-BR"/>
        </w:rPr>
        <w:t>.</w:t>
      </w:r>
    </w:p>
    <w:p w14:paraId="26863038" w14:textId="77777777" w:rsidR="00A02C57" w:rsidRPr="007322CB" w:rsidRDefault="00A02C57" w:rsidP="00A02C57">
      <w:pPr>
        <w:pStyle w:val="Textonotapie"/>
        <w:ind w:firstLine="709"/>
        <w:contextualSpacing/>
        <w:jc w:val="both"/>
        <w:rPr>
          <w:rFonts w:ascii="Arial" w:hAnsi="Arial" w:cs="Arial"/>
          <w:sz w:val="10"/>
          <w:szCs w:val="10"/>
          <w:lang w:val="pt-BR"/>
        </w:rPr>
      </w:pPr>
    </w:p>
  </w:footnote>
  <w:footnote w:id="3">
    <w:p w14:paraId="04F4A8B8"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lang w:val="pt-BR"/>
        </w:rPr>
        <w:t xml:space="preserve"> Corte Constitucional. Sentencia C-154 de 1997. </w:t>
      </w:r>
      <w:r w:rsidRPr="007322CB">
        <w:rPr>
          <w:rFonts w:ascii="Arial" w:hAnsi="Arial" w:cs="Arial"/>
          <w:sz w:val="10"/>
          <w:szCs w:val="10"/>
          <w:lang w:val="es-ES"/>
        </w:rPr>
        <w:t>MP: Hernando Herrera Vergara.</w:t>
      </w:r>
    </w:p>
    <w:p w14:paraId="38F93C30" w14:textId="77777777" w:rsidR="00A02C57" w:rsidRPr="007322CB" w:rsidRDefault="00A02C57" w:rsidP="00A02C57">
      <w:pPr>
        <w:pStyle w:val="Textonotapie"/>
        <w:ind w:firstLine="709"/>
        <w:contextualSpacing/>
        <w:jc w:val="both"/>
        <w:rPr>
          <w:rFonts w:ascii="Arial" w:hAnsi="Arial" w:cs="Arial"/>
          <w:sz w:val="10"/>
          <w:szCs w:val="10"/>
          <w:lang w:val="es-ES"/>
        </w:rPr>
      </w:pPr>
    </w:p>
  </w:footnote>
  <w:footnote w:id="4">
    <w:p w14:paraId="4C86D0C2"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Ibíd.</w:t>
      </w:r>
    </w:p>
    <w:p w14:paraId="6B037BB7" w14:textId="77777777" w:rsidR="00A02C57" w:rsidRPr="007322CB" w:rsidRDefault="00A02C57" w:rsidP="00A02C57">
      <w:pPr>
        <w:pStyle w:val="Textonotapie"/>
        <w:ind w:firstLine="709"/>
        <w:contextualSpacing/>
        <w:jc w:val="both"/>
        <w:rPr>
          <w:rFonts w:ascii="Arial" w:hAnsi="Arial" w:cs="Arial"/>
          <w:sz w:val="10"/>
          <w:szCs w:val="10"/>
          <w:lang w:val="es-ES"/>
        </w:rPr>
      </w:pPr>
    </w:p>
  </w:footnote>
  <w:footnote w:id="5">
    <w:p w14:paraId="7FAE0221" w14:textId="04257266" w:rsidR="00A02C57" w:rsidRPr="007322CB" w:rsidRDefault="00A02C57" w:rsidP="00A02C5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 xml:space="preserve">El Decreto 1082 de 2015 lo establece así: </w:t>
      </w:r>
      <w:r w:rsidR="00A43145">
        <w:rPr>
          <w:rFonts w:ascii="Arial" w:hAnsi="Arial" w:cs="Arial"/>
          <w:color w:val="000000"/>
          <w:sz w:val="10"/>
          <w:szCs w:val="10"/>
          <w:lang w:val="es-ES"/>
        </w:rPr>
        <w:t>“</w:t>
      </w:r>
      <w:r w:rsidRPr="007322CB">
        <w:rPr>
          <w:rFonts w:ascii="Arial" w:hAnsi="Arial" w:cs="Arial"/>
          <w:color w:val="000000"/>
          <w:sz w:val="10"/>
          <w:szCs w:val="10"/>
          <w:lang w:val="es-ES"/>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194A67F" w14:textId="1E03850F" w:rsidR="00A02C57" w:rsidRPr="007322CB" w:rsidRDefault="00A43145" w:rsidP="00A02C57">
      <w:pPr>
        <w:pStyle w:val="Textonotapie"/>
        <w:ind w:firstLine="709"/>
        <w:contextualSpacing/>
        <w:jc w:val="both"/>
        <w:rPr>
          <w:rFonts w:ascii="Arial" w:hAnsi="Arial" w:cs="Arial"/>
          <w:color w:val="000000"/>
          <w:sz w:val="10"/>
          <w:szCs w:val="10"/>
          <w:lang w:val="es-ES"/>
        </w:rPr>
      </w:pPr>
      <w:r>
        <w:rPr>
          <w:rFonts w:ascii="Arial" w:hAnsi="Arial" w:cs="Arial"/>
          <w:color w:val="000000"/>
          <w:sz w:val="10"/>
          <w:szCs w:val="10"/>
          <w:lang w:val="es-ES"/>
        </w:rPr>
        <w:t>“</w:t>
      </w:r>
      <w:r w:rsidR="00A02C57" w:rsidRPr="007322CB">
        <w:rPr>
          <w:rFonts w:ascii="Arial" w:hAnsi="Arial" w:cs="Arial"/>
          <w:color w:val="000000"/>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EC42F60" w14:textId="2DF0FB49" w:rsidR="00A02C57" w:rsidRPr="007322CB" w:rsidRDefault="00A43145" w:rsidP="00A02C57">
      <w:pPr>
        <w:pStyle w:val="Textonotapie"/>
        <w:ind w:firstLine="709"/>
        <w:contextualSpacing/>
        <w:jc w:val="both"/>
        <w:rPr>
          <w:rFonts w:ascii="Arial" w:hAnsi="Arial" w:cs="Arial"/>
          <w:color w:val="000000"/>
          <w:sz w:val="10"/>
          <w:szCs w:val="10"/>
          <w:lang w:val="es-ES"/>
        </w:rPr>
      </w:pPr>
      <w:r>
        <w:rPr>
          <w:rFonts w:ascii="Arial" w:hAnsi="Arial" w:cs="Arial"/>
          <w:color w:val="000000"/>
          <w:sz w:val="10"/>
          <w:szCs w:val="10"/>
          <w:lang w:val="es-ES"/>
        </w:rPr>
        <w:t>“</w:t>
      </w:r>
      <w:r w:rsidR="00A02C57" w:rsidRPr="007322CB">
        <w:rPr>
          <w:rFonts w:ascii="Arial" w:hAnsi="Arial" w:cs="Arial"/>
          <w:color w:val="000000"/>
          <w:sz w:val="10"/>
          <w:szCs w:val="10"/>
          <w:lang w:val="es-ES"/>
        </w:rPr>
        <w:t>La Entidad Estatal, para la contratación de trabajos artísticos que solamente puedan en­comendarse a determinadas personas naturales, debe justificar esta situación en los estudios y documentos previos</w:t>
      </w:r>
      <w:r>
        <w:rPr>
          <w:rFonts w:ascii="Arial" w:hAnsi="Arial" w:cs="Arial"/>
          <w:color w:val="000000"/>
          <w:sz w:val="10"/>
          <w:szCs w:val="10"/>
          <w:lang w:val="es-ES"/>
        </w:rPr>
        <w:t>”</w:t>
      </w:r>
      <w:r w:rsidR="00A02C57" w:rsidRPr="007322CB">
        <w:rPr>
          <w:rFonts w:ascii="Arial" w:hAnsi="Arial" w:cs="Arial"/>
          <w:color w:val="000000"/>
          <w:sz w:val="10"/>
          <w:szCs w:val="10"/>
          <w:lang w:val="es-ES"/>
        </w:rPr>
        <w:t>.</w:t>
      </w:r>
    </w:p>
  </w:footnote>
  <w:footnote w:id="6">
    <w:p w14:paraId="575A5C87" w14:textId="77777777" w:rsidR="00A02C57" w:rsidRPr="007322CB" w:rsidRDefault="00A02C57" w:rsidP="00A02C5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CONSEJO DE ESTADO. Sección Tercera. Subsección C. Sentencia del 2 de diciembre de 2013. Exp. 41719. Consejero Ponente: Jaime Orlando Santofimio Gamboa.</w:t>
      </w:r>
    </w:p>
  </w:footnote>
  <w:footnote w:id="7">
    <w:p w14:paraId="409C7B0A" w14:textId="77777777" w:rsidR="00A02C57" w:rsidRPr="007322CB" w:rsidRDefault="00A02C57" w:rsidP="00A02C5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Ibíd.</w:t>
      </w:r>
    </w:p>
  </w:footnote>
  <w:footnote w:id="8">
    <w:p w14:paraId="4E28F9DC" w14:textId="77777777" w:rsidR="00A02C57" w:rsidRPr="007322CB" w:rsidRDefault="00A02C57" w:rsidP="00A02C57">
      <w:pPr>
        <w:pStyle w:val="Textonotapie"/>
        <w:ind w:firstLine="709"/>
        <w:contextualSpacing/>
        <w:jc w:val="both"/>
        <w:rPr>
          <w:rFonts w:ascii="Arial" w:hAnsi="Arial" w:cs="Arial"/>
          <w:color w:val="000000"/>
          <w:sz w:val="10"/>
          <w:szCs w:val="10"/>
          <w:lang w:val="es-ES"/>
        </w:rPr>
      </w:pPr>
      <w:r w:rsidRPr="007322CB">
        <w:rPr>
          <w:rStyle w:val="Refdenotaalpie"/>
          <w:rFonts w:ascii="Arial" w:hAnsi="Arial" w:cs="Arial"/>
          <w:color w:val="000000"/>
          <w:sz w:val="10"/>
          <w:szCs w:val="10"/>
        </w:rPr>
        <w:footnoteRef/>
      </w:r>
      <w:r w:rsidRPr="007322CB">
        <w:rPr>
          <w:rFonts w:ascii="Arial" w:hAnsi="Arial" w:cs="Arial"/>
          <w:color w:val="000000"/>
          <w:sz w:val="10"/>
          <w:szCs w:val="10"/>
        </w:rPr>
        <w:t xml:space="preserve"> </w:t>
      </w:r>
      <w:r w:rsidRPr="007322CB">
        <w:rPr>
          <w:rFonts w:ascii="Arial" w:hAnsi="Arial" w:cs="Arial"/>
          <w:color w:val="000000"/>
          <w:sz w:val="10"/>
          <w:szCs w:val="10"/>
          <w:lang w:val="es-ES"/>
        </w:rPr>
        <w:t>Ibíd.</w:t>
      </w:r>
    </w:p>
  </w:footnote>
  <w:footnote w:id="9">
    <w:p w14:paraId="150654DA" w14:textId="0D97C3E1"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Ibíd. En efecto, el numeral 2º del artículo 32 de la Ley 80 de 1993 define el contrato de consultoría así: </w:t>
      </w:r>
      <w:r w:rsidR="00A43145">
        <w:rPr>
          <w:rFonts w:ascii="Arial" w:hAnsi="Arial" w:cs="Arial"/>
          <w:sz w:val="10"/>
          <w:szCs w:val="10"/>
          <w:lang w:val="es-ES"/>
        </w:rPr>
        <w:t>“</w:t>
      </w:r>
      <w:r w:rsidRPr="007322CB">
        <w:rPr>
          <w:rFonts w:ascii="Arial" w:hAnsi="Arial" w:cs="Arial"/>
          <w:sz w:val="10"/>
          <w:szCs w:val="10"/>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EF1E033" w14:textId="3A141D8B"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Son también contratos de consultoría los que tienen por objeto la interventoría, asesoría, gerencia de obra o de proyectos, dirección, programación y la ejecución de diseños, planos, anteproyectos y proyectos.</w:t>
      </w:r>
    </w:p>
    <w:p w14:paraId="1032D66D" w14:textId="177330E9"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Ninguna orden del interventor de una obra podrá darse verbalmente. Es obligatorio para el interventor entregar por escrito sus órdenes o sugerencias y ellas deben enmarcarse dentro de los términos del respectivo contrato</w:t>
      </w:r>
      <w:r>
        <w:rPr>
          <w:rFonts w:ascii="Arial" w:hAnsi="Arial" w:cs="Arial"/>
          <w:sz w:val="10"/>
          <w:szCs w:val="10"/>
          <w:lang w:val="es-ES"/>
        </w:rPr>
        <w:t>”</w:t>
      </w:r>
      <w:r w:rsidR="00A02C57" w:rsidRPr="007322CB">
        <w:rPr>
          <w:rFonts w:ascii="Arial" w:hAnsi="Arial" w:cs="Arial"/>
          <w:sz w:val="10"/>
          <w:szCs w:val="10"/>
          <w:lang w:val="es-ES"/>
        </w:rPr>
        <w:t>.</w:t>
      </w:r>
    </w:p>
  </w:footnote>
  <w:footnote w:id="10">
    <w:p w14:paraId="0958DB88" w14:textId="112FBDF6"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Así lo dispone el artículo 2.2.1.2.1.4.1. del Decreto 1082 de 2015: </w:t>
      </w:r>
      <w:r w:rsidR="00A43145">
        <w:rPr>
          <w:rFonts w:ascii="Arial" w:hAnsi="Arial" w:cs="Arial"/>
          <w:sz w:val="10"/>
          <w:szCs w:val="10"/>
          <w:lang w:val="es-ES"/>
        </w:rPr>
        <w:t>“</w:t>
      </w:r>
      <w:r w:rsidRPr="007322CB">
        <w:rPr>
          <w:rFonts w:ascii="Arial" w:hAnsi="Arial" w:cs="Arial"/>
          <w:sz w:val="10"/>
          <w:szCs w:val="10"/>
          <w:lang w:val="es-ES"/>
        </w:rPr>
        <w:t>La Entidad Estatal debe señalar en un acto administrativo la justificación para contratar bajo la modalidad de contratación directa, el cual debe contener:</w:t>
      </w:r>
    </w:p>
    <w:p w14:paraId="30EAB245" w14:textId="514DC5F3"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1. La causal que invoca para contratar directamente.</w:t>
      </w:r>
    </w:p>
    <w:p w14:paraId="36C5CDF2" w14:textId="08A3A529"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2. El objeto del contrato.</w:t>
      </w:r>
    </w:p>
    <w:p w14:paraId="5D7A7E53" w14:textId="6F73E8A6"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3. El presupuesto para la contratación y las condiciones que exigirá al contratista.</w:t>
      </w:r>
    </w:p>
    <w:p w14:paraId="3F4D25F2" w14:textId="426360DF"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4. El lugar en el cual los interesados pueden consultar los estudios y documentos previos.</w:t>
      </w:r>
    </w:p>
    <w:p w14:paraId="0DB58F0E" w14:textId="035D9948" w:rsidR="00A02C57" w:rsidRPr="007322CB" w:rsidRDefault="00A43145" w:rsidP="00A02C57">
      <w:pPr>
        <w:pStyle w:val="Textonotapie"/>
        <w:ind w:firstLine="709"/>
        <w:contextualSpacing/>
        <w:jc w:val="both"/>
        <w:rPr>
          <w:rFonts w:ascii="Arial" w:hAnsi="Arial" w:cs="Arial"/>
          <w:sz w:val="10"/>
          <w:szCs w:val="10"/>
          <w:lang w:val="es-ES"/>
        </w:rPr>
      </w:pPr>
      <w:r>
        <w:rPr>
          <w:rFonts w:ascii="Arial" w:hAnsi="Arial" w:cs="Arial"/>
          <w:sz w:val="10"/>
          <w:szCs w:val="10"/>
          <w:lang w:val="es-ES"/>
        </w:rPr>
        <w:t>“</w:t>
      </w:r>
      <w:r w:rsidR="00A02C57" w:rsidRPr="007322CB">
        <w:rPr>
          <w:rFonts w:ascii="Arial" w:hAnsi="Arial"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r>
        <w:rPr>
          <w:rFonts w:ascii="Arial" w:hAnsi="Arial" w:cs="Arial"/>
          <w:sz w:val="10"/>
          <w:szCs w:val="10"/>
          <w:lang w:val="es-ES"/>
        </w:rPr>
        <w:t>”</w:t>
      </w:r>
      <w:r w:rsidR="00A02C57" w:rsidRPr="007322CB">
        <w:rPr>
          <w:rFonts w:ascii="Arial" w:hAnsi="Arial" w:cs="Arial"/>
          <w:sz w:val="10"/>
          <w:szCs w:val="10"/>
          <w:lang w:val="es-ES"/>
        </w:rPr>
        <w:t>.</w:t>
      </w:r>
    </w:p>
  </w:footnote>
  <w:footnote w:id="11">
    <w:p w14:paraId="093DD346" w14:textId="77777777" w:rsidR="00A02C57" w:rsidRPr="007322CB" w:rsidRDefault="00A02C57" w:rsidP="00A02C57">
      <w:pPr>
        <w:pStyle w:val="Textonotapie"/>
        <w:contextualSpacing/>
        <w:jc w:val="both"/>
        <w:rPr>
          <w:rFonts w:ascii="Arial" w:hAnsi="Arial" w:cs="Arial"/>
          <w:sz w:val="10"/>
          <w:szCs w:val="10"/>
        </w:rPr>
      </w:pPr>
    </w:p>
    <w:p w14:paraId="23DEC6F9" w14:textId="16BB4ED8"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La norma expresa: </w:t>
      </w:r>
      <w:r w:rsidR="00A43145">
        <w:rPr>
          <w:rFonts w:ascii="Arial" w:hAnsi="Arial" w:cs="Arial"/>
          <w:sz w:val="10"/>
          <w:szCs w:val="10"/>
          <w:lang w:val="es-ES"/>
        </w:rPr>
        <w:t>“</w:t>
      </w:r>
      <w:r w:rsidRPr="007322CB">
        <w:rPr>
          <w:rFonts w:ascii="Arial" w:hAnsi="Arial" w:cs="Arial"/>
          <w:sz w:val="10"/>
          <w:szCs w:val="10"/>
          <w:lang w:val="es-ES"/>
        </w:rPr>
        <w:t xml:space="preserve">Art. 14. </w:t>
      </w:r>
      <w:r w:rsidRPr="007322CB">
        <w:rPr>
          <w:rFonts w:ascii="Arial" w:hAnsi="Arial" w:cs="Arial"/>
          <w:sz w:val="10"/>
          <w:szCs w:val="10"/>
        </w:rPr>
        <w:t>P</w:t>
      </w:r>
      <w:r w:rsidRPr="007322CB">
        <w:rPr>
          <w:rFonts w:ascii="Arial" w:hAnsi="Arial" w:cs="Arial"/>
          <w:sz w:val="10"/>
          <w:szCs w:val="10"/>
          <w:lang w:val="es-ES"/>
        </w:rPr>
        <w:t>ara el cumplimiento de los fines de la contratación, las entidades estatales al celebrar un contrato:</w:t>
      </w:r>
    </w:p>
    <w:p w14:paraId="34840E2F"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w:t>
      </w:r>
    </w:p>
    <w:p w14:paraId="4920DEBD"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D0DE54F" w14:textId="77777777"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Las entidades estatales podrán pactar estas cláusulas en los contratos de suministro y de prestación de servicios.</w:t>
      </w:r>
    </w:p>
    <w:p w14:paraId="6922C9B5" w14:textId="55FDF364"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lang w:val="es-ES"/>
        </w:rPr>
        <w:t>[…]</w:t>
      </w:r>
      <w:r w:rsidR="00A43145">
        <w:rPr>
          <w:rFonts w:ascii="Arial" w:hAnsi="Arial" w:cs="Arial"/>
          <w:sz w:val="10"/>
          <w:szCs w:val="10"/>
          <w:lang w:val="es-ES"/>
        </w:rPr>
        <w:t>”</w:t>
      </w:r>
      <w:r w:rsidRPr="007322CB">
        <w:rPr>
          <w:rFonts w:ascii="Arial" w:hAnsi="Arial" w:cs="Arial"/>
          <w:sz w:val="10"/>
          <w:szCs w:val="10"/>
          <w:lang w:val="es-ES"/>
        </w:rPr>
        <w:t>.</w:t>
      </w:r>
    </w:p>
    <w:p w14:paraId="76A125ED" w14:textId="77777777" w:rsidR="00A02C57" w:rsidRPr="007322CB" w:rsidRDefault="00A02C57" w:rsidP="00A02C57">
      <w:pPr>
        <w:pStyle w:val="Textonotapie"/>
        <w:ind w:firstLine="709"/>
        <w:contextualSpacing/>
        <w:jc w:val="both"/>
        <w:rPr>
          <w:rFonts w:ascii="Arial" w:hAnsi="Arial" w:cs="Arial"/>
          <w:sz w:val="10"/>
          <w:szCs w:val="10"/>
          <w:lang w:val="es-ES"/>
        </w:rPr>
      </w:pPr>
    </w:p>
  </w:footnote>
  <w:footnote w:id="12">
    <w:p w14:paraId="1F38FAFF" w14:textId="6628D07C"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La norma dispone: </w:t>
      </w:r>
      <w:r w:rsidR="00A43145">
        <w:rPr>
          <w:rFonts w:ascii="Arial" w:hAnsi="Arial" w:cs="Arial"/>
          <w:sz w:val="10"/>
          <w:szCs w:val="10"/>
          <w:lang w:val="es-ES"/>
        </w:rPr>
        <w:t>“</w:t>
      </w:r>
      <w:r w:rsidRPr="007322CB">
        <w:rPr>
          <w:rFonts w:ascii="Arial" w:hAnsi="Arial" w:cs="Arial"/>
          <w:sz w:val="10"/>
          <w:szCs w:val="10"/>
          <w:lang w:val="es-ES"/>
        </w:rPr>
        <w:t>La liquidación a que se refiere el presente artículo no será obligatoria en los contratos de prestación de servicios profesionales y de apoyo a la gestión</w:t>
      </w:r>
      <w:r w:rsidR="00A43145">
        <w:rPr>
          <w:rFonts w:ascii="Arial" w:hAnsi="Arial" w:cs="Arial"/>
          <w:sz w:val="10"/>
          <w:szCs w:val="10"/>
          <w:lang w:val="es-ES"/>
        </w:rPr>
        <w:t>”</w:t>
      </w:r>
      <w:r w:rsidRPr="007322CB">
        <w:rPr>
          <w:rFonts w:ascii="Arial" w:hAnsi="Arial" w:cs="Arial"/>
          <w:sz w:val="10"/>
          <w:szCs w:val="10"/>
          <w:lang w:val="es-ES"/>
        </w:rPr>
        <w:t>.</w:t>
      </w:r>
    </w:p>
  </w:footnote>
  <w:footnote w:id="13">
    <w:p w14:paraId="6801D2E3" w14:textId="77777777" w:rsidR="00A02C57" w:rsidRPr="007322CB" w:rsidRDefault="00A02C57" w:rsidP="00A02C57">
      <w:pPr>
        <w:pStyle w:val="Textonotapie"/>
        <w:ind w:firstLine="709"/>
        <w:contextualSpacing/>
        <w:jc w:val="both"/>
        <w:rPr>
          <w:rFonts w:ascii="Arial" w:hAnsi="Arial" w:cs="Arial"/>
          <w:sz w:val="10"/>
          <w:szCs w:val="10"/>
        </w:rPr>
      </w:pPr>
    </w:p>
    <w:p w14:paraId="29044EE5" w14:textId="30FDD845" w:rsidR="00A02C57" w:rsidRPr="007322CB" w:rsidRDefault="00A02C57" w:rsidP="00A02C57">
      <w:pPr>
        <w:pStyle w:val="Textonotapie"/>
        <w:ind w:firstLine="709"/>
        <w:contextualSpacing/>
        <w:jc w:val="both"/>
        <w:rPr>
          <w:rFonts w:ascii="Arial" w:hAnsi="Arial" w:cs="Arial"/>
          <w:sz w:val="10"/>
          <w:szCs w:val="10"/>
        </w:rPr>
      </w:pPr>
      <w:r w:rsidRPr="007322CB">
        <w:rPr>
          <w:rStyle w:val="Refdenotaalpie"/>
          <w:rFonts w:ascii="Arial" w:hAnsi="Arial" w:cs="Arial"/>
          <w:sz w:val="10"/>
          <w:szCs w:val="10"/>
        </w:rPr>
        <w:footnoteRef/>
      </w:r>
      <w:r w:rsidRPr="007322CB">
        <w:rPr>
          <w:rFonts w:ascii="Arial" w:hAnsi="Arial" w:cs="Arial"/>
          <w:sz w:val="10"/>
          <w:szCs w:val="10"/>
        </w:rPr>
        <w:t xml:space="preserve"> Según dicho artículo: </w:t>
      </w:r>
      <w:r w:rsidR="00A43145">
        <w:rPr>
          <w:rFonts w:ascii="Arial" w:hAnsi="Arial" w:cs="Arial"/>
          <w:sz w:val="10"/>
          <w:szCs w:val="10"/>
        </w:rPr>
        <w:t>“</w:t>
      </w:r>
      <w:r w:rsidRPr="007322CB">
        <w:rPr>
          <w:rFonts w:ascii="Arial" w:hAnsi="Arial" w:cs="Arial"/>
          <w:sz w:val="10"/>
          <w:szCs w:val="10"/>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5536768" w14:textId="77777777" w:rsidR="00A02C57" w:rsidRPr="007322CB" w:rsidRDefault="00A02C57" w:rsidP="00A02C57">
      <w:pPr>
        <w:pStyle w:val="Textonotapie"/>
        <w:ind w:firstLine="709"/>
        <w:contextualSpacing/>
        <w:jc w:val="both"/>
        <w:rPr>
          <w:rFonts w:ascii="Arial" w:hAnsi="Arial" w:cs="Arial"/>
          <w:sz w:val="10"/>
          <w:szCs w:val="10"/>
        </w:rPr>
      </w:pPr>
      <w:r w:rsidRPr="007322CB">
        <w:rPr>
          <w:rFonts w:ascii="Arial" w:hAnsi="Arial" w:cs="Arial"/>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BB2CDD0" w14:textId="2CAAC109" w:rsidR="00A02C57" w:rsidRPr="007322CB" w:rsidRDefault="00A02C57" w:rsidP="00A02C57">
      <w:pPr>
        <w:pStyle w:val="Textonotapie"/>
        <w:ind w:firstLine="709"/>
        <w:contextualSpacing/>
        <w:jc w:val="both"/>
        <w:rPr>
          <w:rFonts w:ascii="Arial" w:hAnsi="Arial" w:cs="Arial"/>
          <w:sz w:val="10"/>
          <w:szCs w:val="10"/>
          <w:lang w:val="es-ES"/>
        </w:rPr>
      </w:pPr>
      <w:r w:rsidRPr="007322CB">
        <w:rPr>
          <w:rFonts w:ascii="Arial" w:hAnsi="Arial" w:cs="Arial"/>
          <w:sz w:val="10"/>
          <w:szCs w:val="10"/>
        </w:rPr>
        <w:t>[…]</w:t>
      </w:r>
      <w:r w:rsidR="00A43145">
        <w:rPr>
          <w:rFonts w:ascii="Arial" w:hAnsi="Arial" w:cs="Arial"/>
          <w:sz w:val="10"/>
          <w:szCs w:val="10"/>
        </w:rPr>
        <w:t>”</w:t>
      </w:r>
      <w:r w:rsidRPr="007322CB">
        <w:rPr>
          <w:rFonts w:ascii="Arial" w:hAnsi="Arial" w:cs="Arial"/>
          <w:sz w:val="10"/>
          <w:szCs w:val="10"/>
        </w:rPr>
        <w:t>.</w:t>
      </w:r>
    </w:p>
  </w:footnote>
  <w:footnote w:id="14">
    <w:p w14:paraId="658E4D8C" w14:textId="77777777" w:rsidR="00A02C57" w:rsidRPr="007322CB" w:rsidRDefault="00A02C57" w:rsidP="00A02C57">
      <w:pPr>
        <w:pStyle w:val="Textonotapie"/>
        <w:ind w:firstLine="709"/>
        <w:contextualSpacing/>
        <w:jc w:val="both"/>
        <w:rPr>
          <w:rFonts w:ascii="Arial" w:hAnsi="Arial" w:cs="Arial"/>
          <w:sz w:val="10"/>
          <w:szCs w:val="10"/>
        </w:rPr>
      </w:pPr>
    </w:p>
    <w:p w14:paraId="1F41DB6A" w14:textId="2BC1BAB3" w:rsidR="00A02C57" w:rsidRPr="007322CB" w:rsidRDefault="00A02C57" w:rsidP="00A02C57">
      <w:pPr>
        <w:pStyle w:val="Textonotapie"/>
        <w:ind w:firstLine="709"/>
        <w:contextualSpacing/>
        <w:jc w:val="both"/>
        <w:rPr>
          <w:rFonts w:ascii="Arial" w:hAnsi="Arial" w:cs="Arial"/>
          <w:sz w:val="10"/>
          <w:szCs w:val="10"/>
          <w:lang w:val="es-ES"/>
        </w:rPr>
      </w:pPr>
      <w:r w:rsidRPr="007322CB">
        <w:rPr>
          <w:rStyle w:val="Refdenotaalpie"/>
          <w:rFonts w:ascii="Arial" w:hAnsi="Arial" w:cs="Arial"/>
          <w:sz w:val="10"/>
          <w:szCs w:val="10"/>
        </w:rPr>
        <w:footnoteRef/>
      </w:r>
      <w:r w:rsidRPr="007322CB">
        <w:rPr>
          <w:rFonts w:ascii="Arial" w:hAnsi="Arial" w:cs="Arial"/>
          <w:sz w:val="10"/>
          <w:szCs w:val="10"/>
        </w:rPr>
        <w:t xml:space="preserve"> </w:t>
      </w:r>
      <w:r w:rsidRPr="007322CB">
        <w:rPr>
          <w:rFonts w:ascii="Arial" w:hAnsi="Arial" w:cs="Arial"/>
          <w:sz w:val="10"/>
          <w:szCs w:val="10"/>
          <w:lang w:val="es-ES"/>
        </w:rPr>
        <w:t xml:space="preserve">Así lo establece el Decreto 1082 de 2015: </w:t>
      </w:r>
      <w:r w:rsidR="00A43145">
        <w:rPr>
          <w:rFonts w:ascii="Arial" w:hAnsi="Arial" w:cs="Arial"/>
          <w:sz w:val="10"/>
          <w:szCs w:val="10"/>
          <w:lang w:val="es-ES"/>
        </w:rPr>
        <w:t>“</w:t>
      </w:r>
      <w:r w:rsidRPr="007322CB">
        <w:rPr>
          <w:rFonts w:ascii="Arial" w:hAnsi="Arial" w:cs="Arial"/>
          <w:sz w:val="10"/>
          <w:szCs w:val="10"/>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sidR="00A43145">
        <w:rPr>
          <w:rFonts w:ascii="Arial" w:hAnsi="Arial" w:cs="Arial"/>
          <w:sz w:val="10"/>
          <w:szCs w:val="10"/>
          <w:lang w:val="es-ES"/>
        </w:rPr>
        <w:t>”</w:t>
      </w:r>
      <w:r w:rsidRPr="007322CB">
        <w:rPr>
          <w:rFonts w:ascii="Arial" w:hAnsi="Arial" w:cs="Arial"/>
          <w:sz w:val="10"/>
          <w:szCs w:val="10"/>
          <w:lang w:val="es-ES"/>
        </w:rPr>
        <w:t>.</w:t>
      </w:r>
    </w:p>
    <w:p w14:paraId="3C8B2608" w14:textId="77777777" w:rsidR="00A02C57" w:rsidRPr="007322CB" w:rsidRDefault="00A02C57" w:rsidP="00A02C57">
      <w:pPr>
        <w:pStyle w:val="Textonotapie"/>
        <w:ind w:firstLine="709"/>
        <w:contextualSpacing/>
        <w:jc w:val="both"/>
        <w:rPr>
          <w:rFonts w:ascii="Arial" w:hAnsi="Arial" w:cs="Arial"/>
          <w:sz w:val="10"/>
          <w:szCs w:val="10"/>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F16182"/>
    <w:multiLevelType w:val="hybridMultilevel"/>
    <w:tmpl w:val="1370086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7E4E75"/>
    <w:multiLevelType w:val="hybridMultilevel"/>
    <w:tmpl w:val="3DF0A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241B494F"/>
    <w:multiLevelType w:val="hybridMultilevel"/>
    <w:tmpl w:val="84E60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2EC4D2B"/>
    <w:multiLevelType w:val="hybridMultilevel"/>
    <w:tmpl w:val="79E495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35F7E4D"/>
    <w:multiLevelType w:val="hybridMultilevel"/>
    <w:tmpl w:val="E264BC8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4C81BBA"/>
    <w:multiLevelType w:val="hybridMultilevel"/>
    <w:tmpl w:val="E55482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9" w15:restartNumberingAfterBreak="0">
    <w:nsid w:val="3D120DD9"/>
    <w:multiLevelType w:val="hybridMultilevel"/>
    <w:tmpl w:val="165AC54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22"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4"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C6D0E2E"/>
    <w:multiLevelType w:val="hybridMultilevel"/>
    <w:tmpl w:val="5C24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9081512"/>
    <w:multiLevelType w:val="hybridMultilevel"/>
    <w:tmpl w:val="BFF23E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07922B4"/>
    <w:multiLevelType w:val="hybridMultilevel"/>
    <w:tmpl w:val="FC80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0E13D05"/>
    <w:multiLevelType w:val="hybridMultilevel"/>
    <w:tmpl w:val="BE042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7DD2568"/>
    <w:multiLevelType w:val="hybridMultilevel"/>
    <w:tmpl w:val="59AEEE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A403C2D"/>
    <w:multiLevelType w:val="hybridMultilevel"/>
    <w:tmpl w:val="4A9CA034"/>
    <w:lvl w:ilvl="0" w:tplc="5BBEEB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97010639">
    <w:abstractNumId w:val="0"/>
  </w:num>
  <w:num w:numId="2" w16cid:durableId="271860312">
    <w:abstractNumId w:val="32"/>
  </w:num>
  <w:num w:numId="3" w16cid:durableId="1595672007">
    <w:abstractNumId w:val="25"/>
  </w:num>
  <w:num w:numId="4" w16cid:durableId="1944533281">
    <w:abstractNumId w:val="13"/>
  </w:num>
  <w:num w:numId="5" w16cid:durableId="2081175712">
    <w:abstractNumId w:val="7"/>
  </w:num>
  <w:num w:numId="6" w16cid:durableId="1584220838">
    <w:abstractNumId w:val="1"/>
  </w:num>
  <w:num w:numId="7" w16cid:durableId="1890258578">
    <w:abstractNumId w:val="22"/>
  </w:num>
  <w:num w:numId="8" w16cid:durableId="1250309436">
    <w:abstractNumId w:val="34"/>
  </w:num>
  <w:num w:numId="9" w16cid:durableId="170149205">
    <w:abstractNumId w:val="5"/>
  </w:num>
  <w:num w:numId="10" w16cid:durableId="121771703">
    <w:abstractNumId w:val="21"/>
  </w:num>
  <w:num w:numId="11" w16cid:durableId="679089576">
    <w:abstractNumId w:val="17"/>
  </w:num>
  <w:num w:numId="12" w16cid:durableId="1597637299">
    <w:abstractNumId w:val="18"/>
  </w:num>
  <w:num w:numId="13" w16cid:durableId="1197356270">
    <w:abstractNumId w:val="23"/>
  </w:num>
  <w:num w:numId="14" w16cid:durableId="1422145251">
    <w:abstractNumId w:val="33"/>
  </w:num>
  <w:num w:numId="15" w16cid:durableId="868641893">
    <w:abstractNumId w:val="29"/>
  </w:num>
  <w:num w:numId="16" w16cid:durableId="2025937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12"/>
  </w:num>
  <w:num w:numId="18" w16cid:durableId="1933977330">
    <w:abstractNumId w:val="8"/>
  </w:num>
  <w:num w:numId="19" w16cid:durableId="597564065">
    <w:abstractNumId w:val="20"/>
  </w:num>
  <w:num w:numId="20" w16cid:durableId="1058745687">
    <w:abstractNumId w:val="11"/>
  </w:num>
  <w:num w:numId="21" w16cid:durableId="1228223862">
    <w:abstractNumId w:val="10"/>
  </w:num>
  <w:num w:numId="22" w16cid:durableId="606429298">
    <w:abstractNumId w:val="24"/>
  </w:num>
  <w:num w:numId="23" w16cid:durableId="19822139">
    <w:abstractNumId w:val="3"/>
  </w:num>
  <w:num w:numId="24" w16cid:durableId="66534376">
    <w:abstractNumId w:val="31"/>
  </w:num>
  <w:num w:numId="25" w16cid:durableId="1721511704">
    <w:abstractNumId w:val="27"/>
  </w:num>
  <w:num w:numId="26" w16cid:durableId="1912307450">
    <w:abstractNumId w:val="6"/>
  </w:num>
  <w:num w:numId="27" w16cid:durableId="1147167869">
    <w:abstractNumId w:val="28"/>
  </w:num>
  <w:num w:numId="28" w16cid:durableId="295986491">
    <w:abstractNumId w:val="26"/>
  </w:num>
  <w:num w:numId="29" w16cid:durableId="114105932">
    <w:abstractNumId w:val="30"/>
  </w:num>
  <w:num w:numId="30" w16cid:durableId="1953243012">
    <w:abstractNumId w:val="19"/>
  </w:num>
  <w:num w:numId="31" w16cid:durableId="1516311792">
    <w:abstractNumId w:val="4"/>
  </w:num>
  <w:num w:numId="32" w16cid:durableId="293101471">
    <w:abstractNumId w:val="14"/>
  </w:num>
  <w:num w:numId="33" w16cid:durableId="1921017146">
    <w:abstractNumId w:val="9"/>
  </w:num>
  <w:num w:numId="34" w16cid:durableId="134764369">
    <w:abstractNumId w:val="35"/>
  </w:num>
  <w:num w:numId="35" w16cid:durableId="1015883117">
    <w:abstractNumId w:val="2"/>
  </w:num>
  <w:num w:numId="36" w16cid:durableId="103229939">
    <w:abstractNumId w:val="36"/>
  </w:num>
  <w:num w:numId="37" w16cid:durableId="962075927">
    <w:abstractNumId w:val="15"/>
  </w:num>
  <w:num w:numId="38" w16cid:durableId="202834918">
    <w:abstractNumId w:val="37"/>
  </w:num>
  <w:num w:numId="39" w16cid:durableId="20605877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7723D"/>
    <w:rsid w:val="00092DB6"/>
    <w:rsid w:val="000E0D00"/>
    <w:rsid w:val="000E2148"/>
    <w:rsid w:val="000E561E"/>
    <w:rsid w:val="000E7508"/>
    <w:rsid w:val="001F7599"/>
    <w:rsid w:val="00207A26"/>
    <w:rsid w:val="002A7290"/>
    <w:rsid w:val="002D2553"/>
    <w:rsid w:val="002D30AC"/>
    <w:rsid w:val="003127C7"/>
    <w:rsid w:val="00312E96"/>
    <w:rsid w:val="003B5261"/>
    <w:rsid w:val="004C7C90"/>
    <w:rsid w:val="0050012F"/>
    <w:rsid w:val="00553F39"/>
    <w:rsid w:val="00555176"/>
    <w:rsid w:val="00573EBC"/>
    <w:rsid w:val="00580642"/>
    <w:rsid w:val="005A5AFA"/>
    <w:rsid w:val="005C6825"/>
    <w:rsid w:val="0060538B"/>
    <w:rsid w:val="00620BE1"/>
    <w:rsid w:val="006649D6"/>
    <w:rsid w:val="006D24E7"/>
    <w:rsid w:val="006D51B2"/>
    <w:rsid w:val="006D5D18"/>
    <w:rsid w:val="006F77A6"/>
    <w:rsid w:val="007424EB"/>
    <w:rsid w:val="00763F15"/>
    <w:rsid w:val="007D5FE7"/>
    <w:rsid w:val="007E0D51"/>
    <w:rsid w:val="007F2385"/>
    <w:rsid w:val="00893CDE"/>
    <w:rsid w:val="008D662C"/>
    <w:rsid w:val="00900AD7"/>
    <w:rsid w:val="0090156A"/>
    <w:rsid w:val="00934F7F"/>
    <w:rsid w:val="00942844"/>
    <w:rsid w:val="009A2511"/>
    <w:rsid w:val="009C4900"/>
    <w:rsid w:val="009F5FB8"/>
    <w:rsid w:val="00A02C57"/>
    <w:rsid w:val="00A26C76"/>
    <w:rsid w:val="00A33752"/>
    <w:rsid w:val="00A43145"/>
    <w:rsid w:val="00A62278"/>
    <w:rsid w:val="00A96BF0"/>
    <w:rsid w:val="00A97EC1"/>
    <w:rsid w:val="00A97F09"/>
    <w:rsid w:val="00AB01BD"/>
    <w:rsid w:val="00AB4464"/>
    <w:rsid w:val="00AB64A5"/>
    <w:rsid w:val="00AC79D3"/>
    <w:rsid w:val="00BE2B78"/>
    <w:rsid w:val="00C00C41"/>
    <w:rsid w:val="00C01E35"/>
    <w:rsid w:val="00C04209"/>
    <w:rsid w:val="00C15AAE"/>
    <w:rsid w:val="00C65755"/>
    <w:rsid w:val="00C923D0"/>
    <w:rsid w:val="00CC1D5B"/>
    <w:rsid w:val="00CD258B"/>
    <w:rsid w:val="00D245EF"/>
    <w:rsid w:val="00D40943"/>
    <w:rsid w:val="00D426F4"/>
    <w:rsid w:val="00E07453"/>
    <w:rsid w:val="00E100F3"/>
    <w:rsid w:val="00E51C9B"/>
    <w:rsid w:val="00E5732A"/>
    <w:rsid w:val="00E61733"/>
    <w:rsid w:val="00ED6631"/>
    <w:rsid w:val="00EF11BA"/>
    <w:rsid w:val="00EF1B47"/>
    <w:rsid w:val="00F02EBB"/>
    <w:rsid w:val="00F14BCA"/>
    <w:rsid w:val="00F67849"/>
    <w:rsid w:val="00FB6216"/>
    <w:rsid w:val="00FC3EC1"/>
    <w:rsid w:val="00FE6C59"/>
    <w:rsid w:val="00FF0864"/>
    <w:rsid w:val="00FF2F27"/>
    <w:rsid w:val="468AF0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0BE1"/>
    <w:rPr>
      <w:vertAlign w:val="superscript"/>
    </w:rPr>
  </w:style>
  <w:style w:type="paragraph" w:customStyle="1" w:styleId="Appelnotedebasde">
    <w:name w:val="Appel note de bas de..."/>
    <w:basedOn w:val="Normal"/>
    <w:link w:val="Refdenotaalpie"/>
    <w:uiPriority w:val="99"/>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 w:type="paragraph" w:styleId="NormalWeb">
    <w:name w:val="Normal (Web)"/>
    <w:basedOn w:val="Normal"/>
    <w:link w:val="NormalWebCar"/>
    <w:uiPriority w:val="99"/>
    <w:unhideWhenUsed/>
    <w:rsid w:val="006649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649D6"/>
    <w:rPr>
      <w:rFonts w:ascii="Times New Roman" w:eastAsia="Times New Roman" w:hAnsi="Times New Roman" w:cs="Times New Roman"/>
      <w:kern w:val="0"/>
      <w:sz w:val="24"/>
      <w:szCs w:val="24"/>
      <w:lang w:eastAsia="es-CO"/>
      <w14:ligatures w14:val="none"/>
    </w:rPr>
  </w:style>
  <w:style w:type="character" w:customStyle="1" w:styleId="eop">
    <w:name w:val="eop"/>
    <w:basedOn w:val="Fuentedeprrafopredeter"/>
    <w:rsid w:val="00C04209"/>
  </w:style>
  <w:style w:type="character" w:styleId="Hipervnculovisitado">
    <w:name w:val="FollowedHyperlink"/>
    <w:basedOn w:val="Fuentedeprrafopredeter"/>
    <w:uiPriority w:val="99"/>
    <w:semiHidden/>
    <w:unhideWhenUsed/>
    <w:rsid w:val="00A97F09"/>
    <w:rPr>
      <w:color w:val="96607D" w:themeColor="followedHyperlink"/>
      <w:u w:val="single"/>
    </w:rPr>
  </w:style>
  <w:style w:type="character" w:styleId="Textoennegrita">
    <w:name w:val="Strong"/>
    <w:basedOn w:val="Fuentedeprrafopredeter"/>
    <w:uiPriority w:val="22"/>
    <w:qFormat/>
    <w:rsid w:val="00580642"/>
    <w:rPr>
      <w:b/>
      <w:bCs/>
    </w:rPr>
  </w:style>
  <w:style w:type="paragraph" w:styleId="Sinespaciado">
    <w:name w:val="No Spacing"/>
    <w:aliases w:val="No Indent"/>
    <w:uiPriority w:val="3"/>
    <w:qFormat/>
    <w:rsid w:val="00FF2F27"/>
    <w:pPr>
      <w:spacing w:after="0" w:line="240" w:lineRule="auto"/>
    </w:pPr>
    <w:rPr>
      <w:kern w:val="0"/>
      <w:sz w:val="24"/>
      <w:lang w:val="es-MX"/>
      <w14:ligatures w14:val="none"/>
    </w:rPr>
  </w:style>
  <w:style w:type="paragraph" w:customStyle="1" w:styleId="margender0punto5">
    <w:name w:val="margen_der_0punto5"/>
    <w:basedOn w:val="Normal"/>
    <w:rsid w:val="00FF2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ra14pt">
    <w:name w:val="letra14pt"/>
    <w:basedOn w:val="Fuentedeprrafopredeter"/>
    <w:rsid w:val="00FF2F27"/>
  </w:style>
  <w:style w:type="paragraph" w:customStyle="1" w:styleId="CEDAContenido">
    <w:name w:val="CEDA Contenido"/>
    <w:basedOn w:val="Normal"/>
    <w:link w:val="CEDAContenidoCar"/>
    <w:qFormat/>
    <w:rsid w:val="00FF2F27"/>
    <w:pPr>
      <w:spacing w:before="120" w:after="0" w:line="276" w:lineRule="auto"/>
      <w:jc w:val="both"/>
    </w:pPr>
    <w:rPr>
      <w:rFonts w:ascii="Bookman Old Style" w:eastAsiaTheme="minorEastAsia" w:hAnsi="Bookman Old Style"/>
    </w:rPr>
  </w:style>
  <w:style w:type="character" w:customStyle="1" w:styleId="CEDAContenidoCar">
    <w:name w:val="CEDA Contenido Car"/>
    <w:basedOn w:val="Fuentedeprrafopredeter"/>
    <w:link w:val="CEDAContenido"/>
    <w:rsid w:val="00FF2F27"/>
    <w:rPr>
      <w:rFonts w:ascii="Bookman Old Style" w:eastAsiaTheme="minorEastAsia" w:hAnsi="Bookman Old Style"/>
      <w:kern w:val="0"/>
      <w14:ligatures w14:val="none"/>
    </w:rPr>
  </w:style>
  <w:style w:type="character" w:customStyle="1" w:styleId="superscript">
    <w:name w:val="superscript"/>
    <w:basedOn w:val="Fuentedeprrafopredeter"/>
    <w:rsid w:val="00A02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357775680">
      <w:bodyDiv w:val="1"/>
      <w:marLeft w:val="0"/>
      <w:marRight w:val="0"/>
      <w:marTop w:val="0"/>
      <w:marBottom w:val="0"/>
      <w:divBdr>
        <w:top w:val="none" w:sz="0" w:space="0" w:color="auto"/>
        <w:left w:val="none" w:sz="0" w:space="0" w:color="auto"/>
        <w:bottom w:val="none" w:sz="0" w:space="0" w:color="auto"/>
        <w:right w:val="none" w:sz="0" w:space="0" w:color="auto"/>
      </w:divBdr>
    </w:div>
    <w:div w:id="382797754">
      <w:bodyDiv w:val="1"/>
      <w:marLeft w:val="0"/>
      <w:marRight w:val="0"/>
      <w:marTop w:val="0"/>
      <w:marBottom w:val="0"/>
      <w:divBdr>
        <w:top w:val="none" w:sz="0" w:space="0" w:color="auto"/>
        <w:left w:val="none" w:sz="0" w:space="0" w:color="auto"/>
        <w:bottom w:val="none" w:sz="0" w:space="0" w:color="auto"/>
        <w:right w:val="none" w:sz="0" w:space="0" w:color="auto"/>
      </w:divBdr>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viovalle@yahoo.com" TargetMode="Externa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C8675-BC59-4FEA-B098-E7F206AAA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F53D79-2D13-46DF-99DD-1CD3F9481F2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E56D881-30FA-481C-B2D7-0D4EE709AB1D}">
  <ds:schemaRefs>
    <ds:schemaRef ds:uri="http://schemas.microsoft.com/sharepoint/v3/contenttype/forms"/>
  </ds:schemaRefs>
</ds:datastoreItem>
</file>

<file path=customXml/itemProps4.xml><?xml version="1.0" encoding="utf-8"?>
<ds:datastoreItem xmlns:ds="http://schemas.openxmlformats.org/officeDocument/2006/customXml" ds:itemID="{496B3F15-43C4-4604-9965-2F3E4D1CB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4079</Words>
  <Characters>22438</Characters>
  <Application>Microsoft Office Word</Application>
  <DocSecurity>0</DocSecurity>
  <Lines>186</Lines>
  <Paragraphs>52</Paragraphs>
  <ScaleCrop>false</ScaleCrop>
  <Company/>
  <LinksUpToDate>false</LinksUpToDate>
  <CharactersWithSpaces>26465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Keila Margarita Reyes Cassiani</cp:lastModifiedBy>
  <cp:revision>6</cp:revision>
  <dcterms:created xsi:type="dcterms:W3CDTF">2024-12-19T17:41:00Z</dcterms:created>
  <dcterms:modified xsi:type="dcterms:W3CDTF">2025-02-20T15:24:00Z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