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56B8" w14:textId="77777777" w:rsidR="00362DFF" w:rsidRPr="00FE2640" w:rsidRDefault="00362DFF" w:rsidP="00362DFF">
      <w:pPr>
        <w:spacing w:after="0"/>
        <w:rPr>
          <w:rFonts w:ascii="Verdana" w:eastAsia="Geomanist Light" w:hAnsi="Verdana" w:cs="Arial"/>
          <w:b/>
          <w:color w:val="000000" w:themeColor="text1"/>
          <w:lang w:val="es-MX"/>
        </w:rPr>
      </w:pPr>
      <w:bookmarkStart w:id="0" w:name="_Hlk143780582"/>
      <w:r w:rsidRPr="00FE2640">
        <w:rPr>
          <w:rFonts w:ascii="Verdana" w:eastAsia="Geomanist Light" w:hAnsi="Verdana" w:cs="Arial"/>
          <w:b/>
          <w:color w:val="000000" w:themeColor="text1"/>
          <w:lang w:val="es-MX"/>
        </w:rPr>
        <w:t>SECOP – Componentes – Diferencias</w:t>
      </w:r>
    </w:p>
    <w:p w14:paraId="5E629FE4" w14:textId="77777777" w:rsidR="00362DFF" w:rsidRPr="00FE2640" w:rsidRDefault="00362DFF" w:rsidP="00362DFF">
      <w:pPr>
        <w:spacing w:after="0" w:line="240" w:lineRule="auto"/>
        <w:rPr>
          <w:rFonts w:ascii="Verdana" w:eastAsia="Geomanist Light" w:hAnsi="Verdana" w:cs="Arial"/>
          <w:color w:val="000000" w:themeColor="text1"/>
          <w:sz w:val="20"/>
          <w:szCs w:val="20"/>
          <w:lang w:val="es-MX"/>
        </w:rPr>
      </w:pPr>
    </w:p>
    <w:p w14:paraId="089CDFDF" w14:textId="77777777" w:rsidR="00362DFF" w:rsidRPr="00FE2640" w:rsidRDefault="00362DFF" w:rsidP="00362DFF">
      <w:pPr>
        <w:spacing w:after="0" w:line="240" w:lineRule="auto"/>
        <w:jc w:val="both"/>
        <w:rPr>
          <w:rFonts w:ascii="Verdana" w:eastAsia="Calibri" w:hAnsi="Verdana" w:cs="Arial"/>
          <w:sz w:val="20"/>
          <w:szCs w:val="20"/>
          <w:lang w:val="es-ES_tradnl"/>
        </w:rPr>
      </w:pPr>
      <w:r w:rsidRPr="00FE2640">
        <w:rPr>
          <w:rFonts w:ascii="Verdana" w:eastAsia="Calibri" w:hAnsi="Verdana" w:cs="Arial"/>
          <w:sz w:val="20"/>
          <w:szCs w:val="20"/>
          <w:lang w:val="es-ES_tradnl"/>
        </w:rPr>
        <w:t xml:space="preserve">[…] el precitado artículo 3 de la Ley 1150 de 2007 crea el Sistema Electrónico para la Contratación Pública,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05453306" w14:textId="77777777" w:rsidR="00362DFF" w:rsidRPr="00FE2640" w:rsidRDefault="00362DFF" w:rsidP="00362DFF">
      <w:pPr>
        <w:spacing w:after="0" w:line="240" w:lineRule="auto"/>
        <w:jc w:val="both"/>
        <w:rPr>
          <w:rFonts w:ascii="Verdana" w:eastAsia="Calibri" w:hAnsi="Verdana" w:cs="Arial"/>
          <w:sz w:val="20"/>
          <w:szCs w:val="20"/>
          <w:lang w:val="es-ES_tradnl"/>
        </w:rPr>
      </w:pPr>
    </w:p>
    <w:p w14:paraId="4AC32BD2"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_tradnl"/>
        </w:rPr>
      </w:pPr>
      <w:r w:rsidRPr="00FE2640">
        <w:rPr>
          <w:rFonts w:ascii="Verdana" w:eastAsia="Calibri" w:hAnsi="Verdana" w:cs="Arial"/>
          <w:sz w:val="20"/>
          <w:szCs w:val="20"/>
          <w:lang w:val="es-ES_tradnl"/>
        </w:rPr>
        <w:t xml:space="preserve">El numeral 1.2 </w:t>
      </w:r>
      <w:r w:rsidRPr="00FE2640">
        <w:rPr>
          <w:rFonts w:ascii="Verdana" w:eastAsia="Calibri" w:hAnsi="Verdana" w:cs="Arial"/>
          <w:sz w:val="20"/>
          <w:szCs w:val="20"/>
        </w:rPr>
        <w:t>de la Circular Externa Única de la Agencia Nacional de Contratación Pública – Colombia Compra Eficiente dispone que el Sistema Electrónico para la Contratación Pública</w:t>
      </w:r>
      <w:r w:rsidRPr="00FE2640">
        <w:rPr>
          <w:rFonts w:ascii="Verdana" w:eastAsia="Calibri" w:hAnsi="Verdana" w:cs="Arial"/>
          <w:sz w:val="20"/>
          <w:szCs w:val="20"/>
          <w:lang w:val="es-ES_tradnl"/>
        </w:rPr>
        <w:t xml:space="preserve"> está compuesto por el SECOP I, el SECOP II y la Tienda Virtual del Estado Colombiano. Conforme a lo explicado en el párrafo precedente</w:t>
      </w:r>
      <w:r w:rsidRPr="00FE2640">
        <w:rPr>
          <w:rFonts w:ascii="Verdana" w:eastAsia="Calibri" w:hAnsi="Verdana" w:cs="Arial"/>
          <w:bCs/>
          <w:color w:val="000000" w:themeColor="text1"/>
          <w:sz w:val="20"/>
          <w:szCs w:val="20"/>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3C74EB6F"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_tradnl"/>
        </w:rPr>
      </w:pPr>
    </w:p>
    <w:p w14:paraId="6C78DA7D" w14:textId="77777777" w:rsidR="00362DFF" w:rsidRPr="00FE2640" w:rsidRDefault="00362DFF" w:rsidP="00362DFF">
      <w:pPr>
        <w:spacing w:after="0" w:line="240" w:lineRule="auto"/>
        <w:jc w:val="both"/>
        <w:rPr>
          <w:rFonts w:ascii="Verdana" w:eastAsia="Calibri" w:hAnsi="Verdana" w:cs="Arial"/>
          <w:color w:val="000000" w:themeColor="text1"/>
          <w:sz w:val="20"/>
          <w:szCs w:val="20"/>
          <w:lang w:val="es-ES"/>
        </w:rPr>
      </w:pPr>
      <w:r w:rsidRPr="00FE2640">
        <w:rPr>
          <w:rFonts w:ascii="Verdana" w:eastAsia="Calibri" w:hAnsi="Verdana" w:cs="Arial"/>
          <w:color w:val="000000" w:themeColor="text1"/>
          <w:sz w:val="20"/>
          <w:szCs w:val="20"/>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7362CD17"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_tradnl"/>
        </w:rPr>
      </w:pPr>
    </w:p>
    <w:p w14:paraId="3062E9E9" w14:textId="77777777" w:rsidR="00362DFF" w:rsidRPr="00FE2640" w:rsidRDefault="00362DFF" w:rsidP="00362DFF">
      <w:pPr>
        <w:spacing w:after="0" w:line="276" w:lineRule="auto"/>
        <w:jc w:val="both"/>
        <w:rPr>
          <w:rFonts w:ascii="Verdana" w:eastAsia="Calibri" w:hAnsi="Verdana" w:cs="Arial"/>
          <w:b/>
          <w:color w:val="000000" w:themeColor="text1"/>
          <w:lang w:val="es-ES_tradnl"/>
        </w:rPr>
      </w:pPr>
      <w:r w:rsidRPr="00FE2640">
        <w:rPr>
          <w:rFonts w:ascii="Verdana" w:eastAsia="Calibri" w:hAnsi="Verdana" w:cs="Arial"/>
          <w:b/>
          <w:color w:val="000000" w:themeColor="text1"/>
          <w:lang w:val="es-ES_tradnl"/>
        </w:rPr>
        <w:t>PRINCIPIO DE PUBLICIDAD – Fundamentos normativos</w:t>
      </w:r>
    </w:p>
    <w:p w14:paraId="5DB4618A"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_tradnl"/>
        </w:rPr>
      </w:pPr>
    </w:p>
    <w:p w14:paraId="6C0ED96D"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r w:rsidRPr="00FE2640">
        <w:rPr>
          <w:rFonts w:ascii="Verdana" w:eastAsia="Calibri" w:hAnsi="Verdana" w:cs="Arial"/>
          <w:bCs/>
          <w:color w:val="000000" w:themeColor="text1"/>
          <w:sz w:val="20"/>
          <w:szCs w:val="20"/>
          <w:lang w:val="es-ES"/>
        </w:rPr>
        <w:t xml:space="preserve">[…] en virtud de lo dispuesto en el artículo 3 de la Ley 1150 de 2007, desarrollado por el artículo 2.2.1.1.1.7.1. del Decreto 1082 de 2015, las entidades están obligadas a publicar en el SECOP todos los documentos relacionados con el </w:t>
      </w:r>
      <w:r w:rsidRPr="00FE2640">
        <w:rPr>
          <w:rFonts w:ascii="Verdana" w:eastAsia="Calibri" w:hAnsi="Verdana" w:cs="Arial"/>
          <w:bCs/>
          <w:i/>
          <w:iCs/>
          <w:color w:val="000000" w:themeColor="text1"/>
          <w:sz w:val="20"/>
          <w:szCs w:val="20"/>
          <w:lang w:val="es-ES"/>
        </w:rPr>
        <w:t>Proceso de Contratación</w:t>
      </w:r>
      <w:r w:rsidRPr="00FE2640">
        <w:rPr>
          <w:rFonts w:ascii="Verdana" w:eastAsia="Calibri" w:hAnsi="Verdana" w:cs="Arial"/>
          <w:bCs/>
          <w:color w:val="000000" w:themeColor="text1"/>
          <w:sz w:val="20"/>
          <w:szCs w:val="20"/>
          <w:lang w:val="es-ES"/>
        </w:rPr>
        <w:t xml:space="preserve"> expedidos durante las etapas precontractual, de ejecución y postcontractual. Este deber aplica a todas las modalidades de selección y entidades regidas por el Estatuto General </w:t>
      </w:r>
      <w:r w:rsidRPr="00FE2640">
        <w:rPr>
          <w:rFonts w:ascii="Verdana" w:eastAsia="Calibri" w:hAnsi="Verdana" w:cs="Arial"/>
          <w:bCs/>
          <w:color w:val="000000" w:themeColor="text1"/>
          <w:sz w:val="20"/>
          <w:szCs w:val="20"/>
          <w:lang w:val="es-ES"/>
        </w:rPr>
        <w:lastRenderedPageBreak/>
        <w:t xml:space="preserve">de Contratación de la Administración Pública, y solo se encuentran excluidas las ofertas perdedoras y los documentos expedidos en el marco de operaciones de bolsa de productos. </w:t>
      </w:r>
    </w:p>
    <w:p w14:paraId="10B812D3"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p>
    <w:p w14:paraId="00B6F59C"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r w:rsidRPr="00FE2640">
        <w:rPr>
          <w:rFonts w:ascii="Verdana" w:eastAsia="Calibri" w:hAnsi="Verdana" w:cs="Arial"/>
          <w:bCs/>
          <w:color w:val="000000" w:themeColor="text1"/>
          <w:sz w:val="20"/>
          <w:szCs w:val="20"/>
          <w:lang w:val="es-ES"/>
        </w:rPr>
        <w:t xml:space="preserve">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E2640">
        <w:rPr>
          <w:rFonts w:ascii="Verdana" w:eastAsia="Calibri" w:hAnsi="Verdana" w:cs="Arial"/>
          <w:bCs/>
          <w:i/>
          <w:iCs/>
          <w:color w:val="000000" w:themeColor="text1"/>
          <w:sz w:val="20"/>
          <w:szCs w:val="20"/>
          <w:lang w:val="es-ES"/>
        </w:rPr>
        <w:t xml:space="preserve">Documentos del Proceso </w:t>
      </w:r>
      <w:r w:rsidRPr="00FE2640">
        <w:rPr>
          <w:rFonts w:ascii="Verdana" w:eastAsia="Calibri" w:hAnsi="Verdana" w:cs="Arial"/>
          <w:bCs/>
          <w:color w:val="000000" w:themeColor="text1"/>
          <w:sz w:val="20"/>
          <w:szCs w:val="20"/>
          <w:lang w:val="es-ES"/>
        </w:rPr>
        <w:t>expedidos por la “entidad estatal”.</w:t>
      </w:r>
    </w:p>
    <w:p w14:paraId="05F903B1"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p>
    <w:p w14:paraId="3D0F629C"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r w:rsidRPr="00FE2640">
        <w:rPr>
          <w:rFonts w:ascii="Verdana" w:eastAsia="Calibri" w:hAnsi="Verdana" w:cs="Arial"/>
          <w:bCs/>
          <w:color w:val="000000" w:themeColor="text1"/>
          <w:sz w:val="20"/>
          <w:szCs w:val="20"/>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E2640">
        <w:rPr>
          <w:rFonts w:ascii="Verdana" w:eastAsia="Calibri" w:hAnsi="Verdana" w:cs="Arial"/>
          <w:bCs/>
          <w:i/>
          <w:iCs/>
          <w:color w:val="000000" w:themeColor="text1"/>
          <w:sz w:val="20"/>
          <w:szCs w:val="20"/>
          <w:lang w:val="es-ES"/>
        </w:rPr>
        <w:t>Documentos del Proceso</w:t>
      </w:r>
      <w:r w:rsidRPr="00FE2640">
        <w:rPr>
          <w:rFonts w:ascii="Verdana" w:eastAsia="Calibri" w:hAnsi="Verdana" w:cs="Arial"/>
          <w:bCs/>
          <w:color w:val="000000" w:themeColor="text1"/>
          <w:sz w:val="20"/>
          <w:szCs w:val="20"/>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1246E0AF"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
        </w:rPr>
      </w:pPr>
    </w:p>
    <w:p w14:paraId="44266447" w14:textId="77777777" w:rsidR="00362DFF" w:rsidRPr="00FE2640" w:rsidRDefault="00362DFF" w:rsidP="00362DFF">
      <w:pPr>
        <w:spacing w:after="0" w:line="276" w:lineRule="auto"/>
        <w:jc w:val="both"/>
        <w:rPr>
          <w:rFonts w:ascii="Verdana" w:eastAsia="Calibri" w:hAnsi="Verdana" w:cs="Arial"/>
          <w:b/>
          <w:color w:val="000000" w:themeColor="text1"/>
          <w:lang w:val="es-ES_tradnl"/>
        </w:rPr>
      </w:pPr>
      <w:r w:rsidRPr="00FE2640">
        <w:rPr>
          <w:rFonts w:ascii="Verdana" w:eastAsia="Calibri" w:hAnsi="Verdana" w:cs="Arial"/>
          <w:b/>
          <w:color w:val="000000" w:themeColor="text1"/>
          <w:lang w:val="es-ES"/>
        </w:rPr>
        <w:t>SECOP II – Informes y cuentas de cobro – Gestión en la plataforma</w:t>
      </w:r>
      <w:r w:rsidRPr="00FE2640">
        <w:rPr>
          <w:rFonts w:ascii="Verdana" w:eastAsia="Calibri" w:hAnsi="Verdana" w:cs="Arial"/>
          <w:b/>
          <w:color w:val="000000" w:themeColor="text1"/>
          <w:lang w:val="es-ES_tradnl"/>
        </w:rPr>
        <w:t xml:space="preserve">  </w:t>
      </w:r>
    </w:p>
    <w:p w14:paraId="0FE1D54F" w14:textId="77777777" w:rsidR="00362DFF" w:rsidRPr="00FE2640" w:rsidRDefault="00362DFF" w:rsidP="00362DFF">
      <w:pPr>
        <w:spacing w:after="0" w:line="240" w:lineRule="auto"/>
        <w:jc w:val="both"/>
        <w:rPr>
          <w:rFonts w:ascii="Verdana" w:eastAsia="Calibri" w:hAnsi="Verdana" w:cs="Arial"/>
          <w:bCs/>
          <w:color w:val="000000" w:themeColor="text1"/>
          <w:sz w:val="20"/>
          <w:szCs w:val="20"/>
          <w:lang w:val="es-ES_tradnl"/>
        </w:rPr>
      </w:pPr>
    </w:p>
    <w:p w14:paraId="65C0DF2F" w14:textId="77777777" w:rsidR="00362DFF" w:rsidRPr="00FE2640" w:rsidRDefault="00362DFF" w:rsidP="00362DFF">
      <w:pPr>
        <w:widowControl w:val="0"/>
        <w:autoSpaceDE w:val="0"/>
        <w:autoSpaceDN w:val="0"/>
        <w:spacing w:after="0" w:line="240" w:lineRule="auto"/>
        <w:jc w:val="both"/>
        <w:rPr>
          <w:rFonts w:ascii="Verdana" w:hAnsi="Verdana" w:cs="Arial"/>
          <w:sz w:val="20"/>
          <w:szCs w:val="20"/>
          <w:lang w:val="es-MX"/>
        </w:rPr>
      </w:pPr>
      <w:r w:rsidRPr="00FE2640">
        <w:rPr>
          <w:rFonts w:ascii="Verdana" w:hAnsi="Verdana" w:cs="Arial"/>
          <w:sz w:val="20"/>
          <w:szCs w:val="20"/>
          <w:lang w:val="es-MX"/>
        </w:rPr>
        <w:t>Si bien los documentos que deben publicarse en el SECOP II corresponden a los mismos que deben publicarse en el SECOP I, esto es, todos los expedidos con ocasión a la gestión contractual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Esta es una diferencia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puesto que tales documentos son creados o expedidos mediante la propia plataforma, razón por la que una vez estos se aprueban quedan inmediatamente publicados, sin que transcurra el referido término.</w:t>
      </w:r>
    </w:p>
    <w:p w14:paraId="333F03B6" w14:textId="77777777" w:rsidR="00362DFF" w:rsidRPr="00FE2640" w:rsidRDefault="00362DFF" w:rsidP="00362DFF">
      <w:pPr>
        <w:widowControl w:val="0"/>
        <w:autoSpaceDE w:val="0"/>
        <w:autoSpaceDN w:val="0"/>
        <w:spacing w:after="0" w:line="240" w:lineRule="auto"/>
        <w:jc w:val="both"/>
        <w:rPr>
          <w:rFonts w:ascii="Verdana" w:hAnsi="Verdana" w:cs="Arial"/>
          <w:sz w:val="20"/>
          <w:szCs w:val="20"/>
          <w:lang w:val="es-MX"/>
        </w:rPr>
      </w:pPr>
    </w:p>
    <w:p w14:paraId="137E3DB4" w14:textId="77777777" w:rsidR="00362DFF" w:rsidRPr="00FE2640" w:rsidRDefault="00362DFF" w:rsidP="00362DFF">
      <w:pPr>
        <w:widowControl w:val="0"/>
        <w:autoSpaceDE w:val="0"/>
        <w:autoSpaceDN w:val="0"/>
        <w:spacing w:after="0" w:line="240" w:lineRule="auto"/>
        <w:jc w:val="both"/>
        <w:rPr>
          <w:rFonts w:ascii="Verdana" w:hAnsi="Verdana" w:cs="Arial"/>
          <w:sz w:val="20"/>
          <w:szCs w:val="20"/>
          <w:lang w:val="es-MX"/>
        </w:rPr>
      </w:pPr>
      <w:r w:rsidRPr="00FE2640">
        <w:rPr>
          <w:rFonts w:ascii="Verdana" w:hAnsi="Verdana" w:cs="Arial"/>
          <w:sz w:val="20"/>
          <w:szCs w:val="20"/>
          <w:lang w:val="es-MX"/>
        </w:rPr>
        <w:t xml:space="preserve">En ese orden de ideas,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w:t>
      </w:r>
      <w:r w:rsidRPr="00FE2640">
        <w:rPr>
          <w:rFonts w:ascii="Verdana" w:hAnsi="Verdana" w:cs="Arial"/>
          <w:sz w:val="20"/>
          <w:szCs w:val="20"/>
          <w:lang w:val="es-MX"/>
        </w:rPr>
        <w:lastRenderedPageBreak/>
        <w:t>posteriormente es cargado en la plataforma.</w:t>
      </w:r>
    </w:p>
    <w:p w14:paraId="6D11DB09" w14:textId="77777777" w:rsidR="00362DFF" w:rsidRDefault="00362DFF" w:rsidP="00362DFF">
      <w:pPr>
        <w:widowControl w:val="0"/>
        <w:autoSpaceDE w:val="0"/>
        <w:autoSpaceDN w:val="0"/>
        <w:spacing w:after="0" w:line="240" w:lineRule="auto"/>
        <w:jc w:val="both"/>
        <w:rPr>
          <w:rFonts w:ascii="Verdana" w:hAnsi="Verdana" w:cs="Arial"/>
          <w:sz w:val="20"/>
          <w:szCs w:val="20"/>
          <w:lang w:val="es-MX"/>
        </w:rPr>
      </w:pPr>
    </w:p>
    <w:p w14:paraId="610CCE65" w14:textId="77777777" w:rsidR="00362DFF" w:rsidRDefault="00362DFF" w:rsidP="00362DFF">
      <w:pPr>
        <w:widowControl w:val="0"/>
        <w:autoSpaceDE w:val="0"/>
        <w:autoSpaceDN w:val="0"/>
        <w:spacing w:after="0" w:line="240" w:lineRule="auto"/>
        <w:jc w:val="both"/>
        <w:rPr>
          <w:rFonts w:ascii="Verdana" w:hAnsi="Verdana" w:cs="Arial"/>
          <w:sz w:val="20"/>
          <w:szCs w:val="20"/>
          <w:lang w:val="es-MX"/>
        </w:rPr>
      </w:pPr>
      <w:r>
        <w:rPr>
          <w:rFonts w:ascii="Verdana" w:hAnsi="Verdana" w:cs="Arial"/>
          <w:sz w:val="20"/>
          <w:szCs w:val="20"/>
          <w:lang w:val="es-MX"/>
        </w:rPr>
        <w:t>[…]</w:t>
      </w:r>
    </w:p>
    <w:p w14:paraId="4356E8B6" w14:textId="77777777" w:rsidR="00362DFF" w:rsidRPr="00FE2640" w:rsidRDefault="00362DFF" w:rsidP="00362DFF">
      <w:pPr>
        <w:widowControl w:val="0"/>
        <w:autoSpaceDE w:val="0"/>
        <w:autoSpaceDN w:val="0"/>
        <w:spacing w:after="0" w:line="240" w:lineRule="auto"/>
        <w:jc w:val="both"/>
        <w:rPr>
          <w:rFonts w:ascii="Verdana" w:hAnsi="Verdana" w:cs="Arial"/>
          <w:sz w:val="20"/>
          <w:szCs w:val="20"/>
          <w:lang w:val="es-MX"/>
        </w:rPr>
      </w:pPr>
    </w:p>
    <w:p w14:paraId="782A56CB" w14:textId="77777777" w:rsidR="00362DFF" w:rsidRPr="00350707" w:rsidRDefault="00362DFF" w:rsidP="00362DFF">
      <w:pPr>
        <w:widowControl w:val="0"/>
        <w:autoSpaceDE w:val="0"/>
        <w:autoSpaceDN w:val="0"/>
        <w:spacing w:after="0" w:line="240" w:lineRule="auto"/>
        <w:jc w:val="both"/>
        <w:rPr>
          <w:rFonts w:ascii="Verdana" w:hAnsi="Verdana" w:cs="Arial"/>
          <w:sz w:val="20"/>
          <w:szCs w:val="20"/>
          <w:lang w:val="es-MX"/>
        </w:rPr>
      </w:pPr>
      <w:r w:rsidRPr="00350707">
        <w:rPr>
          <w:rFonts w:ascii="Verdana" w:hAnsi="Verdana" w:cs="Arial"/>
          <w:sz w:val="20"/>
          <w:szCs w:val="20"/>
          <w:lang w:val="es-MX"/>
        </w:rPr>
        <w:t>En otras palabras, la naturaleza transaccional del SECOP II implica que los procesos contractuales no solo se publiquen en ella, sino que también se gestionen íntegramente a través de su entorno electrónico. En consecuencia, la mayoría de los hitos contractuales corresponden a documentos y actuaciones electrónicas creadas en tiempo real -como ocurre con el trámite y procedimiento de aprobación de solicitudes de pago-, de modo que el avance del proceso contractual depende de su generación y aprobación dentro del sistema. Por lo tanto, dicho plazo de tres (3) días no resulta aplicable a las actuaciones electrónicas en SECOP II, dado que, una vez aprobadas dichas solicitudes de pago en la plataforma, quedan publicadas de forma inmediata, más allá del trámite administrativo interno que cada entidad estatal contemple para efectos de determinar los documentos necesarios que acompañan su aprobación y, aun cuando existan documentos en físico que reflejen fechas de elaboración, el sistema registrará como términos de publicación hitos como: i) fecha de emisión y vencimiento y ii) fecha de recepción original, con el fin de otorgar trazabilidad a las acciones desplegadas por las partes.</w:t>
      </w:r>
    </w:p>
    <w:p w14:paraId="0B50B14B" w14:textId="77777777" w:rsidR="00362DFF" w:rsidRPr="00A25277" w:rsidRDefault="00362DFF" w:rsidP="00362DFF">
      <w:pPr>
        <w:spacing w:after="0"/>
        <w:rPr>
          <w:rFonts w:ascii="Verdana" w:hAnsi="Verdana"/>
          <w:lang w:val="es-MX"/>
        </w:rPr>
      </w:pPr>
    </w:p>
    <w:p w14:paraId="31AE545A" w14:textId="77777777" w:rsidR="00362DFF" w:rsidRDefault="00362DFF" w:rsidP="00362DFF">
      <w:pPr>
        <w:spacing w:after="0"/>
        <w:rPr>
          <w:rFonts w:ascii="Verdana" w:hAnsi="Verdana"/>
        </w:rPr>
      </w:pPr>
    </w:p>
    <w:p w14:paraId="07E6CCD4" w14:textId="77777777" w:rsidR="00362DFF" w:rsidRDefault="00362DFF" w:rsidP="00362DFF">
      <w:pPr>
        <w:spacing w:after="0"/>
        <w:rPr>
          <w:rFonts w:ascii="Verdana" w:hAnsi="Verdana"/>
        </w:rPr>
      </w:pPr>
    </w:p>
    <w:p w14:paraId="3C4C831C" w14:textId="77777777" w:rsidR="00362DFF" w:rsidRDefault="00362DFF" w:rsidP="00362DFF">
      <w:pPr>
        <w:spacing w:after="0"/>
        <w:rPr>
          <w:rFonts w:ascii="Verdana" w:hAnsi="Verdana"/>
        </w:rPr>
      </w:pPr>
    </w:p>
    <w:p w14:paraId="5E4E9573" w14:textId="77777777" w:rsidR="00362DFF" w:rsidRDefault="00362DFF" w:rsidP="00362DFF">
      <w:pPr>
        <w:spacing w:after="0"/>
        <w:rPr>
          <w:rFonts w:ascii="Verdana" w:hAnsi="Verdana"/>
        </w:rPr>
      </w:pPr>
    </w:p>
    <w:p w14:paraId="07C8332C" w14:textId="77777777" w:rsidR="00362DFF" w:rsidRDefault="00362DFF" w:rsidP="00362DFF">
      <w:pPr>
        <w:spacing w:after="0"/>
        <w:rPr>
          <w:rFonts w:ascii="Verdana" w:hAnsi="Verdana"/>
        </w:rPr>
      </w:pPr>
    </w:p>
    <w:p w14:paraId="265FE305" w14:textId="77777777" w:rsidR="00362DFF" w:rsidRDefault="00362DFF" w:rsidP="00362DFF">
      <w:pPr>
        <w:spacing w:after="0"/>
        <w:rPr>
          <w:rFonts w:ascii="Verdana" w:hAnsi="Verdana"/>
        </w:rPr>
      </w:pPr>
    </w:p>
    <w:p w14:paraId="47950DF5" w14:textId="77777777" w:rsidR="00362DFF" w:rsidRDefault="00362DFF" w:rsidP="00362DFF">
      <w:pPr>
        <w:spacing w:after="0"/>
        <w:rPr>
          <w:rFonts w:ascii="Verdana" w:hAnsi="Verdana"/>
        </w:rPr>
      </w:pPr>
    </w:p>
    <w:p w14:paraId="3C45535C" w14:textId="77777777" w:rsidR="00362DFF" w:rsidRDefault="00362DFF" w:rsidP="00362DFF">
      <w:pPr>
        <w:spacing w:after="0"/>
        <w:rPr>
          <w:rFonts w:ascii="Verdana" w:hAnsi="Verdana"/>
        </w:rPr>
      </w:pPr>
    </w:p>
    <w:p w14:paraId="4A9BC4B7" w14:textId="77777777" w:rsidR="00362DFF" w:rsidRDefault="00362DFF" w:rsidP="00362DFF">
      <w:pPr>
        <w:spacing w:after="0"/>
        <w:rPr>
          <w:rFonts w:ascii="Verdana" w:hAnsi="Verdana"/>
        </w:rPr>
      </w:pPr>
    </w:p>
    <w:p w14:paraId="54D68795" w14:textId="77777777" w:rsidR="00362DFF" w:rsidRDefault="00362DFF" w:rsidP="00362DFF">
      <w:pPr>
        <w:spacing w:after="0"/>
        <w:rPr>
          <w:rFonts w:ascii="Verdana" w:hAnsi="Verdana"/>
        </w:rPr>
      </w:pPr>
    </w:p>
    <w:p w14:paraId="451C3692" w14:textId="77777777" w:rsidR="00362DFF" w:rsidRDefault="00362DFF" w:rsidP="00362DFF">
      <w:pPr>
        <w:spacing w:after="0"/>
        <w:rPr>
          <w:rFonts w:ascii="Verdana" w:hAnsi="Verdana"/>
        </w:rPr>
      </w:pPr>
    </w:p>
    <w:p w14:paraId="666657E7" w14:textId="77777777" w:rsidR="00362DFF" w:rsidRDefault="00362DFF" w:rsidP="00362DFF">
      <w:pPr>
        <w:spacing w:after="0"/>
        <w:rPr>
          <w:rFonts w:ascii="Verdana" w:hAnsi="Verdana"/>
        </w:rPr>
      </w:pPr>
    </w:p>
    <w:p w14:paraId="7F472316" w14:textId="77777777" w:rsidR="00362DFF" w:rsidRDefault="00362DFF" w:rsidP="00362DFF">
      <w:pPr>
        <w:spacing w:after="0"/>
        <w:rPr>
          <w:rFonts w:ascii="Verdana" w:hAnsi="Verdana"/>
        </w:rPr>
      </w:pPr>
    </w:p>
    <w:p w14:paraId="671A11F4" w14:textId="77777777" w:rsidR="00362DFF" w:rsidRDefault="00362DFF" w:rsidP="00362DFF">
      <w:pPr>
        <w:spacing w:after="0"/>
        <w:rPr>
          <w:rFonts w:ascii="Verdana" w:hAnsi="Verdana"/>
        </w:rPr>
      </w:pPr>
    </w:p>
    <w:p w14:paraId="6E2FAD5B" w14:textId="77777777" w:rsidR="00362DFF" w:rsidRDefault="00362DFF" w:rsidP="00362DFF">
      <w:pPr>
        <w:spacing w:after="0"/>
        <w:rPr>
          <w:rFonts w:ascii="Verdana" w:hAnsi="Verdana"/>
        </w:rPr>
      </w:pPr>
    </w:p>
    <w:p w14:paraId="361A7598" w14:textId="77777777" w:rsidR="00362DFF" w:rsidRDefault="00362DFF" w:rsidP="00362DFF">
      <w:pPr>
        <w:spacing w:after="0"/>
        <w:rPr>
          <w:rFonts w:ascii="Verdana" w:hAnsi="Verdana"/>
        </w:rPr>
      </w:pPr>
    </w:p>
    <w:p w14:paraId="301E13AC" w14:textId="77777777" w:rsidR="00362DFF" w:rsidRDefault="00362DFF" w:rsidP="00362DFF">
      <w:pPr>
        <w:spacing w:after="0"/>
        <w:rPr>
          <w:rFonts w:ascii="Verdana" w:hAnsi="Verdana"/>
        </w:rPr>
      </w:pPr>
    </w:p>
    <w:p w14:paraId="0CE583F4" w14:textId="77777777" w:rsidR="00362DFF" w:rsidRDefault="00362DFF" w:rsidP="00362DFF">
      <w:pPr>
        <w:spacing w:after="0"/>
        <w:rPr>
          <w:rFonts w:ascii="Verdana" w:hAnsi="Verdana"/>
        </w:rPr>
      </w:pPr>
    </w:p>
    <w:p w14:paraId="5C03F2A4" w14:textId="77777777" w:rsidR="00362DFF" w:rsidRDefault="00362DFF" w:rsidP="00362DFF">
      <w:pPr>
        <w:spacing w:after="0"/>
        <w:rPr>
          <w:rFonts w:ascii="Verdana" w:hAnsi="Verdana"/>
        </w:rPr>
      </w:pPr>
    </w:p>
    <w:bookmarkEnd w:id="0"/>
    <w:p w14:paraId="1E8076F7" w14:textId="77777777" w:rsidR="00362DFF" w:rsidRDefault="00362DFF" w:rsidP="00362DFF">
      <w:pPr>
        <w:spacing w:after="0" w:line="240" w:lineRule="auto"/>
        <w:rPr>
          <w:rFonts w:ascii="Verdana" w:hAnsi="Verdana"/>
        </w:rPr>
      </w:pPr>
    </w:p>
    <w:p w14:paraId="41609F19" w14:textId="77777777" w:rsidR="00362DFF" w:rsidRDefault="00362DFF" w:rsidP="00362DFF">
      <w:pPr>
        <w:spacing w:after="0" w:line="240" w:lineRule="auto"/>
        <w:rPr>
          <w:rFonts w:ascii="Verdana" w:hAnsi="Verdana"/>
        </w:rPr>
      </w:pPr>
    </w:p>
    <w:p w14:paraId="525390DC" w14:textId="77777777" w:rsidR="00362DFF" w:rsidRDefault="00362DFF" w:rsidP="00362DFF">
      <w:pPr>
        <w:spacing w:after="0" w:line="240" w:lineRule="auto"/>
        <w:rPr>
          <w:rFonts w:ascii="Verdana" w:hAnsi="Verdana"/>
        </w:rPr>
      </w:pPr>
    </w:p>
    <w:p w14:paraId="0F4D8A28" w14:textId="77777777" w:rsidR="00362DFF" w:rsidRDefault="00362DFF" w:rsidP="00362DFF">
      <w:pPr>
        <w:spacing w:after="0" w:line="240" w:lineRule="auto"/>
        <w:rPr>
          <w:rFonts w:ascii="Verdana" w:hAnsi="Verdana"/>
        </w:rPr>
      </w:pPr>
    </w:p>
    <w:p w14:paraId="73823A4E" w14:textId="77777777" w:rsidR="00362DFF" w:rsidRDefault="00362DFF" w:rsidP="00362DFF">
      <w:pPr>
        <w:spacing w:after="0" w:line="240" w:lineRule="auto"/>
        <w:rPr>
          <w:rFonts w:ascii="Verdana" w:hAnsi="Verdana"/>
        </w:rPr>
      </w:pPr>
    </w:p>
    <w:p w14:paraId="643C24EA" w14:textId="333CD1ED" w:rsidR="00362DFF" w:rsidRPr="004F4FE9" w:rsidRDefault="00362DFF" w:rsidP="00362DFF">
      <w:pPr>
        <w:spacing w:after="0" w:line="240" w:lineRule="auto"/>
        <w:rPr>
          <w:rFonts w:ascii="Verdana" w:hAnsi="Verdana"/>
          <w:lang w:val="pt-BR"/>
        </w:rPr>
      </w:pPr>
      <w:r w:rsidRPr="004F4FE9">
        <w:rPr>
          <w:rFonts w:ascii="Verdana" w:hAnsi="Verdana"/>
          <w:lang w:val="pt-BR"/>
        </w:rPr>
        <w:t xml:space="preserve">Bogotá D.C., </w:t>
      </w:r>
      <w:r w:rsidR="004F4FE9" w:rsidRPr="004F4FE9">
        <w:rPr>
          <w:rFonts w:ascii="Verdana" w:hAnsi="Verdana"/>
          <w:lang w:val="pt-BR"/>
        </w:rPr>
        <w:t>26 de agos</w:t>
      </w:r>
      <w:r w:rsidR="004F4FE9">
        <w:rPr>
          <w:rFonts w:ascii="Verdana" w:hAnsi="Verdana"/>
          <w:lang w:val="pt-BR"/>
        </w:rPr>
        <w:t>to de 2025</w:t>
      </w:r>
    </w:p>
    <w:p w14:paraId="79B7CFC7" w14:textId="77777777" w:rsidR="00CB1E0D" w:rsidRPr="004F4FE9" w:rsidRDefault="00CB1E0D" w:rsidP="00362DFF">
      <w:pPr>
        <w:spacing w:after="0" w:line="240" w:lineRule="auto"/>
        <w:rPr>
          <w:rFonts w:ascii="Verdana" w:eastAsia="Times New Roman" w:hAnsi="Verdana" w:cs="Arial"/>
          <w:lang w:val="pt-BR" w:eastAsia="es-ES_tradnl"/>
        </w:rPr>
      </w:pPr>
    </w:p>
    <w:p w14:paraId="72611CD1" w14:textId="0A386C6A" w:rsidR="00362DFF" w:rsidRPr="00E76CD6" w:rsidRDefault="00A5239B" w:rsidP="00362DFF">
      <w:pPr>
        <w:spacing w:after="0" w:line="240" w:lineRule="auto"/>
        <w:jc w:val="right"/>
        <w:rPr>
          <w:rFonts w:ascii="Verdana" w:eastAsia="Times New Roman" w:hAnsi="Verdana" w:cs="Arial"/>
          <w:lang w:eastAsia="es-ES_tradnl"/>
        </w:rPr>
      </w:pPr>
      <w:r w:rsidRPr="00A5239B">
        <w:rPr>
          <w:rFonts w:ascii="Verdana" w:eastAsia="Times New Roman" w:hAnsi="Verdana" w:cs="Arial"/>
          <w:lang w:eastAsia="es-ES_tradnl"/>
        </w:rPr>
        <w:drawing>
          <wp:inline distT="0" distB="0" distL="0" distR="0" wp14:anchorId="31A3CAF1" wp14:editId="5F1A20BF">
            <wp:extent cx="3727183" cy="974601"/>
            <wp:effectExtent l="0" t="0" r="6985" b="0"/>
            <wp:docPr id="5344098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0986" name="Imagen 1" descr="Texto&#10;&#10;El contenido generado por IA puede ser incorrecto."/>
                    <pic:cNvPicPr/>
                  </pic:nvPicPr>
                  <pic:blipFill>
                    <a:blip r:embed="rId7"/>
                    <a:stretch>
                      <a:fillRect/>
                    </a:stretch>
                  </pic:blipFill>
                  <pic:spPr>
                    <a:xfrm>
                      <a:off x="0" y="0"/>
                      <a:ext cx="3755444" cy="981991"/>
                    </a:xfrm>
                    <a:prstGeom prst="rect">
                      <a:avLst/>
                    </a:prstGeom>
                  </pic:spPr>
                </pic:pic>
              </a:graphicData>
            </a:graphic>
          </wp:inline>
        </w:drawing>
      </w:r>
    </w:p>
    <w:p w14:paraId="6F0F4EAA" w14:textId="77777777" w:rsidR="00362DFF" w:rsidRPr="00E76CD6" w:rsidRDefault="00362DFF" w:rsidP="00362DFF">
      <w:pPr>
        <w:spacing w:after="0" w:line="240" w:lineRule="auto"/>
        <w:jc w:val="both"/>
        <w:rPr>
          <w:rFonts w:ascii="Verdana" w:eastAsia="Calibri" w:hAnsi="Verdana" w:cs="Arial"/>
          <w:lang w:eastAsia="es-ES_tradnl"/>
        </w:rPr>
      </w:pPr>
      <w:r w:rsidRPr="00E76CD6">
        <w:rPr>
          <w:rFonts w:ascii="Verdana" w:eastAsia="Calibri" w:hAnsi="Verdana" w:cs="Arial"/>
          <w:lang w:eastAsia="es-ES_tradnl"/>
        </w:rPr>
        <w:t>Señor</w:t>
      </w:r>
      <w:r>
        <w:rPr>
          <w:rFonts w:ascii="Verdana" w:eastAsia="Calibri" w:hAnsi="Verdana" w:cs="Arial"/>
          <w:lang w:eastAsia="es-ES_tradnl"/>
        </w:rPr>
        <w:t>a</w:t>
      </w:r>
    </w:p>
    <w:p w14:paraId="3949CEB0" w14:textId="77777777" w:rsidR="00362DFF" w:rsidRDefault="00362DFF" w:rsidP="00362DFF">
      <w:pPr>
        <w:spacing w:after="0" w:line="240" w:lineRule="auto"/>
        <w:jc w:val="both"/>
        <w:rPr>
          <w:rFonts w:ascii="Verdana" w:eastAsia="Calibri" w:hAnsi="Verdana" w:cs="Arial"/>
          <w:b/>
          <w:lang w:eastAsia="es-ES_tradnl"/>
        </w:rPr>
      </w:pPr>
      <w:r w:rsidRPr="001B0FB5">
        <w:rPr>
          <w:rFonts w:ascii="Verdana" w:eastAsia="Calibri" w:hAnsi="Verdana" w:cs="Arial"/>
          <w:b/>
          <w:lang w:eastAsia="es-ES_tradnl"/>
        </w:rPr>
        <w:t>Claudia Andrea</w:t>
      </w:r>
      <w:r>
        <w:rPr>
          <w:rFonts w:ascii="Verdana" w:eastAsia="Calibri" w:hAnsi="Verdana" w:cs="Arial"/>
          <w:b/>
          <w:lang w:eastAsia="es-ES_tradnl"/>
        </w:rPr>
        <w:t xml:space="preserve"> </w:t>
      </w:r>
      <w:r w:rsidRPr="001B0FB5">
        <w:rPr>
          <w:rFonts w:ascii="Verdana" w:eastAsia="Calibri" w:hAnsi="Verdana" w:cs="Arial"/>
          <w:b/>
          <w:lang w:eastAsia="es-ES_tradnl"/>
        </w:rPr>
        <w:t>Buitrago Nino</w:t>
      </w:r>
    </w:p>
    <w:p w14:paraId="5F8B0463" w14:textId="77777777" w:rsidR="00362DFF" w:rsidRPr="00E76CD6" w:rsidRDefault="00362DFF" w:rsidP="00362DFF">
      <w:pPr>
        <w:spacing w:after="0" w:line="240" w:lineRule="auto"/>
        <w:rPr>
          <w:rFonts w:ascii="Verdana" w:eastAsia="Calibri" w:hAnsi="Verdana" w:cs="Arial"/>
          <w:lang w:eastAsia="es-ES_tradnl"/>
        </w:rPr>
      </w:pPr>
      <w:hyperlink r:id="rId8" w:history="1">
        <w:r w:rsidRPr="00DE266C">
          <w:rPr>
            <w:rStyle w:val="Hipervnculo"/>
            <w:rFonts w:ascii="Verdana" w:eastAsia="Calibri" w:hAnsi="Verdana" w:cs="Arial"/>
            <w:lang w:eastAsia="es-ES_tradnl"/>
          </w:rPr>
          <w:t>claudia.buitrago@envigado.gov.co</w:t>
        </w:r>
      </w:hyperlink>
    </w:p>
    <w:p w14:paraId="73342A9F" w14:textId="77777777" w:rsidR="00362DFF" w:rsidRPr="00E76CD6" w:rsidRDefault="00362DFF" w:rsidP="00362DFF">
      <w:pPr>
        <w:spacing w:after="0" w:line="240" w:lineRule="auto"/>
        <w:rPr>
          <w:rFonts w:ascii="Verdana" w:eastAsia="Calibri" w:hAnsi="Verdana" w:cs="Arial"/>
          <w:lang w:eastAsia="es-ES_tradnl"/>
        </w:rPr>
      </w:pPr>
      <w:r>
        <w:rPr>
          <w:rFonts w:ascii="Verdana" w:eastAsia="Calibri" w:hAnsi="Verdana" w:cs="Arial"/>
          <w:lang w:eastAsia="es-ES_tradnl"/>
        </w:rPr>
        <w:t>Medellín, Antioquía</w:t>
      </w:r>
    </w:p>
    <w:p w14:paraId="3353FBBD" w14:textId="77777777" w:rsidR="00362DFF" w:rsidRPr="00E76CD6" w:rsidRDefault="00362DFF" w:rsidP="00362DFF">
      <w:pPr>
        <w:spacing w:after="0" w:line="240" w:lineRule="auto"/>
        <w:rPr>
          <w:rFonts w:ascii="Verdana" w:eastAsia="Calibri" w:hAnsi="Verdana" w:cs="Arial"/>
          <w:lang w:eastAsia="es-ES_tradnl"/>
        </w:rPr>
      </w:pPr>
    </w:p>
    <w:p w14:paraId="37ED63BE" w14:textId="77777777" w:rsidR="00362DFF" w:rsidRPr="00E76CD6" w:rsidRDefault="00362DFF" w:rsidP="00362DFF">
      <w:pPr>
        <w:spacing w:after="0" w:line="240" w:lineRule="auto"/>
        <w:rPr>
          <w:rFonts w:ascii="Verdana" w:eastAsia="Calibri" w:hAnsi="Verdana" w:cs="Arial"/>
          <w:lang w:eastAsia="es-ES_tradnl"/>
        </w:rPr>
      </w:pPr>
    </w:p>
    <w:p w14:paraId="291840F3" w14:textId="77777777" w:rsidR="00362DFF" w:rsidRPr="00E76CD6" w:rsidRDefault="00362DFF" w:rsidP="00362DFF">
      <w:pPr>
        <w:spacing w:after="0" w:line="240" w:lineRule="auto"/>
        <w:ind w:left="2694"/>
        <w:rPr>
          <w:rFonts w:ascii="Verdana" w:eastAsia="Calibri" w:hAnsi="Verdana" w:cs="Arial"/>
          <w:b/>
          <w:bCs/>
          <w:lang w:eastAsia="es-ES_tradnl"/>
        </w:rPr>
      </w:pPr>
      <w:r w:rsidRPr="00E76CD6">
        <w:rPr>
          <w:rFonts w:ascii="Verdana" w:eastAsia="Calibri" w:hAnsi="Verdana" w:cs="Arial"/>
          <w:b/>
          <w:bCs/>
          <w:lang w:eastAsia="es-ES_tradnl"/>
        </w:rPr>
        <w:t>Concepto C-</w:t>
      </w:r>
      <w:r>
        <w:rPr>
          <w:rFonts w:ascii="Verdana" w:eastAsia="Calibri" w:hAnsi="Verdana" w:cs="Arial"/>
          <w:b/>
          <w:bCs/>
          <w:lang w:eastAsia="es-ES_tradnl"/>
        </w:rPr>
        <w:t xml:space="preserve">962 </w:t>
      </w:r>
      <w:r w:rsidRPr="00E76CD6">
        <w:rPr>
          <w:rFonts w:ascii="Verdana" w:eastAsia="Calibri" w:hAnsi="Verdana" w:cs="Arial"/>
          <w:b/>
          <w:bCs/>
          <w:lang w:eastAsia="es-ES_tradnl"/>
        </w:rPr>
        <w:t>de 2025</w:t>
      </w:r>
    </w:p>
    <w:p w14:paraId="22806459" w14:textId="77777777" w:rsidR="00362DFF" w:rsidRPr="00E76CD6" w:rsidRDefault="00362DFF" w:rsidP="00362DFF">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362DFF" w:rsidRPr="00E76CD6" w14:paraId="403C6A37" w14:textId="77777777" w:rsidTr="00F76A0D">
        <w:trPr>
          <w:trHeight w:val="952"/>
          <w:jc w:val="right"/>
        </w:trPr>
        <w:tc>
          <w:tcPr>
            <w:tcW w:w="2547" w:type="dxa"/>
          </w:tcPr>
          <w:p w14:paraId="32967B68" w14:textId="77777777" w:rsidR="00362DFF" w:rsidRPr="00E76CD6" w:rsidRDefault="00362DFF" w:rsidP="00F76A0D">
            <w:pPr>
              <w:jc w:val="center"/>
              <w:rPr>
                <w:rFonts w:ascii="Verdana" w:eastAsia="Calibri" w:hAnsi="Verdana" w:cs="Arial"/>
                <w:lang w:eastAsia="es-ES_tradnl"/>
              </w:rPr>
            </w:pPr>
            <w:r w:rsidRPr="00E76CD6">
              <w:rPr>
                <w:rFonts w:ascii="Verdana" w:eastAsia="Calibri" w:hAnsi="Verdana" w:cs="Arial"/>
                <w:b/>
                <w:lang w:eastAsia="es-ES_tradnl"/>
              </w:rPr>
              <w:t>Temas:</w:t>
            </w:r>
          </w:p>
        </w:tc>
        <w:tc>
          <w:tcPr>
            <w:tcW w:w="6237" w:type="dxa"/>
          </w:tcPr>
          <w:p w14:paraId="52090CC9" w14:textId="77777777" w:rsidR="00362DFF" w:rsidRPr="00EB5A2F" w:rsidRDefault="00362DFF" w:rsidP="00F76A0D">
            <w:pPr>
              <w:jc w:val="both"/>
              <w:rPr>
                <w:rFonts w:ascii="Verdana" w:eastAsia="Calibri" w:hAnsi="Verdana" w:cs="Arial"/>
                <w:bCs/>
                <w:lang w:val="es-MX"/>
              </w:rPr>
            </w:pPr>
            <w:r w:rsidRPr="00EB5A2F">
              <w:rPr>
                <w:rFonts w:ascii="Verdana" w:eastAsia="Calibri" w:hAnsi="Verdana" w:cs="Arial"/>
                <w:bCs/>
                <w:lang w:val="es-ES_tradnl"/>
              </w:rPr>
              <w:t xml:space="preserve">SECOP – Componentes – Diferencias / PRINCIPIO DE PUBLICIDAD – Fundamentos normativos / SECOP II – Informes y cuentas de cobro – Gestión en la plataforma   </w:t>
            </w:r>
          </w:p>
        </w:tc>
      </w:tr>
      <w:tr w:rsidR="00362DFF" w:rsidRPr="00E76CD6" w14:paraId="26F00DB0" w14:textId="77777777" w:rsidTr="00F76A0D">
        <w:trPr>
          <w:jc w:val="right"/>
        </w:trPr>
        <w:tc>
          <w:tcPr>
            <w:tcW w:w="2547" w:type="dxa"/>
          </w:tcPr>
          <w:p w14:paraId="68C388BC" w14:textId="77777777" w:rsidR="00362DFF" w:rsidRPr="00E76CD6" w:rsidRDefault="00362DFF" w:rsidP="00F76A0D">
            <w:pPr>
              <w:jc w:val="center"/>
              <w:rPr>
                <w:rFonts w:ascii="Verdana" w:eastAsia="Calibri" w:hAnsi="Verdana" w:cs="Arial"/>
                <w:b/>
                <w:lang w:eastAsia="es-ES_tradnl"/>
              </w:rPr>
            </w:pPr>
            <w:r w:rsidRPr="00E76CD6">
              <w:rPr>
                <w:rFonts w:ascii="Verdana" w:eastAsia="Calibri" w:hAnsi="Verdana" w:cs="Arial"/>
                <w:b/>
                <w:lang w:eastAsia="es-ES_tradnl"/>
              </w:rPr>
              <w:t>Radicación:</w:t>
            </w:r>
          </w:p>
        </w:tc>
        <w:tc>
          <w:tcPr>
            <w:tcW w:w="6237" w:type="dxa"/>
          </w:tcPr>
          <w:p w14:paraId="30617C73" w14:textId="77777777" w:rsidR="00362DFF" w:rsidRPr="00E76CD6" w:rsidRDefault="00362DFF" w:rsidP="00F76A0D">
            <w:pPr>
              <w:jc w:val="both"/>
              <w:rPr>
                <w:rFonts w:ascii="Verdana" w:eastAsia="Calibri" w:hAnsi="Verdana" w:cs="Arial"/>
                <w:lang w:eastAsia="es-ES_tradnl"/>
              </w:rPr>
            </w:pPr>
            <w:r w:rsidRPr="00E76CD6">
              <w:rPr>
                <w:rFonts w:ascii="Verdana" w:eastAsia="Calibri" w:hAnsi="Verdana" w:cs="Arial"/>
                <w:lang w:eastAsia="es-ES_tradnl"/>
              </w:rPr>
              <w:t xml:space="preserve">Respuesta a consulta radicado No. </w:t>
            </w:r>
            <w:r w:rsidRPr="00A20692">
              <w:rPr>
                <w:rFonts w:ascii="Verdana" w:eastAsia="Times New Roman" w:hAnsi="Verdana" w:cs="Arial"/>
                <w:lang w:eastAsia="es-ES_tradnl"/>
              </w:rPr>
              <w:t>1_2025_07_16_007271</w:t>
            </w:r>
          </w:p>
        </w:tc>
      </w:tr>
    </w:tbl>
    <w:p w14:paraId="6249DE78" w14:textId="77777777" w:rsidR="00362DFF" w:rsidRPr="00E76CD6" w:rsidRDefault="00362DFF" w:rsidP="00362DFF">
      <w:pPr>
        <w:spacing w:after="0" w:line="240" w:lineRule="auto"/>
        <w:jc w:val="both"/>
        <w:rPr>
          <w:rFonts w:ascii="Verdana" w:eastAsia="Calibri" w:hAnsi="Verdana" w:cs="Arial"/>
          <w:lang w:eastAsia="es-ES_tradnl"/>
        </w:rPr>
      </w:pPr>
    </w:p>
    <w:p w14:paraId="46E89103" w14:textId="77777777" w:rsidR="00362DFF" w:rsidRPr="00E76CD6" w:rsidRDefault="00362DFF" w:rsidP="00362DFF">
      <w:pPr>
        <w:spacing w:after="0" w:line="240" w:lineRule="auto"/>
        <w:jc w:val="both"/>
        <w:rPr>
          <w:rFonts w:ascii="Verdana" w:eastAsia="Calibri" w:hAnsi="Verdana" w:cs="Arial"/>
          <w:lang w:eastAsia="es-ES_tradnl"/>
        </w:rPr>
      </w:pPr>
    </w:p>
    <w:p w14:paraId="630FFDC0" w14:textId="77777777" w:rsidR="00362DFF" w:rsidRPr="00E76CD6" w:rsidRDefault="00362DFF" w:rsidP="00362DFF">
      <w:pPr>
        <w:spacing w:after="0" w:line="276" w:lineRule="auto"/>
        <w:jc w:val="both"/>
        <w:rPr>
          <w:rFonts w:ascii="Verdana" w:eastAsia="Calibri" w:hAnsi="Verdana" w:cs="Arial"/>
          <w:bCs/>
          <w:lang w:eastAsia="es-ES_tradnl"/>
        </w:rPr>
      </w:pPr>
      <w:r w:rsidRPr="00E76CD6">
        <w:rPr>
          <w:rFonts w:ascii="Verdana" w:eastAsia="Calibri" w:hAnsi="Verdana" w:cs="Arial"/>
          <w:lang w:eastAsia="es-ES_tradnl"/>
        </w:rPr>
        <w:t>Estimad</w:t>
      </w:r>
      <w:r>
        <w:rPr>
          <w:rFonts w:ascii="Verdana" w:eastAsia="Calibri" w:hAnsi="Verdana" w:cs="Arial"/>
          <w:lang w:eastAsia="es-ES_tradnl"/>
        </w:rPr>
        <w:t>a</w:t>
      </w:r>
      <w:r w:rsidRPr="00E76CD6">
        <w:rPr>
          <w:rFonts w:ascii="Verdana" w:eastAsia="Calibri" w:hAnsi="Verdana" w:cs="Arial"/>
          <w:lang w:eastAsia="es-ES_tradnl"/>
        </w:rPr>
        <w:t xml:space="preserve"> señor</w:t>
      </w:r>
      <w:r>
        <w:rPr>
          <w:rFonts w:ascii="Verdana" w:eastAsia="Calibri" w:hAnsi="Verdana" w:cs="Arial"/>
          <w:lang w:eastAsia="es-ES_tradnl"/>
        </w:rPr>
        <w:t>a</w:t>
      </w:r>
      <w:r w:rsidRPr="00E76CD6">
        <w:rPr>
          <w:rFonts w:ascii="Verdana" w:eastAsia="Calibri" w:hAnsi="Verdana" w:cs="Arial"/>
          <w:lang w:eastAsia="es-ES_tradnl"/>
        </w:rPr>
        <w:t xml:space="preserve"> </w:t>
      </w:r>
      <w:r>
        <w:rPr>
          <w:rFonts w:ascii="Verdana" w:eastAsia="Calibri" w:hAnsi="Verdana" w:cs="Arial"/>
          <w:lang w:eastAsia="es-ES_tradnl"/>
        </w:rPr>
        <w:t>Buitrago Nino</w:t>
      </w:r>
      <w:r w:rsidRPr="00E76CD6">
        <w:rPr>
          <w:rFonts w:ascii="Verdana" w:eastAsia="Calibri" w:hAnsi="Verdana" w:cs="Arial"/>
          <w:bCs/>
          <w:lang w:eastAsia="es-ES_tradnl"/>
        </w:rPr>
        <w:t xml:space="preserve">, </w:t>
      </w:r>
    </w:p>
    <w:p w14:paraId="77868A89" w14:textId="77777777" w:rsidR="00362DFF" w:rsidRPr="00E76CD6" w:rsidRDefault="00362DFF" w:rsidP="00362DFF">
      <w:pPr>
        <w:spacing w:after="0" w:line="276" w:lineRule="auto"/>
        <w:jc w:val="both"/>
        <w:rPr>
          <w:rFonts w:ascii="Verdana" w:eastAsia="Calibri" w:hAnsi="Verdana" w:cs="Arial"/>
          <w:lang w:eastAsia="es-ES_tradnl"/>
        </w:rPr>
      </w:pPr>
    </w:p>
    <w:p w14:paraId="7F7D9729" w14:textId="77777777" w:rsidR="00362DFF" w:rsidRPr="00E76CD6" w:rsidRDefault="00362DFF" w:rsidP="00362DFF">
      <w:pPr>
        <w:spacing w:after="120" w:line="276" w:lineRule="auto"/>
        <w:jc w:val="both"/>
        <w:rPr>
          <w:rFonts w:ascii="Verdana" w:eastAsia="Calibri" w:hAnsi="Verdana" w:cs="Arial"/>
          <w:lang w:eastAsia="es-ES_tradnl"/>
        </w:rPr>
      </w:pPr>
      <w:r w:rsidRPr="00E76C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w:t>
      </w:r>
      <w:r w:rsidRPr="007204E2">
        <w:rPr>
          <w:rFonts w:ascii="Verdana" w:eastAsia="Calibri" w:hAnsi="Verdana" w:cs="Arial"/>
          <w:lang w:eastAsia="es-ES_tradnl"/>
        </w:rPr>
        <w:t>radicada el 1</w:t>
      </w:r>
      <w:r>
        <w:rPr>
          <w:rFonts w:ascii="Verdana" w:eastAsia="Calibri" w:hAnsi="Verdana" w:cs="Arial"/>
          <w:lang w:eastAsia="es-ES_tradnl"/>
        </w:rPr>
        <w:t>6</w:t>
      </w:r>
      <w:r w:rsidRPr="007204E2">
        <w:rPr>
          <w:rFonts w:ascii="Verdana" w:eastAsia="Calibri" w:hAnsi="Verdana" w:cs="Arial"/>
          <w:lang w:eastAsia="es-ES_tradnl"/>
        </w:rPr>
        <w:t xml:space="preserve"> de julio de 2025</w:t>
      </w:r>
      <w:r>
        <w:rPr>
          <w:rFonts w:ascii="Verdana" w:eastAsia="Calibri" w:hAnsi="Verdana" w:cs="Arial"/>
          <w:lang w:eastAsia="es-ES_tradnl"/>
        </w:rPr>
        <w:t xml:space="preserve"> </w:t>
      </w:r>
      <w:r w:rsidRPr="007204E2">
        <w:rPr>
          <w:rFonts w:ascii="Verdana" w:eastAsia="Calibri" w:hAnsi="Verdana" w:cs="Arial"/>
          <w:lang w:eastAsia="es-ES_tradnl"/>
        </w:rPr>
        <w:t>en los siguientes términos</w:t>
      </w:r>
      <w:r w:rsidRPr="00E76CD6">
        <w:rPr>
          <w:rFonts w:ascii="Verdana" w:eastAsia="Calibri" w:hAnsi="Verdana" w:cs="Arial"/>
          <w:lang w:eastAsia="es-ES_tradnl"/>
        </w:rPr>
        <w:t>:</w:t>
      </w:r>
    </w:p>
    <w:p w14:paraId="101D0798" w14:textId="77777777" w:rsidR="00362DFF" w:rsidRPr="00E76CD6" w:rsidRDefault="00362DFF" w:rsidP="00362DFF">
      <w:pPr>
        <w:spacing w:after="0" w:line="276" w:lineRule="auto"/>
        <w:jc w:val="both"/>
        <w:rPr>
          <w:rFonts w:ascii="Verdana" w:eastAsia="Calibri" w:hAnsi="Verdana" w:cs="Arial"/>
          <w:lang w:eastAsia="es-ES_tradnl"/>
        </w:rPr>
      </w:pPr>
    </w:p>
    <w:p w14:paraId="44B903E5" w14:textId="77777777" w:rsidR="00362DFF" w:rsidRPr="002A7DD1" w:rsidRDefault="00362DFF" w:rsidP="00362DFF">
      <w:pPr>
        <w:spacing w:after="0" w:line="240" w:lineRule="auto"/>
        <w:ind w:left="709" w:right="709"/>
        <w:jc w:val="both"/>
        <w:rPr>
          <w:rFonts w:ascii="Verdana" w:eastAsia="Times New Roman" w:hAnsi="Verdana" w:cs="Arial"/>
          <w:iCs/>
          <w:sz w:val="20"/>
          <w:szCs w:val="20"/>
          <w:lang w:eastAsia="es-ES_tradnl"/>
        </w:rPr>
      </w:pPr>
      <w:r w:rsidRPr="002A7DD1">
        <w:rPr>
          <w:rFonts w:ascii="Verdana" w:eastAsia="Times New Roman" w:hAnsi="Verdana" w:cs="Arial"/>
          <w:iCs/>
          <w:sz w:val="20"/>
          <w:szCs w:val="20"/>
          <w:lang w:eastAsia="es-ES_tradnl"/>
        </w:rPr>
        <w:t xml:space="preserve">“[…] </w:t>
      </w:r>
    </w:p>
    <w:p w14:paraId="08D75272" w14:textId="77777777" w:rsidR="00362DFF" w:rsidRPr="002A7DD1" w:rsidRDefault="00362DFF" w:rsidP="00362DFF">
      <w:pPr>
        <w:spacing w:after="0" w:line="240" w:lineRule="auto"/>
        <w:ind w:left="709" w:right="709"/>
        <w:jc w:val="both"/>
        <w:rPr>
          <w:rFonts w:ascii="Verdana" w:eastAsia="Times New Roman" w:hAnsi="Verdana" w:cs="Arial"/>
          <w:iCs/>
          <w:sz w:val="20"/>
          <w:szCs w:val="20"/>
          <w:lang w:eastAsia="es-ES_tradnl"/>
        </w:rPr>
      </w:pPr>
    </w:p>
    <w:p w14:paraId="47828241" w14:textId="77777777" w:rsidR="00362DFF" w:rsidRPr="002A7DD1" w:rsidRDefault="00362DFF" w:rsidP="00362DFF">
      <w:pPr>
        <w:spacing w:after="0" w:line="240" w:lineRule="auto"/>
        <w:ind w:left="709" w:right="709"/>
        <w:jc w:val="both"/>
        <w:rPr>
          <w:rFonts w:ascii="Verdana" w:eastAsia="Times New Roman" w:hAnsi="Verdana" w:cs="Arial"/>
          <w:iCs/>
          <w:sz w:val="20"/>
          <w:szCs w:val="20"/>
          <w:lang w:eastAsia="es-ES_tradnl"/>
        </w:rPr>
      </w:pPr>
      <w:r w:rsidRPr="00072DAD">
        <w:rPr>
          <w:rFonts w:ascii="Verdana" w:eastAsia="Times New Roman" w:hAnsi="Verdana" w:cs="Arial"/>
          <w:iCs/>
          <w:sz w:val="20"/>
          <w:szCs w:val="20"/>
          <w:lang w:eastAsia="es-ES_tradnl"/>
        </w:rPr>
        <w:t xml:space="preserve">Soy supervisora de contratos y en la entidad existen varias posturas sobre a partir de cuál fecha inicia el término de tres (3) días hábiles para subir a la plataforma SECOP II los documentos contractuales, específicamente para el registro de pagos. En un espacio nos indican que los términos para subir actas de pago e informe de supervisión inician a partir de la fecha del acta de pago, otros dicen que es a partir de la fecha de radicación de la cuenta de cobro la cual va acompañada del acta de pago y el informe </w:t>
      </w:r>
      <w:r w:rsidRPr="00072DAD">
        <w:rPr>
          <w:rFonts w:ascii="Verdana" w:eastAsia="Times New Roman" w:hAnsi="Verdana" w:cs="Arial"/>
          <w:iCs/>
          <w:sz w:val="20"/>
          <w:szCs w:val="20"/>
          <w:lang w:eastAsia="es-ES_tradnl"/>
        </w:rPr>
        <w:lastRenderedPageBreak/>
        <w:t>de supervisión. En consecuencia les solicito orientación frente a la materia antes expresada.</w:t>
      </w:r>
      <w:r w:rsidRPr="002A7DD1">
        <w:rPr>
          <w:rFonts w:ascii="Verdana" w:eastAsia="Times New Roman" w:hAnsi="Verdana" w:cs="Arial"/>
          <w:iCs/>
          <w:sz w:val="20"/>
          <w:szCs w:val="20"/>
          <w:lang w:eastAsia="es-ES_tradnl"/>
        </w:rPr>
        <w:t>” [SIC].</w:t>
      </w:r>
    </w:p>
    <w:p w14:paraId="74CBE335" w14:textId="77777777" w:rsidR="00362DFF" w:rsidRPr="00E76CD6" w:rsidRDefault="00362DFF" w:rsidP="00362DFF">
      <w:pPr>
        <w:spacing w:after="0" w:line="240" w:lineRule="auto"/>
        <w:ind w:left="709" w:right="709"/>
        <w:jc w:val="both"/>
        <w:rPr>
          <w:rFonts w:ascii="Verdana" w:eastAsia="Times New Roman" w:hAnsi="Verdana" w:cs="Arial"/>
          <w:i/>
          <w:lang w:eastAsia="es-ES_tradnl"/>
        </w:rPr>
      </w:pPr>
    </w:p>
    <w:p w14:paraId="4CD86229" w14:textId="77777777" w:rsidR="00362DFF" w:rsidRPr="00E76CD6" w:rsidRDefault="00362DFF" w:rsidP="00362DFF">
      <w:pPr>
        <w:spacing w:after="120" w:line="276" w:lineRule="auto"/>
        <w:ind w:firstLine="709"/>
        <w:jc w:val="both"/>
        <w:rPr>
          <w:rFonts w:ascii="Verdana" w:eastAsia="Calibri" w:hAnsi="Verdana" w:cs="Arial"/>
          <w:color w:val="000000"/>
          <w:szCs w:val="24"/>
          <w:lang w:eastAsia="es-ES_tradnl"/>
        </w:rPr>
      </w:pPr>
      <w:r w:rsidRPr="00E76CD6">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Pr>
          <w:rFonts w:ascii="Verdana" w:eastAsia="Calibri" w:hAnsi="Verdana" w:cs="Arial"/>
          <w:color w:val="000000"/>
          <w:lang w:eastAsia="es-ES"/>
        </w:rPr>
        <w:t xml:space="preserve"> la Agencia Nacional de Contratación Pública –</w:t>
      </w:r>
      <w:r w:rsidRPr="00E76CD6">
        <w:rPr>
          <w:rFonts w:ascii="Verdana" w:eastAsia="Calibri" w:hAnsi="Verdana" w:cs="Arial"/>
          <w:color w:val="000000"/>
          <w:lang w:eastAsia="es-ES"/>
        </w:rPr>
        <w:t xml:space="preserve"> Colombia</w:t>
      </w:r>
      <w:r>
        <w:rPr>
          <w:rFonts w:ascii="Verdana" w:eastAsia="Calibri" w:hAnsi="Verdana" w:cs="Arial"/>
          <w:color w:val="000000"/>
          <w:lang w:eastAsia="es-ES"/>
        </w:rPr>
        <w:t xml:space="preserve"> </w:t>
      </w:r>
      <w:r w:rsidRPr="00E76CD6">
        <w:rPr>
          <w:rFonts w:ascii="Verdana" w:eastAsia="Calibri" w:hAnsi="Verdana" w:cs="Arial"/>
          <w:color w:val="000000"/>
          <w:lang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6CD6">
        <w:rPr>
          <w:rFonts w:ascii="Verdana" w:eastAsia="Calibri" w:hAnsi="Verdana" w:cs="Arial"/>
          <w:color w:val="000000"/>
          <w:szCs w:val="24"/>
          <w:lang w:eastAsia="es-ES_tradnl"/>
        </w:rPr>
        <w:tab/>
      </w:r>
    </w:p>
    <w:p w14:paraId="243AAD1E" w14:textId="77777777" w:rsidR="00362DFF" w:rsidRPr="00E76CD6" w:rsidRDefault="00362DFF" w:rsidP="00362DFF">
      <w:pPr>
        <w:spacing w:after="0" w:line="276" w:lineRule="auto"/>
        <w:ind w:firstLine="709"/>
        <w:jc w:val="both"/>
        <w:rPr>
          <w:rFonts w:ascii="Verdana" w:eastAsia="Calibri" w:hAnsi="Verdana" w:cs="Arial"/>
          <w:lang w:eastAsia="es-ES"/>
        </w:rPr>
      </w:pPr>
      <w:r w:rsidRPr="00E76C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7A1012CA" w14:textId="77777777" w:rsidR="00362DFF" w:rsidRPr="00E76CD6" w:rsidRDefault="00362DFF" w:rsidP="00362DFF">
      <w:pPr>
        <w:spacing w:after="0" w:line="276" w:lineRule="auto"/>
        <w:contextualSpacing/>
        <w:jc w:val="both"/>
        <w:rPr>
          <w:rFonts w:ascii="Verdana" w:eastAsia="Times New Roman" w:hAnsi="Verdana" w:cs="Arial"/>
          <w:szCs w:val="24"/>
          <w:lang w:eastAsia="es-ES_tradnl"/>
        </w:rPr>
      </w:pPr>
    </w:p>
    <w:p w14:paraId="55ADC6BE" w14:textId="77777777" w:rsidR="00362DFF" w:rsidRPr="00E76CD6" w:rsidRDefault="00362DFF" w:rsidP="00362DFF">
      <w:pPr>
        <w:tabs>
          <w:tab w:val="left" w:pos="0"/>
          <w:tab w:val="left" w:pos="284"/>
        </w:tabs>
        <w:spacing w:after="0" w:line="276" w:lineRule="auto"/>
        <w:contextualSpacing/>
        <w:jc w:val="both"/>
        <w:rPr>
          <w:rFonts w:ascii="Verdana" w:eastAsia="Calibri" w:hAnsi="Verdana" w:cs="Arial"/>
          <w:b/>
        </w:rPr>
      </w:pPr>
      <w:r w:rsidRPr="00E76CD6">
        <w:rPr>
          <w:rFonts w:ascii="Verdana" w:eastAsia="Calibri" w:hAnsi="Verdana" w:cs="Arial"/>
          <w:b/>
        </w:rPr>
        <w:t>1. Problema planteado:</w:t>
      </w:r>
    </w:p>
    <w:p w14:paraId="06AE4E81" w14:textId="77777777" w:rsidR="00362DFF" w:rsidRPr="00E76CD6" w:rsidRDefault="00362DFF" w:rsidP="00362DFF">
      <w:pPr>
        <w:tabs>
          <w:tab w:val="left" w:pos="0"/>
          <w:tab w:val="left" w:pos="284"/>
        </w:tabs>
        <w:spacing w:after="0" w:line="276" w:lineRule="auto"/>
        <w:contextualSpacing/>
        <w:jc w:val="both"/>
        <w:rPr>
          <w:rFonts w:ascii="Verdana" w:eastAsia="Calibri" w:hAnsi="Verdana" w:cs="Arial"/>
          <w:b/>
        </w:rPr>
      </w:pPr>
    </w:p>
    <w:p w14:paraId="6806586B" w14:textId="77777777" w:rsidR="00362DFF" w:rsidRDefault="00362DFF" w:rsidP="00362DFF">
      <w:pPr>
        <w:spacing w:after="0" w:line="276" w:lineRule="auto"/>
        <w:jc w:val="both"/>
        <w:rPr>
          <w:rFonts w:ascii="Verdana" w:hAnsi="Verdana"/>
        </w:rPr>
      </w:pPr>
      <w:r w:rsidRPr="00E76CD6">
        <w:rPr>
          <w:rFonts w:ascii="Verdana" w:hAnsi="Verdana"/>
        </w:rPr>
        <w:t xml:space="preserve">De acuerdo con el contenido de su solicitud, esta Agencia resolverá </w:t>
      </w:r>
      <w:r>
        <w:rPr>
          <w:rFonts w:ascii="Verdana" w:hAnsi="Verdana"/>
        </w:rPr>
        <w:t>los</w:t>
      </w:r>
      <w:r w:rsidRPr="00E76CD6">
        <w:rPr>
          <w:rFonts w:ascii="Verdana" w:hAnsi="Verdana"/>
        </w:rPr>
        <w:t xml:space="preserve"> </w:t>
      </w:r>
      <w:r>
        <w:rPr>
          <w:rFonts w:ascii="Verdana" w:hAnsi="Verdana"/>
        </w:rPr>
        <w:t xml:space="preserve">siguientes </w:t>
      </w:r>
      <w:r w:rsidRPr="00E76CD6">
        <w:rPr>
          <w:rFonts w:ascii="Verdana" w:hAnsi="Verdana"/>
        </w:rPr>
        <w:t>interrogante</w:t>
      </w:r>
      <w:r>
        <w:rPr>
          <w:rFonts w:ascii="Verdana" w:hAnsi="Verdana"/>
        </w:rPr>
        <w:t>s</w:t>
      </w:r>
      <w:r w:rsidRPr="00E76CD6">
        <w:rPr>
          <w:rFonts w:ascii="Verdana" w:hAnsi="Verdana"/>
        </w:rPr>
        <w:t xml:space="preserve">: </w:t>
      </w:r>
    </w:p>
    <w:p w14:paraId="567AEB7E" w14:textId="77777777" w:rsidR="00362DFF" w:rsidRDefault="00362DFF" w:rsidP="00362DFF">
      <w:pPr>
        <w:spacing w:after="0" w:line="276" w:lineRule="auto"/>
        <w:jc w:val="both"/>
        <w:rPr>
          <w:rFonts w:ascii="Verdana" w:hAnsi="Verdana"/>
        </w:rPr>
      </w:pPr>
    </w:p>
    <w:p w14:paraId="44A92CD2" w14:textId="77777777" w:rsidR="00362DFF" w:rsidRDefault="00362DFF" w:rsidP="00362DFF">
      <w:pPr>
        <w:spacing w:after="0" w:line="276" w:lineRule="auto"/>
        <w:jc w:val="both"/>
        <w:rPr>
          <w:rFonts w:ascii="Verdana" w:eastAsia="Century Gothic" w:hAnsi="Verdana" w:cs="Century Gothic"/>
        </w:rPr>
      </w:pPr>
      <w:r>
        <w:rPr>
          <w:rFonts w:ascii="Verdana" w:eastAsia="Century Gothic" w:hAnsi="Verdana" w:cs="Century Gothic"/>
        </w:rPr>
        <w:t xml:space="preserve">i. </w:t>
      </w:r>
      <w:r w:rsidRPr="00137B34">
        <w:rPr>
          <w:rFonts w:ascii="Verdana" w:eastAsia="Century Gothic" w:hAnsi="Verdana" w:cs="Century Gothic"/>
        </w:rPr>
        <w:t>¿Desde qué momento debe contabilizarse el término de tres (3) días hábiles para registrar en la plataforma SECOP II los documentos contractuales relacionados con el pago —como el acta de pago y el informe de supervisión—: desde la fecha del acta de pago o desde la fecha de radicación de la cuenta de cobro que incluye dichos documentos?</w:t>
      </w:r>
    </w:p>
    <w:p w14:paraId="29294B48" w14:textId="77777777" w:rsidR="00362DFF" w:rsidRPr="00E76CD6" w:rsidRDefault="00362DFF" w:rsidP="00362DFF">
      <w:pPr>
        <w:spacing w:after="0" w:line="276" w:lineRule="auto"/>
        <w:jc w:val="both"/>
        <w:rPr>
          <w:rFonts w:ascii="Verdana" w:eastAsia="Calibri" w:hAnsi="Verdana" w:cs="Arial"/>
          <w:lang w:eastAsia="es-ES_tradnl"/>
        </w:rPr>
      </w:pPr>
    </w:p>
    <w:p w14:paraId="3039DE93" w14:textId="77777777" w:rsidR="00362DFF" w:rsidRPr="00E76CD6" w:rsidRDefault="00362DFF" w:rsidP="00362DFF">
      <w:pPr>
        <w:tabs>
          <w:tab w:val="left" w:pos="142"/>
          <w:tab w:val="left" w:pos="284"/>
        </w:tabs>
        <w:spacing w:after="0" w:line="276" w:lineRule="auto"/>
        <w:jc w:val="both"/>
        <w:rPr>
          <w:rFonts w:ascii="Verdana" w:eastAsia="Century Gothic" w:hAnsi="Verdana" w:cs="Century Gothic"/>
          <w:b/>
          <w:bCs/>
        </w:rPr>
      </w:pPr>
      <w:r w:rsidRPr="00E76CD6">
        <w:rPr>
          <w:rFonts w:ascii="Verdana" w:eastAsia="Century Gothic" w:hAnsi="Verdana" w:cs="Century Gothic"/>
          <w:b/>
          <w:bCs/>
        </w:rPr>
        <w:t>2. Respuesta:</w:t>
      </w:r>
    </w:p>
    <w:p w14:paraId="371C89F1" w14:textId="77777777" w:rsidR="00362DFF" w:rsidRPr="00E76CD6" w:rsidRDefault="00362DFF" w:rsidP="00362DF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2DFF" w:rsidRPr="00235E34" w14:paraId="4837B8B9" w14:textId="77777777" w:rsidTr="00F76A0D">
        <w:tc>
          <w:tcPr>
            <w:tcW w:w="8828" w:type="dxa"/>
          </w:tcPr>
          <w:p w14:paraId="5CE4A28A" w14:textId="77777777" w:rsidR="00362DFF" w:rsidRPr="00F777D7" w:rsidRDefault="00362DFF" w:rsidP="00F76A0D">
            <w:pPr>
              <w:widowControl w:val="0"/>
              <w:autoSpaceDE w:val="0"/>
              <w:autoSpaceDN w:val="0"/>
              <w:spacing w:after="120" w:line="276" w:lineRule="auto"/>
              <w:jc w:val="both"/>
              <w:rPr>
                <w:rFonts w:ascii="Verdana" w:hAnsi="Verdana" w:cs="Arial"/>
                <w:lang w:val="es-MX"/>
              </w:rPr>
            </w:pPr>
            <w:r w:rsidRPr="3C9966CE">
              <w:rPr>
                <w:rFonts w:ascii="Verdana" w:hAnsi="Verdana" w:cs="Arial"/>
                <w:lang w:val="es-MX"/>
              </w:rPr>
              <w:t xml:space="preserve">Si bien los documentos que deben publicarse en el SECOP II corresponden a los mismos que deben publicarse en el SECOP I, esto es, todos los expedidos </w:t>
            </w:r>
            <w:r w:rsidRPr="3C9966CE">
              <w:rPr>
                <w:rFonts w:ascii="Verdana" w:hAnsi="Verdana" w:cs="Arial"/>
                <w:lang w:val="es-MX"/>
              </w:rPr>
              <w:lastRenderedPageBreak/>
              <w:t>con ocasión a la gestión contractual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Esta es una diferencia respecto de los procesos publicados en el SECOP I, en los que primero se generan los documentos escritos y luego se publican en la plataforma dentro del plazo de tres (3) días previsto en el artículo 2.2.1.1.1.7.1 del Decreto 1082 de 2015. Para aquellos casos en que se elaboran de manera electrónica, en las actuaciones generadas dentro de los procedimientos gestionados a través de SECOP II, dicha publicidad es inmediata, puesto que tales documentos son creados o expedidos mediante la propia plataforma, razón por la que una vez estos se aprueban quedan inmediatamente publicados, sin que transcurra el referido término.</w:t>
            </w:r>
          </w:p>
          <w:p w14:paraId="4A3C669E" w14:textId="77777777" w:rsidR="00362DFF" w:rsidRDefault="00362DFF" w:rsidP="00F76A0D">
            <w:pPr>
              <w:widowControl w:val="0"/>
              <w:autoSpaceDE w:val="0"/>
              <w:autoSpaceDN w:val="0"/>
              <w:spacing w:after="120" w:line="276" w:lineRule="auto"/>
              <w:ind w:firstLine="709"/>
              <w:jc w:val="both"/>
              <w:rPr>
                <w:rFonts w:ascii="Verdana" w:hAnsi="Verdana" w:cs="Arial"/>
                <w:lang w:val="es-MX"/>
              </w:rPr>
            </w:pPr>
            <w:r w:rsidRPr="00F777D7">
              <w:rPr>
                <w:rFonts w:ascii="Verdana" w:hAnsi="Verdana" w:cs="Arial"/>
                <w:lang w:val="es-MX"/>
              </w:rPr>
              <w:t>En ese orden de ideas,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p>
          <w:p w14:paraId="0A39971D" w14:textId="77777777" w:rsidR="00362DFF" w:rsidRDefault="00362DFF" w:rsidP="00F76A0D">
            <w:pPr>
              <w:widowControl w:val="0"/>
              <w:autoSpaceDE w:val="0"/>
              <w:autoSpaceDN w:val="0"/>
              <w:spacing w:after="120" w:line="276" w:lineRule="auto"/>
              <w:ind w:firstLine="709"/>
              <w:jc w:val="both"/>
              <w:rPr>
                <w:rFonts w:ascii="Verdana" w:eastAsia="Calibri" w:hAnsi="Verdana" w:cs="Arial"/>
                <w:color w:val="000000" w:themeColor="text1"/>
              </w:rPr>
            </w:pPr>
            <w:r w:rsidRPr="3C9966CE">
              <w:rPr>
                <w:rFonts w:ascii="Verdana" w:eastAsia="Calibri" w:hAnsi="Verdana" w:cs="Arial"/>
                <w:color w:val="000000" w:themeColor="text1"/>
                <w:lang w:val="es-ES"/>
              </w:rPr>
              <w:t xml:space="preserve">En otras palabras, </w:t>
            </w:r>
            <w:r w:rsidRPr="3C9966CE">
              <w:rPr>
                <w:rFonts w:ascii="Verdana" w:eastAsia="Calibri" w:hAnsi="Verdana" w:cs="Arial"/>
                <w:color w:val="000000" w:themeColor="text1"/>
              </w:rPr>
              <w:t xml:space="preserve">la naturaleza transaccional del SECOP II implica que los procesos contractuales no solo se publiquen en ella, sino que también se gestionen íntegramente a través de su entorno electrónico. En consecuencia, la mayoría de los hitos contractuales corresponden a documentos y actuaciones electrónicas creadas en tiempo real -como ocurre con el trámite y procedimiento de aprobación de solicitudes de pago-, de modo que el avance del proceso contractual depende de su generación y aprobación dentro del sistema. Por lo tanto, los documentos creados de manera electrónica en SECOP II, su publicación es concomitante a la actuación de los usuarios. </w:t>
            </w:r>
          </w:p>
          <w:p w14:paraId="5E66F399" w14:textId="77777777" w:rsidR="00362DFF" w:rsidRPr="00A717C0" w:rsidRDefault="00362DFF" w:rsidP="00F76A0D">
            <w:pPr>
              <w:widowControl w:val="0"/>
              <w:autoSpaceDE w:val="0"/>
              <w:autoSpaceDN w:val="0"/>
              <w:spacing w:after="120" w:line="276" w:lineRule="auto"/>
              <w:ind w:firstLine="709"/>
              <w:jc w:val="both"/>
              <w:rPr>
                <w:rFonts w:ascii="Verdana" w:hAnsi="Verdana" w:cs="Arial"/>
                <w:lang w:val="es-ES"/>
              </w:rPr>
            </w:pPr>
            <w:r>
              <w:rPr>
                <w:rFonts w:ascii="Verdana" w:eastAsia="Calibri" w:hAnsi="Verdana" w:cs="Arial"/>
                <w:color w:val="000000" w:themeColor="text1"/>
              </w:rPr>
              <w:t>Dicha situación se presenta, por ejemplo, con la aprobación de las solicitudes de pago, dado que,</w:t>
            </w:r>
            <w:r w:rsidRPr="6990FE1C">
              <w:rPr>
                <w:rFonts w:ascii="Verdana" w:eastAsia="Calibri" w:hAnsi="Verdana" w:cs="Arial"/>
                <w:color w:val="000000" w:themeColor="text1"/>
              </w:rPr>
              <w:t xml:space="preserve"> una vez aprobadas</w:t>
            </w:r>
            <w:r>
              <w:rPr>
                <w:rFonts w:ascii="Verdana" w:eastAsia="Calibri" w:hAnsi="Verdana" w:cs="Arial"/>
                <w:color w:val="000000" w:themeColor="text1"/>
              </w:rPr>
              <w:t xml:space="preserve">, </w:t>
            </w:r>
            <w:r w:rsidRPr="6990FE1C">
              <w:rPr>
                <w:rFonts w:ascii="Verdana" w:eastAsia="Calibri" w:hAnsi="Verdana" w:cs="Arial"/>
                <w:color w:val="000000" w:themeColor="text1"/>
              </w:rPr>
              <w:t xml:space="preserve">quedan publicadas de forma inmediata, más allá del trámite administrativo interno que cada entidad estatal contemple para efectos de determinar los documentos necesarios que </w:t>
            </w:r>
            <w:r w:rsidRPr="6990FE1C">
              <w:rPr>
                <w:rFonts w:ascii="Verdana" w:eastAsia="Calibri" w:hAnsi="Verdana" w:cs="Arial"/>
                <w:color w:val="000000" w:themeColor="text1"/>
              </w:rPr>
              <w:lastRenderedPageBreak/>
              <w:t>acompañan su aprobación y, aun cuando existan documentos en físico que reflejen fechas de elaboración, el sistema registrará como términos de publicación hitos como: i) fecha de emisión y vencimiento y ii) fecha de recepción original, con el fin de otorgar trazabilidad a las acciones desplegadas por las partes.</w:t>
            </w:r>
          </w:p>
          <w:p w14:paraId="2E9C1A09" w14:textId="77777777" w:rsidR="00362DFF" w:rsidRDefault="00362DFF" w:rsidP="00F76A0D">
            <w:pPr>
              <w:spacing w:after="120" w:line="276" w:lineRule="auto"/>
              <w:ind w:firstLine="708"/>
              <w:jc w:val="both"/>
              <w:rPr>
                <w:rFonts w:ascii="Verdana" w:eastAsia="Calibri" w:hAnsi="Verdana" w:cs="Arial"/>
                <w:color w:val="000000" w:themeColor="text1"/>
                <w:lang w:val="es-ES"/>
              </w:rPr>
            </w:pPr>
            <w:r w:rsidRPr="3C9966CE">
              <w:rPr>
                <w:rFonts w:ascii="Verdana" w:eastAsia="Calibri" w:hAnsi="Verdana" w:cs="Arial"/>
                <w:color w:val="000000" w:themeColor="text1"/>
                <w:lang w:val="es-ES"/>
              </w:rPr>
              <w:t xml:space="preserve">Para la publicidad de la ejecución del contrato se recomienda el uso del módulo de “Plan de Pagos” que se encuentra en la sección “7. Ejecución del contrato”. Allí el contratista podrá registrar las facturas y/o cuentas de cobro, junto con los demás documentos exigidos por la Entidad Estatal. Por su parte, la Entidad en su deber de seguimiento a la Ejecución contractual tendrá disponible la opción de rechazar o aprobar la referencia del plan de pago según corresponda, así como de publicar los documentos relacionados con la supervisión del contrato. </w:t>
            </w:r>
          </w:p>
          <w:p w14:paraId="359FA2DD" w14:textId="77777777" w:rsidR="00362DFF" w:rsidRPr="00235E34" w:rsidRDefault="00362DFF" w:rsidP="00F76A0D">
            <w:pPr>
              <w:spacing w:after="120" w:line="276" w:lineRule="auto"/>
              <w:ind w:firstLine="708"/>
              <w:jc w:val="both"/>
              <w:rPr>
                <w:rFonts w:ascii="Verdana" w:eastAsia="Arial" w:hAnsi="Verdana" w:cs="Arial"/>
                <w:color w:val="000000"/>
              </w:rPr>
            </w:pPr>
            <w:r w:rsidRPr="3C9966CE">
              <w:rPr>
                <w:rFonts w:ascii="Verdana" w:eastAsia="Arial" w:hAnsi="Verdana" w:cs="Arial"/>
                <w:color w:val="000000" w:themeColor="text1"/>
              </w:rPr>
              <w:t>Por último, esta Agencia recomienda que los trámites administrativos internos de las entidades estatales, orientados a definir los pasos en la ejecución contractual, se armonicen con los lineamientos técnicos impartidos por Colombia Compra Eficiente para el uso del SECOP, contenidos en la “Guía SECOP II – Gestión Contractual para Entidades Estatales”, así como con las disposiciones normativas aplicables, en especial el Decreto 1082 de 2015, garantizando así la coherencia de los procedimientos internos y el respeto de la normativa vigente en materia de contratación pública.</w:t>
            </w:r>
          </w:p>
        </w:tc>
      </w:tr>
    </w:tbl>
    <w:p w14:paraId="1CB67324" w14:textId="77777777" w:rsidR="00362DFF" w:rsidRPr="00235E34" w:rsidRDefault="00362DFF" w:rsidP="00362DFF">
      <w:pPr>
        <w:spacing w:after="0" w:line="276" w:lineRule="auto"/>
        <w:jc w:val="both"/>
        <w:rPr>
          <w:rFonts w:ascii="Verdana" w:eastAsia="Times New Roman" w:hAnsi="Verdana" w:cs="Arial"/>
          <w:lang w:eastAsia="es-ES_tradnl"/>
        </w:rPr>
      </w:pPr>
    </w:p>
    <w:p w14:paraId="1E6BEF11" w14:textId="77777777" w:rsidR="00362DFF" w:rsidRPr="00E76CD6" w:rsidRDefault="00362DFF" w:rsidP="00362DF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76CD6">
        <w:rPr>
          <w:rFonts w:ascii="Verdana" w:eastAsia="Century Gothic" w:hAnsi="Verdana" w:cs="Century Gothic"/>
          <w:b/>
          <w:bCs/>
        </w:rPr>
        <w:t>3. Razones de la respuesta:</w:t>
      </w:r>
    </w:p>
    <w:p w14:paraId="2DBF217D" w14:textId="77777777" w:rsidR="00362DFF" w:rsidRPr="00E76CD6" w:rsidRDefault="00362DFF" w:rsidP="00362DFF">
      <w:pPr>
        <w:spacing w:after="0" w:line="276" w:lineRule="auto"/>
        <w:jc w:val="both"/>
        <w:rPr>
          <w:rFonts w:ascii="Verdana" w:eastAsia="Calibri" w:hAnsi="Verdana" w:cs="Arial"/>
          <w:color w:val="7030A0"/>
        </w:rPr>
      </w:pPr>
    </w:p>
    <w:p w14:paraId="187488BC" w14:textId="77777777" w:rsidR="00362DFF" w:rsidRPr="00E76CD6" w:rsidRDefault="00362DFF" w:rsidP="00362DFF">
      <w:pPr>
        <w:spacing w:after="0" w:line="276" w:lineRule="auto"/>
        <w:jc w:val="both"/>
        <w:rPr>
          <w:rFonts w:ascii="Verdana" w:eastAsia="Calibri" w:hAnsi="Verdana" w:cs="Arial"/>
        </w:rPr>
      </w:pPr>
      <w:r w:rsidRPr="00E76CD6">
        <w:rPr>
          <w:rFonts w:ascii="Verdana" w:eastAsia="Calibri" w:hAnsi="Verdana" w:cs="Arial"/>
        </w:rPr>
        <w:t xml:space="preserve">Lo anterior se sustenta en las siguientes consideraciones: </w:t>
      </w:r>
    </w:p>
    <w:p w14:paraId="49AE6359" w14:textId="77777777" w:rsidR="00362DFF" w:rsidRPr="00E76CD6" w:rsidRDefault="00362DFF" w:rsidP="00362DFF">
      <w:pPr>
        <w:spacing w:after="0" w:line="276" w:lineRule="auto"/>
        <w:jc w:val="both"/>
        <w:rPr>
          <w:rFonts w:ascii="Verdana" w:eastAsia="Calibri" w:hAnsi="Verdana" w:cs="Arial"/>
        </w:rPr>
      </w:pPr>
    </w:p>
    <w:p w14:paraId="42261903" w14:textId="77777777" w:rsidR="00362DFF" w:rsidRPr="00CF3ACD" w:rsidRDefault="00362DFF" w:rsidP="00362DFF">
      <w:pPr>
        <w:spacing w:after="120" w:line="276" w:lineRule="auto"/>
        <w:jc w:val="both"/>
        <w:rPr>
          <w:rFonts w:ascii="Verdana" w:eastAsia="Calibri" w:hAnsi="Verdana" w:cs="Arial"/>
          <w:color w:val="000000" w:themeColor="text1"/>
          <w:lang w:val="es-ES"/>
        </w:rPr>
      </w:pPr>
      <w:r w:rsidRPr="3C9966CE">
        <w:rPr>
          <w:rFonts w:ascii="Verdana" w:eastAsia="Calibri" w:hAnsi="Verdana" w:cs="Arial"/>
          <w:color w:val="000000" w:themeColor="text1"/>
          <w:lang w:val="es-ES"/>
        </w:rPr>
        <w:t xml:space="preserve">Hace varios años el Estado tiende a la eliminación de los trámites innecesarios relacionados con las actuaciones que se adelantan ante las autoridades públicas, buscando que las personas tengan una mejor calidad de vida, con el fin de optimizar </w:t>
      </w:r>
      <w:r w:rsidRPr="3C9966CE">
        <w:rPr>
          <w:rFonts w:ascii="Verdana" w:eastAsia="Calibri" w:hAnsi="Verdana" w:cs="Arial"/>
          <w:color w:val="000000" w:themeColor="text1"/>
        </w:rPr>
        <w:t xml:space="preserve">la gestión pública y garantizar a los ciudadanos un ejercicio más ágil y menos oneroso de sus derechos ante las autoridades. </w:t>
      </w:r>
      <w:r w:rsidRPr="3C9966CE">
        <w:rPr>
          <w:rFonts w:ascii="Verdana" w:eastAsia="Calibri" w:hAnsi="Verdana" w:cs="Arial"/>
          <w:color w:val="000000" w:themeColor="text1"/>
          <w:lang w:val="es-ES"/>
        </w:rPr>
        <w:t xml:space="preserve">Anteriormente las actuaciones oficiales, es decir, las que se realizan ante las entidades públicas, debían surtirse de manera presencial o a través del envío de documentación física, muchas veces cumpliendo con el requisito de la presentación personal. En la actualidad, se produce una inversión en la lógica que rige la relación de los ciudadanos con el Estado: i) en lugar de la presencialidad, se ha comenzado a </w:t>
      </w:r>
      <w:r w:rsidRPr="3C9966CE">
        <w:rPr>
          <w:rFonts w:ascii="Verdana" w:eastAsia="Calibri" w:hAnsi="Verdana" w:cs="Arial"/>
          <w:color w:val="000000" w:themeColor="text1"/>
          <w:lang w:val="es-ES"/>
        </w:rPr>
        <w:lastRenderedPageBreak/>
        <w:t>privilegiar la virtualidad y ii) del reconocimiento de validez y autenticidad, exclusivamente, a la documentación física, se ha pasado a admitir dichos atributos respecto de la documentación electrónica.</w:t>
      </w:r>
    </w:p>
    <w:p w14:paraId="4A9A4D19" w14:textId="77777777" w:rsidR="00362DFF" w:rsidRPr="00CF3ACD" w:rsidRDefault="00362DFF" w:rsidP="00362DFF">
      <w:pPr>
        <w:spacing w:after="120" w:line="276" w:lineRule="auto"/>
        <w:ind w:firstLine="708"/>
        <w:jc w:val="both"/>
        <w:rPr>
          <w:rFonts w:ascii="Verdana" w:eastAsia="Calibri" w:hAnsi="Verdana" w:cs="Arial"/>
          <w:color w:val="000000" w:themeColor="text1"/>
          <w:lang w:val="es-ES"/>
        </w:rPr>
      </w:pPr>
      <w:r w:rsidRPr="00CF3ACD">
        <w:rPr>
          <w:rFonts w:ascii="Verdana" w:eastAsia="Calibri" w:hAnsi="Verdana" w:cs="Arial"/>
          <w:color w:val="000000" w:themeColor="text1"/>
          <w:lang w:val="es-ES"/>
        </w:rPr>
        <w:t>En este cambio de paradigma, la función de las normas “antitrámites” –como la Ley 962 de 2005, el Decreto Ley 019 de 2012, así como el Decreto 2106 de 2019– ha sido decisiva. Pero no solo estas disposiciones han permitido o exigido el uso de medios electrónicos en las actuaciones administrativas. También lo han hecho la Ley 527 de 1999, la Ley 1150 de 2007 y la Ley 1437 de 2011.</w:t>
      </w:r>
    </w:p>
    <w:p w14:paraId="1C8C9D16" w14:textId="77777777" w:rsidR="00362DFF" w:rsidRPr="00CF3ACD" w:rsidRDefault="00362DFF" w:rsidP="00362DFF">
      <w:pPr>
        <w:spacing w:before="120" w:after="120" w:line="276" w:lineRule="auto"/>
        <w:ind w:firstLine="709"/>
        <w:jc w:val="both"/>
        <w:rPr>
          <w:rFonts w:ascii="Verdana" w:eastAsia="Calibri" w:hAnsi="Verdana" w:cs="Arial"/>
          <w:color w:val="000000" w:themeColor="text1"/>
          <w:lang w:val="es-ES_tradnl"/>
        </w:rPr>
      </w:pPr>
      <w:r w:rsidRPr="00CF3ACD">
        <w:rPr>
          <w:rFonts w:ascii="Verdana" w:eastAsia="Calibri" w:hAnsi="Verdana" w:cs="Arial"/>
          <w:color w:val="000000" w:themeColor="text1"/>
          <w:lang w:val="es-ES_tradnl"/>
        </w:rPr>
        <w:t xml:space="preserve">En efecto, </w:t>
      </w:r>
      <w:bookmarkStart w:id="1" w:name="_Hlk56157243"/>
      <w:r w:rsidRPr="00CF3ACD">
        <w:rPr>
          <w:rFonts w:ascii="Verdana" w:eastAsia="Calibri" w:hAnsi="Verdana" w:cs="Arial"/>
          <w:color w:val="000000" w:themeColor="text1"/>
          <w:lang w:val="es-ES_tradnl"/>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59732923" w14:textId="77777777" w:rsidR="00362DFF" w:rsidRPr="00CF3ACD" w:rsidRDefault="00362DFF" w:rsidP="00362DFF">
      <w:pPr>
        <w:spacing w:before="120" w:after="120" w:line="276" w:lineRule="auto"/>
        <w:ind w:firstLine="709"/>
        <w:jc w:val="both"/>
        <w:rPr>
          <w:rFonts w:ascii="Verdana" w:eastAsia="Calibri" w:hAnsi="Verdana" w:cs="Arial"/>
          <w:color w:val="000000" w:themeColor="text1"/>
          <w:lang w:val="es-ES"/>
        </w:rPr>
      </w:pPr>
      <w:r w:rsidRPr="00CF3ACD">
        <w:rPr>
          <w:rFonts w:ascii="Verdana" w:eastAsia="Calibri" w:hAnsi="Verdana" w:cs="Arial"/>
          <w:color w:val="000000" w:themeColor="text1"/>
          <w:lang w:val="es-ES"/>
        </w:rPr>
        <w:t xml:space="preserve">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–lit. a)– y “sistema de información” como “todo sistema utilizado para generar, enviar, recibir, archivar o procesar de alguna otra forma mensajes de datos” –lit. f)–. Bajo este entendido, las aplicaciones web, que posibilitan el envío de mensajes de datos escritos o audiovisuales, como </w:t>
      </w:r>
      <w:r w:rsidRPr="00CF3ACD">
        <w:rPr>
          <w:rFonts w:ascii="Verdana" w:eastAsia="Calibri" w:hAnsi="Verdana" w:cs="Arial"/>
          <w:i/>
          <w:iCs/>
          <w:color w:val="000000" w:themeColor="text1"/>
          <w:lang w:val="es-ES"/>
        </w:rPr>
        <w:t>Skype</w:t>
      </w:r>
      <w:r w:rsidRPr="00CF3ACD">
        <w:rPr>
          <w:rFonts w:ascii="Verdana" w:eastAsia="Calibri" w:hAnsi="Verdana" w:cs="Arial"/>
          <w:color w:val="000000" w:themeColor="text1"/>
          <w:lang w:val="es-ES"/>
        </w:rPr>
        <w:t xml:space="preserve">, </w:t>
      </w:r>
      <w:r w:rsidRPr="00CF3ACD">
        <w:rPr>
          <w:rFonts w:ascii="Verdana" w:eastAsia="Calibri" w:hAnsi="Verdana" w:cs="Arial"/>
          <w:i/>
          <w:iCs/>
          <w:color w:val="000000" w:themeColor="text1"/>
          <w:lang w:val="es-ES"/>
        </w:rPr>
        <w:t>Facetime</w:t>
      </w:r>
      <w:r w:rsidRPr="00CF3ACD">
        <w:rPr>
          <w:rFonts w:ascii="Verdana" w:eastAsia="Calibri" w:hAnsi="Verdana" w:cs="Arial"/>
          <w:color w:val="000000" w:themeColor="text1"/>
          <w:lang w:val="es-ES"/>
        </w:rPr>
        <w:t xml:space="preserve">, </w:t>
      </w:r>
      <w:r w:rsidRPr="00CF3ACD">
        <w:rPr>
          <w:rFonts w:ascii="Verdana" w:eastAsia="Calibri" w:hAnsi="Verdana" w:cs="Arial"/>
          <w:i/>
          <w:iCs/>
          <w:color w:val="000000" w:themeColor="text1"/>
          <w:lang w:val="es-ES"/>
        </w:rPr>
        <w:t>Whatsapp</w:t>
      </w:r>
      <w:r w:rsidRPr="00CF3ACD">
        <w:rPr>
          <w:rFonts w:ascii="Verdana" w:eastAsia="Calibri" w:hAnsi="Verdana" w:cs="Arial"/>
          <w:color w:val="000000" w:themeColor="text1"/>
          <w:lang w:val="es-ES"/>
        </w:rPr>
        <w:t xml:space="preserve">, </w:t>
      </w:r>
      <w:r w:rsidRPr="00CF3ACD">
        <w:rPr>
          <w:rFonts w:ascii="Verdana" w:eastAsia="Calibri" w:hAnsi="Verdana" w:cs="Arial"/>
          <w:i/>
          <w:iCs/>
          <w:color w:val="000000" w:themeColor="text1"/>
          <w:lang w:val="es-ES"/>
        </w:rPr>
        <w:t>Teams</w:t>
      </w:r>
      <w:r w:rsidRPr="00CF3ACD">
        <w:rPr>
          <w:rFonts w:ascii="Verdana" w:eastAsia="Calibri" w:hAnsi="Verdana" w:cs="Arial"/>
          <w:color w:val="000000" w:themeColor="text1"/>
          <w:lang w:val="es-ES"/>
        </w:rPr>
        <w:t>, entre otras, constituyen sistemas de información, permitidos por el legislador en las actuaciones administrativas.</w:t>
      </w:r>
    </w:p>
    <w:p w14:paraId="31FDFCE1" w14:textId="77777777" w:rsidR="00362DFF" w:rsidRPr="00CF3ACD" w:rsidRDefault="00362DFF" w:rsidP="00362DFF">
      <w:pPr>
        <w:spacing w:before="120" w:after="0" w:line="276" w:lineRule="auto"/>
        <w:ind w:firstLine="709"/>
        <w:jc w:val="both"/>
        <w:rPr>
          <w:rFonts w:ascii="Verdana" w:eastAsia="Calibri" w:hAnsi="Verdana" w:cs="Arial"/>
          <w:color w:val="000000" w:themeColor="text1"/>
          <w:lang w:val="es-ES_tradnl"/>
        </w:rPr>
      </w:pPr>
      <w:r w:rsidRPr="00CF3ACD">
        <w:rPr>
          <w:rFonts w:ascii="Verdana" w:eastAsia="Calibri" w:hAnsi="Verdana" w:cs="Arial"/>
          <w:color w:val="000000" w:themeColor="text1"/>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
      <w:r w:rsidRPr="00CF3ACD">
        <w:rPr>
          <w:rFonts w:ascii="Verdana" w:eastAsia="Calibri" w:hAnsi="Verdana" w:cs="Arial"/>
          <w:color w:val="000000" w:themeColor="text1"/>
          <w:lang w:val="es-ES_tradnl"/>
        </w:rPr>
        <w:t>. Así se infiere del artículo 3, el cual dispone lo siguiente:</w:t>
      </w:r>
    </w:p>
    <w:p w14:paraId="77DB236B" w14:textId="77777777" w:rsidR="00362DFF" w:rsidRPr="00CF3ACD" w:rsidRDefault="00362DFF" w:rsidP="00362DFF">
      <w:pPr>
        <w:spacing w:after="0"/>
        <w:ind w:left="709" w:right="709"/>
        <w:jc w:val="both"/>
        <w:rPr>
          <w:rFonts w:ascii="Verdana" w:eastAsia="Calibri" w:hAnsi="Verdana" w:cs="Arial"/>
          <w:color w:val="000000" w:themeColor="text1"/>
          <w:sz w:val="21"/>
          <w:szCs w:val="21"/>
          <w:lang w:val="es-ES_tradnl"/>
        </w:rPr>
      </w:pPr>
    </w:p>
    <w:p w14:paraId="2CEABE5A"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
        </w:rPr>
      </w:pPr>
      <w:bookmarkStart w:id="2" w:name="_Hlk56071452"/>
      <w:r w:rsidRPr="6990FE1C">
        <w:rPr>
          <w:rFonts w:ascii="Verdana" w:eastAsia="Calibri" w:hAnsi="Verdana" w:cs="Arial"/>
          <w:color w:val="000000" w:themeColor="text1"/>
          <w:sz w:val="21"/>
          <w:szCs w:val="21"/>
          <w:lang w:val="es-ES"/>
        </w:rPr>
        <w:t xml:space="preserve">“De conformidad con lo dispuesto en la Ley 527 de 1999, la sustanciación de las actuaciones, la expedición de los actos </w:t>
      </w:r>
      <w:r w:rsidRPr="6990FE1C">
        <w:rPr>
          <w:rFonts w:ascii="Verdana" w:eastAsia="Calibri" w:hAnsi="Verdana" w:cs="Arial"/>
          <w:color w:val="000000" w:themeColor="text1"/>
          <w:sz w:val="21"/>
          <w:szCs w:val="21"/>
          <w:lang w:val="es-ES"/>
        </w:rPr>
        <w:lastRenderedPageBreak/>
        <w:t>administrativos, los documentos, contratos y en general los actos derivados de la actividad precontractual y contractual, podrán tener lugar por medios electrónicos</w:t>
      </w:r>
      <w:bookmarkEnd w:id="2"/>
      <w:r w:rsidRPr="6990FE1C">
        <w:rPr>
          <w:rFonts w:ascii="Verdana" w:eastAsia="Calibri" w:hAnsi="Verdana" w:cs="Arial"/>
          <w:color w:val="000000" w:themeColor="text1"/>
          <w:sz w:val="21"/>
          <w:szCs w:val="21"/>
          <w:lang w:val="es-ES"/>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954D8C"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_tradnl"/>
        </w:rPr>
      </w:pPr>
      <w:r w:rsidRPr="00CF3ACD">
        <w:rPr>
          <w:rFonts w:ascii="Verdana" w:eastAsia="Calibri" w:hAnsi="Verdana" w:cs="Arial"/>
          <w:color w:val="000000" w:themeColor="text1"/>
          <w:sz w:val="21"/>
          <w:szCs w:val="21"/>
          <w:lang w:val="es-ES_tradnl"/>
        </w:rPr>
        <w:t>Lo anterior, sin perjuicio de las publicaciones previstas en el numeral 3 del artículo 30 de la Ley 80 de 1993.</w:t>
      </w:r>
    </w:p>
    <w:p w14:paraId="2ECCDF4F"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
        </w:rPr>
      </w:pPr>
      <w:r w:rsidRPr="00CF3ACD">
        <w:rPr>
          <w:rFonts w:ascii="Verdana" w:eastAsia="Calibri" w:hAnsi="Verdana" w:cs="Arial"/>
          <w:color w:val="000000" w:themeColor="text1"/>
          <w:sz w:val="21"/>
          <w:szCs w:val="21"/>
          <w:lang w:val="es-ES"/>
        </w:rPr>
        <w:t xml:space="preserve">Con el fin de materializar los objetivos a que se refiere el inciso anterior, el Gobierno Nacional desarrollará el </w:t>
      </w:r>
      <w:bookmarkStart w:id="3" w:name="_Hlk55988851"/>
      <w:r w:rsidRPr="00CF3ACD">
        <w:rPr>
          <w:rFonts w:ascii="Verdana" w:eastAsia="Calibri" w:hAnsi="Verdana" w:cs="Arial"/>
          <w:color w:val="000000" w:themeColor="text1"/>
          <w:sz w:val="21"/>
          <w:szCs w:val="21"/>
          <w:lang w:val="es-ES"/>
        </w:rPr>
        <w:t>Sistema Electrónico para la Contratación Pública</w:t>
      </w:r>
      <w:bookmarkEnd w:id="3"/>
      <w:r w:rsidRPr="00CF3ACD">
        <w:rPr>
          <w:rFonts w:ascii="Verdana" w:eastAsia="Calibri" w:hAnsi="Verdana" w:cs="Arial"/>
          <w:color w:val="000000" w:themeColor="text1"/>
          <w:sz w:val="21"/>
          <w:szCs w:val="21"/>
          <w:lang w:val="es-ES"/>
        </w:rPr>
        <w:t>, SECOP, el cual:</w:t>
      </w:r>
    </w:p>
    <w:p w14:paraId="049F9F50"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_tradnl"/>
        </w:rPr>
      </w:pPr>
      <w:r w:rsidRPr="00CF3ACD">
        <w:rPr>
          <w:rFonts w:ascii="Verdana" w:eastAsia="Calibri" w:hAnsi="Verdana"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7AAF69B8"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_tradnl"/>
        </w:rPr>
      </w:pPr>
      <w:r w:rsidRPr="00CF3ACD">
        <w:rPr>
          <w:rFonts w:ascii="Verdana" w:eastAsia="Calibri" w:hAnsi="Verdana" w:cs="Arial"/>
          <w:color w:val="000000" w:themeColor="text1"/>
          <w:sz w:val="21"/>
          <w:szCs w:val="21"/>
          <w:lang w:val="es-ES_tradnl"/>
        </w:rPr>
        <w:t>b) Servirá de punto único de ingreso de información y de generación de reportes para las entidades estatales y la ciudadanía;</w:t>
      </w:r>
    </w:p>
    <w:p w14:paraId="3677B7BF"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_tradnl"/>
        </w:rPr>
      </w:pPr>
      <w:r w:rsidRPr="00CF3ACD">
        <w:rPr>
          <w:rFonts w:ascii="Verdana" w:eastAsia="Calibri" w:hAnsi="Verdana"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29D0F6A0"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
        </w:rPr>
      </w:pPr>
      <w:r w:rsidRPr="00CF3ACD">
        <w:rPr>
          <w:rFonts w:ascii="Verdana" w:eastAsia="Calibri" w:hAnsi="Verdana" w:cs="Arial"/>
          <w:color w:val="000000" w:themeColor="text1"/>
          <w:sz w:val="21"/>
          <w:szCs w:val="21"/>
          <w:lang w:val="es-ES"/>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092229A" w14:textId="77777777" w:rsidR="00362DFF" w:rsidRPr="00CF3ACD" w:rsidRDefault="00362DFF" w:rsidP="00362DFF">
      <w:pPr>
        <w:spacing w:after="120" w:line="240" w:lineRule="auto"/>
        <w:ind w:left="709" w:right="709"/>
        <w:jc w:val="both"/>
        <w:rPr>
          <w:rFonts w:ascii="Verdana" w:eastAsia="Calibri" w:hAnsi="Verdana" w:cs="Arial"/>
          <w:color w:val="000000" w:themeColor="text1"/>
          <w:sz w:val="21"/>
          <w:szCs w:val="21"/>
          <w:lang w:val="es-ES"/>
        </w:rPr>
      </w:pPr>
      <w:r w:rsidRPr="00CF3ACD">
        <w:rPr>
          <w:rFonts w:ascii="Verdana" w:eastAsia="Calibri" w:hAnsi="Verdana" w:cs="Arial"/>
          <w:color w:val="000000" w:themeColor="text1"/>
          <w:sz w:val="21"/>
          <w:szCs w:val="21"/>
          <w:lang w:val="es-ES"/>
        </w:rPr>
        <w:t>PARÁGRAFO 1o. En ningún caso la administración del Secop supondrá la creación de una nueva entidad.</w:t>
      </w:r>
    </w:p>
    <w:p w14:paraId="11465CEB" w14:textId="77777777" w:rsidR="00362DFF" w:rsidRPr="00CF3ACD" w:rsidRDefault="00362DFF" w:rsidP="00362DFF">
      <w:pPr>
        <w:spacing w:after="0" w:line="240" w:lineRule="auto"/>
        <w:ind w:left="709" w:right="709"/>
        <w:jc w:val="both"/>
        <w:rPr>
          <w:rFonts w:ascii="Verdana" w:eastAsia="Calibri" w:hAnsi="Verdana" w:cs="Arial"/>
          <w:color w:val="000000" w:themeColor="text1"/>
          <w:sz w:val="21"/>
          <w:szCs w:val="21"/>
          <w:lang w:val="es-ES"/>
        </w:rPr>
      </w:pPr>
      <w:r w:rsidRPr="00CF3ACD">
        <w:rPr>
          <w:rFonts w:ascii="Verdana" w:eastAsia="Calibri" w:hAnsi="Verdana" w:cs="Arial"/>
          <w:color w:val="000000" w:themeColor="text1"/>
          <w:sz w:val="21"/>
          <w:szCs w:val="21"/>
          <w:lang w:val="es-ES"/>
        </w:rPr>
        <w:t>El Secop será administrado por el organismo que designe el Gobierno Nacional, sin perjuicio de la autonomía que respecto del SICE confiere la Ley 598 de 2000 a la Contraloría General de la República”.</w:t>
      </w:r>
    </w:p>
    <w:p w14:paraId="53675738" w14:textId="77777777" w:rsidR="00362DFF" w:rsidRPr="00CF3ACD" w:rsidRDefault="00362DFF" w:rsidP="00362DFF">
      <w:pPr>
        <w:spacing w:after="0" w:line="276" w:lineRule="auto"/>
        <w:ind w:firstLine="709"/>
        <w:jc w:val="both"/>
        <w:rPr>
          <w:rFonts w:ascii="Verdana" w:eastAsia="Calibri" w:hAnsi="Verdana" w:cs="Arial"/>
          <w:color w:val="000000" w:themeColor="text1"/>
          <w:szCs w:val="24"/>
          <w:lang w:val="es-ES_tradnl"/>
        </w:rPr>
      </w:pPr>
    </w:p>
    <w:p w14:paraId="3E89F3DC" w14:textId="77777777" w:rsidR="00362DFF" w:rsidRPr="00CF3ACD" w:rsidRDefault="00362DFF" w:rsidP="00362DFF">
      <w:pPr>
        <w:spacing w:after="120" w:line="276" w:lineRule="auto"/>
        <w:ind w:firstLine="708"/>
        <w:jc w:val="both"/>
        <w:rPr>
          <w:rFonts w:ascii="Verdana" w:eastAsia="Calibri" w:hAnsi="Verdana" w:cs="Arial"/>
          <w:color w:val="000000" w:themeColor="text1"/>
          <w:lang w:val="es-ES_tradnl"/>
        </w:rPr>
      </w:pPr>
      <w:bookmarkStart w:id="4" w:name="_Hlk56157422"/>
      <w:r w:rsidRPr="00CF3ACD">
        <w:rPr>
          <w:rFonts w:ascii="Verdana" w:eastAsia="Calibri" w:hAnsi="Verdana" w:cs="Arial"/>
          <w:color w:val="000000" w:themeColor="text1"/>
          <w:lang w:val="es-ES_tradnl"/>
        </w:rPr>
        <w:t>Como se observa, la norma citada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4"/>
      <w:r w:rsidRPr="00CF3ACD">
        <w:rPr>
          <w:rFonts w:ascii="Verdana" w:eastAsia="Calibri" w:hAnsi="Verdana" w:cs="Arial"/>
          <w:color w:val="000000" w:themeColor="text1"/>
          <w:lang w:val="es-ES_tradnl"/>
        </w:rPr>
        <w:t>.</w:t>
      </w:r>
    </w:p>
    <w:p w14:paraId="4D5D03B5" w14:textId="77777777" w:rsidR="00362DFF" w:rsidRPr="00CF3ACD" w:rsidRDefault="00362DFF" w:rsidP="00362DFF">
      <w:pPr>
        <w:spacing w:after="120" w:line="276" w:lineRule="auto"/>
        <w:ind w:firstLine="709"/>
        <w:jc w:val="both"/>
        <w:rPr>
          <w:rFonts w:ascii="Verdana" w:eastAsia="Calibri" w:hAnsi="Verdana" w:cs="Arial"/>
          <w:color w:val="000000" w:themeColor="text1"/>
          <w:lang w:val="es-ES_tradnl"/>
        </w:rPr>
      </w:pPr>
      <w:r w:rsidRPr="00CF3ACD">
        <w:rPr>
          <w:rFonts w:ascii="Verdana" w:eastAsia="Calibri" w:hAnsi="Verdana" w:cs="Arial"/>
          <w:color w:val="000000" w:themeColor="text1"/>
          <w:lang w:val="es-ES_tradnl"/>
        </w:rPr>
        <w:t xml:space="preserve">Incluso, la Ley 1437 de 2011, “Por la cual se expide el Código de Procedimiento Administrativo y de lo Contencioso Administrativo” continúan la </w:t>
      </w:r>
      <w:r w:rsidRPr="00CF3ACD">
        <w:rPr>
          <w:rFonts w:ascii="Verdana" w:eastAsia="Calibri" w:hAnsi="Verdana" w:cs="Arial"/>
          <w:color w:val="000000" w:themeColor="text1"/>
          <w:lang w:val="es-ES_tradnl"/>
        </w:rPr>
        <w:lastRenderedPageBreak/>
        <w:t xml:space="preserve">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046406DB" w14:textId="77777777" w:rsidR="00362DFF" w:rsidRPr="00CF3ACD" w:rsidRDefault="00362DFF" w:rsidP="00362DFF">
      <w:pPr>
        <w:spacing w:line="276" w:lineRule="auto"/>
        <w:ind w:firstLine="708"/>
        <w:jc w:val="both"/>
        <w:rPr>
          <w:rFonts w:ascii="Verdana" w:eastAsia="Calibri" w:hAnsi="Verdana" w:cs="Arial"/>
          <w:lang w:val="es-ES"/>
        </w:rPr>
      </w:pPr>
      <w:r w:rsidRPr="00CF3ACD">
        <w:rPr>
          <w:rFonts w:ascii="Verdana" w:eastAsia="Calibri" w:hAnsi="Verdana" w:cs="Arial"/>
          <w:color w:val="000000" w:themeColor="text1"/>
          <w:lang w:val="es-ES"/>
        </w:rPr>
        <w:t xml:space="preserve">Asimismo,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 </w:t>
      </w:r>
      <w:r w:rsidRPr="00CF3ACD">
        <w:rPr>
          <w:rFonts w:ascii="Verdana" w:eastAsia="Calibri" w:hAnsi="Verdana" w:cs="Arial"/>
          <w:lang w:val="es-ES"/>
        </w:rPr>
        <w:t>La utilización de los medios electrónicos regulados en la Ley 1437 de 2011 en la contratación estatal es posible, a partir de la remisión del artículo 77 de la Ley 80 de 1993 a las normas del CPACA</w:t>
      </w:r>
      <w:r w:rsidRPr="00CF3ACD">
        <w:rPr>
          <w:rStyle w:val="Refdenotaalpie"/>
          <w:rFonts w:ascii="Verdana" w:eastAsia="Calibri" w:hAnsi="Verdana" w:cs="Arial"/>
          <w:lang w:val="es-ES"/>
        </w:rPr>
        <w:footnoteReference w:id="1"/>
      </w:r>
      <w:r w:rsidRPr="00CF3ACD">
        <w:rPr>
          <w:rFonts w:ascii="Verdana" w:eastAsia="Calibri" w:hAnsi="Verdana" w:cs="Arial"/>
          <w:lang w:val="es-ES"/>
        </w:rPr>
        <w:t xml:space="preserve">, que, a su vez, como se indicó, remite a las disposiciones de la Ley 527 de 1999. </w:t>
      </w:r>
    </w:p>
    <w:p w14:paraId="0C67B9B5" w14:textId="77777777" w:rsidR="00362DFF" w:rsidRPr="00CF3ACD" w:rsidRDefault="00362DFF" w:rsidP="00362DFF">
      <w:pPr>
        <w:spacing w:after="120" w:line="276" w:lineRule="auto"/>
        <w:ind w:firstLine="708"/>
        <w:jc w:val="both"/>
        <w:rPr>
          <w:rFonts w:ascii="Verdana" w:eastAsia="Calibri" w:hAnsi="Verdana" w:cs="Arial"/>
          <w:lang w:val="es-ES_tradnl"/>
        </w:rPr>
      </w:pPr>
      <w:r w:rsidRPr="00CF3ACD">
        <w:rPr>
          <w:rFonts w:ascii="Verdana" w:eastAsia="Calibri" w:hAnsi="Verdana" w:cs="Arial"/>
          <w:lang w:val="es-ES_tradnl"/>
        </w:rPr>
        <w:t xml:space="preserve">Concretamente, el precitado artículo 3 de la Ley 1150 de 2007 crea </w:t>
      </w:r>
      <w:bookmarkStart w:id="5" w:name="_Hlk56073112"/>
      <w:r w:rsidRPr="00CF3ACD">
        <w:rPr>
          <w:rFonts w:ascii="Verdana" w:eastAsia="Calibri" w:hAnsi="Verdana" w:cs="Arial"/>
          <w:lang w:val="es-ES_tradnl"/>
        </w:rPr>
        <w:t>el Sistema Electrónico para la Contratación Pública</w:t>
      </w:r>
      <w:bookmarkEnd w:id="5"/>
      <w:r w:rsidRPr="00CF3ACD">
        <w:rPr>
          <w:rFonts w:ascii="Verdana" w:eastAsia="Calibri" w:hAnsi="Verdana" w:cs="Arial"/>
          <w:lang w:val="es-ES_tradnl"/>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w:t>
      </w:r>
      <w:r w:rsidRPr="00CF3ACD">
        <w:rPr>
          <w:rFonts w:ascii="Verdana" w:eastAsia="Calibri" w:hAnsi="Verdana" w:cs="Arial"/>
          <w:lang w:val="es-ES_tradnl"/>
        </w:rPr>
        <w:lastRenderedPageBreak/>
        <w:t xml:space="preserve">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024C066F" w14:textId="77777777" w:rsidR="00362DFF" w:rsidRPr="00CF3ACD" w:rsidRDefault="00362DFF" w:rsidP="00362DFF">
      <w:pPr>
        <w:spacing w:before="120" w:after="120" w:line="276" w:lineRule="auto"/>
        <w:jc w:val="both"/>
        <w:rPr>
          <w:rFonts w:ascii="Verdana" w:eastAsia="Calibri" w:hAnsi="Verdana" w:cs="Arial"/>
          <w:bCs/>
          <w:color w:val="000000" w:themeColor="text1"/>
          <w:lang w:val="es-ES_tradnl"/>
        </w:rPr>
      </w:pPr>
      <w:r w:rsidRPr="00CF3ACD">
        <w:rPr>
          <w:rFonts w:ascii="Verdana" w:eastAsia="Calibri" w:hAnsi="Verdana" w:cs="Arial"/>
          <w:lang w:val="es-ES_tradnl"/>
        </w:rPr>
        <w:tab/>
        <w:t xml:space="preserve">El numeral 1.2 </w:t>
      </w:r>
      <w:r w:rsidRPr="00CF3ACD">
        <w:rPr>
          <w:rFonts w:ascii="Verdana" w:eastAsia="Calibri" w:hAnsi="Verdana" w:cs="Arial"/>
        </w:rPr>
        <w:t>de la Circular Externa Única de la Agencia Nacional de Contratación Pública – Colombia Compra Eficiente dispone que el Sistema Electrónico para la Contratación Pública</w:t>
      </w:r>
      <w:r w:rsidRPr="00CF3ACD">
        <w:rPr>
          <w:rFonts w:ascii="Verdana" w:eastAsia="Calibri" w:hAnsi="Verdana" w:cs="Arial"/>
          <w:lang w:val="es-ES_tradnl"/>
        </w:rPr>
        <w:t xml:space="preserve"> está compuesto por el SECOP I, el SECOP II y la Tienda Virtual del Estado Colombiano. Conforme a lo explicado en el párrafo precedente</w:t>
      </w:r>
      <w:r w:rsidRPr="00CF3ACD">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399F9436" w14:textId="77777777" w:rsidR="00362DFF" w:rsidRPr="00CF3ACD" w:rsidRDefault="00362DFF" w:rsidP="00362DFF">
      <w:pPr>
        <w:spacing w:after="120" w:line="276" w:lineRule="auto"/>
        <w:ind w:firstLine="708"/>
        <w:jc w:val="both"/>
        <w:rPr>
          <w:rFonts w:ascii="Verdana" w:eastAsia="Calibri" w:hAnsi="Verdana" w:cs="Arial"/>
          <w:color w:val="000000" w:themeColor="text1"/>
          <w:lang w:val="es-ES"/>
        </w:rPr>
      </w:pPr>
      <w:r w:rsidRPr="00CF3ACD">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3A05A4D3" w14:textId="77777777" w:rsidR="00362DFF" w:rsidRPr="00CF3ACD" w:rsidRDefault="00362DFF" w:rsidP="00362DFF">
      <w:pPr>
        <w:widowControl w:val="0"/>
        <w:tabs>
          <w:tab w:val="left" w:pos="728"/>
        </w:tabs>
        <w:autoSpaceDE w:val="0"/>
        <w:autoSpaceDN w:val="0"/>
        <w:spacing w:after="120" w:line="276" w:lineRule="auto"/>
        <w:jc w:val="both"/>
        <w:rPr>
          <w:rFonts w:ascii="Verdana" w:eastAsia="Arial" w:hAnsi="Verdana" w:cs="Arial"/>
          <w:lang w:val="es-ES"/>
        </w:rPr>
      </w:pPr>
      <w:r w:rsidRPr="00CF3ACD">
        <w:rPr>
          <w:rFonts w:ascii="Verdana" w:eastAsia="Arial" w:hAnsi="Verdana" w:cs="Arial"/>
          <w:lang w:val="es-ES"/>
        </w:rPr>
        <w:tab/>
        <w:t xml:space="preserve">Ambas plataformas contribuyen a la concreción del principio de publicidad. Dicho principio impone a las autoridades administrativas el deber de dar a conocer sus actos, contratos y decisiones, para que se divulguen y eventualmente se controlen las actuaciones. Por lo demás, la Ley 1712 de 2014 identifica como principios que orientan el acceso a la información pública el de </w:t>
      </w:r>
      <w:r w:rsidRPr="00CF3ACD">
        <w:rPr>
          <w:rFonts w:ascii="Verdana" w:eastAsia="Arial" w:hAnsi="Verdana" w:cs="Arial"/>
          <w:lang w:val="es-ES"/>
        </w:rPr>
        <w:lastRenderedPageBreak/>
        <w:t xml:space="preserve">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05910EE5" w14:textId="77777777" w:rsidR="00362DFF" w:rsidRPr="00CF3ACD" w:rsidRDefault="00362DFF" w:rsidP="00362DFF">
      <w:pPr>
        <w:widowControl w:val="0"/>
        <w:tabs>
          <w:tab w:val="left" w:pos="728"/>
        </w:tabs>
        <w:autoSpaceDE w:val="0"/>
        <w:autoSpaceDN w:val="0"/>
        <w:spacing w:after="120" w:line="276" w:lineRule="auto"/>
        <w:jc w:val="both"/>
        <w:rPr>
          <w:rFonts w:ascii="Verdana" w:eastAsia="Arial" w:hAnsi="Verdana" w:cs="Arial"/>
          <w:lang w:val="es-ES"/>
        </w:rPr>
      </w:pPr>
      <w:r w:rsidRPr="00CF3ACD">
        <w:rPr>
          <w:rFonts w:ascii="Verdana" w:eastAsia="Arial" w:hAnsi="Verdana" w:cs="Arial"/>
          <w:lang w:val="es-ES"/>
        </w:rPr>
        <w:tab/>
        <w:t>La ley citada dispone, en el literal e) del artículo 9, que los sujetos obligados, que son todas las entidades públicas</w:t>
      </w:r>
      <w:r w:rsidRPr="00CF3ACD">
        <w:rPr>
          <w:rFonts w:ascii="Verdana" w:eastAsia="Arial" w:hAnsi="Verdana" w:cs="Arial"/>
          <w:vertAlign w:val="superscript"/>
          <w:lang w:val="es-ES"/>
        </w:rPr>
        <w:footnoteReference w:id="2"/>
      </w:r>
      <w:r w:rsidRPr="00CF3ACD">
        <w:rPr>
          <w:rFonts w:ascii="Verdana" w:eastAsia="Arial" w:hAnsi="Verdana" w:cs="Arial"/>
          <w:lang w:val="es-ES"/>
        </w:rPr>
        <w:t>, deben publicar la información relativa a su contratación.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CF3ACD">
        <w:rPr>
          <w:rFonts w:ascii="Verdana" w:eastAsia="Arial" w:hAnsi="Verdana" w:cs="Arial"/>
          <w:vertAlign w:val="superscript"/>
          <w:lang w:val="es-ES"/>
        </w:rPr>
        <w:footnoteReference w:id="3"/>
      </w:r>
      <w:r w:rsidRPr="00CF3ACD">
        <w:rPr>
          <w:rFonts w:ascii="Verdana" w:eastAsia="Arial" w:hAnsi="Verdana" w:cs="Arial"/>
          <w:lang w:val="es-ES"/>
        </w:rPr>
        <w:t>.</w:t>
      </w:r>
    </w:p>
    <w:p w14:paraId="28F50B4F" w14:textId="77777777" w:rsidR="00362DFF" w:rsidRPr="00CF3ACD" w:rsidRDefault="00362DFF" w:rsidP="00362DFF">
      <w:pPr>
        <w:widowControl w:val="0"/>
        <w:tabs>
          <w:tab w:val="left" w:pos="728"/>
        </w:tabs>
        <w:autoSpaceDE w:val="0"/>
        <w:autoSpaceDN w:val="0"/>
        <w:spacing w:after="120" w:line="276" w:lineRule="auto"/>
        <w:jc w:val="both"/>
        <w:rPr>
          <w:rFonts w:ascii="Verdana" w:eastAsia="Arial" w:hAnsi="Verdana" w:cs="Arial"/>
          <w:lang w:val="es-ES"/>
        </w:rPr>
      </w:pPr>
      <w:r w:rsidRPr="00CF3ACD">
        <w:rPr>
          <w:rFonts w:ascii="Verdana" w:eastAsia="Arial" w:hAnsi="Verdana"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BBF9E4E" w14:textId="77777777" w:rsidR="00362DFF" w:rsidRPr="00CF3ACD" w:rsidRDefault="00362DFF" w:rsidP="00362DFF">
      <w:pPr>
        <w:widowControl w:val="0"/>
        <w:tabs>
          <w:tab w:val="left" w:pos="728"/>
        </w:tabs>
        <w:autoSpaceDE w:val="0"/>
        <w:autoSpaceDN w:val="0"/>
        <w:spacing w:after="120" w:line="276" w:lineRule="auto"/>
        <w:jc w:val="both"/>
        <w:rPr>
          <w:rFonts w:ascii="Verdana" w:hAnsi="Verdana" w:cs="Arial"/>
          <w:lang w:val="es-ES"/>
        </w:rPr>
      </w:pPr>
      <w:r w:rsidRPr="00CF3ACD">
        <w:rPr>
          <w:rFonts w:ascii="Verdana" w:eastAsia="Arial" w:hAnsi="Verdana" w:cs="Arial"/>
          <w:lang w:val="es-ES"/>
        </w:rPr>
        <w:tab/>
      </w:r>
      <w:r w:rsidRPr="00CF3ACD">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CF3ACD">
        <w:rPr>
          <w:rFonts w:ascii="Verdana" w:hAnsi="Verdana" w:cs="Arial"/>
          <w:vertAlign w:val="superscript"/>
          <w:lang w:val="es-ES"/>
        </w:rPr>
        <w:footnoteReference w:id="4"/>
      </w:r>
      <w:r w:rsidRPr="00CF3ACD">
        <w:rPr>
          <w:rFonts w:ascii="Verdana" w:hAnsi="Verdana" w:cs="Arial"/>
          <w:lang w:val="es-ES"/>
        </w:rPr>
        <w:t xml:space="preserve">. De acuerdo con esto, las entidades deben cumplir con el </w:t>
      </w:r>
      <w:r w:rsidRPr="00CF3ACD">
        <w:rPr>
          <w:rFonts w:ascii="Verdana" w:hAnsi="Verdana" w:cs="Arial"/>
          <w:lang w:val="es-ES"/>
        </w:rPr>
        <w:lastRenderedPageBreak/>
        <w:t xml:space="preserve">principio de publicidad respecto de su actividad contractual como garantía para los administrados, para conocer las actuaciones y participar en el control de estas, siendo el SECOP la herramienta que dispuso el Estado para que las entidades cumplan el </w:t>
      </w:r>
      <w:r>
        <w:rPr>
          <w:rFonts w:ascii="Verdana" w:hAnsi="Verdana" w:cs="Arial"/>
          <w:lang w:val="es-ES"/>
        </w:rPr>
        <w:t xml:space="preserve">referido </w:t>
      </w:r>
      <w:r w:rsidRPr="00CF3ACD">
        <w:rPr>
          <w:rFonts w:ascii="Verdana" w:hAnsi="Verdana" w:cs="Arial"/>
          <w:lang w:val="es-ES"/>
        </w:rPr>
        <w:t>principio.</w:t>
      </w:r>
    </w:p>
    <w:p w14:paraId="6128F08C" w14:textId="77777777" w:rsidR="00362DFF" w:rsidRPr="00CF3ACD" w:rsidRDefault="00362DFF" w:rsidP="00362DFF">
      <w:pPr>
        <w:widowControl w:val="0"/>
        <w:tabs>
          <w:tab w:val="left" w:pos="728"/>
        </w:tabs>
        <w:autoSpaceDE w:val="0"/>
        <w:autoSpaceDN w:val="0"/>
        <w:spacing w:after="120" w:line="276" w:lineRule="auto"/>
        <w:jc w:val="both"/>
        <w:rPr>
          <w:rFonts w:ascii="Verdana" w:hAnsi="Verdana" w:cs="Arial"/>
          <w:lang w:val="es-ES"/>
        </w:rPr>
      </w:pPr>
      <w:r w:rsidRPr="00CF3ACD">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AA11F5F" w14:textId="77777777" w:rsidR="00362DFF" w:rsidRPr="00CF3ACD" w:rsidRDefault="00362DFF" w:rsidP="00362DFF">
      <w:pPr>
        <w:widowControl w:val="0"/>
        <w:autoSpaceDE w:val="0"/>
        <w:autoSpaceDN w:val="0"/>
        <w:spacing w:after="120" w:line="276" w:lineRule="auto"/>
        <w:ind w:firstLine="709"/>
        <w:jc w:val="both"/>
        <w:rPr>
          <w:rFonts w:ascii="Verdana" w:eastAsia="Arial" w:hAnsi="Verdana" w:cs="Arial"/>
          <w:lang w:val="es-ES"/>
        </w:rPr>
      </w:pPr>
      <w:r w:rsidRPr="00CF3ACD">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sidRPr="00CF3ACD">
        <w:rPr>
          <w:rFonts w:ascii="Verdana" w:eastAsia="Arial" w:hAnsi="Verdana" w:cs="Arial"/>
          <w:i/>
          <w:iCs/>
          <w:lang w:val="es-ES"/>
        </w:rPr>
        <w:t>Ibídem</w:t>
      </w:r>
      <w:r w:rsidRPr="00CF3ACD">
        <w:rPr>
          <w:rFonts w:ascii="Verdana" w:eastAsia="Arial" w:hAnsi="Verdana" w:cs="Arial"/>
          <w:lang w:val="es-ES"/>
        </w:rPr>
        <w:t xml:space="preserve"> recoge en la noción de </w:t>
      </w:r>
      <w:r w:rsidRPr="00CF3ACD">
        <w:rPr>
          <w:rFonts w:ascii="Verdana" w:eastAsia="Arial" w:hAnsi="Verdana" w:cs="Arial"/>
          <w:i/>
          <w:iCs/>
          <w:lang w:val="es-ES"/>
        </w:rPr>
        <w:t>Documentos del Proceso</w:t>
      </w:r>
      <w:r w:rsidRPr="00CF3ACD">
        <w:rPr>
          <w:rFonts w:ascii="Verdana" w:eastAsia="Arial" w:hAnsi="Verdana" w:cs="Arial"/>
          <w:lang w:val="es-ES"/>
        </w:rPr>
        <w:t xml:space="preserve"> “cualquier otro documento expedido por la Entidad Estatal durante el </w:t>
      </w:r>
      <w:r w:rsidRPr="00CF3ACD">
        <w:rPr>
          <w:rFonts w:ascii="Verdana" w:eastAsia="Arial" w:hAnsi="Verdana" w:cs="Arial"/>
          <w:i/>
          <w:iCs/>
          <w:lang w:val="es-ES"/>
        </w:rPr>
        <w:t>Proceso de Contratación”</w:t>
      </w:r>
      <w:r w:rsidRPr="00CF3ACD">
        <w:rPr>
          <w:rFonts w:ascii="Verdana" w:eastAsia="Arial" w:hAnsi="Verdana" w:cs="Arial"/>
          <w:lang w:val="es-ES"/>
        </w:rPr>
        <w:t xml:space="preserve">. Este mismo artículo define la expresión </w:t>
      </w:r>
      <w:r w:rsidRPr="00CF3ACD">
        <w:rPr>
          <w:rFonts w:ascii="Verdana" w:eastAsia="Arial" w:hAnsi="Verdana" w:cs="Arial"/>
          <w:i/>
          <w:iCs/>
          <w:lang w:val="es-ES"/>
        </w:rPr>
        <w:t>Proceso de Contratación</w:t>
      </w:r>
      <w:r w:rsidRPr="00CF3ACD">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23D6AAA" w14:textId="77777777" w:rsidR="00362DFF" w:rsidRPr="00CF3ACD" w:rsidRDefault="00362DFF" w:rsidP="00362DFF">
      <w:pPr>
        <w:widowControl w:val="0"/>
        <w:autoSpaceDE w:val="0"/>
        <w:autoSpaceDN w:val="0"/>
        <w:spacing w:after="120" w:line="276" w:lineRule="auto"/>
        <w:ind w:firstLine="708"/>
        <w:jc w:val="both"/>
        <w:rPr>
          <w:rFonts w:ascii="Verdana" w:eastAsia="Arial" w:hAnsi="Verdana" w:cs="Arial"/>
          <w:lang w:val="es-ES"/>
        </w:rPr>
      </w:pPr>
      <w:r w:rsidRPr="3C9966CE">
        <w:rPr>
          <w:rFonts w:ascii="Verdana" w:eastAsia="Arial" w:hAnsi="Verdana" w:cs="Arial"/>
          <w:lang w:val="es-ES"/>
        </w:rPr>
        <w:t xml:space="preserve">En todo caso, de conformidad con la segunda parte del inciso primero del artículo 2.2.1.1.1.7.1 </w:t>
      </w:r>
      <w:r w:rsidRPr="3C9966CE">
        <w:rPr>
          <w:rFonts w:ascii="Verdana" w:eastAsia="Arial" w:hAnsi="Verdana" w:cs="Arial"/>
          <w:i/>
          <w:iCs/>
          <w:lang w:val="es-ES"/>
        </w:rPr>
        <w:t>Ibidem</w:t>
      </w:r>
      <w:r w:rsidRPr="3C9966C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3C9966CE">
        <w:rPr>
          <w:rFonts w:ascii="Verdana" w:eastAsia="Arial" w:hAnsi="Verdana" w:cs="Arial"/>
          <w:i/>
          <w:iCs/>
          <w:lang w:val="es-ES"/>
        </w:rPr>
        <w:t xml:space="preserve"> </w:t>
      </w:r>
      <w:r w:rsidRPr="3C9966C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5931A5A4" w14:textId="77777777" w:rsidR="00362DFF" w:rsidRPr="00CF3ACD" w:rsidRDefault="00362DFF" w:rsidP="00362DFF">
      <w:pPr>
        <w:widowControl w:val="0"/>
        <w:autoSpaceDE w:val="0"/>
        <w:autoSpaceDN w:val="0"/>
        <w:spacing w:after="120" w:line="276" w:lineRule="auto"/>
        <w:ind w:firstLine="709"/>
        <w:jc w:val="both"/>
        <w:rPr>
          <w:rFonts w:ascii="Verdana" w:eastAsia="Arial" w:hAnsi="Verdana" w:cs="Arial"/>
          <w:lang w:val="es-ES"/>
        </w:rPr>
      </w:pPr>
      <w:r w:rsidRPr="3C9966CE">
        <w:rPr>
          <w:rFonts w:ascii="Verdana" w:eastAsia="Arial" w:hAnsi="Verdana" w:cs="Arial"/>
          <w:lang w:val="es-ES"/>
        </w:rPr>
        <w:t xml:space="preserve">De lo anterior puede concluirse que, </w:t>
      </w:r>
      <w:bookmarkStart w:id="6" w:name="_Hlk134529941"/>
      <w:r w:rsidRPr="3C9966CE">
        <w:rPr>
          <w:rFonts w:ascii="Verdana" w:eastAsia="Arial" w:hAnsi="Verdana" w:cs="Arial"/>
          <w:lang w:val="es-ES"/>
        </w:rPr>
        <w:t xml:space="preserve">en virtud de lo dispuesto en el artículo 3 de la Ley 1150 de 2007, desarrollado por el artículo 2.2.1.1.1.7.1. del Decreto </w:t>
      </w:r>
      <w:r w:rsidRPr="3C9966CE">
        <w:rPr>
          <w:rFonts w:ascii="Verdana" w:eastAsia="Arial" w:hAnsi="Verdana" w:cs="Arial"/>
          <w:lang w:val="es-ES"/>
        </w:rPr>
        <w:lastRenderedPageBreak/>
        <w:t xml:space="preserve">1082 de 2015, las entidades están obligadas a publicar en el SECOP todos los documentos relacionados con el </w:t>
      </w:r>
      <w:r w:rsidRPr="3C9966CE">
        <w:rPr>
          <w:rFonts w:ascii="Verdana" w:eastAsia="Arial" w:hAnsi="Verdana" w:cs="Arial"/>
          <w:i/>
          <w:iCs/>
          <w:lang w:val="es-ES"/>
        </w:rPr>
        <w:t>Proceso de Contratación</w:t>
      </w:r>
      <w:r w:rsidRPr="3C9966CE">
        <w:rPr>
          <w:rFonts w:ascii="Verdana" w:eastAsia="Arial" w:hAnsi="Verdana" w:cs="Arial"/>
          <w:lang w:val="es-ES"/>
        </w:rPr>
        <w:t xml:space="preserve"> expedidos durante las etapas precontractual, de ejecución y post-contractual.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60AC7305" w14:textId="77777777" w:rsidR="00362DFF" w:rsidRPr="00CF3ACD" w:rsidRDefault="00362DFF" w:rsidP="00362DFF">
      <w:pPr>
        <w:spacing w:before="120" w:after="120" w:line="276" w:lineRule="auto"/>
        <w:ind w:firstLine="709"/>
        <w:jc w:val="both"/>
        <w:rPr>
          <w:rFonts w:ascii="Verdana" w:eastAsia="Calibri" w:hAnsi="Verdana" w:cs="Arial"/>
          <w:lang w:val="es-ES"/>
        </w:rPr>
      </w:pPr>
      <w:r w:rsidRPr="00CF3ACD">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CF3ACD">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CF3ACD">
        <w:rPr>
          <w:rFonts w:ascii="Verdana" w:eastAsia="Arial" w:hAnsi="Verdana" w:cs="Arial"/>
          <w:i/>
          <w:iCs/>
          <w:lang w:val="es-ES"/>
        </w:rPr>
        <w:t xml:space="preserve">Documentos del Proceso </w:t>
      </w:r>
      <w:r w:rsidRPr="00CF3ACD">
        <w:rPr>
          <w:rFonts w:ascii="Verdana" w:eastAsia="Arial" w:hAnsi="Verdana" w:cs="Arial"/>
          <w:lang w:val="es-ES"/>
        </w:rPr>
        <w:t>expedidos por la “entidad estatal”.</w:t>
      </w:r>
    </w:p>
    <w:p w14:paraId="52C57CFA" w14:textId="77777777" w:rsidR="00362DFF" w:rsidRPr="00CF3ACD" w:rsidRDefault="00362DFF" w:rsidP="00362DFF">
      <w:pPr>
        <w:spacing w:after="120" w:line="276" w:lineRule="auto"/>
        <w:ind w:firstLine="708"/>
        <w:jc w:val="both"/>
        <w:rPr>
          <w:rFonts w:ascii="Verdana" w:eastAsia="Calibri" w:hAnsi="Verdana" w:cs="Arial"/>
          <w:bCs/>
          <w:color w:val="000000" w:themeColor="text1"/>
          <w:lang w:val="es-ES_tradnl"/>
        </w:rPr>
      </w:pPr>
      <w:r w:rsidRPr="00CF3ACD">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CF3ACD">
        <w:rPr>
          <w:rFonts w:ascii="Verdana" w:eastAsia="Calibri" w:hAnsi="Verdana" w:cs="Arial"/>
          <w:i/>
          <w:iCs/>
          <w:lang w:val="es-ES"/>
        </w:rPr>
        <w:t>Documentos del Proceso</w:t>
      </w:r>
      <w:r w:rsidRPr="00CF3ACD">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r w:rsidRPr="00CF3ACD">
        <w:rPr>
          <w:rFonts w:ascii="Verdana" w:eastAsia="Calibri" w:hAnsi="Verdana" w:cs="Arial"/>
          <w:bCs/>
          <w:color w:val="000000" w:themeColor="text1"/>
          <w:lang w:val="es-ES_tradnl"/>
        </w:rPr>
        <w:t xml:space="preserve">  </w:t>
      </w:r>
    </w:p>
    <w:bookmarkEnd w:id="6"/>
    <w:p w14:paraId="7D586DD1" w14:textId="77777777" w:rsidR="00362DFF" w:rsidRPr="00CF3ACD" w:rsidRDefault="00362DFF" w:rsidP="00362DFF">
      <w:pPr>
        <w:widowControl w:val="0"/>
        <w:autoSpaceDE w:val="0"/>
        <w:autoSpaceDN w:val="0"/>
        <w:spacing w:after="120" w:line="276" w:lineRule="auto"/>
        <w:ind w:firstLine="709"/>
        <w:jc w:val="both"/>
        <w:rPr>
          <w:rFonts w:ascii="Verdana" w:hAnsi="Verdana" w:cs="Arial"/>
          <w:lang w:val="es-MX"/>
        </w:rPr>
      </w:pPr>
      <w:r w:rsidRPr="00CF3ACD">
        <w:rPr>
          <w:rFonts w:ascii="Verdana" w:eastAsia="Arial" w:hAnsi="Verdana" w:cs="Arial"/>
          <w:lang w:val="es-ES"/>
        </w:rPr>
        <w:t xml:space="preserve">Conforme a esto, las entidades estarán obligadas a publicar todos los documentos que se produzcan en el marco del </w:t>
      </w:r>
      <w:r w:rsidRPr="3C9966CE">
        <w:rPr>
          <w:rFonts w:ascii="Verdana" w:eastAsia="Arial" w:hAnsi="Verdana" w:cs="Arial"/>
          <w:i/>
          <w:iCs/>
          <w:lang w:val="es-ES"/>
        </w:rPr>
        <w:t>Proceso de Contratación</w:t>
      </w:r>
      <w:r w:rsidRPr="00CF3ACD">
        <w:rPr>
          <w:rFonts w:ascii="Verdana" w:eastAsia="Arial" w:hAnsi="Verdana" w:cs="Arial"/>
          <w:lang w:val="es-ES"/>
        </w:rPr>
        <w:t xml:space="preserve">, de conformidad con las normas que regulan la respectiva modalidad de selección. En este sentido, resulta necesario precisar que, en lo que tiene que ver con la modalidad de selección de contratación directa, </w:t>
      </w:r>
      <w:bookmarkStart w:id="7" w:name="_Hlk48034832"/>
      <w:r w:rsidRPr="00CF3ACD">
        <w:rPr>
          <w:rFonts w:ascii="Verdana" w:eastAsia="Arial" w:hAnsi="Verdana" w:cs="Arial"/>
          <w:lang w:val="es-ES"/>
        </w:rPr>
        <w:t xml:space="preserve">en virtud de lo dispuesto en el artículo </w:t>
      </w:r>
      <w:r w:rsidRPr="00CF3ACD">
        <w:rPr>
          <w:rFonts w:ascii="Verdana" w:hAnsi="Verdana" w:cs="Arial"/>
          <w:b/>
          <w:bCs/>
          <w:vertAlign w:val="superscript"/>
          <w:lang w:val="es-MX"/>
        </w:rPr>
        <w:footnoteReference w:id="5"/>
      </w:r>
      <w:r w:rsidRPr="00CF3ACD">
        <w:rPr>
          <w:rFonts w:ascii="Verdana" w:hAnsi="Verdana" w:cs="Arial"/>
          <w:lang w:val="es-MX"/>
        </w:rPr>
        <w:t>, las entidades no están obligadas a publicar los estudios y documentos previos relacionados con: i) la contratación de empréstitos, ii</w:t>
      </w:r>
      <w:r w:rsidRPr="3C9966CE">
        <w:rPr>
          <w:rFonts w:ascii="Verdana" w:hAnsi="Verdana" w:cs="Arial"/>
          <w:lang w:val="es-MX"/>
        </w:rPr>
        <w:t>) los contratos</w:t>
      </w:r>
      <w:r w:rsidRPr="3C9966CE">
        <w:rPr>
          <w:rFonts w:ascii="Verdana" w:hAnsi="Verdana" w:cs="Arial"/>
          <w:b/>
          <w:bCs/>
          <w:lang w:val="es-MX"/>
        </w:rPr>
        <w:t xml:space="preserve"> </w:t>
      </w:r>
      <w:r w:rsidRPr="00CF3ACD">
        <w:rPr>
          <w:rFonts w:ascii="Verdana" w:hAnsi="Verdana" w:cs="Arial"/>
          <w:lang w:val="es-MX"/>
        </w:rPr>
        <w:lastRenderedPageBreak/>
        <w:t>interadministrativos que celebre el Ministerio de Hacienda y Crédito Público con el Banco de la República, y iii) los</w:t>
      </w:r>
      <w:bookmarkEnd w:id="7"/>
      <w:r w:rsidRPr="3C9966CE">
        <w:rPr>
          <w:rFonts w:ascii="Verdana" w:hAnsi="Verdana" w:cs="Arial"/>
          <w:vertAlign w:val="superscript"/>
          <w:lang w:val="es-MX"/>
        </w:rPr>
        <w:footnoteReference w:id="6"/>
      </w:r>
      <w:r w:rsidRPr="3C9966CE">
        <w:rPr>
          <w:rFonts w:ascii="Verdana" w:hAnsi="Verdana" w:cs="Arial"/>
          <w:lang w:val="es-MX"/>
        </w:rPr>
        <w:t>.</w:t>
      </w:r>
    </w:p>
    <w:p w14:paraId="4479D373" w14:textId="77777777" w:rsidR="00362DFF" w:rsidRDefault="00362DFF" w:rsidP="00362DFF">
      <w:pPr>
        <w:widowControl w:val="0"/>
        <w:autoSpaceDE w:val="0"/>
        <w:autoSpaceDN w:val="0"/>
        <w:spacing w:after="120" w:line="276" w:lineRule="auto"/>
        <w:ind w:firstLine="709"/>
        <w:jc w:val="both"/>
        <w:rPr>
          <w:rFonts w:ascii="Verdana" w:hAnsi="Verdana" w:cs="Arial"/>
          <w:lang w:val="es-MX"/>
        </w:rPr>
      </w:pPr>
      <w:r w:rsidRPr="3C9966CE">
        <w:rPr>
          <w:rFonts w:ascii="Verdana" w:hAnsi="Verdana" w:cs="Arial"/>
          <w:i/>
          <w:iCs/>
          <w:lang w:val="es-MX"/>
        </w:rPr>
        <w:t>Respecto al objeto de la consulta</w:t>
      </w:r>
      <w:r w:rsidRPr="3C9966CE">
        <w:rPr>
          <w:rFonts w:ascii="Verdana" w:hAnsi="Verdana" w:cs="Arial"/>
          <w:lang w:val="es-MX"/>
        </w:rPr>
        <w:t xml:space="preserve">, en la que usted pretende que esta Agencia establezca desde </w:t>
      </w:r>
      <w:r w:rsidRPr="3C9966CE">
        <w:rPr>
          <w:rFonts w:ascii="Verdana" w:eastAsia="Century Gothic" w:hAnsi="Verdana" w:cs="Century Gothic"/>
        </w:rPr>
        <w:t xml:space="preserve">qué momento debe contabilizarse el término de tres (3) días hábiles para registrar en la plataforma SECOP II los documentos contractuales relacionados con el pago —como el acta de pago y el informe de supervisión— se advierte que, </w:t>
      </w:r>
      <w:r w:rsidRPr="3C9966CE">
        <w:rPr>
          <w:rFonts w:ascii="Verdana" w:hAnsi="Verdana" w:cs="Arial"/>
          <w:lang w:val="es-MX"/>
        </w:rPr>
        <w:t xml:space="preserve">si bien los documentos que deben publicarse en el SECOP II corresponden a los mismos que deben publicarse en el SECOP I, esto es, todos los expedidos con ocasión a la gestión contractual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w:t>
      </w:r>
    </w:p>
    <w:p w14:paraId="10B1CB9B" w14:textId="77777777" w:rsidR="00362DFF" w:rsidRPr="00CF3ACD" w:rsidRDefault="00362DFF" w:rsidP="00362DFF">
      <w:pPr>
        <w:widowControl w:val="0"/>
        <w:autoSpaceDE w:val="0"/>
        <w:autoSpaceDN w:val="0"/>
        <w:spacing w:after="120" w:line="276" w:lineRule="auto"/>
        <w:ind w:firstLine="709"/>
        <w:jc w:val="both"/>
        <w:rPr>
          <w:rFonts w:ascii="Verdana" w:hAnsi="Verdana" w:cs="Arial"/>
          <w:lang w:val="es-MX"/>
        </w:rPr>
      </w:pPr>
      <w:r w:rsidRPr="3C9966CE">
        <w:rPr>
          <w:rFonts w:ascii="Verdana" w:hAnsi="Verdana" w:cs="Arial"/>
          <w:lang w:val="es-MX"/>
        </w:rPr>
        <w:t>Esta es una diferencia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puesto que tales documentos son creados o expedidos mediante la propia plataforma, razón por la que una vez estos se aprueban quedan inmediatamente publicados, sin que transcurra el referido término.</w:t>
      </w:r>
    </w:p>
    <w:p w14:paraId="0FDCB135" w14:textId="77777777" w:rsidR="00362DFF" w:rsidRPr="00CF3ACD" w:rsidRDefault="00362DFF" w:rsidP="00362DFF">
      <w:pPr>
        <w:widowControl w:val="0"/>
        <w:autoSpaceDE w:val="0"/>
        <w:autoSpaceDN w:val="0"/>
        <w:spacing w:after="120" w:line="276" w:lineRule="auto"/>
        <w:ind w:firstLine="709"/>
        <w:jc w:val="both"/>
        <w:rPr>
          <w:rFonts w:ascii="Verdana" w:hAnsi="Verdana" w:cs="Arial"/>
          <w:lang w:val="es-MX"/>
        </w:rPr>
      </w:pPr>
      <w:r w:rsidRPr="00CF3ACD">
        <w:rPr>
          <w:rFonts w:ascii="Verdana" w:hAnsi="Verdana" w:cs="Arial"/>
          <w:lang w:val="es-MX"/>
        </w:rPr>
        <w:t xml:space="preserve">En ese orden de ideas,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w:t>
      </w:r>
      <w:r w:rsidRPr="00CF3ACD">
        <w:rPr>
          <w:rFonts w:ascii="Verdana" w:hAnsi="Verdana" w:cs="Arial"/>
          <w:lang w:val="es-MX"/>
        </w:rPr>
        <w:lastRenderedPageBreak/>
        <w:t>plataforma.</w:t>
      </w:r>
    </w:p>
    <w:p w14:paraId="20870510" w14:textId="77777777" w:rsidR="00362DFF" w:rsidRDefault="00362DFF" w:rsidP="00362DFF">
      <w:pPr>
        <w:spacing w:after="0" w:line="276" w:lineRule="auto"/>
        <w:ind w:firstLine="708"/>
        <w:jc w:val="both"/>
        <w:rPr>
          <w:rFonts w:ascii="Verdana" w:eastAsia="Calibri" w:hAnsi="Verdana" w:cs="Arial"/>
          <w:color w:val="000000" w:themeColor="text1"/>
        </w:rPr>
      </w:pPr>
      <w:r w:rsidRPr="3C9966CE">
        <w:rPr>
          <w:rFonts w:ascii="Verdana" w:eastAsia="Calibri" w:hAnsi="Verdana" w:cs="Arial"/>
          <w:color w:val="000000" w:themeColor="text1"/>
          <w:lang w:val="es-ES"/>
        </w:rPr>
        <w:t>Para la publicidad de la ejecución del contrato se recomienda el uso del módulo de “Plan de Pagos” que se encuentra en la sección “7. Ejecución del contrato”. Allí el contratista podrá registrar las facturas y/o cuentas de cobro, junto con los demás documentos exigidos por la Entidad Estatal, como por ejemplo, el informe de supervisión al cual se alude en la consulta. Por su parte, la Entidad en su deber de seguimiento a la Ejecución contractual tendrá disponible la opción de rechazar o aprobar la referencia del plan de pago según corresponda, así como de publicar los documentos relacionados con la supervisión del contrato. Para estos efectos, la “</w:t>
      </w:r>
      <w:r w:rsidRPr="3C9966CE">
        <w:rPr>
          <w:rFonts w:ascii="Verdana" w:eastAsia="Calibri" w:hAnsi="Verdana" w:cs="Arial"/>
          <w:color w:val="000000" w:themeColor="text1"/>
        </w:rPr>
        <w:t>GUÍA SECOP II – GESTIÓN CONTRACTUAL PARA ENTIDADES ESTATALES” el numeral 5 “Seguimiento a la ejecución del contrato” explica lo siguiente:</w:t>
      </w:r>
    </w:p>
    <w:p w14:paraId="76DA033D" w14:textId="77777777" w:rsidR="00362DFF" w:rsidRDefault="00362DFF" w:rsidP="00362DFF">
      <w:pPr>
        <w:spacing w:after="0" w:line="276" w:lineRule="auto"/>
        <w:ind w:firstLine="708"/>
        <w:jc w:val="both"/>
        <w:rPr>
          <w:rFonts w:ascii="Verdana" w:eastAsia="Calibri" w:hAnsi="Verdana" w:cs="Arial"/>
          <w:bCs/>
          <w:color w:val="000000" w:themeColor="text1"/>
        </w:rPr>
      </w:pPr>
    </w:p>
    <w:p w14:paraId="24BB1F7E"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lang w:val="es-ES_tradnl"/>
        </w:rPr>
      </w:pPr>
      <w:r w:rsidRPr="00CF7CDD">
        <w:rPr>
          <w:rFonts w:ascii="Verdana" w:eastAsia="Calibri" w:hAnsi="Verdana" w:cs="Arial"/>
          <w:bCs/>
          <w:color w:val="000000" w:themeColor="text1"/>
          <w:sz w:val="21"/>
          <w:szCs w:val="21"/>
          <w:lang w:val="es-ES_tradnl"/>
        </w:rPr>
        <w:t>En el SECOP II la Entidad Estatal y el Proveedor pueden gestionar en tiempo real el avance de la ejecución de un contrato. A través de la configuración y confirmación de entregas, aprobación de solicitudes de pago y publicación de cualquier otro documento resultado de la ejecución.</w:t>
      </w:r>
    </w:p>
    <w:p w14:paraId="39B3E0A4"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lang w:val="es-ES_tradnl"/>
        </w:rPr>
      </w:pPr>
    </w:p>
    <w:p w14:paraId="44BDD270"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lang w:val="es-ES_tradnl"/>
        </w:rPr>
      </w:pPr>
      <w:r>
        <w:rPr>
          <w:rFonts w:ascii="Verdana" w:eastAsia="Calibri" w:hAnsi="Verdana" w:cs="Arial"/>
          <w:bCs/>
          <w:color w:val="000000" w:themeColor="text1"/>
          <w:sz w:val="21"/>
          <w:szCs w:val="21"/>
          <w:lang w:val="es-ES_tradnl"/>
        </w:rPr>
        <w:t>[…]</w:t>
      </w:r>
    </w:p>
    <w:p w14:paraId="413EEAE1"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lang w:val="es-ES_tradnl"/>
        </w:rPr>
      </w:pPr>
    </w:p>
    <w:p w14:paraId="25C58B90" w14:textId="77777777" w:rsidR="00362DFF" w:rsidRPr="00CF568B" w:rsidRDefault="00362DFF" w:rsidP="00362DFF">
      <w:pPr>
        <w:spacing w:after="0" w:line="240" w:lineRule="auto"/>
        <w:ind w:left="709" w:right="757"/>
        <w:jc w:val="both"/>
        <w:rPr>
          <w:rFonts w:ascii="Verdana" w:eastAsia="Calibri" w:hAnsi="Verdana" w:cs="Arial"/>
          <w:b/>
          <w:color w:val="000000" w:themeColor="text1"/>
          <w:sz w:val="21"/>
          <w:szCs w:val="21"/>
        </w:rPr>
      </w:pPr>
      <w:r w:rsidRPr="00CF568B">
        <w:rPr>
          <w:rFonts w:ascii="Verdana" w:eastAsia="Calibri" w:hAnsi="Verdana" w:cs="Arial"/>
          <w:b/>
          <w:color w:val="000000" w:themeColor="text1"/>
          <w:sz w:val="21"/>
          <w:szCs w:val="21"/>
        </w:rPr>
        <w:t>b. Plan de pagos (Gestión de solicitudes de pago)</w:t>
      </w:r>
    </w:p>
    <w:p w14:paraId="2687D447"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p>
    <w:p w14:paraId="43E76DC7"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r w:rsidRPr="0054339C">
        <w:rPr>
          <w:rFonts w:ascii="Verdana" w:eastAsia="Calibri" w:hAnsi="Verdana" w:cs="Arial"/>
          <w:bCs/>
          <w:color w:val="000000" w:themeColor="text1"/>
          <w:sz w:val="21"/>
          <w:szCs w:val="21"/>
        </w:rPr>
        <w:t xml:space="preserve">Si la Entidad Estatal desde la edición del contrato definió un plan de pagos, el SECOP II trasladará esa información a esta sección y el Proveedor registrará cada solicitud según lo establecido por la entidad. En caso contrario el Proveedor podrá crear cada solicitud cumpliendo la forma de pago acordada por las partes en las condiciones del contrato. Así mismo, si configuro un plan de entregas deberá confirmar las entregas antes de verificar y aprobar las solicitudes de pago realizadas por el Proveedor. </w:t>
      </w:r>
    </w:p>
    <w:p w14:paraId="206B37CC"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p>
    <w:p w14:paraId="4C48520B" w14:textId="77777777" w:rsidR="00362DFF" w:rsidRPr="00744765" w:rsidRDefault="00362DFF" w:rsidP="00362DFF">
      <w:pPr>
        <w:spacing w:after="0" w:line="240" w:lineRule="auto"/>
        <w:ind w:left="709" w:right="757"/>
        <w:jc w:val="both"/>
        <w:rPr>
          <w:rFonts w:ascii="Verdana" w:eastAsia="Calibri" w:hAnsi="Verdana" w:cs="Arial"/>
          <w:bCs/>
          <w:color w:val="000000" w:themeColor="text1"/>
          <w:sz w:val="21"/>
          <w:szCs w:val="21"/>
          <w:u w:val="single"/>
        </w:rPr>
      </w:pPr>
      <w:r w:rsidRPr="0054339C">
        <w:rPr>
          <w:rFonts w:ascii="Verdana" w:eastAsia="Calibri" w:hAnsi="Verdana" w:cs="Arial"/>
          <w:bCs/>
          <w:color w:val="000000" w:themeColor="text1"/>
          <w:sz w:val="21"/>
          <w:szCs w:val="21"/>
        </w:rPr>
        <w:t xml:space="preserve">Una vez el Proveedor cumple con los requisitos establecidos por la Entidad Estatal para realizar su solicitud de pago y la envía a través de la plataforma. El usuario designado por la Entidad Estatal deberá ingresar al SECOP II, verificar la información de la solicitud para posteriormente aprobarla o rechazarla. </w:t>
      </w:r>
      <w:r w:rsidRPr="00744765">
        <w:rPr>
          <w:rFonts w:ascii="Verdana" w:eastAsia="Calibri" w:hAnsi="Verdana" w:cs="Arial"/>
          <w:bCs/>
          <w:color w:val="000000" w:themeColor="text1"/>
          <w:sz w:val="21"/>
          <w:szCs w:val="21"/>
          <w:u w:val="single"/>
        </w:rPr>
        <w:t>Tenga en cuenta que, los soportes necesarios para el trámite de pago dependerán del procedimiento administrativo interno de cada Entidad Estatal.</w:t>
      </w:r>
    </w:p>
    <w:p w14:paraId="0D804E09"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p>
    <w:p w14:paraId="0E3E612D"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r>
        <w:rPr>
          <w:rFonts w:ascii="Verdana" w:eastAsia="Calibri" w:hAnsi="Verdana" w:cs="Arial"/>
          <w:bCs/>
          <w:color w:val="000000" w:themeColor="text1"/>
          <w:sz w:val="21"/>
          <w:szCs w:val="21"/>
        </w:rPr>
        <w:t>[…]</w:t>
      </w:r>
    </w:p>
    <w:p w14:paraId="0A22ADC7"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p>
    <w:p w14:paraId="6F716822"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rPr>
      </w:pPr>
      <w:r w:rsidRPr="007979FF">
        <w:rPr>
          <w:rFonts w:ascii="Verdana" w:eastAsia="Calibri" w:hAnsi="Verdana" w:cs="Arial"/>
          <w:bCs/>
          <w:color w:val="000000" w:themeColor="text1"/>
          <w:sz w:val="21"/>
          <w:szCs w:val="21"/>
          <w:u w:val="single"/>
        </w:rPr>
        <w:lastRenderedPageBreak/>
        <w:t>Tenga en cuenta que, puede anexar documentos resultado de su verificación antes de realizar la aprobación para esto, haga clic en “Anexar” cargue el documento y haga clic en el icono “X” de la parte superior derecha de la ventana emergente para que quede almacenado como parte de la verificación, por ejemplo, el informe de supervisión</w:t>
      </w:r>
      <w:r w:rsidRPr="007979FF">
        <w:rPr>
          <w:rFonts w:ascii="Verdana" w:eastAsia="Calibri" w:hAnsi="Verdana" w:cs="Arial"/>
          <w:bCs/>
          <w:color w:val="000000" w:themeColor="text1"/>
          <w:sz w:val="21"/>
          <w:szCs w:val="21"/>
        </w:rPr>
        <w:t>.</w:t>
      </w:r>
      <w:r>
        <w:rPr>
          <w:rFonts w:ascii="Verdana" w:eastAsia="Calibri" w:hAnsi="Verdana" w:cs="Arial"/>
          <w:bCs/>
          <w:color w:val="000000" w:themeColor="text1"/>
          <w:sz w:val="21"/>
          <w:szCs w:val="21"/>
        </w:rPr>
        <w:t xml:space="preserve"> </w:t>
      </w:r>
    </w:p>
    <w:p w14:paraId="6CB4CD12" w14:textId="77777777" w:rsidR="00362DFF" w:rsidRDefault="00362DFF" w:rsidP="00362DFF">
      <w:pPr>
        <w:spacing w:after="0" w:line="240" w:lineRule="auto"/>
        <w:ind w:left="709" w:right="757"/>
        <w:jc w:val="both"/>
        <w:rPr>
          <w:rFonts w:ascii="Verdana" w:eastAsia="Calibri" w:hAnsi="Verdana" w:cs="Arial"/>
          <w:bCs/>
          <w:color w:val="000000" w:themeColor="text1"/>
        </w:rPr>
      </w:pPr>
      <w:r w:rsidRPr="007979FF">
        <w:rPr>
          <w:rFonts w:ascii="Verdana" w:eastAsia="Calibri" w:hAnsi="Verdana" w:cs="Arial"/>
          <w:bCs/>
          <w:color w:val="000000" w:themeColor="text1"/>
        </w:rPr>
        <w:t>[Énfasis por fuera de texto original]</w:t>
      </w:r>
    </w:p>
    <w:p w14:paraId="6F2C1AF4" w14:textId="77777777" w:rsidR="00362DFF" w:rsidRDefault="00362DFF" w:rsidP="00362DFF">
      <w:pPr>
        <w:spacing w:after="0" w:line="240" w:lineRule="auto"/>
        <w:ind w:left="709" w:right="757"/>
        <w:jc w:val="both"/>
        <w:rPr>
          <w:rFonts w:ascii="Verdana" w:eastAsia="Calibri" w:hAnsi="Verdana" w:cs="Arial"/>
          <w:bCs/>
          <w:color w:val="000000" w:themeColor="text1"/>
        </w:rPr>
      </w:pPr>
    </w:p>
    <w:p w14:paraId="0A1306BE" w14:textId="77777777" w:rsidR="00362DFF" w:rsidRPr="00CF3ACD" w:rsidRDefault="00362DFF" w:rsidP="00362DFF">
      <w:pPr>
        <w:widowControl w:val="0"/>
        <w:autoSpaceDE w:val="0"/>
        <w:autoSpaceDN w:val="0"/>
        <w:spacing w:after="120" w:line="276" w:lineRule="auto"/>
        <w:ind w:firstLine="709"/>
        <w:jc w:val="both"/>
        <w:rPr>
          <w:rFonts w:ascii="Verdana" w:eastAsia="Calibri" w:hAnsi="Verdana" w:cs="Arial"/>
          <w:color w:val="000000" w:themeColor="text1"/>
          <w:lang w:val="es-ES"/>
        </w:rPr>
      </w:pPr>
      <w:r w:rsidRPr="3C9966CE">
        <w:rPr>
          <w:rFonts w:ascii="Verdana" w:eastAsia="Calibri" w:hAnsi="Verdana" w:cs="Arial"/>
          <w:color w:val="000000" w:themeColor="text1"/>
          <w:lang w:val="es-ES"/>
        </w:rPr>
        <w:t xml:space="preserve">Ante ese panorama, se concluye que </w:t>
      </w:r>
      <w:r w:rsidRPr="3C9966CE">
        <w:rPr>
          <w:rFonts w:ascii="Verdana" w:eastAsia="Calibri" w:hAnsi="Verdana" w:cs="Arial"/>
          <w:color w:val="000000" w:themeColor="text1"/>
        </w:rPr>
        <w:t>la naturaleza transaccional del SECOP II implica que los procesos contractuales no solo se publiquen en ella, sino que también se gestionen íntegramente a través de su entorno electrónico. En consecuencia, la mayoría de los hitos contractuales corresponden a documentos y actuaciones electrónicas creadas en tiempo real -como ocurre con el trámite y procedimiento de aprobación de solicitudes de pago-, de modo que el avance del proceso contractual depende de su generación y aprobación dentro del sistema. Por lo tanto, dicho plazo de tres (3) días resulta aplicable a las actuaciones electrónicas en SECOP II, cuando los documentos del proceso se elaboran en físico, contrario a lo que ocurre con aquellos documentos electrónicos que se crean por virtud de las acciones al interior de la plataforma, caso en que cual su publicación es concomitante a la actuación de los usuarios, dado que, una vez aprobadas dichas solicitudes de pago en la plataforma, quedan publicadas de forma inmediata, más allá del trámite administrativo interno que cada entidad estatal contemple para efectos de determinar los documentos necesarios que acompañan su aprobación y, aun cuando existan documentos en físico que reflejen fechas de elaboración, el sistema registrará como términos de publicación hitos como: i) fecha de emisión y vencimiento y ii) fecha de recepción original, con el fin de otorgar trazabilidad a las acciones desplegadas por las partes.</w:t>
      </w:r>
    </w:p>
    <w:p w14:paraId="16F6637E" w14:textId="77777777" w:rsidR="00362DFF" w:rsidRPr="00CF3ACD" w:rsidRDefault="00362DFF" w:rsidP="00362DFF">
      <w:pPr>
        <w:spacing w:after="0" w:line="276" w:lineRule="auto"/>
        <w:ind w:firstLine="708"/>
        <w:jc w:val="both"/>
        <w:rPr>
          <w:rFonts w:ascii="Verdana" w:eastAsia="Calibri" w:hAnsi="Verdana" w:cs="Arial"/>
          <w:color w:val="000000" w:themeColor="text1"/>
          <w:lang w:val="es-ES"/>
        </w:rPr>
      </w:pPr>
      <w:r w:rsidRPr="3C9966CE">
        <w:rPr>
          <w:rFonts w:ascii="Verdana" w:eastAsia="Calibri" w:hAnsi="Verdana" w:cs="Arial"/>
          <w:color w:val="000000" w:themeColor="text1"/>
          <w:lang w:val="es-ES"/>
        </w:rPr>
        <w:t xml:space="preserve">Adicionalmente, aquellos documentos transversales a la ejecución del contrato, como, por ejemplo, el registro presupuestal, el acta de inicio, las actas de delegación de la supervisión, entre otros, podrán publicarse a través del módulo “Documentos de la ejecución” de la sección “7. Ejecución del contrato”. La ventana de documentos de ejecución del contrato en el aplicativo SECOP II, permite cumplir con el deber de publicidad regulado por el artículo 2.2.1.1.1.7.1. del Decreto 1082 de 2015, lo que significa que todos los documentos expedidos durante la etapa ejecución puedan ser publicados en esa opción, ya sea por la misma Entidad Estatal o el proveedor, dentro de los tres (3) días siguientes a su expedición, en caso de no ser publicados automáticamente por la plataforma de </w:t>
      </w:r>
      <w:r w:rsidRPr="3C9966CE">
        <w:rPr>
          <w:rFonts w:ascii="Verdana" w:eastAsia="Calibri" w:hAnsi="Verdana" w:cs="Arial"/>
          <w:color w:val="000000" w:themeColor="text1"/>
          <w:lang w:val="es-ES"/>
        </w:rPr>
        <w:lastRenderedPageBreak/>
        <w:t>SECOP II al momento de su creación, garantizando, entre otros, el principio de transparencia que rige en la contratación estatal. A su vez, la “Guía de gestión contractual en el SECOP II para proveedores” indica lo siguiente:</w:t>
      </w:r>
    </w:p>
    <w:p w14:paraId="0553A2A8" w14:textId="77777777" w:rsidR="00362DFF" w:rsidRPr="00CF3ACD" w:rsidRDefault="00362DFF" w:rsidP="00362DFF">
      <w:pPr>
        <w:spacing w:after="0" w:line="276" w:lineRule="auto"/>
        <w:ind w:firstLine="708"/>
        <w:jc w:val="both"/>
        <w:rPr>
          <w:rFonts w:ascii="Verdana" w:eastAsia="Calibri" w:hAnsi="Verdana" w:cs="Arial"/>
          <w:bCs/>
          <w:color w:val="000000" w:themeColor="text1"/>
          <w:lang w:val="es-ES_tradnl"/>
        </w:rPr>
      </w:pPr>
    </w:p>
    <w:p w14:paraId="7493BE40" w14:textId="77777777" w:rsidR="00362DFF" w:rsidRDefault="00362DFF" w:rsidP="00362DFF">
      <w:pPr>
        <w:spacing w:after="0" w:line="240" w:lineRule="auto"/>
        <w:ind w:left="709" w:right="757"/>
        <w:jc w:val="both"/>
        <w:rPr>
          <w:rFonts w:ascii="Verdana" w:eastAsia="Calibri" w:hAnsi="Verdana" w:cs="Arial"/>
          <w:bCs/>
          <w:color w:val="000000" w:themeColor="text1"/>
          <w:sz w:val="21"/>
          <w:szCs w:val="21"/>
          <w:lang w:val="es-ES_tradnl"/>
        </w:rPr>
      </w:pPr>
      <w:r w:rsidRPr="00CF3ACD">
        <w:rPr>
          <w:rFonts w:ascii="Verdana" w:eastAsia="Calibri" w:hAnsi="Verdana" w:cs="Arial"/>
          <w:bCs/>
          <w:color w:val="000000" w:themeColor="text1"/>
          <w:sz w:val="21"/>
          <w:szCs w:val="21"/>
          <w:lang w:val="es-ES_tradnl"/>
        </w:rPr>
        <w:t>En la séptima sección de “Ejecución del contrato” una vez inicia la ejecución del contrato, aparecerán los planes de entrega de los bienes y servicios del contrato; los planes de pago y la opción para que usted solicite los pagos (En el caso de las facturas deberá enviarlas a la Entidad Estatal a través de SECOP II después de radicarlas en la entidad). También puede consultar documentos de la ejecución contractual cargados por la entidad estatal como los informes de supervisión. Adicionalmente, en esta sección usted puede cargar informes de actividades y en general documentos de la ejecución contractual que la entidad estatal le solicite</w:t>
      </w:r>
      <w:r w:rsidRPr="00CF3ACD">
        <w:rPr>
          <w:rStyle w:val="Refdenotaalpie"/>
          <w:rFonts w:ascii="Verdana" w:eastAsia="Calibri" w:hAnsi="Verdana" w:cs="Arial"/>
          <w:bCs/>
          <w:color w:val="000000" w:themeColor="text1"/>
          <w:sz w:val="21"/>
          <w:szCs w:val="21"/>
          <w:lang w:val="es-ES_tradnl"/>
        </w:rPr>
        <w:footnoteReference w:id="7"/>
      </w:r>
      <w:r w:rsidRPr="00CF3ACD">
        <w:rPr>
          <w:rFonts w:ascii="Verdana" w:eastAsia="Calibri" w:hAnsi="Verdana" w:cs="Arial"/>
          <w:bCs/>
          <w:color w:val="000000" w:themeColor="text1"/>
          <w:sz w:val="21"/>
          <w:szCs w:val="21"/>
          <w:lang w:val="es-ES_tradnl"/>
        </w:rPr>
        <w:t>.</w:t>
      </w:r>
    </w:p>
    <w:p w14:paraId="62F6986E" w14:textId="77777777" w:rsidR="00362DFF" w:rsidRDefault="00362DFF" w:rsidP="00362DFF">
      <w:pPr>
        <w:spacing w:after="0" w:line="240" w:lineRule="auto"/>
        <w:ind w:left="709" w:right="757"/>
        <w:jc w:val="both"/>
        <w:rPr>
          <w:rFonts w:ascii="Verdana" w:eastAsia="Calibri" w:hAnsi="Verdana" w:cs="Arial"/>
          <w:bCs/>
          <w:color w:val="000000" w:themeColor="text1"/>
          <w:lang w:val="es-ES_tradnl"/>
        </w:rPr>
      </w:pPr>
    </w:p>
    <w:p w14:paraId="2942A57B" w14:textId="77777777" w:rsidR="00362DFF" w:rsidRPr="00CF3ACD" w:rsidRDefault="00362DFF" w:rsidP="00362DFF">
      <w:pPr>
        <w:spacing w:after="120" w:line="276" w:lineRule="auto"/>
        <w:ind w:firstLine="708"/>
        <w:jc w:val="both"/>
        <w:rPr>
          <w:rFonts w:ascii="Verdana" w:eastAsia="Calibri" w:hAnsi="Verdana" w:cs="Arial"/>
          <w:color w:val="000000" w:themeColor="text1"/>
          <w:lang w:val="es-ES"/>
        </w:rPr>
      </w:pPr>
      <w:r w:rsidRPr="6990FE1C">
        <w:rPr>
          <w:rFonts w:ascii="Verdana" w:eastAsia="Calibri" w:hAnsi="Verdana" w:cs="Arial"/>
          <w:color w:val="000000" w:themeColor="text1"/>
          <w:lang w:val="es-ES"/>
        </w:rPr>
        <w:t xml:space="preserve">Por último, es importante indicar que el artículo 3 de la Ley 80 de 1993 señala que los particulares, en este caso los contratistas, tendrán en cuenta al celebrar y ejecutar contratos con las entidades estatales que, “además de la obtención de utilidades cuya protección garantiza el Estado, colaboran con ellas en el logro de sus fines y cumplen una función social que, como tal, implica obligaciones”. De esta manera, el cumplimiento de los deberes de publicidad y del uso correcto de la plataforma SECOP II, hace parte de los fines de la contratación estatal. </w:t>
      </w:r>
    </w:p>
    <w:p w14:paraId="7CD31A46" w14:textId="77777777" w:rsidR="00362DFF" w:rsidRPr="00CF3ACD" w:rsidRDefault="00362DFF" w:rsidP="00362DFF">
      <w:pPr>
        <w:spacing w:after="0" w:line="276" w:lineRule="auto"/>
        <w:ind w:firstLine="708"/>
        <w:jc w:val="both"/>
        <w:rPr>
          <w:rFonts w:ascii="Verdana" w:eastAsia="Calibri" w:hAnsi="Verdana" w:cs="Arial"/>
          <w:color w:val="000000" w:themeColor="text1"/>
          <w:lang w:val="es-ES"/>
        </w:rPr>
      </w:pPr>
      <w:r w:rsidRPr="00CF3ACD">
        <w:rPr>
          <w:rFonts w:ascii="Verdana" w:eastAsia="Calibri" w:hAnsi="Verdana" w:cs="Arial"/>
          <w:color w:val="000000" w:themeColor="text1"/>
          <w:lang w:val="es-ES"/>
        </w:rPr>
        <w:t xml:space="preserve">Por tanto, le asiste como obligación al contratista el realizar las acciones pertinentes para la consecución de dicho fin. Tanto es así que, para el cumplimiento de dichos fines, el artículo 5 de la Ley 80 de 1993 dispuso como deber de los contratistas el colaborar con las entidades contratantes, lo que incluye el acatar las órdenes que durante el desarrollo del contrato ellas les impartan por lo que “[…] </w:t>
      </w:r>
      <w:r w:rsidRPr="005D04D5">
        <w:rPr>
          <w:rFonts w:ascii="Verdana" w:eastAsia="Calibri" w:hAnsi="Verdana" w:cs="Arial"/>
          <w:i/>
          <w:iCs/>
          <w:color w:val="000000" w:themeColor="text1"/>
          <w:lang w:val="es-ES"/>
        </w:rPr>
        <w:t>obrarán con lealtad y buena fe en las distintas etapas contractuales, evitando las dilaciones y entrabamientos que pudieran presentarse</w:t>
      </w:r>
      <w:r w:rsidRPr="00CF3ACD">
        <w:rPr>
          <w:rFonts w:ascii="Verdana" w:eastAsia="Calibri" w:hAnsi="Verdana" w:cs="Arial"/>
          <w:color w:val="000000" w:themeColor="text1"/>
          <w:lang w:val="es-ES"/>
        </w:rPr>
        <w:t>”, fundamento legal que tienen los contratistas para seguir los lineamientos de pago y publicación de documentos durante la ejecución del contrato que la entidad disponga, como supervisora del contrato.</w:t>
      </w:r>
    </w:p>
    <w:p w14:paraId="49A3F148" w14:textId="77777777" w:rsidR="00362DFF" w:rsidRDefault="00362DFF" w:rsidP="00362DFF">
      <w:pPr>
        <w:spacing w:after="0" w:line="276" w:lineRule="auto"/>
        <w:ind w:firstLine="708"/>
        <w:jc w:val="both"/>
        <w:rPr>
          <w:rFonts w:ascii="Verdana" w:eastAsia="Calibri" w:hAnsi="Verdana" w:cs="Arial"/>
        </w:rPr>
      </w:pPr>
    </w:p>
    <w:p w14:paraId="316C28C1" w14:textId="77777777" w:rsidR="00362DFF" w:rsidRPr="00E76CD6" w:rsidRDefault="00362DFF" w:rsidP="00362DFF">
      <w:pPr>
        <w:tabs>
          <w:tab w:val="left" w:pos="142"/>
          <w:tab w:val="left" w:pos="284"/>
        </w:tabs>
        <w:spacing w:after="0" w:line="276" w:lineRule="auto"/>
        <w:jc w:val="both"/>
        <w:rPr>
          <w:rFonts w:ascii="Verdana" w:eastAsia="Century Gothic" w:hAnsi="Verdana" w:cs="Century Gothic"/>
          <w:b/>
          <w:bCs/>
        </w:rPr>
      </w:pPr>
      <w:r w:rsidRPr="00E76CD6">
        <w:rPr>
          <w:rFonts w:ascii="Verdana" w:eastAsia="Century Gothic" w:hAnsi="Verdana" w:cs="Century Gothic"/>
          <w:b/>
          <w:bCs/>
        </w:rPr>
        <w:t>4. Referencias normativas, jurisprudenciales y otras fuentes:</w:t>
      </w:r>
    </w:p>
    <w:p w14:paraId="1D644689" w14:textId="77777777" w:rsidR="00362DFF" w:rsidRPr="00E76CD6" w:rsidRDefault="00362DFF" w:rsidP="00362DF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2DFF" w:rsidRPr="00E76CD6" w14:paraId="1B8F2173" w14:textId="77777777" w:rsidTr="00F76A0D">
        <w:trPr>
          <w:trHeight w:val="204"/>
        </w:trPr>
        <w:tc>
          <w:tcPr>
            <w:tcW w:w="8647" w:type="dxa"/>
          </w:tcPr>
          <w:p w14:paraId="2AF2C81E"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286E75">
              <w:rPr>
                <w:rFonts w:ascii="Verdana" w:hAnsi="Verdana" w:cs="Arial"/>
              </w:rPr>
              <w:lastRenderedPageBreak/>
              <w:t>Ley 80 de 1993</w:t>
            </w:r>
            <w:r>
              <w:rPr>
                <w:rFonts w:ascii="Verdana" w:hAnsi="Verdana" w:cs="Arial"/>
              </w:rPr>
              <w:t>,</w:t>
            </w:r>
            <w:r w:rsidRPr="00286E75">
              <w:rPr>
                <w:rFonts w:ascii="Verdana" w:hAnsi="Verdana" w:cs="Arial"/>
              </w:rPr>
              <w:t xml:space="preserve"> artículo 5</w:t>
            </w:r>
            <w:r>
              <w:rPr>
                <w:rFonts w:ascii="Verdana" w:hAnsi="Verdana" w:cs="Arial"/>
              </w:rPr>
              <w:t>, 77</w:t>
            </w:r>
          </w:p>
          <w:p w14:paraId="3EF3F247"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CF3ACD">
              <w:rPr>
                <w:rFonts w:ascii="Verdana" w:eastAsia="Calibri" w:hAnsi="Verdana" w:cs="Arial"/>
                <w:color w:val="000000" w:themeColor="text1"/>
                <w:lang w:val="es-ES"/>
              </w:rPr>
              <w:t>Ley 1150 de 2007</w:t>
            </w:r>
            <w:r>
              <w:rPr>
                <w:rFonts w:ascii="Verdana" w:eastAsia="Calibri" w:hAnsi="Verdana" w:cs="Arial"/>
                <w:color w:val="000000" w:themeColor="text1"/>
                <w:lang w:val="es-ES"/>
              </w:rPr>
              <w:t>,</w:t>
            </w:r>
            <w:r w:rsidRPr="005B18B5">
              <w:rPr>
                <w:rFonts w:ascii="Verdana" w:eastAsia="Calibri" w:hAnsi="Verdana" w:cs="Arial"/>
                <w:color w:val="000000" w:themeColor="text1"/>
                <w:lang w:val="es-ES_tradnl"/>
              </w:rPr>
              <w:t xml:space="preserve"> </w:t>
            </w:r>
            <w:r w:rsidRPr="00CF3ACD">
              <w:rPr>
                <w:rFonts w:ascii="Verdana" w:eastAsia="Calibri" w:hAnsi="Verdana" w:cs="Arial"/>
                <w:color w:val="000000" w:themeColor="text1"/>
                <w:lang w:val="es-ES_tradnl"/>
              </w:rPr>
              <w:t>artículo 3</w:t>
            </w:r>
          </w:p>
          <w:p w14:paraId="2FA25D4B" w14:textId="77777777" w:rsidR="00362DFF" w:rsidRPr="001C7E16"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CF3ACD">
              <w:rPr>
                <w:rFonts w:ascii="Verdana" w:hAnsi="Verdana" w:cs="Arial"/>
                <w:lang w:val="es-ES"/>
              </w:rPr>
              <w:t>Decreto 1082 de 2015</w:t>
            </w:r>
            <w:r>
              <w:rPr>
                <w:rFonts w:ascii="Verdana" w:hAnsi="Verdana" w:cs="Arial"/>
                <w:lang w:val="es-ES"/>
              </w:rPr>
              <w:t xml:space="preserve">, artículos </w:t>
            </w:r>
            <w:r w:rsidRPr="00CF3ACD">
              <w:rPr>
                <w:rFonts w:ascii="Verdana" w:hAnsi="Verdana" w:cs="Arial"/>
                <w:lang w:val="es-ES"/>
              </w:rPr>
              <w:t>2.2.1.1.1.7.1</w:t>
            </w:r>
            <w:r>
              <w:rPr>
                <w:rFonts w:ascii="Verdana" w:hAnsi="Verdana" w:cs="Arial"/>
                <w:lang w:val="es-ES"/>
              </w:rPr>
              <w:t xml:space="preserve">, </w:t>
            </w:r>
            <w:r w:rsidRPr="001C7E16">
              <w:rPr>
                <w:rFonts w:ascii="Verdana" w:hAnsi="Verdana" w:cs="Arial"/>
                <w:lang w:val="es-ES"/>
              </w:rPr>
              <w:t>2.2.1.1.1.3.1, 2.2.1.2.1.4.3, 2.2.1.2.1.4.6.</w:t>
            </w:r>
          </w:p>
          <w:p w14:paraId="02E1D560"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FB0CD3">
              <w:rPr>
                <w:rFonts w:ascii="Verdana" w:hAnsi="Verdana" w:cs="Arial"/>
              </w:rPr>
              <w:t xml:space="preserve">Ley 1712 de 2014: </w:t>
            </w:r>
            <w:r>
              <w:rPr>
                <w:rFonts w:ascii="Verdana" w:hAnsi="Verdana" w:cs="Arial"/>
              </w:rPr>
              <w:t>a</w:t>
            </w:r>
            <w:r w:rsidRPr="00FB0CD3">
              <w:rPr>
                <w:rFonts w:ascii="Verdana" w:hAnsi="Verdana" w:cs="Arial"/>
              </w:rPr>
              <w:t>rtículo 5., literal e) del artículo 9, literal g) del artículo 11</w:t>
            </w:r>
          </w:p>
          <w:p w14:paraId="2CC37029" w14:textId="77777777" w:rsidR="00362DFF" w:rsidRPr="004B3D52"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CF3ACD">
              <w:rPr>
                <w:rFonts w:ascii="Verdana" w:eastAsia="Calibri" w:hAnsi="Verdana" w:cs="Arial"/>
                <w:color w:val="000000" w:themeColor="text1"/>
                <w:lang w:val="es-ES"/>
              </w:rPr>
              <w:t>Ley 1437 de 2011</w:t>
            </w:r>
            <w:r w:rsidRPr="005B18B5">
              <w:rPr>
                <w:rFonts w:ascii="Verdana" w:eastAsia="Calibri" w:hAnsi="Verdana" w:cs="Arial"/>
                <w:color w:val="000000" w:themeColor="text1"/>
                <w:lang w:val="es-ES_tradnl"/>
              </w:rPr>
              <w:t xml:space="preserve"> </w:t>
            </w:r>
            <w:r w:rsidRPr="00CF3ACD">
              <w:rPr>
                <w:rFonts w:ascii="Verdana" w:eastAsia="Calibri" w:hAnsi="Verdana" w:cs="Arial"/>
                <w:color w:val="000000" w:themeColor="text1"/>
                <w:lang w:val="es-ES_tradnl"/>
              </w:rPr>
              <w:t>artículo 5, numeral 1</w:t>
            </w:r>
            <w:r>
              <w:rPr>
                <w:rFonts w:ascii="Verdana" w:eastAsia="Calibri" w:hAnsi="Verdana" w:cs="Arial"/>
                <w:color w:val="000000" w:themeColor="text1"/>
                <w:lang w:val="es-ES_tradnl"/>
              </w:rPr>
              <w:t xml:space="preserve">, </w:t>
            </w:r>
            <w:r w:rsidRPr="00CF3ACD">
              <w:rPr>
                <w:rFonts w:ascii="Verdana" w:eastAsia="Calibri" w:hAnsi="Verdana" w:cs="Arial"/>
                <w:color w:val="000000" w:themeColor="text1"/>
                <w:lang w:val="es-ES_tradnl"/>
              </w:rPr>
              <w:t>artículo 7, numeral 6</w:t>
            </w:r>
            <w:r>
              <w:rPr>
                <w:rFonts w:ascii="Verdana" w:eastAsia="Calibri" w:hAnsi="Verdana" w:cs="Arial"/>
                <w:color w:val="000000" w:themeColor="text1"/>
                <w:lang w:val="es-ES_tradnl"/>
              </w:rPr>
              <w:t xml:space="preserve">, </w:t>
            </w:r>
            <w:r w:rsidRPr="00CF3ACD">
              <w:rPr>
                <w:rFonts w:ascii="Verdana" w:eastAsia="Calibri" w:hAnsi="Verdana" w:cs="Arial"/>
                <w:color w:val="000000" w:themeColor="text1"/>
                <w:lang w:val="es-ES"/>
              </w:rPr>
              <w:t>artículo 35</w:t>
            </w:r>
            <w:r>
              <w:rPr>
                <w:rFonts w:ascii="Verdana" w:eastAsia="Calibri" w:hAnsi="Verdana" w:cs="Arial"/>
                <w:color w:val="000000" w:themeColor="text1"/>
                <w:lang w:val="es-ES"/>
              </w:rPr>
              <w:t xml:space="preserve">, </w:t>
            </w:r>
            <w:r w:rsidRPr="00CF3ACD">
              <w:rPr>
                <w:rFonts w:ascii="Verdana" w:eastAsia="Calibri" w:hAnsi="Verdana" w:cs="Arial"/>
                <w:color w:val="000000" w:themeColor="text1"/>
                <w:lang w:val="es-ES"/>
              </w:rPr>
              <w:t>artículos 53 al 64</w:t>
            </w:r>
          </w:p>
          <w:p w14:paraId="60B295C8"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1A4351">
              <w:rPr>
                <w:rFonts w:ascii="Verdana" w:hAnsi="Verdana" w:cs="Arial"/>
              </w:rPr>
              <w:t xml:space="preserve">Ley 527 de 1999 artículo 2 </w:t>
            </w:r>
            <w:r>
              <w:rPr>
                <w:rFonts w:ascii="Verdana" w:hAnsi="Verdana" w:cs="Arial"/>
              </w:rPr>
              <w:t xml:space="preserve">y </w:t>
            </w:r>
            <w:r w:rsidRPr="001A4351">
              <w:rPr>
                <w:rFonts w:ascii="Verdana" w:hAnsi="Verdana" w:cs="Arial"/>
              </w:rPr>
              <w:t>10</w:t>
            </w:r>
          </w:p>
          <w:p w14:paraId="3E29160A"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E92EC6">
              <w:rPr>
                <w:rFonts w:ascii="Verdana" w:hAnsi="Verdana" w:cs="Arial"/>
              </w:rPr>
              <w:t>Decreto 4170 de 2011, artículo 3.8</w:t>
            </w:r>
          </w:p>
          <w:p w14:paraId="493F4530"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B0786C">
              <w:rPr>
                <w:rFonts w:ascii="Verdana" w:hAnsi="Verdana" w:cs="Arial"/>
              </w:rPr>
              <w:t>Decreto 1081 de 2015, Artículo 2.1.1.2.1.7.</w:t>
            </w:r>
          </w:p>
          <w:p w14:paraId="1B4E2E30" w14:textId="77777777" w:rsidR="00362DFF"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994947">
              <w:rPr>
                <w:rFonts w:ascii="Verdana" w:hAnsi="Verdana" w:cs="Arial"/>
              </w:rPr>
              <w:t>Circular Externa Única de la Agencia Nacional de Contratación Pública – Colombia Compra Eficiente</w:t>
            </w:r>
            <w:r>
              <w:rPr>
                <w:rFonts w:ascii="Verdana" w:hAnsi="Verdana" w:cs="Arial"/>
              </w:rPr>
              <w:t>, numeral 1.2</w:t>
            </w:r>
          </w:p>
          <w:p w14:paraId="214EA28F" w14:textId="77777777" w:rsidR="00362DFF" w:rsidRPr="00E73A3B"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E73A3B">
              <w:rPr>
                <w:rFonts w:ascii="Verdana" w:hAnsi="Verdana" w:cs="Arial"/>
              </w:rPr>
              <w:t>Guía SECOP II – Gestión Contractual Para Entidades Estatales</w:t>
            </w:r>
          </w:p>
          <w:p w14:paraId="60BF077D" w14:textId="77777777" w:rsidR="00362DFF" w:rsidRPr="00DD22C8" w:rsidRDefault="00362DFF" w:rsidP="00362DFF">
            <w:pPr>
              <w:widowControl w:val="0"/>
              <w:numPr>
                <w:ilvl w:val="0"/>
                <w:numId w:val="1"/>
              </w:numPr>
              <w:autoSpaceDE w:val="0"/>
              <w:autoSpaceDN w:val="0"/>
              <w:spacing w:line="276" w:lineRule="auto"/>
              <w:ind w:left="714" w:hanging="357"/>
              <w:jc w:val="both"/>
              <w:rPr>
                <w:rFonts w:ascii="Verdana" w:hAnsi="Verdana" w:cs="Arial"/>
              </w:rPr>
            </w:pPr>
            <w:r w:rsidRPr="00E73A3B">
              <w:rPr>
                <w:rFonts w:ascii="Verdana" w:hAnsi="Verdana" w:cs="Arial"/>
              </w:rPr>
              <w:t>Guía de gestión contractual en el SECOP II para proveedores</w:t>
            </w:r>
          </w:p>
        </w:tc>
      </w:tr>
    </w:tbl>
    <w:p w14:paraId="5D0306DA" w14:textId="77777777" w:rsidR="00362DFF" w:rsidRPr="00F66B29" w:rsidRDefault="00362DFF" w:rsidP="00362DF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82ABD60" w14:textId="77777777" w:rsidR="00362DFF" w:rsidRPr="00F66B29" w:rsidRDefault="00362DFF" w:rsidP="00362DF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F66B29">
        <w:rPr>
          <w:rFonts w:ascii="Verdana" w:eastAsia="Century Gothic" w:hAnsi="Verdana" w:cs="Century Gothic"/>
          <w:b/>
          <w:bCs/>
        </w:rPr>
        <w:t>5. Doctrina de la Agencia Nacional de Contratación Pública:</w:t>
      </w:r>
    </w:p>
    <w:p w14:paraId="7AAFE017" w14:textId="77777777" w:rsidR="00362DFF" w:rsidRPr="00F66B29" w:rsidRDefault="00362DFF" w:rsidP="00362DFF">
      <w:pPr>
        <w:spacing w:after="0" w:line="276" w:lineRule="auto"/>
        <w:ind w:firstLine="709"/>
        <w:jc w:val="both"/>
        <w:rPr>
          <w:rFonts w:ascii="Verdana" w:eastAsia="Times New Roman" w:hAnsi="Verdana" w:cs="Arial"/>
          <w:lang w:eastAsia="es-ES_tradnl"/>
        </w:rPr>
      </w:pPr>
    </w:p>
    <w:p w14:paraId="4834D8DA" w14:textId="77777777" w:rsidR="00362DFF" w:rsidRDefault="00362DFF" w:rsidP="00362DFF">
      <w:pPr>
        <w:widowControl w:val="0"/>
        <w:autoSpaceDE w:val="0"/>
        <w:autoSpaceDN w:val="0"/>
        <w:spacing w:after="0" w:line="276" w:lineRule="auto"/>
        <w:jc w:val="both"/>
        <w:rPr>
          <w:rFonts w:ascii="Verdana" w:eastAsia="Calibri" w:hAnsi="Verdana" w:cs="Arial"/>
          <w:lang w:eastAsia="es-ES"/>
        </w:rPr>
      </w:pPr>
      <w:r w:rsidRPr="007233E3">
        <w:rPr>
          <w:rFonts w:ascii="Verdana" w:eastAsia="Calibri" w:hAnsi="Verdana" w:cs="Arial"/>
          <w:color w:val="000000" w:themeColor="text1"/>
          <w:lang w:val="es-ES_tradnl" w:eastAsia="es-ES_tradnl"/>
        </w:rPr>
        <w:t>La Agencia Nacional de Contratación Pública – Colombia Compra Eficiente se ha pronunciado sobre los principios de publicidad y de acceso a la información pública en la contratación estatal, así como sobre los fundamentos normativos del deber de publicar la documentación contractual en las plataformas SECOP I y SECOP II, en el Concepto CU-367 del 23 de julio de 2020, el cual fue reiterado –entre otros–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w:t>
      </w:r>
      <w:r>
        <w:rPr>
          <w:rFonts w:ascii="Verdana" w:eastAsia="Calibri" w:hAnsi="Verdana" w:cs="Arial"/>
          <w:color w:val="000000" w:themeColor="text1"/>
          <w:lang w:val="es-ES_tradnl" w:eastAsia="es-ES_tradnl"/>
        </w:rPr>
        <w:t>,</w:t>
      </w:r>
      <w:r w:rsidRPr="007233E3">
        <w:rPr>
          <w:rFonts w:ascii="Verdana" w:eastAsia="Calibri" w:hAnsi="Verdana" w:cs="Arial"/>
          <w:color w:val="000000" w:themeColor="text1"/>
          <w:lang w:val="es-ES_tradnl" w:eastAsia="es-ES_tradnl"/>
        </w:rPr>
        <w:t xml:space="preserve"> C-379 del 22 de junio de 2022</w:t>
      </w:r>
      <w:r>
        <w:rPr>
          <w:rFonts w:ascii="Verdana" w:eastAsia="Calibri" w:hAnsi="Verdana" w:cs="Arial"/>
          <w:color w:val="000000" w:themeColor="text1"/>
          <w:lang w:val="es-ES_tradnl" w:eastAsia="es-ES_tradnl"/>
        </w:rPr>
        <w:t>, C-148 del 30 de mayo de 2023, C-185 del 24 de marzo de 2025,</w:t>
      </w:r>
      <w:r w:rsidRPr="00F66B29">
        <w:rPr>
          <w:rFonts w:ascii="Verdana" w:hAnsi="Verdana" w:cs="Arial"/>
          <w:shd w:val="clear" w:color="auto" w:fill="FFFFFF"/>
          <w:lang w:val="es-ES"/>
        </w:rPr>
        <w:t xml:space="preserve"> entre otros</w:t>
      </w:r>
      <w:r w:rsidRPr="00F66B29">
        <w:rPr>
          <w:rFonts w:ascii="Verdana" w:hAnsi="Verdana" w:cs="Arial"/>
        </w:rPr>
        <w:t xml:space="preserve">. </w:t>
      </w:r>
      <w:r w:rsidRPr="00F66B29">
        <w:rPr>
          <w:rFonts w:ascii="Verdana" w:eastAsia="Calibri" w:hAnsi="Verdana" w:cs="Arial"/>
          <w:lang w:eastAsia="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E6FFED6" w14:textId="77777777" w:rsidR="00362DFF" w:rsidRDefault="00362DFF" w:rsidP="00362DFF">
      <w:pPr>
        <w:widowControl w:val="0"/>
        <w:autoSpaceDE w:val="0"/>
        <w:autoSpaceDN w:val="0"/>
        <w:spacing w:after="0" w:line="276" w:lineRule="auto"/>
        <w:jc w:val="both"/>
        <w:rPr>
          <w:rFonts w:ascii="Verdana" w:eastAsia="Calibri" w:hAnsi="Verdana" w:cs="Arial"/>
          <w:lang w:eastAsia="es-ES"/>
        </w:rPr>
      </w:pPr>
    </w:p>
    <w:p w14:paraId="199010D7" w14:textId="77777777" w:rsidR="00362DFF" w:rsidRPr="00F66B29" w:rsidRDefault="00362DFF" w:rsidP="00362DFF">
      <w:pPr>
        <w:widowControl w:val="0"/>
        <w:autoSpaceDE w:val="0"/>
        <w:autoSpaceDN w:val="0"/>
        <w:spacing w:after="0" w:line="276" w:lineRule="auto"/>
        <w:jc w:val="both"/>
        <w:rPr>
          <w:rFonts w:ascii="Verdana" w:eastAsia="Calibri" w:hAnsi="Verdana" w:cs="Arial"/>
          <w:lang w:eastAsia="es-ES_tradnl"/>
        </w:rPr>
      </w:pPr>
      <w:hyperlink r:id="rId9" w:history="1">
        <w:r w:rsidRPr="00F66B29">
          <w:rPr>
            <w:rStyle w:val="Hipervnculo"/>
            <w:rFonts w:ascii="Verdana" w:eastAsia="Calibri" w:hAnsi="Verdana" w:cs="Arial"/>
            <w:lang w:eastAsia="es-ES_tradnl"/>
          </w:rPr>
          <w:t>https://relatoria.colombiacompra.gov.co/</w:t>
        </w:r>
      </w:hyperlink>
      <w:r w:rsidRPr="00F66B29">
        <w:rPr>
          <w:rFonts w:ascii="Verdana" w:eastAsia="Calibri" w:hAnsi="Verdana" w:cs="Arial"/>
          <w:lang w:eastAsia="es-ES_tradnl"/>
        </w:rPr>
        <w:t> </w:t>
      </w:r>
    </w:p>
    <w:p w14:paraId="46E2CB51" w14:textId="77777777" w:rsidR="00362DFF" w:rsidRPr="00F66B29" w:rsidRDefault="00362DFF" w:rsidP="00362DFF">
      <w:pPr>
        <w:widowControl w:val="0"/>
        <w:autoSpaceDE w:val="0"/>
        <w:autoSpaceDN w:val="0"/>
        <w:spacing w:after="0" w:line="276" w:lineRule="auto"/>
        <w:jc w:val="both"/>
        <w:rPr>
          <w:rFonts w:ascii="Verdana" w:eastAsia="Calibri" w:hAnsi="Verdana" w:cs="Arial"/>
          <w:lang w:eastAsia="es-ES_tradnl"/>
        </w:rPr>
      </w:pPr>
    </w:p>
    <w:p w14:paraId="059EB9A5" w14:textId="77777777" w:rsidR="00362DFF" w:rsidRPr="00F66B29" w:rsidRDefault="00362DFF" w:rsidP="00362DFF">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F66B29">
        <w:rPr>
          <w:rFonts w:ascii="Verdana" w:eastAsia="Times New Roman" w:hAnsi="Verdana" w:cs="Times New Roman"/>
          <w:color w:val="000000"/>
          <w:bdr w:val="none" w:sz="0" w:space="0" w:color="auto" w:frame="1"/>
          <w:lang w:eastAsia="es-CO"/>
        </w:rPr>
        <w:t xml:space="preserve">También le contamos que ya se encuentra disponible la </w:t>
      </w:r>
      <w:r w:rsidRPr="00F66B29">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F66B29">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p>
    <w:p w14:paraId="3544B2E7" w14:textId="77777777" w:rsidR="00362DFF" w:rsidRPr="00F66B29" w:rsidRDefault="00362DFF" w:rsidP="00362DFF">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27901818" w14:textId="77777777" w:rsidR="00362DFF" w:rsidRPr="00F66B29" w:rsidRDefault="00362DFF" w:rsidP="00362DFF">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hyperlink r:id="rId10" w:tgtFrame="_blank" w:tooltip="Dirección URL original: https://www.colombiacompra.gov.co/wp-content/uploads/2025/05/GUIA-DE-LINEAMIENTOS-DE-TRANSPARENCIA-Y-SELECCION-OBJETIVA-1.0.pdf. Haga clic o pulse si confía en este vínculo." w:history="1">
        <w:r w:rsidRPr="00F66B29">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5DF911D4" w14:textId="77777777" w:rsidR="00362DFF" w:rsidRPr="00F66B29" w:rsidRDefault="00362DFF" w:rsidP="00362DFF">
      <w:pPr>
        <w:widowControl w:val="0"/>
        <w:autoSpaceDE w:val="0"/>
        <w:autoSpaceDN w:val="0"/>
        <w:spacing w:after="0" w:line="276" w:lineRule="auto"/>
        <w:jc w:val="both"/>
        <w:rPr>
          <w:rFonts w:ascii="Verdana" w:hAnsi="Verdana" w:cs="Arial"/>
        </w:rPr>
      </w:pPr>
    </w:p>
    <w:p w14:paraId="372DEC4D" w14:textId="77777777" w:rsidR="00362DFF" w:rsidRPr="00F66B29" w:rsidRDefault="00362DFF" w:rsidP="00362DFF">
      <w:pPr>
        <w:spacing w:after="0" w:line="276" w:lineRule="auto"/>
        <w:jc w:val="both"/>
        <w:rPr>
          <w:rFonts w:ascii="Verdana" w:hAnsi="Verdana"/>
        </w:rPr>
      </w:pPr>
      <w:r w:rsidRPr="00F66B29">
        <w:rPr>
          <w:rFonts w:ascii="Verdana" w:hAnsi="Verdana"/>
        </w:rPr>
        <w:t xml:space="preserve">Por último, lo invitamos a seguirnos en las redes sociales en las cuales se difunde información institucional: </w:t>
      </w:r>
    </w:p>
    <w:p w14:paraId="77CF0A3B" w14:textId="77777777" w:rsidR="00362DFF" w:rsidRPr="00F66B29" w:rsidRDefault="00362DFF" w:rsidP="00362DFF">
      <w:pPr>
        <w:spacing w:after="0" w:line="276" w:lineRule="auto"/>
        <w:jc w:val="both"/>
        <w:rPr>
          <w:rFonts w:ascii="Verdana" w:hAnsi="Verdana"/>
        </w:rPr>
      </w:pPr>
    </w:p>
    <w:p w14:paraId="5CC8657B" w14:textId="77777777" w:rsidR="00362DFF" w:rsidRPr="00F66B29" w:rsidRDefault="00362DFF" w:rsidP="00362DFF">
      <w:pPr>
        <w:spacing w:after="0" w:line="276" w:lineRule="auto"/>
        <w:jc w:val="both"/>
        <w:rPr>
          <w:rFonts w:ascii="Verdana" w:hAnsi="Verdana"/>
        </w:rPr>
      </w:pPr>
      <w:r w:rsidRPr="00F66B29">
        <w:rPr>
          <w:rFonts w:ascii="Verdana" w:hAnsi="Verdana"/>
        </w:rPr>
        <w:t xml:space="preserve">Twitter: </w:t>
      </w:r>
      <w:r w:rsidRPr="00F66B29">
        <w:rPr>
          <w:rStyle w:val="Hipervnculo"/>
          <w:rFonts w:ascii="Verdana" w:hAnsi="Verdana"/>
          <w:color w:val="4472C4" w:themeColor="accent1"/>
        </w:rPr>
        <w:t>@colombiacompra</w:t>
      </w:r>
      <w:r w:rsidRPr="00F66B29">
        <w:rPr>
          <w:rFonts w:ascii="Verdana" w:hAnsi="Verdana"/>
          <w:color w:val="4472C4" w:themeColor="accent1"/>
        </w:rPr>
        <w:t xml:space="preserve"> </w:t>
      </w:r>
    </w:p>
    <w:p w14:paraId="0EE9F6D4" w14:textId="77777777" w:rsidR="00362DFF" w:rsidRPr="00F66B29" w:rsidRDefault="00362DFF" w:rsidP="00362DFF">
      <w:pPr>
        <w:spacing w:after="0" w:line="276" w:lineRule="auto"/>
        <w:jc w:val="both"/>
        <w:rPr>
          <w:rFonts w:ascii="Verdana" w:hAnsi="Verdana"/>
        </w:rPr>
      </w:pPr>
      <w:r w:rsidRPr="00F66B29">
        <w:rPr>
          <w:rFonts w:ascii="Verdana" w:hAnsi="Verdana"/>
        </w:rPr>
        <w:t xml:space="preserve">Facebook: </w:t>
      </w:r>
      <w:r w:rsidRPr="00F66B29">
        <w:rPr>
          <w:rStyle w:val="Hipervnculo"/>
          <w:rFonts w:ascii="Verdana" w:hAnsi="Verdana"/>
          <w:color w:val="4472C4" w:themeColor="accent1"/>
        </w:rPr>
        <w:t>ColombiaCompraEficiente</w:t>
      </w:r>
    </w:p>
    <w:p w14:paraId="40AEE002" w14:textId="77777777" w:rsidR="00362DFF" w:rsidRPr="00F66B29" w:rsidRDefault="00362DFF" w:rsidP="00362DFF">
      <w:pPr>
        <w:spacing w:after="0" w:line="276" w:lineRule="auto"/>
        <w:jc w:val="both"/>
        <w:rPr>
          <w:rFonts w:ascii="Verdana" w:hAnsi="Verdana"/>
        </w:rPr>
      </w:pPr>
      <w:r w:rsidRPr="00F66B29">
        <w:rPr>
          <w:rFonts w:ascii="Verdana" w:hAnsi="Verdana"/>
        </w:rPr>
        <w:t xml:space="preserve">LinkedIn: </w:t>
      </w:r>
      <w:r w:rsidRPr="00F66B29">
        <w:rPr>
          <w:rStyle w:val="Hipervnculo"/>
          <w:rFonts w:ascii="Verdana" w:hAnsi="Verdana"/>
          <w:color w:val="4472C4" w:themeColor="accent1"/>
        </w:rPr>
        <w:t>Agencia Nacional de Contratación Pública - Colombia Compra Eficiente</w:t>
      </w:r>
      <w:r w:rsidRPr="00F66B29">
        <w:rPr>
          <w:rFonts w:ascii="Verdana" w:hAnsi="Verdana"/>
          <w:color w:val="4472C4" w:themeColor="accent1"/>
        </w:rPr>
        <w:t xml:space="preserve"> </w:t>
      </w:r>
      <w:r w:rsidRPr="00F66B29">
        <w:rPr>
          <w:rFonts w:ascii="Verdana" w:hAnsi="Verdana"/>
        </w:rPr>
        <w:t xml:space="preserve">Instagram: </w:t>
      </w:r>
      <w:r w:rsidRPr="00F66B29">
        <w:rPr>
          <w:rStyle w:val="Hipervnculo"/>
          <w:rFonts w:ascii="Verdana" w:hAnsi="Verdana"/>
          <w:color w:val="4472C4" w:themeColor="accent1"/>
        </w:rPr>
        <w:t>@colombiacompraeficiente_cce</w:t>
      </w:r>
    </w:p>
    <w:p w14:paraId="0FD48106" w14:textId="77777777" w:rsidR="00362DFF" w:rsidRPr="00F66B29" w:rsidRDefault="00362DFF" w:rsidP="00362DFF">
      <w:pPr>
        <w:widowControl w:val="0"/>
        <w:autoSpaceDE w:val="0"/>
        <w:autoSpaceDN w:val="0"/>
        <w:spacing w:after="0" w:line="276" w:lineRule="auto"/>
        <w:jc w:val="both"/>
        <w:rPr>
          <w:rFonts w:ascii="Verdana" w:hAnsi="Verdana"/>
        </w:rPr>
      </w:pPr>
    </w:p>
    <w:p w14:paraId="666683EA" w14:textId="77777777" w:rsidR="00362DFF" w:rsidRPr="00F66B29" w:rsidRDefault="00362DFF" w:rsidP="00362DFF">
      <w:pPr>
        <w:widowControl w:val="0"/>
        <w:autoSpaceDE w:val="0"/>
        <w:autoSpaceDN w:val="0"/>
        <w:spacing w:after="0" w:line="276" w:lineRule="auto"/>
        <w:jc w:val="both"/>
        <w:rPr>
          <w:rFonts w:ascii="Verdana" w:hAnsi="Verdana" w:cs="Arial"/>
        </w:rPr>
      </w:pPr>
      <w:r w:rsidRPr="00F66B29">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5DFA5D1" w14:textId="77777777" w:rsidR="00362DFF" w:rsidRPr="00F66B29" w:rsidRDefault="00362DFF" w:rsidP="00362DFF">
      <w:pPr>
        <w:spacing w:after="0" w:line="276" w:lineRule="auto"/>
        <w:ind w:firstLine="709"/>
        <w:jc w:val="both"/>
        <w:rPr>
          <w:rFonts w:ascii="Verdana" w:eastAsia="Times New Roman" w:hAnsi="Verdana" w:cs="Arial"/>
          <w:lang w:eastAsia="es-ES_tradnl"/>
        </w:rPr>
      </w:pPr>
    </w:p>
    <w:p w14:paraId="6FE8F56D" w14:textId="77777777" w:rsidR="00362DFF" w:rsidRPr="00F66B29" w:rsidRDefault="00362DFF" w:rsidP="00362DFF">
      <w:pPr>
        <w:spacing w:after="0" w:line="276" w:lineRule="auto"/>
        <w:jc w:val="both"/>
        <w:rPr>
          <w:rFonts w:ascii="Verdana" w:eastAsia="Times New Roman" w:hAnsi="Verdana" w:cs="Arial"/>
          <w:lang w:eastAsia="es-CO"/>
        </w:rPr>
      </w:pPr>
      <w:bookmarkStart w:id="9" w:name="_Hlk117695077"/>
      <w:r w:rsidRPr="00F66B29">
        <w:rPr>
          <w:rFonts w:ascii="Verdana" w:eastAsia="Times New Roman" w:hAnsi="Verdana" w:cs="Arial"/>
          <w:lang w:eastAsia="es-CO"/>
        </w:rPr>
        <w:t>Atentamente,</w:t>
      </w:r>
      <w:bookmarkEnd w:id="9"/>
    </w:p>
    <w:p w14:paraId="571C40C5" w14:textId="4159A770" w:rsidR="00362DFF" w:rsidRPr="00E76CD6" w:rsidRDefault="00DE70A3" w:rsidP="00362DF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27793AF2" wp14:editId="70D725C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2DFF" w:rsidRPr="00E76CD6" w14:paraId="0418A0C8" w14:textId="77777777" w:rsidTr="00F76A0D">
        <w:trPr>
          <w:trHeight w:val="315"/>
        </w:trPr>
        <w:tc>
          <w:tcPr>
            <w:tcW w:w="893" w:type="dxa"/>
            <w:vAlign w:val="center"/>
            <w:hideMark/>
          </w:tcPr>
          <w:p w14:paraId="71EDAE3D" w14:textId="77777777" w:rsidR="00362DFF" w:rsidRPr="00E76CD6" w:rsidRDefault="00362DFF" w:rsidP="00F76A0D">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64250D9" w14:textId="77777777" w:rsidR="00362DFF" w:rsidRPr="00E76CD6" w:rsidRDefault="00362DFF" w:rsidP="00F76A0D">
            <w:pPr>
              <w:contextualSpacing/>
              <w:rPr>
                <w:rFonts w:ascii="Verdana" w:hAnsi="Verdana"/>
                <w:sz w:val="16"/>
                <w:szCs w:val="16"/>
              </w:rPr>
            </w:pPr>
            <w:r w:rsidRPr="00E76CD6">
              <w:rPr>
                <w:rFonts w:ascii="Verdana" w:hAnsi="Verdana"/>
                <w:sz w:val="16"/>
                <w:szCs w:val="16"/>
              </w:rPr>
              <w:t>Sergio Enrique Caballero Lesmes</w:t>
            </w:r>
          </w:p>
          <w:p w14:paraId="792463E1" w14:textId="77777777" w:rsidR="00362DFF" w:rsidRPr="00E76CD6" w:rsidRDefault="00362DFF" w:rsidP="00F76A0D">
            <w:pPr>
              <w:contextualSpacing/>
              <w:rPr>
                <w:rFonts w:ascii="Verdana" w:eastAsia="Arial" w:hAnsi="Verdana" w:cs="Arial"/>
                <w:sz w:val="16"/>
                <w:szCs w:val="16"/>
              </w:rPr>
            </w:pPr>
            <w:r w:rsidRPr="00E76CD6">
              <w:rPr>
                <w:rFonts w:ascii="Verdana" w:hAnsi="Verdana"/>
                <w:sz w:val="16"/>
                <w:szCs w:val="16"/>
              </w:rPr>
              <w:t>Analista T2-02 de la Subdirección de Gestión Contractual</w:t>
            </w:r>
          </w:p>
        </w:tc>
      </w:tr>
      <w:tr w:rsidR="00362DFF" w:rsidRPr="00E76CD6" w14:paraId="7757B81D" w14:textId="77777777" w:rsidTr="00F76A0D">
        <w:trPr>
          <w:trHeight w:val="330"/>
        </w:trPr>
        <w:tc>
          <w:tcPr>
            <w:tcW w:w="893" w:type="dxa"/>
            <w:vAlign w:val="center"/>
            <w:hideMark/>
          </w:tcPr>
          <w:p w14:paraId="3FDCDDD1" w14:textId="77777777" w:rsidR="00362DFF" w:rsidRPr="00E76CD6" w:rsidRDefault="00362DFF" w:rsidP="00F76A0D">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366781" w14:textId="77777777" w:rsidR="00362DFF" w:rsidRPr="00E76CD6" w:rsidRDefault="00362DFF" w:rsidP="00F76A0D">
            <w:pPr>
              <w:contextualSpacing/>
              <w:rPr>
                <w:rFonts w:ascii="Verdana" w:hAnsi="Verdana"/>
                <w:sz w:val="16"/>
                <w:szCs w:val="16"/>
              </w:rPr>
            </w:pPr>
            <w:r>
              <w:rPr>
                <w:rFonts w:ascii="Verdana" w:hAnsi="Verdana"/>
                <w:sz w:val="16"/>
                <w:szCs w:val="16"/>
              </w:rPr>
              <w:t>Juan Carlos González Vásquez</w:t>
            </w:r>
          </w:p>
          <w:p w14:paraId="1D2D8BC5" w14:textId="77777777" w:rsidR="00362DFF" w:rsidRPr="00E76CD6" w:rsidRDefault="00362DFF" w:rsidP="00F76A0D">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eastAsiaTheme="majorEastAsia" w:hAnsi="Verdana"/>
                <w:sz w:val="16"/>
                <w:szCs w:val="16"/>
              </w:rPr>
              <w:t> </w:t>
            </w:r>
          </w:p>
        </w:tc>
      </w:tr>
      <w:tr w:rsidR="00362DFF" w:rsidRPr="00E76CD6" w14:paraId="5DC81DCF" w14:textId="77777777" w:rsidTr="00F76A0D">
        <w:trPr>
          <w:trHeight w:val="300"/>
        </w:trPr>
        <w:tc>
          <w:tcPr>
            <w:tcW w:w="893" w:type="dxa"/>
            <w:vAlign w:val="center"/>
          </w:tcPr>
          <w:p w14:paraId="7B3F2F89" w14:textId="77777777" w:rsidR="00362DFF" w:rsidRPr="00E76CD6" w:rsidRDefault="00362DFF" w:rsidP="00F76A0D">
            <w:pPr>
              <w:contextualSpacing/>
              <w:rPr>
                <w:rFonts w:ascii="Verdana" w:hAnsi="Verdana" w:cs="Arial"/>
                <w:sz w:val="16"/>
                <w:szCs w:val="16"/>
                <w:lang w:eastAsia="es-ES"/>
              </w:rPr>
            </w:pPr>
            <w:r w:rsidRPr="00E76C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0F967A" w14:textId="77777777" w:rsidR="00362DFF" w:rsidRPr="00E76CD6" w:rsidRDefault="00362DFF" w:rsidP="00F76A0D">
            <w:r w:rsidRPr="00E76CD6">
              <w:rPr>
                <w:rFonts w:ascii="Verdana" w:eastAsia="Calibri" w:hAnsi="Verdana" w:cs="Arial"/>
                <w:sz w:val="16"/>
                <w:szCs w:val="16"/>
                <w:lang w:eastAsia="es-ES"/>
              </w:rPr>
              <w:t>Carolina Quintero Gacharná</w:t>
            </w:r>
          </w:p>
          <w:p w14:paraId="6B0C9BF6" w14:textId="77777777" w:rsidR="00362DFF" w:rsidRPr="00E76CD6" w:rsidRDefault="00362DFF" w:rsidP="00F76A0D">
            <w:pPr>
              <w:contextualSpacing/>
              <w:rPr>
                <w:rFonts w:ascii="Verdana" w:eastAsia="Calibri" w:hAnsi="Verdana" w:cs="Arial"/>
                <w:sz w:val="16"/>
                <w:szCs w:val="16"/>
                <w:lang w:eastAsia="es-ES"/>
              </w:rPr>
            </w:pPr>
            <w:r w:rsidRPr="00E76CD6">
              <w:rPr>
                <w:rFonts w:ascii="Verdana" w:eastAsia="Calibri" w:hAnsi="Verdana" w:cs="Arial"/>
                <w:sz w:val="16"/>
                <w:szCs w:val="16"/>
                <w:lang w:eastAsia="es-ES"/>
              </w:rPr>
              <w:t xml:space="preserve">Subdirectora de Gestión Contractual ANCP – CCE </w:t>
            </w:r>
          </w:p>
        </w:tc>
      </w:tr>
    </w:tbl>
    <w:p w14:paraId="612C6856" w14:textId="77777777" w:rsidR="00362DFF" w:rsidRPr="0044528D" w:rsidRDefault="00362DFF" w:rsidP="00362DFF">
      <w:pPr>
        <w:spacing w:after="0"/>
        <w:rPr>
          <w:rFonts w:ascii="Verdana" w:eastAsia="Times New Roman" w:hAnsi="Verdana" w:cs="Segoe UI"/>
          <w:b/>
          <w:bCs/>
          <w:color w:val="46589C"/>
          <w:lang w:val="es-ES" w:eastAsia="es-CO"/>
        </w:rPr>
      </w:pPr>
    </w:p>
    <w:p w14:paraId="59582327" w14:textId="77777777" w:rsidR="00C24FFE" w:rsidRPr="00362DFF" w:rsidRDefault="00C24FFE" w:rsidP="00362DFF"/>
    <w:sectPr w:rsidR="00C24FFE" w:rsidRPr="00362DFF" w:rsidSect="00362DFF">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EA8F6" w14:textId="77777777" w:rsidR="00362DFF" w:rsidRDefault="00362DFF" w:rsidP="00362DFF">
      <w:pPr>
        <w:spacing w:after="0" w:line="240" w:lineRule="auto"/>
      </w:pPr>
      <w:r>
        <w:separator/>
      </w:r>
    </w:p>
  </w:endnote>
  <w:endnote w:type="continuationSeparator" w:id="0">
    <w:p w14:paraId="6D294B56" w14:textId="77777777" w:rsidR="00362DFF" w:rsidRDefault="00362DFF" w:rsidP="00362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9403" w14:textId="77777777" w:rsidR="00362DFF" w:rsidRDefault="00362DFF">
    <w:pPr>
      <w:pStyle w:val="Piedepgina"/>
    </w:pPr>
  </w:p>
  <w:p w14:paraId="4D74FDAC" w14:textId="77777777" w:rsidR="00362DFF" w:rsidRPr="00174B77" w:rsidRDefault="00362DF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C348D5F" w14:textId="77777777" w:rsidR="00362DFF" w:rsidRDefault="00362DF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7203FD8" w14:textId="77777777" w:rsidR="00362DFF" w:rsidRPr="00E41027" w:rsidRDefault="00362DFF" w:rsidP="00D520D8">
    <w:pPr>
      <w:spacing w:after="0"/>
      <w:jc w:val="both"/>
      <w:rPr>
        <w:rFonts w:ascii="Verdana" w:hAnsi="Verdana"/>
        <w:sz w:val="18"/>
        <w:szCs w:val="18"/>
      </w:rPr>
    </w:pPr>
    <w:r w:rsidRPr="00E41027">
      <w:rPr>
        <w:rFonts w:ascii="Verdana" w:hAnsi="Verdana"/>
        <w:sz w:val="18"/>
        <w:szCs w:val="18"/>
      </w:rPr>
      <w:t>Mesa de servicio: (+57) 601 7456788</w:t>
    </w:r>
  </w:p>
  <w:p w14:paraId="1B3DFC24" w14:textId="77777777" w:rsidR="00362DFF" w:rsidRDefault="00362DF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706E" w14:textId="77777777" w:rsidR="00362DFF" w:rsidRDefault="00362DFF" w:rsidP="00362DFF">
      <w:pPr>
        <w:spacing w:after="0" w:line="240" w:lineRule="auto"/>
      </w:pPr>
      <w:r>
        <w:separator/>
      </w:r>
    </w:p>
  </w:footnote>
  <w:footnote w:type="continuationSeparator" w:id="0">
    <w:p w14:paraId="3E0683C6" w14:textId="77777777" w:rsidR="00362DFF" w:rsidRDefault="00362DFF" w:rsidP="00362DFF">
      <w:pPr>
        <w:spacing w:after="0" w:line="240" w:lineRule="auto"/>
      </w:pPr>
      <w:r>
        <w:continuationSeparator/>
      </w:r>
    </w:p>
  </w:footnote>
  <w:footnote w:id="1">
    <w:p w14:paraId="32C254AF" w14:textId="77777777" w:rsidR="00362DFF" w:rsidRPr="00E225F9" w:rsidRDefault="00362DFF" w:rsidP="00362DFF">
      <w:pPr>
        <w:pStyle w:val="Textonotapie"/>
        <w:ind w:firstLine="709"/>
        <w:jc w:val="both"/>
        <w:rPr>
          <w:rFonts w:ascii="Verdana" w:hAnsi="Verdana" w:cs="Arial"/>
          <w:sz w:val="14"/>
          <w:szCs w:val="14"/>
        </w:rPr>
      </w:pPr>
      <w:r w:rsidRPr="00E225F9">
        <w:rPr>
          <w:rStyle w:val="Refdenotaalpie"/>
          <w:rFonts w:ascii="Verdana" w:hAnsi="Verdana" w:cs="Arial"/>
          <w:sz w:val="14"/>
          <w:szCs w:val="14"/>
        </w:rPr>
        <w:footnoteRef/>
      </w:r>
      <w:r w:rsidRPr="00E225F9">
        <w:rPr>
          <w:rFonts w:ascii="Verdana" w:hAnsi="Verdana" w:cs="Arial"/>
          <w:sz w:val="14"/>
          <w:szCs w:val="14"/>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64378248" w14:textId="77777777" w:rsidR="00362DFF" w:rsidRPr="00E225F9" w:rsidRDefault="00362DFF" w:rsidP="00362DFF">
      <w:pPr>
        <w:pStyle w:val="Textonotapie"/>
        <w:ind w:firstLine="709"/>
        <w:jc w:val="both"/>
        <w:rPr>
          <w:rFonts w:ascii="Verdana" w:hAnsi="Verdana" w:cs="Arial"/>
          <w:sz w:val="14"/>
          <w:szCs w:val="14"/>
        </w:rPr>
      </w:pPr>
      <w:r w:rsidRPr="00E225F9">
        <w:rPr>
          <w:rFonts w:ascii="Verdana" w:hAnsi="Verdana" w:cs="Arial"/>
          <w:sz w:val="14"/>
          <w:szCs w:val="14"/>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408DF3A6" w14:textId="77777777" w:rsidR="00362DFF" w:rsidRPr="00E225F9" w:rsidRDefault="00362DFF" w:rsidP="00362DFF">
      <w:pPr>
        <w:pStyle w:val="Textonotapie"/>
        <w:ind w:firstLine="709"/>
        <w:jc w:val="both"/>
        <w:rPr>
          <w:rFonts w:ascii="Verdana" w:hAnsi="Verdana" w:cs="Arial"/>
          <w:sz w:val="14"/>
          <w:szCs w:val="14"/>
        </w:rPr>
      </w:pPr>
      <w:r w:rsidRPr="00E225F9">
        <w:rPr>
          <w:rFonts w:ascii="Verdana" w:hAnsi="Verdana" w:cs="Arial"/>
          <w:sz w:val="14"/>
          <w:szCs w:val="14"/>
        </w:rPr>
        <w:t>[…]”.</w:t>
      </w:r>
    </w:p>
  </w:footnote>
  <w:footnote w:id="2">
    <w:p w14:paraId="20C90BF0" w14:textId="77777777" w:rsidR="00362DFF" w:rsidRPr="00E225F9" w:rsidRDefault="00362DFF" w:rsidP="00362DFF">
      <w:pPr>
        <w:pStyle w:val="Textonotapie"/>
        <w:ind w:right="49" w:firstLine="709"/>
        <w:jc w:val="both"/>
        <w:rPr>
          <w:rFonts w:ascii="Verdana" w:hAnsi="Verdana" w:cs="Arial"/>
          <w:color w:val="000000" w:themeColor="text1"/>
          <w:sz w:val="14"/>
          <w:szCs w:val="14"/>
        </w:rPr>
      </w:pPr>
      <w:r w:rsidRPr="00E225F9">
        <w:rPr>
          <w:rStyle w:val="Refdenotaalpie"/>
          <w:rFonts w:ascii="Verdana" w:hAnsi="Verdana" w:cs="Arial"/>
          <w:color w:val="000000" w:themeColor="text1"/>
          <w:sz w:val="14"/>
          <w:szCs w:val="14"/>
        </w:rPr>
        <w:footnoteRef/>
      </w:r>
      <w:r w:rsidRPr="00E225F9">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5BDBA77D" w14:textId="77777777" w:rsidR="00362DFF" w:rsidRPr="00E225F9" w:rsidRDefault="00362DFF" w:rsidP="00362DFF">
      <w:pPr>
        <w:pStyle w:val="Textonotapie"/>
        <w:ind w:right="49" w:firstLine="709"/>
        <w:jc w:val="both"/>
        <w:rPr>
          <w:rFonts w:ascii="Verdana" w:hAnsi="Verdana" w:cs="Arial"/>
          <w:color w:val="000000" w:themeColor="text1"/>
          <w:sz w:val="14"/>
          <w:szCs w:val="14"/>
        </w:rPr>
      </w:pPr>
      <w:r w:rsidRPr="00E225F9">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4B5542F" w14:textId="77777777" w:rsidR="00362DFF" w:rsidRPr="00E225F9" w:rsidRDefault="00362DFF" w:rsidP="00362DFF">
      <w:pPr>
        <w:pStyle w:val="Textonotapie"/>
        <w:ind w:right="49" w:firstLine="709"/>
        <w:jc w:val="both"/>
        <w:rPr>
          <w:rFonts w:ascii="Verdana" w:hAnsi="Verdana" w:cs="Arial"/>
          <w:color w:val="000000" w:themeColor="text1"/>
          <w:sz w:val="14"/>
          <w:szCs w:val="14"/>
        </w:rPr>
      </w:pPr>
    </w:p>
  </w:footnote>
  <w:footnote w:id="3">
    <w:p w14:paraId="0B6B4686" w14:textId="77777777" w:rsidR="00362DFF" w:rsidRPr="00E225F9" w:rsidRDefault="00362DFF" w:rsidP="00362DFF">
      <w:pPr>
        <w:pStyle w:val="Textonotapie"/>
        <w:ind w:right="49" w:firstLine="709"/>
        <w:jc w:val="both"/>
        <w:rPr>
          <w:rFonts w:ascii="Verdana" w:hAnsi="Verdana" w:cs="Arial"/>
          <w:color w:val="000000" w:themeColor="text1"/>
          <w:sz w:val="14"/>
          <w:szCs w:val="14"/>
        </w:rPr>
      </w:pPr>
      <w:r w:rsidRPr="00E225F9">
        <w:rPr>
          <w:rFonts w:ascii="Verdana" w:hAnsi="Verdana" w:cs="Arial"/>
          <w:color w:val="000000" w:themeColor="text1"/>
          <w:sz w:val="14"/>
          <w:szCs w:val="14"/>
          <w:vertAlign w:val="superscript"/>
          <w:lang w:val="es-ES" w:eastAsia="es-ES"/>
        </w:rPr>
        <w:footnoteRef/>
      </w:r>
      <w:r w:rsidRPr="00E225F9">
        <w:rPr>
          <w:rFonts w:ascii="Verdana" w:hAnsi="Verdana" w:cs="Arial"/>
          <w:color w:val="000000" w:themeColor="text1"/>
          <w:sz w:val="14"/>
          <w:szCs w:val="14"/>
          <w:vertAlign w:val="superscript"/>
          <w:lang w:val="es-ES" w:eastAsia="es-ES"/>
        </w:rPr>
        <w:t xml:space="preserve"> </w:t>
      </w:r>
      <w:r w:rsidRPr="00E225F9">
        <w:rPr>
          <w:rFonts w:ascii="Verdana" w:hAnsi="Verdana" w:cs="Arial"/>
          <w:color w:val="000000" w:themeColor="text1"/>
          <w:sz w:val="14"/>
          <w:szCs w:val="14"/>
          <w:lang w:val="es-ES" w:eastAsia="es-ES"/>
        </w:rPr>
        <w:t>“</w:t>
      </w:r>
      <w:r w:rsidRPr="00E225F9">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D7D460B" w14:textId="77777777" w:rsidR="00362DFF" w:rsidRPr="00E225F9" w:rsidRDefault="00362DFF" w:rsidP="00362DFF">
      <w:pPr>
        <w:pStyle w:val="Textonotapie"/>
        <w:ind w:right="49" w:firstLine="709"/>
        <w:jc w:val="both"/>
        <w:rPr>
          <w:rFonts w:ascii="Verdana" w:hAnsi="Verdana" w:cs="Arial"/>
          <w:color w:val="000000" w:themeColor="text1"/>
          <w:sz w:val="14"/>
          <w:szCs w:val="14"/>
          <w:lang w:val="es-ES" w:eastAsia="es-ES"/>
        </w:rPr>
      </w:pPr>
      <w:r w:rsidRPr="00E225F9">
        <w:rPr>
          <w:rFonts w:ascii="Verdana" w:hAnsi="Verdana" w:cs="Arial"/>
          <w:color w:val="000000" w:themeColor="text1"/>
          <w:sz w:val="14"/>
          <w:szCs w:val="14"/>
        </w:rPr>
        <w:t>[…].</w:t>
      </w:r>
    </w:p>
    <w:p w14:paraId="39F4D2C9" w14:textId="77777777" w:rsidR="00362DFF" w:rsidRPr="00E225F9" w:rsidRDefault="00362DFF" w:rsidP="00362DFF">
      <w:pPr>
        <w:pStyle w:val="Textonotapie"/>
        <w:ind w:right="49" w:firstLine="709"/>
        <w:jc w:val="both"/>
        <w:rPr>
          <w:rFonts w:ascii="Verdana" w:hAnsi="Verdana" w:cs="Arial"/>
          <w:color w:val="000000" w:themeColor="text1"/>
          <w:sz w:val="14"/>
          <w:szCs w:val="14"/>
          <w:lang w:val="es-ES" w:eastAsia="es-ES"/>
        </w:rPr>
      </w:pPr>
      <w:r w:rsidRPr="00E225F9">
        <w:rPr>
          <w:rFonts w:ascii="Verdana"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0474B1B" w14:textId="77777777" w:rsidR="00362DFF" w:rsidRPr="00E225F9" w:rsidRDefault="00362DFF" w:rsidP="00362DFF">
      <w:pPr>
        <w:pStyle w:val="Textonotapie"/>
        <w:ind w:right="49" w:firstLine="709"/>
        <w:jc w:val="both"/>
        <w:rPr>
          <w:rFonts w:ascii="Verdana" w:hAnsi="Verdana" w:cs="Arial"/>
          <w:color w:val="000000" w:themeColor="text1"/>
          <w:sz w:val="14"/>
          <w:szCs w:val="14"/>
          <w:lang w:val="es-ES" w:eastAsia="es-ES"/>
        </w:rPr>
      </w:pPr>
    </w:p>
  </w:footnote>
  <w:footnote w:id="4">
    <w:p w14:paraId="4A18F55E" w14:textId="77777777" w:rsidR="00362DFF" w:rsidRPr="00E225F9" w:rsidRDefault="00362DFF" w:rsidP="00362DFF">
      <w:pPr>
        <w:pStyle w:val="Textonotapie"/>
        <w:ind w:right="49" w:firstLine="708"/>
        <w:jc w:val="both"/>
        <w:rPr>
          <w:rFonts w:ascii="Verdana" w:hAnsi="Verdana" w:cs="Arial"/>
          <w:color w:val="000000" w:themeColor="text1"/>
          <w:sz w:val="14"/>
          <w:szCs w:val="14"/>
        </w:rPr>
      </w:pPr>
      <w:r w:rsidRPr="00E225F9">
        <w:rPr>
          <w:rStyle w:val="Refdenotaalpie"/>
          <w:rFonts w:ascii="Verdana" w:hAnsi="Verdana" w:cs="Arial"/>
          <w:color w:val="000000" w:themeColor="text1"/>
          <w:sz w:val="14"/>
          <w:szCs w:val="14"/>
        </w:rPr>
        <w:footnoteRef/>
      </w:r>
      <w:r w:rsidRPr="00E225F9">
        <w:rPr>
          <w:rFonts w:ascii="Verdana" w:hAnsi="Verdana"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A89F795" w14:textId="77777777" w:rsidR="00362DFF" w:rsidRPr="00E225F9" w:rsidRDefault="00362DFF" w:rsidP="00362DFF">
      <w:pPr>
        <w:pStyle w:val="Textonotapie"/>
        <w:ind w:right="49" w:firstLine="708"/>
        <w:jc w:val="both"/>
        <w:rPr>
          <w:rFonts w:ascii="Verdana" w:hAnsi="Verdana" w:cs="Arial"/>
          <w:color w:val="000000" w:themeColor="text1"/>
          <w:sz w:val="14"/>
          <w:szCs w:val="14"/>
          <w:lang w:val="es-ES"/>
        </w:rPr>
      </w:pPr>
      <w:r w:rsidRPr="00E225F9">
        <w:rPr>
          <w:rFonts w:ascii="Verdana" w:hAnsi="Verdana"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59EBEE96" w14:textId="77777777" w:rsidR="00362DFF" w:rsidRPr="00E225F9" w:rsidRDefault="00362DFF" w:rsidP="00362DFF">
      <w:pPr>
        <w:pStyle w:val="Textonotapie"/>
        <w:ind w:firstLine="708"/>
        <w:jc w:val="both"/>
        <w:rPr>
          <w:rFonts w:ascii="Verdana" w:hAnsi="Verdana" w:cs="Arial"/>
          <w:sz w:val="14"/>
          <w:szCs w:val="14"/>
          <w:lang w:val="es-CO"/>
        </w:rPr>
      </w:pPr>
      <w:r w:rsidRPr="00E225F9">
        <w:rPr>
          <w:rStyle w:val="Refdenotaalpie"/>
          <w:rFonts w:ascii="Verdana" w:hAnsi="Verdana" w:cs="Arial"/>
          <w:sz w:val="14"/>
          <w:szCs w:val="14"/>
        </w:rPr>
        <w:footnoteRef/>
      </w:r>
      <w:r w:rsidRPr="00E225F9">
        <w:rPr>
          <w:rFonts w:ascii="Verdana" w:hAnsi="Verdana" w:cs="Arial"/>
          <w:sz w:val="14"/>
          <w:szCs w:val="14"/>
        </w:rPr>
        <w:t xml:space="preserve"> Decreto 1082 de 2015 “Artículo 2.2.1.2.1.4.3. No publicidad de estudios y documentos previos.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w:t>
      </w:r>
    </w:p>
  </w:footnote>
  <w:footnote w:id="6">
    <w:p w14:paraId="4B2CDA11" w14:textId="77777777" w:rsidR="00362DFF" w:rsidRPr="00E225F9" w:rsidRDefault="00362DFF" w:rsidP="00362DFF">
      <w:pPr>
        <w:pStyle w:val="Textonotapie"/>
        <w:rPr>
          <w:rFonts w:ascii="Verdana" w:hAnsi="Verdana" w:cs="Arial"/>
          <w:sz w:val="14"/>
          <w:szCs w:val="14"/>
        </w:rPr>
      </w:pPr>
    </w:p>
    <w:p w14:paraId="12B69565" w14:textId="77777777" w:rsidR="00362DFF" w:rsidRPr="00E225F9" w:rsidRDefault="00362DFF" w:rsidP="00362DFF">
      <w:pPr>
        <w:pStyle w:val="Textonotapie"/>
        <w:ind w:firstLine="708"/>
        <w:jc w:val="both"/>
        <w:rPr>
          <w:rFonts w:ascii="Verdana" w:hAnsi="Verdana" w:cs="Arial"/>
          <w:sz w:val="14"/>
          <w:szCs w:val="14"/>
        </w:rPr>
      </w:pPr>
      <w:r w:rsidRPr="00E225F9">
        <w:rPr>
          <w:rStyle w:val="Refdenotaalpie"/>
          <w:rFonts w:ascii="Verdana" w:hAnsi="Verdana" w:cs="Arial"/>
          <w:sz w:val="14"/>
          <w:szCs w:val="14"/>
        </w:rPr>
        <w:footnoteRef/>
      </w:r>
      <w:r w:rsidRPr="00E225F9">
        <w:rPr>
          <w:rFonts w:ascii="Verdana" w:hAnsi="Verdana" w:cs="Arial"/>
          <w:sz w:val="14"/>
          <w:szCs w:val="14"/>
        </w:rPr>
        <w:t xml:space="preserve"> Decreto 1082 de 2015 “Artículo 2.2.1.2.1.4.6. Contratación de Bienes y Servicios en el Sector Defensa, </w:t>
      </w:r>
      <w:bookmarkStart w:id="8" w:name="_Hlk48034091"/>
      <w:r w:rsidRPr="00E225F9">
        <w:rPr>
          <w:rFonts w:ascii="Verdana" w:hAnsi="Verdana" w:cs="Arial"/>
          <w:sz w:val="14"/>
          <w:szCs w:val="14"/>
        </w:rPr>
        <w:t>la Dirección Nacional de Inteligencia y la Unidad Nacional de Protección</w:t>
      </w:r>
      <w:bookmarkEnd w:id="8"/>
      <w:r w:rsidRPr="00E225F9">
        <w:rPr>
          <w:rFonts w:ascii="Verdana" w:hAnsi="Verdana" w:cs="Arial"/>
          <w:sz w:val="14"/>
          <w:szCs w:val="14"/>
        </w:rPr>
        <w:t xml:space="preserve"> que necesiten reserva para su adquisición.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018E07A8" w14:textId="77777777" w:rsidR="00362DFF" w:rsidRPr="00E225F9" w:rsidRDefault="00362DFF" w:rsidP="00362DFF">
      <w:pPr>
        <w:pStyle w:val="Textonotapie"/>
        <w:ind w:firstLine="708"/>
        <w:rPr>
          <w:rFonts w:ascii="Verdana" w:hAnsi="Verdana"/>
          <w:sz w:val="14"/>
          <w:szCs w:val="14"/>
          <w:lang w:val="es-CO"/>
        </w:rPr>
      </w:pPr>
      <w:r w:rsidRPr="00E225F9">
        <w:rPr>
          <w:rFonts w:ascii="Verdana" w:hAnsi="Verdana"/>
          <w:sz w:val="14"/>
          <w:szCs w:val="14"/>
        </w:rPr>
        <w:t xml:space="preserve"> </w:t>
      </w:r>
    </w:p>
  </w:footnote>
  <w:footnote w:id="7">
    <w:p w14:paraId="40C861D7" w14:textId="77777777" w:rsidR="00362DFF" w:rsidRPr="00E225F9" w:rsidRDefault="00362DFF" w:rsidP="00362DFF">
      <w:pPr>
        <w:pStyle w:val="Textonotapie"/>
        <w:ind w:firstLine="708"/>
        <w:jc w:val="both"/>
        <w:rPr>
          <w:rFonts w:ascii="Verdana" w:hAnsi="Verdana" w:cs="Arial"/>
          <w:sz w:val="14"/>
          <w:szCs w:val="14"/>
        </w:rPr>
      </w:pPr>
      <w:r w:rsidRPr="00E225F9">
        <w:rPr>
          <w:rStyle w:val="Refdenotaalpie"/>
          <w:rFonts w:ascii="Verdana" w:hAnsi="Verdana" w:cs="Arial"/>
          <w:sz w:val="14"/>
          <w:szCs w:val="14"/>
        </w:rPr>
        <w:footnoteRef/>
      </w:r>
      <w:r w:rsidRPr="00E225F9">
        <w:rPr>
          <w:rFonts w:ascii="Verdana" w:hAnsi="Verdana" w:cs="Arial"/>
          <w:sz w:val="14"/>
          <w:szCs w:val="14"/>
        </w:rPr>
        <w:t xml:space="preserve"> Consultado el 8 de mayo de 2023 en la página web </w:t>
      </w:r>
      <w:hyperlink r:id="rId1" w:history="1">
        <w:r w:rsidRPr="00E225F9">
          <w:rPr>
            <w:rStyle w:val="Hipervnculo"/>
            <w:rFonts w:ascii="Verdana" w:hAnsi="Verdana" w:cs="Arial"/>
            <w:sz w:val="14"/>
            <w:szCs w:val="14"/>
          </w:rPr>
          <w:t>https://www.colombiacompra.gov.co/sites/cce_public/files/cce_step/cce-sec-gi-01provpcgestioncontractual07-09-2020_0.pdf</w:t>
        </w:r>
      </w:hyperlink>
      <w:r w:rsidRPr="00E225F9">
        <w:rPr>
          <w:rFonts w:ascii="Verdana" w:hAnsi="Verdana"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5C95" w14:textId="77777777" w:rsidR="00362DFF" w:rsidRDefault="00362DF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D951CE5" wp14:editId="4C82530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EB9466F" wp14:editId="64CFDDF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9129F83" w14:textId="77777777" w:rsidR="00362DFF" w:rsidRDefault="00362DFF">
    <w:pPr>
      <w:pStyle w:val="Encabezado"/>
    </w:pPr>
  </w:p>
  <w:p w14:paraId="3A7E4732" w14:textId="77777777" w:rsidR="00362DFF" w:rsidRDefault="00362DFF" w:rsidP="004A305D">
    <w:pPr>
      <w:spacing w:after="0"/>
      <w:rPr>
        <w:rFonts w:ascii="Verdana" w:hAnsi="Verdana"/>
        <w:b/>
        <w:bCs/>
      </w:rPr>
    </w:pPr>
  </w:p>
  <w:p w14:paraId="197E2481" w14:textId="77777777" w:rsidR="00362DFF" w:rsidRPr="00DC39FC" w:rsidRDefault="00362DFF" w:rsidP="004A305D">
    <w:pPr>
      <w:spacing w:after="0"/>
      <w:rPr>
        <w:rFonts w:ascii="Verdana" w:hAnsi="Verdana"/>
        <w:b/>
        <w:bCs/>
      </w:rPr>
    </w:pPr>
    <w:r w:rsidRPr="00DC39FC">
      <w:rPr>
        <w:rFonts w:ascii="Verdana" w:hAnsi="Verdana"/>
        <w:b/>
        <w:bCs/>
      </w:rPr>
      <w:t>FORMATO PQRSD</w:t>
    </w:r>
  </w:p>
  <w:p w14:paraId="174B2C74" w14:textId="77777777" w:rsidR="00362DFF" w:rsidRPr="004A305D" w:rsidRDefault="00362DFF" w:rsidP="00B01B1A">
    <w:pPr>
      <w:spacing w:after="0" w:line="120" w:lineRule="auto"/>
      <w:rPr>
        <w:rFonts w:ascii="Century Gothic" w:eastAsia="Geo" w:hAnsi="Century Gothic" w:cs="Geo"/>
        <w:sz w:val="16"/>
        <w:szCs w:val="16"/>
        <w:lang w:eastAsia="es-CO"/>
      </w:rPr>
    </w:pPr>
  </w:p>
  <w:p w14:paraId="39F50B79" w14:textId="77777777" w:rsidR="00362DFF" w:rsidRDefault="00362DF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351" w:hanging="360"/>
      </w:pPr>
      <w:rPr>
        <w:rFonts w:ascii="Symbol" w:hAnsi="Symbol" w:hint="default"/>
      </w:rPr>
    </w:lvl>
    <w:lvl w:ilvl="1" w:tplc="040A0003" w:tentative="1">
      <w:start w:val="1"/>
      <w:numFmt w:val="bullet"/>
      <w:lvlText w:val="o"/>
      <w:lvlJc w:val="left"/>
      <w:pPr>
        <w:ind w:left="369" w:hanging="360"/>
      </w:pPr>
      <w:rPr>
        <w:rFonts w:ascii="Courier New" w:hAnsi="Courier New" w:cs="Courier New" w:hint="default"/>
      </w:rPr>
    </w:lvl>
    <w:lvl w:ilvl="2" w:tplc="040A0005" w:tentative="1">
      <w:start w:val="1"/>
      <w:numFmt w:val="bullet"/>
      <w:lvlText w:val=""/>
      <w:lvlJc w:val="left"/>
      <w:pPr>
        <w:ind w:left="1089" w:hanging="360"/>
      </w:pPr>
      <w:rPr>
        <w:rFonts w:ascii="Wingdings" w:hAnsi="Wingdings" w:hint="default"/>
      </w:rPr>
    </w:lvl>
    <w:lvl w:ilvl="3" w:tplc="040A0001" w:tentative="1">
      <w:start w:val="1"/>
      <w:numFmt w:val="bullet"/>
      <w:lvlText w:val=""/>
      <w:lvlJc w:val="left"/>
      <w:pPr>
        <w:ind w:left="1809" w:hanging="360"/>
      </w:pPr>
      <w:rPr>
        <w:rFonts w:ascii="Symbol" w:hAnsi="Symbol" w:hint="default"/>
      </w:rPr>
    </w:lvl>
    <w:lvl w:ilvl="4" w:tplc="040A0003" w:tentative="1">
      <w:start w:val="1"/>
      <w:numFmt w:val="bullet"/>
      <w:lvlText w:val="o"/>
      <w:lvlJc w:val="left"/>
      <w:pPr>
        <w:ind w:left="2529" w:hanging="360"/>
      </w:pPr>
      <w:rPr>
        <w:rFonts w:ascii="Courier New" w:hAnsi="Courier New" w:cs="Courier New" w:hint="default"/>
      </w:rPr>
    </w:lvl>
    <w:lvl w:ilvl="5" w:tplc="040A0005" w:tentative="1">
      <w:start w:val="1"/>
      <w:numFmt w:val="bullet"/>
      <w:lvlText w:val=""/>
      <w:lvlJc w:val="left"/>
      <w:pPr>
        <w:ind w:left="3249" w:hanging="360"/>
      </w:pPr>
      <w:rPr>
        <w:rFonts w:ascii="Wingdings" w:hAnsi="Wingdings" w:hint="default"/>
      </w:rPr>
    </w:lvl>
    <w:lvl w:ilvl="6" w:tplc="040A0001" w:tentative="1">
      <w:start w:val="1"/>
      <w:numFmt w:val="bullet"/>
      <w:lvlText w:val=""/>
      <w:lvlJc w:val="left"/>
      <w:pPr>
        <w:ind w:left="3969" w:hanging="360"/>
      </w:pPr>
      <w:rPr>
        <w:rFonts w:ascii="Symbol" w:hAnsi="Symbol" w:hint="default"/>
      </w:rPr>
    </w:lvl>
    <w:lvl w:ilvl="7" w:tplc="040A0003" w:tentative="1">
      <w:start w:val="1"/>
      <w:numFmt w:val="bullet"/>
      <w:lvlText w:val="o"/>
      <w:lvlJc w:val="left"/>
      <w:pPr>
        <w:ind w:left="4689" w:hanging="360"/>
      </w:pPr>
      <w:rPr>
        <w:rFonts w:ascii="Courier New" w:hAnsi="Courier New" w:cs="Courier New" w:hint="default"/>
      </w:rPr>
    </w:lvl>
    <w:lvl w:ilvl="8" w:tplc="040A0005" w:tentative="1">
      <w:start w:val="1"/>
      <w:numFmt w:val="bullet"/>
      <w:lvlText w:val=""/>
      <w:lvlJc w:val="left"/>
      <w:pPr>
        <w:ind w:left="5409"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FF"/>
    <w:rsid w:val="000A12BE"/>
    <w:rsid w:val="00362DFF"/>
    <w:rsid w:val="00474DF4"/>
    <w:rsid w:val="00485D25"/>
    <w:rsid w:val="004F471F"/>
    <w:rsid w:val="004F4FE9"/>
    <w:rsid w:val="00A5239B"/>
    <w:rsid w:val="00C24FFE"/>
    <w:rsid w:val="00CB1E0D"/>
    <w:rsid w:val="00DE70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3D23"/>
  <w15:chartTrackingRefBased/>
  <w15:docId w15:val="{BD1E1C57-039B-4AEA-8F54-842E09E7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FF"/>
    <w:rPr>
      <w:kern w:val="0"/>
      <w14:ligatures w14:val="none"/>
    </w:rPr>
  </w:style>
  <w:style w:type="paragraph" w:styleId="Ttulo1">
    <w:name w:val="heading 1"/>
    <w:basedOn w:val="Normal"/>
    <w:next w:val="Normal"/>
    <w:link w:val="Ttulo1Car"/>
    <w:uiPriority w:val="9"/>
    <w:qFormat/>
    <w:rsid w:val="00362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62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62DF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62DF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62DF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62D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2D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2D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2D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2DF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62DF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62DF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62DF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62DF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62D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2D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2D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2DFF"/>
    <w:rPr>
      <w:rFonts w:eastAsiaTheme="majorEastAsia" w:cstheme="majorBidi"/>
      <w:color w:val="272727" w:themeColor="text1" w:themeTint="D8"/>
    </w:rPr>
  </w:style>
  <w:style w:type="paragraph" w:styleId="Ttulo">
    <w:name w:val="Title"/>
    <w:basedOn w:val="Normal"/>
    <w:next w:val="Normal"/>
    <w:link w:val="TtuloCar"/>
    <w:uiPriority w:val="10"/>
    <w:qFormat/>
    <w:rsid w:val="00362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2D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2D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2D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2DFF"/>
    <w:pPr>
      <w:spacing w:before="160"/>
      <w:jc w:val="center"/>
    </w:pPr>
    <w:rPr>
      <w:i/>
      <w:iCs/>
      <w:color w:val="404040" w:themeColor="text1" w:themeTint="BF"/>
    </w:rPr>
  </w:style>
  <w:style w:type="character" w:customStyle="1" w:styleId="CitaCar">
    <w:name w:val="Cita Car"/>
    <w:basedOn w:val="Fuentedeprrafopredeter"/>
    <w:link w:val="Cita"/>
    <w:uiPriority w:val="29"/>
    <w:rsid w:val="00362DF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362DFF"/>
    <w:pPr>
      <w:ind w:left="720"/>
      <w:contextualSpacing/>
    </w:pPr>
  </w:style>
  <w:style w:type="character" w:styleId="nfasisintenso">
    <w:name w:val="Intense Emphasis"/>
    <w:basedOn w:val="Fuentedeprrafopredeter"/>
    <w:uiPriority w:val="21"/>
    <w:qFormat/>
    <w:rsid w:val="00362DFF"/>
    <w:rPr>
      <w:i/>
      <w:iCs/>
      <w:color w:val="2F5496" w:themeColor="accent1" w:themeShade="BF"/>
    </w:rPr>
  </w:style>
  <w:style w:type="paragraph" w:styleId="Citadestacada">
    <w:name w:val="Intense Quote"/>
    <w:basedOn w:val="Normal"/>
    <w:next w:val="Normal"/>
    <w:link w:val="CitadestacadaCar"/>
    <w:uiPriority w:val="30"/>
    <w:qFormat/>
    <w:rsid w:val="00362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62DFF"/>
    <w:rPr>
      <w:i/>
      <w:iCs/>
      <w:color w:val="2F5496" w:themeColor="accent1" w:themeShade="BF"/>
    </w:rPr>
  </w:style>
  <w:style w:type="character" w:styleId="Referenciaintensa">
    <w:name w:val="Intense Reference"/>
    <w:basedOn w:val="Fuentedeprrafopredeter"/>
    <w:uiPriority w:val="32"/>
    <w:qFormat/>
    <w:rsid w:val="00362DFF"/>
    <w:rPr>
      <w:b/>
      <w:bCs/>
      <w:smallCaps/>
      <w:color w:val="2F5496" w:themeColor="accent1" w:themeShade="BF"/>
      <w:spacing w:val="5"/>
    </w:rPr>
  </w:style>
  <w:style w:type="paragraph" w:styleId="Encabezado">
    <w:name w:val="header"/>
    <w:basedOn w:val="Normal"/>
    <w:link w:val="EncabezadoCar"/>
    <w:uiPriority w:val="99"/>
    <w:unhideWhenUsed/>
    <w:rsid w:val="00362D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2DFF"/>
    <w:rPr>
      <w:kern w:val="0"/>
      <w14:ligatures w14:val="none"/>
    </w:rPr>
  </w:style>
  <w:style w:type="paragraph" w:styleId="Piedepgina">
    <w:name w:val="footer"/>
    <w:basedOn w:val="Normal"/>
    <w:link w:val="PiedepginaCar"/>
    <w:uiPriority w:val="99"/>
    <w:unhideWhenUsed/>
    <w:rsid w:val="00362D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2DF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62DF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62DF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62DF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62DFF"/>
    <w:rPr>
      <w:vertAlign w:val="superscript"/>
    </w:rPr>
  </w:style>
  <w:style w:type="character" w:customStyle="1" w:styleId="normaltextrun">
    <w:name w:val="normaltextrun"/>
    <w:basedOn w:val="Fuentedeprrafopredeter"/>
    <w:rsid w:val="00362DFF"/>
  </w:style>
  <w:style w:type="table" w:styleId="Tablaconcuadrcula">
    <w:name w:val="Table Grid"/>
    <w:basedOn w:val="Tablanormal"/>
    <w:uiPriority w:val="39"/>
    <w:qFormat/>
    <w:rsid w:val="00362DF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62DFF"/>
    <w:rPr>
      <w:color w:val="0000FF"/>
      <w:u w:val="single"/>
    </w:rPr>
  </w:style>
  <w:style w:type="paragraph" w:customStyle="1" w:styleId="paragraph">
    <w:name w:val="paragraph"/>
    <w:basedOn w:val="Normal"/>
    <w:rsid w:val="00362DF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362DFF"/>
  </w:style>
  <w:style w:type="paragraph" w:customStyle="1" w:styleId="Appelnotedebasde">
    <w:name w:val="Appel note de bas de..."/>
    <w:basedOn w:val="Normal"/>
    <w:link w:val="Refdenotaalpie"/>
    <w:uiPriority w:val="99"/>
    <w:rsid w:val="00362DF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2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udia.buitrago@envigado.gov.co"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01provpcgestioncontractual07-09-2020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0D90CB-E0F2-453E-B41D-E0B2D30C51E3}"/>
</file>

<file path=customXml/itemProps2.xml><?xml version="1.0" encoding="utf-8"?>
<ds:datastoreItem xmlns:ds="http://schemas.openxmlformats.org/officeDocument/2006/customXml" ds:itemID="{ACBB6ABD-43F2-4BCC-A54D-88C92AEB5FFB}"/>
</file>

<file path=customXml/itemProps3.xml><?xml version="1.0" encoding="utf-8"?>
<ds:datastoreItem xmlns:ds="http://schemas.openxmlformats.org/officeDocument/2006/customXml" ds:itemID="{689E86B2-51E5-42C0-A241-7D6C600C5E41}"/>
</file>

<file path=docProps/app.xml><?xml version="1.0" encoding="utf-8"?>
<Properties xmlns="http://schemas.openxmlformats.org/officeDocument/2006/extended-properties" xmlns:vt="http://schemas.openxmlformats.org/officeDocument/2006/docPropsVTypes">
  <Template>Normal</Template>
  <TotalTime>3</TotalTime>
  <Pages>21</Pages>
  <Words>7220</Words>
  <Characters>39711</Characters>
  <Application>Microsoft Office Word</Application>
  <DocSecurity>0</DocSecurity>
  <Lines>330</Lines>
  <Paragraphs>93</Paragraphs>
  <ScaleCrop>false</ScaleCrop>
  <Company/>
  <LinksUpToDate>false</LinksUpToDate>
  <CharactersWithSpaces>46838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6</cp:revision>
  <dcterms:created xsi:type="dcterms:W3CDTF">2025-08-27T03:08:00Z</dcterms:created>
  <dcterms:modified xsi:type="dcterms:W3CDTF">2025-08-28T16:34:00Z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