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E291A" w14:textId="77777777" w:rsidR="002D5EA0" w:rsidRPr="001D0AE6" w:rsidRDefault="002D5EA0" w:rsidP="002D5EA0">
      <w:pPr>
        <w:spacing w:after="0" w:line="240" w:lineRule="auto"/>
        <w:jc w:val="both"/>
        <w:rPr>
          <w:rFonts w:ascii="Verdana" w:eastAsia="Aptos" w:hAnsi="Verdana" w:cs="Times New Roman"/>
          <w:b/>
          <w:bCs/>
          <w:kern w:val="2"/>
          <w14:ligatures w14:val="standardContextual"/>
        </w:rPr>
      </w:pPr>
      <w:r w:rsidRPr="001D0AE6">
        <w:rPr>
          <w:rFonts w:ascii="Verdana" w:eastAsia="Aptos" w:hAnsi="Verdana" w:cs="Times New Roman"/>
          <w:b/>
          <w:bCs/>
          <w:kern w:val="2"/>
          <w14:ligatures w14:val="standardContextual"/>
        </w:rPr>
        <w:t>EMPRESAS INDUSTRIALES Y COMERCIALES DEL ESTADO – Naturaleza jurídica - Régimen de contratación aplicable</w:t>
      </w:r>
    </w:p>
    <w:p w14:paraId="1D5B9A06" w14:textId="77777777" w:rsidR="002D5EA0" w:rsidRPr="001D0AE6" w:rsidRDefault="002D5EA0" w:rsidP="002D5EA0">
      <w:pPr>
        <w:spacing w:after="0" w:line="278" w:lineRule="auto"/>
        <w:jc w:val="both"/>
        <w:rPr>
          <w:rFonts w:ascii="Verdana" w:eastAsia="Aptos" w:hAnsi="Verdana" w:cs="Times New Roman"/>
          <w:b/>
          <w:bCs/>
          <w:kern w:val="2"/>
          <w:sz w:val="20"/>
          <w:szCs w:val="20"/>
          <w14:ligatures w14:val="standardContextual"/>
        </w:rPr>
      </w:pPr>
    </w:p>
    <w:p w14:paraId="5E3087E8" w14:textId="77777777" w:rsidR="002D5EA0" w:rsidRPr="001D0AE6" w:rsidRDefault="002D5EA0" w:rsidP="002D5EA0">
      <w:pPr>
        <w:spacing w:after="0" w:line="240" w:lineRule="auto"/>
        <w:jc w:val="both"/>
        <w:rPr>
          <w:rFonts w:ascii="Verdana" w:eastAsia="Aptos" w:hAnsi="Verdana" w:cs="Times New Roman"/>
          <w:kern w:val="2"/>
          <w:sz w:val="20"/>
          <w:szCs w:val="20"/>
          <w14:ligatures w14:val="standardContextual"/>
        </w:rPr>
      </w:pPr>
      <w:r w:rsidRPr="001D0AE6">
        <w:rPr>
          <w:rFonts w:ascii="Verdana" w:eastAsia="Aptos" w:hAnsi="Verdana" w:cs="Times New Roman"/>
          <w:kern w:val="2"/>
          <w:sz w:val="20"/>
          <w:szCs w:val="20"/>
          <w14:ligatures w14:val="standardContextual"/>
        </w:rPr>
        <w:t>Dentro de la estructura de la Administración Pública se encuentran las entidades descentralizadas por servicios, y dentro de dicha categoría se ubican las Empresas Industriales y Comerciales del Estado – en adelante EICE, las cuales –sin perjuicio del control de tutela– tienen personería jurídica, autonomía administrativa y patrimonio propio. Estas entidades, como su nombre lo indica, se caracterizan por desarrollar actividades de carácter industrial o comercial. […].</w:t>
      </w:r>
    </w:p>
    <w:p w14:paraId="06DAC42C" w14:textId="77777777" w:rsidR="002D5EA0" w:rsidRPr="001D0AE6" w:rsidRDefault="002D5EA0" w:rsidP="002D5EA0">
      <w:pPr>
        <w:spacing w:after="0" w:line="240" w:lineRule="auto"/>
        <w:jc w:val="both"/>
        <w:rPr>
          <w:rFonts w:ascii="Verdana" w:eastAsia="Aptos" w:hAnsi="Verdana" w:cs="Times New Roman"/>
          <w:kern w:val="2"/>
          <w:sz w:val="20"/>
          <w:szCs w:val="20"/>
          <w14:ligatures w14:val="standardContextual"/>
        </w:rPr>
      </w:pPr>
      <w:r w:rsidRPr="001D0AE6">
        <w:rPr>
          <w:rFonts w:ascii="Verdana" w:eastAsia="Aptos" w:hAnsi="Verdana" w:cs="Times New Roman"/>
          <w:kern w:val="2"/>
          <w:sz w:val="20"/>
          <w:szCs w:val="20"/>
          <w14:ligatures w14:val="standardContextual"/>
        </w:rPr>
        <w:t>[…]</w:t>
      </w:r>
    </w:p>
    <w:p w14:paraId="11A48D40" w14:textId="77777777" w:rsidR="002D5EA0" w:rsidRPr="001D0AE6" w:rsidRDefault="002D5EA0" w:rsidP="002D5EA0">
      <w:pPr>
        <w:spacing w:after="0"/>
        <w:jc w:val="both"/>
        <w:rPr>
          <w:rFonts w:ascii="Verdana" w:eastAsia="Aptos" w:hAnsi="Verdana" w:cs="Times New Roman"/>
          <w:kern w:val="2"/>
          <w:sz w:val="20"/>
          <w:szCs w:val="20"/>
          <w14:ligatures w14:val="standardContextual"/>
        </w:rPr>
      </w:pPr>
      <w:r w:rsidRPr="001D0AE6">
        <w:rPr>
          <w:rFonts w:ascii="Verdana" w:eastAsia="Aptos" w:hAnsi="Verdana" w:cs="Times New Roman"/>
          <w:kern w:val="2"/>
          <w:sz w:val="20"/>
          <w:szCs w:val="20"/>
          <w14:ligatures w14:val="standardContextual"/>
        </w:rPr>
        <w:t>[…] el artículo 14 de la Ley 1150 de 2007, modificado por el artículo 93 de la Ley 1474 de 2011, esclareció las dudas que producía el confuso artículo 93 de la Ley 489 de 1998 a propósito del régimen contractual de estas entidades. Por lo tanto, 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ii)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p>
    <w:p w14:paraId="70CB8BBE" w14:textId="77777777" w:rsidR="002D5EA0" w:rsidRPr="001D0AE6" w:rsidRDefault="002D5EA0" w:rsidP="002D5EA0">
      <w:pPr>
        <w:spacing w:after="0"/>
        <w:jc w:val="both"/>
        <w:rPr>
          <w:rFonts w:ascii="Verdana" w:eastAsia="Aptos" w:hAnsi="Verdana" w:cs="Times New Roman"/>
          <w:b/>
          <w:bCs/>
          <w:kern w:val="2"/>
          <w14:ligatures w14:val="standardContextual"/>
        </w:rPr>
      </w:pPr>
    </w:p>
    <w:p w14:paraId="4BBCDA67" w14:textId="77777777" w:rsidR="002D5EA0" w:rsidRPr="001D0AE6" w:rsidRDefault="002D5EA0" w:rsidP="002D5EA0">
      <w:pPr>
        <w:spacing w:after="0" w:line="240" w:lineRule="auto"/>
        <w:jc w:val="both"/>
        <w:rPr>
          <w:rFonts w:ascii="Verdana" w:eastAsia="Aptos" w:hAnsi="Verdana" w:cs="Times New Roman"/>
          <w:b/>
          <w:bCs/>
          <w:kern w:val="2"/>
          <w14:ligatures w14:val="standardContextual"/>
        </w:rPr>
      </w:pPr>
      <w:r w:rsidRPr="001D0AE6">
        <w:rPr>
          <w:rFonts w:ascii="Verdana" w:eastAsia="Aptos" w:hAnsi="Verdana" w:cs="Times New Roman"/>
          <w:b/>
          <w:bCs/>
          <w:kern w:val="2"/>
          <w14:ligatures w14:val="standardContextual"/>
        </w:rPr>
        <w:t>EMPRESAS INDUSTRIALES Y COMERCIALES DEL ESTADO – Régimen de contratación – Inaplicabilidad – Artículo 32 de la ley 142 de 1994</w:t>
      </w:r>
    </w:p>
    <w:p w14:paraId="27138E4A" w14:textId="77777777" w:rsidR="002D5EA0" w:rsidRPr="001D0AE6" w:rsidRDefault="002D5EA0" w:rsidP="002D5EA0">
      <w:pPr>
        <w:spacing w:after="0"/>
        <w:jc w:val="both"/>
        <w:rPr>
          <w:rFonts w:ascii="Verdana" w:eastAsia="Aptos" w:hAnsi="Verdana" w:cs="Times New Roman"/>
          <w:b/>
          <w:bCs/>
          <w:kern w:val="2"/>
          <w14:ligatures w14:val="standardContextual"/>
        </w:rPr>
      </w:pPr>
    </w:p>
    <w:p w14:paraId="344683CD" w14:textId="77777777" w:rsidR="002D5EA0" w:rsidRPr="001D0AE6" w:rsidRDefault="002D5EA0" w:rsidP="002D5EA0">
      <w:pPr>
        <w:spacing w:after="0" w:line="240" w:lineRule="auto"/>
        <w:jc w:val="both"/>
        <w:rPr>
          <w:rFonts w:ascii="Verdana" w:eastAsia="Aptos" w:hAnsi="Verdana" w:cs="Times New Roman"/>
          <w:sz w:val="20"/>
          <w:szCs w:val="20"/>
        </w:rPr>
      </w:pPr>
      <w:r w:rsidRPr="001D0AE6">
        <w:rPr>
          <w:rFonts w:ascii="Verdana" w:eastAsia="Aptos" w:hAnsi="Verdana" w:cs="Times New Roman"/>
          <w:sz w:val="20"/>
          <w:szCs w:val="20"/>
        </w:rPr>
        <w:t xml:space="preserve">[…] el régimen de contratación aplicable a las contrataciones que realicen o pretendan realizar las </w:t>
      </w:r>
      <w:r w:rsidRPr="001D0AE6">
        <w:rPr>
          <w:rFonts w:ascii="Verdana" w:eastAsia="Calibri" w:hAnsi="Verdana" w:cs="Arial"/>
          <w:sz w:val="20"/>
          <w:szCs w:val="20"/>
        </w:rPr>
        <w:t>EICE</w:t>
      </w:r>
      <w:r w:rsidRPr="001D0AE6">
        <w:rPr>
          <w:rFonts w:ascii="Verdana" w:eastAsia="Aptos" w:hAnsi="Verdana" w:cs="Times New Roman"/>
          <w:sz w:val="20"/>
          <w:szCs w:val="20"/>
        </w:rPr>
        <w:t xml:space="preserve">, dependerá de las situaciones enmarcadas en el artículo 14 de la Ley 1150 de 2007. En ese sentido, no sería factible que, sin una autorización legal previa, estas con el fin de contratar observando las reglas del derecho privado, apliquen lo señalado en el artículo 32 de la Ley 142 de 1994, que en su tener literal dispone: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[Énfasis fuera de texto].  Norma esta que, como se observa, no hace extensiva su aplicación a otro tipo de empresas, como es el caso de las </w:t>
      </w:r>
      <w:r w:rsidRPr="001D0AE6">
        <w:rPr>
          <w:rFonts w:ascii="Verdana" w:eastAsia="Calibri" w:hAnsi="Verdana" w:cs="Arial"/>
          <w:sz w:val="20"/>
          <w:szCs w:val="20"/>
        </w:rPr>
        <w:t>EICE</w:t>
      </w:r>
      <w:r w:rsidRPr="001D0AE6">
        <w:rPr>
          <w:rFonts w:ascii="Verdana" w:eastAsia="Aptos" w:hAnsi="Verdana" w:cs="Times New Roman"/>
          <w:sz w:val="20"/>
          <w:szCs w:val="20"/>
        </w:rPr>
        <w:t>.</w:t>
      </w:r>
    </w:p>
    <w:p w14:paraId="103B1DED" w14:textId="77777777" w:rsidR="002D5EA0" w:rsidRPr="001D0AE6" w:rsidRDefault="002D5EA0" w:rsidP="002D5EA0">
      <w:pPr>
        <w:spacing w:after="0" w:line="240" w:lineRule="auto"/>
        <w:rPr>
          <w:rFonts w:ascii="Verdana" w:eastAsia="Aptos" w:hAnsi="Verdana" w:cs="Times New Roman"/>
          <w:sz w:val="20"/>
          <w:szCs w:val="20"/>
        </w:rPr>
      </w:pPr>
    </w:p>
    <w:p w14:paraId="46F7C764" w14:textId="77777777" w:rsidR="002D5EA0" w:rsidRPr="001D0AE6" w:rsidRDefault="002D5EA0" w:rsidP="002D5EA0">
      <w:pPr>
        <w:spacing w:after="0" w:line="240" w:lineRule="auto"/>
        <w:rPr>
          <w:rFonts w:ascii="Verdana" w:eastAsia="Aptos" w:hAnsi="Verdana" w:cs="Times New Roman"/>
          <w:sz w:val="20"/>
          <w:szCs w:val="20"/>
        </w:rPr>
      </w:pPr>
    </w:p>
    <w:p w14:paraId="2AA92D4F" w14:textId="77777777" w:rsidR="002D5EA0" w:rsidRPr="001D0AE6" w:rsidRDefault="002D5EA0" w:rsidP="002D5EA0">
      <w:pPr>
        <w:spacing w:after="0" w:line="240" w:lineRule="auto"/>
        <w:rPr>
          <w:rFonts w:ascii="Verdana" w:eastAsia="Aptos" w:hAnsi="Verdana" w:cs="Times New Roman"/>
          <w:sz w:val="20"/>
          <w:szCs w:val="20"/>
        </w:rPr>
      </w:pPr>
    </w:p>
    <w:p w14:paraId="373BEB58" w14:textId="77777777" w:rsidR="002D5EA0" w:rsidRPr="001D0AE6" w:rsidRDefault="002D5EA0" w:rsidP="002D5EA0">
      <w:pPr>
        <w:spacing w:after="0" w:line="240" w:lineRule="auto"/>
        <w:rPr>
          <w:rFonts w:ascii="Verdana" w:eastAsia="Aptos" w:hAnsi="Verdana" w:cs="Times New Roman"/>
          <w:sz w:val="20"/>
          <w:szCs w:val="20"/>
        </w:rPr>
      </w:pPr>
    </w:p>
    <w:p w14:paraId="10C058ED" w14:textId="77777777" w:rsidR="002D5EA0" w:rsidRPr="001D0AE6" w:rsidRDefault="002D5EA0" w:rsidP="002D5EA0">
      <w:pPr>
        <w:spacing w:after="0" w:line="240" w:lineRule="auto"/>
        <w:rPr>
          <w:rFonts w:ascii="Verdana" w:eastAsia="Aptos" w:hAnsi="Verdana" w:cs="Times New Roman"/>
          <w:sz w:val="20"/>
          <w:szCs w:val="20"/>
        </w:rPr>
      </w:pPr>
    </w:p>
    <w:p w14:paraId="3E203A4A" w14:textId="22B69EBD" w:rsidR="002D5EA0" w:rsidRPr="001D0AE6" w:rsidRDefault="002D5EA0" w:rsidP="002D5EA0">
      <w:pPr>
        <w:spacing w:after="0" w:line="240" w:lineRule="auto"/>
        <w:rPr>
          <w:rFonts w:ascii="Verdana" w:eastAsia="Geomanist Light" w:hAnsi="Verdana" w:cs="Arial"/>
          <w:lang w:val="es-MX"/>
        </w:rPr>
      </w:pPr>
      <w:r w:rsidRPr="001D0AE6">
        <w:rPr>
          <w:rFonts w:ascii="Verdana" w:eastAsia="Geomanist Light" w:hAnsi="Verdana" w:cs="Arial"/>
          <w:lang w:val="es-MX"/>
        </w:rPr>
        <w:lastRenderedPageBreak/>
        <w:t>Bogotá D.C., </w:t>
      </w:r>
      <w:r w:rsidR="000F01E0">
        <w:rPr>
          <w:rFonts w:ascii="Verdana" w:eastAsia="Geomanist Light" w:hAnsi="Verdana" w:cs="Arial"/>
          <w:lang w:val="es-MX"/>
        </w:rPr>
        <w:t>26 de agosto de 2025</w:t>
      </w:r>
    </w:p>
    <w:p w14:paraId="7568F994" w14:textId="77777777" w:rsidR="002D5EA0" w:rsidRPr="001D0AE6" w:rsidRDefault="002D5EA0" w:rsidP="002D5EA0">
      <w:pPr>
        <w:spacing w:after="0" w:line="240" w:lineRule="auto"/>
        <w:jc w:val="both"/>
        <w:rPr>
          <w:rFonts w:ascii="Verdana" w:eastAsia="Calibri" w:hAnsi="Verdana" w:cs="Arial"/>
          <w:lang w:val="es-ES"/>
        </w:rPr>
      </w:pPr>
    </w:p>
    <w:p w14:paraId="573B94A8" w14:textId="07E3C96E" w:rsidR="002D5EA0" w:rsidRPr="001D0AE6" w:rsidRDefault="000F01E0" w:rsidP="002D5EA0">
      <w:pPr>
        <w:spacing w:after="0" w:line="240" w:lineRule="auto"/>
        <w:jc w:val="right"/>
        <w:rPr>
          <w:rFonts w:ascii="Verdana" w:eastAsia="Calibri" w:hAnsi="Verdana" w:cs="Arial"/>
          <w:lang w:val="es-ES"/>
        </w:rPr>
      </w:pPr>
      <w:r w:rsidRPr="000F01E0">
        <w:rPr>
          <w:rFonts w:ascii="Verdana" w:eastAsia="Calibri" w:hAnsi="Verdana" w:cs="Arial"/>
          <w:lang w:val="es-ES"/>
        </w:rPr>
        <w:drawing>
          <wp:inline distT="0" distB="0" distL="0" distR="0" wp14:anchorId="48B344B2" wp14:editId="205F424C">
            <wp:extent cx="2495898" cy="666843"/>
            <wp:effectExtent l="0" t="0" r="0" b="0"/>
            <wp:docPr id="962934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34506" name=""/>
                    <pic:cNvPicPr/>
                  </pic:nvPicPr>
                  <pic:blipFill>
                    <a:blip r:embed="rId10"/>
                    <a:stretch>
                      <a:fillRect/>
                    </a:stretch>
                  </pic:blipFill>
                  <pic:spPr>
                    <a:xfrm>
                      <a:off x="0" y="0"/>
                      <a:ext cx="2495898" cy="666843"/>
                    </a:xfrm>
                    <a:prstGeom prst="rect">
                      <a:avLst/>
                    </a:prstGeom>
                  </pic:spPr>
                </pic:pic>
              </a:graphicData>
            </a:graphic>
          </wp:inline>
        </w:drawing>
      </w:r>
    </w:p>
    <w:p w14:paraId="23C2CE78" w14:textId="77777777" w:rsidR="002D5EA0" w:rsidRPr="001D0AE6" w:rsidRDefault="002D5EA0" w:rsidP="002D5EA0">
      <w:pPr>
        <w:spacing w:after="0" w:line="240" w:lineRule="auto"/>
        <w:jc w:val="both"/>
        <w:rPr>
          <w:rFonts w:ascii="Verdana" w:eastAsia="Calibri" w:hAnsi="Verdana" w:cs="Arial"/>
          <w:lang w:val="es-ES" w:eastAsia="es-ES"/>
        </w:rPr>
      </w:pPr>
      <w:r w:rsidRPr="001D0AE6">
        <w:rPr>
          <w:rFonts w:ascii="Verdana" w:eastAsia="Calibri" w:hAnsi="Verdana" w:cs="Arial"/>
          <w:lang w:val="es-ES" w:eastAsia="es-ES"/>
        </w:rPr>
        <w:t>Señora</w:t>
      </w:r>
    </w:p>
    <w:p w14:paraId="0377987B" w14:textId="77777777" w:rsidR="002D5EA0" w:rsidRPr="001D0AE6" w:rsidRDefault="002D5EA0" w:rsidP="002D5EA0">
      <w:pPr>
        <w:spacing w:after="0" w:line="240" w:lineRule="auto"/>
        <w:rPr>
          <w:rFonts w:ascii="Verdana" w:eastAsia="Calibri" w:hAnsi="Verdana" w:cs="Arial"/>
          <w:b/>
          <w:lang w:val="es-ES" w:eastAsia="es-ES"/>
        </w:rPr>
      </w:pPr>
      <w:r w:rsidRPr="001D0AE6">
        <w:rPr>
          <w:rFonts w:ascii="Verdana" w:eastAsia="Calibri" w:hAnsi="Verdana" w:cs="Arial"/>
          <w:b/>
          <w:lang w:val="es-ES" w:eastAsia="es-ES"/>
        </w:rPr>
        <w:t>Carmen Cecilia Diz Muñoz</w:t>
      </w:r>
    </w:p>
    <w:p w14:paraId="1E2153B8" w14:textId="77777777" w:rsidR="002D5EA0" w:rsidRPr="001D0AE6" w:rsidRDefault="002D5EA0" w:rsidP="002D5EA0">
      <w:pPr>
        <w:spacing w:after="0" w:line="240" w:lineRule="auto"/>
        <w:rPr>
          <w:rFonts w:ascii="Verdana" w:eastAsia="Aptos" w:hAnsi="Verdana" w:cs="Times New Roman"/>
        </w:rPr>
      </w:pPr>
      <w:hyperlink r:id="rId11" w:history="1">
        <w:r w:rsidRPr="001D0AE6">
          <w:rPr>
            <w:rFonts w:ascii="Verdana" w:eastAsia="Aptos" w:hAnsi="Verdana" w:cs="Times New Roman"/>
            <w:color w:val="0000FF"/>
            <w:u w:val="single"/>
          </w:rPr>
          <w:t>dizcarmencecilia@gmail.com</w:t>
        </w:r>
      </w:hyperlink>
      <w:r w:rsidRPr="001D0AE6">
        <w:rPr>
          <w:rFonts w:ascii="Verdana" w:eastAsia="Aptos" w:hAnsi="Verdana" w:cs="Times New Roman"/>
        </w:rPr>
        <w:t xml:space="preserve">  </w:t>
      </w:r>
    </w:p>
    <w:p w14:paraId="7F9573AF" w14:textId="77777777" w:rsidR="002D5EA0" w:rsidRPr="001D0AE6" w:rsidRDefault="002D5EA0" w:rsidP="002D5EA0">
      <w:pPr>
        <w:spacing w:after="0" w:line="240" w:lineRule="auto"/>
        <w:rPr>
          <w:rFonts w:ascii="Verdana" w:eastAsia="Calibri" w:hAnsi="Verdana" w:cs="Arial"/>
          <w:b/>
          <w:bCs/>
          <w:lang w:val="es-ES" w:eastAsia="es-ES"/>
        </w:rPr>
      </w:pPr>
      <w:r w:rsidRPr="001D0AE6">
        <w:rPr>
          <w:rFonts w:ascii="Verdana" w:eastAsia="Calibri" w:hAnsi="Verdana" w:cs="Arial"/>
          <w:lang w:val="es-ES" w:eastAsia="es-ES"/>
        </w:rPr>
        <w:t>Montería, Córdoba</w:t>
      </w:r>
    </w:p>
    <w:p w14:paraId="23840978" w14:textId="77777777" w:rsidR="002D5EA0" w:rsidRPr="001D0AE6" w:rsidRDefault="002D5EA0" w:rsidP="002D5EA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604DF" w:rsidRPr="00554239" w14:paraId="6A33F4B6" w14:textId="77777777" w:rsidTr="00207B55">
        <w:trPr>
          <w:trHeight w:val="884"/>
        </w:trPr>
        <w:tc>
          <w:tcPr>
            <w:tcW w:w="2689" w:type="dxa"/>
          </w:tcPr>
          <w:p w14:paraId="14F02A00" w14:textId="77777777" w:rsidR="00B604DF" w:rsidRPr="00554239" w:rsidRDefault="00B604DF" w:rsidP="00207B55">
            <w:pPr>
              <w:jc w:val="both"/>
              <w:rPr>
                <w:rFonts w:ascii="Verdana" w:eastAsia="Calibri" w:hAnsi="Verdana" w:cs="Arial"/>
                <w:b/>
                <w:bCs/>
                <w:lang w:val="es-ES_tradnl" w:eastAsia="es-ES_tradnl"/>
              </w:rPr>
            </w:pPr>
          </w:p>
        </w:tc>
        <w:tc>
          <w:tcPr>
            <w:tcW w:w="6100" w:type="dxa"/>
          </w:tcPr>
          <w:p w14:paraId="5C880BA7" w14:textId="77777777" w:rsidR="00B604DF" w:rsidRPr="00554239" w:rsidRDefault="00B604DF" w:rsidP="00207B55">
            <w:pPr>
              <w:jc w:val="both"/>
              <w:rPr>
                <w:rFonts w:ascii="Verdana" w:eastAsia="Calibri" w:hAnsi="Verdana" w:cs="Arial"/>
                <w:b/>
                <w:bCs/>
                <w:lang w:val="es-ES" w:eastAsia="es-ES"/>
              </w:rPr>
            </w:pPr>
            <w:r w:rsidRPr="00554239">
              <w:rPr>
                <w:rFonts w:ascii="Verdana" w:eastAsia="Calibri" w:hAnsi="Verdana" w:cs="Arial"/>
                <w:b/>
                <w:bCs/>
                <w:lang w:val="es-ES" w:eastAsia="es-ES"/>
              </w:rPr>
              <w:t>Concepto C-</w:t>
            </w:r>
            <w:r>
              <w:rPr>
                <w:rFonts w:ascii="Verdana" w:eastAsia="Calibri" w:hAnsi="Verdana" w:cs="Arial"/>
                <w:b/>
                <w:bCs/>
                <w:lang w:val="es-ES" w:eastAsia="es-ES"/>
              </w:rPr>
              <w:t>966</w:t>
            </w:r>
            <w:r w:rsidRPr="0055423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B604DF" w:rsidRPr="00C5564F" w14:paraId="68A92B41" w14:textId="77777777" w:rsidTr="00207B55">
        <w:trPr>
          <w:trHeight w:val="884"/>
        </w:trPr>
        <w:tc>
          <w:tcPr>
            <w:tcW w:w="2689" w:type="dxa"/>
          </w:tcPr>
          <w:p w14:paraId="663FCB4C" w14:textId="77777777" w:rsidR="00B604DF" w:rsidRPr="00F158E7" w:rsidRDefault="00B604DF" w:rsidP="00207B55">
            <w:pPr>
              <w:jc w:val="both"/>
              <w:rPr>
                <w:rFonts w:ascii="Verdana" w:eastAsia="Calibri" w:hAnsi="Verdana" w:cs="Arial"/>
                <w:lang w:val="es-ES_tradnl" w:eastAsia="es-ES_tradnl"/>
              </w:rPr>
            </w:pPr>
            <w:r w:rsidRPr="00F158E7">
              <w:rPr>
                <w:rFonts w:ascii="Verdana" w:eastAsia="Calibri" w:hAnsi="Verdana" w:cs="Arial"/>
                <w:b/>
                <w:lang w:val="es-ES_tradnl" w:eastAsia="es-ES_tradnl"/>
              </w:rPr>
              <w:t>Temas:</w:t>
            </w:r>
            <w:r w:rsidRPr="00F158E7">
              <w:rPr>
                <w:rFonts w:ascii="Verdana" w:eastAsia="Calibri" w:hAnsi="Verdana" w:cs="Arial"/>
                <w:lang w:val="es-ES_tradnl" w:eastAsia="es-ES_tradnl"/>
              </w:rPr>
              <w:t xml:space="preserve">                   </w:t>
            </w:r>
          </w:p>
        </w:tc>
        <w:tc>
          <w:tcPr>
            <w:tcW w:w="6100" w:type="dxa"/>
          </w:tcPr>
          <w:p w14:paraId="38671301" w14:textId="0AD6C47D" w:rsidR="00B604DF" w:rsidRPr="00904996" w:rsidRDefault="00B604DF" w:rsidP="00207B55">
            <w:pPr>
              <w:spacing w:line="276" w:lineRule="auto"/>
              <w:jc w:val="both"/>
              <w:rPr>
                <w:rFonts w:ascii="Verdana" w:eastAsia="Calibri" w:hAnsi="Verdana" w:cs="Arial"/>
                <w:lang w:val="es-ES" w:eastAsia="es-ES"/>
              </w:rPr>
            </w:pPr>
            <w:r w:rsidRPr="00FE3732">
              <w:rPr>
                <w:rFonts w:ascii="Verdana" w:eastAsia="Calibri" w:hAnsi="Verdana" w:cs="Arial"/>
                <w:lang w:val="es-ES" w:eastAsia="es-ES"/>
              </w:rPr>
              <w:t xml:space="preserve">EMPRESAS INDUSTRIALES Y COMERCIALES DEL ESTADO – </w:t>
            </w:r>
            <w:r w:rsidRPr="00426B25">
              <w:rPr>
                <w:rFonts w:ascii="Verdana" w:eastAsia="Calibri" w:hAnsi="Verdana" w:cs="Arial"/>
                <w:lang w:val="es-ES" w:eastAsia="es-ES"/>
              </w:rPr>
              <w:t xml:space="preserve">Naturaleza jurídica - Régimen de contratación aplicable / EMPRESAS INDUSTRIALES Y COMERCIALES DEL ESTADO – Régimen de contratación – Inaplicabilidad – Artículo 32 </w:t>
            </w:r>
            <w:r w:rsidR="00904996">
              <w:rPr>
                <w:rFonts w:ascii="Verdana" w:eastAsia="Calibri" w:hAnsi="Verdana" w:cs="Arial"/>
                <w:lang w:val="es-ES" w:eastAsia="es-ES"/>
              </w:rPr>
              <w:t>–</w:t>
            </w:r>
            <w:r w:rsidRPr="00426B25">
              <w:rPr>
                <w:rFonts w:ascii="Verdana" w:eastAsia="Calibri" w:hAnsi="Verdana" w:cs="Arial"/>
                <w:lang w:val="es-ES" w:eastAsia="es-ES"/>
              </w:rPr>
              <w:t xml:space="preserve"> </w:t>
            </w:r>
            <w:r w:rsidR="00904996">
              <w:rPr>
                <w:rFonts w:ascii="Verdana" w:eastAsia="Calibri" w:hAnsi="Verdana" w:cs="Arial"/>
                <w:lang w:val="es-ES" w:eastAsia="es-ES"/>
              </w:rPr>
              <w:t>L</w:t>
            </w:r>
            <w:r w:rsidRPr="00426B25">
              <w:rPr>
                <w:rFonts w:ascii="Verdana" w:eastAsia="Calibri" w:hAnsi="Verdana" w:cs="Arial"/>
                <w:lang w:val="es-ES" w:eastAsia="es-ES"/>
              </w:rPr>
              <w:t>ey 142 de 1994</w:t>
            </w:r>
          </w:p>
          <w:p w14:paraId="6550D285" w14:textId="77777777" w:rsidR="00B604DF" w:rsidRPr="00C5564F" w:rsidRDefault="00B604DF" w:rsidP="00207B55">
            <w:pPr>
              <w:spacing w:line="276" w:lineRule="auto"/>
              <w:jc w:val="both"/>
              <w:rPr>
                <w:rFonts w:ascii="Verdana" w:eastAsia="Calibri" w:hAnsi="Verdana" w:cs="Arial"/>
                <w:highlight w:val="yellow"/>
                <w:lang w:val="es-ES" w:eastAsia="es-ES"/>
              </w:rPr>
            </w:pPr>
          </w:p>
        </w:tc>
      </w:tr>
    </w:tbl>
    <w:p w14:paraId="1B6C150A" w14:textId="77777777" w:rsidR="002D5EA0" w:rsidRPr="001D0AE6" w:rsidRDefault="002D5EA0" w:rsidP="002D5EA0">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D5EA0" w:rsidRPr="001D0AE6" w14:paraId="3DE7EAEB" w14:textId="77777777" w:rsidTr="00B604DF">
        <w:tc>
          <w:tcPr>
            <w:tcW w:w="2689" w:type="dxa"/>
          </w:tcPr>
          <w:p w14:paraId="47130C89" w14:textId="77777777" w:rsidR="002D5EA0" w:rsidRPr="001D0AE6" w:rsidRDefault="002D5EA0" w:rsidP="00207B55">
            <w:pPr>
              <w:jc w:val="both"/>
              <w:rPr>
                <w:rFonts w:ascii="Verdana" w:eastAsia="Calibri" w:hAnsi="Verdana" w:cs="Arial"/>
                <w:b/>
                <w:lang w:val="es-ES_tradnl" w:eastAsia="es-ES_tradnl"/>
              </w:rPr>
            </w:pPr>
            <w:r w:rsidRPr="001D0AE6">
              <w:rPr>
                <w:rFonts w:ascii="Verdana" w:eastAsia="Calibri" w:hAnsi="Verdana" w:cs="Arial"/>
                <w:b/>
                <w:lang w:val="es-ES_tradnl" w:eastAsia="es-ES_tradnl"/>
              </w:rPr>
              <w:t>Radicación:</w:t>
            </w:r>
            <w:r w:rsidRPr="001D0AE6">
              <w:rPr>
                <w:rFonts w:ascii="Verdana" w:eastAsia="Calibri" w:hAnsi="Verdana" w:cs="Arial"/>
                <w:lang w:val="es-ES_tradnl" w:eastAsia="es-ES_tradnl"/>
              </w:rPr>
              <w:t xml:space="preserve">               </w:t>
            </w:r>
          </w:p>
        </w:tc>
        <w:tc>
          <w:tcPr>
            <w:tcW w:w="6100" w:type="dxa"/>
          </w:tcPr>
          <w:p w14:paraId="40D4C720" w14:textId="77777777" w:rsidR="002D5EA0" w:rsidRPr="001D0AE6" w:rsidRDefault="002D5EA0" w:rsidP="00207B55">
            <w:pPr>
              <w:jc w:val="both"/>
              <w:rPr>
                <w:rFonts w:ascii="Verdana" w:eastAsia="Calibri" w:hAnsi="Verdana" w:cs="Arial"/>
                <w:lang w:val="es-ES_tradnl" w:eastAsia="es-ES_tradnl"/>
              </w:rPr>
            </w:pPr>
            <w:r w:rsidRPr="001D0AE6">
              <w:rPr>
                <w:rFonts w:ascii="Verdana" w:eastAsia="Calibri" w:hAnsi="Verdana" w:cs="Arial"/>
                <w:lang w:val="es-ES_tradnl" w:eastAsia="es-ES_tradnl"/>
              </w:rPr>
              <w:t>Respuesta a consulta con radicado No. 1_2025_07_16_007278</w:t>
            </w:r>
          </w:p>
        </w:tc>
      </w:tr>
    </w:tbl>
    <w:p w14:paraId="052C207A" w14:textId="77777777" w:rsidR="002D5EA0" w:rsidRPr="001D0AE6" w:rsidRDefault="002D5EA0" w:rsidP="002D5EA0">
      <w:pPr>
        <w:spacing w:after="0" w:line="240" w:lineRule="auto"/>
        <w:jc w:val="both"/>
        <w:rPr>
          <w:rFonts w:ascii="Verdana" w:eastAsia="Calibri" w:hAnsi="Verdana" w:cs="Arial"/>
          <w:lang w:val="es-ES_tradnl" w:eastAsia="es-ES_tradnl"/>
        </w:rPr>
      </w:pPr>
    </w:p>
    <w:p w14:paraId="08E69967" w14:textId="77777777" w:rsidR="002D5EA0" w:rsidRPr="001D0AE6" w:rsidRDefault="002D5EA0" w:rsidP="002D5EA0">
      <w:pPr>
        <w:spacing w:after="0" w:line="240" w:lineRule="auto"/>
        <w:jc w:val="both"/>
        <w:rPr>
          <w:rFonts w:ascii="Verdana" w:eastAsia="Calibri" w:hAnsi="Verdana" w:cs="Arial"/>
          <w:lang w:val="es-ES_tradnl" w:eastAsia="es-ES_tradnl"/>
        </w:rPr>
      </w:pPr>
    </w:p>
    <w:p w14:paraId="1197B6EC" w14:textId="77777777" w:rsidR="002D5EA0" w:rsidRPr="001D0AE6" w:rsidRDefault="002D5EA0" w:rsidP="002D5EA0">
      <w:pPr>
        <w:spacing w:after="0" w:line="276" w:lineRule="auto"/>
        <w:jc w:val="both"/>
        <w:rPr>
          <w:rFonts w:ascii="Verdana" w:eastAsia="Calibri" w:hAnsi="Verdana" w:cs="Arial"/>
          <w:lang w:val="es-ES" w:eastAsia="es-ES"/>
        </w:rPr>
      </w:pPr>
      <w:r w:rsidRPr="001D0AE6">
        <w:rPr>
          <w:rFonts w:ascii="Verdana" w:eastAsia="Calibri" w:hAnsi="Verdana" w:cs="Arial"/>
          <w:lang w:val="es-ES" w:eastAsia="es-ES"/>
        </w:rPr>
        <w:t xml:space="preserve">Estimada señora Diz: </w:t>
      </w:r>
    </w:p>
    <w:p w14:paraId="04513F8C" w14:textId="77777777" w:rsidR="002D5EA0" w:rsidRPr="001D0AE6" w:rsidRDefault="002D5EA0" w:rsidP="002D5EA0">
      <w:pPr>
        <w:tabs>
          <w:tab w:val="left" w:pos="3768"/>
        </w:tabs>
        <w:spacing w:after="0" w:line="276" w:lineRule="auto"/>
        <w:jc w:val="both"/>
        <w:rPr>
          <w:rFonts w:ascii="Verdana" w:eastAsia="Calibri" w:hAnsi="Verdana" w:cs="Arial"/>
          <w:lang w:val="es-ES" w:eastAsia="es-ES"/>
        </w:rPr>
      </w:pPr>
    </w:p>
    <w:p w14:paraId="3BFFA019" w14:textId="77777777" w:rsidR="002D5EA0" w:rsidRPr="001D0AE6" w:rsidRDefault="002D5EA0" w:rsidP="002D5EA0">
      <w:pPr>
        <w:spacing w:after="0" w:line="276" w:lineRule="auto"/>
        <w:jc w:val="both"/>
        <w:rPr>
          <w:rFonts w:ascii="Verdana" w:eastAsia="Calibri" w:hAnsi="Verdana" w:cs="Arial"/>
          <w:lang w:val="es-ES" w:eastAsia="es-ES"/>
        </w:rPr>
      </w:pPr>
      <w:r w:rsidRPr="001D0AE6">
        <w:rPr>
          <w:rFonts w:ascii="Verdana" w:eastAsia="Calibri" w:hAnsi="Verdana" w:cs="Arial"/>
          <w:lang w:val="es-ES" w:eastAsia="es-ES"/>
        </w:rPr>
        <w:t>En ejercicio de la competencia otorgada por los artículos 3, numeral 5º, y 11, numeral 8º, del Decreto Ley 4170 de 2011,</w:t>
      </w:r>
      <w:r w:rsidRPr="001D0AE6">
        <w:rPr>
          <w:rFonts w:ascii="Verdana" w:eastAsia="Arial MT" w:hAnsi="Verdana" w:cs="Arial MT"/>
          <w:lang w:val="es-ES" w:eastAsia="es-ES"/>
        </w:rPr>
        <w:t xml:space="preserve"> </w:t>
      </w:r>
      <w:r w:rsidRPr="001D0AE6">
        <w:rPr>
          <w:rFonts w:ascii="Verdana" w:eastAsia="Aptos" w:hAnsi="Verdana" w:cs="Arial"/>
        </w:rPr>
        <w:t xml:space="preserve">así como lo establecido en el artículo 4 de la Resolución 1707 de 2018 expedida por esta Entidad, </w:t>
      </w:r>
      <w:r w:rsidRPr="001D0AE6">
        <w:rPr>
          <w:rFonts w:ascii="Verdana" w:eastAsia="Calibri" w:hAnsi="Verdana" w:cs="Arial"/>
          <w:lang w:val="es-ES" w:eastAsia="es-ES"/>
        </w:rPr>
        <w:t xml:space="preserve">la Agencia Nacional de Contratación Pública – Colombia Compra Eficiente– responde su petición del 16 de julio de 2025, en la que realiza la siguiente consulta: </w:t>
      </w:r>
    </w:p>
    <w:p w14:paraId="58ADA870" w14:textId="77777777" w:rsidR="002D5EA0" w:rsidRPr="001D0AE6" w:rsidRDefault="002D5EA0" w:rsidP="002D5EA0">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923A3DC" w14:textId="77777777" w:rsidR="002D5EA0" w:rsidRPr="001D0AE6" w:rsidRDefault="002D5EA0" w:rsidP="002D5EA0">
      <w:pPr>
        <w:tabs>
          <w:tab w:val="left" w:pos="709"/>
        </w:tabs>
        <w:spacing w:after="0" w:line="240" w:lineRule="auto"/>
        <w:ind w:left="709" w:right="709"/>
        <w:jc w:val="both"/>
        <w:rPr>
          <w:rFonts w:ascii="Verdana" w:eastAsia="Calibri" w:hAnsi="Verdana" w:cs="Arial"/>
          <w:sz w:val="20"/>
          <w:szCs w:val="20"/>
          <w:lang w:val="es-MX"/>
        </w:rPr>
      </w:pPr>
      <w:r w:rsidRPr="001D0AE6">
        <w:rPr>
          <w:rFonts w:ascii="Verdana" w:eastAsia="Calibri" w:hAnsi="Verdana" w:cs="Arial"/>
          <w:sz w:val="20"/>
          <w:szCs w:val="20"/>
          <w:lang w:val="es-MX"/>
        </w:rPr>
        <w:t>“Se trata de una Empresa Industrial y Comercial del Estado, de carácter oficial, con capital 100% público, encargada de la prestación de servicios públicos domiciliarios de acueducto y alcantarillado en un municipio de sexta categoría, que para el cumplimiento de su ejercicio misional requiere celebrar contratos de prestación de servicios con personas naturales para labores de apoyo en el área jurídica, contable, financiera, presupuestal y de talento humano, conforme a las necesidades operativas y administrativas inherentes a su objeto social.</w:t>
      </w:r>
    </w:p>
    <w:p w14:paraId="0751FA3B" w14:textId="77777777" w:rsidR="002D5EA0" w:rsidRPr="001D0AE6" w:rsidRDefault="002D5EA0" w:rsidP="002D5EA0">
      <w:pPr>
        <w:tabs>
          <w:tab w:val="left" w:pos="709"/>
        </w:tabs>
        <w:spacing w:after="0" w:line="240" w:lineRule="auto"/>
        <w:ind w:left="709" w:right="709"/>
        <w:jc w:val="both"/>
        <w:rPr>
          <w:rFonts w:ascii="Verdana" w:eastAsia="Calibri" w:hAnsi="Verdana" w:cs="Arial"/>
          <w:sz w:val="20"/>
          <w:szCs w:val="20"/>
          <w:lang w:val="es-MX"/>
        </w:rPr>
      </w:pPr>
      <w:r w:rsidRPr="001D0AE6">
        <w:rPr>
          <w:rFonts w:ascii="Verdana" w:eastAsia="Calibri" w:hAnsi="Verdana" w:cs="Arial"/>
          <w:sz w:val="20"/>
          <w:szCs w:val="20"/>
          <w:lang w:val="es-MX"/>
        </w:rPr>
        <w:lastRenderedPageBreak/>
        <w:t>[…]</w:t>
      </w:r>
    </w:p>
    <w:p w14:paraId="6EF94B99" w14:textId="77777777" w:rsidR="002D5EA0" w:rsidRPr="001D0AE6" w:rsidRDefault="002D5EA0" w:rsidP="002D5EA0">
      <w:pPr>
        <w:numPr>
          <w:ilvl w:val="0"/>
          <w:numId w:val="2"/>
        </w:numPr>
        <w:tabs>
          <w:tab w:val="left" w:pos="709"/>
        </w:tabs>
        <w:spacing w:after="0" w:line="240" w:lineRule="auto"/>
        <w:ind w:right="709"/>
        <w:contextualSpacing/>
        <w:jc w:val="both"/>
        <w:rPr>
          <w:rFonts w:ascii="Verdana" w:eastAsia="Calibri" w:hAnsi="Verdana" w:cs="Arial"/>
          <w:sz w:val="20"/>
          <w:szCs w:val="20"/>
          <w:lang w:val="es-MX"/>
        </w:rPr>
      </w:pPr>
      <w:r w:rsidRPr="001D0AE6">
        <w:rPr>
          <w:rFonts w:ascii="Verdana" w:eastAsia="Calibri" w:hAnsi="Verdana" w:cs="Arial"/>
          <w:sz w:val="20"/>
          <w:szCs w:val="20"/>
          <w:lang w:val="es-MX"/>
        </w:rPr>
        <w:t>[…], indique cuál es la naturaleza jurídica de los contratos de prestación de servicios que celebra este tipo de entidades con personas naturales para su ejercicio misional.</w:t>
      </w:r>
    </w:p>
    <w:p w14:paraId="6CD62630" w14:textId="77777777" w:rsidR="002D5EA0" w:rsidRPr="001D0AE6" w:rsidRDefault="002D5EA0" w:rsidP="002D5EA0">
      <w:pPr>
        <w:tabs>
          <w:tab w:val="left" w:pos="709"/>
        </w:tabs>
        <w:spacing w:after="0" w:line="240" w:lineRule="auto"/>
        <w:ind w:left="1069" w:right="709"/>
        <w:contextualSpacing/>
        <w:jc w:val="both"/>
        <w:rPr>
          <w:rFonts w:ascii="Verdana" w:eastAsia="Calibri" w:hAnsi="Verdana" w:cs="Arial"/>
          <w:sz w:val="20"/>
          <w:szCs w:val="20"/>
          <w:lang w:val="es-MX"/>
        </w:rPr>
      </w:pPr>
    </w:p>
    <w:p w14:paraId="6E83F825" w14:textId="77777777" w:rsidR="002D5EA0" w:rsidRPr="001D0AE6" w:rsidRDefault="002D5EA0" w:rsidP="002D5EA0">
      <w:pPr>
        <w:numPr>
          <w:ilvl w:val="0"/>
          <w:numId w:val="2"/>
        </w:numPr>
        <w:tabs>
          <w:tab w:val="left" w:pos="709"/>
        </w:tabs>
        <w:spacing w:after="0" w:line="240" w:lineRule="auto"/>
        <w:ind w:right="709"/>
        <w:contextualSpacing/>
        <w:jc w:val="both"/>
        <w:rPr>
          <w:rFonts w:ascii="Verdana" w:eastAsia="Calibri" w:hAnsi="Verdana" w:cs="Arial"/>
          <w:sz w:val="20"/>
          <w:szCs w:val="20"/>
          <w:lang w:val="es-MX"/>
        </w:rPr>
      </w:pPr>
      <w:r w:rsidRPr="001D0AE6">
        <w:rPr>
          <w:rFonts w:ascii="Verdana" w:eastAsia="Calibri" w:hAnsi="Verdana" w:cs="Arial"/>
          <w:sz w:val="20"/>
          <w:szCs w:val="20"/>
          <w:lang w:val="es-MX"/>
        </w:rPr>
        <w:t>Precise cuál es el régimen jurídico aplicable a dichos contratos de prestación de servicios, indicando si se rigen por el Estatuto General de Contratación de la Administración Pública (Ley 80 de 1993) o por el régimen de derecho privado.</w:t>
      </w:r>
    </w:p>
    <w:p w14:paraId="57D39542" w14:textId="77777777" w:rsidR="002D5EA0" w:rsidRPr="001D0AE6" w:rsidRDefault="002D5EA0" w:rsidP="002D5EA0">
      <w:pPr>
        <w:ind w:left="720"/>
        <w:contextualSpacing/>
        <w:rPr>
          <w:rFonts w:ascii="Verdana" w:eastAsia="Calibri" w:hAnsi="Verdana" w:cs="Arial"/>
          <w:sz w:val="20"/>
          <w:szCs w:val="20"/>
          <w:lang w:val="es-MX"/>
        </w:rPr>
      </w:pPr>
    </w:p>
    <w:p w14:paraId="6B11DB84" w14:textId="77777777" w:rsidR="002D5EA0" w:rsidRPr="001D0AE6" w:rsidRDefault="002D5EA0" w:rsidP="002D5EA0">
      <w:pPr>
        <w:numPr>
          <w:ilvl w:val="0"/>
          <w:numId w:val="2"/>
        </w:numPr>
        <w:tabs>
          <w:tab w:val="left" w:pos="709"/>
        </w:tabs>
        <w:spacing w:after="0" w:line="240" w:lineRule="auto"/>
        <w:ind w:right="709"/>
        <w:contextualSpacing/>
        <w:jc w:val="both"/>
        <w:rPr>
          <w:rFonts w:ascii="Verdana" w:eastAsia="Calibri" w:hAnsi="Verdana" w:cs="Arial"/>
          <w:sz w:val="20"/>
          <w:szCs w:val="20"/>
          <w:lang w:val="es-MX"/>
        </w:rPr>
      </w:pPr>
      <w:r w:rsidRPr="001D0AE6">
        <w:rPr>
          <w:rFonts w:ascii="Verdana" w:eastAsia="Calibri" w:hAnsi="Verdana" w:cs="Arial"/>
          <w:sz w:val="20"/>
          <w:szCs w:val="20"/>
          <w:lang w:val="es-MX"/>
        </w:rPr>
        <w:t>Indique si, considerando su naturaleza jurídica como Empresa Industrial y Comercial del Estado (EICE), le resulta aplicable la excepción prevista en el artículo 32 de la Ley 142 de 1994 para contratar bajo el régimen de derecho privado”. [sic]</w:t>
      </w:r>
    </w:p>
    <w:p w14:paraId="271F4F4A" w14:textId="77777777" w:rsidR="002D5EA0" w:rsidRPr="001D0AE6" w:rsidRDefault="002D5EA0" w:rsidP="002D5EA0">
      <w:pPr>
        <w:tabs>
          <w:tab w:val="left" w:pos="142"/>
          <w:tab w:val="left" w:pos="284"/>
        </w:tabs>
        <w:spacing w:line="276" w:lineRule="auto"/>
        <w:contextualSpacing/>
        <w:jc w:val="both"/>
        <w:rPr>
          <w:rFonts w:ascii="Verdana" w:eastAsia="Century Gothic" w:hAnsi="Verdana" w:cs="Century Gothic"/>
          <w:b/>
          <w:bCs/>
          <w:lang w:val="es-ES"/>
        </w:rPr>
      </w:pPr>
    </w:p>
    <w:p w14:paraId="773198EE" w14:textId="77777777" w:rsidR="002D5EA0" w:rsidRPr="001D0AE6" w:rsidRDefault="002D5EA0" w:rsidP="002D5EA0">
      <w:pPr>
        <w:spacing w:after="120" w:line="276" w:lineRule="auto"/>
        <w:ind w:firstLine="709"/>
        <w:jc w:val="both"/>
        <w:rPr>
          <w:rFonts w:ascii="Verdana" w:eastAsia="Calibri" w:hAnsi="Verdana" w:cs="Arial"/>
          <w:szCs w:val="24"/>
          <w:lang w:val="es-ES_tradnl" w:eastAsia="es-ES_tradnl"/>
        </w:rPr>
      </w:pPr>
      <w:r w:rsidRPr="001D0AE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4C4D480" w14:textId="77777777" w:rsidR="002D5EA0" w:rsidRPr="001D0AE6" w:rsidRDefault="002D5EA0" w:rsidP="002D5EA0">
      <w:pPr>
        <w:spacing w:after="0" w:line="276" w:lineRule="auto"/>
        <w:ind w:firstLine="709"/>
        <w:jc w:val="both"/>
        <w:rPr>
          <w:rFonts w:ascii="Verdana" w:eastAsia="Calibri" w:hAnsi="Verdana" w:cs="Arial"/>
          <w:lang w:val="es-ES" w:eastAsia="es-ES"/>
        </w:rPr>
      </w:pPr>
      <w:r w:rsidRPr="001D0AE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E191E06" w14:textId="77777777" w:rsidR="002D5EA0" w:rsidRPr="001D0AE6" w:rsidRDefault="002D5EA0" w:rsidP="002D5EA0">
      <w:pPr>
        <w:spacing w:after="0" w:line="276" w:lineRule="auto"/>
        <w:ind w:firstLine="709"/>
        <w:jc w:val="both"/>
        <w:rPr>
          <w:rFonts w:ascii="Verdana" w:eastAsia="Calibri" w:hAnsi="Verdana" w:cs="Arial"/>
          <w:lang w:val="es-ES" w:eastAsia="es-ES"/>
        </w:rPr>
      </w:pPr>
    </w:p>
    <w:p w14:paraId="34A198C2" w14:textId="77777777" w:rsidR="002D5EA0" w:rsidRPr="001D0AE6" w:rsidRDefault="002D5EA0" w:rsidP="002D5EA0">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1D0AE6">
        <w:rPr>
          <w:rFonts w:ascii="Verdana" w:eastAsia="Arial" w:hAnsi="Verdana" w:cs="Arial"/>
          <w:b/>
          <w:bCs/>
          <w:lang w:val="es-ES"/>
        </w:rPr>
        <w:t>1. Problema planteado:</w:t>
      </w:r>
    </w:p>
    <w:p w14:paraId="366E1661" w14:textId="77777777" w:rsidR="002D5EA0" w:rsidRPr="001D0AE6" w:rsidRDefault="002D5EA0" w:rsidP="002D5EA0">
      <w:pPr>
        <w:tabs>
          <w:tab w:val="left" w:pos="426"/>
        </w:tabs>
        <w:spacing w:after="0" w:line="276" w:lineRule="auto"/>
        <w:jc w:val="both"/>
        <w:rPr>
          <w:rFonts w:ascii="Verdana" w:eastAsia="Century Gothic" w:hAnsi="Verdana" w:cs="Century Gothic"/>
          <w:lang w:val="es-ES"/>
        </w:rPr>
      </w:pPr>
    </w:p>
    <w:p w14:paraId="385D6127" w14:textId="77777777" w:rsidR="002D5EA0" w:rsidRPr="001D0AE6" w:rsidRDefault="002D5EA0" w:rsidP="002D5EA0">
      <w:pPr>
        <w:spacing w:after="0" w:line="276" w:lineRule="auto"/>
        <w:jc w:val="both"/>
        <w:rPr>
          <w:rFonts w:ascii="Verdana" w:eastAsia="Century Gothic" w:hAnsi="Verdana" w:cs="Century Gothic"/>
        </w:rPr>
      </w:pPr>
      <w:r w:rsidRPr="001D0AE6">
        <w:rPr>
          <w:rFonts w:ascii="Verdana" w:eastAsia="Century Gothic" w:hAnsi="Verdana" w:cs="Century Gothic"/>
        </w:rPr>
        <w:t xml:space="preserve">De acuerdo con el contenido de su solicitud, le informamos que la misma se resolverá desde los siguientes </w:t>
      </w:r>
      <w:bookmarkStart w:id="0" w:name="_Hlk171070029"/>
      <w:r w:rsidRPr="001D0AE6">
        <w:rPr>
          <w:rFonts w:ascii="Verdana" w:eastAsia="Century Gothic" w:hAnsi="Verdana" w:cs="Century Gothic"/>
        </w:rPr>
        <w:t xml:space="preserve">interrogantes: i) ¿Cuál es la naturaleza jurídica y el régimen contractual de las Empresas Industriales y Comerciales del Estado?; y ii) ¿Las Empresas Industriales y Comerciales del Estado pueden aplicar lo </w:t>
      </w:r>
      <w:r w:rsidRPr="001D0AE6">
        <w:rPr>
          <w:rFonts w:ascii="Verdana" w:eastAsia="Century Gothic" w:hAnsi="Verdana" w:cs="Century Gothic"/>
        </w:rPr>
        <w:lastRenderedPageBreak/>
        <w:t>dispuesto en el artículo 32 de la Ley 142 de 1994 para contratar observando el derecho privado?</w:t>
      </w:r>
    </w:p>
    <w:p w14:paraId="7164EDCE" w14:textId="77777777" w:rsidR="002D5EA0" w:rsidRPr="001D0AE6" w:rsidRDefault="002D5EA0" w:rsidP="002D5EA0">
      <w:pPr>
        <w:spacing w:after="0" w:line="276" w:lineRule="auto"/>
        <w:jc w:val="both"/>
        <w:rPr>
          <w:rFonts w:ascii="Verdana" w:eastAsia="Calibri" w:hAnsi="Verdana" w:cs="Arial"/>
          <w:lang w:val="es-ES"/>
        </w:rPr>
      </w:pPr>
    </w:p>
    <w:bookmarkEnd w:id="0"/>
    <w:p w14:paraId="4803F378" w14:textId="77777777" w:rsidR="002D5EA0" w:rsidRPr="001D0AE6" w:rsidRDefault="002D5EA0" w:rsidP="002D5EA0">
      <w:pPr>
        <w:widowControl w:val="0"/>
        <w:autoSpaceDE w:val="0"/>
        <w:autoSpaceDN w:val="0"/>
        <w:spacing w:before="1" w:after="0" w:line="240" w:lineRule="auto"/>
        <w:jc w:val="both"/>
        <w:outlineLvl w:val="0"/>
        <w:rPr>
          <w:rFonts w:ascii="Verdana" w:eastAsia="Arial" w:hAnsi="Verdana" w:cs="Arial"/>
          <w:b/>
          <w:bCs/>
          <w:lang w:val="es-ES"/>
        </w:rPr>
      </w:pPr>
      <w:r w:rsidRPr="001D0AE6">
        <w:rPr>
          <w:rFonts w:ascii="Verdana" w:eastAsia="Arial" w:hAnsi="Verdana" w:cs="Arial"/>
          <w:b/>
          <w:bCs/>
          <w:lang w:val="es-ES"/>
        </w:rPr>
        <w:t>2. Respuesta:</w:t>
      </w:r>
    </w:p>
    <w:p w14:paraId="5AA01158" w14:textId="77777777" w:rsidR="002D5EA0" w:rsidRPr="001D0AE6" w:rsidRDefault="002D5EA0" w:rsidP="002D5EA0">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D5EA0" w:rsidRPr="001D0AE6" w14:paraId="398F34EF" w14:textId="77777777" w:rsidTr="00207B55">
        <w:tc>
          <w:tcPr>
            <w:tcW w:w="8828" w:type="dxa"/>
          </w:tcPr>
          <w:p w14:paraId="49C63323" w14:textId="77777777" w:rsidR="002D5EA0" w:rsidRPr="001D0AE6" w:rsidRDefault="002D5EA0" w:rsidP="00207B55">
            <w:pPr>
              <w:spacing w:after="120" w:line="276" w:lineRule="auto"/>
              <w:jc w:val="both"/>
              <w:rPr>
                <w:rFonts w:ascii="Verdana" w:eastAsia="Calibri" w:hAnsi="Verdana" w:cs="Arial"/>
                <w:lang w:val="es-ES"/>
              </w:rPr>
            </w:pPr>
            <w:bookmarkStart w:id="1" w:name="_Hlk171067516"/>
            <w:r w:rsidRPr="001D0AE6">
              <w:rPr>
                <w:rFonts w:ascii="Verdana" w:eastAsia="Calibri" w:hAnsi="Verdana" w:cs="Arial"/>
                <w:lang w:val="es-ES"/>
              </w:rPr>
              <w:t>i) Inicialmente, debe precisarse que, las Empresas Industriales y Comerciales del Estado se encuentran dentro de la estructura de la Administración Pública, particularmente en la rama ejecutiva del poder público, entidades estas que -sin perjuicio del control de tutela–, tienen personería jurídica, autonomía administrativa, patrimonio propio y que, como su nombre lo indica, se caracterizan por desarrollar actividades de carácter industrial o comercial. Esto, de acuerdo con lo dispuesto en los artículos 38 y 85 de la Ley 489 de 1998.</w:t>
            </w:r>
          </w:p>
          <w:p w14:paraId="53A49B35" w14:textId="77777777" w:rsidR="002D5EA0" w:rsidRDefault="002D5EA0" w:rsidP="00207B55">
            <w:pPr>
              <w:spacing w:after="120" w:line="276" w:lineRule="auto"/>
              <w:ind w:firstLine="709"/>
              <w:jc w:val="both"/>
              <w:rPr>
                <w:rFonts w:ascii="Verdana" w:eastAsia="Calibri" w:hAnsi="Verdana" w:cs="Arial"/>
                <w:lang w:val="es-ES"/>
              </w:rPr>
            </w:pPr>
            <w:r w:rsidRPr="001D0AE6">
              <w:rPr>
                <w:rFonts w:ascii="Verdana" w:eastAsia="Calibri" w:hAnsi="Verdana" w:cs="Arial"/>
                <w:lang w:val="es-ES"/>
              </w:rPr>
              <w:t xml:space="preserve">En ese contexto, y en lo concerniente al régimen de contratación aplicable a dichas empresas, se tiene que, inicialmente al darles el literal a), numeral 1, del artículo 2 de la Ley 80 de 1993, la categoría de Entidades Estatales, quedaron sujetas a las reglas dispuestas en el Estatuto General de Contratación de la Administración Pública. Sin embargo, pese a que el artículo 93 de la Ley 489 de 1998 estableció el régimen jurídico aplicable a los contratos celebrados por dichas entidades, el tema se aclaró con el artículo 14 de la Ley 1150 de 2007, modificado por el artículo 93 de la Ley 1474 de 2011. </w:t>
            </w:r>
          </w:p>
          <w:p w14:paraId="6CE323C2" w14:textId="77777777" w:rsidR="002D5EA0" w:rsidRPr="001D0AE6" w:rsidRDefault="002D5EA0" w:rsidP="00207B55">
            <w:pPr>
              <w:spacing w:line="276" w:lineRule="auto"/>
              <w:ind w:firstLine="709"/>
              <w:jc w:val="both"/>
              <w:rPr>
                <w:rFonts w:ascii="Verdana" w:eastAsia="Calibri" w:hAnsi="Verdana" w:cs="Arial"/>
                <w:lang w:val="es-ES"/>
              </w:rPr>
            </w:pPr>
            <w:r w:rsidRPr="001D0AE6">
              <w:rPr>
                <w:rFonts w:ascii="Verdana" w:eastAsia="Calibri" w:hAnsi="Verdana" w:cs="Arial"/>
                <w:lang w:val="es-ES"/>
              </w:rPr>
              <w:t>Norma que, entre otros puntos, dispuso que las Empresas Industriales y Comerciales del Estado, en las que el Estado tenga participación superior al cincuenta por ciento (50%), estarán sometidas por regla general, al Estatuto General de Contratación de la Administración Pública, excepto aquellas que: i) desarrollen actividades comerciales en competencia con el sector privado y/o público, nacional o internacional o; ii) desarrollen actividades en mercados regulados, eventos en los que se regirán por las disposiciones que rijan tales actividades. De esta forma, la determinación del régimen aplicable a los contratos que dichas empresas suscriban o pretendan suscribir, dependerá de l</w:t>
            </w:r>
            <w:r>
              <w:rPr>
                <w:rFonts w:ascii="Verdana" w:eastAsia="Calibri" w:hAnsi="Verdana" w:cs="Arial"/>
                <w:lang w:val="es-ES"/>
              </w:rPr>
              <w:t>a</w:t>
            </w:r>
            <w:r w:rsidRPr="001D0AE6">
              <w:rPr>
                <w:rFonts w:ascii="Verdana" w:eastAsia="Calibri" w:hAnsi="Verdana" w:cs="Arial"/>
                <w:lang w:val="es-ES"/>
              </w:rPr>
              <w:t>s situaciones previamente indicadas.</w:t>
            </w:r>
          </w:p>
          <w:p w14:paraId="60DFABB5" w14:textId="77777777" w:rsidR="002D5EA0" w:rsidRPr="001D0AE6" w:rsidRDefault="002D5EA0" w:rsidP="00207B55">
            <w:pPr>
              <w:spacing w:line="276" w:lineRule="auto"/>
              <w:jc w:val="both"/>
              <w:rPr>
                <w:rFonts w:ascii="Verdana" w:eastAsia="Calibri" w:hAnsi="Verdana" w:cs="Arial"/>
                <w:lang w:val="es-ES"/>
              </w:rPr>
            </w:pPr>
          </w:p>
          <w:p w14:paraId="7FCB1DAF" w14:textId="77777777" w:rsidR="002D5EA0" w:rsidRPr="001D0AE6" w:rsidRDefault="002D5EA0" w:rsidP="00207B55">
            <w:pPr>
              <w:spacing w:after="120" w:line="276" w:lineRule="auto"/>
              <w:jc w:val="both"/>
              <w:rPr>
                <w:rFonts w:ascii="Verdana" w:eastAsia="Calibri" w:hAnsi="Verdana" w:cs="Arial"/>
                <w:lang w:val="es-ES"/>
              </w:rPr>
            </w:pPr>
            <w:r w:rsidRPr="001D0AE6">
              <w:rPr>
                <w:rFonts w:ascii="Verdana" w:eastAsia="Calibri" w:hAnsi="Verdana" w:cs="Arial"/>
                <w:lang w:val="es-ES"/>
              </w:rPr>
              <w:t xml:space="preserve">ii) Sobre el particular, resulta a bien aclarar que, como se indicó previamente, el régimen de contratación aplicable a las contrataciones que realicen o pretendan realizar las Empresas Industriales y Comerciales del Estado, dependerá de las situaciones enmarcadas en el artículo 14 de la Ley 1150 de </w:t>
            </w:r>
            <w:r w:rsidRPr="001D0AE6">
              <w:rPr>
                <w:rFonts w:ascii="Verdana" w:eastAsia="Calibri" w:hAnsi="Verdana" w:cs="Arial"/>
                <w:lang w:val="es-ES"/>
              </w:rPr>
              <w:lastRenderedPageBreak/>
              <w:t>2007. En ese sentido, no sería factible que, sin una autorización legal previa, estas con el fin de contratar observando las reglas del derecho privado, apliquen lo señalado en el artículo 32 de la Ley 142 de 1994, que en su ten</w:t>
            </w:r>
            <w:r>
              <w:rPr>
                <w:rFonts w:ascii="Verdana" w:eastAsia="Calibri" w:hAnsi="Verdana" w:cs="Arial"/>
                <w:lang w:val="es-ES"/>
              </w:rPr>
              <w:t>o</w:t>
            </w:r>
            <w:r w:rsidRPr="001D0AE6">
              <w:rPr>
                <w:rFonts w:ascii="Verdana" w:eastAsia="Calibri" w:hAnsi="Verdana" w:cs="Arial"/>
                <w:lang w:val="es-ES"/>
              </w:rPr>
              <w:t xml:space="preserve">r literal dispone, entre otros aspectos, que los actos de las </w:t>
            </w:r>
            <w:r w:rsidRPr="001D0AE6">
              <w:rPr>
                <w:rFonts w:ascii="Verdana" w:eastAsia="Calibri" w:hAnsi="Verdana" w:cs="Arial"/>
                <w:i/>
                <w:iCs/>
                <w:lang w:val="es-ES"/>
              </w:rPr>
              <w:t>empresas de servicios públicos</w:t>
            </w:r>
            <w:r w:rsidRPr="001D0AE6">
              <w:rPr>
                <w:rFonts w:ascii="Verdana" w:eastAsia="Calibri" w:hAnsi="Verdana" w:cs="Arial"/>
                <w:lang w:val="es-ES"/>
              </w:rPr>
              <w:t xml:space="preserve"> se regirán, salvo disposición contraria, por las reglas dispuestas en el derecho privado. Norma esta que, como se observa, no hace extensiva su aplicación a otro tipo de empresas, como es el caso de las Empresas Industriales y Comerciales del Estado. </w:t>
            </w:r>
          </w:p>
          <w:p w14:paraId="2E3EC819" w14:textId="77777777" w:rsidR="002D5EA0" w:rsidRPr="001D0AE6" w:rsidRDefault="002D5EA0" w:rsidP="00207B55">
            <w:pPr>
              <w:spacing w:line="276" w:lineRule="auto"/>
              <w:ind w:firstLine="709"/>
              <w:jc w:val="both"/>
              <w:rPr>
                <w:rFonts w:ascii="Verdana" w:eastAsia="Calibri" w:hAnsi="Verdana" w:cs="Arial"/>
                <w:lang w:val="es-ES"/>
              </w:rPr>
            </w:pPr>
            <w:r w:rsidRPr="001D0AE6">
              <w:rPr>
                <w:rFonts w:ascii="Verdana" w:eastAsia="Calibri" w:hAnsi="Verdana" w:cs="Arial"/>
              </w:rPr>
              <w:t xml:space="preserve">Finalmente, debe advertirse que el análisis requerido para resolver problemas específicos en torno a las contrataciones que desarrollen o pretendan desarrollar las Empresas Industriales y Comerciales del Estado,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tc>
      </w:tr>
      <w:bookmarkEnd w:id="1"/>
    </w:tbl>
    <w:p w14:paraId="45EE8419" w14:textId="77777777" w:rsidR="002D5EA0" w:rsidRPr="001D0AE6" w:rsidRDefault="002D5EA0" w:rsidP="002D5EA0">
      <w:pPr>
        <w:widowControl w:val="0"/>
        <w:autoSpaceDE w:val="0"/>
        <w:autoSpaceDN w:val="0"/>
        <w:spacing w:before="1" w:after="0" w:line="240" w:lineRule="auto"/>
        <w:ind w:left="360" w:hanging="360"/>
        <w:outlineLvl w:val="0"/>
        <w:rPr>
          <w:rFonts w:ascii="Verdana" w:eastAsia="Arial" w:hAnsi="Verdana" w:cs="Arial"/>
          <w:b/>
        </w:rPr>
      </w:pPr>
    </w:p>
    <w:p w14:paraId="6A4E93AA" w14:textId="77777777" w:rsidR="002D5EA0" w:rsidRPr="001D0AE6" w:rsidRDefault="002D5EA0" w:rsidP="002D5EA0">
      <w:pPr>
        <w:widowControl w:val="0"/>
        <w:autoSpaceDE w:val="0"/>
        <w:autoSpaceDN w:val="0"/>
        <w:spacing w:before="1" w:after="0" w:line="240" w:lineRule="auto"/>
        <w:ind w:left="360" w:hanging="360"/>
        <w:outlineLvl w:val="0"/>
        <w:rPr>
          <w:rFonts w:ascii="Verdana" w:eastAsia="Arial" w:hAnsi="Verdana" w:cs="Arial"/>
          <w:b/>
          <w:bCs/>
          <w:lang w:val="es-ES"/>
        </w:rPr>
      </w:pPr>
      <w:r w:rsidRPr="001D0AE6">
        <w:rPr>
          <w:rFonts w:ascii="Verdana" w:eastAsia="Arial" w:hAnsi="Verdana" w:cs="Arial"/>
          <w:b/>
          <w:bCs/>
          <w:lang w:val="es-ES"/>
        </w:rPr>
        <w:t>3. Razones de la respuesta</w:t>
      </w:r>
    </w:p>
    <w:p w14:paraId="6383BFC4" w14:textId="77777777" w:rsidR="002D5EA0" w:rsidRPr="001D0AE6" w:rsidRDefault="002D5EA0" w:rsidP="002D5EA0">
      <w:pPr>
        <w:spacing w:after="0" w:line="276" w:lineRule="auto"/>
        <w:jc w:val="both"/>
        <w:rPr>
          <w:rFonts w:ascii="Verdana" w:eastAsia="Calibri" w:hAnsi="Verdana" w:cs="Arial"/>
          <w:lang w:val="es-ES"/>
        </w:rPr>
      </w:pPr>
    </w:p>
    <w:p w14:paraId="5060A854" w14:textId="77777777" w:rsidR="002D5EA0" w:rsidRPr="001D0AE6" w:rsidRDefault="002D5EA0" w:rsidP="002D5EA0">
      <w:pPr>
        <w:spacing w:after="0" w:line="276" w:lineRule="auto"/>
        <w:jc w:val="both"/>
        <w:rPr>
          <w:rFonts w:ascii="Verdana" w:eastAsia="Calibri" w:hAnsi="Verdana" w:cs="Arial"/>
          <w:lang w:val="es-ES"/>
        </w:rPr>
      </w:pPr>
      <w:r w:rsidRPr="001D0AE6">
        <w:rPr>
          <w:rFonts w:ascii="Verdana" w:eastAsia="Calibri" w:hAnsi="Verdana" w:cs="Arial"/>
          <w:lang w:val="es-ES"/>
        </w:rPr>
        <w:t xml:space="preserve">Las respuestas anteriores se sustentan en las siguientes consideraciones: </w:t>
      </w:r>
    </w:p>
    <w:p w14:paraId="27268E76" w14:textId="77777777" w:rsidR="002D5EA0" w:rsidRPr="001D0AE6" w:rsidRDefault="002D5EA0" w:rsidP="002D5EA0">
      <w:pPr>
        <w:spacing w:after="0" w:line="276" w:lineRule="auto"/>
        <w:jc w:val="both"/>
        <w:rPr>
          <w:rFonts w:ascii="Verdana" w:eastAsia="Calibri" w:hAnsi="Verdana" w:cs="Arial"/>
          <w:lang w:val="es-ES"/>
        </w:rPr>
      </w:pPr>
    </w:p>
    <w:p w14:paraId="0D340695" w14:textId="77777777" w:rsidR="002D5EA0" w:rsidRPr="001D0AE6" w:rsidRDefault="002D5EA0" w:rsidP="002D5EA0">
      <w:pPr>
        <w:autoSpaceDE w:val="0"/>
        <w:autoSpaceDN w:val="0"/>
        <w:adjustRightInd w:val="0"/>
        <w:spacing w:after="120" w:line="276" w:lineRule="auto"/>
        <w:jc w:val="both"/>
        <w:rPr>
          <w:rFonts w:ascii="Verdana" w:eastAsia="Calibri" w:hAnsi="Verdana" w:cs="Arial"/>
          <w:lang w:val="es-ES_tradnl"/>
        </w:rPr>
      </w:pPr>
      <w:r w:rsidRPr="001D0AE6">
        <w:rPr>
          <w:rFonts w:ascii="Verdana" w:eastAsia="Calibri" w:hAnsi="Verdana" w:cs="Arial"/>
          <w:color w:val="000000"/>
        </w:rPr>
        <w:t xml:space="preserve">Dentro de la estructura de la Administración Pública se encuentran las entidades descentralizadas por servicios, y dentro de dicha categoría se ubican las </w:t>
      </w:r>
      <w:r>
        <w:rPr>
          <w:rFonts w:ascii="Verdana" w:eastAsia="Calibri" w:hAnsi="Verdana" w:cs="Arial"/>
          <w:color w:val="000000"/>
        </w:rPr>
        <w:t>E</w:t>
      </w:r>
      <w:r w:rsidRPr="001D0AE6">
        <w:rPr>
          <w:rFonts w:ascii="Verdana" w:eastAsia="Calibri" w:hAnsi="Verdana" w:cs="Arial"/>
          <w:color w:val="000000"/>
        </w:rPr>
        <w:t xml:space="preserve">mpresas </w:t>
      </w:r>
      <w:r>
        <w:rPr>
          <w:rFonts w:ascii="Verdana" w:eastAsia="Calibri" w:hAnsi="Verdana" w:cs="Arial"/>
          <w:color w:val="000000"/>
        </w:rPr>
        <w:t>I</w:t>
      </w:r>
      <w:r w:rsidRPr="001D0AE6">
        <w:rPr>
          <w:rFonts w:ascii="Verdana" w:eastAsia="Calibri" w:hAnsi="Verdana" w:cs="Arial"/>
          <w:color w:val="000000"/>
        </w:rPr>
        <w:t xml:space="preserve">ndustriales y </w:t>
      </w:r>
      <w:r>
        <w:rPr>
          <w:rFonts w:ascii="Verdana" w:eastAsia="Calibri" w:hAnsi="Verdana" w:cs="Arial"/>
          <w:color w:val="000000"/>
        </w:rPr>
        <w:t>C</w:t>
      </w:r>
      <w:r w:rsidRPr="001D0AE6">
        <w:rPr>
          <w:rFonts w:ascii="Verdana" w:eastAsia="Calibri" w:hAnsi="Verdana" w:cs="Arial"/>
          <w:color w:val="000000"/>
        </w:rPr>
        <w:t xml:space="preserve">omerciales del Estado </w:t>
      </w:r>
      <w:r w:rsidRPr="001D0AE6">
        <w:rPr>
          <w:rFonts w:ascii="Verdana" w:eastAsia="Calibri" w:hAnsi="Verdana" w:cs="Arial"/>
          <w:lang w:val="es-ES"/>
        </w:rPr>
        <w:t>– en adelante EICE</w:t>
      </w:r>
      <w:r w:rsidRPr="001D0AE6">
        <w:rPr>
          <w:rFonts w:ascii="Verdana" w:eastAsia="Calibri" w:hAnsi="Verdana" w:cs="Arial"/>
          <w:color w:val="000000"/>
        </w:rPr>
        <w:t>, las cuales –sin perjuicio del control de tutela– tienen personería jurídica, autonomía administrativa y patrimonio propio.</w:t>
      </w:r>
      <w:r w:rsidRPr="001D0AE6">
        <w:rPr>
          <w:rFonts w:ascii="Verdana" w:eastAsia="Calibri" w:hAnsi="Verdana" w:cs="Arial"/>
          <w:b/>
          <w:bCs/>
          <w:color w:val="000000"/>
        </w:rPr>
        <w:t xml:space="preserve"> </w:t>
      </w:r>
      <w:r w:rsidRPr="001D0AE6">
        <w:rPr>
          <w:rFonts w:ascii="Verdana" w:eastAsia="Calibri" w:hAnsi="Verdana" w:cs="Arial"/>
          <w:color w:val="000000"/>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r w:rsidRPr="001D0AE6">
        <w:rPr>
          <w:rFonts w:ascii="Verdana" w:eastAsia="Calibri" w:hAnsi="Verdana" w:cs="Arial"/>
          <w:color w:val="000000"/>
          <w:vertAlign w:val="superscript"/>
        </w:rPr>
        <w:footnoteReference w:id="1"/>
      </w:r>
      <w:r w:rsidRPr="001D0AE6">
        <w:rPr>
          <w:rFonts w:ascii="Verdana" w:eastAsia="Calibri" w:hAnsi="Verdana" w:cs="Arial"/>
          <w:color w:val="000000"/>
        </w:rPr>
        <w:t>.</w:t>
      </w:r>
    </w:p>
    <w:p w14:paraId="1FED4112" w14:textId="77777777" w:rsidR="002D5EA0" w:rsidRPr="001D0AE6" w:rsidRDefault="002D5EA0" w:rsidP="002D5EA0">
      <w:pPr>
        <w:autoSpaceDE w:val="0"/>
        <w:autoSpaceDN w:val="0"/>
        <w:adjustRightInd w:val="0"/>
        <w:spacing w:after="120" w:line="276" w:lineRule="auto"/>
        <w:ind w:firstLine="709"/>
        <w:jc w:val="both"/>
        <w:rPr>
          <w:rFonts w:ascii="Verdana" w:eastAsia="Arial" w:hAnsi="Verdana" w:cs="Arial"/>
          <w:i/>
          <w:iCs/>
          <w:lang w:val="es-ES" w:eastAsia="es-ES" w:bidi="es-ES"/>
        </w:rPr>
      </w:pPr>
      <w:r w:rsidRPr="001D0AE6">
        <w:rPr>
          <w:rFonts w:ascii="Verdana" w:eastAsia="Calibri" w:hAnsi="Verdana" w:cs="Arial"/>
          <w:lang w:val="es-ES_tradnl"/>
        </w:rPr>
        <w:lastRenderedPageBreak/>
        <w:t>L</w:t>
      </w:r>
      <w:r w:rsidRPr="001D0AE6">
        <w:rPr>
          <w:rFonts w:ascii="Verdana" w:eastAsia="Calibri" w:hAnsi="Verdana" w:cs="Arial"/>
          <w:lang w:val="es-ES"/>
        </w:rPr>
        <w:t>as EICE, bajo la denominación de Entidades Estatales, quedaron sometidas al EGCAP –Ley 80 de 1993, artículo 2, numeral 1, literal a)–</w:t>
      </w:r>
      <w:r w:rsidRPr="001D0AE6">
        <w:rPr>
          <w:rFonts w:ascii="Verdana" w:eastAsia="Calibri" w:hAnsi="Verdana" w:cs="Arial"/>
          <w:vertAlign w:val="superscript"/>
          <w:lang w:val="es-ES"/>
        </w:rPr>
        <w:footnoteReference w:id="2"/>
      </w:r>
      <w:r w:rsidRPr="001D0AE6">
        <w:rPr>
          <w:rFonts w:ascii="Verdana" w:eastAsia="Calibri" w:hAnsi="Verdana" w:cs="Arial"/>
          <w:lang w:val="es-ES"/>
        </w:rPr>
        <w:t>. Posteriormente,</w:t>
      </w:r>
      <w:r w:rsidRPr="001D0AE6">
        <w:rPr>
          <w:rFonts w:ascii="Verdana" w:eastAsia="Calibri" w:hAnsi="Verdana" w:cs="Arial"/>
          <w:bCs/>
          <w:lang w:val="es-ES"/>
        </w:rPr>
        <w:t xml:space="preserve"> </w:t>
      </w:r>
      <w:r w:rsidRPr="001D0AE6">
        <w:rPr>
          <w:rFonts w:ascii="Verdana" w:eastAsia="Calibri" w:hAnsi="Verdana" w:cs="Arial"/>
          <w:lang w:val="es-ES"/>
        </w:rPr>
        <w:t>la Ley 489 de 1998</w:t>
      </w:r>
      <w:r w:rsidRPr="001D0AE6">
        <w:rPr>
          <w:rFonts w:ascii="Verdana" w:eastAsia="Calibri" w:hAnsi="Verdana" w:cs="Arial"/>
          <w:vertAlign w:val="superscript"/>
          <w:lang w:val="es-ES"/>
        </w:rPr>
        <w:footnoteReference w:id="3"/>
      </w:r>
      <w:r w:rsidRPr="001D0AE6">
        <w:rPr>
          <w:rFonts w:ascii="Verdana" w:eastAsia="Calibri" w:hAnsi="Verdana" w:cs="Arial"/>
          <w:lang w:val="es-ES"/>
        </w:rPr>
        <w:t xml:space="preserve">, mediante el cual se regula la organización y funcionamiento de las entidades del orden nacional, en su artículo 93 estableció el régimen jurídico aplicable a los contratos celebrados por las EICE, como sigue: </w:t>
      </w:r>
      <w:r w:rsidRPr="001D0AE6">
        <w:rPr>
          <w:rFonts w:ascii="Verdana" w:eastAsia="Arial" w:hAnsi="Verdana" w:cs="Arial"/>
          <w:i/>
          <w:iCs/>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6BE61931" w14:textId="77777777" w:rsidR="002D5EA0" w:rsidRPr="001D0AE6" w:rsidRDefault="002D5EA0" w:rsidP="002D5EA0">
      <w:pPr>
        <w:autoSpaceDE w:val="0"/>
        <w:autoSpaceDN w:val="0"/>
        <w:adjustRightInd w:val="0"/>
        <w:spacing w:after="0" w:line="276" w:lineRule="auto"/>
        <w:ind w:firstLine="709"/>
        <w:jc w:val="both"/>
        <w:rPr>
          <w:rFonts w:ascii="Verdana" w:eastAsia="Calibri" w:hAnsi="Verdana" w:cs="Arial"/>
          <w:lang w:val="es-ES"/>
        </w:rPr>
      </w:pPr>
      <w:r w:rsidRPr="001D0AE6">
        <w:rPr>
          <w:rFonts w:ascii="Verdana" w:eastAsia="Calibri" w:hAnsi="Verdana" w:cs="Arial"/>
          <w:lang w:val="es-ES"/>
        </w:rPr>
        <w:t>No obstante</w:t>
      </w:r>
      <w:r>
        <w:rPr>
          <w:rFonts w:ascii="Verdana" w:eastAsia="Calibri" w:hAnsi="Verdana" w:cs="Arial"/>
          <w:lang w:val="es-ES"/>
        </w:rPr>
        <w:t>, debido a</w:t>
      </w:r>
      <w:r w:rsidRPr="001D0AE6">
        <w:rPr>
          <w:rFonts w:ascii="Verdana" w:eastAsia="Calibri" w:hAnsi="Verdana" w:cs="Arial"/>
          <w:lang w:val="es-ES"/>
        </w:rPr>
        <w:t xml:space="preserve"> las dificultades hermenéuticas que suscitaba la disposición anterior, el artículo 14 de la Ley 1150 de 2007 –modificado por el </w:t>
      </w:r>
      <w:r w:rsidRPr="001D0AE6">
        <w:rPr>
          <w:rFonts w:ascii="Verdana" w:eastAsia="Calibri" w:hAnsi="Verdana" w:cs="Arial"/>
          <w:lang w:val="es-ES"/>
        </w:rPr>
        <w:lastRenderedPageBreak/>
        <w:t xml:space="preserve">artículo 93 de la Ley 1474 de 2011–dispuso un régimen exceptivo de aplicación del derecho privado para la actividad contractual de las </w:t>
      </w:r>
      <w:bookmarkStart w:id="3" w:name="_Hlk75850758"/>
      <w:r w:rsidRPr="001D0AE6">
        <w:rPr>
          <w:rFonts w:ascii="Verdana" w:eastAsia="Calibri" w:hAnsi="Verdana" w:cs="Arial"/>
          <w:lang w:val="es-ES"/>
        </w:rPr>
        <w:t>EICE</w:t>
      </w:r>
      <w:bookmarkEnd w:id="3"/>
      <w:r w:rsidRPr="001D0AE6">
        <w:rPr>
          <w:rFonts w:ascii="Verdana" w:eastAsia="Calibri" w:hAnsi="Verdana" w:cs="Arial"/>
          <w:lang w:val="es-ES"/>
        </w:rPr>
        <w:t xml:space="preserve"> que ejercen su actividad en competencia con el sector público o privado, o en mercados regulados, quedando las otras EICE dentro del ámbito de aplicación del EGCAP</w:t>
      </w:r>
      <w:r w:rsidRPr="001D0AE6">
        <w:rPr>
          <w:rFonts w:ascii="Verdana" w:eastAsia="Calibri" w:hAnsi="Verdana" w:cs="Arial"/>
          <w:vertAlign w:val="superscript"/>
          <w:lang w:val="es-ES"/>
        </w:rPr>
        <w:footnoteReference w:id="4"/>
      </w:r>
      <w:r w:rsidRPr="001D0AE6">
        <w:rPr>
          <w:rFonts w:ascii="Verdana" w:eastAsia="Calibri" w:hAnsi="Verdana" w:cs="Arial"/>
          <w:lang w:val="es-ES"/>
        </w:rPr>
        <w:t>. Así, la norma vigente respecto a su régimen contractual establece:</w:t>
      </w:r>
    </w:p>
    <w:p w14:paraId="75615BD7" w14:textId="77777777" w:rsidR="002D5EA0" w:rsidRPr="001D0AE6" w:rsidRDefault="002D5EA0" w:rsidP="002D5EA0">
      <w:pPr>
        <w:autoSpaceDE w:val="0"/>
        <w:autoSpaceDN w:val="0"/>
        <w:adjustRightInd w:val="0"/>
        <w:spacing w:after="0" w:line="276" w:lineRule="auto"/>
        <w:ind w:firstLine="709"/>
        <w:jc w:val="both"/>
        <w:rPr>
          <w:rFonts w:ascii="Verdana" w:eastAsia="Calibri" w:hAnsi="Verdana" w:cs="Arial"/>
          <w:lang w:val="es-ES"/>
        </w:rPr>
      </w:pPr>
    </w:p>
    <w:p w14:paraId="330D4ECD" w14:textId="77777777" w:rsidR="002D5EA0" w:rsidRPr="001D0AE6" w:rsidRDefault="002D5EA0" w:rsidP="002D5EA0">
      <w:pPr>
        <w:widowControl w:val="0"/>
        <w:autoSpaceDE w:val="0"/>
        <w:autoSpaceDN w:val="0"/>
        <w:spacing w:after="0" w:line="240" w:lineRule="auto"/>
        <w:ind w:left="709" w:right="709"/>
        <w:jc w:val="both"/>
        <w:rPr>
          <w:rFonts w:ascii="Verdana" w:eastAsia="Calibri" w:hAnsi="Verdana" w:cs="Arial"/>
          <w:iCs/>
          <w:sz w:val="20"/>
          <w:szCs w:val="20"/>
          <w:lang w:val="es-ES"/>
        </w:rPr>
      </w:pPr>
      <w:r w:rsidRPr="001D0AE6">
        <w:rPr>
          <w:rFonts w:ascii="Verdana" w:eastAsia="Arial" w:hAnsi="Verdana" w:cs="Arial"/>
          <w:sz w:val="20"/>
          <w:szCs w:val="20"/>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5" w:name="_Hlk75720889"/>
      <w:r w:rsidRPr="001D0AE6">
        <w:rPr>
          <w:rFonts w:ascii="Verdana" w:eastAsia="Arial" w:hAnsi="Verdana" w:cs="Arial"/>
          <w:sz w:val="20"/>
          <w:szCs w:val="20"/>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5"/>
      <w:r w:rsidRPr="001D0AE6">
        <w:rPr>
          <w:rFonts w:ascii="Verdana" w:eastAsia="Arial" w:hAnsi="Verdana" w:cs="Arial"/>
          <w:sz w:val="20"/>
          <w:szCs w:val="20"/>
          <w:lang w:val="es-ES" w:eastAsia="es-ES" w:bidi="es-ES"/>
        </w:rPr>
        <w:t>Se exceptúan los contratos de ciencia y tecnología, que se regirán por la Ley 29 de 1990 y las disposiciones normativas existentes</w:t>
      </w:r>
      <w:r w:rsidRPr="001D0AE6">
        <w:rPr>
          <w:rFonts w:ascii="Verdana" w:eastAsia="Calibri" w:hAnsi="Verdana" w:cs="Arial"/>
          <w:sz w:val="20"/>
          <w:szCs w:val="20"/>
          <w:vertAlign w:val="superscript"/>
          <w:lang w:val="es-ES"/>
        </w:rPr>
        <w:footnoteReference w:id="5"/>
      </w:r>
      <w:r w:rsidRPr="001D0AE6">
        <w:rPr>
          <w:rFonts w:ascii="Verdana" w:eastAsia="Calibri" w:hAnsi="Verdana" w:cs="Arial"/>
          <w:sz w:val="20"/>
          <w:szCs w:val="20"/>
          <w:lang w:val="es-ES"/>
        </w:rPr>
        <w:t>.”</w:t>
      </w:r>
    </w:p>
    <w:p w14:paraId="2094E684" w14:textId="77777777" w:rsidR="002D5EA0" w:rsidRPr="001D0AE6" w:rsidRDefault="002D5EA0" w:rsidP="002D5EA0">
      <w:pPr>
        <w:spacing w:after="0" w:line="276" w:lineRule="auto"/>
        <w:ind w:firstLine="709"/>
        <w:jc w:val="both"/>
        <w:rPr>
          <w:rFonts w:ascii="Verdana" w:eastAsia="Calibri" w:hAnsi="Verdana" w:cs="Arial"/>
        </w:rPr>
      </w:pPr>
    </w:p>
    <w:p w14:paraId="0B5C19D7" w14:textId="77777777" w:rsidR="002D5EA0" w:rsidRPr="001D0AE6" w:rsidRDefault="002D5EA0" w:rsidP="002D5EA0">
      <w:pPr>
        <w:spacing w:after="120" w:line="276" w:lineRule="auto"/>
        <w:ind w:firstLine="709"/>
        <w:jc w:val="both"/>
        <w:rPr>
          <w:rFonts w:ascii="Verdana" w:eastAsia="Calibri" w:hAnsi="Verdana" w:cs="Arial"/>
          <w:vertAlign w:val="subscript"/>
        </w:rPr>
      </w:pPr>
      <w:r w:rsidRPr="001D0AE6">
        <w:rPr>
          <w:rFonts w:ascii="Verdana" w:eastAsia="Calibri" w:hAnsi="Verdana" w:cs="Arial"/>
        </w:rPr>
        <w:lastRenderedPageBreak/>
        <w:t xml:space="preserve">El sometimiento parcial de las EICE al régimen de derecho privado, se ha justificado por </w:t>
      </w:r>
      <w:r w:rsidRPr="001D0AE6">
        <w:rPr>
          <w:rFonts w:ascii="Verdana" w:eastAsia="Calibri" w:hAnsi="Verdana" w:cs="Arial"/>
          <w:bCs/>
        </w:rPr>
        <w:t>“</w:t>
      </w:r>
      <w:r w:rsidRPr="001D0AE6">
        <w:rPr>
          <w:rFonts w:ascii="Verdana" w:eastAsia="Calibri" w:hAnsi="Verdana" w:cs="Arial"/>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w:t>
      </w:r>
      <w:r w:rsidRPr="001D0AE6">
        <w:rPr>
          <w:rFonts w:ascii="Verdana" w:eastAsia="Calibri" w:hAnsi="Verdana" w:cs="Arial"/>
          <w:bCs/>
        </w:rPr>
        <w:t>]</w:t>
      </w:r>
      <w:r w:rsidRPr="001D0AE6">
        <w:rPr>
          <w:rFonts w:ascii="Verdana" w:eastAsia="Calibri" w:hAnsi="Verdana" w:cs="Arial"/>
        </w:rPr>
        <w:t xml:space="preserve"> y en aquellos casos en los que por expresa disposición legal ejerzan alguna función administrativa, puesto que allí sí deberá dar aplicación a las reglas de derecho público pertinentes [...</w:t>
      </w:r>
      <w:r w:rsidRPr="001D0AE6">
        <w:rPr>
          <w:rFonts w:ascii="Verdana" w:eastAsia="Calibri" w:hAnsi="Verdana" w:cs="Arial"/>
          <w:bCs/>
        </w:rPr>
        <w:t>]”</w:t>
      </w:r>
      <w:r w:rsidRPr="001D0AE6">
        <w:rPr>
          <w:rFonts w:ascii="Verdana" w:eastAsia="Calibri" w:hAnsi="Verdana" w:cs="Arial"/>
          <w:vertAlign w:val="superscript"/>
        </w:rPr>
        <w:footnoteReference w:id="6"/>
      </w:r>
      <w:r w:rsidRPr="001D0AE6">
        <w:rPr>
          <w:rFonts w:ascii="Verdana" w:eastAsia="Calibri" w:hAnsi="Verdana" w:cs="Arial"/>
          <w:vertAlign w:val="subscript"/>
        </w:rPr>
        <w:t xml:space="preserve">. </w:t>
      </w:r>
      <w:r w:rsidRPr="001D0AE6">
        <w:rPr>
          <w:rFonts w:ascii="Verdana" w:eastAsia="Calibri" w:hAnsi="Verdana" w:cs="Arial"/>
        </w:rPr>
        <w:t>[corchetes fuera de texto]</w:t>
      </w:r>
    </w:p>
    <w:p w14:paraId="6758164F" w14:textId="77777777" w:rsidR="002D5EA0" w:rsidRPr="001D0AE6" w:rsidRDefault="002D5EA0" w:rsidP="002D5EA0">
      <w:pPr>
        <w:spacing w:after="0" w:line="276" w:lineRule="auto"/>
        <w:ind w:firstLine="709"/>
        <w:jc w:val="both"/>
        <w:rPr>
          <w:rFonts w:ascii="Verdana" w:eastAsia="Calibri" w:hAnsi="Verdana" w:cs="Arial"/>
          <w:color w:val="000000"/>
        </w:rPr>
      </w:pPr>
      <w:r w:rsidRPr="001D0AE6">
        <w:rPr>
          <w:rFonts w:ascii="Verdana" w:eastAsia="Calibri" w:hAnsi="Verdana" w:cs="Arial"/>
          <w:color w:val="000000"/>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395CC04C" w14:textId="77777777" w:rsidR="002D5EA0" w:rsidRPr="001D0AE6" w:rsidRDefault="002D5EA0" w:rsidP="002D5EA0">
      <w:pPr>
        <w:spacing w:after="0" w:line="276" w:lineRule="auto"/>
        <w:ind w:firstLine="709"/>
        <w:jc w:val="both"/>
        <w:rPr>
          <w:rFonts w:ascii="Verdana" w:eastAsia="Calibri" w:hAnsi="Verdana" w:cs="Arial"/>
          <w:color w:val="000000"/>
        </w:rPr>
      </w:pPr>
    </w:p>
    <w:p w14:paraId="3649F728" w14:textId="77777777" w:rsidR="002D5EA0" w:rsidRPr="001D0AE6" w:rsidRDefault="002D5EA0" w:rsidP="002D5EA0">
      <w:pPr>
        <w:spacing w:after="0" w:line="240" w:lineRule="auto"/>
        <w:ind w:left="709" w:right="709"/>
        <w:jc w:val="both"/>
        <w:rPr>
          <w:rFonts w:ascii="Verdana" w:eastAsia="Calibri" w:hAnsi="Verdana" w:cs="Arial"/>
          <w:color w:val="000000"/>
          <w:sz w:val="20"/>
          <w:szCs w:val="20"/>
        </w:rPr>
      </w:pPr>
      <w:r w:rsidRPr="001D0AE6">
        <w:rPr>
          <w:rFonts w:ascii="Verdana" w:eastAsia="Calibri" w:hAnsi="Verdana" w:cs="Arial"/>
          <w:color w:val="000000"/>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4E9B8150" w14:textId="77777777" w:rsidR="002D5EA0" w:rsidRPr="001D0AE6" w:rsidRDefault="002D5EA0" w:rsidP="002D5EA0">
      <w:pPr>
        <w:spacing w:after="0" w:line="240" w:lineRule="auto"/>
        <w:ind w:left="709" w:right="709"/>
        <w:jc w:val="both"/>
        <w:rPr>
          <w:rFonts w:ascii="Verdana" w:eastAsia="Calibri" w:hAnsi="Verdana" w:cs="Arial"/>
          <w:color w:val="000000"/>
          <w:sz w:val="20"/>
          <w:szCs w:val="20"/>
        </w:rPr>
      </w:pPr>
    </w:p>
    <w:p w14:paraId="3EBCB45A" w14:textId="77777777" w:rsidR="002D5EA0" w:rsidRPr="001D0AE6" w:rsidRDefault="002D5EA0" w:rsidP="002D5EA0">
      <w:pPr>
        <w:spacing w:after="0" w:line="240" w:lineRule="auto"/>
        <w:ind w:left="709" w:right="709"/>
        <w:jc w:val="both"/>
        <w:rPr>
          <w:rFonts w:ascii="Verdana" w:eastAsia="Calibri" w:hAnsi="Verdana" w:cs="Arial"/>
          <w:color w:val="000000"/>
          <w:sz w:val="20"/>
          <w:szCs w:val="20"/>
        </w:rPr>
      </w:pPr>
      <w:r w:rsidRPr="001D0AE6">
        <w:rPr>
          <w:rFonts w:ascii="Verdana" w:eastAsia="Calibri" w:hAnsi="Verdana" w:cs="Arial"/>
          <w:color w:val="000000"/>
          <w:sz w:val="20"/>
          <w:szCs w:val="20"/>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685FB5D0" w14:textId="77777777" w:rsidR="002D5EA0" w:rsidRPr="001D0AE6" w:rsidRDefault="002D5EA0" w:rsidP="002D5EA0">
      <w:pPr>
        <w:spacing w:after="0" w:line="276" w:lineRule="auto"/>
        <w:ind w:left="709" w:right="709"/>
        <w:jc w:val="both"/>
        <w:rPr>
          <w:rFonts w:ascii="Verdana" w:eastAsia="Calibri" w:hAnsi="Verdana" w:cs="Arial"/>
          <w:color w:val="000000"/>
        </w:rPr>
      </w:pPr>
    </w:p>
    <w:p w14:paraId="3ACED397" w14:textId="77777777" w:rsidR="002D5EA0" w:rsidRPr="001D0AE6" w:rsidRDefault="002D5EA0" w:rsidP="002D5EA0">
      <w:pPr>
        <w:spacing w:after="120" w:line="276" w:lineRule="auto"/>
        <w:ind w:firstLine="709"/>
        <w:jc w:val="both"/>
        <w:rPr>
          <w:rFonts w:ascii="Verdana" w:eastAsia="Calibri" w:hAnsi="Verdana" w:cs="Arial"/>
        </w:rPr>
      </w:pPr>
      <w:r w:rsidRPr="001D0AE6">
        <w:rPr>
          <w:rFonts w:ascii="Verdana" w:eastAsia="Calibri" w:hAnsi="Verdana"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id="6" w:name="_Hlk77174298"/>
      <w:r w:rsidRPr="001D0AE6">
        <w:rPr>
          <w:rFonts w:ascii="Verdana" w:eastAsia="Calibri" w:hAnsi="Verdana" w:cs="Arial"/>
        </w:rPr>
        <w:t xml:space="preserve">las EICE, las sociedades </w:t>
      </w:r>
      <w:r w:rsidRPr="001D0AE6">
        <w:rPr>
          <w:rFonts w:ascii="Verdana" w:eastAsia="Calibri" w:hAnsi="Verdana" w:cs="Arial"/>
        </w:rPr>
        <w:lastRenderedPageBreak/>
        <w:t>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ii)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6"/>
      <w:r w:rsidRPr="001D0AE6">
        <w:rPr>
          <w:rFonts w:ascii="Verdana" w:eastAsia="Calibri" w:hAnsi="Verdana" w:cs="Arial"/>
          <w:vertAlign w:val="superscript"/>
        </w:rPr>
        <w:footnoteReference w:id="7"/>
      </w:r>
      <w:r w:rsidRPr="001D0AE6">
        <w:rPr>
          <w:rFonts w:ascii="Verdana" w:eastAsia="Calibri" w:hAnsi="Verdana" w:cs="Arial"/>
        </w:rPr>
        <w:t>.</w:t>
      </w:r>
    </w:p>
    <w:p w14:paraId="2B981854" w14:textId="77777777" w:rsidR="002D5EA0" w:rsidRPr="001D0AE6" w:rsidRDefault="002D5EA0" w:rsidP="002D5EA0">
      <w:pPr>
        <w:spacing w:after="120" w:line="276" w:lineRule="auto"/>
        <w:ind w:firstLine="708"/>
        <w:jc w:val="both"/>
        <w:rPr>
          <w:rFonts w:ascii="Verdana" w:eastAsia="Calibri" w:hAnsi="Verdana" w:cs="Arial"/>
          <w:lang w:val="es-ES"/>
        </w:rPr>
      </w:pPr>
      <w:r w:rsidRPr="001D0AE6">
        <w:rPr>
          <w:rFonts w:ascii="Verdana" w:eastAsia="Calibri" w:hAnsi="Verdana" w:cs="Arial"/>
        </w:rPr>
        <w:t xml:space="preserve">En línea con lo anterior, y por resultar pertinente al tema consultado, </w:t>
      </w:r>
      <w:r w:rsidRPr="001D0AE6">
        <w:rPr>
          <w:rFonts w:ascii="Verdana" w:eastAsia="Calibri" w:hAnsi="Verdana" w:cs="Arial"/>
          <w:lang w:val="es-ES"/>
        </w:rPr>
        <w:t xml:space="preserve">resulta a bien aclarar que, como se indicó previamente, el régimen de contratación aplicable a las contrataciones que realicen o pretendan realizar las </w:t>
      </w:r>
      <w:r w:rsidRPr="001D0AE6">
        <w:rPr>
          <w:rFonts w:ascii="Verdana" w:eastAsia="Calibri" w:hAnsi="Verdana" w:cs="Arial"/>
        </w:rPr>
        <w:t>EICE</w:t>
      </w:r>
      <w:r w:rsidRPr="001D0AE6">
        <w:rPr>
          <w:rFonts w:ascii="Verdana" w:eastAsia="Calibri" w:hAnsi="Verdana" w:cs="Arial"/>
          <w:lang w:val="es-ES"/>
        </w:rPr>
        <w:t xml:space="preserve">, dependerá de las situaciones enmarcadas en el artículo 14 de la Ley 1150 de 2007. En ese sentido, no sería factible que, sin una autorización legal previa, estas con el fin de contratar observando las reglas del derecho privado, apliquen lo señalado en el artículo 32 de la Ley 142 de 1994, que en su tener literal dispone: “[s]alvo en cuanto la Constitución Política o esta Ley dispongan expresamente lo contrario, la constitución, y los actos de todas </w:t>
      </w:r>
      <w:r w:rsidRPr="001D0AE6">
        <w:rPr>
          <w:rFonts w:ascii="Verdana" w:eastAsia="Calibri" w:hAnsi="Verdana" w:cs="Arial"/>
          <w:i/>
          <w:iCs/>
          <w:u w:val="single"/>
          <w:lang w:val="es-ES"/>
        </w:rPr>
        <w:t>las empresas de servicios públicos</w:t>
      </w:r>
      <w:r w:rsidRPr="001D0AE6">
        <w:rPr>
          <w:rFonts w:ascii="Verdana" w:eastAsia="Calibri" w:hAnsi="Verdana" w:cs="Arial"/>
          <w:lang w:val="es-ES"/>
        </w:rPr>
        <w:t xml:space="preserve">, así como los requeridos para la administración y el ejercicio de los derechos de todas las personas que sean socias de ellas, en lo no dispuesto en esta Ley, se regirán exclusivamente por las reglas del derecho privado”. [Énfasis fuera de texto]. Norma esta que, como se observa, no hace extensiva su aplicación a otro tipo de empresas, como es el caso de las </w:t>
      </w:r>
      <w:r w:rsidRPr="001D0AE6">
        <w:rPr>
          <w:rFonts w:ascii="Verdana" w:eastAsia="Calibri" w:hAnsi="Verdana" w:cs="Arial"/>
        </w:rPr>
        <w:t>EICE</w:t>
      </w:r>
      <w:r w:rsidRPr="001D0AE6">
        <w:rPr>
          <w:rFonts w:ascii="Verdana" w:eastAsia="Calibri" w:hAnsi="Verdana" w:cs="Arial"/>
          <w:lang w:val="es-ES"/>
        </w:rPr>
        <w:t>.</w:t>
      </w:r>
    </w:p>
    <w:p w14:paraId="04EA2B81" w14:textId="77777777" w:rsidR="002D5EA0" w:rsidRPr="001D0AE6" w:rsidRDefault="002D5EA0" w:rsidP="002D5EA0">
      <w:pPr>
        <w:spacing w:after="120" w:line="276" w:lineRule="auto"/>
        <w:ind w:firstLine="708"/>
        <w:jc w:val="both"/>
        <w:rPr>
          <w:rFonts w:ascii="Verdana" w:eastAsia="Calibri" w:hAnsi="Verdana" w:cs="Arial"/>
        </w:rPr>
      </w:pPr>
      <w:r w:rsidRPr="001D0AE6">
        <w:rPr>
          <w:rFonts w:ascii="Verdana" w:eastAsia="Calibri" w:hAnsi="Verdana" w:cs="Arial"/>
        </w:rPr>
        <w:t xml:space="preserve">Finalmente, debe advertirse que el análisis requerido para resolver problemas específicos en torno a las contrataciones que desarrollen o pretendan desarrollar las Empresas Industriales y Comerciales del Estado, debe ser realizado por quienes tengan interés en ello. De esta manera, las afirmaciones </w:t>
      </w:r>
      <w:r w:rsidRPr="001D0AE6">
        <w:rPr>
          <w:rFonts w:ascii="Verdana" w:eastAsia="Calibri" w:hAnsi="Verdana" w:cs="Arial"/>
        </w:rPr>
        <w:lastRenderedPageBreak/>
        <w:t xml:space="preserve">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2693B74D" w14:textId="77777777" w:rsidR="002D5EA0" w:rsidRPr="001D0AE6" w:rsidRDefault="002D5EA0" w:rsidP="002D5EA0">
      <w:pPr>
        <w:spacing w:after="0" w:line="276" w:lineRule="auto"/>
        <w:ind w:firstLine="708"/>
        <w:jc w:val="both"/>
        <w:rPr>
          <w:rFonts w:ascii="Verdana" w:eastAsia="Calibri" w:hAnsi="Verdana" w:cs="Arial"/>
        </w:rPr>
      </w:pPr>
      <w:r w:rsidRPr="001D0AE6">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BEBCABC" w14:textId="77777777" w:rsidR="002D5EA0" w:rsidRPr="001D0AE6" w:rsidRDefault="002D5EA0" w:rsidP="002D5EA0">
      <w:pPr>
        <w:spacing w:after="0" w:line="276" w:lineRule="auto"/>
        <w:ind w:left="720"/>
        <w:contextualSpacing/>
        <w:jc w:val="both"/>
        <w:rPr>
          <w:rFonts w:ascii="Verdana" w:eastAsia="Calibri" w:hAnsi="Verdana" w:cs="Arial"/>
        </w:rPr>
      </w:pPr>
    </w:p>
    <w:p w14:paraId="6FCD45E4" w14:textId="77777777" w:rsidR="002D5EA0" w:rsidRPr="001D0AE6" w:rsidRDefault="002D5EA0" w:rsidP="002D5EA0">
      <w:pPr>
        <w:widowControl w:val="0"/>
        <w:autoSpaceDE w:val="0"/>
        <w:autoSpaceDN w:val="0"/>
        <w:spacing w:before="1" w:after="0" w:line="240" w:lineRule="auto"/>
        <w:outlineLvl w:val="0"/>
        <w:rPr>
          <w:rFonts w:ascii="Verdana" w:eastAsia="Arial" w:hAnsi="Verdana" w:cs="Arial"/>
          <w:b/>
          <w:bCs/>
          <w:lang w:val="es-ES"/>
        </w:rPr>
      </w:pPr>
      <w:r w:rsidRPr="001D0AE6">
        <w:rPr>
          <w:rFonts w:ascii="Verdana" w:eastAsia="Arial" w:hAnsi="Verdana" w:cs="Arial"/>
          <w:b/>
          <w:bCs/>
          <w:lang w:val="es-ES"/>
        </w:rPr>
        <w:t>4.Referencias normativas, jurisprudenciales y otras fuentes:</w:t>
      </w:r>
    </w:p>
    <w:p w14:paraId="30FF337D" w14:textId="77777777" w:rsidR="002D5EA0" w:rsidRPr="001D0AE6" w:rsidRDefault="002D5EA0" w:rsidP="002D5EA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5EA0" w:rsidRPr="001D0AE6" w14:paraId="5ED72D54" w14:textId="77777777" w:rsidTr="00207B55">
        <w:trPr>
          <w:trHeight w:val="870"/>
        </w:trPr>
        <w:tc>
          <w:tcPr>
            <w:tcW w:w="8647" w:type="dxa"/>
          </w:tcPr>
          <w:p w14:paraId="49671F65" w14:textId="77777777" w:rsidR="002D5EA0" w:rsidRPr="001D0AE6" w:rsidRDefault="002D5EA0" w:rsidP="002D5EA0">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1D0AE6">
              <w:rPr>
                <w:rFonts w:ascii="Verdana" w:eastAsia="Calibri" w:hAnsi="Verdana" w:cs="Arial"/>
                <w:lang w:val="es-ES"/>
              </w:rPr>
              <w:t>Ley 489 de 1998. Artículos 38, 85 y 93</w:t>
            </w:r>
          </w:p>
          <w:p w14:paraId="142C4F7E" w14:textId="77777777" w:rsidR="002D5EA0" w:rsidRPr="001D0AE6" w:rsidRDefault="002D5EA0" w:rsidP="002D5EA0">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1D0AE6">
              <w:rPr>
                <w:rFonts w:ascii="Verdana" w:eastAsia="Calibri" w:hAnsi="Verdana" w:cs="Arial"/>
                <w:lang w:val="es-ES"/>
              </w:rPr>
              <w:t>Ley 80 de 1993. Artículo 2, numeral 1, literal a)</w:t>
            </w:r>
          </w:p>
          <w:p w14:paraId="02F25A89" w14:textId="77777777" w:rsidR="002D5EA0" w:rsidRPr="001D0AE6" w:rsidRDefault="002D5EA0" w:rsidP="002D5EA0">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1D0AE6">
              <w:rPr>
                <w:rFonts w:ascii="Verdana" w:eastAsia="Calibri" w:hAnsi="Verdana" w:cs="Arial"/>
                <w:lang w:val="es-ES"/>
              </w:rPr>
              <w:t>Ley 1150 de 2007. Artículos 13 y 14</w:t>
            </w:r>
          </w:p>
          <w:p w14:paraId="2687F15E" w14:textId="77777777" w:rsidR="002D5EA0" w:rsidRPr="001D0AE6" w:rsidRDefault="002D5EA0" w:rsidP="002D5EA0">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1D0AE6">
              <w:rPr>
                <w:rFonts w:ascii="Verdana" w:eastAsia="Calibri" w:hAnsi="Verdana" w:cs="Arial"/>
                <w:lang w:val="es-ES"/>
              </w:rPr>
              <w:t>Ley 1474 de 2011. Artículo 93</w:t>
            </w:r>
          </w:p>
          <w:p w14:paraId="48437473" w14:textId="77777777" w:rsidR="002D5EA0" w:rsidRPr="001D0AE6" w:rsidRDefault="002D5EA0" w:rsidP="002D5EA0">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1D0AE6">
              <w:rPr>
                <w:rFonts w:ascii="Verdana" w:eastAsia="Calibri" w:hAnsi="Verdana" w:cs="Arial"/>
                <w:lang w:val="es-ES"/>
              </w:rPr>
              <w:t>Consejo de Estado. Sección Tercera, Sentencia del 19 de agosto de 2004 Exp. 12.342, reiterada en sentencia de 6 de febrero de 2006, Exp. 13.414.</w:t>
            </w:r>
          </w:p>
        </w:tc>
      </w:tr>
    </w:tbl>
    <w:p w14:paraId="7FF2C947" w14:textId="77777777" w:rsidR="002D5EA0" w:rsidRPr="001D0AE6" w:rsidRDefault="002D5EA0" w:rsidP="002D5EA0">
      <w:pPr>
        <w:widowControl w:val="0"/>
        <w:autoSpaceDE w:val="0"/>
        <w:autoSpaceDN w:val="0"/>
        <w:spacing w:after="0" w:line="276" w:lineRule="auto"/>
        <w:jc w:val="both"/>
        <w:rPr>
          <w:rFonts w:ascii="Verdana" w:eastAsia="Aptos" w:hAnsi="Verdana" w:cs="Arial"/>
        </w:rPr>
      </w:pPr>
    </w:p>
    <w:p w14:paraId="202099DD" w14:textId="77777777" w:rsidR="002D5EA0" w:rsidRPr="001D0AE6" w:rsidRDefault="002D5EA0" w:rsidP="002D5EA0">
      <w:pPr>
        <w:widowControl w:val="0"/>
        <w:autoSpaceDE w:val="0"/>
        <w:autoSpaceDN w:val="0"/>
        <w:spacing w:before="1" w:after="0" w:line="240" w:lineRule="auto"/>
        <w:outlineLvl w:val="0"/>
        <w:rPr>
          <w:rFonts w:ascii="Verdana" w:eastAsia="Arial" w:hAnsi="Verdana" w:cs="Arial"/>
          <w:b/>
          <w:bCs/>
          <w:lang w:val="es-ES"/>
        </w:rPr>
      </w:pPr>
      <w:r w:rsidRPr="001D0AE6">
        <w:rPr>
          <w:rFonts w:ascii="Verdana" w:eastAsia="Arial" w:hAnsi="Verdana" w:cs="Arial"/>
          <w:b/>
          <w:bCs/>
          <w:lang w:val="es-ES"/>
        </w:rPr>
        <w:t>5. Doctrina de la Agencia Nacional de Contratación Pública:</w:t>
      </w:r>
    </w:p>
    <w:p w14:paraId="1DBB6A82" w14:textId="77777777" w:rsidR="002D5EA0" w:rsidRPr="001D0AE6" w:rsidRDefault="002D5EA0" w:rsidP="002D5EA0">
      <w:pPr>
        <w:widowControl w:val="0"/>
        <w:autoSpaceDE w:val="0"/>
        <w:autoSpaceDN w:val="0"/>
        <w:spacing w:after="0" w:line="276" w:lineRule="auto"/>
        <w:jc w:val="both"/>
        <w:rPr>
          <w:rFonts w:ascii="Verdana" w:eastAsia="Aptos" w:hAnsi="Verdana" w:cs="Arial"/>
        </w:rPr>
      </w:pPr>
    </w:p>
    <w:p w14:paraId="39F1D20C" w14:textId="77777777" w:rsidR="002D5EA0" w:rsidRPr="001D0AE6" w:rsidRDefault="002D5EA0" w:rsidP="002D5EA0">
      <w:pPr>
        <w:widowControl w:val="0"/>
        <w:autoSpaceDE w:val="0"/>
        <w:autoSpaceDN w:val="0"/>
        <w:spacing w:after="0" w:line="276" w:lineRule="auto"/>
        <w:jc w:val="both"/>
        <w:rPr>
          <w:rFonts w:ascii="Verdana" w:eastAsia="Aptos" w:hAnsi="Verdana" w:cs="Arial"/>
          <w:shd w:val="clear" w:color="auto" w:fill="FFFFFF"/>
          <w:lang w:val="es-ES"/>
        </w:rPr>
      </w:pPr>
      <w:r w:rsidRPr="001D0AE6">
        <w:rPr>
          <w:rFonts w:ascii="Verdana" w:eastAsia="Aptos" w:hAnsi="Verdana" w:cs="Arial"/>
          <w:shd w:val="clear" w:color="auto" w:fill="FFFFFF"/>
          <w:lang w:val="es-ES"/>
        </w:rPr>
        <w:t xml:space="preserve">Sobre la naturaleza jurídica y régimen de contratación de las Empresas Industriales y Comerciales del Estado, esta Subdirección se ha referido en los Conceptos </w:t>
      </w:r>
      <w:r w:rsidRPr="001D0AE6">
        <w:rPr>
          <w:rFonts w:ascii="Verdana" w:eastAsia="Calibri" w:hAnsi="Verdana" w:cs="Times New Roman"/>
          <w:color w:val="000000"/>
        </w:rPr>
        <w:t>2201913000009314 del 17 de diciembre de 2019 –dentro del radicado 4201913000001662–, C-251 del 27 de mayo de 2020, C–253 de 2 de junio de 2021 , C-280 del 6 de julio de 2020, C-616 de 3 de noviembre de 2021, C-176 del 6 de abril de 2022 , C-857 de 13 diciembre de 2022, C-501 de 30 de septiembre de 2024, C-424 del 13 de mayo de 2025, C-630 del 01 de julio de 2025</w:t>
      </w:r>
      <w:r w:rsidRPr="001D0AE6">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w:t>
      </w:r>
      <w:r w:rsidRPr="001D0AE6">
        <w:rPr>
          <w:rFonts w:ascii="Verdana" w:eastAsia="Aptos" w:hAnsi="Verdana" w:cs="Arial"/>
          <w:shd w:val="clear" w:color="auto" w:fill="FFFFFF"/>
          <w:lang w:val="es-ES"/>
        </w:rPr>
        <w:lastRenderedPageBreak/>
        <w:t xml:space="preserve">de la contratación concordada con la doctrina de la Subdirección de Gestión Contractual. Accede a través del siguiente enlace: </w:t>
      </w:r>
      <w:hyperlink r:id="rId12" w:history="1">
        <w:r w:rsidRPr="001D0AE6">
          <w:rPr>
            <w:rFonts w:ascii="Verdana" w:eastAsia="Aptos" w:hAnsi="Verdana" w:cs="Arial"/>
            <w:color w:val="0000FF"/>
            <w:u w:val="single"/>
            <w:shd w:val="clear" w:color="auto" w:fill="FFFFFF"/>
            <w:lang w:val="es-ES"/>
          </w:rPr>
          <w:t>https://relatoria.colombiacompra.gov.co/</w:t>
        </w:r>
      </w:hyperlink>
      <w:r w:rsidRPr="001D0AE6">
        <w:rPr>
          <w:rFonts w:ascii="Verdana" w:eastAsia="Aptos" w:hAnsi="Verdana" w:cs="Arial"/>
          <w:shd w:val="clear" w:color="auto" w:fill="FFFFFF"/>
          <w:lang w:val="es-ES"/>
        </w:rPr>
        <w:t xml:space="preserve">. </w:t>
      </w:r>
    </w:p>
    <w:p w14:paraId="0D13E184" w14:textId="77777777" w:rsidR="002D5EA0" w:rsidRPr="001D0AE6" w:rsidRDefault="002D5EA0" w:rsidP="002D5EA0">
      <w:pPr>
        <w:widowControl w:val="0"/>
        <w:autoSpaceDE w:val="0"/>
        <w:autoSpaceDN w:val="0"/>
        <w:spacing w:after="0" w:line="276" w:lineRule="auto"/>
        <w:jc w:val="both"/>
        <w:rPr>
          <w:rFonts w:ascii="Verdana" w:eastAsia="Aptos" w:hAnsi="Verdana" w:cs="Arial"/>
          <w:shd w:val="clear" w:color="auto" w:fill="FFFFFF"/>
          <w:lang w:val="es-ES"/>
        </w:rPr>
      </w:pPr>
    </w:p>
    <w:p w14:paraId="4EBF3F8C" w14:textId="77777777" w:rsidR="002D5EA0" w:rsidRPr="001D0AE6" w:rsidRDefault="002D5EA0" w:rsidP="002D5EA0">
      <w:pPr>
        <w:spacing w:after="0" w:line="240" w:lineRule="auto"/>
        <w:jc w:val="both"/>
        <w:rPr>
          <w:rFonts w:ascii="Verdana" w:eastAsia="Aptos" w:hAnsi="Verdana" w:cs="Times New Roman"/>
        </w:rPr>
      </w:pPr>
      <w:r w:rsidRPr="001D0AE6">
        <w:rPr>
          <w:rFonts w:ascii="Verdana" w:eastAsia="Aptos" w:hAnsi="Verdana" w:cs="Times New Roman"/>
        </w:rPr>
        <w:t xml:space="preserve">Por último, lo invitamos a seguirnos en las redes sociales en las cuales se difunde información institucional: </w:t>
      </w:r>
    </w:p>
    <w:p w14:paraId="19F5B959" w14:textId="77777777" w:rsidR="002D5EA0" w:rsidRPr="001D0AE6" w:rsidRDefault="002D5EA0" w:rsidP="002D5EA0">
      <w:pPr>
        <w:spacing w:after="0" w:line="240" w:lineRule="auto"/>
        <w:jc w:val="both"/>
        <w:rPr>
          <w:rFonts w:ascii="Verdana" w:eastAsia="Aptos" w:hAnsi="Verdana" w:cs="Times New Roman"/>
        </w:rPr>
      </w:pPr>
    </w:p>
    <w:p w14:paraId="02D45CDC" w14:textId="77777777" w:rsidR="002D5EA0" w:rsidRPr="001D0AE6" w:rsidRDefault="002D5EA0" w:rsidP="002D5EA0">
      <w:pPr>
        <w:spacing w:after="0" w:line="240" w:lineRule="auto"/>
        <w:jc w:val="both"/>
        <w:rPr>
          <w:rFonts w:ascii="Verdana" w:eastAsia="Aptos" w:hAnsi="Verdana" w:cs="Times New Roman"/>
        </w:rPr>
      </w:pPr>
      <w:r w:rsidRPr="001D0AE6">
        <w:rPr>
          <w:rFonts w:ascii="Verdana" w:eastAsia="Aptos" w:hAnsi="Verdana" w:cs="Times New Roman"/>
        </w:rPr>
        <w:t xml:space="preserve">Twitter: </w:t>
      </w:r>
      <w:r w:rsidRPr="001D0AE6">
        <w:rPr>
          <w:rFonts w:ascii="Verdana" w:eastAsia="Aptos" w:hAnsi="Verdana" w:cs="Arial"/>
          <w:color w:val="0000FF"/>
          <w:u w:val="single"/>
          <w:shd w:val="clear" w:color="auto" w:fill="FFFFFF"/>
          <w:lang w:val="es-ES"/>
        </w:rPr>
        <w:t>@colombiacompra</w:t>
      </w:r>
      <w:r w:rsidRPr="001D0AE6">
        <w:rPr>
          <w:rFonts w:ascii="Verdana" w:eastAsia="Aptos" w:hAnsi="Verdana" w:cs="Times New Roman"/>
          <w:color w:val="156082"/>
        </w:rPr>
        <w:t xml:space="preserve"> </w:t>
      </w:r>
    </w:p>
    <w:p w14:paraId="27FB0903" w14:textId="77777777" w:rsidR="002D5EA0" w:rsidRPr="001D0AE6" w:rsidRDefault="002D5EA0" w:rsidP="002D5EA0">
      <w:pPr>
        <w:spacing w:after="0" w:line="240" w:lineRule="auto"/>
        <w:jc w:val="both"/>
        <w:rPr>
          <w:rFonts w:ascii="Verdana" w:eastAsia="Aptos" w:hAnsi="Verdana" w:cs="Times New Roman"/>
        </w:rPr>
      </w:pPr>
      <w:r w:rsidRPr="001D0AE6">
        <w:rPr>
          <w:rFonts w:ascii="Verdana" w:eastAsia="Aptos" w:hAnsi="Verdana" w:cs="Times New Roman"/>
        </w:rPr>
        <w:t xml:space="preserve">Facebook: </w:t>
      </w:r>
      <w:r w:rsidRPr="001D0AE6">
        <w:rPr>
          <w:rFonts w:ascii="Verdana" w:eastAsia="Aptos" w:hAnsi="Verdana" w:cs="Arial"/>
          <w:color w:val="0000FF"/>
          <w:u w:val="single"/>
          <w:shd w:val="clear" w:color="auto" w:fill="FFFFFF"/>
          <w:lang w:val="es-ES"/>
        </w:rPr>
        <w:t>ColombiaCompraEficiente</w:t>
      </w:r>
    </w:p>
    <w:p w14:paraId="64958E8F" w14:textId="77777777" w:rsidR="002D5EA0" w:rsidRPr="001D0AE6" w:rsidRDefault="002D5EA0" w:rsidP="002D5EA0">
      <w:pPr>
        <w:spacing w:after="0" w:line="240" w:lineRule="auto"/>
        <w:jc w:val="both"/>
        <w:rPr>
          <w:rFonts w:ascii="Verdana" w:eastAsia="Aptos" w:hAnsi="Verdana" w:cs="Times New Roman"/>
        </w:rPr>
      </w:pPr>
      <w:r w:rsidRPr="001D0AE6">
        <w:rPr>
          <w:rFonts w:ascii="Verdana" w:eastAsia="Aptos" w:hAnsi="Verdana" w:cs="Times New Roman"/>
        </w:rPr>
        <w:t xml:space="preserve">LinkedIn: </w:t>
      </w:r>
      <w:r w:rsidRPr="001D0AE6">
        <w:rPr>
          <w:rFonts w:ascii="Verdana" w:eastAsia="Aptos" w:hAnsi="Verdana" w:cs="Arial"/>
          <w:color w:val="0000FF"/>
          <w:u w:val="single"/>
          <w:shd w:val="clear" w:color="auto" w:fill="FFFFFF"/>
          <w:lang w:val="es-ES"/>
        </w:rPr>
        <w:t>Agencia Nacional de Contratación Pública - Colombia Compra Eficiente</w:t>
      </w:r>
      <w:r w:rsidRPr="001D0AE6">
        <w:rPr>
          <w:rFonts w:ascii="Verdana" w:eastAsia="Aptos" w:hAnsi="Verdana" w:cs="Times New Roman"/>
          <w:color w:val="156082"/>
        </w:rPr>
        <w:t xml:space="preserve"> </w:t>
      </w:r>
      <w:r w:rsidRPr="001D0AE6">
        <w:rPr>
          <w:rFonts w:ascii="Verdana" w:eastAsia="Aptos" w:hAnsi="Verdana" w:cs="Times New Roman"/>
        </w:rPr>
        <w:t xml:space="preserve">Instagram: </w:t>
      </w:r>
      <w:r w:rsidRPr="001D0AE6">
        <w:rPr>
          <w:rFonts w:ascii="Verdana" w:eastAsia="Aptos" w:hAnsi="Verdana" w:cs="Arial"/>
          <w:color w:val="0000FF"/>
          <w:u w:val="single"/>
          <w:shd w:val="clear" w:color="auto" w:fill="FFFFFF"/>
          <w:lang w:val="es-ES"/>
        </w:rPr>
        <w:t>@colombiacompraeficiente_cce</w:t>
      </w:r>
    </w:p>
    <w:p w14:paraId="588AE5F4" w14:textId="77777777" w:rsidR="002D5EA0" w:rsidRPr="001D0AE6" w:rsidRDefault="002D5EA0" w:rsidP="002D5EA0">
      <w:pPr>
        <w:widowControl w:val="0"/>
        <w:autoSpaceDE w:val="0"/>
        <w:autoSpaceDN w:val="0"/>
        <w:spacing w:after="0" w:line="276" w:lineRule="auto"/>
        <w:jc w:val="both"/>
        <w:rPr>
          <w:rFonts w:ascii="Verdana" w:eastAsia="Aptos" w:hAnsi="Verdana" w:cs="Arial"/>
        </w:rPr>
      </w:pPr>
    </w:p>
    <w:p w14:paraId="63A4B1F5" w14:textId="77777777" w:rsidR="002D5EA0" w:rsidRPr="001D0AE6" w:rsidRDefault="002D5EA0" w:rsidP="002D5EA0">
      <w:pPr>
        <w:widowControl w:val="0"/>
        <w:autoSpaceDE w:val="0"/>
        <w:autoSpaceDN w:val="0"/>
        <w:spacing w:after="0" w:line="276" w:lineRule="auto"/>
        <w:jc w:val="both"/>
        <w:rPr>
          <w:rFonts w:ascii="Verdana" w:eastAsia="Aptos" w:hAnsi="Verdana" w:cs="Arial"/>
          <w:lang w:val="es-ES_tradnl"/>
        </w:rPr>
      </w:pPr>
      <w:r w:rsidRPr="001D0AE6">
        <w:rPr>
          <w:rFonts w:ascii="Verdana" w:eastAsia="Aptos" w:hAnsi="Verdana" w:cs="Arial"/>
        </w:rPr>
        <w:t xml:space="preserve">Este concepto tiene el alcance previsto en el artículo 28 del Código de Procedimiento Administrativo y de lo Contencioso Administrativo </w:t>
      </w:r>
      <w:r w:rsidRPr="001D0AE6">
        <w:rPr>
          <w:rFonts w:ascii="Verdana" w:eastAsia="Aptos" w:hAnsi="Verdana" w:cs="Arial"/>
          <w:lang w:val="es-ES_tradnl"/>
        </w:rPr>
        <w:t>y las expresiones aquí utilizadas con mayúscula inicial deben ser entendidas con el significado que les otorga el artículo 2.2.1.1.1.3.1. del Decreto 1082 de 2015.</w:t>
      </w:r>
    </w:p>
    <w:p w14:paraId="404BE88F" w14:textId="77777777" w:rsidR="002D5EA0" w:rsidRPr="001D0AE6" w:rsidRDefault="002D5EA0" w:rsidP="002D5EA0">
      <w:pPr>
        <w:widowControl w:val="0"/>
        <w:autoSpaceDE w:val="0"/>
        <w:autoSpaceDN w:val="0"/>
        <w:spacing w:after="0" w:line="276" w:lineRule="auto"/>
        <w:jc w:val="both"/>
        <w:rPr>
          <w:rFonts w:ascii="Verdana" w:eastAsia="Aptos" w:hAnsi="Verdana" w:cs="Arial"/>
        </w:rPr>
      </w:pPr>
    </w:p>
    <w:p w14:paraId="3B2586A6" w14:textId="77777777" w:rsidR="002D5EA0" w:rsidRPr="001D0AE6" w:rsidRDefault="002D5EA0" w:rsidP="002D5EA0">
      <w:pPr>
        <w:spacing w:after="0" w:line="240" w:lineRule="auto"/>
        <w:rPr>
          <w:rFonts w:ascii="Verdana" w:eastAsia="Aptos" w:hAnsi="Verdana" w:cs="Arial"/>
          <w:lang w:eastAsia="es-CO"/>
        </w:rPr>
      </w:pPr>
      <w:r w:rsidRPr="001D0AE6">
        <w:rPr>
          <w:rFonts w:ascii="Verdana" w:eastAsia="Times New Roman" w:hAnsi="Verdana" w:cs="Arial"/>
          <w:lang w:eastAsia="es-CO"/>
        </w:rPr>
        <w:t>Atentamente,</w:t>
      </w:r>
      <w:r w:rsidRPr="001D0AE6">
        <w:rPr>
          <w:rFonts w:ascii="Verdana" w:eastAsia="Aptos" w:hAnsi="Verdana" w:cs="Arial"/>
          <w:lang w:eastAsia="es-CO"/>
        </w:rPr>
        <w:t xml:space="preserve"> </w:t>
      </w:r>
    </w:p>
    <w:p w14:paraId="2DA21DD1" w14:textId="64B5DC01" w:rsidR="002D5EA0" w:rsidRPr="001D0AE6" w:rsidRDefault="0019774A" w:rsidP="002D5EA0">
      <w:pPr>
        <w:spacing w:after="0" w:line="276" w:lineRule="auto"/>
        <w:jc w:val="center"/>
        <w:rPr>
          <w:rFonts w:ascii="Verdana" w:eastAsia="Aptos" w:hAnsi="Verdana" w:cs="Arial"/>
          <w:lang w:val="es-ES_tradnl" w:eastAsia="es-CO"/>
        </w:rPr>
      </w:pPr>
      <w:r>
        <w:rPr>
          <w:noProof/>
        </w:rPr>
        <w:drawing>
          <wp:inline distT="0" distB="0" distL="0" distR="0" wp14:anchorId="225625FA" wp14:editId="16FF8C4B">
            <wp:extent cx="3713480" cy="1598295"/>
            <wp:effectExtent l="0" t="0" r="1270" b="1905"/>
            <wp:docPr id="11261447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3480" cy="159829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2D5EA0" w:rsidRPr="001D0AE6" w14:paraId="7B60A020" w14:textId="77777777" w:rsidTr="00207B55">
        <w:trPr>
          <w:trHeight w:val="286"/>
        </w:trPr>
        <w:tc>
          <w:tcPr>
            <w:tcW w:w="901" w:type="dxa"/>
            <w:vAlign w:val="center"/>
            <w:hideMark/>
          </w:tcPr>
          <w:p w14:paraId="3F5EA1CF"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C725599"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Nasly Yeana Mosquera Rivas</w:t>
            </w:r>
          </w:p>
          <w:p w14:paraId="394A886D"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Analista T2–06 de la Subdirección de Gestión Contractual</w:t>
            </w:r>
          </w:p>
        </w:tc>
      </w:tr>
      <w:tr w:rsidR="002D5EA0" w:rsidRPr="001D0AE6" w14:paraId="3A8C6BB9" w14:textId="77777777" w:rsidTr="00207B55">
        <w:trPr>
          <w:trHeight w:val="299"/>
        </w:trPr>
        <w:tc>
          <w:tcPr>
            <w:tcW w:w="901" w:type="dxa"/>
            <w:vAlign w:val="center"/>
          </w:tcPr>
          <w:p w14:paraId="44EBE65C"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8F11F48"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Diana Lucía Saavedra</w:t>
            </w:r>
            <w:r>
              <w:rPr>
                <w:rFonts w:ascii="Verdana" w:eastAsia="Aptos" w:hAnsi="Verdana" w:cs="Arial"/>
                <w:sz w:val="14"/>
                <w:szCs w:val="14"/>
                <w:lang w:eastAsia="es-ES"/>
              </w:rPr>
              <w:t xml:space="preserve"> Castañeda</w:t>
            </w:r>
          </w:p>
          <w:p w14:paraId="4549C80D"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Contratista de la Subdirección de Gestión Contractual</w:t>
            </w:r>
          </w:p>
        </w:tc>
      </w:tr>
      <w:tr w:rsidR="002D5EA0" w:rsidRPr="001D0AE6" w14:paraId="3BC222DF" w14:textId="77777777" w:rsidTr="00207B55">
        <w:trPr>
          <w:trHeight w:val="272"/>
        </w:trPr>
        <w:tc>
          <w:tcPr>
            <w:tcW w:w="901" w:type="dxa"/>
            <w:vAlign w:val="center"/>
            <w:hideMark/>
          </w:tcPr>
          <w:p w14:paraId="380D593F"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32592D6"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Carolina Quintero Gacharná</w:t>
            </w:r>
          </w:p>
          <w:p w14:paraId="037F0A7E" w14:textId="77777777" w:rsidR="002D5EA0" w:rsidRPr="001D0AE6" w:rsidRDefault="002D5EA0" w:rsidP="00207B55">
            <w:pPr>
              <w:rPr>
                <w:rFonts w:ascii="Verdana" w:eastAsia="Aptos" w:hAnsi="Verdana" w:cs="Arial"/>
                <w:sz w:val="14"/>
                <w:szCs w:val="14"/>
                <w:lang w:eastAsia="es-ES"/>
              </w:rPr>
            </w:pPr>
            <w:r w:rsidRPr="001D0AE6">
              <w:rPr>
                <w:rFonts w:ascii="Verdana" w:eastAsia="Aptos" w:hAnsi="Verdana" w:cs="Arial"/>
                <w:sz w:val="14"/>
                <w:szCs w:val="14"/>
                <w:lang w:eastAsia="es-ES"/>
              </w:rPr>
              <w:t>Subdirectora de Gestión Contractual ANCP – CCE</w:t>
            </w:r>
          </w:p>
        </w:tc>
      </w:tr>
    </w:tbl>
    <w:p w14:paraId="21C0871A" w14:textId="77777777" w:rsidR="002D5EA0" w:rsidRPr="001D0AE6" w:rsidRDefault="002D5EA0" w:rsidP="002D5EA0">
      <w:pPr>
        <w:spacing w:after="0" w:line="240" w:lineRule="auto"/>
        <w:rPr>
          <w:rFonts w:ascii="Verdana" w:eastAsia="Times New Roman" w:hAnsi="Verdana" w:cs="Arial"/>
          <w:sz w:val="24"/>
          <w:szCs w:val="24"/>
          <w:lang w:eastAsia="es-ES"/>
        </w:rPr>
      </w:pPr>
    </w:p>
    <w:p w14:paraId="720BABDC" w14:textId="77777777" w:rsidR="002D5EA0" w:rsidRPr="001D0AE6" w:rsidRDefault="002D5EA0" w:rsidP="002D5EA0">
      <w:pPr>
        <w:rPr>
          <w:rFonts w:ascii="Verdana" w:eastAsia="Aptos" w:hAnsi="Verdana" w:cs="Times New Roman"/>
        </w:rPr>
      </w:pPr>
    </w:p>
    <w:p w14:paraId="44CD18B3" w14:textId="77777777" w:rsidR="002D5EA0" w:rsidRPr="001D0AE6" w:rsidRDefault="002D5EA0" w:rsidP="002D5EA0">
      <w:pPr>
        <w:rPr>
          <w:rFonts w:ascii="Verdana" w:eastAsia="Aptos" w:hAnsi="Verdana" w:cs="Times New Roman"/>
        </w:rPr>
      </w:pPr>
    </w:p>
    <w:p w14:paraId="60E4EA07" w14:textId="77777777" w:rsidR="008E5C2E" w:rsidRDefault="008E5C2E"/>
    <w:sectPr w:rsidR="008E5C2E" w:rsidSect="002D5EA0">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A0D07" w14:textId="77777777" w:rsidR="00D475C1" w:rsidRDefault="00D475C1" w:rsidP="002D5EA0">
      <w:pPr>
        <w:spacing w:after="0" w:line="240" w:lineRule="auto"/>
      </w:pPr>
      <w:r>
        <w:separator/>
      </w:r>
    </w:p>
  </w:endnote>
  <w:endnote w:type="continuationSeparator" w:id="0">
    <w:p w14:paraId="5843A5A3" w14:textId="77777777" w:rsidR="00D475C1" w:rsidRDefault="00D475C1" w:rsidP="002D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B984" w14:textId="77777777" w:rsidR="002D5EA0" w:rsidRDefault="002D5EA0">
    <w:pPr>
      <w:pStyle w:val="Piedepgina"/>
    </w:pPr>
  </w:p>
  <w:p w14:paraId="68AFFDC1" w14:textId="77777777" w:rsidR="002D5EA0" w:rsidRPr="00174B77" w:rsidRDefault="002D5EA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1D0AE6">
      <w:rPr>
        <w:rFonts w:ascii="Verdana" w:eastAsia="Times New Roman" w:hAnsi="Verdana" w:cs="Times New Roman"/>
        <w:b/>
        <w:bCs/>
        <w:sz w:val="16"/>
        <w:szCs w:val="16"/>
        <w:lang w:val="es-ES"/>
      </w:rPr>
      <w:t xml:space="preserve">pág. </w:t>
    </w:r>
    <w:r w:rsidRPr="001D0AE6">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1D0AE6">
      <w:rPr>
        <w:rFonts w:ascii="Verdana" w:eastAsia="Times New Roman" w:hAnsi="Verdana"/>
        <w:b/>
        <w:bCs/>
        <w:sz w:val="16"/>
        <w:szCs w:val="16"/>
      </w:rPr>
      <w:fldChar w:fldCharType="separate"/>
    </w:r>
    <w:r w:rsidRPr="001D0AE6">
      <w:rPr>
        <w:rFonts w:ascii="Verdana" w:eastAsia="Times New Roman" w:hAnsi="Verdana"/>
        <w:b/>
        <w:bCs/>
        <w:sz w:val="16"/>
        <w:szCs w:val="16"/>
      </w:rPr>
      <w:t>1</w:t>
    </w:r>
    <w:r w:rsidRPr="001D0AE6">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2A6B83E" w14:textId="77777777" w:rsidR="002D5EA0" w:rsidRDefault="002D5EA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0F70847" w14:textId="77777777" w:rsidR="002D5EA0" w:rsidRPr="00E41027" w:rsidRDefault="002D5EA0" w:rsidP="00D520D8">
    <w:pPr>
      <w:spacing w:after="0"/>
      <w:jc w:val="both"/>
      <w:rPr>
        <w:rFonts w:ascii="Verdana" w:hAnsi="Verdana"/>
        <w:sz w:val="18"/>
        <w:szCs w:val="18"/>
      </w:rPr>
    </w:pPr>
    <w:r w:rsidRPr="00E41027">
      <w:rPr>
        <w:rFonts w:ascii="Verdana" w:hAnsi="Verdana"/>
        <w:sz w:val="18"/>
        <w:szCs w:val="18"/>
      </w:rPr>
      <w:t>Mesa de servicio: (+57) 601 7456788</w:t>
    </w:r>
  </w:p>
  <w:p w14:paraId="700558E4" w14:textId="77777777" w:rsidR="002D5EA0" w:rsidRDefault="002D5EA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1EE14" w14:textId="77777777" w:rsidR="00D475C1" w:rsidRDefault="00D475C1" w:rsidP="002D5EA0">
      <w:pPr>
        <w:spacing w:after="0" w:line="240" w:lineRule="auto"/>
      </w:pPr>
      <w:r>
        <w:separator/>
      </w:r>
    </w:p>
  </w:footnote>
  <w:footnote w:type="continuationSeparator" w:id="0">
    <w:p w14:paraId="61B59BDC" w14:textId="77777777" w:rsidR="00D475C1" w:rsidRDefault="00D475C1" w:rsidP="002D5EA0">
      <w:pPr>
        <w:spacing w:after="0" w:line="240" w:lineRule="auto"/>
      </w:pPr>
      <w:r>
        <w:continuationSeparator/>
      </w:r>
    </w:p>
  </w:footnote>
  <w:footnote w:id="1">
    <w:p w14:paraId="3CE2437C"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Style w:val="Refdenotaalpie"/>
          <w:rFonts w:ascii="Verdana" w:hAnsi="Verdana" w:cs="Arial"/>
          <w:sz w:val="18"/>
          <w:szCs w:val="18"/>
        </w:rPr>
        <w:footnoteRef/>
      </w:r>
      <w:r w:rsidRPr="00822E7D">
        <w:rPr>
          <w:rFonts w:ascii="Verdana" w:hAnsi="Verdana" w:cs="Arial"/>
          <w:sz w:val="18"/>
          <w:szCs w:val="18"/>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4F43BA92"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a) Personería jurídica; </w:t>
      </w:r>
    </w:p>
    <w:p w14:paraId="74595AA9"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b) Autonomía administrativa y financiera; </w:t>
      </w:r>
    </w:p>
    <w:p w14:paraId="22F80D9E"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212F2291"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El capital de las empresas industriales y comerciales del Estado podrá estar representado en cuotas o acciones de igual valor nominal. </w:t>
      </w:r>
    </w:p>
    <w:p w14:paraId="284DE90C"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A las empresas industriales y comerciales del Estado y a las sociedades de economía mixta se les aplicará en lo pertinente los artículos 19, numerales 2°, 4°, 5°, 6°, 12, 13, 17, 27, numerales 2°, 3°, 4°, 5°, y 7°, y 183 de la Ley 142 de 1994. </w:t>
      </w:r>
    </w:p>
    <w:p w14:paraId="4FF23911" w14:textId="77777777" w:rsidR="002D5EA0" w:rsidRPr="00822E7D" w:rsidRDefault="002D5EA0" w:rsidP="002D5EA0">
      <w:pPr>
        <w:pStyle w:val="Textonotapie"/>
        <w:ind w:firstLine="708"/>
        <w:contextualSpacing/>
        <w:jc w:val="both"/>
        <w:rPr>
          <w:rFonts w:ascii="Verdana" w:hAnsi="Verdana" w:cs="Arial"/>
          <w:sz w:val="18"/>
          <w:szCs w:val="18"/>
        </w:rPr>
      </w:pPr>
      <w:r w:rsidRPr="00822E7D">
        <w:rPr>
          <w:rFonts w:ascii="Verdana" w:hAnsi="Verdana" w:cs="Arial"/>
          <w:sz w:val="18"/>
          <w:szCs w:val="18"/>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2">
    <w:p w14:paraId="1A841480" w14:textId="77777777" w:rsidR="002D5EA0" w:rsidRPr="00822E7D" w:rsidRDefault="002D5EA0" w:rsidP="002D5EA0">
      <w:pPr>
        <w:pStyle w:val="Textonotapie"/>
        <w:ind w:firstLine="709"/>
        <w:contextualSpacing/>
        <w:jc w:val="both"/>
        <w:rPr>
          <w:rFonts w:ascii="Verdana" w:hAnsi="Verdana" w:cs="Arial"/>
          <w:sz w:val="18"/>
          <w:szCs w:val="18"/>
        </w:rPr>
      </w:pPr>
      <w:r w:rsidRPr="00822E7D">
        <w:rPr>
          <w:rStyle w:val="Refdenotaalpie"/>
          <w:rFonts w:ascii="Verdana" w:hAnsi="Verdana" w:cs="Arial"/>
          <w:sz w:val="18"/>
          <w:szCs w:val="18"/>
        </w:rPr>
        <w:footnoteRef/>
      </w:r>
      <w:r w:rsidRPr="00822E7D">
        <w:rPr>
          <w:rFonts w:ascii="Verdana" w:hAnsi="Verdana" w:cs="Arial"/>
          <w:sz w:val="18"/>
          <w:szCs w:val="18"/>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footnote>
  <w:footnote w:id="3">
    <w:p w14:paraId="58132560" w14:textId="77777777" w:rsidR="002D5EA0" w:rsidRPr="00822E7D" w:rsidRDefault="002D5EA0" w:rsidP="002D5EA0">
      <w:pPr>
        <w:spacing w:after="0" w:line="240" w:lineRule="auto"/>
        <w:ind w:firstLine="709"/>
        <w:contextualSpacing/>
        <w:jc w:val="both"/>
        <w:rPr>
          <w:rFonts w:ascii="Verdana" w:hAnsi="Verdana" w:cs="Arial"/>
          <w:sz w:val="18"/>
          <w:szCs w:val="18"/>
        </w:rPr>
      </w:pPr>
      <w:r w:rsidRPr="00822E7D">
        <w:rPr>
          <w:rStyle w:val="Refdenotaalpie"/>
          <w:rFonts w:ascii="Verdana" w:hAnsi="Verdana" w:cs="Arial"/>
          <w:sz w:val="18"/>
          <w:szCs w:val="18"/>
        </w:rPr>
        <w:footnoteRef/>
      </w:r>
      <w:r w:rsidRPr="00822E7D">
        <w:rPr>
          <w:rFonts w:ascii="Verdana" w:hAnsi="Verdana" w:cs="Arial"/>
          <w:sz w:val="18"/>
          <w:szCs w:val="18"/>
        </w:rPr>
        <w:t xml:space="preserve"> El artículo 85 de la ley 489 de 1998 definió a las empresas industriales y comerciales del Estado </w:t>
      </w:r>
      <w:r w:rsidRPr="00822E7D">
        <w:rPr>
          <w:rFonts w:ascii="Verdana" w:hAnsi="Verdana" w:cs="Arial"/>
          <w:color w:val="000000"/>
          <w:sz w:val="18"/>
          <w:szCs w:val="18"/>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bookmarkStart w:id="2" w:name="353"/>
    <w:bookmarkEnd w:id="2"/>
  </w:footnote>
  <w:footnote w:id="4">
    <w:p w14:paraId="718DBA86" w14:textId="77777777" w:rsidR="002D5EA0" w:rsidRPr="00822E7D" w:rsidRDefault="002D5EA0" w:rsidP="002D5EA0">
      <w:pPr>
        <w:pStyle w:val="Textonotapie"/>
        <w:ind w:firstLine="709"/>
        <w:contextualSpacing/>
        <w:jc w:val="both"/>
        <w:rPr>
          <w:rFonts w:ascii="Verdana" w:hAnsi="Verdana" w:cs="Arial"/>
          <w:sz w:val="18"/>
          <w:szCs w:val="18"/>
        </w:rPr>
      </w:pPr>
      <w:bookmarkStart w:id="4" w:name="353"/>
      <w:bookmarkEnd w:id="4"/>
      <w:r w:rsidRPr="00822E7D">
        <w:rPr>
          <w:rStyle w:val="Refdenotaalpie"/>
          <w:rFonts w:ascii="Verdana" w:hAnsi="Verdana" w:cs="Arial"/>
          <w:sz w:val="18"/>
          <w:szCs w:val="18"/>
        </w:rPr>
        <w:footnoteRef/>
      </w:r>
      <w:r w:rsidRPr="00822E7D">
        <w:rPr>
          <w:rFonts w:ascii="Verdana" w:hAnsi="Verdana" w:cs="Arial"/>
          <w:sz w:val="18"/>
          <w:szCs w:val="18"/>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5">
    <w:p w14:paraId="6539A109" w14:textId="77777777" w:rsidR="002D5EA0" w:rsidRPr="00822E7D" w:rsidRDefault="002D5EA0" w:rsidP="002D5EA0">
      <w:pPr>
        <w:pStyle w:val="Textonotapie"/>
        <w:ind w:firstLine="709"/>
        <w:contextualSpacing/>
        <w:jc w:val="both"/>
        <w:rPr>
          <w:rFonts w:ascii="Verdana" w:hAnsi="Verdana" w:cs="Arial"/>
          <w:sz w:val="18"/>
          <w:szCs w:val="18"/>
          <w:lang w:val="es-CO"/>
        </w:rPr>
      </w:pPr>
      <w:r w:rsidRPr="00822E7D">
        <w:rPr>
          <w:rStyle w:val="Refdenotaalpie"/>
          <w:rFonts w:ascii="Verdana" w:hAnsi="Verdana" w:cs="Arial"/>
          <w:sz w:val="18"/>
          <w:szCs w:val="18"/>
        </w:rPr>
        <w:footnoteRef/>
      </w:r>
      <w:r w:rsidRPr="00822E7D">
        <w:rPr>
          <w:rFonts w:ascii="Verdana" w:hAnsi="Verdana" w:cs="Arial"/>
          <w:sz w:val="18"/>
          <w:szCs w:val="18"/>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6">
    <w:p w14:paraId="6EE3C7EF" w14:textId="77777777" w:rsidR="002D5EA0" w:rsidRPr="00822E7D" w:rsidRDefault="002D5EA0" w:rsidP="002D5EA0">
      <w:pPr>
        <w:pStyle w:val="Textonotapie"/>
        <w:ind w:firstLine="709"/>
        <w:contextualSpacing/>
        <w:jc w:val="both"/>
        <w:rPr>
          <w:rFonts w:ascii="Verdana" w:hAnsi="Verdana" w:cs="Arial"/>
          <w:sz w:val="18"/>
          <w:szCs w:val="18"/>
        </w:rPr>
      </w:pPr>
      <w:r w:rsidRPr="00822E7D">
        <w:rPr>
          <w:rStyle w:val="Refdenotaalpie"/>
          <w:rFonts w:ascii="Verdana" w:hAnsi="Verdana" w:cs="Arial"/>
          <w:sz w:val="18"/>
          <w:szCs w:val="18"/>
        </w:rPr>
        <w:footnoteRef/>
      </w:r>
      <w:r w:rsidRPr="00822E7D">
        <w:rPr>
          <w:rFonts w:ascii="Verdana" w:hAnsi="Verdana" w:cs="Arial"/>
          <w:sz w:val="18"/>
          <w:szCs w:val="18"/>
        </w:rPr>
        <w:t xml:space="preserve"> Consejo de Estado. Sección Tercera, Sentencia del 19 de agosto de 2004 Exp. 12.342, reiterada en sentencia de 6 de febrero de 2006, Exp. 13.414. </w:t>
      </w:r>
    </w:p>
  </w:footnote>
  <w:footnote w:id="7">
    <w:p w14:paraId="337A0AB8" w14:textId="77777777" w:rsidR="002D5EA0" w:rsidRPr="00822E7D" w:rsidRDefault="002D5EA0" w:rsidP="002D5EA0">
      <w:pPr>
        <w:pStyle w:val="Textonotapie"/>
        <w:ind w:firstLine="709"/>
        <w:contextualSpacing/>
        <w:jc w:val="both"/>
        <w:rPr>
          <w:rFonts w:ascii="Verdana" w:hAnsi="Verdana" w:cs="Arial"/>
          <w:sz w:val="18"/>
          <w:szCs w:val="18"/>
        </w:rPr>
      </w:pPr>
      <w:r w:rsidRPr="00822E7D">
        <w:rPr>
          <w:rStyle w:val="Refdenotaalpie"/>
          <w:rFonts w:ascii="Verdana" w:hAnsi="Verdana" w:cs="Arial"/>
          <w:sz w:val="18"/>
          <w:szCs w:val="18"/>
        </w:rPr>
        <w:footnoteRef/>
      </w:r>
      <w:r w:rsidRPr="00822E7D">
        <w:rPr>
          <w:rFonts w:ascii="Verdana" w:hAnsi="Verdana" w:cs="Arial"/>
          <w:sz w:val="18"/>
          <w:szCs w:val="18"/>
        </w:rPr>
        <w:t xml:space="preserve"> Ley 1150 de 2007, artículo 13: </w:t>
      </w:r>
      <w:r w:rsidRPr="00822E7D">
        <w:rPr>
          <w:rFonts w:ascii="Verdana" w:hAnsi="Verdana" w:cs="Arial"/>
          <w:color w:val="000000"/>
          <w:sz w:val="18"/>
          <w:szCs w:val="18"/>
        </w:rPr>
        <w:t>“</w:t>
      </w:r>
      <w:r w:rsidRPr="00822E7D">
        <w:rPr>
          <w:rFonts w:ascii="Verdana" w:hAnsi="Verdana" w:cs="Arial"/>
          <w:sz w:val="18"/>
          <w:szCs w:val="18"/>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822E7D">
        <w:rPr>
          <w:rFonts w:ascii="Verdana" w:hAnsi="Verdana" w:cs="Arial"/>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0816" w14:textId="77777777" w:rsidR="002D5EA0" w:rsidRDefault="002D5EA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51222A4" wp14:editId="03C7CDA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328BAD0" wp14:editId="6C9373C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2152CA0" w14:textId="77777777" w:rsidR="002D5EA0" w:rsidRDefault="002D5EA0">
    <w:pPr>
      <w:pStyle w:val="Encabezado"/>
    </w:pPr>
  </w:p>
  <w:p w14:paraId="315DE10D" w14:textId="77777777" w:rsidR="002D5EA0" w:rsidRDefault="002D5EA0" w:rsidP="004A305D">
    <w:pPr>
      <w:spacing w:after="0"/>
      <w:rPr>
        <w:rFonts w:ascii="Verdana" w:hAnsi="Verdana"/>
        <w:b/>
        <w:bCs/>
      </w:rPr>
    </w:pPr>
  </w:p>
  <w:p w14:paraId="798F6AFD" w14:textId="77777777" w:rsidR="002D5EA0" w:rsidRPr="00DC39FC" w:rsidRDefault="002D5EA0" w:rsidP="004A305D">
    <w:pPr>
      <w:spacing w:after="0"/>
      <w:rPr>
        <w:rFonts w:ascii="Verdana" w:hAnsi="Verdana"/>
        <w:b/>
        <w:bCs/>
      </w:rPr>
    </w:pPr>
    <w:r w:rsidRPr="00DC39FC">
      <w:rPr>
        <w:rFonts w:ascii="Verdana" w:hAnsi="Verdana"/>
        <w:b/>
        <w:bCs/>
      </w:rPr>
      <w:t>FORMATO PQRSD</w:t>
    </w:r>
  </w:p>
  <w:p w14:paraId="0E085FC1" w14:textId="77777777" w:rsidR="002D5EA0" w:rsidRPr="004A305D" w:rsidRDefault="002D5EA0" w:rsidP="00B01B1A">
    <w:pPr>
      <w:spacing w:after="0" w:line="120" w:lineRule="auto"/>
      <w:rPr>
        <w:rFonts w:ascii="Century Gothic" w:eastAsia="Geo" w:hAnsi="Century Gothic" w:cs="Geo"/>
        <w:sz w:val="16"/>
        <w:szCs w:val="16"/>
        <w:lang w:eastAsia="es-CO"/>
      </w:rPr>
    </w:pPr>
  </w:p>
  <w:p w14:paraId="724E1BB1" w14:textId="77777777" w:rsidR="002D5EA0" w:rsidRDefault="002D5EA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227187C"/>
    <w:multiLevelType w:val="hybridMultilevel"/>
    <w:tmpl w:val="9CF2658E"/>
    <w:lvl w:ilvl="0" w:tplc="EC60E48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679089576">
    <w:abstractNumId w:val="0"/>
  </w:num>
  <w:num w:numId="2" w16cid:durableId="139227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A0"/>
    <w:rsid w:val="000F01E0"/>
    <w:rsid w:val="0019774A"/>
    <w:rsid w:val="002D5EA0"/>
    <w:rsid w:val="005727E1"/>
    <w:rsid w:val="005818E2"/>
    <w:rsid w:val="008E5C2E"/>
    <w:rsid w:val="00904996"/>
    <w:rsid w:val="00B604DF"/>
    <w:rsid w:val="00CF1C67"/>
    <w:rsid w:val="00D475C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121AD"/>
  <w15:chartTrackingRefBased/>
  <w15:docId w15:val="{25471539-2D9C-403B-B27B-DCD8AD42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EA0"/>
    <w:rPr>
      <w:kern w:val="0"/>
      <w14:ligatures w14:val="none"/>
    </w:rPr>
  </w:style>
  <w:style w:type="paragraph" w:styleId="Ttulo1">
    <w:name w:val="heading 1"/>
    <w:basedOn w:val="Normal"/>
    <w:next w:val="Normal"/>
    <w:link w:val="Ttulo1Car"/>
    <w:uiPriority w:val="9"/>
    <w:qFormat/>
    <w:rsid w:val="002D5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5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5E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5E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5E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5E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5E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5E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5E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5E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5E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5E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5E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5E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5E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5E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5E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5EA0"/>
    <w:rPr>
      <w:rFonts w:eastAsiaTheme="majorEastAsia" w:cstheme="majorBidi"/>
      <w:color w:val="272727" w:themeColor="text1" w:themeTint="D8"/>
    </w:rPr>
  </w:style>
  <w:style w:type="paragraph" w:styleId="Ttulo">
    <w:name w:val="Title"/>
    <w:basedOn w:val="Normal"/>
    <w:next w:val="Normal"/>
    <w:link w:val="TtuloCar"/>
    <w:uiPriority w:val="10"/>
    <w:qFormat/>
    <w:rsid w:val="002D5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5E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5E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5E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5EA0"/>
    <w:pPr>
      <w:spacing w:before="160"/>
      <w:jc w:val="center"/>
    </w:pPr>
    <w:rPr>
      <w:i/>
      <w:iCs/>
      <w:color w:val="404040" w:themeColor="text1" w:themeTint="BF"/>
    </w:rPr>
  </w:style>
  <w:style w:type="character" w:customStyle="1" w:styleId="CitaCar">
    <w:name w:val="Cita Car"/>
    <w:basedOn w:val="Fuentedeprrafopredeter"/>
    <w:link w:val="Cita"/>
    <w:uiPriority w:val="29"/>
    <w:rsid w:val="002D5EA0"/>
    <w:rPr>
      <w:i/>
      <w:iCs/>
      <w:color w:val="404040" w:themeColor="text1" w:themeTint="BF"/>
    </w:rPr>
  </w:style>
  <w:style w:type="paragraph" w:styleId="Prrafodelista">
    <w:name w:val="List Paragraph"/>
    <w:basedOn w:val="Normal"/>
    <w:uiPriority w:val="34"/>
    <w:qFormat/>
    <w:rsid w:val="002D5EA0"/>
    <w:pPr>
      <w:ind w:left="720"/>
      <w:contextualSpacing/>
    </w:pPr>
  </w:style>
  <w:style w:type="character" w:styleId="nfasisintenso">
    <w:name w:val="Intense Emphasis"/>
    <w:basedOn w:val="Fuentedeprrafopredeter"/>
    <w:uiPriority w:val="21"/>
    <w:qFormat/>
    <w:rsid w:val="002D5EA0"/>
    <w:rPr>
      <w:i/>
      <w:iCs/>
      <w:color w:val="0F4761" w:themeColor="accent1" w:themeShade="BF"/>
    </w:rPr>
  </w:style>
  <w:style w:type="paragraph" w:styleId="Citadestacada">
    <w:name w:val="Intense Quote"/>
    <w:basedOn w:val="Normal"/>
    <w:next w:val="Normal"/>
    <w:link w:val="CitadestacadaCar"/>
    <w:uiPriority w:val="30"/>
    <w:qFormat/>
    <w:rsid w:val="002D5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5EA0"/>
    <w:rPr>
      <w:i/>
      <w:iCs/>
      <w:color w:val="0F4761" w:themeColor="accent1" w:themeShade="BF"/>
    </w:rPr>
  </w:style>
  <w:style w:type="character" w:styleId="Referenciaintensa">
    <w:name w:val="Intense Reference"/>
    <w:basedOn w:val="Fuentedeprrafopredeter"/>
    <w:uiPriority w:val="32"/>
    <w:qFormat/>
    <w:rsid w:val="002D5EA0"/>
    <w:rPr>
      <w:b/>
      <w:bCs/>
      <w:smallCaps/>
      <w:color w:val="0F4761" w:themeColor="accent1" w:themeShade="BF"/>
      <w:spacing w:val="5"/>
    </w:rPr>
  </w:style>
  <w:style w:type="paragraph" w:styleId="Encabezado">
    <w:name w:val="header"/>
    <w:basedOn w:val="Normal"/>
    <w:link w:val="EncabezadoCar"/>
    <w:uiPriority w:val="99"/>
    <w:unhideWhenUsed/>
    <w:rsid w:val="002D5E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5EA0"/>
    <w:rPr>
      <w:kern w:val="0"/>
      <w14:ligatures w14:val="none"/>
    </w:rPr>
  </w:style>
  <w:style w:type="paragraph" w:styleId="Piedepgina">
    <w:name w:val="footer"/>
    <w:basedOn w:val="Normal"/>
    <w:link w:val="PiedepginaCar"/>
    <w:uiPriority w:val="99"/>
    <w:unhideWhenUsed/>
    <w:rsid w:val="002D5E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5EA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D5EA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2D5EA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D5EA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D5EA0"/>
    <w:rPr>
      <w:vertAlign w:val="superscript"/>
    </w:rPr>
  </w:style>
  <w:style w:type="table" w:styleId="Tablaconcuadrcula">
    <w:name w:val="Table Grid"/>
    <w:basedOn w:val="Tablanormal"/>
    <w:uiPriority w:val="39"/>
    <w:qFormat/>
    <w:rsid w:val="002D5EA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D5EA0"/>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2D5EA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zcarmencecili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35F0ED-B378-4124-B5F2-397F20B9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6F206-1A9B-48CF-B164-B805A141A00C}">
  <ds:schemaRefs>
    <ds:schemaRef ds:uri="http://schemas.microsoft.com/sharepoint/v3/contenttype/forms"/>
  </ds:schemaRefs>
</ds:datastoreItem>
</file>

<file path=customXml/itemProps3.xml><?xml version="1.0" encoding="utf-8"?>
<ds:datastoreItem xmlns:ds="http://schemas.openxmlformats.org/officeDocument/2006/customXml" ds:itemID="{B797F064-32C6-437E-AC31-C3C5BBBFAA3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3309</Words>
  <Characters>18205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5</cp:revision>
  <dcterms:created xsi:type="dcterms:W3CDTF">2025-08-27T13:14:00Z</dcterms:created>
  <dcterms:modified xsi:type="dcterms:W3CDTF">2025-08-27T13:22:00Z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