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B42B1A" w14:textId="77777777" w:rsidR="0013363D" w:rsidRDefault="0013363D" w:rsidP="0013363D">
      <w:pPr>
        <w:spacing w:after="0" w:line="240" w:lineRule="auto"/>
        <w:jc w:val="both"/>
        <w:rPr>
          <w:rFonts w:ascii="Verdana" w:eastAsia="Geomanist Light" w:hAnsi="Verdana" w:cs="Arial"/>
          <w:color w:val="000000" w:themeColor="text1"/>
          <w:lang w:val="es-MX"/>
        </w:rPr>
      </w:pPr>
    </w:p>
    <w:p w14:paraId="2EDFFBDC" w14:textId="6784D23E" w:rsidR="0013363D" w:rsidRPr="0013363D" w:rsidRDefault="0013363D" w:rsidP="0013363D">
      <w:pPr>
        <w:spacing w:after="0" w:line="240" w:lineRule="auto"/>
        <w:jc w:val="both"/>
        <w:rPr>
          <w:rFonts w:ascii="Verdana" w:eastAsia="Geomanist Light" w:hAnsi="Verdana" w:cs="Arial"/>
          <w:b/>
          <w:bCs/>
          <w:color w:val="000000" w:themeColor="text1"/>
        </w:rPr>
      </w:pPr>
      <w:r w:rsidRPr="0013363D">
        <w:rPr>
          <w:rFonts w:ascii="Verdana" w:eastAsia="Geomanist Light" w:hAnsi="Verdana" w:cs="Arial"/>
          <w:b/>
          <w:bCs/>
          <w:color w:val="000000" w:themeColor="text1"/>
        </w:rPr>
        <w:t xml:space="preserve">SUPERVISIÓN DEL CONTRATO – </w:t>
      </w:r>
      <w:r w:rsidRPr="0013363D">
        <w:rPr>
          <w:rFonts w:ascii="Verdana" w:eastAsia="Calibri" w:hAnsi="Verdana" w:cs="Arial"/>
          <w:b/>
          <w:bCs/>
          <w:color w:val="000000" w:themeColor="text1"/>
          <w:lang w:val="es-ES" w:eastAsia="es-ES"/>
        </w:rPr>
        <w:t xml:space="preserve">Concepto – Características – Apoyo a la supervisión </w:t>
      </w:r>
    </w:p>
    <w:p w14:paraId="61CDF0E0" w14:textId="77777777" w:rsidR="0013363D" w:rsidRPr="0013363D" w:rsidRDefault="0013363D" w:rsidP="0013363D">
      <w:pPr>
        <w:spacing w:after="0" w:line="240" w:lineRule="auto"/>
        <w:jc w:val="both"/>
        <w:rPr>
          <w:rFonts w:ascii="Verdana" w:eastAsia="Geomanist Light" w:hAnsi="Verdana" w:cs="Arial"/>
          <w:color w:val="000000" w:themeColor="text1"/>
        </w:rPr>
      </w:pPr>
      <w:r w:rsidRPr="0013363D">
        <w:rPr>
          <w:rFonts w:ascii="Verdana" w:eastAsia="Geomanist Light" w:hAnsi="Verdana" w:cs="Arial"/>
          <w:b/>
          <w:bCs/>
          <w:color w:val="000000" w:themeColor="text1"/>
        </w:rPr>
        <w:t> </w:t>
      </w:r>
    </w:p>
    <w:p w14:paraId="349EA5EE" w14:textId="77777777" w:rsidR="0013363D" w:rsidRPr="00E44EAF" w:rsidRDefault="0013363D" w:rsidP="0013363D">
      <w:pPr>
        <w:spacing w:after="0" w:line="240" w:lineRule="auto"/>
        <w:jc w:val="both"/>
        <w:rPr>
          <w:rFonts w:ascii="Verdana" w:eastAsia="Geomanist Light" w:hAnsi="Verdana" w:cs="Arial"/>
          <w:color w:val="000000" w:themeColor="text1"/>
          <w:sz w:val="20"/>
          <w:szCs w:val="20"/>
        </w:rPr>
      </w:pPr>
      <w:r w:rsidRPr="0013363D">
        <w:rPr>
          <w:rFonts w:ascii="Verdana" w:eastAsia="Geomanist Light" w:hAnsi="Verdana" w:cs="Arial"/>
          <w:color w:val="000000" w:themeColor="text1"/>
          <w:sz w:val="20"/>
          <w:szCs w:val="20"/>
        </w:rPr>
        <w:t xml:space="preserve">[…] de las disposiciones contenidas en los artículos 83 y 84 de la Ley 1474 de 2011, se infieren las siguientes características de la supervisión: i) la labor de supervisión siempre existirá en relación con cualquier contrato estatal, incluidos los contratos de prestación de servicios –a diferencia de la interventoría que depende del análisis de su necesidad y extensión –; </w:t>
      </w:r>
      <w:proofErr w:type="spellStart"/>
      <w:r w:rsidRPr="0013363D">
        <w:rPr>
          <w:rFonts w:ascii="Verdana" w:eastAsia="Geomanist Light" w:hAnsi="Verdana" w:cs="Arial"/>
          <w:color w:val="000000" w:themeColor="text1"/>
          <w:sz w:val="20"/>
          <w:szCs w:val="20"/>
        </w:rPr>
        <w:t>ii</w:t>
      </w:r>
      <w:proofErr w:type="spellEnd"/>
      <w:r w:rsidRPr="0013363D">
        <w:rPr>
          <w:rFonts w:ascii="Verdana" w:eastAsia="Geomanist Light" w:hAnsi="Verdana" w:cs="Arial"/>
          <w:color w:val="000000" w:themeColor="text1"/>
          <w:sz w:val="20"/>
          <w:szCs w:val="20"/>
        </w:rPr>
        <w:t xml:space="preserve">) no requiere conocimientos tan especializados como la interventoría; </w:t>
      </w:r>
      <w:proofErr w:type="spellStart"/>
      <w:r w:rsidRPr="0013363D">
        <w:rPr>
          <w:rFonts w:ascii="Verdana" w:eastAsia="Geomanist Light" w:hAnsi="Verdana" w:cs="Arial"/>
          <w:color w:val="000000" w:themeColor="text1"/>
          <w:sz w:val="20"/>
          <w:szCs w:val="20"/>
        </w:rPr>
        <w:t>iii</w:t>
      </w:r>
      <w:proofErr w:type="spellEnd"/>
      <w:r w:rsidRPr="0013363D">
        <w:rPr>
          <w:rFonts w:ascii="Verdana" w:eastAsia="Geomanist Light" w:hAnsi="Verdana" w:cs="Arial"/>
          <w:color w:val="000000" w:themeColor="text1"/>
          <w:sz w:val="20"/>
          <w:szCs w:val="20"/>
        </w:rPr>
        <w:t xml:space="preserve">) se ejerce por la Entidad Estatal por conducto de la designación de servidores públicos idóneos para cumplir la función; </w:t>
      </w:r>
      <w:proofErr w:type="spellStart"/>
      <w:r w:rsidRPr="0013363D">
        <w:rPr>
          <w:rFonts w:ascii="Verdana" w:eastAsia="Geomanist Light" w:hAnsi="Verdana" w:cs="Arial"/>
          <w:color w:val="000000" w:themeColor="text1"/>
          <w:sz w:val="20"/>
          <w:szCs w:val="20"/>
        </w:rPr>
        <w:t>iv</w:t>
      </w:r>
      <w:proofErr w:type="spellEnd"/>
      <w:r w:rsidRPr="0013363D">
        <w:rPr>
          <w:rFonts w:ascii="Verdana" w:eastAsia="Geomanist Light" w:hAnsi="Verdana" w:cs="Arial"/>
          <w:color w:val="000000" w:themeColor="text1"/>
          <w:sz w:val="20"/>
          <w:szCs w:val="20"/>
        </w:rPr>
        <w:t>) puede recibir apoyo de personal contratado para tal fin mediante contratos de prestación de servicios; y v) le es inseparable el seguimiento técnico, administrativo, financiero, contable y jurídico del contrato vigilado.</w:t>
      </w:r>
    </w:p>
    <w:p w14:paraId="777EB15B" w14:textId="77777777" w:rsidR="0013363D" w:rsidRDefault="0013363D" w:rsidP="0013363D">
      <w:pPr>
        <w:spacing w:after="0" w:line="240" w:lineRule="auto"/>
        <w:jc w:val="both"/>
        <w:rPr>
          <w:rFonts w:ascii="Verdana" w:eastAsia="Geomanist Light" w:hAnsi="Verdana" w:cs="Arial"/>
          <w:color w:val="000000" w:themeColor="text1"/>
        </w:rPr>
      </w:pPr>
    </w:p>
    <w:p w14:paraId="4EEBB0D1" w14:textId="77777777" w:rsidR="0013363D" w:rsidRDefault="0013363D" w:rsidP="0013363D">
      <w:pPr>
        <w:spacing w:after="0" w:line="240" w:lineRule="auto"/>
        <w:jc w:val="both"/>
        <w:rPr>
          <w:rFonts w:ascii="Verdana" w:eastAsia="Geomanist Light" w:hAnsi="Verdana" w:cs="Arial"/>
          <w:color w:val="000000" w:themeColor="text1"/>
        </w:rPr>
      </w:pPr>
    </w:p>
    <w:p w14:paraId="4EBAB537" w14:textId="086EC409" w:rsidR="0013363D" w:rsidRPr="00E44EAF" w:rsidRDefault="00E44EAF" w:rsidP="0013363D">
      <w:pPr>
        <w:spacing w:after="0" w:line="240" w:lineRule="auto"/>
        <w:jc w:val="both"/>
        <w:rPr>
          <w:rFonts w:ascii="Verdana" w:eastAsia="Geomanist Light" w:hAnsi="Verdana" w:cs="Arial"/>
          <w:b/>
          <w:bCs/>
          <w:color w:val="000000" w:themeColor="text1"/>
        </w:rPr>
      </w:pPr>
      <w:r w:rsidRPr="00E44EAF">
        <w:rPr>
          <w:rFonts w:ascii="Verdana" w:eastAsia="Geomanist Light" w:hAnsi="Verdana" w:cs="Arial"/>
          <w:b/>
          <w:bCs/>
          <w:color w:val="000000" w:themeColor="text1"/>
        </w:rPr>
        <w:t xml:space="preserve">LEY 489 DE 1998 – </w:t>
      </w:r>
      <w:r w:rsidRPr="00E44EAF">
        <w:rPr>
          <w:rFonts w:ascii="Verdana" w:eastAsia="Calibri" w:hAnsi="Verdana" w:cs="Arial"/>
          <w:b/>
          <w:color w:val="000000" w:themeColor="text1"/>
          <w:lang w:val="es-ES" w:eastAsia="es-ES"/>
        </w:rPr>
        <w:t>Convenios</w:t>
      </w:r>
      <w:r w:rsidRPr="00E44EAF">
        <w:rPr>
          <w:rFonts w:ascii="Verdana" w:eastAsia="Calibri" w:hAnsi="Verdana" w:cs="Arial"/>
          <w:b/>
          <w:color w:val="000000" w:themeColor="text1"/>
          <w:lang w:eastAsia="es-ES"/>
        </w:rPr>
        <w:t xml:space="preserve"> – Particulares –</w:t>
      </w:r>
      <w:r w:rsidRPr="00E44EAF">
        <w:rPr>
          <w:rFonts w:ascii="Verdana" w:eastAsia="Calibri" w:hAnsi="Verdana" w:cs="Arial"/>
          <w:b/>
          <w:color w:val="000000" w:themeColor="text1"/>
          <w:lang w:val="es-ES" w:eastAsia="es-ES"/>
        </w:rPr>
        <w:t xml:space="preserve"> Requisitos</w:t>
      </w:r>
    </w:p>
    <w:p w14:paraId="44D234F9" w14:textId="77777777" w:rsidR="0013363D" w:rsidRDefault="0013363D" w:rsidP="0013363D">
      <w:pPr>
        <w:spacing w:after="0" w:line="240" w:lineRule="auto"/>
        <w:jc w:val="both"/>
        <w:rPr>
          <w:rFonts w:ascii="Verdana" w:eastAsia="Geomanist Light" w:hAnsi="Verdana" w:cs="Arial"/>
          <w:color w:val="000000" w:themeColor="text1"/>
        </w:rPr>
      </w:pPr>
    </w:p>
    <w:p w14:paraId="17ADCCD9" w14:textId="0B692DB3" w:rsidR="00E44EAF" w:rsidRPr="00E44EAF" w:rsidRDefault="00E44EAF" w:rsidP="00E44EAF">
      <w:pPr>
        <w:spacing w:before="120" w:line="276" w:lineRule="auto"/>
        <w:jc w:val="both"/>
        <w:rPr>
          <w:rFonts w:ascii="Verdana" w:eastAsia="Times New Roman" w:hAnsi="Verdana" w:cs="Arial"/>
          <w:color w:val="000000"/>
          <w:sz w:val="20"/>
          <w:szCs w:val="20"/>
          <w:lang w:val="es-ES_tradnl" w:eastAsia="es-ES_tradnl"/>
        </w:rPr>
      </w:pPr>
      <w:r w:rsidRPr="00E44EAF">
        <w:rPr>
          <w:rFonts w:ascii="Verdana" w:eastAsia="Times New Roman" w:hAnsi="Verdana" w:cs="Arial"/>
          <w:color w:val="000000"/>
          <w:sz w:val="20"/>
          <w:szCs w:val="20"/>
        </w:rPr>
        <w:t>El artículo 111 de la Ley 489 de 1998</w:t>
      </w:r>
      <w:r w:rsidRPr="00E44EAF">
        <w:rPr>
          <w:rStyle w:val="Refdenotaalpie"/>
          <w:rFonts w:ascii="Verdana" w:eastAsia="Times New Roman" w:hAnsi="Verdana" w:cs="Arial"/>
          <w:color w:val="000000"/>
          <w:sz w:val="20"/>
          <w:szCs w:val="20"/>
        </w:rPr>
        <w:footnoteReference w:id="1"/>
      </w:r>
      <w:r w:rsidRPr="00E44EAF">
        <w:rPr>
          <w:rFonts w:ascii="Verdana" w:eastAsia="Times New Roman" w:hAnsi="Verdana" w:cs="Arial"/>
          <w:color w:val="000000"/>
          <w:sz w:val="20"/>
          <w:szCs w:val="20"/>
        </w:rPr>
        <w:t xml:space="preserve"> establece los requisitos y procedimientos para conferir funciones administrativas a particulares, complementando lo dispuesto en el artículo 110. Las entidades o autoridades administrativas pueden delegar funciones a particulares mediante un acto administrativo aprobado por el </w:t>
      </w:r>
      <w:proofErr w:type="gramStart"/>
      <w:r w:rsidRPr="00E44EAF">
        <w:rPr>
          <w:rFonts w:ascii="Verdana" w:eastAsia="Times New Roman" w:hAnsi="Verdana" w:cs="Arial"/>
          <w:color w:val="000000"/>
          <w:sz w:val="20"/>
          <w:szCs w:val="20"/>
        </w:rPr>
        <w:t>Presidente</w:t>
      </w:r>
      <w:proofErr w:type="gramEnd"/>
      <w:r w:rsidRPr="00E44EAF">
        <w:rPr>
          <w:rFonts w:ascii="Verdana" w:eastAsia="Times New Roman" w:hAnsi="Verdana" w:cs="Arial"/>
          <w:color w:val="000000"/>
          <w:sz w:val="20"/>
          <w:szCs w:val="20"/>
        </w:rPr>
        <w:t xml:space="preserve"> de la República o, por delegación, por ministros, directores de departamentos administrativos, según corresponda. Este acto debe especificar las funciones a encomendar, los requisitos que deben cumplir los particulares, las condiciones del ejercicio de las funciones, la forma de remuneración (si aplica), la duración del encargo y las garantías para asegurar el cumplimiento de los principios constitucionales y legales. Si es necesario, se debe celebrar un convenio con un plazo de ejecución de hasta cinco años, en el cual la entidad debe elaborar un pliego de condiciones y hacer una convocatoria pública conforme a la Ley 80 de 1993 sobre contratación estatal. El convenio también debe incluir las cláusulas excepcionales previstas en dicha ley, una vez seleccionado el particular encargado. Algunas partes de este artículo fueron declaradas inexequibles por la Corte Constitucional en las Sentencias C-866 de 1999 y C-702 de 1999, y se hace referencia a una sentencia del Consejo de Estado de julio de 2015 sobre el tema.</w:t>
      </w:r>
    </w:p>
    <w:p w14:paraId="4AEFF77E" w14:textId="77777777" w:rsidR="00E44EAF" w:rsidRPr="00BE38A3" w:rsidRDefault="00E44EAF" w:rsidP="00E44EAF">
      <w:pPr>
        <w:spacing w:after="0" w:line="240" w:lineRule="auto"/>
        <w:jc w:val="both"/>
        <w:rPr>
          <w:rFonts w:ascii="Verdana" w:eastAsia="Geomanist Light" w:hAnsi="Verdana" w:cs="Arial"/>
          <w:b/>
          <w:bCs/>
          <w:color w:val="000000" w:themeColor="text1"/>
        </w:rPr>
      </w:pPr>
    </w:p>
    <w:p w14:paraId="76D935E6" w14:textId="7672B7BB" w:rsidR="00E44EAF" w:rsidRPr="00BE38A3" w:rsidRDefault="00E44EAF" w:rsidP="00BE38A3">
      <w:pPr>
        <w:spacing w:line="276" w:lineRule="auto"/>
        <w:jc w:val="both"/>
        <w:rPr>
          <w:rFonts w:ascii="Verdana" w:eastAsia="Calibri" w:hAnsi="Verdana" w:cs="Arial"/>
          <w:b/>
          <w:bCs/>
          <w:color w:val="000000" w:themeColor="text1"/>
          <w:lang w:eastAsia="es-ES"/>
        </w:rPr>
      </w:pPr>
      <w:r w:rsidRPr="00BE38A3">
        <w:rPr>
          <w:rFonts w:ascii="Verdana" w:eastAsia="Calibri" w:hAnsi="Verdana" w:cs="Arial"/>
          <w:b/>
          <w:bCs/>
          <w:color w:val="000000" w:themeColor="text1"/>
          <w:lang w:eastAsia="es-ES"/>
        </w:rPr>
        <w:t xml:space="preserve">LEY 1474 DE 2011 – </w:t>
      </w:r>
      <w:r w:rsidR="00BE38A3" w:rsidRPr="00BE38A3">
        <w:rPr>
          <w:rFonts w:ascii="Verdana" w:eastAsia="Calibri" w:hAnsi="Verdana" w:cs="Arial"/>
          <w:b/>
          <w:bCs/>
          <w:color w:val="000000" w:themeColor="text1"/>
          <w:lang w:val="es-ES" w:eastAsia="es-ES"/>
        </w:rPr>
        <w:t>Supervisión</w:t>
      </w:r>
      <w:r w:rsidR="00BE38A3" w:rsidRPr="00BE38A3">
        <w:rPr>
          <w:rFonts w:ascii="Verdana" w:eastAsia="Calibri" w:hAnsi="Verdana" w:cs="Arial"/>
          <w:b/>
          <w:bCs/>
          <w:color w:val="000000" w:themeColor="text1"/>
          <w:lang w:eastAsia="es-ES"/>
        </w:rPr>
        <w:t xml:space="preserve"> </w:t>
      </w:r>
      <w:proofErr w:type="spellStart"/>
      <w:r w:rsidR="00BE38A3" w:rsidRPr="00BE38A3">
        <w:rPr>
          <w:rFonts w:ascii="Verdana" w:eastAsia="Calibri" w:hAnsi="Verdana" w:cs="Arial"/>
          <w:b/>
          <w:bCs/>
          <w:color w:val="000000" w:themeColor="text1"/>
          <w:lang w:eastAsia="es-ES"/>
        </w:rPr>
        <w:t>e</w:t>
      </w:r>
      <w:proofErr w:type="spellEnd"/>
      <w:r w:rsidR="00BE38A3" w:rsidRPr="00BE38A3">
        <w:rPr>
          <w:rFonts w:ascii="Verdana" w:eastAsia="Calibri" w:hAnsi="Verdana" w:cs="Arial"/>
          <w:b/>
          <w:bCs/>
          <w:color w:val="000000" w:themeColor="text1"/>
          <w:lang w:eastAsia="es-ES"/>
        </w:rPr>
        <w:t xml:space="preserve"> interventoría contractual</w:t>
      </w:r>
    </w:p>
    <w:p w14:paraId="445C4E1B" w14:textId="77777777" w:rsidR="00203342" w:rsidRPr="00E44EAF" w:rsidRDefault="00203342" w:rsidP="00203342">
      <w:pPr>
        <w:spacing w:after="0" w:line="240" w:lineRule="auto"/>
        <w:jc w:val="both"/>
        <w:rPr>
          <w:rFonts w:ascii="Verdana" w:eastAsia="Geomanist Light" w:hAnsi="Verdana" w:cs="Arial"/>
          <w:b/>
          <w:color w:val="000000" w:themeColor="text1"/>
        </w:rPr>
      </w:pPr>
    </w:p>
    <w:p w14:paraId="05F59FCF" w14:textId="77777777" w:rsidR="00E44EAF" w:rsidRPr="00AC3CFE" w:rsidRDefault="00E44EAF" w:rsidP="00E44EAF">
      <w:pPr>
        <w:spacing w:after="0" w:line="240" w:lineRule="auto"/>
        <w:jc w:val="both"/>
        <w:rPr>
          <w:rFonts w:ascii="Verdana" w:eastAsia="Geomanist Light" w:hAnsi="Verdana" w:cs="Arial"/>
          <w:color w:val="000000" w:themeColor="text1"/>
          <w:sz w:val="20"/>
          <w:szCs w:val="20"/>
        </w:rPr>
      </w:pPr>
      <w:r w:rsidRPr="00AC3CFE">
        <w:rPr>
          <w:rFonts w:ascii="Verdana" w:eastAsia="Geomanist Light" w:hAnsi="Verdana" w:cs="Arial"/>
          <w:color w:val="000000" w:themeColor="text1"/>
          <w:sz w:val="20"/>
          <w:szCs w:val="20"/>
        </w:rPr>
        <w:t xml:space="preserve">[…] la Ley 1474 de 2011 enmarcó el seguimiento, control y vigilancia de la ejecución del contrato estatal dentro del principio de moralidad administrativa. El artículo 83 de la referida ley, establece que “con el fin de proteger la moralidad administrativa, de prevenir la ocurrencia de actos de corrupción y tutelar la transparencia de la actividad contractual, las entidades públicas están obligadas a vigilar permanentemente la </w:t>
      </w:r>
      <w:r w:rsidRPr="00AC3CFE">
        <w:rPr>
          <w:rFonts w:ascii="Verdana" w:eastAsia="Geomanist Light" w:hAnsi="Verdana" w:cs="Arial"/>
          <w:color w:val="000000" w:themeColor="text1"/>
          <w:sz w:val="20"/>
          <w:szCs w:val="20"/>
        </w:rPr>
        <w:lastRenderedPageBreak/>
        <w:t>correcta ejecución del objeto contratado a través de un supervisor o un interventor, según corresponda”.</w:t>
      </w:r>
    </w:p>
    <w:p w14:paraId="4B101FBC" w14:textId="3B00875D" w:rsidR="00F82BE7" w:rsidRPr="00AC3CFE" w:rsidRDefault="00F82BE7" w:rsidP="0013363D">
      <w:pPr>
        <w:spacing w:after="0" w:line="240" w:lineRule="auto"/>
        <w:jc w:val="both"/>
        <w:rPr>
          <w:rFonts w:ascii="Verdana" w:eastAsia="Geomanist Light" w:hAnsi="Verdana" w:cs="Arial"/>
          <w:color w:val="000000" w:themeColor="text1"/>
          <w:sz w:val="20"/>
          <w:szCs w:val="20"/>
        </w:rPr>
      </w:pPr>
    </w:p>
    <w:p w14:paraId="09627EA1" w14:textId="77777777" w:rsidR="00F82BE7" w:rsidRDefault="00F82BE7" w:rsidP="00512B6B">
      <w:pPr>
        <w:spacing w:after="0" w:line="240" w:lineRule="auto"/>
        <w:rPr>
          <w:rFonts w:ascii="Verdana" w:eastAsia="Geomanist Light" w:hAnsi="Verdana" w:cs="Arial"/>
          <w:color w:val="000000" w:themeColor="text1"/>
          <w:lang w:val="es-MX"/>
        </w:rPr>
      </w:pPr>
    </w:p>
    <w:p w14:paraId="06B824F9" w14:textId="77777777" w:rsidR="00F82BE7" w:rsidRDefault="00F82BE7" w:rsidP="00512B6B">
      <w:pPr>
        <w:spacing w:after="0" w:line="240" w:lineRule="auto"/>
        <w:rPr>
          <w:rFonts w:ascii="Verdana" w:eastAsia="Geomanist Light" w:hAnsi="Verdana" w:cs="Arial"/>
          <w:color w:val="000000" w:themeColor="text1"/>
          <w:lang w:val="es-MX"/>
        </w:rPr>
      </w:pPr>
    </w:p>
    <w:p w14:paraId="00B35DF2" w14:textId="77777777" w:rsidR="00F82BE7" w:rsidRDefault="00F82BE7" w:rsidP="00512B6B">
      <w:pPr>
        <w:spacing w:after="0" w:line="240" w:lineRule="auto"/>
        <w:rPr>
          <w:rFonts w:ascii="Verdana" w:eastAsia="Geomanist Light" w:hAnsi="Verdana" w:cs="Arial"/>
          <w:color w:val="000000" w:themeColor="text1"/>
          <w:lang w:val="es-MX"/>
        </w:rPr>
      </w:pPr>
    </w:p>
    <w:p w14:paraId="1AC4DCBF" w14:textId="77777777" w:rsidR="00F82BE7" w:rsidRDefault="00F82BE7" w:rsidP="00512B6B">
      <w:pPr>
        <w:spacing w:after="0" w:line="240" w:lineRule="auto"/>
        <w:rPr>
          <w:rFonts w:ascii="Verdana" w:eastAsia="Geomanist Light" w:hAnsi="Verdana" w:cs="Arial"/>
          <w:color w:val="000000" w:themeColor="text1"/>
          <w:lang w:val="es-MX"/>
        </w:rPr>
      </w:pPr>
    </w:p>
    <w:p w14:paraId="1D6D1286" w14:textId="77777777" w:rsidR="00F82BE7" w:rsidRDefault="00F82BE7" w:rsidP="00512B6B">
      <w:pPr>
        <w:spacing w:after="0" w:line="240" w:lineRule="auto"/>
        <w:rPr>
          <w:rFonts w:ascii="Verdana" w:eastAsia="Geomanist Light" w:hAnsi="Verdana" w:cs="Arial"/>
          <w:color w:val="000000" w:themeColor="text1"/>
          <w:lang w:val="es-MX"/>
        </w:rPr>
      </w:pPr>
    </w:p>
    <w:p w14:paraId="65C8F579" w14:textId="77777777" w:rsidR="00F82BE7" w:rsidRDefault="00F82BE7" w:rsidP="00512B6B">
      <w:pPr>
        <w:spacing w:after="0" w:line="240" w:lineRule="auto"/>
        <w:rPr>
          <w:rFonts w:ascii="Verdana" w:eastAsia="Geomanist Light" w:hAnsi="Verdana" w:cs="Arial"/>
          <w:color w:val="000000" w:themeColor="text1"/>
          <w:lang w:val="es-MX"/>
        </w:rPr>
      </w:pPr>
    </w:p>
    <w:p w14:paraId="2420CFB6" w14:textId="77777777" w:rsidR="00F82BE7" w:rsidRDefault="00F82BE7" w:rsidP="00512B6B">
      <w:pPr>
        <w:spacing w:after="0" w:line="240" w:lineRule="auto"/>
        <w:rPr>
          <w:rFonts w:ascii="Verdana" w:eastAsia="Geomanist Light" w:hAnsi="Verdana" w:cs="Arial"/>
          <w:color w:val="000000" w:themeColor="text1"/>
          <w:lang w:val="es-MX"/>
        </w:rPr>
      </w:pPr>
    </w:p>
    <w:p w14:paraId="71343DDE" w14:textId="77777777" w:rsidR="00F82BE7" w:rsidRDefault="00F82BE7" w:rsidP="00512B6B">
      <w:pPr>
        <w:spacing w:after="0" w:line="240" w:lineRule="auto"/>
        <w:rPr>
          <w:rFonts w:ascii="Verdana" w:eastAsia="Geomanist Light" w:hAnsi="Verdana" w:cs="Arial"/>
          <w:color w:val="000000" w:themeColor="text1"/>
          <w:lang w:val="es-MX"/>
        </w:rPr>
      </w:pPr>
    </w:p>
    <w:p w14:paraId="4E5D9EBC" w14:textId="77777777" w:rsidR="00F82BE7" w:rsidRDefault="00F82BE7" w:rsidP="00512B6B">
      <w:pPr>
        <w:spacing w:after="0" w:line="240" w:lineRule="auto"/>
        <w:rPr>
          <w:rFonts w:ascii="Verdana" w:eastAsia="Geomanist Light" w:hAnsi="Verdana" w:cs="Arial"/>
          <w:color w:val="000000" w:themeColor="text1"/>
          <w:lang w:val="es-MX"/>
        </w:rPr>
      </w:pPr>
    </w:p>
    <w:p w14:paraId="19C1ACD5" w14:textId="77777777" w:rsidR="00F82BE7" w:rsidRDefault="00F82BE7" w:rsidP="00512B6B">
      <w:pPr>
        <w:spacing w:after="0" w:line="240" w:lineRule="auto"/>
        <w:rPr>
          <w:rFonts w:ascii="Verdana" w:eastAsia="Geomanist Light" w:hAnsi="Verdana" w:cs="Arial"/>
          <w:color w:val="000000" w:themeColor="text1"/>
          <w:lang w:val="es-MX"/>
        </w:rPr>
      </w:pPr>
    </w:p>
    <w:p w14:paraId="2760E180" w14:textId="77777777" w:rsidR="00F82BE7" w:rsidRDefault="00F82BE7" w:rsidP="00512B6B">
      <w:pPr>
        <w:spacing w:after="0" w:line="240" w:lineRule="auto"/>
        <w:rPr>
          <w:rFonts w:ascii="Verdana" w:eastAsia="Geomanist Light" w:hAnsi="Verdana" w:cs="Arial"/>
          <w:color w:val="000000" w:themeColor="text1"/>
          <w:lang w:val="es-MX"/>
        </w:rPr>
      </w:pPr>
    </w:p>
    <w:p w14:paraId="07372AFD" w14:textId="77777777" w:rsidR="00F82BE7" w:rsidRDefault="00F82BE7" w:rsidP="00512B6B">
      <w:pPr>
        <w:spacing w:after="0" w:line="240" w:lineRule="auto"/>
        <w:rPr>
          <w:rFonts w:ascii="Verdana" w:eastAsia="Geomanist Light" w:hAnsi="Verdana" w:cs="Arial"/>
          <w:color w:val="000000" w:themeColor="text1"/>
          <w:lang w:val="es-MX"/>
        </w:rPr>
      </w:pPr>
    </w:p>
    <w:p w14:paraId="39A03054" w14:textId="77777777" w:rsidR="00F82BE7" w:rsidRDefault="00F82BE7" w:rsidP="00512B6B">
      <w:pPr>
        <w:spacing w:after="0" w:line="240" w:lineRule="auto"/>
        <w:rPr>
          <w:rFonts w:ascii="Verdana" w:eastAsia="Geomanist Light" w:hAnsi="Verdana" w:cs="Arial"/>
          <w:color w:val="000000" w:themeColor="text1"/>
          <w:lang w:val="es-MX"/>
        </w:rPr>
      </w:pPr>
    </w:p>
    <w:p w14:paraId="0A8A279E" w14:textId="77777777" w:rsidR="00F82BE7" w:rsidRDefault="00F82BE7" w:rsidP="00512B6B">
      <w:pPr>
        <w:spacing w:after="0" w:line="240" w:lineRule="auto"/>
        <w:rPr>
          <w:rFonts w:ascii="Verdana" w:eastAsia="Geomanist Light" w:hAnsi="Verdana" w:cs="Arial"/>
          <w:color w:val="000000" w:themeColor="text1"/>
          <w:lang w:val="es-MX"/>
        </w:rPr>
      </w:pPr>
    </w:p>
    <w:p w14:paraId="3A05F7C6" w14:textId="77777777" w:rsidR="00F82BE7" w:rsidRDefault="00F82BE7" w:rsidP="00512B6B">
      <w:pPr>
        <w:spacing w:after="0" w:line="240" w:lineRule="auto"/>
        <w:rPr>
          <w:rFonts w:ascii="Verdana" w:eastAsia="Geomanist Light" w:hAnsi="Verdana" w:cs="Arial"/>
          <w:color w:val="000000" w:themeColor="text1"/>
          <w:lang w:val="es-MX"/>
        </w:rPr>
      </w:pPr>
    </w:p>
    <w:p w14:paraId="089E14A8" w14:textId="77777777" w:rsidR="00F82BE7" w:rsidRDefault="00F82BE7" w:rsidP="00512B6B">
      <w:pPr>
        <w:spacing w:after="0" w:line="240" w:lineRule="auto"/>
        <w:rPr>
          <w:rFonts w:ascii="Verdana" w:eastAsia="Geomanist Light" w:hAnsi="Verdana" w:cs="Arial"/>
          <w:color w:val="000000" w:themeColor="text1"/>
          <w:lang w:val="es-MX"/>
        </w:rPr>
      </w:pPr>
    </w:p>
    <w:p w14:paraId="7B18AB80" w14:textId="77777777" w:rsidR="00F82BE7" w:rsidRDefault="00F82BE7" w:rsidP="00512B6B">
      <w:pPr>
        <w:spacing w:after="0" w:line="240" w:lineRule="auto"/>
        <w:rPr>
          <w:rFonts w:ascii="Verdana" w:eastAsia="Geomanist Light" w:hAnsi="Verdana" w:cs="Arial"/>
          <w:color w:val="000000" w:themeColor="text1"/>
          <w:lang w:val="es-MX"/>
        </w:rPr>
      </w:pPr>
    </w:p>
    <w:p w14:paraId="2D1ED197" w14:textId="77777777" w:rsidR="00F82BE7" w:rsidRDefault="00F82BE7" w:rsidP="00512B6B">
      <w:pPr>
        <w:spacing w:after="0" w:line="240" w:lineRule="auto"/>
        <w:rPr>
          <w:rFonts w:ascii="Verdana" w:eastAsia="Geomanist Light" w:hAnsi="Verdana" w:cs="Arial"/>
          <w:color w:val="000000" w:themeColor="text1"/>
          <w:lang w:val="es-MX"/>
        </w:rPr>
      </w:pPr>
    </w:p>
    <w:p w14:paraId="53E014CA" w14:textId="77777777" w:rsidR="00F82BE7" w:rsidRDefault="00F82BE7" w:rsidP="00512B6B">
      <w:pPr>
        <w:spacing w:after="0" w:line="240" w:lineRule="auto"/>
        <w:rPr>
          <w:rFonts w:ascii="Verdana" w:eastAsia="Geomanist Light" w:hAnsi="Verdana" w:cs="Arial"/>
          <w:color w:val="000000" w:themeColor="text1"/>
          <w:lang w:val="es-MX"/>
        </w:rPr>
      </w:pPr>
    </w:p>
    <w:p w14:paraId="16860DF3" w14:textId="77777777" w:rsidR="00F82BE7" w:rsidRDefault="00F82BE7" w:rsidP="00512B6B">
      <w:pPr>
        <w:spacing w:after="0" w:line="240" w:lineRule="auto"/>
        <w:rPr>
          <w:rFonts w:ascii="Verdana" w:eastAsia="Geomanist Light" w:hAnsi="Verdana" w:cs="Arial"/>
          <w:color w:val="000000" w:themeColor="text1"/>
          <w:lang w:val="es-MX"/>
        </w:rPr>
      </w:pPr>
    </w:p>
    <w:p w14:paraId="22E5DC3B" w14:textId="77777777" w:rsidR="00F82BE7" w:rsidRDefault="00F82BE7" w:rsidP="00512B6B">
      <w:pPr>
        <w:spacing w:after="0" w:line="240" w:lineRule="auto"/>
        <w:rPr>
          <w:rFonts w:ascii="Verdana" w:eastAsia="Geomanist Light" w:hAnsi="Verdana" w:cs="Arial"/>
          <w:color w:val="000000" w:themeColor="text1"/>
          <w:lang w:val="es-MX"/>
        </w:rPr>
      </w:pPr>
    </w:p>
    <w:p w14:paraId="66DCA6D8" w14:textId="77777777" w:rsidR="00F82BE7" w:rsidRDefault="00F82BE7" w:rsidP="00512B6B">
      <w:pPr>
        <w:spacing w:after="0" w:line="240" w:lineRule="auto"/>
        <w:rPr>
          <w:rFonts w:ascii="Verdana" w:eastAsia="Geomanist Light" w:hAnsi="Verdana" w:cs="Arial"/>
          <w:color w:val="000000" w:themeColor="text1"/>
          <w:lang w:val="es-MX"/>
        </w:rPr>
      </w:pPr>
    </w:p>
    <w:p w14:paraId="35FB46DA" w14:textId="77777777" w:rsidR="00F82BE7" w:rsidRDefault="00F82BE7" w:rsidP="00512B6B">
      <w:pPr>
        <w:spacing w:after="0" w:line="240" w:lineRule="auto"/>
        <w:rPr>
          <w:rFonts w:ascii="Verdana" w:eastAsia="Geomanist Light" w:hAnsi="Verdana" w:cs="Arial"/>
          <w:color w:val="000000" w:themeColor="text1"/>
          <w:lang w:val="es-MX"/>
        </w:rPr>
      </w:pPr>
    </w:p>
    <w:p w14:paraId="5BDD2B79" w14:textId="77777777" w:rsidR="00F82BE7" w:rsidRDefault="00F82BE7" w:rsidP="00512B6B">
      <w:pPr>
        <w:spacing w:after="0" w:line="240" w:lineRule="auto"/>
        <w:rPr>
          <w:rFonts w:ascii="Verdana" w:eastAsia="Geomanist Light" w:hAnsi="Verdana" w:cs="Arial"/>
          <w:color w:val="000000" w:themeColor="text1"/>
          <w:lang w:val="es-MX"/>
        </w:rPr>
      </w:pPr>
    </w:p>
    <w:p w14:paraId="10A0ACEB" w14:textId="77777777" w:rsidR="00F82BE7" w:rsidRDefault="00F82BE7" w:rsidP="00512B6B">
      <w:pPr>
        <w:spacing w:after="0" w:line="240" w:lineRule="auto"/>
        <w:rPr>
          <w:rFonts w:ascii="Verdana" w:eastAsia="Geomanist Light" w:hAnsi="Verdana" w:cs="Arial"/>
          <w:color w:val="000000" w:themeColor="text1"/>
          <w:lang w:val="es-MX"/>
        </w:rPr>
      </w:pPr>
    </w:p>
    <w:p w14:paraId="19B3A1A9" w14:textId="77777777" w:rsidR="00F82BE7" w:rsidRDefault="00F82BE7" w:rsidP="00512B6B">
      <w:pPr>
        <w:spacing w:after="0" w:line="240" w:lineRule="auto"/>
        <w:rPr>
          <w:rFonts w:ascii="Verdana" w:eastAsia="Geomanist Light" w:hAnsi="Verdana" w:cs="Arial"/>
          <w:color w:val="000000" w:themeColor="text1"/>
          <w:lang w:val="es-MX"/>
        </w:rPr>
      </w:pPr>
    </w:p>
    <w:p w14:paraId="0B60AA4E" w14:textId="77777777" w:rsidR="00F82BE7" w:rsidRDefault="00F82BE7" w:rsidP="00512B6B">
      <w:pPr>
        <w:spacing w:after="0" w:line="240" w:lineRule="auto"/>
        <w:rPr>
          <w:rFonts w:ascii="Verdana" w:eastAsia="Geomanist Light" w:hAnsi="Verdana" w:cs="Arial"/>
          <w:color w:val="000000" w:themeColor="text1"/>
          <w:lang w:val="es-MX"/>
        </w:rPr>
      </w:pPr>
    </w:p>
    <w:p w14:paraId="31E847D8" w14:textId="77777777" w:rsidR="00F82BE7" w:rsidRDefault="00F82BE7" w:rsidP="00512B6B">
      <w:pPr>
        <w:spacing w:after="0" w:line="240" w:lineRule="auto"/>
        <w:rPr>
          <w:rFonts w:ascii="Verdana" w:eastAsia="Geomanist Light" w:hAnsi="Verdana" w:cs="Arial"/>
          <w:color w:val="000000" w:themeColor="text1"/>
          <w:lang w:val="es-MX"/>
        </w:rPr>
      </w:pPr>
    </w:p>
    <w:p w14:paraId="515C7084" w14:textId="77777777" w:rsidR="00F82BE7" w:rsidRDefault="00F82BE7" w:rsidP="00512B6B">
      <w:pPr>
        <w:spacing w:after="0" w:line="240" w:lineRule="auto"/>
        <w:rPr>
          <w:rFonts w:ascii="Verdana" w:eastAsia="Geomanist Light" w:hAnsi="Verdana" w:cs="Arial"/>
          <w:color w:val="000000" w:themeColor="text1"/>
          <w:lang w:val="es-MX"/>
        </w:rPr>
      </w:pPr>
    </w:p>
    <w:p w14:paraId="7D15F717" w14:textId="77777777" w:rsidR="00F82BE7" w:rsidRDefault="00F82BE7" w:rsidP="00512B6B">
      <w:pPr>
        <w:spacing w:after="0" w:line="240" w:lineRule="auto"/>
        <w:rPr>
          <w:rFonts w:ascii="Verdana" w:eastAsia="Geomanist Light" w:hAnsi="Verdana" w:cs="Arial"/>
          <w:color w:val="000000" w:themeColor="text1"/>
          <w:lang w:val="es-MX"/>
        </w:rPr>
      </w:pPr>
    </w:p>
    <w:p w14:paraId="14D8B8C6" w14:textId="77777777" w:rsidR="00F82BE7" w:rsidRDefault="00F82BE7" w:rsidP="00512B6B">
      <w:pPr>
        <w:spacing w:after="0" w:line="240" w:lineRule="auto"/>
        <w:rPr>
          <w:rFonts w:ascii="Verdana" w:eastAsia="Geomanist Light" w:hAnsi="Verdana" w:cs="Arial"/>
          <w:color w:val="000000" w:themeColor="text1"/>
          <w:lang w:val="es-MX"/>
        </w:rPr>
      </w:pPr>
    </w:p>
    <w:p w14:paraId="68848EFF" w14:textId="77777777" w:rsidR="00F82BE7" w:rsidRDefault="00F82BE7" w:rsidP="00512B6B">
      <w:pPr>
        <w:spacing w:after="0" w:line="240" w:lineRule="auto"/>
        <w:rPr>
          <w:rFonts w:ascii="Verdana" w:eastAsia="Geomanist Light" w:hAnsi="Verdana" w:cs="Arial"/>
          <w:color w:val="000000" w:themeColor="text1"/>
          <w:lang w:val="es-MX"/>
        </w:rPr>
      </w:pPr>
    </w:p>
    <w:p w14:paraId="724E2CF6" w14:textId="77777777" w:rsidR="00F82BE7" w:rsidRDefault="00F82BE7" w:rsidP="00512B6B">
      <w:pPr>
        <w:spacing w:after="0" w:line="240" w:lineRule="auto"/>
        <w:rPr>
          <w:rFonts w:ascii="Verdana" w:eastAsia="Geomanist Light" w:hAnsi="Verdana" w:cs="Arial"/>
          <w:color w:val="000000" w:themeColor="text1"/>
          <w:lang w:val="es-MX"/>
        </w:rPr>
      </w:pPr>
    </w:p>
    <w:p w14:paraId="2A414683" w14:textId="77777777" w:rsidR="00F82BE7" w:rsidRDefault="00F82BE7" w:rsidP="00512B6B">
      <w:pPr>
        <w:spacing w:after="0" w:line="240" w:lineRule="auto"/>
        <w:rPr>
          <w:rFonts w:ascii="Verdana" w:eastAsia="Geomanist Light" w:hAnsi="Verdana" w:cs="Arial"/>
          <w:color w:val="000000" w:themeColor="text1"/>
          <w:lang w:val="es-MX"/>
        </w:rPr>
      </w:pPr>
    </w:p>
    <w:p w14:paraId="5F031F2D" w14:textId="77777777" w:rsidR="00F82BE7" w:rsidRDefault="00F82BE7" w:rsidP="00512B6B">
      <w:pPr>
        <w:spacing w:after="0" w:line="240" w:lineRule="auto"/>
        <w:rPr>
          <w:rFonts w:ascii="Verdana" w:eastAsia="Geomanist Light" w:hAnsi="Verdana" w:cs="Arial"/>
          <w:color w:val="000000" w:themeColor="text1"/>
          <w:lang w:val="es-MX"/>
        </w:rPr>
      </w:pPr>
    </w:p>
    <w:p w14:paraId="64715714" w14:textId="77777777" w:rsidR="00F82BE7" w:rsidRDefault="00F82BE7" w:rsidP="00512B6B">
      <w:pPr>
        <w:spacing w:after="0" w:line="240" w:lineRule="auto"/>
        <w:rPr>
          <w:rFonts w:ascii="Verdana" w:eastAsia="Geomanist Light" w:hAnsi="Verdana" w:cs="Arial"/>
          <w:color w:val="000000" w:themeColor="text1"/>
          <w:lang w:val="es-MX"/>
        </w:rPr>
      </w:pPr>
    </w:p>
    <w:p w14:paraId="40577DEB" w14:textId="77777777" w:rsidR="00F82BE7" w:rsidRDefault="00F82BE7" w:rsidP="00512B6B">
      <w:pPr>
        <w:spacing w:after="0" w:line="240" w:lineRule="auto"/>
        <w:rPr>
          <w:rFonts w:ascii="Verdana" w:eastAsia="Geomanist Light" w:hAnsi="Verdana" w:cs="Arial"/>
          <w:color w:val="000000" w:themeColor="text1"/>
          <w:lang w:val="es-MX"/>
        </w:rPr>
      </w:pPr>
    </w:p>
    <w:p w14:paraId="79E09FC1" w14:textId="77777777" w:rsidR="00F82BE7" w:rsidRDefault="00F82BE7" w:rsidP="00512B6B">
      <w:pPr>
        <w:spacing w:after="0" w:line="240" w:lineRule="auto"/>
        <w:rPr>
          <w:rFonts w:ascii="Verdana" w:eastAsia="Geomanist Light" w:hAnsi="Verdana" w:cs="Arial"/>
          <w:color w:val="000000" w:themeColor="text1"/>
          <w:lang w:val="es-MX"/>
        </w:rPr>
      </w:pPr>
    </w:p>
    <w:p w14:paraId="5BB9758C" w14:textId="77777777" w:rsidR="00F82BE7" w:rsidRDefault="00F82BE7" w:rsidP="00512B6B">
      <w:pPr>
        <w:spacing w:after="0" w:line="240" w:lineRule="auto"/>
        <w:rPr>
          <w:rFonts w:ascii="Verdana" w:eastAsia="Geomanist Light" w:hAnsi="Verdana" w:cs="Arial"/>
          <w:color w:val="000000" w:themeColor="text1"/>
          <w:lang w:val="es-MX"/>
        </w:rPr>
      </w:pPr>
    </w:p>
    <w:p w14:paraId="3AEF7746" w14:textId="77777777" w:rsidR="00F82BE7" w:rsidRDefault="00F82BE7" w:rsidP="00512B6B">
      <w:pPr>
        <w:spacing w:after="0" w:line="240" w:lineRule="auto"/>
        <w:rPr>
          <w:rFonts w:ascii="Verdana" w:eastAsia="Geomanist Light" w:hAnsi="Verdana" w:cs="Arial"/>
          <w:color w:val="000000" w:themeColor="text1"/>
          <w:lang w:val="es-MX"/>
        </w:rPr>
      </w:pPr>
    </w:p>
    <w:p w14:paraId="400E18C3" w14:textId="77777777" w:rsidR="00F82BE7" w:rsidRDefault="00F82BE7" w:rsidP="00512B6B">
      <w:pPr>
        <w:spacing w:after="0" w:line="240" w:lineRule="auto"/>
        <w:rPr>
          <w:rFonts w:ascii="Verdana" w:eastAsia="Geomanist Light" w:hAnsi="Verdana" w:cs="Arial"/>
          <w:color w:val="000000" w:themeColor="text1"/>
          <w:lang w:val="es-MX"/>
        </w:rPr>
      </w:pPr>
    </w:p>
    <w:p w14:paraId="506BE355" w14:textId="77777777" w:rsidR="00F82BE7" w:rsidRDefault="00F82BE7" w:rsidP="00512B6B">
      <w:pPr>
        <w:spacing w:after="0" w:line="240" w:lineRule="auto"/>
        <w:rPr>
          <w:rFonts w:ascii="Verdana" w:eastAsia="Geomanist Light" w:hAnsi="Verdana" w:cs="Arial"/>
          <w:color w:val="000000" w:themeColor="text1"/>
          <w:lang w:val="es-MX"/>
        </w:rPr>
      </w:pPr>
    </w:p>
    <w:p w14:paraId="6B9BF421" w14:textId="77777777" w:rsidR="00F82BE7" w:rsidRDefault="00F82BE7" w:rsidP="00512B6B">
      <w:pPr>
        <w:spacing w:after="0" w:line="240" w:lineRule="auto"/>
        <w:rPr>
          <w:rFonts w:ascii="Verdana" w:eastAsia="Geomanist Light" w:hAnsi="Verdana" w:cs="Arial"/>
          <w:color w:val="000000" w:themeColor="text1"/>
          <w:lang w:val="es-MX"/>
        </w:rPr>
      </w:pPr>
    </w:p>
    <w:p w14:paraId="58284600" w14:textId="55FD25B2" w:rsidR="00512B6B" w:rsidRPr="00115E3D" w:rsidRDefault="00512B6B" w:rsidP="00512B6B">
      <w:pPr>
        <w:spacing w:after="0" w:line="240" w:lineRule="auto"/>
        <w:rPr>
          <w:rFonts w:ascii="Verdana" w:eastAsia="Geomanist Light" w:hAnsi="Verdana" w:cs="Arial"/>
          <w:color w:val="000000" w:themeColor="text1"/>
          <w:lang w:val="es-MX"/>
        </w:rPr>
      </w:pPr>
      <w:r w:rsidRPr="00115E3D">
        <w:rPr>
          <w:rFonts w:ascii="Verdana" w:eastAsia="Geomanist Light" w:hAnsi="Verdana" w:cs="Arial"/>
          <w:color w:val="000000" w:themeColor="text1"/>
          <w:lang w:val="es-MX"/>
        </w:rPr>
        <w:t>Bogotá D.C., [Día] de [</w:t>
      </w:r>
      <w:proofErr w:type="spellStart"/>
      <w:r w:rsidRPr="00115E3D">
        <w:rPr>
          <w:rFonts w:ascii="Verdana" w:eastAsia="Geomanist Light" w:hAnsi="Verdana" w:cs="Arial"/>
          <w:color w:val="000000" w:themeColor="text1"/>
          <w:lang w:val="es-MX"/>
        </w:rPr>
        <w:t>Mes.NombreCapitalizado</w:t>
      </w:r>
      <w:proofErr w:type="spellEnd"/>
      <w:r w:rsidRPr="00115E3D">
        <w:rPr>
          <w:rFonts w:ascii="Verdana" w:eastAsia="Geomanist Light" w:hAnsi="Verdana" w:cs="Arial"/>
          <w:color w:val="000000" w:themeColor="text1"/>
          <w:lang w:val="es-MX"/>
        </w:rPr>
        <w:t>] de [Año]</w:t>
      </w:r>
    </w:p>
    <w:p w14:paraId="1C124166" w14:textId="4156CBB6" w:rsidR="00512B6B" w:rsidRPr="00115E3D" w:rsidRDefault="00C76D74" w:rsidP="00512B6B">
      <w:pPr>
        <w:spacing w:after="0" w:line="240" w:lineRule="auto"/>
        <w:jc w:val="both"/>
        <w:rPr>
          <w:rFonts w:ascii="Verdana" w:eastAsia="Calibri" w:hAnsi="Verdana" w:cs="Arial"/>
          <w:color w:val="000000" w:themeColor="text1"/>
          <w:lang w:val="es-ES"/>
        </w:rPr>
      </w:pPr>
      <w:r w:rsidRPr="00C76D74">
        <w:rPr>
          <w:rFonts w:ascii="Verdana" w:eastAsia="Calibri" w:hAnsi="Verdana" w:cs="Arial"/>
          <w:noProof/>
          <w:color w:val="000000" w:themeColor="text1"/>
          <w:lang w:val="es-ES" w:eastAsia="es-ES"/>
        </w:rPr>
        <w:drawing>
          <wp:anchor distT="0" distB="0" distL="114300" distR="114300" simplePos="0" relativeHeight="251658240" behindDoc="1" locked="0" layoutInCell="1" allowOverlap="1" wp14:anchorId="2AB76399" wp14:editId="14FF57E2">
            <wp:simplePos x="0" y="0"/>
            <wp:positionH relativeFrom="column">
              <wp:posOffset>2823488</wp:posOffset>
            </wp:positionH>
            <wp:positionV relativeFrom="paragraph">
              <wp:posOffset>166334</wp:posOffset>
            </wp:positionV>
            <wp:extent cx="3381375" cy="990600"/>
            <wp:effectExtent l="0" t="0" r="9525" b="0"/>
            <wp:wrapTight wrapText="bothSides">
              <wp:wrapPolygon edited="0">
                <wp:start x="0" y="0"/>
                <wp:lineTo x="0" y="21185"/>
                <wp:lineTo x="21539" y="21185"/>
                <wp:lineTo x="21539" y="0"/>
                <wp:lineTo x="0" y="0"/>
              </wp:wrapPolygon>
            </wp:wrapTight>
            <wp:docPr id="378911288"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911288" name="Imagen 1" descr="Texto&#10;&#10;Descripción generada automáticamente"/>
                    <pic:cNvPicPr/>
                  </pic:nvPicPr>
                  <pic:blipFill>
                    <a:blip r:embed="rId10">
                      <a:extLst>
                        <a:ext uri="{28A0092B-C50C-407E-A947-70E740481C1C}">
                          <a14:useLocalDpi xmlns:a14="http://schemas.microsoft.com/office/drawing/2010/main" val="0"/>
                        </a:ext>
                      </a:extLst>
                    </a:blip>
                    <a:stretch>
                      <a:fillRect/>
                    </a:stretch>
                  </pic:blipFill>
                  <pic:spPr>
                    <a:xfrm>
                      <a:off x="0" y="0"/>
                      <a:ext cx="3381375" cy="990600"/>
                    </a:xfrm>
                    <a:prstGeom prst="rect">
                      <a:avLst/>
                    </a:prstGeom>
                  </pic:spPr>
                </pic:pic>
              </a:graphicData>
            </a:graphic>
          </wp:anchor>
        </w:drawing>
      </w:r>
    </w:p>
    <w:p w14:paraId="03639FE7" w14:textId="285A5CFE" w:rsidR="00512B6B" w:rsidRDefault="00512B6B" w:rsidP="00512B6B">
      <w:pPr>
        <w:spacing w:after="0" w:line="240" w:lineRule="auto"/>
        <w:jc w:val="both"/>
        <w:rPr>
          <w:rFonts w:ascii="Verdana" w:eastAsia="Calibri" w:hAnsi="Verdana" w:cs="Arial"/>
          <w:color w:val="000000" w:themeColor="text1"/>
          <w:lang w:val="es-ES" w:eastAsia="es-ES"/>
        </w:rPr>
      </w:pPr>
    </w:p>
    <w:p w14:paraId="56AD237E" w14:textId="0F015642" w:rsidR="0066555B" w:rsidRDefault="0066555B" w:rsidP="00512B6B">
      <w:pPr>
        <w:spacing w:after="0" w:line="240" w:lineRule="auto"/>
        <w:jc w:val="both"/>
        <w:rPr>
          <w:rFonts w:ascii="Verdana" w:eastAsia="Calibri" w:hAnsi="Verdana" w:cs="Arial"/>
          <w:color w:val="000000" w:themeColor="text1"/>
          <w:lang w:val="es-ES" w:eastAsia="es-ES"/>
        </w:rPr>
      </w:pPr>
    </w:p>
    <w:p w14:paraId="2B70C8F9" w14:textId="77777777" w:rsidR="0066555B" w:rsidRDefault="0066555B" w:rsidP="00512B6B">
      <w:pPr>
        <w:spacing w:after="0" w:line="240" w:lineRule="auto"/>
        <w:jc w:val="both"/>
        <w:rPr>
          <w:rFonts w:ascii="Verdana" w:eastAsia="Calibri" w:hAnsi="Verdana" w:cs="Arial"/>
          <w:color w:val="000000" w:themeColor="text1"/>
          <w:lang w:val="es-ES" w:eastAsia="es-ES"/>
        </w:rPr>
      </w:pPr>
    </w:p>
    <w:p w14:paraId="03867905" w14:textId="77777777" w:rsidR="0066555B" w:rsidRDefault="0066555B" w:rsidP="00512B6B">
      <w:pPr>
        <w:spacing w:after="0" w:line="240" w:lineRule="auto"/>
        <w:jc w:val="both"/>
        <w:rPr>
          <w:rFonts w:ascii="Verdana" w:eastAsia="Calibri" w:hAnsi="Verdana" w:cs="Arial"/>
          <w:color w:val="000000" w:themeColor="text1"/>
          <w:lang w:val="es-ES" w:eastAsia="es-ES"/>
        </w:rPr>
      </w:pPr>
    </w:p>
    <w:p w14:paraId="6E8A72FB" w14:textId="77777777" w:rsidR="0066555B" w:rsidRDefault="0066555B" w:rsidP="00512B6B">
      <w:pPr>
        <w:spacing w:after="0" w:line="240" w:lineRule="auto"/>
        <w:jc w:val="both"/>
        <w:rPr>
          <w:rFonts w:ascii="Verdana" w:eastAsia="Calibri" w:hAnsi="Verdana" w:cs="Arial"/>
          <w:color w:val="000000" w:themeColor="text1"/>
          <w:lang w:val="es-ES" w:eastAsia="es-ES"/>
        </w:rPr>
      </w:pPr>
    </w:p>
    <w:p w14:paraId="50C904F6" w14:textId="77777777" w:rsidR="0066555B" w:rsidRDefault="0066555B" w:rsidP="00512B6B">
      <w:pPr>
        <w:spacing w:after="0" w:line="240" w:lineRule="auto"/>
        <w:jc w:val="both"/>
        <w:rPr>
          <w:rFonts w:ascii="Verdana" w:eastAsia="Calibri" w:hAnsi="Verdana" w:cs="Arial"/>
          <w:color w:val="000000" w:themeColor="text1"/>
          <w:lang w:val="es-ES" w:eastAsia="es-ES"/>
        </w:rPr>
      </w:pPr>
    </w:p>
    <w:p w14:paraId="1FFA1D16" w14:textId="77777777" w:rsidR="00512B6B" w:rsidRDefault="00512B6B" w:rsidP="00512B6B">
      <w:pPr>
        <w:spacing w:after="0" w:line="240" w:lineRule="auto"/>
        <w:jc w:val="both"/>
        <w:rPr>
          <w:rFonts w:ascii="Verdana" w:eastAsia="Calibri" w:hAnsi="Verdana" w:cs="Arial"/>
          <w:color w:val="000000" w:themeColor="text1"/>
          <w:lang w:val="es-ES" w:eastAsia="es-ES"/>
        </w:rPr>
      </w:pPr>
    </w:p>
    <w:p w14:paraId="593AA95C" w14:textId="77777777" w:rsidR="00512B6B" w:rsidRPr="008F1238" w:rsidRDefault="00512B6B" w:rsidP="00512B6B">
      <w:pPr>
        <w:spacing w:after="0" w:line="240" w:lineRule="auto"/>
        <w:jc w:val="both"/>
        <w:rPr>
          <w:rFonts w:ascii="Verdana" w:eastAsia="Calibri" w:hAnsi="Verdana" w:cs="Arial"/>
          <w:color w:val="000000" w:themeColor="text1"/>
          <w:lang w:val="es-ES" w:eastAsia="es-ES"/>
        </w:rPr>
      </w:pPr>
      <w:r w:rsidRPr="008F1238">
        <w:rPr>
          <w:rFonts w:ascii="Verdana" w:eastAsia="Calibri" w:hAnsi="Verdana" w:cs="Arial"/>
          <w:color w:val="000000" w:themeColor="text1"/>
          <w:lang w:val="es-ES" w:eastAsia="es-ES"/>
        </w:rPr>
        <w:t>Señor</w:t>
      </w:r>
      <w:r w:rsidRPr="008F1238">
        <w:rPr>
          <w:rFonts w:ascii="Verdana" w:eastAsia="Times New Roman" w:hAnsi="Verdana" w:cs="Times New Roman"/>
          <w:color w:val="000000"/>
          <w:lang w:eastAsia="es-CO"/>
        </w:rPr>
        <w:br/>
      </w:r>
      <w:r w:rsidRPr="0081393C">
        <w:rPr>
          <w:rFonts w:ascii="Verdana" w:eastAsia="Calibri" w:hAnsi="Verdana" w:cs="Arial"/>
          <w:b/>
          <w:bCs/>
          <w:color w:val="000000" w:themeColor="text1"/>
          <w:lang w:val="es-ES" w:eastAsia="es-ES"/>
        </w:rPr>
        <w:t>Yesid Hernando Cabuya Ortiz</w:t>
      </w:r>
    </w:p>
    <w:p w14:paraId="3A801C7E" w14:textId="77777777" w:rsidR="00512B6B" w:rsidRDefault="00512B6B" w:rsidP="00512B6B">
      <w:pPr>
        <w:spacing w:after="0" w:line="240" w:lineRule="auto"/>
        <w:rPr>
          <w:rFonts w:ascii="Verdana" w:eastAsia="Calibri" w:hAnsi="Verdana" w:cs="Arial"/>
          <w:color w:val="000000" w:themeColor="text1"/>
          <w:u w:val="single"/>
          <w:lang w:eastAsia="es-ES"/>
        </w:rPr>
      </w:pPr>
      <w:hyperlink r:id="rId11" w:history="1">
        <w:r w:rsidRPr="002D08A7">
          <w:rPr>
            <w:rStyle w:val="Hipervnculo"/>
            <w:rFonts w:ascii="Verdana" w:eastAsia="Calibri" w:hAnsi="Verdana" w:cs="Arial"/>
            <w:lang w:eastAsia="es-ES"/>
          </w:rPr>
          <w:t>ycabuyao@mindeporte.gov.co</w:t>
        </w:r>
      </w:hyperlink>
    </w:p>
    <w:p w14:paraId="5FD1E118" w14:textId="77777777" w:rsidR="00512B6B" w:rsidRPr="008F1238" w:rsidRDefault="00512B6B" w:rsidP="00512B6B">
      <w:pPr>
        <w:spacing w:after="0" w:line="240" w:lineRule="auto"/>
        <w:rPr>
          <w:rFonts w:ascii="Verdana" w:eastAsia="Calibri" w:hAnsi="Verdana" w:cs="Arial"/>
          <w:b/>
          <w:bCs/>
          <w:color w:val="000000" w:themeColor="text1"/>
          <w:lang w:val="en-US" w:eastAsia="es-ES"/>
        </w:rPr>
      </w:pPr>
      <w:r>
        <w:rPr>
          <w:rFonts w:ascii="Verdana" w:eastAsia="Calibri" w:hAnsi="Verdana" w:cs="Arial"/>
          <w:color w:val="000000" w:themeColor="text1"/>
          <w:lang w:val="en-US" w:eastAsia="es-ES"/>
        </w:rPr>
        <w:t>Ciudad</w:t>
      </w:r>
    </w:p>
    <w:p w14:paraId="11B52EF6" w14:textId="77777777" w:rsidR="00512B6B" w:rsidRPr="007C6ACB" w:rsidRDefault="00512B6B" w:rsidP="00512B6B">
      <w:pPr>
        <w:spacing w:after="0" w:line="240" w:lineRule="auto"/>
        <w:rPr>
          <w:rFonts w:ascii="Verdana" w:eastAsia="Calibri" w:hAnsi="Verdana" w:cs="Arial"/>
          <w:b/>
          <w:bCs/>
          <w:color w:val="000000" w:themeColor="text1"/>
          <w:lang w:val="en-US" w:eastAsia="es-ES_tradnl"/>
        </w:rPr>
      </w:pPr>
    </w:p>
    <w:p w14:paraId="6ED753A7" w14:textId="77777777" w:rsidR="00512B6B" w:rsidRPr="007C6ACB" w:rsidRDefault="00512B6B" w:rsidP="00512B6B">
      <w:pPr>
        <w:spacing w:after="0" w:line="240" w:lineRule="auto"/>
        <w:rPr>
          <w:rFonts w:ascii="Verdana" w:eastAsia="Calibri" w:hAnsi="Verdana" w:cs="Arial"/>
          <w:b/>
          <w:bCs/>
          <w:color w:val="000000" w:themeColor="text1"/>
          <w:lang w:val="en-US"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512B6B" w:rsidRPr="00115E3D" w14:paraId="67BED05C" w14:textId="77777777" w:rsidTr="00EF5085">
        <w:trPr>
          <w:trHeight w:val="884"/>
        </w:trPr>
        <w:tc>
          <w:tcPr>
            <w:tcW w:w="2689" w:type="dxa"/>
          </w:tcPr>
          <w:p w14:paraId="55B12806" w14:textId="77777777" w:rsidR="00512B6B" w:rsidRPr="007C6ACB" w:rsidRDefault="00512B6B" w:rsidP="00EF5085">
            <w:pPr>
              <w:jc w:val="both"/>
              <w:rPr>
                <w:rFonts w:ascii="Verdana" w:eastAsia="Calibri" w:hAnsi="Verdana" w:cs="Arial"/>
                <w:b/>
                <w:bCs/>
                <w:color w:val="000000" w:themeColor="text1"/>
                <w:lang w:val="en-US" w:eastAsia="es-ES_tradnl"/>
              </w:rPr>
            </w:pPr>
          </w:p>
        </w:tc>
        <w:tc>
          <w:tcPr>
            <w:tcW w:w="6100" w:type="dxa"/>
          </w:tcPr>
          <w:p w14:paraId="08595FDA" w14:textId="77777777" w:rsidR="00512B6B" w:rsidRPr="00115E3D" w:rsidRDefault="00512B6B" w:rsidP="00EF5085">
            <w:pPr>
              <w:jc w:val="both"/>
              <w:rPr>
                <w:rFonts w:ascii="Verdana" w:eastAsia="Calibri" w:hAnsi="Verdana" w:cs="Arial"/>
                <w:b/>
                <w:bCs/>
                <w:color w:val="000000" w:themeColor="text1"/>
                <w:lang w:val="es-ES" w:eastAsia="es-ES"/>
              </w:rPr>
            </w:pPr>
            <w:r w:rsidRPr="00115E3D">
              <w:rPr>
                <w:rFonts w:ascii="Verdana" w:eastAsia="Calibri" w:hAnsi="Verdana" w:cs="Arial"/>
                <w:b/>
                <w:bCs/>
                <w:color w:val="000000" w:themeColor="text1"/>
                <w:lang w:val="es-ES" w:eastAsia="es-ES"/>
              </w:rPr>
              <w:t xml:space="preserve">Concepto C- </w:t>
            </w:r>
            <w:r>
              <w:rPr>
                <w:rFonts w:ascii="Verdana" w:eastAsia="Calibri" w:hAnsi="Verdana" w:cs="Arial"/>
                <w:b/>
                <w:bCs/>
                <w:color w:val="000000" w:themeColor="text1"/>
                <w:lang w:val="es-ES" w:eastAsia="es-ES"/>
              </w:rPr>
              <w:t>972</w:t>
            </w:r>
            <w:r w:rsidRPr="00115E3D">
              <w:rPr>
                <w:rFonts w:ascii="Verdana" w:eastAsia="Calibri" w:hAnsi="Verdana" w:cs="Arial"/>
                <w:b/>
                <w:bCs/>
                <w:color w:val="000000" w:themeColor="text1"/>
                <w:lang w:val="es-ES" w:eastAsia="es-ES"/>
              </w:rPr>
              <w:t xml:space="preserve"> de 2024</w:t>
            </w:r>
          </w:p>
        </w:tc>
      </w:tr>
      <w:tr w:rsidR="00512B6B" w:rsidRPr="00115E3D" w14:paraId="505469F5" w14:textId="77777777" w:rsidTr="00EF5085">
        <w:trPr>
          <w:trHeight w:val="884"/>
        </w:trPr>
        <w:tc>
          <w:tcPr>
            <w:tcW w:w="2689" w:type="dxa"/>
          </w:tcPr>
          <w:p w14:paraId="1E4C5308" w14:textId="77777777" w:rsidR="00512B6B" w:rsidRPr="00577877" w:rsidRDefault="00512B6B" w:rsidP="00EF5085">
            <w:pPr>
              <w:jc w:val="both"/>
              <w:rPr>
                <w:rFonts w:ascii="Verdana" w:eastAsia="Calibri" w:hAnsi="Verdana" w:cs="Arial"/>
                <w:bCs/>
                <w:color w:val="000000" w:themeColor="text1"/>
                <w:lang w:val="es-ES_tradnl" w:eastAsia="es-ES_tradnl"/>
              </w:rPr>
            </w:pPr>
            <w:r w:rsidRPr="00577877">
              <w:rPr>
                <w:rFonts w:ascii="Verdana" w:eastAsia="Calibri" w:hAnsi="Verdana" w:cs="Arial"/>
                <w:bCs/>
                <w:color w:val="000000" w:themeColor="text1"/>
                <w:lang w:val="es-ES_tradnl" w:eastAsia="es-ES_tradnl"/>
              </w:rPr>
              <w:t xml:space="preserve">Temas:                   </w:t>
            </w:r>
          </w:p>
        </w:tc>
        <w:tc>
          <w:tcPr>
            <w:tcW w:w="6100" w:type="dxa"/>
          </w:tcPr>
          <w:p w14:paraId="711A2C2D" w14:textId="77777777" w:rsidR="00512B6B" w:rsidRPr="00577877" w:rsidRDefault="00512B6B" w:rsidP="00EF5085">
            <w:pPr>
              <w:spacing w:line="276" w:lineRule="auto"/>
              <w:jc w:val="both"/>
              <w:rPr>
                <w:rFonts w:ascii="Verdana" w:eastAsia="Calibri" w:hAnsi="Verdana" w:cs="Arial"/>
                <w:bCs/>
                <w:color w:val="000000" w:themeColor="text1"/>
                <w:lang w:eastAsia="es-ES"/>
              </w:rPr>
            </w:pPr>
            <w:r w:rsidRPr="00577877">
              <w:rPr>
                <w:rFonts w:ascii="Verdana" w:eastAsia="Calibri" w:hAnsi="Verdana" w:cs="Arial"/>
                <w:bCs/>
                <w:color w:val="000000" w:themeColor="text1"/>
                <w:lang w:val="es-ES" w:eastAsia="es-ES"/>
              </w:rPr>
              <w:t>SUPERVISIÓN DEL CONTRATO – C</w:t>
            </w:r>
            <w:r>
              <w:rPr>
                <w:rFonts w:ascii="Verdana" w:eastAsia="Calibri" w:hAnsi="Verdana" w:cs="Arial"/>
                <w:bCs/>
                <w:color w:val="000000" w:themeColor="text1"/>
                <w:lang w:val="es-ES" w:eastAsia="es-ES"/>
              </w:rPr>
              <w:t>oncepto</w:t>
            </w:r>
            <w:r w:rsidRPr="00577877">
              <w:rPr>
                <w:rFonts w:ascii="Verdana" w:eastAsia="Calibri" w:hAnsi="Verdana" w:cs="Arial"/>
                <w:bCs/>
                <w:color w:val="000000" w:themeColor="text1"/>
                <w:lang w:val="es-ES" w:eastAsia="es-ES"/>
              </w:rPr>
              <w:t xml:space="preserve"> </w:t>
            </w:r>
            <w:r w:rsidRPr="008B3E0F">
              <w:rPr>
                <w:rFonts w:ascii="Verdana" w:eastAsia="Calibri" w:hAnsi="Verdana" w:cs="Arial"/>
                <w:bCs/>
                <w:color w:val="000000" w:themeColor="text1"/>
                <w:lang w:val="es-ES" w:eastAsia="es-ES"/>
              </w:rPr>
              <w:t>–</w:t>
            </w:r>
            <w:r w:rsidRPr="00577877">
              <w:rPr>
                <w:rFonts w:ascii="Verdana" w:eastAsia="Calibri" w:hAnsi="Verdana" w:cs="Arial"/>
                <w:bCs/>
                <w:color w:val="000000" w:themeColor="text1"/>
                <w:lang w:val="es-ES" w:eastAsia="es-ES"/>
              </w:rPr>
              <w:t xml:space="preserve"> C</w:t>
            </w:r>
            <w:r>
              <w:rPr>
                <w:rFonts w:ascii="Verdana" w:eastAsia="Calibri" w:hAnsi="Verdana" w:cs="Arial"/>
                <w:bCs/>
                <w:color w:val="000000" w:themeColor="text1"/>
                <w:lang w:val="es-ES" w:eastAsia="es-ES"/>
              </w:rPr>
              <w:t>aracterísticas</w:t>
            </w:r>
            <w:r w:rsidRPr="00577877">
              <w:rPr>
                <w:rFonts w:ascii="Verdana" w:eastAsia="Calibri" w:hAnsi="Verdana" w:cs="Arial"/>
                <w:bCs/>
                <w:color w:val="000000" w:themeColor="text1"/>
                <w:lang w:val="es-ES" w:eastAsia="es-ES"/>
              </w:rPr>
              <w:t xml:space="preserve"> – Apoyo a la supervisión </w:t>
            </w:r>
            <w:r>
              <w:rPr>
                <w:rFonts w:ascii="Verdana" w:eastAsia="Calibri" w:hAnsi="Verdana" w:cs="Arial"/>
                <w:bCs/>
                <w:color w:val="000000" w:themeColor="text1"/>
                <w:lang w:val="es-ES" w:eastAsia="es-ES"/>
              </w:rPr>
              <w:t>/</w:t>
            </w:r>
            <w:r w:rsidRPr="00577877">
              <w:rPr>
                <w:rFonts w:ascii="Verdana" w:eastAsia="Calibri" w:hAnsi="Verdana" w:cs="Arial"/>
                <w:bCs/>
                <w:color w:val="000000" w:themeColor="text1"/>
                <w:lang w:val="es-ES" w:eastAsia="es-ES"/>
              </w:rPr>
              <w:t xml:space="preserve"> LEY 489 DE 1998 – </w:t>
            </w:r>
            <w:r>
              <w:rPr>
                <w:rFonts w:ascii="Verdana" w:eastAsia="Calibri" w:hAnsi="Verdana" w:cs="Arial"/>
                <w:bCs/>
                <w:color w:val="000000" w:themeColor="text1"/>
                <w:lang w:val="es-ES" w:eastAsia="es-ES"/>
              </w:rPr>
              <w:t>Convenios</w:t>
            </w:r>
            <w:r>
              <w:rPr>
                <w:rFonts w:ascii="Verdana" w:eastAsia="Calibri" w:hAnsi="Verdana" w:cs="Arial"/>
                <w:bCs/>
                <w:color w:val="000000" w:themeColor="text1"/>
                <w:lang w:eastAsia="es-ES"/>
              </w:rPr>
              <w:t xml:space="preserve"> </w:t>
            </w:r>
            <w:r w:rsidRPr="00577877">
              <w:rPr>
                <w:rFonts w:ascii="Verdana" w:eastAsia="Calibri" w:hAnsi="Verdana" w:cs="Arial"/>
                <w:bCs/>
                <w:color w:val="000000" w:themeColor="text1"/>
                <w:lang w:eastAsia="es-ES"/>
              </w:rPr>
              <w:t xml:space="preserve">– </w:t>
            </w:r>
            <w:r>
              <w:rPr>
                <w:rFonts w:ascii="Verdana" w:eastAsia="Calibri" w:hAnsi="Verdana" w:cs="Arial"/>
                <w:bCs/>
                <w:color w:val="000000" w:themeColor="text1"/>
                <w:lang w:eastAsia="es-ES"/>
              </w:rPr>
              <w:t>Particulares</w:t>
            </w:r>
            <w:r w:rsidRPr="00577877">
              <w:rPr>
                <w:rFonts w:ascii="Verdana" w:eastAsia="Calibri" w:hAnsi="Verdana" w:cs="Arial"/>
                <w:bCs/>
                <w:color w:val="000000" w:themeColor="text1"/>
                <w:lang w:eastAsia="es-ES"/>
              </w:rPr>
              <w:t xml:space="preserve"> </w:t>
            </w:r>
            <w:r w:rsidRPr="008B3E0F">
              <w:rPr>
                <w:rFonts w:ascii="Verdana" w:eastAsia="Calibri" w:hAnsi="Verdana" w:cs="Arial"/>
                <w:bCs/>
                <w:color w:val="000000" w:themeColor="text1"/>
                <w:lang w:eastAsia="es-ES"/>
              </w:rPr>
              <w:t>–</w:t>
            </w:r>
            <w:r>
              <w:rPr>
                <w:rFonts w:ascii="Verdana" w:eastAsia="Calibri" w:hAnsi="Verdana" w:cs="Arial"/>
                <w:bCs/>
                <w:color w:val="000000" w:themeColor="text1"/>
                <w:lang w:val="es-ES" w:eastAsia="es-ES"/>
              </w:rPr>
              <w:t xml:space="preserve"> Requisitos</w:t>
            </w:r>
            <w:r w:rsidRPr="008B3E0F">
              <w:rPr>
                <w:rFonts w:ascii="Verdana" w:eastAsia="Calibri" w:hAnsi="Verdana" w:cs="Arial"/>
                <w:bCs/>
                <w:color w:val="000000" w:themeColor="text1"/>
                <w:lang w:val="es-ES" w:eastAsia="es-ES"/>
              </w:rPr>
              <w:t xml:space="preserve"> </w:t>
            </w:r>
            <w:r>
              <w:rPr>
                <w:rFonts w:ascii="Verdana" w:eastAsia="Calibri" w:hAnsi="Verdana" w:cs="Arial"/>
                <w:bCs/>
                <w:color w:val="000000" w:themeColor="text1"/>
                <w:lang w:val="es-ES" w:eastAsia="es-ES"/>
              </w:rPr>
              <w:t>/</w:t>
            </w:r>
            <w:r w:rsidRPr="008B3E0F">
              <w:rPr>
                <w:rFonts w:ascii="Verdana" w:eastAsia="Calibri" w:hAnsi="Verdana" w:cs="Arial"/>
                <w:bCs/>
                <w:color w:val="000000" w:themeColor="text1"/>
                <w:lang w:val="es-ES" w:eastAsia="es-ES"/>
              </w:rPr>
              <w:t xml:space="preserve"> </w:t>
            </w:r>
            <w:r w:rsidRPr="008B3E0F">
              <w:rPr>
                <w:rFonts w:ascii="Verdana" w:eastAsia="Calibri" w:hAnsi="Verdana" w:cs="Arial"/>
                <w:bCs/>
                <w:color w:val="000000" w:themeColor="text1"/>
                <w:lang w:eastAsia="es-ES"/>
              </w:rPr>
              <w:t>LEY 1474 DE 2011 –</w:t>
            </w:r>
            <w:r>
              <w:rPr>
                <w:rFonts w:ascii="Verdana" w:eastAsia="Calibri" w:hAnsi="Verdana" w:cs="Arial"/>
                <w:bCs/>
                <w:color w:val="000000" w:themeColor="text1"/>
                <w:lang w:eastAsia="es-ES"/>
              </w:rPr>
              <w:t xml:space="preserve"> Artículo 83 –</w:t>
            </w:r>
            <w:r w:rsidRPr="008B3E0F">
              <w:rPr>
                <w:rFonts w:ascii="Verdana" w:eastAsia="Calibri" w:hAnsi="Verdana" w:cs="Arial"/>
                <w:bCs/>
                <w:color w:val="000000" w:themeColor="text1"/>
                <w:lang w:eastAsia="es-ES"/>
              </w:rPr>
              <w:t xml:space="preserve"> </w:t>
            </w:r>
            <w:r w:rsidRPr="008B3E0F">
              <w:rPr>
                <w:rFonts w:ascii="Verdana" w:eastAsia="Calibri" w:hAnsi="Verdana" w:cs="Arial"/>
                <w:bCs/>
                <w:color w:val="000000" w:themeColor="text1"/>
                <w:lang w:val="es-ES" w:eastAsia="es-ES"/>
              </w:rPr>
              <w:t>Supervisión</w:t>
            </w:r>
            <w:r w:rsidRPr="008B3E0F">
              <w:rPr>
                <w:rFonts w:ascii="Verdana" w:eastAsia="Calibri" w:hAnsi="Verdana" w:cs="Arial"/>
                <w:bCs/>
                <w:color w:val="000000" w:themeColor="text1"/>
                <w:lang w:eastAsia="es-ES"/>
              </w:rPr>
              <w:t xml:space="preserve"> </w:t>
            </w:r>
            <w:proofErr w:type="spellStart"/>
            <w:r w:rsidRPr="008B3E0F">
              <w:rPr>
                <w:rFonts w:ascii="Verdana" w:eastAsia="Calibri" w:hAnsi="Verdana" w:cs="Arial"/>
                <w:bCs/>
                <w:color w:val="000000" w:themeColor="text1"/>
                <w:lang w:eastAsia="es-ES"/>
              </w:rPr>
              <w:t>e</w:t>
            </w:r>
            <w:proofErr w:type="spellEnd"/>
            <w:r w:rsidRPr="008B3E0F">
              <w:rPr>
                <w:rFonts w:ascii="Verdana" w:eastAsia="Calibri" w:hAnsi="Verdana" w:cs="Arial"/>
                <w:bCs/>
                <w:color w:val="000000" w:themeColor="text1"/>
                <w:lang w:eastAsia="es-ES"/>
              </w:rPr>
              <w:t xml:space="preserve"> interventoría contractual</w:t>
            </w:r>
          </w:p>
          <w:p w14:paraId="141DA520" w14:textId="77777777" w:rsidR="00512B6B" w:rsidRPr="00295900" w:rsidRDefault="00512B6B" w:rsidP="00EF5085">
            <w:pPr>
              <w:spacing w:line="276" w:lineRule="auto"/>
              <w:jc w:val="both"/>
              <w:rPr>
                <w:rFonts w:ascii="Verdana" w:eastAsia="Calibri" w:hAnsi="Verdana" w:cs="Arial"/>
                <w:color w:val="000000" w:themeColor="text1"/>
                <w:highlight w:val="yellow"/>
                <w:lang w:eastAsia="es-ES"/>
              </w:rPr>
            </w:pPr>
          </w:p>
        </w:tc>
      </w:tr>
      <w:tr w:rsidR="00512B6B" w:rsidRPr="008F1238" w14:paraId="0F194DAC" w14:textId="77777777" w:rsidTr="00EF5085">
        <w:tc>
          <w:tcPr>
            <w:tcW w:w="2689" w:type="dxa"/>
          </w:tcPr>
          <w:p w14:paraId="5171B1B9" w14:textId="77777777" w:rsidR="00512B6B" w:rsidRPr="00115E3D" w:rsidRDefault="00512B6B" w:rsidP="00EF5085">
            <w:pPr>
              <w:jc w:val="both"/>
              <w:rPr>
                <w:rFonts w:ascii="Verdana" w:eastAsia="Calibri" w:hAnsi="Verdana" w:cs="Arial"/>
                <w:b/>
                <w:color w:val="000000" w:themeColor="text1"/>
                <w:lang w:val="es-ES_tradnl" w:eastAsia="es-ES_tradnl"/>
              </w:rPr>
            </w:pPr>
            <w:r w:rsidRPr="00115E3D">
              <w:rPr>
                <w:rFonts w:ascii="Verdana" w:eastAsia="Calibri" w:hAnsi="Verdana" w:cs="Arial"/>
                <w:b/>
                <w:color w:val="000000" w:themeColor="text1"/>
                <w:lang w:val="es-ES_tradnl" w:eastAsia="es-ES_tradnl"/>
              </w:rPr>
              <w:t>Radicación:</w:t>
            </w:r>
            <w:r w:rsidRPr="00115E3D">
              <w:rPr>
                <w:rFonts w:ascii="Verdana" w:eastAsia="Calibri" w:hAnsi="Verdana" w:cs="Arial"/>
                <w:color w:val="000000" w:themeColor="text1"/>
                <w:lang w:val="es-ES_tradnl" w:eastAsia="es-ES_tradnl"/>
              </w:rPr>
              <w:t xml:space="preserve">               </w:t>
            </w:r>
          </w:p>
        </w:tc>
        <w:tc>
          <w:tcPr>
            <w:tcW w:w="6100" w:type="dxa"/>
          </w:tcPr>
          <w:p w14:paraId="11BBD842" w14:textId="77777777" w:rsidR="00512B6B" w:rsidRPr="008F1238" w:rsidRDefault="00512B6B" w:rsidP="00EF5085">
            <w:pPr>
              <w:jc w:val="both"/>
              <w:rPr>
                <w:rFonts w:ascii="Verdana" w:eastAsia="Calibri" w:hAnsi="Verdana" w:cs="Arial"/>
                <w:color w:val="000000" w:themeColor="text1"/>
                <w:lang w:val="es-ES_tradnl" w:eastAsia="es-ES_tradnl"/>
              </w:rPr>
            </w:pPr>
            <w:r w:rsidRPr="008F1238">
              <w:rPr>
                <w:rFonts w:ascii="Verdana" w:eastAsia="Calibri" w:hAnsi="Verdana" w:cs="Arial"/>
                <w:color w:val="000000" w:themeColor="text1"/>
                <w:lang w:val="es-ES_tradnl" w:eastAsia="es-ES_tradnl"/>
              </w:rPr>
              <w:t xml:space="preserve">Respuesta a consulta con radicado No. </w:t>
            </w:r>
          </w:p>
          <w:p w14:paraId="6E640B7B" w14:textId="77777777" w:rsidR="00512B6B" w:rsidRPr="008F1238" w:rsidRDefault="00512B6B" w:rsidP="00EF5085">
            <w:pPr>
              <w:jc w:val="both"/>
              <w:rPr>
                <w:rFonts w:ascii="Verdana" w:hAnsi="Verdana" w:cs="Arial"/>
                <w:color w:val="000000"/>
              </w:rPr>
            </w:pPr>
            <w:r w:rsidRPr="0081393C">
              <w:rPr>
                <w:rFonts w:ascii="Verdana" w:hAnsi="Verdana" w:cs="Arial"/>
                <w:color w:val="000000"/>
              </w:rPr>
              <w:t>P20241206012262</w:t>
            </w:r>
            <w:r>
              <w:rPr>
                <w:rFonts w:ascii="Verdana" w:hAnsi="Verdana" w:cs="Arial"/>
                <w:color w:val="000000"/>
              </w:rPr>
              <w:t xml:space="preserve"> </w:t>
            </w:r>
          </w:p>
        </w:tc>
      </w:tr>
    </w:tbl>
    <w:p w14:paraId="58C566D2" w14:textId="77777777" w:rsidR="00512B6B" w:rsidRPr="00115E3D" w:rsidRDefault="00512B6B" w:rsidP="00512B6B">
      <w:pPr>
        <w:spacing w:after="0" w:line="240" w:lineRule="auto"/>
        <w:jc w:val="both"/>
        <w:rPr>
          <w:rFonts w:ascii="Verdana" w:eastAsia="Calibri" w:hAnsi="Verdana" w:cs="Arial"/>
          <w:color w:val="000000" w:themeColor="text1"/>
          <w:lang w:val="es-ES_tradnl" w:eastAsia="es-ES_tradnl"/>
        </w:rPr>
      </w:pPr>
    </w:p>
    <w:p w14:paraId="28066DFE" w14:textId="77777777" w:rsidR="00512B6B" w:rsidRPr="00115E3D" w:rsidRDefault="00512B6B" w:rsidP="00512B6B">
      <w:pPr>
        <w:spacing w:after="0" w:line="240" w:lineRule="auto"/>
        <w:jc w:val="both"/>
        <w:rPr>
          <w:rFonts w:ascii="Verdana" w:eastAsia="Calibri" w:hAnsi="Verdana" w:cs="Arial"/>
          <w:color w:val="000000" w:themeColor="text1"/>
          <w:lang w:val="es-ES_tradnl" w:eastAsia="es-ES_tradnl"/>
        </w:rPr>
      </w:pPr>
    </w:p>
    <w:p w14:paraId="19B66BBD" w14:textId="77777777" w:rsidR="00512B6B" w:rsidRPr="00115E3D" w:rsidRDefault="00512B6B" w:rsidP="00512B6B">
      <w:pPr>
        <w:spacing w:after="0" w:line="276" w:lineRule="auto"/>
        <w:jc w:val="both"/>
        <w:rPr>
          <w:rFonts w:ascii="Verdana" w:eastAsia="Calibri" w:hAnsi="Verdana" w:cs="Arial"/>
          <w:color w:val="000000" w:themeColor="text1"/>
          <w:lang w:val="es-ES" w:eastAsia="es-ES"/>
        </w:rPr>
      </w:pPr>
      <w:r w:rsidRPr="0081393C">
        <w:rPr>
          <w:rFonts w:ascii="Verdana" w:eastAsia="Calibri" w:hAnsi="Verdana" w:cs="Arial"/>
          <w:color w:val="000000" w:themeColor="text1"/>
          <w:lang w:val="es-ES" w:eastAsia="es-ES"/>
        </w:rPr>
        <w:t>Estimado señor Cabuya:</w:t>
      </w:r>
      <w:r w:rsidRPr="00115E3D">
        <w:rPr>
          <w:rFonts w:ascii="Verdana" w:eastAsia="Calibri" w:hAnsi="Verdana" w:cs="Arial"/>
          <w:color w:val="000000" w:themeColor="text1"/>
          <w:lang w:val="es-ES" w:eastAsia="es-ES"/>
        </w:rPr>
        <w:t xml:space="preserve"> </w:t>
      </w:r>
    </w:p>
    <w:p w14:paraId="064FE98F" w14:textId="77777777" w:rsidR="00512B6B" w:rsidRPr="00115E3D" w:rsidRDefault="00512B6B" w:rsidP="00512B6B">
      <w:pPr>
        <w:tabs>
          <w:tab w:val="left" w:pos="3768"/>
        </w:tabs>
        <w:spacing w:after="0" w:line="276" w:lineRule="auto"/>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ab/>
      </w:r>
    </w:p>
    <w:p w14:paraId="42BFD9C2" w14:textId="77777777" w:rsidR="00512B6B" w:rsidRPr="00115E3D" w:rsidRDefault="00512B6B" w:rsidP="00512B6B">
      <w:pPr>
        <w:spacing w:after="0" w:line="276" w:lineRule="auto"/>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En ejercicio de la competencia otorgada por los artículos 3, numeral 5º, y 11, numeral 8º, del Decreto Ley 4170 de 2011,</w:t>
      </w:r>
      <w:r w:rsidRPr="00115E3D">
        <w:rPr>
          <w:rFonts w:ascii="Verdana" w:eastAsia="Arial MT" w:hAnsi="Verdana" w:cs="Arial MT"/>
          <w:color w:val="000000" w:themeColor="text1"/>
          <w:lang w:val="es-ES" w:eastAsia="es-ES"/>
        </w:rPr>
        <w:t xml:space="preserve"> </w:t>
      </w:r>
      <w:r w:rsidRPr="00115E3D">
        <w:rPr>
          <w:rFonts w:ascii="Verdana" w:hAnsi="Verdana" w:cs="Arial"/>
          <w:color w:val="000000" w:themeColor="text1"/>
        </w:rPr>
        <w:t xml:space="preserve">así como lo establecido en el artículo 4 de la Resolución 1707 de 2018 expedida por esta Entidad, </w:t>
      </w:r>
      <w:r w:rsidRPr="00115E3D">
        <w:rPr>
          <w:rFonts w:ascii="Verdana" w:eastAsia="Calibri" w:hAnsi="Verdana" w:cs="Arial"/>
          <w:color w:val="000000" w:themeColor="text1"/>
          <w:lang w:val="es-ES" w:eastAsia="es-ES"/>
        </w:rPr>
        <w:t xml:space="preserve">la Agencia Nacional de Contratación Pública – Colombia Compra Eficiente– responde su solicitud de consulta de fecha </w:t>
      </w:r>
      <w:r>
        <w:rPr>
          <w:rFonts w:ascii="Verdana" w:eastAsia="Calibri" w:hAnsi="Verdana" w:cs="Arial"/>
          <w:color w:val="000000" w:themeColor="text1"/>
          <w:lang w:val="es-ES" w:eastAsia="es-ES"/>
        </w:rPr>
        <w:t>6</w:t>
      </w:r>
      <w:r w:rsidRPr="00115E3D">
        <w:rPr>
          <w:rFonts w:ascii="Verdana" w:eastAsia="Calibri" w:hAnsi="Verdana" w:cs="Arial"/>
          <w:color w:val="000000" w:themeColor="text1"/>
          <w:lang w:val="es-ES" w:eastAsia="es-ES"/>
        </w:rPr>
        <w:t xml:space="preserve"> de </w:t>
      </w:r>
      <w:r>
        <w:rPr>
          <w:rFonts w:ascii="Verdana" w:eastAsia="Calibri" w:hAnsi="Verdana" w:cs="Arial"/>
          <w:color w:val="000000" w:themeColor="text1"/>
          <w:lang w:val="es-ES" w:eastAsia="es-ES"/>
        </w:rPr>
        <w:t>diciembre</w:t>
      </w:r>
      <w:r w:rsidRPr="00115E3D">
        <w:rPr>
          <w:rFonts w:ascii="Verdana" w:eastAsia="Calibri" w:hAnsi="Verdana" w:cs="Arial"/>
          <w:color w:val="000000" w:themeColor="text1"/>
          <w:lang w:val="es-ES" w:eastAsia="es-ES"/>
        </w:rPr>
        <w:t xml:space="preserve"> de 20</w:t>
      </w:r>
      <w:r>
        <w:rPr>
          <w:rFonts w:ascii="Verdana" w:eastAsia="Calibri" w:hAnsi="Verdana" w:cs="Arial"/>
          <w:color w:val="000000" w:themeColor="text1"/>
          <w:lang w:val="es-ES" w:eastAsia="es-ES"/>
        </w:rPr>
        <w:t>24</w:t>
      </w:r>
      <w:r w:rsidRPr="00115E3D">
        <w:rPr>
          <w:rFonts w:ascii="Verdana" w:eastAsia="Calibri" w:hAnsi="Verdana" w:cs="Arial"/>
          <w:color w:val="000000" w:themeColor="text1"/>
          <w:lang w:val="es-ES" w:eastAsia="es-ES"/>
        </w:rPr>
        <w:t xml:space="preserve">, en la cual manifiesta lo siguiente: </w:t>
      </w:r>
    </w:p>
    <w:p w14:paraId="5511B3E7" w14:textId="77777777" w:rsidR="00512B6B" w:rsidRPr="00115E3D" w:rsidRDefault="00512B6B" w:rsidP="00512B6B">
      <w:pPr>
        <w:pStyle w:val="Prrafodelista"/>
        <w:tabs>
          <w:tab w:val="left" w:pos="142"/>
          <w:tab w:val="left" w:pos="284"/>
        </w:tabs>
        <w:spacing w:line="276" w:lineRule="auto"/>
        <w:ind w:left="0"/>
        <w:jc w:val="both"/>
        <w:rPr>
          <w:rFonts w:ascii="Verdana" w:eastAsia="Century Gothic" w:hAnsi="Verdana" w:cs="Century Gothic"/>
          <w:b/>
          <w:bCs/>
          <w:color w:val="000000" w:themeColor="text1"/>
        </w:rPr>
      </w:pPr>
    </w:p>
    <w:p w14:paraId="232F8940" w14:textId="77777777" w:rsidR="00512B6B" w:rsidRPr="00141269" w:rsidRDefault="00512B6B" w:rsidP="00512B6B">
      <w:pPr>
        <w:spacing w:after="0" w:line="240" w:lineRule="auto"/>
        <w:ind w:left="709" w:right="709"/>
        <w:jc w:val="both"/>
        <w:rPr>
          <w:rFonts w:ascii="Verdana" w:eastAsia="Century Gothic" w:hAnsi="Verdana" w:cs="Century Gothic"/>
          <w:i/>
          <w:iCs/>
          <w:color w:val="000000" w:themeColor="text1"/>
          <w:sz w:val="20"/>
          <w:szCs w:val="20"/>
          <w:lang w:val="es-ES"/>
        </w:rPr>
      </w:pPr>
      <w:bookmarkStart w:id="0" w:name="_Hlk95313578"/>
      <w:r w:rsidRPr="00141269">
        <w:rPr>
          <w:rFonts w:ascii="Verdana" w:eastAsia="Century Gothic" w:hAnsi="Verdana" w:cs="Century Gothic"/>
          <w:i/>
          <w:iCs/>
          <w:color w:val="000000" w:themeColor="text1"/>
          <w:sz w:val="20"/>
          <w:szCs w:val="20"/>
          <w:lang w:val="es-ES"/>
        </w:rPr>
        <w:t>“</w:t>
      </w:r>
      <w:bookmarkEnd w:id="0"/>
      <w:r w:rsidRPr="0081393C">
        <w:rPr>
          <w:rFonts w:ascii="Verdana" w:eastAsia="Century Gothic" w:hAnsi="Verdana" w:cs="Century Gothic"/>
          <w:i/>
          <w:iCs/>
          <w:color w:val="000000" w:themeColor="text1"/>
          <w:sz w:val="20"/>
          <w:szCs w:val="20"/>
        </w:rPr>
        <w:t xml:space="preserve">Considerando que NO estoy de acuerdo con la respuesta emitida al radicado P20241204012178, con el radicado RS20241206016212, toda vez que, mi consulta SI es relativa a temas contractuales para “absolver consultas sobre la aplicación de normas de carácter general", reitero la consulta, ¿se pueden celebrar convenios para conferir funciones </w:t>
      </w:r>
      <w:r w:rsidRPr="0081393C">
        <w:rPr>
          <w:rFonts w:ascii="Verdana" w:eastAsia="Century Gothic" w:hAnsi="Verdana" w:cs="Century Gothic"/>
          <w:i/>
          <w:iCs/>
          <w:color w:val="000000" w:themeColor="text1"/>
          <w:sz w:val="20"/>
          <w:szCs w:val="20"/>
        </w:rPr>
        <w:lastRenderedPageBreak/>
        <w:t>administrativas a particulares (contemplados en los artículos 110 a 114 de la Ley 489 de 1998) de supervisión de contratos y convenios suscritos por una entidad estatal? Agradezco la atención y respuesta de fondo, al ser un tema competencia de Colombia Compra Eficiente.</w:t>
      </w:r>
      <w:r>
        <w:rPr>
          <w:rFonts w:ascii="Verdana" w:eastAsia="Century Gothic" w:hAnsi="Verdana" w:cs="Century Gothic"/>
          <w:i/>
          <w:iCs/>
          <w:color w:val="000000" w:themeColor="text1"/>
          <w:sz w:val="20"/>
          <w:szCs w:val="20"/>
        </w:rPr>
        <w:t>”</w:t>
      </w:r>
    </w:p>
    <w:p w14:paraId="71B1180A" w14:textId="77777777" w:rsidR="00512B6B" w:rsidRPr="00115E3D" w:rsidRDefault="00512B6B" w:rsidP="00512B6B">
      <w:pPr>
        <w:pStyle w:val="Prrafodelista"/>
        <w:tabs>
          <w:tab w:val="left" w:pos="142"/>
          <w:tab w:val="left" w:pos="284"/>
        </w:tabs>
        <w:spacing w:line="276" w:lineRule="auto"/>
        <w:ind w:left="0"/>
        <w:jc w:val="both"/>
        <w:rPr>
          <w:rFonts w:ascii="Verdana" w:eastAsia="Century Gothic" w:hAnsi="Verdana" w:cs="Century Gothic"/>
          <w:b/>
          <w:bCs/>
          <w:color w:val="000000" w:themeColor="text1"/>
        </w:rPr>
      </w:pPr>
    </w:p>
    <w:p w14:paraId="31F435E3" w14:textId="77777777" w:rsidR="00512B6B" w:rsidRPr="00115E3D" w:rsidRDefault="00512B6B" w:rsidP="00512B6B">
      <w:pPr>
        <w:spacing w:after="120" w:line="276" w:lineRule="auto"/>
        <w:ind w:firstLine="709"/>
        <w:jc w:val="both"/>
        <w:rPr>
          <w:rFonts w:ascii="Verdana" w:eastAsia="Calibri" w:hAnsi="Verdana" w:cs="Arial"/>
          <w:color w:val="000000" w:themeColor="text1"/>
          <w:szCs w:val="24"/>
          <w:lang w:val="es-ES_tradnl" w:eastAsia="es-ES_tradnl"/>
        </w:rPr>
      </w:pPr>
      <w:r w:rsidRPr="00115E3D">
        <w:rPr>
          <w:rFonts w:ascii="Verdana" w:eastAsia="Calibri" w:hAnsi="Verdana" w:cs="Arial"/>
          <w:color w:val="000000" w:themeColor="text1"/>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115E3D">
        <w:rPr>
          <w:rFonts w:ascii="Verdana" w:eastAsia="Calibri" w:hAnsi="Verdana" w:cs="Arial"/>
          <w:color w:val="000000" w:themeColor="text1"/>
          <w:szCs w:val="24"/>
          <w:lang w:val="es-ES_tradnl" w:eastAsia="es-ES_tradnl"/>
        </w:rPr>
        <w:tab/>
      </w:r>
    </w:p>
    <w:p w14:paraId="00C421DB" w14:textId="77777777" w:rsidR="00512B6B" w:rsidRPr="00115E3D" w:rsidRDefault="00512B6B" w:rsidP="00512B6B">
      <w:pPr>
        <w:spacing w:after="0" w:line="276" w:lineRule="auto"/>
        <w:ind w:firstLine="709"/>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(los) problema(s) jurídico(s) de su consulta. </w:t>
      </w:r>
    </w:p>
    <w:p w14:paraId="7F53809B" w14:textId="77777777" w:rsidR="00512B6B" w:rsidRPr="00115E3D" w:rsidRDefault="00512B6B" w:rsidP="00512B6B">
      <w:pPr>
        <w:spacing w:after="0" w:line="276" w:lineRule="auto"/>
        <w:ind w:firstLine="709"/>
        <w:jc w:val="both"/>
        <w:rPr>
          <w:rFonts w:ascii="Verdana" w:eastAsia="Calibri" w:hAnsi="Verdana" w:cs="Arial"/>
          <w:color w:val="000000" w:themeColor="text1"/>
          <w:lang w:val="es-ES" w:eastAsia="es-ES"/>
        </w:rPr>
      </w:pPr>
    </w:p>
    <w:p w14:paraId="4179C766" w14:textId="77777777" w:rsidR="00512B6B" w:rsidRPr="00115E3D" w:rsidRDefault="00512B6B" w:rsidP="00512B6B">
      <w:pPr>
        <w:pStyle w:val="Prrafodelista"/>
        <w:numPr>
          <w:ilvl w:val="0"/>
          <w:numId w:val="1"/>
        </w:numPr>
        <w:tabs>
          <w:tab w:val="left" w:pos="142"/>
          <w:tab w:val="left" w:pos="284"/>
        </w:tabs>
        <w:spacing w:after="0" w:line="276" w:lineRule="auto"/>
        <w:ind w:left="0" w:firstLine="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Problema planteado:</w:t>
      </w:r>
    </w:p>
    <w:p w14:paraId="77E37AA1" w14:textId="77777777" w:rsidR="00512B6B" w:rsidRPr="00115E3D" w:rsidRDefault="00512B6B" w:rsidP="00512B6B">
      <w:pPr>
        <w:tabs>
          <w:tab w:val="left" w:pos="426"/>
        </w:tabs>
        <w:spacing w:after="0" w:line="276" w:lineRule="auto"/>
        <w:jc w:val="both"/>
        <w:rPr>
          <w:rFonts w:ascii="Verdana" w:eastAsia="Century Gothic" w:hAnsi="Verdana" w:cs="Century Gothic"/>
          <w:color w:val="000000" w:themeColor="text1"/>
          <w:lang w:val="es-ES"/>
        </w:rPr>
      </w:pPr>
    </w:p>
    <w:p w14:paraId="6CE465E0" w14:textId="77777777" w:rsidR="00512B6B" w:rsidRDefault="00512B6B" w:rsidP="00512B6B">
      <w:pPr>
        <w:spacing w:after="0" w:line="276" w:lineRule="auto"/>
        <w:jc w:val="both"/>
        <w:rPr>
          <w:rFonts w:ascii="Verdana" w:eastAsia="Century Gothic" w:hAnsi="Verdana" w:cs="Century Gothic"/>
          <w:color w:val="000000" w:themeColor="text1"/>
        </w:rPr>
      </w:pPr>
      <w:r w:rsidRPr="00115E3D">
        <w:rPr>
          <w:rFonts w:ascii="Verdana" w:eastAsia="Century Gothic" w:hAnsi="Verdana" w:cs="Century Gothic"/>
          <w:color w:val="000000" w:themeColor="text1"/>
        </w:rPr>
        <w:t xml:space="preserve">De acuerdo con el contenido de su solicitud, esta Agencia resolverá el siguiente problema jurídico: </w:t>
      </w:r>
    </w:p>
    <w:p w14:paraId="11253817" w14:textId="77777777" w:rsidR="00512B6B" w:rsidRDefault="00512B6B" w:rsidP="00512B6B">
      <w:pPr>
        <w:spacing w:after="0" w:line="276" w:lineRule="auto"/>
        <w:jc w:val="both"/>
        <w:rPr>
          <w:rFonts w:ascii="Verdana" w:eastAsia="Century Gothic" w:hAnsi="Verdana" w:cs="Century Gothic"/>
          <w:color w:val="000000" w:themeColor="text1"/>
        </w:rPr>
      </w:pPr>
    </w:p>
    <w:p w14:paraId="5BE58B9E" w14:textId="77777777" w:rsidR="00512B6B" w:rsidRPr="00115E3D" w:rsidRDefault="00512B6B" w:rsidP="00512B6B">
      <w:pPr>
        <w:spacing w:after="0" w:line="276" w:lineRule="auto"/>
        <w:jc w:val="both"/>
        <w:rPr>
          <w:rFonts w:ascii="Verdana" w:eastAsia="Century Gothic" w:hAnsi="Verdana" w:cs="Century Gothic"/>
          <w:color w:val="000000" w:themeColor="text1"/>
        </w:rPr>
      </w:pPr>
      <w:r>
        <w:rPr>
          <w:rFonts w:ascii="Verdana" w:eastAsia="Century Gothic" w:hAnsi="Verdana" w:cs="Century Gothic"/>
          <w:color w:val="000000" w:themeColor="text1"/>
        </w:rPr>
        <w:t>i)</w:t>
      </w:r>
      <w:r w:rsidRPr="0053389E">
        <w:t xml:space="preserve"> </w:t>
      </w:r>
      <w:r w:rsidRPr="0053389E">
        <w:rPr>
          <w:rFonts w:ascii="Verdana" w:eastAsia="Century Gothic" w:hAnsi="Verdana" w:cs="Century Gothic"/>
          <w:color w:val="000000" w:themeColor="text1"/>
        </w:rPr>
        <w:t>¿Es posible que una entidad estatal celebre convenios con particulares para que estos asuman funciones administrativas de supervisión de contratos y convenios suscritos por la entidad, conforme a lo dispuesto en los artículos 110</w:t>
      </w:r>
      <w:r>
        <w:rPr>
          <w:rFonts w:ascii="Verdana" w:eastAsia="Century Gothic" w:hAnsi="Verdana" w:cs="Century Gothic"/>
          <w:color w:val="000000" w:themeColor="text1"/>
        </w:rPr>
        <w:t xml:space="preserve"> y siguientes</w:t>
      </w:r>
      <w:r w:rsidRPr="0053389E">
        <w:rPr>
          <w:rFonts w:ascii="Verdana" w:eastAsia="Century Gothic" w:hAnsi="Verdana" w:cs="Century Gothic"/>
          <w:color w:val="000000" w:themeColor="text1"/>
        </w:rPr>
        <w:t xml:space="preserve"> de la Ley 489 de 1998?</w:t>
      </w:r>
    </w:p>
    <w:p w14:paraId="102A0E42" w14:textId="77777777" w:rsidR="00512B6B" w:rsidRPr="00115E3D" w:rsidRDefault="00512B6B" w:rsidP="00512B6B">
      <w:pPr>
        <w:spacing w:after="0" w:line="276" w:lineRule="auto"/>
        <w:jc w:val="both"/>
        <w:rPr>
          <w:rFonts w:ascii="Verdana" w:eastAsia="Calibri" w:hAnsi="Verdana" w:cs="Arial"/>
          <w:color w:val="000000" w:themeColor="text1"/>
          <w:lang w:val="es-ES"/>
        </w:rPr>
      </w:pPr>
    </w:p>
    <w:p w14:paraId="3871B5FF" w14:textId="77777777" w:rsidR="00512B6B" w:rsidRPr="00115E3D" w:rsidRDefault="00512B6B" w:rsidP="00512B6B">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Respuesta:</w:t>
      </w:r>
    </w:p>
    <w:p w14:paraId="7D5FBE11" w14:textId="77777777" w:rsidR="00512B6B" w:rsidRPr="00115E3D" w:rsidRDefault="00512B6B" w:rsidP="00512B6B">
      <w:pPr>
        <w:tabs>
          <w:tab w:val="left" w:pos="142"/>
          <w:tab w:val="left" w:pos="284"/>
        </w:tabs>
        <w:spacing w:after="0" w:line="276" w:lineRule="auto"/>
        <w:jc w:val="both"/>
        <w:rPr>
          <w:rFonts w:ascii="Verdana" w:eastAsia="Century Gothic" w:hAnsi="Verdana" w:cs="Century Gothic"/>
          <w:b/>
          <w:bCs/>
          <w:color w:val="000000" w:themeColor="text1"/>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512B6B" w:rsidRPr="00115E3D" w14:paraId="2E0F5E57" w14:textId="77777777" w:rsidTr="00EF5085">
        <w:tc>
          <w:tcPr>
            <w:tcW w:w="8828" w:type="dxa"/>
            <w:shd w:val="clear" w:color="auto" w:fill="auto"/>
          </w:tcPr>
          <w:p w14:paraId="5D0B887C" w14:textId="77777777" w:rsidR="00512B6B" w:rsidRPr="005E6F2A" w:rsidRDefault="00512B6B" w:rsidP="00EF5085">
            <w:pPr>
              <w:spacing w:line="276" w:lineRule="auto"/>
              <w:jc w:val="both"/>
              <w:rPr>
                <w:rFonts w:ascii="Verdana" w:eastAsia="Calibri" w:hAnsi="Verdana" w:cs="Arial"/>
                <w:color w:val="000000"/>
              </w:rPr>
            </w:pPr>
            <w:r w:rsidRPr="00867EA3">
              <w:rPr>
                <w:rFonts w:ascii="Verdana" w:eastAsia="Times New Roman" w:hAnsi="Verdana" w:cs="Arial"/>
                <w:color w:val="000000"/>
              </w:rPr>
              <w:t xml:space="preserve">Aunque el artículo 110 de la Ley 489 de 1998 establece que las entidades públicas pueden celebrar convenios con particulares para </w:t>
            </w:r>
            <w:r>
              <w:rPr>
                <w:rFonts w:ascii="Verdana" w:eastAsia="Times New Roman" w:hAnsi="Verdana" w:cs="Arial"/>
                <w:color w:val="000000"/>
              </w:rPr>
              <w:t xml:space="preserve">entregarles </w:t>
            </w:r>
            <w:r w:rsidRPr="00867EA3">
              <w:rPr>
                <w:rFonts w:ascii="Verdana" w:eastAsia="Times New Roman" w:hAnsi="Verdana" w:cs="Arial"/>
                <w:color w:val="000000"/>
              </w:rPr>
              <w:t xml:space="preserve">funciones administrativas, esto no se aplica a la supervisión de contratos </w:t>
            </w:r>
            <w:r w:rsidRPr="00867EA3">
              <w:rPr>
                <w:rFonts w:ascii="Verdana" w:eastAsia="Times New Roman" w:hAnsi="Verdana" w:cs="Arial"/>
                <w:color w:val="000000"/>
              </w:rPr>
              <w:lastRenderedPageBreak/>
              <w:t>estatales, ya que la Ley 1474 de 2011 establece normas específicas para esta actividad. En su artículo 83</w:t>
            </w:r>
            <w:r>
              <w:rPr>
                <w:rFonts w:ascii="Verdana" w:eastAsia="Times New Roman" w:hAnsi="Verdana" w:cs="Arial"/>
                <w:color w:val="000000"/>
              </w:rPr>
              <w:t xml:space="preserve">, </w:t>
            </w:r>
            <w:r w:rsidRPr="00867EA3">
              <w:rPr>
                <w:rFonts w:ascii="Verdana" w:eastAsia="Times New Roman" w:hAnsi="Verdana" w:cs="Arial"/>
                <w:color w:val="000000"/>
              </w:rPr>
              <w:t>dispone que la supervisión de los contratos debe ser ejercida por la misma entidad estatal, a través de un supervisor designado internamente, aunque en ciertos casos,</w:t>
            </w:r>
            <w:r w:rsidRPr="001827D1">
              <w:rPr>
                <w:rFonts w:ascii="Verdana" w:eastAsia="Calibri" w:hAnsi="Verdana" w:cs="Arial"/>
                <w:color w:val="000000"/>
              </w:rPr>
              <w:t xml:space="preserve"> </w:t>
            </w:r>
            <w:r>
              <w:rPr>
                <w:rFonts w:ascii="Verdana" w:eastAsia="Calibri" w:hAnsi="Verdana" w:cs="Arial"/>
                <w:color w:val="000000"/>
              </w:rPr>
              <w:t>s</w:t>
            </w:r>
            <w:r w:rsidRPr="001827D1">
              <w:rPr>
                <w:rFonts w:ascii="Verdana" w:eastAsia="Calibri" w:hAnsi="Verdana" w:cs="Arial"/>
                <w:color w:val="000000"/>
              </w:rPr>
              <w:t xml:space="preserve">i bien las entidades pueden contratar servicios de apoyo </w:t>
            </w:r>
            <w:r>
              <w:rPr>
                <w:rFonts w:ascii="Verdana" w:eastAsia="Calibri" w:hAnsi="Verdana" w:cs="Arial"/>
                <w:color w:val="000000"/>
              </w:rPr>
              <w:t>a la supervisión</w:t>
            </w:r>
            <w:r w:rsidRPr="001827D1">
              <w:rPr>
                <w:rFonts w:ascii="Verdana" w:eastAsia="Calibri" w:hAnsi="Verdana" w:cs="Arial"/>
                <w:color w:val="000000"/>
              </w:rPr>
              <w:t xml:space="preserve"> para facilitar el seguimiento del contrato, este apoyo no habilita a los contratistas para asumir las funciones de supervisión, que son competencia exclusiva del supervisor formalmente designado. La designación oportuna de un supervisor es fundamental para garantizar el cumplimiento de los principios de eficiencia, eficacia y responsabilidad en la contratación estatal. </w:t>
            </w:r>
          </w:p>
          <w:p w14:paraId="1E7FF60F" w14:textId="77777777" w:rsidR="00512B6B" w:rsidRPr="00671AB3" w:rsidRDefault="00512B6B" w:rsidP="00EF5085">
            <w:pPr>
              <w:spacing w:before="120" w:line="276" w:lineRule="auto"/>
              <w:ind w:firstLine="709"/>
              <w:jc w:val="both"/>
              <w:rPr>
                <w:rFonts w:ascii="Verdana" w:eastAsia="Times New Roman" w:hAnsi="Verdana" w:cs="Arial"/>
                <w:color w:val="000000"/>
              </w:rPr>
            </w:pPr>
            <w:r>
              <w:rPr>
                <w:rFonts w:ascii="Verdana" w:eastAsia="Calibri" w:hAnsi="Verdana" w:cs="Arial"/>
                <w:color w:val="000000"/>
              </w:rPr>
              <w:t xml:space="preserve">Por otra parte, la entidad, cuando requiere conocimientos especializados, también tiene la opción de contratar un </w:t>
            </w:r>
            <w:r w:rsidRPr="001827D1">
              <w:rPr>
                <w:rFonts w:ascii="Verdana" w:eastAsia="Calibri" w:hAnsi="Verdana" w:cs="Arial"/>
                <w:color w:val="000000"/>
              </w:rPr>
              <w:t>interventor, su papel es netamente técnico y operativo, limitado a revisar aspectos técnicos específicos en contratos complejos o especializados. Sin embargo, el interventor no puede reemplazar al supervisor, ya que son figuras diferentes y de acuerdo con la guía</w:t>
            </w:r>
            <w:r>
              <w:rPr>
                <w:rFonts w:ascii="Verdana" w:eastAsia="Calibri" w:hAnsi="Verdana" w:cs="Arial"/>
                <w:color w:val="000000"/>
              </w:rPr>
              <w:t xml:space="preserve"> de Colombia Compra Eficiente</w:t>
            </w:r>
            <w:r w:rsidRPr="001827D1">
              <w:rPr>
                <w:rFonts w:ascii="Verdana" w:eastAsia="Calibri" w:hAnsi="Verdana" w:cs="Arial"/>
                <w:color w:val="000000"/>
              </w:rPr>
              <w:t xml:space="preserve"> “la diferencia es que la interventoría es un seguimiento especializado y la supervisión no tiene el nivel de especialización propio de la interventoría”. Pero es posible que estas figuras concurran caso en el cual la entidad debe fijar con claridad el alcance y las responsabilidades del supervisor y del interventor para evitar dificultades.</w:t>
            </w:r>
            <w:r>
              <w:rPr>
                <w:rFonts w:ascii="Verdana" w:eastAsia="Calibri" w:hAnsi="Verdana" w:cs="Arial"/>
                <w:color w:val="000000"/>
              </w:rPr>
              <w:t xml:space="preserve"> </w:t>
            </w:r>
            <w:r>
              <w:rPr>
                <w:rFonts w:ascii="Verdana" w:eastAsia="Times New Roman" w:hAnsi="Verdana" w:cs="Arial"/>
                <w:color w:val="000000"/>
              </w:rPr>
              <w:t xml:space="preserve"> </w:t>
            </w:r>
          </w:p>
        </w:tc>
      </w:tr>
    </w:tbl>
    <w:p w14:paraId="1EA2EE9F" w14:textId="77777777" w:rsidR="00512B6B" w:rsidRPr="00115E3D" w:rsidRDefault="00512B6B" w:rsidP="00512B6B">
      <w:pPr>
        <w:tabs>
          <w:tab w:val="left" w:pos="142"/>
          <w:tab w:val="left" w:pos="284"/>
        </w:tabs>
        <w:spacing w:after="0" w:line="276" w:lineRule="auto"/>
        <w:jc w:val="both"/>
        <w:rPr>
          <w:rFonts w:ascii="Verdana" w:eastAsia="Century Gothic" w:hAnsi="Verdana" w:cs="Century Gothic"/>
          <w:b/>
          <w:bCs/>
          <w:color w:val="000000" w:themeColor="text1"/>
          <w:lang w:val="es-ES"/>
        </w:rPr>
      </w:pPr>
    </w:p>
    <w:p w14:paraId="6BA91A62" w14:textId="77777777" w:rsidR="00512B6B" w:rsidRPr="00115E3D" w:rsidRDefault="00512B6B" w:rsidP="00512B6B">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Razones de la respuesta:</w:t>
      </w:r>
    </w:p>
    <w:p w14:paraId="51660C86" w14:textId="77777777" w:rsidR="00512B6B" w:rsidRPr="00115E3D" w:rsidRDefault="00512B6B" w:rsidP="00512B6B">
      <w:pPr>
        <w:spacing w:after="0" w:line="276" w:lineRule="auto"/>
        <w:jc w:val="both"/>
        <w:rPr>
          <w:rFonts w:ascii="Verdana" w:eastAsia="Calibri" w:hAnsi="Verdana" w:cs="Arial"/>
          <w:color w:val="000000" w:themeColor="text1"/>
          <w:lang w:val="es-ES"/>
        </w:rPr>
      </w:pPr>
    </w:p>
    <w:p w14:paraId="52FB524F" w14:textId="77777777" w:rsidR="00512B6B" w:rsidRPr="00115E3D" w:rsidRDefault="00512B6B" w:rsidP="00512B6B">
      <w:pPr>
        <w:spacing w:after="0" w:line="276" w:lineRule="auto"/>
        <w:jc w:val="both"/>
        <w:rPr>
          <w:rFonts w:ascii="Verdana" w:eastAsia="Calibri" w:hAnsi="Verdana" w:cs="Arial"/>
          <w:color w:val="000000" w:themeColor="text1"/>
          <w:lang w:val="es-ES"/>
        </w:rPr>
      </w:pPr>
      <w:r w:rsidRPr="00115E3D">
        <w:rPr>
          <w:rFonts w:ascii="Verdana" w:eastAsia="Calibri" w:hAnsi="Verdana" w:cs="Arial"/>
          <w:color w:val="000000" w:themeColor="text1"/>
          <w:lang w:val="es-ES"/>
        </w:rPr>
        <w:t xml:space="preserve">Lo anterior se sustenta en las siguientes consideraciones: </w:t>
      </w:r>
    </w:p>
    <w:p w14:paraId="0E91948B" w14:textId="77777777" w:rsidR="00512B6B" w:rsidRPr="00115E3D" w:rsidRDefault="00512B6B" w:rsidP="00512B6B">
      <w:pPr>
        <w:spacing w:after="0" w:line="276" w:lineRule="auto"/>
        <w:jc w:val="both"/>
        <w:rPr>
          <w:rFonts w:ascii="Verdana" w:eastAsia="Calibri" w:hAnsi="Verdana" w:cs="Arial"/>
          <w:color w:val="000000" w:themeColor="text1"/>
          <w:lang w:val="es-ES"/>
        </w:rPr>
      </w:pPr>
    </w:p>
    <w:p w14:paraId="01FC44EF" w14:textId="77777777" w:rsidR="00512B6B" w:rsidRPr="005A1E4E" w:rsidRDefault="00512B6B" w:rsidP="00512B6B">
      <w:pPr>
        <w:numPr>
          <w:ilvl w:val="0"/>
          <w:numId w:val="3"/>
        </w:numPr>
        <w:spacing w:line="276" w:lineRule="auto"/>
        <w:contextualSpacing/>
        <w:jc w:val="both"/>
        <w:rPr>
          <w:rFonts w:ascii="Verdana" w:eastAsia="Times New Roman" w:hAnsi="Verdana" w:cs="Arial"/>
          <w:lang w:val="es-ES_tradnl" w:eastAsia="es-MX"/>
        </w:rPr>
      </w:pPr>
      <w:bookmarkStart w:id="1" w:name="_Hlk173311098"/>
      <w:bookmarkStart w:id="2" w:name="_Hlk182495957"/>
      <w:r w:rsidRPr="005A1E4E">
        <w:rPr>
          <w:rFonts w:ascii="Verdana" w:eastAsia="Times New Roman" w:hAnsi="Verdana" w:cs="Arial"/>
          <w:shd w:val="clear" w:color="auto" w:fill="FFFFFF"/>
          <w:lang w:val="es-ES"/>
        </w:rPr>
        <w:t>La Ley 80 de 1993 establece en sus artículos 4, 5, 12, 14 y 26, entre otros aspectos, la obligación de las Entidades Estatales de velar por el correcto y oportuno cumplimiento de las prestaciones del contrato, las especificaciones de los bienes, obras y servicios de este, las condiciones de calidad ofrecidas, etc. Esta obligación se predica, en principio, del jefe o representante legal de la entidad, por tener la responsabilidad de la dirección y manejo de la actividad contractual, pero también de los servidores públicos que intervienen en ella. En ese sentido, las Entidades Estatales deben ejercer el control de la ejecución del contrato y, de ser el caso, tomar medidas para exigir su adecuado cumplimiento.</w:t>
      </w:r>
    </w:p>
    <w:p w14:paraId="45ED2D49" w14:textId="77777777" w:rsidR="00512B6B" w:rsidRPr="005A1E4E" w:rsidRDefault="00512B6B" w:rsidP="00512B6B">
      <w:pPr>
        <w:spacing w:line="276" w:lineRule="auto"/>
        <w:ind w:left="720"/>
        <w:contextualSpacing/>
        <w:jc w:val="both"/>
        <w:rPr>
          <w:rFonts w:ascii="Verdana" w:eastAsia="Times New Roman" w:hAnsi="Verdana" w:cs="Arial"/>
          <w:lang w:val="es-ES_tradnl" w:eastAsia="es-MX"/>
        </w:rPr>
      </w:pPr>
    </w:p>
    <w:p w14:paraId="36EF26A9" w14:textId="77777777" w:rsidR="00512B6B" w:rsidRPr="005A1E4E" w:rsidRDefault="00512B6B" w:rsidP="00512B6B">
      <w:pPr>
        <w:numPr>
          <w:ilvl w:val="0"/>
          <w:numId w:val="3"/>
        </w:numPr>
        <w:spacing w:line="276" w:lineRule="auto"/>
        <w:contextualSpacing/>
        <w:jc w:val="both"/>
        <w:textAlignment w:val="baseline"/>
        <w:rPr>
          <w:rFonts w:ascii="Verdana" w:eastAsia="Times New Roman" w:hAnsi="Verdana" w:cs="Arial"/>
          <w:lang w:val="es-ES_tradnl" w:eastAsia="es-MX"/>
        </w:rPr>
      </w:pPr>
      <w:r w:rsidRPr="005A1E4E">
        <w:rPr>
          <w:rFonts w:ascii="Verdana" w:eastAsia="Times New Roman" w:hAnsi="Verdana" w:cs="Arial"/>
          <w:lang w:val="es-ES_tradnl" w:eastAsia="es-MX"/>
        </w:rPr>
        <w:t xml:space="preserve">Las Leyes 1150 de 2007 y 1474 de 2011, complementan el régimen jurídico de la obligación de vigilar la correcta ejecución de los contratos estatales. En dichas normas se impone el debido proceso como principio </w:t>
      </w:r>
      <w:r w:rsidRPr="005A1E4E">
        <w:rPr>
          <w:rFonts w:ascii="Verdana" w:eastAsia="Times New Roman" w:hAnsi="Verdana" w:cs="Arial"/>
          <w:lang w:val="es-ES_tradnl" w:eastAsia="es-MX"/>
        </w:rPr>
        <w:lastRenderedPageBreak/>
        <w:t>rector en materia sancionatoria contractual, entre otros, para la imposición de multas y la decisión de hacer efectiva la cláusula penal, principio que se debe respetar en el ejercicio del control y vigilancia de la ejecución contractual</w:t>
      </w:r>
      <w:r w:rsidRPr="005A1E4E">
        <w:rPr>
          <w:rFonts w:ascii="Verdana" w:eastAsia="Times New Roman" w:hAnsi="Verdana" w:cs="Arial"/>
          <w:vertAlign w:val="superscript"/>
          <w:lang w:val="es-ES_tradnl" w:eastAsia="es-MX"/>
        </w:rPr>
        <w:footnoteReference w:id="2"/>
      </w:r>
      <w:r w:rsidRPr="005A1E4E">
        <w:rPr>
          <w:rFonts w:ascii="Verdana" w:eastAsia="Times New Roman" w:hAnsi="Verdana" w:cs="Arial"/>
          <w:lang w:val="es-ES_tradnl" w:eastAsia="es-MX"/>
        </w:rPr>
        <w:t>. También se establecen los límites de la responsabilidad del representante legal ante la delegación de sus funciones en materia contractual</w:t>
      </w:r>
      <w:r w:rsidRPr="005A1E4E">
        <w:rPr>
          <w:rFonts w:ascii="Verdana" w:eastAsia="Times New Roman" w:hAnsi="Verdana" w:cs="Arial"/>
          <w:vertAlign w:val="superscript"/>
          <w:lang w:val="es-ES_tradnl" w:eastAsia="es-MX"/>
        </w:rPr>
        <w:footnoteReference w:id="3"/>
      </w:r>
      <w:r w:rsidRPr="005A1E4E">
        <w:rPr>
          <w:rFonts w:ascii="Verdana" w:eastAsia="Times New Roman" w:hAnsi="Verdana" w:cs="Arial"/>
          <w:lang w:val="es-ES_tradnl" w:eastAsia="es-MX"/>
        </w:rPr>
        <w:t xml:space="preserve"> y se regula la supervisión y la interventoría de los contratos estatales</w:t>
      </w:r>
      <w:r w:rsidRPr="005A1E4E">
        <w:rPr>
          <w:rFonts w:ascii="Verdana" w:eastAsia="Times New Roman" w:hAnsi="Verdana" w:cs="Arial"/>
          <w:vertAlign w:val="superscript"/>
          <w:lang w:val="es-ES_tradnl" w:eastAsia="es-MX"/>
        </w:rPr>
        <w:footnoteReference w:id="4"/>
      </w:r>
      <w:r w:rsidRPr="005A1E4E">
        <w:rPr>
          <w:rFonts w:ascii="Verdana" w:eastAsia="Times New Roman" w:hAnsi="Verdana" w:cs="Arial"/>
          <w:lang w:val="es-ES_tradnl" w:eastAsia="es-MX"/>
        </w:rPr>
        <w:t>.</w:t>
      </w:r>
    </w:p>
    <w:p w14:paraId="0FAAE369" w14:textId="77777777" w:rsidR="00512B6B" w:rsidRPr="005A1E4E" w:rsidRDefault="00512B6B" w:rsidP="00512B6B">
      <w:pPr>
        <w:ind w:left="720"/>
        <w:contextualSpacing/>
        <w:rPr>
          <w:rFonts w:ascii="Verdana" w:eastAsia="Times New Roman" w:hAnsi="Verdana" w:cs="Arial"/>
          <w:lang w:val="es-ES_tradnl" w:eastAsia="es-MX"/>
        </w:rPr>
      </w:pPr>
    </w:p>
    <w:p w14:paraId="29E2E799" w14:textId="77777777" w:rsidR="00512B6B" w:rsidRPr="005A1E4E" w:rsidRDefault="00512B6B" w:rsidP="00512B6B">
      <w:pPr>
        <w:numPr>
          <w:ilvl w:val="0"/>
          <w:numId w:val="3"/>
        </w:numPr>
        <w:spacing w:before="120" w:after="120" w:line="276" w:lineRule="auto"/>
        <w:contextualSpacing/>
        <w:jc w:val="both"/>
        <w:textAlignment w:val="baseline"/>
        <w:rPr>
          <w:rFonts w:ascii="Verdana" w:eastAsia="Times New Roman" w:hAnsi="Verdana" w:cs="Arial"/>
          <w:lang w:val="es-ES_tradnl" w:eastAsia="es-MX"/>
        </w:rPr>
      </w:pPr>
      <w:r w:rsidRPr="005A1E4E">
        <w:rPr>
          <w:rFonts w:ascii="Verdana" w:eastAsia="Times New Roman" w:hAnsi="Verdana" w:cs="Arial"/>
          <w:lang w:val="es-ES_tradnl" w:eastAsia="es-MX"/>
        </w:rPr>
        <w:t xml:space="preserve">En consecuencia, se tiene que, la jurisprudencia contencioso-administrativa, por su parte, ha considerado que la obligación de vigilar la correcta ejecución del objeto contractual es una función de la entidad contratante, en los siguientes términos: </w:t>
      </w:r>
    </w:p>
    <w:p w14:paraId="00DB91C2" w14:textId="77777777" w:rsidR="00512B6B" w:rsidRPr="005A1E4E" w:rsidRDefault="00512B6B" w:rsidP="00512B6B">
      <w:pPr>
        <w:spacing w:after="0"/>
        <w:ind w:left="709"/>
        <w:contextualSpacing/>
        <w:jc w:val="both"/>
        <w:rPr>
          <w:rFonts w:ascii="Verdana" w:eastAsia="Times New Roman" w:hAnsi="Verdana" w:cs="Arial"/>
          <w:lang w:val="es-ES_tradnl" w:eastAsia="es-MX"/>
        </w:rPr>
      </w:pPr>
    </w:p>
    <w:p w14:paraId="0273634C" w14:textId="77777777" w:rsidR="00512B6B" w:rsidRPr="005A1E4E" w:rsidRDefault="00512B6B" w:rsidP="00512B6B">
      <w:pPr>
        <w:spacing w:after="0" w:line="240" w:lineRule="auto"/>
        <w:ind w:left="1416" w:right="709"/>
        <w:contextualSpacing/>
        <w:jc w:val="both"/>
        <w:rPr>
          <w:rFonts w:ascii="Verdana" w:eastAsia="Times New Roman" w:hAnsi="Verdana" w:cs="Arial"/>
          <w:sz w:val="20"/>
          <w:szCs w:val="20"/>
          <w:lang w:val="es-ES_tradnl" w:eastAsia="es-MX"/>
        </w:rPr>
      </w:pPr>
      <w:bookmarkStart w:id="3" w:name="_Hlk178671999"/>
      <w:r w:rsidRPr="005A1E4E">
        <w:rPr>
          <w:rFonts w:ascii="Verdana" w:eastAsia="Times New Roman" w:hAnsi="Verdana" w:cs="Arial"/>
          <w:sz w:val="20"/>
          <w:szCs w:val="20"/>
          <w:lang w:val="es-ES_tradnl" w:eastAsia="es-MX"/>
        </w:rPr>
        <w:t>“La función de vigilancia y control del contrato estatal supone el cuidado y la supervisión, de forma tal que en ejercicio de esa función</w:t>
      </w:r>
      <w:bookmarkEnd w:id="3"/>
      <w:r w:rsidRPr="005A1E4E">
        <w:rPr>
          <w:rFonts w:ascii="Verdana" w:eastAsia="Times New Roman" w:hAnsi="Verdana" w:cs="Arial"/>
          <w:sz w:val="20"/>
          <w:szCs w:val="20"/>
          <w:lang w:val="es-ES_tradnl" w:eastAsia="es-MX"/>
        </w:rPr>
        <w:t>, quien administra la adecuada y oportuna ejecución del contrato no sólo debe velar por que las partes den cumplimiento a las obligaciones contractuales, sino que el contrato se ejecute en el tiempo y la forma convenidos, para esta forma garantizar la satisfacción de las necesidades que la administración buscaba alcanzar con la celebración del respectivo contrato”</w:t>
      </w:r>
      <w:r w:rsidRPr="005A1E4E">
        <w:rPr>
          <w:rFonts w:ascii="Verdana" w:eastAsia="Times New Roman" w:hAnsi="Verdana" w:cs="Arial"/>
          <w:sz w:val="20"/>
          <w:szCs w:val="20"/>
          <w:vertAlign w:val="superscript"/>
          <w:lang w:val="es-ES_tradnl" w:eastAsia="es-MX"/>
        </w:rPr>
        <w:footnoteReference w:id="5"/>
      </w:r>
      <w:r w:rsidRPr="005A1E4E">
        <w:rPr>
          <w:rFonts w:ascii="Verdana" w:eastAsia="Times New Roman" w:hAnsi="Verdana" w:cs="Arial"/>
          <w:sz w:val="20"/>
          <w:szCs w:val="20"/>
          <w:lang w:val="es-ES_tradnl" w:eastAsia="es-MX"/>
        </w:rPr>
        <w:t>.</w:t>
      </w:r>
    </w:p>
    <w:p w14:paraId="1FB50758" w14:textId="77777777" w:rsidR="00512B6B" w:rsidRPr="005A1E4E" w:rsidRDefault="00512B6B" w:rsidP="00512B6B">
      <w:pPr>
        <w:ind w:left="720"/>
        <w:contextualSpacing/>
        <w:rPr>
          <w:rFonts w:ascii="Verdana" w:eastAsia="Times New Roman" w:hAnsi="Verdana" w:cs="Arial"/>
          <w:lang w:val="es-ES_tradnl" w:eastAsia="es-MX"/>
        </w:rPr>
      </w:pPr>
    </w:p>
    <w:p w14:paraId="7EE78ACD" w14:textId="77777777" w:rsidR="00512B6B" w:rsidRPr="005A1E4E" w:rsidRDefault="00512B6B" w:rsidP="00512B6B">
      <w:pPr>
        <w:numPr>
          <w:ilvl w:val="0"/>
          <w:numId w:val="3"/>
        </w:numPr>
        <w:spacing w:after="0" w:line="276" w:lineRule="auto"/>
        <w:contextualSpacing/>
        <w:jc w:val="both"/>
        <w:textAlignment w:val="baseline"/>
        <w:rPr>
          <w:rFonts w:ascii="Verdana" w:eastAsia="Times New Roman" w:hAnsi="Verdana" w:cs="Arial"/>
          <w:lang w:val="es-ES" w:eastAsia="es-MX"/>
        </w:rPr>
      </w:pPr>
      <w:r w:rsidRPr="005A1E4E">
        <w:rPr>
          <w:rFonts w:ascii="Verdana" w:eastAsia="Times New Roman" w:hAnsi="Verdana" w:cs="Arial"/>
          <w:lang w:val="es-ES" w:eastAsia="es-MX"/>
        </w:rPr>
        <w:t xml:space="preserve">De esta forma, la Ley 1474 de 2011 enmarcó el seguimiento, control y vigilancia de la ejecución del contrato estatal dentro del principio de moralidad administrativa. El artículo 83 de la referida ley, establece que “con el fin de proteger la moralidad administrativa, de prevenir la ocurrencia de actos de corrupción y tutelar la transparencia de la actividad contractual, las entidades públicas están obligadas a vigilar permanentemente la correcta ejecución del objeto contratado a través de un supervisor o un interventor, según corresponda”. El legislador además definió las nociones de supervisión e interventoría, como mecanismos que pueden usar las Entidades Estatales para vigilar el contrato, en estos términos: </w:t>
      </w:r>
    </w:p>
    <w:p w14:paraId="13C4C523" w14:textId="77777777" w:rsidR="00512B6B" w:rsidRPr="005A1E4E" w:rsidRDefault="00512B6B" w:rsidP="00512B6B">
      <w:pPr>
        <w:spacing w:after="0" w:line="276" w:lineRule="auto"/>
        <w:ind w:left="720"/>
        <w:contextualSpacing/>
        <w:jc w:val="both"/>
        <w:textAlignment w:val="baseline"/>
        <w:rPr>
          <w:rFonts w:ascii="Verdana" w:eastAsia="Times New Roman" w:hAnsi="Verdana" w:cs="Arial"/>
          <w:lang w:val="es-ES_tradnl" w:eastAsia="es-MX"/>
        </w:rPr>
      </w:pPr>
    </w:p>
    <w:p w14:paraId="7ECB85BC" w14:textId="77777777" w:rsidR="00512B6B" w:rsidRPr="005A1E4E" w:rsidRDefault="00512B6B" w:rsidP="00512B6B">
      <w:pPr>
        <w:spacing w:after="0" w:line="240" w:lineRule="auto"/>
        <w:ind w:left="1417" w:right="709"/>
        <w:jc w:val="both"/>
        <w:textAlignment w:val="baseline"/>
        <w:rPr>
          <w:rFonts w:ascii="Verdana" w:eastAsia="Times New Roman" w:hAnsi="Verdana" w:cs="Arial"/>
          <w:sz w:val="20"/>
          <w:szCs w:val="20"/>
          <w:lang w:val="es-ES" w:eastAsia="es-MX"/>
        </w:rPr>
      </w:pPr>
      <w:r w:rsidRPr="005A1E4E">
        <w:rPr>
          <w:rFonts w:ascii="Verdana" w:eastAsia="Times New Roman" w:hAnsi="Verdana" w:cs="Arial"/>
          <w:sz w:val="20"/>
          <w:szCs w:val="20"/>
          <w:lang w:val="es-ES" w:eastAsia="es-MX"/>
        </w:rPr>
        <w:lastRenderedPageBreak/>
        <w:t xml:space="preserve">“La supervisión consistirá en el seguimiento técnico, administrativo, financiero, contable, y jurídico </w:t>
      </w:r>
      <w:proofErr w:type="gramStart"/>
      <w:r w:rsidRPr="005A1E4E">
        <w:rPr>
          <w:rFonts w:ascii="Verdana" w:eastAsia="Times New Roman" w:hAnsi="Verdana" w:cs="Arial"/>
          <w:sz w:val="20"/>
          <w:szCs w:val="20"/>
          <w:lang w:val="es-ES" w:eastAsia="es-MX"/>
        </w:rPr>
        <w:t>que</w:t>
      </w:r>
      <w:proofErr w:type="gramEnd"/>
      <w:r w:rsidRPr="005A1E4E">
        <w:rPr>
          <w:rFonts w:ascii="Verdana" w:eastAsia="Times New Roman" w:hAnsi="Verdana" w:cs="Arial"/>
          <w:sz w:val="20"/>
          <w:szCs w:val="20"/>
          <w:lang w:val="es-ES" w:eastAsia="es-MX"/>
        </w:rPr>
        <w:t xml:space="preserve"> sobre el cumplimiento del objeto del contrato, es ejercida por la misma entidad estatal cuando no requieran conocimientos especializadas. Para la supervisión, la entidad estatal podrá contratar personal de apoyo, a través de los contratos de prestación de servicio que sean requeridos.</w:t>
      </w:r>
    </w:p>
    <w:p w14:paraId="60D67C13" w14:textId="77777777" w:rsidR="00512B6B" w:rsidRPr="005A1E4E" w:rsidRDefault="00512B6B" w:rsidP="00512B6B">
      <w:pPr>
        <w:spacing w:after="0" w:line="240" w:lineRule="auto"/>
        <w:ind w:left="1418" w:right="709"/>
        <w:jc w:val="both"/>
        <w:textAlignment w:val="baseline"/>
        <w:rPr>
          <w:rFonts w:ascii="Verdana" w:eastAsia="Times New Roman" w:hAnsi="Verdana" w:cs="Arial"/>
          <w:sz w:val="20"/>
          <w:szCs w:val="20"/>
          <w:lang w:val="es-ES" w:eastAsia="es-MX"/>
        </w:rPr>
      </w:pPr>
      <w:r w:rsidRPr="005A1E4E">
        <w:rPr>
          <w:rFonts w:ascii="Verdana" w:eastAsia="Times New Roman" w:hAnsi="Verdana" w:cs="Arial"/>
          <w:sz w:val="20"/>
          <w:szCs w:val="20"/>
          <w:lang w:val="es-ES" w:eastAsia="es-MX"/>
        </w:rPr>
        <w:t xml:space="preserve">La interventoría consistirá en el seguimiento técnico que sobre el cumplimiento del contrato realice una persona natural o jurídica contratada para tal fin por la entidad estatal, cuando el seguimiento del contrato suponga conocimiento especializado en la materia, o cuando la complejidad o la extensión </w:t>
      </w:r>
      <w:proofErr w:type="gramStart"/>
      <w:r w:rsidRPr="005A1E4E">
        <w:rPr>
          <w:rFonts w:ascii="Verdana" w:eastAsia="Times New Roman" w:hAnsi="Verdana" w:cs="Arial"/>
          <w:sz w:val="20"/>
          <w:szCs w:val="20"/>
          <w:lang w:val="es-ES" w:eastAsia="es-MX"/>
        </w:rPr>
        <w:t>del mismo</w:t>
      </w:r>
      <w:proofErr w:type="gramEnd"/>
      <w:r w:rsidRPr="005A1E4E">
        <w:rPr>
          <w:rFonts w:ascii="Verdana" w:eastAsia="Times New Roman" w:hAnsi="Verdana" w:cs="Arial"/>
          <w:sz w:val="20"/>
          <w:szCs w:val="20"/>
          <w:lang w:val="es-ES" w:eastAsia="es-MX"/>
        </w:rPr>
        <w:t xml:space="preserve"> lo justifiquen. No obstante, lo anterior cuando la entidad lo encuentre justificado y acorde a la naturaleza del contrato principal, podrá contratar el seguimiento administrativo, técnico, financiero, contable, jurídico del objeto o contrato dentro de la interventoría”</w:t>
      </w:r>
      <w:r w:rsidRPr="005A1E4E">
        <w:rPr>
          <w:rFonts w:ascii="Verdana" w:eastAsia="Times New Roman" w:hAnsi="Verdana" w:cs="Arial"/>
          <w:sz w:val="20"/>
          <w:szCs w:val="20"/>
          <w:vertAlign w:val="superscript"/>
          <w:lang w:val="es-ES" w:eastAsia="es-MX"/>
        </w:rPr>
        <w:footnoteReference w:id="6"/>
      </w:r>
      <w:r w:rsidRPr="005A1E4E">
        <w:rPr>
          <w:rFonts w:ascii="Verdana" w:eastAsia="Times New Roman" w:hAnsi="Verdana" w:cs="Arial"/>
          <w:sz w:val="20"/>
          <w:szCs w:val="20"/>
          <w:lang w:val="es-ES" w:eastAsia="es-MX"/>
        </w:rPr>
        <w:t>.</w:t>
      </w:r>
    </w:p>
    <w:p w14:paraId="1F62CBA2" w14:textId="77777777" w:rsidR="00512B6B" w:rsidRPr="005A1E4E" w:rsidRDefault="00512B6B" w:rsidP="00512B6B">
      <w:pPr>
        <w:spacing w:after="0" w:line="276" w:lineRule="auto"/>
        <w:ind w:left="720"/>
        <w:contextualSpacing/>
        <w:jc w:val="both"/>
        <w:textAlignment w:val="baseline"/>
        <w:rPr>
          <w:rFonts w:ascii="Verdana" w:eastAsia="Times New Roman" w:hAnsi="Verdana" w:cs="Arial"/>
          <w:lang w:val="es-ES" w:eastAsia="es-MX"/>
        </w:rPr>
      </w:pPr>
    </w:p>
    <w:p w14:paraId="2C2ABA74" w14:textId="77777777" w:rsidR="00512B6B" w:rsidRPr="005A1E4E" w:rsidRDefault="00512B6B" w:rsidP="00512B6B">
      <w:pPr>
        <w:numPr>
          <w:ilvl w:val="0"/>
          <w:numId w:val="3"/>
        </w:numPr>
        <w:tabs>
          <w:tab w:val="left" w:pos="709"/>
        </w:tabs>
        <w:spacing w:before="120" w:after="120" w:line="276" w:lineRule="auto"/>
        <w:contextualSpacing/>
        <w:jc w:val="both"/>
        <w:rPr>
          <w:rFonts w:ascii="Verdana" w:eastAsia="Times New Roman" w:hAnsi="Verdana" w:cs="Arial"/>
          <w:shd w:val="clear" w:color="auto" w:fill="FFFFFF"/>
          <w:lang w:val="es-ES"/>
        </w:rPr>
      </w:pPr>
      <w:r w:rsidRPr="005A1E4E">
        <w:rPr>
          <w:rFonts w:ascii="Verdana" w:eastAsia="Times New Roman" w:hAnsi="Verdana" w:cs="Arial"/>
          <w:bCs/>
          <w:lang w:val="es-ES"/>
        </w:rPr>
        <w:t>Sin perjuicio de lo anterior, según lo expresado por esta Agencia en el concepto No. 4201913000008240 del 20 de diciembre de 2019, de las disposiciones contenidas en los artículos 83 y 84 de la Ley 1474 de 2011, se infieren las siguientes características de la supervisión: i) la labor de supervisión siempre existirá en relación con cualquier contrato estatal, incluidos los contratos de prestación de servicios –a diferencia de la interventoría que depende del análisis de su necesidad y extensión</w:t>
      </w:r>
      <w:r w:rsidRPr="005A1E4E">
        <w:rPr>
          <w:rFonts w:ascii="Verdana" w:eastAsia="Times New Roman" w:hAnsi="Verdana" w:cs="Arial"/>
          <w:bCs/>
          <w:vertAlign w:val="superscript"/>
          <w:lang w:val="es-ES"/>
        </w:rPr>
        <w:footnoteReference w:id="7"/>
      </w:r>
      <w:r w:rsidRPr="005A1E4E">
        <w:rPr>
          <w:rFonts w:ascii="Verdana" w:eastAsia="Times New Roman" w:hAnsi="Verdana" w:cs="Arial"/>
          <w:bCs/>
          <w:lang w:val="es-ES"/>
        </w:rPr>
        <w:t xml:space="preserve">–; </w:t>
      </w:r>
      <w:proofErr w:type="spellStart"/>
      <w:r w:rsidRPr="005A1E4E">
        <w:rPr>
          <w:rFonts w:ascii="Verdana" w:eastAsia="Times New Roman" w:hAnsi="Verdana" w:cs="Arial"/>
          <w:bCs/>
          <w:lang w:val="es-ES"/>
        </w:rPr>
        <w:t>ii</w:t>
      </w:r>
      <w:proofErr w:type="spellEnd"/>
      <w:r w:rsidRPr="005A1E4E">
        <w:rPr>
          <w:rFonts w:ascii="Verdana" w:eastAsia="Times New Roman" w:hAnsi="Verdana" w:cs="Arial"/>
          <w:bCs/>
          <w:lang w:val="es-ES"/>
        </w:rPr>
        <w:t xml:space="preserve">) no requiere conocimientos tan especializados como la interventoría; </w:t>
      </w:r>
      <w:proofErr w:type="spellStart"/>
      <w:r w:rsidRPr="005A1E4E">
        <w:rPr>
          <w:rFonts w:ascii="Verdana" w:eastAsia="Times New Roman" w:hAnsi="Verdana" w:cs="Arial"/>
          <w:bCs/>
          <w:lang w:val="es-ES"/>
        </w:rPr>
        <w:t>iii</w:t>
      </w:r>
      <w:proofErr w:type="spellEnd"/>
      <w:r w:rsidRPr="005A1E4E">
        <w:rPr>
          <w:rFonts w:ascii="Verdana" w:eastAsia="Times New Roman" w:hAnsi="Verdana" w:cs="Arial"/>
          <w:bCs/>
          <w:lang w:val="es-ES"/>
        </w:rPr>
        <w:t xml:space="preserve">) se ejerce por la Entidad Estatal por conducto de la designación de servidores públicos idóneos para cumplir la función; </w:t>
      </w:r>
      <w:proofErr w:type="spellStart"/>
      <w:r w:rsidRPr="005A1E4E">
        <w:rPr>
          <w:rFonts w:ascii="Verdana" w:eastAsia="Times New Roman" w:hAnsi="Verdana" w:cs="Arial"/>
          <w:bCs/>
          <w:lang w:val="es-ES"/>
        </w:rPr>
        <w:t>iv</w:t>
      </w:r>
      <w:proofErr w:type="spellEnd"/>
      <w:r w:rsidRPr="005A1E4E">
        <w:rPr>
          <w:rFonts w:ascii="Verdana" w:eastAsia="Times New Roman" w:hAnsi="Verdana" w:cs="Arial"/>
          <w:bCs/>
          <w:lang w:val="es-ES"/>
        </w:rPr>
        <w:t>) puede recibir apoyo de personal contratado para tal fin mediante contratos de prestación de servicios; y v) le es inseparable el seguimiento técnico, administrativo, financiero, contable y jurídico del contrato vigilado.</w:t>
      </w:r>
    </w:p>
    <w:p w14:paraId="7E3FBB3E" w14:textId="77777777" w:rsidR="00512B6B" w:rsidRPr="005A1E4E" w:rsidRDefault="00512B6B" w:rsidP="00512B6B">
      <w:pPr>
        <w:tabs>
          <w:tab w:val="left" w:pos="709"/>
        </w:tabs>
        <w:spacing w:before="120" w:after="120" w:line="276" w:lineRule="auto"/>
        <w:contextualSpacing/>
        <w:jc w:val="both"/>
        <w:rPr>
          <w:rFonts w:ascii="Verdana" w:eastAsia="Times New Roman" w:hAnsi="Verdana" w:cs="Arial"/>
          <w:shd w:val="clear" w:color="auto" w:fill="FFFFFF"/>
          <w:lang w:val="es-ES"/>
        </w:rPr>
      </w:pPr>
      <w:r w:rsidRPr="005A1E4E">
        <w:rPr>
          <w:rFonts w:ascii="Verdana" w:eastAsia="Times New Roman" w:hAnsi="Verdana" w:cs="Arial"/>
          <w:bCs/>
          <w:lang w:val="es-ES"/>
        </w:rPr>
        <w:t xml:space="preserve"> </w:t>
      </w:r>
    </w:p>
    <w:p w14:paraId="6DFF482F" w14:textId="77777777" w:rsidR="00512B6B" w:rsidRPr="005A1E4E" w:rsidRDefault="00512B6B" w:rsidP="00512B6B">
      <w:pPr>
        <w:numPr>
          <w:ilvl w:val="0"/>
          <w:numId w:val="3"/>
        </w:numPr>
        <w:tabs>
          <w:tab w:val="left" w:pos="709"/>
        </w:tabs>
        <w:spacing w:before="120" w:after="120" w:line="276" w:lineRule="auto"/>
        <w:contextualSpacing/>
        <w:jc w:val="both"/>
        <w:rPr>
          <w:rFonts w:ascii="Verdana" w:eastAsia="Times New Roman" w:hAnsi="Verdana" w:cs="Arial"/>
          <w:bCs/>
          <w:lang w:val="es-ES"/>
        </w:rPr>
      </w:pPr>
      <w:r w:rsidRPr="005A1E4E">
        <w:rPr>
          <w:rFonts w:ascii="Verdana" w:eastAsia="Times New Roman" w:hAnsi="Verdana" w:cs="Arial"/>
          <w:bCs/>
          <w:lang w:val="es-ES"/>
        </w:rPr>
        <w:t xml:space="preserve">Por otro lado, es pertinente señalar que esta Agencia ha considerado que del texto del artículo 83 de la Ley 1474 es posible inferir que la ley dispuso que la supervisión debe ser ejercida por la misma Entidad Estatal en cumplimiento de su deber de vigilancia de la ejecución idónea y oportuna del objeto contratado y puede llevarse a cabo con el apoyo de contratistas, pero no prevé que dicha actividad sea realizada directamente por el contratista, y que sea este último el único responsable del seguimiento contractual. </w:t>
      </w:r>
    </w:p>
    <w:p w14:paraId="75812D48" w14:textId="77777777" w:rsidR="00512B6B" w:rsidRPr="005A1E4E" w:rsidRDefault="00512B6B" w:rsidP="00512B6B">
      <w:pPr>
        <w:tabs>
          <w:tab w:val="left" w:pos="709"/>
        </w:tabs>
        <w:spacing w:before="120" w:after="120" w:line="276" w:lineRule="auto"/>
        <w:contextualSpacing/>
        <w:jc w:val="both"/>
        <w:rPr>
          <w:rFonts w:ascii="Verdana" w:eastAsia="Times New Roman" w:hAnsi="Verdana" w:cs="Arial"/>
          <w:bCs/>
          <w:lang w:val="es-ES"/>
        </w:rPr>
      </w:pPr>
    </w:p>
    <w:p w14:paraId="77B306E2" w14:textId="77777777" w:rsidR="00512B6B" w:rsidRPr="005A1E4E" w:rsidRDefault="00512B6B" w:rsidP="00512B6B">
      <w:pPr>
        <w:numPr>
          <w:ilvl w:val="0"/>
          <w:numId w:val="3"/>
        </w:numPr>
        <w:tabs>
          <w:tab w:val="left" w:pos="709"/>
        </w:tabs>
        <w:spacing w:before="120" w:after="120" w:line="276" w:lineRule="auto"/>
        <w:contextualSpacing/>
        <w:jc w:val="both"/>
        <w:rPr>
          <w:rFonts w:ascii="Verdana" w:eastAsia="Times New Roman" w:hAnsi="Verdana" w:cs="Arial"/>
          <w:bCs/>
          <w:lang w:val="es-ES"/>
        </w:rPr>
      </w:pPr>
      <w:r w:rsidRPr="005A1E4E">
        <w:rPr>
          <w:rFonts w:ascii="Verdana" w:eastAsia="Times New Roman" w:hAnsi="Verdana" w:cs="Arial"/>
          <w:bCs/>
          <w:lang w:val="es-ES"/>
        </w:rPr>
        <w:t>Lo anterior postura se soporta del trámite del proyecto de ley que se convirtió en la Ley 1474 de 2011, inicialmente, establecía que “la supervisión de los contratos seria ejercida por un funcionario de la misma entidad estatal, o por un contratista de prestación de servicios profesionales […]”</w:t>
      </w:r>
      <w:r w:rsidRPr="005A1E4E">
        <w:rPr>
          <w:rFonts w:ascii="Verdana" w:eastAsia="Times New Roman" w:hAnsi="Verdana" w:cs="Arial"/>
          <w:vertAlign w:val="superscript"/>
          <w:lang w:val="es-ES"/>
        </w:rPr>
        <w:footnoteReference w:id="8"/>
      </w:r>
      <w:r w:rsidRPr="005A1E4E">
        <w:rPr>
          <w:rFonts w:ascii="Verdana" w:eastAsia="Times New Roman" w:hAnsi="Verdana" w:cs="Arial"/>
          <w:bCs/>
          <w:lang w:val="es-ES"/>
        </w:rPr>
        <w:t>. Sin embargo, también lo es que esa postura fue modificada para el segundo debate legislativo</w:t>
      </w:r>
      <w:r w:rsidRPr="005A1E4E">
        <w:rPr>
          <w:rFonts w:ascii="Verdana" w:eastAsia="Times New Roman" w:hAnsi="Verdana" w:cs="Arial"/>
          <w:vertAlign w:val="superscript"/>
          <w:lang w:val="es-ES"/>
        </w:rPr>
        <w:footnoteReference w:id="9"/>
      </w:r>
      <w:r w:rsidRPr="005A1E4E">
        <w:rPr>
          <w:rFonts w:ascii="Verdana" w:eastAsia="Times New Roman" w:hAnsi="Verdana" w:cs="Arial"/>
          <w:bCs/>
          <w:lang w:val="es-ES"/>
        </w:rPr>
        <w:t xml:space="preserve"> y en la ponencia registrada para tercer debate</w:t>
      </w:r>
      <w:r w:rsidRPr="005A1E4E">
        <w:rPr>
          <w:rFonts w:ascii="Verdana" w:eastAsia="Times New Roman" w:hAnsi="Verdana" w:cs="Arial"/>
          <w:vertAlign w:val="superscript"/>
          <w:lang w:val="es-ES"/>
        </w:rPr>
        <w:footnoteReference w:id="10"/>
      </w:r>
      <w:r w:rsidRPr="005A1E4E">
        <w:rPr>
          <w:rFonts w:ascii="Verdana" w:eastAsia="Times New Roman" w:hAnsi="Verdana" w:cs="Arial"/>
          <w:bCs/>
          <w:lang w:val="es-ES"/>
        </w:rPr>
        <w:t>, en donde se estableció que “la supervisión de los contratos ser[</w:t>
      </w:r>
      <w:proofErr w:type="spellStart"/>
      <w:r w:rsidRPr="005A1E4E">
        <w:rPr>
          <w:rFonts w:ascii="Verdana" w:eastAsia="Times New Roman" w:hAnsi="Verdana" w:cs="Arial"/>
          <w:bCs/>
          <w:lang w:val="es-ES"/>
        </w:rPr>
        <w:t>ía</w:t>
      </w:r>
      <w:proofErr w:type="spellEnd"/>
      <w:r w:rsidRPr="005A1E4E">
        <w:rPr>
          <w:rFonts w:ascii="Verdana" w:eastAsia="Times New Roman" w:hAnsi="Verdana" w:cs="Arial"/>
          <w:bCs/>
          <w:lang w:val="es-ES"/>
        </w:rPr>
        <w:t>] ejercida por un funcionario de la misma entidad estatal”. Incluso, la versión que finalmente se aprobó en cuarto debate</w:t>
      </w:r>
      <w:r w:rsidRPr="005A1E4E">
        <w:rPr>
          <w:rFonts w:ascii="Verdana" w:eastAsia="Times New Roman" w:hAnsi="Verdana" w:cs="Arial"/>
          <w:vertAlign w:val="superscript"/>
          <w:lang w:val="es-ES"/>
        </w:rPr>
        <w:footnoteReference w:id="11"/>
      </w:r>
      <w:r w:rsidRPr="005A1E4E">
        <w:rPr>
          <w:rFonts w:ascii="Verdana" w:eastAsia="Times New Roman" w:hAnsi="Verdana" w:cs="Arial"/>
          <w:bCs/>
          <w:lang w:val="es-ES"/>
        </w:rPr>
        <w:t>, que fue acogida por ambas cámaras legislativas</w:t>
      </w:r>
      <w:r w:rsidRPr="005A1E4E">
        <w:rPr>
          <w:rFonts w:ascii="Verdana" w:eastAsia="Times New Roman" w:hAnsi="Verdana" w:cs="Arial"/>
          <w:vertAlign w:val="superscript"/>
          <w:lang w:val="es-ES"/>
        </w:rPr>
        <w:footnoteReference w:id="12"/>
      </w:r>
      <w:r w:rsidRPr="005A1E4E">
        <w:rPr>
          <w:rFonts w:ascii="Verdana" w:eastAsia="Times New Roman" w:hAnsi="Verdana" w:cs="Arial"/>
          <w:bCs/>
          <w:lang w:val="es-ES"/>
        </w:rPr>
        <w:t xml:space="preserve"> luego del correspondiente trámite de conciliación</w:t>
      </w:r>
      <w:r w:rsidRPr="005A1E4E">
        <w:rPr>
          <w:rFonts w:ascii="Verdana" w:eastAsia="Times New Roman" w:hAnsi="Verdana" w:cs="Arial"/>
          <w:vertAlign w:val="superscript"/>
          <w:lang w:val="es-ES"/>
        </w:rPr>
        <w:footnoteReference w:id="13"/>
      </w:r>
      <w:r w:rsidRPr="005A1E4E">
        <w:rPr>
          <w:rFonts w:ascii="Verdana" w:eastAsia="Times New Roman" w:hAnsi="Verdana" w:cs="Arial"/>
          <w:bCs/>
          <w:lang w:val="es-ES"/>
        </w:rPr>
        <w:t>, era del siguiente tenor: “la supervisión consistirá en el seguimiento administrativo, técnico, financiero, contable, y jurídico que sobre el cumplimiento del objeto del contrato es ejercida por la misma entidad estatal […]”. Nótese que el legislador acogió, finalmente, la noción “entidad estatal”, sin hacer referencia a los funcionarios de la entidad o a los contratistas.</w:t>
      </w:r>
    </w:p>
    <w:p w14:paraId="2A1C0350" w14:textId="77777777" w:rsidR="00512B6B" w:rsidRPr="005A1E4E" w:rsidRDefault="00512B6B" w:rsidP="00512B6B">
      <w:pPr>
        <w:tabs>
          <w:tab w:val="left" w:pos="709"/>
        </w:tabs>
        <w:spacing w:before="120" w:after="120" w:line="276" w:lineRule="auto"/>
        <w:ind w:left="720"/>
        <w:contextualSpacing/>
        <w:jc w:val="both"/>
        <w:rPr>
          <w:rFonts w:ascii="Verdana" w:eastAsia="Times New Roman" w:hAnsi="Verdana" w:cs="Arial"/>
          <w:bCs/>
          <w:lang w:val="es-ES"/>
        </w:rPr>
      </w:pPr>
    </w:p>
    <w:p w14:paraId="0FB7ED9B" w14:textId="77777777" w:rsidR="00512B6B" w:rsidRPr="005A1E4E" w:rsidRDefault="00512B6B" w:rsidP="00512B6B">
      <w:pPr>
        <w:numPr>
          <w:ilvl w:val="0"/>
          <w:numId w:val="3"/>
        </w:numPr>
        <w:tabs>
          <w:tab w:val="left" w:pos="709"/>
        </w:tabs>
        <w:spacing w:before="120" w:after="120" w:line="276" w:lineRule="auto"/>
        <w:contextualSpacing/>
        <w:jc w:val="both"/>
        <w:rPr>
          <w:rFonts w:ascii="Verdana" w:eastAsia="Times New Roman" w:hAnsi="Verdana" w:cs="Arial"/>
          <w:bCs/>
          <w:lang w:val="es-ES"/>
        </w:rPr>
      </w:pPr>
      <w:r w:rsidRPr="005A1E4E">
        <w:rPr>
          <w:rFonts w:ascii="Verdana" w:eastAsia="Times New Roman" w:hAnsi="Verdana" w:cs="Arial"/>
          <w:bCs/>
          <w:lang w:val="es-ES"/>
        </w:rPr>
        <w:t>La expresión “entidad estatal” podría dar a entender que la supervisión puede ser ejercida por funcionarios y contratistas, como inicialmente se presentó en la iniciativa legislativa, en el entendido de que las entidades, por regla general, se apoyan en los unos y los otros para el cumplimiento de sus funciones. Sin embargo, la Sección Tercera del Consejo de Estado</w:t>
      </w:r>
      <w:r w:rsidRPr="005A1E4E">
        <w:rPr>
          <w:rFonts w:ascii="Verdana" w:eastAsia="Times New Roman" w:hAnsi="Verdana" w:cs="Arial"/>
          <w:bCs/>
          <w:lang w:val="es-ES"/>
        </w:rPr>
        <w:footnoteReference w:id="14"/>
      </w:r>
      <w:r w:rsidRPr="005A1E4E">
        <w:rPr>
          <w:rFonts w:ascii="Verdana" w:eastAsia="Times New Roman" w:hAnsi="Verdana" w:cs="Arial"/>
          <w:bCs/>
          <w:lang w:val="es-ES"/>
        </w:rPr>
        <w:t>, en providencia del 12 de diciembre de 2014, consideró que la calidad de supervisor la tienen los funcionarios de la entidad y no los contratistas. Esto, en los siguientes términos:</w:t>
      </w:r>
    </w:p>
    <w:p w14:paraId="1E23091C" w14:textId="77777777" w:rsidR="00512B6B" w:rsidRPr="005A1E4E" w:rsidRDefault="00512B6B" w:rsidP="00512B6B">
      <w:pPr>
        <w:tabs>
          <w:tab w:val="left" w:pos="709"/>
        </w:tabs>
        <w:spacing w:before="120" w:after="120" w:line="276" w:lineRule="auto"/>
        <w:contextualSpacing/>
        <w:jc w:val="both"/>
        <w:rPr>
          <w:rFonts w:ascii="Verdana" w:eastAsia="Times New Roman" w:hAnsi="Verdana" w:cs="Arial"/>
          <w:bCs/>
          <w:lang w:val="es-ES"/>
        </w:rPr>
      </w:pPr>
    </w:p>
    <w:p w14:paraId="41213AAF" w14:textId="77777777" w:rsidR="00512B6B" w:rsidRPr="00176C0C" w:rsidRDefault="00512B6B" w:rsidP="00512B6B">
      <w:pPr>
        <w:spacing w:after="0" w:line="240" w:lineRule="auto"/>
        <w:ind w:left="1417" w:right="709"/>
        <w:jc w:val="both"/>
        <w:textAlignment w:val="baseline"/>
        <w:rPr>
          <w:rFonts w:ascii="Verdana" w:eastAsia="Times New Roman" w:hAnsi="Verdana" w:cs="Arial"/>
          <w:sz w:val="20"/>
          <w:szCs w:val="20"/>
          <w:lang w:val="es-ES" w:eastAsia="es-MX"/>
        </w:rPr>
      </w:pPr>
      <w:r w:rsidRPr="005A1E4E">
        <w:rPr>
          <w:rFonts w:ascii="Verdana" w:eastAsia="Times New Roman" w:hAnsi="Verdana" w:cs="Arial"/>
          <w:color w:val="000000"/>
          <w:sz w:val="20"/>
          <w:szCs w:val="20"/>
          <w:lang w:val="es-MX"/>
        </w:rPr>
        <w:t>“</w:t>
      </w:r>
      <w:r w:rsidRPr="00176C0C">
        <w:rPr>
          <w:rFonts w:ascii="Verdana" w:eastAsia="Times New Roman" w:hAnsi="Verdana" w:cs="Arial"/>
          <w:sz w:val="20"/>
          <w:szCs w:val="20"/>
          <w:lang w:val="es-ES" w:eastAsia="es-MX"/>
        </w:rPr>
        <w:t xml:space="preserve">De entrada, debe advertirse que la supervisión de los contratos es un deber de las entidades públicas (artículo 4 de la Ley 80 de 1993), que bien pueden realizarla a través de supervisores o </w:t>
      </w:r>
      <w:r w:rsidRPr="00176C0C">
        <w:rPr>
          <w:rFonts w:ascii="Verdana" w:eastAsia="Times New Roman" w:hAnsi="Verdana" w:cs="Arial"/>
          <w:sz w:val="20"/>
          <w:szCs w:val="20"/>
          <w:lang w:val="es-ES" w:eastAsia="es-MX"/>
        </w:rPr>
        <w:lastRenderedPageBreak/>
        <w:t xml:space="preserve">interventores para que verifiquen la ejecución y cumplimiento de los trabajos y actividades del contratista de la entidad pública. Esa labor es principalmente de intermediación entre la entidad contratante y el contratista, dirigida a cumplir el control y vigilancia de la correcta ejecución de las obligaciones surgidas del contrato y no la de sustituir o reemplazar a la entidad en la toma de las decisiones, quien conserva dicha potestad y la ejerce a través de su propio representante legal, que adelanta las actuaciones que le corresponden en virtud de su posición de parte dentro de la relación negocial. </w:t>
      </w:r>
    </w:p>
    <w:p w14:paraId="32D5184D" w14:textId="77777777" w:rsidR="00512B6B" w:rsidRPr="00176C0C" w:rsidRDefault="00512B6B" w:rsidP="00512B6B">
      <w:pPr>
        <w:spacing w:after="0" w:line="240" w:lineRule="auto"/>
        <w:ind w:left="1417" w:right="709"/>
        <w:jc w:val="both"/>
        <w:textAlignment w:val="baseline"/>
        <w:rPr>
          <w:rFonts w:ascii="Verdana" w:eastAsia="Times New Roman" w:hAnsi="Verdana" w:cs="Arial"/>
          <w:sz w:val="20"/>
          <w:szCs w:val="20"/>
          <w:lang w:val="es-ES" w:eastAsia="es-MX"/>
        </w:rPr>
      </w:pPr>
      <w:r w:rsidRPr="00176C0C">
        <w:rPr>
          <w:rFonts w:ascii="Verdana" w:eastAsia="Times New Roman" w:hAnsi="Verdana" w:cs="Arial"/>
          <w:sz w:val="20"/>
          <w:szCs w:val="20"/>
          <w:lang w:val="es-ES" w:eastAsia="es-MX"/>
        </w:rPr>
        <w:t>[…]</w:t>
      </w:r>
    </w:p>
    <w:p w14:paraId="34121BD0" w14:textId="77777777" w:rsidR="00512B6B" w:rsidRDefault="00512B6B" w:rsidP="00512B6B">
      <w:pPr>
        <w:spacing w:after="0" w:line="240" w:lineRule="auto"/>
        <w:ind w:left="1417" w:right="709"/>
        <w:jc w:val="both"/>
        <w:textAlignment w:val="baseline"/>
        <w:rPr>
          <w:rFonts w:ascii="Verdana" w:eastAsia="Times New Roman" w:hAnsi="Verdana" w:cs="Arial"/>
          <w:sz w:val="20"/>
          <w:szCs w:val="20"/>
          <w:lang w:val="es-ES" w:eastAsia="es-MX"/>
        </w:rPr>
      </w:pPr>
      <w:r w:rsidRPr="00176C0C">
        <w:rPr>
          <w:rFonts w:ascii="Verdana" w:eastAsia="Times New Roman" w:hAnsi="Verdana" w:cs="Arial"/>
          <w:sz w:val="20"/>
          <w:szCs w:val="20"/>
          <w:lang w:val="es-ES" w:eastAsia="es-MX"/>
        </w:rPr>
        <w:t>El ordenamiento jurídico admite que este tipo de funciones puedan ser encargadas a los funcionarios públicos de la entidad demandada, sin que se enmarquen en el régimen de inhabilidades e incompatibilidades. Efectivamente, de vieja data, el artículo 120 del Decreto Ley 222 de 198312, al definir las calidades del interventor, señaló que las entidades públicas verificarían la ejecución y cumplimiento de los trabajos y actividades de sus contratistas por medio de un interventor. Este podía ser funcionario suyo o ser contratado externamente. Lo anterior significaba que en vigencia del mencionado decreto la denominación de interventor se utilizaba indistintamente de la vinculación que este tuviera con la entidad pública. Actualmente, la cuestión se mantiene en similares condiciones, sólo que se considera supervisor al funcionario de la entidad pública que desarrolle la vigilancia de los contratos de esta última, sin perjuicio de que esa labor se pueda apoyar a través de contratos de prestación de servicios, pero no para asumir la supervisión, so pena de variar de una consultoría a otra tipología diferente y, por consiguiente, de eludir procesos de selección. Por su parte, se hablará de interventor cuando se trate de una vigilancia externa o contratada</w:t>
      </w:r>
      <w:r w:rsidRPr="00C6245E">
        <w:rPr>
          <w:rFonts w:ascii="Verdana" w:eastAsia="Times New Roman" w:hAnsi="Verdana" w:cs="Arial"/>
          <w:sz w:val="20"/>
          <w:szCs w:val="20"/>
          <w:vertAlign w:val="superscript"/>
          <w:lang w:val="es-ES" w:eastAsia="es-MX"/>
        </w:rPr>
        <w:footnoteReference w:id="15"/>
      </w:r>
      <w:r w:rsidRPr="00176C0C">
        <w:rPr>
          <w:rFonts w:ascii="Verdana" w:eastAsia="Times New Roman" w:hAnsi="Verdana" w:cs="Arial"/>
          <w:sz w:val="20"/>
          <w:szCs w:val="20"/>
          <w:lang w:val="es-ES" w:eastAsia="es-MX"/>
        </w:rPr>
        <w:t>.”</w:t>
      </w:r>
    </w:p>
    <w:p w14:paraId="35C1CC3C" w14:textId="77777777" w:rsidR="00512B6B" w:rsidRPr="00176C0C" w:rsidRDefault="00512B6B" w:rsidP="00512B6B">
      <w:pPr>
        <w:spacing w:after="0" w:line="240" w:lineRule="auto"/>
        <w:ind w:left="1417" w:right="709"/>
        <w:jc w:val="both"/>
        <w:textAlignment w:val="baseline"/>
        <w:rPr>
          <w:rFonts w:ascii="Verdana" w:eastAsia="Times New Roman" w:hAnsi="Verdana" w:cs="Arial"/>
          <w:sz w:val="20"/>
          <w:szCs w:val="20"/>
          <w:lang w:val="es-ES" w:eastAsia="es-MX"/>
        </w:rPr>
      </w:pPr>
    </w:p>
    <w:p w14:paraId="66C4F32F" w14:textId="77777777" w:rsidR="00512B6B" w:rsidRPr="005A1E4E" w:rsidRDefault="00512B6B" w:rsidP="00512B6B">
      <w:pPr>
        <w:numPr>
          <w:ilvl w:val="0"/>
          <w:numId w:val="3"/>
        </w:numPr>
        <w:spacing w:before="120" w:line="276" w:lineRule="auto"/>
        <w:contextualSpacing/>
        <w:jc w:val="both"/>
        <w:rPr>
          <w:rFonts w:ascii="Verdana" w:eastAsia="Times New Roman" w:hAnsi="Verdana" w:cs="Arial"/>
          <w:shd w:val="clear" w:color="auto" w:fill="FFFFFF"/>
          <w:lang w:val="es-ES"/>
        </w:rPr>
      </w:pPr>
      <w:r w:rsidRPr="005A1E4E">
        <w:rPr>
          <w:rFonts w:ascii="Verdana" w:eastAsia="Times New Roman" w:hAnsi="Verdana" w:cs="Arial"/>
          <w:shd w:val="clear" w:color="auto" w:fill="FFFFFF"/>
          <w:lang w:val="es-ES"/>
        </w:rPr>
        <w:t>En ese mismo sentido, como se expuso previamente, la “Guía para el ejercicio de las funciones de supervisión e interventoría de los contratos suscritos por las Entidades Estatales”</w:t>
      </w:r>
      <w:r>
        <w:rPr>
          <w:rFonts w:ascii="Verdana" w:eastAsia="Times New Roman" w:hAnsi="Verdana" w:cs="Arial"/>
          <w:shd w:val="clear" w:color="auto" w:fill="FFFFFF"/>
          <w:lang w:val="es-ES"/>
        </w:rPr>
        <w:t xml:space="preserve"> de Colombia Compra Eficiente</w:t>
      </w:r>
      <w:r w:rsidRPr="005A1E4E">
        <w:rPr>
          <w:rFonts w:ascii="Verdana" w:eastAsia="Times New Roman" w:hAnsi="Verdana" w:cs="Arial"/>
          <w:shd w:val="clear" w:color="auto" w:fill="FFFFFF"/>
          <w:lang w:val="es-ES"/>
        </w:rPr>
        <w:t xml:space="preserve"> consagró que la supervisión del contrato estatal corresponde al funcionario público de la entidad. Sin embargo, dicha guía reiteró que las </w:t>
      </w:r>
      <w:r w:rsidRPr="005A1E4E">
        <w:rPr>
          <w:rFonts w:ascii="Verdana" w:eastAsia="Times New Roman" w:hAnsi="Verdana" w:cs="Arial"/>
          <w:shd w:val="clear" w:color="auto" w:fill="FFFFFF"/>
          <w:lang w:val="es-ES"/>
        </w:rPr>
        <w:lastRenderedPageBreak/>
        <w:t>Entidades Estatales puedan celebrar contratos de prestación de servicios para apoyar las actividades de supervisión, consignando en ellos las actividades propias del apoyo a la supervisión. Con todo, el alcance de dicho apoyo dependerá del objeto y las obligaciones determinadas en el contrato de prestación de servicios, marco dentro del cual el contratista desarrollará las actividades tendientes a soportar el seguimiento del contrato y apoyar la verificación del cumplimiento, en las condiciones establecidas en el contrato vigilado, sin que ello implique que asuma directamente la supervisión. Así, por ejemplo, el contratista de prestación de servicios podrá revisar los entregables, productos, en general, los requisitos para el pago y darle su concepto al supervisor. De todos modos, quien autorizará el pago ante la Entidad Estatal será el funcionario sobre quien recae la supervisión y el respectivo ordenador del gasto de la entidad.</w:t>
      </w:r>
    </w:p>
    <w:p w14:paraId="2CB246AA" w14:textId="77777777" w:rsidR="00512B6B" w:rsidRPr="005A1E4E" w:rsidRDefault="00512B6B" w:rsidP="00512B6B">
      <w:pPr>
        <w:spacing w:before="120" w:line="276" w:lineRule="auto"/>
        <w:ind w:left="720"/>
        <w:contextualSpacing/>
        <w:jc w:val="both"/>
        <w:rPr>
          <w:rFonts w:ascii="Verdana" w:eastAsia="Times New Roman" w:hAnsi="Verdana" w:cs="Arial"/>
          <w:shd w:val="clear" w:color="auto" w:fill="FFFFFF"/>
          <w:lang w:val="es-ES"/>
        </w:rPr>
      </w:pPr>
    </w:p>
    <w:p w14:paraId="4E4DB383" w14:textId="77777777" w:rsidR="00512B6B" w:rsidRPr="005A1E4E" w:rsidRDefault="00512B6B" w:rsidP="00512B6B">
      <w:pPr>
        <w:numPr>
          <w:ilvl w:val="0"/>
          <w:numId w:val="3"/>
        </w:numPr>
        <w:spacing w:before="120" w:line="276" w:lineRule="auto"/>
        <w:contextualSpacing/>
        <w:jc w:val="both"/>
        <w:rPr>
          <w:rFonts w:ascii="Verdana" w:eastAsia="Times New Roman" w:hAnsi="Verdana" w:cs="Arial"/>
          <w:shd w:val="clear" w:color="auto" w:fill="FFFFFF"/>
          <w:lang w:val="es-ES"/>
        </w:rPr>
      </w:pPr>
      <w:r w:rsidRPr="005A1E4E">
        <w:rPr>
          <w:rFonts w:ascii="Verdana" w:eastAsia="Times New Roman" w:hAnsi="Verdana" w:cs="Arial"/>
          <w:shd w:val="clear" w:color="auto" w:fill="FFFFFF"/>
          <w:lang w:val="es-ES"/>
        </w:rPr>
        <w:t xml:space="preserve">Además, la mencionada guía señala que tanto supervisores e interventores tienen la función general de ejercer el control y vigilancia sobre la ejecución contractual de los contratos respecto de los cuales ejercen sus correspondientes obligaciones. Dicha labor debe ir dirigida a verificar el cumplimiento de las condiciones pactadas, por lo que están facultados para solicitar informes, aclaraciones y explicaciones sobre el desarrollo de la ejecución contractual, impartir instrucciones al contratista y hacer recomendaciones encaminadas a lograr la correcta ejecución del objeto contratado. De hecho, conforme a lo manifestado por esta Agencia en la mencionada Guía, los supervisores e intervenciones tienen funciones generales como: </w:t>
      </w:r>
    </w:p>
    <w:p w14:paraId="15EC7492" w14:textId="77777777" w:rsidR="00512B6B" w:rsidRPr="005A1E4E" w:rsidRDefault="00512B6B" w:rsidP="00512B6B">
      <w:pPr>
        <w:spacing w:line="276" w:lineRule="auto"/>
        <w:ind w:firstLine="709"/>
        <w:jc w:val="both"/>
        <w:rPr>
          <w:rFonts w:ascii="Century Gothic" w:eastAsia="Times New Roman" w:hAnsi="Century Gothic" w:cs="Arial"/>
          <w:lang w:val="es-ES"/>
        </w:rPr>
      </w:pPr>
    </w:p>
    <w:p w14:paraId="2B40BF8F" w14:textId="77777777" w:rsidR="00512B6B" w:rsidRPr="005A1E4E" w:rsidRDefault="00512B6B" w:rsidP="00512B6B">
      <w:pPr>
        <w:spacing w:after="0" w:line="240" w:lineRule="auto"/>
        <w:ind w:left="1417" w:right="709"/>
        <w:jc w:val="both"/>
        <w:textAlignment w:val="baseline"/>
        <w:rPr>
          <w:rFonts w:ascii="Verdana" w:eastAsia="Times New Roman" w:hAnsi="Verdana" w:cs="Arial"/>
          <w:color w:val="000000"/>
          <w:sz w:val="20"/>
          <w:szCs w:val="20"/>
          <w:lang w:val="es-MX"/>
        </w:rPr>
      </w:pPr>
      <w:r>
        <w:rPr>
          <w:rFonts w:ascii="Verdana" w:eastAsia="Times New Roman" w:hAnsi="Verdana" w:cs="Arial"/>
          <w:color w:val="000000"/>
          <w:sz w:val="20"/>
          <w:szCs w:val="20"/>
          <w:lang w:val="es-MX"/>
        </w:rPr>
        <w:t>“</w:t>
      </w:r>
      <w:r w:rsidRPr="005A1E4E">
        <w:rPr>
          <w:rFonts w:ascii="Verdana" w:eastAsia="Times New Roman" w:hAnsi="Verdana" w:cs="Arial"/>
          <w:color w:val="000000"/>
          <w:sz w:val="20"/>
          <w:szCs w:val="20"/>
          <w:lang w:val="es-MX"/>
        </w:rPr>
        <w:t>Apoyar el logro de los objetivos contractuales.</w:t>
      </w:r>
    </w:p>
    <w:p w14:paraId="6E01A577" w14:textId="77777777" w:rsidR="00512B6B" w:rsidRPr="005A1E4E" w:rsidRDefault="00512B6B" w:rsidP="00512B6B">
      <w:pPr>
        <w:spacing w:after="0" w:line="240" w:lineRule="auto"/>
        <w:ind w:left="1417" w:right="709"/>
        <w:jc w:val="both"/>
        <w:textAlignment w:val="baseline"/>
        <w:rPr>
          <w:rFonts w:ascii="Verdana" w:eastAsia="Times New Roman" w:hAnsi="Verdana" w:cs="Arial"/>
          <w:color w:val="000000"/>
          <w:sz w:val="20"/>
          <w:szCs w:val="20"/>
          <w:lang w:val="es-MX"/>
        </w:rPr>
      </w:pPr>
      <w:r w:rsidRPr="005A1E4E">
        <w:rPr>
          <w:rFonts w:ascii="Verdana" w:eastAsia="Times New Roman" w:hAnsi="Verdana" w:cs="Arial"/>
          <w:color w:val="000000"/>
          <w:sz w:val="20"/>
          <w:szCs w:val="20"/>
          <w:lang w:val="es-MX"/>
        </w:rPr>
        <w:t>Velar por el cumplimiento del contrato en términos de plazos, calidades, cantidades y adecuada ejecución de los recursos del contrato.</w:t>
      </w:r>
    </w:p>
    <w:p w14:paraId="5035C23C" w14:textId="77777777" w:rsidR="00512B6B" w:rsidRPr="005A1E4E" w:rsidRDefault="00512B6B" w:rsidP="00512B6B">
      <w:pPr>
        <w:spacing w:after="0" w:line="240" w:lineRule="auto"/>
        <w:ind w:left="1417" w:right="709"/>
        <w:jc w:val="both"/>
        <w:textAlignment w:val="baseline"/>
        <w:rPr>
          <w:rFonts w:ascii="Verdana" w:eastAsia="Times New Roman" w:hAnsi="Verdana" w:cs="Arial"/>
          <w:color w:val="000000"/>
          <w:sz w:val="20"/>
          <w:szCs w:val="20"/>
          <w:lang w:val="es-MX"/>
        </w:rPr>
      </w:pPr>
      <w:r w:rsidRPr="005A1E4E">
        <w:rPr>
          <w:rFonts w:ascii="Verdana" w:eastAsia="Times New Roman" w:hAnsi="Verdana" w:cs="Arial"/>
          <w:color w:val="000000"/>
          <w:sz w:val="20"/>
          <w:szCs w:val="20"/>
          <w:lang w:val="es-MX"/>
        </w:rPr>
        <w:t>Mantener en contacto a las partes del contrato.</w:t>
      </w:r>
    </w:p>
    <w:p w14:paraId="39696950" w14:textId="77777777" w:rsidR="00512B6B" w:rsidRPr="005A1E4E" w:rsidRDefault="00512B6B" w:rsidP="00512B6B">
      <w:pPr>
        <w:spacing w:after="0" w:line="240" w:lineRule="auto"/>
        <w:ind w:left="1417" w:right="709"/>
        <w:jc w:val="both"/>
        <w:textAlignment w:val="baseline"/>
        <w:rPr>
          <w:rFonts w:ascii="Verdana" w:eastAsia="Times New Roman" w:hAnsi="Verdana" w:cs="Arial"/>
          <w:color w:val="000000"/>
          <w:sz w:val="20"/>
          <w:szCs w:val="20"/>
          <w:lang w:val="es-MX"/>
        </w:rPr>
      </w:pPr>
      <w:r w:rsidRPr="005A1E4E">
        <w:rPr>
          <w:rFonts w:ascii="Verdana" w:eastAsia="Times New Roman" w:hAnsi="Verdana" w:cs="Arial"/>
          <w:color w:val="000000"/>
          <w:sz w:val="20"/>
          <w:szCs w:val="20"/>
          <w:lang w:val="es-MX"/>
        </w:rPr>
        <w:t xml:space="preserve">Evitar la generación de controversias y propender por su rápida solución. </w:t>
      </w:r>
    </w:p>
    <w:p w14:paraId="1BFA0306" w14:textId="77777777" w:rsidR="00512B6B" w:rsidRPr="005A1E4E" w:rsidRDefault="00512B6B" w:rsidP="00512B6B">
      <w:pPr>
        <w:spacing w:after="0" w:line="240" w:lineRule="auto"/>
        <w:ind w:left="1417" w:right="709"/>
        <w:jc w:val="both"/>
        <w:textAlignment w:val="baseline"/>
        <w:rPr>
          <w:rFonts w:ascii="Verdana" w:eastAsia="Times New Roman" w:hAnsi="Verdana" w:cs="Arial"/>
          <w:color w:val="000000"/>
          <w:sz w:val="20"/>
          <w:szCs w:val="20"/>
          <w:lang w:val="es-MX"/>
        </w:rPr>
      </w:pPr>
      <w:r w:rsidRPr="005A1E4E">
        <w:rPr>
          <w:rFonts w:ascii="Verdana" w:eastAsia="Times New Roman" w:hAnsi="Verdana" w:cs="Arial"/>
          <w:color w:val="000000"/>
          <w:sz w:val="20"/>
          <w:szCs w:val="20"/>
          <w:lang w:val="es-MX"/>
        </w:rPr>
        <w:t>Solicitar informes, llevar a cabo reuniones, integrar comités y desarrollar otras herramientas encaminadas a verificar la adecuada ejecución del contrato.</w:t>
      </w:r>
    </w:p>
    <w:p w14:paraId="6152B24D" w14:textId="77777777" w:rsidR="00512B6B" w:rsidRPr="005A1E4E" w:rsidRDefault="00512B6B" w:rsidP="00512B6B">
      <w:pPr>
        <w:spacing w:after="0" w:line="240" w:lineRule="auto"/>
        <w:ind w:left="1417" w:right="709"/>
        <w:jc w:val="both"/>
        <w:textAlignment w:val="baseline"/>
        <w:rPr>
          <w:rFonts w:ascii="Verdana" w:eastAsia="Times New Roman" w:hAnsi="Verdana" w:cs="Arial"/>
          <w:color w:val="000000"/>
          <w:sz w:val="20"/>
          <w:szCs w:val="20"/>
          <w:lang w:val="es-MX"/>
        </w:rPr>
      </w:pPr>
      <w:r w:rsidRPr="005A1E4E">
        <w:rPr>
          <w:rFonts w:ascii="Verdana" w:eastAsia="Times New Roman" w:hAnsi="Verdana" w:cs="Arial"/>
          <w:color w:val="000000"/>
          <w:sz w:val="20"/>
          <w:szCs w:val="20"/>
          <w:lang w:val="es-MX"/>
        </w:rPr>
        <w:t xml:space="preserve">Llevar a cabo las labores de monitoreo y control de riesgos que se le asignen, en coordinación con el área responsable de cada riesgo incluido en el mapa correspondiente, así como la identificación y tratamiento de los riesgos que puedan surgir durante las diversas etapas del contrato. </w:t>
      </w:r>
    </w:p>
    <w:p w14:paraId="3C8F2BDC" w14:textId="77777777" w:rsidR="00512B6B" w:rsidRPr="005A1E4E" w:rsidRDefault="00512B6B" w:rsidP="00512B6B">
      <w:pPr>
        <w:spacing w:after="0" w:line="240" w:lineRule="auto"/>
        <w:ind w:left="1417" w:right="709"/>
        <w:jc w:val="both"/>
        <w:textAlignment w:val="baseline"/>
        <w:rPr>
          <w:rFonts w:ascii="Verdana" w:eastAsia="Times New Roman" w:hAnsi="Verdana" w:cs="Arial"/>
          <w:color w:val="000000"/>
          <w:sz w:val="20"/>
          <w:szCs w:val="20"/>
          <w:lang w:val="es-MX"/>
        </w:rPr>
      </w:pPr>
      <w:r w:rsidRPr="005A1E4E">
        <w:rPr>
          <w:rFonts w:ascii="Verdana" w:eastAsia="Times New Roman" w:hAnsi="Verdana" w:cs="Arial"/>
          <w:color w:val="000000"/>
          <w:sz w:val="20"/>
          <w:szCs w:val="20"/>
          <w:lang w:val="es-MX"/>
        </w:rPr>
        <w:lastRenderedPageBreak/>
        <w:t>Aprobar o rechazar por escrito, de forma oportuna y motivada la entrega de los bienes o servicios, cuando éstos no se ajustan a lo requerido en el contrato, especificaciones técnicas, condiciones y/o calidades acordadas.</w:t>
      </w:r>
    </w:p>
    <w:p w14:paraId="5B926260" w14:textId="77777777" w:rsidR="00512B6B" w:rsidRPr="005A1E4E" w:rsidRDefault="00512B6B" w:rsidP="00512B6B">
      <w:pPr>
        <w:spacing w:after="0" w:line="240" w:lineRule="auto"/>
        <w:ind w:left="1417" w:right="709"/>
        <w:jc w:val="both"/>
        <w:textAlignment w:val="baseline"/>
        <w:rPr>
          <w:rFonts w:ascii="Verdana" w:eastAsia="Times New Roman" w:hAnsi="Verdana" w:cs="Arial"/>
          <w:color w:val="000000"/>
          <w:sz w:val="20"/>
          <w:szCs w:val="20"/>
          <w:lang w:val="es-MX"/>
        </w:rPr>
      </w:pPr>
      <w:r w:rsidRPr="005A1E4E">
        <w:rPr>
          <w:rFonts w:ascii="Verdana" w:eastAsia="Times New Roman" w:hAnsi="Verdana" w:cs="Arial"/>
          <w:color w:val="000000"/>
          <w:sz w:val="20"/>
          <w:szCs w:val="20"/>
          <w:lang w:val="es-MX"/>
        </w:rPr>
        <w:t>Suscribir las actas que se generen durante la ejecución del contrato para dejar documentadas diversas situaciones y entre las que se encuentran: actas de actas parciales de avance, actas parciales de recibo y actas de recibo final.</w:t>
      </w:r>
    </w:p>
    <w:p w14:paraId="19D4D358" w14:textId="77777777" w:rsidR="00512B6B" w:rsidRPr="005A1E4E" w:rsidRDefault="00512B6B" w:rsidP="00512B6B">
      <w:pPr>
        <w:spacing w:after="0" w:line="240" w:lineRule="auto"/>
        <w:ind w:left="1417" w:right="709"/>
        <w:jc w:val="both"/>
        <w:textAlignment w:val="baseline"/>
        <w:rPr>
          <w:rFonts w:ascii="Verdana" w:eastAsia="Times New Roman" w:hAnsi="Verdana" w:cs="Arial"/>
          <w:color w:val="000000"/>
          <w:sz w:val="20"/>
          <w:szCs w:val="20"/>
          <w:lang w:val="es-MX"/>
        </w:rPr>
      </w:pPr>
      <w:r w:rsidRPr="005A1E4E">
        <w:rPr>
          <w:rFonts w:ascii="Verdana" w:eastAsia="Times New Roman" w:hAnsi="Verdana" w:cs="Arial"/>
          <w:color w:val="000000"/>
          <w:sz w:val="20"/>
          <w:szCs w:val="20"/>
          <w:lang w:val="es-MX"/>
        </w:rPr>
        <w:t xml:space="preserve">Informar a la Entidad Estatal de hechos o circunstancias que puedan constituir actos de corrupción tipificados como conductas punibles, o que pongan en riesgo el cumplimiento del contrato; así como entregar los soportes necesarios para que la Entidad Estatal desarrolle las actividades correspondientes. </w:t>
      </w:r>
    </w:p>
    <w:p w14:paraId="14BCA1FA" w14:textId="77777777" w:rsidR="00512B6B" w:rsidRDefault="00512B6B" w:rsidP="00512B6B">
      <w:pPr>
        <w:spacing w:after="0" w:line="240" w:lineRule="auto"/>
        <w:ind w:left="1417" w:right="709"/>
        <w:jc w:val="both"/>
        <w:textAlignment w:val="baseline"/>
        <w:rPr>
          <w:rFonts w:ascii="Verdana" w:eastAsia="Times New Roman" w:hAnsi="Verdana" w:cs="Arial"/>
          <w:color w:val="000000"/>
          <w:sz w:val="20"/>
          <w:szCs w:val="20"/>
          <w:lang w:val="es-MX"/>
        </w:rPr>
      </w:pPr>
      <w:r w:rsidRPr="005A1E4E">
        <w:rPr>
          <w:rFonts w:ascii="Verdana" w:eastAsia="Times New Roman" w:hAnsi="Verdana" w:cs="Arial"/>
          <w:color w:val="000000"/>
          <w:sz w:val="20"/>
          <w:szCs w:val="20"/>
          <w:lang w:val="es-MX"/>
        </w:rPr>
        <w:t>Informar a la Entidad Estatal cuando se presente incumplimiento contractual; así como entregar los soportes necesarios para que la Entidad Estatal desarrolle las actividades correspondientes</w:t>
      </w:r>
      <w:r>
        <w:rPr>
          <w:rFonts w:ascii="Verdana" w:eastAsia="Times New Roman" w:hAnsi="Verdana" w:cs="Arial"/>
          <w:color w:val="000000"/>
          <w:sz w:val="20"/>
          <w:szCs w:val="20"/>
          <w:lang w:val="es-MX"/>
        </w:rPr>
        <w:t>”.</w:t>
      </w:r>
      <w:r w:rsidRPr="005A1E4E">
        <w:rPr>
          <w:rFonts w:ascii="Verdana" w:eastAsia="Times New Roman" w:hAnsi="Verdana" w:cs="Arial"/>
          <w:color w:val="000000"/>
          <w:sz w:val="20"/>
          <w:szCs w:val="20"/>
          <w:lang w:val="es-MX"/>
        </w:rPr>
        <w:t xml:space="preserve"> </w:t>
      </w:r>
    </w:p>
    <w:p w14:paraId="239EA07B" w14:textId="77777777" w:rsidR="00512B6B" w:rsidRPr="005A1E4E" w:rsidRDefault="00512B6B" w:rsidP="00512B6B">
      <w:pPr>
        <w:spacing w:after="0" w:line="240" w:lineRule="auto"/>
        <w:ind w:left="1417" w:right="709"/>
        <w:jc w:val="both"/>
        <w:textAlignment w:val="baseline"/>
        <w:rPr>
          <w:rFonts w:ascii="Verdana" w:eastAsia="Times New Roman" w:hAnsi="Verdana" w:cs="Arial"/>
          <w:color w:val="000000"/>
          <w:sz w:val="20"/>
          <w:szCs w:val="20"/>
          <w:lang w:val="es-MX"/>
        </w:rPr>
      </w:pPr>
    </w:p>
    <w:p w14:paraId="177F4C0D" w14:textId="77777777" w:rsidR="00512B6B" w:rsidRPr="005A1E4E" w:rsidRDefault="00512B6B" w:rsidP="00512B6B">
      <w:pPr>
        <w:numPr>
          <w:ilvl w:val="0"/>
          <w:numId w:val="3"/>
        </w:numPr>
        <w:spacing w:before="120" w:line="276" w:lineRule="auto"/>
        <w:contextualSpacing/>
        <w:jc w:val="both"/>
        <w:rPr>
          <w:rFonts w:ascii="Verdana" w:eastAsia="Times New Roman" w:hAnsi="Verdana" w:cs="Arial"/>
          <w:shd w:val="clear" w:color="auto" w:fill="FFFFFF"/>
          <w:lang w:val="es-ES"/>
        </w:rPr>
      </w:pPr>
      <w:r w:rsidRPr="005A1E4E">
        <w:rPr>
          <w:rFonts w:ascii="Verdana" w:eastAsia="Times New Roman" w:hAnsi="Verdana" w:cs="Arial"/>
          <w:shd w:val="clear" w:color="auto" w:fill="FFFFFF"/>
          <w:lang w:val="es-ES"/>
        </w:rPr>
        <w:t>Según se desprende del apartado en cita, el ejercicio de la vigilancia de la ejecución del contrato estatal conlleva la tarea de velar por el cumplimiento de los plazos, calidades, cantidades y adecuada ejecución de los recursos del contrato. Debido a esto, es a los supervisores y/o interventores a quienes corresponde, en primera medida, verificar las entregas de bienes, obras o servicios realizadas por el contratista, determinando si las mismas se ajustan a las condiciones pactadas. Tales actividades propias de la custodia a la debida ejecución de los contratos estatales también implican el deber de supervisores e interventores de concurrir a la suscripción de documentos como actas parciales de avance, actas parciales de recibo y actas de recibo final.</w:t>
      </w:r>
    </w:p>
    <w:p w14:paraId="09955F80" w14:textId="77777777" w:rsidR="00512B6B" w:rsidRPr="005A1E4E" w:rsidRDefault="00512B6B" w:rsidP="00512B6B">
      <w:pPr>
        <w:ind w:left="720"/>
        <w:contextualSpacing/>
        <w:rPr>
          <w:rFonts w:ascii="Verdana" w:eastAsia="Times New Roman" w:hAnsi="Verdana" w:cs="Arial"/>
          <w:shd w:val="clear" w:color="auto" w:fill="FFFFFF"/>
          <w:lang w:val="es-ES"/>
        </w:rPr>
      </w:pPr>
    </w:p>
    <w:p w14:paraId="427D5DA2" w14:textId="77777777" w:rsidR="00512B6B" w:rsidRPr="005A1E4E" w:rsidRDefault="00512B6B" w:rsidP="00512B6B">
      <w:pPr>
        <w:numPr>
          <w:ilvl w:val="0"/>
          <w:numId w:val="3"/>
        </w:numPr>
        <w:spacing w:before="120" w:line="276" w:lineRule="auto"/>
        <w:contextualSpacing/>
        <w:jc w:val="both"/>
        <w:rPr>
          <w:rFonts w:ascii="Verdana" w:eastAsia="Times New Roman" w:hAnsi="Verdana" w:cs="Arial"/>
          <w:color w:val="000000"/>
          <w:lang w:val="es-ES_tradnl"/>
        </w:rPr>
      </w:pPr>
      <w:r w:rsidRPr="005A1E4E">
        <w:rPr>
          <w:rFonts w:ascii="Verdana" w:eastAsia="Times New Roman" w:hAnsi="Verdana" w:cs="Arial"/>
          <w:shd w:val="clear" w:color="auto" w:fill="FFFFFF"/>
          <w:lang w:val="es-ES"/>
        </w:rPr>
        <w:t>En ese sentido, puede colegirse que la supervisión es uno de los medios para que las entidades ejerzan la dirección, control y vigilancia de sus contratos, con el fin de lograr el objeto contractual. Por consiguiente, el supervisor, de acuerdo con lo señalado en la Ley 80 de 1993, tiene la obligación de desarrollar las actividades que impliquen la vigilancia y seguimiento del cumplimiento de los contratos, función que puede ser asignada a un empleado público siempre que se ajusten a las fijadas para el cargo.</w:t>
      </w:r>
    </w:p>
    <w:p w14:paraId="5E7DE92A" w14:textId="77777777" w:rsidR="00512B6B" w:rsidRPr="005A1E4E" w:rsidRDefault="00512B6B" w:rsidP="00512B6B">
      <w:pPr>
        <w:spacing w:before="120" w:line="276" w:lineRule="auto"/>
        <w:contextualSpacing/>
        <w:jc w:val="both"/>
        <w:rPr>
          <w:rFonts w:ascii="Verdana" w:eastAsia="Times New Roman" w:hAnsi="Verdana" w:cs="Arial"/>
          <w:color w:val="000000"/>
          <w:lang w:val="es-ES_tradnl"/>
        </w:rPr>
      </w:pPr>
    </w:p>
    <w:p w14:paraId="1F66DDE1" w14:textId="77777777" w:rsidR="00512B6B" w:rsidRPr="0003428D" w:rsidRDefault="00512B6B" w:rsidP="00512B6B">
      <w:pPr>
        <w:numPr>
          <w:ilvl w:val="0"/>
          <w:numId w:val="3"/>
        </w:numPr>
        <w:spacing w:before="120" w:line="276" w:lineRule="auto"/>
        <w:contextualSpacing/>
        <w:jc w:val="both"/>
        <w:rPr>
          <w:rFonts w:ascii="Verdana" w:eastAsia="Times New Roman" w:hAnsi="Verdana" w:cs="Arial"/>
          <w:color w:val="000000"/>
          <w:lang w:val="es-ES_tradnl"/>
        </w:rPr>
      </w:pPr>
      <w:r w:rsidRPr="0003428D">
        <w:rPr>
          <w:rFonts w:ascii="Verdana" w:eastAsia="Times New Roman" w:hAnsi="Verdana" w:cs="Arial"/>
          <w:color w:val="000000"/>
          <w:lang w:val="es-ES_tradnl" w:eastAsia="es-ES_tradnl"/>
        </w:rPr>
        <w:t xml:space="preserve">Adicionalmente, debe precisarse que esta Agencia en el ejercicio de sus funciones, expidió la “Guía para el ejercicio de las funciones de Supervisión e Interventoría de los contratos del Estado”, la cual constituye una herramienta pedagógica en la que se imparten lineamientos de buenas prácticas para el ejercicio de la supervisión e interventoría de los </w:t>
      </w:r>
      <w:r w:rsidRPr="0003428D">
        <w:rPr>
          <w:rFonts w:ascii="Verdana" w:eastAsia="Times New Roman" w:hAnsi="Verdana" w:cs="Arial"/>
          <w:color w:val="000000"/>
          <w:lang w:val="es-ES_tradnl" w:eastAsia="es-ES_tradnl"/>
        </w:rPr>
        <w:lastRenderedPageBreak/>
        <w:t>contratos estatales, que se encuentra disponible para su consulta en el siguiente enlace:</w:t>
      </w:r>
    </w:p>
    <w:p w14:paraId="485AD09D" w14:textId="77777777" w:rsidR="00512B6B" w:rsidRPr="0003428D" w:rsidRDefault="00512B6B" w:rsidP="00512B6B">
      <w:pPr>
        <w:spacing w:before="120" w:line="276" w:lineRule="auto"/>
        <w:ind w:left="720"/>
        <w:contextualSpacing/>
        <w:jc w:val="both"/>
        <w:rPr>
          <w:rFonts w:ascii="Verdana" w:eastAsia="Times New Roman" w:hAnsi="Verdana" w:cs="Arial"/>
          <w:color w:val="000000"/>
          <w:lang w:val="es-ES_tradnl" w:eastAsia="es-ES_tradnl"/>
        </w:rPr>
      </w:pPr>
      <w:hyperlink r:id="rId12" w:history="1">
        <w:r w:rsidRPr="0003428D">
          <w:rPr>
            <w:rFonts w:ascii="Verdana" w:eastAsia="Times New Roman" w:hAnsi="Verdana" w:cs="Arial"/>
            <w:color w:val="0000FF"/>
            <w:u w:val="single"/>
            <w:lang w:val="es-ES_tradnl" w:eastAsia="es-ES_tradnl"/>
          </w:rPr>
          <w:t>https://www.colombiacompra.gov.co/sites/cce_public/files/cce_documents/cce_guia_para_el_ejercicio_de_las_funciones_de_supervision_e_interventoria_de_los_contratos_del_estado.pdf</w:t>
        </w:r>
      </w:hyperlink>
      <w:r w:rsidRPr="0003428D">
        <w:rPr>
          <w:rFonts w:ascii="Verdana" w:eastAsia="Times New Roman" w:hAnsi="Verdana" w:cs="Arial"/>
          <w:color w:val="000000"/>
          <w:lang w:val="es-ES_tradnl" w:eastAsia="es-ES_tradnl"/>
        </w:rPr>
        <w:t xml:space="preserve"> </w:t>
      </w:r>
    </w:p>
    <w:p w14:paraId="5F01E2A3" w14:textId="77777777" w:rsidR="00512B6B" w:rsidRPr="0003428D" w:rsidRDefault="00512B6B" w:rsidP="00512B6B">
      <w:pPr>
        <w:spacing w:before="120" w:line="276" w:lineRule="auto"/>
        <w:contextualSpacing/>
        <w:jc w:val="both"/>
        <w:rPr>
          <w:rFonts w:ascii="Verdana" w:eastAsia="Times New Roman" w:hAnsi="Verdana" w:cs="Arial"/>
          <w:color w:val="000000"/>
          <w:lang w:val="es-ES_tradnl" w:eastAsia="es-ES_tradnl"/>
        </w:rPr>
      </w:pPr>
    </w:p>
    <w:p w14:paraId="66606B9E" w14:textId="77777777" w:rsidR="00512B6B" w:rsidRPr="001C10D0" w:rsidRDefault="00512B6B" w:rsidP="00512B6B">
      <w:pPr>
        <w:numPr>
          <w:ilvl w:val="0"/>
          <w:numId w:val="3"/>
        </w:numPr>
        <w:spacing w:before="120" w:line="276" w:lineRule="auto"/>
        <w:contextualSpacing/>
        <w:jc w:val="both"/>
        <w:rPr>
          <w:rFonts w:ascii="Verdana" w:eastAsia="Times New Roman" w:hAnsi="Verdana" w:cs="Arial"/>
          <w:color w:val="000000"/>
          <w:lang w:val="es-ES_tradnl"/>
        </w:rPr>
      </w:pPr>
      <w:r w:rsidRPr="001C10D0">
        <w:rPr>
          <w:rFonts w:ascii="Verdana" w:eastAsia="Times New Roman" w:hAnsi="Verdana" w:cs="Arial"/>
          <w:color w:val="000000"/>
          <w:lang w:val="es-ES_tradnl" w:eastAsia="es-ES_tradnl"/>
        </w:rPr>
        <w:t>Por otro lado, el artículo 110</w:t>
      </w:r>
      <w:r w:rsidRPr="0003428D">
        <w:rPr>
          <w:rStyle w:val="Refdenotaalpie"/>
          <w:rFonts w:ascii="Verdana" w:eastAsia="Times New Roman" w:hAnsi="Verdana" w:cs="Arial"/>
          <w:color w:val="000000"/>
          <w:lang w:val="es-ES_tradnl" w:eastAsia="es-ES_tradnl"/>
        </w:rPr>
        <w:footnoteReference w:id="16"/>
      </w:r>
      <w:r w:rsidRPr="001C10D0">
        <w:rPr>
          <w:rFonts w:ascii="Verdana" w:eastAsia="Times New Roman" w:hAnsi="Verdana" w:cs="Arial"/>
          <w:color w:val="000000"/>
          <w:lang w:val="es-ES_tradnl" w:eastAsia="es-ES_tradnl"/>
        </w:rPr>
        <w:t xml:space="preserve"> de la Ley 489 de 1998 establece que las personas naturales y jurídicas privadas pueden ejercer funciones administrativas, siempre bajo la supervisión y control de la entidad pública correspondiente, la cual debe garantizar el cumplimiento de las leyes, objetivos y políticas relacionadas. La </w:t>
      </w:r>
      <w:r>
        <w:rPr>
          <w:rFonts w:ascii="Verdana" w:eastAsia="Times New Roman" w:hAnsi="Verdana" w:cs="Arial"/>
          <w:color w:val="000000"/>
          <w:lang w:val="es-ES_tradnl" w:eastAsia="es-ES_tradnl"/>
        </w:rPr>
        <w:t>atribución</w:t>
      </w:r>
      <w:r w:rsidRPr="001C10D0">
        <w:rPr>
          <w:rFonts w:ascii="Verdana" w:eastAsia="Times New Roman" w:hAnsi="Verdana" w:cs="Arial"/>
          <w:color w:val="000000"/>
          <w:lang w:val="es-ES_tradnl" w:eastAsia="es-ES_tradnl"/>
        </w:rPr>
        <w:t xml:space="preserve"> de estas funciones debe ser precedida por un acto administrativo y</w:t>
      </w:r>
      <w:r>
        <w:rPr>
          <w:rFonts w:ascii="Verdana" w:eastAsia="Times New Roman" w:hAnsi="Verdana" w:cs="Arial"/>
          <w:color w:val="000000"/>
          <w:lang w:val="es-ES_tradnl" w:eastAsia="es-ES_tradnl"/>
        </w:rPr>
        <w:t xml:space="preserve"> acompañada del </w:t>
      </w:r>
      <w:r w:rsidRPr="001C10D0">
        <w:rPr>
          <w:rFonts w:ascii="Verdana" w:eastAsia="Times New Roman" w:hAnsi="Verdana" w:cs="Arial"/>
          <w:color w:val="000000"/>
          <w:lang w:val="es-ES_tradnl" w:eastAsia="es-ES_tradnl"/>
        </w:rPr>
        <w:t>convenio. La entidad pública puede revocar la autorización en cualquier momento por razones de interés público o social.</w:t>
      </w:r>
    </w:p>
    <w:p w14:paraId="1C0D7586" w14:textId="77777777" w:rsidR="00512B6B" w:rsidRPr="00737F29" w:rsidRDefault="00512B6B" w:rsidP="00512B6B">
      <w:pPr>
        <w:pStyle w:val="Prrafodelista"/>
        <w:numPr>
          <w:ilvl w:val="0"/>
          <w:numId w:val="3"/>
        </w:numPr>
        <w:spacing w:before="120" w:line="276" w:lineRule="auto"/>
        <w:jc w:val="both"/>
        <w:rPr>
          <w:rFonts w:ascii="Verdana" w:eastAsia="Times New Roman" w:hAnsi="Verdana" w:cs="Arial"/>
          <w:color w:val="000000"/>
          <w:lang w:val="es-ES_tradnl" w:eastAsia="es-ES_tradnl"/>
        </w:rPr>
      </w:pPr>
      <w:r w:rsidRPr="00737F29">
        <w:rPr>
          <w:rFonts w:ascii="Verdana" w:eastAsia="Times New Roman" w:hAnsi="Verdana" w:cs="Arial"/>
          <w:color w:val="000000"/>
          <w:lang w:val="es-ES_tradnl"/>
        </w:rPr>
        <w:t xml:space="preserve">Así mismo, </w:t>
      </w:r>
      <w:r w:rsidRPr="00737F29">
        <w:rPr>
          <w:rFonts w:ascii="Verdana" w:eastAsia="Times New Roman" w:hAnsi="Verdana" w:cs="Arial"/>
          <w:color w:val="000000"/>
        </w:rPr>
        <w:t>el artículo 111 de la Ley 489 de 1998</w:t>
      </w:r>
      <w:r w:rsidRPr="0003428D">
        <w:rPr>
          <w:rStyle w:val="Refdenotaalpie"/>
          <w:rFonts w:ascii="Verdana" w:eastAsia="Times New Roman" w:hAnsi="Verdana" w:cs="Arial"/>
          <w:color w:val="000000"/>
        </w:rPr>
        <w:footnoteReference w:id="17"/>
      </w:r>
      <w:r w:rsidRPr="00737F29">
        <w:rPr>
          <w:rFonts w:ascii="Verdana" w:eastAsia="Times New Roman" w:hAnsi="Verdana" w:cs="Arial"/>
          <w:color w:val="000000"/>
        </w:rPr>
        <w:t xml:space="preserve"> establece los requisitos y procedimientos para conferir funciones administrativas a particulares, complementando lo dispuesto en el artículo 110. Las entidades o autoridades administrativas pueden delegar funciones a particulares mediante un acto administrativo aprobado por el </w:t>
      </w:r>
      <w:proofErr w:type="gramStart"/>
      <w:r w:rsidRPr="00737F29">
        <w:rPr>
          <w:rFonts w:ascii="Verdana" w:eastAsia="Times New Roman" w:hAnsi="Verdana" w:cs="Arial"/>
          <w:color w:val="000000"/>
        </w:rPr>
        <w:t>Presidente</w:t>
      </w:r>
      <w:proofErr w:type="gramEnd"/>
      <w:r w:rsidRPr="00737F29">
        <w:rPr>
          <w:rFonts w:ascii="Verdana" w:eastAsia="Times New Roman" w:hAnsi="Verdana" w:cs="Arial"/>
          <w:color w:val="000000"/>
        </w:rPr>
        <w:t xml:space="preserve"> de la República o, por delegación, por ministros, directores de departamentos administrativos,</w:t>
      </w:r>
      <w:r>
        <w:rPr>
          <w:rFonts w:ascii="Verdana" w:eastAsia="Times New Roman" w:hAnsi="Verdana" w:cs="Arial"/>
          <w:color w:val="000000"/>
        </w:rPr>
        <w:t xml:space="preserve"> </w:t>
      </w:r>
      <w:r w:rsidRPr="00737F29">
        <w:rPr>
          <w:rFonts w:ascii="Verdana" w:eastAsia="Times New Roman" w:hAnsi="Verdana" w:cs="Arial"/>
          <w:color w:val="000000"/>
        </w:rPr>
        <w:t>según corresponda. Este acto debe especificar las funciones a encomendar, los requisitos que deben cumplir los particulares, las condiciones del ejercicio de las funciones, la forma de remuneración (si aplica), la duración del encargo y las garantías para asegurar el cumplimiento de los principios constitucionales y legales. Si es necesario, se debe celebrar un convenio con un plazo de ejecución de hasta cinco años, en el cual la entidad debe elaborar un pliego de condiciones y hacer una convocatoria pública conforme a la Ley 80 de 1993 sobre contratación estatal. El convenio también debe incluir las cláusulas excepcionales previstas en dicha ley, una vez seleccionado el particular encargado. Algunas partes de este artículo fueron declaradas inexequibles por la Corte Constitucional en las Sentencias C-866 de 1999 y C-702 de 1999, y se hace referencia a una sentencia del Consejo de Estado de julio de 2015 sobre el tema.</w:t>
      </w:r>
    </w:p>
    <w:p w14:paraId="4B626973" w14:textId="77777777" w:rsidR="00512B6B" w:rsidRPr="0003428D" w:rsidRDefault="00512B6B" w:rsidP="00512B6B">
      <w:pPr>
        <w:pStyle w:val="Prrafodelista"/>
        <w:spacing w:before="120" w:line="276" w:lineRule="auto"/>
        <w:jc w:val="both"/>
        <w:rPr>
          <w:rFonts w:ascii="Verdana" w:eastAsia="Times New Roman" w:hAnsi="Verdana" w:cs="Arial"/>
          <w:color w:val="000000"/>
          <w:lang w:val="es-ES_tradnl"/>
        </w:rPr>
      </w:pPr>
    </w:p>
    <w:p w14:paraId="19743D77" w14:textId="77777777" w:rsidR="00512B6B" w:rsidRPr="0003428D" w:rsidDel="00AA7249" w:rsidRDefault="00512B6B" w:rsidP="00512B6B">
      <w:pPr>
        <w:pStyle w:val="Prrafodelista"/>
        <w:numPr>
          <w:ilvl w:val="0"/>
          <w:numId w:val="3"/>
        </w:numPr>
        <w:spacing w:before="120" w:line="276" w:lineRule="auto"/>
        <w:jc w:val="both"/>
        <w:rPr>
          <w:rFonts w:ascii="Verdana" w:eastAsia="Times New Roman" w:hAnsi="Verdana" w:cs="Arial"/>
          <w:color w:val="000000"/>
          <w:lang w:val="es-ES_tradnl"/>
        </w:rPr>
      </w:pPr>
      <w:r w:rsidRPr="0003428D">
        <w:rPr>
          <w:rFonts w:ascii="Verdana" w:eastAsia="Times New Roman" w:hAnsi="Verdana" w:cs="Arial"/>
          <w:color w:val="000000"/>
        </w:rPr>
        <w:lastRenderedPageBreak/>
        <w:t>Igualmente, el artículo 112 de la Ley 489 de 1998</w:t>
      </w:r>
      <w:r w:rsidRPr="0003428D">
        <w:rPr>
          <w:rStyle w:val="Refdenotaalpie"/>
          <w:rFonts w:ascii="Verdana" w:eastAsia="Times New Roman" w:hAnsi="Verdana" w:cs="Arial"/>
          <w:color w:val="000000"/>
        </w:rPr>
        <w:footnoteReference w:id="18"/>
      </w:r>
      <w:r w:rsidRPr="0003428D">
        <w:rPr>
          <w:rFonts w:ascii="Verdana" w:eastAsia="Times New Roman" w:hAnsi="Verdana" w:cs="Arial"/>
          <w:color w:val="000000"/>
        </w:rPr>
        <w:t xml:space="preserve"> establece que la celebración de convenios y el ejercicio de funciones administrativas por entidades privadas no cambia su naturaleza ni régimen. Los actos unilaterales que realicen deben seguir los procedimientos administrativos, y los contratos celebrados por cuenta de entidades estatales deben ajustarse a las normas de contratación pública.</w:t>
      </w:r>
    </w:p>
    <w:p w14:paraId="1B66CC29" w14:textId="77777777" w:rsidR="00512B6B" w:rsidRPr="00403F7C" w:rsidDel="00AA7249" w:rsidRDefault="00512B6B" w:rsidP="00512B6B">
      <w:pPr>
        <w:pStyle w:val="Prrafodelista"/>
        <w:rPr>
          <w:rFonts w:ascii="Verdana" w:eastAsia="Times New Roman" w:hAnsi="Verdana" w:cs="Arial"/>
          <w:color w:val="000000"/>
          <w:lang w:val="es-ES_tradnl"/>
        </w:rPr>
      </w:pPr>
    </w:p>
    <w:p w14:paraId="51B2F0C6" w14:textId="77777777" w:rsidR="00512B6B" w:rsidRPr="00403F7C" w:rsidDel="00AA7249" w:rsidRDefault="00512B6B" w:rsidP="00512B6B">
      <w:pPr>
        <w:pStyle w:val="Prrafodelista"/>
        <w:spacing w:before="120" w:line="276" w:lineRule="auto"/>
        <w:jc w:val="both"/>
        <w:rPr>
          <w:rFonts w:ascii="Verdana" w:eastAsia="Times New Roman" w:hAnsi="Verdana" w:cs="Arial"/>
          <w:color w:val="000000"/>
          <w:lang w:val="es-ES_tradnl"/>
        </w:rPr>
      </w:pPr>
    </w:p>
    <w:p w14:paraId="58CBB864" w14:textId="77777777" w:rsidR="00512B6B" w:rsidRPr="0003428D" w:rsidRDefault="00512B6B" w:rsidP="00512B6B">
      <w:pPr>
        <w:pStyle w:val="Prrafodelista"/>
        <w:numPr>
          <w:ilvl w:val="0"/>
          <w:numId w:val="3"/>
        </w:numPr>
        <w:spacing w:before="120" w:line="276" w:lineRule="auto"/>
        <w:jc w:val="both"/>
        <w:rPr>
          <w:rFonts w:ascii="Verdana" w:eastAsia="Times New Roman" w:hAnsi="Verdana" w:cs="Arial"/>
          <w:color w:val="000000"/>
          <w:lang w:val="es-ES_tradnl"/>
        </w:rPr>
      </w:pPr>
      <w:r w:rsidRPr="0003428D">
        <w:rPr>
          <w:rFonts w:ascii="Verdana" w:eastAsia="Times New Roman" w:hAnsi="Verdana" w:cs="Arial"/>
          <w:color w:val="000000"/>
          <w:lang w:val="es-ES_tradnl"/>
        </w:rPr>
        <w:t>El artículo 113</w:t>
      </w:r>
      <w:r w:rsidRPr="0003428D">
        <w:rPr>
          <w:rStyle w:val="Refdenotaalpie"/>
          <w:rFonts w:ascii="Verdana" w:eastAsia="Times New Roman" w:hAnsi="Verdana" w:cs="Arial"/>
          <w:color w:val="000000"/>
          <w:lang w:val="es-ES_tradnl"/>
        </w:rPr>
        <w:footnoteReference w:id="19"/>
      </w:r>
      <w:r w:rsidRPr="0003428D" w:rsidDel="00F41310">
        <w:rPr>
          <w:rFonts w:ascii="Verdana" w:eastAsia="Times New Roman" w:hAnsi="Verdana" w:cs="Arial"/>
          <w:color w:val="000000"/>
          <w:lang w:val="es-ES_tradnl"/>
        </w:rPr>
        <w:t>,</w:t>
      </w:r>
      <w:r w:rsidRPr="0003428D">
        <w:rPr>
          <w:rFonts w:ascii="Verdana" w:eastAsia="Times New Roman" w:hAnsi="Verdana" w:cs="Arial"/>
          <w:color w:val="000000"/>
          <w:lang w:val="es-ES_tradnl"/>
        </w:rPr>
        <w:t xml:space="preserve"> establece que los representantes legales de las entidades privadas encargadas de funciones administrativas están sujetos a las mismas prohibiciones e incompatibilidades que los servidores públicos, en relación con las funciones que desempeñan.</w:t>
      </w:r>
    </w:p>
    <w:p w14:paraId="1A6DB3B7" w14:textId="77777777" w:rsidR="00512B6B" w:rsidRPr="0003428D" w:rsidRDefault="00512B6B" w:rsidP="00512B6B">
      <w:pPr>
        <w:pStyle w:val="Prrafodelista"/>
        <w:spacing w:before="120" w:line="276" w:lineRule="auto"/>
        <w:jc w:val="both"/>
        <w:rPr>
          <w:rFonts w:ascii="Verdana" w:eastAsia="Times New Roman" w:hAnsi="Verdana" w:cs="Arial"/>
          <w:color w:val="000000"/>
          <w:lang w:val="es-ES_tradnl"/>
        </w:rPr>
      </w:pPr>
    </w:p>
    <w:p w14:paraId="7D942FB8" w14:textId="77777777" w:rsidR="00512B6B" w:rsidDel="00E72195" w:rsidRDefault="00512B6B" w:rsidP="00512B6B">
      <w:pPr>
        <w:pStyle w:val="Prrafodelista"/>
        <w:numPr>
          <w:ilvl w:val="0"/>
          <w:numId w:val="3"/>
        </w:numPr>
        <w:spacing w:before="120" w:line="276" w:lineRule="auto"/>
        <w:jc w:val="both"/>
        <w:rPr>
          <w:rFonts w:ascii="Verdana" w:eastAsia="Times New Roman" w:hAnsi="Verdana" w:cs="Arial"/>
          <w:color w:val="000000"/>
          <w:lang w:val="es-ES_tradnl"/>
        </w:rPr>
      </w:pPr>
      <w:r w:rsidRPr="0003428D">
        <w:rPr>
          <w:rFonts w:ascii="Verdana" w:eastAsia="Times New Roman" w:hAnsi="Verdana" w:cs="Arial"/>
          <w:color w:val="000000"/>
          <w:lang w:val="es-ES_tradnl"/>
        </w:rPr>
        <w:t>Además, prohíbe que estos representantes legales y los miembros de las juntas directivas o de los órganos de decisión de las entidades privadas que hayan ejercido funciones administrativas sean contratistas ejecutores de las decisiones en las que hayan participado en su regulación o adopción.</w:t>
      </w:r>
    </w:p>
    <w:p w14:paraId="38F7A78C" w14:textId="77777777" w:rsidR="00512B6B" w:rsidRPr="00403F7C" w:rsidRDefault="00512B6B" w:rsidP="00512B6B">
      <w:pPr>
        <w:spacing w:before="120" w:line="276" w:lineRule="auto"/>
        <w:jc w:val="both"/>
        <w:rPr>
          <w:rFonts w:ascii="Verdana" w:eastAsia="Times New Roman" w:hAnsi="Verdana" w:cs="Arial"/>
          <w:color w:val="000000"/>
          <w:lang w:val="es-ES_tradnl"/>
        </w:rPr>
      </w:pPr>
    </w:p>
    <w:p w14:paraId="0FE36986" w14:textId="77777777" w:rsidR="00512B6B" w:rsidRPr="0003428D" w:rsidRDefault="00512B6B" w:rsidP="00512B6B">
      <w:pPr>
        <w:pStyle w:val="Prrafodelista"/>
        <w:numPr>
          <w:ilvl w:val="0"/>
          <w:numId w:val="3"/>
        </w:numPr>
        <w:spacing w:before="120" w:line="276" w:lineRule="auto"/>
        <w:jc w:val="both"/>
        <w:rPr>
          <w:rFonts w:ascii="Verdana" w:eastAsia="Times New Roman" w:hAnsi="Verdana" w:cs="Arial"/>
          <w:color w:val="000000"/>
          <w:lang w:val="es-ES_tradnl"/>
        </w:rPr>
      </w:pPr>
      <w:r w:rsidRPr="0003428D">
        <w:rPr>
          <w:rFonts w:ascii="Verdana" w:eastAsia="Times New Roman" w:hAnsi="Verdana" w:cs="Arial"/>
          <w:color w:val="000000"/>
          <w:lang w:val="es-ES_tradnl"/>
        </w:rPr>
        <w:t>El artículo 114</w:t>
      </w:r>
      <w:r w:rsidRPr="0003428D">
        <w:rPr>
          <w:rStyle w:val="Refdenotaalpie"/>
          <w:rFonts w:ascii="Verdana" w:eastAsia="Times New Roman" w:hAnsi="Verdana" w:cs="Arial"/>
          <w:color w:val="000000"/>
          <w:lang w:val="es-ES_tradnl"/>
        </w:rPr>
        <w:footnoteReference w:id="20"/>
      </w:r>
      <w:r w:rsidRPr="0003428D" w:rsidDel="00E72195">
        <w:rPr>
          <w:rFonts w:ascii="Verdana" w:eastAsia="Times New Roman" w:hAnsi="Verdana" w:cs="Arial"/>
          <w:color w:val="000000"/>
          <w:lang w:val="es-ES_tradnl"/>
        </w:rPr>
        <w:t>,</w:t>
      </w:r>
      <w:r w:rsidRPr="0003428D">
        <w:rPr>
          <w:rFonts w:ascii="Verdana" w:eastAsia="Times New Roman" w:hAnsi="Verdana" w:cs="Arial"/>
          <w:color w:val="000000"/>
          <w:lang w:val="es-ES_tradnl"/>
        </w:rPr>
        <w:t xml:space="preserve"> establece que, sin perjuicio de los </w:t>
      </w:r>
      <w:r w:rsidRPr="0003428D" w:rsidDel="004A24D2">
        <w:rPr>
          <w:rFonts w:ascii="Verdana" w:eastAsia="Times New Roman" w:hAnsi="Verdana" w:cs="Arial"/>
          <w:color w:val="000000"/>
          <w:lang w:val="es-ES_tradnl"/>
        </w:rPr>
        <w:t xml:space="preserve">contratos </w:t>
      </w:r>
      <w:r w:rsidRPr="0003428D">
        <w:rPr>
          <w:rFonts w:ascii="Verdana" w:eastAsia="Times New Roman" w:hAnsi="Verdana" w:cs="Arial"/>
          <w:color w:val="000000"/>
          <w:lang w:val="es-ES_tradnl"/>
        </w:rPr>
        <w:t xml:space="preserve">pertinentes según la naturaleza de la actividad, la entidad pública que </w:t>
      </w:r>
      <w:r w:rsidRPr="0003428D" w:rsidDel="00D93E09">
        <w:rPr>
          <w:rFonts w:ascii="Verdana" w:eastAsia="Times New Roman" w:hAnsi="Verdana" w:cs="Arial"/>
          <w:color w:val="000000"/>
          <w:lang w:val="es-ES_tradnl"/>
        </w:rPr>
        <w:t xml:space="preserve">delegue </w:t>
      </w:r>
      <w:r w:rsidRPr="0003428D">
        <w:rPr>
          <w:rFonts w:ascii="Verdana" w:eastAsia="Times New Roman" w:hAnsi="Verdana" w:cs="Arial"/>
          <w:color w:val="000000"/>
          <w:lang w:val="es-ES_tradnl"/>
        </w:rPr>
        <w:t xml:space="preserve">funciones </w:t>
      </w:r>
      <w:r w:rsidRPr="0003428D" w:rsidDel="00D93E09">
        <w:rPr>
          <w:rFonts w:ascii="Verdana" w:eastAsia="Times New Roman" w:hAnsi="Verdana" w:cs="Arial"/>
          <w:color w:val="000000"/>
          <w:lang w:val="es-ES_tradnl"/>
        </w:rPr>
        <w:t xml:space="preserve">sobre </w:t>
      </w:r>
      <w:r w:rsidRPr="0003428D">
        <w:rPr>
          <w:rFonts w:ascii="Verdana" w:eastAsia="Times New Roman" w:hAnsi="Verdana" w:cs="Arial"/>
          <w:color w:val="000000"/>
          <w:lang w:val="es-ES_tradnl"/>
        </w:rPr>
        <w:t xml:space="preserve">un particular deberá ejercer un control directo sobre el cumplimiento de las finalidades, objetivos, políticas y programas que </w:t>
      </w:r>
      <w:r w:rsidRPr="0003428D" w:rsidDel="003F45AD">
        <w:rPr>
          <w:rFonts w:ascii="Verdana" w:eastAsia="Times New Roman" w:hAnsi="Verdana" w:cs="Arial"/>
          <w:color w:val="000000"/>
          <w:lang w:val="es-ES_tradnl"/>
        </w:rPr>
        <w:t xml:space="preserve">se </w:t>
      </w:r>
      <w:r w:rsidRPr="0003428D">
        <w:rPr>
          <w:rFonts w:ascii="Verdana" w:eastAsia="Times New Roman" w:hAnsi="Verdana" w:cs="Arial"/>
          <w:color w:val="000000"/>
          <w:lang w:val="es-ES_tradnl"/>
        </w:rPr>
        <w:t>debe</w:t>
      </w:r>
      <w:r w:rsidRPr="0003428D" w:rsidDel="003F45AD">
        <w:rPr>
          <w:rFonts w:ascii="Verdana" w:eastAsia="Times New Roman" w:hAnsi="Verdana" w:cs="Arial"/>
          <w:color w:val="000000"/>
          <w:lang w:val="es-ES_tradnl"/>
        </w:rPr>
        <w:t>n</w:t>
      </w:r>
      <w:r w:rsidRPr="0003428D">
        <w:rPr>
          <w:rFonts w:ascii="Verdana" w:eastAsia="Times New Roman" w:hAnsi="Verdana" w:cs="Arial"/>
          <w:color w:val="000000"/>
          <w:lang w:val="es-ES_tradnl"/>
        </w:rPr>
        <w:t xml:space="preserve"> seguir.</w:t>
      </w:r>
    </w:p>
    <w:p w14:paraId="2253EDFB" w14:textId="77777777" w:rsidR="00512B6B" w:rsidRPr="0003428D" w:rsidRDefault="00512B6B" w:rsidP="00512B6B">
      <w:pPr>
        <w:pStyle w:val="Prrafodelista"/>
        <w:rPr>
          <w:rFonts w:ascii="Verdana" w:eastAsia="Times New Roman" w:hAnsi="Verdana" w:cs="Arial"/>
          <w:color w:val="000000"/>
          <w:lang w:val="es-ES_tradnl"/>
        </w:rPr>
      </w:pPr>
    </w:p>
    <w:p w14:paraId="08DD87C9" w14:textId="77777777" w:rsidR="00512B6B" w:rsidRDefault="00512B6B" w:rsidP="00512B6B">
      <w:pPr>
        <w:pStyle w:val="Prrafodelista"/>
        <w:numPr>
          <w:ilvl w:val="0"/>
          <w:numId w:val="3"/>
        </w:numPr>
        <w:spacing w:before="120" w:line="276" w:lineRule="auto"/>
        <w:jc w:val="both"/>
        <w:rPr>
          <w:rFonts w:ascii="Verdana" w:hAnsi="Verdana" w:cs="Arial"/>
          <w:color w:val="000000"/>
        </w:rPr>
      </w:pPr>
      <w:r w:rsidRPr="0097686D">
        <w:rPr>
          <w:rFonts w:ascii="Verdana" w:hAnsi="Verdana" w:cs="Arial"/>
          <w:color w:val="000000"/>
        </w:rPr>
        <w:t xml:space="preserve">Con sustento en lo anterior, es importante precisar que, La normativa colombiana, particularmente la Ley 80 de 1993, las Leyes 1150 de 2007 y 1474 de 2011, establece que las entidades estatales son responsables de garantizar el cumplimiento de los contratos públicos, ejerciendo una vigilancia continua sobre su ejecución. Esta supervisión debe ser realizada por funcionarios públicos de la entidad, quienes pueden recibir apoyo de contratistas o personal especializado para tareas técnicas, pero siempre bajo su dirección y control. Además, la Ley 489 de 1998 permite la delegación de funciones administrativas a particulares, pero siempre bajo la supervisión directa de la entidad pública, asegurando el cumplimiento </w:t>
      </w:r>
      <w:r w:rsidRPr="0097686D">
        <w:rPr>
          <w:rFonts w:ascii="Verdana" w:hAnsi="Verdana" w:cs="Arial"/>
          <w:color w:val="000000"/>
        </w:rPr>
        <w:lastRenderedPageBreak/>
        <w:t>de los principios legales y la correcta ejecución del contrato. En conjunto, estas leyes buscan asegurar la transparencia, el cumplimiento de los plazos, condiciones y calidades pactadas, y la adecuada gestión de los recursos públicos.</w:t>
      </w:r>
    </w:p>
    <w:bookmarkEnd w:id="1"/>
    <w:bookmarkEnd w:id="2"/>
    <w:p w14:paraId="35AED614" w14:textId="77777777" w:rsidR="00512B6B" w:rsidRPr="0097686D" w:rsidDel="000E6884" w:rsidRDefault="00512B6B" w:rsidP="00512B6B">
      <w:pPr>
        <w:pStyle w:val="Prrafodelista"/>
        <w:rPr>
          <w:rFonts w:ascii="Verdana" w:hAnsi="Verdana" w:cs="Arial"/>
          <w:color w:val="000000"/>
        </w:rPr>
      </w:pPr>
    </w:p>
    <w:p w14:paraId="0F578F9D" w14:textId="77777777" w:rsidR="00512B6B" w:rsidRPr="0097686D" w:rsidRDefault="00512B6B" w:rsidP="00512B6B">
      <w:pPr>
        <w:pStyle w:val="Prrafodelista"/>
        <w:spacing w:before="120" w:line="276" w:lineRule="auto"/>
        <w:jc w:val="both"/>
        <w:rPr>
          <w:rFonts w:ascii="Verdana" w:hAnsi="Verdana" w:cs="Arial"/>
          <w:color w:val="000000"/>
        </w:rPr>
      </w:pPr>
    </w:p>
    <w:p w14:paraId="2D2D456A" w14:textId="77777777" w:rsidR="00512B6B" w:rsidRPr="00115E3D" w:rsidRDefault="00512B6B" w:rsidP="00512B6B">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Referencias normativas, jurisprudenciales y otras fuentes:</w:t>
      </w:r>
    </w:p>
    <w:p w14:paraId="3CCCC302" w14:textId="77777777" w:rsidR="00512B6B" w:rsidRPr="00115E3D" w:rsidRDefault="00512B6B" w:rsidP="00512B6B">
      <w:pPr>
        <w:widowControl w:val="0"/>
        <w:autoSpaceDE w:val="0"/>
        <w:autoSpaceDN w:val="0"/>
        <w:spacing w:after="0" w:line="276" w:lineRule="auto"/>
        <w:jc w:val="both"/>
        <w:rPr>
          <w:rFonts w:ascii="Verdana" w:hAnsi="Verdana" w:cs="Arial"/>
          <w:color w:val="000000" w:themeColor="text1"/>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512B6B" w:rsidRPr="00115E3D" w14:paraId="01284553" w14:textId="77777777" w:rsidTr="00EF5085">
        <w:trPr>
          <w:trHeight w:val="870"/>
        </w:trPr>
        <w:tc>
          <w:tcPr>
            <w:tcW w:w="8647" w:type="dxa"/>
          </w:tcPr>
          <w:p w14:paraId="1661F2DB" w14:textId="77777777" w:rsidR="00512B6B" w:rsidRPr="00912093" w:rsidRDefault="00512B6B" w:rsidP="00EF5085">
            <w:pPr>
              <w:pStyle w:val="Prrafodelista"/>
              <w:widowControl w:val="0"/>
              <w:numPr>
                <w:ilvl w:val="0"/>
                <w:numId w:val="2"/>
              </w:numPr>
              <w:autoSpaceDE w:val="0"/>
              <w:autoSpaceDN w:val="0"/>
              <w:spacing w:after="120" w:line="276" w:lineRule="auto"/>
              <w:jc w:val="both"/>
              <w:rPr>
                <w:rFonts w:ascii="Verdana" w:hAnsi="Verdana" w:cs="Arial"/>
                <w:color w:val="000000" w:themeColor="text1"/>
              </w:rPr>
            </w:pPr>
            <w:r w:rsidRPr="00912093">
              <w:rPr>
                <w:rFonts w:ascii="Verdana" w:hAnsi="Verdana" w:cs="Arial"/>
                <w:color w:val="000000" w:themeColor="text1"/>
              </w:rPr>
              <w:t>Ley 80 de 1993. Artículos 4, 5, 12, 14 y 26</w:t>
            </w:r>
          </w:p>
          <w:p w14:paraId="46AE67D7" w14:textId="77777777" w:rsidR="00512B6B" w:rsidRPr="00912093" w:rsidRDefault="00512B6B" w:rsidP="00EF5085">
            <w:pPr>
              <w:pStyle w:val="Prrafodelista"/>
              <w:widowControl w:val="0"/>
              <w:numPr>
                <w:ilvl w:val="0"/>
                <w:numId w:val="2"/>
              </w:numPr>
              <w:autoSpaceDE w:val="0"/>
              <w:autoSpaceDN w:val="0"/>
              <w:spacing w:after="120" w:line="276" w:lineRule="auto"/>
              <w:jc w:val="both"/>
              <w:rPr>
                <w:rFonts w:ascii="Verdana" w:hAnsi="Verdana" w:cs="Arial"/>
                <w:color w:val="000000" w:themeColor="text1"/>
              </w:rPr>
            </w:pPr>
            <w:r w:rsidRPr="00912093">
              <w:rPr>
                <w:rFonts w:ascii="Verdana" w:hAnsi="Verdana" w:cs="Arial"/>
                <w:color w:val="000000" w:themeColor="text1"/>
              </w:rPr>
              <w:t>Ley 1150 de 2007. Artículos 17 y 21</w:t>
            </w:r>
          </w:p>
          <w:p w14:paraId="2BD28A5C" w14:textId="77777777" w:rsidR="00512B6B" w:rsidRDefault="00512B6B" w:rsidP="00EF5085">
            <w:pPr>
              <w:pStyle w:val="Prrafodelista"/>
              <w:widowControl w:val="0"/>
              <w:numPr>
                <w:ilvl w:val="0"/>
                <w:numId w:val="2"/>
              </w:numPr>
              <w:autoSpaceDE w:val="0"/>
              <w:autoSpaceDN w:val="0"/>
              <w:spacing w:after="120" w:line="276" w:lineRule="auto"/>
              <w:jc w:val="both"/>
              <w:rPr>
                <w:rFonts w:ascii="Verdana" w:hAnsi="Verdana" w:cs="Arial"/>
                <w:color w:val="000000" w:themeColor="text1"/>
              </w:rPr>
            </w:pPr>
            <w:r w:rsidRPr="00912093">
              <w:rPr>
                <w:rFonts w:ascii="Verdana" w:hAnsi="Verdana" w:cs="Arial"/>
                <w:color w:val="000000" w:themeColor="text1"/>
              </w:rPr>
              <w:t>Ley 1474 de 2011. Artículos 83</w:t>
            </w:r>
          </w:p>
          <w:p w14:paraId="4712AA70" w14:textId="77777777" w:rsidR="00512B6B" w:rsidRPr="00912093" w:rsidRDefault="00512B6B" w:rsidP="00EF5085">
            <w:pPr>
              <w:pStyle w:val="Prrafodelista"/>
              <w:widowControl w:val="0"/>
              <w:numPr>
                <w:ilvl w:val="0"/>
                <w:numId w:val="2"/>
              </w:numPr>
              <w:autoSpaceDE w:val="0"/>
              <w:autoSpaceDN w:val="0"/>
              <w:spacing w:after="120" w:line="276" w:lineRule="auto"/>
              <w:jc w:val="both"/>
              <w:rPr>
                <w:rFonts w:ascii="Verdana" w:hAnsi="Verdana" w:cs="Arial"/>
                <w:color w:val="000000" w:themeColor="text1"/>
              </w:rPr>
            </w:pPr>
            <w:r>
              <w:rPr>
                <w:rFonts w:ascii="Verdana" w:hAnsi="Verdana" w:cs="Arial"/>
                <w:color w:val="000000" w:themeColor="text1"/>
              </w:rPr>
              <w:t>Ley 489 de 1998, Artículos 110, 111,112,113,114.</w:t>
            </w:r>
          </w:p>
          <w:p w14:paraId="32215B50" w14:textId="77777777" w:rsidR="00512B6B" w:rsidRPr="00573220" w:rsidRDefault="00512B6B" w:rsidP="00EF5085">
            <w:pPr>
              <w:pStyle w:val="Prrafodelista"/>
              <w:widowControl w:val="0"/>
              <w:numPr>
                <w:ilvl w:val="0"/>
                <w:numId w:val="2"/>
              </w:numPr>
              <w:autoSpaceDE w:val="0"/>
              <w:autoSpaceDN w:val="0"/>
              <w:spacing w:after="160" w:line="276" w:lineRule="auto"/>
              <w:jc w:val="both"/>
              <w:rPr>
                <w:rFonts w:ascii="Verdana" w:hAnsi="Verdana" w:cs="Arial"/>
                <w:color w:val="000000" w:themeColor="text1"/>
              </w:rPr>
            </w:pPr>
            <w:r w:rsidRPr="00912093">
              <w:rPr>
                <w:rFonts w:ascii="Verdana" w:hAnsi="Verdana" w:cs="Arial"/>
                <w:color w:val="000000" w:themeColor="text1"/>
              </w:rPr>
              <w:t xml:space="preserve">Colombia Compra Eficiente, Guía para el ejercicio de las funciones de Supervisión e Interventoría de los contratos del Estado, disponible </w:t>
            </w:r>
            <w:hyperlink r:id="rId13" w:history="1">
              <w:r w:rsidRPr="00912093">
                <w:rPr>
                  <w:rStyle w:val="Hipervnculo"/>
                  <w:rFonts w:ascii="Verdana" w:hAnsi="Verdana" w:cs="Arial"/>
                </w:rPr>
                <w:t>aquí</w:t>
              </w:r>
            </w:hyperlink>
          </w:p>
          <w:p w14:paraId="44B8D09F" w14:textId="77777777" w:rsidR="00512B6B" w:rsidRPr="00115E3D" w:rsidRDefault="00512B6B" w:rsidP="00EF5085">
            <w:pPr>
              <w:pStyle w:val="Prrafodelista"/>
              <w:widowControl w:val="0"/>
              <w:numPr>
                <w:ilvl w:val="0"/>
                <w:numId w:val="2"/>
              </w:numPr>
              <w:autoSpaceDE w:val="0"/>
              <w:autoSpaceDN w:val="0"/>
              <w:spacing w:after="120" w:line="276" w:lineRule="auto"/>
              <w:contextualSpacing w:val="0"/>
              <w:jc w:val="both"/>
              <w:rPr>
                <w:rFonts w:ascii="Verdana" w:hAnsi="Verdana" w:cs="Arial"/>
                <w:color w:val="000000" w:themeColor="text1"/>
              </w:rPr>
            </w:pPr>
            <w:r w:rsidRPr="00912093">
              <w:rPr>
                <w:rFonts w:ascii="Verdana" w:hAnsi="Verdana" w:cs="Arial"/>
                <w:color w:val="000000" w:themeColor="text1"/>
              </w:rPr>
              <w:t xml:space="preserve">Consejo de Estado. Sección 3ª. Sentencia del 27 de noviembre de 2017. M.P. Jaime Orlando Santofimio. </w:t>
            </w:r>
            <w:proofErr w:type="spellStart"/>
            <w:r w:rsidRPr="00912093">
              <w:rPr>
                <w:rFonts w:ascii="Verdana" w:hAnsi="Verdana" w:cs="Arial"/>
                <w:color w:val="000000" w:themeColor="text1"/>
              </w:rPr>
              <w:t>Exp</w:t>
            </w:r>
            <w:proofErr w:type="spellEnd"/>
            <w:r w:rsidRPr="00912093">
              <w:rPr>
                <w:rFonts w:ascii="Verdana" w:hAnsi="Verdana" w:cs="Arial"/>
                <w:color w:val="000000" w:themeColor="text1"/>
              </w:rPr>
              <w:t>. 51.802</w:t>
            </w:r>
          </w:p>
        </w:tc>
      </w:tr>
    </w:tbl>
    <w:p w14:paraId="00F8214D" w14:textId="77777777" w:rsidR="00512B6B" w:rsidRPr="00115E3D" w:rsidRDefault="00512B6B" w:rsidP="00512B6B">
      <w:pPr>
        <w:widowControl w:val="0"/>
        <w:autoSpaceDE w:val="0"/>
        <w:autoSpaceDN w:val="0"/>
        <w:spacing w:after="0" w:line="276" w:lineRule="auto"/>
        <w:jc w:val="both"/>
        <w:rPr>
          <w:rFonts w:ascii="Verdana" w:hAnsi="Verdana" w:cs="Arial"/>
          <w:color w:val="000000" w:themeColor="text1"/>
        </w:rPr>
      </w:pPr>
    </w:p>
    <w:p w14:paraId="4A223787" w14:textId="77777777" w:rsidR="00512B6B" w:rsidRPr="00115E3D" w:rsidRDefault="00512B6B" w:rsidP="00512B6B">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Doctrina de la Agencia Nacional de Contratación Pública:</w:t>
      </w:r>
    </w:p>
    <w:p w14:paraId="1DB90FFF" w14:textId="77777777" w:rsidR="00512B6B" w:rsidRPr="00115E3D" w:rsidRDefault="00512B6B" w:rsidP="00512B6B">
      <w:pPr>
        <w:widowControl w:val="0"/>
        <w:autoSpaceDE w:val="0"/>
        <w:autoSpaceDN w:val="0"/>
        <w:spacing w:after="0" w:line="276" w:lineRule="auto"/>
        <w:jc w:val="both"/>
        <w:rPr>
          <w:rFonts w:ascii="Verdana" w:hAnsi="Verdana" w:cs="Arial"/>
          <w:color w:val="000000" w:themeColor="text1"/>
        </w:rPr>
      </w:pPr>
    </w:p>
    <w:p w14:paraId="5FA75B9D" w14:textId="77777777" w:rsidR="00512B6B" w:rsidRDefault="00512B6B" w:rsidP="00512B6B">
      <w:pPr>
        <w:widowControl w:val="0"/>
        <w:autoSpaceDE w:val="0"/>
        <w:autoSpaceDN w:val="0"/>
        <w:spacing w:after="0" w:line="276" w:lineRule="auto"/>
        <w:jc w:val="both"/>
        <w:rPr>
          <w:rFonts w:ascii="Verdana" w:hAnsi="Verdana" w:cs="Arial"/>
          <w:color w:val="000000" w:themeColor="text1"/>
          <w:shd w:val="clear" w:color="auto" w:fill="FFFFFF"/>
          <w:lang w:val="es-ES"/>
        </w:rPr>
      </w:pPr>
      <w:r w:rsidRPr="00E55233">
        <w:rPr>
          <w:rFonts w:ascii="Verdana" w:hAnsi="Verdana" w:cs="Arial"/>
          <w:color w:val="000000" w:themeColor="text1"/>
          <w:shd w:val="clear" w:color="auto" w:fill="FFFFFF"/>
          <w:lang w:val="es-ES"/>
        </w:rPr>
        <w:t xml:space="preserve">Sobre la obligación de controlar y vigilar la ejecución de los contratos estatales, esta Subdirección se ha referido en los Conceptos </w:t>
      </w:r>
      <w:r w:rsidRPr="00E55233">
        <w:rPr>
          <w:rFonts w:ascii="Verdana" w:hAnsi="Verdana" w:cs="Arial"/>
          <w:color w:val="000000" w:themeColor="text1"/>
          <w:shd w:val="clear" w:color="auto" w:fill="FFFFFF"/>
          <w:lang w:val="es-ES_tradnl"/>
        </w:rPr>
        <w:t>radicado 4201913000004799 del 30 de agosto de 2019, 4201913000008240 del 20 de diciembre de 2019, C-064 del 28 de febrero de 2020, C-071 del 4 de marzo de 2020, C–077 del 18 de marzo de 2020, C–150 del 18 de marzo de 2020, C–134 del 30 de marzo de 2020, C–180 del 13 de abril de 2020, C-344 del 26 de mayo de 2020, C-414 del 30 de junio de 2021, C-506 de 3 de agosto de 2022, C-579 del 9 de septiembre de 2022, C-577 del 15 de septiembre de 2022, C-620 del 27 de septiembre de 2022, C-650 del 27 de septiembre de 2022, C-679 de 24 de octubre de 2022, C-818 del 28 de noviembre de 2022, C-830 de 28 de noviembre de 2022, C-800 de 29 de noviembre de 2022, C-930 de 30 de diciembre de 2022, C-932 de 30 de diciembre de 2022, C-975 de 8 de marzo de 2032, C-191 de 27 de abril de 2023, C-089 de 2024 de 17 de julio de 2024, C-255 de 14 de agosto de 2024</w:t>
      </w:r>
      <w:r w:rsidRPr="00E55233">
        <w:rPr>
          <w:rFonts w:ascii="Verdana" w:hAnsi="Verdana" w:cs="Arial"/>
          <w:color w:val="000000" w:themeColor="text1"/>
          <w:shd w:val="clear" w:color="auto" w:fill="FFFFFF"/>
          <w:lang w:val="es-ES"/>
        </w:rPr>
        <w:t xml:space="preserve">,C-600 del 7 de octubre de 2024, entre otros. 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4" w:history="1">
        <w:r w:rsidRPr="00E55233">
          <w:rPr>
            <w:rStyle w:val="Hipervnculo"/>
            <w:rFonts w:ascii="Verdana" w:hAnsi="Verdana" w:cs="Arial"/>
            <w:shd w:val="clear" w:color="auto" w:fill="FFFFFF"/>
          </w:rPr>
          <w:t>https://relatoria.colombiacompra.gov.co/</w:t>
        </w:r>
      </w:hyperlink>
      <w:r w:rsidRPr="00E55233" w:rsidDel="00E1541B">
        <w:rPr>
          <w:rFonts w:ascii="Verdana" w:hAnsi="Verdana" w:cs="Arial"/>
          <w:color w:val="000000" w:themeColor="text1"/>
          <w:shd w:val="clear" w:color="auto" w:fill="FFFFFF"/>
          <w:lang w:val="es-ES"/>
        </w:rPr>
        <w:t>.</w:t>
      </w:r>
      <w:r w:rsidRPr="00E55233">
        <w:rPr>
          <w:rFonts w:ascii="Verdana" w:hAnsi="Verdana" w:cs="Arial"/>
          <w:color w:val="000000" w:themeColor="text1"/>
          <w:shd w:val="clear" w:color="auto" w:fill="FFFFFF"/>
          <w:lang w:val="es-ES"/>
        </w:rPr>
        <w:t xml:space="preserve"> </w:t>
      </w:r>
    </w:p>
    <w:p w14:paraId="327275CB" w14:textId="77777777" w:rsidR="00512B6B" w:rsidRDefault="00512B6B" w:rsidP="00512B6B">
      <w:pPr>
        <w:widowControl w:val="0"/>
        <w:autoSpaceDE w:val="0"/>
        <w:autoSpaceDN w:val="0"/>
        <w:spacing w:after="0" w:line="276" w:lineRule="auto"/>
        <w:jc w:val="both"/>
        <w:rPr>
          <w:rFonts w:ascii="Verdana" w:hAnsi="Verdana" w:cs="Arial"/>
          <w:color w:val="000000" w:themeColor="text1"/>
          <w:shd w:val="clear" w:color="auto" w:fill="FFFFFF"/>
          <w:lang w:val="es-ES"/>
        </w:rPr>
      </w:pPr>
    </w:p>
    <w:p w14:paraId="6C1DCBD4" w14:textId="77777777" w:rsidR="00512B6B" w:rsidRPr="002B3F82" w:rsidRDefault="00512B6B" w:rsidP="00512B6B">
      <w:pPr>
        <w:widowControl w:val="0"/>
        <w:autoSpaceDE w:val="0"/>
        <w:autoSpaceDN w:val="0"/>
        <w:spacing w:after="0" w:line="276" w:lineRule="auto"/>
        <w:jc w:val="both"/>
        <w:rPr>
          <w:rFonts w:ascii="Verdana" w:hAnsi="Verdana" w:cs="Arial"/>
          <w:color w:val="000000" w:themeColor="text1"/>
          <w:shd w:val="clear" w:color="auto" w:fill="FFFFFF"/>
        </w:rPr>
      </w:pPr>
      <w:r w:rsidRPr="002B3F82">
        <w:rPr>
          <w:rFonts w:ascii="Verdana" w:hAnsi="Verdana" w:cs="Arial"/>
          <w:color w:val="000000" w:themeColor="text1"/>
          <w:shd w:val="clear" w:color="auto" w:fill="FFFFFF"/>
        </w:rPr>
        <w:t>Nos complace informarte que ya están disponibles las nuevas versiones de los Documentos Tipo para Infraestructura de Transporte, recuerda que es de obligatoria observancia por TODAS las entidades sometidas al EGCAP y entidades de régimen especial, con las excepciones de ley:</w:t>
      </w:r>
    </w:p>
    <w:p w14:paraId="4E21711C" w14:textId="77777777" w:rsidR="00512B6B" w:rsidRPr="002B3F82" w:rsidRDefault="00512B6B" w:rsidP="00512B6B">
      <w:pPr>
        <w:widowControl w:val="0"/>
        <w:numPr>
          <w:ilvl w:val="0"/>
          <w:numId w:val="4"/>
        </w:numPr>
        <w:autoSpaceDE w:val="0"/>
        <w:autoSpaceDN w:val="0"/>
        <w:spacing w:after="0" w:line="276" w:lineRule="auto"/>
        <w:jc w:val="both"/>
        <w:rPr>
          <w:rFonts w:ascii="Verdana" w:hAnsi="Verdana" w:cs="Arial"/>
          <w:color w:val="000000" w:themeColor="text1"/>
          <w:shd w:val="clear" w:color="auto" w:fill="FFFFFF"/>
        </w:rPr>
      </w:pPr>
      <w:r w:rsidRPr="002B3F82">
        <w:rPr>
          <w:rFonts w:ascii="Verdana" w:hAnsi="Verdana" w:cs="Arial"/>
          <w:b/>
          <w:bCs/>
          <w:color w:val="000000" w:themeColor="text1"/>
          <w:shd w:val="clear" w:color="auto" w:fill="FFFFFF"/>
        </w:rPr>
        <w:t>Documentos tipo para los procesos de selección de interventoría de obra pública de infraestructura de transporte – versión 3: </w:t>
      </w:r>
      <w:hyperlink r:id="rId15" w:tgtFrame="_blank" w:tooltip="Dirección URL original: https://www.colombiacompra.gov.co/content/03-documentos-tipo-para-los-procesos-de-seleccion-de-interventoria-de-obra-publica-de. Haga clic o pulse si confía en este vínculo." w:history="1">
        <w:r w:rsidRPr="002B3F82">
          <w:rPr>
            <w:rStyle w:val="Hipervnculo"/>
            <w:rFonts w:ascii="Verdana" w:hAnsi="Verdana" w:cs="Arial"/>
            <w:shd w:val="clear" w:color="auto" w:fill="FFFFFF"/>
          </w:rPr>
          <w:t>03. Documentos tipo para los procesos de selección de interventoría de obra pública de infraestructura de transporte – versión 3 | Colombia Compra Eficiente | Agencia Nacional de Contratación Pública</w:t>
        </w:r>
      </w:hyperlink>
    </w:p>
    <w:p w14:paraId="73FD2AFE" w14:textId="77777777" w:rsidR="00512B6B" w:rsidRPr="002B3F82" w:rsidRDefault="00512B6B" w:rsidP="00512B6B">
      <w:pPr>
        <w:widowControl w:val="0"/>
        <w:numPr>
          <w:ilvl w:val="0"/>
          <w:numId w:val="4"/>
        </w:numPr>
        <w:autoSpaceDE w:val="0"/>
        <w:autoSpaceDN w:val="0"/>
        <w:spacing w:after="0" w:line="276" w:lineRule="auto"/>
        <w:jc w:val="both"/>
        <w:rPr>
          <w:rFonts w:ascii="Verdana" w:hAnsi="Verdana" w:cs="Arial"/>
          <w:color w:val="000000" w:themeColor="text1"/>
          <w:shd w:val="clear" w:color="auto" w:fill="FFFFFF"/>
        </w:rPr>
      </w:pPr>
      <w:r w:rsidRPr="002B3F82">
        <w:rPr>
          <w:rFonts w:ascii="Verdana" w:hAnsi="Verdana" w:cs="Arial"/>
          <w:b/>
          <w:bCs/>
          <w:color w:val="000000" w:themeColor="text1"/>
          <w:shd w:val="clear" w:color="auto" w:fill="FFFFFF"/>
        </w:rPr>
        <w:t>Documentos tipo para los procesos de selección de consultoría de obra pública de infraestructura de transporte – versión 2:</w:t>
      </w:r>
      <w:r w:rsidRPr="002B3F82">
        <w:rPr>
          <w:rFonts w:ascii="Verdana" w:hAnsi="Verdana" w:cs="Arial"/>
          <w:color w:val="000000" w:themeColor="text1"/>
          <w:shd w:val="clear" w:color="auto" w:fill="FFFFFF"/>
        </w:rPr>
        <w:t> </w:t>
      </w:r>
      <w:hyperlink r:id="rId16" w:tgtFrame="_blank" w:tooltip="Dirección URL original: https://www.colombiacompra.gov.co/content/02-documentos-tipo-para-los-procesos-de-seleccion-de-consultoria-de-obra-publica-de. Haga clic o pulse si confía en este vínculo." w:history="1">
        <w:r w:rsidRPr="002B3F82">
          <w:rPr>
            <w:rStyle w:val="Hipervnculo"/>
            <w:rFonts w:ascii="Verdana" w:hAnsi="Verdana" w:cs="Arial"/>
            <w:shd w:val="clear" w:color="auto" w:fill="FFFFFF"/>
          </w:rPr>
          <w:t>02. Documentos tipo para los procesos de selección de consultoría de obra pública de infraestructura de transporte – versión 2. | Colombia Compra Eficiente | Agencia Nacional de Contratación Pública</w:t>
        </w:r>
      </w:hyperlink>
    </w:p>
    <w:p w14:paraId="52673AB9" w14:textId="77777777" w:rsidR="00512B6B" w:rsidRDefault="00512B6B" w:rsidP="00512B6B">
      <w:pPr>
        <w:widowControl w:val="0"/>
        <w:autoSpaceDE w:val="0"/>
        <w:autoSpaceDN w:val="0"/>
        <w:spacing w:after="0" w:line="276" w:lineRule="auto"/>
        <w:jc w:val="both"/>
        <w:rPr>
          <w:rFonts w:ascii="Verdana" w:hAnsi="Verdana" w:cs="Arial"/>
          <w:color w:val="000000" w:themeColor="text1"/>
          <w:shd w:val="clear" w:color="auto" w:fill="FFFFFF"/>
        </w:rPr>
      </w:pPr>
    </w:p>
    <w:p w14:paraId="5D44AD23" w14:textId="77777777" w:rsidR="00512B6B" w:rsidRPr="002B3F82" w:rsidRDefault="00512B6B" w:rsidP="00512B6B">
      <w:pPr>
        <w:widowControl w:val="0"/>
        <w:autoSpaceDE w:val="0"/>
        <w:autoSpaceDN w:val="0"/>
        <w:spacing w:after="0" w:line="276" w:lineRule="auto"/>
        <w:jc w:val="both"/>
        <w:rPr>
          <w:rFonts w:ascii="Verdana" w:hAnsi="Verdana" w:cs="Arial"/>
          <w:color w:val="000000" w:themeColor="text1"/>
          <w:shd w:val="clear" w:color="auto" w:fill="FFFFFF"/>
        </w:rPr>
      </w:pPr>
      <w:r w:rsidRPr="002B3F82">
        <w:rPr>
          <w:rFonts w:ascii="Verdana" w:hAnsi="Verdana" w:cs="Arial"/>
          <w:color w:val="000000" w:themeColor="text1"/>
          <w:shd w:val="clear" w:color="auto" w:fill="FFFFFF"/>
        </w:rPr>
        <w:t>También, te contamos que ya publicamos </w:t>
      </w:r>
      <w:r w:rsidRPr="002B3F82">
        <w:rPr>
          <w:rFonts w:ascii="Verdana" w:hAnsi="Verdana" w:cs="Arial"/>
          <w:b/>
          <w:bCs/>
          <w:color w:val="000000" w:themeColor="text1"/>
          <w:shd w:val="clear" w:color="auto" w:fill="FFFFFF"/>
        </w:rPr>
        <w:t>la nueva Guía de Contratación Pública Sostenible y Socialmente Responsable</w:t>
      </w:r>
      <w:r w:rsidRPr="002B3F82">
        <w:rPr>
          <w:rFonts w:ascii="Verdana" w:hAnsi="Verdana" w:cs="Arial"/>
          <w:color w:val="000000" w:themeColor="text1"/>
          <w:shd w:val="clear" w:color="auto" w:fill="FFFFFF"/>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7" w:tgtFrame="_blank" w:tooltip="Dirección URL original: https://www.colombiacompra.gov.co/manuales-guias-y-pliegos-tipo/manuales-y-guias/guia-de-contratacion-publica-sostenible-y-socialmente. Haga clic o pulse si confía en este vínculo." w:history="1">
        <w:r w:rsidRPr="002B3F82">
          <w:rPr>
            <w:rStyle w:val="Hipervnculo"/>
            <w:rFonts w:ascii="Verdana" w:hAnsi="Verdana" w:cs="Arial"/>
            <w:shd w:val="clear" w:color="auto" w:fill="FFFFFF"/>
          </w:rPr>
          <w:t>Guía de Contratación Pública Sostenible y Socialmente Responsable | Colombia Compra Eficiente | Agencia Nacional de Contratación Pública</w:t>
        </w:r>
      </w:hyperlink>
    </w:p>
    <w:p w14:paraId="2EB30111" w14:textId="77777777" w:rsidR="00512B6B" w:rsidRPr="00115E3D" w:rsidRDefault="00512B6B" w:rsidP="00512B6B">
      <w:pPr>
        <w:widowControl w:val="0"/>
        <w:autoSpaceDE w:val="0"/>
        <w:autoSpaceDN w:val="0"/>
        <w:spacing w:after="0" w:line="276" w:lineRule="auto"/>
        <w:jc w:val="both"/>
        <w:rPr>
          <w:rStyle w:val="normaltextrun"/>
          <w:rFonts w:ascii="Verdana" w:hAnsi="Verdana" w:cs="Arial"/>
          <w:color w:val="000000" w:themeColor="text1"/>
          <w:shd w:val="clear" w:color="auto" w:fill="FFFFFF"/>
          <w:lang w:val="es-ES"/>
        </w:rPr>
      </w:pPr>
    </w:p>
    <w:p w14:paraId="243CAB7D" w14:textId="77777777" w:rsidR="00512B6B" w:rsidRPr="00115E3D" w:rsidRDefault="00512B6B" w:rsidP="00512B6B">
      <w:pPr>
        <w:spacing w:after="0" w:line="240" w:lineRule="auto"/>
        <w:jc w:val="both"/>
        <w:rPr>
          <w:rFonts w:ascii="Verdana" w:hAnsi="Verdana"/>
          <w:color w:val="000000" w:themeColor="text1"/>
        </w:rPr>
      </w:pPr>
      <w:r>
        <w:rPr>
          <w:rFonts w:ascii="Verdana" w:hAnsi="Verdana"/>
          <w:color w:val="000000" w:themeColor="text1"/>
          <w:lang w:val="es-ES"/>
        </w:rPr>
        <w:t>L</w:t>
      </w:r>
      <w:r w:rsidRPr="00115E3D">
        <w:rPr>
          <w:rFonts w:ascii="Verdana" w:hAnsi="Verdana"/>
          <w:color w:val="000000" w:themeColor="text1"/>
        </w:rPr>
        <w:t xml:space="preserve">o invitamos a seguirnos en las redes sociales en las cuales se difunde información institucional: </w:t>
      </w:r>
    </w:p>
    <w:p w14:paraId="468BAABC" w14:textId="77777777" w:rsidR="00512B6B" w:rsidRPr="00115E3D" w:rsidRDefault="00512B6B" w:rsidP="00512B6B">
      <w:pPr>
        <w:spacing w:after="0" w:line="240" w:lineRule="auto"/>
        <w:jc w:val="both"/>
        <w:rPr>
          <w:rFonts w:ascii="Verdana" w:hAnsi="Verdana"/>
          <w:color w:val="000000" w:themeColor="text1"/>
        </w:rPr>
      </w:pPr>
    </w:p>
    <w:p w14:paraId="7721BD58" w14:textId="77777777" w:rsidR="00512B6B" w:rsidRPr="00115E3D" w:rsidRDefault="00512B6B" w:rsidP="00512B6B">
      <w:pPr>
        <w:spacing w:after="0" w:line="240" w:lineRule="auto"/>
        <w:jc w:val="both"/>
        <w:rPr>
          <w:rFonts w:ascii="Verdana" w:hAnsi="Verdana"/>
          <w:color w:val="000000" w:themeColor="text1"/>
        </w:rPr>
      </w:pPr>
      <w:r w:rsidRPr="00115E3D">
        <w:rPr>
          <w:rFonts w:ascii="Verdana" w:hAnsi="Verdana"/>
          <w:color w:val="000000" w:themeColor="text1"/>
        </w:rPr>
        <w:t xml:space="preserve">Twitter: </w:t>
      </w:r>
      <w:r w:rsidRPr="00115E3D">
        <w:rPr>
          <w:rStyle w:val="Hipervnculo"/>
          <w:rFonts w:ascii="Verdana" w:hAnsi="Verdana"/>
          <w:color w:val="000000" w:themeColor="text1"/>
        </w:rPr>
        <w:t>@colombiacompra</w:t>
      </w:r>
      <w:r w:rsidRPr="00115E3D">
        <w:rPr>
          <w:rFonts w:ascii="Verdana" w:hAnsi="Verdana"/>
          <w:color w:val="000000" w:themeColor="text1"/>
        </w:rPr>
        <w:t xml:space="preserve"> </w:t>
      </w:r>
    </w:p>
    <w:p w14:paraId="6469CB02" w14:textId="77777777" w:rsidR="00512B6B" w:rsidRPr="00115E3D" w:rsidRDefault="00512B6B" w:rsidP="00512B6B">
      <w:pPr>
        <w:spacing w:after="0" w:line="240" w:lineRule="auto"/>
        <w:jc w:val="both"/>
        <w:rPr>
          <w:rFonts w:ascii="Verdana" w:hAnsi="Verdana"/>
          <w:color w:val="000000" w:themeColor="text1"/>
        </w:rPr>
      </w:pPr>
      <w:r w:rsidRPr="00115E3D">
        <w:rPr>
          <w:rFonts w:ascii="Verdana" w:hAnsi="Verdana"/>
          <w:color w:val="000000" w:themeColor="text1"/>
        </w:rPr>
        <w:t xml:space="preserve">Facebook: </w:t>
      </w:r>
      <w:proofErr w:type="spellStart"/>
      <w:r w:rsidRPr="00115E3D">
        <w:rPr>
          <w:rStyle w:val="Hipervnculo"/>
          <w:rFonts w:ascii="Verdana" w:hAnsi="Verdana"/>
          <w:color w:val="000000" w:themeColor="text1"/>
        </w:rPr>
        <w:t>ColombiaCompraEficiente</w:t>
      </w:r>
      <w:proofErr w:type="spellEnd"/>
    </w:p>
    <w:p w14:paraId="499DF740" w14:textId="77777777" w:rsidR="00512B6B" w:rsidRPr="00115E3D" w:rsidRDefault="00512B6B" w:rsidP="00512B6B">
      <w:pPr>
        <w:spacing w:after="0" w:line="240" w:lineRule="auto"/>
        <w:jc w:val="both"/>
        <w:rPr>
          <w:rFonts w:ascii="Verdana" w:hAnsi="Verdana"/>
          <w:color w:val="000000" w:themeColor="text1"/>
        </w:rPr>
      </w:pPr>
      <w:r w:rsidRPr="00115E3D">
        <w:rPr>
          <w:rFonts w:ascii="Verdana" w:hAnsi="Verdana"/>
          <w:color w:val="000000" w:themeColor="text1"/>
        </w:rPr>
        <w:t xml:space="preserve">LinkedIn: </w:t>
      </w:r>
      <w:r w:rsidRPr="00115E3D">
        <w:rPr>
          <w:rStyle w:val="Hipervnculo"/>
          <w:rFonts w:ascii="Verdana" w:hAnsi="Verdana"/>
          <w:color w:val="000000" w:themeColor="text1"/>
        </w:rPr>
        <w:t>Agencia Nacional de Contratación Pública - Colombia Compra Eficiente</w:t>
      </w:r>
      <w:r w:rsidRPr="00115E3D">
        <w:rPr>
          <w:rFonts w:ascii="Verdana" w:hAnsi="Verdana"/>
          <w:color w:val="000000" w:themeColor="text1"/>
        </w:rPr>
        <w:t xml:space="preserve"> Instagram: </w:t>
      </w:r>
      <w:r w:rsidRPr="00115E3D">
        <w:rPr>
          <w:rStyle w:val="Hipervnculo"/>
          <w:rFonts w:ascii="Verdana" w:hAnsi="Verdana"/>
          <w:color w:val="000000" w:themeColor="text1"/>
        </w:rPr>
        <w:t>@colombiacompraeficiente_cce</w:t>
      </w:r>
    </w:p>
    <w:p w14:paraId="4C231ED4" w14:textId="77777777" w:rsidR="00512B6B" w:rsidRPr="00115E3D" w:rsidRDefault="00512B6B" w:rsidP="00512B6B">
      <w:pPr>
        <w:widowControl w:val="0"/>
        <w:autoSpaceDE w:val="0"/>
        <w:autoSpaceDN w:val="0"/>
        <w:spacing w:after="0" w:line="276" w:lineRule="auto"/>
        <w:jc w:val="both"/>
        <w:rPr>
          <w:rFonts w:ascii="Verdana" w:hAnsi="Verdana" w:cs="Arial"/>
          <w:color w:val="000000" w:themeColor="text1"/>
        </w:rPr>
      </w:pPr>
    </w:p>
    <w:p w14:paraId="7A6276EA" w14:textId="77777777" w:rsidR="00512B6B" w:rsidRPr="00115E3D" w:rsidRDefault="00512B6B" w:rsidP="00512B6B">
      <w:pPr>
        <w:widowControl w:val="0"/>
        <w:autoSpaceDE w:val="0"/>
        <w:autoSpaceDN w:val="0"/>
        <w:spacing w:after="0" w:line="276" w:lineRule="auto"/>
        <w:jc w:val="both"/>
        <w:rPr>
          <w:rFonts w:ascii="Verdana" w:hAnsi="Verdana" w:cs="Arial"/>
          <w:color w:val="000000" w:themeColor="text1"/>
          <w:lang w:val="es-ES_tradnl"/>
        </w:rPr>
      </w:pPr>
      <w:r w:rsidRPr="00115E3D">
        <w:rPr>
          <w:rFonts w:ascii="Verdana" w:hAnsi="Verdana" w:cs="Arial"/>
          <w:color w:val="000000" w:themeColor="text1"/>
        </w:rPr>
        <w:t xml:space="preserve">Este concepto tiene el alcance previsto en el artículo 28 del Código de Procedimiento Administrativo y de lo Contencioso Administrativo </w:t>
      </w:r>
      <w:r w:rsidRPr="00115E3D">
        <w:rPr>
          <w:rFonts w:ascii="Verdana" w:hAnsi="Verdana" w:cs="Arial"/>
          <w:color w:val="000000" w:themeColor="text1"/>
          <w:lang w:val="es-ES_tradnl"/>
        </w:rPr>
        <w:t>y las expresiones aquí utilizadas con mayúscula inicial deben ser entendidas con el significado que les otorga el artículo 2.2.1.1.1.3.1. del Decreto 1082 de 2015.</w:t>
      </w:r>
    </w:p>
    <w:p w14:paraId="2E78EF49" w14:textId="77777777" w:rsidR="00512B6B" w:rsidRPr="00115E3D" w:rsidRDefault="00512B6B" w:rsidP="00512B6B">
      <w:pPr>
        <w:widowControl w:val="0"/>
        <w:autoSpaceDE w:val="0"/>
        <w:autoSpaceDN w:val="0"/>
        <w:spacing w:after="0" w:line="276" w:lineRule="auto"/>
        <w:jc w:val="both"/>
        <w:rPr>
          <w:rFonts w:ascii="Verdana" w:hAnsi="Verdana" w:cs="Arial"/>
          <w:color w:val="000000" w:themeColor="text1"/>
        </w:rPr>
      </w:pPr>
    </w:p>
    <w:p w14:paraId="70809C28" w14:textId="77777777" w:rsidR="00512B6B" w:rsidRPr="00115E3D" w:rsidRDefault="00512B6B" w:rsidP="00512B6B">
      <w:pPr>
        <w:spacing w:after="0" w:line="240" w:lineRule="auto"/>
        <w:rPr>
          <w:rFonts w:ascii="Verdana" w:hAnsi="Verdana" w:cs="Arial"/>
          <w:color w:val="000000" w:themeColor="text1"/>
          <w:lang w:eastAsia="es-CO"/>
        </w:rPr>
      </w:pPr>
      <w:r w:rsidRPr="00115E3D">
        <w:rPr>
          <w:rFonts w:ascii="Verdana" w:eastAsia="Times New Roman" w:hAnsi="Verdana" w:cs="Arial"/>
          <w:color w:val="000000" w:themeColor="text1"/>
          <w:lang w:eastAsia="es-CO"/>
        </w:rPr>
        <w:t>Atentamente,</w:t>
      </w:r>
      <w:r w:rsidRPr="00115E3D">
        <w:rPr>
          <w:rFonts w:ascii="Verdana" w:hAnsi="Verdana" w:cs="Arial"/>
          <w:color w:val="000000" w:themeColor="text1"/>
          <w:lang w:eastAsia="es-CO"/>
        </w:rPr>
        <w:t xml:space="preserve"> </w:t>
      </w:r>
    </w:p>
    <w:p w14:paraId="10F3A62B" w14:textId="7EBA614E" w:rsidR="00512B6B" w:rsidRPr="00115E3D" w:rsidRDefault="00837A16" w:rsidP="00512B6B">
      <w:pPr>
        <w:spacing w:line="276" w:lineRule="auto"/>
        <w:jc w:val="center"/>
        <w:rPr>
          <w:rFonts w:ascii="Verdana" w:hAnsi="Verdana" w:cs="Arial"/>
          <w:color w:val="000000" w:themeColor="text1"/>
          <w:lang w:val="es-ES_tradnl" w:eastAsia="es-CO"/>
        </w:rPr>
      </w:pPr>
      <w:r>
        <w:rPr>
          <w:noProof/>
        </w:rPr>
        <w:lastRenderedPageBreak/>
        <w:drawing>
          <wp:inline distT="0" distB="0" distL="0" distR="0" wp14:anchorId="4F33F268" wp14:editId="16E77067">
            <wp:extent cx="3771900" cy="1400175"/>
            <wp:effectExtent l="0" t="0" r="381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8"/>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512B6B" w:rsidRPr="00115E3D" w14:paraId="48BF64D2" w14:textId="77777777" w:rsidTr="00EF5085">
        <w:trPr>
          <w:trHeight w:val="315"/>
        </w:trPr>
        <w:tc>
          <w:tcPr>
            <w:tcW w:w="893" w:type="dxa"/>
            <w:vAlign w:val="center"/>
            <w:hideMark/>
          </w:tcPr>
          <w:p w14:paraId="6E3A6801" w14:textId="77777777" w:rsidR="00512B6B" w:rsidRPr="00115E3D" w:rsidRDefault="00512B6B" w:rsidP="00EF5085">
            <w:pPr>
              <w:contextualSpacing/>
              <w:rPr>
                <w:rFonts w:ascii="Verdana" w:hAnsi="Verdana" w:cs="Arial"/>
                <w:color w:val="000000" w:themeColor="text1"/>
                <w:sz w:val="16"/>
                <w:szCs w:val="16"/>
                <w:lang w:val="es-ES" w:eastAsia="es-ES"/>
              </w:rPr>
            </w:pPr>
            <w:r w:rsidRPr="00115E3D">
              <w:rPr>
                <w:rFonts w:ascii="Verdana" w:hAnsi="Verdana" w:cs="Arial"/>
                <w:color w:val="000000" w:themeColor="text1"/>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51B4EAE5" w14:textId="77777777" w:rsidR="00512B6B" w:rsidRPr="00115E3D" w:rsidRDefault="00512B6B" w:rsidP="00EF5085">
            <w:pPr>
              <w:contextualSpacing/>
              <w:rPr>
                <w:rFonts w:ascii="Verdana" w:eastAsia="Arial" w:hAnsi="Verdana" w:cs="Arial"/>
                <w:color w:val="000000" w:themeColor="text1"/>
                <w:sz w:val="16"/>
                <w:szCs w:val="16"/>
              </w:rPr>
            </w:pPr>
            <w:r>
              <w:rPr>
                <w:rFonts w:ascii="Verdana" w:eastAsia="Arial" w:hAnsi="Verdana" w:cs="Arial"/>
                <w:color w:val="000000" w:themeColor="text1"/>
                <w:sz w:val="16"/>
                <w:szCs w:val="16"/>
              </w:rPr>
              <w:t xml:space="preserve">Andreina Cerpa Muñoz </w:t>
            </w:r>
          </w:p>
          <w:p w14:paraId="24A428D6" w14:textId="77777777" w:rsidR="00512B6B" w:rsidRPr="00115E3D" w:rsidRDefault="00512B6B" w:rsidP="00EF5085">
            <w:pPr>
              <w:contextualSpacing/>
              <w:rPr>
                <w:rFonts w:ascii="Verdana" w:eastAsia="Arial" w:hAnsi="Verdana" w:cs="Arial"/>
                <w:color w:val="000000" w:themeColor="text1"/>
                <w:sz w:val="16"/>
                <w:szCs w:val="16"/>
              </w:rPr>
            </w:pPr>
            <w:r>
              <w:rPr>
                <w:rStyle w:val="normaltextrun"/>
                <w:rFonts w:ascii="Verdana" w:eastAsia="Arial" w:hAnsi="Verdana" w:cs="Arial"/>
                <w:color w:val="000000" w:themeColor="text1"/>
                <w:sz w:val="16"/>
                <w:szCs w:val="16"/>
              </w:rPr>
              <w:t>Analista T2-02</w:t>
            </w:r>
            <w:r w:rsidRPr="00115E3D">
              <w:rPr>
                <w:rStyle w:val="normaltextrun"/>
                <w:rFonts w:ascii="Verdana" w:eastAsia="Arial" w:hAnsi="Verdana" w:cs="Arial"/>
                <w:color w:val="000000" w:themeColor="text1"/>
                <w:sz w:val="16"/>
                <w:szCs w:val="16"/>
              </w:rPr>
              <w:t xml:space="preserve"> de la Subdirección de Gestión Contractual</w:t>
            </w:r>
          </w:p>
        </w:tc>
      </w:tr>
      <w:tr w:rsidR="00512B6B" w:rsidRPr="00115E3D" w14:paraId="277CE2A7" w14:textId="77777777" w:rsidTr="00EF5085">
        <w:trPr>
          <w:trHeight w:val="330"/>
        </w:trPr>
        <w:tc>
          <w:tcPr>
            <w:tcW w:w="893" w:type="dxa"/>
            <w:vAlign w:val="center"/>
            <w:hideMark/>
          </w:tcPr>
          <w:p w14:paraId="718BA646" w14:textId="77777777" w:rsidR="00512B6B" w:rsidRPr="00115E3D" w:rsidRDefault="00512B6B" w:rsidP="00EF5085">
            <w:pPr>
              <w:contextualSpacing/>
              <w:rPr>
                <w:rFonts w:ascii="Verdana" w:hAnsi="Verdana" w:cs="Arial"/>
                <w:color w:val="000000" w:themeColor="text1"/>
                <w:sz w:val="16"/>
                <w:szCs w:val="16"/>
                <w:lang w:val="es-ES" w:eastAsia="es-ES"/>
              </w:rPr>
            </w:pPr>
            <w:r w:rsidRPr="00115E3D">
              <w:rPr>
                <w:rFonts w:ascii="Verdana" w:hAnsi="Verdana" w:cs="Arial"/>
                <w:color w:val="000000" w:themeColor="text1"/>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1576D168" w14:textId="77777777" w:rsidR="00512B6B" w:rsidRPr="00580396" w:rsidRDefault="00512B6B" w:rsidP="00EF5085">
            <w:pPr>
              <w:pStyle w:val="paragraph"/>
              <w:spacing w:before="0" w:beforeAutospacing="0" w:after="0" w:afterAutospacing="0"/>
              <w:contextualSpacing/>
              <w:textAlignment w:val="baseline"/>
              <w:rPr>
                <w:rFonts w:ascii="Verdana" w:hAnsi="Verdana" w:cs="Segoe UI"/>
                <w:color w:val="000000" w:themeColor="text1"/>
                <w:sz w:val="16"/>
                <w:szCs w:val="16"/>
              </w:rPr>
            </w:pPr>
            <w:r w:rsidRPr="00580396">
              <w:rPr>
                <w:rFonts w:ascii="Verdana" w:hAnsi="Verdana" w:cs="Segoe UI"/>
                <w:color w:val="000000" w:themeColor="text1"/>
                <w:sz w:val="16"/>
                <w:szCs w:val="16"/>
              </w:rPr>
              <w:t>X</w:t>
            </w:r>
            <w:r w:rsidRPr="00580396">
              <w:rPr>
                <w:rFonts w:ascii="Verdana" w:hAnsi="Verdana" w:cs="Segoe UI"/>
                <w:sz w:val="16"/>
                <w:szCs w:val="16"/>
              </w:rPr>
              <w:t xml:space="preserve">imena Ríos López </w:t>
            </w:r>
          </w:p>
          <w:p w14:paraId="0A4C2D92" w14:textId="77777777" w:rsidR="00512B6B" w:rsidRPr="00115E3D" w:rsidRDefault="00512B6B" w:rsidP="00EF5085">
            <w:pPr>
              <w:pStyle w:val="paragraph"/>
              <w:spacing w:before="0" w:beforeAutospacing="0" w:after="0" w:afterAutospacing="0"/>
              <w:contextualSpacing/>
              <w:textAlignment w:val="baseline"/>
              <w:rPr>
                <w:rFonts w:ascii="Verdana" w:hAnsi="Verdana" w:cs="Segoe UI"/>
                <w:color w:val="000000" w:themeColor="text1"/>
                <w:sz w:val="16"/>
                <w:szCs w:val="16"/>
              </w:rPr>
            </w:pPr>
            <w:r w:rsidRPr="00580396">
              <w:rPr>
                <w:rStyle w:val="normaltextrun"/>
                <w:rFonts w:ascii="Verdana" w:hAnsi="Verdana" w:cs="Arial"/>
                <w:color w:val="000000" w:themeColor="text1"/>
                <w:sz w:val="16"/>
                <w:szCs w:val="16"/>
                <w:lang w:val="es-ES"/>
              </w:rPr>
              <w:t>Gestor T1-11 de la Subdirección de Gestión Contractual</w:t>
            </w:r>
            <w:r w:rsidRPr="00115E3D">
              <w:rPr>
                <w:rStyle w:val="eop"/>
                <w:rFonts w:ascii="Verdana" w:hAnsi="Verdana" w:cs="Arial"/>
                <w:color w:val="000000" w:themeColor="text1"/>
                <w:sz w:val="16"/>
                <w:szCs w:val="16"/>
              </w:rPr>
              <w:t> </w:t>
            </w:r>
          </w:p>
        </w:tc>
      </w:tr>
      <w:tr w:rsidR="00512B6B" w:rsidRPr="00115E3D" w14:paraId="324856F6" w14:textId="77777777" w:rsidTr="00EF5085">
        <w:trPr>
          <w:trHeight w:val="300"/>
        </w:trPr>
        <w:tc>
          <w:tcPr>
            <w:tcW w:w="893" w:type="dxa"/>
            <w:vAlign w:val="center"/>
          </w:tcPr>
          <w:p w14:paraId="7D0FE560" w14:textId="77777777" w:rsidR="00512B6B" w:rsidRPr="00115E3D" w:rsidRDefault="00512B6B" w:rsidP="00EF5085">
            <w:pPr>
              <w:contextualSpacing/>
              <w:rPr>
                <w:rFonts w:ascii="Verdana" w:hAnsi="Verdana" w:cs="Arial"/>
                <w:color w:val="000000" w:themeColor="text1"/>
                <w:sz w:val="16"/>
                <w:szCs w:val="16"/>
                <w:lang w:val="es-ES" w:eastAsia="es-ES"/>
              </w:rPr>
            </w:pPr>
            <w:r w:rsidRPr="00115E3D">
              <w:rPr>
                <w:rFonts w:ascii="Verdana" w:hAnsi="Verdana" w:cs="Arial"/>
                <w:color w:val="000000" w:themeColor="text1"/>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65DF835E" w14:textId="77777777" w:rsidR="00512B6B" w:rsidRPr="00115E3D" w:rsidRDefault="00512B6B" w:rsidP="00EF5085">
            <w:pPr>
              <w:contextualSpacing/>
              <w:rPr>
                <w:rFonts w:ascii="Verdana" w:eastAsia="Calibri" w:hAnsi="Verdana" w:cs="Arial"/>
                <w:color w:val="000000" w:themeColor="text1"/>
                <w:sz w:val="16"/>
                <w:szCs w:val="16"/>
                <w:lang w:val="pt-BR" w:eastAsia="es-ES"/>
              </w:rPr>
            </w:pPr>
            <w:r w:rsidRPr="00115E3D">
              <w:rPr>
                <w:rFonts w:ascii="Verdana" w:eastAsia="Calibri" w:hAnsi="Verdana" w:cs="Arial"/>
                <w:color w:val="000000" w:themeColor="text1"/>
                <w:sz w:val="16"/>
                <w:szCs w:val="16"/>
                <w:lang w:val="pt-BR" w:eastAsia="es-ES"/>
              </w:rPr>
              <w:t xml:space="preserve">Carolina Quintero </w:t>
            </w:r>
            <w:proofErr w:type="spellStart"/>
            <w:r w:rsidRPr="00115E3D">
              <w:rPr>
                <w:rFonts w:ascii="Verdana" w:eastAsia="Calibri" w:hAnsi="Verdana" w:cs="Arial"/>
                <w:color w:val="000000" w:themeColor="text1"/>
                <w:sz w:val="16"/>
                <w:szCs w:val="16"/>
                <w:lang w:val="pt-BR" w:eastAsia="es-ES"/>
              </w:rPr>
              <w:t>Gacharná</w:t>
            </w:r>
            <w:proofErr w:type="spellEnd"/>
          </w:p>
          <w:p w14:paraId="4ABF91C7" w14:textId="77777777" w:rsidR="00512B6B" w:rsidRPr="00115E3D" w:rsidRDefault="00512B6B" w:rsidP="00EF5085">
            <w:pPr>
              <w:contextualSpacing/>
              <w:rPr>
                <w:rFonts w:ascii="Verdana" w:eastAsia="Calibri" w:hAnsi="Verdana" w:cs="Arial"/>
                <w:color w:val="000000" w:themeColor="text1"/>
                <w:sz w:val="16"/>
                <w:szCs w:val="16"/>
                <w:lang w:val="pt-BR" w:eastAsia="es-ES"/>
              </w:rPr>
            </w:pPr>
            <w:r w:rsidRPr="00115E3D">
              <w:rPr>
                <w:rFonts w:ascii="Verdana" w:eastAsia="Calibri" w:hAnsi="Verdana" w:cs="Arial"/>
                <w:color w:val="000000" w:themeColor="text1"/>
                <w:sz w:val="16"/>
                <w:szCs w:val="16"/>
                <w:lang w:eastAsia="es-ES"/>
              </w:rPr>
              <w:t>Subdirectora</w:t>
            </w:r>
            <w:r w:rsidRPr="00115E3D">
              <w:rPr>
                <w:rFonts w:ascii="Verdana" w:eastAsia="Calibri" w:hAnsi="Verdana" w:cs="Arial"/>
                <w:color w:val="000000" w:themeColor="text1"/>
                <w:sz w:val="16"/>
                <w:szCs w:val="16"/>
                <w:lang w:val="pt-BR" w:eastAsia="es-ES"/>
              </w:rPr>
              <w:t xml:space="preserve"> de Gestión </w:t>
            </w:r>
            <w:proofErr w:type="spellStart"/>
            <w:r w:rsidRPr="00115E3D">
              <w:rPr>
                <w:rFonts w:ascii="Verdana" w:eastAsia="Calibri" w:hAnsi="Verdana" w:cs="Arial"/>
                <w:color w:val="000000" w:themeColor="text1"/>
                <w:sz w:val="16"/>
                <w:szCs w:val="16"/>
                <w:lang w:val="pt-BR" w:eastAsia="es-ES"/>
              </w:rPr>
              <w:t>Contractual</w:t>
            </w:r>
            <w:proofErr w:type="spellEnd"/>
            <w:r w:rsidRPr="00115E3D">
              <w:rPr>
                <w:rFonts w:ascii="Verdana" w:eastAsia="Calibri" w:hAnsi="Verdana" w:cs="Arial"/>
                <w:color w:val="000000" w:themeColor="text1"/>
                <w:sz w:val="16"/>
                <w:szCs w:val="16"/>
                <w:lang w:val="pt-BR" w:eastAsia="es-ES"/>
              </w:rPr>
              <w:t xml:space="preserve"> ANCP – CCE</w:t>
            </w:r>
          </w:p>
        </w:tc>
      </w:tr>
    </w:tbl>
    <w:p w14:paraId="1C3CE2C7" w14:textId="77777777" w:rsidR="00512B6B" w:rsidRPr="00115E3D" w:rsidRDefault="00512B6B" w:rsidP="00512B6B">
      <w:pPr>
        <w:spacing w:after="0" w:line="240" w:lineRule="auto"/>
        <w:rPr>
          <w:rFonts w:ascii="Verdana" w:eastAsia="Times New Roman" w:hAnsi="Verdana" w:cs="Arial"/>
          <w:color w:val="000000" w:themeColor="text1"/>
          <w:sz w:val="24"/>
          <w:szCs w:val="24"/>
          <w:lang w:eastAsia="es-ES"/>
        </w:rPr>
      </w:pPr>
    </w:p>
    <w:p w14:paraId="66D4A3BD" w14:textId="77777777" w:rsidR="00512B6B" w:rsidRPr="00115E3D" w:rsidRDefault="00512B6B" w:rsidP="00512B6B">
      <w:pPr>
        <w:rPr>
          <w:color w:val="000000" w:themeColor="text1"/>
        </w:rPr>
      </w:pPr>
    </w:p>
    <w:p w14:paraId="069A7363" w14:textId="77777777" w:rsidR="00512B6B" w:rsidRDefault="00512B6B" w:rsidP="00512B6B"/>
    <w:p w14:paraId="6E495BC1" w14:textId="77777777" w:rsidR="00512B6B" w:rsidRDefault="00512B6B" w:rsidP="00512B6B"/>
    <w:p w14:paraId="0F51DD33" w14:textId="77777777" w:rsidR="00512B6B" w:rsidRPr="00A341EA" w:rsidRDefault="00512B6B" w:rsidP="00512B6B"/>
    <w:p w14:paraId="385811C9" w14:textId="77777777" w:rsidR="000F5A42" w:rsidRPr="00F32F50" w:rsidRDefault="000F5A42" w:rsidP="00F32F50"/>
    <w:sectPr w:rsidR="000F5A42" w:rsidRPr="00F32F50" w:rsidSect="00570D88">
      <w:headerReference w:type="default" r:id="rId19"/>
      <w:footerReference w:type="default" r:id="rId20"/>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4831E4" w14:textId="77777777" w:rsidR="00746823" w:rsidRDefault="00746823" w:rsidP="00570D88">
      <w:pPr>
        <w:spacing w:after="0" w:line="240" w:lineRule="auto"/>
      </w:pPr>
      <w:r>
        <w:separator/>
      </w:r>
    </w:p>
  </w:endnote>
  <w:endnote w:type="continuationSeparator" w:id="0">
    <w:p w14:paraId="027B23A8" w14:textId="77777777" w:rsidR="00746823" w:rsidRDefault="00746823" w:rsidP="00570D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altName w:val="Verdana"/>
    <w:panose1 w:val="020B0604030504040204"/>
    <w:charset w:val="00"/>
    <w:family w:val="swiss"/>
    <w:pitch w:val="variable"/>
    <w:sig w:usb0="A00006FF" w:usb1="4000205B" w:usb2="00000010" w:usb3="00000000" w:csb0="0000019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A160D" w14:textId="77777777" w:rsidR="00570D88" w:rsidRPr="00174B77" w:rsidRDefault="00570D88" w:rsidP="00F1541F">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7DCCC70" w14:textId="77777777" w:rsidR="00570D88" w:rsidRPr="003A07E0" w:rsidRDefault="00570D88" w:rsidP="00F1541F">
    <w:pPr>
      <w:spacing w:after="0"/>
      <w:jc w:val="both"/>
      <w:rPr>
        <w:rFonts w:ascii="Verdana" w:hAnsi="Verdana"/>
        <w:sz w:val="16"/>
        <w:szCs w:val="16"/>
      </w:rPr>
    </w:pPr>
    <w:r w:rsidRPr="003A07E0">
      <w:rPr>
        <w:rFonts w:ascii="Verdana" w:hAnsi="Verdana"/>
        <w:sz w:val="16"/>
        <w:szCs w:val="16"/>
      </w:rPr>
      <w:t>Dirección: Carrera 7 # 26 – 20 - Bogotá, Colombia</w:t>
    </w:r>
  </w:p>
  <w:p w14:paraId="3C9BA4C0" w14:textId="77777777" w:rsidR="00570D88" w:rsidRPr="003A07E0" w:rsidRDefault="00570D88" w:rsidP="00F1541F">
    <w:pPr>
      <w:spacing w:after="0"/>
      <w:jc w:val="both"/>
      <w:rPr>
        <w:rFonts w:ascii="Verdana" w:hAnsi="Verdana"/>
        <w:sz w:val="16"/>
        <w:szCs w:val="16"/>
      </w:rPr>
    </w:pPr>
    <w:r w:rsidRPr="003A07E0">
      <w:rPr>
        <w:rFonts w:ascii="Verdana" w:hAnsi="Verdana"/>
        <w:sz w:val="16"/>
        <w:szCs w:val="16"/>
      </w:rPr>
      <w:t>Mesa de servicio: (+57) 601 7456788</w:t>
    </w:r>
  </w:p>
  <w:p w14:paraId="3A0C3F34" w14:textId="77777777" w:rsidR="00570D88" w:rsidRDefault="00570D88" w:rsidP="00F1541F">
    <w:pPr>
      <w:pStyle w:val="Piedepgina"/>
    </w:pPr>
    <w:r w:rsidRPr="003A07E0">
      <w:rPr>
        <w:rFonts w:ascii="Verdana" w:hAnsi="Verdana"/>
        <w:sz w:val="16"/>
        <w:szCs w:val="16"/>
      </w:rPr>
      <w:t xml:space="preserve">Atención al ciudadano: (+57) 601 7956600   </w:t>
    </w:r>
    <w:r>
      <w:rPr>
        <w:rFonts w:ascii="Verdana" w:hAnsi="Verdana"/>
        <w:sz w:val="16"/>
        <w:szCs w:val="16"/>
      </w:rPr>
      <w:t xml:space="preserve">     </w:t>
    </w:r>
    <w:r w:rsidRPr="003A07E0">
      <w:rPr>
        <w:rFonts w:ascii="Verdana" w:hAnsi="Verdana"/>
        <w:sz w:val="16"/>
        <w:szCs w:val="16"/>
      </w:rPr>
      <w:t xml:space="preserve"> </w:t>
    </w:r>
    <w:r w:rsidRPr="00E34D14">
      <w:rPr>
        <w:rFonts w:ascii="Century Gothic" w:hAnsi="Century Gothic"/>
        <w:b/>
        <w:bCs/>
        <w:sz w:val="18"/>
        <w:szCs w:val="18"/>
      </w:rPr>
      <w:t>Código: </w:t>
    </w:r>
    <w:r w:rsidRPr="00E34D14">
      <w:rPr>
        <w:rFonts w:ascii="Century Gothic" w:hAnsi="Century Gothic"/>
        <w:sz w:val="18"/>
        <w:szCs w:val="18"/>
      </w:rPr>
      <w:t>CCE-REC-FM-</w:t>
    </w:r>
    <w:r>
      <w:rPr>
        <w:rFonts w:ascii="Century Gothic" w:hAnsi="Century Gothic"/>
        <w:sz w:val="18"/>
        <w:szCs w:val="18"/>
      </w:rPr>
      <w:t>26</w:t>
    </w:r>
    <w:r w:rsidRPr="00E34D14">
      <w:rPr>
        <w:rFonts w:ascii="Century Gothic" w:hAnsi="Century Gothic"/>
        <w:sz w:val="18"/>
        <w:szCs w:val="18"/>
      </w:rPr>
      <w:t> </w:t>
    </w:r>
    <w:r w:rsidRPr="00E34D14">
      <w:rPr>
        <w:rFonts w:ascii="Century Gothic" w:hAnsi="Century Gothic"/>
        <w:b/>
        <w:bCs/>
        <w:sz w:val="18"/>
        <w:szCs w:val="18"/>
      </w:rPr>
      <w:t>Versión: </w:t>
    </w:r>
    <w:r w:rsidRPr="00E34D14">
      <w:rPr>
        <w:rFonts w:ascii="Century Gothic" w:hAnsi="Century Gothic"/>
        <w:sz w:val="18"/>
        <w:szCs w:val="18"/>
      </w:rPr>
      <w:t>01 </w:t>
    </w:r>
    <w:r w:rsidRPr="00B07B23">
      <w:rPr>
        <w:rFonts w:ascii="Century Gothic" w:hAnsi="Century Gothic"/>
        <w:b/>
        <w:bCs/>
        <w:sz w:val="18"/>
        <w:szCs w:val="18"/>
      </w:rPr>
      <w:t>Fecha</w:t>
    </w:r>
    <w:r w:rsidRPr="00E34D14">
      <w:rPr>
        <w:rFonts w:ascii="Century Gothic" w:hAnsi="Century Gothic"/>
        <w:sz w:val="18"/>
        <w:szCs w:val="18"/>
      </w:rPr>
      <w:t xml:space="preserve">: </w:t>
    </w:r>
    <w:r>
      <w:rPr>
        <w:rFonts w:ascii="Century Gothic" w:hAnsi="Century Gothic"/>
        <w:sz w:val="18"/>
        <w:szCs w:val="18"/>
      </w:rPr>
      <w:t>11</w:t>
    </w:r>
    <w:r w:rsidRPr="00E34D14">
      <w:rPr>
        <w:rFonts w:ascii="Century Gothic" w:hAnsi="Century Gothic"/>
        <w:sz w:val="18"/>
        <w:szCs w:val="18"/>
      </w:rPr>
      <w:t>-09-2024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F15785" w14:textId="77777777" w:rsidR="00746823" w:rsidRDefault="00746823" w:rsidP="00570D88">
      <w:pPr>
        <w:spacing w:after="0" w:line="240" w:lineRule="auto"/>
      </w:pPr>
      <w:r>
        <w:separator/>
      </w:r>
    </w:p>
  </w:footnote>
  <w:footnote w:type="continuationSeparator" w:id="0">
    <w:p w14:paraId="64A2D8D9" w14:textId="77777777" w:rsidR="00746823" w:rsidRDefault="00746823" w:rsidP="00570D88">
      <w:pPr>
        <w:spacing w:after="0" w:line="240" w:lineRule="auto"/>
      </w:pPr>
      <w:r>
        <w:continuationSeparator/>
      </w:r>
    </w:p>
  </w:footnote>
  <w:footnote w:id="1">
    <w:p w14:paraId="0AAD4D3A" w14:textId="77777777" w:rsidR="00E44EAF" w:rsidRPr="00E44EAF" w:rsidRDefault="00E44EAF" w:rsidP="00E44EAF">
      <w:pPr>
        <w:pStyle w:val="Textonotapie"/>
        <w:ind w:firstLine="708"/>
        <w:rPr>
          <w:rFonts w:ascii="Verdana" w:hAnsi="Verdana"/>
          <w:sz w:val="12"/>
          <w:szCs w:val="12"/>
          <w:lang w:val="es-CO"/>
        </w:rPr>
      </w:pPr>
      <w:r w:rsidRPr="004E716D">
        <w:rPr>
          <w:rStyle w:val="Refdenotaalpie"/>
          <w:rFonts w:ascii="Verdana" w:hAnsi="Verdana"/>
          <w:sz w:val="12"/>
          <w:szCs w:val="12"/>
        </w:rPr>
        <w:footnoteRef/>
      </w:r>
      <w:r w:rsidRPr="00E44EAF">
        <w:rPr>
          <w:rFonts w:ascii="Verdana" w:hAnsi="Verdana"/>
          <w:sz w:val="12"/>
          <w:szCs w:val="12"/>
          <w:lang w:val="es-CO"/>
        </w:rPr>
        <w:t xml:space="preserve"> Ibidem. (art. 111).</w:t>
      </w:r>
    </w:p>
  </w:footnote>
  <w:footnote w:id="2">
    <w:p w14:paraId="5F51E48F" w14:textId="77777777" w:rsidR="00512B6B" w:rsidRPr="00A57AFB" w:rsidRDefault="00512B6B" w:rsidP="00512B6B">
      <w:pPr>
        <w:pStyle w:val="Textonotapie"/>
        <w:ind w:firstLine="708"/>
        <w:jc w:val="both"/>
        <w:rPr>
          <w:rFonts w:ascii="Verdana" w:hAnsi="Verdana"/>
          <w:sz w:val="12"/>
          <w:szCs w:val="12"/>
        </w:rPr>
      </w:pPr>
      <w:r w:rsidRPr="00A57AFB">
        <w:rPr>
          <w:rFonts w:ascii="Verdana" w:hAnsi="Verdana"/>
          <w:sz w:val="12"/>
          <w:szCs w:val="12"/>
          <w:vertAlign w:val="superscript"/>
        </w:rPr>
        <w:footnoteRef/>
      </w:r>
      <w:r w:rsidRPr="00A57AFB">
        <w:rPr>
          <w:rFonts w:ascii="Verdana" w:hAnsi="Verdana"/>
          <w:sz w:val="12"/>
          <w:szCs w:val="12"/>
        </w:rPr>
        <w:t xml:space="preserve"> Artículo 17 de la Ley 1150 de 2007</w:t>
      </w:r>
    </w:p>
    <w:p w14:paraId="63BA30B1" w14:textId="77777777" w:rsidR="00512B6B" w:rsidRDefault="00512B6B" w:rsidP="00512B6B">
      <w:pPr>
        <w:pStyle w:val="Textonotapie"/>
        <w:ind w:firstLine="708"/>
        <w:jc w:val="both"/>
      </w:pPr>
    </w:p>
  </w:footnote>
  <w:footnote w:id="3">
    <w:p w14:paraId="78EAE1F8" w14:textId="77777777" w:rsidR="00512B6B" w:rsidRPr="00A57AFB" w:rsidRDefault="00512B6B" w:rsidP="00512B6B">
      <w:pPr>
        <w:pStyle w:val="Textonotapie"/>
        <w:ind w:firstLine="708"/>
        <w:jc w:val="both"/>
        <w:rPr>
          <w:rFonts w:ascii="Verdana" w:hAnsi="Verdana"/>
          <w:sz w:val="12"/>
          <w:szCs w:val="12"/>
        </w:rPr>
      </w:pPr>
      <w:r w:rsidRPr="00A57AFB">
        <w:rPr>
          <w:rFonts w:ascii="Verdana" w:hAnsi="Verdana"/>
          <w:sz w:val="12"/>
          <w:szCs w:val="12"/>
          <w:vertAlign w:val="superscript"/>
        </w:rPr>
        <w:footnoteRef/>
      </w:r>
      <w:r w:rsidRPr="00A57AFB">
        <w:rPr>
          <w:rFonts w:ascii="Verdana" w:hAnsi="Verdana"/>
          <w:sz w:val="12"/>
          <w:szCs w:val="12"/>
        </w:rPr>
        <w:t xml:space="preserve"> Artículo 21 de la Ley 1150 de 2007</w:t>
      </w:r>
    </w:p>
    <w:p w14:paraId="65EBE7F8" w14:textId="77777777" w:rsidR="00512B6B" w:rsidRDefault="00512B6B" w:rsidP="00512B6B">
      <w:pPr>
        <w:pStyle w:val="Textonotapie"/>
        <w:ind w:firstLine="708"/>
        <w:jc w:val="both"/>
      </w:pPr>
    </w:p>
  </w:footnote>
  <w:footnote w:id="4">
    <w:p w14:paraId="262EFF1F" w14:textId="77777777" w:rsidR="00512B6B" w:rsidRPr="00A57AFB" w:rsidRDefault="00512B6B" w:rsidP="00512B6B">
      <w:pPr>
        <w:pStyle w:val="Textonotapie"/>
        <w:ind w:firstLine="708"/>
        <w:jc w:val="both"/>
        <w:rPr>
          <w:rFonts w:ascii="Verdana" w:hAnsi="Verdana"/>
          <w:sz w:val="12"/>
          <w:szCs w:val="12"/>
        </w:rPr>
      </w:pPr>
      <w:r w:rsidRPr="00A57AFB">
        <w:rPr>
          <w:rFonts w:ascii="Verdana" w:hAnsi="Verdana"/>
          <w:sz w:val="12"/>
          <w:szCs w:val="12"/>
          <w:vertAlign w:val="superscript"/>
        </w:rPr>
        <w:footnoteRef/>
      </w:r>
      <w:r w:rsidRPr="00A57AFB">
        <w:rPr>
          <w:rFonts w:ascii="Verdana" w:hAnsi="Verdana"/>
          <w:sz w:val="12"/>
          <w:szCs w:val="12"/>
        </w:rPr>
        <w:t xml:space="preserve"> Artículos 83 a 86 de la Ley 1474 de 2011</w:t>
      </w:r>
    </w:p>
    <w:p w14:paraId="73FDFC8F" w14:textId="77777777" w:rsidR="00512B6B" w:rsidRDefault="00512B6B" w:rsidP="00512B6B">
      <w:pPr>
        <w:pStyle w:val="Textonotapie"/>
        <w:ind w:firstLine="708"/>
        <w:jc w:val="both"/>
      </w:pPr>
    </w:p>
  </w:footnote>
  <w:footnote w:id="5">
    <w:p w14:paraId="71CEF1E8" w14:textId="77777777" w:rsidR="00512B6B" w:rsidRPr="00A57AFB" w:rsidRDefault="00512B6B" w:rsidP="00512B6B">
      <w:pPr>
        <w:pStyle w:val="Textonotapie"/>
        <w:ind w:firstLine="708"/>
        <w:jc w:val="both"/>
        <w:rPr>
          <w:rFonts w:ascii="Verdana" w:hAnsi="Verdana"/>
          <w:sz w:val="12"/>
          <w:szCs w:val="12"/>
        </w:rPr>
      </w:pPr>
      <w:r w:rsidRPr="00A57AFB">
        <w:rPr>
          <w:rFonts w:ascii="Verdana" w:hAnsi="Verdana"/>
          <w:sz w:val="12"/>
          <w:szCs w:val="12"/>
          <w:vertAlign w:val="superscript"/>
        </w:rPr>
        <w:footnoteRef/>
      </w:r>
      <w:r w:rsidRPr="00A57AFB">
        <w:rPr>
          <w:rFonts w:ascii="Verdana" w:hAnsi="Verdana"/>
          <w:sz w:val="12"/>
          <w:szCs w:val="12"/>
        </w:rPr>
        <w:t xml:space="preserve"> Consejo de Estado. Sección 3ª. Sentencia del 27 de noviembre de 2017. M.P. Jaime Orlando</w:t>
      </w:r>
      <w:r>
        <w:rPr>
          <w:rFonts w:ascii="Verdana" w:hAnsi="Verdana"/>
          <w:sz w:val="12"/>
          <w:szCs w:val="12"/>
        </w:rPr>
        <w:t xml:space="preserve"> </w:t>
      </w:r>
      <w:r w:rsidRPr="00A57AFB">
        <w:rPr>
          <w:rFonts w:ascii="Verdana" w:hAnsi="Verdana"/>
          <w:sz w:val="12"/>
          <w:szCs w:val="12"/>
        </w:rPr>
        <w:t xml:space="preserve">Santofimio. </w:t>
      </w:r>
      <w:proofErr w:type="spellStart"/>
      <w:r w:rsidRPr="00A57AFB">
        <w:rPr>
          <w:rFonts w:ascii="Verdana" w:hAnsi="Verdana"/>
          <w:sz w:val="12"/>
          <w:szCs w:val="12"/>
        </w:rPr>
        <w:t>Exp</w:t>
      </w:r>
      <w:proofErr w:type="spellEnd"/>
      <w:r w:rsidRPr="00A57AFB">
        <w:rPr>
          <w:rFonts w:ascii="Verdana" w:hAnsi="Verdana"/>
          <w:sz w:val="12"/>
          <w:szCs w:val="12"/>
        </w:rPr>
        <w:t>. 51.802</w:t>
      </w:r>
    </w:p>
    <w:p w14:paraId="2B234A24" w14:textId="77777777" w:rsidR="00512B6B" w:rsidRDefault="00512B6B" w:rsidP="00512B6B">
      <w:pPr>
        <w:pStyle w:val="Textonotapie"/>
        <w:ind w:firstLine="708"/>
        <w:jc w:val="both"/>
      </w:pPr>
    </w:p>
  </w:footnote>
  <w:footnote w:id="6">
    <w:p w14:paraId="03E02079" w14:textId="77777777" w:rsidR="00512B6B" w:rsidRPr="00A57AFB" w:rsidRDefault="00512B6B" w:rsidP="00512B6B">
      <w:pPr>
        <w:pStyle w:val="Textonotapie"/>
        <w:ind w:firstLine="708"/>
        <w:jc w:val="both"/>
        <w:rPr>
          <w:rFonts w:ascii="Verdana" w:hAnsi="Verdana"/>
          <w:sz w:val="12"/>
          <w:szCs w:val="12"/>
        </w:rPr>
      </w:pPr>
      <w:r w:rsidRPr="00A57AFB">
        <w:rPr>
          <w:rFonts w:ascii="Verdana" w:hAnsi="Verdana"/>
          <w:sz w:val="12"/>
          <w:szCs w:val="12"/>
          <w:vertAlign w:val="superscript"/>
        </w:rPr>
        <w:footnoteRef/>
      </w:r>
      <w:r w:rsidRPr="00A57AFB">
        <w:rPr>
          <w:rFonts w:ascii="Verdana" w:hAnsi="Verdana"/>
          <w:sz w:val="12"/>
          <w:szCs w:val="12"/>
        </w:rPr>
        <w:t xml:space="preserve"> Artículo 83 de la Ley 1474 de 2011</w:t>
      </w:r>
    </w:p>
    <w:p w14:paraId="484A69D2" w14:textId="77777777" w:rsidR="00512B6B" w:rsidRDefault="00512B6B" w:rsidP="00512B6B">
      <w:pPr>
        <w:pStyle w:val="Textonotapie"/>
        <w:ind w:firstLine="708"/>
        <w:jc w:val="both"/>
      </w:pPr>
    </w:p>
  </w:footnote>
  <w:footnote w:id="7">
    <w:p w14:paraId="69CA690A" w14:textId="77777777" w:rsidR="00512B6B" w:rsidRDefault="00512B6B" w:rsidP="00512B6B">
      <w:pPr>
        <w:pStyle w:val="Textonotapie"/>
        <w:ind w:firstLine="708"/>
        <w:jc w:val="both"/>
      </w:pPr>
      <w:r w:rsidRPr="00A57AFB">
        <w:rPr>
          <w:rFonts w:ascii="Verdana" w:hAnsi="Verdana"/>
          <w:sz w:val="12"/>
          <w:szCs w:val="12"/>
          <w:vertAlign w:val="superscript"/>
        </w:rPr>
        <w:footnoteRef/>
      </w:r>
      <w:r w:rsidRPr="00A57AFB">
        <w:rPr>
          <w:rFonts w:ascii="Verdana" w:hAnsi="Verdana"/>
          <w:sz w:val="12"/>
          <w:szCs w:val="12"/>
        </w:rPr>
        <w:t xml:space="preserve"> A excepción de la interventoría del contrato de obra adjudicado por licitación pública que es</w:t>
      </w:r>
      <w:r>
        <w:rPr>
          <w:rFonts w:ascii="Verdana" w:hAnsi="Verdana"/>
          <w:sz w:val="12"/>
          <w:szCs w:val="12"/>
        </w:rPr>
        <w:t xml:space="preserve"> </w:t>
      </w:r>
      <w:r w:rsidRPr="00A57AFB">
        <w:rPr>
          <w:rFonts w:ascii="Verdana" w:hAnsi="Verdana"/>
          <w:sz w:val="12"/>
          <w:szCs w:val="12"/>
        </w:rPr>
        <w:t>obligatoria según el numeral 1° del artículo 32 de la Ley 80 de 1993.</w:t>
      </w:r>
    </w:p>
  </w:footnote>
  <w:footnote w:id="8">
    <w:p w14:paraId="152C96FA" w14:textId="77777777" w:rsidR="00512B6B" w:rsidRPr="00A57AFB" w:rsidRDefault="00512B6B" w:rsidP="00512B6B">
      <w:pPr>
        <w:pStyle w:val="Textonotapie"/>
        <w:ind w:firstLine="708"/>
        <w:jc w:val="both"/>
        <w:rPr>
          <w:rFonts w:ascii="Verdana" w:hAnsi="Verdana" w:cs="Arial"/>
          <w:color w:val="000000"/>
          <w:sz w:val="12"/>
          <w:szCs w:val="12"/>
        </w:rPr>
      </w:pPr>
      <w:r w:rsidRPr="00A57AFB">
        <w:rPr>
          <w:rFonts w:ascii="Verdana" w:hAnsi="Verdana" w:cs="Arial"/>
          <w:color w:val="000000"/>
          <w:sz w:val="12"/>
          <w:szCs w:val="12"/>
          <w:vertAlign w:val="superscript"/>
        </w:rPr>
        <w:footnoteRef/>
      </w:r>
      <w:r w:rsidRPr="00A57AFB">
        <w:rPr>
          <w:rFonts w:ascii="Verdana" w:hAnsi="Verdana" w:cs="Arial"/>
          <w:color w:val="000000"/>
          <w:sz w:val="12"/>
          <w:szCs w:val="12"/>
        </w:rPr>
        <w:t xml:space="preserve"> En las Gacetas Nos. 607 y 784 de 2010, en las páginas 12 y 24, respectivamente, se da cuenta de esto.</w:t>
      </w:r>
    </w:p>
    <w:p w14:paraId="6AA8AF56" w14:textId="77777777" w:rsidR="00512B6B" w:rsidRDefault="00512B6B" w:rsidP="00512B6B">
      <w:pPr>
        <w:pStyle w:val="Textonotapie"/>
        <w:ind w:firstLine="708"/>
        <w:jc w:val="both"/>
      </w:pPr>
    </w:p>
  </w:footnote>
  <w:footnote w:id="9">
    <w:p w14:paraId="645B711F" w14:textId="77777777" w:rsidR="00512B6B" w:rsidRPr="00A57AFB" w:rsidRDefault="00512B6B" w:rsidP="00512B6B">
      <w:pPr>
        <w:pStyle w:val="Textonotapie"/>
        <w:ind w:firstLine="708"/>
        <w:jc w:val="both"/>
        <w:rPr>
          <w:rFonts w:ascii="Verdana" w:hAnsi="Verdana" w:cs="Arial"/>
          <w:color w:val="000000"/>
          <w:sz w:val="12"/>
          <w:szCs w:val="12"/>
        </w:rPr>
      </w:pPr>
      <w:r w:rsidRPr="00A57AFB">
        <w:rPr>
          <w:rFonts w:ascii="Verdana" w:hAnsi="Verdana" w:cs="Arial"/>
          <w:color w:val="000000"/>
          <w:sz w:val="12"/>
          <w:szCs w:val="12"/>
          <w:vertAlign w:val="superscript"/>
        </w:rPr>
        <w:footnoteRef/>
      </w:r>
      <w:r w:rsidRPr="00A57AFB">
        <w:rPr>
          <w:rFonts w:ascii="Verdana" w:hAnsi="Verdana" w:cs="Arial"/>
          <w:color w:val="000000"/>
          <w:sz w:val="12"/>
          <w:szCs w:val="12"/>
        </w:rPr>
        <w:t xml:space="preserve"> Ver las Gacetas Nos. 1002 y 1117 de 2010, en las páginas 44 y 13, respectivamente.</w:t>
      </w:r>
    </w:p>
    <w:p w14:paraId="230FAE45" w14:textId="77777777" w:rsidR="00512B6B" w:rsidRDefault="00512B6B" w:rsidP="00512B6B">
      <w:pPr>
        <w:pStyle w:val="Textonotapie"/>
        <w:ind w:firstLine="708"/>
        <w:jc w:val="both"/>
      </w:pPr>
    </w:p>
  </w:footnote>
  <w:footnote w:id="10">
    <w:p w14:paraId="2B9D5825" w14:textId="77777777" w:rsidR="00512B6B" w:rsidRPr="00A57AFB" w:rsidRDefault="00512B6B" w:rsidP="00512B6B">
      <w:pPr>
        <w:pStyle w:val="Textonotapie"/>
        <w:ind w:firstLine="708"/>
        <w:jc w:val="both"/>
        <w:rPr>
          <w:rFonts w:ascii="Verdana" w:hAnsi="Verdana" w:cs="Arial"/>
          <w:color w:val="000000"/>
          <w:sz w:val="12"/>
          <w:szCs w:val="12"/>
        </w:rPr>
      </w:pPr>
      <w:r w:rsidRPr="00A57AFB">
        <w:rPr>
          <w:rFonts w:ascii="Verdana" w:hAnsi="Verdana" w:cs="Arial"/>
          <w:color w:val="000000"/>
          <w:sz w:val="12"/>
          <w:szCs w:val="12"/>
          <w:vertAlign w:val="superscript"/>
        </w:rPr>
        <w:footnoteRef/>
      </w:r>
      <w:r w:rsidRPr="00A57AFB">
        <w:rPr>
          <w:rFonts w:ascii="Verdana" w:hAnsi="Verdana" w:cs="Arial"/>
          <w:color w:val="000000"/>
          <w:sz w:val="12"/>
          <w:szCs w:val="12"/>
        </w:rPr>
        <w:t xml:space="preserve"> Ver la Gaceta No. 019 de 2011, en la página 17.</w:t>
      </w:r>
    </w:p>
    <w:p w14:paraId="4E4B5D6E" w14:textId="77777777" w:rsidR="00512B6B" w:rsidRDefault="00512B6B" w:rsidP="00512B6B">
      <w:pPr>
        <w:pStyle w:val="Textonotapie"/>
        <w:ind w:firstLine="708"/>
        <w:jc w:val="both"/>
      </w:pPr>
    </w:p>
  </w:footnote>
  <w:footnote w:id="11">
    <w:p w14:paraId="3C4C2492" w14:textId="77777777" w:rsidR="00512B6B" w:rsidRPr="00A57AFB" w:rsidRDefault="00512B6B" w:rsidP="00512B6B">
      <w:pPr>
        <w:pStyle w:val="Textonotapie"/>
        <w:ind w:firstLine="708"/>
        <w:jc w:val="both"/>
        <w:rPr>
          <w:rFonts w:ascii="Verdana" w:hAnsi="Verdana" w:cs="Arial"/>
          <w:color w:val="000000"/>
          <w:sz w:val="12"/>
          <w:szCs w:val="12"/>
        </w:rPr>
      </w:pPr>
      <w:r w:rsidRPr="00A57AFB">
        <w:rPr>
          <w:rFonts w:ascii="Verdana" w:hAnsi="Verdana" w:cs="Arial"/>
          <w:color w:val="000000"/>
          <w:sz w:val="12"/>
          <w:szCs w:val="12"/>
          <w:vertAlign w:val="superscript"/>
        </w:rPr>
        <w:footnoteRef/>
      </w:r>
      <w:r w:rsidRPr="00A57AFB">
        <w:rPr>
          <w:rFonts w:ascii="Verdana" w:hAnsi="Verdana" w:cs="Arial"/>
          <w:color w:val="000000"/>
          <w:sz w:val="12"/>
          <w:szCs w:val="12"/>
        </w:rPr>
        <w:t xml:space="preserve"> Ver la Gaceta No. 128 de 2011, en la página 20.</w:t>
      </w:r>
    </w:p>
    <w:p w14:paraId="5023C630" w14:textId="77777777" w:rsidR="00512B6B" w:rsidRDefault="00512B6B" w:rsidP="00512B6B">
      <w:pPr>
        <w:pStyle w:val="Textonotapie"/>
        <w:ind w:firstLine="708"/>
        <w:jc w:val="both"/>
      </w:pPr>
    </w:p>
  </w:footnote>
  <w:footnote w:id="12">
    <w:p w14:paraId="0776EE6A" w14:textId="77777777" w:rsidR="00512B6B" w:rsidRPr="00A57AFB" w:rsidRDefault="00512B6B" w:rsidP="00512B6B">
      <w:pPr>
        <w:pStyle w:val="Textonotapie"/>
        <w:ind w:firstLine="708"/>
        <w:jc w:val="both"/>
        <w:rPr>
          <w:rFonts w:ascii="Verdana" w:hAnsi="Verdana" w:cs="Arial"/>
          <w:color w:val="000000"/>
          <w:sz w:val="12"/>
          <w:szCs w:val="12"/>
        </w:rPr>
      </w:pPr>
      <w:r w:rsidRPr="00A57AFB">
        <w:rPr>
          <w:rFonts w:ascii="Verdana" w:hAnsi="Verdana" w:cs="Arial"/>
          <w:color w:val="000000"/>
          <w:sz w:val="12"/>
          <w:szCs w:val="12"/>
          <w:vertAlign w:val="superscript"/>
        </w:rPr>
        <w:footnoteRef/>
      </w:r>
      <w:r w:rsidRPr="00A57AFB">
        <w:rPr>
          <w:rFonts w:ascii="Verdana" w:hAnsi="Verdana" w:cs="Arial"/>
          <w:color w:val="000000"/>
          <w:sz w:val="12"/>
          <w:szCs w:val="12"/>
        </w:rPr>
        <w:t xml:space="preserve"> Ver la Gaceta No. 258 de 2011, en la página 16.</w:t>
      </w:r>
    </w:p>
    <w:p w14:paraId="78A51D37" w14:textId="77777777" w:rsidR="00512B6B" w:rsidRDefault="00512B6B" w:rsidP="00512B6B">
      <w:pPr>
        <w:pStyle w:val="Textonotapie"/>
        <w:ind w:firstLine="708"/>
        <w:jc w:val="both"/>
      </w:pPr>
    </w:p>
  </w:footnote>
  <w:footnote w:id="13">
    <w:p w14:paraId="715EB679" w14:textId="77777777" w:rsidR="00512B6B" w:rsidRPr="00A57AFB" w:rsidRDefault="00512B6B" w:rsidP="00512B6B">
      <w:pPr>
        <w:pStyle w:val="Textonotapie"/>
        <w:ind w:firstLine="708"/>
        <w:jc w:val="both"/>
        <w:rPr>
          <w:rFonts w:ascii="Verdana" w:hAnsi="Verdana" w:cs="Arial"/>
          <w:color w:val="000000"/>
          <w:sz w:val="12"/>
          <w:szCs w:val="12"/>
        </w:rPr>
      </w:pPr>
      <w:r w:rsidRPr="00A57AFB">
        <w:rPr>
          <w:rFonts w:ascii="Verdana" w:hAnsi="Verdana" w:cs="Arial"/>
          <w:color w:val="000000"/>
          <w:sz w:val="12"/>
          <w:szCs w:val="12"/>
          <w:vertAlign w:val="superscript"/>
        </w:rPr>
        <w:footnoteRef/>
      </w:r>
      <w:r w:rsidRPr="00A57AFB">
        <w:rPr>
          <w:rFonts w:ascii="Verdana" w:hAnsi="Verdana" w:cs="Arial"/>
          <w:color w:val="000000"/>
          <w:sz w:val="12"/>
          <w:szCs w:val="12"/>
        </w:rPr>
        <w:t xml:space="preserve"> Ver las Gacetas Nos. 1002 y 1117 de 2010.</w:t>
      </w:r>
    </w:p>
    <w:p w14:paraId="598B2496" w14:textId="77777777" w:rsidR="00512B6B" w:rsidRDefault="00512B6B" w:rsidP="00512B6B">
      <w:pPr>
        <w:pStyle w:val="Textonotapie"/>
        <w:ind w:firstLine="708"/>
        <w:jc w:val="both"/>
      </w:pPr>
    </w:p>
  </w:footnote>
  <w:footnote w:id="14">
    <w:p w14:paraId="4A07663C" w14:textId="77777777" w:rsidR="00512B6B" w:rsidRPr="00A57AFB" w:rsidRDefault="00512B6B" w:rsidP="00512B6B">
      <w:pPr>
        <w:pStyle w:val="Textonotapie"/>
        <w:ind w:firstLine="708"/>
        <w:jc w:val="both"/>
        <w:rPr>
          <w:rFonts w:ascii="Verdana" w:hAnsi="Verdana" w:cs="Arial"/>
          <w:color w:val="000000"/>
          <w:sz w:val="12"/>
          <w:szCs w:val="12"/>
        </w:rPr>
      </w:pPr>
      <w:r w:rsidRPr="00A57AFB">
        <w:rPr>
          <w:rFonts w:ascii="Verdana" w:hAnsi="Verdana" w:cs="Arial"/>
          <w:color w:val="000000"/>
          <w:sz w:val="12"/>
          <w:szCs w:val="12"/>
          <w:vertAlign w:val="superscript"/>
        </w:rPr>
        <w:footnoteRef/>
      </w:r>
      <w:r w:rsidRPr="00A57AFB">
        <w:rPr>
          <w:rFonts w:ascii="Verdana" w:hAnsi="Verdana" w:cs="Arial"/>
          <w:color w:val="000000"/>
          <w:sz w:val="12"/>
          <w:szCs w:val="12"/>
        </w:rPr>
        <w:t xml:space="preserve"> Consejo de Estado, Sección Tercera, Subsección A. Radicado No. 27426. C.P. Ramiro Pazos Guerrero.</w:t>
      </w:r>
    </w:p>
    <w:p w14:paraId="18E9DA2D" w14:textId="77777777" w:rsidR="00512B6B" w:rsidRDefault="00512B6B" w:rsidP="00512B6B">
      <w:pPr>
        <w:pStyle w:val="Textonotapie"/>
        <w:ind w:firstLine="708"/>
        <w:jc w:val="both"/>
      </w:pPr>
    </w:p>
  </w:footnote>
  <w:footnote w:id="15">
    <w:p w14:paraId="5E63A3AC" w14:textId="77777777" w:rsidR="00512B6B" w:rsidRPr="00A57AFB" w:rsidRDefault="00512B6B" w:rsidP="00512B6B">
      <w:pPr>
        <w:pStyle w:val="Textonotapie"/>
        <w:ind w:firstLine="708"/>
        <w:jc w:val="both"/>
        <w:rPr>
          <w:rFonts w:ascii="Verdana" w:hAnsi="Verdana" w:cs="Arial"/>
          <w:color w:val="000000"/>
          <w:sz w:val="12"/>
          <w:szCs w:val="12"/>
        </w:rPr>
      </w:pPr>
      <w:r w:rsidRPr="00A57AFB">
        <w:rPr>
          <w:rFonts w:ascii="Verdana" w:hAnsi="Verdana" w:cs="Arial"/>
          <w:color w:val="000000"/>
          <w:sz w:val="12"/>
          <w:szCs w:val="12"/>
          <w:vertAlign w:val="superscript"/>
        </w:rPr>
        <w:footnoteRef/>
      </w:r>
      <w:r w:rsidRPr="00A57AFB">
        <w:rPr>
          <w:rFonts w:ascii="Verdana" w:hAnsi="Verdana" w:cs="Arial"/>
          <w:color w:val="000000"/>
          <w:sz w:val="12"/>
          <w:szCs w:val="12"/>
        </w:rPr>
        <w:t xml:space="preserve"> Cita tomada del texto original: “Efectivamente, el artículo 83 de la Ley 1474 de 2011 prescribió: “Supervisión e interventoría contractual. Con el fin de proteger la moralidad administrativa, de prevenir la ocurrencia de actos de corrupción y de tutelar la transparencia de la actividad contractual, las entidades públicas están obligadas a vigilar permanentemente la correcta ejecución del objeto contratado a través de un supervisor o un interventor, según corresponda. // La supervisión consistirá en el seguimiento técnico, administrativo, financiero, contable, y jurídico </w:t>
      </w:r>
      <w:proofErr w:type="gramStart"/>
      <w:r w:rsidRPr="00A57AFB">
        <w:rPr>
          <w:rFonts w:ascii="Verdana" w:hAnsi="Verdana" w:cs="Arial"/>
          <w:color w:val="000000"/>
          <w:sz w:val="12"/>
          <w:szCs w:val="12"/>
        </w:rPr>
        <w:t>que</w:t>
      </w:r>
      <w:proofErr w:type="gramEnd"/>
      <w:r w:rsidRPr="00A57AFB">
        <w:rPr>
          <w:rFonts w:ascii="Verdana" w:hAnsi="Verdana" w:cs="Arial"/>
          <w:color w:val="000000"/>
          <w:sz w:val="12"/>
          <w:szCs w:val="12"/>
        </w:rPr>
        <w:t xml:space="preserve"> sobre el cumplimiento del objeto del contrato, es ejercida por la misma entidad estatal cuando no requieren conocimientos especializados. Para la supervisión, la Entidad estatal podrá contratar personal de apoyo, a través de los contratos de prestación de servicios que sean requeridos. // La interventoría consistirá en el seguimiento técnico que sobre el cumplimiento del contrato realice una persona natural o jurídica contratada para tal fin por la Entidad Estatal, cuando el seguimiento del contrato suponga conocimiento especializado en la materia, o cuando la complejidad o la extensión </w:t>
      </w:r>
      <w:proofErr w:type="gramStart"/>
      <w:r w:rsidRPr="00A57AFB">
        <w:rPr>
          <w:rFonts w:ascii="Verdana" w:hAnsi="Verdana" w:cs="Arial"/>
          <w:color w:val="000000"/>
          <w:sz w:val="12"/>
          <w:szCs w:val="12"/>
        </w:rPr>
        <w:t>del mismo</w:t>
      </w:r>
      <w:proofErr w:type="gramEnd"/>
      <w:r w:rsidRPr="00A57AFB">
        <w:rPr>
          <w:rFonts w:ascii="Verdana" w:hAnsi="Verdana" w:cs="Arial"/>
          <w:color w:val="000000"/>
          <w:sz w:val="12"/>
          <w:szCs w:val="12"/>
        </w:rPr>
        <w:t xml:space="preserve"> lo justifiquen. No obstante, lo anterior cuando la entidad lo encuentre justificado y acorde a la naturaleza del contrato principal, podrá contratar el seguimiento administrativo, técnico, financiero, contable, jurídico del objeto o contrato dentro de la interventoría. // Por regla general, no serán concurrentes en relación con un mismo contrato, las funciones de supervisión e interventoría. Sin embargo, la entidad puede dividir la vigilancia del contrato principal, caso en el </w:t>
      </w:r>
      <w:proofErr w:type="gramStart"/>
      <w:r w:rsidRPr="00A57AFB">
        <w:rPr>
          <w:rFonts w:ascii="Verdana" w:hAnsi="Verdana" w:cs="Arial"/>
          <w:color w:val="000000"/>
          <w:sz w:val="12"/>
          <w:szCs w:val="12"/>
        </w:rPr>
        <w:t>cual</w:t>
      </w:r>
      <w:proofErr w:type="gramEnd"/>
      <w:r w:rsidRPr="00A57AFB">
        <w:rPr>
          <w:rFonts w:ascii="Verdana" w:hAnsi="Verdana" w:cs="Arial"/>
          <w:color w:val="000000"/>
          <w:sz w:val="12"/>
          <w:szCs w:val="12"/>
        </w:rPr>
        <w:t xml:space="preserve"> en el contrato respectivo de interventoría, se deberán indicar las actividades técnicas a cargo del interventor y las demás quedarán a cargo de la Entidad a través del supervisor. // El contrato de Interventoría será supervisado directamente por la entidad estatal”.</w:t>
      </w:r>
    </w:p>
    <w:p w14:paraId="2F8AE796" w14:textId="77777777" w:rsidR="00512B6B" w:rsidRDefault="00512B6B" w:rsidP="00512B6B">
      <w:pPr>
        <w:pStyle w:val="Textonotapie"/>
        <w:ind w:firstLine="708"/>
        <w:jc w:val="both"/>
      </w:pPr>
    </w:p>
  </w:footnote>
  <w:footnote w:id="16">
    <w:p w14:paraId="7EE320C2" w14:textId="77777777" w:rsidR="00512B6B" w:rsidRDefault="00512B6B" w:rsidP="00512B6B">
      <w:pPr>
        <w:pStyle w:val="Textonotapie"/>
        <w:ind w:firstLine="708"/>
        <w:rPr>
          <w:rFonts w:ascii="Verdana" w:hAnsi="Verdana"/>
          <w:sz w:val="12"/>
          <w:szCs w:val="12"/>
          <w:lang w:val="es-CO"/>
        </w:rPr>
      </w:pPr>
      <w:r w:rsidRPr="00A25293">
        <w:rPr>
          <w:rStyle w:val="Refdenotaalpie"/>
          <w:rFonts w:ascii="Verdana" w:hAnsi="Verdana"/>
          <w:sz w:val="12"/>
          <w:szCs w:val="12"/>
        </w:rPr>
        <w:footnoteRef/>
      </w:r>
      <w:r w:rsidRPr="00A25293">
        <w:rPr>
          <w:rFonts w:ascii="Verdana" w:hAnsi="Verdana"/>
          <w:sz w:val="12"/>
          <w:szCs w:val="12"/>
        </w:rPr>
        <w:t xml:space="preserve"> </w:t>
      </w:r>
      <w:r w:rsidRPr="00A25293">
        <w:rPr>
          <w:rFonts w:ascii="Verdana" w:hAnsi="Verdana"/>
          <w:sz w:val="12"/>
          <w:szCs w:val="12"/>
          <w:lang w:val="es-CO"/>
        </w:rPr>
        <w:t xml:space="preserve">Congreso de la República de Colombia. (1998). </w:t>
      </w:r>
      <w:r w:rsidRPr="00A25293">
        <w:rPr>
          <w:rFonts w:ascii="Verdana" w:hAnsi="Verdana"/>
          <w:i/>
          <w:iCs/>
          <w:sz w:val="12"/>
          <w:szCs w:val="12"/>
          <w:lang w:val="es-CO"/>
        </w:rPr>
        <w:t>Ley 489 de 1998, por la cual se dictan normas sobre la organización y el funcionamiento de la Administración Pública</w:t>
      </w:r>
      <w:r w:rsidRPr="00A25293">
        <w:rPr>
          <w:rFonts w:ascii="Verdana" w:hAnsi="Verdana"/>
          <w:sz w:val="12"/>
          <w:szCs w:val="12"/>
          <w:lang w:val="es-CO"/>
        </w:rPr>
        <w:t xml:space="preserve"> (art. 110)</w:t>
      </w:r>
    </w:p>
    <w:p w14:paraId="6A6CA650" w14:textId="77777777" w:rsidR="00512B6B" w:rsidRPr="00A25293" w:rsidRDefault="00512B6B" w:rsidP="00512B6B">
      <w:pPr>
        <w:pStyle w:val="Textonotapie"/>
        <w:ind w:firstLine="708"/>
        <w:rPr>
          <w:rFonts w:ascii="Verdana" w:hAnsi="Verdana"/>
          <w:sz w:val="12"/>
          <w:szCs w:val="12"/>
          <w:lang w:val="es-CO"/>
        </w:rPr>
      </w:pPr>
    </w:p>
  </w:footnote>
  <w:footnote w:id="17">
    <w:p w14:paraId="6535445F" w14:textId="77777777" w:rsidR="00512B6B" w:rsidRPr="006527FF" w:rsidRDefault="00512B6B" w:rsidP="00512B6B">
      <w:pPr>
        <w:pStyle w:val="Textonotapie"/>
        <w:ind w:firstLine="708"/>
        <w:rPr>
          <w:rFonts w:ascii="Verdana" w:hAnsi="Verdana"/>
          <w:sz w:val="12"/>
          <w:szCs w:val="12"/>
          <w:lang w:val="en-US"/>
        </w:rPr>
      </w:pPr>
      <w:r w:rsidRPr="004E716D">
        <w:rPr>
          <w:rStyle w:val="Refdenotaalpie"/>
          <w:rFonts w:ascii="Verdana" w:hAnsi="Verdana"/>
          <w:sz w:val="12"/>
          <w:szCs w:val="12"/>
        </w:rPr>
        <w:footnoteRef/>
      </w:r>
      <w:r w:rsidRPr="006527FF">
        <w:rPr>
          <w:rFonts w:ascii="Verdana" w:hAnsi="Verdana"/>
          <w:sz w:val="12"/>
          <w:szCs w:val="12"/>
          <w:lang w:val="en-US"/>
        </w:rPr>
        <w:t xml:space="preserve"> Ibidem. (art. 111)</w:t>
      </w:r>
      <w:r>
        <w:rPr>
          <w:rFonts w:ascii="Verdana" w:hAnsi="Verdana"/>
          <w:sz w:val="12"/>
          <w:szCs w:val="12"/>
          <w:lang w:val="en-US"/>
        </w:rPr>
        <w:t>.</w:t>
      </w:r>
    </w:p>
  </w:footnote>
  <w:footnote w:id="18">
    <w:p w14:paraId="478CCD46" w14:textId="77777777" w:rsidR="00512B6B" w:rsidRPr="006527FF" w:rsidRDefault="00512B6B" w:rsidP="00512B6B">
      <w:pPr>
        <w:pStyle w:val="Textonotapie"/>
        <w:ind w:firstLine="708"/>
        <w:rPr>
          <w:rFonts w:ascii="Verdana" w:hAnsi="Verdana"/>
          <w:sz w:val="12"/>
          <w:szCs w:val="12"/>
          <w:lang w:val="en-US"/>
        </w:rPr>
      </w:pPr>
      <w:r w:rsidRPr="00647661">
        <w:rPr>
          <w:rStyle w:val="Refdenotaalpie"/>
          <w:rFonts w:ascii="Verdana" w:hAnsi="Verdana"/>
          <w:sz w:val="12"/>
          <w:szCs w:val="12"/>
        </w:rPr>
        <w:footnoteRef/>
      </w:r>
      <w:r w:rsidRPr="006527FF">
        <w:rPr>
          <w:rFonts w:ascii="Verdana" w:hAnsi="Verdana"/>
          <w:sz w:val="12"/>
          <w:szCs w:val="12"/>
          <w:lang w:val="en-US"/>
        </w:rPr>
        <w:t xml:space="preserve"> Ibidem. (art. 112).</w:t>
      </w:r>
      <w:r w:rsidRPr="006527FF" w:rsidDel="008078B5">
        <w:rPr>
          <w:rFonts w:ascii="Verdana" w:hAnsi="Verdana"/>
          <w:sz w:val="12"/>
          <w:szCs w:val="12"/>
          <w:lang w:val="en-US"/>
        </w:rPr>
        <w:t xml:space="preserve"> </w:t>
      </w:r>
    </w:p>
    <w:p w14:paraId="7FABCB52" w14:textId="77777777" w:rsidR="00512B6B" w:rsidRPr="006527FF" w:rsidRDefault="00512B6B" w:rsidP="00512B6B">
      <w:pPr>
        <w:pStyle w:val="Textonotapie"/>
        <w:ind w:firstLine="708"/>
        <w:rPr>
          <w:rFonts w:ascii="Verdana" w:hAnsi="Verdana"/>
          <w:sz w:val="12"/>
          <w:szCs w:val="12"/>
          <w:lang w:val="en-US"/>
        </w:rPr>
      </w:pPr>
    </w:p>
  </w:footnote>
  <w:footnote w:id="19">
    <w:p w14:paraId="7CA40145" w14:textId="77777777" w:rsidR="00512B6B" w:rsidRPr="00D45033" w:rsidRDefault="00512B6B" w:rsidP="00512B6B">
      <w:pPr>
        <w:pStyle w:val="Textonotapie"/>
        <w:ind w:firstLine="708"/>
        <w:rPr>
          <w:rFonts w:ascii="Verdana" w:hAnsi="Verdana"/>
          <w:sz w:val="12"/>
          <w:szCs w:val="12"/>
          <w:lang w:val="es-CO"/>
        </w:rPr>
      </w:pPr>
      <w:r w:rsidRPr="00647661">
        <w:rPr>
          <w:rStyle w:val="Refdenotaalpie"/>
          <w:rFonts w:ascii="Verdana" w:hAnsi="Verdana"/>
          <w:sz w:val="12"/>
          <w:szCs w:val="12"/>
        </w:rPr>
        <w:footnoteRef/>
      </w:r>
      <w:r w:rsidRPr="006527FF">
        <w:rPr>
          <w:rFonts w:ascii="Verdana" w:hAnsi="Verdana"/>
          <w:sz w:val="12"/>
          <w:szCs w:val="12"/>
          <w:lang w:val="en-US"/>
        </w:rPr>
        <w:t xml:space="preserve"> Ibidem. </w:t>
      </w:r>
      <w:r w:rsidRPr="00D45033">
        <w:rPr>
          <w:rFonts w:ascii="Verdana" w:hAnsi="Verdana"/>
          <w:sz w:val="12"/>
          <w:szCs w:val="12"/>
          <w:lang w:val="es-CO"/>
        </w:rPr>
        <w:t>(art. 113)</w:t>
      </w:r>
      <w:r>
        <w:rPr>
          <w:rFonts w:ascii="Verdana" w:hAnsi="Verdana"/>
          <w:sz w:val="12"/>
          <w:szCs w:val="12"/>
          <w:lang w:val="es-CO"/>
        </w:rPr>
        <w:t>.</w:t>
      </w:r>
      <w:r w:rsidRPr="00D45033">
        <w:rPr>
          <w:rFonts w:ascii="Verdana" w:hAnsi="Verdana"/>
          <w:sz w:val="12"/>
          <w:szCs w:val="12"/>
          <w:lang w:val="es-CO"/>
        </w:rPr>
        <w:t xml:space="preserve"> </w:t>
      </w:r>
    </w:p>
  </w:footnote>
  <w:footnote w:id="20">
    <w:p w14:paraId="3AD1B744" w14:textId="77777777" w:rsidR="00512B6B" w:rsidRPr="00D45033" w:rsidRDefault="00512B6B" w:rsidP="00512B6B">
      <w:pPr>
        <w:pStyle w:val="Textonotapie"/>
        <w:rPr>
          <w:lang w:val="es-CO"/>
        </w:rPr>
      </w:pPr>
      <w:r w:rsidRPr="00A678B8">
        <w:rPr>
          <w:rStyle w:val="Refdenotaalpie"/>
          <w:rFonts w:ascii="Verdana" w:hAnsi="Verdana"/>
          <w:sz w:val="12"/>
          <w:szCs w:val="12"/>
        </w:rPr>
        <w:footnoteRef/>
      </w:r>
      <w:r w:rsidRPr="00D45033">
        <w:rPr>
          <w:rFonts w:ascii="Verdana" w:hAnsi="Verdana"/>
          <w:sz w:val="12"/>
          <w:szCs w:val="12"/>
        </w:rPr>
        <w:t xml:space="preserve"> </w:t>
      </w:r>
      <w:r w:rsidRPr="00D45033" w:rsidDel="008078B5">
        <w:rPr>
          <w:rFonts w:ascii="Verdana" w:hAnsi="Verdana"/>
          <w:sz w:val="12"/>
          <w:szCs w:val="12"/>
          <w:lang w:val="es-CO"/>
        </w:rPr>
        <w:t xml:space="preserve">Congreso de la República de Colombia. (1998). </w:t>
      </w:r>
      <w:r w:rsidRPr="00D45033" w:rsidDel="008078B5">
        <w:rPr>
          <w:rFonts w:ascii="Verdana" w:hAnsi="Verdana"/>
          <w:i/>
          <w:sz w:val="12"/>
          <w:szCs w:val="12"/>
          <w:lang w:val="es-CO"/>
        </w:rPr>
        <w:t>Ley 489 de 1998, por la cual se dictan normas sobre la organización y el funcionamiento de la Administración Pública</w:t>
      </w:r>
      <w:r w:rsidRPr="00D45033">
        <w:rPr>
          <w:rFonts w:ascii="Verdana" w:hAnsi="Verdana"/>
          <w:sz w:val="12"/>
          <w:szCs w:val="12"/>
          <w:lang w:val="es-CO"/>
        </w:rPr>
        <w:t xml:space="preserve"> (art. 114).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B0031" w14:textId="77777777" w:rsidR="00570D88" w:rsidRDefault="00570D88">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20CAA67D" wp14:editId="1961C4FC">
          <wp:simplePos x="0" y="0"/>
          <wp:positionH relativeFrom="margin">
            <wp:align>center</wp:align>
          </wp:positionH>
          <wp:positionV relativeFrom="paragraph">
            <wp:posOffset>-280797</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56CEAB2C" wp14:editId="51899698">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76631CA8" w14:textId="77777777" w:rsidR="00570D88" w:rsidRDefault="00570D88">
    <w:pPr>
      <w:pStyle w:val="Encabezado"/>
    </w:pPr>
  </w:p>
  <w:p w14:paraId="534F5676" w14:textId="77777777" w:rsidR="00570D88" w:rsidRDefault="00570D88">
    <w:pPr>
      <w:pStyle w:val="Encabezado"/>
    </w:pPr>
  </w:p>
  <w:p w14:paraId="25B4C968" w14:textId="77777777" w:rsidR="00570D88" w:rsidRDefault="00570D88">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856CAA"/>
    <w:multiLevelType w:val="multilevel"/>
    <w:tmpl w:val="19D20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 w15:restartNumberingAfterBreak="0">
    <w:nsid w:val="7BCD33FF"/>
    <w:multiLevelType w:val="hybridMultilevel"/>
    <w:tmpl w:val="18B8A35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341274352">
    <w:abstractNumId w:val="0"/>
  </w:num>
  <w:num w:numId="2" w16cid:durableId="679089576">
    <w:abstractNumId w:val="2"/>
  </w:num>
  <w:num w:numId="3" w16cid:durableId="455372714">
    <w:abstractNumId w:val="3"/>
  </w:num>
  <w:num w:numId="4" w16cid:durableId="2046048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D88"/>
    <w:rsid w:val="000F5A42"/>
    <w:rsid w:val="0013363D"/>
    <w:rsid w:val="001F6D4E"/>
    <w:rsid w:val="00203342"/>
    <w:rsid w:val="00512B6B"/>
    <w:rsid w:val="00553BCB"/>
    <w:rsid w:val="00570D88"/>
    <w:rsid w:val="0066555B"/>
    <w:rsid w:val="00746823"/>
    <w:rsid w:val="00837A16"/>
    <w:rsid w:val="009E7789"/>
    <w:rsid w:val="00A12218"/>
    <w:rsid w:val="00A90678"/>
    <w:rsid w:val="00AC3CFE"/>
    <w:rsid w:val="00BE38A3"/>
    <w:rsid w:val="00C76D74"/>
    <w:rsid w:val="00DC68B8"/>
    <w:rsid w:val="00E44EAF"/>
    <w:rsid w:val="00F32F50"/>
    <w:rsid w:val="00F82BE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1F5DA1"/>
  <w15:chartTrackingRefBased/>
  <w15:docId w15:val="{5A6F88F9-6BA1-43BE-90D9-23BB329DB9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38A3"/>
    <w:rPr>
      <w:kern w:val="0"/>
      <w14:ligatures w14:val="none"/>
    </w:rPr>
  </w:style>
  <w:style w:type="paragraph" w:styleId="Ttulo1">
    <w:name w:val="heading 1"/>
    <w:basedOn w:val="Normal"/>
    <w:next w:val="Normal"/>
    <w:link w:val="Ttulo1Car"/>
    <w:uiPriority w:val="9"/>
    <w:qFormat/>
    <w:rsid w:val="00570D8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570D8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570D88"/>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570D88"/>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570D88"/>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570D8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570D8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570D8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570D88"/>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70D88"/>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570D88"/>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570D88"/>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570D88"/>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570D88"/>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570D8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570D8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570D8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570D88"/>
    <w:rPr>
      <w:rFonts w:eastAsiaTheme="majorEastAsia" w:cstheme="majorBidi"/>
      <w:color w:val="272727" w:themeColor="text1" w:themeTint="D8"/>
    </w:rPr>
  </w:style>
  <w:style w:type="paragraph" w:styleId="Ttulo">
    <w:name w:val="Title"/>
    <w:basedOn w:val="Normal"/>
    <w:next w:val="Normal"/>
    <w:link w:val="TtuloCar"/>
    <w:uiPriority w:val="10"/>
    <w:qFormat/>
    <w:rsid w:val="00570D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570D8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570D88"/>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570D8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570D88"/>
    <w:pPr>
      <w:spacing w:before="160"/>
      <w:jc w:val="center"/>
    </w:pPr>
    <w:rPr>
      <w:i/>
      <w:iCs/>
      <w:color w:val="404040" w:themeColor="text1" w:themeTint="BF"/>
    </w:rPr>
  </w:style>
  <w:style w:type="character" w:customStyle="1" w:styleId="CitaCar">
    <w:name w:val="Cita Car"/>
    <w:basedOn w:val="Fuentedeprrafopredeter"/>
    <w:link w:val="Cita"/>
    <w:uiPriority w:val="29"/>
    <w:rsid w:val="00570D88"/>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70D88"/>
    <w:pPr>
      <w:ind w:left="720"/>
      <w:contextualSpacing/>
    </w:pPr>
  </w:style>
  <w:style w:type="character" w:styleId="nfasisintenso">
    <w:name w:val="Intense Emphasis"/>
    <w:basedOn w:val="Fuentedeprrafopredeter"/>
    <w:uiPriority w:val="21"/>
    <w:qFormat/>
    <w:rsid w:val="00570D88"/>
    <w:rPr>
      <w:i/>
      <w:iCs/>
      <w:color w:val="0F4761" w:themeColor="accent1" w:themeShade="BF"/>
    </w:rPr>
  </w:style>
  <w:style w:type="paragraph" w:styleId="Citadestacada">
    <w:name w:val="Intense Quote"/>
    <w:basedOn w:val="Normal"/>
    <w:next w:val="Normal"/>
    <w:link w:val="CitadestacadaCar"/>
    <w:uiPriority w:val="30"/>
    <w:qFormat/>
    <w:rsid w:val="00570D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570D88"/>
    <w:rPr>
      <w:i/>
      <w:iCs/>
      <w:color w:val="0F4761" w:themeColor="accent1" w:themeShade="BF"/>
    </w:rPr>
  </w:style>
  <w:style w:type="character" w:styleId="Referenciaintensa">
    <w:name w:val="Intense Reference"/>
    <w:basedOn w:val="Fuentedeprrafopredeter"/>
    <w:uiPriority w:val="32"/>
    <w:qFormat/>
    <w:rsid w:val="00570D88"/>
    <w:rPr>
      <w:b/>
      <w:bCs/>
      <w:smallCaps/>
      <w:color w:val="0F4761" w:themeColor="accent1" w:themeShade="BF"/>
      <w:spacing w:val="5"/>
    </w:rPr>
  </w:style>
  <w:style w:type="paragraph" w:styleId="Encabezado">
    <w:name w:val="header"/>
    <w:basedOn w:val="Normal"/>
    <w:link w:val="EncabezadoCar"/>
    <w:uiPriority w:val="99"/>
    <w:unhideWhenUsed/>
    <w:rsid w:val="00570D8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570D88"/>
    <w:rPr>
      <w:kern w:val="0"/>
      <w14:ligatures w14:val="none"/>
    </w:rPr>
  </w:style>
  <w:style w:type="paragraph" w:styleId="Piedepgina">
    <w:name w:val="footer"/>
    <w:basedOn w:val="Normal"/>
    <w:link w:val="PiedepginaCar"/>
    <w:uiPriority w:val="99"/>
    <w:unhideWhenUsed/>
    <w:rsid w:val="00570D8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570D88"/>
    <w:rPr>
      <w:kern w:val="0"/>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570D8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570D88"/>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570D88"/>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
    <w:basedOn w:val="Fuentedeprrafopredeter"/>
    <w:uiPriority w:val="99"/>
    <w:unhideWhenUsed/>
    <w:qFormat/>
    <w:rsid w:val="00570D88"/>
    <w:rPr>
      <w:vertAlign w:val="superscript"/>
    </w:rPr>
  </w:style>
  <w:style w:type="character" w:customStyle="1" w:styleId="normaltextrun">
    <w:name w:val="normaltextrun"/>
    <w:basedOn w:val="Fuentedeprrafopredeter"/>
    <w:rsid w:val="00570D88"/>
  </w:style>
  <w:style w:type="table" w:styleId="Tablaconcuadrcula">
    <w:name w:val="Table Grid"/>
    <w:basedOn w:val="Tablanormal"/>
    <w:uiPriority w:val="39"/>
    <w:qFormat/>
    <w:rsid w:val="00570D88"/>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70D88"/>
    <w:rPr>
      <w:rFonts w:cs="Times New Roman"/>
      <w:color w:val="0000FF"/>
      <w:u w:val="single"/>
    </w:rPr>
  </w:style>
  <w:style w:type="paragraph" w:customStyle="1" w:styleId="paragraph">
    <w:name w:val="paragraph"/>
    <w:basedOn w:val="Normal"/>
    <w:rsid w:val="00570D88"/>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eop">
    <w:name w:val="eop"/>
    <w:basedOn w:val="Fuentedeprrafopredeter"/>
    <w:rsid w:val="00570D88"/>
  </w:style>
  <w:style w:type="character" w:styleId="Refdecomentario">
    <w:name w:val="annotation reference"/>
    <w:basedOn w:val="Fuentedeprrafopredeter"/>
    <w:uiPriority w:val="99"/>
    <w:semiHidden/>
    <w:unhideWhenUsed/>
    <w:rsid w:val="00570D88"/>
    <w:rPr>
      <w:sz w:val="16"/>
      <w:szCs w:val="16"/>
    </w:rPr>
  </w:style>
  <w:style w:type="paragraph" w:styleId="Textocomentario">
    <w:name w:val="annotation text"/>
    <w:basedOn w:val="Normal"/>
    <w:link w:val="TextocomentarioCar"/>
    <w:uiPriority w:val="99"/>
    <w:unhideWhenUsed/>
    <w:rsid w:val="00570D88"/>
    <w:pPr>
      <w:spacing w:line="240" w:lineRule="auto"/>
    </w:pPr>
    <w:rPr>
      <w:sz w:val="20"/>
      <w:szCs w:val="20"/>
    </w:rPr>
  </w:style>
  <w:style w:type="character" w:customStyle="1" w:styleId="TextocomentarioCar">
    <w:name w:val="Texto comentario Car"/>
    <w:basedOn w:val="Fuentedeprrafopredeter"/>
    <w:link w:val="Textocomentario"/>
    <w:uiPriority w:val="99"/>
    <w:rsid w:val="00570D88"/>
    <w:rPr>
      <w:kern w:val="0"/>
      <w:sz w:val="20"/>
      <w:szCs w:val="20"/>
      <w14:ligatures w14:val="none"/>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70D88"/>
  </w:style>
  <w:style w:type="paragraph" w:styleId="NormalWeb">
    <w:name w:val="Normal (Web)"/>
    <w:basedOn w:val="Normal"/>
    <w:uiPriority w:val="99"/>
    <w:semiHidden/>
    <w:unhideWhenUsed/>
    <w:rsid w:val="00E44EAF"/>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9558784">
      <w:bodyDiv w:val="1"/>
      <w:marLeft w:val="0"/>
      <w:marRight w:val="0"/>
      <w:marTop w:val="0"/>
      <w:marBottom w:val="0"/>
      <w:divBdr>
        <w:top w:val="none" w:sz="0" w:space="0" w:color="auto"/>
        <w:left w:val="none" w:sz="0" w:space="0" w:color="auto"/>
        <w:bottom w:val="none" w:sz="0" w:space="0" w:color="auto"/>
        <w:right w:val="none" w:sz="0" w:space="0" w:color="auto"/>
      </w:divBdr>
    </w:div>
    <w:div w:id="927228660">
      <w:bodyDiv w:val="1"/>
      <w:marLeft w:val="0"/>
      <w:marRight w:val="0"/>
      <w:marTop w:val="0"/>
      <w:marBottom w:val="0"/>
      <w:divBdr>
        <w:top w:val="none" w:sz="0" w:space="0" w:color="auto"/>
        <w:left w:val="none" w:sz="0" w:space="0" w:color="auto"/>
        <w:bottom w:val="none" w:sz="0" w:space="0" w:color="auto"/>
        <w:right w:val="none" w:sz="0" w:space="0" w:color="auto"/>
      </w:divBdr>
    </w:div>
    <w:div w:id="990838954">
      <w:bodyDiv w:val="1"/>
      <w:marLeft w:val="0"/>
      <w:marRight w:val="0"/>
      <w:marTop w:val="0"/>
      <w:marBottom w:val="0"/>
      <w:divBdr>
        <w:top w:val="none" w:sz="0" w:space="0" w:color="auto"/>
        <w:left w:val="none" w:sz="0" w:space="0" w:color="auto"/>
        <w:bottom w:val="none" w:sz="0" w:space="0" w:color="auto"/>
        <w:right w:val="none" w:sz="0" w:space="0" w:color="auto"/>
      </w:divBdr>
    </w:div>
    <w:div w:id="1612664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sites/cce_public/files/cce_documents/cce_guia_para_el_ejercicio_de_las_funciones_de_supervision_e_interventoria_de_los_contratos_del_estado.pdf" TargetMode="External"/><Relationship Id="rId18" Type="http://schemas.openxmlformats.org/officeDocument/2006/relationships/image" Target="media/image2.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www.colombiacompra.gov.co/sites/cce_public/files/cce_documents/cce_guia_para_el_ejercicio_de_las_funciones_de_supervision_e_interventoria_de_los_contratos_del_estado.pdf" TargetMode="External"/><Relationship Id="rId17" Type="http://schemas.openxmlformats.org/officeDocument/2006/relationships/hyperlink" Target="https://nam02.safelinks.protection.outlook.com/?url=https%3A%2F%2Fwww.colombiacompra.gov.co%2Fmanuales-guias-y-pliegos-tipo%2Fmanuales-y-guias%2Fguia-de-contratacion-publica-sostenible-y-socialmente&amp;data=05%7C02%7Candreina.cerpa%40colombiacompra.gov.co%7Cb18b651bca3a4eb8eab008dd269b400d%7C7b09041e245149d08cb179d5e3d8c1be%7C0%7C0%7C638709170415772816%7CUnknown%7CTWFpbGZsb3d8eyJFbXB0eU1hcGkiOnRydWUsIlYiOiIwLjAuMDAwMCIsIlAiOiJXaW4zMiIsIkFOIjoiTWFpbCIsIldUIjoyfQ%3D%3D%7C0%7C%7C%7C&amp;sdata=PBDkvgAHeIoaCeeQekGFgDhs2Sk1tsb5MPeryxTBPfY%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content%2F02-documentos-tipo-para-los-procesos-de-seleccion-de-consultoria-de-obra-publica-de&amp;data=05%7C02%7Candreina.cerpa%40colombiacompra.gov.co%7Cb18b651bca3a4eb8eab008dd269b400d%7C7b09041e245149d08cb179d5e3d8c1be%7C0%7C0%7C638709170415762859%7CUnknown%7CTWFpbGZsb3d8eyJFbXB0eU1hcGkiOnRydWUsIlYiOiIwLjAuMDAwMCIsIlAiOiJXaW4zMiIsIkFOIjoiTWFpbCIsIldUIjoyfQ%3D%3D%7C0%7C%7C%7C&amp;sdata=QEXbsPMsy4NNbejOWug2qoOHUVSLpC6V2KjZEegrbWE%3D&amp;reserved=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ycabuyao@mindeporte.gov.co"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content%2F03-documentos-tipo-para-los-procesos-de-seleccion-de-interventoria-de-obra-publica-de&amp;data=05%7C02%7Candreina.cerpa%40colombiacompra.gov.co%7Cb18b651bca3a4eb8eab008dd269b400d%7C7b09041e245149d08cb179d5e3d8c1be%7C0%7C0%7C638709170415744530%7CUnknown%7CTWFpbGZsb3d8eyJFbXB0eU1hcGkiOnRydWUsIlYiOiIwLjAuMDAwMCIsIlAiOiJXaW4zMiIsIkFOIjoiTWFpbCIsIldUIjoyfQ%3D%3D%7C0%7C%7C%7C&amp;sdata=%2BVedJu7Gpp7wg2hvJwFoj1NpmV2LIKtcMjk%2F9gnqIA4%3D&amp;reserved=0" TargetMode="External"/><Relationship Id="rId10" Type="http://schemas.openxmlformats.org/officeDocument/2006/relationships/image" Target="media/image1.pn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relatoria.colombiacompra.gov.co/"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2A9876A-50C8-4A9A-B44B-D71BAECE5F05}">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E12EF6E0-ECE2-444F-9518-791A798C84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11B160-9AE5-4A5E-9502-7E3A86BE7D8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16</Pages>
  <Words>5208</Words>
  <Characters>28649</Characters>
  <Application>Microsoft Office Word</Application>
  <DocSecurity>0</DocSecurity>
  <Lines>238</Lines>
  <Paragraphs>67</Paragraphs>
  <ScaleCrop>false</ScaleCrop>
  <Company/>
  <LinksUpToDate>false</LinksUpToDate>
  <CharactersWithSpaces>33790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Andreina Cerpa Muñoz</dc:creator>
  <cp:keywords/>
  <dc:description/>
  <cp:lastModifiedBy>Andreina Cerpa Muñoz</cp:lastModifiedBy>
  <cp:revision>13</cp:revision>
  <dcterms:created xsi:type="dcterms:W3CDTF">2025-01-15T20:10:00Z</dcterms:created>
  <dcterms:modified xsi:type="dcterms:W3CDTF">2025-01-27T16:30:00Z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