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A5E37" w14:textId="5C03E242" w:rsidR="0007373A" w:rsidRPr="0007373A" w:rsidRDefault="0007373A" w:rsidP="0007373A">
      <w:pPr>
        <w:spacing w:after="0"/>
        <w:jc w:val="both"/>
        <w:rPr>
          <w:rFonts w:ascii="Verdana" w:hAnsi="Verdana"/>
        </w:rPr>
      </w:pPr>
      <w:bookmarkStart w:id="0" w:name="_Hlk143780582"/>
      <w:r w:rsidRPr="0007373A">
        <w:rPr>
          <w:rFonts w:ascii="Verdana" w:eastAsia="Calibri" w:hAnsi="Verdana" w:cs="Arial"/>
          <w:b/>
          <w:bCs/>
          <w:lang w:val="es-ES_tradnl" w:eastAsia="es-ES"/>
        </w:rPr>
        <w:t xml:space="preserve">DOCUMENTOS TIPO – Generalidades – </w:t>
      </w:r>
      <w:r w:rsidRPr="0007373A">
        <w:rPr>
          <w:rFonts w:ascii="Verdana" w:eastAsia="Aptos" w:hAnsi="Verdana" w:cs="Times New Roman"/>
          <w:b/>
          <w:bCs/>
          <w:kern w:val="2"/>
          <w:lang w:val="es-ES_tradnl" w:eastAsia="es-ES"/>
          <w14:ligatures w14:val="standardContextual"/>
        </w:rPr>
        <w:t xml:space="preserve">Obligatoriedad </w:t>
      </w:r>
    </w:p>
    <w:p w14:paraId="3B3D44A3" w14:textId="77777777" w:rsidR="0007373A" w:rsidRPr="0007373A" w:rsidRDefault="0007373A" w:rsidP="0007373A">
      <w:pPr>
        <w:snapToGrid w:val="0"/>
        <w:spacing w:after="0" w:line="240" w:lineRule="auto"/>
        <w:jc w:val="both"/>
        <w:rPr>
          <w:rFonts w:ascii="Verdana" w:eastAsia="Calibri" w:hAnsi="Verdana" w:cs="Arial"/>
          <w:b/>
          <w:bCs/>
          <w:lang w:val="es-ES_tradnl" w:eastAsia="es-ES"/>
        </w:rPr>
      </w:pPr>
    </w:p>
    <w:p w14:paraId="387F0731" w14:textId="3D147028" w:rsidR="0007373A" w:rsidRPr="0007373A" w:rsidRDefault="00D4658A" w:rsidP="0007373A">
      <w:pPr>
        <w:snapToGrid w:val="0"/>
        <w:spacing w:after="0" w:line="240" w:lineRule="auto"/>
        <w:jc w:val="both"/>
        <w:rPr>
          <w:rFonts w:ascii="Verdana" w:eastAsia="Calibri" w:hAnsi="Verdana" w:cs="Arial"/>
          <w:sz w:val="20"/>
          <w:szCs w:val="20"/>
          <w:lang w:val="es-ES_tradnl"/>
        </w:rPr>
      </w:pPr>
      <w:r w:rsidRPr="00D4658A">
        <w:rPr>
          <w:rFonts w:ascii="Verdana" w:eastAsia="Calibri" w:hAnsi="Verdana" w:cs="Arial"/>
          <w:sz w:val="20"/>
          <w:szCs w:val="20"/>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7C43C4CE" w14:textId="77777777" w:rsidR="0007373A" w:rsidRPr="0007373A" w:rsidRDefault="0007373A" w:rsidP="0007373A">
      <w:pPr>
        <w:snapToGrid w:val="0"/>
        <w:spacing w:after="0" w:line="240" w:lineRule="auto"/>
        <w:rPr>
          <w:rFonts w:ascii="Verdana" w:eastAsia="Geomanist Light" w:hAnsi="Verdana" w:cs="Arial"/>
          <w:lang w:val="es-ES_tradnl"/>
        </w:rPr>
      </w:pPr>
    </w:p>
    <w:p w14:paraId="4EE20327" w14:textId="77777777" w:rsidR="0007373A" w:rsidRPr="0007373A" w:rsidRDefault="0007373A" w:rsidP="0007373A">
      <w:pPr>
        <w:snapToGrid w:val="0"/>
        <w:spacing w:after="0" w:line="276" w:lineRule="auto"/>
        <w:jc w:val="both"/>
        <w:rPr>
          <w:rFonts w:ascii="Verdana" w:eastAsia="Geomanist Light" w:hAnsi="Verdana" w:cs="Arial"/>
          <w:b/>
          <w:bCs/>
          <w:lang w:val="es-ES_tradnl"/>
        </w:rPr>
      </w:pPr>
      <w:r w:rsidRPr="0007373A">
        <w:rPr>
          <w:rFonts w:ascii="Verdana" w:eastAsia="Geomanist Light" w:hAnsi="Verdana" w:cs="Arial"/>
          <w:b/>
          <w:bCs/>
          <w:lang w:val="es-ES_tradnl"/>
        </w:rPr>
        <w:t>DOCUMENTOS TIPO – Infraestructura de transporte – Versión 4 – Oferta económica – Formulario 1 – Formulario de Presupuesto Oficial – SECOP II</w:t>
      </w:r>
    </w:p>
    <w:p w14:paraId="4F9FD3CC" w14:textId="77777777" w:rsidR="0007373A" w:rsidRPr="0007373A" w:rsidRDefault="0007373A" w:rsidP="0007373A">
      <w:pPr>
        <w:snapToGrid w:val="0"/>
        <w:spacing w:after="0" w:line="240" w:lineRule="auto"/>
        <w:jc w:val="both"/>
        <w:rPr>
          <w:rFonts w:ascii="Verdana" w:eastAsia="Geomanist Light" w:hAnsi="Verdana" w:cs="Arial"/>
          <w:lang w:val="es-ES_tradnl"/>
        </w:rPr>
      </w:pPr>
    </w:p>
    <w:p w14:paraId="418D10C7" w14:textId="281C3E73" w:rsidR="0007373A" w:rsidRPr="00D4658A" w:rsidRDefault="00D4658A" w:rsidP="00D4658A">
      <w:pPr>
        <w:widowControl w:val="0"/>
        <w:autoSpaceDE w:val="0"/>
        <w:autoSpaceDN w:val="0"/>
        <w:snapToGrid w:val="0"/>
        <w:spacing w:after="0" w:line="240" w:lineRule="auto"/>
        <w:jc w:val="both"/>
        <w:rPr>
          <w:rFonts w:ascii="Verdana" w:eastAsia="Calibri" w:hAnsi="Verdana" w:cs="Arial"/>
          <w:kern w:val="2"/>
          <w:sz w:val="20"/>
          <w:szCs w:val="20"/>
          <w:lang w:val="es-ES" w:eastAsia="es-MX"/>
          <w14:ligatures w14:val="standardContextual"/>
        </w:rPr>
      </w:pPr>
      <w:r w:rsidRPr="00D4658A">
        <w:rPr>
          <w:rFonts w:ascii="Verdana" w:eastAsia="Calibri" w:hAnsi="Verdana" w:cs="Arial"/>
          <w:kern w:val="2"/>
          <w:sz w:val="20"/>
          <w:szCs w:val="20"/>
          <w:lang w:val="es-ES" w:eastAsia="es-MX"/>
          <w14:ligatures w14:val="standardContextual"/>
        </w:rPr>
        <w:t xml:space="preserve">En los documentos tipo de obra de infraestructura de transporte, el “Formulario 1 – Formulario de Presupuesto Oficial” tiene dos connotaciones: i) por un lado, es el formulario sobre el cual la entidad estructura y presenta el presupuesto oficial del procedimiento de contratación; y </w:t>
      </w:r>
      <w:proofErr w:type="spellStart"/>
      <w:r w:rsidRPr="00D4658A">
        <w:rPr>
          <w:rFonts w:ascii="Verdana" w:eastAsia="Calibri" w:hAnsi="Verdana" w:cs="Arial"/>
          <w:kern w:val="2"/>
          <w:sz w:val="20"/>
          <w:szCs w:val="20"/>
          <w:lang w:val="es-ES" w:eastAsia="es-MX"/>
          <w14:ligatures w14:val="standardContextual"/>
        </w:rPr>
        <w:t>ii</w:t>
      </w:r>
      <w:proofErr w:type="spellEnd"/>
      <w:r w:rsidRPr="00D4658A">
        <w:rPr>
          <w:rFonts w:ascii="Verdana" w:eastAsia="Calibri" w:hAnsi="Verdana" w:cs="Arial"/>
          <w:kern w:val="2"/>
          <w:sz w:val="20"/>
          <w:szCs w:val="20"/>
          <w:lang w:val="es-ES" w:eastAsia="es-MX"/>
          <w14:ligatures w14:val="standardContextual"/>
        </w:rPr>
        <w:t>) por el otro, es el formulario sobre el cual los proponentes elaboran y presentan su oferta económica. Específicamente, frente a la propuesta económica, el documento base señala que la misma se debe elaborar a partir del “Formulario 1– Formulario de Presupuesto Oficial” y la presentación debe hacerse con sujeción a lo dispuesto en los numerales “2.3. ELABORACIÓN Y PRESENTACIÓN DE LA OFERTA” y “4.1. OFERTA ECONÓMICA” del referido documento base. El propósito de esto es evitar la duplicidad de información y permitir que las propuestas económicas sean evaluadas con las variables, cantidades, unidades de medida y reglas consideradas por la entidad al estructurar su presupuesto oficial.</w:t>
      </w:r>
    </w:p>
    <w:p w14:paraId="5BC969B3" w14:textId="77777777" w:rsidR="0007373A" w:rsidRPr="00D4658A" w:rsidRDefault="0007373A" w:rsidP="00D4658A">
      <w:pPr>
        <w:spacing w:after="0" w:line="240" w:lineRule="auto"/>
        <w:jc w:val="both"/>
        <w:rPr>
          <w:rFonts w:ascii="Verdana" w:eastAsia="Geomanist Light" w:hAnsi="Verdana" w:cs="Arial"/>
          <w:sz w:val="20"/>
          <w:szCs w:val="20"/>
          <w:lang w:val="es-ES"/>
        </w:rPr>
      </w:pPr>
      <w:r w:rsidRPr="00D4658A">
        <w:rPr>
          <w:rFonts w:ascii="Verdana" w:eastAsia="Geomanist Light" w:hAnsi="Verdana" w:cs="Arial"/>
          <w:sz w:val="20"/>
          <w:szCs w:val="20"/>
          <w:lang w:val="es-ES"/>
        </w:rPr>
        <w:t>[…]</w:t>
      </w:r>
    </w:p>
    <w:p w14:paraId="77605C77" w14:textId="7E176448" w:rsidR="0007373A" w:rsidRPr="00D4658A" w:rsidRDefault="00D4658A" w:rsidP="00D4658A">
      <w:pPr>
        <w:widowControl w:val="0"/>
        <w:autoSpaceDE w:val="0"/>
        <w:autoSpaceDN w:val="0"/>
        <w:snapToGrid w:val="0"/>
        <w:spacing w:after="0" w:line="240" w:lineRule="auto"/>
        <w:jc w:val="both"/>
        <w:rPr>
          <w:rFonts w:ascii="Verdana" w:eastAsia="Arial" w:hAnsi="Verdana" w:cs="Arial"/>
          <w:iCs/>
          <w:kern w:val="2"/>
          <w:sz w:val="20"/>
          <w:szCs w:val="20"/>
          <w:lang w:val="es-ES_tradnl" w:eastAsia="es-ES" w:bidi="es-ES"/>
          <w14:ligatures w14:val="standardContextual"/>
        </w:rPr>
      </w:pPr>
      <w:r w:rsidRPr="00D4658A">
        <w:rPr>
          <w:rFonts w:ascii="Verdana" w:eastAsia="Calibri" w:hAnsi="Verdana" w:cs="Arial"/>
          <w:kern w:val="2"/>
          <w:sz w:val="20"/>
          <w:szCs w:val="20"/>
          <w:lang w:val="es-ES_tradnl" w:eastAsia="es-MX"/>
          <w14:ligatures w14:val="standardContextual"/>
        </w:rPr>
        <w:t xml:space="preserve">Teniendo en cuenta el objeto de su consulta, es importante señalar que, el numeral “2.3. ELABORACIÓN Y PRESENTACIÓN DE LA OFERTA” del documento base de los documentos tipo en comento, contiene una </w:t>
      </w:r>
      <w:r w:rsidRPr="00D4658A">
        <w:rPr>
          <w:rFonts w:ascii="Verdana" w:eastAsia="Calibri" w:hAnsi="Verdana" w:cs="Arial"/>
          <w:i/>
          <w:iCs/>
          <w:kern w:val="2"/>
          <w:sz w:val="20"/>
          <w:szCs w:val="20"/>
          <w:lang w:val="es-ES_tradnl" w:eastAsia="es-MX"/>
          <w14:ligatures w14:val="standardContextual"/>
        </w:rPr>
        <w:t>Nota,</w:t>
      </w:r>
      <w:r w:rsidRPr="00D4658A">
        <w:rPr>
          <w:rFonts w:ascii="Verdana" w:eastAsia="Calibri" w:hAnsi="Verdana" w:cs="Arial"/>
          <w:kern w:val="2"/>
          <w:sz w:val="20"/>
          <w:szCs w:val="20"/>
          <w:lang w:val="es-ES_tradnl" w:eastAsia="es-MX"/>
          <w14:ligatures w14:val="standardContextual"/>
        </w:rPr>
        <w:t xml:space="preserve"> que establece que, </w:t>
      </w:r>
      <w:r w:rsidRPr="00D4658A">
        <w:rPr>
          <w:rFonts w:ascii="Verdana" w:eastAsia="Calibri" w:hAnsi="Verdana" w:cs="Arial"/>
          <w:i/>
          <w:iCs/>
          <w:kern w:val="2"/>
          <w:sz w:val="20"/>
          <w:szCs w:val="20"/>
          <w:lang w:val="es-ES_tradnl" w:eastAsia="es-MX"/>
          <w14:ligatures w14:val="standardContextual"/>
        </w:rPr>
        <w:t>“[e]n caso de discrepancias entre los valores señalados en el Formulario 1 – Formulario de Presupuesto Oficial y el valor presentado en el SECOP II, prevalecerá el valor presentado en el SECOP II.”</w:t>
      </w:r>
    </w:p>
    <w:p w14:paraId="4306675D" w14:textId="77777777" w:rsidR="00D4658A" w:rsidRDefault="00D4658A" w:rsidP="0007373A">
      <w:pPr>
        <w:spacing w:after="0" w:line="276" w:lineRule="auto"/>
        <w:jc w:val="both"/>
        <w:rPr>
          <w:rFonts w:ascii="Verdana" w:eastAsia="Geomanist Light" w:hAnsi="Verdana" w:cs="Arial"/>
          <w:b/>
          <w:bCs/>
          <w:lang w:val="es-ES"/>
        </w:rPr>
      </w:pPr>
    </w:p>
    <w:p w14:paraId="46C82662" w14:textId="4D8D5BC5" w:rsidR="0007373A" w:rsidRPr="0007373A" w:rsidRDefault="0007373A" w:rsidP="0007373A">
      <w:pPr>
        <w:spacing w:after="0" w:line="276" w:lineRule="auto"/>
        <w:jc w:val="both"/>
        <w:rPr>
          <w:rFonts w:ascii="Verdana" w:eastAsia="Geomanist Light" w:hAnsi="Verdana" w:cs="Arial"/>
          <w:b/>
          <w:bCs/>
          <w:lang w:val="es-ES"/>
        </w:rPr>
      </w:pPr>
      <w:r w:rsidRPr="0007373A">
        <w:rPr>
          <w:rFonts w:ascii="Verdana" w:eastAsia="Geomanist Light" w:hAnsi="Verdana" w:cs="Arial"/>
          <w:b/>
          <w:bCs/>
          <w:lang w:val="es-ES"/>
        </w:rPr>
        <w:t xml:space="preserve">OFERTA ECONÓMICA – Valor – Prevalencia – Documentos Tipo de infraestructura de transporte – Numeral 2.3.2 – </w:t>
      </w:r>
      <w:r w:rsidRPr="0007373A">
        <w:rPr>
          <w:rFonts w:ascii="Verdana" w:eastAsia="Geomanist Light" w:hAnsi="Verdana" w:cs="Arial"/>
          <w:b/>
          <w:bCs/>
          <w:i/>
          <w:iCs/>
          <w:lang w:val="es-ES"/>
        </w:rPr>
        <w:t>Nota</w:t>
      </w:r>
    </w:p>
    <w:p w14:paraId="07755FD6" w14:textId="77777777" w:rsidR="0007373A" w:rsidRPr="0007373A" w:rsidRDefault="0007373A" w:rsidP="0007373A">
      <w:pPr>
        <w:spacing w:after="0" w:line="240" w:lineRule="auto"/>
        <w:jc w:val="both"/>
        <w:rPr>
          <w:rFonts w:ascii="Verdana" w:eastAsia="Geomanist Light" w:hAnsi="Verdana" w:cs="Arial"/>
          <w:lang w:val="es-ES"/>
        </w:rPr>
      </w:pPr>
    </w:p>
    <w:p w14:paraId="14834C5E" w14:textId="46F684A3" w:rsidR="0083330B" w:rsidRDefault="0083330B" w:rsidP="0083330B">
      <w:pPr>
        <w:snapToGrid w:val="0"/>
        <w:spacing w:after="0" w:line="240" w:lineRule="auto"/>
        <w:jc w:val="both"/>
        <w:rPr>
          <w:rFonts w:ascii="Verdana" w:eastAsia="Calibri" w:hAnsi="Verdana" w:cs="Arial"/>
          <w:sz w:val="20"/>
          <w:szCs w:val="20"/>
          <w:lang w:val="es-ES"/>
        </w:rPr>
      </w:pPr>
      <w:r w:rsidRPr="0083330B">
        <w:rPr>
          <w:rFonts w:ascii="Verdana" w:eastAsia="Calibri" w:hAnsi="Verdana" w:cs="Arial"/>
          <w:sz w:val="20"/>
          <w:szCs w:val="20"/>
          <w:lang w:val="es-ES"/>
        </w:rPr>
        <w:t xml:space="preserve">En todo caso, debe advertirse que, la precitada </w:t>
      </w:r>
      <w:r w:rsidRPr="0083330B">
        <w:rPr>
          <w:rFonts w:ascii="Verdana" w:eastAsia="Calibri" w:hAnsi="Verdana" w:cs="Arial"/>
          <w:i/>
          <w:iCs/>
          <w:sz w:val="20"/>
          <w:szCs w:val="20"/>
          <w:lang w:val="es-ES"/>
        </w:rPr>
        <w:t xml:space="preserve">Nota </w:t>
      </w:r>
      <w:r w:rsidRPr="0083330B">
        <w:rPr>
          <w:rFonts w:ascii="Verdana" w:eastAsia="Calibri" w:hAnsi="Verdana" w:cs="Arial"/>
          <w:sz w:val="20"/>
          <w:szCs w:val="20"/>
          <w:lang w:val="es-ES"/>
        </w:rPr>
        <w:t xml:space="preserve">debe ser entendida respecto al valor total consignado en el Formulario 1 y aquel presentado en SECOP II. De esta manera, lo importante será que ambos valores totales coincidan –tanto el del Formulario 1 como el del SECOP II– cuando, conforme al proceso de contratación, la entidad solicite lo mismo, so pena de que prevalezca el valor señalado en SECOP II.  </w:t>
      </w:r>
    </w:p>
    <w:p w14:paraId="4A28BF23" w14:textId="77777777" w:rsidR="00A96154" w:rsidRPr="0083330B" w:rsidRDefault="00A96154" w:rsidP="0083330B">
      <w:pPr>
        <w:snapToGrid w:val="0"/>
        <w:spacing w:after="0" w:line="240" w:lineRule="auto"/>
        <w:jc w:val="both"/>
        <w:rPr>
          <w:rFonts w:ascii="Verdana" w:eastAsia="Calibri" w:hAnsi="Verdana" w:cs="Arial"/>
          <w:sz w:val="20"/>
          <w:szCs w:val="20"/>
          <w:lang w:val="es-ES"/>
        </w:rPr>
      </w:pPr>
    </w:p>
    <w:p w14:paraId="124D6248" w14:textId="34E9BCF2" w:rsidR="0007373A" w:rsidRPr="0083330B" w:rsidRDefault="0083330B" w:rsidP="0083330B">
      <w:pPr>
        <w:snapToGrid w:val="0"/>
        <w:spacing w:after="0" w:line="240" w:lineRule="auto"/>
        <w:jc w:val="both"/>
        <w:rPr>
          <w:rFonts w:ascii="Verdana" w:eastAsia="Calibri" w:hAnsi="Verdana" w:cs="Arial"/>
          <w:sz w:val="20"/>
          <w:szCs w:val="20"/>
          <w:lang w:val="es-ES"/>
        </w:rPr>
      </w:pPr>
      <w:r w:rsidRPr="0083330B">
        <w:rPr>
          <w:rFonts w:ascii="Verdana" w:eastAsia="Calibri" w:hAnsi="Verdana" w:cs="Arial"/>
          <w:sz w:val="20"/>
          <w:szCs w:val="20"/>
          <w:lang w:val="es-ES"/>
        </w:rPr>
        <w:t xml:space="preserve">Por el contrario, en los casos en que no se solicite lo mismo, la entidad deberá definir, desde el principio, a qué le dará preferencia, esto es, si a los valores del SECOP II o del Formulario 1. </w:t>
      </w:r>
    </w:p>
    <w:p w14:paraId="7EF902FD" w14:textId="77777777" w:rsidR="00A96154" w:rsidRDefault="00A96154" w:rsidP="0007373A">
      <w:pPr>
        <w:spacing w:after="0" w:line="276" w:lineRule="auto"/>
        <w:jc w:val="both"/>
        <w:rPr>
          <w:rFonts w:ascii="Verdana" w:eastAsia="Aptos" w:hAnsi="Verdana" w:cs="Arial"/>
          <w:b/>
          <w:kern w:val="2"/>
          <w:lang w:val="es-ES"/>
          <w14:ligatures w14:val="standardContextual"/>
        </w:rPr>
      </w:pPr>
    </w:p>
    <w:p w14:paraId="3DC02A37" w14:textId="305D1B9C" w:rsidR="0007373A" w:rsidRPr="0007373A" w:rsidRDefault="0007373A" w:rsidP="0007373A">
      <w:pPr>
        <w:spacing w:after="0" w:line="276" w:lineRule="auto"/>
        <w:jc w:val="both"/>
        <w:rPr>
          <w:rFonts w:ascii="Verdana" w:eastAsia="Geomanist Light" w:hAnsi="Verdana" w:cs="Arial"/>
          <w:kern w:val="2"/>
          <w:lang w:val="es-ES"/>
          <w14:ligatures w14:val="standardContextual"/>
        </w:rPr>
      </w:pPr>
      <w:r w:rsidRPr="64BE4BC1">
        <w:rPr>
          <w:rFonts w:ascii="Verdana" w:eastAsia="Aptos" w:hAnsi="Verdana" w:cs="Arial"/>
          <w:b/>
          <w:kern w:val="2"/>
          <w:lang w:val="es-ES"/>
          <w14:ligatures w14:val="standardContextual"/>
        </w:rPr>
        <w:lastRenderedPageBreak/>
        <w:t xml:space="preserve">CAUSALES DE RECHAZO – Procedencia – Documentos Tipo de infraestructura de transporte – Oferta económica – </w:t>
      </w:r>
      <w:proofErr w:type="spellStart"/>
      <w:r w:rsidRPr="64BE4BC1">
        <w:rPr>
          <w:rFonts w:ascii="Verdana" w:eastAsia="Aptos" w:hAnsi="Verdana" w:cs="Arial"/>
          <w:b/>
          <w:kern w:val="2"/>
          <w:lang w:val="es-ES"/>
          <w14:ligatures w14:val="standardContextual"/>
        </w:rPr>
        <w:t>Subsanabilidad</w:t>
      </w:r>
      <w:proofErr w:type="spellEnd"/>
      <w:r w:rsidRPr="64BE4BC1">
        <w:rPr>
          <w:rFonts w:ascii="Verdana" w:eastAsia="Aptos" w:hAnsi="Verdana" w:cs="Arial"/>
          <w:b/>
          <w:kern w:val="2"/>
          <w:lang w:val="es-ES"/>
          <w14:ligatures w14:val="standardContextual"/>
        </w:rPr>
        <w:t xml:space="preserve"> – Literal U del numeral 1.15</w:t>
      </w:r>
    </w:p>
    <w:p w14:paraId="10205374" w14:textId="77777777" w:rsidR="0007373A" w:rsidRPr="0007373A" w:rsidRDefault="0007373A" w:rsidP="0007373A">
      <w:pPr>
        <w:spacing w:after="0" w:line="240" w:lineRule="auto"/>
        <w:rPr>
          <w:rFonts w:ascii="Verdana" w:eastAsia="Geomanist Light" w:hAnsi="Verdana" w:cs="Arial"/>
          <w:kern w:val="2"/>
          <w:sz w:val="24"/>
          <w:szCs w:val="24"/>
          <w:lang w:val="es-ES_tradnl"/>
          <w14:ligatures w14:val="standardContextual"/>
        </w:rPr>
      </w:pPr>
    </w:p>
    <w:p w14:paraId="432E49F4" w14:textId="287F74BE" w:rsidR="0007373A" w:rsidRPr="00A96154" w:rsidRDefault="0007373A" w:rsidP="00A96154">
      <w:pPr>
        <w:snapToGrid w:val="0"/>
        <w:spacing w:after="0" w:line="240" w:lineRule="auto"/>
        <w:jc w:val="both"/>
        <w:rPr>
          <w:rFonts w:ascii="Verdana" w:eastAsia="Calibri" w:hAnsi="Verdana" w:cs="Arial"/>
          <w:kern w:val="2"/>
          <w:sz w:val="20"/>
          <w:szCs w:val="20"/>
          <w:lang w:val="es-ES_tradnl"/>
          <w14:ligatures w14:val="standardContextual"/>
        </w:rPr>
      </w:pPr>
      <w:r w:rsidRPr="00A96154">
        <w:rPr>
          <w:rFonts w:ascii="Verdana" w:eastAsia="Calibri" w:hAnsi="Verdana" w:cs="Arial"/>
          <w:kern w:val="2"/>
          <w:sz w:val="20"/>
          <w:szCs w:val="20"/>
          <w:lang w:val="es-ES_tradnl"/>
          <w14:ligatures w14:val="standardContextual"/>
        </w:rPr>
        <w:t>[…]</w:t>
      </w:r>
      <w:r w:rsidR="00A96154">
        <w:rPr>
          <w:rFonts w:ascii="Verdana" w:eastAsia="Calibri" w:hAnsi="Verdana" w:cs="Arial"/>
          <w:kern w:val="2"/>
          <w:sz w:val="20"/>
          <w:szCs w:val="20"/>
          <w:lang w:val="es-ES_tradnl"/>
          <w14:ligatures w14:val="standardContextual"/>
        </w:rPr>
        <w:t xml:space="preserve"> </w:t>
      </w:r>
      <w:r w:rsidR="00A96154" w:rsidRPr="00A96154">
        <w:rPr>
          <w:rFonts w:ascii="Verdana" w:eastAsia="Calibri" w:hAnsi="Verdana" w:cs="Arial"/>
          <w:kern w:val="2"/>
          <w:sz w:val="20"/>
          <w:szCs w:val="20"/>
          <w:lang w:val="es-MX"/>
          <w14:ligatures w14:val="standardContextual"/>
        </w:rPr>
        <w:t>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 Sobre el particular, el Consejo de Estado señala:</w:t>
      </w:r>
    </w:p>
    <w:p w14:paraId="61D7F40C" w14:textId="77777777" w:rsidR="0007373A" w:rsidRPr="00A96154" w:rsidRDefault="0007373A" w:rsidP="00A96154">
      <w:pPr>
        <w:snapToGrid w:val="0"/>
        <w:spacing w:after="0" w:line="240" w:lineRule="auto"/>
        <w:jc w:val="both"/>
        <w:rPr>
          <w:rFonts w:ascii="Verdana" w:eastAsia="Calibri" w:hAnsi="Verdana" w:cs="Arial"/>
          <w:kern w:val="2"/>
          <w:sz w:val="20"/>
          <w:szCs w:val="20"/>
          <w:lang w:val="es-ES_tradnl"/>
          <w14:ligatures w14:val="standardContextual"/>
        </w:rPr>
      </w:pPr>
      <w:r w:rsidRPr="00A96154">
        <w:rPr>
          <w:rFonts w:ascii="Verdana" w:eastAsia="Calibri" w:hAnsi="Verdana" w:cs="Arial"/>
          <w:kern w:val="2"/>
          <w:sz w:val="20"/>
          <w:szCs w:val="20"/>
          <w:lang w:val="es-ES_tradnl"/>
          <w14:ligatures w14:val="standardContextual"/>
        </w:rPr>
        <w:t>[…]</w:t>
      </w:r>
    </w:p>
    <w:p w14:paraId="5B1392AA" w14:textId="7AEEA60F" w:rsidR="00A96154" w:rsidRDefault="00A96154" w:rsidP="00A96154">
      <w:pPr>
        <w:tabs>
          <w:tab w:val="left" w:pos="709"/>
        </w:tabs>
        <w:snapToGrid w:val="0"/>
        <w:spacing w:after="0" w:line="240" w:lineRule="auto"/>
        <w:jc w:val="both"/>
        <w:rPr>
          <w:rFonts w:ascii="Verdana" w:eastAsia="Calibri" w:hAnsi="Verdana" w:cs="Arial"/>
          <w:kern w:val="2"/>
          <w:sz w:val="20"/>
          <w:szCs w:val="20"/>
          <w:lang w:val="es-MX"/>
          <w14:ligatures w14:val="standardContextual"/>
        </w:rPr>
      </w:pPr>
      <w:r w:rsidRPr="00A96154">
        <w:rPr>
          <w:rFonts w:ascii="Verdana" w:eastAsia="Calibri" w:hAnsi="Verdana" w:cs="Arial"/>
          <w:kern w:val="2"/>
          <w:sz w:val="20"/>
          <w:szCs w:val="20"/>
          <w:lang w:val="es-MX"/>
          <w14:ligatures w14:val="standardContextual"/>
        </w:rPr>
        <w:t xml:space="preserve">Con todo, debe desatacarse que siendo la oferta económica un factor sujeto a puntaje en los procesos de licitación de obra pública adelantados con documentos tipo, conforme a la regla de subsanabilidad contenida en el artículo 5 de la Ley 1150 de 2007, no resultaría válido permitir la subsanación, al tratarse de un elemento determinante para la comparación de ofertas. En ese sentido, la causal del literal U aplica una vez la entidad verifique su configuración, sin que sea procedente requerir al proponente para que subsane. </w:t>
      </w:r>
    </w:p>
    <w:p w14:paraId="5D5B6F62" w14:textId="77777777" w:rsidR="00A96154" w:rsidRPr="00A96154" w:rsidRDefault="00A96154" w:rsidP="00A96154">
      <w:pPr>
        <w:tabs>
          <w:tab w:val="left" w:pos="709"/>
        </w:tabs>
        <w:snapToGrid w:val="0"/>
        <w:spacing w:after="0" w:line="240" w:lineRule="auto"/>
        <w:jc w:val="both"/>
        <w:rPr>
          <w:rFonts w:ascii="Verdana" w:eastAsia="Calibri" w:hAnsi="Verdana" w:cs="Arial"/>
          <w:kern w:val="2"/>
          <w:sz w:val="20"/>
          <w:szCs w:val="20"/>
          <w:lang w:val="es-MX"/>
          <w14:ligatures w14:val="standardContextual"/>
        </w:rPr>
      </w:pPr>
    </w:p>
    <w:p w14:paraId="18EE6E15" w14:textId="77777777" w:rsidR="00A96154" w:rsidRPr="00A96154" w:rsidRDefault="00A96154" w:rsidP="00A96154">
      <w:pPr>
        <w:snapToGrid w:val="0"/>
        <w:spacing w:after="0" w:line="240" w:lineRule="auto"/>
        <w:jc w:val="both"/>
        <w:rPr>
          <w:rFonts w:ascii="Verdana" w:eastAsia="Calibri" w:hAnsi="Verdana" w:cs="Arial"/>
          <w:color w:val="000000"/>
          <w:kern w:val="2"/>
          <w:sz w:val="20"/>
          <w:szCs w:val="20"/>
          <w:lang w:val="es-ES_tradnl"/>
          <w14:ligatures w14:val="standardContextual"/>
        </w:rPr>
      </w:pPr>
      <w:r w:rsidRPr="00A96154">
        <w:rPr>
          <w:rFonts w:ascii="Verdana" w:eastAsia="Calibri" w:hAnsi="Verdana" w:cs="Arial"/>
          <w:color w:val="000000"/>
          <w:kern w:val="2"/>
          <w:sz w:val="20"/>
          <w:szCs w:val="20"/>
          <w:lang w:val="es-ES_tradnl"/>
          <w14:ligatures w14:val="standardContextual"/>
        </w:rPr>
        <w:t xml:space="preserve">En todo caso, es necesario considerar el parágrafo 1 del artículo 5 de la Ley 1150 de 2007, modificado por el artículo 5 de la Ley 1882 de 2018, que establece la </w:t>
      </w:r>
      <w:proofErr w:type="spellStart"/>
      <w:r w:rsidRPr="00A96154">
        <w:rPr>
          <w:rFonts w:ascii="Verdana" w:eastAsia="Calibri" w:hAnsi="Verdana" w:cs="Arial"/>
          <w:color w:val="000000"/>
          <w:kern w:val="2"/>
          <w:sz w:val="20"/>
          <w:szCs w:val="20"/>
          <w:lang w:val="es-ES_tradnl"/>
          <w14:ligatures w14:val="standardContextual"/>
        </w:rPr>
        <w:t>subsanabilidad</w:t>
      </w:r>
      <w:proofErr w:type="spellEnd"/>
      <w:r w:rsidRPr="00A96154">
        <w:rPr>
          <w:rFonts w:ascii="Verdana" w:eastAsia="Calibri" w:hAnsi="Verdana" w:cs="Arial"/>
          <w:color w:val="000000"/>
          <w:kern w:val="2"/>
          <w:sz w:val="20"/>
          <w:szCs w:val="20"/>
          <w:lang w:val="es-ES_tradnl"/>
          <w14:ligatures w14:val="standardContextual"/>
        </w:rPr>
        <w:t xml:space="preserve"> de requisitos o documentos no necesarios para la comparación de las propuestas, es decir, aquellos que no afectan la asignación de puntaje. Sobre el particular, la jurisprudencia del Consejo de Estado, al efectuar la interpretación del parágrafo previamente citado y antes de la modificación introducida por la Ley 1882 de 2018, en concordancia con el numeral 7 del artículo 30 de la Ley 80 de 1993, y con el fin de garantizar el derecho que tienen los oferentes de aclarar aspectos de sus propuestas, interpretó que existe diferencia entre </w:t>
      </w:r>
      <w:r w:rsidRPr="00A96154">
        <w:rPr>
          <w:rFonts w:ascii="Verdana" w:eastAsia="Calibri" w:hAnsi="Verdana" w:cs="Arial"/>
          <w:i/>
          <w:iCs/>
          <w:color w:val="000000"/>
          <w:kern w:val="2"/>
          <w:sz w:val="20"/>
          <w:szCs w:val="20"/>
          <w:lang w:val="es-ES_tradnl"/>
          <w14:ligatures w14:val="standardContextual"/>
        </w:rPr>
        <w:t>subsanar</w:t>
      </w:r>
      <w:r w:rsidRPr="00A96154">
        <w:rPr>
          <w:rFonts w:ascii="Verdana" w:eastAsia="Calibri" w:hAnsi="Verdana" w:cs="Arial"/>
          <w:color w:val="000000"/>
          <w:kern w:val="2"/>
          <w:sz w:val="20"/>
          <w:szCs w:val="20"/>
          <w:lang w:val="es-ES_tradnl"/>
          <w14:ligatures w14:val="standardContextual"/>
        </w:rPr>
        <w:t xml:space="preserve"> y </w:t>
      </w:r>
      <w:r w:rsidRPr="00A96154">
        <w:rPr>
          <w:rFonts w:ascii="Verdana" w:eastAsia="Calibri" w:hAnsi="Verdana" w:cs="Arial"/>
          <w:i/>
          <w:iCs/>
          <w:color w:val="000000"/>
          <w:kern w:val="2"/>
          <w:sz w:val="20"/>
          <w:szCs w:val="20"/>
          <w:lang w:val="es-ES_tradnl"/>
          <w14:ligatures w14:val="standardContextual"/>
        </w:rPr>
        <w:t>aclarar</w:t>
      </w:r>
      <w:r w:rsidRPr="00A96154">
        <w:rPr>
          <w:rFonts w:ascii="Verdana" w:eastAsia="Calibri" w:hAnsi="Verdana" w:cs="Arial"/>
          <w:color w:val="000000"/>
          <w:kern w:val="2"/>
          <w:sz w:val="20"/>
          <w:szCs w:val="20"/>
          <w:lang w:val="es-ES_tradnl"/>
          <w14:ligatures w14:val="standardContextual"/>
        </w:rPr>
        <w:t xml:space="preserve">. </w:t>
      </w:r>
    </w:p>
    <w:p w14:paraId="620D1D5F" w14:textId="0E01EBCE" w:rsidR="0007373A" w:rsidRPr="0007373A" w:rsidRDefault="0007373A" w:rsidP="00A96154">
      <w:pPr>
        <w:snapToGrid w:val="0"/>
        <w:spacing w:after="0" w:line="240" w:lineRule="auto"/>
        <w:jc w:val="both"/>
        <w:rPr>
          <w:rFonts w:ascii="Verdana" w:eastAsia="Calibri" w:hAnsi="Verdana" w:cs="Arial"/>
          <w:kern w:val="2"/>
          <w:sz w:val="20"/>
          <w:szCs w:val="20"/>
          <w:lang w:val="es-ES"/>
          <w14:ligatures w14:val="standardContextual"/>
        </w:rPr>
      </w:pPr>
    </w:p>
    <w:p w14:paraId="2C2CA0B3" w14:textId="77777777" w:rsidR="0007373A" w:rsidRPr="0007373A" w:rsidRDefault="0007373A" w:rsidP="0007373A">
      <w:pPr>
        <w:spacing w:after="0"/>
        <w:rPr>
          <w:rFonts w:ascii="Verdana" w:eastAsia="Calibri" w:hAnsi="Verdana" w:cs="Times New Roman"/>
        </w:rPr>
      </w:pPr>
    </w:p>
    <w:p w14:paraId="471DCF0A" w14:textId="77777777" w:rsidR="0007373A" w:rsidRPr="0007373A" w:rsidRDefault="0007373A" w:rsidP="0007373A">
      <w:pPr>
        <w:spacing w:after="0"/>
        <w:rPr>
          <w:rFonts w:ascii="Verdana" w:eastAsia="Calibri" w:hAnsi="Verdana" w:cs="Times New Roman"/>
        </w:rPr>
      </w:pPr>
    </w:p>
    <w:p w14:paraId="5D9C8E91" w14:textId="77777777" w:rsidR="0007373A" w:rsidRPr="0007373A" w:rsidRDefault="0007373A" w:rsidP="0007373A">
      <w:pPr>
        <w:spacing w:after="0"/>
        <w:rPr>
          <w:rFonts w:ascii="Verdana" w:eastAsia="Calibri" w:hAnsi="Verdana" w:cs="Times New Roman"/>
        </w:rPr>
      </w:pPr>
    </w:p>
    <w:p w14:paraId="5A164C02" w14:textId="77777777" w:rsidR="0007373A" w:rsidRPr="0007373A" w:rsidRDefault="0007373A" w:rsidP="0007373A">
      <w:pPr>
        <w:spacing w:after="0"/>
        <w:rPr>
          <w:rFonts w:ascii="Verdana" w:eastAsia="Calibri" w:hAnsi="Verdana" w:cs="Times New Roman"/>
        </w:rPr>
      </w:pPr>
    </w:p>
    <w:p w14:paraId="246EC1D1" w14:textId="77777777" w:rsidR="0007373A" w:rsidRPr="0007373A" w:rsidRDefault="0007373A" w:rsidP="0007373A">
      <w:pPr>
        <w:spacing w:after="0"/>
        <w:rPr>
          <w:rFonts w:ascii="Verdana" w:eastAsia="Calibri" w:hAnsi="Verdana" w:cs="Times New Roman"/>
        </w:rPr>
      </w:pPr>
    </w:p>
    <w:p w14:paraId="480E47A4" w14:textId="77777777" w:rsidR="0007373A" w:rsidRPr="0007373A" w:rsidRDefault="0007373A" w:rsidP="0007373A">
      <w:pPr>
        <w:spacing w:after="0"/>
        <w:rPr>
          <w:rFonts w:ascii="Verdana" w:eastAsia="Calibri" w:hAnsi="Verdana" w:cs="Times New Roman"/>
        </w:rPr>
      </w:pPr>
    </w:p>
    <w:p w14:paraId="66DF3AD0" w14:textId="77777777" w:rsidR="0007373A" w:rsidRPr="0007373A" w:rsidRDefault="0007373A" w:rsidP="0007373A">
      <w:pPr>
        <w:spacing w:after="0"/>
        <w:rPr>
          <w:rFonts w:ascii="Verdana" w:eastAsia="Calibri" w:hAnsi="Verdana" w:cs="Times New Roman"/>
        </w:rPr>
      </w:pPr>
    </w:p>
    <w:p w14:paraId="1CE02E68" w14:textId="77777777" w:rsidR="0007373A" w:rsidRPr="0007373A" w:rsidRDefault="0007373A" w:rsidP="0007373A">
      <w:pPr>
        <w:spacing w:after="0"/>
        <w:rPr>
          <w:rFonts w:ascii="Verdana" w:eastAsia="Calibri" w:hAnsi="Verdana" w:cs="Times New Roman"/>
        </w:rPr>
      </w:pPr>
    </w:p>
    <w:p w14:paraId="5F611463" w14:textId="77777777" w:rsidR="0007373A" w:rsidRPr="0007373A" w:rsidRDefault="0007373A" w:rsidP="0007373A">
      <w:pPr>
        <w:spacing w:after="0"/>
        <w:rPr>
          <w:rFonts w:ascii="Verdana" w:eastAsia="Calibri" w:hAnsi="Verdana" w:cs="Times New Roman"/>
        </w:rPr>
      </w:pPr>
    </w:p>
    <w:p w14:paraId="2A57F42E" w14:textId="77777777" w:rsidR="0007373A" w:rsidRPr="0007373A" w:rsidRDefault="0007373A" w:rsidP="0007373A">
      <w:pPr>
        <w:spacing w:after="0"/>
        <w:rPr>
          <w:rFonts w:ascii="Verdana" w:eastAsia="Calibri" w:hAnsi="Verdana" w:cs="Times New Roman"/>
        </w:rPr>
      </w:pPr>
    </w:p>
    <w:p w14:paraId="0B3F56DD" w14:textId="77777777" w:rsidR="0007373A" w:rsidRPr="0007373A" w:rsidRDefault="0007373A" w:rsidP="0007373A">
      <w:pPr>
        <w:spacing w:after="0"/>
        <w:rPr>
          <w:rFonts w:ascii="Verdana" w:eastAsia="Calibri" w:hAnsi="Verdana" w:cs="Times New Roman"/>
        </w:rPr>
      </w:pPr>
    </w:p>
    <w:p w14:paraId="17F42112" w14:textId="77777777" w:rsidR="0007373A" w:rsidRPr="0007373A" w:rsidRDefault="0007373A" w:rsidP="0007373A">
      <w:pPr>
        <w:spacing w:after="0"/>
        <w:rPr>
          <w:rFonts w:ascii="Verdana" w:eastAsia="Calibri" w:hAnsi="Verdana" w:cs="Times New Roman"/>
        </w:rPr>
      </w:pPr>
    </w:p>
    <w:p w14:paraId="0BA57FA4" w14:textId="77777777" w:rsidR="0007373A" w:rsidRPr="0007373A" w:rsidRDefault="0007373A" w:rsidP="0007373A">
      <w:pPr>
        <w:spacing w:after="0"/>
        <w:rPr>
          <w:rFonts w:ascii="Verdana" w:eastAsia="Calibri" w:hAnsi="Verdana" w:cs="Times New Roman"/>
        </w:rPr>
      </w:pPr>
    </w:p>
    <w:p w14:paraId="671E70B8" w14:textId="77777777" w:rsidR="0007373A" w:rsidRPr="0007373A" w:rsidRDefault="0007373A" w:rsidP="0007373A">
      <w:pPr>
        <w:spacing w:after="0"/>
        <w:rPr>
          <w:rFonts w:ascii="Verdana" w:eastAsia="Calibri" w:hAnsi="Verdana" w:cs="Times New Roman"/>
        </w:rPr>
      </w:pPr>
    </w:p>
    <w:p w14:paraId="54F0D16B" w14:textId="77777777" w:rsidR="00A96154" w:rsidRDefault="00A96154" w:rsidP="0007373A">
      <w:pPr>
        <w:spacing w:after="0"/>
        <w:rPr>
          <w:rFonts w:ascii="Verdana" w:eastAsia="Calibri" w:hAnsi="Verdana" w:cs="Times New Roman"/>
        </w:rPr>
      </w:pPr>
    </w:p>
    <w:p w14:paraId="37688A61" w14:textId="77777777" w:rsidR="00A96154" w:rsidRPr="0007373A" w:rsidRDefault="00A96154" w:rsidP="0007373A">
      <w:pPr>
        <w:spacing w:after="0"/>
        <w:rPr>
          <w:rFonts w:ascii="Verdana" w:eastAsia="Calibri" w:hAnsi="Verdana" w:cs="Times New Roman"/>
        </w:rPr>
      </w:pPr>
    </w:p>
    <w:p w14:paraId="737F660A" w14:textId="14B3837A" w:rsidR="0007373A" w:rsidRPr="0007373A" w:rsidRDefault="0007373A" w:rsidP="0007373A">
      <w:pPr>
        <w:spacing w:after="0"/>
        <w:rPr>
          <w:rFonts w:ascii="Verdana" w:eastAsia="Calibri" w:hAnsi="Verdana" w:cs="Times New Roman"/>
        </w:rPr>
      </w:pPr>
      <w:r w:rsidRPr="0044528D">
        <w:rPr>
          <w:rFonts w:ascii="Verdana" w:hAnsi="Verdana"/>
        </w:rPr>
        <w:lastRenderedPageBreak/>
        <w:t>Bogotá D.C.,</w:t>
      </w:r>
      <w:r w:rsidR="00AE5F54">
        <w:rPr>
          <w:rFonts w:ascii="Verdana" w:hAnsi="Verdana"/>
        </w:rPr>
        <w:t xml:space="preserve"> 10 Septiembre 2025</w:t>
      </w:r>
      <w:r w:rsidRPr="0007373A">
        <w:rPr>
          <w:rFonts w:ascii="Verdana" w:eastAsia="Calibri" w:hAnsi="Verdana" w:cs="Times New Roman"/>
        </w:rPr>
        <w:tab/>
      </w:r>
    </w:p>
    <w:p w14:paraId="6DB9FB3F" w14:textId="5591573A" w:rsidR="0007373A" w:rsidRPr="0007373A" w:rsidRDefault="00AE5F54" w:rsidP="00AE5F54">
      <w:pPr>
        <w:spacing w:after="0" w:line="240" w:lineRule="auto"/>
        <w:jc w:val="right"/>
        <w:rPr>
          <w:rFonts w:ascii="Verdana" w:eastAsia="Calibri" w:hAnsi="Verdana" w:cs="Arial"/>
          <w:lang w:val="es-ES_tradnl" w:eastAsia="es-ES"/>
        </w:rPr>
      </w:pPr>
      <w:r>
        <w:rPr>
          <w:rFonts w:ascii="Verdana" w:eastAsia="Calibri" w:hAnsi="Verdana" w:cs="Arial"/>
          <w:noProof/>
          <w:lang w:val="es-ES_tradnl" w:eastAsia="es-ES"/>
        </w:rPr>
        <w:drawing>
          <wp:inline distT="0" distB="0" distL="0" distR="0" wp14:anchorId="43CC2EE7" wp14:editId="4C3DECEC">
            <wp:extent cx="2414034" cy="659951"/>
            <wp:effectExtent l="0" t="0" r="0" b="635"/>
            <wp:docPr id="12365374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537427" name="Imagen 1236537427"/>
                    <pic:cNvPicPr/>
                  </pic:nvPicPr>
                  <pic:blipFill>
                    <a:blip r:embed="rId10">
                      <a:extLst>
                        <a:ext uri="{28A0092B-C50C-407E-A947-70E740481C1C}">
                          <a14:useLocalDpi xmlns:a14="http://schemas.microsoft.com/office/drawing/2010/main" val="0"/>
                        </a:ext>
                      </a:extLst>
                    </a:blip>
                    <a:stretch>
                      <a:fillRect/>
                    </a:stretch>
                  </pic:blipFill>
                  <pic:spPr>
                    <a:xfrm>
                      <a:off x="0" y="0"/>
                      <a:ext cx="2444831" cy="668370"/>
                    </a:xfrm>
                    <a:prstGeom prst="rect">
                      <a:avLst/>
                    </a:prstGeom>
                  </pic:spPr>
                </pic:pic>
              </a:graphicData>
            </a:graphic>
          </wp:inline>
        </w:drawing>
      </w:r>
    </w:p>
    <w:p w14:paraId="12E8A0FE" w14:textId="77777777" w:rsidR="0007373A" w:rsidRPr="0007373A" w:rsidRDefault="0007373A" w:rsidP="0007373A">
      <w:pPr>
        <w:spacing w:after="0" w:line="240" w:lineRule="auto"/>
        <w:jc w:val="both"/>
        <w:rPr>
          <w:rFonts w:ascii="Verdana" w:eastAsia="Calibri" w:hAnsi="Verdana" w:cs="Arial"/>
          <w:lang w:val="es-ES_tradnl" w:eastAsia="es-ES"/>
        </w:rPr>
      </w:pPr>
      <w:r w:rsidRPr="0007373A">
        <w:rPr>
          <w:rFonts w:ascii="Verdana" w:eastAsia="Calibri" w:hAnsi="Verdana" w:cs="Arial"/>
          <w:lang w:val="es-ES_tradnl" w:eastAsia="es-ES"/>
        </w:rPr>
        <w:t>Señora</w:t>
      </w:r>
    </w:p>
    <w:p w14:paraId="0174E28E" w14:textId="77777777" w:rsidR="0007373A" w:rsidRPr="0007373A" w:rsidRDefault="0007373A" w:rsidP="0007373A">
      <w:pPr>
        <w:spacing w:after="0" w:line="240" w:lineRule="auto"/>
        <w:rPr>
          <w:rFonts w:ascii="Verdana" w:eastAsia="Calibri" w:hAnsi="Verdana" w:cs="Arial"/>
          <w:b/>
          <w:lang w:val="es-ES_tradnl" w:eastAsia="es-ES_tradnl"/>
        </w:rPr>
      </w:pPr>
      <w:r w:rsidRPr="0007373A">
        <w:rPr>
          <w:rFonts w:ascii="Verdana" w:eastAsia="Calibri" w:hAnsi="Verdana" w:cs="Arial"/>
          <w:b/>
          <w:lang w:val="es-ES_tradnl" w:eastAsia="es-ES_tradnl"/>
        </w:rPr>
        <w:t>Edith Lorena Henao Duque</w:t>
      </w:r>
    </w:p>
    <w:p w14:paraId="7C24107D" w14:textId="77777777" w:rsidR="0007373A" w:rsidRPr="0007373A" w:rsidRDefault="0007373A" w:rsidP="0007373A">
      <w:pPr>
        <w:spacing w:after="0" w:line="240" w:lineRule="auto"/>
        <w:rPr>
          <w:rFonts w:ascii="Verdana" w:eastAsia="Calibri" w:hAnsi="Verdana" w:cs="Arial"/>
          <w:lang w:val="es-ES_tradnl" w:eastAsia="es-ES"/>
        </w:rPr>
      </w:pPr>
      <w:r w:rsidRPr="0007373A">
        <w:rPr>
          <w:rFonts w:ascii="Verdana" w:eastAsia="Calibri" w:hAnsi="Verdana" w:cs="Arial"/>
          <w:lang w:val="es-ES_tradnl" w:eastAsia="es-ES"/>
        </w:rPr>
        <w:t>Cali, Valle del Cauca</w:t>
      </w:r>
    </w:p>
    <w:p w14:paraId="0E998061" w14:textId="77777777" w:rsidR="0007373A" w:rsidRPr="0007373A" w:rsidRDefault="0007373A" w:rsidP="0007373A">
      <w:pPr>
        <w:spacing w:after="0" w:line="240" w:lineRule="auto"/>
        <w:rPr>
          <w:rFonts w:ascii="Verdana" w:eastAsia="Calibri" w:hAnsi="Verdana" w:cs="Arial"/>
          <w:b/>
          <w:bCs/>
          <w:lang w:val="es-ES_tradnl" w:eastAsia="es-ES_tradnl"/>
        </w:rPr>
      </w:pPr>
    </w:p>
    <w:p w14:paraId="31DEB6B9" w14:textId="77777777" w:rsidR="0007373A" w:rsidRPr="0007373A" w:rsidRDefault="0007373A" w:rsidP="0007373A">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7373A" w:rsidRPr="0007373A" w14:paraId="69F1D2F3" w14:textId="77777777" w:rsidTr="005F6BA4">
        <w:trPr>
          <w:trHeight w:val="884"/>
        </w:trPr>
        <w:tc>
          <w:tcPr>
            <w:tcW w:w="2689" w:type="dxa"/>
          </w:tcPr>
          <w:p w14:paraId="48149480" w14:textId="77777777" w:rsidR="0007373A" w:rsidRPr="0007373A" w:rsidRDefault="0007373A" w:rsidP="0007373A">
            <w:pPr>
              <w:jc w:val="both"/>
              <w:rPr>
                <w:rFonts w:ascii="Verdana" w:eastAsia="Calibri" w:hAnsi="Verdana" w:cs="Arial"/>
                <w:b/>
                <w:bCs/>
                <w:lang w:val="es-ES_tradnl" w:eastAsia="es-ES_tradnl"/>
              </w:rPr>
            </w:pPr>
          </w:p>
        </w:tc>
        <w:tc>
          <w:tcPr>
            <w:tcW w:w="6100" w:type="dxa"/>
          </w:tcPr>
          <w:p w14:paraId="5891BC4E" w14:textId="77777777" w:rsidR="0007373A" w:rsidRPr="0007373A" w:rsidRDefault="0007373A" w:rsidP="0007373A">
            <w:pPr>
              <w:jc w:val="both"/>
              <w:rPr>
                <w:rFonts w:ascii="Verdana" w:eastAsia="Calibri" w:hAnsi="Verdana" w:cs="Arial"/>
                <w:b/>
                <w:bCs/>
                <w:lang w:val="es-ES_tradnl" w:eastAsia="es-ES"/>
              </w:rPr>
            </w:pPr>
            <w:r w:rsidRPr="0007373A">
              <w:rPr>
                <w:rFonts w:ascii="Verdana" w:eastAsia="Calibri" w:hAnsi="Verdana" w:cs="Arial"/>
                <w:b/>
                <w:bCs/>
                <w:lang w:val="es-ES_tradnl" w:eastAsia="es-ES"/>
              </w:rPr>
              <w:t>Concepto C – 974 de 2025</w:t>
            </w:r>
          </w:p>
        </w:tc>
      </w:tr>
      <w:tr w:rsidR="0007373A" w:rsidRPr="0007373A" w14:paraId="6311D74F" w14:textId="77777777" w:rsidTr="005F6BA4">
        <w:trPr>
          <w:trHeight w:val="884"/>
        </w:trPr>
        <w:tc>
          <w:tcPr>
            <w:tcW w:w="2689" w:type="dxa"/>
          </w:tcPr>
          <w:p w14:paraId="7D36B394" w14:textId="77777777" w:rsidR="0007373A" w:rsidRPr="0007373A" w:rsidRDefault="0007373A" w:rsidP="0007373A">
            <w:pPr>
              <w:jc w:val="both"/>
              <w:rPr>
                <w:rFonts w:ascii="Verdana" w:eastAsia="Calibri" w:hAnsi="Verdana" w:cs="Arial"/>
                <w:lang w:val="es-ES_tradnl" w:eastAsia="es-ES_tradnl"/>
              </w:rPr>
            </w:pPr>
            <w:r w:rsidRPr="0007373A">
              <w:rPr>
                <w:rFonts w:ascii="Verdana" w:eastAsia="Calibri" w:hAnsi="Verdana" w:cs="Arial"/>
                <w:b/>
                <w:lang w:val="es-ES_tradnl" w:eastAsia="es-ES_tradnl"/>
              </w:rPr>
              <w:t>Temas:</w:t>
            </w:r>
            <w:r w:rsidRPr="0007373A">
              <w:rPr>
                <w:rFonts w:ascii="Verdana" w:eastAsia="Calibri" w:hAnsi="Verdana" w:cs="Arial"/>
                <w:lang w:val="es-ES_tradnl" w:eastAsia="es-ES_tradnl"/>
              </w:rPr>
              <w:t xml:space="preserve">                   </w:t>
            </w:r>
          </w:p>
        </w:tc>
        <w:tc>
          <w:tcPr>
            <w:tcW w:w="6100" w:type="dxa"/>
          </w:tcPr>
          <w:p w14:paraId="369425E9" w14:textId="77777777" w:rsidR="0007373A" w:rsidRPr="0007373A" w:rsidRDefault="0007373A" w:rsidP="0007373A">
            <w:pPr>
              <w:spacing w:line="276" w:lineRule="auto"/>
              <w:jc w:val="both"/>
              <w:rPr>
                <w:rFonts w:ascii="Verdana" w:eastAsia="Geomanist Light" w:hAnsi="Verdana" w:cs="Arial"/>
                <w:lang w:val="es-ES_tradnl"/>
              </w:rPr>
            </w:pPr>
            <w:r w:rsidRPr="0007373A">
              <w:rPr>
                <w:rFonts w:ascii="Verdana" w:eastAsia="Calibri" w:hAnsi="Verdana" w:cs="Arial"/>
                <w:lang w:val="es-ES_tradnl" w:eastAsia="es-ES"/>
              </w:rPr>
              <w:t xml:space="preserve">DOCUMENTOS TIPO – Generalidades – </w:t>
            </w:r>
            <w:r w:rsidRPr="0007373A">
              <w:rPr>
                <w:rFonts w:ascii="Verdana" w:eastAsia="Aptos" w:hAnsi="Verdana" w:cs="Times New Roman"/>
                <w:lang w:val="es-ES_tradnl" w:eastAsia="es-ES"/>
              </w:rPr>
              <w:t xml:space="preserve">Obligatoriedad / </w:t>
            </w:r>
            <w:r w:rsidRPr="0007373A">
              <w:rPr>
                <w:rFonts w:ascii="Verdana" w:eastAsia="Geomanist Light" w:hAnsi="Verdana" w:cs="Arial"/>
                <w:lang w:val="es-ES_tradnl"/>
              </w:rPr>
              <w:t xml:space="preserve">DOCUMENTOS TIPO – Infraestructura de transporte – Versión 4 – Oferta económica – Formulario 1 – Formulario de Presupuesto Oficial – SECOP II / </w:t>
            </w:r>
            <w:r w:rsidRPr="0007373A">
              <w:rPr>
                <w:rFonts w:ascii="Verdana" w:eastAsia="Geomanist Light" w:hAnsi="Verdana" w:cs="Arial"/>
                <w:lang w:val="es-ES"/>
              </w:rPr>
              <w:t xml:space="preserve">OFERTA ECONÓMICA – Valor – Prevalencia – Documentos Tipo de infraestructura de transporte – Numeral 2.3.2 – </w:t>
            </w:r>
            <w:r w:rsidRPr="0007373A">
              <w:rPr>
                <w:rFonts w:ascii="Verdana" w:eastAsia="Geomanist Light" w:hAnsi="Verdana" w:cs="Arial"/>
                <w:i/>
                <w:iCs/>
                <w:lang w:val="es-ES"/>
              </w:rPr>
              <w:t xml:space="preserve">Nota / </w:t>
            </w:r>
            <w:r w:rsidRPr="0007373A">
              <w:rPr>
                <w:rFonts w:ascii="Verdana" w:eastAsia="Aptos" w:hAnsi="Verdana" w:cs="Arial"/>
                <w:kern w:val="2"/>
                <w:lang w:val="es-ES_tradnl"/>
                <w14:ligatures w14:val="standardContextual"/>
              </w:rPr>
              <w:t>CAUSALES DE RECHAZO – Procedencia – Documentos Tipo</w:t>
            </w:r>
            <w:r w:rsidRPr="0007373A">
              <w:rPr>
                <w:rFonts w:ascii="Verdana" w:eastAsia="Aptos" w:hAnsi="Verdana" w:cs="Arial"/>
                <w:lang w:val="es-ES_tradnl"/>
              </w:rPr>
              <w:t xml:space="preserve"> de infraestructura de transporte</w:t>
            </w:r>
            <w:r w:rsidRPr="0007373A">
              <w:rPr>
                <w:rFonts w:ascii="Verdana" w:eastAsia="Aptos" w:hAnsi="Verdana" w:cs="Arial"/>
                <w:kern w:val="2"/>
                <w:lang w:val="es-ES_tradnl"/>
                <w14:ligatures w14:val="standardContextual"/>
              </w:rPr>
              <w:t xml:space="preserve"> – Oferta económica – </w:t>
            </w:r>
            <w:proofErr w:type="spellStart"/>
            <w:r w:rsidRPr="0007373A">
              <w:rPr>
                <w:rFonts w:ascii="Verdana" w:eastAsia="Aptos" w:hAnsi="Verdana" w:cs="Arial"/>
                <w:kern w:val="2"/>
                <w:lang w:val="es-ES_tradnl"/>
                <w14:ligatures w14:val="standardContextual"/>
              </w:rPr>
              <w:t>Subsanabilidad</w:t>
            </w:r>
            <w:proofErr w:type="spellEnd"/>
            <w:r w:rsidRPr="0007373A">
              <w:rPr>
                <w:rFonts w:ascii="Verdana" w:eastAsia="Aptos" w:hAnsi="Verdana" w:cs="Arial"/>
                <w:lang w:val="es-ES_tradnl"/>
              </w:rPr>
              <w:t xml:space="preserve"> – Literal U del numeral 1.15</w:t>
            </w:r>
          </w:p>
          <w:p w14:paraId="6C7F19E8" w14:textId="77777777" w:rsidR="0007373A" w:rsidRPr="0007373A" w:rsidRDefault="0007373A" w:rsidP="0007373A">
            <w:pPr>
              <w:spacing w:line="276" w:lineRule="auto"/>
              <w:jc w:val="both"/>
              <w:rPr>
                <w:rFonts w:ascii="Verdana" w:eastAsia="Calibri" w:hAnsi="Verdana" w:cs="Arial"/>
                <w:lang w:val="es-ES_tradnl" w:eastAsia="es-ES"/>
              </w:rPr>
            </w:pPr>
          </w:p>
        </w:tc>
      </w:tr>
      <w:tr w:rsidR="0007373A" w:rsidRPr="0007373A" w14:paraId="458B18EC" w14:textId="77777777" w:rsidTr="005F6BA4">
        <w:tc>
          <w:tcPr>
            <w:tcW w:w="2689" w:type="dxa"/>
          </w:tcPr>
          <w:p w14:paraId="3E7DDF9F" w14:textId="77777777" w:rsidR="0007373A" w:rsidRPr="0007373A" w:rsidRDefault="0007373A" w:rsidP="0007373A">
            <w:pPr>
              <w:jc w:val="both"/>
              <w:rPr>
                <w:rFonts w:ascii="Verdana" w:eastAsia="Calibri" w:hAnsi="Verdana" w:cs="Arial"/>
                <w:b/>
                <w:lang w:val="es-ES_tradnl" w:eastAsia="es-ES_tradnl"/>
              </w:rPr>
            </w:pPr>
            <w:r w:rsidRPr="0007373A">
              <w:rPr>
                <w:rFonts w:ascii="Verdana" w:eastAsia="Calibri" w:hAnsi="Verdana" w:cs="Arial"/>
                <w:b/>
                <w:lang w:val="es-ES_tradnl" w:eastAsia="es-ES_tradnl"/>
              </w:rPr>
              <w:t>Radicación:</w:t>
            </w:r>
            <w:r w:rsidRPr="0007373A">
              <w:rPr>
                <w:rFonts w:ascii="Verdana" w:eastAsia="Calibri" w:hAnsi="Verdana" w:cs="Arial"/>
                <w:lang w:val="es-ES_tradnl" w:eastAsia="es-ES_tradnl"/>
              </w:rPr>
              <w:t xml:space="preserve">               </w:t>
            </w:r>
          </w:p>
        </w:tc>
        <w:tc>
          <w:tcPr>
            <w:tcW w:w="6100" w:type="dxa"/>
          </w:tcPr>
          <w:p w14:paraId="7DF89C24" w14:textId="77777777" w:rsidR="0007373A" w:rsidRPr="0007373A" w:rsidRDefault="0007373A" w:rsidP="0007373A">
            <w:pPr>
              <w:jc w:val="both"/>
              <w:rPr>
                <w:rFonts w:ascii="Verdana" w:eastAsia="Calibri" w:hAnsi="Verdana" w:cs="Arial"/>
                <w:lang w:val="es-ES_tradnl" w:eastAsia="es-ES_tradnl"/>
              </w:rPr>
            </w:pPr>
            <w:r w:rsidRPr="0007373A">
              <w:rPr>
                <w:rFonts w:ascii="Verdana" w:eastAsia="Calibri" w:hAnsi="Verdana" w:cs="Arial"/>
                <w:lang w:val="es-ES_tradnl" w:eastAsia="es-ES_tradnl"/>
              </w:rPr>
              <w:t xml:space="preserve">Respuesta a consulta con radicado No. 1_2025_07_30_007930 </w:t>
            </w:r>
          </w:p>
        </w:tc>
      </w:tr>
    </w:tbl>
    <w:p w14:paraId="0447FBB7" w14:textId="77777777" w:rsidR="0007373A" w:rsidRPr="0007373A" w:rsidRDefault="0007373A" w:rsidP="0007373A">
      <w:pPr>
        <w:spacing w:after="0" w:line="240" w:lineRule="auto"/>
        <w:jc w:val="both"/>
        <w:rPr>
          <w:rFonts w:ascii="Verdana" w:eastAsia="Calibri" w:hAnsi="Verdana" w:cs="Arial"/>
          <w:lang w:val="es-ES_tradnl" w:eastAsia="es-ES_tradnl"/>
        </w:rPr>
      </w:pPr>
    </w:p>
    <w:p w14:paraId="5890571F" w14:textId="77777777" w:rsidR="0007373A" w:rsidRPr="0007373A" w:rsidRDefault="0007373A" w:rsidP="0007373A">
      <w:pPr>
        <w:spacing w:after="0" w:line="240" w:lineRule="auto"/>
        <w:jc w:val="both"/>
        <w:rPr>
          <w:rFonts w:ascii="Verdana" w:eastAsia="Calibri" w:hAnsi="Verdana" w:cs="Arial"/>
          <w:lang w:val="es-ES_tradnl" w:eastAsia="es-ES_tradnl"/>
        </w:rPr>
      </w:pPr>
    </w:p>
    <w:p w14:paraId="346B3095" w14:textId="77777777" w:rsidR="0007373A" w:rsidRPr="0007373A" w:rsidRDefault="0007373A" w:rsidP="0007373A">
      <w:pPr>
        <w:spacing w:after="0" w:line="276" w:lineRule="auto"/>
        <w:jc w:val="both"/>
        <w:rPr>
          <w:rFonts w:ascii="Verdana" w:eastAsia="Calibri" w:hAnsi="Verdana" w:cs="Arial"/>
          <w:lang w:val="es-ES_tradnl" w:eastAsia="es-ES"/>
        </w:rPr>
      </w:pPr>
      <w:r w:rsidRPr="0007373A">
        <w:rPr>
          <w:rFonts w:ascii="Verdana" w:eastAsia="Calibri" w:hAnsi="Verdana" w:cs="Arial"/>
          <w:lang w:val="es-ES_tradnl" w:eastAsia="es-ES"/>
        </w:rPr>
        <w:t xml:space="preserve">Estimada señora Henao Duque: </w:t>
      </w:r>
    </w:p>
    <w:p w14:paraId="0F338253" w14:textId="77777777" w:rsidR="0007373A" w:rsidRPr="0007373A" w:rsidRDefault="0007373A" w:rsidP="0007373A">
      <w:pPr>
        <w:tabs>
          <w:tab w:val="left" w:pos="3768"/>
        </w:tabs>
        <w:spacing w:after="0" w:line="276" w:lineRule="auto"/>
        <w:jc w:val="both"/>
        <w:rPr>
          <w:rFonts w:ascii="Verdana" w:eastAsia="Calibri" w:hAnsi="Verdana" w:cs="Arial"/>
          <w:lang w:val="es-ES_tradnl" w:eastAsia="es-ES"/>
        </w:rPr>
      </w:pPr>
      <w:r w:rsidRPr="0007373A">
        <w:rPr>
          <w:rFonts w:ascii="Verdana" w:eastAsia="Calibri" w:hAnsi="Verdana" w:cs="Arial"/>
          <w:lang w:val="es-ES_tradnl" w:eastAsia="es-ES"/>
        </w:rPr>
        <w:tab/>
      </w:r>
    </w:p>
    <w:p w14:paraId="461B547D" w14:textId="77777777" w:rsidR="0007373A" w:rsidRPr="0007373A" w:rsidRDefault="0007373A" w:rsidP="0007373A">
      <w:pPr>
        <w:snapToGrid w:val="0"/>
        <w:spacing w:after="0" w:line="276" w:lineRule="auto"/>
        <w:jc w:val="both"/>
        <w:rPr>
          <w:rFonts w:ascii="Verdana" w:eastAsia="Calibri" w:hAnsi="Verdana" w:cs="Arial"/>
          <w:lang w:val="es-ES_tradnl" w:eastAsia="es-ES"/>
        </w:rPr>
      </w:pPr>
      <w:r w:rsidRPr="0007373A">
        <w:rPr>
          <w:rFonts w:ascii="Verdana" w:eastAsia="Calibri" w:hAnsi="Verdana" w:cs="Arial"/>
          <w:lang w:val="es-ES_tradnl" w:eastAsia="es-ES"/>
        </w:rPr>
        <w:t>En ejercicio de la competencia otorgada por los artículos 3, numeral 5º, y 11, numeral 8º, del Decreto Ley 4170 de 2011,</w:t>
      </w:r>
      <w:r w:rsidRPr="0007373A">
        <w:rPr>
          <w:rFonts w:ascii="Verdana" w:eastAsia="Arial MT" w:hAnsi="Verdana" w:cs="Arial MT"/>
          <w:lang w:val="es-ES_tradnl" w:eastAsia="es-ES"/>
        </w:rPr>
        <w:t xml:space="preserve"> </w:t>
      </w:r>
      <w:r w:rsidRPr="0007373A">
        <w:rPr>
          <w:rFonts w:ascii="Verdana" w:eastAsia="Calibri" w:hAnsi="Verdana" w:cs="Arial"/>
          <w:lang w:val="es-ES_tradnl"/>
        </w:rPr>
        <w:t xml:space="preserve">así como lo establecido en el artículo 4 de la Resolución 1707 de 2018 expedida por esta Entidad, </w:t>
      </w:r>
      <w:r w:rsidRPr="0007373A">
        <w:rPr>
          <w:rFonts w:ascii="Verdana" w:eastAsia="Calibri" w:hAnsi="Verdana" w:cs="Arial"/>
          <w:lang w:val="es-ES_tradnl" w:eastAsia="es-ES"/>
        </w:rPr>
        <w:t>la Agencia Nacional de Contratación Pública – Colombia Compra Eficiente– responde su solicitud de consulta de fecha 30 de julio de 2025. En relación con los documentos tipo de licitación de obra pública de infraestructura de transporte –versión 4–, usted manifiesta lo siguiente:</w:t>
      </w:r>
    </w:p>
    <w:p w14:paraId="21850AF1" w14:textId="77777777" w:rsidR="0007373A" w:rsidRPr="0007373A" w:rsidRDefault="0007373A" w:rsidP="0007373A">
      <w:pPr>
        <w:snapToGrid w:val="0"/>
        <w:spacing w:after="0" w:line="240" w:lineRule="auto"/>
        <w:ind w:right="709"/>
        <w:jc w:val="both"/>
        <w:rPr>
          <w:rFonts w:ascii="Verdana" w:eastAsia="Century Gothic" w:hAnsi="Verdana" w:cs="Century Gothic"/>
          <w:sz w:val="21"/>
          <w:szCs w:val="21"/>
          <w:lang w:val="es-ES_tradnl"/>
        </w:rPr>
      </w:pPr>
    </w:p>
    <w:p w14:paraId="080176A0" w14:textId="77777777" w:rsidR="0007373A" w:rsidRPr="0007373A" w:rsidRDefault="0007373A" w:rsidP="0007373A">
      <w:pPr>
        <w:snapToGrid w:val="0"/>
        <w:spacing w:after="0" w:line="240" w:lineRule="auto"/>
        <w:ind w:left="720" w:right="709"/>
        <w:jc w:val="both"/>
        <w:rPr>
          <w:rFonts w:ascii="Verdana" w:eastAsia="Century Gothic" w:hAnsi="Verdana" w:cs="Century Gothic"/>
          <w:sz w:val="21"/>
          <w:szCs w:val="21"/>
          <w:lang w:val="es-ES_tradnl"/>
        </w:rPr>
      </w:pPr>
      <w:r w:rsidRPr="0007373A">
        <w:rPr>
          <w:rFonts w:ascii="Verdana" w:eastAsia="Century Gothic" w:hAnsi="Verdana" w:cs="Century Gothic"/>
          <w:sz w:val="21"/>
          <w:szCs w:val="21"/>
          <w:lang w:val="es-ES_tradnl"/>
        </w:rPr>
        <w:t>“</w:t>
      </w:r>
      <w:r w:rsidRPr="0007373A">
        <w:rPr>
          <w:rFonts w:ascii="Verdana" w:eastAsia="Century Gothic" w:hAnsi="Verdana" w:cs="Century Gothic"/>
          <w:b/>
          <w:bCs/>
          <w:sz w:val="21"/>
          <w:szCs w:val="21"/>
          <w:lang w:val="es-ES_tradnl"/>
        </w:rPr>
        <w:t>PRIMERA CONSULTA: VALOR DE LA OFERTA ECONÓMICA</w:t>
      </w:r>
    </w:p>
    <w:p w14:paraId="3B309F02" w14:textId="77777777" w:rsidR="0007373A" w:rsidRPr="0007373A" w:rsidRDefault="0007373A" w:rsidP="0007373A">
      <w:pPr>
        <w:snapToGrid w:val="0"/>
        <w:spacing w:after="0" w:line="240" w:lineRule="auto"/>
        <w:ind w:left="720" w:right="709"/>
        <w:jc w:val="both"/>
        <w:rPr>
          <w:rFonts w:ascii="Verdana" w:eastAsia="Century Gothic" w:hAnsi="Verdana" w:cs="Century Gothic"/>
          <w:sz w:val="21"/>
          <w:szCs w:val="21"/>
          <w:lang w:val="es-ES_tradnl"/>
        </w:rPr>
      </w:pPr>
    </w:p>
    <w:p w14:paraId="5350E31F" w14:textId="77777777" w:rsidR="0007373A" w:rsidRPr="0007373A" w:rsidRDefault="0007373A" w:rsidP="0007373A">
      <w:pPr>
        <w:snapToGrid w:val="0"/>
        <w:spacing w:after="0" w:line="240" w:lineRule="auto"/>
        <w:ind w:left="720" w:right="709"/>
        <w:jc w:val="both"/>
        <w:rPr>
          <w:rFonts w:ascii="Verdana" w:eastAsia="Century Gothic" w:hAnsi="Verdana" w:cs="Century Gothic"/>
          <w:sz w:val="21"/>
          <w:szCs w:val="21"/>
          <w:lang w:val="es-ES_tradnl"/>
        </w:rPr>
      </w:pPr>
      <w:r w:rsidRPr="0007373A">
        <w:rPr>
          <w:rFonts w:ascii="Verdana" w:eastAsia="Century Gothic" w:hAnsi="Verdana" w:cs="Century Gothic"/>
          <w:sz w:val="21"/>
          <w:szCs w:val="21"/>
          <w:lang w:val="es-ES_tradnl"/>
        </w:rPr>
        <w:lastRenderedPageBreak/>
        <w:t>1.</w:t>
      </w:r>
      <w:r w:rsidRPr="0007373A">
        <w:rPr>
          <w:rFonts w:ascii="Verdana" w:eastAsia="Century Gothic" w:hAnsi="Verdana" w:cs="Century Gothic"/>
          <w:b/>
          <w:bCs/>
          <w:sz w:val="21"/>
          <w:szCs w:val="21"/>
          <w:lang w:val="es-ES_tradnl"/>
        </w:rPr>
        <w:tab/>
        <w:t xml:space="preserve">El pliego indica que el valor registrado en el SECOP II prevalece. </w:t>
      </w:r>
      <w:r w:rsidRPr="0007373A">
        <w:rPr>
          <w:rFonts w:ascii="Verdana" w:eastAsia="Century Gothic" w:hAnsi="Verdana" w:cs="Century Gothic"/>
          <w:sz w:val="21"/>
          <w:szCs w:val="21"/>
          <w:lang w:val="es-ES_tradnl"/>
        </w:rPr>
        <w:t xml:space="preserve">¿Hasta </w:t>
      </w:r>
      <w:proofErr w:type="spellStart"/>
      <w:r w:rsidRPr="0007373A">
        <w:rPr>
          <w:rFonts w:ascii="Verdana" w:eastAsia="Century Gothic" w:hAnsi="Verdana" w:cs="Century Gothic"/>
          <w:sz w:val="21"/>
          <w:szCs w:val="21"/>
          <w:lang w:val="es-ES_tradnl"/>
        </w:rPr>
        <w:t>que</w:t>
      </w:r>
      <w:proofErr w:type="spellEnd"/>
      <w:r w:rsidRPr="0007373A">
        <w:rPr>
          <w:rFonts w:ascii="Verdana" w:eastAsia="Century Gothic" w:hAnsi="Verdana" w:cs="Century Gothic"/>
          <w:sz w:val="21"/>
          <w:szCs w:val="21"/>
          <w:lang w:val="es-ES_tradnl"/>
        </w:rPr>
        <w:t xml:space="preserve"> punto de la evaluación debe regirse por esa condición?, dado que, si se presentan diferencias entre el valor del formulario y la plataforma, tomo el de la plataforma. Pero al pasar al numeral 4.1 este indica que debo asignar el puntaje por oferta económica teniendo en cuenta el </w:t>
      </w:r>
      <w:r w:rsidRPr="0007373A">
        <w:rPr>
          <w:rFonts w:ascii="Verdana" w:eastAsia="Century Gothic" w:hAnsi="Verdana" w:cs="Century Gothic"/>
          <w:b/>
          <w:bCs/>
          <w:sz w:val="21"/>
          <w:szCs w:val="21"/>
          <w:lang w:val="es-ES_tradnl"/>
        </w:rPr>
        <w:t>valor corregido.</w:t>
      </w:r>
      <w:r w:rsidRPr="0007373A">
        <w:rPr>
          <w:rFonts w:ascii="Verdana" w:eastAsia="Century Gothic" w:hAnsi="Verdana" w:cs="Century Gothic"/>
          <w:sz w:val="21"/>
          <w:szCs w:val="21"/>
          <w:lang w:val="es-ES_tradnl"/>
        </w:rPr>
        <w:t xml:space="preserve"> </w:t>
      </w:r>
    </w:p>
    <w:p w14:paraId="6125FC78" w14:textId="77777777" w:rsidR="0007373A" w:rsidRPr="0007373A" w:rsidRDefault="0007373A" w:rsidP="0007373A">
      <w:pPr>
        <w:snapToGrid w:val="0"/>
        <w:spacing w:after="0" w:line="240" w:lineRule="auto"/>
        <w:ind w:left="720" w:right="709"/>
        <w:jc w:val="both"/>
        <w:rPr>
          <w:rFonts w:ascii="Verdana" w:eastAsia="Century Gothic" w:hAnsi="Verdana" w:cs="Century Gothic"/>
          <w:sz w:val="21"/>
          <w:szCs w:val="21"/>
          <w:lang w:val="es-ES_tradnl"/>
        </w:rPr>
      </w:pPr>
    </w:p>
    <w:p w14:paraId="09536A21" w14:textId="77777777" w:rsidR="0007373A" w:rsidRPr="0007373A" w:rsidRDefault="0007373A" w:rsidP="0007373A">
      <w:pPr>
        <w:snapToGrid w:val="0"/>
        <w:spacing w:after="0" w:line="240" w:lineRule="auto"/>
        <w:ind w:left="720" w:right="709"/>
        <w:jc w:val="both"/>
        <w:rPr>
          <w:rFonts w:ascii="Verdana" w:eastAsia="Century Gothic" w:hAnsi="Verdana" w:cs="Century Gothic"/>
          <w:sz w:val="21"/>
          <w:szCs w:val="21"/>
          <w:lang w:val="es-ES_tradnl"/>
        </w:rPr>
      </w:pPr>
      <w:r w:rsidRPr="0007373A">
        <w:rPr>
          <w:rFonts w:ascii="Verdana" w:eastAsia="Century Gothic" w:hAnsi="Verdana" w:cs="Century Gothic"/>
          <w:sz w:val="21"/>
          <w:szCs w:val="21"/>
          <w:lang w:val="es-ES_tradnl"/>
        </w:rPr>
        <w:t>2.</w:t>
      </w:r>
      <w:r w:rsidRPr="0007373A">
        <w:rPr>
          <w:rFonts w:ascii="Verdana" w:eastAsia="Century Gothic" w:hAnsi="Verdana" w:cs="Century Gothic"/>
          <w:sz w:val="21"/>
          <w:szCs w:val="21"/>
          <w:lang w:val="es-ES_tradnl"/>
        </w:rPr>
        <w:tab/>
        <w:t xml:space="preserve">¿Quiere esto decir que “pierde validez” el valor indicado en la plataforma </w:t>
      </w:r>
      <w:proofErr w:type="spellStart"/>
      <w:r w:rsidRPr="0007373A">
        <w:rPr>
          <w:rFonts w:ascii="Verdana" w:eastAsia="Century Gothic" w:hAnsi="Verdana" w:cs="Century Gothic"/>
          <w:sz w:val="21"/>
          <w:szCs w:val="21"/>
          <w:lang w:val="es-ES_tradnl"/>
        </w:rPr>
        <w:t>Secop</w:t>
      </w:r>
      <w:proofErr w:type="spellEnd"/>
      <w:r w:rsidRPr="0007373A">
        <w:rPr>
          <w:rFonts w:ascii="Verdana" w:eastAsia="Century Gothic" w:hAnsi="Verdana" w:cs="Century Gothic"/>
          <w:sz w:val="21"/>
          <w:szCs w:val="21"/>
          <w:lang w:val="es-ES_tradnl"/>
        </w:rPr>
        <w:t xml:space="preserve"> II para efectos de la evaluación?</w:t>
      </w:r>
    </w:p>
    <w:p w14:paraId="601B21FE" w14:textId="77777777" w:rsidR="0007373A" w:rsidRPr="0007373A" w:rsidRDefault="0007373A" w:rsidP="0007373A">
      <w:pPr>
        <w:snapToGrid w:val="0"/>
        <w:spacing w:after="0" w:line="240" w:lineRule="auto"/>
        <w:ind w:left="720" w:right="709"/>
        <w:jc w:val="both"/>
        <w:rPr>
          <w:rFonts w:ascii="Verdana" w:eastAsia="Century Gothic" w:hAnsi="Verdana" w:cs="Century Gothic"/>
          <w:sz w:val="21"/>
          <w:szCs w:val="21"/>
          <w:lang w:val="es-ES_tradnl"/>
        </w:rPr>
      </w:pPr>
    </w:p>
    <w:p w14:paraId="0BF3FB59" w14:textId="77777777" w:rsidR="0007373A" w:rsidRPr="0007373A" w:rsidRDefault="0007373A" w:rsidP="0007373A">
      <w:pPr>
        <w:snapToGrid w:val="0"/>
        <w:spacing w:after="0" w:line="240" w:lineRule="auto"/>
        <w:ind w:left="720" w:right="709"/>
        <w:jc w:val="both"/>
        <w:rPr>
          <w:rFonts w:ascii="Verdana" w:eastAsia="Century Gothic" w:hAnsi="Verdana" w:cs="Century Gothic"/>
          <w:sz w:val="21"/>
          <w:szCs w:val="21"/>
          <w:lang w:val="es-ES_tradnl"/>
        </w:rPr>
      </w:pPr>
      <w:r w:rsidRPr="0007373A">
        <w:rPr>
          <w:rFonts w:ascii="Verdana" w:eastAsia="Century Gothic" w:hAnsi="Verdana" w:cs="Century Gothic"/>
          <w:sz w:val="21"/>
          <w:szCs w:val="21"/>
          <w:lang w:val="es-ES_tradnl"/>
        </w:rPr>
        <w:t>3.</w:t>
      </w:r>
      <w:r w:rsidRPr="0007373A">
        <w:rPr>
          <w:rFonts w:ascii="Verdana" w:eastAsia="Century Gothic" w:hAnsi="Verdana" w:cs="Century Gothic"/>
          <w:sz w:val="21"/>
          <w:szCs w:val="21"/>
          <w:lang w:val="es-ES_tradnl"/>
        </w:rPr>
        <w:tab/>
        <w:t xml:space="preserve">¿El valor para suscribir el contrato con el proponente adjudicatario, será el que arroje la corrección aritmética?  </w:t>
      </w:r>
    </w:p>
    <w:p w14:paraId="29FE324A" w14:textId="77777777" w:rsidR="0007373A" w:rsidRPr="0007373A" w:rsidRDefault="0007373A" w:rsidP="0007373A">
      <w:pPr>
        <w:snapToGrid w:val="0"/>
        <w:spacing w:after="0" w:line="240" w:lineRule="auto"/>
        <w:ind w:right="709"/>
        <w:jc w:val="both"/>
        <w:rPr>
          <w:rFonts w:ascii="Verdana" w:eastAsia="Century Gothic" w:hAnsi="Verdana" w:cs="Century Gothic"/>
          <w:sz w:val="21"/>
          <w:szCs w:val="21"/>
          <w:lang w:val="es-ES_tradnl"/>
        </w:rPr>
      </w:pPr>
    </w:p>
    <w:p w14:paraId="17DC1A20" w14:textId="77777777" w:rsidR="0007373A" w:rsidRPr="0007373A" w:rsidRDefault="0007373A" w:rsidP="0007373A">
      <w:pPr>
        <w:snapToGrid w:val="0"/>
        <w:spacing w:after="0" w:line="240" w:lineRule="auto"/>
        <w:ind w:left="720" w:right="709"/>
        <w:jc w:val="both"/>
        <w:rPr>
          <w:rFonts w:ascii="Verdana" w:eastAsia="Century Gothic" w:hAnsi="Verdana" w:cs="Century Gothic"/>
          <w:sz w:val="21"/>
          <w:szCs w:val="21"/>
          <w:lang w:val="es-ES_tradnl"/>
        </w:rPr>
      </w:pPr>
      <w:r w:rsidRPr="0007373A">
        <w:rPr>
          <w:rFonts w:ascii="Verdana" w:eastAsia="Century Gothic" w:hAnsi="Verdana" w:cs="Century Gothic"/>
          <w:sz w:val="21"/>
          <w:szCs w:val="21"/>
          <w:lang w:val="es-ES_tradnl"/>
        </w:rPr>
        <w:t>4.</w:t>
      </w:r>
      <w:r w:rsidRPr="0007373A">
        <w:rPr>
          <w:rFonts w:ascii="Verdana" w:eastAsia="Century Gothic" w:hAnsi="Verdana" w:cs="Century Gothic"/>
          <w:sz w:val="21"/>
          <w:szCs w:val="21"/>
          <w:lang w:val="es-ES_tradnl"/>
        </w:rPr>
        <w:tab/>
        <w:t>En qué momento la comparación de los valores de la plataforma y el del formulario dejan de ser “discrepancias” y se convierte en dos valores para la oferta económica</w:t>
      </w:r>
    </w:p>
    <w:p w14:paraId="71E2FDE9" w14:textId="77777777" w:rsidR="0007373A" w:rsidRPr="0007373A" w:rsidRDefault="0007373A" w:rsidP="0007373A">
      <w:pPr>
        <w:snapToGrid w:val="0"/>
        <w:spacing w:after="0" w:line="240" w:lineRule="auto"/>
        <w:ind w:left="720" w:right="709"/>
        <w:jc w:val="both"/>
        <w:rPr>
          <w:rFonts w:ascii="Verdana" w:eastAsia="Century Gothic" w:hAnsi="Verdana" w:cs="Century Gothic"/>
          <w:sz w:val="21"/>
          <w:szCs w:val="21"/>
          <w:lang w:val="es-ES_tradnl"/>
        </w:rPr>
      </w:pPr>
      <w:r w:rsidRPr="0007373A">
        <w:rPr>
          <w:rFonts w:ascii="Verdana" w:eastAsia="Century Gothic" w:hAnsi="Verdana" w:cs="Century Gothic"/>
          <w:sz w:val="21"/>
          <w:szCs w:val="21"/>
          <w:lang w:val="es-ES_tradnl"/>
        </w:rPr>
        <w:t>[…]</w:t>
      </w:r>
    </w:p>
    <w:p w14:paraId="2C33CE01" w14:textId="77777777" w:rsidR="0007373A" w:rsidRPr="0007373A" w:rsidRDefault="0007373A" w:rsidP="0007373A">
      <w:pPr>
        <w:snapToGrid w:val="0"/>
        <w:spacing w:after="0" w:line="240" w:lineRule="auto"/>
        <w:ind w:left="720" w:right="709"/>
        <w:jc w:val="both"/>
        <w:rPr>
          <w:rFonts w:ascii="Verdana" w:eastAsia="Century Gothic" w:hAnsi="Verdana" w:cs="Century Gothic"/>
          <w:i/>
          <w:iCs/>
          <w:sz w:val="21"/>
          <w:szCs w:val="21"/>
          <w:lang w:val="es-ES_tradnl"/>
        </w:rPr>
      </w:pPr>
      <w:r w:rsidRPr="0007373A">
        <w:rPr>
          <w:rFonts w:ascii="Verdana" w:eastAsia="Century Gothic" w:hAnsi="Verdana" w:cs="Century Gothic"/>
          <w:i/>
          <w:iCs/>
          <w:sz w:val="21"/>
          <w:szCs w:val="21"/>
          <w:lang w:val="es-ES_tradnl"/>
        </w:rPr>
        <w:t>1.</w:t>
      </w:r>
      <w:r w:rsidRPr="0007373A">
        <w:rPr>
          <w:rFonts w:ascii="Verdana" w:eastAsia="Century Gothic" w:hAnsi="Verdana" w:cs="Century Gothic"/>
          <w:i/>
          <w:iCs/>
          <w:sz w:val="21"/>
          <w:szCs w:val="21"/>
          <w:lang w:val="es-ES_tradnl"/>
        </w:rPr>
        <w:tab/>
        <w:t>Debido a la “aparente contradicción” frente al valor que se debe tomar para evaluar la oferta económica, dado que la guía establece que se debe tomar el valor de la plataforma y el documento base indica que el valor corregido aritméticamente, en caso de que se de esta situación, ¿cuál prima? ¿Debe el documento base (pliego) desconocer la guía?</w:t>
      </w:r>
    </w:p>
    <w:p w14:paraId="5A72C7AA" w14:textId="77777777" w:rsidR="0007373A" w:rsidRPr="0007373A" w:rsidRDefault="0007373A" w:rsidP="0007373A">
      <w:pPr>
        <w:snapToGrid w:val="0"/>
        <w:spacing w:after="0" w:line="240" w:lineRule="auto"/>
        <w:ind w:left="720" w:right="709"/>
        <w:jc w:val="both"/>
        <w:rPr>
          <w:rFonts w:ascii="Verdana" w:eastAsia="Century Gothic" w:hAnsi="Verdana" w:cs="Century Gothic"/>
          <w:i/>
          <w:iCs/>
          <w:sz w:val="21"/>
          <w:szCs w:val="21"/>
          <w:lang w:val="es-ES_tradnl"/>
        </w:rPr>
      </w:pPr>
      <w:r w:rsidRPr="0007373A">
        <w:rPr>
          <w:rFonts w:ascii="Verdana" w:eastAsia="Century Gothic" w:hAnsi="Verdana" w:cs="Century Gothic"/>
          <w:i/>
          <w:iCs/>
          <w:sz w:val="21"/>
          <w:szCs w:val="21"/>
          <w:lang w:val="es-ES_tradnl"/>
        </w:rPr>
        <w:t>[…]</w:t>
      </w:r>
    </w:p>
    <w:p w14:paraId="0062B3A8" w14:textId="77777777" w:rsidR="0007373A" w:rsidRPr="0007373A" w:rsidRDefault="0007373A" w:rsidP="0007373A">
      <w:pPr>
        <w:snapToGrid w:val="0"/>
        <w:spacing w:after="0" w:line="240" w:lineRule="auto"/>
        <w:ind w:left="720" w:right="709"/>
        <w:jc w:val="both"/>
        <w:rPr>
          <w:rFonts w:ascii="Verdana" w:eastAsia="Century Gothic" w:hAnsi="Verdana" w:cs="Century Gothic"/>
          <w:sz w:val="21"/>
          <w:szCs w:val="21"/>
          <w:lang w:val="es-ES_tradnl"/>
        </w:rPr>
      </w:pPr>
      <w:r w:rsidRPr="0007373A">
        <w:rPr>
          <w:rFonts w:ascii="Verdana" w:eastAsia="Century Gothic" w:hAnsi="Verdana" w:cs="Century Gothic"/>
          <w:sz w:val="21"/>
          <w:szCs w:val="21"/>
          <w:lang w:val="es-ES_tradnl"/>
        </w:rPr>
        <w:t>¿se configura la discrepancia de valores del cuestionario y el formulario – documento anexo, el supuesto de hecho de presentar más de una oferta económica con valores distintos?</w:t>
      </w:r>
    </w:p>
    <w:p w14:paraId="6592E0E9" w14:textId="77777777" w:rsidR="0007373A" w:rsidRPr="0007373A" w:rsidRDefault="0007373A" w:rsidP="0007373A">
      <w:pPr>
        <w:snapToGrid w:val="0"/>
        <w:spacing w:after="0" w:line="240" w:lineRule="auto"/>
        <w:ind w:left="720" w:right="709"/>
        <w:jc w:val="both"/>
        <w:rPr>
          <w:rFonts w:ascii="Verdana" w:eastAsia="Century Gothic" w:hAnsi="Verdana" w:cs="Century Gothic"/>
          <w:sz w:val="21"/>
          <w:szCs w:val="21"/>
          <w:lang w:val="es-ES_tradnl"/>
        </w:rPr>
      </w:pPr>
      <w:r w:rsidRPr="0007373A">
        <w:rPr>
          <w:rFonts w:ascii="Verdana" w:eastAsia="Century Gothic" w:hAnsi="Verdana" w:cs="Century Gothic"/>
          <w:sz w:val="21"/>
          <w:szCs w:val="21"/>
          <w:lang w:val="es-ES_tradnl"/>
        </w:rPr>
        <w:t>[…]</w:t>
      </w:r>
    </w:p>
    <w:p w14:paraId="4ECB4348" w14:textId="77777777" w:rsidR="0007373A" w:rsidRPr="0007373A" w:rsidRDefault="0007373A" w:rsidP="0007373A">
      <w:pPr>
        <w:snapToGrid w:val="0"/>
        <w:spacing w:after="0" w:line="240" w:lineRule="auto"/>
        <w:ind w:left="720" w:right="709"/>
        <w:jc w:val="both"/>
        <w:rPr>
          <w:rFonts w:ascii="Verdana" w:eastAsia="Century Gothic" w:hAnsi="Verdana" w:cs="Century Gothic"/>
          <w:b/>
          <w:bCs/>
          <w:sz w:val="21"/>
          <w:szCs w:val="21"/>
          <w:lang w:val="es-ES_tradnl"/>
        </w:rPr>
      </w:pPr>
      <w:r w:rsidRPr="0007373A">
        <w:rPr>
          <w:rFonts w:ascii="Verdana" w:eastAsia="Century Gothic" w:hAnsi="Verdana" w:cs="Century Gothic"/>
          <w:b/>
          <w:bCs/>
          <w:sz w:val="21"/>
          <w:szCs w:val="21"/>
          <w:lang w:val="es-ES_tradnl"/>
        </w:rPr>
        <w:t>SEGUNDA CONSULTA: SUSCRIPCIÓN DE LA OFERTA ECONÓMICA POR EL REPRESENTANTE LEGAL</w:t>
      </w:r>
    </w:p>
    <w:p w14:paraId="66E0F3F3" w14:textId="77777777" w:rsidR="0007373A" w:rsidRPr="0007373A" w:rsidRDefault="0007373A" w:rsidP="0007373A">
      <w:pPr>
        <w:snapToGrid w:val="0"/>
        <w:spacing w:after="0" w:line="240" w:lineRule="auto"/>
        <w:ind w:left="720" w:right="709"/>
        <w:jc w:val="both"/>
        <w:rPr>
          <w:rFonts w:ascii="Verdana" w:eastAsia="Century Gothic" w:hAnsi="Verdana" w:cs="Century Gothic"/>
          <w:sz w:val="21"/>
          <w:szCs w:val="21"/>
          <w:lang w:val="es-ES_tradnl"/>
        </w:rPr>
      </w:pPr>
      <w:r w:rsidRPr="0007373A">
        <w:rPr>
          <w:rFonts w:ascii="Verdana" w:eastAsia="Century Gothic" w:hAnsi="Verdana" w:cs="Century Gothic"/>
          <w:sz w:val="21"/>
          <w:szCs w:val="21"/>
          <w:lang w:val="es-ES_tradnl"/>
        </w:rPr>
        <w:t>[…]</w:t>
      </w:r>
    </w:p>
    <w:p w14:paraId="5EFBA677" w14:textId="77777777" w:rsidR="0007373A" w:rsidRPr="0007373A" w:rsidRDefault="0007373A" w:rsidP="0007373A">
      <w:pPr>
        <w:snapToGrid w:val="0"/>
        <w:spacing w:after="0" w:line="240" w:lineRule="auto"/>
        <w:ind w:left="720" w:right="709"/>
        <w:jc w:val="both"/>
        <w:rPr>
          <w:rFonts w:ascii="Verdana" w:eastAsia="Century Gothic" w:hAnsi="Verdana" w:cs="Century Gothic"/>
          <w:sz w:val="21"/>
          <w:szCs w:val="21"/>
          <w:lang w:val="es-ES_tradnl"/>
        </w:rPr>
      </w:pPr>
      <w:r w:rsidRPr="0007373A">
        <w:rPr>
          <w:rFonts w:ascii="Verdana" w:eastAsia="Century Gothic" w:hAnsi="Verdana" w:cs="Century Gothic"/>
          <w:sz w:val="21"/>
          <w:szCs w:val="21"/>
          <w:lang w:val="es-ES_tradnl"/>
        </w:rPr>
        <w:t xml:space="preserve">Debe estar firmado el </w:t>
      </w:r>
      <w:r w:rsidRPr="0007373A">
        <w:rPr>
          <w:rFonts w:ascii="Verdana" w:eastAsia="Century Gothic" w:hAnsi="Verdana" w:cs="Century Gothic"/>
          <w:i/>
          <w:iCs/>
          <w:sz w:val="21"/>
          <w:szCs w:val="21"/>
          <w:lang w:val="es-ES_tradnl"/>
        </w:rPr>
        <w:t>Formulario 1 - Propuesta económica - Documento tipo de licitación de obra pública de infraestructura de transporte - versión 4 – código CCE-EICP-FM-14,</w:t>
      </w:r>
      <w:r w:rsidRPr="0007373A">
        <w:rPr>
          <w:rFonts w:ascii="Verdana" w:eastAsia="Century Gothic" w:hAnsi="Verdana" w:cs="Century Gothic"/>
          <w:sz w:val="21"/>
          <w:szCs w:val="21"/>
          <w:lang w:val="es-ES_tradnl"/>
        </w:rPr>
        <w:t xml:space="preserve"> toda vez que el formato establece firma del proponente legal.</w:t>
      </w:r>
    </w:p>
    <w:p w14:paraId="772E005D" w14:textId="77777777" w:rsidR="0007373A" w:rsidRPr="0007373A" w:rsidRDefault="0007373A" w:rsidP="0007373A">
      <w:pPr>
        <w:snapToGrid w:val="0"/>
        <w:spacing w:after="0" w:line="240" w:lineRule="auto"/>
        <w:ind w:left="720" w:right="709"/>
        <w:jc w:val="both"/>
        <w:rPr>
          <w:rFonts w:ascii="Verdana" w:eastAsia="Century Gothic" w:hAnsi="Verdana" w:cs="Century Gothic"/>
          <w:sz w:val="21"/>
          <w:szCs w:val="21"/>
          <w:lang w:val="es-ES_tradnl"/>
        </w:rPr>
      </w:pPr>
    </w:p>
    <w:p w14:paraId="3AD0E785" w14:textId="77777777" w:rsidR="0007373A" w:rsidRPr="0007373A" w:rsidRDefault="0007373A" w:rsidP="0007373A">
      <w:pPr>
        <w:snapToGrid w:val="0"/>
        <w:spacing w:after="0" w:line="240" w:lineRule="auto"/>
        <w:ind w:left="720" w:right="709"/>
        <w:jc w:val="both"/>
        <w:rPr>
          <w:rFonts w:ascii="Verdana" w:eastAsia="Century Gothic" w:hAnsi="Verdana" w:cs="Century Gothic"/>
          <w:sz w:val="21"/>
          <w:szCs w:val="21"/>
          <w:lang w:val="es-ES_tradnl"/>
        </w:rPr>
      </w:pPr>
      <w:r w:rsidRPr="0007373A">
        <w:rPr>
          <w:rFonts w:ascii="Verdana" w:eastAsia="Century Gothic" w:hAnsi="Verdana" w:cs="Century Gothic"/>
          <w:sz w:val="21"/>
          <w:szCs w:val="21"/>
          <w:lang w:val="es-ES_tradnl"/>
        </w:rPr>
        <w:t>Si la respuesta es afirmativa, y el oferente no lo hace ¿debo rechazarlo?</w:t>
      </w:r>
    </w:p>
    <w:p w14:paraId="7B4EBD58" w14:textId="77777777" w:rsidR="0007373A" w:rsidRPr="0007373A" w:rsidRDefault="0007373A" w:rsidP="0007373A">
      <w:pPr>
        <w:snapToGrid w:val="0"/>
        <w:spacing w:after="0" w:line="240" w:lineRule="auto"/>
        <w:ind w:left="720" w:right="709"/>
        <w:jc w:val="both"/>
        <w:rPr>
          <w:rFonts w:ascii="Verdana" w:eastAsia="Century Gothic" w:hAnsi="Verdana" w:cs="Century Gothic"/>
          <w:sz w:val="21"/>
          <w:szCs w:val="21"/>
          <w:lang w:val="es-ES_tradnl"/>
        </w:rPr>
      </w:pPr>
    </w:p>
    <w:p w14:paraId="16C2C59E" w14:textId="77777777" w:rsidR="0007373A" w:rsidRPr="0007373A" w:rsidRDefault="0007373A" w:rsidP="0007373A">
      <w:pPr>
        <w:snapToGrid w:val="0"/>
        <w:spacing w:after="0" w:line="240" w:lineRule="auto"/>
        <w:ind w:left="720" w:right="709"/>
        <w:jc w:val="both"/>
        <w:rPr>
          <w:rFonts w:ascii="Verdana" w:eastAsia="Century Gothic" w:hAnsi="Verdana" w:cs="Century Gothic"/>
          <w:sz w:val="21"/>
          <w:szCs w:val="21"/>
          <w:lang w:val="es-ES_tradnl"/>
        </w:rPr>
      </w:pPr>
      <w:r w:rsidRPr="0007373A">
        <w:rPr>
          <w:rFonts w:ascii="Verdana" w:eastAsia="Century Gothic" w:hAnsi="Verdana" w:cs="Century Gothic"/>
          <w:sz w:val="21"/>
          <w:szCs w:val="21"/>
          <w:lang w:val="es-ES_tradnl"/>
        </w:rPr>
        <w:t>En el caso de que la entidad establezca otro formato como lo permite el pliego tipo, ¿puede omitir el requisito de que la oferta económica vaya suscrito por el representante legal?”</w:t>
      </w:r>
    </w:p>
    <w:p w14:paraId="4924008F" w14:textId="77777777" w:rsidR="0007373A" w:rsidRPr="0007373A" w:rsidRDefault="0007373A" w:rsidP="0007373A">
      <w:pPr>
        <w:tabs>
          <w:tab w:val="left" w:pos="142"/>
          <w:tab w:val="left" w:pos="1020"/>
        </w:tabs>
        <w:spacing w:line="276" w:lineRule="auto"/>
        <w:contextualSpacing/>
        <w:jc w:val="both"/>
        <w:rPr>
          <w:rFonts w:ascii="Verdana" w:eastAsia="Century Gothic" w:hAnsi="Verdana" w:cs="Century Gothic"/>
          <w:b/>
          <w:bCs/>
          <w:lang w:val="es-ES_tradnl"/>
        </w:rPr>
      </w:pPr>
      <w:r w:rsidRPr="0007373A">
        <w:rPr>
          <w:rFonts w:ascii="Verdana" w:eastAsia="Century Gothic" w:hAnsi="Verdana" w:cs="Century Gothic"/>
          <w:b/>
          <w:bCs/>
          <w:lang w:val="es-ES_tradnl"/>
        </w:rPr>
        <w:tab/>
      </w:r>
      <w:r w:rsidRPr="0007373A">
        <w:rPr>
          <w:rFonts w:ascii="Verdana" w:eastAsia="Century Gothic" w:hAnsi="Verdana" w:cs="Century Gothic"/>
          <w:b/>
          <w:bCs/>
          <w:lang w:val="es-ES_tradnl"/>
        </w:rPr>
        <w:tab/>
      </w:r>
    </w:p>
    <w:p w14:paraId="053656B4" w14:textId="77777777" w:rsidR="0007373A" w:rsidRPr="0007373A" w:rsidRDefault="0007373A" w:rsidP="0007373A">
      <w:pPr>
        <w:spacing w:after="120" w:line="276" w:lineRule="auto"/>
        <w:ind w:firstLine="709"/>
        <w:jc w:val="both"/>
        <w:rPr>
          <w:rFonts w:ascii="Verdana" w:eastAsia="Calibri" w:hAnsi="Verdana" w:cs="Arial"/>
          <w:lang w:val="es-ES" w:eastAsia="es-ES"/>
        </w:rPr>
      </w:pPr>
      <w:r w:rsidRPr="0007373A">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7373A">
        <w:rPr>
          <w:rFonts w:ascii="Calibri" w:eastAsia="Calibri" w:hAnsi="Calibri" w:cs="Times New Roman"/>
        </w:rPr>
        <w:tab/>
      </w:r>
    </w:p>
    <w:p w14:paraId="10A8E852" w14:textId="77777777" w:rsidR="0007373A" w:rsidRPr="0007373A" w:rsidRDefault="0007373A" w:rsidP="0007373A">
      <w:pPr>
        <w:snapToGrid w:val="0"/>
        <w:spacing w:after="0" w:line="276" w:lineRule="auto"/>
        <w:ind w:firstLine="709"/>
        <w:jc w:val="both"/>
        <w:rPr>
          <w:rFonts w:ascii="Verdana" w:eastAsia="Calibri" w:hAnsi="Verdana" w:cs="Arial"/>
          <w:lang w:val="es-ES_tradnl" w:eastAsia="es-ES"/>
        </w:rPr>
      </w:pPr>
      <w:r w:rsidRPr="0007373A">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AE55CB8" w14:textId="77777777" w:rsidR="0007373A" w:rsidRPr="0007373A" w:rsidRDefault="0007373A" w:rsidP="0007373A">
      <w:pPr>
        <w:snapToGrid w:val="0"/>
        <w:spacing w:after="0" w:line="276" w:lineRule="auto"/>
        <w:ind w:firstLine="709"/>
        <w:jc w:val="both"/>
        <w:rPr>
          <w:rFonts w:ascii="Verdana" w:eastAsia="Calibri" w:hAnsi="Verdana" w:cs="Arial"/>
          <w:lang w:val="es-ES_tradnl" w:eastAsia="es-ES"/>
        </w:rPr>
      </w:pPr>
    </w:p>
    <w:p w14:paraId="0C22CAE6" w14:textId="77777777" w:rsidR="0007373A" w:rsidRPr="0007373A" w:rsidRDefault="0007373A" w:rsidP="0007373A">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07373A">
        <w:rPr>
          <w:rFonts w:ascii="Verdana" w:eastAsia="Century Gothic" w:hAnsi="Verdana" w:cs="Century Gothic"/>
          <w:b/>
          <w:bCs/>
          <w:lang w:val="es-ES_tradnl"/>
        </w:rPr>
        <w:t>Problema planteado:</w:t>
      </w:r>
    </w:p>
    <w:p w14:paraId="2DCE9B0B" w14:textId="77777777" w:rsidR="0007373A" w:rsidRPr="0007373A" w:rsidRDefault="0007373A" w:rsidP="0007373A">
      <w:pPr>
        <w:tabs>
          <w:tab w:val="left" w:pos="142"/>
          <w:tab w:val="left" w:pos="284"/>
        </w:tabs>
        <w:snapToGrid w:val="0"/>
        <w:spacing w:after="0" w:line="276" w:lineRule="auto"/>
        <w:ind w:left="357"/>
        <w:jc w:val="both"/>
        <w:rPr>
          <w:rFonts w:ascii="Verdana" w:eastAsia="Century Gothic" w:hAnsi="Verdana" w:cs="Century Gothic"/>
          <w:b/>
          <w:bCs/>
          <w:lang w:val="es-ES_tradnl"/>
        </w:rPr>
      </w:pPr>
    </w:p>
    <w:p w14:paraId="6A1EC564" w14:textId="77777777" w:rsidR="0007373A" w:rsidRPr="0007373A" w:rsidRDefault="0007373A" w:rsidP="0007373A">
      <w:pPr>
        <w:snapToGrid w:val="0"/>
        <w:spacing w:after="0" w:line="276" w:lineRule="auto"/>
        <w:jc w:val="both"/>
        <w:rPr>
          <w:rFonts w:ascii="Verdana" w:eastAsia="Century Gothic" w:hAnsi="Verdana" w:cs="Century Gothic"/>
          <w:lang w:val="es-ES"/>
        </w:rPr>
      </w:pPr>
      <w:r w:rsidRPr="0007373A">
        <w:rPr>
          <w:rFonts w:ascii="Verdana" w:eastAsia="Century Gothic" w:hAnsi="Verdana" w:cs="Century Gothic"/>
          <w:lang w:val="es-ES"/>
        </w:rPr>
        <w:t>De acuerdo con el contenido de su solicitud, esta Agencia resolverá los siguientes problemas jurídicos: sobre los documentos tipo de licitación de obra pública de infraestructura de transporte –versión 4–:</w:t>
      </w:r>
    </w:p>
    <w:p w14:paraId="398789B6" w14:textId="77777777" w:rsidR="0007373A" w:rsidRPr="0007373A" w:rsidRDefault="0007373A" w:rsidP="0007373A">
      <w:pPr>
        <w:snapToGrid w:val="0"/>
        <w:spacing w:after="0" w:line="276" w:lineRule="auto"/>
        <w:jc w:val="both"/>
        <w:rPr>
          <w:rFonts w:ascii="Verdana" w:eastAsia="Century Gothic" w:hAnsi="Verdana" w:cs="Century Gothic"/>
          <w:lang w:val="es-ES"/>
        </w:rPr>
      </w:pPr>
    </w:p>
    <w:p w14:paraId="1FBAD2AD" w14:textId="77777777" w:rsidR="0007373A" w:rsidRPr="0007373A" w:rsidRDefault="0007373A" w:rsidP="0007373A">
      <w:pPr>
        <w:numPr>
          <w:ilvl w:val="0"/>
          <w:numId w:val="19"/>
        </w:numPr>
        <w:snapToGrid w:val="0"/>
        <w:spacing w:after="0" w:line="276" w:lineRule="auto"/>
        <w:contextualSpacing/>
        <w:jc w:val="both"/>
        <w:rPr>
          <w:rFonts w:ascii="Verdana" w:eastAsia="Aptos" w:hAnsi="Verdana" w:cs="Times New Roman"/>
          <w:kern w:val="2"/>
          <w:lang w:val="es-ES"/>
          <w14:ligatures w14:val="standardContextual"/>
        </w:rPr>
      </w:pPr>
      <w:r w:rsidRPr="0007373A">
        <w:rPr>
          <w:rFonts w:ascii="Verdana" w:eastAsia="Aptos" w:hAnsi="Verdana" w:cs="Times New Roman"/>
          <w:kern w:val="2"/>
          <w:lang w:val="es-ES"/>
          <w14:ligatures w14:val="standardContextual"/>
        </w:rPr>
        <w:t>¿Cómo debe interpretarse la prevalencia del valor de la oferta económica consignado en el SECOP II?</w:t>
      </w:r>
    </w:p>
    <w:p w14:paraId="5D30FC3B" w14:textId="77777777" w:rsidR="0007373A" w:rsidRPr="0007373A" w:rsidRDefault="0007373A" w:rsidP="0007373A">
      <w:pPr>
        <w:snapToGrid w:val="0"/>
        <w:spacing w:after="0" w:line="276" w:lineRule="auto"/>
        <w:jc w:val="both"/>
        <w:rPr>
          <w:rFonts w:ascii="Verdana" w:eastAsia="Aptos" w:hAnsi="Verdana" w:cs="Times New Roman"/>
          <w:kern w:val="2"/>
          <w:lang w:val="es-ES"/>
          <w14:ligatures w14:val="standardContextual"/>
        </w:rPr>
      </w:pPr>
    </w:p>
    <w:p w14:paraId="3B4944EA" w14:textId="77777777" w:rsidR="0007373A" w:rsidRPr="0007373A" w:rsidRDefault="0007373A" w:rsidP="0007373A">
      <w:pPr>
        <w:numPr>
          <w:ilvl w:val="0"/>
          <w:numId w:val="19"/>
        </w:numPr>
        <w:snapToGrid w:val="0"/>
        <w:spacing w:after="0" w:line="276" w:lineRule="auto"/>
        <w:contextualSpacing/>
        <w:jc w:val="both"/>
        <w:rPr>
          <w:rFonts w:ascii="Verdana" w:eastAsia="Century Gothic" w:hAnsi="Verdana" w:cs="Century Gothic"/>
          <w:lang w:val="es-ES"/>
        </w:rPr>
      </w:pPr>
      <w:proofErr w:type="gramStart"/>
      <w:r w:rsidRPr="0007373A">
        <w:rPr>
          <w:rFonts w:ascii="Verdana" w:eastAsia="Aptos" w:hAnsi="Verdana" w:cs="Times New Roman"/>
          <w:kern w:val="2"/>
          <w:lang w:val="es-ES"/>
          <w14:ligatures w14:val="standardContextual"/>
        </w:rPr>
        <w:t>¿Cuál es el alcance de la causal de rechazo de literal U del numeral 1.</w:t>
      </w:r>
      <w:proofErr w:type="gramEnd"/>
      <w:r w:rsidRPr="0007373A">
        <w:rPr>
          <w:rFonts w:ascii="Verdana" w:eastAsia="Aptos" w:hAnsi="Verdana" w:cs="Times New Roman"/>
          <w:kern w:val="2"/>
          <w:lang w:val="es-ES"/>
          <w14:ligatures w14:val="standardContextual"/>
        </w:rPr>
        <w:t>15 del documento base?</w:t>
      </w:r>
    </w:p>
    <w:p w14:paraId="04E5AAEA" w14:textId="77777777" w:rsidR="0007373A" w:rsidRPr="0007373A" w:rsidRDefault="0007373A" w:rsidP="0007373A">
      <w:pPr>
        <w:snapToGrid w:val="0"/>
        <w:spacing w:after="0" w:line="276" w:lineRule="auto"/>
        <w:jc w:val="both"/>
        <w:rPr>
          <w:rFonts w:ascii="Verdana" w:eastAsia="Calibri" w:hAnsi="Verdana" w:cs="Arial"/>
          <w:lang w:val="es-ES_tradnl"/>
        </w:rPr>
      </w:pPr>
    </w:p>
    <w:p w14:paraId="79DA87AE" w14:textId="77777777" w:rsidR="0007373A" w:rsidRPr="0007373A" w:rsidRDefault="0007373A" w:rsidP="0007373A">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07373A">
        <w:rPr>
          <w:rFonts w:ascii="Verdana" w:eastAsia="Century Gothic" w:hAnsi="Verdana" w:cs="Century Gothic"/>
          <w:b/>
          <w:bCs/>
          <w:lang w:val="es-ES_tradnl"/>
        </w:rPr>
        <w:t>Respuesta:</w:t>
      </w:r>
    </w:p>
    <w:p w14:paraId="4F9412A6" w14:textId="77777777" w:rsidR="0007373A" w:rsidRPr="0007373A" w:rsidRDefault="0007373A" w:rsidP="0007373A">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7373A" w:rsidRPr="0007373A" w14:paraId="07D98DC3" w14:textId="77777777" w:rsidTr="005F6BA4">
        <w:tc>
          <w:tcPr>
            <w:tcW w:w="8828" w:type="dxa"/>
          </w:tcPr>
          <w:p w14:paraId="7E9C4EA1" w14:textId="77777777" w:rsidR="0007373A" w:rsidRPr="0007373A" w:rsidRDefault="0007373A" w:rsidP="0007373A">
            <w:pPr>
              <w:widowControl w:val="0"/>
              <w:autoSpaceDE w:val="0"/>
              <w:autoSpaceDN w:val="0"/>
              <w:snapToGrid w:val="0"/>
              <w:spacing w:after="120" w:line="276" w:lineRule="auto"/>
              <w:jc w:val="both"/>
              <w:rPr>
                <w:rFonts w:ascii="Verdana" w:eastAsia="Arial" w:hAnsi="Verdana" w:cs="Arial"/>
                <w:iCs/>
                <w:lang w:val="es-ES_tradnl" w:eastAsia="es-ES" w:bidi="es-ES"/>
              </w:rPr>
            </w:pPr>
            <w:r w:rsidRPr="0007373A">
              <w:rPr>
                <w:rFonts w:ascii="Verdana" w:eastAsia="Calibri" w:hAnsi="Verdana" w:cs="Arial"/>
                <w:lang w:val="es-ES_tradnl" w:eastAsia="es-MX"/>
              </w:rPr>
              <w:t xml:space="preserve">i. El numeral “2.3. ELABORACIÓN Y PRESENTACIÓN DE LA OFERTA” del documento base de los documentos tipo de licitación de obra pública de infraestructura de transporte –versión 4–, contiene una </w:t>
            </w:r>
            <w:r w:rsidRPr="0007373A">
              <w:rPr>
                <w:rFonts w:ascii="Verdana" w:eastAsia="Calibri" w:hAnsi="Verdana" w:cs="Arial"/>
                <w:i/>
                <w:iCs/>
                <w:lang w:val="es-ES_tradnl" w:eastAsia="es-MX"/>
              </w:rPr>
              <w:t>Nota,</w:t>
            </w:r>
            <w:r w:rsidRPr="0007373A">
              <w:rPr>
                <w:rFonts w:ascii="Verdana" w:eastAsia="Calibri" w:hAnsi="Verdana" w:cs="Arial"/>
                <w:lang w:val="es-ES_tradnl" w:eastAsia="es-MX"/>
              </w:rPr>
              <w:t xml:space="preserve"> que establece que, </w:t>
            </w:r>
            <w:r w:rsidRPr="0007373A">
              <w:rPr>
                <w:rFonts w:ascii="Verdana" w:eastAsia="Calibri" w:hAnsi="Verdana" w:cs="Arial"/>
                <w:i/>
                <w:iCs/>
                <w:lang w:val="es-ES_tradnl" w:eastAsia="es-MX"/>
              </w:rPr>
              <w:t xml:space="preserve">“[e]n caso de discrepancias entre los valores señalados en el Formulario 1 – Formulario de Presupuesto Oficial y el valor presentado en el SECOP II, </w:t>
            </w:r>
            <w:r w:rsidRPr="0007373A">
              <w:rPr>
                <w:rFonts w:ascii="Verdana" w:eastAsia="Calibri" w:hAnsi="Verdana" w:cs="Arial"/>
                <w:i/>
                <w:iCs/>
                <w:lang w:val="es-ES_tradnl" w:eastAsia="es-MX"/>
              </w:rPr>
              <w:lastRenderedPageBreak/>
              <w:t>prevalecerá el valor presentado en el SECOP II.”</w:t>
            </w:r>
          </w:p>
          <w:p w14:paraId="4D817F02" w14:textId="77777777" w:rsidR="0007373A" w:rsidRPr="0007373A" w:rsidRDefault="0007373A" w:rsidP="0007373A">
            <w:pPr>
              <w:snapToGrid w:val="0"/>
              <w:spacing w:after="120" w:line="276" w:lineRule="auto"/>
              <w:ind w:firstLine="709"/>
              <w:jc w:val="both"/>
              <w:rPr>
                <w:rFonts w:ascii="Verdana" w:eastAsia="Calibri" w:hAnsi="Verdana" w:cs="Arial"/>
                <w:lang w:val="es-ES_tradnl"/>
              </w:rPr>
            </w:pPr>
            <w:r w:rsidRPr="0007373A">
              <w:rPr>
                <w:rFonts w:ascii="Verdana" w:eastAsia="Calibri" w:hAnsi="Verdana" w:cs="Arial"/>
                <w:lang w:val="es-ES_tradnl"/>
              </w:rPr>
              <w:t>Al respecto, debe advertirse que, indistintamente de los valores que figuren en el Formulario 1 y el SECOP II, prevalecerán los consignados en el SECOP II.</w:t>
            </w:r>
          </w:p>
          <w:p w14:paraId="7BF247C4" w14:textId="77777777" w:rsidR="0007373A" w:rsidRPr="0007373A" w:rsidRDefault="0007373A" w:rsidP="0007373A">
            <w:pPr>
              <w:snapToGrid w:val="0"/>
              <w:spacing w:after="120" w:line="276" w:lineRule="auto"/>
              <w:ind w:firstLine="709"/>
              <w:jc w:val="both"/>
              <w:rPr>
                <w:rFonts w:ascii="Verdana" w:eastAsia="Calibri" w:hAnsi="Verdana" w:cs="Arial"/>
                <w:lang w:val="es-ES"/>
              </w:rPr>
            </w:pPr>
            <w:r w:rsidRPr="0007373A">
              <w:rPr>
                <w:rFonts w:ascii="Verdana" w:eastAsia="Calibri" w:hAnsi="Verdana" w:cs="Arial"/>
                <w:lang w:val="es-ES"/>
              </w:rPr>
              <w:t>Por lo tanto, cuando este tipo de situaciones se presenten en desarrollo de procesos de contratación, corresponderá a las entidades estatales, en el marco de su autonomía, adelantar las acciones procedentes y necesarias, con el fin hacer prevalecer los valores de la oferta contemplados en el SECOP II y continuar con el desarrollo del proceso, conforme al régimen jurídico aplicable.</w:t>
            </w:r>
          </w:p>
          <w:p w14:paraId="18B81474" w14:textId="77777777" w:rsidR="0007373A" w:rsidRPr="0007373A" w:rsidRDefault="0007373A" w:rsidP="0007373A">
            <w:pPr>
              <w:snapToGrid w:val="0"/>
              <w:spacing w:after="120" w:line="276" w:lineRule="auto"/>
              <w:ind w:firstLine="709"/>
              <w:jc w:val="both"/>
              <w:rPr>
                <w:rFonts w:ascii="Verdana" w:eastAsia="Calibri" w:hAnsi="Verdana" w:cs="Arial"/>
                <w:lang w:val="es-ES"/>
              </w:rPr>
            </w:pPr>
            <w:r w:rsidRPr="0007373A">
              <w:rPr>
                <w:rFonts w:ascii="Verdana" w:eastAsia="Calibri" w:hAnsi="Verdana" w:cs="Arial"/>
                <w:lang w:val="es-ES"/>
              </w:rPr>
              <w:t xml:space="preserve">En todo caso, debe advertirse que, la precitada </w:t>
            </w:r>
            <w:r w:rsidRPr="0007373A">
              <w:rPr>
                <w:rFonts w:ascii="Verdana" w:eastAsia="Calibri" w:hAnsi="Verdana" w:cs="Arial"/>
                <w:i/>
                <w:iCs/>
                <w:lang w:val="es-ES"/>
              </w:rPr>
              <w:t xml:space="preserve">Nota </w:t>
            </w:r>
            <w:r w:rsidRPr="0007373A">
              <w:rPr>
                <w:rFonts w:ascii="Verdana" w:eastAsia="Calibri" w:hAnsi="Verdana" w:cs="Arial"/>
                <w:lang w:val="es-ES"/>
              </w:rPr>
              <w:t xml:space="preserve">debe ser entendida respecto al valor total consignado en el Formulario 1 y aquel presentado en SECOP II. De esta manera, lo importante será que ambos valores totales coincidan –tanto el del Formulario 1 como el del SECOP II– cuando, conforme al proceso de contratación, la entidad solicite lo mismo, so pena de que prevalezca el valor señalado en SECOP II.  </w:t>
            </w:r>
          </w:p>
          <w:p w14:paraId="68F56F7E" w14:textId="77777777" w:rsidR="0007373A" w:rsidRPr="0007373A" w:rsidRDefault="0007373A" w:rsidP="0007373A">
            <w:pPr>
              <w:snapToGrid w:val="0"/>
              <w:spacing w:after="120" w:line="276" w:lineRule="auto"/>
              <w:ind w:firstLine="709"/>
              <w:jc w:val="both"/>
              <w:rPr>
                <w:rFonts w:ascii="Verdana" w:eastAsia="Calibri" w:hAnsi="Verdana" w:cs="Arial"/>
                <w:lang w:val="es-ES"/>
              </w:rPr>
            </w:pPr>
            <w:r w:rsidRPr="0007373A">
              <w:rPr>
                <w:rFonts w:ascii="Verdana" w:eastAsia="Calibri" w:hAnsi="Verdana" w:cs="Arial"/>
                <w:lang w:val="es-ES"/>
              </w:rPr>
              <w:t xml:space="preserve">Por el contrario, en los casos en que no se solicite lo mismo, la entidad deberá definir, desde el principio, a qué le dará preferencia, esto es, si a los valores del SECOP II o del Formulario 1. </w:t>
            </w:r>
          </w:p>
          <w:p w14:paraId="2AC32E4F" w14:textId="77777777" w:rsidR="0007373A" w:rsidRPr="0007373A" w:rsidRDefault="0007373A" w:rsidP="0007373A">
            <w:pPr>
              <w:snapToGrid w:val="0"/>
              <w:spacing w:line="276" w:lineRule="auto"/>
              <w:ind w:firstLine="709"/>
              <w:jc w:val="both"/>
              <w:rPr>
                <w:rFonts w:ascii="Verdana" w:eastAsia="Aptos" w:hAnsi="Verdana" w:cs="Times New Roman"/>
                <w:lang w:val="es-MX"/>
              </w:rPr>
            </w:pPr>
            <w:r w:rsidRPr="00BA4242">
              <w:rPr>
                <w:rFonts w:ascii="Verdana" w:eastAsia="Aptos" w:hAnsi="Verdana" w:cs="Times New Roman"/>
                <w:lang w:val="es-MX"/>
              </w:rPr>
              <w:t>A su turno, teniendo en cuenta que la Entidad Estatal solo efecturá correcciones ariméticas en dos (2) supuestos señalados en el numeral 4.1.2 del documento base, el valor que aquella debe tener en cuenta y que prevalece cuando se haya efectuado una corrección aritmética, será, en todo caso, el que resulte de esta operación, en alguna</w:t>
            </w:r>
            <w:r w:rsidRPr="0007373A">
              <w:rPr>
                <w:rFonts w:ascii="Verdana" w:eastAsia="Aptos" w:hAnsi="Verdana" w:cs="Times New Roman"/>
                <w:lang w:val="es-MX"/>
              </w:rPr>
              <w:t xml:space="preserve"> de esas situaciones.</w:t>
            </w:r>
          </w:p>
          <w:p w14:paraId="1CD45801" w14:textId="77777777" w:rsidR="0007373A" w:rsidRPr="0007373A" w:rsidRDefault="0007373A" w:rsidP="0007373A">
            <w:pPr>
              <w:snapToGrid w:val="0"/>
              <w:spacing w:line="276" w:lineRule="auto"/>
              <w:jc w:val="both"/>
              <w:rPr>
                <w:rFonts w:ascii="Verdana" w:eastAsia="Aptos" w:hAnsi="Verdana" w:cs="Times New Roman"/>
                <w:lang w:val="es-MX"/>
              </w:rPr>
            </w:pPr>
          </w:p>
          <w:p w14:paraId="1940E6E6" w14:textId="77777777" w:rsidR="0007373A" w:rsidRPr="0007373A" w:rsidRDefault="0007373A" w:rsidP="0007373A">
            <w:pPr>
              <w:snapToGrid w:val="0"/>
              <w:spacing w:after="120" w:line="276" w:lineRule="auto"/>
              <w:jc w:val="both"/>
              <w:rPr>
                <w:rFonts w:ascii="Verdana" w:eastAsia="Aptos" w:hAnsi="Verdana" w:cs="Times New Roman"/>
                <w:lang w:val="es-MX"/>
              </w:rPr>
            </w:pPr>
            <w:proofErr w:type="spellStart"/>
            <w:r w:rsidRPr="0007373A">
              <w:rPr>
                <w:rFonts w:ascii="Verdana" w:eastAsia="Calibri" w:hAnsi="Verdana" w:cs="Arial"/>
                <w:lang w:val="es-ES" w:eastAsia="es-ES" w:bidi="es-ES"/>
              </w:rPr>
              <w:t>ii</w:t>
            </w:r>
            <w:proofErr w:type="spellEnd"/>
            <w:r w:rsidRPr="0007373A">
              <w:rPr>
                <w:rFonts w:ascii="Verdana" w:eastAsia="Calibri" w:hAnsi="Verdana" w:cs="Arial"/>
                <w:lang w:val="es-ES" w:eastAsia="es-ES" w:bidi="es-ES"/>
              </w:rPr>
              <w:t>. Por otra parte, el numeral 1.15 del Documento Base prevé la causal U que sanciona con el rechazo de la oferta en el supuesto de “</w:t>
            </w:r>
            <w:r w:rsidRPr="0007373A">
              <w:rPr>
                <w:rFonts w:ascii="Verdana" w:eastAsia="Calibri" w:hAnsi="Verdana" w:cs="Arial"/>
                <w:lang w:val="es-MX"/>
              </w:rPr>
              <w:t>U.</w:t>
            </w:r>
            <w:r w:rsidRPr="0007373A">
              <w:rPr>
                <w:rFonts w:ascii="Verdana" w:eastAsia="Calibri" w:hAnsi="Verdana" w:cs="Arial"/>
                <w:i/>
                <w:iCs/>
                <w:lang w:val="es-ES" w:eastAsia="es-ES" w:bidi="es-ES"/>
              </w:rPr>
              <w:t xml:space="preserve"> Presentar más de una oferta económica con valores distintos en el Sobre 2.</w:t>
            </w:r>
            <w:r w:rsidRPr="0007373A">
              <w:rPr>
                <w:rFonts w:ascii="Verdana" w:eastAsia="Calibri" w:hAnsi="Verdana" w:cs="Arial"/>
                <w:lang w:val="es-ES" w:eastAsia="es-ES" w:bidi="es-ES"/>
              </w:rPr>
              <w:t>” En ese sentido, para que se configure la causal es necesario que, una vez abierto el sobre contentivo de la oferta económica, la entidad verifique que el proponente incluyó más de una oferta económica, y que las mismas tienen valores distintos. Conforme a esto, siendo la segunda hoja del Formulario 1 el documento mediante el cual se debe presentar la oferta económica, la causal claramente se configura en aquellos casos en que el proponente presente varios de estos documentos en el sobre No. 2, con valores discordantes.</w:t>
            </w:r>
          </w:p>
          <w:p w14:paraId="69E6B26F" w14:textId="77777777" w:rsidR="0007373A" w:rsidRPr="0007373A" w:rsidRDefault="0007373A" w:rsidP="0007373A">
            <w:pPr>
              <w:tabs>
                <w:tab w:val="left" w:pos="709"/>
              </w:tabs>
              <w:snapToGrid w:val="0"/>
              <w:spacing w:before="120" w:after="120" w:line="276" w:lineRule="auto"/>
              <w:ind w:firstLine="709"/>
              <w:jc w:val="both"/>
              <w:rPr>
                <w:rFonts w:ascii="Verdana" w:eastAsia="Calibri" w:hAnsi="Verdana" w:cs="Arial"/>
                <w:lang w:val="es-MX"/>
              </w:rPr>
            </w:pPr>
            <w:r w:rsidRPr="0007373A">
              <w:rPr>
                <w:rFonts w:ascii="Verdana" w:eastAsia="Calibri" w:hAnsi="Verdana" w:cs="Arial"/>
                <w:lang w:val="es-MX"/>
              </w:rPr>
              <w:lastRenderedPageBreak/>
              <w:t xml:space="preserve">Dado lo anterior, para que una oferta sea evaluada, en el marco de procesos de licitación de obra pública de infraestructura de transporte se requiere que la información incluida en el cuestionario de lista de precios de SECOP II coincida con la que figura en los documentos aportados como evidencia, so pena de aplicar la causal de rechazo contemplada en el literal U, pues, la discrepancia de valores entre el cuestionario y los documentos anexos configuraría el supuesto de hecho de presentar más de una oferta económica con valores distintos. </w:t>
            </w:r>
          </w:p>
          <w:p w14:paraId="525844F5" w14:textId="77777777" w:rsidR="0007373A" w:rsidRPr="0007373A" w:rsidRDefault="0007373A" w:rsidP="0007373A">
            <w:pPr>
              <w:snapToGrid w:val="0"/>
              <w:spacing w:after="120" w:line="276" w:lineRule="auto"/>
              <w:ind w:firstLine="709"/>
              <w:jc w:val="both"/>
              <w:rPr>
                <w:rFonts w:ascii="Verdana" w:eastAsia="Calibri" w:hAnsi="Verdana" w:cs="Arial"/>
                <w:lang w:val="es-MX"/>
              </w:rPr>
            </w:pPr>
            <w:r w:rsidRPr="0007373A">
              <w:rPr>
                <w:rFonts w:ascii="Verdana" w:eastAsia="Calibri" w:hAnsi="Verdana" w:cs="Arial"/>
                <w:lang w:val="es-MX"/>
              </w:rPr>
              <w:t xml:space="preserve">Lo anterior, sin perjuicio de lo señalado en párrafos precedentes sobre la interpretación de la </w:t>
            </w:r>
            <w:r w:rsidRPr="0007373A">
              <w:rPr>
                <w:rFonts w:ascii="Verdana" w:eastAsia="Calibri" w:hAnsi="Verdana" w:cs="Arial"/>
                <w:i/>
                <w:iCs/>
                <w:lang w:val="es-MX"/>
              </w:rPr>
              <w:t xml:space="preserve">Nota </w:t>
            </w:r>
            <w:r w:rsidRPr="0007373A">
              <w:rPr>
                <w:rFonts w:ascii="Verdana" w:eastAsia="Calibri" w:hAnsi="Verdana" w:cs="Arial"/>
                <w:lang w:val="es-MX"/>
              </w:rPr>
              <w:t>del numeral 2.3.2 del Documento Base sobre la prevalencia del valor de la oferta consignado en SECOP II,</w:t>
            </w:r>
          </w:p>
          <w:p w14:paraId="1F5A55C7" w14:textId="77777777" w:rsidR="0007373A" w:rsidRPr="0007373A" w:rsidRDefault="0007373A" w:rsidP="0007373A">
            <w:pPr>
              <w:snapToGrid w:val="0"/>
              <w:spacing w:after="120" w:line="276" w:lineRule="auto"/>
              <w:ind w:firstLine="709"/>
              <w:jc w:val="both"/>
              <w:rPr>
                <w:rFonts w:ascii="Verdana" w:eastAsia="Calibri" w:hAnsi="Verdana" w:cs="Arial"/>
                <w:lang w:val="es-ES" w:eastAsia="es-ES" w:bidi="es-ES"/>
              </w:rPr>
            </w:pPr>
            <w:r w:rsidRPr="0007373A">
              <w:rPr>
                <w:rFonts w:ascii="Verdana" w:eastAsia="Calibri" w:hAnsi="Verdana" w:cs="Arial"/>
                <w:lang w:val="es-ES" w:eastAsia="es-ES" w:bidi="es-ES"/>
              </w:rPr>
              <w:t xml:space="preserve">Finalmente, en atención a su consulta y a la regla de </w:t>
            </w:r>
            <w:proofErr w:type="spellStart"/>
            <w:r w:rsidRPr="0007373A">
              <w:rPr>
                <w:rFonts w:ascii="Verdana" w:eastAsia="Calibri" w:hAnsi="Verdana" w:cs="Arial"/>
                <w:lang w:val="es-ES" w:eastAsia="es-ES" w:bidi="es-ES"/>
              </w:rPr>
              <w:t>subsanbilidad</w:t>
            </w:r>
            <w:proofErr w:type="spellEnd"/>
            <w:r w:rsidRPr="0007373A">
              <w:rPr>
                <w:rFonts w:ascii="Verdana" w:eastAsia="Calibri" w:hAnsi="Verdana" w:cs="Arial"/>
                <w:lang w:val="es-ES" w:eastAsia="es-ES" w:bidi="es-ES"/>
              </w:rPr>
              <w:t xml:space="preserve"> desarrollada, es importante poner de presente que, el “Formulario 1 – Presupuesto Oficial” señala que este puede ser utilizado por la entidad para que el proponente presente la propuesta económica, </w:t>
            </w:r>
            <w:r w:rsidRPr="0007373A">
              <w:rPr>
                <w:rFonts w:ascii="Verdana" w:eastAsia="Calibri" w:hAnsi="Verdana" w:cs="Arial"/>
                <w:i/>
                <w:iCs/>
                <w:lang w:val="es-ES" w:eastAsia="es-ES" w:bidi="es-ES"/>
              </w:rPr>
              <w:t>“sin perjuicio que la entidad pueda modificarlo o establecer la presentación de la oferta económica con un formulario distinto al indicado”.</w:t>
            </w:r>
          </w:p>
          <w:p w14:paraId="679986E9" w14:textId="77777777" w:rsidR="0007373A" w:rsidRPr="0007373A" w:rsidRDefault="0007373A" w:rsidP="0007373A">
            <w:pPr>
              <w:snapToGrid w:val="0"/>
              <w:spacing w:after="120" w:line="276" w:lineRule="auto"/>
              <w:ind w:firstLine="709"/>
              <w:jc w:val="both"/>
              <w:rPr>
                <w:rFonts w:ascii="Verdana" w:eastAsia="Calibri" w:hAnsi="Verdana" w:cs="Arial"/>
                <w:color w:val="000000"/>
                <w:lang w:val="es-MX"/>
              </w:rPr>
            </w:pPr>
            <w:r w:rsidRPr="0007373A">
              <w:rPr>
                <w:rFonts w:ascii="Verdana" w:eastAsia="Calibri" w:hAnsi="Verdana" w:cs="Arial"/>
                <w:lang w:val="es-ES" w:eastAsia="es-ES" w:bidi="es-ES"/>
              </w:rPr>
              <w:t xml:space="preserve">Por esa razón, eventualmente un Formulario 1 no firmado podría ser válido, siempre y cuando la entidad así lo haya dispuesto de manera expresa. En caso contrario, la firma será necesaria, pero, en cualquier circunstancia, corresponde a la Entidad Estatal determinar la sustancialidad y/o incidencia de la falta de firma, dependiendo de si, por ejemplo, la oferta fue presentada a través del SECOP II por parte de un usuario que tiene o no la capacidad legal de obligar al proponente. </w:t>
            </w:r>
          </w:p>
        </w:tc>
      </w:tr>
    </w:tbl>
    <w:p w14:paraId="402021A5" w14:textId="77777777" w:rsidR="0007373A" w:rsidRPr="0007373A" w:rsidRDefault="0007373A" w:rsidP="0007373A">
      <w:pPr>
        <w:tabs>
          <w:tab w:val="left" w:pos="142"/>
          <w:tab w:val="left" w:pos="284"/>
        </w:tabs>
        <w:snapToGrid w:val="0"/>
        <w:spacing w:after="0" w:line="276" w:lineRule="auto"/>
        <w:jc w:val="both"/>
        <w:rPr>
          <w:rFonts w:ascii="Verdana" w:eastAsia="Century Gothic" w:hAnsi="Verdana" w:cs="Century Gothic"/>
          <w:b/>
          <w:bCs/>
          <w:lang w:val="es-ES_tradnl"/>
        </w:rPr>
      </w:pPr>
    </w:p>
    <w:p w14:paraId="2BB78C70" w14:textId="77777777" w:rsidR="0007373A" w:rsidRPr="0007373A" w:rsidRDefault="0007373A" w:rsidP="0007373A">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07373A">
        <w:rPr>
          <w:rFonts w:ascii="Verdana" w:eastAsia="Century Gothic" w:hAnsi="Verdana" w:cs="Century Gothic"/>
          <w:b/>
          <w:bCs/>
          <w:lang w:val="es-ES_tradnl"/>
        </w:rPr>
        <w:t>Razones de la respuesta:</w:t>
      </w:r>
    </w:p>
    <w:p w14:paraId="3B9361D4" w14:textId="77777777" w:rsidR="0007373A" w:rsidRPr="0007373A" w:rsidRDefault="0007373A" w:rsidP="0007373A">
      <w:pPr>
        <w:snapToGrid w:val="0"/>
        <w:spacing w:after="0" w:line="276" w:lineRule="auto"/>
        <w:jc w:val="both"/>
        <w:rPr>
          <w:rFonts w:ascii="Verdana" w:eastAsia="Calibri" w:hAnsi="Verdana" w:cs="Arial"/>
          <w:lang w:val="es-ES_tradnl"/>
        </w:rPr>
      </w:pPr>
    </w:p>
    <w:p w14:paraId="201CE440" w14:textId="77777777" w:rsidR="0007373A" w:rsidRPr="0007373A" w:rsidRDefault="0007373A" w:rsidP="0007373A">
      <w:pPr>
        <w:snapToGrid w:val="0"/>
        <w:spacing w:after="0" w:line="276" w:lineRule="auto"/>
        <w:jc w:val="both"/>
        <w:rPr>
          <w:rFonts w:ascii="Verdana" w:eastAsia="Calibri" w:hAnsi="Verdana" w:cs="Arial"/>
          <w:lang w:val="es-ES_tradnl"/>
        </w:rPr>
      </w:pPr>
      <w:r w:rsidRPr="0007373A">
        <w:rPr>
          <w:rFonts w:ascii="Verdana" w:eastAsia="Calibri" w:hAnsi="Verdana" w:cs="Arial"/>
          <w:lang w:val="es-ES_tradnl"/>
        </w:rPr>
        <w:t xml:space="preserve">Lo anterior se sustenta en las siguientes consideraciones: </w:t>
      </w:r>
    </w:p>
    <w:p w14:paraId="0F6D23C0" w14:textId="77777777" w:rsidR="0007373A" w:rsidRPr="0007373A" w:rsidRDefault="0007373A" w:rsidP="0007373A">
      <w:pPr>
        <w:snapToGrid w:val="0"/>
        <w:spacing w:after="0" w:line="276" w:lineRule="auto"/>
        <w:jc w:val="both"/>
        <w:rPr>
          <w:rFonts w:ascii="Verdana" w:eastAsia="Calibri" w:hAnsi="Verdana" w:cs="Arial"/>
          <w:lang w:val="es-ES_tradnl"/>
        </w:rPr>
      </w:pPr>
    </w:p>
    <w:p w14:paraId="69012E93" w14:textId="77777777" w:rsidR="0007373A" w:rsidRPr="0007373A" w:rsidRDefault="0007373A" w:rsidP="0007373A">
      <w:pPr>
        <w:snapToGrid w:val="0"/>
        <w:spacing w:after="120" w:line="276" w:lineRule="auto"/>
        <w:jc w:val="both"/>
        <w:rPr>
          <w:rFonts w:ascii="Verdana" w:eastAsia="Calibri" w:hAnsi="Verdana" w:cs="Arial"/>
          <w:lang w:val="es-ES_tradnl"/>
        </w:rPr>
      </w:pPr>
      <w:r w:rsidRPr="0007373A">
        <w:rPr>
          <w:rFonts w:ascii="Verdana" w:eastAsia="Calibri" w:hAnsi="Verdana" w:cs="Arial"/>
          <w:lang w:val="es-ES_tradnl"/>
        </w:rPr>
        <w:t xml:space="preserve">i. 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6D64B596" w14:textId="77777777" w:rsidR="0007373A" w:rsidRPr="0007373A" w:rsidRDefault="0007373A" w:rsidP="0007373A">
      <w:pPr>
        <w:snapToGrid w:val="0"/>
        <w:spacing w:after="120" w:line="276" w:lineRule="auto"/>
        <w:ind w:firstLine="709"/>
        <w:jc w:val="both"/>
        <w:rPr>
          <w:rFonts w:ascii="Verdana" w:eastAsia="Calibri" w:hAnsi="Verdana" w:cs="Arial"/>
          <w:lang w:val="es-ES"/>
        </w:rPr>
      </w:pPr>
      <w:r w:rsidRPr="0007373A">
        <w:rPr>
          <w:rFonts w:ascii="Verdana" w:eastAsia="Calibri" w:hAnsi="Verdana" w:cs="Arial"/>
          <w:lang w:val="es-ES"/>
        </w:rPr>
        <w:lastRenderedPageBreak/>
        <w:t>Para establecer si determinado objeto contractual se encuentra cobijado o no por los Documentos Tipo, es necesario establecer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4B9722D1" w14:textId="77777777" w:rsidR="0007373A" w:rsidRPr="0007373A" w:rsidRDefault="0007373A" w:rsidP="0007373A">
      <w:pPr>
        <w:snapToGrid w:val="0"/>
        <w:spacing w:after="120" w:line="276" w:lineRule="auto"/>
        <w:ind w:firstLine="709"/>
        <w:jc w:val="both"/>
        <w:rPr>
          <w:rFonts w:ascii="Verdana" w:eastAsia="Calibri" w:hAnsi="Verdana" w:cs="Arial"/>
          <w:lang w:val="es-ES_tradnl"/>
        </w:rPr>
      </w:pPr>
      <w:r w:rsidRPr="0007373A">
        <w:rPr>
          <w:rFonts w:ascii="Verdana" w:eastAsia="Calibri" w:hAnsi="Verdana" w:cs="Times New Roman"/>
          <w:lang w:val="es-ES_tradnl"/>
        </w:rPr>
        <w:t>Para el sector de infraestructura de transporte, la Agencia Nacional de Contratación Pública – Colombia Compra Eficiente ha expedido Documentos Tipo</w:t>
      </w:r>
      <w:r w:rsidRPr="0007373A">
        <w:rPr>
          <w:rFonts w:ascii="Verdana" w:eastAsia="Calibri" w:hAnsi="Verdana" w:cs="Times New Roman"/>
          <w:vertAlign w:val="superscript"/>
          <w:lang w:val="es-ES_tradnl"/>
        </w:rPr>
        <w:footnoteReference w:id="1"/>
      </w:r>
      <w:r w:rsidRPr="0007373A">
        <w:rPr>
          <w:rFonts w:ascii="Verdana" w:eastAsia="Calibri" w:hAnsi="Verdana" w:cs="Times New Roman"/>
          <w:lang w:val="es-ES_tradnl"/>
        </w:rPr>
        <w:t xml:space="preserve"> para contratar obras públicas de infraestructura de transporte bajo las modalidades de selección de licitación pública, selección abreviada de menor cuantía y mínima cuantía. Así mismo, esta Agencia ha expedido documentos tipo de concurso de méritos para contratar la interventoría y la consultoría de estudios de ingeniería de infraestructura de transporte. </w:t>
      </w:r>
    </w:p>
    <w:p w14:paraId="001F985A" w14:textId="77777777" w:rsidR="0007373A" w:rsidRPr="0007373A" w:rsidRDefault="0007373A" w:rsidP="0007373A">
      <w:pPr>
        <w:snapToGrid w:val="0"/>
        <w:spacing w:after="120" w:line="276" w:lineRule="auto"/>
        <w:ind w:firstLine="709"/>
        <w:jc w:val="both"/>
        <w:rPr>
          <w:rFonts w:ascii="Verdana" w:eastAsia="Calibri" w:hAnsi="Verdana" w:cs="Arial"/>
          <w:lang w:val="es-ES_tradnl"/>
        </w:rPr>
      </w:pPr>
      <w:r w:rsidRPr="0007373A">
        <w:rPr>
          <w:rFonts w:ascii="Verdana" w:eastAsia="Calibri" w:hAnsi="Verdana" w:cs="Arial"/>
          <w:lang w:val="es-ES_tradnl"/>
        </w:rPr>
        <w:t>Recientemente, esta Agencia expidió la Resolución No. 465 de 2024 “Por la cual se adopta la versión -4- de los Documentos Tipo para los procesos de selección de licitación de obra pública del sector de infraestructura de transporte y se deroga la Resolución 240 de 2020”. Estos documentos aplican a los procesos de selección de licitación de obra pública de infraestructura de transporte, cuyo aviso de convocatoria de publique a partir del 3 de febrero de 2025.</w:t>
      </w:r>
    </w:p>
    <w:p w14:paraId="572461CD" w14:textId="77777777" w:rsidR="0007373A" w:rsidRPr="0007373A" w:rsidRDefault="0007373A" w:rsidP="0007373A">
      <w:pPr>
        <w:snapToGrid w:val="0"/>
        <w:spacing w:after="120" w:line="276" w:lineRule="auto"/>
        <w:ind w:firstLine="709"/>
        <w:jc w:val="both"/>
        <w:rPr>
          <w:rFonts w:ascii="Verdana" w:eastAsia="Calibri" w:hAnsi="Verdana" w:cs="Arial"/>
          <w:kern w:val="2"/>
          <w:lang w:val="es-ES_tradnl" w:eastAsia="es-ES"/>
          <w14:ligatures w14:val="standardContextual"/>
        </w:rPr>
      </w:pPr>
      <w:r w:rsidRPr="0007373A">
        <w:rPr>
          <w:rFonts w:ascii="Verdana" w:eastAsia="Calibri" w:hAnsi="Verdana" w:cs="Arial"/>
          <w:kern w:val="2"/>
          <w:lang w:val="es-ES_tradnl" w:eastAsia="es-MX"/>
          <w14:ligatures w14:val="standardContextual"/>
        </w:rPr>
        <w:t xml:space="preserve">Ahora bien, los documentos tipo de infraestructura de transporte, contemplan el “Formulario 1 – Formulario de Presupuesto Oficial”, empleado por la entidad para elaborar y presentar el presupuesto oficial, y mediante el cual el proponente estructura la oferta económica. </w:t>
      </w:r>
    </w:p>
    <w:p w14:paraId="29C8DCA7" w14:textId="77777777" w:rsidR="0007373A" w:rsidRPr="0007373A" w:rsidRDefault="0007373A" w:rsidP="0007373A">
      <w:pPr>
        <w:snapToGrid w:val="0"/>
        <w:spacing w:after="120" w:line="276" w:lineRule="auto"/>
        <w:ind w:firstLine="709"/>
        <w:jc w:val="both"/>
        <w:rPr>
          <w:rFonts w:ascii="Verdana" w:eastAsia="Calibri" w:hAnsi="Verdana" w:cs="Arial"/>
          <w:kern w:val="2"/>
          <w:lang w:val="es-ES_tradnl" w:eastAsia="es-ES"/>
          <w14:ligatures w14:val="standardContextual"/>
        </w:rPr>
      </w:pPr>
      <w:r w:rsidRPr="0007373A">
        <w:rPr>
          <w:rFonts w:ascii="Verdana" w:eastAsia="Calibri" w:hAnsi="Verdana" w:cs="Arial"/>
          <w:kern w:val="2"/>
          <w:lang w:val="es-ES_tradnl" w:eastAsia="es-MX"/>
          <w14:ligatures w14:val="standardContextual"/>
        </w:rPr>
        <w:t>Este formulario lo prepara la entidad en la etapa de planeación y le permite definir el valor oficial estimado del proceso de contratación. Por tanto, las entidades estatales para su elaboración deben tener en cuenta diferentes variables</w:t>
      </w:r>
      <w:r w:rsidRPr="0007373A">
        <w:rPr>
          <w:rFonts w:ascii="Verdana" w:eastAsia="Aptos" w:hAnsi="Verdana" w:cs="Times New Roman"/>
          <w:kern w:val="2"/>
          <w:vertAlign w:val="superscript"/>
          <w:lang w:val="es-ES_tradnl" w:eastAsia="es-MX"/>
          <w14:ligatures w14:val="standardContextual"/>
        </w:rPr>
        <w:footnoteReference w:id="2"/>
      </w:r>
      <w:r w:rsidRPr="0007373A">
        <w:rPr>
          <w:rFonts w:ascii="Verdana" w:eastAsia="Calibri" w:hAnsi="Verdana" w:cs="Arial"/>
          <w:kern w:val="2"/>
          <w:lang w:val="es-ES_tradnl" w:eastAsia="es-MX"/>
          <w14:ligatures w14:val="standardContextual"/>
        </w:rPr>
        <w:t xml:space="preserve">, como el objeto, alcance, obras a ejecutar, actividades, cantidades, </w:t>
      </w:r>
      <w:r w:rsidRPr="0007373A">
        <w:rPr>
          <w:rFonts w:ascii="Verdana" w:eastAsia="Calibri" w:hAnsi="Verdana" w:cs="Arial"/>
          <w:kern w:val="2"/>
          <w:lang w:val="es-ES_tradnl" w:eastAsia="es-MX"/>
          <w14:ligatures w14:val="standardContextual"/>
        </w:rPr>
        <w:lastRenderedPageBreak/>
        <w:t>particularidades de la zona de ejecución del proyecto, disponibilidad y distancia de fuentes de materiales, entre otros.</w:t>
      </w:r>
    </w:p>
    <w:p w14:paraId="19C5B91A" w14:textId="77777777" w:rsidR="0007373A" w:rsidRPr="0007373A" w:rsidRDefault="0007373A" w:rsidP="0007373A">
      <w:pPr>
        <w:widowControl w:val="0"/>
        <w:autoSpaceDE w:val="0"/>
        <w:autoSpaceDN w:val="0"/>
        <w:snapToGrid w:val="0"/>
        <w:spacing w:after="120" w:line="276" w:lineRule="auto"/>
        <w:ind w:firstLine="709"/>
        <w:jc w:val="both"/>
        <w:rPr>
          <w:rFonts w:ascii="Verdana" w:eastAsia="Calibri" w:hAnsi="Verdana" w:cs="Arial"/>
          <w:kern w:val="2"/>
          <w:lang w:val="es-ES" w:eastAsia="es-MX"/>
          <w14:ligatures w14:val="standardContextual"/>
        </w:rPr>
      </w:pPr>
      <w:r w:rsidRPr="0007373A">
        <w:rPr>
          <w:rFonts w:ascii="Verdana" w:eastAsia="Calibri" w:hAnsi="Verdana" w:cs="Arial"/>
          <w:kern w:val="2"/>
          <w:lang w:val="es-ES" w:eastAsia="es-MX"/>
          <w14:ligatures w14:val="standardContextual"/>
        </w:rPr>
        <w:t xml:space="preserve">En los documentos tipo de obra de infraestructura de transporte, el “Formulario 1 – Formulario de Presupuesto Oficial” tiene dos connotaciones: i) por un lado, es el formulario sobre el cual la entidad estructura y presenta el presupuesto oficial del procedimiento de contratación; y </w:t>
      </w:r>
      <w:proofErr w:type="spellStart"/>
      <w:r w:rsidRPr="0007373A">
        <w:rPr>
          <w:rFonts w:ascii="Verdana" w:eastAsia="Calibri" w:hAnsi="Verdana" w:cs="Arial"/>
          <w:kern w:val="2"/>
          <w:lang w:val="es-ES" w:eastAsia="es-MX"/>
          <w14:ligatures w14:val="standardContextual"/>
        </w:rPr>
        <w:t>ii</w:t>
      </w:r>
      <w:proofErr w:type="spellEnd"/>
      <w:r w:rsidRPr="0007373A">
        <w:rPr>
          <w:rFonts w:ascii="Verdana" w:eastAsia="Calibri" w:hAnsi="Verdana" w:cs="Arial"/>
          <w:kern w:val="2"/>
          <w:lang w:val="es-ES" w:eastAsia="es-MX"/>
          <w14:ligatures w14:val="standardContextual"/>
        </w:rPr>
        <w:t>) por el otro, es el formulario sobre el cual los proponentes elaboran y presentan su oferta económica. Específicamente, frente a la propuesta económica, el documento base señala que la misma se debe elaborar a partir del “Formulario 1– Formulario de Presupuesto Oficial” y la presentación debe hacerse con sujeción a lo dispuesto en los numerales “2.3. ELABORACIÓN Y PRESENTACIÓN DE LA OFERTA” y “4.1. OFERTA ECONÓMICA” del referido documento base. El propósito de esto es evitar la duplicidad de información y permitir que las propuestas económicas sean evaluadas con las variables, cantidades, unidades de medida y reglas consideradas por la entidad al estructurar su presupuesto oficial.</w:t>
      </w:r>
    </w:p>
    <w:p w14:paraId="515AEA65" w14:textId="77777777" w:rsidR="0007373A" w:rsidRPr="0007373A" w:rsidRDefault="0007373A" w:rsidP="0007373A">
      <w:pPr>
        <w:widowControl w:val="0"/>
        <w:autoSpaceDE w:val="0"/>
        <w:autoSpaceDN w:val="0"/>
        <w:snapToGrid w:val="0"/>
        <w:spacing w:after="120" w:line="276" w:lineRule="auto"/>
        <w:ind w:firstLine="709"/>
        <w:jc w:val="both"/>
        <w:rPr>
          <w:rFonts w:ascii="Verdana" w:eastAsia="Arial" w:hAnsi="Verdana" w:cs="Arial"/>
          <w:kern w:val="2"/>
          <w:lang w:val="es-ES" w:eastAsia="es-ES" w:bidi="es-ES"/>
          <w14:ligatures w14:val="standardContextual"/>
        </w:rPr>
      </w:pPr>
      <w:r w:rsidRPr="0007373A">
        <w:rPr>
          <w:rFonts w:ascii="Verdana" w:eastAsia="Arial" w:hAnsi="Verdana" w:cs="Arial"/>
          <w:kern w:val="2"/>
          <w:lang w:val="es-ES" w:eastAsia="es-ES" w:bidi="es-ES"/>
          <w14:ligatures w14:val="standardContextual"/>
        </w:rPr>
        <w:t xml:space="preserve">En ese contexto, se tiene que, en la primera hoja del Formulario 1, que corresponde al presupuesto oficial, la entidad debe enlistar los </w:t>
      </w:r>
      <w:r w:rsidRPr="0007373A">
        <w:rPr>
          <w:rFonts w:ascii="Verdana" w:eastAsia="Arial" w:hAnsi="Verdana" w:cs="Arial"/>
          <w:i/>
          <w:iCs/>
          <w:kern w:val="2"/>
          <w:lang w:val="es-ES" w:eastAsia="es-ES" w:bidi="es-ES"/>
          <w14:ligatures w14:val="standardContextual"/>
        </w:rPr>
        <w:t xml:space="preserve">ítems de pago </w:t>
      </w:r>
      <w:r w:rsidRPr="0007373A">
        <w:rPr>
          <w:rFonts w:ascii="Verdana" w:eastAsia="Arial" w:hAnsi="Verdana" w:cs="Arial"/>
          <w:kern w:val="2"/>
          <w:lang w:val="es-ES" w:eastAsia="es-ES" w:bidi="es-ES"/>
          <w14:ligatures w14:val="standardContextual"/>
        </w:rPr>
        <w:t xml:space="preserve">de los bienes, obras o servicios que se requieren para la ejecución de la obra pública de infraestructura de transporte. Además, es posible establecer: i) sus especificaciones generales y particulares, </w:t>
      </w:r>
      <w:proofErr w:type="spellStart"/>
      <w:r w:rsidRPr="0007373A">
        <w:rPr>
          <w:rFonts w:ascii="Verdana" w:eastAsia="Arial" w:hAnsi="Verdana" w:cs="Arial"/>
          <w:kern w:val="2"/>
          <w:lang w:val="es-ES" w:eastAsia="es-ES" w:bidi="es-ES"/>
          <w14:ligatures w14:val="standardContextual"/>
        </w:rPr>
        <w:t>ii</w:t>
      </w:r>
      <w:proofErr w:type="spellEnd"/>
      <w:r w:rsidRPr="0007373A">
        <w:rPr>
          <w:rFonts w:ascii="Verdana" w:eastAsia="Arial" w:hAnsi="Verdana" w:cs="Arial"/>
          <w:kern w:val="2"/>
          <w:lang w:val="es-ES" w:eastAsia="es-ES" w:bidi="es-ES"/>
          <w14:ligatures w14:val="standardContextual"/>
        </w:rPr>
        <w:t xml:space="preserve">) la descripción, </w:t>
      </w:r>
      <w:proofErr w:type="spellStart"/>
      <w:r w:rsidRPr="0007373A">
        <w:rPr>
          <w:rFonts w:ascii="Verdana" w:eastAsia="Arial" w:hAnsi="Verdana" w:cs="Arial"/>
          <w:kern w:val="2"/>
          <w:lang w:val="es-ES" w:eastAsia="es-ES" w:bidi="es-ES"/>
          <w14:ligatures w14:val="standardContextual"/>
        </w:rPr>
        <w:t>iii</w:t>
      </w:r>
      <w:proofErr w:type="spellEnd"/>
      <w:r w:rsidRPr="0007373A">
        <w:rPr>
          <w:rFonts w:ascii="Verdana" w:eastAsia="Arial" w:hAnsi="Verdana" w:cs="Arial"/>
          <w:kern w:val="2"/>
          <w:lang w:val="es-ES" w:eastAsia="es-ES" w:bidi="es-ES"/>
          <w14:ligatures w14:val="standardContextual"/>
        </w:rPr>
        <w:t xml:space="preserve">) la unidad de medida, </w:t>
      </w:r>
      <w:proofErr w:type="spellStart"/>
      <w:r w:rsidRPr="0007373A">
        <w:rPr>
          <w:rFonts w:ascii="Verdana" w:eastAsia="Arial" w:hAnsi="Verdana" w:cs="Arial"/>
          <w:kern w:val="2"/>
          <w:lang w:val="es-ES" w:eastAsia="es-ES" w:bidi="es-ES"/>
          <w14:ligatures w14:val="standardContextual"/>
        </w:rPr>
        <w:t>iv</w:t>
      </w:r>
      <w:proofErr w:type="spellEnd"/>
      <w:r w:rsidRPr="0007373A">
        <w:rPr>
          <w:rFonts w:ascii="Verdana" w:eastAsia="Arial" w:hAnsi="Verdana" w:cs="Arial"/>
          <w:kern w:val="2"/>
          <w:lang w:val="es-ES" w:eastAsia="es-ES" w:bidi="es-ES"/>
          <w14:ligatures w14:val="standardContextual"/>
        </w:rPr>
        <w:t xml:space="preserve">) la cantidad, v) el valor unitario y vi) el valor total de los </w:t>
      </w:r>
      <w:r w:rsidRPr="0007373A">
        <w:rPr>
          <w:rFonts w:ascii="Verdana" w:eastAsia="Arial" w:hAnsi="Verdana" w:cs="Arial"/>
          <w:i/>
          <w:iCs/>
          <w:kern w:val="2"/>
          <w:lang w:val="es-ES" w:eastAsia="es-ES" w:bidi="es-ES"/>
          <w14:ligatures w14:val="standardContextual"/>
        </w:rPr>
        <w:t>ítems.</w:t>
      </w:r>
    </w:p>
    <w:p w14:paraId="27DEF744" w14:textId="77777777" w:rsidR="0007373A" w:rsidRPr="0007373A" w:rsidRDefault="0007373A" w:rsidP="0007373A">
      <w:pPr>
        <w:widowControl w:val="0"/>
        <w:autoSpaceDE w:val="0"/>
        <w:autoSpaceDN w:val="0"/>
        <w:snapToGrid w:val="0"/>
        <w:spacing w:after="120" w:line="276" w:lineRule="auto"/>
        <w:ind w:firstLine="709"/>
        <w:jc w:val="both"/>
        <w:rPr>
          <w:rFonts w:ascii="Verdana" w:eastAsia="Arial" w:hAnsi="Verdana" w:cs="Arial"/>
          <w:iCs/>
          <w:kern w:val="2"/>
          <w:lang w:val="es-ES_tradnl" w:eastAsia="es-ES" w:bidi="es-ES"/>
          <w14:ligatures w14:val="standardContextual"/>
        </w:rPr>
      </w:pPr>
      <w:r w:rsidRPr="0007373A">
        <w:rPr>
          <w:rFonts w:ascii="Verdana" w:eastAsia="Calibri" w:hAnsi="Verdana" w:cs="Arial"/>
          <w:kern w:val="2"/>
          <w:lang w:val="es-ES_tradnl" w:eastAsia="es-MX"/>
          <w14:ligatures w14:val="standardContextual"/>
        </w:rPr>
        <w:t xml:space="preserve">Teniendo en cuenta el objeto de su consulta, es importante señalar que, el numeral “2.3. ELABORACIÓN Y PRESENTACIÓN DE LA OFERTA” del documento base de los documentos tipo en comento, contiene una </w:t>
      </w:r>
      <w:r w:rsidRPr="0007373A">
        <w:rPr>
          <w:rFonts w:ascii="Verdana" w:eastAsia="Calibri" w:hAnsi="Verdana" w:cs="Arial"/>
          <w:i/>
          <w:iCs/>
          <w:kern w:val="2"/>
          <w:lang w:val="es-ES_tradnl" w:eastAsia="es-MX"/>
          <w14:ligatures w14:val="standardContextual"/>
        </w:rPr>
        <w:t>Nota,</w:t>
      </w:r>
      <w:r w:rsidRPr="0007373A">
        <w:rPr>
          <w:rFonts w:ascii="Verdana" w:eastAsia="Calibri" w:hAnsi="Verdana" w:cs="Arial"/>
          <w:kern w:val="2"/>
          <w:lang w:val="es-ES_tradnl" w:eastAsia="es-MX"/>
          <w14:ligatures w14:val="standardContextual"/>
        </w:rPr>
        <w:t xml:space="preserve"> que establece que, </w:t>
      </w:r>
      <w:r w:rsidRPr="0007373A">
        <w:rPr>
          <w:rFonts w:ascii="Verdana" w:eastAsia="Calibri" w:hAnsi="Verdana" w:cs="Arial"/>
          <w:i/>
          <w:iCs/>
          <w:kern w:val="2"/>
          <w:lang w:val="es-ES_tradnl" w:eastAsia="es-MX"/>
          <w14:ligatures w14:val="standardContextual"/>
        </w:rPr>
        <w:t>“[e]n caso de discrepancias entre los valores señalados en el Formulario 1 – Formulario de Presupuesto Oficial y el valor presentado en el SECOP II, prevalecerá el valor presentado en el SECOP II.”</w:t>
      </w:r>
    </w:p>
    <w:p w14:paraId="2FC0A5A0" w14:textId="77777777" w:rsidR="0007373A" w:rsidRPr="0007373A" w:rsidRDefault="0007373A" w:rsidP="0007373A">
      <w:pPr>
        <w:snapToGrid w:val="0"/>
        <w:spacing w:after="120" w:line="276" w:lineRule="auto"/>
        <w:ind w:firstLine="709"/>
        <w:jc w:val="both"/>
        <w:rPr>
          <w:rFonts w:ascii="Verdana" w:eastAsia="Calibri" w:hAnsi="Verdana" w:cs="Arial"/>
          <w:lang w:val="es-ES_tradnl"/>
        </w:rPr>
      </w:pPr>
      <w:r w:rsidRPr="0007373A">
        <w:rPr>
          <w:rFonts w:ascii="Verdana" w:eastAsia="Calibri" w:hAnsi="Verdana" w:cs="Arial"/>
          <w:lang w:val="es-ES_tradnl"/>
        </w:rPr>
        <w:t>Al respecto, debe advertirse que, indistintamente de los valores que figuren en el Formulario 1 y el SECOP II, prevalecerán los consignados en el SECOP II.</w:t>
      </w:r>
    </w:p>
    <w:p w14:paraId="0C9EAE44" w14:textId="77777777" w:rsidR="0007373A" w:rsidRPr="0007373A" w:rsidRDefault="0007373A" w:rsidP="0007373A">
      <w:pPr>
        <w:snapToGrid w:val="0"/>
        <w:spacing w:after="120" w:line="276" w:lineRule="auto"/>
        <w:ind w:firstLine="709"/>
        <w:jc w:val="both"/>
        <w:rPr>
          <w:rFonts w:ascii="Verdana" w:eastAsia="Calibri" w:hAnsi="Verdana" w:cs="Arial"/>
          <w:lang w:val="es-ES"/>
        </w:rPr>
      </w:pPr>
      <w:r w:rsidRPr="0007373A">
        <w:rPr>
          <w:rFonts w:ascii="Verdana" w:eastAsia="Calibri" w:hAnsi="Verdana" w:cs="Arial"/>
          <w:lang w:val="es-ES"/>
        </w:rPr>
        <w:t>Por lo tanto, cuando este tipo de situaciones se presenten en desarrollo de procesos de contratación, corresponderá a las entidades estatales, en el marco de su autonomía, adelantar las acciones procedentes y necesarias, con el fin hacer prevalecer los valores de la oferta contemplados en el SECOP II y continuar con el desarrollo del proceso, conforme al régimen jurídico aplicable.</w:t>
      </w:r>
    </w:p>
    <w:p w14:paraId="3E901097" w14:textId="77777777" w:rsidR="0007373A" w:rsidRPr="0007373A" w:rsidRDefault="0007373A" w:rsidP="0007373A">
      <w:pPr>
        <w:snapToGrid w:val="0"/>
        <w:spacing w:after="120" w:line="276" w:lineRule="auto"/>
        <w:ind w:firstLine="709"/>
        <w:jc w:val="both"/>
        <w:rPr>
          <w:rFonts w:ascii="Verdana" w:eastAsia="Calibri" w:hAnsi="Verdana" w:cs="Arial"/>
          <w:lang w:val="es-ES"/>
        </w:rPr>
      </w:pPr>
      <w:r w:rsidRPr="0007373A">
        <w:rPr>
          <w:rFonts w:ascii="Verdana" w:eastAsia="Calibri" w:hAnsi="Verdana" w:cs="Arial"/>
          <w:lang w:val="es-ES"/>
        </w:rPr>
        <w:lastRenderedPageBreak/>
        <w:t xml:space="preserve">En todo caso, debe advertirse que, la precitada </w:t>
      </w:r>
      <w:r w:rsidRPr="0007373A">
        <w:rPr>
          <w:rFonts w:ascii="Verdana" w:eastAsia="Calibri" w:hAnsi="Verdana" w:cs="Arial"/>
          <w:i/>
          <w:iCs/>
          <w:lang w:val="es-ES"/>
        </w:rPr>
        <w:t xml:space="preserve">Nota </w:t>
      </w:r>
      <w:r w:rsidRPr="0007373A">
        <w:rPr>
          <w:rFonts w:ascii="Verdana" w:eastAsia="Calibri" w:hAnsi="Verdana" w:cs="Arial"/>
          <w:lang w:val="es-ES"/>
        </w:rPr>
        <w:t xml:space="preserve">debe ser entendida respecto al valor total consignado en el Formulario 1 y aquel presentado en SECOP II. De esta manera, lo importante será que ambos valores totales coincidan –tanto el del Formulario 1 como el del SECOP II– cuando, conforme al proceso de contratación, la entidad solicite lo mismo, so pena de que prevalezca el valor señalado en SECOP II.  </w:t>
      </w:r>
    </w:p>
    <w:p w14:paraId="37D938F0" w14:textId="77777777" w:rsidR="0007373A" w:rsidRPr="0007373A" w:rsidRDefault="0007373A" w:rsidP="0007373A">
      <w:pPr>
        <w:snapToGrid w:val="0"/>
        <w:spacing w:after="120" w:line="276" w:lineRule="auto"/>
        <w:ind w:firstLine="709"/>
        <w:jc w:val="both"/>
        <w:rPr>
          <w:rFonts w:ascii="Verdana" w:eastAsia="Calibri" w:hAnsi="Verdana" w:cs="Arial"/>
          <w:lang w:val="es-ES"/>
        </w:rPr>
      </w:pPr>
      <w:r w:rsidRPr="0007373A">
        <w:rPr>
          <w:rFonts w:ascii="Verdana" w:eastAsia="Calibri" w:hAnsi="Verdana" w:cs="Arial"/>
          <w:lang w:val="es-ES"/>
        </w:rPr>
        <w:t xml:space="preserve">Por el contrario, en los casos en que no se solicite lo mismo, la entidad deberá definir, desde el principio, a qué le dará preferencia, esto es, si a los valores del SECOP II o del Formulario 1. </w:t>
      </w:r>
    </w:p>
    <w:p w14:paraId="236A1EFD" w14:textId="77777777" w:rsidR="0007373A" w:rsidRPr="0007373A" w:rsidRDefault="0007373A" w:rsidP="0007373A">
      <w:pPr>
        <w:snapToGrid w:val="0"/>
        <w:spacing w:after="120" w:line="276" w:lineRule="auto"/>
        <w:ind w:firstLine="709"/>
        <w:jc w:val="both"/>
        <w:rPr>
          <w:rFonts w:ascii="Verdana" w:eastAsia="Calibri" w:hAnsi="Verdana" w:cs="Arial"/>
          <w:lang w:val="es-ES"/>
        </w:rPr>
      </w:pPr>
      <w:r w:rsidRPr="0007373A">
        <w:rPr>
          <w:rFonts w:ascii="Verdana" w:eastAsia="Calibri" w:hAnsi="Verdana" w:cs="Arial"/>
          <w:lang w:val="es-ES"/>
        </w:rPr>
        <w:t>Ahora bien, es importante precisar que</w:t>
      </w:r>
      <w:r w:rsidRPr="0007373A">
        <w:rPr>
          <w:rFonts w:ascii="Verdana" w:eastAsia="Times New Roman" w:hAnsi="Verdana" w:cs="Arial"/>
          <w:kern w:val="2"/>
          <w:lang w:val="es-ES" w:eastAsia="es-CO"/>
          <w14:ligatures w14:val="standardContextual"/>
        </w:rPr>
        <w:t xml:space="preserve"> el numeral 4.1.4 del documento base establece que el día de la audiencia efectiva de adjudicación, la entidad responderá y resolverá las observaciones presentadas al informe de evaluación y dará apertura de las ofertas económicas contenidas en los sobres No. 2. Además, “[…] verificará, si procede, determinará las correcciones aritméticas y solicitará la justificación de precios artificialmente bajos a que haya lugar, si es necesario, la entidad se pronunciará sobre las ofertas requeridas en los términos del numeral 4.1.3”.</w:t>
      </w:r>
    </w:p>
    <w:p w14:paraId="3933948C" w14:textId="77777777" w:rsidR="0007373A" w:rsidRPr="0007373A" w:rsidRDefault="0007373A" w:rsidP="0007373A">
      <w:pPr>
        <w:snapToGrid w:val="0"/>
        <w:spacing w:after="0" w:line="276" w:lineRule="auto"/>
        <w:ind w:firstLine="709"/>
        <w:rPr>
          <w:rFonts w:ascii="Verdana" w:eastAsia="Aptos" w:hAnsi="Verdana" w:cs="Times New Roman"/>
          <w:kern w:val="2"/>
          <w:lang w:val="es-MX"/>
          <w14:ligatures w14:val="standardContextual"/>
        </w:rPr>
      </w:pPr>
      <w:r w:rsidRPr="0007373A">
        <w:rPr>
          <w:rFonts w:ascii="Verdana" w:eastAsia="Times New Roman" w:hAnsi="Verdana" w:cs="Arial"/>
          <w:kern w:val="2"/>
          <w:lang w:val="es-ES" w:eastAsia="es-CO"/>
          <w14:ligatures w14:val="standardContextual"/>
        </w:rPr>
        <w:t xml:space="preserve">Hay que señalar que, conforme al numeral 4.1.2 del documento base, </w:t>
      </w:r>
      <w:r w:rsidRPr="0007373A">
        <w:rPr>
          <w:rFonts w:ascii="Verdana" w:eastAsia="Aptos" w:hAnsi="Verdana" w:cs="Times New Roman"/>
          <w:kern w:val="2"/>
          <w:lang w:val="es-MX"/>
          <w14:ligatures w14:val="standardContextual"/>
        </w:rPr>
        <w:t>la Entidad solo efectuará correcciones aritméticas originadas por:</w:t>
      </w:r>
    </w:p>
    <w:p w14:paraId="0AD68106" w14:textId="77777777" w:rsidR="0007373A" w:rsidRPr="0007373A" w:rsidRDefault="0007373A" w:rsidP="0007373A">
      <w:pPr>
        <w:snapToGrid w:val="0"/>
        <w:spacing w:after="0" w:line="276" w:lineRule="auto"/>
        <w:ind w:firstLine="709"/>
        <w:rPr>
          <w:rFonts w:ascii="Verdana" w:eastAsia="Aptos" w:hAnsi="Verdana" w:cs="Times New Roman"/>
          <w:kern w:val="2"/>
          <w:sz w:val="24"/>
          <w:szCs w:val="24"/>
          <w:lang w:val="es-MX"/>
          <w14:ligatures w14:val="standardContextual"/>
        </w:rPr>
      </w:pPr>
    </w:p>
    <w:p w14:paraId="62208590" w14:textId="77777777" w:rsidR="0007373A" w:rsidRPr="0007373A" w:rsidRDefault="0007373A" w:rsidP="0007373A">
      <w:pPr>
        <w:spacing w:after="0" w:line="240" w:lineRule="auto"/>
        <w:ind w:left="709" w:right="709"/>
        <w:jc w:val="both"/>
        <w:rPr>
          <w:rFonts w:ascii="Verdana" w:eastAsia="Aptos" w:hAnsi="Verdana" w:cs="Arial"/>
          <w:kern w:val="2"/>
          <w:sz w:val="21"/>
          <w:szCs w:val="21"/>
          <w:lang w:val="es-ES_tradnl"/>
          <w14:ligatures w14:val="standardContextual"/>
        </w:rPr>
      </w:pPr>
      <w:r w:rsidRPr="0007373A">
        <w:rPr>
          <w:rFonts w:ascii="Verdana" w:eastAsia="Aptos" w:hAnsi="Verdana" w:cs="Times New Roman"/>
          <w:kern w:val="2"/>
          <w:sz w:val="21"/>
          <w:szCs w:val="21"/>
          <w:lang w:val="es-MX"/>
          <w14:ligatures w14:val="standardContextual"/>
        </w:rPr>
        <w:t xml:space="preserve">“A. Las </w:t>
      </w:r>
      <w:r w:rsidRPr="0007373A">
        <w:rPr>
          <w:rFonts w:ascii="Verdana" w:eastAsia="Aptos" w:hAnsi="Verdana" w:cs="Arial"/>
          <w:kern w:val="2"/>
          <w:sz w:val="21"/>
          <w:szCs w:val="21"/>
          <w:lang w:val="es-ES_tradnl"/>
          <w14:ligatures w14:val="standardContextual"/>
        </w:rPr>
        <w:t>operaciones aritméticas a que haya lugar en la propuesta económica, cuando exista un error que surja de un cálculo meramente aritmético cuando la operación ha sido erróneamente realizada. </w:t>
      </w:r>
    </w:p>
    <w:p w14:paraId="14B0E2F8" w14:textId="77777777" w:rsidR="0007373A" w:rsidRPr="0007373A" w:rsidRDefault="0007373A" w:rsidP="0007373A">
      <w:pPr>
        <w:spacing w:after="0" w:line="240" w:lineRule="auto"/>
        <w:ind w:left="709" w:right="709"/>
        <w:jc w:val="both"/>
        <w:rPr>
          <w:rFonts w:ascii="Verdana" w:eastAsia="Aptos" w:hAnsi="Verdana" w:cs="Arial"/>
          <w:kern w:val="2"/>
          <w:sz w:val="21"/>
          <w:szCs w:val="21"/>
          <w:lang w:val="es-MX"/>
          <w14:ligatures w14:val="standardContextual"/>
        </w:rPr>
      </w:pPr>
    </w:p>
    <w:p w14:paraId="61000F05" w14:textId="77777777" w:rsidR="0007373A" w:rsidRPr="0007373A" w:rsidRDefault="0007373A" w:rsidP="0007373A">
      <w:pPr>
        <w:snapToGrid w:val="0"/>
        <w:spacing w:after="0" w:line="240" w:lineRule="auto"/>
        <w:ind w:left="709" w:right="709"/>
        <w:jc w:val="both"/>
        <w:rPr>
          <w:rFonts w:ascii="Verdana" w:eastAsia="Aptos" w:hAnsi="Verdana" w:cs="Arial"/>
          <w:i/>
          <w:iCs/>
          <w:kern w:val="2"/>
          <w:sz w:val="21"/>
          <w:szCs w:val="21"/>
          <w:lang w:val="es-ES_tradnl"/>
          <w14:ligatures w14:val="standardContextual"/>
        </w:rPr>
      </w:pPr>
      <w:r w:rsidRPr="0007373A">
        <w:rPr>
          <w:rFonts w:ascii="Verdana" w:eastAsia="Aptos" w:hAnsi="Verdana" w:cs="Times New Roman"/>
          <w:kern w:val="2"/>
          <w:sz w:val="21"/>
          <w:szCs w:val="21"/>
          <w:lang w:val="es-MX"/>
          <w14:ligatures w14:val="standardContextual"/>
        </w:rPr>
        <w:t xml:space="preserve">B. El ajuste </w:t>
      </w:r>
      <w:r w:rsidRPr="0007373A">
        <w:rPr>
          <w:rFonts w:ascii="Verdana" w:eastAsia="Aptos" w:hAnsi="Verdana" w:cs="Arial"/>
          <w:kern w:val="2"/>
          <w:sz w:val="21"/>
          <w:szCs w:val="21"/>
          <w:lang w:val="es-ES_tradnl"/>
          <w14:ligatures w14:val="standardContextual"/>
        </w:rPr>
        <w:t>ajuste al peso ya sea por exceso o por defecto de los precios unitarios contenidos en la propuesta económica y del valor del IVA, así: cuando la fracción decimal del peso sea igual o superior a punto cinco (0.5) se aproximará por exceso al número entero siguiente del peso y cuando la fracción decimal del peso sea inferior a punto cinco (0.5) se aproximará por defecto al número entero.”</w:t>
      </w:r>
      <w:r w:rsidRPr="0007373A">
        <w:rPr>
          <w:rFonts w:ascii="Verdana" w:eastAsia="Aptos" w:hAnsi="Verdana" w:cs="Arial"/>
          <w:i/>
          <w:iCs/>
          <w:kern w:val="2"/>
          <w:sz w:val="21"/>
          <w:szCs w:val="21"/>
          <w:lang w:val="es-ES_tradnl"/>
          <w14:ligatures w14:val="standardContextual"/>
        </w:rPr>
        <w:t> </w:t>
      </w:r>
    </w:p>
    <w:p w14:paraId="5A4D253B" w14:textId="77777777" w:rsidR="0007373A" w:rsidRPr="0007373A" w:rsidRDefault="0007373A" w:rsidP="0007373A">
      <w:pPr>
        <w:snapToGrid w:val="0"/>
        <w:spacing w:after="0" w:line="240" w:lineRule="auto"/>
        <w:ind w:left="709" w:right="709"/>
        <w:jc w:val="both"/>
        <w:rPr>
          <w:rFonts w:ascii="Verdana" w:eastAsia="Aptos" w:hAnsi="Verdana" w:cs="Times New Roman"/>
          <w:kern w:val="2"/>
          <w:sz w:val="24"/>
          <w:szCs w:val="24"/>
          <w:lang w:val="es-MX"/>
          <w14:ligatures w14:val="standardContextual"/>
        </w:rPr>
      </w:pPr>
    </w:p>
    <w:p w14:paraId="5C9A3048" w14:textId="77777777" w:rsidR="0007373A" w:rsidRPr="0007373A" w:rsidRDefault="0007373A" w:rsidP="0007373A">
      <w:pPr>
        <w:snapToGrid w:val="0"/>
        <w:spacing w:after="120" w:line="276" w:lineRule="auto"/>
        <w:ind w:firstLine="709"/>
        <w:jc w:val="both"/>
        <w:rPr>
          <w:rFonts w:ascii="Verdana" w:eastAsia="Aptos" w:hAnsi="Verdana" w:cs="Times New Roman"/>
          <w:kern w:val="2"/>
          <w:lang w:val="es-MX"/>
          <w14:ligatures w14:val="standardContextual"/>
        </w:rPr>
      </w:pPr>
      <w:r w:rsidRPr="0007373A">
        <w:rPr>
          <w:rFonts w:ascii="Verdana" w:eastAsia="Aptos" w:hAnsi="Verdana" w:cs="Times New Roman"/>
          <w:kern w:val="2"/>
          <w:lang w:val="es-MX"/>
          <w14:ligatures w14:val="standardContextual"/>
        </w:rPr>
        <w:t>Así, la Entidad a partir del valor total corregido de las propuestas asignará el puntaje de conformidad con el proceso del numeral 4.1.4. A su vez, para evaluar la oferta económica, la Entidad tendrá en cuenta el valor total indicado en la propuesta económica o el obtenido de la corrección aritmética en alguno de los dos supuestos referidos en el numeral 4.1.2.</w:t>
      </w:r>
    </w:p>
    <w:p w14:paraId="223B30EB" w14:textId="77777777" w:rsidR="0007373A" w:rsidRPr="0007373A" w:rsidRDefault="0007373A" w:rsidP="0007373A">
      <w:pPr>
        <w:snapToGrid w:val="0"/>
        <w:spacing w:after="0" w:line="276" w:lineRule="auto"/>
        <w:ind w:firstLine="709"/>
        <w:jc w:val="both"/>
        <w:rPr>
          <w:rFonts w:ascii="Verdana" w:eastAsia="Aptos" w:hAnsi="Verdana" w:cs="Times New Roman"/>
          <w:kern w:val="2"/>
          <w:lang w:val="es-MX"/>
          <w14:ligatures w14:val="standardContextual"/>
        </w:rPr>
      </w:pPr>
      <w:r w:rsidRPr="00654499">
        <w:rPr>
          <w:rFonts w:ascii="Verdana" w:eastAsia="Aptos" w:hAnsi="Verdana" w:cs="Times New Roman"/>
          <w:kern w:val="2"/>
          <w:lang w:val="es-MX"/>
          <w14:ligatures w14:val="standardContextual"/>
        </w:rPr>
        <w:lastRenderedPageBreak/>
        <w:t>Por lo tanto, el valor que la Entidad Estatal debe tener en cuenta y que prevalece cuando se haya efectuado una corrección aritmética, será, en todo caso, el que resulte de esta operación, en alguno de los dos (2) supuestos del citado numeral 4.1.2 del documento base.</w:t>
      </w:r>
      <w:bookmarkStart w:id="1" w:name="_Hlk118970363"/>
    </w:p>
    <w:p w14:paraId="53D07D63" w14:textId="77777777" w:rsidR="0007373A" w:rsidRPr="0007373A" w:rsidRDefault="0007373A" w:rsidP="0007373A">
      <w:pPr>
        <w:snapToGrid w:val="0"/>
        <w:spacing w:after="0" w:line="276" w:lineRule="auto"/>
        <w:jc w:val="both"/>
        <w:rPr>
          <w:rFonts w:ascii="Verdana" w:eastAsia="Aptos" w:hAnsi="Verdana" w:cs="Times New Roman"/>
          <w:kern w:val="2"/>
          <w:lang w:val="es-MX"/>
          <w14:ligatures w14:val="standardContextual"/>
        </w:rPr>
      </w:pPr>
    </w:p>
    <w:p w14:paraId="00672CE4" w14:textId="77777777" w:rsidR="0007373A" w:rsidRPr="0007373A" w:rsidRDefault="0007373A" w:rsidP="0007373A">
      <w:pPr>
        <w:snapToGrid w:val="0"/>
        <w:spacing w:after="120" w:line="276" w:lineRule="auto"/>
        <w:jc w:val="both"/>
        <w:rPr>
          <w:rFonts w:ascii="Verdana" w:eastAsia="Aptos" w:hAnsi="Verdana" w:cs="Times New Roman"/>
          <w:kern w:val="2"/>
          <w:lang w:val="es-MX"/>
          <w14:ligatures w14:val="standardContextual"/>
        </w:rPr>
      </w:pPr>
      <w:r w:rsidRPr="0007373A">
        <w:rPr>
          <w:rFonts w:ascii="Verdana" w:eastAsia="Aptos" w:hAnsi="Verdana" w:cs="Times New Roman"/>
          <w:kern w:val="2"/>
          <w:lang w:val="es-MX"/>
          <w14:ligatures w14:val="standardContextual"/>
        </w:rPr>
        <w:t xml:space="preserve">ii. </w:t>
      </w:r>
      <w:r w:rsidRPr="0007373A">
        <w:rPr>
          <w:rFonts w:ascii="Verdana" w:eastAsia="Calibri" w:hAnsi="Verdana" w:cs="Arial"/>
          <w:kern w:val="2"/>
          <w:lang w:val="es-MX"/>
          <w14:ligatures w14:val="standardContextual"/>
        </w:rPr>
        <w:t>Por otra parte, teniendo en cuenta que la consulta se relaciona con la oferta económica, es necesario mencionar que, al tratarse de una obra pública de infraestructura de transporte, la Ley 1882 de 2018, en el artículo 1</w:t>
      </w:r>
      <w:r w:rsidRPr="0007373A">
        <w:rPr>
          <w:rFonts w:ascii="Verdana" w:eastAsia="Calibri" w:hAnsi="Verdana" w:cs="Arial"/>
          <w:kern w:val="2"/>
          <w:vertAlign w:val="superscript"/>
          <w:lang w:val="es-MX"/>
          <w14:ligatures w14:val="standardContextual"/>
        </w:rPr>
        <w:footnoteReference w:id="3"/>
      </w:r>
      <w:r w:rsidRPr="0007373A">
        <w:rPr>
          <w:rFonts w:ascii="Verdana" w:eastAsia="Calibri" w:hAnsi="Verdana" w:cs="Arial"/>
          <w:kern w:val="2"/>
          <w:lang w:val="es-MX"/>
          <w14:ligatures w14:val="standardContextual"/>
        </w:rPr>
        <w:t xml:space="preserve">, señala que las ofertas deben estar conformadas por dos sobres: i) sobre 1: requisitos habilitantes y requisitos puntuables, diferentes a la oferta económica, y ii) sobre 2: oferta económica. </w:t>
      </w:r>
    </w:p>
    <w:p w14:paraId="1131C5DA" w14:textId="77777777" w:rsidR="0007373A" w:rsidRPr="0007373A" w:rsidRDefault="0007373A" w:rsidP="0007373A">
      <w:pPr>
        <w:tabs>
          <w:tab w:val="left" w:pos="709"/>
        </w:tabs>
        <w:spacing w:after="0" w:line="276" w:lineRule="auto"/>
        <w:jc w:val="both"/>
        <w:rPr>
          <w:rFonts w:ascii="Verdana" w:eastAsia="Calibri" w:hAnsi="Verdana" w:cs="Arial"/>
          <w:kern w:val="2"/>
          <w:lang w:val="es-MX"/>
          <w14:ligatures w14:val="standardContextual"/>
        </w:rPr>
      </w:pPr>
      <w:r w:rsidRPr="0007373A">
        <w:rPr>
          <w:rFonts w:ascii="Verdana" w:eastAsia="Calibri" w:hAnsi="Verdana" w:cs="Arial"/>
          <w:kern w:val="2"/>
          <w:lang w:val="es-MX"/>
          <w14:ligatures w14:val="standardContextual"/>
        </w:rPr>
        <w:tab/>
        <w:t>Ahora bien, 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 Sobre el particular, el Consejo de Estado señala:</w:t>
      </w:r>
    </w:p>
    <w:p w14:paraId="3D7FF751" w14:textId="77777777" w:rsidR="0007373A" w:rsidRPr="0007373A" w:rsidRDefault="0007373A" w:rsidP="0007373A">
      <w:pPr>
        <w:tabs>
          <w:tab w:val="left" w:pos="709"/>
        </w:tabs>
        <w:spacing w:after="0" w:line="240" w:lineRule="auto"/>
        <w:ind w:firstLine="709"/>
        <w:jc w:val="both"/>
        <w:rPr>
          <w:rFonts w:ascii="Verdana" w:eastAsia="Calibri" w:hAnsi="Verdana" w:cs="Arial"/>
          <w:kern w:val="2"/>
          <w:lang w:val="es-MX"/>
          <w14:ligatures w14:val="standardContextual"/>
        </w:rPr>
      </w:pPr>
    </w:p>
    <w:p w14:paraId="713FAC54" w14:textId="77777777" w:rsidR="0007373A" w:rsidRPr="0007373A" w:rsidRDefault="0007373A" w:rsidP="0007373A">
      <w:pPr>
        <w:tabs>
          <w:tab w:val="left" w:pos="709"/>
        </w:tabs>
        <w:spacing w:after="0" w:line="240" w:lineRule="auto"/>
        <w:ind w:left="709" w:right="709"/>
        <w:jc w:val="both"/>
        <w:rPr>
          <w:rFonts w:ascii="Verdana" w:eastAsia="Calibri" w:hAnsi="Verdana" w:cs="Arial"/>
          <w:kern w:val="2"/>
          <w:sz w:val="21"/>
          <w:szCs w:val="21"/>
          <w:lang w:val="es-MX"/>
          <w14:ligatures w14:val="standardContextual"/>
        </w:rPr>
      </w:pPr>
      <w:r w:rsidRPr="0007373A">
        <w:rPr>
          <w:rFonts w:ascii="Verdana" w:eastAsia="Calibri" w:hAnsi="Verdana" w:cs="Arial"/>
          <w:kern w:val="2"/>
          <w:sz w:val="21"/>
          <w:szCs w:val="21"/>
          <w:lang w:val="es-MX"/>
          <w14:ligatures w14:val="standardContextual"/>
        </w:rPr>
        <w:t xml:space="preserve">“Quiere con esto destacar la Sala que las causales de rechazo de las propuestas pueden ser legales y por lo mismo generan el efecto del descarte o exclusión de la oferta ope legis,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w:t>
      </w:r>
      <w:r w:rsidRPr="0007373A">
        <w:rPr>
          <w:rFonts w:ascii="Verdana" w:eastAsia="Calibri" w:hAnsi="Verdana" w:cs="Arial"/>
          <w:kern w:val="2"/>
          <w:sz w:val="21"/>
          <w:szCs w:val="21"/>
          <w:lang w:val="es-MX"/>
          <w14:ligatures w14:val="standardContextual"/>
        </w:rPr>
        <w:lastRenderedPageBreak/>
        <w:t>economía y responsabilidad, así como el deber de selección objetiva en la contratación”</w:t>
      </w:r>
      <w:r w:rsidRPr="0007373A">
        <w:rPr>
          <w:rFonts w:ascii="Verdana" w:eastAsia="Calibri" w:hAnsi="Verdana" w:cs="Arial"/>
          <w:kern w:val="2"/>
          <w:sz w:val="21"/>
          <w:szCs w:val="21"/>
          <w:vertAlign w:val="superscript"/>
          <w:lang w:val="es-MX"/>
          <w14:ligatures w14:val="standardContextual"/>
        </w:rPr>
        <w:footnoteReference w:id="4"/>
      </w:r>
      <w:r w:rsidRPr="0007373A">
        <w:rPr>
          <w:rFonts w:ascii="Verdana" w:eastAsia="Calibri" w:hAnsi="Verdana" w:cs="Arial"/>
          <w:kern w:val="2"/>
          <w:sz w:val="21"/>
          <w:szCs w:val="21"/>
          <w:lang w:val="es-MX"/>
          <w14:ligatures w14:val="standardContextual"/>
        </w:rPr>
        <w:t>.</w:t>
      </w:r>
    </w:p>
    <w:p w14:paraId="32C316FD" w14:textId="77777777" w:rsidR="0007373A" w:rsidRPr="0007373A" w:rsidRDefault="0007373A" w:rsidP="0007373A">
      <w:pPr>
        <w:tabs>
          <w:tab w:val="left" w:pos="709"/>
        </w:tabs>
        <w:spacing w:after="0" w:line="240" w:lineRule="auto"/>
        <w:ind w:firstLine="709"/>
        <w:jc w:val="both"/>
        <w:rPr>
          <w:rFonts w:ascii="Verdana" w:eastAsia="Calibri" w:hAnsi="Verdana" w:cs="Arial"/>
          <w:kern w:val="2"/>
          <w:lang w:val="es-MX"/>
          <w14:ligatures w14:val="standardContextual"/>
        </w:rPr>
      </w:pPr>
    </w:p>
    <w:p w14:paraId="0155C726" w14:textId="77777777" w:rsidR="0007373A" w:rsidRPr="0007373A" w:rsidRDefault="0007373A" w:rsidP="0007373A">
      <w:pPr>
        <w:tabs>
          <w:tab w:val="left" w:pos="709"/>
          <w:tab w:val="left" w:pos="851"/>
        </w:tabs>
        <w:spacing w:after="120" w:line="276" w:lineRule="auto"/>
        <w:jc w:val="both"/>
        <w:rPr>
          <w:rFonts w:ascii="Verdana" w:eastAsia="Calibri" w:hAnsi="Verdana" w:cs="Arial"/>
          <w:kern w:val="2"/>
          <w:lang w:val="es-MX"/>
          <w14:ligatures w14:val="standardContextual"/>
        </w:rPr>
      </w:pPr>
      <w:r w:rsidRPr="0007373A">
        <w:rPr>
          <w:rFonts w:ascii="Verdana" w:eastAsia="Calibri" w:hAnsi="Verdana" w:cs="Arial"/>
          <w:kern w:val="2"/>
          <w:lang w:val="es-MX"/>
          <w14:ligatures w14:val="standardContextual"/>
        </w:rPr>
        <w:tab/>
        <w:t>La Agencia Nacional de Contratación Pública – Colombia Compra Eficiente – mediante los conceptos con radicados Nos. 2201913000007117 del 25 de septiembre de 2019, 2201913000009538 del 23 de diciembre de 2019 y C- 716 del 30 de octubre de 2020, entre otros, ha señalado que las causales de rechazo de las ofertas establecidas en los documentos tipo son taxativas, descartándose que la entidad introduzca nuevas, salvo las contempladas directamente en la ley.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w:t>
      </w:r>
    </w:p>
    <w:p w14:paraId="52C5AB1C" w14:textId="77777777" w:rsidR="0007373A" w:rsidRPr="0007373A" w:rsidRDefault="0007373A" w:rsidP="0007373A">
      <w:pPr>
        <w:widowControl w:val="0"/>
        <w:autoSpaceDE w:val="0"/>
        <w:autoSpaceDN w:val="0"/>
        <w:spacing w:after="120" w:line="276" w:lineRule="auto"/>
        <w:ind w:firstLine="708"/>
        <w:jc w:val="both"/>
        <w:rPr>
          <w:rFonts w:ascii="Verdana" w:eastAsia="Calibri" w:hAnsi="Verdana" w:cs="Arial"/>
          <w:kern w:val="2"/>
          <w:lang w:val="es-ES" w:eastAsia="es-ES" w:bidi="es-ES"/>
          <w14:ligatures w14:val="standardContextual"/>
        </w:rPr>
      </w:pPr>
      <w:r w:rsidRPr="0007373A">
        <w:rPr>
          <w:rFonts w:ascii="Verdana" w:eastAsia="Calibri" w:hAnsi="Verdana" w:cs="Arial"/>
          <w:kern w:val="2"/>
          <w:lang w:val="es-MX"/>
          <w14:ligatures w14:val="standardContextual"/>
        </w:rPr>
        <w:t>De acuerdo con lo anterior, al consultar el numeral 1.15</w:t>
      </w:r>
      <w:r w:rsidRPr="0007373A">
        <w:rPr>
          <w:rFonts w:ascii="Verdana" w:eastAsia="Arial" w:hAnsi="Verdana" w:cs="Arial"/>
          <w:bCs/>
          <w:kern w:val="2"/>
          <w:lang w:val="es-ES" w:eastAsia="es-ES" w:bidi="es-ES"/>
          <w14:ligatures w14:val="standardContextual"/>
        </w:rPr>
        <w:t xml:space="preserve"> del Documento Base, existen varias causales de rechazo relacionadas con aspectos relativos a la oferta económica. </w:t>
      </w:r>
      <w:r w:rsidRPr="0007373A">
        <w:rPr>
          <w:rFonts w:ascii="Verdana" w:eastAsia="Calibri" w:hAnsi="Verdana" w:cs="Arial"/>
          <w:kern w:val="2"/>
          <w:lang w:val="es-ES" w:eastAsia="es-ES" w:bidi="es-ES"/>
          <w14:ligatures w14:val="standardContextual"/>
        </w:rPr>
        <w:t>Ante la imposibilidad de incluir nuevas causales, con fundamento en el principio de inalterabilidad, las entidades estatales deben evaluar en la presentación de la oferta económica la configuración de causales de rechazo estandarizadas en el pliego tipo o documento base, determinando en cada caso concreto si la situación evidenciada configura en estricto sentido alguno de los supuestos de hecho establecidos en las mismas, sin valerse de interpretaciones extensivas o finalistas</w:t>
      </w:r>
      <w:r w:rsidRPr="0007373A">
        <w:rPr>
          <w:rFonts w:ascii="Verdana" w:eastAsia="Calibri" w:hAnsi="Verdana" w:cs="Arial"/>
          <w:kern w:val="2"/>
          <w:vertAlign w:val="superscript"/>
          <w:lang w:val="es-ES" w:eastAsia="es-ES" w:bidi="es-ES"/>
          <w14:ligatures w14:val="standardContextual"/>
        </w:rPr>
        <w:footnoteReference w:id="5"/>
      </w:r>
      <w:r w:rsidRPr="0007373A">
        <w:rPr>
          <w:rFonts w:ascii="Verdana" w:eastAsia="Calibri" w:hAnsi="Verdana" w:cs="Arial"/>
          <w:kern w:val="2"/>
          <w:lang w:val="es-ES" w:eastAsia="es-ES" w:bidi="es-ES"/>
          <w14:ligatures w14:val="standardContextual"/>
        </w:rPr>
        <w:t xml:space="preserve">. </w:t>
      </w:r>
    </w:p>
    <w:bookmarkEnd w:id="1"/>
    <w:p w14:paraId="044234C2" w14:textId="77777777" w:rsidR="0007373A" w:rsidRPr="0007373A" w:rsidRDefault="0007373A" w:rsidP="0007373A">
      <w:pPr>
        <w:widowControl w:val="0"/>
        <w:autoSpaceDE w:val="0"/>
        <w:autoSpaceDN w:val="0"/>
        <w:spacing w:after="120" w:line="276" w:lineRule="auto"/>
        <w:jc w:val="both"/>
        <w:rPr>
          <w:rFonts w:ascii="Verdana" w:eastAsia="Calibri" w:hAnsi="Verdana" w:cs="Arial"/>
          <w:kern w:val="2"/>
          <w:lang w:val="es-ES" w:eastAsia="es-ES" w:bidi="es-ES"/>
          <w14:ligatures w14:val="standardContextual"/>
        </w:rPr>
      </w:pPr>
      <w:r w:rsidRPr="0007373A">
        <w:rPr>
          <w:rFonts w:ascii="Verdana" w:eastAsia="Calibri" w:hAnsi="Verdana" w:cs="Arial"/>
          <w:kern w:val="2"/>
          <w:lang w:val="es-ES" w:eastAsia="es-ES" w:bidi="es-ES"/>
          <w14:ligatures w14:val="standardContextual"/>
        </w:rPr>
        <w:tab/>
        <w:t>En relación con el objeto de la consulta, el numeral 1.15 del Documento Base prevé la causal U que sanciona con el rechazo de la oferta en el supuesto de “</w:t>
      </w:r>
      <w:r w:rsidRPr="0007373A">
        <w:rPr>
          <w:rFonts w:ascii="Verdana" w:eastAsia="Calibri" w:hAnsi="Verdana" w:cs="Arial"/>
          <w:kern w:val="2"/>
          <w:lang w:val="es-MX"/>
          <w14:ligatures w14:val="standardContextual"/>
        </w:rPr>
        <w:t>U.</w:t>
      </w:r>
      <w:r w:rsidRPr="0007373A">
        <w:rPr>
          <w:rFonts w:ascii="Verdana" w:eastAsia="Calibri" w:hAnsi="Verdana" w:cs="Arial"/>
          <w:i/>
          <w:iCs/>
          <w:kern w:val="2"/>
          <w:lang w:val="es-ES" w:eastAsia="es-ES" w:bidi="es-ES"/>
          <w14:ligatures w14:val="standardContextual"/>
        </w:rPr>
        <w:t xml:space="preserve"> Presentar más de una oferta económica con valores distintos en el Sobre 2.</w:t>
      </w:r>
      <w:r w:rsidRPr="0007373A">
        <w:rPr>
          <w:rFonts w:ascii="Verdana" w:eastAsia="Calibri" w:hAnsi="Verdana" w:cs="Arial"/>
          <w:kern w:val="2"/>
          <w:lang w:val="es-ES" w:eastAsia="es-ES" w:bidi="es-ES"/>
          <w14:ligatures w14:val="standardContextual"/>
        </w:rPr>
        <w:t xml:space="preserve">” En ese sentido, para que se configure la causal es necesario que, una vez abierto el sobre contentivo de la oferta económica, la entidad verifique que el </w:t>
      </w:r>
      <w:r w:rsidRPr="0007373A">
        <w:rPr>
          <w:rFonts w:ascii="Verdana" w:eastAsia="Calibri" w:hAnsi="Verdana" w:cs="Arial"/>
          <w:kern w:val="2"/>
          <w:lang w:val="es-ES" w:eastAsia="es-ES" w:bidi="es-ES"/>
          <w14:ligatures w14:val="standardContextual"/>
        </w:rPr>
        <w:lastRenderedPageBreak/>
        <w:t xml:space="preserve">proponente incluyó más de una oferta económica, y que las mismas tienen valores distintos. Conforme a esto, siendo la segunda hoja del Formulario 1 el documento mediante el cual se debe presentar la oferta económica, la causal claramente se configura en aquellos casos en que el proponente presente varios de estos documentos en el sobre No. 2, con valores discordantes. </w:t>
      </w:r>
    </w:p>
    <w:p w14:paraId="7AEE9E69" w14:textId="77777777" w:rsidR="0007373A" w:rsidRPr="0007373A" w:rsidRDefault="0007373A" w:rsidP="0007373A">
      <w:pPr>
        <w:tabs>
          <w:tab w:val="left" w:pos="709"/>
          <w:tab w:val="left" w:pos="851"/>
        </w:tabs>
        <w:spacing w:after="0" w:line="276" w:lineRule="auto"/>
        <w:jc w:val="both"/>
        <w:rPr>
          <w:rFonts w:ascii="Verdana" w:eastAsia="Calibri" w:hAnsi="Verdana" w:cs="Arial"/>
          <w:color w:val="000000"/>
          <w:kern w:val="2"/>
          <w:lang w:val="es-MX"/>
          <w14:ligatures w14:val="standardContextual"/>
        </w:rPr>
      </w:pPr>
      <w:r w:rsidRPr="0007373A">
        <w:rPr>
          <w:rFonts w:ascii="Verdana" w:eastAsia="Calibri" w:hAnsi="Verdana" w:cs="Arial"/>
          <w:color w:val="000000"/>
          <w:kern w:val="2"/>
          <w:lang w:val="es-MX"/>
          <w14:ligatures w14:val="standardContextual"/>
        </w:rPr>
        <w:tab/>
        <w:t>Debe destacarse que la causal del literal U es aplicable tanto en los procedimientos adelantados en medio físico con publicidad en el SECOP I, como en los adelantados de manera electrónica a través del SECOP II. En ese sentido, teniendo en cuenta que en los procesos adelantados en esta última versión de la plataforma la conformación del sobre No. 2 se realiza de manera virtual, para explicar el alcance de la referida causal respecto del supuesto que es objeto de la consulta, se hace necesario tener en cuenta algunas de las reglas establecidas en los numeral 2.3 y 2.3.2 del Documento Base, con relación a la presentación de la propuesta. En estos numerales se contemplan unas reglas alternativas, unas de las cuales son aplicables a los procedimientos adelantados en medio físico –aquellos que deben ser publicados en el SECOP I– y otras para los procesos adelantados de manera transaccional a través del SECOP II. Al respecto se destacan las siguientes:</w:t>
      </w:r>
    </w:p>
    <w:p w14:paraId="2F401B3B" w14:textId="77777777" w:rsidR="0007373A" w:rsidRPr="0007373A" w:rsidRDefault="0007373A" w:rsidP="0007373A">
      <w:pPr>
        <w:tabs>
          <w:tab w:val="left" w:pos="709"/>
          <w:tab w:val="left" w:pos="851"/>
        </w:tabs>
        <w:spacing w:after="0" w:line="276" w:lineRule="auto"/>
        <w:jc w:val="both"/>
        <w:rPr>
          <w:rFonts w:ascii="Verdana" w:eastAsia="Calibri" w:hAnsi="Verdana" w:cs="Arial"/>
          <w:color w:val="000000"/>
          <w:kern w:val="2"/>
          <w:lang w:val="es-MX"/>
          <w14:ligatures w14:val="standardContextual"/>
        </w:rPr>
      </w:pPr>
    </w:p>
    <w:p w14:paraId="49616E4A" w14:textId="77777777" w:rsidR="0007373A" w:rsidRPr="0007373A" w:rsidRDefault="0007373A" w:rsidP="0007373A">
      <w:pPr>
        <w:keepNext/>
        <w:keepLines/>
        <w:adjustRightInd w:val="0"/>
        <w:spacing w:before="40" w:after="120" w:line="240" w:lineRule="auto"/>
        <w:ind w:left="709" w:right="709"/>
        <w:jc w:val="both"/>
        <w:outlineLvl w:val="1"/>
        <w:rPr>
          <w:rFonts w:ascii="Verdana" w:eastAsia="Yu Gothic Light" w:hAnsi="Verdana" w:cs="Times New Roman"/>
          <w:b/>
          <w:caps/>
          <w:color w:val="000000"/>
          <w:sz w:val="21"/>
          <w:szCs w:val="21"/>
          <w:lang w:val="es-MX"/>
        </w:rPr>
      </w:pPr>
      <w:bookmarkStart w:id="2" w:name="_Toc176242646"/>
      <w:r w:rsidRPr="0007373A">
        <w:rPr>
          <w:rFonts w:ascii="Verdana" w:eastAsia="Yu Gothic Light" w:hAnsi="Verdana" w:cs="Times New Roman"/>
          <w:bCs/>
          <w:color w:val="000000"/>
          <w:sz w:val="21"/>
          <w:szCs w:val="21"/>
          <w:lang w:val="es-MX"/>
        </w:rPr>
        <w:t>“</w:t>
      </w:r>
      <w:r w:rsidRPr="0007373A">
        <w:rPr>
          <w:rFonts w:ascii="Verdana" w:eastAsia="Yu Gothic Light" w:hAnsi="Verdana" w:cs="Times New Roman"/>
          <w:b/>
          <w:color w:val="000000"/>
          <w:sz w:val="21"/>
          <w:szCs w:val="21"/>
          <w:lang w:val="es-MX"/>
        </w:rPr>
        <w:t>2.3 ELABORACIÓN Y PRESENTACIÓN DE LA OFERTA</w:t>
      </w:r>
      <w:bookmarkEnd w:id="2"/>
    </w:p>
    <w:p w14:paraId="39D0EE24" w14:textId="77777777" w:rsidR="0007373A" w:rsidRPr="0007373A" w:rsidRDefault="0007373A" w:rsidP="0007373A">
      <w:pPr>
        <w:adjustRightInd w:val="0"/>
        <w:spacing w:line="240" w:lineRule="auto"/>
        <w:ind w:left="709" w:right="709"/>
        <w:jc w:val="both"/>
        <w:rPr>
          <w:rFonts w:ascii="Verdana" w:eastAsia="Times New Roman" w:hAnsi="Verdana" w:cs="Arial"/>
          <w:sz w:val="21"/>
          <w:szCs w:val="21"/>
          <w:lang w:val="es-ES" w:eastAsia="es-ES"/>
        </w:rPr>
      </w:pPr>
      <w:r w:rsidRPr="0007373A">
        <w:rPr>
          <w:rFonts w:ascii="Verdana" w:eastAsia="Calibri" w:hAnsi="Verdana" w:cs="Arial"/>
          <w:color w:val="000000"/>
          <w:sz w:val="21"/>
          <w:szCs w:val="21"/>
          <w:highlight w:val="lightGray"/>
          <w:lang w:val="es-MX"/>
        </w:rPr>
        <w:t xml:space="preserve">[Para </w:t>
      </w:r>
      <w:r w:rsidRPr="0007373A">
        <w:rPr>
          <w:rFonts w:ascii="Verdana" w:eastAsia="Times New Roman" w:hAnsi="Verdana" w:cs="Arial"/>
          <w:sz w:val="21"/>
          <w:szCs w:val="21"/>
          <w:highlight w:val="lightGray"/>
          <w:shd w:val="clear" w:color="auto" w:fill="D0CECE"/>
          <w:lang w:val="es-ES" w:eastAsia="es-ES"/>
        </w:rPr>
        <w:t>las Entidades que utilicen el SECOP II la presentación de la oferta deberá adaptarse a las condiciones de la plataforma y no será posible allegar documentos en físico]</w:t>
      </w:r>
      <w:r w:rsidRPr="0007373A">
        <w:rPr>
          <w:rFonts w:ascii="Verdana" w:eastAsia="Times New Roman" w:hAnsi="Verdana" w:cs="Arial"/>
          <w:sz w:val="21"/>
          <w:szCs w:val="21"/>
          <w:lang w:val="es-ES" w:eastAsia="es-ES"/>
        </w:rPr>
        <w:t xml:space="preserve"> </w:t>
      </w:r>
    </w:p>
    <w:p w14:paraId="1F4CAC14" w14:textId="77777777" w:rsidR="0007373A" w:rsidRPr="0007373A" w:rsidRDefault="0007373A" w:rsidP="0007373A">
      <w:pPr>
        <w:adjustRightInd w:val="0"/>
        <w:spacing w:line="240" w:lineRule="auto"/>
        <w:ind w:left="709" w:right="709"/>
        <w:jc w:val="both"/>
        <w:rPr>
          <w:rFonts w:ascii="Verdana" w:eastAsia="Times New Roman" w:hAnsi="Verdana" w:cs="Arial"/>
          <w:sz w:val="21"/>
          <w:szCs w:val="21"/>
          <w:lang w:val="es-ES" w:eastAsia="es-ES"/>
        </w:rPr>
      </w:pPr>
      <w:r w:rsidRPr="0007373A">
        <w:rPr>
          <w:rFonts w:ascii="Verdana" w:eastAsia="Times New Roman" w:hAnsi="Verdana" w:cs="Arial"/>
          <w:sz w:val="21"/>
          <w:szCs w:val="21"/>
          <w:highlight w:val="lightGray"/>
          <w:lang w:val="es-ES" w:eastAsia="es-ES"/>
        </w:rPr>
        <w:t>[Las Entidades que publican sus procesos en el SECOP I incorporarán el siguiente contenido:]</w:t>
      </w:r>
    </w:p>
    <w:p w14:paraId="5B723C4D" w14:textId="77777777" w:rsidR="0007373A" w:rsidRPr="0007373A" w:rsidRDefault="0007373A" w:rsidP="0007373A">
      <w:pPr>
        <w:tabs>
          <w:tab w:val="left" w:pos="709"/>
          <w:tab w:val="left" w:pos="851"/>
        </w:tabs>
        <w:adjustRightInd w:val="0"/>
        <w:spacing w:after="0" w:line="240" w:lineRule="auto"/>
        <w:ind w:left="709" w:right="709"/>
        <w:jc w:val="both"/>
        <w:rPr>
          <w:rFonts w:ascii="Verdana" w:eastAsia="Calibri" w:hAnsi="Verdana" w:cs="Arial"/>
          <w:color w:val="000000"/>
          <w:kern w:val="2"/>
          <w:sz w:val="21"/>
          <w:szCs w:val="21"/>
          <w:lang w:val="es-MX"/>
          <w14:ligatures w14:val="standardContextual"/>
        </w:rPr>
      </w:pPr>
      <w:r w:rsidRPr="0007373A">
        <w:rPr>
          <w:rFonts w:ascii="Verdana" w:eastAsia="Calibri" w:hAnsi="Verdana" w:cs="Arial"/>
          <w:color w:val="000000"/>
          <w:kern w:val="2"/>
          <w:sz w:val="21"/>
          <w:szCs w:val="21"/>
          <w:lang w:val="es-MX"/>
          <w14:ligatures w14:val="standardContextual"/>
        </w:rPr>
        <w:t>[…]</w:t>
      </w:r>
    </w:p>
    <w:p w14:paraId="48804949" w14:textId="77777777" w:rsidR="0007373A" w:rsidRPr="0007373A" w:rsidRDefault="0007373A" w:rsidP="0007373A">
      <w:pPr>
        <w:keepNext/>
        <w:keepLines/>
        <w:adjustRightInd w:val="0"/>
        <w:spacing w:before="40" w:after="120" w:line="240" w:lineRule="auto"/>
        <w:ind w:left="709" w:right="709"/>
        <w:jc w:val="both"/>
        <w:outlineLvl w:val="2"/>
        <w:rPr>
          <w:rFonts w:ascii="Verdana" w:eastAsia="Yu Gothic Light" w:hAnsi="Verdana" w:cs="Times New Roman"/>
          <w:b/>
          <w:caps/>
          <w:color w:val="000000"/>
          <w:sz w:val="21"/>
          <w:szCs w:val="21"/>
        </w:rPr>
      </w:pPr>
      <w:bookmarkStart w:id="3" w:name="_Toc176242648"/>
      <w:r w:rsidRPr="0007373A">
        <w:rPr>
          <w:rFonts w:ascii="Verdana" w:eastAsia="Yu Gothic Light" w:hAnsi="Verdana" w:cs="Times New Roman"/>
          <w:b/>
          <w:caps/>
          <w:color w:val="000000"/>
          <w:sz w:val="21"/>
          <w:szCs w:val="21"/>
        </w:rPr>
        <w:t>2.3.2 SOBRE No. 2</w:t>
      </w:r>
      <w:bookmarkEnd w:id="3"/>
    </w:p>
    <w:p w14:paraId="7C886443" w14:textId="77777777" w:rsidR="0007373A" w:rsidRPr="0007373A" w:rsidRDefault="0007373A" w:rsidP="0007373A">
      <w:pPr>
        <w:adjustRightInd w:val="0"/>
        <w:spacing w:line="240" w:lineRule="auto"/>
        <w:ind w:left="709" w:right="709"/>
        <w:jc w:val="both"/>
        <w:rPr>
          <w:rFonts w:ascii="Verdana" w:eastAsia="Calibri" w:hAnsi="Verdana" w:cs="Arial"/>
          <w:color w:val="000000"/>
          <w:sz w:val="21"/>
          <w:szCs w:val="21"/>
        </w:rPr>
      </w:pPr>
      <w:r w:rsidRPr="0007373A">
        <w:rPr>
          <w:rFonts w:ascii="Verdana" w:eastAsia="Calibri" w:hAnsi="Verdana" w:cs="Arial"/>
          <w:color w:val="000000"/>
          <w:sz w:val="21"/>
          <w:szCs w:val="21"/>
        </w:rPr>
        <w:t xml:space="preserve">Contiene únicamente la oferta económica del proponente y debe tener las siguientes características: </w:t>
      </w:r>
    </w:p>
    <w:p w14:paraId="177B4A04" w14:textId="77777777" w:rsidR="0007373A" w:rsidRPr="0007373A" w:rsidRDefault="0007373A" w:rsidP="0007373A">
      <w:pPr>
        <w:numPr>
          <w:ilvl w:val="0"/>
          <w:numId w:val="18"/>
        </w:numPr>
        <w:adjustRightInd w:val="0"/>
        <w:spacing w:after="0" w:line="240" w:lineRule="auto"/>
        <w:ind w:left="709" w:right="709" w:firstLine="0"/>
        <w:contextualSpacing/>
        <w:jc w:val="both"/>
        <w:rPr>
          <w:rFonts w:ascii="Verdana" w:eastAsia="Calibri" w:hAnsi="Verdana" w:cs="Arial"/>
          <w:color w:val="000000"/>
          <w:sz w:val="21"/>
          <w:szCs w:val="21"/>
        </w:rPr>
      </w:pPr>
      <w:r w:rsidRPr="0007373A">
        <w:rPr>
          <w:rFonts w:ascii="Verdana" w:eastAsia="Calibri" w:hAnsi="Verdana" w:cs="Arial"/>
          <w:color w:val="000000"/>
          <w:sz w:val="21"/>
          <w:szCs w:val="21"/>
        </w:rPr>
        <w:t>[</w:t>
      </w:r>
      <w:r w:rsidRPr="0007373A">
        <w:rPr>
          <w:rFonts w:ascii="Verdana" w:eastAsia="Calibri" w:hAnsi="Verdana" w:cs="Arial"/>
          <w:color w:val="000000"/>
          <w:sz w:val="21"/>
          <w:szCs w:val="21"/>
          <w:highlight w:val="lightGray"/>
        </w:rPr>
        <w:t>Para los procesos adelantados en el SECOP I</w:t>
      </w:r>
      <w:r w:rsidRPr="0007373A">
        <w:rPr>
          <w:rFonts w:ascii="Verdana" w:eastAsia="Calibri" w:hAnsi="Verdana" w:cs="Arial"/>
          <w:color w:val="000000"/>
          <w:sz w:val="21"/>
          <w:szCs w:val="21"/>
        </w:rPr>
        <w:t>] El proponente debe presentar el Sobre 2 en físico. Sin perjuicio de lo anterior, el proponente podrá presentar el contenido del sobre 2 en medio magnético u óptico debidamente sellado. El medio magnético u óptico que contiene la información de la oferta económica debe ser distinto al que contiene la información del Sobre 1. [</w:t>
      </w:r>
      <w:r w:rsidRPr="0007373A">
        <w:rPr>
          <w:rFonts w:ascii="Verdana" w:eastAsia="Calibri" w:hAnsi="Verdana" w:cs="Arial"/>
          <w:color w:val="000000"/>
          <w:sz w:val="21"/>
          <w:szCs w:val="21"/>
          <w:highlight w:val="lightGray"/>
        </w:rPr>
        <w:t xml:space="preserve">Para los procesos en SECOP II, el Sobre 2 debe presentarse en el cuestionario destinado para ello </w:t>
      </w:r>
      <w:r w:rsidRPr="0007373A">
        <w:rPr>
          <w:rFonts w:ascii="Verdana" w:eastAsia="Calibri" w:hAnsi="Verdana" w:cs="Arial"/>
          <w:color w:val="000000"/>
          <w:sz w:val="21"/>
          <w:szCs w:val="21"/>
          <w:highlight w:val="lightGray"/>
        </w:rPr>
        <w:lastRenderedPageBreak/>
        <w:t>en el Módulo de “Licitación de Obra Pública” y no podrá ser entregado en físico</w:t>
      </w:r>
      <w:r w:rsidRPr="0007373A">
        <w:rPr>
          <w:rFonts w:ascii="Verdana" w:eastAsia="Calibri" w:hAnsi="Verdana" w:cs="Arial"/>
          <w:color w:val="000000"/>
          <w:sz w:val="21"/>
          <w:szCs w:val="21"/>
        </w:rPr>
        <w:t>].</w:t>
      </w:r>
    </w:p>
    <w:p w14:paraId="6FD32FAD" w14:textId="77777777" w:rsidR="0007373A" w:rsidRPr="0007373A" w:rsidRDefault="0007373A" w:rsidP="0007373A">
      <w:pPr>
        <w:adjustRightInd w:val="0"/>
        <w:spacing w:line="240" w:lineRule="auto"/>
        <w:ind w:left="709" w:right="709"/>
        <w:contextualSpacing/>
        <w:jc w:val="both"/>
        <w:rPr>
          <w:rFonts w:ascii="Verdana" w:eastAsia="Calibri" w:hAnsi="Verdana" w:cs="Arial"/>
          <w:color w:val="000000"/>
          <w:sz w:val="21"/>
          <w:szCs w:val="21"/>
        </w:rPr>
      </w:pPr>
    </w:p>
    <w:p w14:paraId="13D8F0D8" w14:textId="77777777" w:rsidR="0007373A" w:rsidRPr="0007373A" w:rsidRDefault="0007373A" w:rsidP="0007373A">
      <w:pPr>
        <w:numPr>
          <w:ilvl w:val="0"/>
          <w:numId w:val="18"/>
        </w:numPr>
        <w:adjustRightInd w:val="0"/>
        <w:spacing w:after="0" w:line="240" w:lineRule="auto"/>
        <w:ind w:left="709" w:right="709" w:firstLine="0"/>
        <w:contextualSpacing/>
        <w:jc w:val="both"/>
        <w:rPr>
          <w:rFonts w:ascii="Verdana" w:eastAsia="Calibri" w:hAnsi="Verdana" w:cs="Arial"/>
          <w:color w:val="000000"/>
          <w:sz w:val="21"/>
          <w:szCs w:val="21"/>
        </w:rPr>
      </w:pPr>
      <w:r w:rsidRPr="0007373A">
        <w:rPr>
          <w:rFonts w:ascii="Verdana" w:eastAsia="Calibri" w:hAnsi="Verdana" w:cs="Arial"/>
          <w:color w:val="000000"/>
          <w:sz w:val="21"/>
          <w:szCs w:val="21"/>
          <w:highlight w:val="lightGray"/>
        </w:rPr>
        <w:t>[Para los procesos adelantados en el SECOP I]</w:t>
      </w:r>
      <w:r w:rsidRPr="0007373A">
        <w:rPr>
          <w:rFonts w:ascii="Verdana" w:eastAsia="Calibri" w:hAnsi="Verdana" w:cs="Arial"/>
          <w:color w:val="000000"/>
          <w:sz w:val="21"/>
          <w:szCs w:val="21"/>
        </w:rPr>
        <w:t xml:space="preserve"> Debe incluir la propuesta económica debidamente diligenciada, de conformidad con todos y cada uno de los ítems exigidos y relacionados en el Formulario 1 – Formulario de Presupuesto Oficial. </w:t>
      </w:r>
    </w:p>
    <w:p w14:paraId="049C3EA7" w14:textId="77777777" w:rsidR="0007373A" w:rsidRPr="0007373A" w:rsidRDefault="0007373A" w:rsidP="0007373A">
      <w:pPr>
        <w:adjustRightInd w:val="0"/>
        <w:spacing w:line="240" w:lineRule="auto"/>
        <w:ind w:right="709"/>
        <w:contextualSpacing/>
        <w:jc w:val="both"/>
        <w:rPr>
          <w:rFonts w:ascii="Verdana" w:eastAsia="Calibri" w:hAnsi="Verdana" w:cs="Arial"/>
          <w:color w:val="000000"/>
          <w:sz w:val="21"/>
          <w:szCs w:val="21"/>
        </w:rPr>
      </w:pPr>
    </w:p>
    <w:p w14:paraId="791C3846" w14:textId="77777777" w:rsidR="0007373A" w:rsidRPr="0007373A" w:rsidRDefault="0007373A" w:rsidP="0007373A">
      <w:pPr>
        <w:numPr>
          <w:ilvl w:val="0"/>
          <w:numId w:val="18"/>
        </w:numPr>
        <w:adjustRightInd w:val="0"/>
        <w:spacing w:after="0" w:line="240" w:lineRule="auto"/>
        <w:ind w:left="709" w:right="709" w:firstLine="0"/>
        <w:contextualSpacing/>
        <w:jc w:val="both"/>
        <w:rPr>
          <w:rFonts w:ascii="Verdana" w:eastAsia="Calibri" w:hAnsi="Verdana" w:cs="Arial"/>
          <w:color w:val="000000"/>
          <w:sz w:val="21"/>
          <w:szCs w:val="21"/>
        </w:rPr>
      </w:pPr>
      <w:r w:rsidRPr="0007373A">
        <w:rPr>
          <w:rFonts w:ascii="Verdana" w:eastAsia="Calibri" w:hAnsi="Verdana" w:cs="Arial"/>
          <w:color w:val="000000"/>
          <w:sz w:val="21"/>
          <w:szCs w:val="21"/>
          <w:highlight w:val="lightGray"/>
        </w:rPr>
        <w:t>[Para los procesos adelantados en el SECOP I]</w:t>
      </w:r>
      <w:r w:rsidRPr="0007373A">
        <w:rPr>
          <w:rFonts w:ascii="Verdana" w:eastAsia="Calibri" w:hAnsi="Verdana" w:cs="Arial"/>
          <w:color w:val="000000"/>
          <w:sz w:val="21"/>
          <w:szCs w:val="21"/>
        </w:rPr>
        <w:t xml:space="preserve"> La información en físico y en medio magnético u óptico debe ser idéntica. En caso de presentarse discrepancias entre la información consignada en medio físico y la información incluida en el medio magnético, prevalecerá la información consignada físicamente.</w:t>
      </w:r>
    </w:p>
    <w:p w14:paraId="4AA7CAB1" w14:textId="77777777" w:rsidR="0007373A" w:rsidRPr="0007373A" w:rsidRDefault="0007373A" w:rsidP="0007373A">
      <w:pPr>
        <w:adjustRightInd w:val="0"/>
        <w:spacing w:line="240" w:lineRule="auto"/>
        <w:ind w:right="709"/>
        <w:contextualSpacing/>
        <w:jc w:val="both"/>
        <w:rPr>
          <w:rFonts w:ascii="Verdana" w:eastAsia="Calibri" w:hAnsi="Verdana" w:cs="Arial"/>
          <w:color w:val="000000"/>
          <w:sz w:val="21"/>
          <w:szCs w:val="21"/>
        </w:rPr>
      </w:pPr>
    </w:p>
    <w:p w14:paraId="2217CC7B" w14:textId="77777777" w:rsidR="0007373A" w:rsidRPr="0007373A" w:rsidRDefault="0007373A" w:rsidP="0007373A">
      <w:pPr>
        <w:numPr>
          <w:ilvl w:val="0"/>
          <w:numId w:val="18"/>
        </w:numPr>
        <w:adjustRightInd w:val="0"/>
        <w:spacing w:after="0" w:line="240" w:lineRule="auto"/>
        <w:ind w:left="709" w:right="709" w:firstLine="0"/>
        <w:contextualSpacing/>
        <w:jc w:val="both"/>
        <w:rPr>
          <w:rFonts w:ascii="Verdana" w:eastAsia="Calibri" w:hAnsi="Verdana" w:cs="Arial"/>
          <w:color w:val="000000"/>
          <w:sz w:val="21"/>
          <w:szCs w:val="21"/>
        </w:rPr>
      </w:pPr>
      <w:r w:rsidRPr="0007373A">
        <w:rPr>
          <w:rFonts w:ascii="Verdana" w:eastAsia="Calibri" w:hAnsi="Verdana" w:cs="Arial"/>
          <w:color w:val="000000"/>
          <w:sz w:val="21"/>
          <w:szCs w:val="21"/>
          <w:highlight w:val="lightGray"/>
        </w:rPr>
        <w:t>[Para los procesos adelantados en el SECOP I]</w:t>
      </w:r>
      <w:r w:rsidRPr="0007373A">
        <w:rPr>
          <w:rFonts w:ascii="Verdana" w:eastAsia="Calibri" w:hAnsi="Verdana" w:cs="Arial"/>
          <w:color w:val="000000"/>
          <w:sz w:val="21"/>
          <w:szCs w:val="21"/>
        </w:rPr>
        <w:t xml:space="preserve"> La propuesta debe presentarse firmada.</w:t>
      </w:r>
    </w:p>
    <w:p w14:paraId="060C5EE8" w14:textId="77777777" w:rsidR="0007373A" w:rsidRPr="0007373A" w:rsidRDefault="0007373A" w:rsidP="0007373A">
      <w:pPr>
        <w:tabs>
          <w:tab w:val="left" w:pos="709"/>
          <w:tab w:val="left" w:pos="851"/>
        </w:tabs>
        <w:adjustRightInd w:val="0"/>
        <w:spacing w:after="0" w:line="240" w:lineRule="auto"/>
        <w:ind w:left="709" w:right="709"/>
        <w:jc w:val="both"/>
        <w:rPr>
          <w:rFonts w:ascii="Verdana" w:eastAsia="Calibri" w:hAnsi="Verdana" w:cs="Arial"/>
          <w:color w:val="000000"/>
          <w:kern w:val="2"/>
          <w:sz w:val="21"/>
          <w:szCs w:val="21"/>
          <w:lang w:val="es-MX"/>
          <w14:ligatures w14:val="standardContextual"/>
        </w:rPr>
      </w:pPr>
    </w:p>
    <w:p w14:paraId="23A1A40E" w14:textId="77777777" w:rsidR="0007373A" w:rsidRPr="0007373A" w:rsidRDefault="0007373A" w:rsidP="0007373A">
      <w:pPr>
        <w:adjustRightInd w:val="0"/>
        <w:spacing w:after="0" w:line="240" w:lineRule="auto"/>
        <w:ind w:left="709" w:right="709"/>
        <w:jc w:val="both"/>
        <w:rPr>
          <w:rFonts w:ascii="Verdana" w:eastAsia="Calibri" w:hAnsi="Verdana" w:cs="Arial"/>
          <w:color w:val="000000"/>
          <w:sz w:val="21"/>
          <w:szCs w:val="21"/>
        </w:rPr>
      </w:pPr>
      <w:r w:rsidRPr="0007373A">
        <w:rPr>
          <w:rFonts w:ascii="Verdana" w:eastAsia="Calibri" w:hAnsi="Verdana" w:cs="Arial"/>
          <w:b/>
          <w:color w:val="000000"/>
          <w:sz w:val="21"/>
          <w:szCs w:val="21"/>
        </w:rPr>
        <w:t xml:space="preserve">Nota: </w:t>
      </w:r>
      <w:r w:rsidRPr="0007373A">
        <w:rPr>
          <w:rFonts w:ascii="Verdana" w:eastAsia="Calibri" w:hAnsi="Verdana" w:cs="Arial"/>
          <w:color w:val="000000"/>
          <w:sz w:val="21"/>
          <w:szCs w:val="21"/>
        </w:rPr>
        <w:t xml:space="preserve">En caso de discrepancias entre los valores señalados en el Formulario 1 – </w:t>
      </w:r>
      <w:r w:rsidRPr="0007373A">
        <w:rPr>
          <w:rFonts w:ascii="Verdana" w:eastAsia="Calibri" w:hAnsi="Verdana" w:cs="Arial"/>
          <w:color w:val="000000"/>
          <w:sz w:val="21"/>
          <w:szCs w:val="21"/>
          <w:lang w:val="es-MX"/>
        </w:rPr>
        <w:t>Formulario de Presupuesto Oficial</w:t>
      </w:r>
      <w:r w:rsidRPr="0007373A">
        <w:rPr>
          <w:rFonts w:ascii="Verdana" w:eastAsia="Calibri" w:hAnsi="Verdana" w:cs="Arial"/>
          <w:color w:val="000000"/>
          <w:sz w:val="21"/>
          <w:szCs w:val="21"/>
        </w:rPr>
        <w:t xml:space="preserve"> y el valor presentado en el SECOP II, prevalecerá el valor presentado en el SECOP II.” </w:t>
      </w:r>
    </w:p>
    <w:p w14:paraId="0B1F624A" w14:textId="77777777" w:rsidR="0007373A" w:rsidRPr="0007373A" w:rsidRDefault="0007373A" w:rsidP="0007373A">
      <w:pPr>
        <w:adjustRightInd w:val="0"/>
        <w:spacing w:after="0" w:line="276" w:lineRule="auto"/>
        <w:ind w:left="709" w:right="709"/>
        <w:jc w:val="both"/>
        <w:rPr>
          <w:rFonts w:ascii="Verdana" w:eastAsia="Calibri" w:hAnsi="Verdana" w:cs="Arial"/>
          <w:color w:val="000000"/>
        </w:rPr>
      </w:pPr>
    </w:p>
    <w:p w14:paraId="4E0A6302" w14:textId="77777777" w:rsidR="0007373A" w:rsidRPr="0007373A" w:rsidRDefault="0007373A" w:rsidP="0007373A">
      <w:pPr>
        <w:tabs>
          <w:tab w:val="left" w:pos="709"/>
        </w:tabs>
        <w:spacing w:after="120" w:line="276" w:lineRule="auto"/>
        <w:jc w:val="both"/>
        <w:rPr>
          <w:rFonts w:ascii="Verdana" w:eastAsia="Calibri" w:hAnsi="Verdana" w:cs="Arial"/>
          <w:kern w:val="2"/>
          <w:lang w:val="es-MX"/>
          <w14:ligatures w14:val="standardContextual"/>
        </w:rPr>
      </w:pPr>
      <w:r w:rsidRPr="0007373A">
        <w:rPr>
          <w:rFonts w:ascii="Verdana" w:eastAsia="Calibri" w:hAnsi="Verdana" w:cs="Arial"/>
          <w:kern w:val="2"/>
          <w:lang w:val="es-MX"/>
          <w14:ligatures w14:val="standardContextual"/>
        </w:rPr>
        <w:tab/>
      </w:r>
      <w:bookmarkStart w:id="4" w:name="_Hlk112162896"/>
      <w:r w:rsidRPr="0007373A">
        <w:rPr>
          <w:rFonts w:ascii="Verdana" w:eastAsia="Calibri" w:hAnsi="Verdana" w:cs="Arial"/>
          <w:kern w:val="2"/>
          <w:lang w:val="es-MX"/>
          <w14:ligatures w14:val="standardContextual"/>
        </w:rPr>
        <w:t xml:space="preserve">Según se desprende de estas reglas, tratándose de los procesos de contratación realizados a través del SECOP II, la propuesta económica debe presentarse haciendo uso del cuestionario destinado para ello en la plataforma. Este cuestionario se debe diligenciar a través de la lista de precios, previamente configurada por la entidad estatal y anexando, en caso de que así sea solicitado, las evidencias documentales de la misma –ya sea el Formulario 1 u otro documento–. Esto significa que, en estos procesos el valor de la oferta económica debe ser diligenciado en el referido cuestionario, al ser este el medio destinado para la presentación de la oferta económica al interior de la plataforma, sin perjuicio de que la entidad estatal solicite anexar el soporte documental de la información incluida en el cuestionario de lista de precios. </w:t>
      </w:r>
    </w:p>
    <w:p w14:paraId="7F85316B" w14:textId="77777777" w:rsidR="0007373A" w:rsidRPr="0007373A" w:rsidRDefault="0007373A" w:rsidP="0007373A">
      <w:pPr>
        <w:tabs>
          <w:tab w:val="left" w:pos="709"/>
        </w:tabs>
        <w:spacing w:before="120" w:after="120" w:line="276" w:lineRule="auto"/>
        <w:jc w:val="both"/>
        <w:rPr>
          <w:rFonts w:ascii="Verdana" w:eastAsia="Calibri" w:hAnsi="Verdana" w:cs="Arial"/>
          <w:kern w:val="2"/>
          <w:lang w:val="es-MX"/>
          <w14:ligatures w14:val="standardContextual"/>
        </w:rPr>
      </w:pPr>
      <w:r w:rsidRPr="0007373A">
        <w:rPr>
          <w:rFonts w:ascii="Verdana" w:eastAsia="Calibri" w:hAnsi="Verdana" w:cs="Arial"/>
          <w:kern w:val="2"/>
          <w:lang w:val="es-MX"/>
          <w14:ligatures w14:val="standardContextual"/>
        </w:rPr>
        <w:tab/>
        <w:t xml:space="preserve">En ese sentido, si bien en este tipo de procedimientos no se requiere que se presente oferta económica en sobre físico –comoquiera que la conformación del sobre se hace de manera electrónica a partir de la información diligenciada en el cuestionario de lista de precios–, sí pueden presentarse discordancias entre las cifras que se incluyan a título de valor de la oferta económica en el cuestionario y en el documento de soporte, evento en el cual se impone el rechazo de la oferta. Lo anterior por cuanto, una situación en la cual exista una palmaria discordancia entre el valor diligenciado en el cuestionario electrónico </w:t>
      </w:r>
      <w:r w:rsidRPr="0007373A">
        <w:rPr>
          <w:rFonts w:ascii="Verdana" w:eastAsia="Calibri" w:hAnsi="Verdana" w:cs="Arial"/>
          <w:kern w:val="2"/>
          <w:lang w:val="es-MX"/>
          <w14:ligatures w14:val="standardContextual"/>
        </w:rPr>
        <w:lastRenderedPageBreak/>
        <w:t xml:space="preserve">desplegado por SECOP II y el del documento anexado a modo de soporte de la oferta económica configuran el supuesto de hecho de la causal de rechazo del literal U, en el entendido de que, al diligenciarse el cuestionario electrónico se presentó una oferta, mientras que en el documento anexo se presenta otra, quedando ambas incluidas dentro del contenido del sobre No. 2 conformado de manera electrónica.  </w:t>
      </w:r>
    </w:p>
    <w:p w14:paraId="33C5D314" w14:textId="77777777" w:rsidR="0007373A" w:rsidRPr="0007373A" w:rsidRDefault="0007373A" w:rsidP="0007373A">
      <w:pPr>
        <w:tabs>
          <w:tab w:val="left" w:pos="709"/>
        </w:tabs>
        <w:spacing w:before="120" w:after="0" w:line="276" w:lineRule="auto"/>
        <w:jc w:val="both"/>
        <w:rPr>
          <w:rFonts w:ascii="Verdana" w:eastAsia="Calibri" w:hAnsi="Verdana" w:cs="Arial"/>
          <w:kern w:val="2"/>
          <w:lang w:val="es-MX"/>
          <w14:ligatures w14:val="standardContextual"/>
        </w:rPr>
      </w:pPr>
      <w:r w:rsidRPr="0007373A">
        <w:rPr>
          <w:rFonts w:ascii="Verdana" w:eastAsia="Calibri" w:hAnsi="Verdana" w:cs="Arial"/>
          <w:kern w:val="2"/>
          <w:lang w:val="es-MX"/>
          <w14:ligatures w14:val="standardContextual"/>
        </w:rPr>
        <w:tab/>
        <w:t xml:space="preserve">Dado lo anterior, para que una oferta sea evaluada, en el marco de procesos de licitación de obra pública de infraestructura de transporte se requiere que la información incluida en el cuestionario de lista de precios de SECOP II coincida con la que figura en los documentos aportados como evidencia, so pena de aplicar la causal de rechazo contemplada en el literal U, pues, la discrepancia de valores entre el cuestionario y los documentos anexos configuraría el supuesto de hecho de presentar más de una oferta económica con valores distintos. </w:t>
      </w:r>
    </w:p>
    <w:p w14:paraId="473F6DD2" w14:textId="77777777" w:rsidR="0007373A" w:rsidRPr="0007373A" w:rsidRDefault="0007373A" w:rsidP="0007373A">
      <w:pPr>
        <w:tabs>
          <w:tab w:val="left" w:pos="709"/>
        </w:tabs>
        <w:spacing w:before="120" w:after="0" w:line="276" w:lineRule="auto"/>
        <w:ind w:firstLine="709"/>
        <w:jc w:val="both"/>
        <w:rPr>
          <w:rFonts w:ascii="Verdana" w:eastAsia="Calibri" w:hAnsi="Verdana" w:cs="Arial"/>
          <w:kern w:val="2"/>
          <w:lang w:val="es-MX"/>
          <w14:ligatures w14:val="standardContextual"/>
        </w:rPr>
      </w:pPr>
      <w:r w:rsidRPr="0007373A">
        <w:rPr>
          <w:rFonts w:ascii="Verdana" w:eastAsia="Calibri" w:hAnsi="Verdana" w:cs="Arial"/>
          <w:kern w:val="2"/>
          <w:lang w:val="es-MX"/>
          <w14:ligatures w14:val="standardContextual"/>
        </w:rPr>
        <w:t xml:space="preserve">Lo anterior, sin perjuicio de lo señalado en párrafos precedentes sobre la interpretación de la </w:t>
      </w:r>
      <w:r w:rsidRPr="0007373A">
        <w:rPr>
          <w:rFonts w:ascii="Verdana" w:eastAsia="Calibri" w:hAnsi="Verdana" w:cs="Arial"/>
          <w:i/>
          <w:iCs/>
          <w:kern w:val="2"/>
          <w:lang w:val="es-MX"/>
          <w14:ligatures w14:val="standardContextual"/>
        </w:rPr>
        <w:t xml:space="preserve">Nota </w:t>
      </w:r>
      <w:r w:rsidRPr="0007373A">
        <w:rPr>
          <w:rFonts w:ascii="Verdana" w:eastAsia="Calibri" w:hAnsi="Verdana" w:cs="Arial"/>
          <w:kern w:val="2"/>
          <w:lang w:val="es-MX"/>
          <w14:ligatures w14:val="standardContextual"/>
        </w:rPr>
        <w:t xml:space="preserve">del numeral 2.3.2 del Documento Base sobre la prevalencia del valor de la oferta consignado en SECOP II, en el sentido de que aquella debe ser entendida respecto al valor total consignado en el Formulario 1 y aquel presentado en SECOP II, de forma que lo importante es que ambos valores totales coincidan –tanto el del Formulario 1 como el del SECOP II– cuando, conforme al proceso de contratación, la entidad solicite lo mismo, so pena de que prevalezca el valor señalado en SECOP II.  </w:t>
      </w:r>
    </w:p>
    <w:p w14:paraId="6764FD09" w14:textId="77777777" w:rsidR="0007373A" w:rsidRPr="0007373A" w:rsidRDefault="0007373A" w:rsidP="0007373A">
      <w:pPr>
        <w:tabs>
          <w:tab w:val="left" w:pos="709"/>
        </w:tabs>
        <w:spacing w:before="120" w:after="120" w:line="276" w:lineRule="auto"/>
        <w:jc w:val="both"/>
        <w:rPr>
          <w:rFonts w:ascii="Verdana" w:eastAsia="Calibri" w:hAnsi="Verdana" w:cs="Arial"/>
          <w:kern w:val="2"/>
          <w:lang w:val="es-MX"/>
          <w14:ligatures w14:val="standardContextual"/>
        </w:rPr>
      </w:pPr>
      <w:r w:rsidRPr="0007373A">
        <w:rPr>
          <w:rFonts w:ascii="Verdana" w:eastAsia="Calibri" w:hAnsi="Verdana" w:cs="Arial"/>
          <w:kern w:val="2"/>
          <w:lang w:val="es-MX"/>
          <w14:ligatures w14:val="standardContextual"/>
        </w:rPr>
        <w:tab/>
        <w:t xml:space="preserve">Con todo, debe desatacarse que siendo la oferta económica un factor sujeto a puntaje en los procesos de licitación de obra pública adelantados con documentos tipo, conforme a la regla de subsanabilidad contenida en el artículo 5 de la Ley 1150 de 2007, no resultaría válido permitir la subsanación, al tratarse de un elemento determinante para la comparación de ofertas. En ese sentido, la causal del literal U aplica una vez la entidad verifique su configuración, sin que sea procedente requerir al proponente para que subsane. </w:t>
      </w:r>
    </w:p>
    <w:p w14:paraId="284C23C1" w14:textId="77777777" w:rsidR="0007373A" w:rsidRPr="0007373A" w:rsidRDefault="0007373A" w:rsidP="0007373A">
      <w:pPr>
        <w:spacing w:after="120" w:line="276" w:lineRule="auto"/>
        <w:ind w:firstLine="709"/>
        <w:jc w:val="both"/>
        <w:rPr>
          <w:rFonts w:ascii="Verdana" w:eastAsia="Calibri" w:hAnsi="Verdana" w:cs="Arial"/>
          <w:color w:val="000000"/>
          <w:kern w:val="2"/>
          <w:lang w:val="es-ES_tradnl"/>
          <w14:ligatures w14:val="standardContextual"/>
        </w:rPr>
      </w:pPr>
      <w:bookmarkStart w:id="5" w:name="_Hlk35535551"/>
      <w:bookmarkStart w:id="6" w:name="_Hlk93486494"/>
      <w:r w:rsidRPr="0007373A">
        <w:rPr>
          <w:rFonts w:ascii="Verdana" w:eastAsia="Calibri" w:hAnsi="Verdana" w:cs="Arial"/>
          <w:color w:val="000000"/>
          <w:kern w:val="2"/>
          <w:lang w:val="es-ES_tradnl"/>
          <w14:ligatures w14:val="standardContextual"/>
        </w:rPr>
        <w:t xml:space="preserve">En todo caso, es necesario considerar el parágrafo 1 del artículo 5 de la Ley 1150 de 2007, modificado por el artículo 5 de la Ley 1882 de 2018, que establece la </w:t>
      </w:r>
      <w:proofErr w:type="spellStart"/>
      <w:r w:rsidRPr="0007373A">
        <w:rPr>
          <w:rFonts w:ascii="Verdana" w:eastAsia="Calibri" w:hAnsi="Verdana" w:cs="Arial"/>
          <w:color w:val="000000"/>
          <w:kern w:val="2"/>
          <w:lang w:val="es-ES_tradnl"/>
          <w14:ligatures w14:val="standardContextual"/>
        </w:rPr>
        <w:t>subsanabilidad</w:t>
      </w:r>
      <w:proofErr w:type="spellEnd"/>
      <w:r w:rsidRPr="0007373A">
        <w:rPr>
          <w:rFonts w:ascii="Verdana" w:eastAsia="Calibri" w:hAnsi="Verdana" w:cs="Arial"/>
          <w:color w:val="000000"/>
          <w:kern w:val="2"/>
          <w:lang w:val="es-ES_tradnl"/>
          <w14:ligatures w14:val="standardContextual"/>
        </w:rPr>
        <w:t xml:space="preserve"> de requisitos o documentos no necesarios para la comparación de las propuestas, es decir, aquellos que no afectan la asignación de puntaje. Sobre el particular, la jurisprudencia del Consejo de Estado, al efectuar la interpretación del parágrafo previamente citado y antes de la modificación introducida por la Ley 1882 de 2018, en concordancia con el </w:t>
      </w:r>
      <w:r w:rsidRPr="0007373A">
        <w:rPr>
          <w:rFonts w:ascii="Verdana" w:eastAsia="Calibri" w:hAnsi="Verdana" w:cs="Arial"/>
          <w:color w:val="000000"/>
          <w:kern w:val="2"/>
          <w:lang w:val="es-ES_tradnl"/>
          <w14:ligatures w14:val="standardContextual"/>
        </w:rPr>
        <w:lastRenderedPageBreak/>
        <w:t xml:space="preserve">numeral 7 del artículo 30 de la Ley 80 de 1993, y con el fin de garantizar el derecho que tienen los oferentes de aclarar aspectos de sus propuestas, interpretó que existe diferencia entre </w:t>
      </w:r>
      <w:r w:rsidRPr="0007373A">
        <w:rPr>
          <w:rFonts w:ascii="Verdana" w:eastAsia="Calibri" w:hAnsi="Verdana" w:cs="Arial"/>
          <w:i/>
          <w:iCs/>
          <w:color w:val="000000"/>
          <w:kern w:val="2"/>
          <w:lang w:val="es-ES_tradnl"/>
          <w14:ligatures w14:val="standardContextual"/>
        </w:rPr>
        <w:t>subsanar</w:t>
      </w:r>
      <w:r w:rsidRPr="0007373A">
        <w:rPr>
          <w:rFonts w:ascii="Verdana" w:eastAsia="Calibri" w:hAnsi="Verdana" w:cs="Arial"/>
          <w:color w:val="000000"/>
          <w:kern w:val="2"/>
          <w:lang w:val="es-ES_tradnl"/>
          <w14:ligatures w14:val="standardContextual"/>
        </w:rPr>
        <w:t xml:space="preserve"> y </w:t>
      </w:r>
      <w:r w:rsidRPr="0007373A">
        <w:rPr>
          <w:rFonts w:ascii="Verdana" w:eastAsia="Calibri" w:hAnsi="Verdana" w:cs="Arial"/>
          <w:i/>
          <w:iCs/>
          <w:color w:val="000000"/>
          <w:kern w:val="2"/>
          <w:lang w:val="es-ES_tradnl"/>
          <w14:ligatures w14:val="standardContextual"/>
        </w:rPr>
        <w:t>aclarar</w:t>
      </w:r>
      <w:r w:rsidRPr="0007373A">
        <w:rPr>
          <w:rFonts w:ascii="Verdana" w:eastAsia="Calibri" w:hAnsi="Verdana" w:cs="Arial"/>
          <w:color w:val="000000"/>
          <w:kern w:val="2"/>
          <w:lang w:val="es-ES_tradnl"/>
          <w14:ligatures w14:val="standardContextual"/>
        </w:rPr>
        <w:t xml:space="preserve">. </w:t>
      </w:r>
    </w:p>
    <w:p w14:paraId="0C0462A8" w14:textId="77777777" w:rsidR="0007373A" w:rsidRPr="0007373A" w:rsidRDefault="0007373A" w:rsidP="0007373A">
      <w:pPr>
        <w:spacing w:before="120" w:after="0" w:line="276" w:lineRule="auto"/>
        <w:ind w:firstLine="709"/>
        <w:jc w:val="both"/>
        <w:rPr>
          <w:rFonts w:ascii="Verdana" w:eastAsia="Calibri" w:hAnsi="Verdana" w:cs="Arial"/>
          <w:color w:val="000000"/>
          <w:kern w:val="2"/>
          <w:lang w:val="es-ES_tradnl"/>
          <w14:ligatures w14:val="standardContextual"/>
        </w:rPr>
      </w:pPr>
      <w:r w:rsidRPr="0007373A">
        <w:rPr>
          <w:rFonts w:ascii="Verdana" w:eastAsia="Calibri" w:hAnsi="Verdana" w:cs="Arial"/>
          <w:color w:val="000000"/>
          <w:kern w:val="2"/>
          <w:lang w:val="es-ES_tradnl"/>
          <w14:ligatures w14:val="standardContextual"/>
        </w:rPr>
        <w:t>El primero se predica de la oportunidad que tienen los proponentes de aportar un requisito que no otorga puntaje y no fue entregado con la propuesta inicial, mientras que el segundo, por su parte, se refiere a aspectos confusos, contradictorios o que generan duda con relación a los requisitos y documentos que se encuentran en la propuesta, incluidos aquellos que otorgan puntaje</w:t>
      </w:r>
      <w:bookmarkEnd w:id="5"/>
      <w:r w:rsidRPr="0007373A">
        <w:rPr>
          <w:rFonts w:ascii="Verdana" w:eastAsia="Calibri" w:hAnsi="Verdana" w:cs="Arial"/>
          <w:color w:val="000000"/>
          <w:kern w:val="2"/>
          <w:lang w:val="es-ES_tradnl"/>
          <w14:ligatures w14:val="standardContextual"/>
        </w:rPr>
        <w:t xml:space="preserve">. Al respecto, la Sección Tercera del Consejo de Estado, en sentencia del 3 de junio de 2015, con ponencia de la </w:t>
      </w:r>
      <w:proofErr w:type="gramStart"/>
      <w:r w:rsidRPr="0007373A">
        <w:rPr>
          <w:rFonts w:ascii="Verdana" w:eastAsia="Calibri" w:hAnsi="Verdana" w:cs="Arial"/>
          <w:color w:val="000000"/>
          <w:kern w:val="2"/>
          <w:lang w:val="es-ES_tradnl"/>
          <w14:ligatures w14:val="standardContextual"/>
        </w:rPr>
        <w:t>Consejera</w:t>
      </w:r>
      <w:proofErr w:type="gramEnd"/>
      <w:r w:rsidRPr="0007373A">
        <w:rPr>
          <w:rFonts w:ascii="Verdana" w:eastAsia="Calibri" w:hAnsi="Verdana" w:cs="Arial"/>
          <w:color w:val="000000"/>
          <w:kern w:val="2"/>
          <w:lang w:val="es-ES_tradnl"/>
          <w14:ligatures w14:val="standardContextual"/>
        </w:rPr>
        <w:t xml:space="preserve"> Olga Mélida Valle De La Hoz señaló:</w:t>
      </w:r>
    </w:p>
    <w:p w14:paraId="1F497BB5" w14:textId="77777777" w:rsidR="0007373A" w:rsidRPr="0007373A" w:rsidRDefault="0007373A" w:rsidP="0007373A">
      <w:pPr>
        <w:spacing w:after="0" w:line="276" w:lineRule="auto"/>
        <w:jc w:val="both"/>
        <w:rPr>
          <w:rFonts w:ascii="Verdana" w:eastAsia="Calibri" w:hAnsi="Verdana" w:cs="Arial"/>
          <w:color w:val="000000"/>
          <w:kern w:val="2"/>
          <w:lang w:val="es-ES_tradnl"/>
          <w14:ligatures w14:val="standardContextual"/>
        </w:rPr>
      </w:pPr>
    </w:p>
    <w:p w14:paraId="611B9CD4" w14:textId="77777777" w:rsidR="0007373A" w:rsidRPr="0007373A" w:rsidRDefault="0007373A" w:rsidP="0007373A">
      <w:pPr>
        <w:spacing w:after="0" w:line="240" w:lineRule="auto"/>
        <w:ind w:left="709" w:right="709"/>
        <w:jc w:val="both"/>
        <w:rPr>
          <w:rFonts w:ascii="Verdana" w:eastAsia="Calibri" w:hAnsi="Verdana" w:cs="Arial"/>
          <w:color w:val="000000"/>
          <w:kern w:val="2"/>
          <w:sz w:val="21"/>
          <w:szCs w:val="21"/>
          <w:lang w:val="es-MX"/>
          <w14:ligatures w14:val="standardContextual"/>
        </w:rPr>
      </w:pPr>
      <w:r w:rsidRPr="0007373A">
        <w:rPr>
          <w:rFonts w:ascii="Verdana" w:eastAsia="Calibri" w:hAnsi="Verdana" w:cs="Arial"/>
          <w:color w:val="000000"/>
          <w:kern w:val="2"/>
          <w:sz w:val="21"/>
          <w:szCs w:val="21"/>
          <w:lang w:val="es-MX"/>
          <w14:ligatures w14:val="standardContextual"/>
        </w:rPr>
        <w:t>“[S]e insiste en que subsanar no es lo mismo que aclarar o explicar, aunque en ocasiones aquél se use como consecuencia de las explicaciones dadas.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w:t>
      </w:r>
      <w:r w:rsidRPr="0007373A">
        <w:rPr>
          <w:rFonts w:ascii="Verdana" w:eastAsia="Calibri" w:hAnsi="Verdana" w:cs="Arial"/>
          <w:color w:val="000000"/>
          <w:kern w:val="2"/>
          <w:sz w:val="21"/>
          <w:szCs w:val="21"/>
          <w:vertAlign w:val="superscript"/>
          <w:lang w:val="es-MX"/>
          <w14:ligatures w14:val="standardContextual"/>
        </w:rPr>
        <w:footnoteReference w:id="6"/>
      </w:r>
      <w:r w:rsidRPr="0007373A">
        <w:rPr>
          <w:rFonts w:ascii="Verdana" w:eastAsia="Calibri" w:hAnsi="Verdana" w:cs="Arial"/>
          <w:color w:val="000000"/>
          <w:kern w:val="2"/>
          <w:sz w:val="21"/>
          <w:szCs w:val="21"/>
          <w:lang w:val="es-MX"/>
          <w14:ligatures w14:val="standardContextual"/>
        </w:rPr>
        <w:t>.</w:t>
      </w:r>
    </w:p>
    <w:p w14:paraId="7B5C5531" w14:textId="77777777" w:rsidR="0007373A" w:rsidRPr="0007373A" w:rsidRDefault="0007373A" w:rsidP="0007373A">
      <w:pPr>
        <w:spacing w:after="0" w:line="276" w:lineRule="auto"/>
        <w:ind w:left="709" w:right="709"/>
        <w:jc w:val="both"/>
        <w:rPr>
          <w:rFonts w:ascii="Verdana" w:eastAsia="Calibri" w:hAnsi="Verdana" w:cs="Arial"/>
          <w:color w:val="000000"/>
          <w:kern w:val="2"/>
          <w:lang w:val="es-MX"/>
          <w14:ligatures w14:val="standardContextual"/>
        </w:rPr>
      </w:pPr>
    </w:p>
    <w:p w14:paraId="203D3363" w14:textId="77777777" w:rsidR="0007373A" w:rsidRPr="0007373A" w:rsidRDefault="0007373A" w:rsidP="0007373A">
      <w:pPr>
        <w:snapToGrid w:val="0"/>
        <w:spacing w:after="120" w:line="276" w:lineRule="auto"/>
        <w:ind w:firstLine="709"/>
        <w:jc w:val="both"/>
        <w:rPr>
          <w:rFonts w:ascii="Verdana" w:eastAsia="Calibri" w:hAnsi="Verdana" w:cs="Arial"/>
          <w:color w:val="000000"/>
          <w:kern w:val="2"/>
          <w:lang w:val="es-MX"/>
          <w14:ligatures w14:val="standardContextual"/>
        </w:rPr>
      </w:pPr>
      <w:r w:rsidRPr="0007373A">
        <w:rPr>
          <w:rFonts w:ascii="Verdana" w:eastAsia="Calibri" w:hAnsi="Verdana" w:cs="Arial"/>
          <w:color w:val="000000"/>
          <w:kern w:val="2"/>
          <w:lang w:val="es-MX"/>
          <w14:ligatures w14:val="standardContextual"/>
        </w:rPr>
        <w:t xml:space="preserve">En consecuencia, cuando la entidad estatal identifique en la oferta económica aspectos que generen dudas, inconsistencias o falta de claridad, puede solicitar aclaración. Frente a la respuesta que den los proponentes, la entidad debe valorar si se trata efectivamente de una aclaración o una subsanación. Si se trata de </w:t>
      </w:r>
      <w:r w:rsidRPr="0007373A">
        <w:rPr>
          <w:rFonts w:ascii="Verdana" w:eastAsia="Calibri" w:hAnsi="Verdana" w:cs="Arial"/>
          <w:i/>
          <w:iCs/>
          <w:color w:val="000000"/>
          <w:kern w:val="2"/>
          <w:lang w:val="es-MX"/>
          <w14:ligatures w14:val="standardContextual"/>
        </w:rPr>
        <w:t>explicaciones o aclaraciones</w:t>
      </w:r>
      <w:r w:rsidRPr="0007373A">
        <w:rPr>
          <w:rFonts w:ascii="Verdana" w:eastAsia="Calibri" w:hAnsi="Verdana" w:cs="Arial"/>
          <w:color w:val="000000"/>
          <w:kern w:val="2"/>
          <w:lang w:val="es-MX"/>
          <w14:ligatures w14:val="standardContextual"/>
        </w:rPr>
        <w:t xml:space="preserve"> deben ser admitidas por la entidad estatal; por el contrario, si es una </w:t>
      </w:r>
      <w:r w:rsidRPr="0007373A">
        <w:rPr>
          <w:rFonts w:ascii="Verdana" w:eastAsia="Calibri" w:hAnsi="Verdana" w:cs="Arial"/>
          <w:i/>
          <w:iCs/>
          <w:color w:val="000000"/>
          <w:kern w:val="2"/>
          <w:lang w:val="es-MX"/>
          <w14:ligatures w14:val="standardContextual"/>
        </w:rPr>
        <w:t>subsanación</w:t>
      </w:r>
      <w:r w:rsidRPr="0007373A">
        <w:rPr>
          <w:rFonts w:ascii="Verdana" w:eastAsia="Calibri" w:hAnsi="Verdana" w:cs="Arial"/>
          <w:color w:val="000000"/>
          <w:kern w:val="2"/>
          <w:lang w:val="es-MX"/>
          <w14:ligatures w14:val="standardContextual"/>
        </w:rPr>
        <w:t>, en aplicación del parágrafo 1 del artículo 5 de la Ley 1150 de 2007 no será admisible y se deberá analizar la adecuación de la falencia a las causales de rechazo contenidas en el numeral 1.15 del Documento Base o las prescritas en la ley.</w:t>
      </w:r>
      <w:bookmarkEnd w:id="4"/>
      <w:bookmarkEnd w:id="6"/>
    </w:p>
    <w:p w14:paraId="66E916BC" w14:textId="77777777" w:rsidR="0007373A" w:rsidRPr="0007373A" w:rsidRDefault="0007373A" w:rsidP="0007373A">
      <w:pPr>
        <w:snapToGrid w:val="0"/>
        <w:spacing w:after="120" w:line="276" w:lineRule="auto"/>
        <w:ind w:firstLine="708"/>
        <w:jc w:val="both"/>
        <w:rPr>
          <w:rFonts w:ascii="Verdana" w:eastAsia="Calibri" w:hAnsi="Verdana" w:cs="Arial"/>
          <w:kern w:val="2"/>
          <w:lang w:val="es-ES" w:eastAsia="es-ES" w:bidi="es-ES"/>
          <w14:ligatures w14:val="standardContextual"/>
        </w:rPr>
      </w:pPr>
      <w:r w:rsidRPr="0007373A">
        <w:rPr>
          <w:rFonts w:ascii="Verdana" w:eastAsia="Calibri" w:hAnsi="Verdana" w:cs="Arial"/>
          <w:kern w:val="2"/>
          <w:lang w:val="es-ES" w:eastAsia="es-ES" w:bidi="es-ES"/>
          <w14:ligatures w14:val="standardContextual"/>
        </w:rPr>
        <w:t xml:space="preserve">Con todo, estas causales, así como las demás previstas en el Documento Base deben ser aplicadas por las Entidades Estatales, a quienes corresponde </w:t>
      </w:r>
      <w:r w:rsidRPr="0007373A">
        <w:rPr>
          <w:rFonts w:ascii="Verdana" w:eastAsia="Calibri" w:hAnsi="Verdana" w:cs="Arial"/>
          <w:kern w:val="2"/>
          <w:lang w:val="es-ES" w:eastAsia="es-ES" w:bidi="es-ES"/>
          <w14:ligatures w14:val="standardContextual"/>
        </w:rPr>
        <w:lastRenderedPageBreak/>
        <w:t xml:space="preserve">establecer en cada concreto si la situación evidenciada en la presentación de la oferta configura alguno de los supuestos de hecho establecidos en las mismas, ciñéndose por un criterio de interpretación restrictiva.  </w:t>
      </w:r>
    </w:p>
    <w:p w14:paraId="171A05DD" w14:textId="77777777" w:rsidR="0007373A" w:rsidRPr="0007373A" w:rsidRDefault="0007373A" w:rsidP="0007373A">
      <w:pPr>
        <w:snapToGrid w:val="0"/>
        <w:spacing w:after="120" w:line="276" w:lineRule="auto"/>
        <w:ind w:firstLine="708"/>
        <w:jc w:val="both"/>
        <w:rPr>
          <w:rFonts w:ascii="Verdana" w:eastAsia="Calibri" w:hAnsi="Verdana" w:cs="Arial"/>
          <w:kern w:val="2"/>
          <w:lang w:val="es-ES" w:eastAsia="es-ES" w:bidi="es-ES"/>
          <w14:ligatures w14:val="standardContextual"/>
        </w:rPr>
      </w:pPr>
      <w:r w:rsidRPr="0007373A">
        <w:rPr>
          <w:rFonts w:ascii="Verdana" w:eastAsia="Calibri" w:hAnsi="Verdana" w:cs="Arial"/>
          <w:kern w:val="2"/>
          <w:lang w:val="es-ES" w:eastAsia="es-ES" w:bidi="es-ES"/>
          <w14:ligatures w14:val="standardContextual"/>
        </w:rPr>
        <w:t xml:space="preserve">Finalmente, en atención a su consulta y a la regla de </w:t>
      </w:r>
      <w:proofErr w:type="spellStart"/>
      <w:r w:rsidRPr="0007373A">
        <w:rPr>
          <w:rFonts w:ascii="Verdana" w:eastAsia="Calibri" w:hAnsi="Verdana" w:cs="Arial"/>
          <w:kern w:val="2"/>
          <w:lang w:val="es-ES" w:eastAsia="es-ES" w:bidi="es-ES"/>
          <w14:ligatures w14:val="standardContextual"/>
        </w:rPr>
        <w:t>subsanbilidad</w:t>
      </w:r>
      <w:proofErr w:type="spellEnd"/>
      <w:r w:rsidRPr="0007373A">
        <w:rPr>
          <w:rFonts w:ascii="Verdana" w:eastAsia="Calibri" w:hAnsi="Verdana" w:cs="Arial"/>
          <w:kern w:val="2"/>
          <w:lang w:val="es-ES" w:eastAsia="es-ES" w:bidi="es-ES"/>
          <w14:ligatures w14:val="standardContextual"/>
        </w:rPr>
        <w:t xml:space="preserve"> desarrollada, es importante poner de presente que, el “Formulario 1 – Presupuesto Oficial” señala que este puede ser utilizado por la entidad para que el proponente presente la propuesta económica, </w:t>
      </w:r>
      <w:r w:rsidRPr="0007373A">
        <w:rPr>
          <w:rFonts w:ascii="Verdana" w:eastAsia="Calibri" w:hAnsi="Verdana" w:cs="Arial"/>
          <w:i/>
          <w:iCs/>
          <w:kern w:val="2"/>
          <w:lang w:val="es-ES" w:eastAsia="es-ES" w:bidi="es-ES"/>
          <w14:ligatures w14:val="standardContextual"/>
        </w:rPr>
        <w:t>“sin perjuicio que la entidad pueda modificarlo o establecer la presentación de la oferta económica con un formulario distinto al indicado”.</w:t>
      </w:r>
    </w:p>
    <w:p w14:paraId="5C5FA169" w14:textId="77777777" w:rsidR="0007373A" w:rsidRPr="0007373A" w:rsidRDefault="0007373A" w:rsidP="0007373A">
      <w:pPr>
        <w:spacing w:after="0" w:line="276" w:lineRule="auto"/>
        <w:ind w:firstLine="708"/>
        <w:jc w:val="both"/>
        <w:rPr>
          <w:rFonts w:ascii="Verdana" w:eastAsia="Calibri" w:hAnsi="Verdana" w:cs="Arial"/>
          <w:color w:val="000000"/>
          <w:kern w:val="2"/>
          <w:lang w:val="es-MX"/>
          <w14:ligatures w14:val="standardContextual"/>
        </w:rPr>
      </w:pPr>
      <w:r w:rsidRPr="0007373A">
        <w:rPr>
          <w:rFonts w:ascii="Verdana" w:eastAsia="Calibri" w:hAnsi="Verdana" w:cs="Arial"/>
          <w:kern w:val="2"/>
          <w:lang w:val="es-ES" w:eastAsia="es-ES" w:bidi="es-ES"/>
          <w14:ligatures w14:val="standardContextual"/>
        </w:rPr>
        <w:t xml:space="preserve">Por esa razón, eventualmente un Formulario 1 no firmado podría ser válido, siempre y cuando la entidad así lo haya dispuesto de manera expresa. En caso contrario, la firma será necesaria, pero, en cualquier circunstancia, corresponde a la Entidad Estatal determinar la sustancialidad y/o incidencia de la falta de firma, dependiendo de si, por ejemplo, la oferta fue presentada a través del SECOP II por parte de un usuario que tiene o no la capacidad legal de obligar al proponente. </w:t>
      </w:r>
    </w:p>
    <w:p w14:paraId="5BC026D7" w14:textId="77777777" w:rsidR="0007373A" w:rsidRPr="0007373A" w:rsidRDefault="0007373A" w:rsidP="0007373A">
      <w:pPr>
        <w:snapToGrid w:val="0"/>
        <w:spacing w:after="0" w:line="276" w:lineRule="auto"/>
        <w:jc w:val="both"/>
        <w:rPr>
          <w:rFonts w:ascii="Verdana" w:eastAsia="Calibri" w:hAnsi="Verdana" w:cs="Arial"/>
          <w:lang w:val="es-ES_tradnl"/>
        </w:rPr>
      </w:pPr>
    </w:p>
    <w:p w14:paraId="759EDCF2" w14:textId="77777777" w:rsidR="0007373A" w:rsidRPr="0007373A" w:rsidRDefault="0007373A" w:rsidP="0007373A">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07373A">
        <w:rPr>
          <w:rFonts w:ascii="Verdana" w:eastAsia="Century Gothic" w:hAnsi="Verdana" w:cs="Century Gothic"/>
          <w:b/>
          <w:bCs/>
          <w:lang w:val="es-ES_tradnl"/>
        </w:rPr>
        <w:t>Referencias normativas, jurisprudenciales y otras fuentes:</w:t>
      </w:r>
    </w:p>
    <w:p w14:paraId="6A8F1DC2" w14:textId="77777777" w:rsidR="0007373A" w:rsidRPr="0007373A" w:rsidRDefault="0007373A" w:rsidP="0007373A">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07373A" w:rsidRPr="0007373A" w14:paraId="44B16404" w14:textId="77777777" w:rsidTr="005F6BA4">
        <w:trPr>
          <w:trHeight w:val="870"/>
        </w:trPr>
        <w:tc>
          <w:tcPr>
            <w:tcW w:w="8647" w:type="dxa"/>
          </w:tcPr>
          <w:p w14:paraId="0F758069" w14:textId="77777777" w:rsidR="0007373A" w:rsidRPr="0007373A" w:rsidRDefault="0007373A" w:rsidP="0007373A">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07373A">
              <w:rPr>
                <w:rFonts w:ascii="Verdana" w:eastAsia="Calibri" w:hAnsi="Verdana" w:cs="Arial"/>
                <w:lang w:val="es-ES_tradnl"/>
              </w:rPr>
              <w:t xml:space="preserve">Ley 2022 de 2020, artículo 1. </w:t>
            </w:r>
          </w:p>
          <w:p w14:paraId="29CBE2F6" w14:textId="77777777" w:rsidR="0007373A" w:rsidRPr="0007373A" w:rsidRDefault="0007373A" w:rsidP="0007373A">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07373A">
              <w:rPr>
                <w:rFonts w:ascii="Verdana" w:eastAsia="Aptos" w:hAnsi="Verdana" w:cs="Arial"/>
                <w:color w:val="000000"/>
                <w:lang w:val="es-ES_tradnl"/>
              </w:rPr>
              <w:t>Ley 1882 de 2018, artículo 1.</w:t>
            </w:r>
          </w:p>
          <w:p w14:paraId="0DCEAE4B" w14:textId="77777777" w:rsidR="0007373A" w:rsidRPr="0007373A" w:rsidRDefault="0007373A" w:rsidP="0007373A">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07373A">
              <w:rPr>
                <w:rFonts w:ascii="Verdana" w:eastAsia="Calibri" w:hAnsi="Verdana" w:cs="Arial"/>
                <w:lang w:val="es-ES_tradnl"/>
              </w:rPr>
              <w:t xml:space="preserve">Decreto 1082 de 2015, artículo </w:t>
            </w:r>
            <w:r w:rsidRPr="0007373A">
              <w:rPr>
                <w:rFonts w:ascii="Verdana" w:eastAsia="Aptos" w:hAnsi="Verdana" w:cs="Arial"/>
                <w:color w:val="000000"/>
                <w:lang w:val="es-ES_tradnl"/>
              </w:rPr>
              <w:t>2.2.1.1.2.1.1.</w:t>
            </w:r>
          </w:p>
          <w:p w14:paraId="4D012C31" w14:textId="77777777" w:rsidR="0007373A" w:rsidRPr="0007373A" w:rsidRDefault="0007373A" w:rsidP="0007373A">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07373A">
              <w:rPr>
                <w:rFonts w:ascii="Verdana" w:eastAsia="Aptos" w:hAnsi="Verdana" w:cs="Arial"/>
                <w:color w:val="000000"/>
                <w:lang w:val="es-ES_tradnl"/>
              </w:rPr>
              <w:t xml:space="preserve">CONSEJO DE ESTADO. Sección Tercera. Sentencia del 27 de abril de 2011. </w:t>
            </w:r>
            <w:proofErr w:type="spellStart"/>
            <w:r w:rsidRPr="0007373A">
              <w:rPr>
                <w:rFonts w:ascii="Verdana" w:eastAsia="Aptos" w:hAnsi="Verdana" w:cs="Arial"/>
                <w:color w:val="000000"/>
                <w:lang w:val="es-ES_tradnl"/>
              </w:rPr>
              <w:t>Exp</w:t>
            </w:r>
            <w:proofErr w:type="spellEnd"/>
            <w:r w:rsidRPr="0007373A">
              <w:rPr>
                <w:rFonts w:ascii="Verdana" w:eastAsia="Aptos" w:hAnsi="Verdana" w:cs="Arial"/>
                <w:color w:val="000000"/>
                <w:lang w:val="es-ES_tradnl"/>
              </w:rPr>
              <w:t>. 18.293. C.P. Ruth Stella Correa Palacio.</w:t>
            </w:r>
          </w:p>
          <w:p w14:paraId="41092F70" w14:textId="77777777" w:rsidR="0007373A" w:rsidRPr="0007373A" w:rsidRDefault="0007373A" w:rsidP="0007373A">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07373A">
              <w:rPr>
                <w:rFonts w:ascii="Verdana" w:eastAsia="Aptos" w:hAnsi="Verdana" w:cs="Arial"/>
                <w:color w:val="000000"/>
                <w:lang w:val="es-ES_tradnl"/>
              </w:rPr>
              <w:t xml:space="preserve">CONSEJO DE ESTADO. Sección Tercera. Sentencia del 3 de junio de 2015. C.P. Olga Mélida Valle De La Hoz. </w:t>
            </w:r>
            <w:proofErr w:type="spellStart"/>
            <w:r w:rsidRPr="0007373A">
              <w:rPr>
                <w:rFonts w:ascii="Verdana" w:eastAsia="Aptos" w:hAnsi="Verdana" w:cs="Arial"/>
                <w:color w:val="000000"/>
                <w:lang w:val="es-ES_tradnl"/>
              </w:rPr>
              <w:t>Exp</w:t>
            </w:r>
            <w:proofErr w:type="spellEnd"/>
            <w:r w:rsidRPr="0007373A">
              <w:rPr>
                <w:rFonts w:ascii="Verdana" w:eastAsia="Aptos" w:hAnsi="Verdana" w:cs="Arial"/>
                <w:color w:val="000000"/>
                <w:lang w:val="es-ES_tradnl"/>
              </w:rPr>
              <w:t>. 31211.</w:t>
            </w:r>
          </w:p>
          <w:p w14:paraId="186DBB26" w14:textId="77777777" w:rsidR="0007373A" w:rsidRPr="0007373A" w:rsidRDefault="0007373A" w:rsidP="0007373A">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07373A">
              <w:rPr>
                <w:rFonts w:ascii="Verdana" w:eastAsia="Calibri" w:hAnsi="Verdana" w:cs="Arial"/>
                <w:lang w:val="es-ES_tradnl"/>
              </w:rPr>
              <w:t xml:space="preserve">Documentos Tipo de licitación de obra pública de infraestructura de transporte –versión 4–. Disponibles en: </w:t>
            </w:r>
            <w:hyperlink r:id="rId11" w:history="1">
              <w:r w:rsidRPr="0007373A">
                <w:rPr>
                  <w:rFonts w:ascii="Verdana" w:eastAsia="Calibri" w:hAnsi="Verdana" w:cs="Arial"/>
                  <w:color w:val="0000FF"/>
                  <w:u w:val="single"/>
                  <w:lang w:val="es-ES_tradnl"/>
                </w:rPr>
                <w:t>https://www.colombiacompra.gov.co/normativa-y-relatoria/documentos-tipo</w:t>
              </w:r>
            </w:hyperlink>
            <w:r w:rsidRPr="0007373A">
              <w:rPr>
                <w:rFonts w:ascii="Verdana" w:eastAsia="Calibri" w:hAnsi="Verdana" w:cs="Arial"/>
                <w:lang w:val="es-ES_tradnl"/>
              </w:rPr>
              <w:t xml:space="preserve">. </w:t>
            </w:r>
          </w:p>
        </w:tc>
      </w:tr>
    </w:tbl>
    <w:p w14:paraId="6456C4AB" w14:textId="77777777" w:rsidR="0007373A" w:rsidRPr="0007373A" w:rsidRDefault="0007373A" w:rsidP="0007373A">
      <w:pPr>
        <w:widowControl w:val="0"/>
        <w:autoSpaceDE w:val="0"/>
        <w:autoSpaceDN w:val="0"/>
        <w:snapToGrid w:val="0"/>
        <w:spacing w:after="0" w:line="276" w:lineRule="auto"/>
        <w:jc w:val="both"/>
        <w:rPr>
          <w:rFonts w:ascii="Verdana" w:eastAsia="Calibri" w:hAnsi="Verdana" w:cs="Arial"/>
          <w:lang w:val="es-ES_tradnl"/>
        </w:rPr>
      </w:pPr>
    </w:p>
    <w:p w14:paraId="6FC3BE71" w14:textId="77777777" w:rsidR="0007373A" w:rsidRPr="0007373A" w:rsidRDefault="0007373A" w:rsidP="0007373A">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07373A">
        <w:rPr>
          <w:rFonts w:ascii="Verdana" w:eastAsia="Century Gothic" w:hAnsi="Verdana" w:cs="Century Gothic"/>
          <w:b/>
          <w:bCs/>
          <w:lang w:val="es-ES_tradnl"/>
        </w:rPr>
        <w:t>Doctrina de la Agencia Nacional de Contratación Pública:</w:t>
      </w:r>
    </w:p>
    <w:p w14:paraId="436DEB96" w14:textId="77777777" w:rsidR="0007373A" w:rsidRPr="0007373A" w:rsidRDefault="0007373A" w:rsidP="0007373A">
      <w:pPr>
        <w:widowControl w:val="0"/>
        <w:autoSpaceDE w:val="0"/>
        <w:autoSpaceDN w:val="0"/>
        <w:snapToGrid w:val="0"/>
        <w:spacing w:after="0" w:line="276" w:lineRule="auto"/>
        <w:jc w:val="both"/>
        <w:rPr>
          <w:rFonts w:ascii="Verdana" w:eastAsia="Calibri" w:hAnsi="Verdana" w:cs="Arial"/>
          <w:lang w:val="es-ES_tradnl"/>
        </w:rPr>
      </w:pPr>
    </w:p>
    <w:p w14:paraId="6AF3C11E" w14:textId="77777777" w:rsidR="0007373A" w:rsidRPr="0007373A" w:rsidRDefault="0007373A" w:rsidP="0007373A">
      <w:pPr>
        <w:widowControl w:val="0"/>
        <w:autoSpaceDE w:val="0"/>
        <w:autoSpaceDN w:val="0"/>
        <w:snapToGrid w:val="0"/>
        <w:spacing w:after="0" w:line="276" w:lineRule="auto"/>
        <w:jc w:val="both"/>
        <w:rPr>
          <w:rFonts w:ascii="Verdana" w:eastAsia="Calibri" w:hAnsi="Verdana" w:cs="Arial"/>
          <w:kern w:val="2"/>
          <w:shd w:val="clear" w:color="auto" w:fill="FFFFFF"/>
          <w:lang w:val="es-ES_tradnl"/>
          <w14:ligatures w14:val="standardContextual"/>
        </w:rPr>
      </w:pPr>
      <w:r w:rsidRPr="0007373A">
        <w:rPr>
          <w:rFonts w:ascii="Verdana" w:eastAsia="Calibri" w:hAnsi="Verdana" w:cs="Arial"/>
          <w:kern w:val="2"/>
          <w:shd w:val="clear" w:color="auto" w:fill="FFFFFF"/>
          <w:lang w:val="es-ES"/>
          <w14:ligatures w14:val="standardContextual"/>
        </w:rPr>
        <w:t xml:space="preserve">La Agencia Nacional de Contratación Pública − Colombia Compra Eficiente se </w:t>
      </w:r>
      <w:r w:rsidRPr="0007373A">
        <w:rPr>
          <w:rFonts w:ascii="Verdana" w:eastAsia="Calibri" w:hAnsi="Verdana" w:cs="Arial"/>
          <w:kern w:val="2"/>
          <w:shd w:val="clear" w:color="auto" w:fill="FFFFFF"/>
          <w:lang w:val="es-ES"/>
          <w14:ligatures w14:val="standardContextual"/>
        </w:rPr>
        <w:lastRenderedPageBreak/>
        <w:t xml:space="preserve">pronunció acerca del Formulario 1 – Formulario de Presupuesto Oficial de los Documentos Tipo, en los conceptos con radicado No. 4201912000004987 del 14 de agosto de 2019, 4201913000005675 del 25 de septiembre de 2019, 4201912000005852 del 25 de septiembre de 2019, 4201912000006447 del 10 de octubre de 2019, 4201912000006498 del 7 de octubre de 2019, 4201912000007471 del 13 de noviembre de 2019, C – 016 de 2020 del 21 de abril de 2020, C – 037 de 2020 del 28 de enero de 2020, C – 038 de 2020 del 28 de enero de 2020, C – 093 de 2020 del 28 de febrero de 2020, C – 133 del 30 de marzo de 2020, C – 153 del 1 de abril de 2020, C – 704 del 11 de diciembre del 2020, C – 070 del 16 de marzo de 2021, C – 204 del 6 de mayo de 2021, C – 435 de 1 de septiembre de 2021, C – 640 del 12 de noviembre de 2021, C – 121 del 13 de junio de 2024, C-131 del 30 de julio de 2024 y C-352 del 2 de mayo de 2025. </w:t>
      </w:r>
      <w:r w:rsidRPr="0007373A">
        <w:rPr>
          <w:rFonts w:ascii="Verdana" w:eastAsia="Calibri" w:hAnsi="Verdana" w:cs="Arial"/>
          <w:kern w:val="2"/>
          <w:shd w:val="clear" w:color="auto" w:fill="FFFFFF"/>
          <w:lang w:val="es-ES_tradnl"/>
          <w14:ligatures w14:val="standardContextual"/>
        </w:rPr>
        <w:t>De igual modo, esta Agencia se refirió a las causales de rechazo incorporadas en los pliegos de condiciones, en los conceptos 2201913000007117 del 25 de septiembre de 2019, 2201913000009538 del 23 de diciembre de 2019, C-716 del 30 de octubre de 2020, C-096 del 24 de marzo de 2021, C-056 del 20 de abril de 2021, C-078 del 15 de marzo de 2022, C-321 del 17 de mayo de 2022, C-113 del 22 de marzo de 2022, C-178, C-186 del 12 de abril de 2022, C-406 del 2 de octubre de 2023, C-128 del 2 de agosto de 2024, C-047 del 28 de febrero de 2025, C-326 del 25 de abril de 2025, entre otros.</w:t>
      </w:r>
    </w:p>
    <w:p w14:paraId="24447DC2" w14:textId="77777777" w:rsidR="0007373A" w:rsidRPr="0007373A" w:rsidRDefault="0007373A" w:rsidP="0007373A">
      <w:pPr>
        <w:widowControl w:val="0"/>
        <w:autoSpaceDE w:val="0"/>
        <w:autoSpaceDN w:val="0"/>
        <w:snapToGrid w:val="0"/>
        <w:spacing w:after="0" w:line="276" w:lineRule="auto"/>
        <w:jc w:val="both"/>
        <w:rPr>
          <w:rFonts w:ascii="Verdana" w:eastAsia="Calibri" w:hAnsi="Verdana" w:cs="Arial"/>
          <w:kern w:val="2"/>
          <w:shd w:val="clear" w:color="auto" w:fill="FFFFFF"/>
          <w:lang w:val="es-ES_tradnl"/>
          <w14:ligatures w14:val="standardContextual"/>
        </w:rPr>
      </w:pPr>
    </w:p>
    <w:p w14:paraId="729937A4" w14:textId="77777777" w:rsidR="0007373A" w:rsidRPr="0007373A" w:rsidRDefault="0007373A" w:rsidP="0007373A">
      <w:pPr>
        <w:widowControl w:val="0"/>
        <w:autoSpaceDE w:val="0"/>
        <w:autoSpaceDN w:val="0"/>
        <w:spacing w:after="0" w:line="276" w:lineRule="auto"/>
        <w:jc w:val="both"/>
        <w:rPr>
          <w:rFonts w:ascii="Verdana" w:eastAsia="Times New Roman" w:hAnsi="Verdana" w:cs="Arial"/>
          <w:kern w:val="2"/>
          <w:shd w:val="clear" w:color="auto" w:fill="FFFFFF"/>
          <w:lang w:val="es-ES_tradnl"/>
          <w14:ligatures w14:val="standardContextual"/>
        </w:rPr>
      </w:pPr>
      <w:r w:rsidRPr="0007373A">
        <w:rPr>
          <w:rFonts w:ascii="Verdana" w:eastAsia="Times New Roman" w:hAnsi="Verdana" w:cs="Arial"/>
          <w:kern w:val="2"/>
          <w:shd w:val="clear" w:color="auto" w:fill="FFFFFF"/>
          <w:lang w:val="es-ES_tradnl"/>
          <w14:ligatures w14:val="standardContextual"/>
        </w:rPr>
        <w:t>Esos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07373A">
          <w:rPr>
            <w:rFonts w:ascii="Verdana" w:eastAsia="Times New Roman" w:hAnsi="Verdana" w:cs="Arial"/>
            <w:kern w:val="2"/>
            <w:shd w:val="clear" w:color="auto" w:fill="FFFFFF"/>
            <w:lang w:val="es-ES_tradnl"/>
            <w14:ligatures w14:val="standardContextual"/>
          </w:rPr>
          <w:t>https://relatoria.colombiacompra.gov.co/</w:t>
        </w:r>
      </w:hyperlink>
      <w:r w:rsidRPr="0007373A">
        <w:rPr>
          <w:rFonts w:ascii="Verdana" w:eastAsia="Times New Roman" w:hAnsi="Verdana" w:cs="Arial"/>
          <w:kern w:val="2"/>
          <w:shd w:val="clear" w:color="auto" w:fill="FFFFFF"/>
          <w:lang w:val="es-ES_tradnl"/>
          <w14:ligatures w14:val="standardContextual"/>
        </w:rPr>
        <w:t>.</w:t>
      </w:r>
    </w:p>
    <w:p w14:paraId="7AF8894F" w14:textId="77777777" w:rsidR="0007373A" w:rsidRPr="0007373A" w:rsidRDefault="0007373A" w:rsidP="0007373A">
      <w:pPr>
        <w:spacing w:after="0" w:line="240" w:lineRule="auto"/>
        <w:jc w:val="both"/>
        <w:rPr>
          <w:rFonts w:ascii="Verdana" w:eastAsia="Calibri" w:hAnsi="Verdana" w:cs="Arial"/>
          <w:color w:val="000000"/>
          <w:kern w:val="2"/>
          <w:shd w:val="clear" w:color="auto" w:fill="FFFFFF"/>
          <w:lang w:val="es-ES_tradnl"/>
          <w14:ligatures w14:val="standardContextual"/>
        </w:rPr>
      </w:pPr>
    </w:p>
    <w:p w14:paraId="2BB889EC" w14:textId="77777777" w:rsidR="0007373A" w:rsidRPr="0007373A" w:rsidRDefault="0007373A" w:rsidP="0007373A">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07373A">
        <w:rPr>
          <w:rFonts w:ascii="Verdana" w:eastAsia="Calibri" w:hAnsi="Verdana" w:cs="Arial"/>
          <w:kern w:val="2"/>
          <w:shd w:val="clear" w:color="auto" w:fill="FFFFFF"/>
          <w:lang w:val="es-ES_tradnl"/>
          <w14:ligatures w14:val="standardContextual"/>
        </w:rPr>
        <w:t>La</w:t>
      </w:r>
      <w:r w:rsidRPr="0007373A">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07373A">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07373A">
        <w:rPr>
          <w:rFonts w:ascii="Verdana" w:eastAsia="Calibri" w:hAnsi="Verdana" w:cs="Arial"/>
          <w:b/>
          <w:bCs/>
          <w:kern w:val="2"/>
          <w:shd w:val="clear" w:color="auto" w:fill="FFFFFF"/>
          <w:lang w:val="es-ES_tradnl"/>
          <w14:ligatures w14:val="standardContextual"/>
        </w:rPr>
        <w:t>Documentos Tipo</w:t>
      </w:r>
      <w:r w:rsidRPr="0007373A">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07373A">
        <w:rPr>
          <w:rFonts w:ascii="Verdana" w:eastAsia="Calibri" w:hAnsi="Verdana" w:cs="Arial"/>
          <w:b/>
          <w:bCs/>
          <w:kern w:val="2"/>
          <w:shd w:val="clear" w:color="auto" w:fill="FFFFFF"/>
          <w:lang w:val="es-ES_tradnl"/>
          <w14:ligatures w14:val="standardContextual"/>
        </w:rPr>
        <w:t>transparencia</w:t>
      </w:r>
      <w:r w:rsidRPr="0007373A">
        <w:rPr>
          <w:rFonts w:ascii="Verdana" w:eastAsia="Calibri" w:hAnsi="Verdana" w:cs="Arial"/>
          <w:kern w:val="2"/>
          <w:shd w:val="clear" w:color="auto" w:fill="FFFFFF"/>
          <w:lang w:val="es-ES_tradnl"/>
          <w14:ligatures w14:val="standardContextual"/>
        </w:rPr>
        <w:t> y promover un proceso de </w:t>
      </w:r>
      <w:r w:rsidRPr="0007373A">
        <w:rPr>
          <w:rFonts w:ascii="Verdana" w:eastAsia="Calibri" w:hAnsi="Verdana" w:cs="Arial"/>
          <w:b/>
          <w:bCs/>
          <w:kern w:val="2"/>
          <w:shd w:val="clear" w:color="auto" w:fill="FFFFFF"/>
          <w:lang w:val="es-ES_tradnl"/>
          <w14:ligatures w14:val="standardContextual"/>
        </w:rPr>
        <w:t>selección objetiva</w:t>
      </w:r>
      <w:r w:rsidRPr="0007373A">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618FDDB4" w14:textId="77777777" w:rsidR="0007373A" w:rsidRPr="0007373A" w:rsidRDefault="0007373A" w:rsidP="0007373A">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67391A5B" w14:textId="77777777" w:rsidR="0007373A" w:rsidRPr="0007373A" w:rsidRDefault="0007373A" w:rsidP="0007373A">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07373A">
        <w:rPr>
          <w:rFonts w:ascii="Verdana" w:eastAsia="Calibri" w:hAnsi="Verdana" w:cs="Arial"/>
          <w:kern w:val="2"/>
          <w:shd w:val="clear" w:color="auto" w:fill="FFFFFF"/>
          <w:lang w:val="es-ES_tradnl"/>
          <w14:ligatures w14:val="standardContextual"/>
        </w:rPr>
        <w:t>También, le contamos que ya se encuentra disponible la </w:t>
      </w:r>
      <w:r w:rsidRPr="0007373A">
        <w:rPr>
          <w:rFonts w:ascii="Verdana" w:eastAsia="Calibri" w:hAnsi="Verdana" w:cs="Arial"/>
          <w:b/>
          <w:bCs/>
          <w:kern w:val="2"/>
          <w:shd w:val="clear" w:color="auto" w:fill="FFFFFF"/>
          <w:lang w:val="es-ES_tradnl"/>
          <w14:ligatures w14:val="standardContextual"/>
        </w:rPr>
        <w:t>Guía de lineamientos de transparencia y selección objetiva para el departamento de La Guajira – Objetivo sexto constitucional de la Sentencia T-302 del 2017. </w:t>
      </w:r>
      <w:r w:rsidRPr="0007373A">
        <w:rPr>
          <w:rFonts w:ascii="Verdana" w:eastAsia="Calibri" w:hAnsi="Verdana" w:cs="Arial"/>
          <w:kern w:val="2"/>
          <w:shd w:val="clear" w:color="auto" w:fill="FFFFFF"/>
          <w:lang w:val="es-ES_tradnl"/>
          <w14:ligatures w14:val="standardContextual"/>
        </w:rPr>
        <w:t xml:space="preserve">Esta Guía se expide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7373A">
        <w:rPr>
          <w:rFonts w:ascii="Verdana" w:eastAsia="Calibri" w:hAnsi="Verdana" w:cs="Arial"/>
          <w:kern w:val="2"/>
          <w:shd w:val="clear" w:color="auto" w:fill="FFFFFF"/>
          <w:lang w:val="es-ES_tradnl"/>
          <w14:ligatures w14:val="standardContextual"/>
        </w:rPr>
        <w:t>Wayúu</w:t>
      </w:r>
      <w:proofErr w:type="spellEnd"/>
      <w:r w:rsidRPr="0007373A">
        <w:rPr>
          <w:rFonts w:ascii="Verdana" w:eastAsia="Calibri" w:hAnsi="Verdana" w:cs="Arial"/>
          <w:kern w:val="2"/>
          <w:shd w:val="clear" w:color="auto" w:fill="FFFFFF"/>
          <w:lang w:val="es-ES_tradnl"/>
          <w14:ligatures w14:val="standardContextual"/>
        </w:rPr>
        <w:t>. Puede consultar la guía en el siguiente enlace: </w:t>
      </w:r>
      <w:hyperlink r:id="rId13" w:tgtFrame="_blank" w:tooltip="Original URL: https://www.colombiacompra.gov.co/wp-content/uploads/2025/05/GUIA-DE-LINEAMIENTOS-DE-TRANSPARENCIA-Y-SELECCION-OBJETIVA-1.0.pdf. Click or tap if you trust this link." w:history="1">
        <w:r w:rsidRPr="0007373A">
          <w:rPr>
            <w:rFonts w:ascii="Verdana" w:eastAsia="Calibri" w:hAnsi="Verdana" w:cs="Arial"/>
            <w:color w:val="0000FF"/>
            <w:kern w:val="2"/>
            <w:u w:val="single"/>
            <w:shd w:val="clear" w:color="auto" w:fill="FFFFFF"/>
            <w:lang w:val="es-ES_tradnl"/>
            <w14:ligatures w14:val="standardContextual"/>
          </w:rPr>
          <w:t>Guía de lineamientos de transparencia y selección objetiva para el departamento de La Guajira – Objetivo sexto constitucional de la Sentencia T-302 del 2017</w:t>
        </w:r>
      </w:hyperlink>
      <w:r w:rsidRPr="0007373A">
        <w:rPr>
          <w:rFonts w:ascii="Verdana" w:eastAsia="Calibri" w:hAnsi="Verdana" w:cs="Arial"/>
          <w:kern w:val="2"/>
          <w:u w:val="single"/>
          <w:shd w:val="clear" w:color="auto" w:fill="FFFFFF"/>
          <w:lang w:val="es-ES_tradnl"/>
          <w14:ligatures w14:val="standardContextual"/>
        </w:rPr>
        <w:t>.</w:t>
      </w:r>
    </w:p>
    <w:p w14:paraId="14B4F857" w14:textId="77777777" w:rsidR="0007373A" w:rsidRPr="0007373A" w:rsidRDefault="0007373A" w:rsidP="0007373A">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7DA7EEEE" w14:textId="77777777" w:rsidR="0007373A" w:rsidRPr="0007373A" w:rsidRDefault="0007373A" w:rsidP="0007373A">
      <w:pPr>
        <w:spacing w:after="0" w:line="276" w:lineRule="auto"/>
        <w:jc w:val="both"/>
        <w:rPr>
          <w:rFonts w:ascii="Verdana" w:eastAsia="Calibri" w:hAnsi="Verdana" w:cs="Times New Roman"/>
          <w:kern w:val="2"/>
          <w:lang w:val="es-ES_tradnl"/>
          <w14:ligatures w14:val="standardContextual"/>
        </w:rPr>
      </w:pPr>
      <w:r w:rsidRPr="0007373A">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2E860BAF" w14:textId="77777777" w:rsidR="0007373A" w:rsidRPr="0007373A" w:rsidRDefault="0007373A" w:rsidP="0007373A">
      <w:pPr>
        <w:spacing w:after="0" w:line="240" w:lineRule="auto"/>
        <w:jc w:val="both"/>
        <w:rPr>
          <w:rFonts w:ascii="Verdana" w:eastAsia="Calibri" w:hAnsi="Verdana" w:cs="Times New Roman"/>
          <w:kern w:val="2"/>
          <w:lang w:val="es-ES_tradnl"/>
          <w14:ligatures w14:val="standardContextual"/>
        </w:rPr>
      </w:pPr>
    </w:p>
    <w:p w14:paraId="677B0FB7" w14:textId="77777777" w:rsidR="0007373A" w:rsidRPr="0007373A" w:rsidRDefault="0007373A" w:rsidP="0007373A">
      <w:pPr>
        <w:spacing w:after="0" w:line="240" w:lineRule="auto"/>
        <w:jc w:val="both"/>
        <w:rPr>
          <w:rFonts w:ascii="Verdana" w:eastAsia="Calibri" w:hAnsi="Verdana" w:cs="Times New Roman"/>
          <w:kern w:val="2"/>
          <w:lang w:val="es-ES_tradnl"/>
          <w14:ligatures w14:val="standardContextual"/>
        </w:rPr>
      </w:pPr>
      <w:r w:rsidRPr="0007373A">
        <w:rPr>
          <w:rFonts w:ascii="Verdana" w:eastAsia="Calibri" w:hAnsi="Verdana" w:cs="Times New Roman"/>
          <w:kern w:val="2"/>
          <w:lang w:val="es-ES_tradnl"/>
          <w14:ligatures w14:val="standardContextual"/>
        </w:rPr>
        <w:t xml:space="preserve">X: </w:t>
      </w:r>
      <w:r w:rsidRPr="0007373A">
        <w:rPr>
          <w:rFonts w:ascii="Verdana" w:eastAsia="Calibri" w:hAnsi="Verdana" w:cs="Times New Roman"/>
          <w:kern w:val="2"/>
          <w:u w:val="single"/>
          <w:lang w:val="es-ES_tradnl"/>
          <w14:ligatures w14:val="standardContextual"/>
        </w:rPr>
        <w:t>@colombiacompra</w:t>
      </w:r>
      <w:r w:rsidRPr="0007373A">
        <w:rPr>
          <w:rFonts w:ascii="Verdana" w:eastAsia="Calibri" w:hAnsi="Verdana" w:cs="Times New Roman"/>
          <w:kern w:val="2"/>
          <w:lang w:val="es-ES_tradnl"/>
          <w14:ligatures w14:val="standardContextual"/>
        </w:rPr>
        <w:t xml:space="preserve"> </w:t>
      </w:r>
    </w:p>
    <w:p w14:paraId="7716C2D5" w14:textId="77777777" w:rsidR="0007373A" w:rsidRPr="0007373A" w:rsidRDefault="0007373A" w:rsidP="0007373A">
      <w:pPr>
        <w:spacing w:after="0" w:line="240" w:lineRule="auto"/>
        <w:jc w:val="both"/>
        <w:rPr>
          <w:rFonts w:ascii="Verdana" w:eastAsia="Calibri" w:hAnsi="Verdana" w:cs="Times New Roman"/>
          <w:kern w:val="2"/>
          <w:lang w:val="es-ES"/>
          <w14:ligatures w14:val="standardContextual"/>
        </w:rPr>
      </w:pPr>
      <w:r w:rsidRPr="0007373A">
        <w:rPr>
          <w:rFonts w:ascii="Verdana" w:eastAsia="Calibri" w:hAnsi="Verdana" w:cs="Times New Roman"/>
          <w:kern w:val="2"/>
          <w:lang w:val="es-ES"/>
          <w14:ligatures w14:val="standardContextual"/>
        </w:rPr>
        <w:t xml:space="preserve">Facebook: </w:t>
      </w:r>
      <w:proofErr w:type="spellStart"/>
      <w:r w:rsidRPr="0007373A">
        <w:rPr>
          <w:rFonts w:ascii="Verdana" w:eastAsia="Calibri" w:hAnsi="Verdana" w:cs="Times New Roman"/>
          <w:kern w:val="2"/>
          <w:u w:val="single"/>
          <w:lang w:val="es-ES"/>
          <w14:ligatures w14:val="standardContextual"/>
        </w:rPr>
        <w:t>ColombiaCompraEficiente</w:t>
      </w:r>
      <w:proofErr w:type="spellEnd"/>
    </w:p>
    <w:p w14:paraId="3F3D6009" w14:textId="77777777" w:rsidR="0007373A" w:rsidRPr="0007373A" w:rsidRDefault="0007373A" w:rsidP="0007373A">
      <w:pPr>
        <w:spacing w:after="0" w:line="240" w:lineRule="auto"/>
        <w:jc w:val="both"/>
        <w:rPr>
          <w:rFonts w:ascii="Verdana" w:eastAsia="Calibri" w:hAnsi="Verdana" w:cs="Times New Roman"/>
          <w:kern w:val="2"/>
          <w:lang w:val="es-ES_tradnl"/>
          <w14:ligatures w14:val="standardContextual"/>
        </w:rPr>
      </w:pPr>
      <w:r w:rsidRPr="0007373A">
        <w:rPr>
          <w:rFonts w:ascii="Verdana" w:eastAsia="Calibri" w:hAnsi="Verdana" w:cs="Times New Roman"/>
          <w:kern w:val="2"/>
          <w:lang w:val="es-ES_tradnl"/>
          <w14:ligatures w14:val="standardContextual"/>
        </w:rPr>
        <w:t xml:space="preserve">LinkedIn: </w:t>
      </w:r>
      <w:r w:rsidRPr="0007373A">
        <w:rPr>
          <w:rFonts w:ascii="Verdana" w:eastAsia="Calibri" w:hAnsi="Verdana" w:cs="Times New Roman"/>
          <w:kern w:val="2"/>
          <w:u w:val="single"/>
          <w:lang w:val="es-ES_tradnl"/>
          <w14:ligatures w14:val="standardContextual"/>
        </w:rPr>
        <w:t>Agencia Nacional de Contratación Pública - Colombia Compra Eficiente</w:t>
      </w:r>
      <w:r w:rsidRPr="0007373A">
        <w:rPr>
          <w:rFonts w:ascii="Verdana" w:eastAsia="Calibri" w:hAnsi="Verdana" w:cs="Times New Roman"/>
          <w:kern w:val="2"/>
          <w:lang w:val="es-ES_tradnl"/>
          <w14:ligatures w14:val="standardContextual"/>
        </w:rPr>
        <w:t xml:space="preserve"> Instagram: </w:t>
      </w:r>
      <w:r w:rsidRPr="0007373A">
        <w:rPr>
          <w:rFonts w:ascii="Verdana" w:eastAsia="Calibri" w:hAnsi="Verdana" w:cs="Times New Roman"/>
          <w:kern w:val="2"/>
          <w:u w:val="single"/>
          <w:lang w:val="es-ES_tradnl"/>
          <w14:ligatures w14:val="standardContextual"/>
        </w:rPr>
        <w:t>@colombiacompraeficiente_cce</w:t>
      </w:r>
    </w:p>
    <w:p w14:paraId="309A2072" w14:textId="77777777" w:rsidR="0007373A" w:rsidRPr="0007373A" w:rsidRDefault="0007373A" w:rsidP="0007373A">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23DB93D3" w14:textId="77777777" w:rsidR="0007373A" w:rsidRPr="0007373A" w:rsidRDefault="0007373A" w:rsidP="0007373A">
      <w:pPr>
        <w:widowControl w:val="0"/>
        <w:autoSpaceDE w:val="0"/>
        <w:autoSpaceDN w:val="0"/>
        <w:spacing w:after="0" w:line="276" w:lineRule="auto"/>
        <w:jc w:val="both"/>
        <w:rPr>
          <w:rFonts w:ascii="Verdana" w:eastAsia="Calibri" w:hAnsi="Verdana" w:cs="Arial"/>
          <w:kern w:val="2"/>
          <w:lang w:val="es-ES_tradnl"/>
          <w14:ligatures w14:val="standardContextual"/>
        </w:rPr>
      </w:pPr>
      <w:r w:rsidRPr="0007373A">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9C2DA66" w14:textId="77777777" w:rsidR="0007373A" w:rsidRPr="0007373A" w:rsidRDefault="0007373A" w:rsidP="0007373A">
      <w:pPr>
        <w:widowControl w:val="0"/>
        <w:autoSpaceDE w:val="0"/>
        <w:autoSpaceDN w:val="0"/>
        <w:spacing w:after="0" w:line="276" w:lineRule="auto"/>
        <w:jc w:val="both"/>
        <w:rPr>
          <w:rFonts w:ascii="Verdana" w:eastAsia="Calibri" w:hAnsi="Verdana" w:cs="Arial"/>
          <w:lang w:val="es-ES_tradnl"/>
        </w:rPr>
      </w:pPr>
    </w:p>
    <w:p w14:paraId="03413F3E" w14:textId="77777777" w:rsidR="0007373A" w:rsidRPr="0007373A" w:rsidRDefault="0007373A" w:rsidP="0007373A">
      <w:pPr>
        <w:spacing w:after="0" w:line="240" w:lineRule="auto"/>
        <w:rPr>
          <w:rFonts w:ascii="Verdana" w:eastAsia="Calibri" w:hAnsi="Verdana" w:cs="Arial"/>
          <w:lang w:val="es-ES_tradnl" w:eastAsia="es-CO"/>
        </w:rPr>
      </w:pPr>
      <w:r w:rsidRPr="0007373A">
        <w:rPr>
          <w:rFonts w:ascii="Verdana" w:eastAsia="Times New Roman" w:hAnsi="Verdana" w:cs="Arial"/>
          <w:lang w:val="es-ES_tradnl" w:eastAsia="es-CO"/>
        </w:rPr>
        <w:t>Atentamente,</w:t>
      </w:r>
      <w:r w:rsidRPr="0007373A">
        <w:rPr>
          <w:rFonts w:ascii="Verdana" w:eastAsia="Calibri" w:hAnsi="Verdana" w:cs="Arial"/>
          <w:lang w:val="es-ES_tradnl" w:eastAsia="es-CO"/>
        </w:rPr>
        <w:t xml:space="preserve"> </w:t>
      </w:r>
    </w:p>
    <w:p w14:paraId="7923EC3C" w14:textId="3BA350E1" w:rsidR="0007373A" w:rsidRPr="0007373A" w:rsidRDefault="00EF5B98" w:rsidP="0007373A">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0362A4A7" wp14:editId="4B28F137">
            <wp:extent cx="3071594" cy="1140212"/>
            <wp:effectExtent l="0" t="0" r="1905" b="317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110768" cy="1154754"/>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7373A" w:rsidRPr="0007373A" w14:paraId="251E7752" w14:textId="77777777" w:rsidTr="005F6BA4">
        <w:trPr>
          <w:trHeight w:val="315"/>
        </w:trPr>
        <w:tc>
          <w:tcPr>
            <w:tcW w:w="893" w:type="dxa"/>
            <w:vAlign w:val="center"/>
            <w:hideMark/>
          </w:tcPr>
          <w:p w14:paraId="722ABB46" w14:textId="77777777" w:rsidR="0007373A" w:rsidRPr="0007373A" w:rsidRDefault="0007373A" w:rsidP="0007373A">
            <w:pPr>
              <w:rPr>
                <w:rFonts w:ascii="Verdana" w:eastAsia="Calibri" w:hAnsi="Verdana" w:cs="Arial"/>
                <w:sz w:val="16"/>
                <w:szCs w:val="16"/>
                <w:lang w:val="es-ES_tradnl" w:eastAsia="es-ES"/>
              </w:rPr>
            </w:pPr>
            <w:r w:rsidRPr="0007373A">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6C5F588D" w14:textId="77777777" w:rsidR="0007373A" w:rsidRPr="0007373A" w:rsidRDefault="0007373A" w:rsidP="0007373A">
            <w:pPr>
              <w:rPr>
                <w:rFonts w:ascii="Verdana" w:eastAsia="Arial" w:hAnsi="Verdana" w:cs="Arial"/>
                <w:sz w:val="16"/>
                <w:szCs w:val="16"/>
                <w:lang w:val="es-ES"/>
              </w:rPr>
            </w:pPr>
            <w:r w:rsidRPr="0007373A">
              <w:rPr>
                <w:rFonts w:ascii="Verdana" w:eastAsia="Arial" w:hAnsi="Verdana" w:cs="Arial"/>
                <w:sz w:val="16"/>
                <w:szCs w:val="16"/>
                <w:lang w:val="es-ES"/>
              </w:rPr>
              <w:t>Kevin Arlid Herrera Santa</w:t>
            </w:r>
          </w:p>
          <w:p w14:paraId="20D4F743" w14:textId="77777777" w:rsidR="0007373A" w:rsidRPr="0007373A" w:rsidRDefault="0007373A" w:rsidP="0007373A">
            <w:pPr>
              <w:rPr>
                <w:rFonts w:ascii="Verdana" w:eastAsia="Arial" w:hAnsi="Verdana" w:cs="Arial"/>
                <w:sz w:val="16"/>
                <w:szCs w:val="16"/>
                <w:lang w:val="es-ES_tradnl"/>
              </w:rPr>
            </w:pPr>
            <w:r w:rsidRPr="0007373A">
              <w:rPr>
                <w:rFonts w:ascii="Verdana" w:eastAsia="Arial" w:hAnsi="Verdana" w:cs="Arial"/>
                <w:sz w:val="16"/>
                <w:szCs w:val="16"/>
                <w:lang w:val="es-ES_tradnl"/>
              </w:rPr>
              <w:t xml:space="preserve">Contratista de la Subdirección de Gestión Contractual </w:t>
            </w:r>
          </w:p>
        </w:tc>
      </w:tr>
      <w:tr w:rsidR="0007373A" w:rsidRPr="0007373A" w14:paraId="46E034F2" w14:textId="77777777" w:rsidTr="005F6BA4">
        <w:trPr>
          <w:trHeight w:val="330"/>
        </w:trPr>
        <w:tc>
          <w:tcPr>
            <w:tcW w:w="893" w:type="dxa"/>
            <w:vAlign w:val="center"/>
            <w:hideMark/>
          </w:tcPr>
          <w:p w14:paraId="1CD43E30" w14:textId="77777777" w:rsidR="0007373A" w:rsidRPr="0007373A" w:rsidRDefault="0007373A" w:rsidP="0007373A">
            <w:pPr>
              <w:rPr>
                <w:rFonts w:ascii="Verdana" w:eastAsia="Calibri" w:hAnsi="Verdana" w:cs="Arial"/>
                <w:sz w:val="16"/>
                <w:szCs w:val="16"/>
                <w:lang w:val="es-ES_tradnl" w:eastAsia="es-ES"/>
              </w:rPr>
            </w:pPr>
            <w:r w:rsidRPr="0007373A">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15627029" w14:textId="77777777" w:rsidR="0007373A" w:rsidRPr="0007373A" w:rsidRDefault="0007373A" w:rsidP="0007373A">
            <w:pPr>
              <w:textAlignment w:val="baseline"/>
              <w:rPr>
                <w:rFonts w:ascii="Verdana" w:eastAsia="Times New Roman" w:hAnsi="Verdana" w:cs="Segoe UI"/>
                <w:sz w:val="16"/>
                <w:szCs w:val="16"/>
                <w:lang w:val="es-ES_tradnl" w:eastAsia="es-ES_tradnl"/>
              </w:rPr>
            </w:pPr>
            <w:r w:rsidRPr="0007373A">
              <w:rPr>
                <w:rFonts w:ascii="Verdana" w:eastAsia="Times New Roman" w:hAnsi="Verdana" w:cs="Segoe UI"/>
                <w:sz w:val="16"/>
                <w:szCs w:val="16"/>
                <w:lang w:val="es-ES_tradnl" w:eastAsia="es-ES_tradnl"/>
              </w:rPr>
              <w:t>Juan David Cárdenas Cabeza</w:t>
            </w:r>
          </w:p>
          <w:p w14:paraId="7C759BA0" w14:textId="77777777" w:rsidR="0007373A" w:rsidRPr="0007373A" w:rsidRDefault="0007373A" w:rsidP="0007373A">
            <w:pPr>
              <w:textAlignment w:val="baseline"/>
              <w:rPr>
                <w:rFonts w:ascii="Verdana" w:eastAsia="Times New Roman" w:hAnsi="Verdana" w:cs="Segoe UI"/>
                <w:sz w:val="16"/>
                <w:szCs w:val="16"/>
                <w:lang w:val="es-ES_tradnl" w:eastAsia="es-ES_tradnl"/>
              </w:rPr>
            </w:pPr>
            <w:r w:rsidRPr="0007373A">
              <w:rPr>
                <w:rFonts w:ascii="Verdana" w:eastAsia="Times New Roman" w:hAnsi="Verdana" w:cs="Arial"/>
                <w:sz w:val="16"/>
                <w:szCs w:val="16"/>
                <w:lang w:val="es-ES_tradnl" w:eastAsia="es-ES_tradnl"/>
              </w:rPr>
              <w:t>Contratista de la Subdirección de Gestión Contractual </w:t>
            </w:r>
          </w:p>
        </w:tc>
      </w:tr>
      <w:tr w:rsidR="0007373A" w:rsidRPr="0007373A" w14:paraId="67D8741C" w14:textId="77777777" w:rsidTr="005F6BA4">
        <w:trPr>
          <w:trHeight w:val="300"/>
        </w:trPr>
        <w:tc>
          <w:tcPr>
            <w:tcW w:w="893" w:type="dxa"/>
            <w:vAlign w:val="center"/>
          </w:tcPr>
          <w:p w14:paraId="225C1071" w14:textId="77777777" w:rsidR="0007373A" w:rsidRPr="0007373A" w:rsidRDefault="0007373A" w:rsidP="0007373A">
            <w:pPr>
              <w:rPr>
                <w:rFonts w:ascii="Verdana" w:eastAsia="Calibri" w:hAnsi="Verdana" w:cs="Arial"/>
                <w:sz w:val="16"/>
                <w:szCs w:val="16"/>
                <w:lang w:val="es-ES_tradnl" w:eastAsia="es-ES"/>
              </w:rPr>
            </w:pPr>
            <w:r w:rsidRPr="0007373A">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40EF8170" w14:textId="77777777" w:rsidR="0007373A" w:rsidRPr="0007373A" w:rsidRDefault="0007373A" w:rsidP="0007373A">
            <w:pPr>
              <w:rPr>
                <w:rFonts w:ascii="Verdana" w:eastAsia="Calibri" w:hAnsi="Verdana" w:cs="Arial"/>
                <w:sz w:val="16"/>
                <w:szCs w:val="16"/>
                <w:lang w:val="es-ES" w:eastAsia="es-ES"/>
              </w:rPr>
            </w:pPr>
            <w:r w:rsidRPr="0007373A">
              <w:rPr>
                <w:rFonts w:ascii="Verdana" w:eastAsia="Calibri" w:hAnsi="Verdana" w:cs="Arial"/>
                <w:sz w:val="16"/>
                <w:szCs w:val="16"/>
                <w:lang w:val="es-ES" w:eastAsia="es-ES"/>
              </w:rPr>
              <w:t xml:space="preserve">Carolina Quintero </w:t>
            </w:r>
            <w:proofErr w:type="spellStart"/>
            <w:r w:rsidRPr="0007373A">
              <w:rPr>
                <w:rFonts w:ascii="Verdana" w:eastAsia="Calibri" w:hAnsi="Verdana" w:cs="Arial"/>
                <w:sz w:val="16"/>
                <w:szCs w:val="16"/>
                <w:lang w:val="es-ES" w:eastAsia="es-ES"/>
              </w:rPr>
              <w:t>Gacharná</w:t>
            </w:r>
            <w:proofErr w:type="spellEnd"/>
          </w:p>
          <w:p w14:paraId="3F457CFB" w14:textId="77777777" w:rsidR="0007373A" w:rsidRPr="0007373A" w:rsidRDefault="0007373A" w:rsidP="0007373A">
            <w:pPr>
              <w:rPr>
                <w:rFonts w:ascii="Verdana" w:eastAsia="Calibri" w:hAnsi="Verdana" w:cs="Arial"/>
                <w:sz w:val="16"/>
                <w:szCs w:val="16"/>
                <w:lang w:val="es-ES_tradnl" w:eastAsia="es-ES"/>
              </w:rPr>
            </w:pPr>
            <w:r w:rsidRPr="0007373A">
              <w:rPr>
                <w:rFonts w:ascii="Verdana" w:eastAsia="Calibri" w:hAnsi="Verdana" w:cs="Arial"/>
                <w:sz w:val="16"/>
                <w:szCs w:val="16"/>
                <w:lang w:val="es-ES_tradnl" w:eastAsia="es-ES"/>
              </w:rPr>
              <w:t>Subdirectora de Gestión Contractual ANCP – CCE</w:t>
            </w:r>
          </w:p>
        </w:tc>
      </w:tr>
    </w:tbl>
    <w:p w14:paraId="0465BA6D" w14:textId="77777777" w:rsidR="00E245AB" w:rsidRPr="0044528D" w:rsidRDefault="00E245AB" w:rsidP="00E245AB">
      <w:pPr>
        <w:spacing w:after="0"/>
        <w:rPr>
          <w:rFonts w:ascii="Verdana" w:hAnsi="Verdana"/>
        </w:rPr>
      </w:pPr>
    </w:p>
    <w:bookmarkEnd w:id="0"/>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9BFE6" w14:textId="77777777" w:rsidR="009B25A8" w:rsidRDefault="009B25A8" w:rsidP="004A1847">
      <w:pPr>
        <w:spacing w:after="0" w:line="240" w:lineRule="auto"/>
      </w:pPr>
      <w:r>
        <w:separator/>
      </w:r>
    </w:p>
  </w:endnote>
  <w:endnote w:type="continuationSeparator" w:id="0">
    <w:p w14:paraId="1AFA9089" w14:textId="77777777" w:rsidR="009B25A8" w:rsidRDefault="009B25A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C1AC5" w14:textId="77777777" w:rsidR="009B25A8" w:rsidRDefault="009B25A8" w:rsidP="004A1847">
      <w:pPr>
        <w:spacing w:after="0" w:line="240" w:lineRule="auto"/>
      </w:pPr>
      <w:r>
        <w:separator/>
      </w:r>
    </w:p>
  </w:footnote>
  <w:footnote w:type="continuationSeparator" w:id="0">
    <w:p w14:paraId="50088938" w14:textId="77777777" w:rsidR="009B25A8" w:rsidRDefault="009B25A8" w:rsidP="004A1847">
      <w:pPr>
        <w:spacing w:after="0" w:line="240" w:lineRule="auto"/>
      </w:pPr>
      <w:r>
        <w:continuationSeparator/>
      </w:r>
    </w:p>
  </w:footnote>
  <w:footnote w:id="1">
    <w:p w14:paraId="6E01F57F" w14:textId="77777777" w:rsidR="0007373A" w:rsidRPr="00D0663A" w:rsidRDefault="0007373A" w:rsidP="0007373A">
      <w:pPr>
        <w:pStyle w:val="Textonotapie"/>
        <w:ind w:firstLine="709"/>
        <w:jc w:val="both"/>
        <w:rPr>
          <w:rFonts w:ascii="Verdana" w:hAnsi="Verdana"/>
          <w:sz w:val="18"/>
          <w:szCs w:val="18"/>
        </w:rPr>
      </w:pPr>
      <w:r w:rsidRPr="00D0663A">
        <w:rPr>
          <w:rStyle w:val="Refdenotaalpie"/>
          <w:rFonts w:ascii="Verdana" w:hAnsi="Verdana"/>
          <w:sz w:val="18"/>
          <w:szCs w:val="18"/>
        </w:rPr>
        <w:footnoteRef/>
      </w:r>
      <w:r w:rsidRPr="00D0663A">
        <w:rPr>
          <w:rFonts w:ascii="Verdana" w:hAnsi="Verdana"/>
          <w:sz w:val="18"/>
          <w:szCs w:val="18"/>
        </w:rPr>
        <w:t xml:space="preserve"> Estos Documentos Tipo pueden ser consultados en la página web de Colombia Compra Eficiente, a través del siguiente enlace: </w:t>
      </w:r>
      <w:hyperlink r:id="rId1" w:history="1">
        <w:r w:rsidRPr="00D0663A">
          <w:rPr>
            <w:rStyle w:val="Hipervnculo"/>
            <w:rFonts w:ascii="Verdana" w:hAnsi="Verdana"/>
            <w:sz w:val="18"/>
            <w:szCs w:val="18"/>
          </w:rPr>
          <w:t>https://www.colombiacompra.gov.co/documentos-tipo/documentos-tipo</w:t>
        </w:r>
      </w:hyperlink>
      <w:r w:rsidRPr="00D0663A">
        <w:rPr>
          <w:rFonts w:ascii="Verdana" w:hAnsi="Verdana"/>
          <w:sz w:val="18"/>
          <w:szCs w:val="18"/>
        </w:rPr>
        <w:t xml:space="preserve"> </w:t>
      </w:r>
    </w:p>
  </w:footnote>
  <w:footnote w:id="2">
    <w:p w14:paraId="5C3409F0" w14:textId="77777777" w:rsidR="0007373A" w:rsidRPr="00D0663A" w:rsidRDefault="0007373A" w:rsidP="0007373A">
      <w:pPr>
        <w:pStyle w:val="Textonotapie"/>
        <w:ind w:firstLine="708"/>
        <w:jc w:val="both"/>
        <w:rPr>
          <w:rFonts w:ascii="Verdana" w:hAnsi="Verdana" w:cs="Arial"/>
          <w:color w:val="000000"/>
          <w:sz w:val="18"/>
          <w:szCs w:val="18"/>
        </w:rPr>
      </w:pPr>
      <w:r w:rsidRPr="00D0663A">
        <w:rPr>
          <w:rStyle w:val="Refdenotaalpie"/>
          <w:rFonts w:ascii="Verdana" w:hAnsi="Verdana" w:cs="Arial"/>
          <w:color w:val="000000"/>
          <w:sz w:val="18"/>
          <w:szCs w:val="18"/>
        </w:rPr>
        <w:footnoteRef/>
      </w:r>
      <w:r w:rsidRPr="00D0663A">
        <w:rPr>
          <w:rFonts w:ascii="Verdana" w:hAnsi="Verdana" w:cs="Arial"/>
          <w:color w:val="000000"/>
          <w:sz w:val="18"/>
          <w:szCs w:val="18"/>
        </w:rPr>
        <w:t xml:space="preserve"> Artículo 2.2.1.1.2.1.1. del Decreto 1082 de 2015.</w:t>
      </w:r>
    </w:p>
  </w:footnote>
  <w:footnote w:id="3">
    <w:p w14:paraId="536E1F51" w14:textId="77777777" w:rsidR="0007373A" w:rsidRPr="00D0663A" w:rsidRDefault="0007373A" w:rsidP="0007373A">
      <w:pPr>
        <w:pStyle w:val="Textonotapie"/>
        <w:ind w:firstLine="708"/>
        <w:jc w:val="both"/>
        <w:rPr>
          <w:rFonts w:ascii="Verdana" w:hAnsi="Verdana" w:cs="Arial"/>
          <w:color w:val="000000"/>
          <w:sz w:val="18"/>
          <w:szCs w:val="18"/>
        </w:rPr>
      </w:pPr>
      <w:r w:rsidRPr="00D0663A">
        <w:rPr>
          <w:rStyle w:val="Refdenotaalpie"/>
          <w:rFonts w:ascii="Verdana" w:hAnsi="Verdana" w:cs="Arial"/>
          <w:sz w:val="18"/>
          <w:szCs w:val="18"/>
        </w:rPr>
        <w:footnoteRef/>
      </w:r>
      <w:r w:rsidRPr="00D0663A">
        <w:rPr>
          <w:rFonts w:ascii="Verdana" w:hAnsi="Verdana" w:cs="Arial"/>
          <w:sz w:val="18"/>
          <w:szCs w:val="18"/>
        </w:rPr>
        <w:t xml:space="preserve"> </w:t>
      </w:r>
      <w:r w:rsidRPr="00D0663A">
        <w:rPr>
          <w:rFonts w:ascii="Verdana" w:hAnsi="Verdana" w:cs="Arial"/>
          <w:color w:val="000000"/>
          <w:sz w:val="18"/>
          <w:szCs w:val="18"/>
        </w:rPr>
        <w:t>Ley 1882 de 2018: “Artículo 1. […] Parágrafo 2. En los procesos de licitación pública para seleccionar contratistas de obra, la oferta estará conformada por dos sobres, un primer sobre en el cual se deberán incluir los documentos relacionados con el cumplimiento de los requisitos habilitantes, así como los requisitos y documentos a los que se les asigne puntaje diferentes a la oferta económica.</w:t>
      </w:r>
    </w:p>
    <w:p w14:paraId="42B44C2E" w14:textId="77777777" w:rsidR="0007373A" w:rsidRPr="00D0663A" w:rsidRDefault="0007373A" w:rsidP="0007373A">
      <w:pPr>
        <w:pStyle w:val="Textonotapie"/>
        <w:ind w:firstLine="708"/>
        <w:jc w:val="both"/>
        <w:rPr>
          <w:rFonts w:ascii="Verdana" w:hAnsi="Verdana" w:cs="Arial"/>
          <w:color w:val="000000"/>
          <w:sz w:val="18"/>
          <w:szCs w:val="18"/>
        </w:rPr>
      </w:pPr>
      <w:r w:rsidRPr="00D0663A">
        <w:rPr>
          <w:rFonts w:ascii="Verdana" w:hAnsi="Verdana" w:cs="Arial"/>
          <w:color w:val="000000"/>
          <w:sz w:val="18"/>
          <w:szCs w:val="18"/>
        </w:rPr>
        <w:t>El segundo sobre deberá incluir únicamente la propuesta económica de conformidad con todos los requisitos exigidos en el pliego de condiciones.</w:t>
      </w:r>
    </w:p>
    <w:p w14:paraId="19DB4DD1" w14:textId="77777777" w:rsidR="0007373A" w:rsidRPr="00D0663A" w:rsidRDefault="0007373A" w:rsidP="0007373A">
      <w:pPr>
        <w:pStyle w:val="Textonotapie"/>
        <w:ind w:firstLine="708"/>
        <w:jc w:val="both"/>
        <w:rPr>
          <w:rFonts w:ascii="Verdana" w:hAnsi="Verdana" w:cs="Arial"/>
          <w:color w:val="000000"/>
          <w:sz w:val="18"/>
          <w:szCs w:val="18"/>
        </w:rPr>
      </w:pPr>
      <w:r w:rsidRPr="00D0663A">
        <w:rPr>
          <w:rFonts w:ascii="Verdana" w:hAnsi="Verdana" w:cs="Arial"/>
          <w:color w:val="000000"/>
          <w:sz w:val="18"/>
          <w:szCs w:val="18"/>
        </w:rPr>
        <w:t>[…]”.</w:t>
      </w:r>
    </w:p>
    <w:p w14:paraId="0D44FAE2" w14:textId="77777777" w:rsidR="0007373A" w:rsidRPr="00D0663A" w:rsidRDefault="0007373A" w:rsidP="0007373A">
      <w:pPr>
        <w:pStyle w:val="Textonotapie"/>
        <w:rPr>
          <w:rFonts w:ascii="Verdana" w:hAnsi="Verdana" w:cs="Arial"/>
          <w:sz w:val="18"/>
          <w:szCs w:val="18"/>
          <w:lang w:val="es-CO"/>
        </w:rPr>
      </w:pPr>
    </w:p>
  </w:footnote>
  <w:footnote w:id="4">
    <w:p w14:paraId="2A596D2B" w14:textId="77777777" w:rsidR="0007373A" w:rsidRPr="00D0663A" w:rsidRDefault="0007373A" w:rsidP="0007373A">
      <w:pPr>
        <w:pStyle w:val="Textonotapie"/>
        <w:ind w:firstLine="708"/>
        <w:jc w:val="both"/>
        <w:rPr>
          <w:rFonts w:ascii="Verdana" w:hAnsi="Verdana" w:cs="Arial"/>
          <w:color w:val="000000"/>
          <w:sz w:val="18"/>
          <w:szCs w:val="18"/>
        </w:rPr>
      </w:pPr>
      <w:r w:rsidRPr="00D0663A">
        <w:rPr>
          <w:rStyle w:val="Refdenotaalpie"/>
          <w:rFonts w:ascii="Verdana" w:hAnsi="Verdana" w:cs="Arial"/>
          <w:sz w:val="18"/>
          <w:szCs w:val="18"/>
        </w:rPr>
        <w:footnoteRef/>
      </w:r>
      <w:r w:rsidRPr="00D0663A">
        <w:rPr>
          <w:rFonts w:ascii="Verdana" w:hAnsi="Verdana" w:cs="Arial"/>
          <w:sz w:val="18"/>
          <w:szCs w:val="18"/>
        </w:rPr>
        <w:t xml:space="preserve"> </w:t>
      </w:r>
      <w:r w:rsidRPr="00D0663A">
        <w:rPr>
          <w:rFonts w:ascii="Verdana" w:hAnsi="Verdana" w:cs="Arial"/>
          <w:color w:val="000000"/>
          <w:sz w:val="18"/>
          <w:szCs w:val="18"/>
        </w:rPr>
        <w:t>CONSEJO DE ESTADO. Sección Tercera. Sentencia del 27 de abril de 2011. Exp. 18.293. C.P. Ruth Stella Correa Palacio.</w:t>
      </w:r>
    </w:p>
    <w:p w14:paraId="43BDE5E2" w14:textId="77777777" w:rsidR="0007373A" w:rsidRPr="00D0663A" w:rsidRDefault="0007373A" w:rsidP="0007373A">
      <w:pPr>
        <w:pStyle w:val="Textonotapie"/>
        <w:ind w:firstLine="708"/>
        <w:jc w:val="both"/>
        <w:rPr>
          <w:rFonts w:ascii="Verdana" w:eastAsia="Calibri" w:hAnsi="Verdana" w:cs="Arial"/>
          <w:sz w:val="18"/>
          <w:szCs w:val="18"/>
          <w:lang w:val="es-CO"/>
        </w:rPr>
      </w:pPr>
    </w:p>
  </w:footnote>
  <w:footnote w:id="5">
    <w:p w14:paraId="6728F214" w14:textId="77777777" w:rsidR="0007373A" w:rsidRPr="00D0663A" w:rsidRDefault="0007373A" w:rsidP="0007373A">
      <w:pPr>
        <w:pStyle w:val="Textonotapie"/>
        <w:ind w:firstLine="708"/>
        <w:jc w:val="both"/>
        <w:rPr>
          <w:rFonts w:ascii="Verdana" w:hAnsi="Verdana" w:cs="Arial"/>
          <w:sz w:val="18"/>
          <w:szCs w:val="18"/>
          <w:lang w:val="es-CO"/>
        </w:rPr>
      </w:pPr>
      <w:r w:rsidRPr="00D0663A">
        <w:rPr>
          <w:rStyle w:val="Refdenotaalpie"/>
          <w:rFonts w:ascii="Verdana" w:hAnsi="Verdana" w:cs="Arial"/>
          <w:sz w:val="18"/>
          <w:szCs w:val="18"/>
        </w:rPr>
        <w:footnoteRef/>
      </w:r>
      <w:r w:rsidRPr="00D0663A">
        <w:rPr>
          <w:rFonts w:ascii="Verdana" w:hAnsi="Verdana" w:cs="Arial"/>
          <w:sz w:val="18"/>
          <w:szCs w:val="18"/>
        </w:rPr>
        <w:t xml:space="preserve"> </w:t>
      </w:r>
      <w:r w:rsidRPr="00D0663A">
        <w:rPr>
          <w:rFonts w:ascii="Verdana" w:hAnsi="Verdana" w:cs="Arial"/>
          <w:sz w:val="18"/>
          <w:szCs w:val="18"/>
          <w:lang w:val="es-CO"/>
        </w:rPr>
        <w:t>Al respecto esta Agencia ha manifestado: “[…] Como se consideró en los conceptos del 25 de septiembre y el 23 de diciembre de 2019 −radicados Nos. 2201913000007117 y 2201913000009538−, las causales de rechazo de ofertas consagradas en los documentos tipo son taxativas, descartándose que la entidad introduzca causales, salvo, que estén contempladas en otras disposiciones normativas.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 Concepto C-642 del 30 de octubre de 2020. Radicado de entrada No. 4202013000008306. Radicado de salida No. 2202013000010785.</w:t>
      </w:r>
    </w:p>
    <w:p w14:paraId="28DBE772" w14:textId="77777777" w:rsidR="0007373A" w:rsidRPr="00D0663A" w:rsidRDefault="0007373A" w:rsidP="0007373A">
      <w:pPr>
        <w:pStyle w:val="Textonotapie"/>
        <w:jc w:val="both"/>
        <w:rPr>
          <w:rFonts w:ascii="Verdana" w:hAnsi="Verdana" w:cs="Arial"/>
          <w:sz w:val="18"/>
          <w:szCs w:val="18"/>
          <w:lang w:val="es-CO"/>
        </w:rPr>
      </w:pPr>
    </w:p>
  </w:footnote>
  <w:footnote w:id="6">
    <w:p w14:paraId="174AD5C3" w14:textId="77777777" w:rsidR="0007373A" w:rsidRPr="00D0663A" w:rsidRDefault="0007373A" w:rsidP="0007373A">
      <w:pPr>
        <w:pStyle w:val="Textonotapie"/>
        <w:spacing w:after="120"/>
        <w:ind w:firstLine="708"/>
        <w:jc w:val="both"/>
        <w:rPr>
          <w:rFonts w:ascii="Verdana" w:hAnsi="Verdana" w:cs="Arial"/>
          <w:color w:val="000000"/>
          <w:sz w:val="18"/>
          <w:szCs w:val="18"/>
        </w:rPr>
      </w:pPr>
      <w:r w:rsidRPr="00D0663A">
        <w:rPr>
          <w:rStyle w:val="Refdenotaalpie"/>
          <w:rFonts w:ascii="Verdana" w:hAnsi="Verdana" w:cs="Arial"/>
          <w:color w:val="000000"/>
          <w:sz w:val="18"/>
          <w:szCs w:val="18"/>
        </w:rPr>
        <w:footnoteRef/>
      </w:r>
      <w:r w:rsidRPr="00D0663A">
        <w:rPr>
          <w:rFonts w:ascii="Verdana" w:hAnsi="Verdana" w:cs="Arial"/>
          <w:color w:val="000000"/>
          <w:sz w:val="18"/>
          <w:szCs w:val="18"/>
        </w:rPr>
        <w:t xml:space="preserve"> C</w:t>
      </w:r>
      <w:r>
        <w:rPr>
          <w:rFonts w:ascii="Verdana" w:hAnsi="Verdana" w:cs="Arial"/>
          <w:color w:val="000000"/>
          <w:sz w:val="18"/>
          <w:szCs w:val="18"/>
        </w:rPr>
        <w:t>ONSEJO DE ESTADO</w:t>
      </w:r>
      <w:r w:rsidRPr="00D0663A">
        <w:rPr>
          <w:rFonts w:ascii="Verdana" w:hAnsi="Verdana" w:cs="Arial"/>
          <w:color w:val="000000"/>
          <w:sz w:val="18"/>
          <w:szCs w:val="18"/>
        </w:rPr>
        <w:t>. Sección Tercera. Sentencia del 3 de junio de 2015. C.P. Olga Mélida Valle De La Hoz. Exp. 31211.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7pt;height:11.7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21A279C"/>
    <w:multiLevelType w:val="hybridMultilevel"/>
    <w:tmpl w:val="6A1AC9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F121B22"/>
    <w:multiLevelType w:val="hybridMultilevel"/>
    <w:tmpl w:val="4D9A8CA4"/>
    <w:lvl w:ilvl="0" w:tplc="7996F5C0">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9"/>
  </w:num>
  <w:num w:numId="18" w16cid:durableId="795639791">
    <w:abstractNumId w:val="16"/>
  </w:num>
  <w:num w:numId="19" w16cid:durableId="21324308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373A"/>
    <w:rsid w:val="00082362"/>
    <w:rsid w:val="000A683E"/>
    <w:rsid w:val="000B19B9"/>
    <w:rsid w:val="000D0334"/>
    <w:rsid w:val="000F6486"/>
    <w:rsid w:val="00125105"/>
    <w:rsid w:val="00127233"/>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552E2"/>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566E8"/>
    <w:rsid w:val="00574867"/>
    <w:rsid w:val="00591460"/>
    <w:rsid w:val="005C3777"/>
    <w:rsid w:val="005C5CDC"/>
    <w:rsid w:val="005D476C"/>
    <w:rsid w:val="006219F8"/>
    <w:rsid w:val="006302F7"/>
    <w:rsid w:val="00654499"/>
    <w:rsid w:val="00665D70"/>
    <w:rsid w:val="006900D9"/>
    <w:rsid w:val="006A760C"/>
    <w:rsid w:val="00706C16"/>
    <w:rsid w:val="00756841"/>
    <w:rsid w:val="007649AB"/>
    <w:rsid w:val="00771D0C"/>
    <w:rsid w:val="007833AC"/>
    <w:rsid w:val="00787043"/>
    <w:rsid w:val="007B268C"/>
    <w:rsid w:val="007B7171"/>
    <w:rsid w:val="007C0C0F"/>
    <w:rsid w:val="007C3DC2"/>
    <w:rsid w:val="007E5497"/>
    <w:rsid w:val="00806F5F"/>
    <w:rsid w:val="00820278"/>
    <w:rsid w:val="0083330B"/>
    <w:rsid w:val="00867F95"/>
    <w:rsid w:val="008843B6"/>
    <w:rsid w:val="00891928"/>
    <w:rsid w:val="00897A3A"/>
    <w:rsid w:val="008A446D"/>
    <w:rsid w:val="008D180B"/>
    <w:rsid w:val="008F0EA7"/>
    <w:rsid w:val="00923EEF"/>
    <w:rsid w:val="009419F9"/>
    <w:rsid w:val="0095685E"/>
    <w:rsid w:val="00961B09"/>
    <w:rsid w:val="00965334"/>
    <w:rsid w:val="0097093E"/>
    <w:rsid w:val="009A0DFA"/>
    <w:rsid w:val="009B25A8"/>
    <w:rsid w:val="009B2D26"/>
    <w:rsid w:val="009C71FA"/>
    <w:rsid w:val="009C72E7"/>
    <w:rsid w:val="009D3058"/>
    <w:rsid w:val="009F3A13"/>
    <w:rsid w:val="00A122D3"/>
    <w:rsid w:val="00A17F13"/>
    <w:rsid w:val="00A20739"/>
    <w:rsid w:val="00A20B6F"/>
    <w:rsid w:val="00A33C78"/>
    <w:rsid w:val="00A96154"/>
    <w:rsid w:val="00AB0ADB"/>
    <w:rsid w:val="00AE5F54"/>
    <w:rsid w:val="00B00C0E"/>
    <w:rsid w:val="00B01B1A"/>
    <w:rsid w:val="00B44A47"/>
    <w:rsid w:val="00B72CD3"/>
    <w:rsid w:val="00B72FFF"/>
    <w:rsid w:val="00BA4242"/>
    <w:rsid w:val="00BC3D36"/>
    <w:rsid w:val="00BD7F72"/>
    <w:rsid w:val="00C04FB3"/>
    <w:rsid w:val="00C330EB"/>
    <w:rsid w:val="00C754BE"/>
    <w:rsid w:val="00C76B1C"/>
    <w:rsid w:val="00CB6357"/>
    <w:rsid w:val="00CC1B26"/>
    <w:rsid w:val="00CE52B3"/>
    <w:rsid w:val="00D423A2"/>
    <w:rsid w:val="00D4658A"/>
    <w:rsid w:val="00D520D8"/>
    <w:rsid w:val="00D63AC2"/>
    <w:rsid w:val="00D7383B"/>
    <w:rsid w:val="00DA231B"/>
    <w:rsid w:val="00DC39FC"/>
    <w:rsid w:val="00DF5254"/>
    <w:rsid w:val="00E16408"/>
    <w:rsid w:val="00E20894"/>
    <w:rsid w:val="00E245AB"/>
    <w:rsid w:val="00E2764C"/>
    <w:rsid w:val="00E27F2E"/>
    <w:rsid w:val="00E50AFE"/>
    <w:rsid w:val="00E65B81"/>
    <w:rsid w:val="00E75C92"/>
    <w:rsid w:val="00E771DC"/>
    <w:rsid w:val="00E8772A"/>
    <w:rsid w:val="00E90F6B"/>
    <w:rsid w:val="00E92C27"/>
    <w:rsid w:val="00EA0E3D"/>
    <w:rsid w:val="00EB3369"/>
    <w:rsid w:val="00EC38A7"/>
    <w:rsid w:val="00EE1AA8"/>
    <w:rsid w:val="00EF5B98"/>
    <w:rsid w:val="00F31EDC"/>
    <w:rsid w:val="00F462B3"/>
    <w:rsid w:val="00F5664F"/>
    <w:rsid w:val="00F666C4"/>
    <w:rsid w:val="00F76AFC"/>
    <w:rsid w:val="00FA47C0"/>
    <w:rsid w:val="00FB5DD1"/>
    <w:rsid w:val="00FC2B5D"/>
    <w:rsid w:val="00FF1449"/>
    <w:rsid w:val="64BE4B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7373A"/>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f802891c-ec6d-4a7d-9065-8c7796b72d37"/>
    <ds:schemaRef ds:uri="43a3329e-f091-4e15-9abe-66bee8419108"/>
    <ds:schemaRef ds:uri="2d8fa925-bec2-4809-ba96-82bda3c0030e"/>
    <ds:schemaRef ds:uri="8ae15d26-076e-464e-81a7-6f76a0fb3917"/>
  </ds:schemaRefs>
</ds:datastoreItem>
</file>

<file path=customXml/itemProps3.xml><?xml version="1.0" encoding="utf-8"?>
<ds:datastoreItem xmlns:ds="http://schemas.openxmlformats.org/officeDocument/2006/customXml" ds:itemID="{EB5D496B-6EC0-427D-9E55-E2888C25340B}"/>
</file>

<file path=docProps/app.xml><?xml version="1.0" encoding="utf-8"?>
<Properties xmlns="http://schemas.openxmlformats.org/officeDocument/2006/extended-properties" xmlns:vt="http://schemas.openxmlformats.org/officeDocument/2006/docPropsVTypes">
  <Template>Normal.dotm</Template>
  <TotalTime>4</TotalTime>
  <Pages>19</Pages>
  <Words>6486</Words>
  <Characters>35675</Characters>
  <Application>Microsoft Office Word</Application>
  <DocSecurity>0</DocSecurity>
  <Lines>297</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4</cp:revision>
  <cp:lastPrinted>2023-01-10T21:18:00Z</cp:lastPrinted>
  <dcterms:created xsi:type="dcterms:W3CDTF">2025-09-10T22:54:00Z</dcterms:created>
  <dcterms:modified xsi:type="dcterms:W3CDTF">2025-09-10T23:00:00Z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