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BFA4" w14:textId="77777777" w:rsidR="00F142EF" w:rsidRDefault="00F142EF" w:rsidP="00E146FE">
      <w:pPr>
        <w:spacing w:after="0"/>
        <w:contextualSpacing/>
        <w:jc w:val="both"/>
        <w:rPr>
          <w:rFonts w:ascii="Verdana" w:eastAsia="Calibri" w:hAnsi="Verdana" w:cs="Arial"/>
          <w:b/>
          <w:bCs/>
          <w:lang w:val="es-ES" w:eastAsia="es-ES"/>
        </w:rPr>
      </w:pPr>
      <w:r w:rsidRPr="00F142EF">
        <w:rPr>
          <w:rFonts w:ascii="Verdana" w:eastAsia="Calibri" w:hAnsi="Verdana" w:cs="Arial"/>
          <w:b/>
          <w:bCs/>
          <w:lang w:val="es-ES" w:eastAsia="es-ES"/>
        </w:rPr>
        <w:t>LEY DE GARANTÍAS ELECTORALES – Finalidad</w:t>
      </w:r>
    </w:p>
    <w:p w14:paraId="2E2B36EF" w14:textId="77777777" w:rsidR="00F142EF" w:rsidRDefault="00F142EF" w:rsidP="00F142EF">
      <w:pPr>
        <w:contextualSpacing/>
        <w:jc w:val="both"/>
        <w:rPr>
          <w:rFonts w:ascii="Verdana" w:eastAsia="Calibri" w:hAnsi="Verdana" w:cs="Arial"/>
          <w:b/>
          <w:bCs/>
          <w:lang w:val="es-ES" w:eastAsia="es-ES"/>
        </w:rPr>
      </w:pPr>
    </w:p>
    <w:p w14:paraId="23C1EB9E" w14:textId="160341D2" w:rsidR="00F142EF" w:rsidRPr="00E146FE" w:rsidRDefault="00F142EF" w:rsidP="00E146FE">
      <w:pPr>
        <w:spacing w:line="240" w:lineRule="auto"/>
        <w:contextualSpacing/>
        <w:jc w:val="both"/>
        <w:rPr>
          <w:rFonts w:ascii="Verdana" w:eastAsia="Times New Roman" w:hAnsi="Verdana" w:cs="Arial"/>
          <w:sz w:val="20"/>
          <w:szCs w:val="20"/>
          <w:lang w:val="es-ES" w:eastAsia="es-CO"/>
        </w:rPr>
      </w:pPr>
      <w:r w:rsidRPr="00E146F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79CE3F7" w14:textId="77777777" w:rsidR="00F142EF" w:rsidRPr="00F142EF" w:rsidRDefault="00F142EF" w:rsidP="00F142EF">
      <w:pPr>
        <w:spacing w:after="0" w:line="240" w:lineRule="auto"/>
        <w:contextualSpacing/>
        <w:jc w:val="both"/>
        <w:rPr>
          <w:rFonts w:ascii="Verdana" w:eastAsia="Calibri" w:hAnsi="Verdana" w:cs="Arial"/>
          <w:b/>
          <w:bCs/>
          <w:lang w:val="es-ES" w:eastAsia="es-ES"/>
        </w:rPr>
      </w:pPr>
    </w:p>
    <w:p w14:paraId="6CD331EB" w14:textId="77777777" w:rsidR="00F142EF" w:rsidRDefault="00F142EF" w:rsidP="00F142EF">
      <w:pPr>
        <w:contextualSpacing/>
        <w:jc w:val="both"/>
        <w:rPr>
          <w:rFonts w:ascii="Verdana" w:eastAsia="Calibri" w:hAnsi="Verdana" w:cs="Arial"/>
          <w:b/>
          <w:bCs/>
          <w:lang w:val="es-ES" w:eastAsia="es-ES"/>
        </w:rPr>
      </w:pPr>
      <w:r w:rsidRPr="00F142EF">
        <w:rPr>
          <w:rFonts w:ascii="Verdana" w:eastAsia="Calibri" w:hAnsi="Verdana" w:cs="Arial"/>
          <w:b/>
          <w:bCs/>
          <w:lang w:val="es-ES" w:eastAsia="es-ES"/>
        </w:rPr>
        <w:t>LEY DE GARANTÍAS ELECTORALES ‒ Restricciones ‒ Contratación ‒ Tipos de elección</w:t>
      </w:r>
    </w:p>
    <w:p w14:paraId="250F1C8A" w14:textId="77777777" w:rsidR="00F142EF" w:rsidRDefault="00F142EF" w:rsidP="00F142EF">
      <w:pPr>
        <w:contextualSpacing/>
        <w:jc w:val="both"/>
        <w:rPr>
          <w:rFonts w:ascii="Verdana" w:eastAsia="Calibri" w:hAnsi="Verdana" w:cs="Arial"/>
          <w:b/>
          <w:bCs/>
          <w:lang w:val="es-ES" w:eastAsia="es-ES"/>
        </w:rPr>
      </w:pPr>
    </w:p>
    <w:p w14:paraId="5DF72CBE" w14:textId="29329ECF" w:rsidR="00F142EF" w:rsidRDefault="00F142EF" w:rsidP="00E146FE">
      <w:pPr>
        <w:spacing w:after="0" w:line="240" w:lineRule="auto"/>
        <w:jc w:val="both"/>
        <w:rPr>
          <w:rFonts w:ascii="Verdana" w:eastAsia="Calibri" w:hAnsi="Verdana" w:cs="Arial"/>
          <w:sz w:val="20"/>
          <w:szCs w:val="20"/>
          <w:lang w:val="es-ES"/>
        </w:rPr>
      </w:pPr>
      <w:r w:rsidRPr="00E146FE">
        <w:rPr>
          <w:rFonts w:ascii="Verdana" w:eastAsia="Calibri" w:hAnsi="Verdana" w:cs="Arial"/>
          <w:sz w:val="20"/>
          <w:szCs w:val="20"/>
          <w:lang w:val="es-ES"/>
        </w:rPr>
        <w:t xml:space="preserve">Por un lado, el </w:t>
      </w:r>
      <w:r w:rsidRPr="00E146FE">
        <w:rPr>
          <w:rFonts w:ascii="Verdana" w:eastAsia="Calibri" w:hAnsi="Verdana" w:cs="Arial"/>
          <w:i/>
          <w:iCs/>
          <w:sz w:val="20"/>
          <w:szCs w:val="20"/>
          <w:lang w:val="es-ES"/>
        </w:rPr>
        <w:t xml:space="preserve">artículo 33 </w:t>
      </w:r>
      <w:r w:rsidRPr="00E146FE">
        <w:rPr>
          <w:rFonts w:ascii="Verdana" w:eastAsia="Calibri" w:hAnsi="Verdana" w:cs="Arial"/>
          <w:sz w:val="20"/>
          <w:szCs w:val="20"/>
          <w:lang w:val="es-ES"/>
        </w:rPr>
        <w:t xml:space="preserve">de la Ley 996 de 2005 prohíbe “[…] la contratación directa por parte de </w:t>
      </w:r>
      <w:r w:rsidRPr="00E146FE">
        <w:rPr>
          <w:rFonts w:ascii="Verdana" w:eastAsia="Calibri" w:hAnsi="Verdana" w:cs="Arial"/>
          <w:i/>
          <w:iCs/>
          <w:sz w:val="20"/>
          <w:szCs w:val="20"/>
          <w:lang w:val="es-ES"/>
        </w:rPr>
        <w:t>todos los entes del Estado</w:t>
      </w:r>
      <w:r w:rsidRPr="00E146FE">
        <w:rPr>
          <w:rFonts w:ascii="Verdana" w:eastAsia="Calibri" w:hAnsi="Verdana" w:cs="Arial"/>
          <w:sz w:val="20"/>
          <w:szCs w:val="20"/>
          <w:lang w:val="es-ES"/>
        </w:rPr>
        <w:t xml:space="preserve">” durante los cuatro (4) meses anteriores a las </w:t>
      </w:r>
      <w:r w:rsidRPr="00E146FE">
        <w:rPr>
          <w:rFonts w:ascii="Verdana" w:eastAsia="Calibri" w:hAnsi="Verdana" w:cs="Arial"/>
          <w:i/>
          <w:iCs/>
          <w:sz w:val="20"/>
          <w:szCs w:val="20"/>
          <w:lang w:val="es-ES"/>
        </w:rPr>
        <w:t>elecciones presidenciales</w:t>
      </w:r>
      <w:r w:rsidRPr="00E146FE">
        <w:rPr>
          <w:rFonts w:ascii="Verdana" w:eastAsia="Calibri"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0FFD650" w14:textId="77777777" w:rsidR="00E146FE" w:rsidRPr="00E146FE" w:rsidRDefault="00E146FE" w:rsidP="00E146FE">
      <w:pPr>
        <w:spacing w:after="0" w:line="240" w:lineRule="auto"/>
        <w:jc w:val="both"/>
        <w:rPr>
          <w:rFonts w:ascii="Verdana" w:eastAsia="Calibri" w:hAnsi="Verdana" w:cs="Arial"/>
          <w:sz w:val="20"/>
          <w:szCs w:val="20"/>
          <w:lang w:val="es-ES"/>
        </w:rPr>
      </w:pPr>
    </w:p>
    <w:p w14:paraId="6E7C4D10" w14:textId="74A69545" w:rsidR="00F142EF" w:rsidRDefault="00F142EF" w:rsidP="00E146FE">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E146FE">
        <w:rPr>
          <w:rFonts w:ascii="Verdana" w:eastAsia="Calibri" w:hAnsi="Verdana" w:cs="Arial"/>
          <w:sz w:val="20"/>
          <w:szCs w:val="20"/>
          <w:lang w:val="es-ES"/>
        </w:rPr>
        <w:t xml:space="preserve">Por otro lado, </w:t>
      </w:r>
      <w:r w:rsidRPr="00E146FE">
        <w:rPr>
          <w:rFonts w:ascii="Verdana" w:eastAsia="Calibri" w:hAnsi="Verdana" w:cs="Arial"/>
          <w:i/>
          <w:iCs/>
          <w:sz w:val="20"/>
          <w:szCs w:val="20"/>
          <w:lang w:val="es-ES"/>
        </w:rPr>
        <w:t xml:space="preserve">el parágrafo del artículo 38 </w:t>
      </w:r>
      <w:r w:rsidRPr="00E146FE">
        <w:rPr>
          <w:rFonts w:ascii="Verdana" w:eastAsia="Calibri" w:hAnsi="Verdana" w:cs="Arial"/>
          <w:sz w:val="20"/>
          <w:szCs w:val="20"/>
          <w:lang w:val="es-ES"/>
        </w:rPr>
        <w:t xml:space="preserve">de la Ley 996 de 2005 prevé una restricción, aplicable respecto de </w:t>
      </w:r>
      <w:r w:rsidRPr="00E146FE">
        <w:rPr>
          <w:rFonts w:ascii="Verdana" w:eastAsia="Calibri" w:hAnsi="Verdana" w:cs="Arial"/>
          <w:i/>
          <w:iCs/>
          <w:sz w:val="20"/>
          <w:szCs w:val="20"/>
          <w:lang w:val="es-ES"/>
        </w:rPr>
        <w:t>cualquier tipo de contienda electoral</w:t>
      </w:r>
      <w:r w:rsidRPr="00E146FE">
        <w:rPr>
          <w:rFonts w:ascii="Verdana" w:eastAsia="Calibri"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146FE">
        <w:rPr>
          <w:rFonts w:ascii="Verdana" w:eastAsia="Arial" w:hAnsi="Verdana" w:cs="Arial"/>
          <w:sz w:val="20"/>
          <w:szCs w:val="20"/>
          <w:lang w:val="es-ES" w:eastAsia="es-ES" w:bidi="es-ES"/>
        </w:rPr>
        <w:t xml:space="preserve"> </w:t>
      </w:r>
    </w:p>
    <w:p w14:paraId="18095C97" w14:textId="77777777" w:rsidR="00E146FE" w:rsidRPr="00E146FE" w:rsidRDefault="00E146FE" w:rsidP="00E146FE">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31459BFE" w14:textId="77777777" w:rsidR="00F142EF" w:rsidRDefault="00F142EF" w:rsidP="00E146FE">
      <w:pPr>
        <w:spacing w:after="0" w:line="240" w:lineRule="auto"/>
        <w:jc w:val="both"/>
        <w:rPr>
          <w:rFonts w:ascii="Verdana" w:eastAsia="Arial" w:hAnsi="Verdana" w:cs="Arial"/>
          <w:sz w:val="20"/>
          <w:szCs w:val="20"/>
          <w:lang w:val="es-ES" w:eastAsia="es-ES" w:bidi="es-ES"/>
        </w:rPr>
      </w:pPr>
      <w:r w:rsidRPr="00E146FE">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E146FE">
        <w:rPr>
          <w:rFonts w:ascii="Verdana" w:eastAsia="Arial" w:hAnsi="Verdana" w:cs="Arial"/>
          <w:i/>
          <w:sz w:val="20"/>
          <w:szCs w:val="20"/>
          <w:lang w:val="es-ES" w:eastAsia="es-ES" w:bidi="es-ES"/>
        </w:rPr>
        <w:t>En primer lugar</w:t>
      </w:r>
      <w:r w:rsidRPr="00E146FE">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146FE">
        <w:rPr>
          <w:rFonts w:ascii="Verdana" w:eastAsia="Arial" w:hAnsi="Verdana" w:cs="Arial"/>
          <w:i/>
          <w:sz w:val="20"/>
          <w:szCs w:val="20"/>
          <w:lang w:val="es-ES" w:eastAsia="es-ES" w:bidi="es-ES"/>
        </w:rPr>
        <w:t>En segundo lugar</w:t>
      </w:r>
      <w:r w:rsidRPr="00E146FE">
        <w:rPr>
          <w:rFonts w:ascii="Verdana" w:eastAsia="Arial" w:hAnsi="Verdana" w:cs="Arial"/>
          <w:sz w:val="20"/>
          <w:szCs w:val="20"/>
          <w:lang w:val="es-ES" w:eastAsia="es-ES" w:bidi="es-ES"/>
        </w:rPr>
        <w:t xml:space="preserve">, también se encuentra la prohibición del parágrafo del artículo 38, el cual debe aplicarse respecto de cualquier tipo de contienda electoral, y que prohíbe la celebración de convenios interadministrativos que impliquen la </w:t>
      </w:r>
      <w:r w:rsidRPr="00E146FE">
        <w:rPr>
          <w:rFonts w:ascii="Verdana" w:eastAsia="Arial" w:hAnsi="Verdana" w:cs="Arial"/>
          <w:sz w:val="20"/>
          <w:szCs w:val="20"/>
          <w:lang w:val="es-ES" w:eastAsia="es-ES" w:bidi="es-ES"/>
        </w:rPr>
        <w:lastRenderedPageBreak/>
        <w:t>ejecución de recursos públicos dentro de los cuatro (4) meses anteriores a la respectiva jornada de votaciones.</w:t>
      </w:r>
    </w:p>
    <w:p w14:paraId="13949919" w14:textId="77777777" w:rsidR="00E146FE" w:rsidRPr="00E146FE" w:rsidRDefault="00E146FE" w:rsidP="00E146FE">
      <w:pPr>
        <w:spacing w:after="0" w:line="240" w:lineRule="auto"/>
        <w:jc w:val="both"/>
        <w:rPr>
          <w:rFonts w:ascii="Verdana" w:eastAsia="Arial" w:hAnsi="Verdana" w:cs="Arial"/>
          <w:sz w:val="20"/>
          <w:szCs w:val="20"/>
          <w:lang w:val="es-ES" w:eastAsia="es-ES" w:bidi="es-ES"/>
        </w:rPr>
      </w:pPr>
    </w:p>
    <w:p w14:paraId="1CE3F8C3" w14:textId="77777777" w:rsidR="00F142EF" w:rsidRDefault="00F142EF" w:rsidP="00F142EF">
      <w:pPr>
        <w:contextualSpacing/>
        <w:jc w:val="both"/>
        <w:rPr>
          <w:rFonts w:ascii="Verdana" w:eastAsia="Calibri" w:hAnsi="Verdana" w:cs="Arial"/>
          <w:b/>
          <w:bCs/>
          <w:lang w:val="es-ES" w:eastAsia="es-ES"/>
        </w:rPr>
      </w:pPr>
      <w:r w:rsidRPr="00F142EF">
        <w:rPr>
          <w:rFonts w:ascii="Verdana" w:eastAsia="Calibri" w:hAnsi="Verdana" w:cs="Arial"/>
          <w:b/>
          <w:bCs/>
          <w:lang w:val="es-ES" w:eastAsia="es-ES"/>
        </w:rPr>
        <w:t>LEY DE GARANTÍAS ELECTORALES ‒ Artículo 33 ‒ Ámbito material</w:t>
      </w:r>
    </w:p>
    <w:p w14:paraId="2F619DDF" w14:textId="77777777" w:rsidR="00F142EF" w:rsidRPr="00E146FE" w:rsidRDefault="00F142EF" w:rsidP="00E146FE">
      <w:pPr>
        <w:spacing w:line="240" w:lineRule="auto"/>
        <w:contextualSpacing/>
        <w:jc w:val="both"/>
        <w:rPr>
          <w:rFonts w:ascii="Verdana" w:eastAsia="Calibri" w:hAnsi="Verdana" w:cs="Arial"/>
          <w:b/>
          <w:bCs/>
          <w:sz w:val="20"/>
          <w:szCs w:val="20"/>
          <w:lang w:val="es-ES" w:eastAsia="es-ES"/>
        </w:rPr>
      </w:pPr>
    </w:p>
    <w:p w14:paraId="3DDE55AF" w14:textId="1589DDF0" w:rsidR="00F142EF" w:rsidRPr="00E146FE" w:rsidRDefault="00F142EF" w:rsidP="00E146FE">
      <w:pPr>
        <w:spacing w:after="0" w:line="240" w:lineRule="auto"/>
        <w:contextualSpacing/>
        <w:jc w:val="both"/>
        <w:rPr>
          <w:rFonts w:ascii="Verdana" w:eastAsia="Calibri" w:hAnsi="Verdana" w:cs="Arial"/>
          <w:b/>
          <w:bCs/>
          <w:sz w:val="20"/>
          <w:szCs w:val="20"/>
          <w:lang w:val="es-ES" w:eastAsia="es-ES"/>
        </w:rPr>
      </w:pPr>
      <w:r w:rsidRPr="00E146FE">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E146FE">
        <w:rPr>
          <w:rFonts w:ascii="Verdana" w:eastAsia="Times New Roman" w:hAnsi="Verdana" w:cs="Arial"/>
          <w:i/>
          <w:iCs/>
          <w:sz w:val="20"/>
          <w:szCs w:val="20"/>
          <w:lang w:val="es-ES"/>
        </w:rPr>
        <w:t>cualquier contrato de forma directa</w:t>
      </w:r>
      <w:r w:rsidRPr="00E146FE">
        <w:rPr>
          <w:rFonts w:ascii="Verdana" w:eastAsia="Times New Roman" w:hAnsi="Verdana" w:cs="Arial"/>
          <w:sz w:val="20"/>
          <w:szCs w:val="20"/>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4B299EE7" w14:textId="77777777" w:rsidR="00F142EF" w:rsidRPr="00F142EF" w:rsidRDefault="00F142EF" w:rsidP="00F142EF">
      <w:pPr>
        <w:spacing w:after="0" w:line="240" w:lineRule="auto"/>
        <w:contextualSpacing/>
        <w:jc w:val="both"/>
        <w:rPr>
          <w:rFonts w:ascii="Verdana" w:eastAsia="Calibri" w:hAnsi="Verdana" w:cs="Arial"/>
          <w:b/>
          <w:bCs/>
          <w:lang w:val="es-ES" w:eastAsia="es-ES"/>
        </w:rPr>
      </w:pPr>
    </w:p>
    <w:p w14:paraId="7B2ECED0" w14:textId="77777777" w:rsidR="00F142EF" w:rsidRDefault="00F142EF" w:rsidP="00E146FE">
      <w:pPr>
        <w:spacing w:after="0"/>
        <w:contextualSpacing/>
        <w:jc w:val="both"/>
        <w:rPr>
          <w:rFonts w:ascii="Verdana" w:eastAsia="Calibri" w:hAnsi="Verdana" w:cs="Arial"/>
          <w:b/>
          <w:bCs/>
          <w:lang w:val="es-ES" w:eastAsia="es-ES"/>
        </w:rPr>
      </w:pPr>
      <w:r w:rsidRPr="00F142EF">
        <w:rPr>
          <w:rFonts w:ascii="Verdana" w:eastAsia="Calibri" w:hAnsi="Verdana" w:cs="Arial"/>
          <w:b/>
          <w:bCs/>
          <w:lang w:val="es-ES" w:eastAsia="es-ES"/>
        </w:rPr>
        <w:t>LEY DE GARANTÍAS ELECTORALES – Aplicación – Contratación PIC</w:t>
      </w:r>
    </w:p>
    <w:p w14:paraId="0C1AC901" w14:textId="77777777" w:rsidR="008B480E" w:rsidRDefault="008B480E" w:rsidP="00F142EF">
      <w:pPr>
        <w:contextualSpacing/>
        <w:jc w:val="both"/>
        <w:rPr>
          <w:rFonts w:ascii="Verdana" w:eastAsia="Calibri" w:hAnsi="Verdana" w:cs="Arial"/>
          <w:b/>
          <w:bCs/>
          <w:lang w:val="es-ES" w:eastAsia="es-ES"/>
        </w:rPr>
      </w:pPr>
    </w:p>
    <w:p w14:paraId="659C9745" w14:textId="77777777" w:rsidR="008B480E" w:rsidRPr="00E146FE" w:rsidRDefault="008B480E" w:rsidP="00E146FE">
      <w:pPr>
        <w:spacing w:after="0" w:line="240" w:lineRule="auto"/>
        <w:jc w:val="both"/>
        <w:rPr>
          <w:rFonts w:ascii="Verdana" w:eastAsia="Arial" w:hAnsi="Verdana" w:cs="Arial"/>
          <w:bCs/>
          <w:color w:val="000000" w:themeColor="text1"/>
          <w:sz w:val="20"/>
          <w:szCs w:val="20"/>
          <w:lang w:val="es-ES"/>
        </w:rPr>
      </w:pPr>
      <w:r w:rsidRPr="00E146FE">
        <w:rPr>
          <w:rFonts w:ascii="Verdana" w:eastAsia="Arial" w:hAnsi="Verdana" w:cs="Arial"/>
          <w:bCs/>
          <w:color w:val="000000" w:themeColor="text1"/>
          <w:sz w:val="20"/>
          <w:szCs w:val="20"/>
          <w:lang w:val="es-ES"/>
        </w:rPr>
        <w:t>Conforme con lo expuesto, las entidades que requieran adelantar procesos de contratación directa durante el periodo de garantías electorales deberán analizar, primero, si se configuran los supuestos establecidos en el artículo 33 de la Ley 996 de 2005, es decir, si se trata de una entidad pública que pretenda adelantar un proceso no competitivo. Adicionalmente, será pertinente analizar si se configura alguna de las excepciones previstas en la norma. En este caso, será relevante determinar si la contratación del PIC se realiza con ocasión a una “emergencia sanitaria” o si es llevada a cabo por “entidades sanitarias u hospitalarias”. De ser así, la entidad podrá contratar directamente, a pesar de que haya iniciado el periodo de garantías electorales correspondiente al artículo 33 de la Ley 996 de 2005.</w:t>
      </w:r>
    </w:p>
    <w:p w14:paraId="73BA5217" w14:textId="77777777" w:rsidR="00E146FE" w:rsidRDefault="00E146FE" w:rsidP="00E146FE">
      <w:pPr>
        <w:widowControl w:val="0"/>
        <w:autoSpaceDE w:val="0"/>
        <w:autoSpaceDN w:val="0"/>
        <w:spacing w:after="120" w:line="240" w:lineRule="auto"/>
        <w:ind w:right="113"/>
        <w:jc w:val="both"/>
        <w:rPr>
          <w:rFonts w:ascii="Verdana" w:eastAsia="Calibri" w:hAnsi="Verdana" w:cs="Arial"/>
          <w:bCs/>
          <w:sz w:val="20"/>
          <w:szCs w:val="20"/>
          <w:lang w:val="es-ES" w:eastAsia="es-ES"/>
        </w:rPr>
      </w:pPr>
    </w:p>
    <w:p w14:paraId="4B162113" w14:textId="498E50B0" w:rsidR="008B480E" w:rsidRPr="00E146FE" w:rsidRDefault="008B480E" w:rsidP="00E146FE">
      <w:pPr>
        <w:widowControl w:val="0"/>
        <w:autoSpaceDE w:val="0"/>
        <w:autoSpaceDN w:val="0"/>
        <w:spacing w:after="120" w:line="240" w:lineRule="auto"/>
        <w:ind w:right="113"/>
        <w:jc w:val="both"/>
        <w:rPr>
          <w:rFonts w:ascii="Verdana" w:eastAsia="Arial" w:hAnsi="Verdana" w:cs="Arial"/>
          <w:bCs/>
          <w:color w:val="000000" w:themeColor="text1"/>
          <w:sz w:val="20"/>
          <w:szCs w:val="20"/>
          <w:lang w:val="es-ES"/>
        </w:rPr>
      </w:pPr>
      <w:r w:rsidRPr="00E146FE">
        <w:rPr>
          <w:rFonts w:ascii="Verdana" w:eastAsia="Calibri" w:hAnsi="Verdana" w:cs="Arial"/>
          <w:bCs/>
          <w:sz w:val="20"/>
          <w:szCs w:val="20"/>
          <w:lang w:val="es-ES" w:eastAsia="es-ES"/>
        </w:rPr>
        <w:t xml:space="preserve">[…] </w:t>
      </w:r>
      <w:r w:rsidRPr="00E146FE">
        <w:rPr>
          <w:rFonts w:ascii="Verdana" w:eastAsia="Arial" w:hAnsi="Verdana" w:cs="Arial"/>
          <w:bCs/>
          <w:sz w:val="20"/>
          <w:szCs w:val="20"/>
          <w:lang w:val="es-ES" w:eastAsia="es-ES" w:bidi="es-ES"/>
        </w:rPr>
        <w:t xml:space="preserve">En efecto, con respecto a [la] prohibición [del parágrafo del artículo 38], </w:t>
      </w:r>
      <w:r w:rsidRPr="00E146FE">
        <w:rPr>
          <w:rFonts w:ascii="Verdana" w:eastAsia="Arial" w:hAnsi="Verdana" w:cs="Arial"/>
          <w:bCs/>
          <w:color w:val="000000" w:themeColor="text1"/>
          <w:sz w:val="20"/>
          <w:szCs w:val="20"/>
          <w:lang w:val="es-ES"/>
        </w:rPr>
        <w:t xml:space="preserve">es necesario verificar si la contratación del PIC es llevada a cabo por alguno de los sujetos señalados en la norma, </w:t>
      </w:r>
      <w:r w:rsidRPr="00E146FE">
        <w:rPr>
          <w:rFonts w:ascii="Verdana" w:eastAsia="Arial" w:hAnsi="Verdana" w:cs="Arial"/>
          <w:bCs/>
          <w:color w:val="000000" w:themeColor="text1"/>
          <w:sz w:val="20"/>
          <w:szCs w:val="20"/>
        </w:rPr>
        <w:t>así como</w:t>
      </w:r>
      <w:r w:rsidRPr="00E146FE">
        <w:rPr>
          <w:rFonts w:ascii="Verdana" w:eastAsia="Arial" w:hAnsi="Verdana" w:cs="Arial"/>
          <w:bCs/>
          <w:color w:val="000000" w:themeColor="text1"/>
          <w:sz w:val="20"/>
          <w:szCs w:val="20"/>
          <w:lang w:val="es-ES"/>
        </w:rPr>
        <w:t xml:space="preserve"> si lo que se pretende adelantar es un convenio o un contrato interadministrativo para la ejecución de recursos públicos. Cuando este sea el caso, operará la restricción señalada en el parágrafo y estará prohibido llevar a cabo la contratación en los cuatro meses anteriores a cualquier contienda electoral. Es importante resaltar que para esta prohibición la norma no contempló ninguna excepción, de modo que aplicará aunque se trate de entidades sanitarias u hospitalarias […] </w:t>
      </w:r>
      <w:r w:rsidRPr="00E146FE">
        <w:rPr>
          <w:rFonts w:ascii="Verdana" w:eastAsia="Times New Roman" w:hAnsi="Verdana" w:cs="Arial"/>
          <w:bCs/>
          <w:sz w:val="20"/>
          <w:szCs w:val="20"/>
          <w:lang w:val="es-ES" w:eastAsia="es-CO"/>
        </w:rPr>
        <w:t xml:space="preserve">es importante resaltar que el Ministerio de Salud y Protección Social </w:t>
      </w:r>
      <w:r w:rsidRPr="00E146FE">
        <w:rPr>
          <w:rFonts w:ascii="Verdana" w:eastAsia="Arial" w:hAnsi="Verdana" w:cs="Arial"/>
          <w:bCs/>
          <w:color w:val="000000" w:themeColor="text1"/>
          <w:sz w:val="20"/>
          <w:szCs w:val="20"/>
          <w:lang w:val="es-ES"/>
        </w:rPr>
        <w:t>dispuso que, con el fin de garantizar la continuidad de las intervenciones de promoción de salud y prevención, “se debe acudir a las demás modalidades de contratación autorizadas por la ley de manera que no se afecte la ejecución de las intervenciones colectivas a cargo de las entidades territoriales”.</w:t>
      </w:r>
    </w:p>
    <w:p w14:paraId="7C6BBCD0" w14:textId="77777777" w:rsidR="00F142EF" w:rsidRDefault="00F142EF" w:rsidP="004B6767">
      <w:pPr>
        <w:spacing w:after="0"/>
        <w:rPr>
          <w:rFonts w:ascii="Verdana" w:hAnsi="Verdana"/>
          <w:lang w:val="es-ES"/>
        </w:rPr>
      </w:pPr>
    </w:p>
    <w:p w14:paraId="45C1C00B" w14:textId="77777777" w:rsidR="00E146FE" w:rsidRDefault="00E146FE" w:rsidP="004B6767">
      <w:pPr>
        <w:spacing w:after="0"/>
        <w:rPr>
          <w:rFonts w:ascii="Verdana" w:hAnsi="Verdana"/>
          <w:lang w:val="es-ES"/>
        </w:rPr>
      </w:pPr>
    </w:p>
    <w:p w14:paraId="2797D5FE" w14:textId="77777777" w:rsidR="00E146FE" w:rsidRDefault="00E146FE" w:rsidP="004B6767">
      <w:pPr>
        <w:spacing w:after="0"/>
        <w:rPr>
          <w:rFonts w:ascii="Verdana" w:hAnsi="Verdana"/>
          <w:lang w:val="es-ES"/>
        </w:rPr>
      </w:pPr>
    </w:p>
    <w:p w14:paraId="21007489" w14:textId="77777777" w:rsidR="00E146FE" w:rsidRDefault="00E146FE" w:rsidP="004B6767">
      <w:pPr>
        <w:spacing w:after="0"/>
        <w:rPr>
          <w:rFonts w:ascii="Verdana" w:hAnsi="Verdana"/>
          <w:lang w:val="es-ES"/>
        </w:rPr>
      </w:pPr>
    </w:p>
    <w:p w14:paraId="2FC4673E" w14:textId="77777777" w:rsidR="00E146FE" w:rsidRDefault="00E146FE" w:rsidP="004B6767">
      <w:pPr>
        <w:spacing w:after="0"/>
        <w:rPr>
          <w:rFonts w:ascii="Verdana" w:hAnsi="Verdana"/>
          <w:lang w:val="es-ES"/>
        </w:rPr>
      </w:pPr>
    </w:p>
    <w:p w14:paraId="395EEEA8" w14:textId="29835E46" w:rsidR="004B6767" w:rsidRPr="00FC6F34" w:rsidRDefault="004B6767" w:rsidP="004B6767">
      <w:pPr>
        <w:spacing w:after="0"/>
        <w:rPr>
          <w:rFonts w:ascii="Verdana" w:hAnsi="Verdana"/>
          <w:lang w:val="es-ES"/>
        </w:rPr>
      </w:pPr>
      <w:r w:rsidRPr="00FC6F34">
        <w:rPr>
          <w:rFonts w:ascii="Verdana" w:hAnsi="Verdana"/>
          <w:lang w:val="es-ES"/>
        </w:rPr>
        <w:lastRenderedPageBreak/>
        <w:t xml:space="preserve">Bogotá D.C., </w:t>
      </w:r>
      <w:r w:rsidR="00203F4C">
        <w:rPr>
          <w:rFonts w:ascii="Verdana" w:hAnsi="Verdana"/>
          <w:lang w:val="es-ES"/>
        </w:rPr>
        <w:t xml:space="preserve">25 </w:t>
      </w:r>
      <w:proofErr w:type="gramStart"/>
      <w:r w:rsidR="00203F4C">
        <w:rPr>
          <w:rFonts w:ascii="Verdana" w:hAnsi="Verdana"/>
          <w:lang w:val="es-ES"/>
        </w:rPr>
        <w:t>Agosto</w:t>
      </w:r>
      <w:proofErr w:type="gramEnd"/>
      <w:r w:rsidR="00203F4C">
        <w:rPr>
          <w:rFonts w:ascii="Verdana" w:hAnsi="Verdana"/>
          <w:lang w:val="es-ES"/>
        </w:rPr>
        <w:t xml:space="preserve"> 2025</w:t>
      </w:r>
      <w:r w:rsidRPr="00FC6F34">
        <w:rPr>
          <w:rFonts w:ascii="Verdana" w:hAnsi="Verdana"/>
          <w:lang w:val="es-ES"/>
        </w:rPr>
        <w:tab/>
      </w:r>
    </w:p>
    <w:p w14:paraId="09F67070" w14:textId="4E2FBD21" w:rsidR="004B6767" w:rsidRPr="00FC6F34" w:rsidRDefault="004B6767" w:rsidP="004B6767">
      <w:pPr>
        <w:spacing w:after="0"/>
        <w:rPr>
          <w:rFonts w:ascii="Verdana" w:hAnsi="Verdana"/>
          <w:lang w:val="es-ES"/>
        </w:rPr>
      </w:pPr>
    </w:p>
    <w:p w14:paraId="4E441E27" w14:textId="3345379D" w:rsidR="004B6767" w:rsidRPr="00FC6F34" w:rsidRDefault="004B6767" w:rsidP="004B6767">
      <w:pPr>
        <w:spacing w:after="0" w:line="240" w:lineRule="auto"/>
        <w:rPr>
          <w:rFonts w:ascii="Verdana" w:hAnsi="Verdana"/>
          <w:lang w:val="es-ES"/>
        </w:rPr>
      </w:pPr>
      <w:bookmarkStart w:id="0" w:name="_Hlk143780582"/>
      <w:r w:rsidRPr="00FC6F34">
        <w:rPr>
          <w:rFonts w:ascii="Verdana" w:eastAsia="Calibri" w:hAnsi="Verdana" w:cs="Arial"/>
          <w:color w:val="000000" w:themeColor="text1"/>
          <w:lang w:val="es-ES" w:eastAsia="es-ES"/>
        </w:rPr>
        <w:t>Señora</w:t>
      </w:r>
    </w:p>
    <w:p w14:paraId="2645911E" w14:textId="01735D9A" w:rsidR="004B6767" w:rsidRPr="00FC6F34" w:rsidRDefault="00203F4C" w:rsidP="004B6767">
      <w:pPr>
        <w:spacing w:after="0"/>
        <w:rPr>
          <w:rFonts w:ascii="Verdana" w:eastAsia="Calibri" w:hAnsi="Verdana" w:cs="Arial"/>
          <w:b/>
          <w:bCs/>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58240" behindDoc="0" locked="0" layoutInCell="1" allowOverlap="1" wp14:anchorId="5FA04957" wp14:editId="700027C7">
            <wp:simplePos x="0" y="0"/>
            <wp:positionH relativeFrom="column">
              <wp:posOffset>2974340</wp:posOffset>
            </wp:positionH>
            <wp:positionV relativeFrom="page">
              <wp:posOffset>1859915</wp:posOffset>
            </wp:positionV>
            <wp:extent cx="2272665" cy="636905"/>
            <wp:effectExtent l="0" t="0" r="635" b="0"/>
            <wp:wrapSquare wrapText="bothSides"/>
            <wp:docPr id="18958427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42726" name="Picture 18958427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2665" cy="636905"/>
                    </a:xfrm>
                    <a:prstGeom prst="rect">
                      <a:avLst/>
                    </a:prstGeom>
                  </pic:spPr>
                </pic:pic>
              </a:graphicData>
            </a:graphic>
            <wp14:sizeRelH relativeFrom="page">
              <wp14:pctWidth>0</wp14:pctWidth>
            </wp14:sizeRelH>
            <wp14:sizeRelV relativeFrom="page">
              <wp14:pctHeight>0</wp14:pctHeight>
            </wp14:sizeRelV>
          </wp:anchor>
        </w:drawing>
      </w:r>
      <w:r w:rsidR="004B6767" w:rsidRPr="00FC6F34">
        <w:rPr>
          <w:rFonts w:ascii="Verdana" w:eastAsia="Calibri" w:hAnsi="Verdana" w:cs="Arial"/>
          <w:b/>
          <w:bCs/>
          <w:color w:val="000000" w:themeColor="text1"/>
          <w:lang w:val="es-ES" w:eastAsia="es-ES"/>
        </w:rPr>
        <w:t xml:space="preserve">Jennifer Carolina González Botero </w:t>
      </w:r>
    </w:p>
    <w:p w14:paraId="55DCE24C" w14:textId="2C4711F7" w:rsidR="004B6767" w:rsidRPr="00FC6F34" w:rsidRDefault="004B6767" w:rsidP="004B6767">
      <w:pPr>
        <w:spacing w:after="0"/>
        <w:rPr>
          <w:rFonts w:ascii="Verdana" w:eastAsia="Calibri" w:hAnsi="Verdana" w:cs="Arial"/>
          <w:color w:val="000000" w:themeColor="text1"/>
          <w:lang w:val="es-ES" w:eastAsia="es-ES"/>
        </w:rPr>
      </w:pPr>
      <w:hyperlink r:id="rId12" w:history="1">
        <w:r w:rsidRPr="00FC6F34">
          <w:rPr>
            <w:rStyle w:val="Hipervnculo"/>
            <w:rFonts w:ascii="Verdana" w:eastAsia="Calibri" w:hAnsi="Verdana" w:cs="Arial"/>
            <w:lang w:val="es-ES" w:eastAsia="es-ES"/>
          </w:rPr>
          <w:t>abogadaquindio@gmail.com</w:t>
        </w:r>
      </w:hyperlink>
    </w:p>
    <w:p w14:paraId="15E25282" w14:textId="5EBADFC1" w:rsidR="004B6767" w:rsidRPr="00FC6F34" w:rsidRDefault="004B6767" w:rsidP="004B6767">
      <w:pPr>
        <w:spacing w:after="0"/>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Armenia, Quindío</w:t>
      </w:r>
    </w:p>
    <w:p w14:paraId="2683F0FD" w14:textId="77777777" w:rsidR="004B6767" w:rsidRPr="00FC6F34" w:rsidRDefault="004B6767" w:rsidP="004B6767">
      <w:pPr>
        <w:spacing w:after="0" w:line="240" w:lineRule="auto"/>
        <w:rPr>
          <w:rFonts w:ascii="Verdana" w:eastAsia="Calibri" w:hAnsi="Verdana" w:cs="Arial"/>
          <w:b/>
          <w:color w:val="000000" w:themeColor="text1"/>
          <w:lang w:val="es-ES" w:eastAsia="es-ES"/>
        </w:rPr>
      </w:pPr>
    </w:p>
    <w:p w14:paraId="2EC0D062" w14:textId="77777777" w:rsidR="004B6767" w:rsidRPr="00FC6F34" w:rsidRDefault="004B6767" w:rsidP="004B6767">
      <w:pPr>
        <w:spacing w:after="0" w:line="240" w:lineRule="auto"/>
        <w:rPr>
          <w:rFonts w:ascii="Verdana" w:eastAsia="Calibri" w:hAnsi="Verdana" w:cs="Arial"/>
          <w:b/>
          <w:bCs/>
          <w:color w:val="000000" w:themeColor="tex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B6767" w:rsidRPr="00FC6F34" w14:paraId="0D607849" w14:textId="77777777" w:rsidTr="00E67E18">
        <w:trPr>
          <w:trHeight w:val="300"/>
        </w:trPr>
        <w:tc>
          <w:tcPr>
            <w:tcW w:w="2410" w:type="dxa"/>
          </w:tcPr>
          <w:p w14:paraId="36071B77" w14:textId="77777777" w:rsidR="004B6767" w:rsidRPr="00FC6F34" w:rsidRDefault="004B6767" w:rsidP="00E67E18">
            <w:pPr>
              <w:ind w:left="-142"/>
              <w:jc w:val="both"/>
              <w:rPr>
                <w:rFonts w:ascii="Verdana" w:eastAsia="Calibri" w:hAnsi="Verdana" w:cs="Arial"/>
                <w:b/>
                <w:bCs/>
                <w:color w:val="000000" w:themeColor="text1"/>
                <w:lang w:val="es-ES" w:eastAsia="es-ES_tradnl"/>
              </w:rPr>
            </w:pPr>
          </w:p>
        </w:tc>
        <w:tc>
          <w:tcPr>
            <w:tcW w:w="6100" w:type="dxa"/>
          </w:tcPr>
          <w:p w14:paraId="49B5723B" w14:textId="77777777" w:rsidR="004B6767" w:rsidRPr="00FC6F34" w:rsidRDefault="004B6767" w:rsidP="00E67E18">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C-979 de 2025</w:t>
            </w:r>
          </w:p>
          <w:p w14:paraId="50EC1EA5" w14:textId="77777777" w:rsidR="004B6767" w:rsidRPr="00FC6F34" w:rsidRDefault="004B6767" w:rsidP="00E67E18">
            <w:pPr>
              <w:ind w:left="3"/>
              <w:jc w:val="both"/>
              <w:rPr>
                <w:rFonts w:ascii="Verdana" w:eastAsia="Calibri" w:hAnsi="Verdana" w:cs="Arial"/>
                <w:b/>
                <w:bCs/>
                <w:color w:val="000000" w:themeColor="text1"/>
                <w:lang w:val="es-ES" w:eastAsia="es-ES"/>
              </w:rPr>
            </w:pPr>
          </w:p>
        </w:tc>
      </w:tr>
      <w:tr w:rsidR="004B6767" w:rsidRPr="00FC6F34" w14:paraId="76159873" w14:textId="77777777" w:rsidTr="00E67E18">
        <w:trPr>
          <w:trHeight w:val="300"/>
        </w:trPr>
        <w:tc>
          <w:tcPr>
            <w:tcW w:w="2410" w:type="dxa"/>
          </w:tcPr>
          <w:p w14:paraId="48F341EA" w14:textId="77777777" w:rsidR="004B6767" w:rsidRPr="00FC6F34" w:rsidRDefault="004B6767" w:rsidP="00E67E18">
            <w:pPr>
              <w:ind w:left="424" w:firstLine="14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100" w:type="dxa"/>
          </w:tcPr>
          <w:p w14:paraId="1A274111" w14:textId="2DB374C8" w:rsidR="004B6767" w:rsidRDefault="004B6767" w:rsidP="00E67E18">
            <w:pPr>
              <w:spacing w:line="276" w:lineRule="auto"/>
              <w:jc w:val="both"/>
              <w:rPr>
                <w:rFonts w:ascii="Verdana" w:hAnsi="Verdana" w:cs="Arial"/>
                <w:color w:val="000000" w:themeColor="text1"/>
                <w:lang w:val="es-ES"/>
              </w:rPr>
            </w:pPr>
            <w:r w:rsidRPr="00686D64">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sidR="00F142EF">
              <w:rPr>
                <w:rFonts w:ascii="Verdana" w:eastAsia="Calibri" w:hAnsi="Verdana" w:cs="Arial"/>
                <w:lang w:val="es-ES" w:eastAsia="es-ES"/>
              </w:rPr>
              <w:t xml:space="preserve"> </w:t>
            </w:r>
            <w:r w:rsidRPr="00686D64">
              <w:rPr>
                <w:rFonts w:ascii="Verdana" w:eastAsia="Calibri" w:hAnsi="Verdana" w:cs="Arial"/>
                <w:lang w:val="es-ES" w:eastAsia="es-ES"/>
              </w:rPr>
              <w:t xml:space="preserve">/ LEY DE GARANTÍAS ELECTORALES – Aplicación – Contratación PIC </w:t>
            </w:r>
          </w:p>
          <w:p w14:paraId="37348D18" w14:textId="77777777" w:rsidR="00203F4C" w:rsidRPr="00686D64" w:rsidRDefault="00203F4C" w:rsidP="00E67E18">
            <w:pPr>
              <w:spacing w:line="276" w:lineRule="auto"/>
              <w:jc w:val="both"/>
              <w:rPr>
                <w:rFonts w:ascii="Verdana" w:eastAsia="Calibri" w:hAnsi="Verdana" w:cs="Arial"/>
                <w:color w:val="000000" w:themeColor="text1"/>
                <w:lang w:val="es-ES" w:eastAsia="es-ES"/>
              </w:rPr>
            </w:pPr>
          </w:p>
        </w:tc>
      </w:tr>
      <w:tr w:rsidR="004B6767" w:rsidRPr="00FC6F34" w14:paraId="647D498E" w14:textId="77777777" w:rsidTr="00E67E18">
        <w:tc>
          <w:tcPr>
            <w:tcW w:w="2410" w:type="dxa"/>
          </w:tcPr>
          <w:p w14:paraId="35865F9A" w14:textId="77777777" w:rsidR="004B6767" w:rsidRPr="00FC6F34" w:rsidRDefault="004B6767" w:rsidP="00E67E18">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100" w:type="dxa"/>
          </w:tcPr>
          <w:p w14:paraId="7F0E591A" w14:textId="77777777" w:rsidR="004B6767" w:rsidRPr="00FC6F34" w:rsidRDefault="004B6767" w:rsidP="00E67E18">
            <w:pPr>
              <w:ind w:left="3"/>
              <w:jc w:val="both"/>
              <w:rPr>
                <w:rFonts w:ascii="Verdana" w:hAnsi="Verdana"/>
                <w:color w:val="000000"/>
                <w:lang w:val="es-ES"/>
              </w:rPr>
            </w:pPr>
            <w:r w:rsidRPr="00FC6F34">
              <w:rPr>
                <w:rFonts w:ascii="Verdana" w:eastAsia="Calibri" w:hAnsi="Verdana" w:cs="Arial"/>
                <w:color w:val="000000" w:themeColor="text1"/>
                <w:lang w:val="es-ES" w:eastAsia="es-ES"/>
              </w:rPr>
              <w:t>Respuesta a consulta con radicado No. 1_2025_07_18_007363</w:t>
            </w:r>
          </w:p>
        </w:tc>
      </w:tr>
    </w:tbl>
    <w:p w14:paraId="357BCA64" w14:textId="77777777" w:rsidR="004B6767" w:rsidRPr="00FC6F34" w:rsidRDefault="004B6767" w:rsidP="004B6767">
      <w:pPr>
        <w:spacing w:after="0" w:line="276" w:lineRule="auto"/>
        <w:jc w:val="both"/>
        <w:rPr>
          <w:rFonts w:ascii="Verdana" w:eastAsia="Calibri" w:hAnsi="Verdana" w:cs="Arial"/>
          <w:color w:val="000000" w:themeColor="text1"/>
          <w:lang w:val="es-ES" w:eastAsia="es-ES"/>
        </w:rPr>
      </w:pPr>
    </w:p>
    <w:p w14:paraId="69103731" w14:textId="77777777" w:rsidR="004B6767" w:rsidRPr="00FC6F34" w:rsidRDefault="004B6767" w:rsidP="004B6767">
      <w:pPr>
        <w:spacing w:after="0" w:line="276" w:lineRule="auto"/>
        <w:jc w:val="both"/>
        <w:rPr>
          <w:rFonts w:ascii="Verdana" w:eastAsia="Calibri" w:hAnsi="Verdana" w:cs="Arial"/>
          <w:color w:val="000000" w:themeColor="text1"/>
          <w:lang w:val="es-ES" w:eastAsia="es-ES"/>
        </w:rPr>
      </w:pPr>
    </w:p>
    <w:p w14:paraId="2E223CFA" w14:textId="77777777" w:rsidR="004B6767" w:rsidRPr="00FC6F34" w:rsidRDefault="004B6767" w:rsidP="004B6767">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Estimada señora González: </w:t>
      </w:r>
    </w:p>
    <w:p w14:paraId="728A050E" w14:textId="77777777" w:rsidR="004B6767" w:rsidRPr="00FC6F34" w:rsidRDefault="004B6767" w:rsidP="004B6767">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33F0D9CE" w14:textId="77777777" w:rsidR="004B6767" w:rsidRPr="00FC6F34" w:rsidRDefault="004B6767" w:rsidP="004B6767">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 xml:space="preserve">así como lo establecido en el artículo 4 de la Resolución 1707 de 2018 expedida por esta Entidad,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18 de julio de 2025, en la cual manifiesta lo siguiente: </w:t>
      </w:r>
    </w:p>
    <w:p w14:paraId="39E08715" w14:textId="77777777" w:rsidR="004B6767" w:rsidRPr="00FC6F34" w:rsidRDefault="004B6767" w:rsidP="004B6767">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p w14:paraId="75AB02E6" w14:textId="77777777" w:rsidR="004B6767" w:rsidRPr="00FC6F34" w:rsidRDefault="004B6767" w:rsidP="004B6767">
      <w:pPr>
        <w:spacing w:before="120" w:after="120"/>
        <w:ind w:left="709" w:right="709"/>
        <w:contextualSpacing/>
        <w:jc w:val="both"/>
        <w:rPr>
          <w:rFonts w:ascii="Verdana" w:hAnsi="Verdana"/>
          <w:i/>
          <w:iCs/>
          <w:sz w:val="20"/>
          <w:szCs w:val="20"/>
          <w:lang w:val="es-ES"/>
        </w:rPr>
      </w:pPr>
      <w:r w:rsidRPr="00FC6F34">
        <w:rPr>
          <w:rFonts w:ascii="Verdana" w:eastAsia="Century Gothic" w:hAnsi="Verdana" w:cs="Century Gothic"/>
          <w:i/>
          <w:iCs/>
          <w:color w:val="000000" w:themeColor="text1"/>
          <w:sz w:val="20"/>
          <w:szCs w:val="20"/>
          <w:lang w:val="es-ES"/>
        </w:rPr>
        <w:t>“</w:t>
      </w:r>
      <w:r w:rsidRPr="00FC6F34">
        <w:rPr>
          <w:rFonts w:ascii="Verdana" w:hAnsi="Verdana"/>
          <w:i/>
          <w:iCs/>
          <w:sz w:val="20"/>
          <w:szCs w:val="20"/>
          <w:lang w:val="es-ES"/>
        </w:rPr>
        <w:t>Buenos días, quiero saber si con la entrada en vigencia de la ley de garantías para la suscripción de contratos interadministrativos con ejecución de recursos provenientes de SGP-Salud pública para adelantar las actividades del PIC (PLAN DE INTERVENCIONES COLECTIVAS), se puede contratar bajo una vigencia futura excepcional con el fin de suscribir el contrato en 2025, previa a la entrada en vigencia de la ley de garantías electorales, pero que el 100% de la ejecución se realice en la vigencia 2026, teniendo en cuenta q actualmente se ejecuta PIC 2025 hasta el 10 de diciembre de la presente anualidad.</w:t>
      </w:r>
    </w:p>
    <w:p w14:paraId="3C9B1C54" w14:textId="77777777" w:rsidR="004B6767" w:rsidRPr="00FC6F34" w:rsidRDefault="004B6767" w:rsidP="004B6767">
      <w:pPr>
        <w:spacing w:before="120" w:after="120"/>
        <w:ind w:left="709" w:right="709"/>
        <w:contextualSpacing/>
        <w:jc w:val="both"/>
        <w:rPr>
          <w:rFonts w:ascii="Verdana" w:hAnsi="Verdana"/>
          <w:i/>
          <w:iCs/>
          <w:sz w:val="20"/>
          <w:szCs w:val="20"/>
          <w:lang w:val="es-ES"/>
        </w:rPr>
      </w:pPr>
      <w:r w:rsidRPr="00FC6F34">
        <w:rPr>
          <w:rFonts w:ascii="Verdana" w:hAnsi="Verdana"/>
          <w:i/>
          <w:iCs/>
          <w:sz w:val="20"/>
          <w:szCs w:val="20"/>
          <w:lang w:val="es-ES"/>
        </w:rPr>
        <w:lastRenderedPageBreak/>
        <w:t>Quisiera saber cuál es el procedimiento indicado para este periodo electoral, con el fin de contratar de la mejor manera la ejecución del PIC PARA 2026.?</w:t>
      </w:r>
    </w:p>
    <w:p w14:paraId="259A9636" w14:textId="77777777" w:rsidR="004B6767" w:rsidRPr="00FC6F34" w:rsidRDefault="004B6767" w:rsidP="004B6767">
      <w:pPr>
        <w:spacing w:before="120" w:after="120"/>
        <w:ind w:left="709" w:right="709"/>
        <w:contextualSpacing/>
        <w:jc w:val="both"/>
        <w:rPr>
          <w:rFonts w:ascii="Verdana" w:hAnsi="Verdana"/>
          <w:i/>
          <w:iCs/>
          <w:sz w:val="20"/>
          <w:szCs w:val="20"/>
          <w:lang w:val="es-ES"/>
        </w:rPr>
      </w:pPr>
      <w:r w:rsidRPr="00FC6F34">
        <w:rPr>
          <w:rFonts w:ascii="Verdana" w:hAnsi="Verdana"/>
          <w:i/>
          <w:iCs/>
          <w:sz w:val="20"/>
          <w:szCs w:val="20"/>
          <w:lang w:val="es-ES"/>
        </w:rPr>
        <w:t xml:space="preserve">En la actualidad el PIC, en condiciones diferentes a ley de garantías, se contrata bajo contrato interadministrativo con </w:t>
      </w:r>
      <w:proofErr w:type="gramStart"/>
      <w:r w:rsidRPr="00FC6F34">
        <w:rPr>
          <w:rFonts w:ascii="Verdana" w:hAnsi="Verdana"/>
          <w:i/>
          <w:iCs/>
          <w:sz w:val="20"/>
          <w:szCs w:val="20"/>
          <w:lang w:val="es-ES"/>
        </w:rPr>
        <w:t>la ESE local</w:t>
      </w:r>
      <w:proofErr w:type="gramEnd"/>
      <w:r w:rsidRPr="00FC6F34">
        <w:rPr>
          <w:rFonts w:ascii="Verdana" w:hAnsi="Verdana"/>
          <w:i/>
          <w:iCs/>
          <w:sz w:val="20"/>
          <w:szCs w:val="20"/>
          <w:lang w:val="es-ES"/>
        </w:rPr>
        <w:t>, que cumple y tiene acreditado los servicios para tal fin.</w:t>
      </w:r>
    </w:p>
    <w:p w14:paraId="36816B56" w14:textId="77777777" w:rsidR="004B6767" w:rsidRPr="00FC6F34" w:rsidRDefault="004B6767" w:rsidP="004B6767">
      <w:pPr>
        <w:spacing w:before="120" w:after="120"/>
        <w:ind w:left="709" w:right="709"/>
        <w:contextualSpacing/>
        <w:jc w:val="both"/>
        <w:rPr>
          <w:rFonts w:ascii="Verdana" w:hAnsi="Verdana"/>
          <w:i/>
          <w:iCs/>
          <w:sz w:val="20"/>
          <w:szCs w:val="20"/>
          <w:lang w:val="es-ES"/>
        </w:rPr>
      </w:pPr>
      <w:r w:rsidRPr="00FC6F34">
        <w:rPr>
          <w:rFonts w:ascii="Verdana" w:hAnsi="Verdana"/>
          <w:i/>
          <w:iCs/>
          <w:sz w:val="20"/>
          <w:szCs w:val="20"/>
          <w:lang w:val="es-ES"/>
        </w:rPr>
        <w:t>Ahora bajo la ley de garantías, quiero recalcar las siguientes preguntas:</w:t>
      </w:r>
    </w:p>
    <w:p w14:paraId="1DFF944B" w14:textId="77777777" w:rsidR="004B6767" w:rsidRPr="00FC6F34" w:rsidRDefault="004B6767" w:rsidP="004B6767">
      <w:pPr>
        <w:spacing w:before="120" w:after="120"/>
        <w:ind w:left="709" w:right="709"/>
        <w:contextualSpacing/>
        <w:jc w:val="both"/>
        <w:rPr>
          <w:rFonts w:ascii="Verdana" w:hAnsi="Verdana"/>
          <w:i/>
          <w:iCs/>
          <w:sz w:val="20"/>
          <w:szCs w:val="20"/>
          <w:lang w:val="es-ES"/>
        </w:rPr>
      </w:pPr>
      <w:r w:rsidRPr="00FC6F34">
        <w:rPr>
          <w:rFonts w:ascii="Verdana" w:hAnsi="Verdana"/>
          <w:i/>
          <w:iCs/>
          <w:sz w:val="20"/>
          <w:szCs w:val="20"/>
          <w:lang w:val="es-ES"/>
        </w:rPr>
        <w:t xml:space="preserve">1. </w:t>
      </w:r>
      <w:proofErr w:type="gramStart"/>
      <w:r w:rsidRPr="00FC6F34">
        <w:rPr>
          <w:rFonts w:ascii="Verdana" w:hAnsi="Verdana"/>
          <w:i/>
          <w:iCs/>
          <w:sz w:val="20"/>
          <w:szCs w:val="20"/>
          <w:lang w:val="es-ES"/>
        </w:rPr>
        <w:t>Celebrar contrato interadministrativo nuevo, bajo vigencias futuras excepcionales o extraordinarias?</w:t>
      </w:r>
      <w:proofErr w:type="gramEnd"/>
      <w:r w:rsidRPr="00FC6F34">
        <w:rPr>
          <w:rFonts w:ascii="Verdana" w:hAnsi="Verdana"/>
          <w:i/>
          <w:iCs/>
          <w:sz w:val="20"/>
          <w:szCs w:val="20"/>
          <w:lang w:val="es-ES"/>
        </w:rPr>
        <w:t xml:space="preserve"> </w:t>
      </w:r>
      <w:proofErr w:type="gramStart"/>
      <w:r w:rsidRPr="00FC6F34">
        <w:rPr>
          <w:rFonts w:ascii="Verdana" w:hAnsi="Verdana"/>
          <w:i/>
          <w:iCs/>
          <w:sz w:val="20"/>
          <w:szCs w:val="20"/>
          <w:lang w:val="es-ES"/>
        </w:rPr>
        <w:t>Cuál es la indicada?</w:t>
      </w:r>
      <w:proofErr w:type="gramEnd"/>
    </w:p>
    <w:p w14:paraId="70E8B0BF" w14:textId="77777777" w:rsidR="004B6767" w:rsidRPr="00FC6F34" w:rsidRDefault="004B6767" w:rsidP="004B6767">
      <w:pPr>
        <w:spacing w:before="120" w:after="120"/>
        <w:ind w:left="709" w:right="709"/>
        <w:contextualSpacing/>
        <w:jc w:val="both"/>
        <w:rPr>
          <w:rFonts w:ascii="Verdana" w:hAnsi="Verdana"/>
          <w:i/>
          <w:iCs/>
          <w:sz w:val="20"/>
          <w:szCs w:val="20"/>
          <w:lang w:val="es-ES"/>
        </w:rPr>
      </w:pPr>
      <w:r w:rsidRPr="00FC6F34">
        <w:rPr>
          <w:rFonts w:ascii="Verdana" w:hAnsi="Verdana"/>
          <w:i/>
          <w:iCs/>
          <w:sz w:val="20"/>
          <w:szCs w:val="20"/>
          <w:lang w:val="es-ES"/>
        </w:rPr>
        <w:t xml:space="preserve">2. Adicionar el contrato vigente (2025) hasta el 2026 por el 50% calculado en SMMLV y después de la ley de garantías celebrar un nuevo contrato interadministrativo, </w:t>
      </w:r>
      <w:proofErr w:type="gramStart"/>
      <w:r w:rsidRPr="00FC6F34">
        <w:rPr>
          <w:rFonts w:ascii="Verdana" w:hAnsi="Verdana"/>
          <w:i/>
          <w:iCs/>
          <w:sz w:val="20"/>
          <w:szCs w:val="20"/>
          <w:lang w:val="es-ES"/>
        </w:rPr>
        <w:t>a pesar que</w:t>
      </w:r>
      <w:proofErr w:type="gramEnd"/>
      <w:r w:rsidRPr="00FC6F34">
        <w:rPr>
          <w:rFonts w:ascii="Verdana" w:hAnsi="Verdana"/>
          <w:i/>
          <w:iCs/>
          <w:sz w:val="20"/>
          <w:szCs w:val="20"/>
          <w:lang w:val="es-ES"/>
        </w:rPr>
        <w:t xml:space="preserve">, según los lineamientos del </w:t>
      </w:r>
      <w:proofErr w:type="spellStart"/>
      <w:r w:rsidRPr="00FC6F34">
        <w:rPr>
          <w:rFonts w:ascii="Verdana" w:hAnsi="Verdana"/>
          <w:i/>
          <w:iCs/>
          <w:sz w:val="20"/>
          <w:szCs w:val="20"/>
          <w:lang w:val="es-ES"/>
        </w:rPr>
        <w:t>MinSalud</w:t>
      </w:r>
      <w:proofErr w:type="spellEnd"/>
      <w:r w:rsidRPr="00FC6F34">
        <w:rPr>
          <w:rFonts w:ascii="Verdana" w:hAnsi="Verdana"/>
          <w:i/>
          <w:iCs/>
          <w:sz w:val="20"/>
          <w:szCs w:val="20"/>
          <w:lang w:val="es-ES"/>
        </w:rPr>
        <w:t>, señalan que debe contratarse el PIC cada año con plazo 31/03/2026 (periodo garantías)”</w:t>
      </w:r>
    </w:p>
    <w:p w14:paraId="29D195BC" w14:textId="77777777" w:rsidR="004B6767" w:rsidRPr="00FC6F34" w:rsidRDefault="004B6767" w:rsidP="004B6767">
      <w:pPr>
        <w:spacing w:after="0" w:line="276" w:lineRule="auto"/>
        <w:ind w:right="709"/>
        <w:jc w:val="both"/>
        <w:rPr>
          <w:rFonts w:ascii="Verdana" w:eastAsia="Calibri" w:hAnsi="Verdana" w:cs="Arial"/>
          <w:lang w:val="es-ES"/>
        </w:rPr>
      </w:pPr>
    </w:p>
    <w:p w14:paraId="686A1AFF" w14:textId="77777777" w:rsidR="004B6767" w:rsidRPr="00FC6F34" w:rsidRDefault="004B6767" w:rsidP="004B6767">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499A9056" w14:textId="77777777" w:rsidR="004B6767" w:rsidRPr="00FC6F34" w:rsidRDefault="004B6767" w:rsidP="004B6767">
      <w:pPr>
        <w:spacing w:after="0" w:line="276" w:lineRule="auto"/>
        <w:ind w:firstLine="709"/>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9A01C11" w14:textId="77777777" w:rsidR="004B6767" w:rsidRPr="00FC6F34" w:rsidRDefault="004B6767" w:rsidP="004B6767">
      <w:pPr>
        <w:spacing w:after="0" w:line="276" w:lineRule="auto"/>
        <w:ind w:firstLine="709"/>
        <w:jc w:val="both"/>
        <w:rPr>
          <w:rFonts w:ascii="Verdana" w:eastAsia="Calibri" w:hAnsi="Verdana" w:cs="Arial"/>
          <w:color w:val="000000" w:themeColor="text1"/>
          <w:lang w:val="es-ES" w:eastAsia="es-ES"/>
        </w:rPr>
      </w:pPr>
    </w:p>
    <w:p w14:paraId="1E619670" w14:textId="77777777" w:rsidR="004B6767" w:rsidRPr="00FC6F34" w:rsidRDefault="004B6767" w:rsidP="004B6767">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1.Problema planteado:</w:t>
      </w:r>
    </w:p>
    <w:p w14:paraId="20D50D7F" w14:textId="77777777" w:rsidR="004B6767" w:rsidRPr="00FC6F34" w:rsidRDefault="004B6767" w:rsidP="004B6767">
      <w:pPr>
        <w:tabs>
          <w:tab w:val="left" w:pos="426"/>
        </w:tabs>
        <w:spacing w:after="0" w:line="276" w:lineRule="auto"/>
        <w:jc w:val="both"/>
        <w:rPr>
          <w:rFonts w:ascii="Verdana" w:eastAsia="Century Gothic" w:hAnsi="Verdana" w:cs="Century Gothic"/>
          <w:color w:val="000000" w:themeColor="text1"/>
          <w:lang w:val="es-ES"/>
        </w:rPr>
      </w:pPr>
    </w:p>
    <w:p w14:paraId="28738D91" w14:textId="77777777" w:rsidR="004B6767" w:rsidRPr="00FC6F34" w:rsidRDefault="004B6767" w:rsidP="004B6767">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t>De acuerdo con el contenido de su solicitud, esta Agencia resolverá el siguiente problema jurídico: ¿</w:t>
      </w:r>
      <w:r w:rsidRPr="00982071">
        <w:rPr>
          <w:rFonts w:ascii="Verdana" w:eastAsia="Century Gothic" w:hAnsi="Verdana" w:cs="Century Gothic"/>
          <w:color w:val="000000" w:themeColor="text1"/>
          <w:lang w:val="es-ES"/>
        </w:rPr>
        <w:t xml:space="preserve">Cuál es el marco jurídico para la </w:t>
      </w:r>
      <w:r>
        <w:rPr>
          <w:rFonts w:ascii="Verdana" w:eastAsia="Century Gothic" w:hAnsi="Verdana" w:cs="Century Gothic"/>
          <w:color w:val="000000" w:themeColor="text1"/>
          <w:lang w:val="es-ES"/>
        </w:rPr>
        <w:t xml:space="preserve">contratación </w:t>
      </w:r>
      <w:r w:rsidRPr="00982071">
        <w:rPr>
          <w:rFonts w:ascii="Verdana" w:eastAsia="Century Gothic" w:hAnsi="Verdana" w:cs="Century Gothic"/>
          <w:color w:val="000000" w:themeColor="text1"/>
          <w:lang w:val="es-ES"/>
        </w:rPr>
        <w:t>del Plan de Intervenciones Colectivas</w:t>
      </w:r>
      <w:r>
        <w:rPr>
          <w:rFonts w:ascii="Verdana" w:eastAsia="Century Gothic" w:hAnsi="Verdana" w:cs="Century Gothic"/>
          <w:color w:val="000000" w:themeColor="text1"/>
          <w:lang w:val="es-ES"/>
        </w:rPr>
        <w:t xml:space="preserve"> (PIC) </w:t>
      </w:r>
      <w:r w:rsidRPr="0076257C">
        <w:rPr>
          <w:rFonts w:ascii="Verdana" w:eastAsia="Century Gothic" w:hAnsi="Verdana" w:cs="Century Gothic"/>
          <w:color w:val="000000" w:themeColor="text1"/>
          <w:lang w:val="es-ES"/>
        </w:rPr>
        <w:t>en vigencia de la Ley de Garantías</w:t>
      </w:r>
      <w:r w:rsidRPr="00982071">
        <w:rPr>
          <w:rFonts w:ascii="Verdana" w:eastAsia="Century Gothic" w:hAnsi="Verdana" w:cs="Century Gothic"/>
          <w:color w:val="000000" w:themeColor="text1"/>
          <w:lang w:val="es-ES"/>
        </w:rPr>
        <w:t>?</w:t>
      </w:r>
    </w:p>
    <w:p w14:paraId="740AB1A3" w14:textId="77777777" w:rsidR="004B6767" w:rsidRPr="00FC6F34" w:rsidRDefault="004B6767" w:rsidP="004B6767">
      <w:pPr>
        <w:spacing w:after="0" w:line="276" w:lineRule="auto"/>
        <w:jc w:val="both"/>
        <w:rPr>
          <w:rFonts w:ascii="Verdana" w:eastAsia="Calibri" w:hAnsi="Verdana" w:cs="Arial"/>
          <w:color w:val="000000" w:themeColor="text1"/>
          <w:lang w:val="es-ES"/>
        </w:rPr>
      </w:pPr>
    </w:p>
    <w:p w14:paraId="594DC2BC"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lastRenderedPageBreak/>
        <w:t>2.Respuesta:</w:t>
      </w:r>
    </w:p>
    <w:p w14:paraId="17347E57"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B6767" w:rsidRPr="00FC6F34" w14:paraId="4F9CC2F4" w14:textId="77777777" w:rsidTr="00E67E18">
        <w:tc>
          <w:tcPr>
            <w:tcW w:w="8828" w:type="dxa"/>
          </w:tcPr>
          <w:p w14:paraId="53DF937D" w14:textId="77777777" w:rsidR="004B6767" w:rsidRDefault="004B6767" w:rsidP="00051C96">
            <w:pPr>
              <w:spacing w:before="120" w:after="120" w:line="276" w:lineRule="auto"/>
              <w:jc w:val="both"/>
              <w:rPr>
                <w:rFonts w:ascii="Verdana" w:eastAsia="Calibri" w:hAnsi="Verdana" w:cs="Arial"/>
                <w:lang w:val="es-ES"/>
              </w:rPr>
            </w:pPr>
            <w:r w:rsidRPr="00FC6F34">
              <w:rPr>
                <w:rFonts w:ascii="Verdana" w:eastAsia="Calibri" w:hAnsi="Verdana" w:cs="Arial"/>
                <w:color w:val="000000" w:themeColor="text1"/>
                <w:lang w:val="es-ES"/>
              </w:rPr>
              <w:t>E</w:t>
            </w:r>
            <w:r w:rsidRPr="00FC6F34">
              <w:rPr>
                <w:rFonts w:ascii="Verdana" w:eastAsia="Calibri" w:hAnsi="Verdana" w:cs="Arial"/>
                <w:lang w:val="es-ES"/>
              </w:rPr>
              <w:t xml:space="preserve">l </w:t>
            </w:r>
            <w:r w:rsidRPr="00412D38">
              <w:rPr>
                <w:rFonts w:ascii="Verdana" w:eastAsia="Calibri" w:hAnsi="Verdana" w:cs="Arial"/>
                <w:i/>
                <w:iCs/>
                <w:lang w:val="es-ES"/>
              </w:rPr>
              <w:t>artículo 33</w:t>
            </w:r>
            <w:r w:rsidRPr="00FC6F34">
              <w:rPr>
                <w:rFonts w:ascii="Verdana" w:eastAsia="Calibri" w:hAnsi="Verdana" w:cs="Arial"/>
                <w:lang w:val="es-ES"/>
              </w:rPr>
              <w:t xml:space="preserve"> de la Ley 996 de 2005 prohíbe “[…] la contratación directa por parte de </w:t>
            </w:r>
            <w:r w:rsidRPr="00412D38">
              <w:rPr>
                <w:rFonts w:ascii="Verdana" w:eastAsia="Calibri" w:hAnsi="Verdana" w:cs="Arial"/>
                <w:lang w:val="es-ES"/>
              </w:rPr>
              <w:t>todos los entes del Estado</w:t>
            </w:r>
            <w:r w:rsidRPr="00FC6F34">
              <w:rPr>
                <w:rFonts w:ascii="Verdana" w:eastAsia="Calibri" w:hAnsi="Verdana" w:cs="Arial"/>
                <w:lang w:val="es-ES"/>
              </w:rPr>
              <w:t>”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32A11FA" w14:textId="78472FDE" w:rsidR="004B6767" w:rsidRDefault="004B6767" w:rsidP="00E67E18">
            <w:pPr>
              <w:spacing w:before="120" w:after="120" w:line="276" w:lineRule="auto"/>
              <w:ind w:firstLine="742"/>
              <w:jc w:val="both"/>
              <w:rPr>
                <w:rFonts w:ascii="Verdana" w:hAnsi="Verdana" w:cs="Arial"/>
                <w:bCs/>
                <w:color w:val="000000" w:themeColor="text1"/>
                <w:lang w:val="es-ES"/>
              </w:rPr>
            </w:pPr>
            <w:r>
              <w:rPr>
                <w:rFonts w:ascii="Verdana" w:eastAsia="Arial" w:hAnsi="Verdana" w:cs="Arial"/>
                <w:bCs/>
                <w:color w:val="000000" w:themeColor="text1"/>
                <w:lang w:val="es-ES"/>
              </w:rPr>
              <w:t>E</w:t>
            </w:r>
            <w:r w:rsidRPr="00FC6F34">
              <w:rPr>
                <w:rFonts w:ascii="Verdana" w:eastAsia="Arial" w:hAnsi="Verdana" w:cs="Arial"/>
                <w:bCs/>
                <w:color w:val="000000" w:themeColor="text1"/>
                <w:lang w:val="es-ES"/>
              </w:rPr>
              <w:t xml:space="preserve">n principio, todos los entes del Estado están cobijados por la prohibición para contratar directamente </w:t>
            </w:r>
            <w:r w:rsidR="00281E8D">
              <w:rPr>
                <w:rFonts w:ascii="Verdana" w:eastAsia="Arial" w:hAnsi="Verdana" w:cs="Arial"/>
                <w:bCs/>
                <w:color w:val="000000" w:themeColor="text1"/>
                <w:lang w:val="es-ES"/>
              </w:rPr>
              <w:t xml:space="preserve">según </w:t>
            </w:r>
            <w:r w:rsidRPr="00FC6F34">
              <w:rPr>
                <w:rFonts w:ascii="Verdana" w:eastAsia="Arial" w:hAnsi="Verdana" w:cs="Arial"/>
                <w:bCs/>
                <w:color w:val="000000" w:themeColor="text1"/>
                <w:lang w:val="es-ES"/>
              </w:rPr>
              <w:t xml:space="preserve">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w:t>
            </w:r>
            <w:r>
              <w:rPr>
                <w:rFonts w:ascii="Verdana" w:hAnsi="Verdana" w:cs="Arial"/>
                <w:bCs/>
                <w:color w:val="000000" w:themeColor="text1"/>
                <w:lang w:val="es-ES"/>
              </w:rPr>
              <w:t>, entre las cuales se incluyen “l</w:t>
            </w:r>
            <w:r w:rsidRPr="00FC6F34">
              <w:rPr>
                <w:rFonts w:ascii="Verdana" w:hAnsi="Verdana" w:cs="Arial"/>
                <w:bCs/>
                <w:color w:val="000000" w:themeColor="text1"/>
                <w:lang w:val="es-ES"/>
              </w:rPr>
              <w:t>os contratos requeridos para cubrir las emergencias educativas, sanitarias y desastres</w:t>
            </w:r>
            <w:r>
              <w:rPr>
                <w:rFonts w:ascii="Verdana" w:hAnsi="Verdana" w:cs="Arial"/>
                <w:bCs/>
                <w:color w:val="000000" w:themeColor="text1"/>
                <w:lang w:val="es-ES"/>
              </w:rPr>
              <w:t>” y “l</w:t>
            </w:r>
            <w:r w:rsidRPr="00FC6F34">
              <w:rPr>
                <w:rFonts w:ascii="Verdana" w:hAnsi="Verdana" w:cs="Arial"/>
                <w:bCs/>
                <w:color w:val="000000" w:themeColor="text1"/>
                <w:lang w:val="es-ES"/>
              </w:rPr>
              <w:t>a contratación que deban realizar las entidades sanitarias y hospitalarias</w:t>
            </w:r>
            <w:r>
              <w:rPr>
                <w:rFonts w:ascii="Verdana" w:hAnsi="Verdana" w:cs="Arial"/>
                <w:bCs/>
                <w:color w:val="000000" w:themeColor="text1"/>
                <w:lang w:val="es-ES"/>
              </w:rPr>
              <w:t>”</w:t>
            </w:r>
            <w:r w:rsidRPr="00FC6F34">
              <w:rPr>
                <w:rFonts w:ascii="Verdana" w:hAnsi="Verdana" w:cs="Arial"/>
                <w:bCs/>
                <w:color w:val="000000" w:themeColor="text1"/>
                <w:lang w:val="es-ES"/>
              </w:rPr>
              <w:t>.</w:t>
            </w:r>
          </w:p>
          <w:p w14:paraId="40008F6B" w14:textId="2A5CABB5" w:rsidR="004B6767" w:rsidRDefault="004B6767" w:rsidP="00E67E18">
            <w:pPr>
              <w:spacing w:before="120" w:after="120" w:line="276" w:lineRule="auto"/>
              <w:ind w:firstLine="709"/>
              <w:jc w:val="both"/>
              <w:rPr>
                <w:rFonts w:ascii="Verdana" w:eastAsia="Arial" w:hAnsi="Verdana" w:cs="Arial"/>
                <w:bCs/>
                <w:color w:val="000000" w:themeColor="text1"/>
                <w:lang w:val="es-ES"/>
              </w:rPr>
            </w:pPr>
            <w:r w:rsidRPr="00FC6F34">
              <w:rPr>
                <w:rFonts w:ascii="Verdana" w:hAnsi="Verdana" w:cs="Arial"/>
                <w:bCs/>
                <w:color w:val="000000" w:themeColor="text1"/>
                <w:lang w:val="es-ES"/>
              </w:rPr>
              <w:t xml:space="preserve">Teniendo en cuenta el tema de su consulta, es pertinente </w:t>
            </w:r>
            <w:r>
              <w:rPr>
                <w:rFonts w:ascii="Verdana" w:hAnsi="Verdana" w:cs="Arial"/>
                <w:bCs/>
                <w:color w:val="000000" w:themeColor="text1"/>
                <w:lang w:val="es-ES"/>
              </w:rPr>
              <w:t xml:space="preserve">aclarar que, </w:t>
            </w:r>
            <w:r w:rsidRPr="00FC6F34">
              <w:rPr>
                <w:rFonts w:ascii="Verdana" w:hAnsi="Verdana" w:cs="Arial"/>
                <w:color w:val="000000" w:themeColor="text1"/>
                <w:lang w:val="es-ES"/>
              </w:rPr>
              <w:t>dentro de la estructura de la administración pública</w:t>
            </w:r>
            <w:r>
              <w:rPr>
                <w:rFonts w:ascii="Verdana" w:hAnsi="Verdana" w:cs="Arial"/>
                <w:color w:val="000000" w:themeColor="text1"/>
                <w:lang w:val="es-ES"/>
              </w:rPr>
              <w:t>,</w:t>
            </w:r>
            <w:r w:rsidRPr="00FC6F34">
              <w:rPr>
                <w:rFonts w:ascii="Verdana" w:hAnsi="Verdana" w:cs="Arial"/>
                <w:color w:val="000000" w:themeColor="text1"/>
                <w:lang w:val="es-ES"/>
              </w:rPr>
              <w:t xml:space="preserve"> las Empresas Sociales del Estado son las entidades encargadas de prestar el servicio de salud de manera directa</w:t>
            </w:r>
            <w:r w:rsidR="00DE6815">
              <w:rPr>
                <w:rFonts w:ascii="Verdana" w:hAnsi="Verdana" w:cs="Arial"/>
                <w:color w:val="000000" w:themeColor="text1"/>
                <w:lang w:val="es-ES"/>
              </w:rPr>
              <w:t xml:space="preserve"> </w:t>
            </w:r>
            <w:r w:rsidR="00DE6815">
              <w:rPr>
                <w:rFonts w:ascii="Verdana" w:hAnsi="Verdana" w:cs="Arial"/>
                <w:bCs/>
                <w:color w:val="000000" w:themeColor="text1"/>
                <w:lang w:val="es-ES"/>
              </w:rPr>
              <w:t>b</w:t>
            </w:r>
            <w:r w:rsidR="00DE6815" w:rsidRPr="00FC6F34">
              <w:rPr>
                <w:rFonts w:ascii="Verdana" w:hAnsi="Verdana" w:cs="Arial"/>
                <w:color w:val="000000" w:themeColor="text1"/>
                <w:lang w:val="es-ES"/>
              </w:rPr>
              <w:t>ajo la Ley 100 de 1993</w:t>
            </w:r>
            <w:r>
              <w:rPr>
                <w:rFonts w:ascii="Verdana" w:hAnsi="Verdana" w:cs="Arial"/>
                <w:color w:val="000000" w:themeColor="text1"/>
                <w:lang w:val="es-ES"/>
              </w:rPr>
              <w:t xml:space="preserve">. Adicionalmente, </w:t>
            </w:r>
            <w:r w:rsidRPr="00FC6F34">
              <w:rPr>
                <w:rFonts w:ascii="Verdana" w:eastAsia="Arial" w:hAnsi="Verdana" w:cs="Arial"/>
                <w:bCs/>
                <w:color w:val="000000" w:themeColor="text1"/>
                <w:lang w:val="es-ES"/>
              </w:rPr>
              <w:t xml:space="preserve">el artículo 2.8.8.1.1.3 del Decreto 780 de 2016, Por medio del cual se expide el Decreto Único Reglamentario del Sector Salud y Protección Social, definió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como “Entidades del Estado que prestan servicios sanitarios o de sanidad con el propósito de preservar la salud humana y la salud pública”. De esta forma, </w:t>
            </w:r>
            <w:r>
              <w:rPr>
                <w:rFonts w:ascii="Verdana" w:eastAsia="Arial" w:hAnsi="Verdana" w:cs="Arial"/>
                <w:bCs/>
                <w:color w:val="000000" w:themeColor="text1"/>
                <w:lang w:val="es-ES"/>
              </w:rPr>
              <w:t>p</w:t>
            </w:r>
            <w:r w:rsidRPr="00FC6F34">
              <w:rPr>
                <w:rFonts w:ascii="Verdana" w:eastAsia="Arial" w:hAnsi="Verdana" w:cs="Arial"/>
                <w:bCs/>
                <w:color w:val="000000" w:themeColor="text1"/>
                <w:lang w:val="es-ES"/>
              </w:rPr>
              <w:t xml:space="preserve">ara efectos de la excepción, es indiferente que la </w:t>
            </w:r>
            <w:r>
              <w:rPr>
                <w:rFonts w:ascii="Verdana" w:eastAsia="Arial" w:hAnsi="Verdana" w:cs="Arial"/>
                <w:bCs/>
                <w:color w:val="000000" w:themeColor="text1"/>
                <w:lang w:val="es-ES"/>
              </w:rPr>
              <w:t>E</w:t>
            </w:r>
            <w:r w:rsidRPr="00FC6F34">
              <w:rPr>
                <w:rFonts w:ascii="Verdana" w:eastAsia="Arial" w:hAnsi="Verdana" w:cs="Arial"/>
                <w:bCs/>
                <w:color w:val="000000" w:themeColor="text1"/>
                <w:lang w:val="es-ES"/>
              </w:rPr>
              <w:t xml:space="preserve">ntidad </w:t>
            </w:r>
            <w:r>
              <w:rPr>
                <w:rFonts w:ascii="Verdana" w:eastAsia="Arial" w:hAnsi="Verdana" w:cs="Arial"/>
                <w:bCs/>
                <w:color w:val="000000" w:themeColor="text1"/>
                <w:lang w:val="es-ES"/>
              </w:rPr>
              <w:t>Es</w:t>
            </w:r>
            <w:r w:rsidRPr="00FC6F34">
              <w:rPr>
                <w:rFonts w:ascii="Verdana" w:eastAsia="Arial" w:hAnsi="Verdana" w:cs="Arial"/>
                <w:bCs/>
                <w:color w:val="000000" w:themeColor="text1"/>
                <w:lang w:val="es-ES"/>
              </w:rPr>
              <w:t xml:space="preserve">tatal tenga funciones de </w:t>
            </w:r>
            <w:r w:rsidRPr="00FC6F34">
              <w:rPr>
                <w:rFonts w:ascii="Verdana" w:eastAsia="Arial" w:hAnsi="Verdana" w:cs="Arial"/>
                <w:bCs/>
                <w:i/>
                <w:iCs/>
                <w:color w:val="000000" w:themeColor="text1"/>
                <w:lang w:val="es-ES"/>
              </w:rPr>
              <w:t>autoridad sanitaria</w:t>
            </w:r>
            <w:r w:rsidRPr="00FC6F34">
              <w:rPr>
                <w:rFonts w:ascii="Verdana" w:eastAsia="Arial" w:hAnsi="Verdana" w:cs="Arial"/>
                <w:bCs/>
                <w:color w:val="000000" w:themeColor="text1"/>
                <w:lang w:val="es-ES"/>
              </w:rPr>
              <w:t xml:space="preserve">, pues lo relevante para determinar si la contratación está exceptuada de la prohibición general </w:t>
            </w:r>
            <w:r>
              <w:rPr>
                <w:rFonts w:ascii="Verdana" w:eastAsia="Arial" w:hAnsi="Verdana" w:cs="Arial"/>
                <w:bCs/>
                <w:color w:val="000000" w:themeColor="text1"/>
                <w:lang w:val="es-ES"/>
              </w:rPr>
              <w:t xml:space="preserve">es que </w:t>
            </w:r>
            <w:r w:rsidRPr="00FC6F34">
              <w:rPr>
                <w:rFonts w:ascii="Verdana" w:eastAsia="Arial" w:hAnsi="Verdana" w:cs="Arial"/>
                <w:bCs/>
                <w:color w:val="000000" w:themeColor="text1"/>
                <w:lang w:val="es-ES"/>
              </w:rPr>
              <w:t xml:space="preserve">se trate de una </w:t>
            </w:r>
            <w:r w:rsidRPr="00FC6F34">
              <w:rPr>
                <w:rFonts w:ascii="Verdana" w:eastAsia="Arial" w:hAnsi="Verdana" w:cs="Arial"/>
                <w:bCs/>
                <w:i/>
                <w:iCs/>
                <w:color w:val="000000" w:themeColor="text1"/>
                <w:lang w:val="es-ES"/>
              </w:rPr>
              <w:t>entidad sanitaria</w:t>
            </w:r>
            <w:r w:rsidRPr="00FC6F34">
              <w:rPr>
                <w:rFonts w:ascii="Verdana" w:eastAsia="Arial" w:hAnsi="Verdana" w:cs="Arial"/>
                <w:bCs/>
                <w:color w:val="000000" w:themeColor="text1"/>
                <w:lang w:val="es-ES"/>
              </w:rPr>
              <w:t>. Sobre lo anterior</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el Consejo de Estado ha señalado que “las entidades que presten servicios tendientes a preservar la salud pública o humana deben ser consideradas como entidades sanitarias y en principio estarían exceptuadas de la prohibición de contratación directa”.</w:t>
            </w:r>
          </w:p>
          <w:p w14:paraId="708ACF6A" w14:textId="009E10F6" w:rsidR="004B6767" w:rsidRDefault="004B6767" w:rsidP="00E67E18">
            <w:pPr>
              <w:spacing w:before="120" w:after="120" w:line="276" w:lineRule="auto"/>
              <w:ind w:firstLine="742"/>
              <w:jc w:val="both"/>
              <w:rPr>
                <w:rFonts w:ascii="Verdana" w:eastAsia="Arial" w:hAnsi="Verdana" w:cs="Arial"/>
                <w:bCs/>
                <w:color w:val="000000" w:themeColor="text1"/>
                <w:lang w:val="es-ES"/>
              </w:rPr>
            </w:pPr>
            <w:r>
              <w:rPr>
                <w:rFonts w:ascii="Verdana" w:eastAsia="Arial" w:hAnsi="Verdana" w:cs="Arial"/>
                <w:bCs/>
                <w:color w:val="000000" w:themeColor="text1"/>
                <w:lang w:val="es-ES"/>
              </w:rPr>
              <w:lastRenderedPageBreak/>
              <w:t xml:space="preserve">Conforme con lo expuesto, las entidades que requieran adelantar procesos de contratación directa durante el periodo de garantías electorales deberán analizar, primero, si se configuran los supuestos establecidos en </w:t>
            </w:r>
            <w:r w:rsidRPr="00D43D96">
              <w:rPr>
                <w:rFonts w:ascii="Verdana" w:eastAsia="Arial" w:hAnsi="Verdana" w:cs="Arial"/>
                <w:bCs/>
                <w:color w:val="000000" w:themeColor="text1"/>
                <w:lang w:val="es-ES"/>
              </w:rPr>
              <w:t xml:space="preserve">el artículo 33 </w:t>
            </w:r>
            <w:r>
              <w:rPr>
                <w:rFonts w:ascii="Verdana" w:eastAsia="Arial" w:hAnsi="Verdana" w:cs="Arial"/>
                <w:bCs/>
                <w:color w:val="000000" w:themeColor="text1"/>
                <w:lang w:val="es-ES"/>
              </w:rPr>
              <w:t>de la Ley 996 de 2005, es decir, si se trata de una entidad pública que pretenda adelantar un proceso no competitivo. Adicionalmente, será pertinente analizar si se configura alguna de las excepciones previstas en la norma. En este caso, será relevante determinar si la contratación del PIC se realiza con ocasión a una “emergencia sanitaria” o si es llevada a cabo por “entidades sanitarias u hospitalarias”. De ser así, la entidad podrá contratar directamente, a pesar de que haya iniciado el periodo de garantías electorales correspondiente al artículo 33 de la Ley 996 de 2005.</w:t>
            </w:r>
          </w:p>
          <w:p w14:paraId="184403A8" w14:textId="77777777" w:rsidR="004B6767" w:rsidRDefault="004B6767" w:rsidP="00E67E18">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033E8B">
              <w:rPr>
                <w:rFonts w:ascii="Verdana" w:eastAsia="Calibri" w:hAnsi="Verdana" w:cs="Arial"/>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Arial" w:hAnsi="Verdana" w:cs="Arial"/>
                <w:lang w:val="es-ES" w:eastAsia="es-ES" w:bidi="es-ES"/>
              </w:rPr>
              <w:t xml:space="preserve"> </w:t>
            </w:r>
          </w:p>
          <w:p w14:paraId="044CF81C" w14:textId="0CE71D63" w:rsidR="004B6767" w:rsidRPr="00B743F9" w:rsidRDefault="004B6767" w:rsidP="00E67E18">
            <w:pPr>
              <w:widowControl w:val="0"/>
              <w:autoSpaceDE w:val="0"/>
              <w:autoSpaceDN w:val="0"/>
              <w:spacing w:after="120" w:line="276" w:lineRule="auto"/>
              <w:ind w:right="113" w:firstLine="709"/>
              <w:jc w:val="both"/>
              <w:rPr>
                <w:rFonts w:ascii="Verdana" w:eastAsia="Arial" w:hAnsi="Verdana" w:cs="Arial"/>
                <w:lang w:val="es-ES" w:eastAsia="es-ES" w:bidi="es-ES"/>
              </w:rPr>
            </w:pPr>
            <w:r>
              <w:rPr>
                <w:rFonts w:ascii="Verdana" w:eastAsia="Arial" w:hAnsi="Verdana" w:cs="Arial"/>
                <w:lang w:val="es-ES" w:eastAsia="es-ES" w:bidi="es-ES"/>
              </w:rPr>
              <w:t xml:space="preserve">En efecto, con respecto a esta prohibición, </w:t>
            </w:r>
            <w:r>
              <w:rPr>
                <w:rFonts w:ascii="Verdana" w:eastAsia="Arial" w:hAnsi="Verdana" w:cs="Arial"/>
                <w:bCs/>
                <w:color w:val="000000" w:themeColor="text1"/>
                <w:lang w:val="es-ES"/>
              </w:rPr>
              <w:t>es necesario verificar si la contratación del PIC es llevada a cabo por alguno de los sujetos señalados en la norma</w:t>
            </w:r>
            <w:r w:rsidR="00E614F5">
              <w:rPr>
                <w:rFonts w:ascii="Verdana" w:eastAsia="Arial" w:hAnsi="Verdana" w:cs="Arial"/>
                <w:bCs/>
                <w:color w:val="000000" w:themeColor="text1"/>
                <w:lang w:val="es-ES"/>
              </w:rPr>
              <w:t xml:space="preserve">, </w:t>
            </w:r>
            <w:r>
              <w:rPr>
                <w:rFonts w:ascii="Verdana" w:eastAsia="Arial" w:hAnsi="Verdana" w:cs="Arial"/>
                <w:bCs/>
                <w:color w:val="000000" w:themeColor="text1"/>
              </w:rPr>
              <w:t>así como</w:t>
            </w:r>
            <w:r>
              <w:rPr>
                <w:rFonts w:ascii="Verdana" w:eastAsia="Arial" w:hAnsi="Verdana" w:cs="Arial"/>
                <w:bCs/>
                <w:color w:val="000000" w:themeColor="text1"/>
                <w:lang w:val="es-ES"/>
              </w:rPr>
              <w:t xml:space="preserve"> si lo que se pretende adelantar es un convenio o un contrato interadministrativo para la ejecución de recursos públicos. Cuando este sea el caso, operará la restricción señalada en el parágrafo y estará prohibido llevar a cabo la contratación en los cuatro meses anteriores a cualquier contienda electoral. Es importante resaltar que para esta prohibición la norma no contempló ninguna excepción, de modo que </w:t>
            </w:r>
            <w:proofErr w:type="gramStart"/>
            <w:r>
              <w:rPr>
                <w:rFonts w:ascii="Verdana" w:eastAsia="Arial" w:hAnsi="Verdana" w:cs="Arial"/>
                <w:bCs/>
                <w:color w:val="000000" w:themeColor="text1"/>
                <w:lang w:val="es-ES"/>
              </w:rPr>
              <w:t>aplicará</w:t>
            </w:r>
            <w:proofErr w:type="gramEnd"/>
            <w:r>
              <w:rPr>
                <w:rFonts w:ascii="Verdana" w:eastAsia="Arial" w:hAnsi="Verdana" w:cs="Arial"/>
                <w:bCs/>
                <w:color w:val="000000" w:themeColor="text1"/>
                <w:lang w:val="es-ES"/>
              </w:rPr>
              <w:t xml:space="preserve"> aunque se trate de entidades sanitarias u hospitalarias. </w:t>
            </w:r>
          </w:p>
          <w:p w14:paraId="17D706DE" w14:textId="61136327" w:rsidR="004B6767" w:rsidRDefault="004B6767" w:rsidP="00E67E18">
            <w:pPr>
              <w:widowControl w:val="0"/>
              <w:tabs>
                <w:tab w:val="left" w:pos="3402"/>
              </w:tabs>
              <w:autoSpaceDE w:val="0"/>
              <w:autoSpaceDN w:val="0"/>
              <w:spacing w:after="120" w:line="276" w:lineRule="auto"/>
              <w:ind w:right="113" w:firstLine="709"/>
              <w:jc w:val="both"/>
              <w:rPr>
                <w:rFonts w:ascii="Verdana" w:eastAsia="Arial" w:hAnsi="Verdana" w:cs="Arial"/>
                <w:bCs/>
                <w:color w:val="000000" w:themeColor="text1"/>
                <w:lang w:val="es-ES"/>
              </w:rPr>
            </w:pPr>
            <w:r>
              <w:rPr>
                <w:rFonts w:ascii="Verdana" w:eastAsia="Arial" w:hAnsi="Verdana" w:cs="Arial"/>
                <w:lang w:val="es-ES" w:eastAsia="es-ES" w:bidi="es-ES"/>
              </w:rPr>
              <w:t xml:space="preserve">Se resalta que el </w:t>
            </w:r>
            <w:r w:rsidRPr="00FC6F34">
              <w:rPr>
                <w:rFonts w:ascii="Verdana" w:eastAsia="Arial" w:hAnsi="Verdana" w:cs="Arial"/>
                <w:bCs/>
                <w:color w:val="000000" w:themeColor="text1"/>
                <w:lang w:val="es-ES"/>
              </w:rPr>
              <w:t>Ministerio de Salud y Protección Social</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mediante la Resolución 04 del 12 de </w:t>
            </w:r>
            <w:proofErr w:type="gramStart"/>
            <w:r w:rsidRPr="00FC6F34">
              <w:rPr>
                <w:rFonts w:ascii="Verdana" w:eastAsia="Arial" w:hAnsi="Verdana" w:cs="Arial"/>
                <w:bCs/>
                <w:color w:val="000000" w:themeColor="text1"/>
                <w:lang w:val="es-ES"/>
              </w:rPr>
              <w:t>Enero</w:t>
            </w:r>
            <w:proofErr w:type="gramEnd"/>
            <w:r w:rsidRPr="00FC6F34">
              <w:rPr>
                <w:rFonts w:ascii="Verdana" w:eastAsia="Arial" w:hAnsi="Verdana" w:cs="Arial"/>
                <w:bCs/>
                <w:color w:val="000000" w:themeColor="text1"/>
                <w:lang w:val="es-ES"/>
              </w:rPr>
              <w:t xml:space="preserve"> de 2018, dio “instrucciones para la ejecución de las acciones en salud pública en el marco de la Ley de Garantías electorales”.</w:t>
            </w:r>
            <w:r>
              <w:rPr>
                <w:rFonts w:ascii="Verdana" w:eastAsia="Arial" w:hAnsi="Verdana" w:cs="Arial"/>
                <w:bCs/>
                <w:color w:val="000000" w:themeColor="text1"/>
                <w:lang w:val="es-ES"/>
              </w:rPr>
              <w:t xml:space="preserve"> </w:t>
            </w:r>
            <w:r w:rsidRPr="00FC6F34">
              <w:rPr>
                <w:rFonts w:ascii="Verdana" w:eastAsia="Arial" w:hAnsi="Verdana" w:cs="Arial"/>
                <w:bCs/>
                <w:color w:val="000000" w:themeColor="text1"/>
                <w:lang w:val="es-ES"/>
              </w:rPr>
              <w:t>Respecto de la ejecución del Plan de Intervenciones Colectivas</w:t>
            </w:r>
            <w:r>
              <w:rPr>
                <w:rFonts w:ascii="Verdana" w:eastAsia="Arial" w:hAnsi="Verdana" w:cs="Arial"/>
                <w:bCs/>
                <w:color w:val="000000" w:themeColor="text1"/>
                <w:lang w:val="es-ES"/>
              </w:rPr>
              <w:t xml:space="preserve"> (PIC)</w:t>
            </w:r>
            <w:r w:rsidRPr="00FC6F34">
              <w:rPr>
                <w:rFonts w:ascii="Verdana" w:eastAsia="Arial" w:hAnsi="Verdana" w:cs="Arial"/>
                <w:bCs/>
                <w:color w:val="000000" w:themeColor="text1"/>
                <w:lang w:val="es-ES"/>
              </w:rPr>
              <w:t>,</w:t>
            </w:r>
            <w:r>
              <w:rPr>
                <w:rFonts w:ascii="Verdana" w:eastAsia="Arial" w:hAnsi="Verdana" w:cs="Arial"/>
                <w:bCs/>
                <w:color w:val="000000" w:themeColor="text1"/>
                <w:lang w:val="es-ES"/>
              </w:rPr>
              <w:t xml:space="preserve"> </w:t>
            </w:r>
            <w:r w:rsidRPr="00FC6F34">
              <w:rPr>
                <w:rFonts w:ascii="Verdana" w:eastAsia="Arial" w:hAnsi="Verdana" w:cs="Arial"/>
                <w:bCs/>
                <w:color w:val="000000" w:themeColor="text1"/>
                <w:lang w:val="es-ES"/>
              </w:rPr>
              <w:t xml:space="preserve">enfatizó que las entidades deben garantizar los tramites contractuales y la planeación para la continuidad del </w:t>
            </w:r>
            <w:r>
              <w:rPr>
                <w:rFonts w:ascii="Verdana" w:eastAsia="Arial" w:hAnsi="Verdana" w:cs="Arial"/>
                <w:bCs/>
                <w:color w:val="000000" w:themeColor="text1"/>
                <w:lang w:val="es-ES"/>
              </w:rPr>
              <w:t>programa</w:t>
            </w:r>
            <w:r w:rsidRPr="00FC6F34">
              <w:rPr>
                <w:rFonts w:ascii="Verdana" w:eastAsia="Arial" w:hAnsi="Verdana" w:cs="Arial"/>
                <w:bCs/>
                <w:color w:val="000000" w:themeColor="text1"/>
                <w:lang w:val="es-ES"/>
              </w:rPr>
              <w:t>. Además, señal</w:t>
            </w:r>
            <w:r>
              <w:rPr>
                <w:rFonts w:ascii="Verdana" w:eastAsia="Arial" w:hAnsi="Verdana" w:cs="Arial"/>
                <w:bCs/>
                <w:color w:val="000000" w:themeColor="text1"/>
                <w:lang w:val="es-ES"/>
              </w:rPr>
              <w:t>ó</w:t>
            </w:r>
            <w:r w:rsidRPr="00FC6F34">
              <w:rPr>
                <w:rFonts w:ascii="Verdana" w:eastAsia="Arial" w:hAnsi="Verdana" w:cs="Arial"/>
                <w:bCs/>
                <w:color w:val="000000" w:themeColor="text1"/>
                <w:lang w:val="es-ES"/>
              </w:rPr>
              <w:t xml:space="preserve"> que durante el periodo de prohibición del artículo 33 de la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ey 996 de 2005 “se </w:t>
            </w:r>
            <w:r w:rsidRPr="00FC6F34">
              <w:rPr>
                <w:rFonts w:ascii="Verdana" w:eastAsia="Arial" w:hAnsi="Verdana" w:cs="Arial"/>
                <w:bCs/>
                <w:color w:val="000000" w:themeColor="text1"/>
                <w:lang w:val="es-ES"/>
              </w:rPr>
              <w:lastRenderedPageBreak/>
              <w:t xml:space="preserve">exceptúan las acciones que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a entidad territorial requiera contratar como entidad sanitaria” con el fin de no paralizar su funcionamiento o interrumpir la prestación de los servicios públicos de carácter esencial, con lo cual resalt</w:t>
            </w:r>
            <w:r w:rsidR="0064473F">
              <w:rPr>
                <w:rFonts w:ascii="Verdana" w:eastAsia="Arial" w:hAnsi="Verdana" w:cs="Arial"/>
                <w:bCs/>
                <w:color w:val="000000" w:themeColor="text1"/>
                <w:lang w:val="es-ES"/>
              </w:rPr>
              <w:t>ó</w:t>
            </w:r>
            <w:r w:rsidRPr="00FC6F34">
              <w:rPr>
                <w:rFonts w:ascii="Verdana" w:eastAsia="Arial" w:hAnsi="Verdana" w:cs="Arial"/>
                <w:bCs/>
                <w:color w:val="000000" w:themeColor="text1"/>
                <w:lang w:val="es-ES"/>
              </w:rPr>
              <w:t xml:space="preserve"> la excepción aplicable a </w:t>
            </w:r>
            <w:r>
              <w:rPr>
                <w:rFonts w:ascii="Verdana" w:eastAsia="Arial" w:hAnsi="Verdana" w:cs="Arial"/>
                <w:bCs/>
                <w:color w:val="000000" w:themeColor="text1"/>
                <w:lang w:val="es-ES"/>
              </w:rPr>
              <w:t>estas entidades</w:t>
            </w:r>
            <w:r w:rsidRPr="00FC6F34">
              <w:rPr>
                <w:rFonts w:ascii="Verdana" w:eastAsia="Arial" w:hAnsi="Verdana" w:cs="Arial"/>
                <w:bCs/>
                <w:color w:val="000000" w:themeColor="text1"/>
                <w:lang w:val="es-ES"/>
              </w:rPr>
              <w:t>. Sobre esto último</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estableció como criterios para determinar </w:t>
            </w:r>
            <w:r>
              <w:rPr>
                <w:rFonts w:ascii="Verdana" w:eastAsia="Arial" w:hAnsi="Verdana" w:cs="Arial"/>
                <w:bCs/>
                <w:color w:val="000000" w:themeColor="text1"/>
                <w:lang w:val="es-ES"/>
              </w:rPr>
              <w:t xml:space="preserve">la </w:t>
            </w:r>
            <w:r w:rsidR="00842959">
              <w:rPr>
                <w:rFonts w:ascii="Verdana" w:eastAsia="Arial" w:hAnsi="Verdana" w:cs="Arial"/>
                <w:bCs/>
                <w:color w:val="000000" w:themeColor="text1"/>
                <w:lang w:val="es-ES"/>
              </w:rPr>
              <w:t xml:space="preserve">procedencia </w:t>
            </w:r>
            <w:r>
              <w:rPr>
                <w:rFonts w:ascii="Verdana" w:eastAsia="Arial" w:hAnsi="Verdana" w:cs="Arial"/>
                <w:bCs/>
                <w:color w:val="000000" w:themeColor="text1"/>
                <w:lang w:val="es-ES"/>
              </w:rPr>
              <w:t>de la</w:t>
            </w:r>
            <w:r w:rsidRPr="00FC6F34">
              <w:rPr>
                <w:rFonts w:ascii="Verdana" w:eastAsia="Arial" w:hAnsi="Verdana" w:cs="Arial"/>
                <w:bCs/>
                <w:color w:val="000000" w:themeColor="text1"/>
                <w:lang w:val="es-ES"/>
              </w:rPr>
              <w:t xml:space="preserve"> excepción en materia de salud: i) </w:t>
            </w:r>
            <w:r>
              <w:rPr>
                <w:rFonts w:ascii="Verdana" w:eastAsia="Arial" w:hAnsi="Verdana" w:cs="Arial"/>
                <w:bCs/>
                <w:color w:val="000000" w:themeColor="text1"/>
                <w:lang w:val="es-ES"/>
              </w:rPr>
              <w:t>q</w:t>
            </w:r>
            <w:r w:rsidRPr="00FC6F34">
              <w:rPr>
                <w:rFonts w:ascii="Verdana" w:eastAsia="Arial" w:hAnsi="Verdana" w:cs="Arial"/>
                <w:bCs/>
                <w:color w:val="000000" w:themeColor="text1"/>
                <w:lang w:val="es-ES"/>
              </w:rPr>
              <w:t xml:space="preserve">ue la contratación sea necesaria para solventar las eventuales situaciones de urgencia en salud, y </w:t>
            </w:r>
            <w:proofErr w:type="spellStart"/>
            <w:r w:rsidRPr="00FC6F34">
              <w:rPr>
                <w:rFonts w:ascii="Verdana" w:eastAsia="Arial" w:hAnsi="Verdana" w:cs="Arial"/>
                <w:bCs/>
                <w:color w:val="000000" w:themeColor="text1"/>
                <w:lang w:val="es-ES"/>
              </w:rPr>
              <w:t>ii</w:t>
            </w:r>
            <w:proofErr w:type="spellEnd"/>
            <w:proofErr w:type="gramStart"/>
            <w:r w:rsidRPr="00FC6F34">
              <w:rPr>
                <w:rFonts w:ascii="Verdana" w:eastAsia="Arial" w:hAnsi="Verdana" w:cs="Arial"/>
                <w:bCs/>
                <w:color w:val="000000" w:themeColor="text1"/>
                <w:lang w:val="es-ES"/>
              </w:rPr>
              <w:t>)  que</w:t>
            </w:r>
            <w:proofErr w:type="gramEnd"/>
            <w:r w:rsidRPr="00FC6F34">
              <w:rPr>
                <w:rFonts w:ascii="Verdana" w:eastAsia="Arial" w:hAnsi="Verdana" w:cs="Arial"/>
                <w:bCs/>
                <w:color w:val="000000" w:themeColor="text1"/>
                <w:lang w:val="es-ES"/>
              </w:rPr>
              <w:t xml:space="preserv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2F2F2B12" w14:textId="5F0EEEFC" w:rsidR="004B6767" w:rsidRDefault="004B6767" w:rsidP="00E67E18">
            <w:pPr>
              <w:spacing w:before="120" w:after="120" w:line="276" w:lineRule="auto"/>
              <w:ind w:firstLine="709"/>
              <w:jc w:val="both"/>
              <w:rPr>
                <w:rFonts w:ascii="Verdana" w:eastAsia="Times New Roman" w:hAnsi="Verdana" w:cs="Arial"/>
                <w:bCs/>
                <w:lang w:val="es-ES" w:eastAsia="es-CO"/>
              </w:rPr>
            </w:pPr>
            <w:r>
              <w:rPr>
                <w:rFonts w:ascii="Verdana" w:eastAsia="Arial" w:hAnsi="Verdana" w:cs="Arial"/>
                <w:bCs/>
                <w:color w:val="000000" w:themeColor="text1"/>
                <w:lang w:val="es-ES"/>
              </w:rPr>
              <w:t xml:space="preserve">Esto último es acorde con </w:t>
            </w:r>
            <w:r>
              <w:rPr>
                <w:rFonts w:ascii="Verdana" w:eastAsia="Times New Roman" w:hAnsi="Verdana" w:cs="Arial"/>
                <w:bCs/>
                <w:lang w:val="es-ES" w:eastAsia="es-CO"/>
              </w:rPr>
              <w:t xml:space="preserve">lo </w:t>
            </w:r>
            <w:r w:rsidRPr="00FC6F34">
              <w:rPr>
                <w:rFonts w:ascii="Verdana" w:eastAsia="Times New Roman" w:hAnsi="Verdana" w:cs="Arial"/>
                <w:bCs/>
                <w:lang w:val="es-ES" w:eastAsia="es-CO"/>
              </w:rPr>
              <w:t xml:space="preserve">manifestado </w:t>
            </w:r>
            <w:r>
              <w:rPr>
                <w:rFonts w:ascii="Verdana" w:eastAsia="Times New Roman" w:hAnsi="Verdana" w:cs="Arial"/>
                <w:bCs/>
                <w:lang w:val="es-ES" w:eastAsia="es-CO"/>
              </w:rPr>
              <w:t xml:space="preserve">por </w:t>
            </w:r>
            <w:r w:rsidRPr="00FC6F34">
              <w:rPr>
                <w:rFonts w:ascii="Verdana" w:eastAsia="Times New Roman" w:hAnsi="Verdana" w:cs="Arial"/>
                <w:bCs/>
                <w:lang w:val="es-ES" w:eastAsia="es-CO"/>
              </w:rPr>
              <w:t>esta Agencia,</w:t>
            </w:r>
            <w:r>
              <w:rPr>
                <w:rFonts w:ascii="Verdana" w:eastAsia="Times New Roman" w:hAnsi="Verdana" w:cs="Arial"/>
                <w:bCs/>
                <w:lang w:val="es-ES" w:eastAsia="es-CO"/>
              </w:rPr>
              <w:t xml:space="preserve"> en el sentido de que</w:t>
            </w:r>
            <w:r w:rsidRPr="00FC6F34">
              <w:rPr>
                <w:rFonts w:ascii="Verdana" w:eastAsia="Times New Roman" w:hAnsi="Verdana" w:cs="Arial"/>
                <w:bCs/>
                <w:lang w:val="es-ES" w:eastAsia="es-CO"/>
              </w:rPr>
              <w:t xml:space="preserve"> las prórrogas, modificaciones o adiciones de los contratos suscritos antes de la entrada en vigencia de las prohibiciones</w:t>
            </w:r>
            <w:r>
              <w:rPr>
                <w:rFonts w:ascii="Verdana" w:eastAsia="Times New Roman" w:hAnsi="Verdana" w:cs="Arial"/>
                <w:bCs/>
                <w:lang w:val="es-ES" w:eastAsia="es-CO"/>
              </w:rPr>
              <w:t xml:space="preserve"> del artículo 33 y el parágrafo del artículo 38</w:t>
            </w:r>
            <w:r w:rsidRPr="00FC6F34">
              <w:rPr>
                <w:rFonts w:ascii="Verdana" w:eastAsia="Times New Roman" w:hAnsi="Verdana" w:cs="Arial"/>
                <w:bCs/>
                <w:lang w:val="es-ES" w:eastAsia="es-CO"/>
              </w:rPr>
              <w:t>, así como la cesión de los mismos, pueden tener lugar en el período de aplicación de la Ley de Garantías Electorales, sin que ello haga nugatoria la restricción de la contratación directa</w:t>
            </w:r>
            <w:r w:rsidR="0048632F">
              <w:rPr>
                <w:rFonts w:ascii="Verdana" w:eastAsia="Times New Roman" w:hAnsi="Verdana" w:cs="Arial"/>
                <w:bCs/>
                <w:lang w:val="es-ES" w:eastAsia="es-CO"/>
              </w:rPr>
              <w:t xml:space="preserve">, </w:t>
            </w:r>
            <w:r w:rsidRPr="00FC6F34">
              <w:rPr>
                <w:rFonts w:ascii="Verdana" w:eastAsia="Times New Roman" w:hAnsi="Verdana" w:cs="Arial"/>
                <w:bCs/>
                <w:lang w:val="es-ES" w:eastAsia="es-CO"/>
              </w:rPr>
              <w:t>siempre que cumplan los principios de planeación, transparencia y responsabilidad</w:t>
            </w:r>
            <w:r w:rsidRPr="00FC6F34">
              <w:rPr>
                <w:rFonts w:ascii="Verdana" w:eastAsia="Times New Roman" w:hAnsi="Verdana" w:cs="Arial"/>
                <w:bCs/>
                <w:vertAlign w:val="superscript"/>
                <w:lang w:val="es-ES" w:eastAsia="es-CO"/>
              </w:rPr>
              <w:footnoteReference w:id="1"/>
            </w:r>
            <w:r w:rsidRPr="00FC6F34">
              <w:rPr>
                <w:rFonts w:ascii="Verdana" w:eastAsia="Times New Roman" w:hAnsi="Verdana" w:cs="Arial"/>
                <w:bCs/>
                <w:lang w:val="es-ES" w:eastAsia="es-CO"/>
              </w:rPr>
              <w:t xml:space="preserve">. Además, también es posible que contratos celebrados previamente se continúen ejecutando con normalidad y, en consecuencia, se realicen los pagos en las condiciones pactadas. </w:t>
            </w:r>
          </w:p>
          <w:p w14:paraId="3F9422C3" w14:textId="77777777" w:rsidR="004B6767" w:rsidRPr="00036A04" w:rsidRDefault="004B6767" w:rsidP="00E67E18">
            <w:pPr>
              <w:spacing w:before="120"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Con respecto a la prohibición del parágrafo del artículo 38, es importante resaltar que el Ministerio de Salud y Protección Social </w:t>
            </w:r>
            <w:r>
              <w:rPr>
                <w:rFonts w:ascii="Verdana" w:eastAsia="Arial" w:hAnsi="Verdana" w:cs="Arial"/>
                <w:bCs/>
                <w:color w:val="000000" w:themeColor="text1"/>
                <w:lang w:val="es-ES"/>
              </w:rPr>
              <w:t xml:space="preserve">dispuso </w:t>
            </w:r>
            <w:r w:rsidRPr="00FC6F34">
              <w:rPr>
                <w:rFonts w:ascii="Verdana" w:eastAsia="Arial" w:hAnsi="Verdana" w:cs="Arial"/>
                <w:bCs/>
                <w:color w:val="000000" w:themeColor="text1"/>
                <w:lang w:val="es-ES"/>
              </w:rPr>
              <w:t>que</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con el fin de garantizar la continuidad de</w:t>
            </w:r>
            <w:r>
              <w:rPr>
                <w:rFonts w:ascii="Verdana" w:eastAsia="Arial" w:hAnsi="Verdana" w:cs="Arial"/>
                <w:bCs/>
                <w:color w:val="000000" w:themeColor="text1"/>
                <w:lang w:val="es-ES"/>
              </w:rPr>
              <w:t xml:space="preserve"> </w:t>
            </w:r>
            <w:r w:rsidRPr="00FC6F34">
              <w:rPr>
                <w:rFonts w:ascii="Verdana" w:eastAsia="Arial" w:hAnsi="Verdana" w:cs="Arial"/>
                <w:bCs/>
                <w:color w:val="000000" w:themeColor="text1"/>
                <w:lang w:val="es-ES"/>
              </w:rPr>
              <w:t xml:space="preserve">las intervenciones de promoción de salud y prevención, “se debe acudir a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as demás modalidades de contratación autorizadas por la ley de manera que no se afecte la ejecución de las intervenciones colectivas a cargo de las entidades territoriales”. </w:t>
            </w:r>
            <w:r>
              <w:rPr>
                <w:rFonts w:ascii="Verdana" w:eastAsia="Arial" w:hAnsi="Verdana" w:cs="Arial"/>
                <w:bCs/>
                <w:color w:val="000000" w:themeColor="text1"/>
                <w:lang w:val="es-ES"/>
              </w:rPr>
              <w:t xml:space="preserve">Lo anterior, considerando que esta prohibición no fijó excepción alguna para su aplicación. </w:t>
            </w:r>
          </w:p>
          <w:p w14:paraId="310668C9" w14:textId="77777777" w:rsidR="004B6767" w:rsidRPr="00FC6F34" w:rsidRDefault="004B6767" w:rsidP="00E67E18">
            <w:pPr>
              <w:shd w:val="clear" w:color="auto" w:fill="FFFFFF"/>
              <w:spacing w:after="120" w:line="276" w:lineRule="auto"/>
              <w:ind w:firstLine="709"/>
              <w:jc w:val="both"/>
              <w:rPr>
                <w:rFonts w:ascii="Verdana" w:eastAsia="Calibri" w:hAnsi="Verdana" w:cs="Arial"/>
                <w:lang w:val="es-ES"/>
              </w:rPr>
            </w:pPr>
            <w:r>
              <w:rPr>
                <w:rFonts w:ascii="Verdana" w:eastAsia="Calibri" w:hAnsi="Verdana" w:cs="Arial"/>
                <w:lang w:val="es-ES"/>
              </w:rPr>
              <w:t xml:space="preserve">Además, teniendo en cuenta el tema de su consulta, se resalta que </w:t>
            </w:r>
            <w:r w:rsidRPr="00FC6F34">
              <w:rPr>
                <w:rFonts w:ascii="Verdana" w:eastAsia="Calibri" w:hAnsi="Verdana" w:cs="Arial"/>
                <w:lang w:val="es-ES"/>
              </w:rPr>
              <w:t xml:space="preserve">las Entidades Estatales deben planear sus contrataciones con fundamento en el principio de la </w:t>
            </w:r>
            <w:r w:rsidRPr="00FC6F34">
              <w:rPr>
                <w:rFonts w:ascii="Verdana" w:eastAsia="Calibri" w:hAnsi="Verdana" w:cs="Arial"/>
                <w:i/>
                <w:iCs/>
                <w:lang w:val="es-ES"/>
              </w:rPr>
              <w:t>anualidad del presupuesto</w:t>
            </w:r>
            <w:r w:rsidRPr="00FC6F34">
              <w:rPr>
                <w:rFonts w:ascii="Verdana" w:eastAsia="Calibri" w:hAnsi="Verdana" w:cs="Arial"/>
                <w:lang w:val="es-ES"/>
              </w:rPr>
              <w:t xml:space="preserve">. En el caso de contratos que incluyan la apropiación o ejecución de su presupuesto, el cumplimiento de este principio </w:t>
            </w:r>
            <w:r w:rsidRPr="00FC6F34">
              <w:rPr>
                <w:rFonts w:ascii="Verdana" w:eastAsia="Calibri" w:hAnsi="Verdana" w:cs="Arial"/>
                <w:lang w:val="es-ES"/>
              </w:rPr>
              <w:lastRenderedPageBreak/>
              <w:t>supone que sus compromisos presupuestales deben ser ejecutados dentro de la vigencia fiscal comprendida entre el 1 de enero y el 31 de diciembre. Sin embargo, como excepción a este principio se establecen mecanismos presupuestales dentro de los cuales se encuentran las vigencias futuras,</w:t>
            </w:r>
            <w:r>
              <w:rPr>
                <w:rFonts w:ascii="Verdana" w:eastAsia="Calibri" w:hAnsi="Verdana" w:cs="Arial"/>
                <w:lang w:val="es-ES"/>
              </w:rPr>
              <w:t xml:space="preserve"> las reservas presupuestales y las cuentas por pagar.</w:t>
            </w:r>
            <w:r w:rsidRPr="00FC6F34">
              <w:rPr>
                <w:rFonts w:ascii="Verdana" w:eastAsia="Calibri" w:hAnsi="Verdana" w:cs="Arial"/>
                <w:lang w:val="es-ES"/>
              </w:rPr>
              <w:t xml:space="preserve"> </w:t>
            </w:r>
          </w:p>
          <w:p w14:paraId="5DEEA79B" w14:textId="77777777" w:rsidR="004B6767" w:rsidRDefault="004B6767" w:rsidP="00E67E18">
            <w:pPr>
              <w:shd w:val="clear" w:color="auto" w:fill="FFFFFF"/>
              <w:spacing w:line="276" w:lineRule="auto"/>
              <w:ind w:firstLine="709"/>
              <w:jc w:val="both"/>
              <w:rPr>
                <w:rFonts w:ascii="Verdana" w:eastAsia="Calibri" w:hAnsi="Verdana" w:cs="Arial"/>
                <w:lang w:val="es-ES"/>
              </w:rPr>
            </w:pPr>
            <w:r w:rsidRPr="00FC6F34">
              <w:rPr>
                <w:rFonts w:ascii="Verdana" w:eastAsia="Calibri" w:hAnsi="Verdana" w:cs="Arial"/>
                <w:lang w:val="es-ES"/>
              </w:rPr>
              <w:t>De esta manera, en caso de que en la etapa de planeación la entidad evidencie que el contrato a ejecutar excede la vigencia fiscal correspondiente deberá atender las previsiones legales sobre las excepciones al principio de anualidad del gasto</w:t>
            </w:r>
            <w:r w:rsidRPr="00FC6F34">
              <w:rPr>
                <w:rFonts w:ascii="Verdana" w:eastAsia="Arial" w:hAnsi="Verdana" w:cs="Arial"/>
                <w:bCs/>
                <w:lang w:val="es-ES"/>
              </w:rPr>
              <w:t xml:space="preserve"> y determinar cuál resulta aplicable al caso en concreto</w:t>
            </w:r>
            <w:r w:rsidRPr="00FC6F34">
              <w:rPr>
                <w:rFonts w:ascii="Verdana" w:eastAsia="Calibri" w:hAnsi="Verdana" w:cs="Arial"/>
                <w:lang w:val="es-ES"/>
              </w:rPr>
              <w:t>. Dichas excepciones deben estar debidamente justificadas, cumplir con los requisitos establecidos por la normativa vigente, y seguir los procedimientos correspondientes para su autorización y ejecución, conforme a lo descrito en este concepto.</w:t>
            </w:r>
          </w:p>
          <w:p w14:paraId="27A0D52E" w14:textId="251FEB4C" w:rsidR="004B6767" w:rsidRPr="00584759" w:rsidRDefault="004B6767" w:rsidP="00003E57">
            <w:pPr>
              <w:shd w:val="clear" w:color="auto" w:fill="FFFFFF"/>
              <w:spacing w:before="120" w:line="276" w:lineRule="auto"/>
              <w:ind w:firstLine="709"/>
              <w:jc w:val="both"/>
              <w:rPr>
                <w:rFonts w:ascii="Verdana" w:eastAsia="Calibri" w:hAnsi="Verdana" w:cs="Arial"/>
                <w:lang w:val="es-ES"/>
              </w:rPr>
            </w:pPr>
            <w:r>
              <w:rPr>
                <w:rFonts w:ascii="Verdana" w:eastAsia="Calibri" w:hAnsi="Verdana" w:cs="Arial"/>
                <w:lang w:val="es-ES"/>
              </w:rPr>
              <w:t xml:space="preserve">En suma,  </w:t>
            </w:r>
            <w:r w:rsidRPr="00584759">
              <w:rPr>
                <w:rFonts w:ascii="Verdana" w:eastAsia="Calibri" w:hAnsi="Verdana" w:cs="Arial"/>
                <w:lang w:val="es-ES"/>
              </w:rPr>
              <w:t>corresponderá a cada entidad estatal, incluyendo a aquellas autorizadas para suscribir contratos en el marco de los Planes de Salud Pública de Intervenciones Colectivas</w:t>
            </w:r>
            <w:r w:rsidR="009828E9">
              <w:rPr>
                <w:rFonts w:ascii="Verdana" w:eastAsia="Calibri" w:hAnsi="Verdana" w:cs="Arial"/>
                <w:lang w:val="es-ES"/>
              </w:rPr>
              <w:t xml:space="preserve">, </w:t>
            </w:r>
            <w:r w:rsidRPr="00584759">
              <w:rPr>
                <w:rFonts w:ascii="Verdana" w:eastAsia="Calibri" w:hAnsi="Verdana" w:cs="Arial"/>
                <w:lang w:val="es-ES"/>
              </w:rPr>
              <w:t>determinar la procedencia de celebrar un contrato estatal específico, para lo cual deberán tener en cuenta las prohibiciones establecidas en materia contractual en la Ley de Garantías Electorales, así como las excepciones al principio de anualidad presupuestal que resulten procedentes, de acuerdo con lo explicado en las consideraciones de este concepto.</w:t>
            </w:r>
          </w:p>
          <w:p w14:paraId="601F0074" w14:textId="77777777" w:rsidR="004B6767" w:rsidRPr="00036A04" w:rsidRDefault="004B6767" w:rsidP="00003E57">
            <w:pPr>
              <w:shd w:val="clear" w:color="auto" w:fill="FFFFFF"/>
              <w:spacing w:before="120" w:after="120" w:line="276" w:lineRule="auto"/>
              <w:ind w:firstLine="708"/>
              <w:jc w:val="both"/>
              <w:rPr>
                <w:rFonts w:ascii="Verdana" w:eastAsia="Calibri" w:hAnsi="Verdana" w:cs="Arial"/>
                <w:lang w:val="es-ES"/>
              </w:rPr>
            </w:pPr>
            <w:r>
              <w:rPr>
                <w:rFonts w:ascii="Verdana" w:eastAsia="Calibri" w:hAnsi="Verdana" w:cs="Arial"/>
                <w:lang w:val="es-ES"/>
              </w:rPr>
              <w:t>En particular</w:t>
            </w:r>
            <w:r w:rsidRPr="00584759">
              <w:rPr>
                <w:rFonts w:ascii="Verdana" w:eastAsia="Calibri" w:hAnsi="Verdana" w:cs="Arial"/>
                <w:lang w:val="es-ES"/>
              </w:rPr>
              <w:t xml:space="preserve">, corresponde a cada </w:t>
            </w:r>
            <w:r>
              <w:rPr>
                <w:rFonts w:ascii="Verdana" w:eastAsia="Calibri" w:hAnsi="Verdana" w:cs="Arial"/>
                <w:lang w:val="es-ES"/>
              </w:rPr>
              <w:t>E</w:t>
            </w:r>
            <w:r w:rsidRPr="00584759">
              <w:rPr>
                <w:rFonts w:ascii="Verdana" w:eastAsia="Calibri" w:hAnsi="Verdana" w:cs="Arial"/>
                <w:lang w:val="es-ES"/>
              </w:rPr>
              <w:t xml:space="preserve">ntidad </w:t>
            </w:r>
            <w:r>
              <w:rPr>
                <w:rFonts w:ascii="Verdana" w:eastAsia="Calibri" w:hAnsi="Verdana" w:cs="Arial"/>
                <w:lang w:val="es-ES"/>
              </w:rPr>
              <w:t>E</w:t>
            </w:r>
            <w:r w:rsidRPr="00584759">
              <w:rPr>
                <w:rFonts w:ascii="Verdana" w:eastAsia="Calibri" w:hAnsi="Verdana" w:cs="Arial"/>
                <w:lang w:val="es-ES"/>
              </w:rPr>
              <w:t>statal realizar el correspondiente análisis para determinar si aplica o no una determinada excepción</w:t>
            </w:r>
            <w:r>
              <w:rPr>
                <w:rFonts w:ascii="Verdana" w:eastAsia="Calibri" w:hAnsi="Verdana" w:cs="Arial"/>
                <w:lang w:val="es-ES"/>
              </w:rPr>
              <w:t xml:space="preserve"> a la prohibición del artículo 33 de la Ley de Garantías</w:t>
            </w:r>
            <w:r w:rsidRPr="00584759">
              <w:rPr>
                <w:rFonts w:ascii="Verdana" w:eastAsia="Calibri" w:hAnsi="Verdana" w:cs="Arial"/>
                <w:lang w:val="es-ES"/>
              </w:rPr>
              <w:t xml:space="preserve"> </w:t>
            </w:r>
            <w:r>
              <w:rPr>
                <w:rFonts w:ascii="Verdana" w:eastAsia="Calibri" w:hAnsi="Verdana" w:cs="Arial"/>
                <w:lang w:val="es-ES"/>
              </w:rPr>
              <w:t xml:space="preserve">Electorales, según </w:t>
            </w:r>
            <w:r w:rsidRPr="00584759">
              <w:rPr>
                <w:rFonts w:ascii="Verdana" w:eastAsia="Calibri" w:hAnsi="Verdana" w:cs="Arial"/>
                <w:lang w:val="es-ES"/>
              </w:rPr>
              <w:t xml:space="preserve">la situación fáctica y jurídica particular del caso concreto, para lo cual las consideraciones expuestas en el presente concepto constituyen un instrumento orientador. De ser es procedente la excepción, la entidad </w:t>
            </w:r>
            <w:r>
              <w:rPr>
                <w:rFonts w:ascii="Verdana" w:eastAsia="Calibri" w:hAnsi="Verdana" w:cs="Arial"/>
                <w:lang w:val="es-ES"/>
              </w:rPr>
              <w:t xml:space="preserve">podrá </w:t>
            </w:r>
            <w:r w:rsidRPr="00584759">
              <w:rPr>
                <w:rFonts w:ascii="Verdana" w:eastAsia="Calibri" w:hAnsi="Verdana" w:cs="Arial"/>
                <w:lang w:val="es-ES"/>
              </w:rPr>
              <w:t>realizar la contratación directa justificando las razones que avalan su procedencia</w:t>
            </w:r>
            <w:r w:rsidRPr="00FC6F34">
              <w:rPr>
                <w:rFonts w:ascii="Verdana" w:hAnsi="Verdana" w:cs="Arial"/>
                <w:lang w:val="es-ES" w:eastAsia="es-CO"/>
              </w:rPr>
              <w:t>. Por el contrario, si el estudio determina que no aplica excepción alguna estará vedada la celebración de contratos de manera directa</w:t>
            </w:r>
            <w:r>
              <w:rPr>
                <w:rFonts w:ascii="Verdana" w:hAnsi="Verdana" w:cs="Arial"/>
                <w:lang w:val="es-ES" w:eastAsia="es-CO"/>
              </w:rPr>
              <w:t xml:space="preserve">. </w:t>
            </w:r>
            <w:r w:rsidRPr="00FC6F34">
              <w:rPr>
                <w:rFonts w:ascii="Verdana" w:hAnsi="Verdana" w:cs="Arial"/>
                <w:lang w:val="es-ES" w:eastAsia="es-CO"/>
              </w:rPr>
              <w:t>Lo anterior, sin perjuicio de la prohibición establecida en el parágrafo del artículo 38 de la Ley de Garantías Electorales</w:t>
            </w:r>
            <w:r>
              <w:rPr>
                <w:rFonts w:ascii="Verdana" w:hAnsi="Verdana" w:cs="Arial"/>
                <w:lang w:val="es-ES" w:eastAsia="es-CO"/>
              </w:rPr>
              <w:t>. En cualquier caso, las entidades podrán considerar l</w:t>
            </w:r>
            <w:r w:rsidRPr="00FC6F34">
              <w:rPr>
                <w:rFonts w:ascii="Verdana" w:hAnsi="Verdana" w:cs="Arial"/>
                <w:lang w:val="es-ES" w:eastAsia="es-CO"/>
              </w:rPr>
              <w:t xml:space="preserve">a posibilidad </w:t>
            </w:r>
            <w:r>
              <w:rPr>
                <w:rFonts w:ascii="Verdana" w:hAnsi="Verdana" w:cs="Arial"/>
                <w:lang w:val="es-ES" w:eastAsia="es-CO"/>
              </w:rPr>
              <w:t>de adelantar modalidades distintas a la contratación directa o tipologías distintas a la contratación interadministrativa</w:t>
            </w:r>
            <w:r w:rsidRPr="00FC6F34">
              <w:rPr>
                <w:rFonts w:ascii="Verdana" w:hAnsi="Verdana" w:cs="Arial"/>
                <w:lang w:val="es-ES" w:eastAsia="es-CO"/>
              </w:rPr>
              <w:t xml:space="preserve">, </w:t>
            </w:r>
            <w:r>
              <w:rPr>
                <w:rFonts w:ascii="Verdana" w:hAnsi="Verdana" w:cs="Arial"/>
                <w:lang w:val="es-ES" w:eastAsia="es-CO"/>
              </w:rPr>
              <w:t xml:space="preserve">es decir, </w:t>
            </w:r>
            <w:r>
              <w:rPr>
                <w:rFonts w:ascii="Verdana" w:hAnsi="Verdana" w:cs="Arial"/>
                <w:lang w:val="es-ES" w:eastAsia="es-CO"/>
              </w:rPr>
              <w:lastRenderedPageBreak/>
              <w:t xml:space="preserve">aquellas que </w:t>
            </w:r>
            <w:r w:rsidRPr="00FC6F34">
              <w:rPr>
                <w:rFonts w:ascii="Verdana" w:hAnsi="Verdana" w:cs="Arial"/>
                <w:lang w:val="es-ES" w:eastAsia="es-CO"/>
              </w:rPr>
              <w:t>no se encuentr</w:t>
            </w:r>
            <w:r>
              <w:rPr>
                <w:rFonts w:ascii="Verdana" w:hAnsi="Verdana" w:cs="Arial"/>
                <w:lang w:val="es-ES" w:eastAsia="es-CO"/>
              </w:rPr>
              <w:t>e</w:t>
            </w:r>
            <w:r w:rsidRPr="00FC6F34">
              <w:rPr>
                <w:rFonts w:ascii="Verdana" w:hAnsi="Verdana" w:cs="Arial"/>
                <w:lang w:val="es-ES" w:eastAsia="es-CO"/>
              </w:rPr>
              <w:t>n restringidas por el artículo 33</w:t>
            </w:r>
            <w:r>
              <w:rPr>
                <w:rFonts w:ascii="Verdana" w:hAnsi="Verdana" w:cs="Arial"/>
                <w:lang w:val="es-ES" w:eastAsia="es-CO"/>
              </w:rPr>
              <w:t xml:space="preserve"> o el parágrafo del artículo 38</w:t>
            </w:r>
            <w:r w:rsidRPr="00FC6F34">
              <w:rPr>
                <w:rFonts w:ascii="Verdana" w:hAnsi="Verdana" w:cs="Arial"/>
                <w:lang w:val="es-ES" w:eastAsia="es-CO"/>
              </w:rPr>
              <w:t xml:space="preserve"> de la Ley 996 de 2005.</w:t>
            </w:r>
          </w:p>
          <w:p w14:paraId="20614B91" w14:textId="77777777" w:rsidR="004B6767" w:rsidRPr="00036A04" w:rsidRDefault="004B6767" w:rsidP="00E67E18">
            <w:pPr>
              <w:spacing w:after="120" w:line="276" w:lineRule="auto"/>
              <w:ind w:firstLine="708"/>
              <w:jc w:val="both"/>
              <w:rPr>
                <w:rFonts w:ascii="Verdana" w:eastAsia="Times New Roman" w:hAnsi="Verdana" w:cs="Arial"/>
                <w:bCs/>
                <w:lang w:val="es-ES"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statal que considera celebrar un contrato específico definir si este se 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4BEFFD35"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0D1A9AD"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3.Razones de la respuesta:</w:t>
      </w:r>
    </w:p>
    <w:p w14:paraId="1667405F" w14:textId="77777777" w:rsidR="004B6767" w:rsidRPr="00FC6F34" w:rsidRDefault="004B6767" w:rsidP="004B6767">
      <w:pPr>
        <w:spacing w:after="0" w:line="276" w:lineRule="auto"/>
        <w:jc w:val="both"/>
        <w:rPr>
          <w:rFonts w:ascii="Verdana" w:eastAsia="Calibri" w:hAnsi="Verdana" w:cs="Arial"/>
          <w:color w:val="000000" w:themeColor="text1"/>
          <w:lang w:val="es-ES"/>
        </w:rPr>
      </w:pPr>
    </w:p>
    <w:p w14:paraId="121D2CEB" w14:textId="77777777" w:rsidR="004B6767" w:rsidRPr="00FC6F34" w:rsidRDefault="004B6767" w:rsidP="004B6767">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sidRPr="00FC6F34">
        <w:rPr>
          <w:rFonts w:ascii="Verdana" w:eastAsia="Calibri" w:hAnsi="Verdana" w:cs="Arial"/>
          <w:color w:val="000000" w:themeColor="text1"/>
          <w:lang w:val="es-ES"/>
        </w:rPr>
        <w:t>i)</w:t>
      </w:r>
      <w:r w:rsidRPr="00FC6F34">
        <w:rPr>
          <w:rFonts w:ascii="Verdana" w:eastAsia="Verdana" w:hAnsi="Verdana" w:cs="Verdana"/>
          <w:lang w:val="es-ES"/>
        </w:rPr>
        <w:t xml:space="preserve"> </w:t>
      </w:r>
      <w:r w:rsidRPr="00FC6F34">
        <w:rPr>
          <w:rFonts w:ascii="Verdana" w:eastAsia="Calibri" w:hAnsi="Verdana" w:cs="Arial"/>
          <w:lang w:val="es-ES"/>
        </w:rPr>
        <w:t>El ordenamiento jurídico colombiano contempla medidas para evitar la obtención de beneficios personales en asuntos propios de la administración pública</w:t>
      </w:r>
      <w:r w:rsidRPr="00FC6F34">
        <w:rPr>
          <w:rFonts w:ascii="Verdana" w:eastAsia="Calibri" w:hAnsi="Verdana" w:cs="Arial"/>
          <w:i/>
          <w:lang w:val="es-ES"/>
        </w:rPr>
        <w:t xml:space="preserve">. </w:t>
      </w:r>
      <w:r w:rsidRPr="00FC6F34">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FC6F34">
        <w:rPr>
          <w:rFonts w:ascii="Verdana" w:hAnsi="Verdana"/>
          <w:vertAlign w:val="superscript"/>
          <w:lang w:val="es-ES"/>
        </w:rPr>
        <w:footnoteReference w:id="2"/>
      </w:r>
      <w:r w:rsidRPr="00FC6F34">
        <w:rPr>
          <w:rFonts w:ascii="Verdana" w:eastAsia="Calibri" w:hAnsi="Verdana" w:cs="Arial"/>
          <w:lang w:val="es-ES"/>
        </w:rPr>
        <w:t xml:space="preserve">. </w:t>
      </w:r>
    </w:p>
    <w:p w14:paraId="0450F3E3" w14:textId="77777777" w:rsidR="004B6767" w:rsidRPr="00FC6F34" w:rsidRDefault="004B6767" w:rsidP="004B6767">
      <w:pPr>
        <w:tabs>
          <w:tab w:val="left" w:pos="426"/>
        </w:tabs>
        <w:spacing w:after="12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3"/>
      </w:r>
      <w:r w:rsidRPr="00FC6F34">
        <w:rPr>
          <w:rFonts w:ascii="Verdana" w:eastAsia="Times New Roman" w:hAnsi="Verdana" w:cs="Arial"/>
          <w:lang w:val="es-ES" w:eastAsia="es-CO"/>
        </w:rPr>
        <w:t xml:space="preserve">. En esta medida, introduce </w:t>
      </w:r>
      <w:r w:rsidRPr="00FC6F34">
        <w:rPr>
          <w:rFonts w:ascii="Verdana" w:eastAsia="Times New Roman" w:hAnsi="Verdana" w:cs="Arial"/>
          <w:lang w:val="es-ES" w:eastAsia="es-CO"/>
        </w:rPr>
        <w:lastRenderedPageBreak/>
        <w:t>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30A90E01" w14:textId="77777777" w:rsidR="004B6767" w:rsidRPr="00FC6F34" w:rsidRDefault="004B6767" w:rsidP="004B6767">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608AFB3A" w14:textId="77777777" w:rsidR="004B6767" w:rsidRPr="00FC6F34" w:rsidRDefault="004B6767" w:rsidP="004B6767">
      <w:pPr>
        <w:spacing w:after="0" w:line="276" w:lineRule="auto"/>
        <w:ind w:right="709"/>
        <w:jc w:val="both"/>
        <w:rPr>
          <w:rFonts w:ascii="Verdana" w:eastAsia="Times New Roman" w:hAnsi="Verdana" w:cs="Arial"/>
          <w:lang w:val="es-ES" w:eastAsia="es-CO"/>
        </w:rPr>
      </w:pPr>
    </w:p>
    <w:p w14:paraId="4ED4C91F" w14:textId="77777777" w:rsidR="004B6767" w:rsidRPr="00FC6F34" w:rsidRDefault="004B6767" w:rsidP="004B6767">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54347710" w14:textId="77777777" w:rsidR="004B6767" w:rsidRPr="00FC6F34" w:rsidRDefault="004B6767" w:rsidP="004B6767">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7BC8819E" w14:textId="77777777" w:rsidR="004B6767" w:rsidRPr="00FC6F34" w:rsidRDefault="004B6767" w:rsidP="004B6767">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4"/>
      </w:r>
    </w:p>
    <w:p w14:paraId="56217E50" w14:textId="77777777" w:rsidR="004B6767" w:rsidRPr="00FC6F34" w:rsidRDefault="004B6767" w:rsidP="004B6767">
      <w:pPr>
        <w:spacing w:after="0" w:line="276" w:lineRule="auto"/>
        <w:ind w:firstLine="709"/>
        <w:jc w:val="both"/>
        <w:rPr>
          <w:rFonts w:ascii="Verdana" w:eastAsia="Times New Roman" w:hAnsi="Verdana" w:cs="Arial"/>
          <w:lang w:val="es-ES" w:eastAsia="es-CO"/>
        </w:rPr>
      </w:pPr>
    </w:p>
    <w:p w14:paraId="5DF79CE6" w14:textId="77777777" w:rsidR="004B6767" w:rsidRPr="00FC6F34" w:rsidRDefault="004B6767" w:rsidP="004B6767">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7F4B1B96" w14:textId="77777777" w:rsidR="004B6767" w:rsidRPr="00FC6F34" w:rsidRDefault="004B6767" w:rsidP="004B6767">
      <w:pPr>
        <w:spacing w:after="0" w:line="276" w:lineRule="auto"/>
        <w:ind w:firstLine="709"/>
        <w:jc w:val="both"/>
        <w:rPr>
          <w:rFonts w:ascii="Verdana" w:eastAsia="Times New Roman" w:hAnsi="Verdana" w:cs="Arial"/>
          <w:lang w:val="es-ES" w:eastAsia="es-CO"/>
        </w:rPr>
      </w:pPr>
    </w:p>
    <w:p w14:paraId="7F6E493E" w14:textId="77777777" w:rsidR="004B6767" w:rsidRPr="00FC6F34" w:rsidRDefault="004B6767" w:rsidP="004B6767">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4FCC430" w14:textId="77777777" w:rsidR="004B6767" w:rsidRPr="00FC6F34" w:rsidRDefault="004B6767" w:rsidP="004B6767">
      <w:pPr>
        <w:spacing w:after="0" w:line="240" w:lineRule="auto"/>
        <w:ind w:right="709"/>
        <w:jc w:val="both"/>
        <w:rPr>
          <w:rFonts w:ascii="Verdana" w:eastAsia="Times New Roman" w:hAnsi="Verdana" w:cs="Arial"/>
          <w:lang w:val="es-ES" w:eastAsia="es-CO"/>
        </w:rPr>
      </w:pPr>
    </w:p>
    <w:p w14:paraId="2FFF383C" w14:textId="77777777" w:rsidR="004B6767" w:rsidRPr="00FC6F34" w:rsidRDefault="004B6767" w:rsidP="004B6767">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La jurisprudencia de la Corte Constitucional</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7"/>
      </w:r>
      <w:r w:rsidRPr="00FC6F34">
        <w:rPr>
          <w:rFonts w:ascii="Verdana" w:eastAsia="Times New Roman" w:hAnsi="Verdana" w:cs="Arial"/>
          <w:sz w:val="20"/>
          <w:szCs w:val="20"/>
          <w:lang w:val="es-ES" w:eastAsia="es-CO"/>
        </w:rPr>
        <w:t>.</w:t>
      </w:r>
    </w:p>
    <w:p w14:paraId="6D1D249E" w14:textId="77777777" w:rsidR="004B6767" w:rsidRPr="00FC6F34" w:rsidRDefault="004B6767" w:rsidP="004B6767">
      <w:pPr>
        <w:spacing w:after="0" w:line="276" w:lineRule="auto"/>
        <w:jc w:val="both"/>
        <w:rPr>
          <w:rFonts w:ascii="Verdana" w:eastAsia="Calibri" w:hAnsi="Verdana" w:cs="Arial"/>
          <w:bCs/>
          <w:lang w:val="es-ES"/>
        </w:rPr>
      </w:pPr>
    </w:p>
    <w:p w14:paraId="1212C4E7" w14:textId="77777777" w:rsidR="004B6767" w:rsidRPr="00FC6F34" w:rsidRDefault="004B6767" w:rsidP="004B6767">
      <w:pPr>
        <w:spacing w:after="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5187D00" w14:textId="77777777" w:rsidR="004B6767" w:rsidRPr="00FC6F34" w:rsidRDefault="004B6767" w:rsidP="004B6767">
      <w:pPr>
        <w:spacing w:after="0" w:line="276" w:lineRule="auto"/>
        <w:ind w:firstLine="709"/>
        <w:jc w:val="both"/>
        <w:rPr>
          <w:rFonts w:ascii="Verdana" w:eastAsia="Arial" w:hAnsi="Verdana" w:cs="Arial"/>
          <w:lang w:val="es-ES" w:eastAsia="es-ES" w:bidi="es-ES"/>
        </w:rPr>
      </w:pPr>
    </w:p>
    <w:p w14:paraId="478053D9" w14:textId="77777777" w:rsidR="004B6767" w:rsidRPr="00FC6F34" w:rsidRDefault="004B6767" w:rsidP="004B6767">
      <w:pPr>
        <w:spacing w:after="120" w:line="276" w:lineRule="auto"/>
        <w:jc w:val="both"/>
        <w:rPr>
          <w:rFonts w:ascii="Verdana" w:eastAsia="Arial" w:hAnsi="Verdana" w:cs="Arial"/>
          <w:lang w:val="es-ES" w:eastAsia="es-ES" w:bidi="es-ES"/>
        </w:rPr>
      </w:pPr>
      <w:proofErr w:type="spellStart"/>
      <w:r w:rsidRPr="00FC6F34">
        <w:rPr>
          <w:rFonts w:ascii="Verdana" w:eastAsia="Arial" w:hAnsi="Verdana" w:cs="Arial"/>
          <w:lang w:val="es-ES" w:eastAsia="es-ES" w:bidi="es-ES"/>
        </w:rPr>
        <w:t>ii</w:t>
      </w:r>
      <w:proofErr w:type="spellEnd"/>
      <w:r w:rsidRPr="00FC6F34">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211D8693" w14:textId="77777777" w:rsidR="004B6767" w:rsidRPr="00FC6F34" w:rsidRDefault="004B6767" w:rsidP="004B6767">
      <w:pPr>
        <w:spacing w:after="120" w:line="276" w:lineRule="auto"/>
        <w:ind w:firstLine="708"/>
        <w:jc w:val="both"/>
        <w:rPr>
          <w:rFonts w:ascii="Verdana" w:eastAsia="Calibri" w:hAnsi="Verdana" w:cs="Arial"/>
          <w:lang w:val="es-ES"/>
        </w:rPr>
      </w:pP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FC6F34">
        <w:rPr>
          <w:rFonts w:ascii="Verdana" w:eastAsia="Calibri" w:hAnsi="Verdana" w:cs="Arial"/>
          <w:lang w:val="es-ES"/>
        </w:rPr>
        <w:lastRenderedPageBreak/>
        <w:t>acciones terroristas, desastres naturales o casos de fuerza mayor, y los que deban realizar las entidades sanitarias y hospitalarias”</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p>
    <w:p w14:paraId="04C0679C" w14:textId="77777777" w:rsidR="004B6767" w:rsidRPr="00FC6F34" w:rsidRDefault="004B6767" w:rsidP="004B6767">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9"/>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6453739B" w14:textId="77777777" w:rsidR="004B6767" w:rsidRPr="00FC6F34" w:rsidRDefault="004B6767" w:rsidP="004B676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7086FA64" w14:textId="77777777" w:rsidR="004B6767" w:rsidRPr="00FC6F34" w:rsidRDefault="004B6767" w:rsidP="004B676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0540BC8D" w14:textId="77777777" w:rsidR="004B6767" w:rsidRPr="00FC6F34" w:rsidRDefault="004B6767" w:rsidP="004B6767">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FC6F34">
        <w:rPr>
          <w:rFonts w:ascii="Verdana" w:eastAsia="Arial" w:hAnsi="Verdana" w:cs="Arial"/>
          <w:sz w:val="20"/>
          <w:szCs w:val="20"/>
          <w:lang w:val="es-ES" w:eastAsia="es-ES" w:bidi="es-ES"/>
        </w:rPr>
        <w:t>Presidente</w:t>
      </w:r>
      <w:proofErr w:type="gramEnd"/>
      <w:r w:rsidRPr="00FC6F34">
        <w:rPr>
          <w:rFonts w:ascii="Verdana" w:eastAsia="Arial" w:hAnsi="Verdana" w:cs="Arial"/>
          <w:sz w:val="20"/>
          <w:szCs w:val="20"/>
          <w:lang w:val="es-ES" w:eastAsia="es-ES" w:bidi="es-ES"/>
        </w:rPr>
        <w:t xml:space="preserve"> de la República, a las </w:t>
      </w:r>
      <w:r w:rsidRPr="00FC6F34">
        <w:rPr>
          <w:rFonts w:ascii="Verdana" w:eastAsia="Arial" w:hAnsi="Verdana" w:cs="Arial"/>
          <w:sz w:val="20"/>
          <w:szCs w:val="20"/>
          <w:lang w:val="es-ES" w:eastAsia="es-ES" w:bidi="es-ES"/>
        </w:rPr>
        <w:lastRenderedPageBreak/>
        <w:t>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10"/>
      </w:r>
    </w:p>
    <w:p w14:paraId="1F8E2832" w14:textId="77777777" w:rsidR="004B6767" w:rsidRPr="00FC6F34" w:rsidRDefault="004B6767" w:rsidP="004B6767">
      <w:pPr>
        <w:widowControl w:val="0"/>
        <w:autoSpaceDE w:val="0"/>
        <w:autoSpaceDN w:val="0"/>
        <w:spacing w:after="0" w:line="276" w:lineRule="auto"/>
        <w:contextualSpacing/>
        <w:rPr>
          <w:rFonts w:ascii="Verdana" w:eastAsia="Arial" w:hAnsi="Verdana" w:cs="Arial"/>
          <w:lang w:val="es-ES" w:eastAsia="es-ES" w:bidi="es-ES"/>
        </w:rPr>
      </w:pPr>
    </w:p>
    <w:p w14:paraId="2BA8B7C5" w14:textId="77777777" w:rsidR="004B6767" w:rsidRPr="00FC6F34" w:rsidRDefault="004B6767" w:rsidP="004B6767">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29EBD7D" w14:textId="77777777" w:rsidR="004B6767" w:rsidRPr="00FC6F34" w:rsidRDefault="004B6767" w:rsidP="004B6767">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1ED80B60" w14:textId="77777777" w:rsidR="004B6767" w:rsidRPr="00FC6F34" w:rsidRDefault="004B6767" w:rsidP="004B6767">
      <w:pPr>
        <w:spacing w:after="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o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y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 la República, ha perdido vigencia ante la prohibición de la </w:t>
      </w:r>
      <w:r w:rsidRPr="00FC6F34">
        <w:rPr>
          <w:rFonts w:ascii="Verdana" w:eastAsia="Arial" w:hAnsi="Verdana" w:cs="Arial"/>
          <w:lang w:val="es-ES" w:eastAsia="es-ES" w:bidi="es-ES"/>
        </w:rPr>
        <w:lastRenderedPageBreak/>
        <w:t xml:space="preserve">reelección presidencial, restablecida por el Acto Legislativo 2 de 2015. Esto, excepto para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613926BC" w14:textId="77777777" w:rsidR="004B6767" w:rsidRPr="00FC6F34" w:rsidRDefault="004B6767" w:rsidP="004B6767">
      <w:pPr>
        <w:spacing w:after="0" w:line="276" w:lineRule="auto"/>
        <w:ind w:firstLine="709"/>
        <w:jc w:val="both"/>
        <w:rPr>
          <w:rFonts w:ascii="Verdana" w:eastAsia="Arial" w:hAnsi="Verdana" w:cs="Arial"/>
          <w:lang w:val="es-ES" w:eastAsia="es-ES" w:bidi="es-ES"/>
        </w:rPr>
      </w:pPr>
    </w:p>
    <w:p w14:paraId="688FE85D" w14:textId="77777777" w:rsidR="004B6767" w:rsidRPr="00FC6F34" w:rsidRDefault="004B6767" w:rsidP="004B6767">
      <w:pPr>
        <w:spacing w:after="120" w:line="276" w:lineRule="auto"/>
        <w:jc w:val="both"/>
        <w:rPr>
          <w:rFonts w:ascii="Verdana" w:eastAsia="Times New Roman" w:hAnsi="Verdana" w:cs="Arial"/>
          <w:bCs/>
          <w:lang w:val="es-ES" w:eastAsia="es-CO"/>
        </w:rPr>
      </w:pPr>
      <w:proofErr w:type="spellStart"/>
      <w:r w:rsidRPr="00FC6F34">
        <w:rPr>
          <w:rFonts w:ascii="Verdana" w:eastAsia="Calibri" w:hAnsi="Verdana" w:cs="Arial"/>
          <w:lang w:val="es-ES"/>
        </w:rPr>
        <w:t>iii</w:t>
      </w:r>
      <w:proofErr w:type="spellEnd"/>
      <w:r w:rsidRPr="00FC6F34">
        <w:rPr>
          <w:rFonts w:ascii="Verdana" w:eastAsia="Calibri" w:hAnsi="Verdana" w:cs="Arial"/>
          <w:lang w:val="es-ES"/>
        </w:rPr>
        <w:t xml:space="preserve">) </w:t>
      </w:r>
      <w:r w:rsidRPr="00FC6F34">
        <w:rPr>
          <w:rFonts w:ascii="Verdana" w:eastAsia="Arial" w:hAnsi="Verdana" w:cs="Arial"/>
          <w:lang w:val="es-ES" w:eastAsia="es-ES" w:bidi="es-ES"/>
        </w:rPr>
        <w:t xml:space="preserve">Ahora bien, </w:t>
      </w:r>
      <w:r w:rsidRPr="00FC6F34">
        <w:rPr>
          <w:rFonts w:ascii="Verdana" w:eastAsia="Calibri" w:hAnsi="Verdana" w:cs="Arial"/>
          <w:lang w:val="es-ES" w:eastAsia="es-ES" w:bidi="es-ES"/>
        </w:rPr>
        <w:t xml:space="preserve">para responder al problema jurídico planteado es necesario precisar el alcance de 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 xml:space="preserve">artículo 33 de la Ley 996 de 2005. El ámbito material de esta prohibición 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sidRPr="00FC6F34">
        <w:rPr>
          <w:rFonts w:ascii="Verdana" w:eastAsia="Calibri" w:hAnsi="Verdana" w:cs="Arial"/>
          <w:lang w:val="es-ES"/>
        </w:rPr>
        <w:t>”</w:t>
      </w:r>
      <w:r w:rsidRPr="00FC6F34">
        <w:rPr>
          <w:rFonts w:ascii="Verdana" w:eastAsia="Times New Roman" w:hAnsi="Verdana" w:cs="Arial"/>
          <w:lang w:val="es-ES"/>
        </w:rPr>
        <w:t xml:space="preserve">. </w:t>
      </w:r>
      <w:r w:rsidRPr="00FC6F34">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73D23177" w14:textId="77777777" w:rsidR="004B6767" w:rsidRPr="00FC6F34" w:rsidRDefault="004B6767" w:rsidP="004B6767">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 Esta Sala ha entendido </w:t>
      </w:r>
      <w:proofErr w:type="gramStart"/>
      <w:r w:rsidRPr="00FC6F34">
        <w:rPr>
          <w:rFonts w:ascii="Verdana" w:eastAsia="Calibri" w:hAnsi="Verdana" w:cs="Arial"/>
          <w:sz w:val="20"/>
          <w:szCs w:val="20"/>
          <w:lang w:val="es-ES"/>
        </w:rPr>
        <w:t>que</w:t>
      </w:r>
      <w:proofErr w:type="gramEnd"/>
      <w:r w:rsidRPr="00FC6F34">
        <w:rPr>
          <w:rFonts w:ascii="Verdana" w:eastAsia="Calibri" w:hAnsi="Verdana" w:cs="Arial"/>
          <w:sz w:val="20"/>
          <w:szCs w:val="20"/>
          <w:lang w:val="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C6F34">
        <w:rPr>
          <w:rFonts w:ascii="Verdana" w:eastAsia="Times New Roman" w:hAnsi="Verdana" w:cs="Arial"/>
          <w:sz w:val="20"/>
          <w:szCs w:val="20"/>
          <w:vertAlign w:val="superscript"/>
          <w:lang w:val="es-ES"/>
        </w:rPr>
        <w:footnoteReference w:id="11"/>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2"/>
      </w:r>
      <w:r w:rsidRPr="00FC6F34">
        <w:rPr>
          <w:rFonts w:ascii="Verdana" w:eastAsia="Calibri" w:hAnsi="Verdana" w:cs="Arial"/>
          <w:sz w:val="20"/>
          <w:szCs w:val="20"/>
          <w:lang w:val="es-ES"/>
        </w:rPr>
        <w:t xml:space="preserve"> .</w:t>
      </w:r>
    </w:p>
    <w:p w14:paraId="61C0A1D5" w14:textId="77777777" w:rsidR="004B6767" w:rsidRPr="00FC6F34" w:rsidRDefault="004B6767" w:rsidP="004B6767">
      <w:pPr>
        <w:shd w:val="clear" w:color="auto" w:fill="FFFFFF" w:themeFill="background1"/>
        <w:spacing w:after="0" w:line="276" w:lineRule="auto"/>
        <w:ind w:firstLine="709"/>
        <w:jc w:val="both"/>
        <w:rPr>
          <w:rFonts w:ascii="Verdana" w:eastAsia="Times New Roman" w:hAnsi="Verdana" w:cs="Arial"/>
          <w:lang w:val="es-ES" w:eastAsia="x-none"/>
        </w:rPr>
      </w:pPr>
    </w:p>
    <w:p w14:paraId="360D4F1B" w14:textId="77777777" w:rsidR="004B6767" w:rsidRPr="00FC6F34" w:rsidRDefault="004B6767" w:rsidP="004B6767">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FC6F34">
        <w:rPr>
          <w:rFonts w:ascii="Verdana" w:eastAsia="Times New Roman" w:hAnsi="Verdana" w:cs="Arial"/>
          <w:lang w:val="es-ES" w:eastAsia="x-none"/>
        </w:rPr>
        <w:t>cualquier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 xml:space="preserve">además lo es con la posterior creación de la modalidad de mínima cuantía establecida actualmente en el numeral 5 del </w:t>
      </w:r>
      <w:r w:rsidRPr="00FC6F34">
        <w:rPr>
          <w:rFonts w:ascii="Verdana" w:eastAsia="Calibri" w:hAnsi="Verdana" w:cs="Arial"/>
          <w:lang w:val="es-ES" w:eastAsia="x-none"/>
        </w:rPr>
        <w:lastRenderedPageBreak/>
        <w:t>artículo 2 de la Ley 1150 de 2007, de acuerdo con las modificaciones realizadas por leyes posteriores.</w:t>
      </w:r>
    </w:p>
    <w:p w14:paraId="37A099C6" w14:textId="77777777" w:rsidR="004B6767" w:rsidRPr="00FC6F34" w:rsidRDefault="004B6767" w:rsidP="004B6767">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5"/>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2738080A" w14:textId="77777777" w:rsidR="004B6767" w:rsidRPr="00FC6F34" w:rsidRDefault="004B6767" w:rsidP="004B6767">
      <w:pPr>
        <w:spacing w:after="0" w:line="276" w:lineRule="auto"/>
        <w:ind w:firstLine="708"/>
        <w:jc w:val="both"/>
        <w:rPr>
          <w:rFonts w:ascii="Verdana" w:eastAsia="Times New Roman" w:hAnsi="Verdana" w:cs="Arial"/>
          <w:lang w:val="es-ES"/>
        </w:rPr>
      </w:pPr>
      <w:r w:rsidRPr="00FC6F34">
        <w:rPr>
          <w:rFonts w:ascii="Verdana" w:eastAsia="Times New Roman" w:hAnsi="Verdana" w:cs="Arial"/>
          <w:lang w:val="es-ES"/>
        </w:rPr>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 de forma directa</w:t>
      </w:r>
      <w:r w:rsidRPr="00FC6F34">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B992992" w14:textId="77777777" w:rsidR="004B6767" w:rsidRPr="00FC6F34" w:rsidRDefault="004B6767" w:rsidP="004B6767">
      <w:pPr>
        <w:spacing w:after="0" w:line="276" w:lineRule="auto"/>
        <w:ind w:firstLine="708"/>
        <w:jc w:val="both"/>
        <w:rPr>
          <w:rFonts w:ascii="Verdana" w:eastAsia="Times New Roman" w:hAnsi="Verdana" w:cs="Arial"/>
          <w:lang w:val="es-ES"/>
        </w:rPr>
      </w:pPr>
    </w:p>
    <w:p w14:paraId="2DDC99E3" w14:textId="77777777" w:rsidR="004B6767" w:rsidRPr="00FC6F34" w:rsidRDefault="004B6767" w:rsidP="004B6767">
      <w:pPr>
        <w:spacing w:after="0" w:line="276" w:lineRule="auto"/>
        <w:jc w:val="both"/>
        <w:rPr>
          <w:rFonts w:ascii="Verdana" w:eastAsia="Times New Roman" w:hAnsi="Verdana" w:cs="Arial"/>
          <w:lang w:val="es-ES"/>
        </w:rPr>
      </w:pPr>
      <w:proofErr w:type="spellStart"/>
      <w:r w:rsidRPr="00FC6F34">
        <w:rPr>
          <w:rFonts w:ascii="Verdana" w:eastAsia="Times New Roman" w:hAnsi="Verdana" w:cs="Arial"/>
          <w:bCs/>
          <w:lang w:val="es-ES" w:eastAsia="es-CO"/>
        </w:rPr>
        <w:t>iv</w:t>
      </w:r>
      <w:proofErr w:type="spellEnd"/>
      <w:r w:rsidRPr="00FC6F34">
        <w:rPr>
          <w:rFonts w:ascii="Verdana" w:eastAsia="Times New Roman" w:hAnsi="Verdana" w:cs="Arial"/>
          <w:bCs/>
          <w:lang w:val="es-ES" w:eastAsia="es-CO"/>
        </w:rPr>
        <w:t xml:space="preserve">) 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 [énfasis propio]. Al respecto la Sala De Consulta y Servicio Civil del Consejo de Estado señaló lo siguiente:</w:t>
      </w:r>
    </w:p>
    <w:p w14:paraId="030856C3" w14:textId="77777777" w:rsidR="004B6767" w:rsidRPr="00FC6F34" w:rsidRDefault="004B6767" w:rsidP="004B6767">
      <w:pPr>
        <w:spacing w:after="0" w:line="276" w:lineRule="auto"/>
        <w:ind w:firstLine="708"/>
        <w:jc w:val="both"/>
        <w:rPr>
          <w:rFonts w:ascii="Verdana" w:eastAsia="Times New Roman" w:hAnsi="Verdana" w:cs="Arial"/>
          <w:lang w:val="es-ES"/>
        </w:rPr>
      </w:pPr>
    </w:p>
    <w:p w14:paraId="71F51A47" w14:textId="77777777" w:rsidR="004B6767" w:rsidRPr="00FC6F34" w:rsidRDefault="004B6767" w:rsidP="004B6767">
      <w:pPr>
        <w:spacing w:after="0" w:line="240" w:lineRule="auto"/>
        <w:ind w:left="709" w:right="709"/>
        <w:jc w:val="both"/>
        <w:rPr>
          <w:rFonts w:ascii="Verdana" w:eastAsia="Times New Roman" w:hAnsi="Verdana" w:cs="Arial"/>
          <w:bCs/>
          <w:lang w:val="es-ES" w:eastAsia="es-CO"/>
        </w:rPr>
      </w:pPr>
      <w:r w:rsidRPr="00FC6F34">
        <w:rPr>
          <w:rFonts w:ascii="Verdana" w:eastAsia="Times New Roman" w:hAnsi="Verdana" w:cs="Arial"/>
          <w:bCs/>
          <w:sz w:val="20"/>
          <w:szCs w:val="20"/>
          <w:lang w:val="es-ES" w:eastAsia="es-CO"/>
        </w:rPr>
        <w:t xml:space="preserve">“El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w:t>
      </w:r>
      <w:r w:rsidRPr="00FC6F34">
        <w:rPr>
          <w:rFonts w:ascii="Verdana" w:eastAsia="Times New Roman" w:hAnsi="Verdana" w:cs="Arial"/>
          <w:bCs/>
          <w:sz w:val="20"/>
          <w:szCs w:val="20"/>
          <w:lang w:val="es-ES" w:eastAsia="es-CO"/>
        </w:rPr>
        <w:lastRenderedPageBreak/>
        <w:t>romper el equilibrio entre los partidos y los candidatos a las elecciones presidenciales […]”</w:t>
      </w:r>
      <w:r w:rsidRPr="00FC6F34">
        <w:rPr>
          <w:rStyle w:val="Refdenotaalpie"/>
          <w:rFonts w:ascii="Verdana" w:eastAsia="Times New Roman" w:hAnsi="Verdana" w:cs="Arial"/>
          <w:bCs/>
          <w:sz w:val="20"/>
          <w:szCs w:val="20"/>
          <w:lang w:val="es-ES" w:eastAsia="es-CO"/>
        </w:rPr>
        <w:footnoteReference w:id="16"/>
      </w:r>
      <w:r w:rsidRPr="00FC6F34">
        <w:rPr>
          <w:rFonts w:ascii="Verdana" w:eastAsia="Times New Roman" w:hAnsi="Verdana" w:cs="Arial"/>
          <w:bCs/>
          <w:sz w:val="20"/>
          <w:szCs w:val="20"/>
          <w:lang w:val="es-ES" w:eastAsia="es-CO"/>
        </w:rPr>
        <w:t>.</w:t>
      </w:r>
    </w:p>
    <w:p w14:paraId="62FE12C6" w14:textId="77777777" w:rsidR="004B6767" w:rsidRPr="00FC6F34" w:rsidRDefault="004B6767" w:rsidP="004B6767">
      <w:pPr>
        <w:spacing w:before="240"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sidRPr="00FC6F34">
        <w:rPr>
          <w:rFonts w:ascii="Verdana" w:hAnsi="Verdana" w:cs="Arial"/>
          <w:bCs/>
          <w:lang w:val="es-ES" w:eastAsia="x-none"/>
        </w:rPr>
        <w:t>En efecto, tal como lo ha sostenido el Consejo de Estado, el vocablo “todos” utilizado por el legislador comprende</w:t>
      </w:r>
      <w:r w:rsidRPr="00FC6F34">
        <w:rPr>
          <w:rFonts w:ascii="Verdana" w:hAnsi="Verdana"/>
          <w:lang w:val="es-ES"/>
        </w:rPr>
        <w:t xml:space="preserve"> </w:t>
      </w:r>
      <w:r w:rsidRPr="00FC6F34">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6F34">
        <w:rPr>
          <w:rStyle w:val="Refdenotaalpie"/>
          <w:rFonts w:ascii="Verdana" w:hAnsi="Verdana" w:cs="Arial"/>
          <w:bCs/>
          <w:sz w:val="20"/>
          <w:szCs w:val="20"/>
          <w:lang w:val="es-ES" w:eastAsia="x-none"/>
        </w:rPr>
        <w:footnoteReference w:id="17"/>
      </w:r>
      <w:r w:rsidRPr="00FC6F34">
        <w:rPr>
          <w:rFonts w:ascii="Verdana" w:hAnsi="Verdana" w:cs="Arial"/>
          <w:bCs/>
          <w:sz w:val="20"/>
          <w:szCs w:val="20"/>
          <w:lang w:val="es-ES" w:eastAsia="x-none"/>
        </w:rPr>
        <w:t>.</w:t>
      </w:r>
      <w:r w:rsidRPr="00FC6F34">
        <w:rPr>
          <w:rFonts w:ascii="Verdana" w:hAnsi="Verdana" w:cs="Arial"/>
          <w:bCs/>
          <w:sz w:val="20"/>
          <w:szCs w:val="20"/>
          <w:lang w:val="es-ES" w:eastAsia="es-CO"/>
        </w:rPr>
        <w:t>”</w:t>
      </w:r>
    </w:p>
    <w:p w14:paraId="482325F3" w14:textId="77777777" w:rsidR="004B6767" w:rsidRPr="00FC6F34" w:rsidRDefault="004B6767" w:rsidP="004B6767">
      <w:pPr>
        <w:spacing w:line="276" w:lineRule="auto"/>
        <w:ind w:firstLine="709"/>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0773A3F6" w14:textId="77777777" w:rsidR="004B6767" w:rsidRPr="00FC6F34" w:rsidRDefault="004B6767" w:rsidP="004B6767">
      <w:pPr>
        <w:spacing w:before="120" w:line="276" w:lineRule="auto"/>
        <w:ind w:firstLine="709"/>
        <w:jc w:val="both"/>
        <w:rPr>
          <w:rFonts w:ascii="Verdana" w:hAnsi="Verdana" w:cs="Arial"/>
          <w:bCs/>
          <w:color w:val="000000" w:themeColor="text1"/>
          <w:lang w:val="es-ES"/>
        </w:rPr>
      </w:pPr>
      <w:r w:rsidRPr="00FC6F34">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7A65CF2F" w14:textId="77777777" w:rsidR="004B6767" w:rsidRPr="00FC6F34" w:rsidRDefault="004B6767" w:rsidP="004B6767">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lastRenderedPageBreak/>
        <w:tab/>
        <w:t>i) La contratación referente a la defensa y seguridad del Estado;</w:t>
      </w:r>
    </w:p>
    <w:p w14:paraId="2ECA2E78" w14:textId="77777777" w:rsidR="004B6767" w:rsidRPr="00FC6F34" w:rsidRDefault="004B6767" w:rsidP="004B6767">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ii</w:t>
      </w:r>
      <w:proofErr w:type="spellEnd"/>
      <w:r w:rsidRPr="00FC6F34">
        <w:rPr>
          <w:rFonts w:ascii="Verdana" w:hAnsi="Verdana" w:cs="Arial"/>
          <w:bCs/>
          <w:color w:val="000000" w:themeColor="text1"/>
          <w:lang w:val="es-ES"/>
        </w:rPr>
        <w:t>) Los contratos de crédito público;</w:t>
      </w:r>
    </w:p>
    <w:p w14:paraId="1D6576C1" w14:textId="77777777" w:rsidR="004B6767" w:rsidRPr="00FC6F34" w:rsidRDefault="004B6767" w:rsidP="004B6767">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iii</w:t>
      </w:r>
      <w:proofErr w:type="spellEnd"/>
      <w:r w:rsidRPr="00FC6F34">
        <w:rPr>
          <w:rFonts w:ascii="Verdana" w:hAnsi="Verdana" w:cs="Arial"/>
          <w:bCs/>
          <w:color w:val="000000" w:themeColor="text1"/>
          <w:lang w:val="es-ES"/>
        </w:rPr>
        <w:t xml:space="preserve">) Los contratos requeridos para cubrir las emergencias educativas, sanitarias y desastres; </w:t>
      </w:r>
    </w:p>
    <w:p w14:paraId="588996B0" w14:textId="77777777" w:rsidR="004B6767" w:rsidRPr="00FC6F34" w:rsidRDefault="004B6767" w:rsidP="004B6767">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iv</w:t>
      </w:r>
      <w:proofErr w:type="spellEnd"/>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3166D034" w14:textId="77777777" w:rsidR="004B6767" w:rsidRPr="00FC6F34" w:rsidRDefault="004B6767" w:rsidP="004B6767">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t xml:space="preserve">v) La contratación que deban realizar las entidades sanitarias y hospitalarias. </w:t>
      </w:r>
    </w:p>
    <w:p w14:paraId="504E34CE" w14:textId="77777777" w:rsidR="004B6767" w:rsidRPr="00FC6F34" w:rsidRDefault="004B6767" w:rsidP="004B6767">
      <w:pPr>
        <w:spacing w:before="240" w:line="276" w:lineRule="auto"/>
        <w:ind w:firstLine="709"/>
        <w:jc w:val="both"/>
        <w:rPr>
          <w:rFonts w:ascii="Verdana" w:hAnsi="Verdana" w:cs="Arial"/>
          <w:lang w:val="es-ES" w:eastAsia="x-none"/>
        </w:rPr>
      </w:pPr>
      <w:r w:rsidRPr="00FC6F34">
        <w:rPr>
          <w:rFonts w:ascii="Verdana" w:hAnsi="Verdana" w:cs="Arial"/>
          <w:lang w:val="es-ES"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footnoteReference w:id="18"/>
      </w:r>
      <w:r w:rsidRPr="00FC6F34">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34C9B79" w14:textId="77777777" w:rsidR="004B6767" w:rsidRPr="00FC6F34" w:rsidRDefault="004B6767" w:rsidP="004B6767">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0CF56C98" w14:textId="77777777" w:rsidR="004B6767" w:rsidRPr="00FC6F34" w:rsidRDefault="004B6767" w:rsidP="004B6767">
      <w:pPr>
        <w:shd w:val="clear" w:color="auto" w:fill="FFFFFF"/>
        <w:ind w:left="709" w:right="709"/>
        <w:jc w:val="both"/>
        <w:rPr>
          <w:rFonts w:ascii="Verdana" w:hAnsi="Verdana" w:cs="Arial"/>
          <w:color w:val="000000" w:themeColor="text1"/>
          <w:sz w:val="20"/>
          <w:szCs w:val="20"/>
          <w:lang w:val="es-ES" w:eastAsia="es-CO"/>
        </w:rPr>
      </w:pPr>
      <w:r w:rsidRPr="00FC6F34">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FC6F34">
        <w:rPr>
          <w:rFonts w:ascii="Verdana" w:hAnsi="Verdana" w:cs="Arial"/>
          <w:color w:val="000000" w:themeColor="text1"/>
          <w:sz w:val="20"/>
          <w:szCs w:val="20"/>
          <w:vertAlign w:val="superscript"/>
          <w:lang w:val="es-ES" w:eastAsia="es-CO"/>
        </w:rPr>
        <w:footnoteReference w:id="19"/>
      </w:r>
      <w:r w:rsidRPr="00FC6F34">
        <w:rPr>
          <w:rFonts w:ascii="Verdana" w:hAnsi="Verdana" w:cs="Arial"/>
          <w:color w:val="000000" w:themeColor="text1"/>
          <w:sz w:val="20"/>
          <w:szCs w:val="20"/>
          <w:lang w:val="es-ES" w:eastAsia="es-CO"/>
        </w:rPr>
        <w:t xml:space="preserve">”. </w:t>
      </w:r>
    </w:p>
    <w:p w14:paraId="3E53AB75" w14:textId="77777777" w:rsidR="004B6767" w:rsidRPr="00FC6F34" w:rsidRDefault="004B6767" w:rsidP="004B6767">
      <w:pPr>
        <w:tabs>
          <w:tab w:val="left" w:pos="426"/>
        </w:tabs>
        <w:spacing w:before="120" w:after="0" w:line="276" w:lineRule="auto"/>
        <w:ind w:firstLine="709"/>
        <w:jc w:val="both"/>
        <w:rPr>
          <w:rFonts w:ascii="Verdana" w:hAnsi="Verdana" w:cs="Arial"/>
          <w:color w:val="000000" w:themeColor="text1"/>
          <w:lang w:val="es-ES"/>
        </w:rPr>
      </w:pPr>
      <w:r w:rsidRPr="00FC6F34">
        <w:rPr>
          <w:rFonts w:ascii="Verdana" w:hAnsi="Verdana" w:cs="Arial"/>
          <w:bCs/>
          <w:color w:val="000000" w:themeColor="text1"/>
          <w:lang w:val="es-ES"/>
        </w:rPr>
        <w:t xml:space="preserve">Por tanto, las excepciones a la prohibición contenida en el inciso segundo de artículo 33 de la ley de garantías electorales tienen por finalidad garantizar </w:t>
      </w:r>
      <w:r w:rsidRPr="00FC6F34">
        <w:rPr>
          <w:rFonts w:ascii="Verdana" w:hAnsi="Verdana" w:cs="Arial"/>
          <w:bCs/>
          <w:color w:val="000000" w:themeColor="text1"/>
          <w:lang w:val="es-ES"/>
        </w:rPr>
        <w:lastRenderedPageBreak/>
        <w:t>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p>
    <w:p w14:paraId="2AE56FBD" w14:textId="77777777" w:rsidR="004B6767" w:rsidRPr="00FC6F34" w:rsidRDefault="004B6767" w:rsidP="004B6767">
      <w:pPr>
        <w:tabs>
          <w:tab w:val="left" w:pos="426"/>
        </w:tabs>
        <w:spacing w:after="0" w:line="276" w:lineRule="auto"/>
        <w:ind w:firstLine="709"/>
        <w:jc w:val="both"/>
        <w:rPr>
          <w:rFonts w:ascii="Verdana" w:hAnsi="Verdana" w:cs="Arial"/>
          <w:color w:val="000000" w:themeColor="text1"/>
          <w:lang w:val="es-ES"/>
        </w:rPr>
      </w:pPr>
    </w:p>
    <w:p w14:paraId="3EFC5D08" w14:textId="77777777" w:rsidR="004B6767" w:rsidRPr="00FC6F34" w:rsidRDefault="004B6767" w:rsidP="004B6767">
      <w:pPr>
        <w:tabs>
          <w:tab w:val="left" w:pos="426"/>
        </w:tabs>
        <w:spacing w:after="0"/>
        <w:ind w:right="709"/>
        <w:jc w:val="both"/>
        <w:rPr>
          <w:rFonts w:ascii="Verdana" w:hAnsi="Verdana" w:cs="Arial"/>
          <w:color w:val="000000" w:themeColor="text1"/>
          <w:sz w:val="20"/>
          <w:szCs w:val="20"/>
          <w:lang w:val="es-ES"/>
        </w:rPr>
      </w:pPr>
      <w:r w:rsidRPr="00FC6F34">
        <w:rPr>
          <w:rFonts w:ascii="Arial" w:hAnsi="Arial" w:cs="Arial"/>
          <w:color w:val="000000" w:themeColor="text1"/>
          <w:sz w:val="21"/>
          <w:szCs w:val="21"/>
          <w:lang w:val="es-ES"/>
        </w:rPr>
        <w:tab/>
      </w:r>
      <w:r w:rsidRPr="00FC6F34">
        <w:rPr>
          <w:rFonts w:ascii="Arial" w:hAnsi="Arial" w:cs="Arial"/>
          <w:color w:val="000000" w:themeColor="text1"/>
          <w:sz w:val="21"/>
          <w:szCs w:val="21"/>
          <w:lang w:val="es-ES"/>
        </w:rPr>
        <w:tab/>
        <w:t>“</w:t>
      </w:r>
      <w:r w:rsidRPr="00FC6F34">
        <w:rPr>
          <w:rFonts w:ascii="Verdana" w:hAnsi="Verdana" w:cs="Arial"/>
          <w:color w:val="000000" w:themeColor="text1"/>
          <w:sz w:val="20"/>
          <w:szCs w:val="20"/>
          <w:lang w:val="es-ES"/>
        </w:rPr>
        <w:t xml:space="preserve">[…] </w:t>
      </w:r>
      <w:r w:rsidRPr="00FC6F34">
        <w:rPr>
          <w:rFonts w:ascii="Verdana" w:hAnsi="Verdana" w:cs="Arial"/>
          <w:i/>
          <w:color w:val="000000" w:themeColor="text1"/>
          <w:sz w:val="20"/>
          <w:szCs w:val="20"/>
          <w:lang w:val="es-ES"/>
        </w:rPr>
        <w:t>Las excepciones aplicables a la restricción de contratación pública</w:t>
      </w:r>
    </w:p>
    <w:p w14:paraId="7289DEA9" w14:textId="77777777" w:rsidR="004B6767" w:rsidRPr="00FC6F34" w:rsidRDefault="004B6767" w:rsidP="004B6767">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Ahora bien, las únicas excepciones a las disposiciones previstas en la Ley de Garantías se encuentran numeradas taxativamente en el último inciso del artículo 33 de la ley 996 de 2005, dentro de las que se encuentran:</w:t>
      </w:r>
    </w:p>
    <w:p w14:paraId="2E2FE2AC" w14:textId="77777777" w:rsidR="004B6767" w:rsidRPr="00FC6F34" w:rsidRDefault="004B6767" w:rsidP="004B6767">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 xml:space="preserve">[…] </w:t>
      </w:r>
    </w:p>
    <w:p w14:paraId="7E179BE6" w14:textId="77777777" w:rsidR="004B6767" w:rsidRPr="00FC6F34" w:rsidRDefault="004B6767" w:rsidP="004B6767">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5. Los que deban realizar las entidades sanitarias y hospitalarias […]</w:t>
      </w:r>
      <w:r w:rsidRPr="00FC6F34">
        <w:rPr>
          <w:rFonts w:ascii="Verdana" w:hAnsi="Verdana" w:cs="Arial"/>
          <w:color w:val="000000" w:themeColor="text1"/>
          <w:sz w:val="20"/>
          <w:szCs w:val="20"/>
          <w:shd w:val="clear" w:color="auto" w:fill="FFFFFF"/>
          <w:vertAlign w:val="superscript"/>
          <w:lang w:val="es-ES"/>
        </w:rPr>
        <w:footnoteReference w:id="20"/>
      </w:r>
      <w:r w:rsidRPr="00FC6F34">
        <w:rPr>
          <w:rFonts w:ascii="Verdana" w:hAnsi="Verdana" w:cs="Arial"/>
          <w:color w:val="000000" w:themeColor="text1"/>
          <w:sz w:val="20"/>
          <w:szCs w:val="20"/>
          <w:shd w:val="clear" w:color="auto" w:fill="FFFFFF"/>
          <w:lang w:val="es-ES"/>
        </w:rPr>
        <w:t>.</w:t>
      </w:r>
    </w:p>
    <w:p w14:paraId="6AC4C854" w14:textId="77777777" w:rsidR="004B6767" w:rsidRPr="00FC6F34" w:rsidRDefault="004B6767" w:rsidP="004B6767">
      <w:pPr>
        <w:spacing w:after="0"/>
        <w:ind w:left="709" w:right="709"/>
        <w:jc w:val="both"/>
        <w:rPr>
          <w:rFonts w:ascii="Verdana" w:hAnsi="Verdana" w:cs="Arial"/>
          <w:color w:val="000000" w:themeColor="text1"/>
          <w:sz w:val="20"/>
          <w:szCs w:val="20"/>
          <w:shd w:val="clear" w:color="auto" w:fill="FFFFFF"/>
          <w:lang w:val="es-ES"/>
        </w:rPr>
      </w:pPr>
    </w:p>
    <w:p w14:paraId="1A462F6F" w14:textId="77777777" w:rsidR="004B6767" w:rsidRPr="00FC6F34" w:rsidRDefault="004B6767" w:rsidP="004B6767">
      <w:pPr>
        <w:tabs>
          <w:tab w:val="left" w:pos="426"/>
        </w:tabs>
        <w:spacing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Lo anterior implica que las excepciones al artículo 33 en comento deben interpretarse y aplicarse de manera estricta.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19684FA" w14:textId="77777777" w:rsidR="004B6767" w:rsidRPr="00FC6F34" w:rsidRDefault="004B6767" w:rsidP="004B6767">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Teniendo en cuenta el tema de su consulta, es pertinente analizar el quinto evento exceptuado de la prohibición,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56782184" w14:textId="77777777" w:rsidR="004B6767" w:rsidRPr="00FC6F34" w:rsidRDefault="004B6767" w:rsidP="004B6767">
      <w:pPr>
        <w:tabs>
          <w:tab w:val="left" w:pos="426"/>
        </w:tabs>
        <w:spacing w:before="120" w:line="276" w:lineRule="auto"/>
        <w:ind w:firstLine="709"/>
        <w:jc w:val="both"/>
        <w:rPr>
          <w:rFonts w:ascii="Verdana" w:hAnsi="Verdana" w:cs="Arial"/>
          <w:color w:val="000000" w:themeColor="text1"/>
          <w:lang w:val="es-ES"/>
        </w:rPr>
      </w:pPr>
      <w:r w:rsidRPr="00FC6F34">
        <w:rPr>
          <w:rFonts w:ascii="Verdana" w:hAnsi="Verdana" w:cs="Arial"/>
          <w:color w:val="000000" w:themeColor="text1"/>
          <w:lang w:val="es-ES"/>
        </w:rPr>
        <w:t>De lo anterior se desprende que, bajo la Ley 100 de 1993, dentro de la estructura de la administración pública las Empresas Sociales del Estado son las entidades encargadas de prestar el servicio de salud de manera directa. Además, el mismo artículo 197</w:t>
      </w:r>
      <w:r w:rsidRPr="00FC6F34">
        <w:rPr>
          <w:rFonts w:ascii="Arial" w:hAnsi="Arial" w:cs="Arial"/>
          <w:color w:val="000000" w:themeColor="text1"/>
          <w:vertAlign w:val="superscript"/>
          <w:lang w:val="es-ES"/>
        </w:rPr>
        <w:footnoteReference w:id="21"/>
      </w:r>
      <w:r w:rsidRPr="00FC6F34">
        <w:rPr>
          <w:rFonts w:ascii="Verdana" w:hAnsi="Verdana" w:cs="Arial"/>
          <w:color w:val="000000" w:themeColor="text1"/>
          <w:lang w:val="es-ES"/>
        </w:rPr>
        <w:t xml:space="preserve"> estableció el deber de reestructurar y transformar en </w:t>
      </w:r>
      <w:r w:rsidRPr="00FC6F34">
        <w:rPr>
          <w:rFonts w:ascii="Verdana" w:hAnsi="Verdana" w:cs="Arial"/>
          <w:color w:val="000000" w:themeColor="text1"/>
          <w:lang w:val="es-ES"/>
        </w:rPr>
        <w:lastRenderedPageBreak/>
        <w:t xml:space="preserve">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59AAB5B8" w14:textId="77777777" w:rsidR="004B6767" w:rsidRDefault="004B6767" w:rsidP="004B6767">
      <w:pPr>
        <w:spacing w:before="120" w:after="120" w:line="276" w:lineRule="auto"/>
        <w:ind w:firstLine="709"/>
        <w:jc w:val="both"/>
        <w:rPr>
          <w:rFonts w:ascii="Verdana" w:eastAsia="Arial" w:hAnsi="Verdana" w:cs="Arial"/>
          <w:bCs/>
          <w:color w:val="000000" w:themeColor="text1"/>
          <w:lang w:val="es-ES"/>
        </w:rPr>
      </w:pPr>
      <w:r w:rsidRPr="00FC6F34">
        <w:rPr>
          <w:rFonts w:ascii="Verdana" w:eastAsia="Arial" w:hAnsi="Verdana" w:cs="Arial"/>
          <w:bCs/>
          <w:color w:val="000000" w:themeColor="text1"/>
          <w:lang w:val="es-ES"/>
        </w:rPr>
        <w:t xml:space="preserve">De otro lado, el artículo 2.8.8.1.1.3 del Decreto 780 de 2016, Por medio del cual se expide el Decreto Único Reglamentario del Sector Salud y Protección Social, definió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como “Entidades del Estado que prestan servicios sanitarios o de sanidad con el propósito de preservar la salud humana y la salud pública”. El artículo citado también define las </w:t>
      </w:r>
      <w:r w:rsidRPr="00FC6F34">
        <w:rPr>
          <w:rFonts w:ascii="Verdana" w:eastAsia="Arial" w:hAnsi="Verdana" w:cs="Arial"/>
          <w:bCs/>
          <w:i/>
          <w:iCs/>
          <w:color w:val="000000" w:themeColor="text1"/>
          <w:lang w:val="es-ES"/>
        </w:rPr>
        <w:t>autoridades sanitarias</w:t>
      </w:r>
      <w:r w:rsidRPr="00FC6F34">
        <w:rPr>
          <w:rFonts w:ascii="Verdana" w:eastAsia="Arial" w:hAnsi="Verdana" w:cs="Arial"/>
          <w:bCs/>
          <w:color w:val="000000" w:themeColor="text1"/>
          <w:lang w:val="es-ES"/>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C6F34">
        <w:rPr>
          <w:rFonts w:ascii="Verdana" w:eastAsia="Arial" w:hAnsi="Verdana" w:cs="Arial"/>
          <w:bCs/>
          <w:color w:val="000000" w:themeColor="text1"/>
          <w:vertAlign w:val="superscript"/>
          <w:lang w:val="es-ES"/>
        </w:rPr>
        <w:footnoteReference w:id="22"/>
      </w:r>
      <w:r w:rsidRPr="00FC6F34">
        <w:rPr>
          <w:rFonts w:ascii="Verdana" w:eastAsia="Arial" w:hAnsi="Verdana" w:cs="Arial"/>
          <w:bCs/>
          <w:color w:val="000000" w:themeColor="text1"/>
          <w:lang w:val="es-ES"/>
        </w:rPr>
        <w:t xml:space="preserve">. De esta forma, la excepción del artículo 33 de la Ley de Garantías solo aplica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y no a las </w:t>
      </w:r>
      <w:r w:rsidRPr="00FC6F34">
        <w:rPr>
          <w:rFonts w:ascii="Verdana" w:eastAsia="Arial" w:hAnsi="Verdana" w:cs="Arial"/>
          <w:bCs/>
          <w:i/>
          <w:iCs/>
          <w:color w:val="000000" w:themeColor="text1"/>
          <w:lang w:val="es-ES"/>
        </w:rPr>
        <w:t>autoridades sanitarias</w:t>
      </w:r>
      <w:r w:rsidRPr="00FC6F34">
        <w:rPr>
          <w:rFonts w:ascii="Verdana" w:eastAsia="Arial" w:hAnsi="Verdana" w:cs="Arial"/>
          <w:bCs/>
          <w:color w:val="000000" w:themeColor="text1"/>
          <w:lang w:val="es-ES"/>
        </w:rPr>
        <w:t xml:space="preserve">. Para efectos de la excepción, es indiferente que la entidad estatal tenga funciones de </w:t>
      </w:r>
      <w:r w:rsidRPr="00FC6F34">
        <w:rPr>
          <w:rFonts w:ascii="Verdana" w:eastAsia="Arial" w:hAnsi="Verdana" w:cs="Arial"/>
          <w:bCs/>
          <w:i/>
          <w:iCs/>
          <w:color w:val="000000" w:themeColor="text1"/>
          <w:lang w:val="es-ES"/>
        </w:rPr>
        <w:t>autoridad sanitaria</w:t>
      </w:r>
      <w:r w:rsidRPr="00FC6F34">
        <w:rPr>
          <w:rFonts w:ascii="Verdana" w:eastAsia="Arial" w:hAnsi="Verdana" w:cs="Arial"/>
          <w:bCs/>
          <w:color w:val="000000" w:themeColor="text1"/>
          <w:lang w:val="es-ES"/>
        </w:rPr>
        <w:t xml:space="preserve">, pues lo relevante para determinar si la contratación está exceptuada de la prohibición general no es el carácter de autoridad sanitaria, sino que se trate de una </w:t>
      </w:r>
      <w:r w:rsidRPr="00FC6F34">
        <w:rPr>
          <w:rFonts w:ascii="Verdana" w:eastAsia="Arial" w:hAnsi="Verdana" w:cs="Arial"/>
          <w:bCs/>
          <w:i/>
          <w:iCs/>
          <w:color w:val="000000" w:themeColor="text1"/>
          <w:lang w:val="es-ES"/>
        </w:rPr>
        <w:t>entidad sanitaria</w:t>
      </w:r>
      <w:r w:rsidRPr="00FC6F34">
        <w:rPr>
          <w:rFonts w:ascii="Verdana" w:eastAsia="Arial" w:hAnsi="Verdana" w:cs="Arial"/>
          <w:bCs/>
          <w:color w:val="000000" w:themeColor="text1"/>
          <w:lang w:val="es-ES"/>
        </w:rPr>
        <w:t xml:space="preserve">. </w:t>
      </w:r>
    </w:p>
    <w:p w14:paraId="050A3BD9" w14:textId="77777777" w:rsidR="004B6767" w:rsidRDefault="004B6767" w:rsidP="004B6767">
      <w:pPr>
        <w:spacing w:before="120" w:after="0" w:line="276" w:lineRule="auto"/>
        <w:ind w:firstLine="709"/>
        <w:jc w:val="both"/>
        <w:rPr>
          <w:rFonts w:ascii="Verdana" w:eastAsia="Arial" w:hAnsi="Verdana" w:cs="Arial"/>
          <w:bCs/>
          <w:color w:val="000000" w:themeColor="text1"/>
          <w:lang w:val="es-ES"/>
        </w:rPr>
      </w:pPr>
      <w:r w:rsidRPr="00FC6F34">
        <w:rPr>
          <w:rFonts w:ascii="Verdana" w:eastAsia="Arial" w:hAnsi="Verdana" w:cs="Arial"/>
          <w:bCs/>
          <w:color w:val="000000" w:themeColor="text1"/>
          <w:lang w:val="es-ES"/>
        </w:rPr>
        <w:t>Sobre lo anterior</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el Consejo de Estado ha señalado que “las entidades que presten servicios tendientes a preservar la salud pública o humana deben ser consideradas como entidades sanitarias y en principio estarían exceptuadas de la prohibición de contratación directa”</w:t>
      </w:r>
      <w:r w:rsidRPr="00FC6F34">
        <w:rPr>
          <w:rStyle w:val="Refdenotaalpie"/>
          <w:rFonts w:ascii="Verdana" w:eastAsia="Arial" w:hAnsi="Verdana" w:cs="Arial"/>
          <w:bCs/>
          <w:color w:val="000000" w:themeColor="text1"/>
          <w:lang w:val="es-ES"/>
        </w:rPr>
        <w:footnoteReference w:id="23"/>
      </w:r>
      <w:r w:rsidRPr="00FC6F34">
        <w:rPr>
          <w:rFonts w:ascii="Verdana" w:eastAsia="Arial" w:hAnsi="Verdana" w:cs="Arial"/>
          <w:bCs/>
          <w:color w:val="000000" w:themeColor="text1"/>
          <w:lang w:val="es-ES"/>
        </w:rPr>
        <w:t xml:space="preserve">. Sobre la excepción dirigida a las entidades hospitalarias de carácter público resaltó que “debe ser entendida solo en aquellos eventos en que ocurran emergencias sanitarias o de salubridad que </w:t>
      </w:r>
      <w:r w:rsidRPr="00FC6F34">
        <w:rPr>
          <w:rFonts w:ascii="Verdana" w:eastAsia="Arial" w:hAnsi="Verdana" w:cs="Arial"/>
          <w:bCs/>
          <w:color w:val="000000" w:themeColor="text1"/>
          <w:lang w:val="es-ES"/>
        </w:rPr>
        <w:lastRenderedPageBreak/>
        <w:t>requieran la atención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contratación que establece la ley de garantías”</w:t>
      </w:r>
      <w:r w:rsidRPr="00FC6F34">
        <w:rPr>
          <w:rStyle w:val="Refdenotaalpie"/>
          <w:rFonts w:ascii="Verdana" w:eastAsia="Arial" w:hAnsi="Verdana" w:cs="Arial"/>
          <w:bCs/>
          <w:color w:val="000000" w:themeColor="text1"/>
          <w:lang w:val="es-ES"/>
        </w:rPr>
        <w:footnoteReference w:id="24"/>
      </w:r>
      <w:r w:rsidRPr="00FC6F34">
        <w:rPr>
          <w:rFonts w:ascii="Verdana" w:eastAsia="Arial" w:hAnsi="Verdana" w:cs="Arial"/>
          <w:bCs/>
          <w:color w:val="000000" w:themeColor="text1"/>
          <w:lang w:val="es-ES"/>
        </w:rPr>
        <w:t xml:space="preserve">. </w:t>
      </w:r>
    </w:p>
    <w:p w14:paraId="74A6ABCD" w14:textId="77777777" w:rsidR="004B6767" w:rsidRDefault="004B6767" w:rsidP="004B6767">
      <w:pPr>
        <w:spacing w:before="240" w:line="276" w:lineRule="auto"/>
        <w:jc w:val="both"/>
        <w:rPr>
          <w:rFonts w:ascii="Verdana" w:hAnsi="Verdana" w:cs="Arial"/>
          <w:lang w:val="es-ES"/>
        </w:rPr>
      </w:pPr>
      <w:r>
        <w:rPr>
          <w:rFonts w:ascii="Verdana" w:eastAsia="Arial" w:hAnsi="Verdana" w:cs="Arial"/>
          <w:bCs/>
          <w:color w:val="000000" w:themeColor="text1"/>
          <w:lang w:val="es-ES"/>
        </w:rPr>
        <w:t xml:space="preserve">v) Por otro lado, la prohibición establecida en el </w:t>
      </w:r>
      <w:r w:rsidRPr="00F46F28">
        <w:rPr>
          <w:rFonts w:ascii="Verdana" w:eastAsia="Arial" w:hAnsi="Verdana" w:cs="Arial"/>
          <w:bCs/>
          <w:i/>
          <w:iCs/>
          <w:color w:val="000000" w:themeColor="text1"/>
          <w:lang w:val="es-ES"/>
        </w:rPr>
        <w:t xml:space="preserve">parágrafo del artículo 38 </w:t>
      </w:r>
      <w:r w:rsidRPr="00FC6F34">
        <w:rPr>
          <w:rFonts w:ascii="Verdana" w:eastAsia="Calibri" w:hAnsi="Verdana" w:cs="Arial"/>
          <w:bCs/>
          <w:lang w:val="es-ES"/>
        </w:rPr>
        <w:t xml:space="preserve">de la Ley 996 de 2005 dispone que “los Gobernadores, </w:t>
      </w:r>
      <w:proofErr w:type="gramStart"/>
      <w:r w:rsidRPr="00FC6F34">
        <w:rPr>
          <w:rFonts w:ascii="Verdana" w:eastAsia="Calibri" w:hAnsi="Verdana" w:cs="Arial"/>
          <w:bCs/>
          <w:lang w:val="es-ES"/>
        </w:rPr>
        <w:t>Alcaldes</w:t>
      </w:r>
      <w:proofErr w:type="gramEnd"/>
      <w:r w:rsidRPr="00FC6F34">
        <w:rPr>
          <w:rFonts w:ascii="Verdana" w:eastAsia="Calibri" w:hAnsi="Verdana" w:cs="Arial"/>
          <w:bCs/>
          <w:lang w:val="es-ES"/>
        </w:rPr>
        <w:t xml:space="preserve"> Municipales y/o Distritales, </w:t>
      </w:r>
      <w:proofErr w:type="gramStart"/>
      <w:r w:rsidRPr="00FC6F34">
        <w:rPr>
          <w:rFonts w:ascii="Verdana" w:eastAsia="Calibri" w:hAnsi="Verdana" w:cs="Arial"/>
          <w:bCs/>
          <w:lang w:val="es-ES"/>
        </w:rPr>
        <w:t>Secretarios</w:t>
      </w:r>
      <w:proofErr w:type="gramEnd"/>
      <w:r w:rsidRPr="00FC6F34">
        <w:rPr>
          <w:rFonts w:ascii="Verdana" w:eastAsia="Calibri" w:hAnsi="Verdana" w:cs="Arial"/>
          <w:bCs/>
          <w:lang w:val="es-ES"/>
        </w:rPr>
        <w:t>, Gerentes y directores de Entidades Descentralizadas del orden Municipal, Departamental o Distrital, dentro de los cuatro (4) meses anteriores a las elecciones, no podrán celebrar convenios interadministrativos para la ejecución de recursos públicos”.</w:t>
      </w:r>
      <w:r w:rsidRPr="00FC6F34">
        <w:rPr>
          <w:rFonts w:ascii="Verdana" w:hAnsi="Verdana" w:cs="Arial"/>
          <w:bCs/>
          <w:iCs/>
          <w:lang w:val="es-ES"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C6F34">
        <w:rPr>
          <w:rStyle w:val="Refdenotaalpie"/>
          <w:rFonts w:ascii="Verdana" w:hAnsi="Verdana" w:cs="Arial"/>
          <w:bCs/>
          <w:iCs/>
          <w:lang w:val="es-ES" w:eastAsia="x-none"/>
        </w:rPr>
        <w:footnoteReference w:id="25"/>
      </w:r>
      <w:r w:rsidRPr="00FC6F34">
        <w:rPr>
          <w:rFonts w:ascii="Verdana" w:hAnsi="Verdana" w:cs="Arial"/>
          <w:bCs/>
          <w:iCs/>
          <w:lang w:val="es-ES" w:eastAsia="x-none"/>
        </w:rPr>
        <w:t>.</w:t>
      </w:r>
      <w:r w:rsidRPr="00FC6F34">
        <w:rPr>
          <w:rFonts w:ascii="Verdana" w:hAnsi="Verdana" w:cs="Arial"/>
          <w:lang w:val="es-ES"/>
        </w:rPr>
        <w:t xml:space="preserve"> </w:t>
      </w:r>
      <w:bookmarkStart w:id="3" w:name="_Hlk78820161"/>
    </w:p>
    <w:p w14:paraId="3919CB9D" w14:textId="77777777" w:rsidR="004B6767" w:rsidRDefault="004B6767" w:rsidP="004B6767">
      <w:pPr>
        <w:spacing w:before="120" w:after="120" w:line="276" w:lineRule="auto"/>
        <w:ind w:firstLine="708"/>
        <w:jc w:val="both"/>
        <w:rPr>
          <w:rFonts w:ascii="Verdana" w:hAnsi="Verdana" w:cs="Arial"/>
          <w:lang w:val="es-ES"/>
        </w:rPr>
      </w:pPr>
      <w:r w:rsidRPr="00FC6F34">
        <w:rPr>
          <w:rFonts w:ascii="Verdana" w:hAnsi="Verdana" w:cs="Arial"/>
          <w:lang w:val="es-ES"/>
        </w:rPr>
        <w:t>Aunque la ley no definió ni desarrolló</w:t>
      </w:r>
      <w:r>
        <w:rPr>
          <w:rFonts w:ascii="Verdana" w:hAnsi="Verdana" w:cs="Arial"/>
          <w:lang w:val="es-ES"/>
        </w:rPr>
        <w:t xml:space="preserve"> </w:t>
      </w:r>
      <w:r w:rsidRPr="00FC6F34">
        <w:rPr>
          <w:rFonts w:ascii="Verdana" w:eastAsia="Calibri" w:hAnsi="Verdana" w:cs="Arial"/>
          <w:bCs/>
          <w:lang w:val="es-ES"/>
        </w:rPr>
        <w:t>la tipología de convenios o contratos interadministrativos</w:t>
      </w:r>
      <w:r w:rsidRPr="00FC6F34">
        <w:rPr>
          <w:rFonts w:ascii="Verdana" w:hAnsi="Verdana" w:cs="Arial"/>
          <w:lang w:val="es-ES"/>
        </w:rPr>
        <w:t>, el Decreto 1082 de 2015 califica a los convenios o contratos interadministrativos como aquella contratación entre entidades estatales</w:t>
      </w:r>
      <w:r w:rsidRPr="00FC6F34">
        <w:rPr>
          <w:rStyle w:val="Refdenotaalpie"/>
          <w:rFonts w:ascii="Verdana" w:hAnsi="Verdana" w:cs="Arial"/>
          <w:lang w:val="es-ES"/>
        </w:rPr>
        <w:footnoteReference w:id="26"/>
      </w:r>
      <w:r w:rsidRPr="00FC6F34">
        <w:rPr>
          <w:rFonts w:ascii="Verdana" w:hAnsi="Verdana" w:cs="Arial"/>
          <w:lang w:val="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w:t>
      </w:r>
      <w:r>
        <w:rPr>
          <w:rFonts w:ascii="Verdana" w:hAnsi="Verdana" w:cs="Arial"/>
          <w:lang w:val="es-ES"/>
        </w:rPr>
        <w:t>E</w:t>
      </w:r>
      <w:r w:rsidRPr="00FC6F34">
        <w:rPr>
          <w:rFonts w:ascii="Verdana" w:hAnsi="Verdana" w:cs="Arial"/>
          <w:lang w:val="es-ES"/>
        </w:rPr>
        <w:t>ntidades</w:t>
      </w:r>
      <w:r w:rsidRPr="00FC6F34">
        <w:rPr>
          <w:rFonts w:ascii="Verdana" w:hAnsi="Verdana" w:cs="Arial"/>
          <w:spacing w:val="-6"/>
          <w:lang w:val="es-ES"/>
        </w:rPr>
        <w:t xml:space="preserve"> </w:t>
      </w:r>
      <w:r>
        <w:rPr>
          <w:rFonts w:ascii="Verdana" w:hAnsi="Verdana" w:cs="Arial"/>
          <w:lang w:val="es-ES"/>
        </w:rPr>
        <w:t>E</w:t>
      </w:r>
      <w:r w:rsidRPr="00FC6F34">
        <w:rPr>
          <w:rFonts w:ascii="Verdana" w:hAnsi="Verdana" w:cs="Arial"/>
          <w:lang w:val="es-ES"/>
        </w:rPr>
        <w:t>statales.</w:t>
      </w:r>
      <w:bookmarkStart w:id="4" w:name="_Hlk78820654"/>
      <w:bookmarkEnd w:id="3"/>
    </w:p>
    <w:p w14:paraId="2DA50E7E" w14:textId="77777777" w:rsidR="004B6767" w:rsidRDefault="004B6767" w:rsidP="004B6767">
      <w:pPr>
        <w:spacing w:before="120" w:after="120" w:line="276" w:lineRule="auto"/>
        <w:ind w:firstLine="708"/>
        <w:jc w:val="both"/>
        <w:rPr>
          <w:rFonts w:ascii="Verdana" w:hAnsi="Verdana" w:cs="Arial"/>
          <w:lang w:val="es-ES"/>
        </w:rPr>
      </w:pPr>
      <w:r w:rsidRPr="00FC6F34">
        <w:rPr>
          <w:rFonts w:ascii="Verdana" w:hAnsi="Verdana" w:cs="Arial"/>
          <w:lang w:val="es-ES"/>
        </w:rPr>
        <w:lastRenderedPageBreak/>
        <w:t xml:space="preserve">Si bien los contratos o convenios interadministrativos están previstos en la Ley 80 de 1993, en la Ley 1150 de 2007 y en el Decreto en el 1082 de 2015, no quiere decir que solo puedan celebrarse entre </w:t>
      </w:r>
      <w:r>
        <w:rPr>
          <w:rFonts w:ascii="Verdana" w:hAnsi="Verdana" w:cs="Arial"/>
          <w:lang w:val="es-ES"/>
        </w:rPr>
        <w:t>E</w:t>
      </w:r>
      <w:r w:rsidRPr="00FC6F34">
        <w:rPr>
          <w:rFonts w:ascii="Verdana" w:hAnsi="Verdana" w:cs="Arial"/>
          <w:lang w:val="es-ES"/>
        </w:rPr>
        <w:t xml:space="preserve">ntidades </w:t>
      </w:r>
      <w:r>
        <w:rPr>
          <w:rFonts w:ascii="Verdana" w:hAnsi="Verdana" w:cs="Arial"/>
          <w:lang w:val="es-ES"/>
        </w:rPr>
        <w:t>E</w:t>
      </w:r>
      <w:r w:rsidRPr="00FC6F34">
        <w:rPr>
          <w:rFonts w:ascii="Verdana" w:hAnsi="Verdana" w:cs="Arial"/>
          <w:lang w:val="es-ES"/>
        </w:rPr>
        <w:t xml:space="preserve">statales que apliquen el régimen de contratación allí previsto, pues una </w:t>
      </w:r>
      <w:r>
        <w:rPr>
          <w:rFonts w:ascii="Verdana" w:hAnsi="Verdana" w:cs="Arial"/>
          <w:lang w:val="es-ES"/>
        </w:rPr>
        <w:t>E</w:t>
      </w:r>
      <w:r w:rsidRPr="00FC6F34">
        <w:rPr>
          <w:rFonts w:ascii="Verdana" w:hAnsi="Verdana" w:cs="Arial"/>
          <w:lang w:val="es-ES"/>
        </w:rPr>
        <w:t xml:space="preserve">ntidad </w:t>
      </w:r>
      <w:r>
        <w:rPr>
          <w:rFonts w:ascii="Verdana" w:hAnsi="Verdana" w:cs="Arial"/>
          <w:lang w:val="es-ES"/>
        </w:rPr>
        <w:t>E</w:t>
      </w:r>
      <w:r w:rsidRPr="00FC6F34">
        <w:rPr>
          <w:rFonts w:ascii="Verdana" w:hAnsi="Verdana" w:cs="Arial"/>
          <w:lang w:val="es-ES"/>
        </w:rPr>
        <w:t xml:space="preserve">statal sometida a la Ley 80 de 1993 </w:t>
      </w:r>
      <w:r>
        <w:rPr>
          <w:rFonts w:ascii="Verdana" w:hAnsi="Verdana" w:cs="Arial"/>
          <w:lang w:val="es-ES"/>
        </w:rPr>
        <w:t xml:space="preserve">puede </w:t>
      </w:r>
      <w:r w:rsidRPr="00FC6F34">
        <w:rPr>
          <w:rFonts w:ascii="Verdana" w:hAnsi="Verdana" w:cs="Arial"/>
          <w:lang w:val="es-ES"/>
        </w:rPr>
        <w:t>celebrar esta clase de convenios con una de régimen especial y no por ello dejará de ser un contrato o convenio interadministrativo.</w:t>
      </w:r>
      <w:bookmarkEnd w:id="4"/>
    </w:p>
    <w:p w14:paraId="3029C40D" w14:textId="77777777" w:rsidR="004B6767" w:rsidRDefault="004B6767" w:rsidP="004B6767">
      <w:pPr>
        <w:spacing w:before="120" w:after="120" w:line="276" w:lineRule="auto"/>
        <w:ind w:firstLine="708"/>
        <w:jc w:val="both"/>
        <w:rPr>
          <w:rFonts w:ascii="Verdana" w:hAnsi="Verdana" w:cs="Arial"/>
          <w:lang w:val="es-ES"/>
        </w:rPr>
      </w:pPr>
      <w:r>
        <w:rPr>
          <w:rFonts w:ascii="Verdana" w:hAnsi="Verdana" w:cs="Arial"/>
          <w:lang w:val="es-ES"/>
        </w:rPr>
        <w:t>Adicionalmente, se deriva del criterio orgánico referido que u</w:t>
      </w:r>
      <w:r w:rsidRPr="00FC6F34">
        <w:rPr>
          <w:rFonts w:ascii="Verdana" w:hAnsi="Verdana" w:cs="Arial"/>
          <w:lang w:val="es-ES"/>
        </w:rPr>
        <w:t>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FC6F34">
        <w:rPr>
          <w:rStyle w:val="Refdenotaalpie"/>
          <w:rFonts w:ascii="Verdana" w:hAnsi="Verdana" w:cs="Arial"/>
          <w:lang w:val="es-ES"/>
        </w:rPr>
        <w:footnoteReference w:id="27"/>
      </w:r>
      <w:r w:rsidRPr="00FC6F34">
        <w:rPr>
          <w:rFonts w:ascii="Verdana" w:hAnsi="Verdana" w:cs="Arial"/>
          <w:lang w:val="es-ES"/>
        </w:rPr>
        <w:t>. Nótese que, en este caso, lo que cambia es la modalidad de selección y no la naturaleza de contrato</w:t>
      </w:r>
      <w:r w:rsidRPr="00FC6F34">
        <w:rPr>
          <w:rFonts w:ascii="Verdana" w:hAnsi="Verdana" w:cs="Arial"/>
          <w:spacing w:val="-18"/>
          <w:lang w:val="es-ES"/>
        </w:rPr>
        <w:t xml:space="preserve"> </w:t>
      </w:r>
      <w:r w:rsidRPr="00FC6F34">
        <w:rPr>
          <w:rFonts w:ascii="Verdana" w:hAnsi="Verdana" w:cs="Arial"/>
          <w:lang w:val="es-ES"/>
        </w:rPr>
        <w:t>interadministrativo.</w:t>
      </w:r>
    </w:p>
    <w:p w14:paraId="4D52FD1D" w14:textId="77777777" w:rsidR="004B6767" w:rsidRDefault="004B6767" w:rsidP="004B6767">
      <w:pPr>
        <w:spacing w:before="120" w:after="120" w:line="276" w:lineRule="auto"/>
        <w:ind w:firstLine="708"/>
        <w:jc w:val="both"/>
        <w:rPr>
          <w:rFonts w:ascii="Verdana" w:eastAsia="Calibri" w:hAnsi="Verdana" w:cs="Arial"/>
          <w:bCs/>
          <w:lang w:val="es-ES"/>
        </w:rPr>
      </w:pPr>
      <w:r w:rsidRPr="00FC6F34">
        <w:rPr>
          <w:rFonts w:ascii="Verdana" w:hAnsi="Verdana" w:cs="Arial"/>
          <w:lang w:val="es-ES"/>
        </w:rPr>
        <w:t xml:space="preserve">Teniendo en cuenta lo anterior, se reitera la conclusión de que los contratos o convenios interadministrativos </w:t>
      </w:r>
      <w:r>
        <w:rPr>
          <w:rFonts w:ascii="Verdana" w:hAnsi="Verdana" w:cs="Arial"/>
          <w:lang w:val="es-ES"/>
        </w:rPr>
        <w:t xml:space="preserve">están definidos por </w:t>
      </w:r>
      <w:r w:rsidRPr="00FC6F34">
        <w:rPr>
          <w:rFonts w:ascii="Verdana" w:hAnsi="Verdana" w:cs="Arial"/>
          <w:lang w:val="es-ES"/>
        </w:rPr>
        <w:t xml:space="preserve">la naturaleza de las partes, de manera que </w:t>
      </w:r>
      <w:r>
        <w:rPr>
          <w:rFonts w:ascii="Verdana" w:hAnsi="Verdana" w:cs="Arial"/>
          <w:lang w:val="es-ES"/>
        </w:rPr>
        <w:t xml:space="preserve">se identifican </w:t>
      </w:r>
      <w:r w:rsidRPr="00FC6F34">
        <w:rPr>
          <w:rFonts w:ascii="Verdana" w:hAnsi="Verdana" w:cs="Arial"/>
          <w:lang w:val="es-ES"/>
        </w:rPr>
        <w:t>por un criterio orgánico</w:t>
      </w:r>
      <w:r>
        <w:rPr>
          <w:rFonts w:ascii="Verdana" w:hAnsi="Verdana" w:cs="Arial"/>
          <w:lang w:val="es-ES"/>
        </w:rPr>
        <w:t xml:space="preserve"> y </w:t>
      </w:r>
      <w:r w:rsidRPr="00FC6F34">
        <w:rPr>
          <w:rFonts w:ascii="Verdana" w:hAnsi="Verdana" w:cs="Arial"/>
          <w:lang w:val="es-ES"/>
        </w:rPr>
        <w:t>serán aquellos celebrados entre entidades estatales. Además, no existe una definición legal que diferencie los conceptos de contrato y convenio, por lo que</w:t>
      </w:r>
      <w:r>
        <w:rPr>
          <w:rFonts w:ascii="Verdana" w:hAnsi="Verdana" w:cs="Arial"/>
          <w:lang w:val="es-ES"/>
        </w:rPr>
        <w:t xml:space="preserve"> esta Agencia ha considerado que se asimilan </w:t>
      </w:r>
      <w:r w:rsidRPr="00FC6F34">
        <w:rPr>
          <w:rFonts w:ascii="Verdana" w:hAnsi="Verdana" w:cs="Arial"/>
          <w:lang w:val="es-ES"/>
        </w:rPr>
        <w:t>para la aplicación de la Ley de Garantías. En tal sentido, las referencias realizadas por el legislador a estos términos deben asimilarse, salvo que de su contenido se logre inferir que se le quiere otorgar un contenido en particular, pues el legislador utiliza estos conceptos de forma indistinta.</w:t>
      </w:r>
    </w:p>
    <w:p w14:paraId="03C52BF0" w14:textId="77777777" w:rsidR="004B6767" w:rsidRDefault="004B6767" w:rsidP="00EE5FBA">
      <w:pPr>
        <w:spacing w:before="120" w:after="0" w:line="276" w:lineRule="auto"/>
        <w:ind w:firstLine="708"/>
        <w:jc w:val="both"/>
        <w:rPr>
          <w:rFonts w:ascii="Verdana" w:hAnsi="Verdana" w:cs="Arial"/>
          <w:bCs/>
          <w:lang w:val="es-ES" w:eastAsia="es-CO"/>
        </w:rPr>
      </w:pPr>
      <w:r>
        <w:rPr>
          <w:rFonts w:ascii="Verdana" w:eastAsia="Calibri" w:hAnsi="Verdana" w:cs="Arial"/>
          <w:bCs/>
          <w:lang w:val="es-ES"/>
        </w:rPr>
        <w:t xml:space="preserve">En consecuencia, </w:t>
      </w:r>
      <w:r w:rsidRPr="00FC6F34">
        <w:rPr>
          <w:rFonts w:ascii="Verdana" w:hAnsi="Verdana" w:cs="Arial"/>
          <w:bCs/>
          <w:lang w:val="es-ES"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w:t>
      </w:r>
      <w:r w:rsidRPr="00FC6F34">
        <w:rPr>
          <w:rFonts w:ascii="Verdana" w:hAnsi="Verdana" w:cs="Arial"/>
          <w:bCs/>
          <w:lang w:val="es-ES" w:eastAsia="es-CO"/>
        </w:rPr>
        <w:lastRenderedPageBreak/>
        <w:t>sentido, si una o ambas partes de la relación contractual es una entidad de aquellas descritas en el parágrafo,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FC6F34">
        <w:rPr>
          <w:rFonts w:ascii="Verdana" w:hAnsi="Verdana" w:cs="Arial"/>
          <w:vertAlign w:val="superscript"/>
          <w:lang w:val="es-ES"/>
        </w:rPr>
        <w:footnoteReference w:id="28"/>
      </w:r>
      <w:r w:rsidRPr="00FC6F34">
        <w:rPr>
          <w:rFonts w:ascii="Verdana" w:hAnsi="Verdana" w:cs="Arial"/>
          <w:bCs/>
          <w:lang w:val="es-ES" w:eastAsia="es-CO"/>
        </w:rPr>
        <w:t xml:space="preserve">. </w:t>
      </w:r>
    </w:p>
    <w:p w14:paraId="02DE0764" w14:textId="77777777" w:rsidR="00EE5FBA" w:rsidRPr="00FB337F" w:rsidRDefault="00EE5FBA" w:rsidP="00EE5FBA">
      <w:pPr>
        <w:spacing w:after="0" w:line="276" w:lineRule="auto"/>
        <w:ind w:firstLine="708"/>
        <w:jc w:val="both"/>
        <w:rPr>
          <w:rFonts w:ascii="Verdana" w:eastAsia="Calibri" w:hAnsi="Verdana" w:cs="Arial"/>
          <w:bCs/>
          <w:lang w:val="es-ES"/>
        </w:rPr>
      </w:pPr>
    </w:p>
    <w:p w14:paraId="3E3346F7" w14:textId="7BC780A4" w:rsidR="004B6767" w:rsidRDefault="004B6767" w:rsidP="00EE5FBA">
      <w:pPr>
        <w:spacing w:after="120" w:line="276" w:lineRule="auto"/>
        <w:jc w:val="both"/>
        <w:rPr>
          <w:rFonts w:ascii="Verdana" w:eastAsia="Arial" w:hAnsi="Verdana" w:cs="Arial"/>
          <w:bCs/>
          <w:color w:val="000000" w:themeColor="text1"/>
          <w:lang w:val="es-ES"/>
        </w:rPr>
      </w:pPr>
      <w:r>
        <w:rPr>
          <w:rFonts w:ascii="Verdana" w:eastAsia="Arial" w:hAnsi="Verdana" w:cs="Arial"/>
          <w:bCs/>
          <w:color w:val="000000" w:themeColor="text1"/>
          <w:lang w:val="es-ES"/>
        </w:rPr>
        <w:t>v</w:t>
      </w:r>
      <w:r w:rsidR="00EE5FBA">
        <w:rPr>
          <w:rFonts w:ascii="Verdana" w:eastAsia="Arial" w:hAnsi="Verdana" w:cs="Arial"/>
          <w:bCs/>
          <w:color w:val="000000" w:themeColor="text1"/>
          <w:lang w:val="es-ES"/>
        </w:rPr>
        <w:t>i</w:t>
      </w:r>
      <w:r>
        <w:rPr>
          <w:rFonts w:ascii="Verdana" w:eastAsia="Arial" w:hAnsi="Verdana" w:cs="Arial"/>
          <w:bCs/>
          <w:color w:val="000000" w:themeColor="text1"/>
          <w:lang w:val="es-ES"/>
        </w:rPr>
        <w:t xml:space="preserve">) Conforme con lo expuesto, las entidades que requieran adelantar procesos de contratación directa durante el periodo de garantías electorales deberán analizar, primero, si se configuran los supuestos establecidos en </w:t>
      </w:r>
      <w:r w:rsidRPr="00C16886">
        <w:rPr>
          <w:rFonts w:ascii="Verdana" w:eastAsia="Arial" w:hAnsi="Verdana" w:cs="Arial"/>
          <w:bCs/>
          <w:i/>
          <w:iCs/>
          <w:color w:val="000000" w:themeColor="text1"/>
          <w:lang w:val="es-ES"/>
        </w:rPr>
        <w:t>el artículo 33</w:t>
      </w:r>
      <w:r>
        <w:rPr>
          <w:rFonts w:ascii="Verdana" w:eastAsia="Arial" w:hAnsi="Verdana" w:cs="Arial"/>
          <w:bCs/>
          <w:color w:val="000000" w:themeColor="text1"/>
          <w:lang w:val="es-ES"/>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 PIC se realiza con ocasión a una “emergencia sanitaria” o si es llevada a cabo por “entidades sanitarias u hospitalarias”. De ser así, la entidad podrá llevar a cabo la contratación directa, a pesar de que haya iniciado el periodo de garantías electorales correspondiente al artículo 33 de la Ley 996 de 2005.</w:t>
      </w:r>
    </w:p>
    <w:p w14:paraId="50365516" w14:textId="2DB1540D" w:rsidR="004B6767" w:rsidRPr="00FC6F34" w:rsidRDefault="004B6767" w:rsidP="004B6767">
      <w:pPr>
        <w:spacing w:before="120" w:after="120" w:line="276" w:lineRule="auto"/>
        <w:jc w:val="both"/>
        <w:rPr>
          <w:rFonts w:ascii="Verdana" w:eastAsia="Arial" w:hAnsi="Verdana" w:cs="Arial"/>
          <w:bCs/>
          <w:color w:val="000000" w:themeColor="text1"/>
          <w:lang w:val="es-ES"/>
        </w:rPr>
      </w:pPr>
      <w:r>
        <w:rPr>
          <w:rFonts w:ascii="Verdana" w:eastAsia="Arial" w:hAnsi="Verdana" w:cs="Arial"/>
          <w:bCs/>
          <w:color w:val="000000" w:themeColor="text1"/>
          <w:lang w:val="es-ES"/>
        </w:rPr>
        <w:tab/>
        <w:t xml:space="preserve">Con respecto a la prohibición del </w:t>
      </w:r>
      <w:r w:rsidRPr="00C16886">
        <w:rPr>
          <w:rFonts w:ascii="Verdana" w:eastAsia="Arial" w:hAnsi="Verdana" w:cs="Arial"/>
          <w:bCs/>
          <w:i/>
          <w:iCs/>
          <w:color w:val="000000" w:themeColor="text1"/>
          <w:lang w:val="es-ES"/>
        </w:rPr>
        <w:t>parágrafo del artículo 38</w:t>
      </w:r>
      <w:r>
        <w:rPr>
          <w:rFonts w:ascii="Verdana" w:eastAsia="Arial" w:hAnsi="Verdana" w:cs="Arial"/>
          <w:bCs/>
          <w:color w:val="000000" w:themeColor="text1"/>
          <w:lang w:val="es-ES"/>
        </w:rPr>
        <w:t>, es necesario verificar si la contratación del PIC es llevada a cabo por “</w:t>
      </w:r>
      <w:proofErr w:type="gramStart"/>
      <w:r w:rsidRPr="000C77A8">
        <w:rPr>
          <w:rFonts w:ascii="Verdana" w:eastAsia="Arial" w:hAnsi="Verdana" w:cs="Arial"/>
          <w:bCs/>
          <w:color w:val="000000" w:themeColor="text1"/>
        </w:rPr>
        <w:t>Alcaldes</w:t>
      </w:r>
      <w:proofErr w:type="gramEnd"/>
      <w:r w:rsidRPr="000C77A8">
        <w:rPr>
          <w:rFonts w:ascii="Verdana" w:eastAsia="Arial" w:hAnsi="Verdana" w:cs="Arial"/>
          <w:bCs/>
          <w:color w:val="000000" w:themeColor="text1"/>
        </w:rPr>
        <w:t xml:space="preserve">, Gobernadores, </w:t>
      </w:r>
      <w:proofErr w:type="gramStart"/>
      <w:r w:rsidRPr="000C77A8">
        <w:rPr>
          <w:rFonts w:ascii="Verdana" w:eastAsia="Arial" w:hAnsi="Verdana" w:cs="Arial"/>
          <w:bCs/>
          <w:color w:val="000000" w:themeColor="text1"/>
        </w:rPr>
        <w:t>Secretarios</w:t>
      </w:r>
      <w:proofErr w:type="gramEnd"/>
      <w:r w:rsidRPr="000C77A8">
        <w:rPr>
          <w:rFonts w:ascii="Verdana" w:eastAsia="Arial" w:hAnsi="Verdana" w:cs="Arial"/>
          <w:bCs/>
          <w:color w:val="000000" w:themeColor="text1"/>
        </w:rPr>
        <w:t xml:space="preserve">, Gerentes y </w:t>
      </w:r>
      <w:proofErr w:type="gramStart"/>
      <w:r w:rsidRPr="000C77A8">
        <w:rPr>
          <w:rFonts w:ascii="Verdana" w:eastAsia="Arial" w:hAnsi="Verdana" w:cs="Arial"/>
          <w:bCs/>
          <w:color w:val="000000" w:themeColor="text1"/>
        </w:rPr>
        <w:t>Directores</w:t>
      </w:r>
      <w:proofErr w:type="gramEnd"/>
      <w:r w:rsidRPr="000C77A8">
        <w:rPr>
          <w:rFonts w:ascii="Verdana" w:eastAsia="Arial" w:hAnsi="Verdana" w:cs="Arial"/>
          <w:bCs/>
          <w:color w:val="000000" w:themeColor="text1"/>
        </w:rPr>
        <w:t xml:space="preserve"> de las entidades del orden municipal, departamental o distrital</w:t>
      </w:r>
      <w:r>
        <w:rPr>
          <w:rFonts w:ascii="Verdana" w:eastAsia="Arial" w:hAnsi="Verdana" w:cs="Arial"/>
          <w:bCs/>
          <w:color w:val="000000" w:themeColor="text1"/>
        </w:rPr>
        <w:t xml:space="preserve">”; así </w:t>
      </w:r>
      <w:proofErr w:type="gramStart"/>
      <w:r>
        <w:rPr>
          <w:rFonts w:ascii="Verdana" w:eastAsia="Arial" w:hAnsi="Verdana" w:cs="Arial"/>
          <w:bCs/>
          <w:color w:val="000000" w:themeColor="text1"/>
        </w:rPr>
        <w:t>como</w:t>
      </w:r>
      <w:r w:rsidRPr="000C77A8">
        <w:rPr>
          <w:rFonts w:ascii="Verdana" w:eastAsia="Arial" w:hAnsi="Verdana" w:cs="Arial"/>
          <w:bCs/>
          <w:color w:val="000000" w:themeColor="text1"/>
        </w:rPr>
        <w:t> </w:t>
      </w:r>
      <w:r>
        <w:rPr>
          <w:rFonts w:ascii="Verdana" w:eastAsia="Arial" w:hAnsi="Verdana" w:cs="Arial"/>
          <w:bCs/>
          <w:color w:val="000000" w:themeColor="text1"/>
          <w:lang w:val="es-ES"/>
        </w:rPr>
        <w:t xml:space="preserve"> </w:t>
      </w:r>
      <w:r w:rsidR="00420468">
        <w:rPr>
          <w:rFonts w:ascii="Verdana" w:eastAsia="Arial" w:hAnsi="Verdana" w:cs="Arial"/>
          <w:bCs/>
          <w:color w:val="000000" w:themeColor="text1"/>
          <w:lang w:val="es-ES"/>
        </w:rPr>
        <w:t>determinar</w:t>
      </w:r>
      <w:proofErr w:type="gramEnd"/>
      <w:r w:rsidR="00420468">
        <w:rPr>
          <w:rFonts w:ascii="Verdana" w:eastAsia="Arial" w:hAnsi="Verdana" w:cs="Arial"/>
          <w:bCs/>
          <w:color w:val="000000" w:themeColor="text1"/>
          <w:lang w:val="es-ES"/>
        </w:rPr>
        <w:t xml:space="preserve"> </w:t>
      </w:r>
      <w:r>
        <w:rPr>
          <w:rFonts w:ascii="Verdana" w:eastAsia="Arial" w:hAnsi="Verdana" w:cs="Arial"/>
          <w:bCs/>
          <w:color w:val="000000" w:themeColor="text1"/>
          <w:lang w:val="es-ES"/>
        </w:rPr>
        <w:t xml:space="preserve">si lo que pretende adelantar es un convenio o un contrato interadministrativo para la ejecución de recursos públicos. Cuando este sea el caso, operará la restricción señalada en el parágrafo y estará prohibido llevar a cabo la contratación en los cuatro meses anteriores a cualquier contienda electoral. Es importante resaltar que para esta prohibición la norma no contempló ninguna excepción, de modo que </w:t>
      </w:r>
      <w:proofErr w:type="gramStart"/>
      <w:r>
        <w:rPr>
          <w:rFonts w:ascii="Verdana" w:eastAsia="Arial" w:hAnsi="Verdana" w:cs="Arial"/>
          <w:bCs/>
          <w:color w:val="000000" w:themeColor="text1"/>
          <w:lang w:val="es-ES"/>
        </w:rPr>
        <w:t>aplicará</w:t>
      </w:r>
      <w:proofErr w:type="gramEnd"/>
      <w:r>
        <w:rPr>
          <w:rFonts w:ascii="Verdana" w:eastAsia="Arial" w:hAnsi="Verdana" w:cs="Arial"/>
          <w:bCs/>
          <w:color w:val="000000" w:themeColor="text1"/>
          <w:lang w:val="es-ES"/>
        </w:rPr>
        <w:t xml:space="preserve"> aunque se trate de entidades sanitarias u hospitalarias. </w:t>
      </w:r>
    </w:p>
    <w:p w14:paraId="4F6B0149" w14:textId="77777777" w:rsidR="004B6767" w:rsidRDefault="004B6767" w:rsidP="004B6767">
      <w:pPr>
        <w:spacing w:before="120" w:after="120" w:line="276" w:lineRule="auto"/>
        <w:ind w:firstLine="709"/>
        <w:jc w:val="both"/>
        <w:rPr>
          <w:rFonts w:ascii="Verdana" w:eastAsia="Arial" w:hAnsi="Verdana" w:cs="Arial"/>
          <w:bCs/>
          <w:color w:val="000000" w:themeColor="text1"/>
          <w:lang w:val="es-ES"/>
        </w:rPr>
      </w:pPr>
      <w:r>
        <w:rPr>
          <w:rFonts w:ascii="Verdana" w:eastAsia="Arial" w:hAnsi="Verdana" w:cs="Arial"/>
          <w:bCs/>
          <w:color w:val="000000" w:themeColor="text1"/>
          <w:lang w:val="es-ES"/>
        </w:rPr>
        <w:t>Sobre el tema de su consulta</w:t>
      </w:r>
      <w:r w:rsidRPr="00FC6F34">
        <w:rPr>
          <w:rFonts w:ascii="Verdana" w:eastAsia="Arial" w:hAnsi="Verdana" w:cs="Arial"/>
          <w:bCs/>
          <w:color w:val="000000" w:themeColor="text1"/>
          <w:lang w:val="es-ES"/>
        </w:rPr>
        <w:t xml:space="preserve">, mediante la Resolución 04 del 12 de </w:t>
      </w:r>
      <w:proofErr w:type="gramStart"/>
      <w:r w:rsidRPr="00FC6F34">
        <w:rPr>
          <w:rFonts w:ascii="Verdana" w:eastAsia="Arial" w:hAnsi="Verdana" w:cs="Arial"/>
          <w:bCs/>
          <w:color w:val="000000" w:themeColor="text1"/>
          <w:lang w:val="es-ES"/>
        </w:rPr>
        <w:t>Enero</w:t>
      </w:r>
      <w:proofErr w:type="gramEnd"/>
      <w:r w:rsidRPr="00FC6F34">
        <w:rPr>
          <w:rFonts w:ascii="Verdana" w:eastAsia="Arial" w:hAnsi="Verdana" w:cs="Arial"/>
          <w:bCs/>
          <w:color w:val="000000" w:themeColor="text1"/>
          <w:lang w:val="es-ES"/>
        </w:rPr>
        <w:t xml:space="preserve"> de 2018, el Ministerio de Salud y Protección Social dio “instrucciones para la ejecución de las acciones en salud pública en el marco de la Ley de Garantías electorales”. Respecto de la ejecución del Plan de Intervenciones Colectivas</w:t>
      </w:r>
      <w:r>
        <w:rPr>
          <w:rFonts w:ascii="Verdana" w:eastAsia="Arial" w:hAnsi="Verdana" w:cs="Arial"/>
          <w:bCs/>
          <w:color w:val="000000" w:themeColor="text1"/>
          <w:lang w:val="es-ES"/>
        </w:rPr>
        <w:t xml:space="preserve"> (PIC)</w:t>
      </w:r>
      <w:r w:rsidRPr="00FC6F34">
        <w:rPr>
          <w:rFonts w:ascii="Verdana" w:eastAsia="Arial" w:hAnsi="Verdana" w:cs="Arial"/>
          <w:bCs/>
          <w:color w:val="000000" w:themeColor="text1"/>
          <w:lang w:val="es-ES"/>
        </w:rPr>
        <w:t xml:space="preserve">, el Ministerio enfatizó que las entidades deben garantizar los tramites </w:t>
      </w:r>
      <w:r w:rsidRPr="00FC6F34">
        <w:rPr>
          <w:rFonts w:ascii="Verdana" w:eastAsia="Arial" w:hAnsi="Verdana" w:cs="Arial"/>
          <w:bCs/>
          <w:color w:val="000000" w:themeColor="text1"/>
          <w:lang w:val="es-ES"/>
        </w:rPr>
        <w:lastRenderedPageBreak/>
        <w:t xml:space="preserve">contractuales y la planeación para la continuidad del </w:t>
      </w:r>
      <w:r>
        <w:rPr>
          <w:rFonts w:ascii="Verdana" w:eastAsia="Arial" w:hAnsi="Verdana" w:cs="Arial"/>
          <w:bCs/>
          <w:color w:val="000000" w:themeColor="text1"/>
          <w:lang w:val="es-ES"/>
        </w:rPr>
        <w:t>programa</w:t>
      </w:r>
      <w:r w:rsidRPr="00FC6F34">
        <w:rPr>
          <w:rFonts w:ascii="Verdana" w:eastAsia="Arial" w:hAnsi="Verdana" w:cs="Arial"/>
          <w:bCs/>
          <w:color w:val="000000" w:themeColor="text1"/>
          <w:lang w:val="es-ES"/>
        </w:rPr>
        <w:t>. Además, señal</w:t>
      </w:r>
      <w:r>
        <w:rPr>
          <w:rFonts w:ascii="Verdana" w:eastAsia="Arial" w:hAnsi="Verdana" w:cs="Arial"/>
          <w:bCs/>
          <w:color w:val="000000" w:themeColor="text1"/>
          <w:lang w:val="es-ES"/>
        </w:rPr>
        <w:t>ó</w:t>
      </w:r>
      <w:r w:rsidRPr="00FC6F34">
        <w:rPr>
          <w:rFonts w:ascii="Verdana" w:eastAsia="Arial" w:hAnsi="Verdana" w:cs="Arial"/>
          <w:bCs/>
          <w:color w:val="000000" w:themeColor="text1"/>
          <w:lang w:val="es-ES"/>
        </w:rPr>
        <w:t xml:space="preserve"> que durante el periodo de prohibición del artículo 33 de la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ey 996 de 2005 “se exceptúan las acciones que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a entidad territorial requiera contratar como entidad sanitaria” con el fin de no paralizar su funcionamiento o interrumpir la prestación de los servicios públicos de carácter esencial, con lo cual resalto la excepción aplicable a </w:t>
      </w:r>
      <w:r>
        <w:rPr>
          <w:rFonts w:ascii="Verdana" w:eastAsia="Arial" w:hAnsi="Verdana" w:cs="Arial"/>
          <w:bCs/>
          <w:color w:val="000000" w:themeColor="text1"/>
          <w:lang w:val="es-ES"/>
        </w:rPr>
        <w:t>estas entidades</w:t>
      </w:r>
      <w:r w:rsidRPr="00FC6F34">
        <w:rPr>
          <w:rFonts w:ascii="Verdana" w:eastAsia="Arial" w:hAnsi="Verdana" w:cs="Arial"/>
          <w:bCs/>
          <w:color w:val="000000" w:themeColor="text1"/>
          <w:lang w:val="es-ES"/>
        </w:rPr>
        <w:t>. Sobre esto último</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estableció como criterios para determinar </w:t>
      </w:r>
      <w:r>
        <w:rPr>
          <w:rFonts w:ascii="Verdana" w:eastAsia="Arial" w:hAnsi="Verdana" w:cs="Arial"/>
          <w:bCs/>
          <w:color w:val="000000" w:themeColor="text1"/>
          <w:lang w:val="es-ES"/>
        </w:rPr>
        <w:t>la aplicación de la</w:t>
      </w:r>
      <w:r w:rsidRPr="00FC6F34">
        <w:rPr>
          <w:rFonts w:ascii="Verdana" w:eastAsia="Arial" w:hAnsi="Verdana" w:cs="Arial"/>
          <w:bCs/>
          <w:color w:val="000000" w:themeColor="text1"/>
          <w:lang w:val="es-ES"/>
        </w:rPr>
        <w:t xml:space="preserve"> excepción en materia de salud: i) </w:t>
      </w:r>
      <w:r>
        <w:rPr>
          <w:rFonts w:ascii="Verdana" w:eastAsia="Arial" w:hAnsi="Verdana" w:cs="Arial"/>
          <w:bCs/>
          <w:color w:val="000000" w:themeColor="text1"/>
          <w:lang w:val="es-ES"/>
        </w:rPr>
        <w:t>q</w:t>
      </w:r>
      <w:r w:rsidRPr="00FC6F34">
        <w:rPr>
          <w:rFonts w:ascii="Verdana" w:eastAsia="Arial" w:hAnsi="Verdana" w:cs="Arial"/>
          <w:bCs/>
          <w:color w:val="000000" w:themeColor="text1"/>
          <w:lang w:val="es-ES"/>
        </w:rPr>
        <w:t xml:space="preserve">ue la contratación sea necesaria para solventar las eventuales situaciones de urgencia en salud, y </w:t>
      </w:r>
      <w:proofErr w:type="spellStart"/>
      <w:r w:rsidRPr="00FC6F34">
        <w:rPr>
          <w:rFonts w:ascii="Verdana" w:eastAsia="Arial" w:hAnsi="Verdana" w:cs="Arial"/>
          <w:bCs/>
          <w:color w:val="000000" w:themeColor="text1"/>
          <w:lang w:val="es-ES"/>
        </w:rPr>
        <w:t>ii</w:t>
      </w:r>
      <w:proofErr w:type="spellEnd"/>
      <w:proofErr w:type="gramStart"/>
      <w:r w:rsidRPr="00FC6F34">
        <w:rPr>
          <w:rFonts w:ascii="Verdana" w:eastAsia="Arial" w:hAnsi="Verdana" w:cs="Arial"/>
          <w:bCs/>
          <w:color w:val="000000" w:themeColor="text1"/>
          <w:lang w:val="es-ES"/>
        </w:rPr>
        <w:t>)  que</w:t>
      </w:r>
      <w:proofErr w:type="gramEnd"/>
      <w:r w:rsidRPr="00FC6F34">
        <w:rPr>
          <w:rFonts w:ascii="Verdana" w:eastAsia="Arial" w:hAnsi="Verdana" w:cs="Arial"/>
          <w:bCs/>
          <w:color w:val="000000" w:themeColor="text1"/>
          <w:lang w:val="es-ES"/>
        </w:rPr>
        <w:t xml:space="preserv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571D349F" w14:textId="77777777" w:rsidR="004B6767" w:rsidRDefault="004B6767" w:rsidP="004B6767">
      <w:pPr>
        <w:spacing w:before="120" w:after="120" w:line="276" w:lineRule="auto"/>
        <w:ind w:firstLine="709"/>
        <w:jc w:val="both"/>
        <w:rPr>
          <w:rFonts w:ascii="Verdana" w:eastAsia="Times New Roman" w:hAnsi="Verdana" w:cs="Arial"/>
          <w:bCs/>
          <w:lang w:val="es-ES" w:eastAsia="es-CO"/>
        </w:rPr>
      </w:pPr>
      <w:r>
        <w:rPr>
          <w:rFonts w:ascii="Verdana" w:eastAsia="Arial" w:hAnsi="Verdana" w:cs="Arial"/>
          <w:bCs/>
          <w:color w:val="000000" w:themeColor="text1"/>
          <w:lang w:val="es-ES"/>
        </w:rPr>
        <w:t xml:space="preserve">Esto último es acorde con </w:t>
      </w:r>
      <w:r>
        <w:rPr>
          <w:rFonts w:ascii="Verdana" w:eastAsia="Times New Roman" w:hAnsi="Verdana" w:cs="Arial"/>
          <w:bCs/>
          <w:lang w:val="es-ES" w:eastAsia="es-CO"/>
        </w:rPr>
        <w:t xml:space="preserve">lo </w:t>
      </w:r>
      <w:r w:rsidRPr="00FC6F34">
        <w:rPr>
          <w:rFonts w:ascii="Verdana" w:eastAsia="Times New Roman" w:hAnsi="Verdana" w:cs="Arial"/>
          <w:bCs/>
          <w:lang w:val="es-ES" w:eastAsia="es-CO"/>
        </w:rPr>
        <w:t xml:space="preserve">manifestado </w:t>
      </w:r>
      <w:r>
        <w:rPr>
          <w:rFonts w:ascii="Verdana" w:eastAsia="Times New Roman" w:hAnsi="Verdana" w:cs="Arial"/>
          <w:bCs/>
          <w:lang w:val="es-ES" w:eastAsia="es-CO"/>
        </w:rPr>
        <w:t xml:space="preserve">por </w:t>
      </w:r>
      <w:r w:rsidRPr="00FC6F34">
        <w:rPr>
          <w:rFonts w:ascii="Verdana" w:eastAsia="Times New Roman" w:hAnsi="Verdana" w:cs="Arial"/>
          <w:bCs/>
          <w:lang w:val="es-ES" w:eastAsia="es-CO"/>
        </w:rPr>
        <w:t>esta Agencia,</w:t>
      </w:r>
      <w:r>
        <w:rPr>
          <w:rFonts w:ascii="Verdana" w:eastAsia="Times New Roman" w:hAnsi="Verdana" w:cs="Arial"/>
          <w:bCs/>
          <w:lang w:val="es-ES" w:eastAsia="es-CO"/>
        </w:rPr>
        <w:t xml:space="preserve"> en el sentido de que</w:t>
      </w:r>
      <w:r w:rsidRPr="00FC6F34">
        <w:rPr>
          <w:rFonts w:ascii="Verdana" w:eastAsia="Times New Roman" w:hAnsi="Verdana" w:cs="Arial"/>
          <w:bCs/>
          <w:lang w:val="es-ES" w:eastAsia="es-CO"/>
        </w:rPr>
        <w:t xml:space="preserve"> las prórrogas, modificaciones o adiciones de los contratos suscritos antes de la entrada en vigencia de las prohibiciones</w:t>
      </w:r>
      <w:r>
        <w:rPr>
          <w:rFonts w:ascii="Verdana" w:eastAsia="Times New Roman" w:hAnsi="Verdana" w:cs="Arial"/>
          <w:bCs/>
          <w:lang w:val="es-ES" w:eastAsia="es-CO"/>
        </w:rPr>
        <w:t xml:space="preserve"> del artículo 33 y el parágrafo del artículo 38</w:t>
      </w:r>
      <w:r w:rsidRPr="00FC6F34">
        <w:rPr>
          <w:rFonts w:ascii="Verdana" w:eastAsia="Times New Roman" w:hAnsi="Verdana" w:cs="Arial"/>
          <w:bCs/>
          <w:lang w:val="es-ES" w:eastAsia="es-CO"/>
        </w:rPr>
        <w:t>, así como la cesión de los mismos, pueden tener lugar en el período de aplicación de la Ley de Garantías Electorales, sin que ello haga nugatoria la restricción de la contratación directa y siempre que cumplan los principios de planeación, transparencia y responsabilidad</w:t>
      </w:r>
      <w:r w:rsidRPr="00FC6F34">
        <w:rPr>
          <w:rFonts w:ascii="Verdana" w:eastAsia="Times New Roman" w:hAnsi="Verdana" w:cs="Arial"/>
          <w:bCs/>
          <w:vertAlign w:val="superscript"/>
          <w:lang w:val="es-ES" w:eastAsia="es-CO"/>
        </w:rPr>
        <w:footnoteReference w:id="29"/>
      </w:r>
      <w:r w:rsidRPr="00FC6F34">
        <w:rPr>
          <w:rFonts w:ascii="Verdana" w:eastAsia="Times New Roman" w:hAnsi="Verdana" w:cs="Arial"/>
          <w:bCs/>
          <w:lang w:val="es-ES" w:eastAsia="es-CO"/>
        </w:rPr>
        <w:t xml:space="preserve">. Además, también es posible que contratos celebrados previamente se continúen ejecutando con normalidad y, en consecuencia, se realicen los pagos en las condiciones pactadas. </w:t>
      </w:r>
    </w:p>
    <w:p w14:paraId="16788F35" w14:textId="77777777" w:rsidR="004B6767" w:rsidRDefault="004B6767" w:rsidP="00E95AC9">
      <w:pPr>
        <w:spacing w:before="120" w:after="0" w:line="276" w:lineRule="auto"/>
        <w:ind w:firstLine="709"/>
        <w:jc w:val="both"/>
        <w:rPr>
          <w:rFonts w:ascii="Verdana" w:eastAsia="Arial" w:hAnsi="Verdana" w:cs="Arial"/>
          <w:bCs/>
          <w:color w:val="000000" w:themeColor="text1"/>
          <w:lang w:val="es-ES"/>
        </w:rPr>
      </w:pPr>
      <w:r>
        <w:rPr>
          <w:rFonts w:ascii="Verdana" w:eastAsia="Times New Roman" w:hAnsi="Verdana" w:cs="Arial"/>
          <w:bCs/>
          <w:lang w:val="es-ES" w:eastAsia="es-CO"/>
        </w:rPr>
        <w:t xml:space="preserve">Con respecto a la prohibición del parágrafo del artículo 38, es importante resaltar que el Ministerio de Salud y Protección Social </w:t>
      </w:r>
      <w:r>
        <w:rPr>
          <w:rFonts w:ascii="Verdana" w:eastAsia="Arial" w:hAnsi="Verdana" w:cs="Arial"/>
          <w:bCs/>
          <w:color w:val="000000" w:themeColor="text1"/>
          <w:lang w:val="es-ES"/>
        </w:rPr>
        <w:t xml:space="preserve">dispuso </w:t>
      </w:r>
      <w:r w:rsidRPr="00FC6F34">
        <w:rPr>
          <w:rFonts w:ascii="Verdana" w:eastAsia="Arial" w:hAnsi="Verdana" w:cs="Arial"/>
          <w:bCs/>
          <w:color w:val="000000" w:themeColor="text1"/>
          <w:lang w:val="es-ES"/>
        </w:rPr>
        <w:t>que</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con el fin de garantizar la continuidad de</w:t>
      </w:r>
      <w:r>
        <w:rPr>
          <w:rFonts w:ascii="Verdana" w:eastAsia="Arial" w:hAnsi="Verdana" w:cs="Arial"/>
          <w:bCs/>
          <w:color w:val="000000" w:themeColor="text1"/>
          <w:lang w:val="es-ES"/>
        </w:rPr>
        <w:t xml:space="preserve"> </w:t>
      </w:r>
      <w:r w:rsidRPr="00FC6F34">
        <w:rPr>
          <w:rFonts w:ascii="Verdana" w:eastAsia="Arial" w:hAnsi="Verdana" w:cs="Arial"/>
          <w:bCs/>
          <w:color w:val="000000" w:themeColor="text1"/>
          <w:lang w:val="es-ES"/>
        </w:rPr>
        <w:t xml:space="preserve">las intervenciones de promoción de salud y prevención, “se debe acudir a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as demás modalidades de contratación autorizadas por la ley de manera que no se afecte la ejecución de las intervenciones colectivas a cargo de las entidades territoriales”</w:t>
      </w:r>
      <w:r>
        <w:rPr>
          <w:rStyle w:val="Refdenotaalpie"/>
          <w:rFonts w:ascii="Verdana" w:eastAsia="Arial" w:hAnsi="Verdana" w:cs="Arial"/>
          <w:bCs/>
          <w:color w:val="000000" w:themeColor="text1"/>
          <w:lang w:val="es-ES"/>
        </w:rPr>
        <w:footnoteReference w:id="30"/>
      </w:r>
      <w:r w:rsidRPr="00FC6F34">
        <w:rPr>
          <w:rFonts w:ascii="Verdana" w:eastAsia="Arial" w:hAnsi="Verdana" w:cs="Arial"/>
          <w:bCs/>
          <w:color w:val="000000" w:themeColor="text1"/>
          <w:lang w:val="es-ES"/>
        </w:rPr>
        <w:t xml:space="preserve">. </w:t>
      </w:r>
      <w:r>
        <w:rPr>
          <w:rFonts w:ascii="Verdana" w:eastAsia="Arial" w:hAnsi="Verdana" w:cs="Arial"/>
          <w:bCs/>
          <w:color w:val="000000" w:themeColor="text1"/>
          <w:lang w:val="es-ES"/>
        </w:rPr>
        <w:t xml:space="preserve">Lo anterior, considerando que esta prohibición no fijó excepción alguna para su aplicación. </w:t>
      </w:r>
    </w:p>
    <w:p w14:paraId="07C82070" w14:textId="77777777" w:rsidR="00E95AC9" w:rsidRPr="00FC6F34" w:rsidRDefault="00E95AC9" w:rsidP="00E95AC9">
      <w:pPr>
        <w:spacing w:after="0" w:line="276" w:lineRule="auto"/>
        <w:ind w:firstLine="709"/>
        <w:jc w:val="both"/>
        <w:rPr>
          <w:rFonts w:ascii="Verdana" w:eastAsia="Arial" w:hAnsi="Verdana" w:cs="Arial"/>
          <w:bCs/>
          <w:color w:val="000000" w:themeColor="text1"/>
          <w:lang w:val="es-ES"/>
        </w:rPr>
      </w:pPr>
    </w:p>
    <w:p w14:paraId="2A1A96C2" w14:textId="77777777" w:rsidR="004B6767" w:rsidRDefault="004B6767" w:rsidP="00E95AC9">
      <w:pPr>
        <w:spacing w:after="120" w:line="276" w:lineRule="auto"/>
        <w:jc w:val="both"/>
        <w:rPr>
          <w:rFonts w:ascii="Arial" w:eastAsia="Arial" w:hAnsi="Arial" w:cs="Arial"/>
          <w:color w:val="000000" w:themeColor="text1"/>
          <w:lang w:val="es-ES"/>
        </w:rPr>
      </w:pPr>
      <w:r w:rsidRPr="00FC6F34">
        <w:rPr>
          <w:rFonts w:ascii="Arial" w:eastAsia="Arial" w:hAnsi="Arial" w:cs="Arial"/>
          <w:color w:val="000000" w:themeColor="text1"/>
          <w:lang w:val="es-ES"/>
        </w:rPr>
        <w:t>v</w:t>
      </w:r>
      <w:r>
        <w:rPr>
          <w:rFonts w:ascii="Arial" w:eastAsia="Arial" w:hAnsi="Arial" w:cs="Arial"/>
          <w:color w:val="000000" w:themeColor="text1"/>
          <w:lang w:val="es-ES"/>
        </w:rPr>
        <w:t>i</w:t>
      </w:r>
      <w:r w:rsidRPr="00FC6F34">
        <w:rPr>
          <w:rFonts w:ascii="Arial" w:eastAsia="Arial" w:hAnsi="Arial" w:cs="Arial"/>
          <w:color w:val="000000" w:themeColor="text1"/>
          <w:lang w:val="es-ES"/>
        </w:rPr>
        <w:t xml:space="preserve">) </w:t>
      </w:r>
      <w:r>
        <w:rPr>
          <w:rFonts w:ascii="Verdana" w:eastAsia="Arial" w:hAnsi="Verdana" w:cs="Arial"/>
          <w:bCs/>
          <w:color w:val="000000" w:themeColor="text1"/>
          <w:lang w:val="es-ES"/>
        </w:rPr>
        <w:t xml:space="preserve">Finalmente, teniendo en cuenta lo señalado en su consulta, es necesario aclarar que los procesos de contratación se rigen por el principio de anualidad, el cual busca que </w:t>
      </w:r>
      <w:r w:rsidRPr="00FC6F34">
        <w:rPr>
          <w:rFonts w:ascii="Verdana" w:eastAsia="Calibri" w:hAnsi="Verdana" w:cs="Arial"/>
          <w:lang w:val="es-ES"/>
        </w:rPr>
        <w:t xml:space="preserve">el presupuesto tenga un </w:t>
      </w:r>
      <w:r w:rsidRPr="00FC6F34">
        <w:rPr>
          <w:rFonts w:ascii="Verdana" w:eastAsia="Calibri" w:hAnsi="Verdana" w:cs="Arial"/>
          <w:i/>
          <w:iCs/>
          <w:lang w:val="es-ES"/>
        </w:rPr>
        <w:t>alcance temporal definido</w:t>
      </w:r>
      <w:r w:rsidRPr="00FC6F34">
        <w:rPr>
          <w:rFonts w:ascii="Verdana" w:eastAsia="Calibri" w:hAnsi="Verdana" w:cs="Arial"/>
          <w:lang w:val="es-ES"/>
        </w:rPr>
        <w:t xml:space="preserve">, con el fin </w:t>
      </w:r>
      <w:r w:rsidRPr="00FC6F34">
        <w:rPr>
          <w:rFonts w:ascii="Verdana" w:eastAsia="Calibri" w:hAnsi="Verdana" w:cs="Arial"/>
          <w:lang w:val="es-ES"/>
        </w:rPr>
        <w:lastRenderedPageBreak/>
        <w:t xml:space="preserve">de “materializar el presupuesto de rentas y ejecutar de forma oportuna el gasto autorizado” en el marco de </w:t>
      </w:r>
      <w:r w:rsidRPr="001568DE">
        <w:rPr>
          <w:rFonts w:ascii="Verdana" w:eastAsia="Calibri" w:hAnsi="Verdana" w:cs="Arial"/>
          <w:i/>
          <w:iCs/>
          <w:lang w:val="es-ES"/>
        </w:rPr>
        <w:t>una vigencia fiscal</w:t>
      </w:r>
      <w:r w:rsidRPr="00FC6F34">
        <w:rPr>
          <w:rStyle w:val="Refdenotaalpie"/>
          <w:rFonts w:ascii="Verdana" w:eastAsia="Calibri" w:hAnsi="Verdana" w:cs="Arial"/>
          <w:lang w:val="es-ES"/>
        </w:rPr>
        <w:footnoteReference w:id="31"/>
      </w:r>
      <w:r w:rsidRPr="00FC6F34">
        <w:rPr>
          <w:rFonts w:ascii="Verdana" w:eastAsia="Calibri" w:hAnsi="Verdana" w:cs="Arial"/>
          <w:lang w:val="es-ES"/>
        </w:rPr>
        <w:t xml:space="preserve">. </w:t>
      </w:r>
      <w:r>
        <w:rPr>
          <w:rFonts w:ascii="Arial" w:eastAsia="Arial" w:hAnsi="Arial" w:cs="Arial"/>
          <w:color w:val="000000" w:themeColor="text1"/>
          <w:lang w:val="es-ES"/>
        </w:rPr>
        <w:t xml:space="preserve"> </w:t>
      </w:r>
    </w:p>
    <w:p w14:paraId="59165449" w14:textId="77777777" w:rsidR="004B6767" w:rsidRPr="001568DE" w:rsidRDefault="004B6767" w:rsidP="004B6767">
      <w:pPr>
        <w:shd w:val="clear" w:color="auto" w:fill="FFFFFF" w:themeFill="background1"/>
        <w:spacing w:after="120" w:line="276" w:lineRule="auto"/>
        <w:ind w:right="51" w:firstLine="708"/>
        <w:jc w:val="both"/>
        <w:rPr>
          <w:rFonts w:ascii="Verdana" w:eastAsia="Calibri" w:hAnsi="Verdana" w:cs="Arial"/>
          <w:lang w:val="es-ES"/>
        </w:rPr>
      </w:pPr>
      <w:r w:rsidRPr="00FC6F34">
        <w:rPr>
          <w:rFonts w:ascii="Verdana" w:eastAsia="Calibri" w:hAnsi="Verdana" w:cs="Arial"/>
          <w:lang w:val="es-ES"/>
        </w:rPr>
        <w:t>Conforme lo ha señalado el Consejo de Estado, el principio de anualidad no es absoluto en “la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sidRPr="00FC6F34">
        <w:rPr>
          <w:rStyle w:val="Refdenotaalpie"/>
          <w:rFonts w:ascii="Verdana" w:eastAsia="Calibri" w:hAnsi="Verdana" w:cs="Arial"/>
          <w:lang w:val="es-ES"/>
        </w:rPr>
        <w:footnoteReference w:id="32"/>
      </w:r>
      <w:r w:rsidRPr="00FC6F34">
        <w:rPr>
          <w:rFonts w:ascii="Verdana" w:eastAsia="Calibri" w:hAnsi="Verdana" w:cs="Arial"/>
          <w:lang w:val="es-ES"/>
        </w:rPr>
        <w:t>.</w:t>
      </w:r>
      <w:r>
        <w:rPr>
          <w:rFonts w:ascii="Verdana" w:eastAsia="Calibri" w:hAnsi="Verdana" w:cs="Arial"/>
          <w:lang w:val="es-ES"/>
        </w:rPr>
        <w:t xml:space="preserve"> </w:t>
      </w:r>
      <w:r w:rsidRPr="001568DE">
        <w:rPr>
          <w:rFonts w:ascii="Verdana" w:eastAsia="Calibri" w:hAnsi="Verdana" w:cs="Arial"/>
          <w:lang w:val="es-ES"/>
        </w:rPr>
        <w:t xml:space="preserve">Por lo anterior, </w:t>
      </w:r>
      <w:r w:rsidRPr="00FC6F34">
        <w:rPr>
          <w:rFonts w:ascii="Verdana" w:eastAsia="Calibri" w:hAnsi="Verdana" w:cs="Arial"/>
          <w:lang w:val="es-ES"/>
        </w:rPr>
        <w:t>las vigencias futuras</w:t>
      </w:r>
      <w:r>
        <w:rPr>
          <w:rFonts w:ascii="Verdana" w:eastAsia="Calibri" w:hAnsi="Verdana" w:cs="Arial"/>
          <w:lang w:val="es-ES"/>
        </w:rPr>
        <w:t>, las cuentas por pagar</w:t>
      </w:r>
      <w:r w:rsidRPr="00FC6F34">
        <w:rPr>
          <w:rFonts w:ascii="Verdana" w:eastAsia="Calibri" w:hAnsi="Verdana" w:cs="Arial"/>
          <w:lang w:val="es-ES"/>
        </w:rPr>
        <w:t xml:space="preserve"> </w:t>
      </w:r>
      <w:r>
        <w:rPr>
          <w:rFonts w:ascii="Verdana" w:eastAsia="Calibri" w:hAnsi="Verdana" w:cs="Arial"/>
          <w:lang w:val="es-ES"/>
        </w:rPr>
        <w:t>y las</w:t>
      </w:r>
      <w:r w:rsidRPr="00FC6F34">
        <w:rPr>
          <w:rFonts w:ascii="Verdana" w:eastAsia="Calibri" w:hAnsi="Verdana" w:cs="Arial"/>
          <w:lang w:val="es-ES"/>
        </w:rPr>
        <w:t xml:space="preserve"> reservas presupuestales c</w:t>
      </w:r>
      <w:r>
        <w:rPr>
          <w:rFonts w:ascii="Verdana" w:eastAsia="Calibri" w:hAnsi="Verdana" w:cs="Arial"/>
          <w:lang w:val="es-ES"/>
        </w:rPr>
        <w:t xml:space="preserve">onstituyen </w:t>
      </w:r>
      <w:r w:rsidRPr="00FC6F34">
        <w:rPr>
          <w:rFonts w:ascii="Verdana" w:eastAsia="Calibri" w:hAnsi="Verdana" w:cs="Arial"/>
          <w:lang w:val="es-ES"/>
        </w:rPr>
        <w:t xml:space="preserve">excepciones frente al principio de anualidad del </w:t>
      </w:r>
      <w:r w:rsidRPr="001568DE">
        <w:rPr>
          <w:rFonts w:ascii="Verdana" w:eastAsia="Calibri" w:hAnsi="Verdana" w:cs="Arial"/>
          <w:lang w:val="es-ES"/>
        </w:rPr>
        <w:t>gasto público</w:t>
      </w:r>
      <w:r>
        <w:rPr>
          <w:rFonts w:ascii="Verdana" w:eastAsia="Calibri" w:hAnsi="Verdana" w:cs="Arial"/>
          <w:lang w:val="es-ES"/>
        </w:rPr>
        <w:t>. L</w:t>
      </w:r>
      <w:r w:rsidRPr="00FC6F34">
        <w:rPr>
          <w:rFonts w:ascii="Verdana" w:eastAsia="Calibri" w:hAnsi="Verdana" w:cs="Arial"/>
          <w:lang w:val="es-ES"/>
        </w:rPr>
        <w:t>a Entidad deberá tener en cuenta en su planeación presupuestal la necesidad de hacer uso de dichas figuras cuando el contrato implique</w:t>
      </w:r>
      <w:r>
        <w:rPr>
          <w:rFonts w:ascii="Verdana" w:eastAsia="Calibri" w:hAnsi="Verdana" w:cs="Arial"/>
          <w:lang w:val="es-ES"/>
        </w:rPr>
        <w:t xml:space="preserve"> </w:t>
      </w:r>
      <w:r w:rsidRPr="00FC6F34">
        <w:rPr>
          <w:rFonts w:ascii="Verdana" w:eastAsia="Calibri" w:hAnsi="Verdana" w:cs="Arial"/>
          <w:lang w:val="es-ES"/>
        </w:rPr>
        <w:t xml:space="preserve">asumir compromisos presupuestales que deben ser ejecutados en </w:t>
      </w:r>
      <w:r>
        <w:rPr>
          <w:rFonts w:ascii="Verdana" w:eastAsia="Calibri" w:hAnsi="Verdana" w:cs="Arial"/>
          <w:lang w:val="es-ES"/>
        </w:rPr>
        <w:t xml:space="preserve">más de </w:t>
      </w:r>
      <w:r w:rsidRPr="00FC6F34">
        <w:rPr>
          <w:rFonts w:ascii="Verdana" w:eastAsia="Calibri" w:hAnsi="Verdana" w:cs="Arial"/>
          <w:lang w:val="es-ES"/>
        </w:rPr>
        <w:t>una vigencia. En e</w:t>
      </w:r>
      <w:r>
        <w:rPr>
          <w:rFonts w:ascii="Verdana" w:eastAsia="Calibri" w:hAnsi="Verdana" w:cs="Arial"/>
          <w:lang w:val="es-ES"/>
        </w:rPr>
        <w:t>ste tipo de</w:t>
      </w:r>
      <w:r w:rsidRPr="00FC6F34">
        <w:rPr>
          <w:rFonts w:ascii="Verdana" w:eastAsia="Calibri" w:hAnsi="Verdana" w:cs="Arial"/>
          <w:lang w:val="es-ES"/>
        </w:rPr>
        <w:t xml:space="preserve"> supuestos, la Entidad deberá </w:t>
      </w:r>
      <w:r>
        <w:rPr>
          <w:rFonts w:ascii="Verdana" w:eastAsia="Calibri" w:hAnsi="Verdana" w:cs="Arial"/>
          <w:lang w:val="es-ES"/>
        </w:rPr>
        <w:t xml:space="preserve">analizar y definir </w:t>
      </w:r>
      <w:r w:rsidRPr="00FC6F34">
        <w:rPr>
          <w:rFonts w:ascii="Verdana" w:eastAsia="Calibri" w:hAnsi="Verdana" w:cs="Arial"/>
          <w:lang w:val="es-ES"/>
        </w:rPr>
        <w:t xml:space="preserve">cuál de las figuras excepcionales a dicho principio es pertinente en el caso concreto. </w:t>
      </w:r>
    </w:p>
    <w:p w14:paraId="48AC5D1F" w14:textId="77777777" w:rsidR="004B6767" w:rsidRPr="00FC6F34" w:rsidRDefault="004B6767" w:rsidP="004B6767">
      <w:pPr>
        <w:shd w:val="clear" w:color="auto" w:fill="FFFFFF"/>
        <w:spacing w:after="0" w:line="276" w:lineRule="auto"/>
        <w:ind w:right="51" w:firstLine="709"/>
        <w:jc w:val="both"/>
        <w:rPr>
          <w:rFonts w:ascii="Verdana" w:eastAsia="Calibri" w:hAnsi="Verdana" w:cs="Arial"/>
          <w:lang w:val="es-ES"/>
        </w:rPr>
      </w:pPr>
      <w:r w:rsidRPr="00FC6F34">
        <w:rPr>
          <w:rFonts w:ascii="Verdana" w:eastAsia="Calibri" w:hAnsi="Verdana" w:cs="Arial"/>
          <w:lang w:val="es-ES"/>
        </w:rPr>
        <w:t>Algunos de los mecanismos presupuestales que constituyen excepciones al principio de anualidad son: (i) las vigencias futuras, (</w:t>
      </w:r>
      <w:proofErr w:type="spellStart"/>
      <w:r w:rsidRPr="00FC6F34">
        <w:rPr>
          <w:rFonts w:ascii="Verdana" w:eastAsia="Calibri" w:hAnsi="Verdana" w:cs="Arial"/>
          <w:lang w:val="es-ES"/>
        </w:rPr>
        <w:t>ii</w:t>
      </w:r>
      <w:proofErr w:type="spellEnd"/>
      <w:r w:rsidRPr="00FC6F34">
        <w:rPr>
          <w:rFonts w:ascii="Verdana" w:eastAsia="Calibri" w:hAnsi="Verdana" w:cs="Arial"/>
          <w:lang w:val="es-ES"/>
        </w:rPr>
        <w:t>) las cuentas por pagar, y (</w:t>
      </w:r>
      <w:proofErr w:type="spellStart"/>
      <w:r w:rsidRPr="00FC6F34">
        <w:rPr>
          <w:rFonts w:ascii="Verdana" w:eastAsia="Calibri" w:hAnsi="Verdana" w:cs="Arial"/>
          <w:lang w:val="es-ES"/>
        </w:rPr>
        <w:t>iii</w:t>
      </w:r>
      <w:proofErr w:type="spellEnd"/>
      <w:r w:rsidRPr="00FC6F34">
        <w:rPr>
          <w:rFonts w:ascii="Verdana" w:eastAsia="Calibri" w:hAnsi="Verdana" w:cs="Arial"/>
          <w:lang w:val="es-ES"/>
        </w:rPr>
        <w:t>) las reservas presupuestales. Según el artículo 23 del Estatuto Orgánico del Presupuesto</w:t>
      </w:r>
      <w:r w:rsidRPr="00FC6F34">
        <w:rPr>
          <w:rStyle w:val="Refdenotaalpie"/>
          <w:rFonts w:ascii="Verdana" w:eastAsia="Calibri" w:hAnsi="Verdana" w:cs="Arial"/>
          <w:lang w:val="es-ES"/>
        </w:rPr>
        <w:footnoteReference w:id="33"/>
      </w:r>
      <w:r w:rsidRPr="00FC6F34">
        <w:rPr>
          <w:rFonts w:ascii="Verdana" w:eastAsia="Calibri" w:hAnsi="Verdana" w:cs="Arial"/>
          <w:lang w:val="es-ES"/>
        </w:rPr>
        <w:t xml:space="preserve"> las </w:t>
      </w:r>
      <w:r w:rsidRPr="00FC6F34">
        <w:rPr>
          <w:rFonts w:ascii="Verdana" w:eastAsia="Calibri" w:hAnsi="Verdana" w:cs="Arial"/>
          <w:i/>
          <w:iCs/>
          <w:lang w:val="es-ES"/>
        </w:rPr>
        <w:t xml:space="preserve">primeras </w:t>
      </w:r>
      <w:r w:rsidRPr="00FC6F34">
        <w:rPr>
          <w:rFonts w:ascii="Verdana" w:eastAsia="Calibri" w:hAnsi="Verdana" w:cs="Arial"/>
          <w:lang w:val="es-ES"/>
        </w:rPr>
        <w:t>se</w:t>
      </w:r>
      <w:r w:rsidRPr="00FC6F34">
        <w:rPr>
          <w:rFonts w:ascii="Verdana" w:eastAsia="Calibri" w:hAnsi="Verdana" w:cs="Arial"/>
          <w:i/>
          <w:iCs/>
          <w:lang w:val="es-ES"/>
        </w:rPr>
        <w:t xml:space="preserve"> </w:t>
      </w:r>
      <w:r w:rsidRPr="00FC6F34">
        <w:rPr>
          <w:rFonts w:ascii="Verdana" w:eastAsia="Calibri" w:hAnsi="Verdana" w:cs="Arial"/>
          <w:lang w:val="es-ES"/>
        </w:rPr>
        <w:t xml:space="preserve">refieren a la autorización que deben solicitar las entidades para asumir obligaciones que afectarán los presupuestos siguientes a los de la vigencia fiscal en la que inició la ejecución, es decir, correspondientes a las obligaciones cuya ejecución </w:t>
      </w:r>
      <w:r w:rsidRPr="007A1953">
        <w:rPr>
          <w:rFonts w:ascii="Verdana" w:eastAsia="Calibri" w:hAnsi="Verdana" w:cs="Arial"/>
          <w:i/>
          <w:iCs/>
          <w:lang w:val="es-ES"/>
        </w:rPr>
        <w:t>inició con presupuesto de una vigencia fiscal</w:t>
      </w:r>
      <w:r w:rsidRPr="00FC6F34">
        <w:rPr>
          <w:rFonts w:ascii="Verdana" w:eastAsia="Calibri" w:hAnsi="Verdana" w:cs="Arial"/>
          <w:lang w:val="es-ES"/>
        </w:rPr>
        <w:t xml:space="preserve">, pero que deberá continuarse con presupuestos de las siguientes vigencias. Sobre esta figura el Consejo de Estado precisó que: </w:t>
      </w:r>
      <w:bookmarkStart w:id="6" w:name="_Hlk192252197"/>
    </w:p>
    <w:p w14:paraId="177D379F" w14:textId="77777777" w:rsidR="004B6767" w:rsidRPr="00FC6F34" w:rsidRDefault="004B6767" w:rsidP="004B6767">
      <w:pPr>
        <w:shd w:val="clear" w:color="auto" w:fill="FFFFFF"/>
        <w:spacing w:after="0" w:line="240" w:lineRule="auto"/>
        <w:ind w:left="709" w:right="709"/>
        <w:jc w:val="both"/>
        <w:rPr>
          <w:rFonts w:ascii="Verdana" w:eastAsia="Calibri" w:hAnsi="Verdana" w:cs="Arial"/>
          <w:sz w:val="21"/>
          <w:szCs w:val="21"/>
          <w:lang w:val="es-ES"/>
        </w:rPr>
      </w:pPr>
    </w:p>
    <w:p w14:paraId="39CB7B92" w14:textId="77777777" w:rsidR="004B6767" w:rsidRPr="00D43D96" w:rsidRDefault="004B6767" w:rsidP="004B6767">
      <w:pPr>
        <w:shd w:val="clear" w:color="auto" w:fill="FFFFFF"/>
        <w:spacing w:after="0" w:line="240" w:lineRule="auto"/>
        <w:ind w:left="709" w:right="709"/>
        <w:jc w:val="both"/>
        <w:rPr>
          <w:rFonts w:ascii="Verdana" w:eastAsia="Calibri" w:hAnsi="Verdana" w:cs="Arial"/>
          <w:sz w:val="20"/>
          <w:szCs w:val="20"/>
          <w:lang w:val="es-ES"/>
        </w:rPr>
      </w:pPr>
      <w:r w:rsidRPr="00D43D96">
        <w:rPr>
          <w:rFonts w:ascii="Verdana" w:eastAsia="Calibri" w:hAnsi="Verdana" w:cs="Arial"/>
          <w:sz w:val="20"/>
          <w:szCs w:val="20"/>
          <w:lang w:val="es-ES"/>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bookmarkEnd w:id="6"/>
      <w:r w:rsidRPr="00D43D96">
        <w:rPr>
          <w:rStyle w:val="Refdenotaalpie"/>
          <w:rFonts w:ascii="Verdana" w:eastAsia="Calibri" w:hAnsi="Verdana" w:cs="Arial"/>
          <w:sz w:val="20"/>
          <w:szCs w:val="20"/>
          <w:lang w:val="es-ES"/>
        </w:rPr>
        <w:footnoteReference w:id="34"/>
      </w:r>
      <w:r w:rsidRPr="00D43D96">
        <w:rPr>
          <w:rFonts w:ascii="Verdana" w:eastAsia="Calibri" w:hAnsi="Verdana" w:cs="Arial"/>
          <w:sz w:val="20"/>
          <w:szCs w:val="20"/>
          <w:lang w:val="es-ES"/>
        </w:rPr>
        <w:t xml:space="preserve">. </w:t>
      </w:r>
    </w:p>
    <w:p w14:paraId="4E505B57" w14:textId="77777777" w:rsidR="004B6767" w:rsidRPr="00FC6F34" w:rsidRDefault="004B6767" w:rsidP="004B6767">
      <w:pPr>
        <w:shd w:val="clear" w:color="auto" w:fill="FFFFFF"/>
        <w:spacing w:after="0" w:line="276" w:lineRule="auto"/>
        <w:ind w:right="709" w:firstLine="708"/>
        <w:jc w:val="both"/>
        <w:rPr>
          <w:rFonts w:ascii="Verdana" w:eastAsia="Calibri" w:hAnsi="Verdana" w:cs="Arial"/>
          <w:lang w:val="es-ES"/>
        </w:rPr>
      </w:pPr>
    </w:p>
    <w:p w14:paraId="7BCD077F" w14:textId="77777777" w:rsidR="004B6767" w:rsidRPr="00FC6F34" w:rsidRDefault="004B6767" w:rsidP="004B6767">
      <w:pPr>
        <w:shd w:val="clear" w:color="auto" w:fill="FFFFFF"/>
        <w:spacing w:after="0" w:line="276" w:lineRule="auto"/>
        <w:ind w:firstLine="708"/>
        <w:jc w:val="both"/>
        <w:rPr>
          <w:rFonts w:ascii="Verdana" w:eastAsia="Calibri" w:hAnsi="Verdana" w:cs="Arial"/>
          <w:sz w:val="21"/>
          <w:szCs w:val="21"/>
          <w:lang w:val="es-ES"/>
        </w:rPr>
      </w:pPr>
      <w:r w:rsidRPr="00FC6F34">
        <w:rPr>
          <w:rFonts w:ascii="Verdana" w:eastAsia="Calibri" w:hAnsi="Verdana" w:cs="Arial"/>
          <w:lang w:val="es-ES"/>
        </w:rPr>
        <w:t xml:space="preserve">La Ley 813 de 2003 establece en sus artículos 10° y 11° dos tipos de vigencias futuras: (i) las </w:t>
      </w:r>
      <w:r w:rsidRPr="00FC6F34">
        <w:rPr>
          <w:rFonts w:ascii="Verdana" w:eastAsia="Calibri" w:hAnsi="Verdana" w:cs="Arial"/>
          <w:i/>
          <w:iCs/>
          <w:lang w:val="es-ES"/>
        </w:rPr>
        <w:t>vigencias futuras ordinarias</w:t>
      </w:r>
      <w:r w:rsidRPr="00FC6F34">
        <w:rPr>
          <w:rFonts w:ascii="Verdana" w:eastAsia="Calibri" w:hAnsi="Verdana" w:cs="Arial"/>
          <w:lang w:val="es-ES"/>
        </w:rPr>
        <w:t xml:space="preserve">, según las cuales el Consejo Superior de Política Fiscal – Confis podrá autorizar la asunción de obligaciones que afecten presupuestos de vigencias futuras cuando </w:t>
      </w:r>
      <w:r w:rsidRPr="007A1953">
        <w:rPr>
          <w:rFonts w:ascii="Verdana" w:eastAsia="Calibri" w:hAnsi="Verdana" w:cs="Arial"/>
          <w:i/>
          <w:iCs/>
          <w:lang w:val="es-ES"/>
        </w:rPr>
        <w:t>su ejecución se inicie</w:t>
      </w:r>
      <w:r w:rsidRPr="00FC6F34">
        <w:rPr>
          <w:rFonts w:ascii="Verdana" w:eastAsia="Calibri" w:hAnsi="Verdana" w:cs="Arial"/>
          <w:lang w:val="es-ES"/>
        </w:rPr>
        <w:t xml:space="preserve"> con presupuesto de la vigencia en curso y el objeto del compromiso se lleve a cabo en cada una de ellas siempre y cuando se cumplan los prepuestos señalados en la norma; y (</w:t>
      </w:r>
      <w:proofErr w:type="spellStart"/>
      <w:r w:rsidRPr="00FC6F34">
        <w:rPr>
          <w:rFonts w:ascii="Verdana" w:eastAsia="Calibri" w:hAnsi="Verdana" w:cs="Arial"/>
          <w:lang w:val="es-ES"/>
        </w:rPr>
        <w:t>ii</w:t>
      </w:r>
      <w:proofErr w:type="spellEnd"/>
      <w:r w:rsidRPr="00FC6F34">
        <w:rPr>
          <w:rFonts w:ascii="Verdana" w:eastAsia="Calibri" w:hAnsi="Verdana" w:cs="Arial"/>
          <w:lang w:val="es-ES"/>
        </w:rPr>
        <w:t xml:space="preserve">) las </w:t>
      </w:r>
      <w:r w:rsidRPr="00FC6F34">
        <w:rPr>
          <w:rFonts w:ascii="Verdana" w:eastAsia="Calibri" w:hAnsi="Verdana" w:cs="Arial"/>
          <w:i/>
          <w:iCs/>
          <w:lang w:val="es-ES"/>
        </w:rPr>
        <w:t>vigencias futuras excepcionales</w:t>
      </w:r>
      <w:r w:rsidRPr="00FC6F34">
        <w:rPr>
          <w:rFonts w:ascii="Verdana" w:eastAsia="Calibri" w:hAnsi="Verdana" w:cs="Arial"/>
          <w:lang w:val="es-ES"/>
        </w:rPr>
        <w:t>, en virtud de la</w:t>
      </w:r>
      <w:r>
        <w:rPr>
          <w:rFonts w:ascii="Verdana" w:eastAsia="Calibri" w:hAnsi="Verdana" w:cs="Arial"/>
          <w:lang w:val="es-ES"/>
        </w:rPr>
        <w:t>s</w:t>
      </w:r>
      <w:r w:rsidRPr="00FC6F34">
        <w:rPr>
          <w:rFonts w:ascii="Verdana" w:eastAsia="Calibri" w:hAnsi="Verdana" w:cs="Arial"/>
          <w:lang w:val="es-ES"/>
        </w:rPr>
        <w:t xml:space="preserve"> cual</w:t>
      </w:r>
      <w:r>
        <w:rPr>
          <w:rFonts w:ascii="Verdana" w:eastAsia="Calibri" w:hAnsi="Verdana" w:cs="Arial"/>
          <w:lang w:val="es-ES"/>
        </w:rPr>
        <w:t>es</w:t>
      </w:r>
      <w:r w:rsidRPr="00FC6F34">
        <w:rPr>
          <w:rFonts w:ascii="Verdana" w:eastAsia="Calibri" w:hAnsi="Verdana" w:cs="Arial"/>
          <w:lang w:val="es-ES"/>
        </w:rPr>
        <w:t xml:space="preserve"> el Confis podrá autorizar que se asuman obligaciones que afecten el presupuesto de vigencias futuras </w:t>
      </w:r>
      <w:r w:rsidRPr="007A1953">
        <w:rPr>
          <w:rFonts w:ascii="Verdana" w:eastAsia="Calibri" w:hAnsi="Verdana" w:cs="Arial"/>
          <w:i/>
          <w:iCs/>
          <w:lang w:val="es-ES"/>
        </w:rPr>
        <w:t>sin apropiación en el presupuesto del año</w:t>
      </w:r>
      <w:r w:rsidRPr="00FC6F34">
        <w:rPr>
          <w:rFonts w:ascii="Verdana" w:eastAsia="Calibri" w:hAnsi="Verdana" w:cs="Arial"/>
          <w:lang w:val="es-ES"/>
        </w:rPr>
        <w:t xml:space="preserve"> en que se concede la autorización, siempre que se trate de casos excepcionales para obras de infraestructura, energía, comunicaciones, aeronáutica, defensa y seguridad, así como para las garantías a las concesiones. </w:t>
      </w:r>
    </w:p>
    <w:p w14:paraId="03A58CC0" w14:textId="77777777" w:rsidR="004B6767" w:rsidRPr="00FC6F34" w:rsidRDefault="004B6767" w:rsidP="004B6767">
      <w:pPr>
        <w:shd w:val="clear" w:color="auto" w:fill="FFFFFF"/>
        <w:spacing w:before="120" w:after="120" w:line="276" w:lineRule="auto"/>
        <w:ind w:right="51" w:firstLine="709"/>
        <w:jc w:val="both"/>
        <w:rPr>
          <w:rFonts w:ascii="Verdana" w:eastAsia="Calibri" w:hAnsi="Verdana" w:cs="Arial"/>
          <w:lang w:val="es-ES"/>
        </w:rPr>
      </w:pPr>
      <w:r w:rsidRPr="00FC6F34">
        <w:rPr>
          <w:rFonts w:ascii="Verdana" w:eastAsia="Calibri" w:hAnsi="Verdana" w:cs="Arial"/>
          <w:lang w:val="es-ES"/>
        </w:rPr>
        <w:t xml:space="preserve">Por su parte, el artículo 12 de la Ley 813 de 2003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establecidas en la Ley 1483 de 2011. Sobre la distinción entre las vigencias futuras ordinarias y las excepcionales el Consejo de Estado señaló que: </w:t>
      </w:r>
    </w:p>
    <w:p w14:paraId="01154DBD" w14:textId="77777777" w:rsidR="004B6767" w:rsidRPr="00D43D96" w:rsidRDefault="004B6767" w:rsidP="004B6767">
      <w:pPr>
        <w:shd w:val="clear" w:color="auto" w:fill="FFFFFF"/>
        <w:spacing w:after="0" w:line="240" w:lineRule="auto"/>
        <w:ind w:left="709" w:right="709"/>
        <w:jc w:val="both"/>
        <w:rPr>
          <w:rFonts w:ascii="Verdana" w:eastAsia="Calibri" w:hAnsi="Verdana" w:cs="Arial"/>
          <w:sz w:val="20"/>
          <w:szCs w:val="20"/>
          <w:lang w:val="es-ES"/>
        </w:rPr>
      </w:pPr>
      <w:r w:rsidRPr="00D43D96">
        <w:rPr>
          <w:rFonts w:ascii="Verdana" w:eastAsia="Calibri" w:hAnsi="Verdana" w:cs="Arial"/>
          <w:sz w:val="20"/>
          <w:szCs w:val="20"/>
          <w:lang w:val="es-ES"/>
        </w:rPr>
        <w:t>“</w:t>
      </w:r>
      <w:r w:rsidRPr="00D43D96">
        <w:rPr>
          <w:rFonts w:ascii="Verdana" w:hAnsi="Verdana" w:cs="Symbol"/>
          <w:sz w:val="20"/>
          <w:szCs w:val="20"/>
          <w:lang w:val="es-ES"/>
        </w:rPr>
        <w:t xml:space="preserve">la diferencia fundamental entre las vigencias futuras ordinarias y las vigencias futuras </w:t>
      </w:r>
      <w:proofErr w:type="gramStart"/>
      <w:r w:rsidRPr="00D43D96">
        <w:rPr>
          <w:rFonts w:ascii="Verdana" w:hAnsi="Verdana" w:cs="Symbol"/>
          <w:sz w:val="20"/>
          <w:szCs w:val="20"/>
          <w:lang w:val="es-ES"/>
        </w:rPr>
        <w:t>excepcionales,</w:t>
      </w:r>
      <w:proofErr w:type="gramEnd"/>
      <w:r w:rsidRPr="00D43D96">
        <w:rPr>
          <w:rFonts w:ascii="Verdana" w:hAnsi="Verdana" w:cs="Symbol"/>
          <w:sz w:val="20"/>
          <w:szCs w:val="20"/>
          <w:lang w:val="es-ES"/>
        </w:rPr>
        <w:t xml:space="preserve"> radica, esencialmente, en que en las primeras la ejecución se inicia con el presupuesto de la vigencia en curso, mientras </w:t>
      </w:r>
      <w:proofErr w:type="gramStart"/>
      <w:r w:rsidRPr="00D43D96">
        <w:rPr>
          <w:rFonts w:ascii="Verdana" w:hAnsi="Verdana" w:cs="Symbol"/>
          <w:sz w:val="20"/>
          <w:szCs w:val="20"/>
          <w:lang w:val="es-ES"/>
        </w:rPr>
        <w:t>que</w:t>
      </w:r>
      <w:proofErr w:type="gramEnd"/>
      <w:r w:rsidRPr="00D43D96">
        <w:rPr>
          <w:rFonts w:ascii="Verdana" w:hAnsi="Verdana" w:cs="Symbol"/>
          <w:sz w:val="20"/>
          <w:szCs w:val="20"/>
          <w:lang w:val="es-ES"/>
        </w:rPr>
        <w:t xml:space="preserve"> en las excepcionales, se afecta el presupuesto de vigencias futuras, sin apropiación en el presupuesto del año en que se concede la autorización</w:t>
      </w:r>
      <w:r w:rsidRPr="00D43D96">
        <w:rPr>
          <w:rFonts w:ascii="Verdana" w:eastAsia="Calibri" w:hAnsi="Verdana" w:cs="Arial"/>
          <w:sz w:val="20"/>
          <w:szCs w:val="20"/>
          <w:lang w:val="es-ES"/>
        </w:rPr>
        <w:t>”</w:t>
      </w:r>
      <w:r w:rsidRPr="00D43D96">
        <w:rPr>
          <w:rStyle w:val="Refdenotaalpie"/>
          <w:rFonts w:ascii="Verdana" w:eastAsia="Calibri" w:hAnsi="Verdana" w:cs="Arial"/>
          <w:sz w:val="20"/>
          <w:szCs w:val="20"/>
          <w:lang w:val="es-ES"/>
        </w:rPr>
        <w:footnoteReference w:id="35"/>
      </w:r>
      <w:r w:rsidRPr="00D43D96">
        <w:rPr>
          <w:rFonts w:ascii="Verdana" w:hAnsi="Verdana" w:cs="Symbol"/>
          <w:sz w:val="20"/>
          <w:szCs w:val="20"/>
          <w:lang w:val="es-ES"/>
        </w:rPr>
        <w:t>.</w:t>
      </w:r>
    </w:p>
    <w:p w14:paraId="2953F0AD" w14:textId="77777777" w:rsidR="004B6767" w:rsidRPr="00FC6F34" w:rsidRDefault="004B6767" w:rsidP="004B6767">
      <w:pPr>
        <w:shd w:val="clear" w:color="auto" w:fill="FFFFFF"/>
        <w:spacing w:after="0" w:line="276" w:lineRule="auto"/>
        <w:ind w:right="51" w:firstLine="709"/>
        <w:contextualSpacing/>
        <w:jc w:val="both"/>
        <w:rPr>
          <w:rFonts w:ascii="Verdana" w:eastAsia="Calibri" w:hAnsi="Verdana" w:cs="Arial"/>
          <w:lang w:val="es-ES"/>
        </w:rPr>
      </w:pPr>
    </w:p>
    <w:p w14:paraId="1444EC5A" w14:textId="77777777" w:rsidR="004B6767" w:rsidRPr="00FC6F34" w:rsidRDefault="004B6767" w:rsidP="004B6767">
      <w:pPr>
        <w:shd w:val="clear" w:color="auto" w:fill="FFFFFF"/>
        <w:spacing w:after="0" w:line="276" w:lineRule="auto"/>
        <w:ind w:right="51" w:firstLine="709"/>
        <w:contextualSpacing/>
        <w:jc w:val="both"/>
        <w:rPr>
          <w:rFonts w:ascii="Verdana" w:eastAsia="Calibri" w:hAnsi="Verdana" w:cs="Arial"/>
          <w:lang w:val="es-ES"/>
        </w:rPr>
      </w:pPr>
      <w:r w:rsidRPr="00FC6F34">
        <w:rPr>
          <w:rFonts w:ascii="Verdana" w:eastAsia="Calibri" w:hAnsi="Verdana" w:cs="Arial"/>
          <w:lang w:val="es-ES"/>
        </w:rPr>
        <w:lastRenderedPageBreak/>
        <w:t xml:space="preserve">Las </w:t>
      </w:r>
      <w:r w:rsidRPr="00FC6F34">
        <w:rPr>
          <w:rFonts w:ascii="Verdana" w:eastAsia="Calibri" w:hAnsi="Verdana" w:cs="Arial"/>
          <w:i/>
          <w:iCs/>
          <w:lang w:val="es-ES"/>
        </w:rPr>
        <w:t xml:space="preserve">cuentas por pagar </w:t>
      </w:r>
      <w:r w:rsidRPr="00FC6F34">
        <w:rPr>
          <w:rFonts w:ascii="Verdana" w:eastAsia="Calibri" w:hAnsi="Verdana" w:cs="Arial"/>
          <w:lang w:val="es-ES"/>
        </w:rPr>
        <w:t>consisten en obligaciones cumplidas en la vigencia actual, correspondientes a los anticipos pactados en los contratos y a la entrega de bienes y servicios, de las cuales solo se encuentra pendiente el pago de acuerdo con los compromisos presupuestales adquiridos por la entidad</w:t>
      </w:r>
      <w:r w:rsidRPr="00FC6F34">
        <w:rPr>
          <w:rStyle w:val="Refdenotaalpie"/>
          <w:rFonts w:ascii="Verdana" w:eastAsia="Calibri" w:hAnsi="Verdana" w:cs="Arial"/>
          <w:lang w:val="es-ES"/>
        </w:rPr>
        <w:footnoteReference w:id="36"/>
      </w:r>
      <w:r w:rsidRPr="00FC6F34">
        <w:rPr>
          <w:rFonts w:ascii="Verdana" w:eastAsia="Calibri" w:hAnsi="Verdana" w:cs="Arial"/>
          <w:lang w:val="es-ES"/>
        </w:rPr>
        <w:t xml:space="preserve">. </w:t>
      </w:r>
    </w:p>
    <w:p w14:paraId="332BECF5" w14:textId="77777777" w:rsidR="004B6767" w:rsidRPr="00FC6F34" w:rsidRDefault="004B6767" w:rsidP="004B6767">
      <w:pPr>
        <w:shd w:val="clear" w:color="auto" w:fill="FFFFFF"/>
        <w:spacing w:before="120" w:after="120" w:line="276" w:lineRule="auto"/>
        <w:ind w:right="51" w:firstLine="709"/>
        <w:jc w:val="both"/>
        <w:rPr>
          <w:rFonts w:ascii="Verdana" w:eastAsia="Calibri" w:hAnsi="Verdana" w:cs="Arial"/>
          <w:lang w:val="es-ES"/>
        </w:rPr>
      </w:pPr>
      <w:r w:rsidRPr="00FC6F34">
        <w:rPr>
          <w:rFonts w:ascii="Verdana" w:eastAsia="Calibri" w:hAnsi="Verdana" w:cs="Arial"/>
          <w:lang w:val="es-ES"/>
        </w:rPr>
        <w:t>Por su parte</w:t>
      </w:r>
      <w:r w:rsidRPr="00FC6F34">
        <w:rPr>
          <w:rFonts w:ascii="Verdana" w:eastAsia="Calibri" w:hAnsi="Verdana" w:cs="Arial"/>
          <w:i/>
          <w:iCs/>
          <w:lang w:val="es-ES"/>
        </w:rPr>
        <w:t xml:space="preserve">, </w:t>
      </w:r>
      <w:r w:rsidRPr="00FC6F34">
        <w:rPr>
          <w:rFonts w:ascii="Verdana" w:eastAsia="Calibri" w:hAnsi="Verdana" w:cs="Arial"/>
          <w:lang w:val="es-ES"/>
        </w:rPr>
        <w:t xml:space="preserve">las </w:t>
      </w:r>
      <w:r w:rsidRPr="00FC6F34">
        <w:rPr>
          <w:rFonts w:ascii="Verdana" w:eastAsia="Calibri" w:hAnsi="Verdana" w:cs="Arial"/>
          <w:i/>
          <w:iCs/>
          <w:lang w:val="es-ES"/>
        </w:rPr>
        <w:t>reservas presupuestales</w:t>
      </w:r>
      <w:bookmarkStart w:id="7" w:name="_Hlk93517351"/>
      <w:r w:rsidRPr="00FC6F34">
        <w:rPr>
          <w:rFonts w:ascii="Verdana" w:eastAsia="Calibri" w:hAnsi="Verdana" w:cs="Arial"/>
          <w:lang w:val="es-ES"/>
        </w:rPr>
        <w:t xml:space="preserve"> 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sidRPr="00FC6F34">
        <w:rPr>
          <w:rStyle w:val="Refdenotaalpie"/>
          <w:rFonts w:ascii="Verdana" w:eastAsia="Calibri" w:hAnsi="Verdana" w:cs="Arial"/>
          <w:lang w:val="es-ES"/>
        </w:rPr>
        <w:footnoteReference w:id="37"/>
      </w:r>
      <w:r w:rsidRPr="00FC6F34">
        <w:rPr>
          <w:rFonts w:ascii="Verdana" w:eastAsia="Calibri" w:hAnsi="Verdana" w:cs="Arial"/>
          <w:lang w:val="es-ES"/>
        </w:rPr>
        <w:t xml:space="preserve">. </w:t>
      </w:r>
      <w:bookmarkEnd w:id="7"/>
      <w:r w:rsidRPr="00FC6F34">
        <w:rPr>
          <w:rFonts w:ascii="Verdana" w:eastAsia="Calibri" w:hAnsi="Verdana" w:cs="Arial"/>
          <w:lang w:val="es-ES"/>
        </w:rPr>
        <w:t xml:space="preserve">En virtud de lo anterior, las </w:t>
      </w:r>
      <w:r>
        <w:rPr>
          <w:rFonts w:ascii="Verdana" w:eastAsia="Calibri" w:hAnsi="Verdana" w:cs="Arial"/>
          <w:lang w:val="es-ES"/>
        </w:rPr>
        <w:t>E</w:t>
      </w:r>
      <w:r w:rsidRPr="00FC6F34">
        <w:rPr>
          <w:rFonts w:ascii="Verdana" w:eastAsia="Calibri" w:hAnsi="Verdana" w:cs="Arial"/>
          <w:lang w:val="es-ES"/>
        </w:rPr>
        <w:t xml:space="preserve">ntidades </w:t>
      </w:r>
      <w:r>
        <w:rPr>
          <w:rFonts w:ascii="Verdana" w:eastAsia="Calibri" w:hAnsi="Verdana" w:cs="Arial"/>
          <w:lang w:val="es-ES"/>
        </w:rPr>
        <w:t>E</w:t>
      </w:r>
      <w:r w:rsidRPr="00FC6F34">
        <w:rPr>
          <w:rFonts w:ascii="Verdana" w:eastAsia="Calibri" w:hAnsi="Verdana" w:cs="Arial"/>
          <w:lang w:val="es-ES"/>
        </w:rPr>
        <w:t xml:space="preserve">statales pueden solicitar reservas presupuestales cuando </w:t>
      </w:r>
      <w:r w:rsidRPr="007A1953">
        <w:rPr>
          <w:rFonts w:ascii="Verdana" w:eastAsia="Calibri" w:hAnsi="Verdana" w:cs="Arial"/>
          <w:i/>
          <w:iCs/>
          <w:lang w:val="es-ES"/>
        </w:rPr>
        <w:t>habiendo adquirido compromisos</w:t>
      </w:r>
      <w:r w:rsidRPr="00FC6F34">
        <w:rPr>
          <w:rFonts w:ascii="Verdana" w:eastAsia="Calibri" w:hAnsi="Verdana" w:cs="Arial"/>
          <w:lang w:val="es-ES"/>
        </w:rPr>
        <w:t xml:space="preserve"> en una vigencia fiscal, a 31 de diciembre no se han cumplido en su totalidad, y, por tanto, debe continuarse con la respectiva ejecución en la siguiente vigencia. Las reservas presupuestales deben constituirse a más tardar el 20 de enero de cada año en los términos indicados por el Decreto 1068 de 2015</w:t>
      </w:r>
      <w:r w:rsidRPr="00FC6F34">
        <w:rPr>
          <w:rStyle w:val="Refdenotaalpie"/>
          <w:rFonts w:ascii="Verdana" w:eastAsia="Calibri" w:hAnsi="Verdana" w:cs="Arial"/>
          <w:lang w:val="es-ES"/>
        </w:rPr>
        <w:footnoteReference w:id="38"/>
      </w:r>
      <w:r w:rsidRPr="00FC6F34">
        <w:rPr>
          <w:rFonts w:ascii="Verdana" w:eastAsia="Calibri" w:hAnsi="Verdana" w:cs="Arial"/>
          <w:lang w:val="es-ES"/>
        </w:rPr>
        <w:t xml:space="preserve">. </w:t>
      </w:r>
    </w:p>
    <w:p w14:paraId="372E544D" w14:textId="77777777" w:rsidR="004B6767" w:rsidRPr="00FC6F34" w:rsidRDefault="004B6767" w:rsidP="004B6767">
      <w:pPr>
        <w:shd w:val="clear" w:color="auto" w:fill="FFFFFF"/>
        <w:spacing w:after="120" w:line="276" w:lineRule="auto"/>
        <w:ind w:right="51" w:firstLine="709"/>
        <w:jc w:val="both"/>
        <w:rPr>
          <w:rFonts w:ascii="Verdana" w:eastAsia="Calibri" w:hAnsi="Verdana" w:cs="Arial"/>
          <w:lang w:val="es-ES"/>
        </w:rPr>
      </w:pPr>
      <w:r w:rsidRPr="00FC6F34">
        <w:rPr>
          <w:rFonts w:ascii="Verdana" w:eastAsia="Calibri" w:hAnsi="Verdana" w:cs="Arial"/>
          <w:lang w:val="es-ES"/>
        </w:rPr>
        <w:t xml:space="preserve">Sin embargo, es necesario tener en cuenta que las entidades no pueden solicitar reservas presupuestales en cualquier situación, ya que al ser un mecanismo excepcional su uso se encuentra restringido </w:t>
      </w:r>
      <w:r>
        <w:rPr>
          <w:rFonts w:ascii="Verdana" w:eastAsia="Calibri" w:hAnsi="Verdana" w:cs="Arial"/>
          <w:lang w:val="es-ES"/>
        </w:rPr>
        <w:t xml:space="preserve">y </w:t>
      </w:r>
      <w:r w:rsidRPr="00FC6F34">
        <w:rPr>
          <w:rFonts w:ascii="Verdana" w:eastAsia="Calibri" w:hAnsi="Verdana" w:cs="Arial"/>
          <w:lang w:val="es-ES"/>
        </w:rPr>
        <w:t xml:space="preserve">deberán estar debidamente justificadas. Esto significa que su constitución no puede obedecer a una indebida planeación contractual, pues tanto el régimen presupuestal como el contractual público se desarrolla </w:t>
      </w:r>
      <w:r>
        <w:rPr>
          <w:rFonts w:ascii="Verdana" w:eastAsia="Calibri" w:hAnsi="Verdana" w:cs="Arial"/>
          <w:lang w:val="es-ES"/>
        </w:rPr>
        <w:t xml:space="preserve">con </w:t>
      </w:r>
      <w:r w:rsidRPr="00FC6F34">
        <w:rPr>
          <w:rFonts w:ascii="Verdana" w:eastAsia="Calibri" w:hAnsi="Verdana" w:cs="Arial"/>
          <w:lang w:val="es-ES"/>
        </w:rPr>
        <w:t xml:space="preserve">base </w:t>
      </w:r>
      <w:r>
        <w:rPr>
          <w:rFonts w:ascii="Verdana" w:eastAsia="Calibri" w:hAnsi="Verdana" w:cs="Arial"/>
          <w:lang w:val="es-ES"/>
        </w:rPr>
        <w:t xml:space="preserve">en </w:t>
      </w:r>
      <w:r w:rsidRPr="00FC6F34">
        <w:rPr>
          <w:rFonts w:ascii="Verdana" w:eastAsia="Calibri" w:hAnsi="Verdana" w:cs="Arial"/>
          <w:lang w:val="es-ES"/>
        </w:rPr>
        <w:t>el principio de planeación. En este sentido, las reservas presupuestales no pueden ser empleadas como una herramienta ordinaria de ejecución presupuestal puesto que están concebidas como “un instrumento de uso esporádico y justificado únicamente en situaciones atípicas que impiden la ejecución de los compromisos en las fechas inicialmente previstas para ello, dentro de la misma vigencia a aquella en que el compromiso se celebró”</w:t>
      </w:r>
      <w:r w:rsidRPr="00FC6F34">
        <w:rPr>
          <w:rStyle w:val="Refdenotaalpie"/>
          <w:rFonts w:ascii="Verdana" w:eastAsia="Calibri" w:hAnsi="Verdana" w:cs="Arial"/>
          <w:lang w:val="es-ES"/>
        </w:rPr>
        <w:footnoteReference w:id="39"/>
      </w:r>
      <w:r w:rsidRPr="00FC6F34">
        <w:rPr>
          <w:rFonts w:ascii="Verdana" w:eastAsia="Calibri" w:hAnsi="Verdana" w:cs="Arial"/>
          <w:lang w:val="es-ES"/>
        </w:rPr>
        <w:t>.</w:t>
      </w:r>
    </w:p>
    <w:p w14:paraId="0764CF47" w14:textId="77777777" w:rsidR="004B6767" w:rsidRPr="00FC6F34" w:rsidRDefault="004B6767" w:rsidP="004B6767">
      <w:pPr>
        <w:shd w:val="clear" w:color="auto" w:fill="FFFFFF"/>
        <w:spacing w:after="120" w:line="276" w:lineRule="auto"/>
        <w:ind w:right="51" w:firstLine="709"/>
        <w:jc w:val="both"/>
        <w:rPr>
          <w:rFonts w:ascii="Verdana" w:eastAsia="Calibri" w:hAnsi="Verdana" w:cs="Arial"/>
          <w:lang w:val="es-ES"/>
        </w:rPr>
      </w:pPr>
      <w:r w:rsidRPr="00FC6F34">
        <w:rPr>
          <w:rFonts w:ascii="Verdana" w:eastAsia="Calibri" w:hAnsi="Verdana" w:cs="Arial"/>
          <w:lang w:val="es-ES"/>
        </w:rPr>
        <w:lastRenderedPageBreak/>
        <w:t xml:space="preserve">Respecto de la distinción entre las reservas presupuestales y las vigencias futuras debe señalarse que, contrario a estas últimas, “la reserva presupuestal supone la existencia de un compromiso presupuestal legalmente adquirido, en otras palabras, de la existencia de un acto o contrato expedido y perfeccionado por las </w:t>
      </w:r>
      <w:proofErr w:type="gramStart"/>
      <w:r w:rsidRPr="00FC6F34">
        <w:rPr>
          <w:rFonts w:ascii="Verdana" w:eastAsia="Calibri" w:hAnsi="Verdana" w:cs="Arial"/>
          <w:lang w:val="es-ES"/>
        </w:rPr>
        <w:t>autoridades públicas</w:t>
      </w:r>
      <w:proofErr w:type="gramEnd"/>
      <w:r w:rsidRPr="00FC6F34">
        <w:rPr>
          <w:rFonts w:ascii="Verdana" w:eastAsia="Calibri" w:hAnsi="Verdana" w:cs="Arial"/>
          <w:lang w:val="es-ES"/>
        </w:rPr>
        <w:t>”. En cambio, en las vigencias futuras se realiza una autorización que afecta presupuestos futuros que “se formaliza antes de que se aprueben las vigencias en las que se van a ejecutar y la vida jurídica de tales autorizaciones se prolonga a lo largo de varias vigencias”</w:t>
      </w:r>
      <w:r w:rsidRPr="00FC6F34">
        <w:rPr>
          <w:rStyle w:val="Refdenotaalpie"/>
          <w:rFonts w:ascii="Verdana" w:eastAsia="Calibri" w:hAnsi="Verdana" w:cs="Arial"/>
          <w:lang w:val="es-ES"/>
        </w:rPr>
        <w:footnoteReference w:id="40"/>
      </w:r>
      <w:r w:rsidRPr="00FC6F34">
        <w:rPr>
          <w:rFonts w:ascii="Verdana" w:eastAsia="Calibri" w:hAnsi="Verdana" w:cs="Arial"/>
          <w:lang w:val="es-ES"/>
        </w:rPr>
        <w:t xml:space="preserve">. </w:t>
      </w:r>
    </w:p>
    <w:p w14:paraId="4170828D" w14:textId="77777777" w:rsidR="004B6767" w:rsidRPr="00FC6F34" w:rsidRDefault="004B6767" w:rsidP="004B6767">
      <w:pPr>
        <w:shd w:val="clear" w:color="auto" w:fill="FFFFFF"/>
        <w:spacing w:after="0" w:line="276" w:lineRule="auto"/>
        <w:ind w:right="51" w:firstLine="709"/>
        <w:jc w:val="both"/>
        <w:rPr>
          <w:rFonts w:ascii="Verdana" w:eastAsia="Calibri" w:hAnsi="Verdana" w:cs="Arial"/>
          <w:lang w:val="es-ES"/>
        </w:rPr>
      </w:pPr>
      <w:r w:rsidRPr="00FC6F34">
        <w:rPr>
          <w:rFonts w:ascii="Verdana" w:eastAsia="Calibri" w:hAnsi="Verdana" w:cs="Arial"/>
          <w:lang w:val="es-ES"/>
        </w:rPr>
        <w:t>Finalmente, es importante hacer referencia a los “pagos de pasivos exigibles – vigencias expiradas” que procede en los casos en los que no se haya constituido la reserva presupuestal o la cuenta por pagar o cuando</w:t>
      </w:r>
      <w:r>
        <w:rPr>
          <w:rFonts w:ascii="Verdana" w:eastAsia="Calibri" w:hAnsi="Verdana" w:cs="Arial"/>
          <w:lang w:val="es-ES"/>
        </w:rPr>
        <w:t>,</w:t>
      </w:r>
      <w:r w:rsidRPr="00FC6F34">
        <w:rPr>
          <w:rFonts w:ascii="Verdana" w:eastAsia="Calibri" w:hAnsi="Verdana" w:cs="Arial"/>
          <w:lang w:val="es-ES"/>
        </w:rPr>
        <w:t xml:space="preserve"> habiéndose constituido</w:t>
      </w:r>
      <w:r>
        <w:rPr>
          <w:rFonts w:ascii="Verdana" w:eastAsia="Calibri" w:hAnsi="Verdana" w:cs="Arial"/>
          <w:lang w:val="es-ES"/>
        </w:rPr>
        <w:t>,</w:t>
      </w:r>
      <w:r w:rsidRPr="00FC6F34">
        <w:rPr>
          <w:rFonts w:ascii="Verdana" w:eastAsia="Calibri" w:hAnsi="Verdana" w:cs="Arial"/>
          <w:lang w:val="es-ES"/>
        </w:rPr>
        <w:t xml:space="preserve"> no se realizó el pago respectivo. El artículo 49 de la Ley 2159 de 2021 “Por la cual se decreta el presupuesto de rentas y recursos de capital y ley de apropiaciones para la vigencia fiscal del 1° de enero al 31 de diciembre de 2022” regula esta figura de la siguiente manera: </w:t>
      </w:r>
    </w:p>
    <w:p w14:paraId="144D3810" w14:textId="77777777" w:rsidR="004B6767" w:rsidRPr="00FC6F34" w:rsidRDefault="004B6767" w:rsidP="004B6767">
      <w:pPr>
        <w:shd w:val="clear" w:color="auto" w:fill="FFFFFF"/>
        <w:spacing w:after="0" w:line="276" w:lineRule="auto"/>
        <w:ind w:right="51" w:firstLine="709"/>
        <w:jc w:val="both"/>
        <w:rPr>
          <w:rFonts w:ascii="Verdana" w:eastAsia="Calibri" w:hAnsi="Verdana" w:cs="Arial"/>
          <w:lang w:val="es-ES"/>
        </w:rPr>
      </w:pPr>
    </w:p>
    <w:p w14:paraId="716C734F" w14:textId="77777777" w:rsidR="004B6767" w:rsidRPr="00FC6F34" w:rsidRDefault="004B6767" w:rsidP="004B6767">
      <w:pPr>
        <w:spacing w:after="0" w:line="240" w:lineRule="auto"/>
        <w:ind w:left="709" w:right="709"/>
        <w:jc w:val="both"/>
        <w:rPr>
          <w:rFonts w:ascii="Verdana" w:eastAsia="Calibri" w:hAnsi="Verdana" w:cs="Arial"/>
          <w:i/>
          <w:iCs/>
          <w:sz w:val="20"/>
          <w:szCs w:val="20"/>
          <w:lang w:val="es-ES"/>
        </w:rPr>
      </w:pPr>
      <w:r w:rsidRPr="00FC6F34">
        <w:rPr>
          <w:rFonts w:ascii="Verdana" w:eastAsia="Calibri" w:hAnsi="Verdana" w:cs="Arial"/>
          <w:sz w:val="20"/>
          <w:szCs w:val="20"/>
          <w:lang w:val="es-ES"/>
        </w:rPr>
        <w:t xml:space="preserve">Sin perjuicio de la responsabilidad fiscal y disciplinaria a que haya lugar, cuando en vigencias anteriores no se haya realizado el pago de obligaciones adquiridas con las formalidades previstas en el Estatuto Orgánico del Presupuesto y demás normas que regulan la materia, y sobre los mismos no se haya constituido la reserva presupuestal o la cuenta por pagar correspondiente, se podrá hacer el pago bajo el concepto de </w:t>
      </w:r>
      <w:r w:rsidRPr="00FC6F34">
        <w:rPr>
          <w:rFonts w:ascii="Verdana" w:eastAsia="Calibri" w:hAnsi="Verdana" w:cs="Arial"/>
          <w:i/>
          <w:iCs/>
          <w:sz w:val="20"/>
          <w:szCs w:val="20"/>
          <w:lang w:val="es-ES"/>
        </w:rPr>
        <w:t xml:space="preserve">"Pago de Pasivos Exigibles - Vigencias Expiradas". </w:t>
      </w:r>
    </w:p>
    <w:p w14:paraId="68909210" w14:textId="77777777" w:rsidR="004B6767" w:rsidRPr="00FC6F34" w:rsidRDefault="004B6767" w:rsidP="004B6767">
      <w:pPr>
        <w:spacing w:after="0" w:line="240" w:lineRule="auto"/>
        <w:ind w:left="709" w:right="709"/>
        <w:jc w:val="both"/>
        <w:rPr>
          <w:rFonts w:ascii="Verdana" w:eastAsia="Calibri" w:hAnsi="Verdana" w:cs="Arial"/>
          <w:i/>
          <w:iCs/>
          <w:sz w:val="20"/>
          <w:szCs w:val="20"/>
          <w:lang w:val="es-ES"/>
        </w:rPr>
      </w:pPr>
    </w:p>
    <w:p w14:paraId="0D404D1A" w14:textId="77777777" w:rsidR="004B6767" w:rsidRPr="00FC6F34" w:rsidRDefault="004B6767" w:rsidP="004B6767">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También procederá la operación prevista en el inciso anterior, cuando el pago no se hubiere realizado pese a haberse constituido oportunamente la reserva presupuestal o la cuenta por pagar en los términos del artículo 89 del Estatuto Orgánico del Presupuesto. </w:t>
      </w:r>
    </w:p>
    <w:p w14:paraId="76DA9763" w14:textId="77777777" w:rsidR="004B6767" w:rsidRPr="00FC6F34" w:rsidRDefault="004B6767" w:rsidP="004B6767">
      <w:pPr>
        <w:spacing w:after="0" w:line="240" w:lineRule="auto"/>
        <w:ind w:left="709" w:right="709"/>
        <w:jc w:val="both"/>
        <w:rPr>
          <w:rFonts w:ascii="Verdana" w:eastAsia="Calibri" w:hAnsi="Verdana" w:cs="Arial"/>
          <w:sz w:val="20"/>
          <w:szCs w:val="20"/>
          <w:lang w:val="es-ES"/>
        </w:rPr>
      </w:pPr>
    </w:p>
    <w:p w14:paraId="3AEEB2F7" w14:textId="77777777" w:rsidR="004B6767" w:rsidRPr="00FC6F34" w:rsidRDefault="004B6767" w:rsidP="004B6767">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El mecanismo previsto en el primer inciso de este artículo también procederá cuando se trate del cumplimiento de una obligación originada en la ley, exigible en vigencias anteriores, aun sin que medie certificado de disponibilidad presupuestal ni registro presupuestal. </w:t>
      </w:r>
    </w:p>
    <w:p w14:paraId="72548D43" w14:textId="77777777" w:rsidR="004B6767" w:rsidRPr="00FC6F34" w:rsidRDefault="004B6767" w:rsidP="004B6767">
      <w:pPr>
        <w:spacing w:after="0" w:line="240" w:lineRule="auto"/>
        <w:ind w:left="709" w:right="709"/>
        <w:jc w:val="both"/>
        <w:rPr>
          <w:rFonts w:ascii="Verdana" w:eastAsia="Calibri" w:hAnsi="Verdana" w:cs="Arial"/>
          <w:sz w:val="20"/>
          <w:szCs w:val="20"/>
          <w:lang w:val="es-ES"/>
        </w:rPr>
      </w:pPr>
    </w:p>
    <w:p w14:paraId="30BC33E2" w14:textId="77777777" w:rsidR="004B6767" w:rsidRPr="00FC6F34" w:rsidRDefault="004B6767" w:rsidP="004B6767">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Cuando se cumpla alguna de las anteriores condiciones, se podrá atender el gasto de "Pago Pasivos Exigibles - Vigencias Expiradas", a través del rubro presupuestal correspondiente de acuerdo con el detalle del anexo del decreto de liquidación. Al momento de hacerse el registro presupuestal deberá dejarse consignada la expresión "Pago Pasivos Exigibles - Vigencias Expiradas". Copia del acto administrativo que ordena su pago </w:t>
      </w:r>
      <w:r w:rsidRPr="00FC6F34">
        <w:rPr>
          <w:rFonts w:ascii="Verdana" w:eastAsia="Calibri" w:hAnsi="Verdana" w:cs="Arial"/>
          <w:sz w:val="20"/>
          <w:szCs w:val="20"/>
          <w:lang w:val="es-ES"/>
        </w:rPr>
        <w:lastRenderedPageBreak/>
        <w:t>deberá ser remitido a la Contrataría General de la República”. […] [Cursiva fuera del texto original].</w:t>
      </w:r>
    </w:p>
    <w:p w14:paraId="3F1F3859" w14:textId="77777777" w:rsidR="004B6767" w:rsidRPr="00FC6F34" w:rsidRDefault="004B6767" w:rsidP="004B6767">
      <w:pPr>
        <w:spacing w:after="0" w:line="276" w:lineRule="auto"/>
        <w:ind w:left="709" w:right="709"/>
        <w:jc w:val="both"/>
        <w:rPr>
          <w:rFonts w:ascii="Verdana" w:eastAsia="Calibri" w:hAnsi="Verdana" w:cs="Arial"/>
          <w:lang w:val="es-ES"/>
        </w:rPr>
      </w:pPr>
    </w:p>
    <w:p w14:paraId="2BC1809B" w14:textId="77777777" w:rsidR="004B6767" w:rsidRPr="00FC6F34" w:rsidRDefault="004B6767" w:rsidP="004B6767">
      <w:pPr>
        <w:shd w:val="clear" w:color="auto" w:fill="FFFFFF"/>
        <w:spacing w:after="120" w:line="276" w:lineRule="auto"/>
        <w:ind w:firstLine="709"/>
        <w:jc w:val="both"/>
        <w:rPr>
          <w:rFonts w:ascii="Verdana" w:eastAsia="Calibri" w:hAnsi="Verdana" w:cs="Arial"/>
          <w:lang w:val="es-ES"/>
        </w:rPr>
      </w:pPr>
      <w:r w:rsidRPr="00FC6F34">
        <w:rPr>
          <w:rFonts w:ascii="Verdana" w:eastAsia="Calibri" w:hAnsi="Verdana" w:cs="Arial"/>
          <w:lang w:val="es-ES"/>
        </w:rPr>
        <w:t xml:space="preserve">En este sentido, el pago de “pasivos – vigencias expiradas” procederá cuando se cumplan los parámetros antes expuestos para las entidades que se rigen por dicha Ley. En los demás casos, se deberán atender las normas presupuestales particulares que lo regulen, atendiendo a la naturaleza de la entidad pública. </w:t>
      </w:r>
    </w:p>
    <w:p w14:paraId="396F7EB8" w14:textId="77777777" w:rsidR="004B6767" w:rsidRPr="00FC6F34" w:rsidRDefault="004B6767" w:rsidP="004B6767">
      <w:pPr>
        <w:shd w:val="clear" w:color="auto" w:fill="FFFFFF"/>
        <w:spacing w:after="120" w:line="276" w:lineRule="auto"/>
        <w:ind w:firstLine="709"/>
        <w:jc w:val="both"/>
        <w:rPr>
          <w:rFonts w:ascii="Verdana" w:eastAsia="Calibri" w:hAnsi="Verdana" w:cs="Arial"/>
          <w:lang w:val="es-ES"/>
        </w:rPr>
      </w:pPr>
      <w:bookmarkStart w:id="9" w:name="_Hlk192252998"/>
      <w:r w:rsidRPr="00FC6F34">
        <w:rPr>
          <w:rFonts w:ascii="Verdana" w:eastAsia="Calibri" w:hAnsi="Verdana" w:cs="Arial"/>
          <w:lang w:val="es-ES"/>
        </w:rPr>
        <w:t xml:space="preserve">En conclusión, las Entidades Estatales deben planear sus contrataciones con fundamento en el principio de la </w:t>
      </w:r>
      <w:r w:rsidRPr="00FC6F34">
        <w:rPr>
          <w:rFonts w:ascii="Verdana" w:eastAsia="Calibri" w:hAnsi="Verdana" w:cs="Arial"/>
          <w:i/>
          <w:iCs/>
          <w:lang w:val="es-ES"/>
        </w:rPr>
        <w:t>anualidad del presupuesto</w:t>
      </w:r>
      <w:r w:rsidRPr="00FC6F34">
        <w:rPr>
          <w:rFonts w:ascii="Verdana" w:eastAsia="Calibri" w:hAnsi="Verdana" w:cs="Arial"/>
          <w:lang w:val="es-ES"/>
        </w:rPr>
        <w:t xml:space="preserve">. En el caso de contratos que incluyan la apropiación o ejecución de su presupuesto, el cumplimiento de este principio supone que sus compromisos presupuestales deben ser ejecutados dentro de la vigencia fiscal comprendida entre el 1 de enero y el 31 de diciembre. Sin embargo, como excepción a este principio se establecen mecanismos presupuestales dentro de los cuales se encuentran las vigencias futuras, que permite asumir compromisos que afecten el presupuesto de vigencias posteriores. </w:t>
      </w:r>
    </w:p>
    <w:p w14:paraId="055D2C78" w14:textId="77777777" w:rsidR="004B6767" w:rsidRDefault="004B6767" w:rsidP="004B6767">
      <w:pPr>
        <w:shd w:val="clear" w:color="auto" w:fill="FFFFFF"/>
        <w:spacing w:after="0" w:line="276" w:lineRule="auto"/>
        <w:ind w:firstLine="709"/>
        <w:jc w:val="both"/>
        <w:rPr>
          <w:rFonts w:ascii="Verdana" w:eastAsia="Calibri" w:hAnsi="Verdana" w:cs="Arial"/>
          <w:lang w:val="es-ES"/>
        </w:rPr>
      </w:pPr>
      <w:r w:rsidRPr="00FC6F34">
        <w:rPr>
          <w:rFonts w:ascii="Verdana" w:eastAsia="Calibri" w:hAnsi="Verdana" w:cs="Arial"/>
          <w:lang w:val="es-ES"/>
        </w:rPr>
        <w:t>De esta manera, en caso de que en la etapa de planeación la entidad evidencie que el contrato a ejecutar excede la vigencia fiscal correspondiente deberá atender las previsiones legales sobre las excepciones al principio de anualidad del gasto</w:t>
      </w:r>
      <w:r w:rsidRPr="00FC6F34">
        <w:rPr>
          <w:rFonts w:ascii="Verdana" w:eastAsia="Arial" w:hAnsi="Verdana" w:cs="Arial"/>
          <w:bCs/>
          <w:lang w:val="es-ES"/>
        </w:rPr>
        <w:t xml:space="preserve"> y determinar cuál resulta aplicable al caso en concreto</w:t>
      </w:r>
      <w:r w:rsidRPr="00FC6F34">
        <w:rPr>
          <w:rFonts w:ascii="Verdana" w:eastAsia="Calibri" w:hAnsi="Verdana" w:cs="Arial"/>
          <w:lang w:val="es-ES"/>
        </w:rPr>
        <w:t>. Dichas excepciones deben estar debidamente justificadas, cumplir con los requisitos establecidos por la normativa vigente, y seguir los procedimientos correspondientes para su autorización y ejecución, conforme a lo descrito en este concepto.</w:t>
      </w:r>
      <w:bookmarkEnd w:id="9"/>
    </w:p>
    <w:p w14:paraId="627F9FFA" w14:textId="77777777" w:rsidR="004B6767" w:rsidRDefault="004B6767" w:rsidP="004B6767">
      <w:pPr>
        <w:shd w:val="clear" w:color="auto" w:fill="FFFFFF"/>
        <w:spacing w:after="0" w:line="276" w:lineRule="auto"/>
        <w:ind w:firstLine="709"/>
        <w:jc w:val="both"/>
        <w:rPr>
          <w:rFonts w:ascii="Verdana" w:eastAsia="Calibri" w:hAnsi="Verdana" w:cs="Arial"/>
          <w:lang w:val="es-ES"/>
        </w:rPr>
      </w:pPr>
    </w:p>
    <w:p w14:paraId="5529365A" w14:textId="2C1BD8B3" w:rsidR="004B6767" w:rsidRPr="00584759" w:rsidRDefault="004B6767" w:rsidP="004B6767">
      <w:pPr>
        <w:shd w:val="clear" w:color="auto" w:fill="FFFFFF"/>
        <w:spacing w:after="120" w:line="276" w:lineRule="auto"/>
        <w:jc w:val="both"/>
        <w:rPr>
          <w:rFonts w:ascii="Verdana" w:eastAsia="Calibri" w:hAnsi="Verdana" w:cs="Arial"/>
          <w:lang w:val="es-ES"/>
        </w:rPr>
      </w:pPr>
      <w:r>
        <w:rPr>
          <w:rFonts w:ascii="Verdana" w:eastAsia="Calibri" w:hAnsi="Verdana" w:cs="Arial"/>
          <w:lang w:val="es-ES"/>
        </w:rPr>
        <w:t xml:space="preserve">En suma,  </w:t>
      </w:r>
      <w:r w:rsidRPr="00584759">
        <w:rPr>
          <w:rFonts w:ascii="Verdana" w:eastAsia="Calibri" w:hAnsi="Verdana" w:cs="Arial"/>
          <w:lang w:val="es-ES"/>
        </w:rPr>
        <w:t>corresponderá a cada entidad estatal, incluyendo a aquellas autorizadas para suscribir contratos en el marco de los Planes de Salud Pública de Intervenciones Colectivas</w:t>
      </w:r>
      <w:r w:rsidR="00E10804">
        <w:rPr>
          <w:rFonts w:ascii="Verdana" w:eastAsia="Calibri" w:hAnsi="Verdana" w:cs="Arial"/>
          <w:lang w:val="es-ES"/>
        </w:rPr>
        <w:t xml:space="preserve">, </w:t>
      </w:r>
      <w:r w:rsidRPr="00584759">
        <w:rPr>
          <w:rFonts w:ascii="Verdana" w:eastAsia="Calibri" w:hAnsi="Verdana" w:cs="Arial"/>
          <w:lang w:val="es-ES"/>
        </w:rPr>
        <w:t>determinar la procedencia de celebrar un contrato estatal específico, para lo cual deberán tener en cuenta las prohibiciones establecidas en materia contractual en la Ley de Garantías Electorales, así como las excepciones al principio de anualidad presupuestal que resulten procedentes, de acuerdo con lo explicado en las consideraciones de este concepto.</w:t>
      </w:r>
    </w:p>
    <w:p w14:paraId="700944F1" w14:textId="44016353" w:rsidR="004B6767" w:rsidRPr="00E06D2F" w:rsidRDefault="004B6767" w:rsidP="00E06D2F">
      <w:pPr>
        <w:shd w:val="clear" w:color="auto" w:fill="FFFFFF"/>
        <w:spacing w:after="120" w:line="276" w:lineRule="auto"/>
        <w:ind w:firstLine="708"/>
        <w:jc w:val="both"/>
        <w:rPr>
          <w:rFonts w:ascii="Verdana" w:eastAsia="Calibri" w:hAnsi="Verdana" w:cs="Arial"/>
          <w:lang w:val="es-ES"/>
        </w:rPr>
      </w:pPr>
      <w:r>
        <w:rPr>
          <w:rFonts w:ascii="Verdana" w:eastAsia="Calibri" w:hAnsi="Verdana" w:cs="Arial"/>
          <w:lang w:val="es-ES"/>
        </w:rPr>
        <w:t>En particular</w:t>
      </w:r>
      <w:r w:rsidRPr="00584759">
        <w:rPr>
          <w:rFonts w:ascii="Verdana" w:eastAsia="Calibri" w:hAnsi="Verdana" w:cs="Arial"/>
          <w:lang w:val="es-ES"/>
        </w:rPr>
        <w:t xml:space="preserve">, corresponde a cada </w:t>
      </w:r>
      <w:r>
        <w:rPr>
          <w:rFonts w:ascii="Verdana" w:eastAsia="Calibri" w:hAnsi="Verdana" w:cs="Arial"/>
          <w:lang w:val="es-ES"/>
        </w:rPr>
        <w:t>E</w:t>
      </w:r>
      <w:r w:rsidRPr="00584759">
        <w:rPr>
          <w:rFonts w:ascii="Verdana" w:eastAsia="Calibri" w:hAnsi="Verdana" w:cs="Arial"/>
          <w:lang w:val="es-ES"/>
        </w:rPr>
        <w:t xml:space="preserve">ntidad </w:t>
      </w:r>
      <w:r>
        <w:rPr>
          <w:rFonts w:ascii="Verdana" w:eastAsia="Calibri" w:hAnsi="Verdana" w:cs="Arial"/>
          <w:lang w:val="es-ES"/>
        </w:rPr>
        <w:t>E</w:t>
      </w:r>
      <w:r w:rsidRPr="00584759">
        <w:rPr>
          <w:rFonts w:ascii="Verdana" w:eastAsia="Calibri" w:hAnsi="Verdana" w:cs="Arial"/>
          <w:lang w:val="es-ES"/>
        </w:rPr>
        <w:t>statal realizar el correspondiente análisis para determinar si aplica o no una determinada excepción</w:t>
      </w:r>
      <w:r>
        <w:rPr>
          <w:rFonts w:ascii="Verdana" w:eastAsia="Calibri" w:hAnsi="Verdana" w:cs="Arial"/>
          <w:lang w:val="es-ES"/>
        </w:rPr>
        <w:t xml:space="preserve"> a la prohibición del artículo 33 de la Ley de Garantías</w:t>
      </w:r>
      <w:r w:rsidRPr="00584759">
        <w:rPr>
          <w:rFonts w:ascii="Verdana" w:eastAsia="Calibri" w:hAnsi="Verdana" w:cs="Arial"/>
          <w:lang w:val="es-ES"/>
        </w:rPr>
        <w:t xml:space="preserve"> </w:t>
      </w:r>
      <w:r>
        <w:rPr>
          <w:rFonts w:ascii="Verdana" w:eastAsia="Calibri" w:hAnsi="Verdana" w:cs="Arial"/>
          <w:lang w:val="es-ES"/>
        </w:rPr>
        <w:t xml:space="preserve">Electorales, </w:t>
      </w:r>
      <w:r>
        <w:rPr>
          <w:rFonts w:ascii="Verdana" w:eastAsia="Calibri" w:hAnsi="Verdana" w:cs="Arial"/>
          <w:lang w:val="es-ES"/>
        </w:rPr>
        <w:lastRenderedPageBreak/>
        <w:t xml:space="preserve">según </w:t>
      </w:r>
      <w:r w:rsidRPr="00584759">
        <w:rPr>
          <w:rFonts w:ascii="Verdana" w:eastAsia="Calibri" w:hAnsi="Verdana" w:cs="Arial"/>
          <w:lang w:val="es-ES"/>
        </w:rPr>
        <w:t xml:space="preserve">la situación fáctica y jurídica particular del caso concreto, para lo cual las consideraciones expuestas en el presente concepto constituyen un instrumento orientador. De ser es procedente la excepción, la entidad </w:t>
      </w:r>
      <w:r>
        <w:rPr>
          <w:rFonts w:ascii="Verdana" w:eastAsia="Calibri" w:hAnsi="Verdana" w:cs="Arial"/>
          <w:lang w:val="es-ES"/>
        </w:rPr>
        <w:t xml:space="preserve">podrá </w:t>
      </w:r>
      <w:r w:rsidRPr="00584759">
        <w:rPr>
          <w:rFonts w:ascii="Verdana" w:eastAsia="Calibri" w:hAnsi="Verdana" w:cs="Arial"/>
          <w:lang w:val="es-ES"/>
        </w:rPr>
        <w:t>realizar la contratación directa justificando las razones que avalan su procedencia</w:t>
      </w:r>
      <w:r w:rsidRPr="00FC6F34">
        <w:rPr>
          <w:rFonts w:ascii="Verdana" w:hAnsi="Verdana" w:cs="Arial"/>
          <w:lang w:val="es-ES" w:eastAsia="es-CO"/>
        </w:rPr>
        <w:t>. Por el contrario, si el estudio determina que no aplica excepción alguna estará vedada la celebración de contratos de manera directa</w:t>
      </w:r>
      <w:r>
        <w:rPr>
          <w:rFonts w:ascii="Verdana" w:hAnsi="Verdana" w:cs="Arial"/>
          <w:lang w:val="es-ES" w:eastAsia="es-CO"/>
        </w:rPr>
        <w:t xml:space="preserve">. </w:t>
      </w:r>
      <w:r w:rsidRPr="00FC6F34">
        <w:rPr>
          <w:rFonts w:ascii="Verdana" w:hAnsi="Verdana" w:cs="Arial"/>
          <w:lang w:val="es-ES" w:eastAsia="es-CO"/>
        </w:rPr>
        <w:t>Lo anterior, sin perjuicio de la prohibición establecida en el parágrafo del artículo 38 de la Ley de Garantías Electorales</w:t>
      </w:r>
      <w:r>
        <w:rPr>
          <w:rFonts w:ascii="Verdana" w:hAnsi="Verdana" w:cs="Arial"/>
          <w:lang w:val="es-ES" w:eastAsia="es-CO"/>
        </w:rPr>
        <w:t>. En cualquier caso, las entidades podrán considerar l</w:t>
      </w:r>
      <w:r w:rsidRPr="00FC6F34">
        <w:rPr>
          <w:rFonts w:ascii="Verdana" w:hAnsi="Verdana" w:cs="Arial"/>
          <w:lang w:val="es-ES" w:eastAsia="es-CO"/>
        </w:rPr>
        <w:t xml:space="preserve">a posibilidad </w:t>
      </w:r>
      <w:r>
        <w:rPr>
          <w:rFonts w:ascii="Verdana" w:hAnsi="Verdana" w:cs="Arial"/>
          <w:lang w:val="es-ES" w:eastAsia="es-CO"/>
        </w:rPr>
        <w:t>de adelantar modalidades distintas a la contratación directa o tipologías distintas a la contratación interadministrativa</w:t>
      </w:r>
      <w:r w:rsidRPr="00FC6F34">
        <w:rPr>
          <w:rFonts w:ascii="Verdana" w:hAnsi="Verdana" w:cs="Arial"/>
          <w:lang w:val="es-ES" w:eastAsia="es-CO"/>
        </w:rPr>
        <w:t xml:space="preserve">, </w:t>
      </w:r>
      <w:r>
        <w:rPr>
          <w:rFonts w:ascii="Verdana" w:hAnsi="Verdana" w:cs="Arial"/>
          <w:lang w:val="es-ES" w:eastAsia="es-CO"/>
        </w:rPr>
        <w:t xml:space="preserve">es decir, aquellas que </w:t>
      </w:r>
      <w:r w:rsidRPr="00FC6F34">
        <w:rPr>
          <w:rFonts w:ascii="Verdana" w:hAnsi="Verdana" w:cs="Arial"/>
          <w:lang w:val="es-ES" w:eastAsia="es-CO"/>
        </w:rPr>
        <w:t>no se encuentr</w:t>
      </w:r>
      <w:r>
        <w:rPr>
          <w:rFonts w:ascii="Verdana" w:hAnsi="Verdana" w:cs="Arial"/>
          <w:lang w:val="es-ES" w:eastAsia="es-CO"/>
        </w:rPr>
        <w:t>e</w:t>
      </w:r>
      <w:r w:rsidRPr="00FC6F34">
        <w:rPr>
          <w:rFonts w:ascii="Verdana" w:hAnsi="Verdana" w:cs="Arial"/>
          <w:lang w:val="es-ES" w:eastAsia="es-CO"/>
        </w:rPr>
        <w:t>n restringidas por el artículo 33</w:t>
      </w:r>
      <w:r>
        <w:rPr>
          <w:rFonts w:ascii="Verdana" w:hAnsi="Verdana" w:cs="Arial"/>
          <w:lang w:val="es-ES" w:eastAsia="es-CO"/>
        </w:rPr>
        <w:t xml:space="preserve"> o el parágrafo del artículo 38</w:t>
      </w:r>
      <w:r w:rsidRPr="00FC6F34">
        <w:rPr>
          <w:rFonts w:ascii="Verdana" w:hAnsi="Verdana" w:cs="Arial"/>
          <w:lang w:val="es-ES" w:eastAsia="es-CO"/>
        </w:rPr>
        <w:t xml:space="preserve"> de la Ley 996 de 2005.</w:t>
      </w:r>
    </w:p>
    <w:p w14:paraId="2EA6B3C8" w14:textId="77777777" w:rsidR="004B6767" w:rsidRPr="00584759" w:rsidRDefault="004B6767" w:rsidP="004B6767">
      <w:pPr>
        <w:spacing w:after="120" w:line="276" w:lineRule="auto"/>
        <w:ind w:firstLine="708"/>
        <w:jc w:val="both"/>
        <w:rPr>
          <w:rFonts w:ascii="Verdana" w:eastAsia="Times New Roman" w:hAnsi="Verdana" w:cs="Arial"/>
          <w:bCs/>
          <w:lang w:val="es-ES"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statal que considera celebrar un contrato específico definir si este se 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4C4BDE97" w14:textId="77777777" w:rsidR="004B6767" w:rsidRPr="00FC6F34" w:rsidRDefault="004B6767" w:rsidP="004B6767">
      <w:pPr>
        <w:spacing w:after="0" w:line="276" w:lineRule="auto"/>
        <w:ind w:firstLine="708"/>
        <w:jc w:val="both"/>
        <w:rPr>
          <w:rFonts w:ascii="Verdana" w:eastAsia="Calibri" w:hAnsi="Verdana" w:cs="Arial"/>
          <w:lang w:val="es-ES"/>
        </w:rPr>
      </w:pPr>
    </w:p>
    <w:bookmarkEnd w:id="1"/>
    <w:bookmarkEnd w:id="2"/>
    <w:p w14:paraId="15A72604"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p w14:paraId="486A3527" w14:textId="77777777" w:rsidR="004B6767" w:rsidRPr="00FC6F34" w:rsidRDefault="004B6767" w:rsidP="004B6767">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6767" w:rsidRPr="00FC6F34" w14:paraId="363ED045" w14:textId="77777777" w:rsidTr="00E67E18">
        <w:trPr>
          <w:trHeight w:val="870"/>
        </w:trPr>
        <w:tc>
          <w:tcPr>
            <w:tcW w:w="8647" w:type="dxa"/>
          </w:tcPr>
          <w:p w14:paraId="2D8600DF" w14:textId="77777777" w:rsidR="004B6767" w:rsidRPr="00FC6F34"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Arial MT" w:hAnsi="Verdana" w:cs="Arial"/>
                <w:lang w:val="es-ES" w:eastAsia="es-ES" w:bidi="es-ES"/>
              </w:rPr>
              <w:t>Constitución Política, artículo 127.</w:t>
            </w:r>
          </w:p>
          <w:p w14:paraId="3BAFADC7" w14:textId="77777777" w:rsidR="004B6767" w:rsidRDefault="004B6767" w:rsidP="0027089D">
            <w:pPr>
              <w:pStyle w:val="Prrafodelista"/>
              <w:numPr>
                <w:ilvl w:val="0"/>
                <w:numId w:val="16"/>
              </w:numPr>
              <w:spacing w:line="276" w:lineRule="auto"/>
              <w:ind w:left="714" w:hanging="357"/>
              <w:jc w:val="both"/>
              <w:rPr>
                <w:rFonts w:ascii="Verdana" w:hAnsi="Verdana" w:cs="Arial"/>
              </w:rPr>
            </w:pPr>
            <w:r w:rsidRPr="00FC6F34">
              <w:rPr>
                <w:rFonts w:ascii="Verdana" w:hAnsi="Verdana" w:cs="Arial"/>
              </w:rPr>
              <w:t>Ley 80 de 1993, artículos 30 y 32.</w:t>
            </w:r>
          </w:p>
          <w:p w14:paraId="18476F3E" w14:textId="76B13CCB" w:rsidR="0042718F" w:rsidRPr="00FC6F34" w:rsidRDefault="0042718F" w:rsidP="0027089D">
            <w:pPr>
              <w:pStyle w:val="Prrafodelista"/>
              <w:numPr>
                <w:ilvl w:val="0"/>
                <w:numId w:val="16"/>
              </w:numPr>
              <w:spacing w:line="276" w:lineRule="auto"/>
              <w:ind w:left="714" w:hanging="357"/>
              <w:jc w:val="both"/>
              <w:rPr>
                <w:rFonts w:ascii="Verdana" w:hAnsi="Verdana" w:cs="Arial"/>
              </w:rPr>
            </w:pPr>
            <w:r w:rsidRPr="00FC6F34">
              <w:rPr>
                <w:rFonts w:ascii="Verdana" w:hAnsi="Verdana" w:cs="Arial"/>
                <w:color w:val="000000" w:themeColor="text1"/>
              </w:rPr>
              <w:t>Ley 100 de 1993</w:t>
            </w:r>
            <w:r w:rsidR="006D50FD">
              <w:rPr>
                <w:rFonts w:ascii="Verdana" w:hAnsi="Verdana" w:cs="Arial"/>
                <w:color w:val="000000" w:themeColor="text1"/>
              </w:rPr>
              <w:t>:</w:t>
            </w:r>
            <w:r>
              <w:rPr>
                <w:rFonts w:ascii="Verdana" w:hAnsi="Verdana" w:cs="Arial"/>
                <w:color w:val="000000" w:themeColor="text1"/>
              </w:rPr>
              <w:t xml:space="preserve"> artículo 94 y 197</w:t>
            </w:r>
          </w:p>
          <w:p w14:paraId="5DAA8787" w14:textId="77777777" w:rsidR="004B6767"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Ley 813 de 2003: artículos 8, 10, 11 y 12.</w:t>
            </w:r>
          </w:p>
          <w:p w14:paraId="4B133AD8" w14:textId="506EE911" w:rsidR="006D50FD" w:rsidRPr="00EB7F54" w:rsidRDefault="006D50FD"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Arial MT" w:hAnsi="Verdana" w:cs="Arial"/>
                <w:bCs/>
                <w:lang w:val="es-ES" w:eastAsia="es-ES" w:bidi="es-ES"/>
              </w:rPr>
              <w:t>Ley 996 de 2005: artículos 33 y 38.</w:t>
            </w:r>
          </w:p>
          <w:p w14:paraId="721E36E2" w14:textId="77777777" w:rsidR="004B6767" w:rsidRPr="00FC6F34"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Ley 1483 de 2011.</w:t>
            </w:r>
          </w:p>
          <w:p w14:paraId="0C2C6B13" w14:textId="77777777" w:rsidR="004B6767" w:rsidRPr="00FC6F34"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Decreto 111 de 1996.</w:t>
            </w:r>
          </w:p>
          <w:p w14:paraId="1F146BD4" w14:textId="77777777" w:rsidR="004B6767"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 xml:space="preserve">Decreto 1068 de 2015: artículo 2.8.3.4. </w:t>
            </w:r>
          </w:p>
          <w:p w14:paraId="3D8B92DB" w14:textId="006A5003" w:rsidR="0042718F" w:rsidRPr="00FC6F34" w:rsidRDefault="0042718F"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eastAsia="Arial" w:hAnsi="Verdana" w:cs="Arial"/>
                <w:bCs/>
                <w:color w:val="000000" w:themeColor="text1"/>
              </w:rPr>
              <w:t>Decreto 780 de 2016</w:t>
            </w:r>
            <w:r w:rsidR="004841EA">
              <w:rPr>
                <w:rFonts w:ascii="Verdana" w:eastAsia="Arial" w:hAnsi="Verdana" w:cs="Arial"/>
                <w:bCs/>
                <w:color w:val="000000" w:themeColor="text1"/>
              </w:rPr>
              <w:t>:</w:t>
            </w:r>
            <w:r>
              <w:rPr>
                <w:rFonts w:ascii="Verdana" w:eastAsia="Arial" w:hAnsi="Verdana" w:cs="Arial"/>
                <w:bCs/>
                <w:color w:val="000000" w:themeColor="text1"/>
              </w:rPr>
              <w:t xml:space="preserve"> </w:t>
            </w:r>
            <w:r w:rsidRPr="00FC6F34">
              <w:rPr>
                <w:rFonts w:ascii="Verdana" w:eastAsia="Arial" w:hAnsi="Verdana" w:cs="Arial"/>
                <w:bCs/>
                <w:color w:val="000000" w:themeColor="text1"/>
              </w:rPr>
              <w:t>artículo 2.8.8.1.1.3</w:t>
            </w:r>
          </w:p>
          <w:p w14:paraId="6D797922" w14:textId="77777777" w:rsidR="004B6767" w:rsidRPr="00FC6F34"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Calibri" w:hAnsi="Verdana" w:cs="Arial"/>
                <w:lang w:val="es-ES"/>
              </w:rPr>
              <w:lastRenderedPageBreak/>
              <w:t>Decreto 2770 de 2006.</w:t>
            </w:r>
          </w:p>
          <w:p w14:paraId="6828F460" w14:textId="4AFB0B00" w:rsidR="004B6767"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Times New Roman" w:hAnsi="Verdana" w:cs="Times New Roman"/>
                <w:lang w:val="es-ES" w:eastAsia="es-MX"/>
              </w:rPr>
              <w:t>Ley 1150 de 2007</w:t>
            </w:r>
            <w:r w:rsidR="004841EA">
              <w:rPr>
                <w:rFonts w:ascii="Verdana" w:eastAsia="Times New Roman" w:hAnsi="Verdana" w:cs="Times New Roman"/>
                <w:lang w:val="es-ES" w:eastAsia="es-MX"/>
              </w:rPr>
              <w:t>:</w:t>
            </w:r>
            <w:r w:rsidRPr="00FC6F34">
              <w:rPr>
                <w:rFonts w:ascii="Verdana" w:eastAsia="Times New Roman" w:hAnsi="Verdana" w:cs="Times New Roman"/>
                <w:lang w:val="es-ES" w:eastAsia="es-MX"/>
              </w:rPr>
              <w:t xml:space="preserve"> </w:t>
            </w:r>
            <w:r w:rsidR="004841EA">
              <w:rPr>
                <w:rFonts w:ascii="Verdana" w:eastAsia="Arial MT" w:hAnsi="Verdana" w:cs="Arial"/>
                <w:lang w:val="es-ES" w:eastAsia="es-ES" w:bidi="es-ES"/>
              </w:rPr>
              <w:t>a</w:t>
            </w:r>
            <w:r w:rsidRPr="00FC6F34">
              <w:rPr>
                <w:rFonts w:ascii="Verdana" w:eastAsia="Arial MT" w:hAnsi="Verdana" w:cs="Arial"/>
                <w:lang w:val="es-ES" w:eastAsia="es-ES" w:bidi="es-ES"/>
              </w:rPr>
              <w:t xml:space="preserve">rtículo 2, numeral 4. </w:t>
            </w:r>
          </w:p>
          <w:p w14:paraId="53E30C5D" w14:textId="43201814" w:rsidR="00E06D2F" w:rsidRPr="00D93D5B" w:rsidRDefault="00E06D2F"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841EA">
              <w:rPr>
                <w:rFonts w:ascii="Verdana" w:eastAsia="Arial MT" w:hAnsi="Verdana" w:cs="Arial"/>
                <w:lang w:val="es-ES" w:eastAsia="es-ES" w:bidi="es-ES"/>
              </w:rPr>
              <w:t>Estatuto Orgánico del Presupuesto</w:t>
            </w:r>
            <w:r w:rsidR="004841EA">
              <w:rPr>
                <w:rFonts w:ascii="Verdana" w:eastAsia="Arial MT" w:hAnsi="Verdana" w:cs="Arial"/>
                <w:lang w:val="es-ES" w:eastAsia="es-ES" w:bidi="es-ES"/>
              </w:rPr>
              <w:t>:</w:t>
            </w:r>
            <w:r w:rsidRPr="004841EA">
              <w:rPr>
                <w:rFonts w:ascii="Verdana" w:eastAsia="Arial MT" w:hAnsi="Verdana" w:cs="Arial"/>
                <w:lang w:val="es-ES" w:eastAsia="es-ES" w:bidi="es-ES"/>
              </w:rPr>
              <w:t xml:space="preserve"> </w:t>
            </w:r>
            <w:r w:rsidR="004841EA">
              <w:rPr>
                <w:rFonts w:ascii="Verdana" w:eastAsia="Arial MT" w:hAnsi="Verdana" w:cs="Arial"/>
                <w:lang w:val="es-ES" w:eastAsia="es-ES" w:bidi="es-ES"/>
              </w:rPr>
              <w:t>a</w:t>
            </w:r>
            <w:r w:rsidRPr="004841EA">
              <w:rPr>
                <w:rFonts w:ascii="Verdana" w:eastAsia="Arial MT" w:hAnsi="Verdana" w:cs="Arial"/>
                <w:lang w:val="es-ES" w:eastAsia="es-ES" w:bidi="es-ES"/>
              </w:rPr>
              <w:t>rtículo 89.</w:t>
            </w:r>
          </w:p>
          <w:p w14:paraId="72E9B81E" w14:textId="178EEF02" w:rsidR="00D93D5B" w:rsidRPr="00E06D2F" w:rsidRDefault="00D93D5B"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841EA">
              <w:rPr>
                <w:rFonts w:ascii="Verdana" w:eastAsia="Arial MT" w:hAnsi="Verdana" w:cs="Arial"/>
                <w:lang w:val="es-ES" w:eastAsia="es-ES" w:bidi="es-ES"/>
              </w:rPr>
              <w:t>Decreto 1082 de 2015</w:t>
            </w:r>
            <w:r w:rsidR="004841EA">
              <w:rPr>
                <w:rFonts w:ascii="Verdana" w:eastAsia="Arial MT" w:hAnsi="Verdana" w:cs="Arial"/>
                <w:lang w:val="es-ES" w:eastAsia="es-ES" w:bidi="es-ES"/>
              </w:rPr>
              <w:t>:</w:t>
            </w:r>
            <w:r w:rsidRPr="004841EA">
              <w:rPr>
                <w:rFonts w:ascii="Verdana" w:eastAsia="Arial MT" w:hAnsi="Verdana" w:cs="Arial"/>
                <w:lang w:val="es-ES" w:eastAsia="es-ES" w:bidi="es-ES"/>
              </w:rPr>
              <w:t xml:space="preserve"> </w:t>
            </w:r>
            <w:r w:rsidR="004841EA">
              <w:rPr>
                <w:rFonts w:ascii="Verdana" w:eastAsia="Arial MT" w:hAnsi="Verdana" w:cs="Arial"/>
                <w:lang w:val="es-ES" w:eastAsia="es-ES" w:bidi="es-ES"/>
              </w:rPr>
              <w:t>a</w:t>
            </w:r>
            <w:r w:rsidRPr="004841EA">
              <w:rPr>
                <w:rFonts w:ascii="Verdana" w:eastAsia="Arial MT" w:hAnsi="Verdana" w:cs="Arial"/>
                <w:lang w:val="es-ES" w:eastAsia="es-ES" w:bidi="es-ES"/>
              </w:rPr>
              <w:t>rtículo 2.2.1.2.1.4.4</w:t>
            </w:r>
          </w:p>
          <w:p w14:paraId="6B8F6933" w14:textId="77C3B39F" w:rsidR="009F61BB" w:rsidRPr="00FC6F34" w:rsidRDefault="009F61BB"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27089D">
              <w:rPr>
                <w:rFonts w:ascii="Verdana" w:eastAsia="Arial MT" w:hAnsi="Verdana" w:cs="Arial"/>
                <w:lang w:val="es-ES" w:eastAsia="es-ES" w:bidi="es-ES"/>
              </w:rPr>
              <w:t>Consejo de Estado. Sala de Consulta y Servicio Civil. Concepto del 18 de febrero 2010. Rad. 11001-03-06-000-2010-00006-00 (1985). C.P. Enrique José Arboleda Perdomo.</w:t>
            </w:r>
          </w:p>
          <w:p w14:paraId="0633FDCA" w14:textId="77777777" w:rsidR="004B6767" w:rsidRPr="0027089D"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27089D">
              <w:rPr>
                <w:rFonts w:ascii="Verdana" w:eastAsia="Arial MT" w:hAnsi="Verdana" w:cs="Arial"/>
                <w:lang w:val="es-ES" w:eastAsia="es-ES" w:bidi="es-ES"/>
              </w:rPr>
              <w:t xml:space="preserve">Consejo de Estado, Sección Primera. Sentencia de 3 de marzo de 2005, </w:t>
            </w:r>
            <w:proofErr w:type="spellStart"/>
            <w:r w:rsidRPr="0027089D">
              <w:rPr>
                <w:rFonts w:ascii="Verdana" w:eastAsia="Arial MT" w:hAnsi="Verdana" w:cs="Arial"/>
                <w:lang w:val="es-ES" w:eastAsia="es-ES" w:bidi="es-ES"/>
              </w:rPr>
              <w:t>Exp</w:t>
            </w:r>
            <w:proofErr w:type="spellEnd"/>
            <w:r w:rsidRPr="0027089D">
              <w:rPr>
                <w:rFonts w:ascii="Verdana" w:eastAsia="Arial MT" w:hAnsi="Verdana" w:cs="Arial"/>
                <w:lang w:val="es-ES" w:eastAsia="es-ES" w:bidi="es-ES"/>
              </w:rPr>
              <w:t xml:space="preserve">. 2004-00823-01(PI). </w:t>
            </w:r>
          </w:p>
          <w:p w14:paraId="38660AFA" w14:textId="3DBFD7B0" w:rsidR="00AA07F3" w:rsidRPr="0027089D" w:rsidRDefault="00AA07F3"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27089D">
              <w:rPr>
                <w:rFonts w:ascii="Verdana" w:eastAsia="Arial MT" w:hAnsi="Verdana" w:cs="Arial"/>
                <w:lang w:val="es-ES" w:eastAsia="es-ES" w:bidi="es-ES"/>
              </w:rPr>
              <w:t>Consejo de Estado, Sala de Consulta y Servicio Civil, Concepto de fecha 8 de mayo de 2018, No. 2382. C. P. Álvaro Namén Vargas.</w:t>
            </w:r>
          </w:p>
          <w:p w14:paraId="6D08A0C1" w14:textId="7F0BEDBE" w:rsidR="009F61BB" w:rsidRPr="0027089D" w:rsidRDefault="009F61BB"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27089D">
              <w:rPr>
                <w:rFonts w:ascii="Verdana" w:eastAsia="Arial MT" w:hAnsi="Verdana" w:cs="Arial"/>
                <w:lang w:val="es-ES" w:eastAsia="es-ES" w:bidi="es-ES"/>
              </w:rPr>
              <w:t>Consejo de Estado. Sala de Consulta y Servicio Civil. Concepto del 02 de septiembre de 2013. Rad. 11001-03-06-000-2013-00412-00 (2168). C.P. Álvaro Namén Vargas.</w:t>
            </w:r>
          </w:p>
          <w:p w14:paraId="139BEBFA" w14:textId="77777777" w:rsidR="004B6767" w:rsidRPr="0027089D"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27089D">
              <w:rPr>
                <w:rFonts w:ascii="Verdana" w:eastAsia="Arial MT" w:hAnsi="Verdana" w:cs="Arial"/>
                <w:lang w:val="es-ES" w:eastAsia="es-ES" w:bidi="es-ES"/>
              </w:rPr>
              <w:t xml:space="preserve">Consejo de Estado, Sala de Consulta y Servicio Civil, Concepto de fecha 24 de julio de 2013, Rad. 2166, C. P. Álvaro Namén Vargas. </w:t>
            </w:r>
          </w:p>
          <w:p w14:paraId="5FB89522" w14:textId="77777777" w:rsidR="004B6767" w:rsidRPr="0027089D" w:rsidRDefault="004B6767" w:rsidP="0027089D">
            <w:pPr>
              <w:pStyle w:val="Prrafodelista"/>
              <w:numPr>
                <w:ilvl w:val="0"/>
                <w:numId w:val="16"/>
              </w:numPr>
              <w:spacing w:line="276" w:lineRule="auto"/>
              <w:ind w:left="714" w:hanging="357"/>
              <w:jc w:val="both"/>
              <w:rPr>
                <w:rFonts w:ascii="Verdana" w:eastAsia="Arial MT" w:hAnsi="Verdana" w:cs="Arial"/>
                <w:lang w:eastAsia="es-ES" w:bidi="es-ES"/>
              </w:rPr>
            </w:pPr>
            <w:r w:rsidRPr="0027089D">
              <w:rPr>
                <w:rFonts w:ascii="Verdana" w:eastAsia="Arial MT" w:hAnsi="Verdana" w:cs="Arial"/>
                <w:lang w:eastAsia="es-ES" w:bidi="es-ES"/>
              </w:rPr>
              <w:t>Consejo de Estado. Sala de Consulta y Servicio Civil. Concepto del 17 de febrero de 2015. C.P. William Zambrano Cetina. Radicación No. 11001-03-06-000-2015-00164-00(2269).</w:t>
            </w:r>
          </w:p>
          <w:p w14:paraId="2DAE8414" w14:textId="77777777" w:rsidR="004B6767" w:rsidRPr="0027089D" w:rsidRDefault="004B6767" w:rsidP="0027089D">
            <w:pPr>
              <w:pStyle w:val="Prrafodelista"/>
              <w:numPr>
                <w:ilvl w:val="0"/>
                <w:numId w:val="16"/>
              </w:numPr>
              <w:spacing w:line="276" w:lineRule="auto"/>
              <w:ind w:left="714" w:hanging="357"/>
              <w:jc w:val="both"/>
              <w:rPr>
                <w:rFonts w:ascii="Verdana" w:eastAsia="Arial MT" w:hAnsi="Verdana" w:cs="Arial"/>
                <w:lang w:eastAsia="es-ES" w:bidi="es-ES"/>
              </w:rPr>
            </w:pPr>
            <w:r w:rsidRPr="0027089D">
              <w:rPr>
                <w:rFonts w:ascii="Verdana" w:eastAsia="Arial MT" w:hAnsi="Verdana" w:cs="Arial"/>
                <w:lang w:eastAsia="es-ES" w:bidi="es-ES"/>
              </w:rPr>
              <w:t>Consejo de Estado, Sala de Consulta y Servicio Civil, Concepto de fecha 8 de mayo de 2018, No. 2382. C. P. Álvaro Namén Vargas.</w:t>
            </w:r>
          </w:p>
          <w:p w14:paraId="15247968" w14:textId="33524D65" w:rsidR="009F61BB" w:rsidRPr="0027089D" w:rsidRDefault="009F61BB" w:rsidP="0027089D">
            <w:pPr>
              <w:pStyle w:val="Prrafodelista"/>
              <w:numPr>
                <w:ilvl w:val="0"/>
                <w:numId w:val="16"/>
              </w:numPr>
              <w:spacing w:line="276" w:lineRule="auto"/>
              <w:ind w:left="714" w:hanging="357"/>
              <w:jc w:val="both"/>
              <w:rPr>
                <w:rFonts w:ascii="Verdana" w:eastAsia="Arial MT" w:hAnsi="Verdana" w:cs="Arial"/>
                <w:lang w:eastAsia="es-ES" w:bidi="es-ES"/>
              </w:rPr>
            </w:pPr>
            <w:r w:rsidRPr="0027089D">
              <w:rPr>
                <w:rFonts w:ascii="Verdana" w:eastAsia="Arial MT" w:hAnsi="Verdana" w:cs="Arial"/>
                <w:lang w:eastAsia="es-ES" w:bidi="es-ES"/>
              </w:rPr>
              <w:t>Corte Constitucional. Sentencia C-1153 de 2005 M.P. Marco Gerardo Monroy Cabra.</w:t>
            </w:r>
          </w:p>
          <w:p w14:paraId="473E25D9" w14:textId="33F062DD" w:rsidR="00D93D5B" w:rsidRPr="00FC6F34" w:rsidRDefault="00225862" w:rsidP="0027089D">
            <w:pPr>
              <w:pStyle w:val="Prrafodelista"/>
              <w:numPr>
                <w:ilvl w:val="0"/>
                <w:numId w:val="16"/>
              </w:numPr>
              <w:spacing w:line="276" w:lineRule="auto"/>
              <w:ind w:left="714" w:hanging="357"/>
              <w:jc w:val="both"/>
              <w:rPr>
                <w:rFonts w:ascii="Verdana" w:hAnsi="Verdana" w:cs="Arial"/>
              </w:rPr>
            </w:pPr>
            <w:r w:rsidRPr="0027089D">
              <w:rPr>
                <w:rFonts w:ascii="Verdana" w:eastAsia="Arial MT" w:hAnsi="Verdana" w:cs="Arial"/>
                <w:lang w:eastAsia="es-ES" w:bidi="es-ES"/>
              </w:rPr>
              <w:t xml:space="preserve">Ministerio de Salud y Protección Social, </w:t>
            </w:r>
            <w:r w:rsidR="00D93D5B" w:rsidRPr="0027089D">
              <w:rPr>
                <w:rFonts w:ascii="Verdana" w:eastAsia="Arial MT" w:hAnsi="Verdana" w:cs="Arial"/>
                <w:lang w:eastAsia="es-ES" w:bidi="es-ES"/>
              </w:rPr>
              <w:t xml:space="preserve">Resolución 04 del 12 de </w:t>
            </w:r>
            <w:proofErr w:type="gramStart"/>
            <w:r w:rsidR="00D93D5B" w:rsidRPr="0027089D">
              <w:rPr>
                <w:rFonts w:ascii="Verdana" w:eastAsia="Arial MT" w:hAnsi="Verdana" w:cs="Arial"/>
                <w:lang w:eastAsia="es-ES" w:bidi="es-ES"/>
              </w:rPr>
              <w:t>Enero</w:t>
            </w:r>
            <w:proofErr w:type="gramEnd"/>
            <w:r w:rsidR="00D93D5B" w:rsidRPr="0027089D">
              <w:rPr>
                <w:rFonts w:ascii="Verdana" w:eastAsia="Arial MT" w:hAnsi="Verdana" w:cs="Arial"/>
                <w:lang w:eastAsia="es-ES" w:bidi="es-ES"/>
              </w:rPr>
              <w:t xml:space="preserve"> de 2018</w:t>
            </w:r>
            <w:r w:rsidRPr="0027089D">
              <w:rPr>
                <w:rFonts w:ascii="Verdana" w:eastAsia="Arial MT" w:hAnsi="Verdana" w:cs="Arial"/>
                <w:lang w:eastAsia="es-ES" w:bidi="es-ES"/>
              </w:rPr>
              <w:t>.</w:t>
            </w:r>
          </w:p>
        </w:tc>
      </w:tr>
    </w:tbl>
    <w:p w14:paraId="22C8CA20" w14:textId="77777777" w:rsidR="004B6767" w:rsidRPr="00FC6F34" w:rsidRDefault="004B6767" w:rsidP="004B6767">
      <w:pPr>
        <w:widowControl w:val="0"/>
        <w:autoSpaceDE w:val="0"/>
        <w:autoSpaceDN w:val="0"/>
        <w:spacing w:after="0" w:line="276" w:lineRule="auto"/>
        <w:jc w:val="both"/>
        <w:rPr>
          <w:rFonts w:ascii="Verdana" w:hAnsi="Verdana" w:cs="Arial"/>
          <w:color w:val="000000" w:themeColor="text1"/>
          <w:lang w:val="es-ES"/>
        </w:rPr>
      </w:pPr>
    </w:p>
    <w:p w14:paraId="0BFEE60D"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4CCC2B95" w14:textId="77777777" w:rsidR="004B6767" w:rsidRPr="00FC6F34" w:rsidRDefault="004B6767" w:rsidP="004B6767">
      <w:pPr>
        <w:widowControl w:val="0"/>
        <w:autoSpaceDE w:val="0"/>
        <w:autoSpaceDN w:val="0"/>
        <w:spacing w:after="0" w:line="276" w:lineRule="auto"/>
        <w:jc w:val="both"/>
        <w:rPr>
          <w:rFonts w:ascii="Verdana" w:hAnsi="Verdana" w:cs="Arial"/>
          <w:color w:val="000000" w:themeColor="text1"/>
          <w:lang w:val="es-ES"/>
        </w:rPr>
      </w:pPr>
    </w:p>
    <w:p w14:paraId="4FB0C912" w14:textId="77777777" w:rsidR="004B6767" w:rsidRPr="00982071" w:rsidRDefault="004B6767" w:rsidP="004B6767">
      <w:pPr>
        <w:jc w:val="both"/>
        <w:rPr>
          <w:rFonts w:ascii="Arial" w:eastAsia="Calibri" w:hAnsi="Arial" w:cs="Arial"/>
          <w:b/>
          <w:bCs/>
          <w:color w:val="000000" w:themeColor="text1"/>
          <w:lang w:val="es-ES_tradnl"/>
        </w:rPr>
      </w:pPr>
      <w:r w:rsidRPr="00FC6F34">
        <w:rPr>
          <w:rFonts w:ascii="Verdana" w:eastAsia="Calibri" w:hAnsi="Verdana" w:cs="Arial"/>
          <w:lang w:val="es-ES"/>
        </w:rPr>
        <w:t xml:space="preserve">La Agencia Nacional de Contratación Pública – Colombia Compra Eficiente se ha referido </w:t>
      </w:r>
      <w:r w:rsidRPr="00FC6F34">
        <w:rPr>
          <w:rFonts w:ascii="Verdana" w:hAnsi="Verdana" w:cs="Arial"/>
          <w:shd w:val="clear" w:color="auto" w:fill="FFFFFF"/>
          <w:lang w:val="es-ES"/>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w:t>
      </w:r>
      <w:r w:rsidRPr="00FC6F34">
        <w:rPr>
          <w:rFonts w:ascii="Verdana" w:hAnsi="Verdana" w:cs="Arial"/>
          <w:shd w:val="clear" w:color="auto" w:fill="FFFFFF"/>
          <w:lang w:val="es-ES"/>
        </w:rPr>
        <w:lastRenderedPageBreak/>
        <w:t>180 del 21 de marzo de 2025, C-317 del 25 de abril de 2025, C-510 del 4 de junio de 2025, C -635 del 27 de junio de 2025, C–750 de 17 de julio 2025, C-729 del 15 de Julio de 2015 y C-273-A de 2025</w:t>
      </w:r>
      <w:r>
        <w:rPr>
          <w:rFonts w:ascii="Verdana" w:hAnsi="Verdana" w:cs="Arial"/>
          <w:shd w:val="clear" w:color="auto" w:fill="FFFFFF"/>
          <w:lang w:val="es-ES"/>
        </w:rPr>
        <w:t>, entre otros</w:t>
      </w:r>
      <w:r w:rsidRPr="00FC6F34">
        <w:rPr>
          <w:rFonts w:ascii="Verdana" w:hAnsi="Verdana" w:cs="Arial"/>
          <w:shd w:val="clear" w:color="auto" w:fill="FFFFFF"/>
          <w:lang w:val="es-ES"/>
        </w:rPr>
        <w:t xml:space="preserve">. </w:t>
      </w:r>
      <w:r>
        <w:rPr>
          <w:rFonts w:ascii="Verdana" w:hAnsi="Verdana" w:cs="Arial"/>
          <w:shd w:val="clear" w:color="auto" w:fill="FFFFFF"/>
          <w:lang w:val="es-ES"/>
        </w:rPr>
        <w:t xml:space="preserve">Sobre la aplicación de esta ley y la contratación del PIC se refirió en los conceptos </w:t>
      </w:r>
      <w:r w:rsidRPr="00982071">
        <w:rPr>
          <w:rFonts w:ascii="Verdana" w:hAnsi="Verdana" w:cs="Arial"/>
          <w:shd w:val="clear" w:color="auto" w:fill="FFFFFF"/>
          <w:lang w:val="es-ES"/>
        </w:rPr>
        <w:t>C ‒ 044 del 04 de marzo de 2022, C ‒ 158 del 04 de abril de 2022 y C ‒ 364 del 20 de mayo de 2022</w:t>
      </w:r>
      <w:r>
        <w:rPr>
          <w:rFonts w:ascii="Verdana" w:hAnsi="Verdana" w:cs="Arial"/>
          <w:shd w:val="clear" w:color="auto" w:fill="FFFFFF"/>
          <w:lang w:val="es-ES"/>
        </w:rPr>
        <w:t xml:space="preserve">. </w:t>
      </w:r>
      <w:r w:rsidRPr="00FC6F34">
        <w:rPr>
          <w:rFonts w:ascii="Verdana" w:hAnsi="Verdana" w:cs="Arial"/>
          <w:shd w:val="clear" w:color="auto" w:fill="FFFFFF"/>
          <w:lang w:val="es-ES"/>
        </w:rPr>
        <w:t>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3"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4C1E9E7D" w14:textId="77777777" w:rsidR="004B6767" w:rsidRPr="00FC6F34" w:rsidRDefault="004B6767" w:rsidP="004B6767">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DB31147" w14:textId="77777777" w:rsidR="004B6767" w:rsidRPr="00FC6F34" w:rsidRDefault="004B6767" w:rsidP="004B6767">
      <w:pPr>
        <w:widowControl w:val="0"/>
        <w:autoSpaceDE w:val="0"/>
        <w:autoSpaceDN w:val="0"/>
        <w:spacing w:after="0" w:line="276" w:lineRule="auto"/>
        <w:jc w:val="both"/>
        <w:rPr>
          <w:rFonts w:ascii="Verdana" w:hAnsi="Verdana" w:cs="Arial"/>
          <w:lang w:val="es-ES"/>
        </w:rPr>
      </w:pPr>
    </w:p>
    <w:p w14:paraId="69AAB1E6" w14:textId="77777777" w:rsidR="004B6767" w:rsidRPr="00FC6F34" w:rsidRDefault="004B6767" w:rsidP="004B6767">
      <w:pPr>
        <w:spacing w:after="0" w:line="276" w:lineRule="auto"/>
        <w:rPr>
          <w:rFonts w:ascii="Verdana" w:hAnsi="Verdana" w:cs="Arial"/>
          <w:color w:val="000000" w:themeColor="text1"/>
          <w:lang w:val="es-ES" w:eastAsia="es-CO"/>
        </w:rPr>
      </w:pPr>
      <w:r w:rsidRPr="00FC6F34">
        <w:rPr>
          <w:rFonts w:ascii="Verdana" w:eastAsia="Times New Roman" w:hAnsi="Verdana" w:cs="Arial"/>
          <w:color w:val="000000" w:themeColor="text1"/>
          <w:lang w:val="es-ES" w:eastAsia="es-CO"/>
        </w:rPr>
        <w:t>Atentamente,</w:t>
      </w:r>
      <w:r w:rsidRPr="00FC6F34">
        <w:rPr>
          <w:rFonts w:ascii="Verdana" w:hAnsi="Verdana" w:cs="Arial"/>
          <w:color w:val="000000" w:themeColor="text1"/>
          <w:lang w:val="es-ES" w:eastAsia="es-CO"/>
        </w:rPr>
        <w:t xml:space="preserve"> </w:t>
      </w:r>
    </w:p>
    <w:p w14:paraId="0E5A3F78" w14:textId="714DA8AD" w:rsidR="004B6767" w:rsidRPr="00FC6F34" w:rsidRDefault="001A5026" w:rsidP="001A5026">
      <w:pPr>
        <w:spacing w:after="0" w:line="276" w:lineRule="auto"/>
        <w:jc w:val="center"/>
        <w:rPr>
          <w:rFonts w:ascii="Verdana" w:hAnsi="Verdana" w:cs="Arial"/>
          <w:color w:val="000000" w:themeColor="text1"/>
          <w:lang w:val="es-ES" w:eastAsia="es-CO"/>
        </w:rPr>
      </w:pPr>
      <w:r w:rsidRPr="002C3AD6">
        <w:rPr>
          <w:rFonts w:ascii="Century Gothic" w:hAnsi="Century Gothic"/>
          <w:noProof/>
        </w:rPr>
        <w:drawing>
          <wp:inline distT="0" distB="0" distL="0" distR="0" wp14:anchorId="5334D3EB" wp14:editId="2CB2CA7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6767" w:rsidRPr="00FC6F34" w14:paraId="0928210D" w14:textId="77777777" w:rsidTr="00E67E18">
        <w:trPr>
          <w:trHeight w:val="315"/>
        </w:trPr>
        <w:tc>
          <w:tcPr>
            <w:tcW w:w="893" w:type="dxa"/>
            <w:vAlign w:val="center"/>
            <w:hideMark/>
          </w:tcPr>
          <w:p w14:paraId="3741846F" w14:textId="77777777" w:rsidR="004B6767" w:rsidRPr="00FC6F34" w:rsidRDefault="004B6767" w:rsidP="00E67E18">
            <w:pPr>
              <w:contextualSpacing/>
              <w:rPr>
                <w:rFonts w:ascii="Verdana" w:hAnsi="Verdana" w:cs="Arial"/>
                <w:sz w:val="16"/>
                <w:szCs w:val="16"/>
                <w:lang w:val="es-ES" w:eastAsia="es-ES"/>
              </w:rPr>
            </w:pPr>
            <w:r w:rsidRPr="00FC6F3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8265BF" w14:textId="77777777" w:rsidR="004B6767" w:rsidRPr="00FC6F34" w:rsidRDefault="004B6767" w:rsidP="00E67E18">
            <w:pPr>
              <w:contextualSpacing/>
              <w:rPr>
                <w:rFonts w:ascii="Verdana" w:eastAsia="Arial" w:hAnsi="Verdana" w:cs="Arial"/>
                <w:color w:val="000000" w:themeColor="text1"/>
                <w:sz w:val="16"/>
                <w:szCs w:val="16"/>
                <w:lang w:val="es-ES"/>
              </w:rPr>
            </w:pPr>
            <w:r w:rsidRPr="00FC6F34">
              <w:rPr>
                <w:rFonts w:ascii="Verdana" w:eastAsia="Arial" w:hAnsi="Verdana" w:cs="Arial"/>
                <w:color w:val="000000" w:themeColor="text1"/>
                <w:sz w:val="16"/>
                <w:szCs w:val="16"/>
                <w:lang w:val="es-ES"/>
              </w:rPr>
              <w:t>Anamaría Bonilla Prieto</w:t>
            </w:r>
          </w:p>
          <w:p w14:paraId="10863EE9" w14:textId="77777777" w:rsidR="004B6767" w:rsidRPr="00FC6F34" w:rsidRDefault="004B6767" w:rsidP="00E67E18">
            <w:pPr>
              <w:contextualSpacing/>
              <w:rPr>
                <w:rFonts w:ascii="Verdana" w:eastAsia="Arial" w:hAnsi="Verdana" w:cs="Arial"/>
                <w:sz w:val="16"/>
                <w:szCs w:val="16"/>
                <w:lang w:val="es-ES"/>
              </w:rPr>
            </w:pPr>
            <w:r w:rsidRPr="00FC6F34">
              <w:rPr>
                <w:rStyle w:val="normaltextrun"/>
                <w:rFonts w:ascii="Verdana" w:eastAsia="Arial" w:hAnsi="Verdana" w:cs="Arial"/>
                <w:color w:val="000000" w:themeColor="text1"/>
                <w:sz w:val="16"/>
                <w:szCs w:val="16"/>
                <w:lang w:val="es-ES"/>
              </w:rPr>
              <w:t xml:space="preserve">Contratista de la Subdirección </w:t>
            </w:r>
            <w:r w:rsidRPr="00FC6F34">
              <w:rPr>
                <w:rStyle w:val="normaltextrun"/>
                <w:rFonts w:ascii="Verdana" w:eastAsia="Arial" w:hAnsi="Verdana" w:cs="Arial"/>
                <w:sz w:val="16"/>
                <w:szCs w:val="16"/>
                <w:lang w:val="es-ES"/>
              </w:rPr>
              <w:t>de Gestión Contractual</w:t>
            </w:r>
          </w:p>
        </w:tc>
      </w:tr>
      <w:tr w:rsidR="004B6767" w:rsidRPr="00FC6F34" w14:paraId="2C3FC6E1" w14:textId="77777777" w:rsidTr="00E67E18">
        <w:trPr>
          <w:trHeight w:val="330"/>
        </w:trPr>
        <w:tc>
          <w:tcPr>
            <w:tcW w:w="893" w:type="dxa"/>
            <w:vAlign w:val="center"/>
            <w:hideMark/>
          </w:tcPr>
          <w:p w14:paraId="6388B03C" w14:textId="77777777" w:rsidR="004B6767" w:rsidRPr="00FC6F34" w:rsidRDefault="004B6767" w:rsidP="00E67E18">
            <w:pPr>
              <w:contextualSpacing/>
              <w:rPr>
                <w:rFonts w:ascii="Verdana" w:hAnsi="Verdana" w:cs="Arial"/>
                <w:sz w:val="16"/>
                <w:szCs w:val="16"/>
                <w:lang w:val="es-ES" w:eastAsia="es-ES"/>
              </w:rPr>
            </w:pPr>
            <w:r w:rsidRPr="00FC6F3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DDD6B3" w14:textId="77777777" w:rsidR="004B6767" w:rsidRPr="00FC6F34" w:rsidRDefault="004B6767" w:rsidP="00E67E18">
            <w:pPr>
              <w:spacing w:line="276" w:lineRule="auto"/>
              <w:contextualSpacing/>
              <w:textAlignment w:val="baseline"/>
              <w:rPr>
                <w:rFonts w:ascii="Verdana" w:eastAsia="Times New Roman" w:hAnsi="Verdana" w:cs="Arial"/>
                <w:sz w:val="16"/>
                <w:szCs w:val="16"/>
                <w:lang w:val="es-ES" w:eastAsia="es-ES_tradnl"/>
              </w:rPr>
            </w:pPr>
            <w:r w:rsidRPr="00FC6F34">
              <w:rPr>
                <w:rFonts w:ascii="Verdana" w:eastAsia="Times New Roman" w:hAnsi="Verdana" w:cs="Arial"/>
                <w:sz w:val="16"/>
                <w:szCs w:val="16"/>
                <w:lang w:val="es-ES" w:eastAsia="es-ES_tradnl"/>
              </w:rPr>
              <w:t>Alejandro Sarmiento Cantillo</w:t>
            </w:r>
          </w:p>
          <w:p w14:paraId="12824FE5" w14:textId="77777777" w:rsidR="004B6767" w:rsidRPr="00FC6F34" w:rsidRDefault="004B6767" w:rsidP="00E67E18">
            <w:pPr>
              <w:pStyle w:val="paragraph"/>
              <w:spacing w:before="0" w:beforeAutospacing="0" w:after="0" w:afterAutospacing="0"/>
              <w:contextualSpacing/>
              <w:textAlignment w:val="baseline"/>
              <w:rPr>
                <w:rFonts w:ascii="Verdana" w:hAnsi="Verdana" w:cs="Segoe UI"/>
                <w:sz w:val="16"/>
                <w:szCs w:val="16"/>
                <w:lang w:val="es-ES"/>
              </w:rPr>
            </w:pPr>
            <w:r w:rsidRPr="00FC6F34">
              <w:rPr>
                <w:rFonts w:ascii="Verdana" w:hAnsi="Verdana" w:cs="Arial"/>
                <w:sz w:val="16"/>
                <w:szCs w:val="16"/>
                <w:lang w:val="es-ES"/>
              </w:rPr>
              <w:t xml:space="preserve">Gestor T1 – 15 </w:t>
            </w:r>
            <w:r w:rsidRPr="00FC6F34">
              <w:rPr>
                <w:rStyle w:val="normaltextrun"/>
                <w:rFonts w:ascii="Verdana" w:hAnsi="Verdana" w:cs="Arial"/>
                <w:sz w:val="16"/>
                <w:szCs w:val="16"/>
                <w:lang w:val="es-ES"/>
              </w:rPr>
              <w:t>de la Subdirección de Gestión Contractual</w:t>
            </w:r>
            <w:r w:rsidRPr="00FC6F34">
              <w:rPr>
                <w:rStyle w:val="eop"/>
                <w:rFonts w:ascii="Verdana" w:hAnsi="Verdana" w:cs="Arial"/>
                <w:sz w:val="16"/>
                <w:szCs w:val="16"/>
                <w:lang w:val="es-ES"/>
              </w:rPr>
              <w:t> </w:t>
            </w:r>
          </w:p>
        </w:tc>
      </w:tr>
      <w:tr w:rsidR="004B6767" w:rsidRPr="00FC6F34" w14:paraId="77A9D648" w14:textId="77777777" w:rsidTr="00E67E18">
        <w:trPr>
          <w:trHeight w:val="300"/>
        </w:trPr>
        <w:tc>
          <w:tcPr>
            <w:tcW w:w="893" w:type="dxa"/>
            <w:vAlign w:val="center"/>
          </w:tcPr>
          <w:p w14:paraId="25BD728B" w14:textId="77777777" w:rsidR="004B6767" w:rsidRPr="00FC6F34" w:rsidRDefault="004B6767" w:rsidP="00E67E18">
            <w:pPr>
              <w:contextualSpacing/>
              <w:rPr>
                <w:rFonts w:ascii="Verdana" w:hAnsi="Verdana" w:cs="Arial"/>
                <w:sz w:val="16"/>
                <w:szCs w:val="16"/>
                <w:lang w:val="es-ES" w:eastAsia="es-ES"/>
              </w:rPr>
            </w:pPr>
            <w:r w:rsidRPr="00FC6F3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FDFF8F0" w14:textId="77777777" w:rsidR="004B6767" w:rsidRPr="00FC6F34" w:rsidRDefault="004B6767" w:rsidP="00E67E18">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Carolina Quintero Gacharná</w:t>
            </w:r>
          </w:p>
          <w:p w14:paraId="7E5E0319" w14:textId="77777777" w:rsidR="004B6767" w:rsidRPr="00FC6F34" w:rsidRDefault="004B6767" w:rsidP="00E67E18">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Subdirectora de Gestión Contractual ANCP – CCE</w:t>
            </w:r>
          </w:p>
        </w:tc>
      </w:tr>
    </w:tbl>
    <w:p w14:paraId="498E8044" w14:textId="77777777" w:rsidR="004B6767" w:rsidRPr="00FC6F34" w:rsidRDefault="004B6767" w:rsidP="004B6767">
      <w:pPr>
        <w:spacing w:after="0" w:line="276" w:lineRule="auto"/>
        <w:jc w:val="center"/>
        <w:rPr>
          <w:lang w:val="es-ES"/>
        </w:rPr>
      </w:pPr>
    </w:p>
    <w:bookmarkEnd w:id="0"/>
    <w:p w14:paraId="7ADB9122" w14:textId="77777777" w:rsidR="004B6767" w:rsidRPr="00FC6F34" w:rsidRDefault="004B6767" w:rsidP="004B6767">
      <w:pPr>
        <w:spacing w:after="0" w:line="240" w:lineRule="auto"/>
        <w:textAlignment w:val="baseline"/>
        <w:rPr>
          <w:rFonts w:ascii="Verdana" w:eastAsia="Times New Roman" w:hAnsi="Verdana" w:cs="Segoe UI"/>
          <w:b/>
          <w:bCs/>
          <w:color w:val="46589C"/>
          <w:lang w:val="es-ES" w:eastAsia="es-CO"/>
        </w:rPr>
      </w:pPr>
    </w:p>
    <w:p w14:paraId="545BBCC9" w14:textId="77777777" w:rsidR="004B6767" w:rsidRPr="00FC6F34" w:rsidRDefault="004B6767" w:rsidP="004B6767">
      <w:pPr>
        <w:rPr>
          <w:lang w:val="es-ES"/>
        </w:rPr>
      </w:pPr>
    </w:p>
    <w:p w14:paraId="3900974D" w14:textId="77777777" w:rsidR="003D5B0D" w:rsidRPr="00981746" w:rsidRDefault="003D5B0D" w:rsidP="00981746"/>
    <w:sectPr w:rsidR="003D5B0D" w:rsidRPr="0098174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0ABBA" w14:textId="77777777" w:rsidR="006C1A43" w:rsidRDefault="006C1A43" w:rsidP="004A1847">
      <w:pPr>
        <w:spacing w:after="0" w:line="240" w:lineRule="auto"/>
      </w:pPr>
      <w:r>
        <w:separator/>
      </w:r>
    </w:p>
  </w:endnote>
  <w:endnote w:type="continuationSeparator" w:id="0">
    <w:p w14:paraId="294EF120" w14:textId="77777777" w:rsidR="006C1A43" w:rsidRDefault="006C1A4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0C18D" w14:textId="77777777" w:rsidR="006C1A43" w:rsidRDefault="006C1A43" w:rsidP="004A1847">
      <w:pPr>
        <w:spacing w:after="0" w:line="240" w:lineRule="auto"/>
      </w:pPr>
      <w:r>
        <w:separator/>
      </w:r>
    </w:p>
  </w:footnote>
  <w:footnote w:type="continuationSeparator" w:id="0">
    <w:p w14:paraId="074E9D87" w14:textId="77777777" w:rsidR="006C1A43" w:rsidRDefault="006C1A43" w:rsidP="004A1847">
      <w:pPr>
        <w:spacing w:after="0" w:line="240" w:lineRule="auto"/>
      </w:pPr>
      <w:r>
        <w:continuationSeparator/>
      </w:r>
    </w:p>
  </w:footnote>
  <w:footnote w:id="1">
    <w:p w14:paraId="0505336F" w14:textId="77777777" w:rsidR="004B6767" w:rsidRPr="0016660C" w:rsidRDefault="004B6767" w:rsidP="004B6767">
      <w:pPr>
        <w:pStyle w:val="Textonotapie"/>
        <w:ind w:firstLine="708"/>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
    <w:p w14:paraId="3392EBDD"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66F3C27"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46366DB"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4">
    <w:p w14:paraId="446DAC5C" w14:textId="77777777" w:rsidR="004B6767" w:rsidRPr="0016660C" w:rsidRDefault="004B6767" w:rsidP="004B6767">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 C- 1153 de 2005, M.P. Marco Gerardo Monroy Cabra.</w:t>
      </w:r>
    </w:p>
  </w:footnote>
  <w:footnote w:id="5">
    <w:p w14:paraId="3E7A263B" w14:textId="77777777" w:rsidR="004B6767" w:rsidRPr="0016660C" w:rsidRDefault="004B6767" w:rsidP="004B6767">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F1972FB" w14:textId="77777777" w:rsidR="004B6767" w:rsidRPr="0016660C" w:rsidRDefault="004B6767" w:rsidP="004B6767">
      <w:pPr>
        <w:pStyle w:val="Textonotapie"/>
        <w:ind w:firstLine="709"/>
        <w:contextualSpacing/>
        <w:jc w:val="both"/>
        <w:rPr>
          <w:rFonts w:ascii="Verdana" w:hAnsi="Verdana" w:cs="Arial"/>
          <w:sz w:val="16"/>
          <w:szCs w:val="16"/>
          <w:lang w:val="es-CO"/>
        </w:rPr>
      </w:pPr>
      <w:r w:rsidRPr="0016660C">
        <w:rPr>
          <w:rStyle w:val="Refdenotaalpie"/>
          <w:rFonts w:ascii="Verdana" w:hAnsi="Verdana" w:cs="Arial"/>
          <w:sz w:val="16"/>
          <w:szCs w:val="16"/>
        </w:rPr>
        <w:footnoteRef/>
      </w:r>
      <w:r w:rsidRPr="0016660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3E5D0750"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de fecha 24 de julio de 2013, Rad. 2166, C. P. Álvaro Namén Vargas.  </w:t>
      </w:r>
    </w:p>
  </w:footnote>
  <w:footnote w:id="8">
    <w:p w14:paraId="11EE52EB" w14:textId="77777777" w:rsidR="004B6767" w:rsidRPr="0016660C" w:rsidRDefault="004B6767" w:rsidP="004B6767">
      <w:pPr>
        <w:spacing w:after="0" w:line="240" w:lineRule="auto"/>
        <w:ind w:firstLine="709"/>
        <w:contextualSpacing/>
        <w:jc w:val="both"/>
        <w:rPr>
          <w:rFonts w:ascii="Verdana" w:eastAsia="Times New Roman"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EEFC674" w14:textId="77777777" w:rsidR="004B6767" w:rsidRPr="0016660C" w:rsidRDefault="004B6767" w:rsidP="004B6767">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9">
    <w:p w14:paraId="4F9D3C1D" w14:textId="77777777" w:rsidR="004B6767" w:rsidRPr="0016660C" w:rsidRDefault="004B6767" w:rsidP="004B6767">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Artículo 38. Prohibiciones para los servidores públicos. A los empleados del Estado les está prohibido: […]</w:t>
      </w:r>
    </w:p>
    <w:p w14:paraId="5E17F4A2" w14:textId="77777777" w:rsidR="004B6767" w:rsidRPr="0016660C" w:rsidRDefault="004B6767" w:rsidP="004B6767">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footnote>
  <w:footnote w:id="10">
    <w:p w14:paraId="5810CB5C" w14:textId="77777777" w:rsidR="004B6767" w:rsidRPr="0016660C" w:rsidRDefault="004B6767" w:rsidP="004B6767">
      <w:pPr>
        <w:spacing w:after="0" w:line="240" w:lineRule="auto"/>
        <w:ind w:left="100" w:right="244"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17566077" w14:textId="77777777" w:rsidR="004B6767" w:rsidRPr="0016660C" w:rsidRDefault="004B6767" w:rsidP="004B6767">
      <w:pPr>
        <w:pStyle w:val="Textonotapie"/>
        <w:ind w:right="51"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[26] </w:t>
      </w:r>
      <w:r w:rsidRPr="0016660C">
        <w:rPr>
          <w:rFonts w:ascii="Verdana" w:hAnsi="Verdana" w:cs="Arial"/>
          <w:sz w:val="16"/>
          <w:szCs w:val="16"/>
        </w:rPr>
        <w:t>Al respecto ver el concepto 1712 de 2 de febrero de 2006. Consejo de Estado Sala de Consulta y Servicio Civil”.</w:t>
      </w:r>
    </w:p>
  </w:footnote>
  <w:footnote w:id="12">
    <w:p w14:paraId="67BF791D"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37963D1B" w14:textId="77777777" w:rsidR="004B6767" w:rsidRPr="0016660C" w:rsidRDefault="004B6767" w:rsidP="004B6767">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Artículo 2. </w:t>
      </w:r>
    </w:p>
  </w:footnote>
  <w:footnote w:id="14">
    <w:p w14:paraId="19B2FA0C" w14:textId="77777777" w:rsidR="004B6767" w:rsidRPr="0016660C" w:rsidRDefault="004B6767" w:rsidP="004B6767">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i/>
          <w:sz w:val="16"/>
          <w:szCs w:val="16"/>
          <w:lang w:val="es-ES"/>
        </w:rPr>
        <w:t>Ídem</w:t>
      </w:r>
      <w:r w:rsidRPr="0016660C">
        <w:rPr>
          <w:rFonts w:ascii="Verdana" w:hAnsi="Verdana" w:cs="Arial"/>
          <w:sz w:val="16"/>
          <w:szCs w:val="16"/>
          <w:lang w:val="es-ES"/>
        </w:rPr>
        <w:t>.</w:t>
      </w:r>
    </w:p>
  </w:footnote>
  <w:footnote w:id="15">
    <w:p w14:paraId="022F4B8C"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08 de mayo de 2018. Exp. 2.382. C.P. Álvaro Namén Vargas.</w:t>
      </w:r>
    </w:p>
  </w:footnote>
  <w:footnote w:id="16">
    <w:p w14:paraId="6B71DB46" w14:textId="77777777" w:rsidR="004B6767" w:rsidRPr="0016660C" w:rsidRDefault="004B6767" w:rsidP="004B6767">
      <w:pPr>
        <w:pStyle w:val="Textonotapie"/>
        <w:ind w:firstLine="708"/>
        <w:contextualSpacing/>
        <w:jc w:val="both"/>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eastAsia="Calibri" w:hAnsi="Verdana" w:cs="Arial"/>
          <w:sz w:val="16"/>
          <w:szCs w:val="16"/>
          <w:lang w:val="es-ES"/>
        </w:rPr>
        <w:t xml:space="preserve">Consejo de Estado, Sala de Consulta y Servicio Civil, Concepto de fecha 8 de mayo de 2018, No. </w:t>
      </w:r>
      <w:r w:rsidRPr="0016660C">
        <w:rPr>
          <w:rFonts w:ascii="Verdana" w:hAnsi="Verdana"/>
          <w:sz w:val="16"/>
          <w:szCs w:val="16"/>
          <w:lang w:val="es-CO"/>
        </w:rPr>
        <w:t>2382.</w:t>
      </w:r>
      <w:r w:rsidRPr="0016660C">
        <w:rPr>
          <w:rFonts w:ascii="Verdana" w:hAnsi="Verdana"/>
          <w:sz w:val="16"/>
          <w:szCs w:val="16"/>
        </w:rPr>
        <w:t xml:space="preserve"> </w:t>
      </w:r>
      <w:r w:rsidRPr="0016660C">
        <w:rPr>
          <w:rFonts w:ascii="Verdana" w:hAnsi="Verdana"/>
          <w:sz w:val="16"/>
          <w:szCs w:val="16"/>
          <w:lang w:val="es-CO"/>
        </w:rPr>
        <w:t>C. P. Álvaro Namén Vargas.</w:t>
      </w:r>
    </w:p>
  </w:footnote>
  <w:footnote w:id="17">
    <w:p w14:paraId="09F60D16" w14:textId="77777777" w:rsidR="004B6767" w:rsidRPr="0016660C" w:rsidRDefault="004B6767" w:rsidP="004B6767">
      <w:pPr>
        <w:spacing w:after="0" w:line="240" w:lineRule="auto"/>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3F60CAC0" w14:textId="77777777" w:rsidR="004B6767" w:rsidRPr="0016660C" w:rsidRDefault="004B6767" w:rsidP="004B6767">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Corte Constitucional. Sentencia C-1153 de 2005 M.P. Marco Gerardo Monroy Cabra. </w:t>
      </w:r>
    </w:p>
  </w:footnote>
  <w:footnote w:id="19">
    <w:p w14:paraId="7F4F05B5" w14:textId="77777777" w:rsidR="004B6767" w:rsidRPr="0016660C" w:rsidRDefault="004B6767" w:rsidP="004B6767">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18 de febrero 2010. Rad. 11001-03-06-000-2010-00006-00 (1985). C.P. Enrique José Arboleda Perdomo.</w:t>
      </w:r>
    </w:p>
  </w:footnote>
  <w:footnote w:id="20">
    <w:p w14:paraId="159AE86B" w14:textId="77777777" w:rsidR="004B6767" w:rsidRPr="0016660C" w:rsidRDefault="004B6767" w:rsidP="004B6767">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1">
    <w:p w14:paraId="72D3077E" w14:textId="77777777" w:rsidR="004B6767" w:rsidRPr="0016660C" w:rsidRDefault="004B6767" w:rsidP="004B6767">
      <w:pPr>
        <w:pStyle w:val="Textonotapie"/>
        <w:ind w:firstLine="708"/>
        <w:contextualSpacing/>
        <w:jc w:val="both"/>
        <w:rPr>
          <w:rFonts w:ascii="Verdana" w:hAnsi="Verdana" w:cs="Arial"/>
          <w:color w:val="000000" w:themeColor="text1"/>
          <w:sz w:val="16"/>
          <w:szCs w:val="16"/>
          <w:lang w:val="es-ES"/>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w:t>
      </w:r>
      <w:r w:rsidRPr="0016660C">
        <w:rPr>
          <w:rFonts w:ascii="Verdana" w:hAnsi="Verdana" w:cs="Arial"/>
          <w:color w:val="000000" w:themeColor="text1"/>
          <w:sz w:val="16"/>
          <w:szCs w:val="16"/>
          <w:lang w:val="es-CO"/>
        </w:rPr>
        <w:t>“</w:t>
      </w:r>
      <w:r w:rsidRPr="0016660C">
        <w:rPr>
          <w:rFonts w:ascii="Verdana" w:hAnsi="Verdana" w:cs="Arial"/>
          <w:color w:val="000000" w:themeColor="text1"/>
          <w:sz w:val="16"/>
          <w:szCs w:val="16"/>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2">
    <w:p w14:paraId="24D35693" w14:textId="77777777" w:rsidR="004B6767" w:rsidRPr="0016660C" w:rsidRDefault="004B6767" w:rsidP="004B6767">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16660C">
        <w:rPr>
          <w:rFonts w:ascii="Verdana" w:hAnsi="Verdana" w:cs="Arial"/>
          <w:i/>
          <w:iCs/>
          <w:color w:val="000000" w:themeColor="text1"/>
          <w:sz w:val="16"/>
          <w:szCs w:val="16"/>
        </w:rPr>
        <w:t>y todas aquellas entidades que de acuerdo con la ley ejerzan funciones de vigilancia y control sanitario</w:t>
      </w:r>
      <w:r w:rsidRPr="0016660C">
        <w:rPr>
          <w:rFonts w:ascii="Verdana" w:hAnsi="Verdana" w:cs="Arial"/>
          <w:color w:val="000000" w:themeColor="text1"/>
          <w:sz w:val="16"/>
          <w:szCs w:val="16"/>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 w:id="23">
    <w:p w14:paraId="5AAD0B29" w14:textId="77777777" w:rsidR="004B6767" w:rsidRPr="0016660C" w:rsidRDefault="004B6767" w:rsidP="004B6767">
      <w:pPr>
        <w:pStyle w:val="Textonotapie"/>
        <w:ind w:firstLine="708"/>
        <w:contextualSpacing/>
        <w:jc w:val="both"/>
        <w:rPr>
          <w:rFonts w:ascii="Verdana" w:hAnsi="Verdana"/>
          <w:sz w:val="16"/>
          <w:szCs w:val="16"/>
        </w:rPr>
      </w:pPr>
      <w:r w:rsidRPr="0016660C">
        <w:rPr>
          <w:rStyle w:val="Refdenotaalpie"/>
          <w:rFonts w:ascii="Verdana" w:hAnsi="Verdana"/>
          <w:sz w:val="16"/>
          <w:szCs w:val="16"/>
        </w:rPr>
        <w:footnoteRef/>
      </w:r>
      <w:r w:rsidRPr="0016660C">
        <w:rPr>
          <w:rFonts w:ascii="Verdana" w:hAnsi="Verdana"/>
          <w:sz w:val="16"/>
          <w:szCs w:val="16"/>
        </w:rPr>
        <w:t xml:space="preserve"> CONSEJO DE ESTADO. Sala de Consulta y Servicio Civil .Concepto del doce (12) de junio de dos mil dieciocho (2018).R adicación Interna: 11001-03-06-000-2018-0043-00. Número Único: 2371. Consejero Ponente: Oscar Darío Amaya Navas </w:t>
      </w:r>
    </w:p>
    <w:p w14:paraId="3B9201DB" w14:textId="77777777" w:rsidR="004B6767" w:rsidRPr="0016660C" w:rsidRDefault="004B6767" w:rsidP="004B6767">
      <w:pPr>
        <w:pStyle w:val="Textonotapie"/>
        <w:contextualSpacing/>
        <w:rPr>
          <w:rFonts w:ascii="Verdana" w:hAnsi="Verdana"/>
          <w:sz w:val="16"/>
          <w:szCs w:val="16"/>
          <w:lang w:val="es-ES"/>
        </w:rPr>
      </w:pPr>
    </w:p>
  </w:footnote>
  <w:footnote w:id="24">
    <w:p w14:paraId="6B5DFFDA" w14:textId="77777777" w:rsidR="004B6767" w:rsidRPr="0016660C" w:rsidRDefault="004B6767" w:rsidP="00D93D5B">
      <w:pPr>
        <w:pStyle w:val="Textonotapie"/>
        <w:ind w:firstLine="708"/>
        <w:contextualSpacing/>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sz w:val="16"/>
          <w:szCs w:val="16"/>
          <w:lang w:val="es-ES"/>
        </w:rPr>
        <w:t>Ibidem</w:t>
      </w:r>
    </w:p>
  </w:footnote>
  <w:footnote w:id="25">
    <w:p w14:paraId="102D5179" w14:textId="77777777" w:rsidR="004B6767" w:rsidRPr="0016660C" w:rsidRDefault="004B6767" w:rsidP="004B6767">
      <w:pPr>
        <w:pStyle w:val="Textonotapie"/>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de2006. Radicación 11001-03-06-000-2006-00023-00(1724). Consejero Ponente: Flavio Augusto Rodríguez Arce.</w:t>
      </w:r>
    </w:p>
  </w:footnote>
  <w:footnote w:id="26">
    <w:p w14:paraId="359B4B6D" w14:textId="77777777" w:rsidR="004B6767" w:rsidRPr="0016660C" w:rsidRDefault="004B6767" w:rsidP="004B6767">
      <w:pPr>
        <w:spacing w:after="0" w:line="240" w:lineRule="auto"/>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21A95E7B" w14:textId="77777777" w:rsidR="004B6767" w:rsidRPr="0016660C" w:rsidRDefault="004B6767" w:rsidP="004B6767">
      <w:pPr>
        <w:spacing w:after="0" w:line="240" w:lineRule="auto"/>
        <w:ind w:firstLine="709"/>
        <w:contextualSpacing/>
        <w:jc w:val="both"/>
        <w:rPr>
          <w:rFonts w:ascii="Verdana" w:hAnsi="Verdana" w:cs="Arial"/>
          <w:color w:val="000000" w:themeColor="text1"/>
          <w:sz w:val="16"/>
          <w:szCs w:val="16"/>
        </w:rPr>
      </w:pPr>
      <w:r w:rsidRPr="0016660C">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6660C">
        <w:rPr>
          <w:rFonts w:ascii="Verdana" w:hAnsi="Verdana" w:cs="Arial"/>
          <w:color w:val="000000" w:themeColor="text1"/>
          <w:spacing w:val="-1"/>
          <w:sz w:val="16"/>
          <w:szCs w:val="16"/>
        </w:rPr>
        <w:t xml:space="preserve"> </w:t>
      </w:r>
      <w:r w:rsidRPr="0016660C">
        <w:rPr>
          <w:rFonts w:ascii="Verdana" w:hAnsi="Verdana" w:cs="Arial"/>
          <w:color w:val="000000" w:themeColor="text1"/>
          <w:sz w:val="16"/>
          <w:szCs w:val="16"/>
        </w:rPr>
        <w:t>Estatales».</w:t>
      </w:r>
    </w:p>
  </w:footnote>
  <w:footnote w:id="27">
    <w:p w14:paraId="799A4BE7" w14:textId="77777777" w:rsidR="004B6767" w:rsidRPr="0016660C" w:rsidRDefault="004B6767" w:rsidP="004B6767">
      <w:pPr>
        <w:spacing w:after="0" w:line="240" w:lineRule="auto"/>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6660C">
        <w:rPr>
          <w:rFonts w:ascii="Verdana" w:hAnsi="Verdana" w:cs="Arial"/>
          <w:color w:val="000000" w:themeColor="text1"/>
          <w:spacing w:val="-6"/>
          <w:sz w:val="16"/>
          <w:szCs w:val="16"/>
        </w:rPr>
        <w:t xml:space="preserve"> </w:t>
      </w:r>
      <w:r w:rsidRPr="0016660C">
        <w:rPr>
          <w:rFonts w:ascii="Verdana" w:hAnsi="Verdana" w:cs="Arial"/>
          <w:color w:val="000000" w:themeColor="text1"/>
          <w:sz w:val="16"/>
          <w:szCs w:val="16"/>
        </w:rPr>
        <w:t>artículo”.</w:t>
      </w:r>
    </w:p>
  </w:footnote>
  <w:footnote w:id="28">
    <w:p w14:paraId="2F5ED81A" w14:textId="77777777" w:rsidR="004B6767" w:rsidRPr="0016660C" w:rsidRDefault="004B6767" w:rsidP="004B6767">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29">
    <w:p w14:paraId="64952899" w14:textId="77777777" w:rsidR="004B6767" w:rsidRPr="0016660C" w:rsidRDefault="004B6767" w:rsidP="004B6767">
      <w:pPr>
        <w:pStyle w:val="Textonotapie"/>
        <w:ind w:firstLine="708"/>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30">
    <w:p w14:paraId="4943568A" w14:textId="77777777" w:rsidR="004B6767" w:rsidRPr="0016660C" w:rsidRDefault="004B6767" w:rsidP="004B6767">
      <w:pPr>
        <w:pStyle w:val="Textonotapie"/>
        <w:ind w:firstLine="708"/>
        <w:contextualSpacing/>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cs="Arial"/>
          <w:sz w:val="16"/>
          <w:szCs w:val="16"/>
        </w:rPr>
        <w:t>M</w:t>
      </w:r>
      <w:r w:rsidRPr="0016660C">
        <w:rPr>
          <w:rFonts w:ascii="Verdana" w:hAnsi="Verdana"/>
          <w:sz w:val="16"/>
          <w:szCs w:val="16"/>
          <w:lang w:val="es-ES"/>
        </w:rPr>
        <w:t>i</w:t>
      </w:r>
      <w:r w:rsidRPr="0016660C">
        <w:rPr>
          <w:rFonts w:ascii="Verdana" w:hAnsi="Verdana" w:cs="Arial"/>
          <w:sz w:val="16"/>
          <w:szCs w:val="16"/>
        </w:rPr>
        <w:t>nisterio de Salud y Protección Social. Resolución, Resolución 04 del 12 de Enero de 2018.</w:t>
      </w:r>
    </w:p>
  </w:footnote>
  <w:footnote w:id="31">
    <w:p w14:paraId="375BC79F" w14:textId="77777777" w:rsidR="004B6767" w:rsidRPr="0016660C" w:rsidRDefault="004B6767" w:rsidP="004B6767">
      <w:pPr>
        <w:pStyle w:val="Textonotapie"/>
        <w:ind w:firstLine="708"/>
        <w:contextualSpacing/>
        <w:jc w:val="both"/>
        <w:rPr>
          <w:rFonts w:ascii="Verdana" w:hAnsi="Verdana"/>
          <w:sz w:val="16"/>
          <w:szCs w:val="16"/>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sz w:val="16"/>
          <w:szCs w:val="16"/>
          <w:lang w:val="es-ES"/>
        </w:rPr>
        <w:t xml:space="preserve">Corte Constitucional, </w:t>
      </w:r>
      <w:r w:rsidRPr="0016660C">
        <w:rPr>
          <w:rFonts w:ascii="Verdana" w:hAnsi="Verdana"/>
          <w:sz w:val="16"/>
          <w:szCs w:val="16"/>
        </w:rPr>
        <w:t>Sentencia C - 178 de 2021</w:t>
      </w:r>
    </w:p>
  </w:footnote>
  <w:footnote w:id="32">
    <w:p w14:paraId="5705F048" w14:textId="77777777" w:rsidR="004B6767" w:rsidRPr="0016660C" w:rsidRDefault="004B6767" w:rsidP="004B6767">
      <w:pPr>
        <w:pStyle w:val="Textonotapie"/>
        <w:ind w:right="49" w:firstLine="708"/>
        <w:contextualSpacing/>
        <w:jc w:val="both"/>
        <w:rPr>
          <w:rFonts w:ascii="Verdana" w:hAnsi="Verdana" w:cs="Arial"/>
          <w:color w:val="000000"/>
          <w:sz w:val="16"/>
          <w:szCs w:val="16"/>
          <w:lang w:val="es-CO"/>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cs="Arial"/>
          <w:color w:val="000000"/>
          <w:sz w:val="16"/>
          <w:szCs w:val="16"/>
        </w:rPr>
        <w:t>Consejo de Estado. Sección Tercera. Sentencia del 1 de febrero de 2018. Radicado Nro.</w:t>
      </w:r>
      <w:r w:rsidRPr="0016660C">
        <w:rPr>
          <w:rFonts w:ascii="Verdana" w:hAnsi="Verdana" w:cs="Arial"/>
          <w:color w:val="000000"/>
          <w:sz w:val="16"/>
          <w:szCs w:val="16"/>
          <w:lang w:val="es-CO"/>
        </w:rPr>
        <w:t xml:space="preserve"> 08001-2331-000-2010-00987-01</w:t>
      </w:r>
      <w:r w:rsidRPr="0016660C">
        <w:rPr>
          <w:rFonts w:ascii="Verdana" w:hAnsi="Verdana" w:cs="Arial"/>
          <w:color w:val="000000"/>
          <w:sz w:val="16"/>
          <w:szCs w:val="16"/>
        </w:rPr>
        <w:t xml:space="preserve">. C.P. </w:t>
      </w:r>
      <w:r w:rsidRPr="0016660C">
        <w:rPr>
          <w:rFonts w:ascii="Verdana" w:hAnsi="Verdana" w:cs="Arial"/>
          <w:color w:val="000000"/>
          <w:sz w:val="16"/>
          <w:szCs w:val="16"/>
          <w:lang w:val="es-CO"/>
        </w:rPr>
        <w:t xml:space="preserve">Oswaldo Giraldo López. </w:t>
      </w:r>
    </w:p>
  </w:footnote>
  <w:footnote w:id="33">
    <w:p w14:paraId="19DFEBFA" w14:textId="77777777" w:rsidR="004B6767" w:rsidRPr="0016660C" w:rsidRDefault="004B6767" w:rsidP="004B6767">
      <w:pPr>
        <w:pStyle w:val="Textonotapie"/>
        <w:ind w:firstLine="709"/>
        <w:contextualSpacing/>
        <w:jc w:val="both"/>
        <w:rPr>
          <w:rFonts w:ascii="Verdana" w:hAnsi="Verdana" w:cs="Arial"/>
          <w:sz w:val="16"/>
          <w:szCs w:val="16"/>
          <w:lang w:val="es-CO"/>
        </w:rPr>
      </w:pPr>
      <w:r w:rsidRPr="0016660C">
        <w:rPr>
          <w:rStyle w:val="Refdenotaalpie"/>
          <w:rFonts w:ascii="Verdana" w:hAnsi="Verdana" w:cs="Arial"/>
          <w:sz w:val="16"/>
          <w:szCs w:val="16"/>
        </w:rPr>
        <w:footnoteRef/>
      </w:r>
      <w:r w:rsidRPr="0016660C">
        <w:rPr>
          <w:rFonts w:ascii="Verdana" w:hAnsi="Verdana" w:cs="Arial"/>
          <w:sz w:val="16"/>
          <w:szCs w:val="16"/>
        </w:rPr>
        <w:t xml:space="preserve"> </w:t>
      </w:r>
      <w:bookmarkStart w:id="5" w:name="23"/>
      <w:r w:rsidRPr="0016660C">
        <w:rPr>
          <w:rFonts w:ascii="Verdana" w:eastAsia="Calibri" w:hAnsi="Verdana" w:cs="Arial"/>
          <w:sz w:val="16"/>
          <w:szCs w:val="16"/>
          <w:lang w:val="es-ES_tradnl"/>
        </w:rPr>
        <w:t>“</w:t>
      </w:r>
      <w:r w:rsidRPr="0016660C">
        <w:rPr>
          <w:rFonts w:ascii="Verdana" w:hAnsi="Verdana" w:cs="Arial"/>
          <w:sz w:val="16"/>
          <w:szCs w:val="16"/>
          <w:lang w:val="es-CO"/>
        </w:rPr>
        <w:t>Artículo 23.</w:t>
      </w:r>
      <w:bookmarkEnd w:id="5"/>
      <w:r w:rsidRPr="0016660C">
        <w:rPr>
          <w:rFonts w:ascii="Verdana" w:hAnsi="Verdana" w:cs="Arial"/>
          <w:sz w:val="16"/>
          <w:szCs w:val="16"/>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14:paraId="3E6C85ED" w14:textId="77777777" w:rsidR="004B6767" w:rsidRPr="0016660C" w:rsidRDefault="004B6767" w:rsidP="004B6767">
      <w:pPr>
        <w:pStyle w:val="Textonotapie"/>
        <w:ind w:firstLine="567"/>
        <w:contextualSpacing/>
        <w:jc w:val="both"/>
        <w:rPr>
          <w:rFonts w:ascii="Verdana" w:hAnsi="Verdana" w:cs="Arial"/>
          <w:sz w:val="16"/>
          <w:szCs w:val="16"/>
          <w:lang w:val="es-CO"/>
        </w:rPr>
      </w:pPr>
      <w:r w:rsidRPr="0016660C">
        <w:rPr>
          <w:rFonts w:ascii="Verdana" w:hAnsi="Verdana" w:cs="Arial"/>
          <w:sz w:val="16"/>
          <w:szCs w:val="16"/>
          <w:lang w:val="es-CO"/>
        </w:rPr>
        <w:t>a) El monto máximo de vigencias futuras, el plazo y las condiciones de las mismas consulte las metas plurianuales del Marco Fiscal de Mediano Plazo de que trata el artículo 1o de esta ley;</w:t>
      </w:r>
    </w:p>
    <w:p w14:paraId="645AA019" w14:textId="77777777" w:rsidR="004B6767" w:rsidRPr="0016660C" w:rsidRDefault="004B6767" w:rsidP="004B6767">
      <w:pPr>
        <w:pStyle w:val="Textonotapie"/>
        <w:ind w:firstLine="567"/>
        <w:contextualSpacing/>
        <w:jc w:val="both"/>
        <w:rPr>
          <w:rFonts w:ascii="Verdana" w:hAnsi="Verdana" w:cs="Arial"/>
          <w:sz w:val="16"/>
          <w:szCs w:val="16"/>
          <w:lang w:val="es-CO"/>
        </w:rPr>
      </w:pPr>
      <w:r w:rsidRPr="0016660C">
        <w:rPr>
          <w:rFonts w:ascii="Verdana" w:hAnsi="Verdana" w:cs="Arial"/>
          <w:sz w:val="16"/>
          <w:szCs w:val="16"/>
          <w:lang w:val="es-CO"/>
        </w:rPr>
        <w:t>b) Como mínimo, de las vigencias futuras que se soliciten se deberá contar con apropiación del quince por ciento (15%) en la vigencia fiscal en la que estas sean autorizadas;</w:t>
      </w:r>
    </w:p>
    <w:p w14:paraId="03BCD878" w14:textId="77777777" w:rsidR="004B6767" w:rsidRPr="0016660C" w:rsidRDefault="004B6767" w:rsidP="004B6767">
      <w:pPr>
        <w:pStyle w:val="Textonotapie"/>
        <w:ind w:firstLine="709"/>
        <w:contextualSpacing/>
        <w:jc w:val="both"/>
        <w:rPr>
          <w:rFonts w:ascii="Verdana" w:hAnsi="Verdana" w:cs="Arial"/>
          <w:sz w:val="16"/>
          <w:szCs w:val="16"/>
          <w:lang w:val="es-CO"/>
        </w:rPr>
      </w:pPr>
      <w:r w:rsidRPr="0016660C">
        <w:rPr>
          <w:rFonts w:ascii="Verdana" w:hAnsi="Verdana" w:cs="Arial"/>
          <w:sz w:val="16"/>
          <w:szCs w:val="16"/>
          <w:lang w:val="es-CO"/>
        </w:rPr>
        <w:t>c) Cuando se trate de proyectos de inversión nacional deberá obtenerse el concepto previo y favorable del Departamento Nacional de Planeación y del Ministerio del ramo.</w:t>
      </w:r>
    </w:p>
    <w:p w14:paraId="7EC930F5" w14:textId="77777777" w:rsidR="004B6767" w:rsidRPr="0016660C" w:rsidRDefault="004B6767" w:rsidP="004B6767">
      <w:pPr>
        <w:pStyle w:val="Textonotapie"/>
        <w:contextualSpacing/>
        <w:jc w:val="both"/>
        <w:rPr>
          <w:rFonts w:ascii="Verdana" w:hAnsi="Verdana" w:cs="Arial"/>
          <w:sz w:val="16"/>
          <w:szCs w:val="16"/>
          <w:lang w:val="es-CO"/>
        </w:rPr>
      </w:pPr>
      <w:r w:rsidRPr="0016660C">
        <w:rPr>
          <w:rFonts w:ascii="Verdana" w:hAnsi="Verdana" w:cs="Arial"/>
          <w:sz w:val="16"/>
          <w:szCs w:val="16"/>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14:paraId="07681E25" w14:textId="77777777" w:rsidR="004B6767" w:rsidRPr="0016660C" w:rsidRDefault="004B6767" w:rsidP="004B6767">
      <w:pPr>
        <w:pStyle w:val="Textonotapie"/>
        <w:contextualSpacing/>
        <w:jc w:val="both"/>
        <w:rPr>
          <w:rFonts w:ascii="Verdana" w:hAnsi="Verdana" w:cs="Arial"/>
          <w:sz w:val="16"/>
          <w:szCs w:val="16"/>
          <w:lang w:val="es-CO"/>
        </w:rPr>
      </w:pPr>
      <w:r w:rsidRPr="0016660C">
        <w:rPr>
          <w:rFonts w:ascii="Verdana" w:hAnsi="Verdana" w:cs="Arial"/>
          <w:sz w:val="16"/>
          <w:szCs w:val="16"/>
          <w:lang w:val="es-CO"/>
        </w:rPr>
        <w:t>Esta disposición también se aplicará a las entidades de que trata el artículo 9o de la presente ley. El Gobierno reglamentará la materia.</w:t>
      </w:r>
    </w:p>
    <w:p w14:paraId="40591DB9" w14:textId="77777777" w:rsidR="004B6767" w:rsidRPr="0016660C" w:rsidRDefault="004B6767" w:rsidP="004B6767">
      <w:pPr>
        <w:pStyle w:val="Textonotapie"/>
        <w:ind w:firstLine="709"/>
        <w:contextualSpacing/>
        <w:jc w:val="both"/>
        <w:rPr>
          <w:rFonts w:ascii="Verdana" w:hAnsi="Verdana" w:cs="Arial"/>
          <w:sz w:val="16"/>
          <w:szCs w:val="16"/>
          <w:lang w:val="es-CO"/>
        </w:rPr>
      </w:pPr>
      <w:r w:rsidRPr="0016660C">
        <w:rPr>
          <w:rFonts w:ascii="Verdana" w:hAnsi="Verdana" w:cs="Arial"/>
          <w:sz w:val="16"/>
          <w:szCs w:val="16"/>
          <w:lang w:val="es-CO"/>
        </w:rPr>
        <w:t>El Ministerio de Hacienda y Crédito Público, Dirección General del Presupuesto Público Nacional, incluirá en los proyectos de presupuesto las asignaciones necesarias para darle cumplimiento a lo dispuesto en este artículo. […]”.</w:t>
      </w:r>
    </w:p>
  </w:footnote>
  <w:footnote w:id="34">
    <w:p w14:paraId="35D62976" w14:textId="77777777" w:rsidR="004B6767" w:rsidRPr="0016660C" w:rsidRDefault="004B6767" w:rsidP="004B6767">
      <w:pPr>
        <w:pStyle w:val="Textonotapie"/>
        <w:ind w:firstLine="567"/>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Sección Tercera. Sentencia del 1 de febrero de 2018. Radicado Nro. 08001-2331-000-2010-00987-01. C.P. Oswaldo Giraldo López.</w:t>
      </w:r>
    </w:p>
  </w:footnote>
  <w:footnote w:id="35">
    <w:p w14:paraId="740152E1" w14:textId="77777777" w:rsidR="004B6767" w:rsidRPr="0016660C" w:rsidRDefault="004B6767" w:rsidP="00E06D2F">
      <w:pPr>
        <w:pStyle w:val="Textonotapie"/>
        <w:ind w:firstLine="567"/>
        <w:contextualSpacing/>
        <w:jc w:val="both"/>
        <w:rPr>
          <w:rFonts w:ascii="Verdana" w:hAnsi="Verdana" w:cs="Arial"/>
          <w:sz w:val="16"/>
          <w:szCs w:val="16"/>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cs="Arial"/>
          <w:sz w:val="16"/>
          <w:szCs w:val="16"/>
        </w:rPr>
        <w:t xml:space="preserve">Consejo de Estado. Sección Tercera. Sentencia del 12 de agosto de 2014. Radicado Nro. </w:t>
      </w:r>
      <w:r w:rsidRPr="0016660C">
        <w:rPr>
          <w:rFonts w:ascii="Verdana" w:hAnsi="Verdana" w:cs="Arial"/>
          <w:bCs/>
          <w:sz w:val="16"/>
          <w:szCs w:val="16"/>
          <w:lang w:val="es-ES"/>
        </w:rPr>
        <w:t xml:space="preserve">05001-23-31-000-1998-01350-01(28565) </w:t>
      </w:r>
      <w:r w:rsidRPr="0016660C">
        <w:rPr>
          <w:rFonts w:ascii="Verdana" w:hAnsi="Verdana" w:cs="Arial"/>
          <w:sz w:val="16"/>
          <w:szCs w:val="16"/>
        </w:rPr>
        <w:t>C.P. Enrique Gil Botero.</w:t>
      </w:r>
    </w:p>
  </w:footnote>
  <w:footnote w:id="36">
    <w:p w14:paraId="71D578B9" w14:textId="77777777" w:rsidR="004B6767" w:rsidRPr="0016660C" w:rsidRDefault="004B6767" w:rsidP="004B6767">
      <w:pPr>
        <w:pStyle w:val="Textonotapie"/>
        <w:ind w:firstLine="709"/>
        <w:contextualSpacing/>
        <w:jc w:val="both"/>
        <w:rPr>
          <w:rFonts w:ascii="Verdana" w:eastAsia="Calibri" w:hAnsi="Verdana" w:cs="Arial"/>
          <w:color w:val="000000" w:themeColor="text1"/>
          <w:sz w:val="16"/>
          <w:szCs w:val="16"/>
          <w:lang w:val="es-CO"/>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cs="Arial"/>
          <w:sz w:val="16"/>
          <w:szCs w:val="16"/>
        </w:rPr>
        <w:t xml:space="preserve">Conforme al Artículo 89 del </w:t>
      </w:r>
      <w:r w:rsidRPr="0016660C">
        <w:rPr>
          <w:rFonts w:ascii="Verdana" w:eastAsia="Calibri" w:hAnsi="Verdana" w:cs="Arial"/>
          <w:color w:val="000000" w:themeColor="text1"/>
          <w:sz w:val="16"/>
          <w:szCs w:val="16"/>
          <w:lang w:val="es-ES"/>
        </w:rPr>
        <w:t>Estatuto Orgánico del Presupuesto</w:t>
      </w:r>
      <w:r w:rsidRPr="0016660C">
        <w:rPr>
          <w:rFonts w:ascii="Verdana" w:eastAsia="Times New Roman" w:hAnsi="Verdana" w:cs="Arial"/>
          <w:color w:val="4B4949"/>
          <w:sz w:val="16"/>
          <w:szCs w:val="16"/>
          <w:lang w:val="es-CO" w:eastAsia="es-ES_tradnl"/>
        </w:rPr>
        <w:t xml:space="preserve"> </w:t>
      </w:r>
      <w:r w:rsidRPr="0016660C">
        <w:rPr>
          <w:rFonts w:ascii="Verdana" w:eastAsia="Calibri" w:hAnsi="Verdana" w:cs="Arial"/>
          <w:sz w:val="16"/>
          <w:szCs w:val="16"/>
          <w:lang w:val="es-ES_tradnl"/>
        </w:rPr>
        <w:t xml:space="preserve">“[…] </w:t>
      </w:r>
      <w:r w:rsidRPr="0016660C">
        <w:rPr>
          <w:rFonts w:ascii="Verdana" w:eastAsia="Times New Roman" w:hAnsi="Verdana" w:cs="Arial"/>
          <w:color w:val="4B4949"/>
          <w:sz w:val="16"/>
          <w:szCs w:val="16"/>
          <w:lang w:val="es-CO" w:eastAsia="es-ES_tradnl"/>
        </w:rPr>
        <w:t>c</w:t>
      </w:r>
      <w:r w:rsidRPr="0016660C">
        <w:rPr>
          <w:rFonts w:ascii="Verdana" w:eastAsia="Calibri" w:hAnsi="Verdana" w:cs="Arial"/>
          <w:color w:val="000000" w:themeColor="text1"/>
          <w:sz w:val="16"/>
          <w:szCs w:val="16"/>
          <w:lang w:val="es-CO"/>
        </w:rPr>
        <w:t>ada órgano constituirá al 31 de diciembre del año cuentas por pagar con las obligaciones correspondientes a los anticipos pactados en los contratos y a la entrega de bienes y servicios</w:t>
      </w:r>
      <w:r w:rsidRPr="0016660C">
        <w:rPr>
          <w:rFonts w:ascii="Verdana" w:eastAsia="Calibri" w:hAnsi="Verdana" w:cs="Arial"/>
          <w:sz w:val="16"/>
          <w:szCs w:val="16"/>
          <w:lang w:val="es-ES_tradnl"/>
        </w:rPr>
        <w:t>”</w:t>
      </w:r>
      <w:r w:rsidRPr="0016660C">
        <w:rPr>
          <w:rFonts w:ascii="Verdana" w:eastAsia="Calibri" w:hAnsi="Verdana" w:cs="Arial"/>
          <w:color w:val="000000" w:themeColor="text1"/>
          <w:sz w:val="16"/>
          <w:szCs w:val="16"/>
          <w:lang w:val="es-CO"/>
        </w:rPr>
        <w:t>.</w:t>
      </w:r>
    </w:p>
  </w:footnote>
  <w:footnote w:id="37">
    <w:p w14:paraId="25853C22" w14:textId="77777777" w:rsidR="004B6767" w:rsidRPr="0016660C" w:rsidRDefault="004B6767" w:rsidP="004B6767">
      <w:pPr>
        <w:pStyle w:val="Textonotapie"/>
        <w:ind w:firstLine="709"/>
        <w:contextualSpacing/>
        <w:jc w:val="both"/>
        <w:rPr>
          <w:rFonts w:ascii="Verdana" w:hAnsi="Verdana" w:cs="Arial"/>
          <w:sz w:val="16"/>
          <w:szCs w:val="16"/>
          <w:lang w:val="es-CO"/>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eastAsia="Calibri" w:hAnsi="Verdana" w:cs="Arial"/>
          <w:color w:val="000000" w:themeColor="text1"/>
          <w:sz w:val="16"/>
          <w:szCs w:val="16"/>
          <w:lang w:val="es-ES"/>
        </w:rPr>
        <w:t>Artículo 89 del Estatuto Orgánico del Presupuesto</w:t>
      </w:r>
    </w:p>
  </w:footnote>
  <w:footnote w:id="38">
    <w:p w14:paraId="03609FA0" w14:textId="77777777" w:rsidR="004B6767" w:rsidRPr="0016660C" w:rsidRDefault="004B6767" w:rsidP="004B6767">
      <w:pPr>
        <w:pStyle w:val="Textonotapie"/>
        <w:ind w:firstLine="709"/>
        <w:contextualSpacing/>
        <w:jc w:val="both"/>
        <w:rPr>
          <w:rFonts w:ascii="Verdana" w:hAnsi="Verdana"/>
          <w:sz w:val="16"/>
          <w:szCs w:val="16"/>
          <w:lang w:val="es-CO"/>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eastAsia="Calibri" w:hAnsi="Verdana" w:cs="Arial"/>
          <w:sz w:val="16"/>
          <w:szCs w:val="16"/>
          <w:lang w:val="es-ES_tradnl"/>
        </w:rPr>
        <w:t>“</w:t>
      </w:r>
      <w:r w:rsidRPr="0016660C">
        <w:rPr>
          <w:rFonts w:ascii="Verdana" w:hAnsi="Verdana" w:cs="Arial"/>
          <w:sz w:val="16"/>
          <w:szCs w:val="16"/>
          <w:lang w:val="es-CO"/>
        </w:rPr>
        <w:t>Artículo </w:t>
      </w:r>
      <w:bookmarkStart w:id="8" w:name="2.8.1.7.3.2"/>
      <w:bookmarkEnd w:id="8"/>
      <w:r w:rsidRPr="0016660C">
        <w:rPr>
          <w:rFonts w:ascii="Verdana" w:hAnsi="Verdana" w:cs="Arial"/>
          <w:sz w:val="16"/>
          <w:szCs w:val="16"/>
          <w:lang w:val="es-CO"/>
        </w:rPr>
        <w:t>2.8.1.7.3.2. </w:t>
      </w:r>
      <w:r w:rsidRPr="0016660C">
        <w:rPr>
          <w:rFonts w:ascii="Verdana" w:hAnsi="Verdana" w:cs="Arial"/>
          <w:i/>
          <w:iCs/>
          <w:sz w:val="16"/>
          <w:szCs w:val="16"/>
          <w:lang w:val="es-CO"/>
        </w:rPr>
        <w:t>Constitución de reservas presupuestales y cuentas por pagar. </w:t>
      </w:r>
      <w:r w:rsidRPr="0016660C">
        <w:rPr>
          <w:rFonts w:ascii="Verdana" w:hAnsi="Verdana" w:cs="Arial"/>
          <w:sz w:val="16"/>
          <w:szCs w:val="16"/>
          <w:lang w:val="es-CO"/>
        </w:rPr>
        <w:t>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 de las cuentas por pagar, sin que en ningún caso se puedan registrar nuevos compromisos ni obligaciones</w:t>
      </w:r>
      <w:r w:rsidRPr="0016660C">
        <w:rPr>
          <w:rFonts w:ascii="Verdana" w:eastAsia="Calibri" w:hAnsi="Verdana" w:cs="Arial"/>
          <w:sz w:val="16"/>
          <w:szCs w:val="16"/>
          <w:lang w:val="es-ES_tradnl"/>
        </w:rPr>
        <w:t>”</w:t>
      </w:r>
      <w:r w:rsidRPr="0016660C">
        <w:rPr>
          <w:rFonts w:ascii="Verdana" w:hAnsi="Verdana" w:cs="Arial"/>
          <w:sz w:val="16"/>
          <w:szCs w:val="16"/>
          <w:lang w:val="es-CO"/>
        </w:rPr>
        <w:t>.</w:t>
      </w:r>
    </w:p>
  </w:footnote>
  <w:footnote w:id="39">
    <w:p w14:paraId="2CD8643D" w14:textId="77777777" w:rsidR="004B6767" w:rsidRPr="0016660C" w:rsidRDefault="004B6767" w:rsidP="004B6767">
      <w:pPr>
        <w:pStyle w:val="Textonotapie"/>
        <w:ind w:firstLine="709"/>
        <w:contextualSpacing/>
        <w:jc w:val="both"/>
        <w:rPr>
          <w:rFonts w:ascii="Verdana" w:hAnsi="Verdana" w:cs="Arial"/>
          <w:sz w:val="16"/>
          <w:szCs w:val="16"/>
          <w:lang w:val="es-CO"/>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CO"/>
        </w:rPr>
        <w:t>Contraloría General de la República. Circular Externa 43 de 2008.</w:t>
      </w:r>
    </w:p>
  </w:footnote>
  <w:footnote w:id="40">
    <w:p w14:paraId="048A4AF6" w14:textId="77777777" w:rsidR="004B6767" w:rsidRPr="0016660C" w:rsidRDefault="004B6767" w:rsidP="004B6767">
      <w:pPr>
        <w:pStyle w:val="Textonotapie"/>
        <w:ind w:right="49" w:firstLine="708"/>
        <w:contextualSpacing/>
        <w:jc w:val="both"/>
        <w:rPr>
          <w:rFonts w:ascii="Verdana" w:hAnsi="Verdana" w:cs="Arial"/>
          <w:color w:val="000000"/>
          <w:sz w:val="16"/>
          <w:szCs w:val="16"/>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cs="Arial"/>
          <w:color w:val="000000"/>
          <w:sz w:val="16"/>
          <w:szCs w:val="16"/>
        </w:rPr>
        <w:t>Consejo de Estado. Sección Tercera. Sentencia del 1 de febrero de 2018. Radicado Nro.</w:t>
      </w:r>
      <w:r w:rsidRPr="0016660C">
        <w:rPr>
          <w:rFonts w:ascii="Verdana" w:hAnsi="Verdana" w:cs="Arial"/>
          <w:color w:val="000000"/>
          <w:sz w:val="16"/>
          <w:szCs w:val="16"/>
          <w:lang w:val="es-CO"/>
        </w:rPr>
        <w:t xml:space="preserve"> 08001-2331-000-2010-00987-01</w:t>
      </w:r>
      <w:r w:rsidRPr="0016660C">
        <w:rPr>
          <w:rFonts w:ascii="Verdana" w:hAnsi="Verdana" w:cs="Arial"/>
          <w:color w:val="000000"/>
          <w:sz w:val="16"/>
          <w:szCs w:val="16"/>
        </w:rPr>
        <w:t xml:space="preserve">. C.P. </w:t>
      </w:r>
      <w:r w:rsidRPr="0016660C">
        <w:rPr>
          <w:rFonts w:ascii="Verdana" w:hAnsi="Verdana" w:cs="Arial"/>
          <w:color w:val="000000"/>
          <w:sz w:val="16"/>
          <w:szCs w:val="16"/>
          <w:lang w:val="es-CO"/>
        </w:rPr>
        <w:t>Oswaldo Giraldo López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7072FC"/>
    <w:multiLevelType w:val="hybridMultilevel"/>
    <w:tmpl w:val="7F2E9ED0"/>
    <w:lvl w:ilvl="0" w:tplc="8BCEE1AE">
      <w:start w:val="1"/>
      <w:numFmt w:val="lowerRoman"/>
      <w:lvlText w:val="%1)"/>
      <w:lvlJc w:val="left"/>
      <w:pPr>
        <w:ind w:left="800" w:hanging="720"/>
      </w:pPr>
      <w:rPr>
        <w:rFonts w:eastAsia="Arial"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319966317">
    <w:abstractNumId w:val="2"/>
  </w:num>
  <w:num w:numId="18"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E57"/>
    <w:rsid w:val="00015F33"/>
    <w:rsid w:val="00016F78"/>
    <w:rsid w:val="00046945"/>
    <w:rsid w:val="00051C96"/>
    <w:rsid w:val="00061B2A"/>
    <w:rsid w:val="00082362"/>
    <w:rsid w:val="000A683E"/>
    <w:rsid w:val="000B19B9"/>
    <w:rsid w:val="000D0334"/>
    <w:rsid w:val="000F6486"/>
    <w:rsid w:val="00125105"/>
    <w:rsid w:val="00127233"/>
    <w:rsid w:val="001511A0"/>
    <w:rsid w:val="00152963"/>
    <w:rsid w:val="001A5026"/>
    <w:rsid w:val="001E4177"/>
    <w:rsid w:val="001F7DC6"/>
    <w:rsid w:val="00203F4C"/>
    <w:rsid w:val="00225862"/>
    <w:rsid w:val="002421BB"/>
    <w:rsid w:val="0025796E"/>
    <w:rsid w:val="002707A2"/>
    <w:rsid w:val="0027089D"/>
    <w:rsid w:val="00281E8D"/>
    <w:rsid w:val="002951A0"/>
    <w:rsid w:val="002962BC"/>
    <w:rsid w:val="002A093D"/>
    <w:rsid w:val="002A0DD0"/>
    <w:rsid w:val="002A49AC"/>
    <w:rsid w:val="002A64FD"/>
    <w:rsid w:val="002C7A84"/>
    <w:rsid w:val="002E4FD9"/>
    <w:rsid w:val="003000B0"/>
    <w:rsid w:val="00322A85"/>
    <w:rsid w:val="00324168"/>
    <w:rsid w:val="003448F4"/>
    <w:rsid w:val="00374F5E"/>
    <w:rsid w:val="00377E3E"/>
    <w:rsid w:val="00387F6A"/>
    <w:rsid w:val="003A779E"/>
    <w:rsid w:val="003D0F4D"/>
    <w:rsid w:val="003D5B0D"/>
    <w:rsid w:val="003E0499"/>
    <w:rsid w:val="003F3941"/>
    <w:rsid w:val="00406575"/>
    <w:rsid w:val="00414C74"/>
    <w:rsid w:val="00415268"/>
    <w:rsid w:val="00420468"/>
    <w:rsid w:val="0042718F"/>
    <w:rsid w:val="0042722E"/>
    <w:rsid w:val="0044528D"/>
    <w:rsid w:val="004841EA"/>
    <w:rsid w:val="0048632F"/>
    <w:rsid w:val="004A1847"/>
    <w:rsid w:val="004A305D"/>
    <w:rsid w:val="004B6767"/>
    <w:rsid w:val="004C3399"/>
    <w:rsid w:val="004F21C4"/>
    <w:rsid w:val="004F685F"/>
    <w:rsid w:val="00515C3E"/>
    <w:rsid w:val="00545396"/>
    <w:rsid w:val="005566E8"/>
    <w:rsid w:val="00574867"/>
    <w:rsid w:val="00591460"/>
    <w:rsid w:val="005B3816"/>
    <w:rsid w:val="005C3777"/>
    <w:rsid w:val="005C5CDC"/>
    <w:rsid w:val="005D476C"/>
    <w:rsid w:val="006219F8"/>
    <w:rsid w:val="0064473F"/>
    <w:rsid w:val="00665D70"/>
    <w:rsid w:val="00686D64"/>
    <w:rsid w:val="006900D9"/>
    <w:rsid w:val="006C1A43"/>
    <w:rsid w:val="006D50FD"/>
    <w:rsid w:val="006E49E0"/>
    <w:rsid w:val="00706C16"/>
    <w:rsid w:val="00753E81"/>
    <w:rsid w:val="00756841"/>
    <w:rsid w:val="007649AB"/>
    <w:rsid w:val="00771D0C"/>
    <w:rsid w:val="007833AC"/>
    <w:rsid w:val="007B268C"/>
    <w:rsid w:val="007B7171"/>
    <w:rsid w:val="007C0C0F"/>
    <w:rsid w:val="007C3DC2"/>
    <w:rsid w:val="007E5497"/>
    <w:rsid w:val="00806F5F"/>
    <w:rsid w:val="00820278"/>
    <w:rsid w:val="00842959"/>
    <w:rsid w:val="00867F95"/>
    <w:rsid w:val="008843B6"/>
    <w:rsid w:val="00891928"/>
    <w:rsid w:val="008A446D"/>
    <w:rsid w:val="008B480E"/>
    <w:rsid w:val="008D180B"/>
    <w:rsid w:val="008F0EA7"/>
    <w:rsid w:val="00923EEF"/>
    <w:rsid w:val="009419F9"/>
    <w:rsid w:val="0095685E"/>
    <w:rsid w:val="00961B09"/>
    <w:rsid w:val="00965334"/>
    <w:rsid w:val="0097093E"/>
    <w:rsid w:val="00981746"/>
    <w:rsid w:val="009828E9"/>
    <w:rsid w:val="00986AC5"/>
    <w:rsid w:val="009A0DFA"/>
    <w:rsid w:val="009A6C5F"/>
    <w:rsid w:val="009B2D26"/>
    <w:rsid w:val="009C71FA"/>
    <w:rsid w:val="009C72E7"/>
    <w:rsid w:val="009D3058"/>
    <w:rsid w:val="009F3A13"/>
    <w:rsid w:val="009F61BB"/>
    <w:rsid w:val="00A122D3"/>
    <w:rsid w:val="00A17F13"/>
    <w:rsid w:val="00A20739"/>
    <w:rsid w:val="00A33C78"/>
    <w:rsid w:val="00A6329A"/>
    <w:rsid w:val="00AA07F3"/>
    <w:rsid w:val="00AB0ADB"/>
    <w:rsid w:val="00AC22CD"/>
    <w:rsid w:val="00B01B1A"/>
    <w:rsid w:val="00B44F4B"/>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566A8"/>
    <w:rsid w:val="00D63AC2"/>
    <w:rsid w:val="00D7383B"/>
    <w:rsid w:val="00D93D5B"/>
    <w:rsid w:val="00DA231B"/>
    <w:rsid w:val="00DB757B"/>
    <w:rsid w:val="00DC39FC"/>
    <w:rsid w:val="00DE6815"/>
    <w:rsid w:val="00DF5254"/>
    <w:rsid w:val="00E06D2F"/>
    <w:rsid w:val="00E10804"/>
    <w:rsid w:val="00E10BD4"/>
    <w:rsid w:val="00E146FE"/>
    <w:rsid w:val="00E16408"/>
    <w:rsid w:val="00E20894"/>
    <w:rsid w:val="00E245AB"/>
    <w:rsid w:val="00E2764C"/>
    <w:rsid w:val="00E27F2E"/>
    <w:rsid w:val="00E50AFE"/>
    <w:rsid w:val="00E614F5"/>
    <w:rsid w:val="00E75C92"/>
    <w:rsid w:val="00E771DC"/>
    <w:rsid w:val="00E8772A"/>
    <w:rsid w:val="00E90F6B"/>
    <w:rsid w:val="00E92C27"/>
    <w:rsid w:val="00E95AC9"/>
    <w:rsid w:val="00EA0E3D"/>
    <w:rsid w:val="00EB7F54"/>
    <w:rsid w:val="00EC1E63"/>
    <w:rsid w:val="00EC1F6A"/>
    <w:rsid w:val="00EC38A7"/>
    <w:rsid w:val="00ED7384"/>
    <w:rsid w:val="00EE1AA8"/>
    <w:rsid w:val="00EE5FBA"/>
    <w:rsid w:val="00F142EF"/>
    <w:rsid w:val="00F31EDC"/>
    <w:rsid w:val="00F462B3"/>
    <w:rsid w:val="00F5664F"/>
    <w:rsid w:val="00F666C4"/>
    <w:rsid w:val="00F76AFC"/>
    <w:rsid w:val="00FA47C0"/>
    <w:rsid w:val="00FB5DD1"/>
    <w:rsid w:val="00FC2B5D"/>
    <w:rsid w:val="00FD531E"/>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B6767"/>
    <w:pPr>
      <w:spacing w:line="240" w:lineRule="exact"/>
    </w:pPr>
    <w:rPr>
      <w:vertAlign w:val="superscript"/>
    </w:rPr>
  </w:style>
  <w:style w:type="character" w:customStyle="1" w:styleId="baj">
    <w:name w:val="b_aj"/>
    <w:basedOn w:val="Fuentedeprrafopredeter"/>
    <w:rsid w:val="004B6767"/>
  </w:style>
  <w:style w:type="character" w:customStyle="1" w:styleId="NormalWebCar">
    <w:name w:val="Normal (Web) Car"/>
    <w:link w:val="NormalWeb"/>
    <w:uiPriority w:val="99"/>
    <w:locked/>
    <w:rsid w:val="004B6767"/>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B6767"/>
    <w:rPr>
      <w:rFonts w:ascii="Geomanist Light" w:hAnsi="Geomanist Light"/>
      <w:lang w:val="es-ES"/>
    </w:rPr>
  </w:style>
  <w:style w:type="paragraph" w:styleId="Textoindependiente">
    <w:name w:val="Body Text"/>
    <w:basedOn w:val="Normal"/>
    <w:link w:val="TextoindependienteCar"/>
    <w:uiPriority w:val="1"/>
    <w:unhideWhenUsed/>
    <w:qFormat/>
    <w:rsid w:val="004B6767"/>
    <w:pPr>
      <w:spacing w:after="120"/>
    </w:pPr>
  </w:style>
  <w:style w:type="character" w:customStyle="1" w:styleId="TextoindependienteCar">
    <w:name w:val="Texto independiente Car"/>
    <w:basedOn w:val="Fuentedeprrafopredeter"/>
    <w:link w:val="Textoindependiente"/>
    <w:uiPriority w:val="1"/>
    <w:rsid w:val="004B6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20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ogadaquindio@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E93791-DB80-4B37-9FAC-94B1CE690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DD5F1003-DF75-2741-97D7-AD5ADDD53601}">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10645</Words>
  <Characters>58553</Characters>
  <Application>Microsoft Office Word</Application>
  <DocSecurity>0</DocSecurity>
  <Lines>487</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2025-08-29T00:13:00Z</dcterms:created>
  <dcterms:modified xsi:type="dcterms:W3CDTF">2025-08-29T00:13:00Z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