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53D4A" w14:textId="77777777" w:rsidR="0086265D" w:rsidRDefault="0086265D" w:rsidP="0086265D">
      <w:pPr>
        <w:jc w:val="both"/>
        <w:rPr>
          <w:rFonts w:ascii="Verdana" w:hAnsi="Verdana" w:cs="Arial"/>
          <w:b/>
          <w:bCs/>
          <w:lang w:val="es-MX" w:eastAsia="es-ES_tradnl"/>
        </w:rPr>
      </w:pPr>
      <w:bookmarkStart w:id="0" w:name="_Hlk143780582"/>
      <w:bookmarkStart w:id="1" w:name="_Hlk202875225"/>
      <w:bookmarkStart w:id="2" w:name="_Hlk203032812"/>
      <w:bookmarkStart w:id="3" w:name="_Hlk204367265"/>
      <w:bookmarkStart w:id="4" w:name="_Hlk206116713"/>
      <w:r w:rsidRPr="0086265D">
        <w:rPr>
          <w:rFonts w:ascii="Verdana" w:hAnsi="Verdana" w:cs="Arial"/>
          <w:b/>
          <w:bCs/>
          <w:lang w:val="es-MX" w:eastAsia="es-ES_tradnl"/>
        </w:rPr>
        <w:t xml:space="preserve">LEY DE GARANTÍAS ELECTORALES ‒ Finalidad </w:t>
      </w:r>
    </w:p>
    <w:p w14:paraId="70D0AA38" w14:textId="25BA0173" w:rsidR="0086265D" w:rsidRDefault="0086265D" w:rsidP="0086265D">
      <w:pPr>
        <w:spacing w:after="0" w:line="240" w:lineRule="auto"/>
        <w:jc w:val="both"/>
        <w:rPr>
          <w:rFonts w:ascii="Verdana" w:eastAsia="Times New Roman" w:hAnsi="Verdana" w:cs="Arial"/>
          <w:bCs/>
          <w:sz w:val="20"/>
          <w:szCs w:val="20"/>
          <w:lang w:eastAsia="es-CO"/>
        </w:rPr>
      </w:pPr>
      <w:r w:rsidRPr="0086265D">
        <w:rPr>
          <w:rFonts w:ascii="Verdana" w:eastAsia="Times New Roman" w:hAnsi="Verdana" w:cs="Arial"/>
          <w:bCs/>
          <w:sz w:val="20"/>
          <w:szCs w:val="20"/>
          <w:lang w:eastAsia="es-CO"/>
        </w:rPr>
        <w:t xml:space="preserve">[…] </w:t>
      </w:r>
      <w:r w:rsidRPr="0086265D">
        <w:rPr>
          <w:rFonts w:ascii="Verdana" w:eastAsia="Times New Roman" w:hAnsi="Verdana" w:cs="Arial"/>
          <w:bCs/>
          <w:sz w:val="20"/>
          <w:szCs w:val="20"/>
          <w:lang w:eastAsia="es-CO"/>
        </w:rPr>
        <w:t>El ordenamiento jurídico colombiano contempla previsiones claras para evitar la obtención de beneficios personales en asuntos propios de la administración pública. Por ejemplo, el artículo 127 de la Constitución Política establece una prohibición contractual a los servidores públicos y en cuanto a aspectos políticos establece restricciones a ciertos empleados del Estado, incluso en época no electoral</w:t>
      </w:r>
      <w:r>
        <w:rPr>
          <w:rFonts w:ascii="Verdana" w:eastAsia="Times New Roman" w:hAnsi="Verdana" w:cs="Arial"/>
          <w:bCs/>
          <w:sz w:val="20"/>
          <w:szCs w:val="20"/>
          <w:lang w:eastAsia="es-CO"/>
        </w:rPr>
        <w:t>.</w:t>
      </w:r>
    </w:p>
    <w:p w14:paraId="193AB423" w14:textId="77777777" w:rsidR="0086265D" w:rsidRDefault="0086265D" w:rsidP="0086265D">
      <w:pPr>
        <w:spacing w:after="0" w:line="240" w:lineRule="auto"/>
        <w:jc w:val="both"/>
        <w:rPr>
          <w:rFonts w:ascii="Verdana" w:eastAsia="Times New Roman" w:hAnsi="Verdana" w:cs="Arial"/>
          <w:bCs/>
          <w:sz w:val="20"/>
          <w:szCs w:val="20"/>
          <w:lang w:eastAsia="es-CO"/>
        </w:rPr>
      </w:pPr>
    </w:p>
    <w:p w14:paraId="10E1750A" w14:textId="1658C3C2" w:rsidR="0086265D" w:rsidRDefault="0086265D" w:rsidP="0086265D">
      <w:pPr>
        <w:spacing w:after="0" w:line="240" w:lineRule="auto"/>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 xml:space="preserve">[…] </w:t>
      </w:r>
    </w:p>
    <w:p w14:paraId="3BF0DD93" w14:textId="77777777" w:rsidR="0086265D" w:rsidRDefault="0086265D" w:rsidP="0086265D">
      <w:pPr>
        <w:spacing w:after="0" w:line="240" w:lineRule="auto"/>
        <w:jc w:val="both"/>
        <w:rPr>
          <w:rFonts w:ascii="Verdana" w:eastAsia="Times New Roman" w:hAnsi="Verdana" w:cs="Arial"/>
          <w:bCs/>
          <w:sz w:val="20"/>
          <w:szCs w:val="20"/>
          <w:lang w:eastAsia="es-CO"/>
        </w:rPr>
      </w:pPr>
    </w:p>
    <w:p w14:paraId="687FF470" w14:textId="7C0FBD17" w:rsidR="0086265D" w:rsidRPr="0086265D" w:rsidRDefault="0086265D" w:rsidP="0086265D">
      <w:pPr>
        <w:spacing w:after="0" w:line="240" w:lineRule="auto"/>
        <w:jc w:val="both"/>
        <w:rPr>
          <w:rFonts w:ascii="Verdana" w:hAnsi="Verdana" w:cs="Arial"/>
          <w:sz w:val="20"/>
          <w:szCs w:val="20"/>
          <w:lang w:val="es-MX" w:eastAsia="es-ES_tradnl"/>
        </w:rPr>
      </w:pPr>
      <w:r w:rsidRPr="0086265D">
        <w:rPr>
          <w:rFonts w:ascii="Verdana" w:hAnsi="Verdana" w:cs="Arial"/>
          <w:sz w:val="20"/>
          <w:szCs w:val="20"/>
          <w:lang w:val="es-MX" w:eastAsia="es-ES_tradnl"/>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156FE21C" w14:textId="77777777" w:rsidR="0086265D" w:rsidRPr="0086265D" w:rsidRDefault="0086265D" w:rsidP="0086265D">
      <w:pPr>
        <w:spacing w:after="0" w:line="240" w:lineRule="auto"/>
        <w:jc w:val="both"/>
        <w:rPr>
          <w:rFonts w:ascii="Verdana" w:hAnsi="Verdana" w:cs="Arial"/>
          <w:sz w:val="20"/>
          <w:szCs w:val="20"/>
          <w:lang w:val="es-MX" w:eastAsia="es-ES_tradnl"/>
        </w:rPr>
      </w:pPr>
    </w:p>
    <w:p w14:paraId="1EC234C3" w14:textId="77777777" w:rsidR="0086265D" w:rsidRPr="0086265D" w:rsidRDefault="0086265D" w:rsidP="0086265D">
      <w:pPr>
        <w:spacing w:after="0" w:line="240" w:lineRule="auto"/>
        <w:jc w:val="both"/>
        <w:rPr>
          <w:rFonts w:ascii="Verdana" w:hAnsi="Verdana" w:cs="Arial"/>
          <w:b/>
          <w:bCs/>
          <w:lang w:val="es-MX" w:eastAsia="es-ES_tradnl"/>
        </w:rPr>
      </w:pPr>
      <w:r w:rsidRPr="0086265D">
        <w:rPr>
          <w:rFonts w:ascii="Verdana" w:hAnsi="Verdana" w:cs="Arial"/>
          <w:b/>
          <w:bCs/>
          <w:lang w:val="es-MX" w:eastAsia="es-ES_tradnl"/>
        </w:rPr>
        <w:t xml:space="preserve">LEY DE GARANTÍAS ELECTORALES ‒ Tipos de restricciones ‒ Ámbito temporal – celebración- límite </w:t>
      </w:r>
    </w:p>
    <w:p w14:paraId="4A7405B0" w14:textId="77777777" w:rsidR="00D84633" w:rsidRDefault="00D84633" w:rsidP="00D84633">
      <w:pPr>
        <w:spacing w:after="0" w:line="240" w:lineRule="auto"/>
        <w:jc w:val="both"/>
        <w:rPr>
          <w:rFonts w:ascii="Verdana" w:hAnsi="Verdana" w:cs="Arial"/>
          <w:lang w:val="es-MX" w:eastAsia="es-ES_tradnl"/>
        </w:rPr>
      </w:pPr>
    </w:p>
    <w:p w14:paraId="2E754BCC" w14:textId="4A096D09" w:rsidR="0086265D" w:rsidRDefault="00D84633" w:rsidP="00D84633">
      <w:pPr>
        <w:spacing w:after="0" w:line="240" w:lineRule="auto"/>
        <w:jc w:val="both"/>
        <w:rPr>
          <w:rFonts w:ascii="Verdana" w:eastAsia="Arial" w:hAnsi="Verdana" w:cs="Arial"/>
          <w:sz w:val="20"/>
          <w:szCs w:val="20"/>
          <w:lang w:val="es-ES" w:eastAsia="es-ES" w:bidi="es-ES"/>
        </w:rPr>
      </w:pPr>
      <w:r>
        <w:rPr>
          <w:rFonts w:ascii="Verdana" w:hAnsi="Verdana" w:cs="Arial"/>
          <w:lang w:val="es-MX" w:eastAsia="es-ES_tradnl"/>
        </w:rPr>
        <w:t xml:space="preserve">[…] </w:t>
      </w:r>
      <w:r w:rsidR="0086265D" w:rsidRPr="00D84633">
        <w:rPr>
          <w:rFonts w:ascii="Verdana" w:eastAsia="Arial" w:hAnsi="Verdana" w:cs="Arial"/>
          <w:sz w:val="20"/>
          <w:szCs w:val="20"/>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315A4E9F" w14:textId="77777777" w:rsidR="00D84633" w:rsidRDefault="00D84633" w:rsidP="00D84633">
      <w:pPr>
        <w:spacing w:after="0" w:line="240" w:lineRule="auto"/>
        <w:jc w:val="both"/>
        <w:rPr>
          <w:rFonts w:ascii="Verdana" w:eastAsia="Arial" w:hAnsi="Verdana" w:cs="Arial"/>
          <w:sz w:val="20"/>
          <w:szCs w:val="20"/>
          <w:lang w:val="es-ES" w:eastAsia="es-ES" w:bidi="es-ES"/>
        </w:rPr>
      </w:pPr>
    </w:p>
    <w:p w14:paraId="6621BE08" w14:textId="7086F609" w:rsidR="00D84633" w:rsidRDefault="00D84633" w:rsidP="00D84633">
      <w:pPr>
        <w:spacing w:after="0" w:line="240" w:lineRule="auto"/>
        <w:jc w:val="both"/>
        <w:rPr>
          <w:rFonts w:ascii="Verdana" w:eastAsia="Calibri" w:hAnsi="Verdana" w:cs="Arial"/>
          <w:sz w:val="20"/>
          <w:szCs w:val="20"/>
        </w:rPr>
      </w:pPr>
      <w:r w:rsidRPr="00D84633">
        <w:rPr>
          <w:rFonts w:ascii="Verdana" w:eastAsia="Calibri" w:hAnsi="Verdana" w:cs="Arial"/>
          <w:sz w:val="20"/>
          <w:szCs w:val="20"/>
        </w:rPr>
        <w:t xml:space="preserve">Por un lado, el artículo 33 de la Ley 996 de 2005 prohíbe </w:t>
      </w:r>
      <w:r w:rsidRPr="00D84633">
        <w:rPr>
          <w:rFonts w:ascii="Verdana" w:eastAsia="Calibri" w:hAnsi="Verdana" w:cs="Arial"/>
          <w:bCs/>
          <w:sz w:val="20"/>
          <w:szCs w:val="20"/>
        </w:rPr>
        <w:t xml:space="preserve">“(…) </w:t>
      </w:r>
      <w:r w:rsidRPr="00D84633">
        <w:rPr>
          <w:rFonts w:ascii="Verdana" w:eastAsia="Calibri" w:hAnsi="Verdana" w:cs="Arial"/>
          <w:sz w:val="20"/>
          <w:szCs w:val="20"/>
        </w:rPr>
        <w:t xml:space="preserve">la contratación directa por parte de todos los entes del Estado” durante los cuatro (4) meses anteriores a las elecciones presidenciales, salvo </w:t>
      </w:r>
      <w:r w:rsidRPr="00D84633">
        <w:rPr>
          <w:rFonts w:ascii="Verdana" w:eastAsia="Calibri" w:hAnsi="Verdana" w:cs="Arial"/>
          <w:bCs/>
          <w:sz w:val="20"/>
          <w:szCs w:val="20"/>
        </w:rPr>
        <w:t>“(…) l</w:t>
      </w:r>
      <w:r w:rsidRPr="00D84633">
        <w:rPr>
          <w:rFonts w:ascii="Verdana" w:eastAsia="Calibri" w:hAnsi="Verdana" w:cs="Arial"/>
          <w:sz w:val="20"/>
          <w:szCs w:val="20"/>
        </w:rPr>
        <w:t>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179C34A8" w14:textId="77777777" w:rsidR="00D84633" w:rsidRPr="00D84633" w:rsidRDefault="00D84633" w:rsidP="00D84633">
      <w:pPr>
        <w:spacing w:after="0" w:line="240" w:lineRule="auto"/>
        <w:jc w:val="both"/>
        <w:rPr>
          <w:rFonts w:ascii="Verdana" w:eastAsia="Calibri" w:hAnsi="Verdana" w:cs="Arial"/>
          <w:sz w:val="20"/>
          <w:szCs w:val="20"/>
        </w:rPr>
      </w:pPr>
    </w:p>
    <w:p w14:paraId="34B51A92" w14:textId="726025CD" w:rsidR="0086265D" w:rsidRDefault="00D84633" w:rsidP="00D84633">
      <w:pPr>
        <w:spacing w:after="0" w:line="240" w:lineRule="auto"/>
        <w:jc w:val="both"/>
        <w:rPr>
          <w:rFonts w:ascii="Verdana" w:eastAsia="Arial" w:hAnsi="Verdana" w:cs="Arial"/>
          <w:sz w:val="20"/>
          <w:szCs w:val="20"/>
          <w:lang w:val="es-ES" w:eastAsia="es-ES" w:bidi="es-ES"/>
        </w:rPr>
      </w:pPr>
      <w:r w:rsidRPr="00D84633">
        <w:rPr>
          <w:rFonts w:ascii="Verdana" w:eastAsia="Calibri" w:hAnsi="Verdana" w:cs="Arial"/>
          <w:sz w:val="20"/>
          <w:szCs w:val="20"/>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D84633">
        <w:rPr>
          <w:rFonts w:ascii="Verdana" w:eastAsia="Calibri" w:hAnsi="Verdana" w:cs="Arial"/>
          <w:bCs/>
          <w:sz w:val="20"/>
          <w:szCs w:val="20"/>
        </w:rPr>
        <w:t xml:space="preserve">“(…) </w:t>
      </w:r>
      <w:r w:rsidRPr="00D84633">
        <w:rPr>
          <w:rFonts w:ascii="Verdana" w:eastAsia="Calibri" w:hAnsi="Verdana" w:cs="Arial"/>
          <w:sz w:val="20"/>
          <w:szCs w:val="20"/>
        </w:rPr>
        <w:t xml:space="preserve">celebrar convenios interadministrativos para la ejecución de recursos públicos, ni participar, promover y destinar recursos públicos de las entidades a su cargo, como tampoco de las </w:t>
      </w:r>
      <w:r w:rsidRPr="00D84633">
        <w:rPr>
          <w:rFonts w:ascii="Verdana" w:eastAsia="Calibri" w:hAnsi="Verdana" w:cs="Arial"/>
          <w:sz w:val="20"/>
          <w:szCs w:val="20"/>
        </w:rPr>
        <w:lastRenderedPageBreak/>
        <w:t>que participen como miembros de sus juntas directivas, en o para reuniones de carácter proselitista</w:t>
      </w:r>
      <w:r w:rsidRPr="00D84633">
        <w:rPr>
          <w:rFonts w:ascii="Verdana" w:eastAsia="Calibri" w:hAnsi="Verdana" w:cs="Arial"/>
          <w:sz w:val="20"/>
          <w:szCs w:val="20"/>
        </w:rPr>
        <w:t>.</w:t>
      </w:r>
    </w:p>
    <w:p w14:paraId="597A56F0" w14:textId="77777777" w:rsidR="00D84633" w:rsidRPr="00D84633" w:rsidRDefault="00D84633" w:rsidP="00D84633">
      <w:pPr>
        <w:spacing w:after="0" w:line="240" w:lineRule="auto"/>
        <w:jc w:val="both"/>
        <w:rPr>
          <w:rFonts w:ascii="Verdana" w:eastAsia="Arial" w:hAnsi="Verdana" w:cs="Arial"/>
          <w:sz w:val="20"/>
          <w:szCs w:val="20"/>
          <w:lang w:val="es-ES" w:eastAsia="es-ES" w:bidi="es-ES"/>
        </w:rPr>
      </w:pPr>
    </w:p>
    <w:p w14:paraId="45EE3F06" w14:textId="55D5490C" w:rsidR="00D84633" w:rsidRDefault="00D84633" w:rsidP="0086265D">
      <w:pPr>
        <w:jc w:val="both"/>
        <w:rPr>
          <w:rFonts w:ascii="Verdana" w:hAnsi="Verdana" w:cs="Arial"/>
          <w:sz w:val="20"/>
          <w:szCs w:val="20"/>
          <w:lang w:val="es-ES" w:eastAsia="es-ES_tradnl"/>
        </w:rPr>
      </w:pPr>
      <w:r>
        <w:rPr>
          <w:rFonts w:ascii="Verdana" w:hAnsi="Verdana" w:cs="Arial"/>
          <w:sz w:val="20"/>
          <w:szCs w:val="20"/>
          <w:lang w:val="es-ES" w:eastAsia="es-ES_tradnl"/>
        </w:rPr>
        <w:t xml:space="preserve">[…] </w:t>
      </w:r>
    </w:p>
    <w:p w14:paraId="05355B98" w14:textId="77777777" w:rsidR="00D84633" w:rsidRPr="00D84633" w:rsidRDefault="00D84633" w:rsidP="00D84633">
      <w:pPr>
        <w:jc w:val="both"/>
        <w:rPr>
          <w:rFonts w:ascii="Verdana" w:hAnsi="Verdana" w:cs="Arial"/>
          <w:sz w:val="20"/>
          <w:szCs w:val="20"/>
          <w:lang w:val="es-ES" w:eastAsia="es-ES_tradnl"/>
        </w:rPr>
      </w:pPr>
      <w:r w:rsidRPr="00D84633">
        <w:rPr>
          <w:rFonts w:ascii="Verdana" w:hAnsi="Verdana" w:cs="Arial"/>
          <w:sz w:val="20"/>
          <w:szCs w:val="20"/>
          <w:lang w:val="es-ES" w:eastAsia="es-ES_tradnl"/>
        </w:rPr>
        <w:t xml:space="preserve">De conformidad con lo anterior,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6B079BD3" w14:textId="77777777" w:rsidR="00D84633" w:rsidRPr="00D84633" w:rsidRDefault="00D84633" w:rsidP="00D84633">
      <w:pPr>
        <w:jc w:val="both"/>
        <w:rPr>
          <w:rFonts w:ascii="Verdana" w:hAnsi="Verdana" w:cs="Arial"/>
          <w:sz w:val="20"/>
          <w:szCs w:val="20"/>
          <w:lang w:val="es-ES" w:eastAsia="es-ES_tradnl"/>
        </w:rPr>
      </w:pPr>
      <w:r w:rsidRPr="00D84633">
        <w:rPr>
          <w:rFonts w:ascii="Verdana" w:hAnsi="Verdana" w:cs="Arial"/>
          <w:sz w:val="20"/>
          <w:szCs w:val="20"/>
          <w:lang w:val="es-ES" w:eastAsia="es-ES_tradnl"/>
        </w:rPr>
        <w:t>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796C396A" w14:textId="1DF1E40B" w:rsidR="00D84633" w:rsidRPr="0086265D" w:rsidRDefault="00D84633" w:rsidP="00D84633">
      <w:pPr>
        <w:jc w:val="both"/>
        <w:rPr>
          <w:rFonts w:ascii="Verdana" w:hAnsi="Verdana" w:cs="Arial"/>
          <w:sz w:val="20"/>
          <w:szCs w:val="20"/>
          <w:lang w:val="es-ES" w:eastAsia="es-ES_tradnl"/>
        </w:rPr>
      </w:pPr>
      <w:r w:rsidRPr="00D84633">
        <w:rPr>
          <w:rFonts w:ascii="Verdana" w:hAnsi="Verdana" w:cs="Arial"/>
          <w:sz w:val="20"/>
          <w:szCs w:val="20"/>
          <w:lang w:val="es-ES" w:eastAsia="es-ES_tradnl"/>
        </w:rPr>
        <w:t xml:space="preserve">Ambas restricciones no son excluyentes, lo que permite concluir que en el período preelectoral para elección de </w:t>
      </w:r>
      <w:proofErr w:type="gramStart"/>
      <w:r w:rsidRPr="00D84633">
        <w:rPr>
          <w:rFonts w:ascii="Verdana" w:hAnsi="Verdana" w:cs="Arial"/>
          <w:sz w:val="20"/>
          <w:szCs w:val="20"/>
          <w:lang w:val="es-ES" w:eastAsia="es-ES_tradnl"/>
        </w:rPr>
        <w:t>Presidente</w:t>
      </w:r>
      <w:proofErr w:type="gramEnd"/>
      <w:r w:rsidRPr="00D84633">
        <w:rPr>
          <w:rFonts w:ascii="Verdana" w:hAnsi="Verdana" w:cs="Arial"/>
          <w:sz w:val="20"/>
          <w:szCs w:val="20"/>
          <w:lang w:val="es-ES" w:eastAsia="es-ES_tradnl"/>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D84633">
        <w:rPr>
          <w:rFonts w:ascii="Verdana" w:hAnsi="Verdana" w:cs="Arial"/>
          <w:sz w:val="20"/>
          <w:szCs w:val="20"/>
          <w:lang w:val="es-ES" w:eastAsia="es-ES_tradnl"/>
        </w:rPr>
        <w:t>Presidente</w:t>
      </w:r>
      <w:proofErr w:type="gramEnd"/>
      <w:r w:rsidRPr="00D84633">
        <w:rPr>
          <w:rFonts w:ascii="Verdana" w:hAnsi="Verdana" w:cs="Arial"/>
          <w:sz w:val="20"/>
          <w:szCs w:val="20"/>
          <w:lang w:val="es-ES" w:eastAsia="es-ES_tradnl"/>
        </w:rPr>
        <w:t xml:space="preserve"> de la República, las autoridades allí mencionadas sólo deben aplicar las restricciones contenidas en el parágrafo del artículo 38.</w:t>
      </w:r>
    </w:p>
    <w:p w14:paraId="0D2DEE52" w14:textId="22814B62" w:rsidR="00D84633" w:rsidRDefault="0086265D" w:rsidP="00D84633">
      <w:pPr>
        <w:spacing w:after="0" w:line="240" w:lineRule="auto"/>
        <w:jc w:val="both"/>
        <w:rPr>
          <w:rFonts w:ascii="Verdana" w:hAnsi="Verdana" w:cs="Arial"/>
          <w:b/>
          <w:bCs/>
          <w:lang w:val="es-MX" w:eastAsia="es-ES_tradnl"/>
        </w:rPr>
      </w:pPr>
      <w:r w:rsidRPr="00D84633">
        <w:rPr>
          <w:rFonts w:ascii="Verdana" w:hAnsi="Verdana" w:cs="Arial"/>
          <w:b/>
          <w:bCs/>
          <w:lang w:val="es-MX" w:eastAsia="es-ES_tradnl"/>
        </w:rPr>
        <w:t xml:space="preserve">LEY DE GARANTÍAS ELECTORALES – Contratos y convenios interadministrativos – Criterio orgánico / CONTRATOS Y CONVENIOS INTERADMINISTRATIVOS – Definición – Criterio orgánico  </w:t>
      </w:r>
    </w:p>
    <w:p w14:paraId="1F1E4D5E" w14:textId="77777777" w:rsidR="00D84633" w:rsidRDefault="00D84633" w:rsidP="00D84633">
      <w:pPr>
        <w:spacing w:after="0" w:line="240" w:lineRule="auto"/>
        <w:jc w:val="both"/>
        <w:rPr>
          <w:rFonts w:ascii="Verdana" w:hAnsi="Verdana" w:cs="Arial"/>
          <w:b/>
          <w:bCs/>
          <w:lang w:val="es-MX" w:eastAsia="es-ES_tradnl"/>
        </w:rPr>
      </w:pPr>
    </w:p>
    <w:p w14:paraId="56BDBA43" w14:textId="5ED63427" w:rsidR="00A14228" w:rsidRDefault="00A14228" w:rsidP="00A14228">
      <w:pPr>
        <w:pStyle w:val="Textoindependiente"/>
        <w:jc w:val="both"/>
        <w:rPr>
          <w:rFonts w:ascii="Verdana" w:eastAsia="Calibri" w:hAnsi="Verdana"/>
          <w:sz w:val="20"/>
          <w:szCs w:val="20"/>
        </w:rPr>
      </w:pPr>
      <w:r w:rsidRPr="00A14228">
        <w:rPr>
          <w:rFonts w:ascii="Verdana" w:eastAsia="Calibri" w:hAnsi="Verdana"/>
          <w:sz w:val="20"/>
          <w:szCs w:val="20"/>
        </w:rPr>
        <w:t>El Decreto 1082 de 2015 califica a los convenios o contratos interadministrativos como aquella contratación entre entidades estatales</w:t>
      </w:r>
      <w:r w:rsidRPr="00A14228">
        <w:rPr>
          <w:rFonts w:ascii="Verdana" w:eastAsia="Calibri" w:hAnsi="Verdana"/>
          <w:sz w:val="20"/>
          <w:szCs w:val="20"/>
          <w:vertAlign w:val="superscript"/>
        </w:rPr>
        <w:t>.</w:t>
      </w:r>
      <w:r w:rsidRPr="00A14228">
        <w:rPr>
          <w:rFonts w:ascii="Verdana" w:eastAsia="Calibri" w:hAnsi="Verdana"/>
          <w:sz w:val="20"/>
          <w:szCs w:val="20"/>
        </w:rPr>
        <w:t xml:space="preserve">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384DBB36" w14:textId="77777777" w:rsidR="00A14228" w:rsidRDefault="00A14228" w:rsidP="00A14228">
      <w:pPr>
        <w:pStyle w:val="Textoindependiente"/>
        <w:jc w:val="both"/>
        <w:rPr>
          <w:rFonts w:ascii="Verdana" w:eastAsia="Calibri" w:hAnsi="Verdana"/>
          <w:sz w:val="20"/>
          <w:szCs w:val="20"/>
        </w:rPr>
      </w:pPr>
    </w:p>
    <w:p w14:paraId="028F5B7F" w14:textId="42F7D25B" w:rsidR="00A14228" w:rsidRPr="00A14228" w:rsidRDefault="00A14228" w:rsidP="00A14228">
      <w:pPr>
        <w:pStyle w:val="Textoindependiente"/>
        <w:jc w:val="both"/>
        <w:rPr>
          <w:rFonts w:ascii="Verdana" w:eastAsia="Calibri" w:hAnsi="Verdana"/>
          <w:sz w:val="20"/>
          <w:szCs w:val="20"/>
        </w:rPr>
      </w:pPr>
      <w:r w:rsidRPr="00A14228">
        <w:rPr>
          <w:rFonts w:ascii="Verdana" w:eastAsia="Calibri" w:hAnsi="Verdana"/>
          <w:sz w:val="20"/>
          <w:szCs w:val="20"/>
        </w:rPr>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w:t>
      </w:r>
      <w:r w:rsidRPr="00A14228">
        <w:rPr>
          <w:rFonts w:ascii="Verdana" w:eastAsia="Calibri" w:hAnsi="Verdana"/>
          <w:sz w:val="20"/>
          <w:szCs w:val="20"/>
        </w:rPr>
        <w:lastRenderedPageBreak/>
        <w:t>1993 celebrar esta clase de convenios con una entidad estatal de régimen especial y no por ello dejará de ser un contrato o convenio interadministrativo.</w:t>
      </w:r>
    </w:p>
    <w:p w14:paraId="65F588DC" w14:textId="77777777" w:rsidR="00CD3737" w:rsidRPr="00CD3737" w:rsidRDefault="00CD3737" w:rsidP="00D84633">
      <w:pPr>
        <w:spacing w:after="0" w:line="240" w:lineRule="auto"/>
        <w:jc w:val="both"/>
        <w:rPr>
          <w:rFonts w:ascii="Verdana" w:hAnsi="Verdana" w:cs="Arial"/>
          <w:b/>
          <w:bCs/>
          <w:lang w:val="es-ES" w:eastAsia="es-ES_tradnl"/>
        </w:rPr>
      </w:pPr>
    </w:p>
    <w:p w14:paraId="5E23DF16" w14:textId="77777777" w:rsidR="00C85E88" w:rsidRPr="00C85E88" w:rsidRDefault="0086265D" w:rsidP="00C85E88">
      <w:pPr>
        <w:spacing w:after="0" w:line="240" w:lineRule="auto"/>
        <w:jc w:val="both"/>
        <w:rPr>
          <w:rFonts w:ascii="Verdana" w:hAnsi="Verdana" w:cs="Arial"/>
          <w:b/>
          <w:bCs/>
          <w:lang w:val="es-MX" w:eastAsia="es-ES_tradnl"/>
        </w:rPr>
      </w:pPr>
      <w:r w:rsidRPr="00C85E88">
        <w:rPr>
          <w:rFonts w:ascii="Verdana" w:hAnsi="Verdana" w:cs="Arial"/>
          <w:b/>
          <w:bCs/>
          <w:lang w:val="es-MX" w:eastAsia="es-ES_tradnl"/>
        </w:rPr>
        <w:t xml:space="preserve">CONTRATOS Y CONVENIOS INTERADMINISTRATIVOS – Circular Externa Única – Auto de suspensión –numeral 16.2. </w:t>
      </w:r>
    </w:p>
    <w:p w14:paraId="13F03B67" w14:textId="77777777" w:rsidR="00C85E88" w:rsidRDefault="00C85E88" w:rsidP="00C85E88">
      <w:pPr>
        <w:spacing w:after="0" w:line="240" w:lineRule="auto"/>
        <w:jc w:val="both"/>
        <w:rPr>
          <w:rFonts w:ascii="Verdana" w:hAnsi="Verdana"/>
          <w:sz w:val="20"/>
          <w:szCs w:val="20"/>
        </w:rPr>
      </w:pPr>
    </w:p>
    <w:p w14:paraId="201279FD" w14:textId="2A4CD304" w:rsidR="00C85E88" w:rsidRDefault="00C84105" w:rsidP="00C85E88">
      <w:pPr>
        <w:spacing w:after="0" w:line="240" w:lineRule="auto"/>
        <w:jc w:val="both"/>
        <w:rPr>
          <w:rFonts w:ascii="Verdana" w:hAnsi="Verdana"/>
          <w:sz w:val="20"/>
          <w:szCs w:val="20"/>
        </w:rPr>
      </w:pPr>
      <w:r>
        <w:rPr>
          <w:rFonts w:ascii="Verdana" w:hAnsi="Verdana"/>
          <w:sz w:val="20"/>
          <w:szCs w:val="20"/>
        </w:rPr>
        <w:t xml:space="preserve">[…] la </w:t>
      </w:r>
      <w:r w:rsidR="00C85E88" w:rsidRPr="00C85E88">
        <w:rPr>
          <w:rFonts w:ascii="Verdana" w:hAnsi="Verdana"/>
          <w:sz w:val="20"/>
          <w:szCs w:val="20"/>
        </w:rPr>
        <w:t>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w:t>
      </w:r>
    </w:p>
    <w:p w14:paraId="49731D6D" w14:textId="77777777" w:rsidR="00C84105" w:rsidRDefault="00C84105" w:rsidP="00C85E88">
      <w:pPr>
        <w:spacing w:after="0" w:line="240" w:lineRule="auto"/>
        <w:jc w:val="both"/>
        <w:rPr>
          <w:rFonts w:ascii="Verdana" w:hAnsi="Verdana"/>
          <w:sz w:val="20"/>
          <w:szCs w:val="20"/>
        </w:rPr>
      </w:pPr>
    </w:p>
    <w:p w14:paraId="14FDCC8B" w14:textId="2F43261F" w:rsidR="00C84105" w:rsidRDefault="00C84105" w:rsidP="00C85E88">
      <w:pPr>
        <w:spacing w:after="0" w:line="240" w:lineRule="auto"/>
        <w:jc w:val="both"/>
        <w:rPr>
          <w:rFonts w:ascii="Verdana" w:hAnsi="Verdana" w:cs="Arial"/>
          <w:sz w:val="20"/>
          <w:szCs w:val="20"/>
          <w:lang w:val="es-MX" w:eastAsia="es-ES_tradnl"/>
        </w:rPr>
      </w:pPr>
      <w:r>
        <w:rPr>
          <w:rFonts w:ascii="Verdana" w:hAnsi="Verdana" w:cs="Arial"/>
          <w:sz w:val="20"/>
          <w:szCs w:val="20"/>
          <w:lang w:val="es-MX" w:eastAsia="es-ES_tradnl"/>
        </w:rPr>
        <w:t xml:space="preserve">[…] </w:t>
      </w:r>
    </w:p>
    <w:p w14:paraId="12A50944" w14:textId="77777777" w:rsidR="00C84105" w:rsidRDefault="00C84105" w:rsidP="00C85E88">
      <w:pPr>
        <w:spacing w:after="0" w:line="240" w:lineRule="auto"/>
        <w:jc w:val="both"/>
        <w:rPr>
          <w:rFonts w:ascii="Verdana" w:hAnsi="Verdana" w:cs="Arial"/>
          <w:sz w:val="20"/>
          <w:szCs w:val="20"/>
          <w:lang w:val="es-MX" w:eastAsia="es-ES_tradnl"/>
        </w:rPr>
      </w:pPr>
    </w:p>
    <w:p w14:paraId="685F4D7B" w14:textId="57B5228B" w:rsidR="00C84105" w:rsidRPr="00C84105" w:rsidRDefault="00C84105" w:rsidP="00C84105">
      <w:pPr>
        <w:spacing w:after="0" w:line="240" w:lineRule="auto"/>
        <w:jc w:val="both"/>
        <w:rPr>
          <w:rFonts w:ascii="Verdana" w:eastAsia="Arial" w:hAnsi="Verdana" w:cs="Arial"/>
          <w:sz w:val="20"/>
          <w:szCs w:val="20"/>
          <w:lang w:val="es-MX" w:eastAsia="es-ES" w:bidi="es-ES"/>
        </w:rPr>
      </w:pPr>
      <w:r>
        <w:rPr>
          <w:rFonts w:ascii="Verdana" w:eastAsia="Arial" w:hAnsi="Verdana" w:cs="Arial"/>
          <w:sz w:val="20"/>
          <w:szCs w:val="20"/>
          <w:lang w:val="es-ES" w:eastAsia="es-ES" w:bidi="es-ES"/>
        </w:rPr>
        <w:t xml:space="preserve">[…] </w:t>
      </w:r>
      <w:r w:rsidRPr="00C84105">
        <w:rPr>
          <w:rFonts w:ascii="Verdana" w:eastAsia="Arial" w:hAnsi="Verdana" w:cs="Arial"/>
          <w:sz w:val="20"/>
          <w:szCs w:val="20"/>
          <w:lang w:val="es-ES" w:eastAsia="es-ES" w:bidi="es-ES"/>
        </w:rPr>
        <w:t>debido a que no existe una definición legal que diferencie los conceptos de contrato y convenio, esta Agencia ha partido de su asimilación para la aplicación de la Ley de Garantías Electorales, por lo que la interpretación que se ha efectuado d</w:t>
      </w:r>
      <w:r w:rsidRPr="00C84105">
        <w:rPr>
          <w:rFonts w:ascii="Verdana" w:eastAsia="Arial" w:hAnsi="Verdana" w:cs="Arial"/>
          <w:sz w:val="20"/>
          <w:szCs w:val="20"/>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6E83B9FE" w14:textId="77777777" w:rsidR="00C84105" w:rsidRDefault="00C84105" w:rsidP="00C84105">
      <w:pPr>
        <w:spacing w:after="0" w:line="240" w:lineRule="auto"/>
        <w:jc w:val="both"/>
        <w:rPr>
          <w:rFonts w:ascii="Verdana" w:eastAsia="Arial" w:hAnsi="Verdana" w:cs="Arial"/>
          <w:sz w:val="20"/>
          <w:szCs w:val="20"/>
          <w:lang w:val="es-MX" w:eastAsia="es-ES" w:bidi="es-ES"/>
        </w:rPr>
      </w:pPr>
    </w:p>
    <w:p w14:paraId="19E1C349" w14:textId="34F9B28D" w:rsidR="00C85E88" w:rsidRDefault="00C84105" w:rsidP="00C84105">
      <w:pPr>
        <w:spacing w:after="0" w:line="240" w:lineRule="auto"/>
        <w:jc w:val="both"/>
        <w:rPr>
          <w:rFonts w:ascii="Verdana" w:hAnsi="Verdana"/>
          <w:sz w:val="20"/>
          <w:szCs w:val="20"/>
        </w:rPr>
      </w:pPr>
      <w:r w:rsidRPr="00C84105">
        <w:rPr>
          <w:rFonts w:ascii="Verdana" w:eastAsia="Arial" w:hAnsi="Verdana" w:cs="Arial"/>
          <w:sz w:val="20"/>
          <w:szCs w:val="20"/>
          <w:lang w:val="es-MX" w:eastAsia="es-ES" w:bidi="es-ES"/>
        </w:rPr>
        <w:t xml:space="preserve">Sin perjuicio de lo expuesto, conviene señalar que, mediante auto de 4 de octubre del 2024, el Consejo de Estado, Sección Tercera, decretó medida de suspensión provisional parcial del </w:t>
      </w:r>
      <w:r w:rsidRPr="00C84105">
        <w:rPr>
          <w:rFonts w:ascii="Verdana" w:hAnsi="Verdana"/>
          <w:sz w:val="20"/>
          <w:szCs w:val="20"/>
        </w:rPr>
        <w:t>numeral 16.2 de la Circular Externa Única de 2022 expedida por la Agencia Nacional de Contratación Pública -Colombia Compra Eficiente</w:t>
      </w:r>
      <w:r>
        <w:rPr>
          <w:rFonts w:ascii="Verdana" w:hAnsi="Verdana"/>
          <w:sz w:val="20"/>
          <w:szCs w:val="20"/>
        </w:rPr>
        <w:t xml:space="preserve">. </w:t>
      </w:r>
    </w:p>
    <w:p w14:paraId="3F3A32D5" w14:textId="77777777" w:rsidR="00C84105" w:rsidRDefault="00C84105" w:rsidP="00C84105">
      <w:pPr>
        <w:spacing w:after="0" w:line="240" w:lineRule="auto"/>
        <w:jc w:val="both"/>
        <w:rPr>
          <w:rFonts w:ascii="Verdana" w:hAnsi="Verdana"/>
          <w:sz w:val="20"/>
          <w:szCs w:val="20"/>
        </w:rPr>
      </w:pPr>
    </w:p>
    <w:p w14:paraId="17C12907" w14:textId="77777777" w:rsidR="00C84105" w:rsidRDefault="00C84105" w:rsidP="00C84105">
      <w:pPr>
        <w:spacing w:after="0" w:line="240" w:lineRule="auto"/>
        <w:jc w:val="both"/>
        <w:rPr>
          <w:rFonts w:ascii="Verdana" w:eastAsia="Arial" w:hAnsi="Verdana" w:cs="Arial"/>
          <w:sz w:val="20"/>
          <w:szCs w:val="20"/>
          <w:lang w:val="es-MX" w:eastAsia="es-ES" w:bidi="es-ES"/>
        </w:rPr>
      </w:pPr>
      <w:r>
        <w:rPr>
          <w:rFonts w:ascii="Verdana" w:eastAsia="Arial" w:hAnsi="Verdana" w:cs="Arial"/>
          <w:sz w:val="20"/>
          <w:szCs w:val="20"/>
          <w:lang w:val="es-MX" w:eastAsia="es-ES" w:bidi="es-ES"/>
        </w:rPr>
        <w:t xml:space="preserve">[…] </w:t>
      </w:r>
    </w:p>
    <w:p w14:paraId="540730A4" w14:textId="77777777" w:rsidR="00C84105" w:rsidRDefault="00C84105" w:rsidP="00C84105">
      <w:pPr>
        <w:spacing w:after="0" w:line="240" w:lineRule="auto"/>
        <w:jc w:val="both"/>
        <w:rPr>
          <w:rFonts w:ascii="Verdana" w:eastAsia="Arial" w:hAnsi="Verdana" w:cs="Arial"/>
          <w:sz w:val="20"/>
          <w:szCs w:val="20"/>
          <w:lang w:val="es-MX" w:eastAsia="es-ES" w:bidi="es-ES"/>
        </w:rPr>
      </w:pPr>
    </w:p>
    <w:p w14:paraId="51C91C71" w14:textId="464D6031" w:rsidR="00C84105" w:rsidRPr="00C84105" w:rsidRDefault="00C84105" w:rsidP="00C84105">
      <w:pPr>
        <w:spacing w:after="0" w:line="240" w:lineRule="auto"/>
        <w:jc w:val="both"/>
        <w:rPr>
          <w:rFonts w:ascii="Verdana" w:eastAsia="Arial" w:hAnsi="Verdana" w:cs="Arial"/>
          <w:i/>
          <w:iCs/>
          <w:sz w:val="20"/>
          <w:szCs w:val="20"/>
          <w:lang w:eastAsia="es-ES" w:bidi="es-ES"/>
        </w:rPr>
      </w:pPr>
      <w:r>
        <w:rPr>
          <w:rFonts w:ascii="Verdana" w:eastAsia="Arial" w:hAnsi="Verdana" w:cs="Arial"/>
          <w:sz w:val="20"/>
          <w:szCs w:val="20"/>
          <w:lang w:val="es-MX" w:eastAsia="es-ES" w:bidi="es-ES"/>
        </w:rPr>
        <w:t xml:space="preserve">[…] </w:t>
      </w:r>
      <w:r w:rsidRPr="00C84105">
        <w:rPr>
          <w:rFonts w:ascii="Verdana" w:eastAsia="Arial" w:hAnsi="Verdana" w:cs="Arial"/>
          <w:sz w:val="20"/>
          <w:szCs w:val="20"/>
          <w:lang w:val="es-MX" w:eastAsia="es-ES" w:bidi="es-ES"/>
        </w:rPr>
        <w:t xml:space="preserve">De conformidad con los argumentos de dicha providencia, se parte de la distinción entre los conceptos </w:t>
      </w:r>
      <w:r w:rsidRPr="00C84105">
        <w:rPr>
          <w:rFonts w:ascii="Verdana" w:eastAsia="Arial" w:hAnsi="Verdana" w:cs="Arial"/>
          <w:sz w:val="20"/>
          <w:szCs w:val="20"/>
          <w:lang w:eastAsia="es-ES" w:bidi="es-ES"/>
        </w:rPr>
        <w:t xml:space="preserve">de “convenio” y “contrato” interadministrativos, diferenciándolos en cuanto a su naturaleza, contenido y alcance. Esta distinción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C84105">
        <w:rPr>
          <w:rFonts w:ascii="Verdana" w:eastAsia="Arial" w:hAnsi="Verdana" w:cs="Arial"/>
          <w:i/>
          <w:iCs/>
          <w:sz w:val="20"/>
          <w:szCs w:val="20"/>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C84105">
        <w:rPr>
          <w:rFonts w:ascii="Verdana" w:eastAsia="Arial" w:hAnsi="Verdana" w:cs="Arial"/>
          <w:sz w:val="20"/>
          <w:szCs w:val="20"/>
          <w:lang w:eastAsia="es-ES" w:bidi="es-ES"/>
        </w:rPr>
        <w:t xml:space="preserve">Por tal motivo, para efectos de decretar la medida de suspensión provisional de los apartes señalados del numeral 16.2 de la Circular Externa Única, argumentó que </w:t>
      </w:r>
      <w:r w:rsidRPr="00C84105">
        <w:rPr>
          <w:rFonts w:ascii="Verdana" w:eastAsia="Arial" w:hAnsi="Verdana" w:cs="Arial"/>
          <w:i/>
          <w:iCs/>
          <w:sz w:val="20"/>
          <w:szCs w:val="20"/>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738A095C" w14:textId="2B5502E7" w:rsidR="00C84105" w:rsidRPr="00C84105" w:rsidRDefault="00C84105" w:rsidP="00C84105">
      <w:pPr>
        <w:spacing w:after="0" w:line="240" w:lineRule="auto"/>
        <w:jc w:val="both"/>
        <w:rPr>
          <w:rFonts w:ascii="Verdana" w:eastAsia="Arial" w:hAnsi="Verdana" w:cs="Arial"/>
          <w:i/>
          <w:iCs/>
          <w:sz w:val="20"/>
          <w:szCs w:val="20"/>
          <w:lang w:val="es-MX" w:eastAsia="es-ES" w:bidi="es-ES"/>
        </w:rPr>
      </w:pPr>
      <w:r w:rsidRPr="00C84105">
        <w:rPr>
          <w:rFonts w:ascii="Verdana" w:eastAsia="Arial" w:hAnsi="Verdana" w:cs="Arial"/>
          <w:sz w:val="20"/>
          <w:szCs w:val="20"/>
          <w:lang w:val="es-MX" w:eastAsia="es-ES" w:bidi="es-ES"/>
        </w:rPr>
        <w:lastRenderedPageBreak/>
        <w:t xml:space="preserve">Bajo este contexto, esta Agencia considera necesario manifestar que, si bien respeta y acata las decisiones proferidas por el Consejo de Estado, como es el caso del auto de suspensión provisional parcial del numeral </w:t>
      </w:r>
      <w:r w:rsidRPr="00C84105">
        <w:rPr>
          <w:rFonts w:ascii="Verdana" w:eastAsia="Arial" w:hAnsi="Verdana" w:cs="Arial"/>
          <w:sz w:val="20"/>
          <w:szCs w:val="20"/>
          <w:lang w:eastAsia="es-ES" w:bidi="es-ES"/>
        </w:rPr>
        <w:t>16.2 de la Circular Externa Única</w:t>
      </w:r>
      <w:r w:rsidRPr="00C84105">
        <w:rPr>
          <w:rFonts w:ascii="Verdana" w:eastAsia="Arial" w:hAnsi="Verdana" w:cs="Arial"/>
          <w:sz w:val="20"/>
          <w:szCs w:val="20"/>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C84105">
        <w:rPr>
          <w:rFonts w:ascii="Verdana" w:eastAsia="Times New Roman" w:hAnsi="Verdana" w:cs="Arial"/>
          <w:sz w:val="20"/>
          <w:szCs w:val="20"/>
          <w:lang w:val="es-MX" w:eastAsia="es-CO"/>
        </w:rPr>
        <w:t xml:space="preserve">evitar cualquier tipo de arbitrariedad, de ventaja injustificada, de uso irregular de los recursos del Estado en las campañas políticas, o que </w:t>
      </w:r>
      <w:r w:rsidRPr="00C84105">
        <w:rPr>
          <w:rFonts w:ascii="Verdana" w:eastAsia="Calibri" w:hAnsi="Verdana" w:cs="Arial"/>
          <w:sz w:val="20"/>
          <w:szCs w:val="20"/>
          <w:lang w:val="es-MX"/>
        </w:rPr>
        <w:t xml:space="preserve">los recursos del Estado se ejecuten para lograr apoyos indebidos mediante la suscripción de contratos y/o convenios, que para efectos de la Ley de Garantías tienen la misma connotación y propósitos. </w:t>
      </w:r>
    </w:p>
    <w:p w14:paraId="06CAE4B2" w14:textId="77777777" w:rsidR="00C84105" w:rsidRDefault="00C84105" w:rsidP="00C84105">
      <w:pPr>
        <w:spacing w:after="0" w:line="240" w:lineRule="auto"/>
        <w:jc w:val="both"/>
        <w:rPr>
          <w:rFonts w:ascii="Verdana" w:hAnsi="Verdana"/>
          <w:sz w:val="20"/>
          <w:szCs w:val="20"/>
          <w:lang w:val="es-MX"/>
        </w:rPr>
      </w:pPr>
    </w:p>
    <w:p w14:paraId="1DD23AAF" w14:textId="23D51DD6" w:rsidR="00C84105" w:rsidRPr="00C84105" w:rsidRDefault="00C84105" w:rsidP="00C84105">
      <w:pPr>
        <w:spacing w:after="0" w:line="240" w:lineRule="auto"/>
        <w:jc w:val="both"/>
        <w:rPr>
          <w:rFonts w:ascii="Verdana" w:hAnsi="Verdana"/>
          <w:sz w:val="20"/>
          <w:szCs w:val="20"/>
          <w:lang w:val="es-MX"/>
        </w:rPr>
      </w:pPr>
      <w:r>
        <w:rPr>
          <w:rFonts w:ascii="Verdana" w:hAnsi="Verdana"/>
          <w:sz w:val="20"/>
          <w:szCs w:val="20"/>
          <w:lang w:val="es-MX"/>
        </w:rPr>
        <w:t xml:space="preserve">[…] </w:t>
      </w:r>
      <w:r w:rsidRPr="00C84105">
        <w:rPr>
          <w:rFonts w:ascii="Verdana" w:hAnsi="Verdana"/>
          <w:sz w:val="20"/>
          <w:szCs w:val="20"/>
          <w:lang w:val="es-MX"/>
        </w:rPr>
        <w:t>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ibidem,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p>
    <w:p w14:paraId="0C1E9C4E" w14:textId="77777777" w:rsidR="00C84105" w:rsidRDefault="00C84105" w:rsidP="00C84105">
      <w:pPr>
        <w:spacing w:after="0" w:line="240" w:lineRule="auto"/>
        <w:jc w:val="both"/>
        <w:rPr>
          <w:rFonts w:ascii="Verdana" w:hAnsi="Verdana"/>
          <w:sz w:val="20"/>
          <w:szCs w:val="20"/>
        </w:rPr>
      </w:pPr>
    </w:p>
    <w:p w14:paraId="25E2E281" w14:textId="77777777" w:rsidR="00C84105" w:rsidRPr="00C84105" w:rsidRDefault="0086265D" w:rsidP="0086265D">
      <w:pPr>
        <w:jc w:val="both"/>
        <w:rPr>
          <w:rFonts w:ascii="Verdana" w:eastAsia="Times New Roman" w:hAnsi="Verdana" w:cs="Arial"/>
          <w:b/>
          <w:bCs/>
          <w:lang w:eastAsia="es-ES_tradnl"/>
        </w:rPr>
      </w:pPr>
      <w:r w:rsidRPr="00C84105">
        <w:rPr>
          <w:rFonts w:ascii="Verdana" w:eastAsia="Times New Roman" w:hAnsi="Verdana" w:cs="Arial"/>
          <w:b/>
          <w:bCs/>
          <w:lang w:eastAsia="es-ES_tradnl"/>
        </w:rPr>
        <w:t>DECRETO 092 DE 2017 – Finalidad – Clases de contratos</w:t>
      </w:r>
    </w:p>
    <w:p w14:paraId="1814D0CF" w14:textId="7DDA3012" w:rsidR="00C84105" w:rsidRDefault="00A06AC9" w:rsidP="00A06AC9">
      <w:pPr>
        <w:spacing w:after="0" w:line="240" w:lineRule="auto"/>
        <w:contextualSpacing/>
        <w:jc w:val="both"/>
        <w:rPr>
          <w:rFonts w:ascii="Verdana" w:eastAsia="Times New Roman" w:hAnsi="Verdana" w:cs="Arial"/>
          <w:sz w:val="20"/>
          <w:szCs w:val="20"/>
          <w:lang w:val="es-ES" w:eastAsia="es-ES_tradnl"/>
        </w:rPr>
      </w:pPr>
      <w:r w:rsidRPr="00A06AC9">
        <w:rPr>
          <w:rFonts w:ascii="Verdana" w:eastAsia="Times New Roman" w:hAnsi="Verdana" w:cs="Arial"/>
          <w:sz w:val="20"/>
          <w:szCs w:val="20"/>
          <w:lang w:val="es-ES" w:eastAsia="es-ES_tradnl"/>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A06AC9">
        <w:rPr>
          <w:rFonts w:ascii="Verdana" w:eastAsia="Times New Roman" w:hAnsi="Verdana" w:cs="Arial"/>
          <w:sz w:val="20"/>
          <w:szCs w:val="20"/>
          <w:lang w:val="es-ES" w:eastAsia="es-ES_tradnl"/>
        </w:rPr>
        <w:t>ii</w:t>
      </w:r>
      <w:proofErr w:type="spellEnd"/>
      <w:r w:rsidRPr="00A06AC9">
        <w:rPr>
          <w:rFonts w:ascii="Verdana" w:eastAsia="Times New Roman" w:hAnsi="Verdana" w:cs="Arial"/>
          <w:sz w:val="20"/>
          <w:szCs w:val="20"/>
          <w:lang w:val="es-ES" w:eastAsia="es-ES_tradnl"/>
        </w:rPr>
        <w:t>) los convenios de asociación, para el desarrollo conjunto de actividades relacionadas con las funciones de las entidades estatales, en desarrollo del artículo 96 de la Ley 489 de 1998.</w:t>
      </w:r>
    </w:p>
    <w:p w14:paraId="2298B2FF" w14:textId="77777777" w:rsidR="00A06AC9" w:rsidRDefault="00A06AC9" w:rsidP="00A06AC9">
      <w:pPr>
        <w:spacing w:after="0" w:line="240" w:lineRule="auto"/>
        <w:contextualSpacing/>
        <w:jc w:val="both"/>
        <w:rPr>
          <w:rFonts w:ascii="Verdana" w:eastAsia="Times New Roman" w:hAnsi="Verdana" w:cs="Arial"/>
          <w:sz w:val="20"/>
          <w:szCs w:val="20"/>
          <w:lang w:val="es-ES" w:eastAsia="es-ES_tradnl"/>
        </w:rPr>
      </w:pPr>
    </w:p>
    <w:p w14:paraId="00C87CD9" w14:textId="77777777" w:rsidR="002677ED" w:rsidRDefault="0086265D" w:rsidP="002677ED">
      <w:pPr>
        <w:spacing w:after="0" w:line="240" w:lineRule="auto"/>
        <w:jc w:val="both"/>
        <w:rPr>
          <w:rFonts w:ascii="Verdana" w:eastAsia="Times New Roman" w:hAnsi="Verdana" w:cs="Arial"/>
          <w:b/>
          <w:bCs/>
          <w:lang w:eastAsia="es-ES_tradnl"/>
        </w:rPr>
      </w:pPr>
      <w:r w:rsidRPr="002677ED">
        <w:rPr>
          <w:rFonts w:ascii="Verdana" w:eastAsia="Times New Roman" w:hAnsi="Verdana" w:cs="Arial"/>
          <w:b/>
          <w:bCs/>
          <w:lang w:eastAsia="es-ES_tradnl"/>
        </w:rPr>
        <w:t xml:space="preserve">CONTRATACIÓN CON ESAL – Contrato de colaboración – Objeto – Alcance </w:t>
      </w:r>
    </w:p>
    <w:p w14:paraId="4A522F23" w14:textId="77777777" w:rsidR="0099160B" w:rsidRPr="0099160B" w:rsidRDefault="0099160B" w:rsidP="0099160B">
      <w:pPr>
        <w:spacing w:before="120" w:after="0" w:line="240" w:lineRule="auto"/>
        <w:jc w:val="both"/>
        <w:rPr>
          <w:rFonts w:ascii="Verdana" w:eastAsia="Calibri" w:hAnsi="Verdana" w:cs="Arial"/>
          <w:sz w:val="20"/>
          <w:szCs w:val="20"/>
          <w:lang w:val="es-ES"/>
        </w:rPr>
      </w:pPr>
      <w:r w:rsidRPr="0099160B">
        <w:rPr>
          <w:rFonts w:ascii="Verdana" w:eastAsia="Calibri" w:hAnsi="Verdana" w:cs="Arial"/>
          <w:sz w:val="20"/>
          <w:szCs w:val="20"/>
          <w:lang w:val="es-ES"/>
        </w:rPr>
        <w:t xml:space="preserve">Los </w:t>
      </w:r>
      <w:r w:rsidRPr="0099160B">
        <w:rPr>
          <w:rFonts w:ascii="Verdana" w:eastAsia="Calibri" w:hAnsi="Verdana" w:cs="Arial"/>
          <w:i/>
          <w:iCs/>
          <w:sz w:val="20"/>
          <w:szCs w:val="20"/>
          <w:lang w:val="es-ES"/>
        </w:rPr>
        <w:t>contratos del artículo 355 de la Constitución Política</w:t>
      </w:r>
      <w:r w:rsidRPr="0099160B">
        <w:rPr>
          <w:rFonts w:ascii="Verdana" w:eastAsia="Calibri" w:hAnsi="Verdana" w:cs="Arial"/>
          <w:sz w:val="20"/>
          <w:szCs w:val="20"/>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99160B">
        <w:rPr>
          <w:rFonts w:ascii="Verdana" w:eastAsia="Calibri" w:hAnsi="Verdana" w:cs="Arial"/>
          <w:sz w:val="20"/>
          <w:szCs w:val="20"/>
          <w:lang w:val="es-ES"/>
        </w:rPr>
        <w:t>ii</w:t>
      </w:r>
      <w:proofErr w:type="spellEnd"/>
      <w:r w:rsidRPr="0099160B">
        <w:rPr>
          <w:rFonts w:ascii="Verdana" w:eastAsia="Calibri" w:hAnsi="Verdana" w:cs="Arial"/>
          <w:sz w:val="20"/>
          <w:szCs w:val="20"/>
          <w:lang w:val="es-ES"/>
        </w:rPr>
        <w:t xml:space="preserve">) que no haya una contraprestación directa a favor de la entidad estatal, es decir, que el programa o actividad a desarrollar este dirigida al beneficio de la población en general, ya que </w:t>
      </w:r>
      <w:r w:rsidRPr="0099160B">
        <w:rPr>
          <w:rFonts w:ascii="Verdana" w:eastAsia="Calibri" w:hAnsi="Verdana" w:cs="Arial"/>
          <w:sz w:val="20"/>
          <w:szCs w:val="20"/>
          <w:lang w:val="es-ES"/>
        </w:rPr>
        <w:lastRenderedPageBreak/>
        <w:t>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023041C4" w14:textId="77777777" w:rsidR="002677ED" w:rsidRPr="0099160B" w:rsidRDefault="002677ED" w:rsidP="002677ED">
      <w:pPr>
        <w:spacing w:after="0" w:line="240" w:lineRule="auto"/>
        <w:jc w:val="both"/>
        <w:rPr>
          <w:rFonts w:ascii="Verdana" w:eastAsia="Times New Roman" w:hAnsi="Verdana" w:cs="Arial"/>
          <w:sz w:val="20"/>
          <w:szCs w:val="20"/>
          <w:lang w:val="es-ES" w:eastAsia="es-ES_tradnl"/>
        </w:rPr>
      </w:pPr>
    </w:p>
    <w:p w14:paraId="5FB04F90" w14:textId="77777777" w:rsidR="000C5147" w:rsidRDefault="0099160B" w:rsidP="000C5147">
      <w:pPr>
        <w:spacing w:after="0" w:line="240" w:lineRule="auto"/>
        <w:jc w:val="both"/>
        <w:rPr>
          <w:rFonts w:ascii="Verdana" w:eastAsia="Times New Roman" w:hAnsi="Verdana" w:cs="Arial"/>
          <w:sz w:val="20"/>
          <w:szCs w:val="20"/>
          <w:lang w:val="es-ES" w:eastAsia="es-ES_tradnl"/>
        </w:rPr>
      </w:pPr>
      <w:r w:rsidRPr="0099160B">
        <w:rPr>
          <w:rFonts w:ascii="Verdana" w:eastAsia="Times New Roman" w:hAnsi="Verdana" w:cs="Arial"/>
          <w:sz w:val="20"/>
          <w:szCs w:val="20"/>
          <w:lang w:val="es-ES" w:eastAsia="es-ES_tradnl"/>
        </w:rPr>
        <w:t>Ahora bien, por disposición del artículo 4 del Decreto 092 de 2017, las entidades estatales deberán adelantar procesos competitivos cuando en el marco de planeación se evidencie que el programa o actividad que se requiere desarrollar es ofrecido por más de una ESAL. Para tales casos el referido artículo establece que, en el desarrollo de los respectivos procedimientos, la entidad estatal deberá garantizar las siguientes fases: (i) definición y publicación de los indicadores de idoneidad, experiencia, eficacia, eficiencia, economía y de manejo del Riesgo y los criterios de ponderación para comparar las ofertas; (</w:t>
      </w:r>
      <w:proofErr w:type="spellStart"/>
      <w:r w:rsidRPr="0099160B">
        <w:rPr>
          <w:rFonts w:ascii="Verdana" w:eastAsia="Times New Roman" w:hAnsi="Verdana" w:cs="Arial"/>
          <w:sz w:val="20"/>
          <w:szCs w:val="20"/>
          <w:lang w:val="es-ES" w:eastAsia="es-ES_tradnl"/>
        </w:rPr>
        <w:t>ii</w:t>
      </w:r>
      <w:proofErr w:type="spellEnd"/>
      <w:r w:rsidRPr="0099160B">
        <w:rPr>
          <w:rFonts w:ascii="Verdana" w:eastAsia="Times New Roman" w:hAnsi="Verdana" w:cs="Arial"/>
          <w:sz w:val="20"/>
          <w:szCs w:val="20"/>
          <w:lang w:val="es-ES" w:eastAsia="es-ES_tradnl"/>
        </w:rPr>
        <w:t>) definición de un plazo razonable para que las entidades privadas sin ánimo de lucro de reconocida idoneidad presenten a la Entidad Estatal sus ofertas y los documentos que acrediten su idoneidad, y (</w:t>
      </w:r>
      <w:proofErr w:type="spellStart"/>
      <w:r w:rsidRPr="0099160B">
        <w:rPr>
          <w:rFonts w:ascii="Verdana" w:eastAsia="Times New Roman" w:hAnsi="Verdana" w:cs="Arial"/>
          <w:sz w:val="20"/>
          <w:szCs w:val="20"/>
          <w:lang w:val="es-ES" w:eastAsia="es-ES_tradnl"/>
        </w:rPr>
        <w:t>iii</w:t>
      </w:r>
      <w:proofErr w:type="spellEnd"/>
      <w:r w:rsidRPr="0099160B">
        <w:rPr>
          <w:rFonts w:ascii="Verdana" w:eastAsia="Times New Roman" w:hAnsi="Verdana" w:cs="Arial"/>
          <w:sz w:val="20"/>
          <w:szCs w:val="20"/>
          <w:lang w:val="es-ES" w:eastAsia="es-ES_tradnl"/>
        </w:rPr>
        <w:t>) evaluación de las ofertas por parte de la Entidad Estatal teniendo en cuenta los criterios definidos para el efecto.</w:t>
      </w:r>
    </w:p>
    <w:p w14:paraId="54A5ED6B" w14:textId="77777777" w:rsidR="000C5147" w:rsidRDefault="000C5147" w:rsidP="000C5147">
      <w:pPr>
        <w:spacing w:after="0" w:line="240" w:lineRule="auto"/>
        <w:jc w:val="both"/>
        <w:rPr>
          <w:rFonts w:ascii="Verdana" w:eastAsia="Times New Roman" w:hAnsi="Verdana" w:cs="Arial"/>
          <w:sz w:val="20"/>
          <w:szCs w:val="20"/>
          <w:lang w:val="es-ES" w:eastAsia="es-ES_tradnl"/>
        </w:rPr>
      </w:pPr>
    </w:p>
    <w:p w14:paraId="09217365" w14:textId="77777777" w:rsidR="000C5147" w:rsidRDefault="0086265D" w:rsidP="000C5147">
      <w:pPr>
        <w:spacing w:after="0" w:line="240" w:lineRule="auto"/>
        <w:jc w:val="both"/>
        <w:rPr>
          <w:rFonts w:ascii="Verdana" w:eastAsia="Times New Roman" w:hAnsi="Verdana" w:cs="Arial"/>
          <w:b/>
          <w:bCs/>
          <w:lang w:eastAsia="es-ES_tradnl"/>
        </w:rPr>
      </w:pPr>
      <w:r w:rsidRPr="000C5147">
        <w:rPr>
          <w:rFonts w:ascii="Verdana" w:eastAsia="Times New Roman" w:hAnsi="Verdana" w:cs="Arial"/>
          <w:b/>
          <w:bCs/>
          <w:lang w:eastAsia="es-ES_tradnl"/>
        </w:rPr>
        <w:t xml:space="preserve">DECRETO 092 DE 2017 – Convenios de asociación </w:t>
      </w:r>
    </w:p>
    <w:p w14:paraId="3F665492" w14:textId="77777777" w:rsidR="000C5147" w:rsidRDefault="000C5147" w:rsidP="000C5147">
      <w:pPr>
        <w:spacing w:after="0" w:line="240" w:lineRule="auto"/>
        <w:jc w:val="both"/>
        <w:rPr>
          <w:rFonts w:ascii="Verdana" w:eastAsia="Times New Roman" w:hAnsi="Verdana" w:cs="Arial"/>
          <w:b/>
          <w:bCs/>
          <w:lang w:eastAsia="es-ES_tradnl"/>
        </w:rPr>
      </w:pPr>
    </w:p>
    <w:p w14:paraId="50F61BDB" w14:textId="57082801" w:rsidR="000C5147" w:rsidRDefault="000C5147" w:rsidP="000C5147">
      <w:pPr>
        <w:spacing w:after="0" w:line="240" w:lineRule="auto"/>
        <w:jc w:val="both"/>
        <w:rPr>
          <w:rFonts w:ascii="Verdana" w:eastAsia="Calibri" w:hAnsi="Verdana" w:cs="Arial"/>
          <w:bCs/>
          <w:sz w:val="20"/>
          <w:szCs w:val="20"/>
          <w:lang w:val="es-ES_tradnl"/>
        </w:rPr>
      </w:pPr>
      <w:r>
        <w:rPr>
          <w:rFonts w:ascii="Verdana" w:eastAsia="Calibri" w:hAnsi="Verdana" w:cs="Arial"/>
          <w:bCs/>
          <w:sz w:val="20"/>
          <w:szCs w:val="20"/>
          <w:lang w:val="es-ES_tradnl"/>
        </w:rPr>
        <w:t xml:space="preserve">[…] </w:t>
      </w:r>
      <w:r w:rsidRPr="000C5147">
        <w:rPr>
          <w:rFonts w:ascii="Verdana" w:eastAsia="Calibri" w:hAnsi="Verdana" w:cs="Arial"/>
          <w:bCs/>
          <w:sz w:val="20"/>
          <w:szCs w:val="20"/>
          <w:lang w:val="es-ES_tradnl"/>
        </w:rPr>
        <w:t xml:space="preserve">los </w:t>
      </w:r>
      <w:r w:rsidRPr="000C5147">
        <w:rPr>
          <w:rFonts w:ascii="Verdana" w:eastAsia="Calibri" w:hAnsi="Verdana" w:cs="Arial"/>
          <w:bCs/>
          <w:i/>
          <w:sz w:val="20"/>
          <w:szCs w:val="20"/>
          <w:lang w:val="es-ES_tradnl"/>
        </w:rPr>
        <w:t>convenios de asociación</w:t>
      </w:r>
      <w:r w:rsidRPr="000C5147">
        <w:rPr>
          <w:rFonts w:ascii="Verdana" w:eastAsia="Calibri" w:hAnsi="Verdana" w:cs="Arial"/>
          <w:bCs/>
          <w:sz w:val="20"/>
          <w:szCs w:val="20"/>
          <w:lang w:val="es-ES_tradnl"/>
        </w:rPr>
        <w:t xml:space="preserve"> “[t]</w:t>
      </w:r>
      <w:proofErr w:type="spellStart"/>
      <w:r w:rsidRPr="000C5147">
        <w:rPr>
          <w:rFonts w:ascii="Verdana" w:eastAsia="Calibri" w:hAnsi="Verdana" w:cs="Arial"/>
          <w:bCs/>
          <w:sz w:val="20"/>
          <w:szCs w:val="20"/>
          <w:lang w:val="es-ES_tradnl"/>
        </w:rPr>
        <w:t>ienen</w:t>
      </w:r>
      <w:proofErr w:type="spellEnd"/>
      <w:r w:rsidRPr="000C5147">
        <w:rPr>
          <w:rFonts w:ascii="Verdana" w:eastAsia="Calibri" w:hAnsi="Verdana" w:cs="Arial"/>
          <w:bCs/>
          <w:sz w:val="20"/>
          <w:szCs w:val="20"/>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w:t>
      </w:r>
      <w:r>
        <w:rPr>
          <w:rFonts w:ascii="Verdana" w:eastAsia="Calibri" w:hAnsi="Verdana" w:cs="Arial"/>
          <w:bCs/>
          <w:sz w:val="20"/>
          <w:szCs w:val="20"/>
          <w:lang w:val="es-ES_tradnl"/>
        </w:rPr>
        <w:t>[…]</w:t>
      </w:r>
      <w:r w:rsidRPr="000C5147">
        <w:rPr>
          <w:rFonts w:ascii="Verdana" w:eastAsia="Calibri" w:hAnsi="Verdana" w:cs="Arial"/>
          <w:bCs/>
          <w:sz w:val="20"/>
          <w:szCs w:val="20"/>
          <w:lang w:val="es-ES_tradnl"/>
        </w:rPr>
        <w:t xml:space="preserve"> El convenio de asociación no es conmutativo, </w:t>
      </w:r>
      <w:proofErr w:type="gramStart"/>
      <w:r w:rsidRPr="000C5147">
        <w:rPr>
          <w:rFonts w:ascii="Verdana" w:eastAsia="Calibri" w:hAnsi="Verdana" w:cs="Arial"/>
          <w:bCs/>
          <w:sz w:val="20"/>
          <w:szCs w:val="20"/>
          <w:lang w:val="es-ES_tradnl"/>
        </w:rPr>
        <w:t>y</w:t>
      </w:r>
      <w:proofErr w:type="gramEnd"/>
      <w:r w:rsidRPr="000C5147">
        <w:rPr>
          <w:rFonts w:ascii="Verdana" w:eastAsia="Calibri" w:hAnsi="Verdana" w:cs="Arial"/>
          <w:bCs/>
          <w:sz w:val="20"/>
          <w:szCs w:val="20"/>
          <w:lang w:val="es-ES_tradnl"/>
        </w:rPr>
        <w:t xml:space="preserve"> por tanto, la entidad no instruye al contratista para desarrollar los programas o actividades previstas, sino que se asocia con él para el cumplimiento de objetivos comunes</w:t>
      </w:r>
      <w:r>
        <w:rPr>
          <w:rFonts w:ascii="Verdana" w:eastAsia="Calibri" w:hAnsi="Verdana" w:cs="Arial"/>
          <w:bCs/>
          <w:sz w:val="20"/>
          <w:szCs w:val="20"/>
          <w:lang w:val="es-ES_tradnl"/>
        </w:rPr>
        <w:t>.</w:t>
      </w:r>
    </w:p>
    <w:p w14:paraId="64BB029C" w14:textId="77777777" w:rsidR="000C5147" w:rsidRDefault="000C5147" w:rsidP="000C5147">
      <w:pPr>
        <w:spacing w:after="0" w:line="240" w:lineRule="auto"/>
        <w:jc w:val="both"/>
        <w:rPr>
          <w:rFonts w:ascii="Verdana" w:eastAsia="Calibri" w:hAnsi="Verdana" w:cs="Arial"/>
          <w:bCs/>
          <w:sz w:val="20"/>
          <w:szCs w:val="20"/>
          <w:lang w:val="es-ES_tradnl"/>
        </w:rPr>
      </w:pPr>
    </w:p>
    <w:p w14:paraId="79CAFD39" w14:textId="213FD31D" w:rsidR="000C5147" w:rsidRDefault="000C5147" w:rsidP="000C5147">
      <w:pPr>
        <w:spacing w:before="120" w:after="0" w:line="240" w:lineRule="auto"/>
        <w:jc w:val="both"/>
        <w:rPr>
          <w:rFonts w:ascii="Verdana" w:eastAsia="Calibri" w:hAnsi="Verdana" w:cs="Arial"/>
          <w:bCs/>
          <w:sz w:val="20"/>
          <w:szCs w:val="20"/>
        </w:rPr>
      </w:pPr>
      <w:r>
        <w:rPr>
          <w:rFonts w:ascii="Verdana" w:eastAsia="Calibri" w:hAnsi="Verdana" w:cs="Arial"/>
          <w:bCs/>
          <w:sz w:val="20"/>
          <w:szCs w:val="20"/>
        </w:rPr>
        <w:t xml:space="preserve">[…] </w:t>
      </w:r>
      <w:r w:rsidRPr="000C5147">
        <w:rPr>
          <w:rFonts w:ascii="Verdana" w:eastAsia="Calibri" w:hAnsi="Verdana" w:cs="Arial"/>
          <w:bCs/>
          <w:sz w:val="20"/>
          <w:szCs w:val="20"/>
        </w:rPr>
        <w:t>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117D7064" w14:textId="77777777" w:rsidR="000C5147" w:rsidRDefault="000C5147" w:rsidP="000C5147">
      <w:pPr>
        <w:spacing w:after="0" w:line="240" w:lineRule="auto"/>
        <w:jc w:val="both"/>
        <w:rPr>
          <w:rFonts w:ascii="Verdana" w:eastAsia="Calibri" w:hAnsi="Verdana" w:cs="Arial"/>
          <w:bCs/>
          <w:sz w:val="20"/>
          <w:szCs w:val="20"/>
        </w:rPr>
      </w:pPr>
    </w:p>
    <w:p w14:paraId="3607B699" w14:textId="6EF393E3" w:rsidR="0086265D" w:rsidRDefault="0086265D" w:rsidP="000C5147">
      <w:pPr>
        <w:spacing w:after="0" w:line="240" w:lineRule="auto"/>
        <w:jc w:val="both"/>
        <w:rPr>
          <w:rFonts w:ascii="Verdana" w:eastAsia="Times New Roman" w:hAnsi="Verdana" w:cs="Arial"/>
          <w:b/>
          <w:bCs/>
          <w:lang w:eastAsia="es-ES_tradnl"/>
        </w:rPr>
      </w:pPr>
      <w:r w:rsidRPr="000C5147">
        <w:rPr>
          <w:rFonts w:ascii="Verdana" w:eastAsia="Times New Roman" w:hAnsi="Verdana" w:cs="Arial"/>
          <w:b/>
          <w:bCs/>
          <w:lang w:eastAsia="es-ES_tradnl"/>
        </w:rPr>
        <w:t>LEY DE GARANTÍAS - Aplicación en contratos de colaboración y convenios de asociación</w:t>
      </w:r>
    </w:p>
    <w:p w14:paraId="1485DE07" w14:textId="77777777" w:rsidR="000C5147" w:rsidRDefault="000C5147" w:rsidP="000C5147">
      <w:pPr>
        <w:spacing w:after="0" w:line="240" w:lineRule="auto"/>
        <w:jc w:val="both"/>
        <w:rPr>
          <w:rFonts w:ascii="Verdana" w:eastAsia="Times New Roman" w:hAnsi="Verdana" w:cs="Arial"/>
          <w:b/>
          <w:bCs/>
          <w:lang w:eastAsia="es-ES_tradnl"/>
        </w:rPr>
      </w:pPr>
    </w:p>
    <w:p w14:paraId="67D4287A" w14:textId="1EFFC8B0" w:rsidR="000C5147" w:rsidRPr="000C5147" w:rsidRDefault="000C5147" w:rsidP="000C5147">
      <w:pPr>
        <w:spacing w:after="0" w:line="240" w:lineRule="auto"/>
        <w:jc w:val="both"/>
        <w:rPr>
          <w:rFonts w:ascii="Verdana" w:eastAsia="Calibri" w:hAnsi="Verdana" w:cs="Arial"/>
          <w:color w:val="000000"/>
          <w:sz w:val="20"/>
          <w:szCs w:val="20"/>
        </w:rPr>
      </w:pPr>
      <w:r w:rsidRPr="000C5147">
        <w:rPr>
          <w:rFonts w:ascii="Verdana" w:eastAsia="Calibri" w:hAnsi="Verdana" w:cs="Arial"/>
          <w:color w:val="000000" w:themeColor="text1"/>
          <w:sz w:val="20"/>
          <w:szCs w:val="20"/>
        </w:rPr>
        <w:lastRenderedPageBreak/>
        <w:t xml:space="preserve">De esta manera, si se pretende realizar un </w:t>
      </w:r>
      <w:r w:rsidRPr="000C5147">
        <w:rPr>
          <w:rFonts w:ascii="Verdana" w:eastAsia="Calibri" w:hAnsi="Verdana" w:cs="Arial"/>
          <w:i/>
          <w:iCs/>
          <w:color w:val="000000" w:themeColor="text1"/>
          <w:sz w:val="20"/>
          <w:szCs w:val="20"/>
        </w:rPr>
        <w:t>convenio de asociación</w:t>
      </w:r>
      <w:r w:rsidRPr="000C5147">
        <w:rPr>
          <w:rFonts w:ascii="Verdana" w:eastAsia="Calibri" w:hAnsi="Verdana" w:cs="Arial"/>
          <w:color w:val="000000" w:themeColor="text1"/>
          <w:sz w:val="20"/>
          <w:szCs w:val="20"/>
        </w:rPr>
        <w:t xml:space="preserve"> con ESAL de reconocida idoneidad para el cumplimiento de las funciones que la ley les asigna a las entidades públicas, deberá aplicarse lo dispuesto en el artículo 5 del Decreto 092 de 2017. Por lo tanto, deben estar sujetos a competencia, salvo en aquellos casos en que una entidad sin ánimo de lucro comprometa recursos en dinero por un valor igual o superior al 30% del valor total del convenio, y siempre que la entidad estatal verifique previamente que no existe ninguna otra entidad sin ánimo de lucro que ofrezca aportes iguales o superiores al 30%. En ese orden, en vigencia de la </w:t>
      </w:r>
      <w:r w:rsidRPr="000C5147">
        <w:rPr>
          <w:rFonts w:ascii="Verdana" w:eastAsia="Calibri" w:hAnsi="Verdana" w:cs="Arial"/>
          <w:color w:val="000000"/>
          <w:sz w:val="20"/>
          <w:szCs w:val="20"/>
        </w:rPr>
        <w:t>restricción prevista en el artículo 33 de la Ley de Garantías Electorales, según el artículo 5 del Decreto 092 de 2017, solo podrán celebrarse convenios previo desarrollo de proceso competitivo.</w:t>
      </w:r>
    </w:p>
    <w:p w14:paraId="5121C8CE" w14:textId="77777777" w:rsidR="000C5147" w:rsidRPr="000C5147" w:rsidRDefault="000C5147" w:rsidP="000C5147">
      <w:pPr>
        <w:spacing w:after="0" w:line="240" w:lineRule="auto"/>
        <w:ind w:firstLine="709"/>
        <w:jc w:val="both"/>
        <w:rPr>
          <w:rFonts w:ascii="Verdana" w:eastAsia="Calibri" w:hAnsi="Verdana" w:cs="Arial"/>
          <w:color w:val="000000" w:themeColor="text1"/>
          <w:sz w:val="20"/>
          <w:szCs w:val="20"/>
        </w:rPr>
      </w:pPr>
    </w:p>
    <w:p w14:paraId="101A2222" w14:textId="77777777" w:rsidR="000C5147" w:rsidRPr="000C5147" w:rsidRDefault="000C5147" w:rsidP="000C5147">
      <w:pPr>
        <w:spacing w:after="0" w:line="240" w:lineRule="auto"/>
        <w:jc w:val="both"/>
        <w:rPr>
          <w:rFonts w:ascii="Verdana" w:eastAsia="Times New Roman" w:hAnsi="Verdana" w:cs="Arial"/>
          <w:sz w:val="20"/>
          <w:szCs w:val="20"/>
          <w:lang w:eastAsia="es-ES_tradnl"/>
        </w:rPr>
      </w:pPr>
    </w:p>
    <w:p w14:paraId="5E75A681" w14:textId="77777777" w:rsidR="0086265D" w:rsidRDefault="0086265D" w:rsidP="00CF5D12">
      <w:pPr>
        <w:spacing w:after="0" w:line="240" w:lineRule="auto"/>
        <w:jc w:val="both"/>
        <w:rPr>
          <w:rFonts w:ascii="Verdana" w:hAnsi="Verdana"/>
        </w:rPr>
      </w:pPr>
    </w:p>
    <w:p w14:paraId="1C7F9C38" w14:textId="77777777" w:rsidR="0086265D" w:rsidRDefault="0086265D" w:rsidP="00CF5D12">
      <w:pPr>
        <w:spacing w:after="0" w:line="240" w:lineRule="auto"/>
        <w:jc w:val="both"/>
        <w:rPr>
          <w:rFonts w:ascii="Verdana" w:hAnsi="Verdana"/>
        </w:rPr>
      </w:pPr>
    </w:p>
    <w:p w14:paraId="2A40A752" w14:textId="77777777" w:rsidR="000C5147" w:rsidRDefault="000C5147" w:rsidP="00CF5D12">
      <w:pPr>
        <w:spacing w:after="0" w:line="240" w:lineRule="auto"/>
        <w:jc w:val="both"/>
        <w:rPr>
          <w:rFonts w:ascii="Verdana" w:hAnsi="Verdana"/>
        </w:rPr>
      </w:pPr>
    </w:p>
    <w:p w14:paraId="2C39AE2F" w14:textId="77777777" w:rsidR="000C5147" w:rsidRDefault="000C5147" w:rsidP="00CF5D12">
      <w:pPr>
        <w:spacing w:after="0" w:line="240" w:lineRule="auto"/>
        <w:jc w:val="both"/>
        <w:rPr>
          <w:rFonts w:ascii="Verdana" w:hAnsi="Verdana"/>
        </w:rPr>
      </w:pPr>
    </w:p>
    <w:p w14:paraId="0388F123" w14:textId="77777777" w:rsidR="000C5147" w:rsidRDefault="000C5147" w:rsidP="00CF5D12">
      <w:pPr>
        <w:spacing w:after="0" w:line="240" w:lineRule="auto"/>
        <w:jc w:val="both"/>
        <w:rPr>
          <w:rFonts w:ascii="Verdana" w:hAnsi="Verdana"/>
        </w:rPr>
      </w:pPr>
    </w:p>
    <w:p w14:paraId="47C9A590" w14:textId="77777777" w:rsidR="000C5147" w:rsidRDefault="000C5147" w:rsidP="00CF5D12">
      <w:pPr>
        <w:spacing w:after="0" w:line="240" w:lineRule="auto"/>
        <w:jc w:val="both"/>
        <w:rPr>
          <w:rFonts w:ascii="Verdana" w:hAnsi="Verdana"/>
        </w:rPr>
      </w:pPr>
    </w:p>
    <w:p w14:paraId="690F3838" w14:textId="77777777" w:rsidR="000C5147" w:rsidRDefault="000C5147" w:rsidP="00CF5D12">
      <w:pPr>
        <w:spacing w:after="0" w:line="240" w:lineRule="auto"/>
        <w:jc w:val="both"/>
        <w:rPr>
          <w:rFonts w:ascii="Verdana" w:hAnsi="Verdana"/>
        </w:rPr>
      </w:pPr>
    </w:p>
    <w:p w14:paraId="1CD3FD85" w14:textId="77777777" w:rsidR="000C5147" w:rsidRDefault="000C5147" w:rsidP="00CF5D12">
      <w:pPr>
        <w:spacing w:after="0" w:line="240" w:lineRule="auto"/>
        <w:jc w:val="both"/>
        <w:rPr>
          <w:rFonts w:ascii="Verdana" w:hAnsi="Verdana"/>
        </w:rPr>
      </w:pPr>
    </w:p>
    <w:p w14:paraId="393CB058" w14:textId="77777777" w:rsidR="000C5147" w:rsidRDefault="000C5147" w:rsidP="00CF5D12">
      <w:pPr>
        <w:spacing w:after="0" w:line="240" w:lineRule="auto"/>
        <w:jc w:val="both"/>
        <w:rPr>
          <w:rFonts w:ascii="Verdana" w:hAnsi="Verdana"/>
        </w:rPr>
      </w:pPr>
    </w:p>
    <w:p w14:paraId="5EE6935F" w14:textId="77777777" w:rsidR="000C5147" w:rsidRDefault="000C5147" w:rsidP="00CF5D12">
      <w:pPr>
        <w:spacing w:after="0" w:line="240" w:lineRule="auto"/>
        <w:jc w:val="both"/>
        <w:rPr>
          <w:rFonts w:ascii="Verdana" w:hAnsi="Verdana"/>
        </w:rPr>
      </w:pPr>
    </w:p>
    <w:p w14:paraId="6507A8E1" w14:textId="77777777" w:rsidR="000C5147" w:rsidRDefault="000C5147" w:rsidP="00CF5D12">
      <w:pPr>
        <w:spacing w:after="0" w:line="240" w:lineRule="auto"/>
        <w:jc w:val="both"/>
        <w:rPr>
          <w:rFonts w:ascii="Verdana" w:hAnsi="Verdana"/>
        </w:rPr>
      </w:pPr>
    </w:p>
    <w:p w14:paraId="3C1F1511" w14:textId="77777777" w:rsidR="000C5147" w:rsidRDefault="000C5147" w:rsidP="00CF5D12">
      <w:pPr>
        <w:spacing w:after="0" w:line="240" w:lineRule="auto"/>
        <w:jc w:val="both"/>
        <w:rPr>
          <w:rFonts w:ascii="Verdana" w:hAnsi="Verdana"/>
        </w:rPr>
      </w:pPr>
    </w:p>
    <w:p w14:paraId="0CB75EDA" w14:textId="77777777" w:rsidR="000C5147" w:rsidRDefault="000C5147" w:rsidP="00CF5D12">
      <w:pPr>
        <w:spacing w:after="0" w:line="240" w:lineRule="auto"/>
        <w:jc w:val="both"/>
        <w:rPr>
          <w:rFonts w:ascii="Verdana" w:hAnsi="Verdana"/>
        </w:rPr>
      </w:pPr>
    </w:p>
    <w:p w14:paraId="32F4E32D" w14:textId="77777777" w:rsidR="000C5147" w:rsidRDefault="000C5147" w:rsidP="00CF5D12">
      <w:pPr>
        <w:spacing w:after="0" w:line="240" w:lineRule="auto"/>
        <w:jc w:val="both"/>
        <w:rPr>
          <w:rFonts w:ascii="Verdana" w:hAnsi="Verdana"/>
        </w:rPr>
      </w:pPr>
    </w:p>
    <w:p w14:paraId="05406EDF" w14:textId="77777777" w:rsidR="000C5147" w:rsidRDefault="000C5147" w:rsidP="00CF5D12">
      <w:pPr>
        <w:spacing w:after="0" w:line="240" w:lineRule="auto"/>
        <w:jc w:val="both"/>
        <w:rPr>
          <w:rFonts w:ascii="Verdana" w:hAnsi="Verdana"/>
        </w:rPr>
      </w:pPr>
    </w:p>
    <w:p w14:paraId="15FE52A3" w14:textId="77777777" w:rsidR="000C5147" w:rsidRDefault="000C5147" w:rsidP="00CF5D12">
      <w:pPr>
        <w:spacing w:after="0" w:line="240" w:lineRule="auto"/>
        <w:jc w:val="both"/>
        <w:rPr>
          <w:rFonts w:ascii="Verdana" w:hAnsi="Verdana"/>
        </w:rPr>
      </w:pPr>
    </w:p>
    <w:p w14:paraId="3134879C" w14:textId="77777777" w:rsidR="000C5147" w:rsidRDefault="000C5147" w:rsidP="00CF5D12">
      <w:pPr>
        <w:spacing w:after="0" w:line="240" w:lineRule="auto"/>
        <w:jc w:val="both"/>
        <w:rPr>
          <w:rFonts w:ascii="Verdana" w:hAnsi="Verdana"/>
        </w:rPr>
      </w:pPr>
    </w:p>
    <w:p w14:paraId="794795D9" w14:textId="77777777" w:rsidR="000C5147" w:rsidRDefault="000C5147" w:rsidP="00CF5D12">
      <w:pPr>
        <w:spacing w:after="0" w:line="240" w:lineRule="auto"/>
        <w:jc w:val="both"/>
        <w:rPr>
          <w:rFonts w:ascii="Verdana" w:hAnsi="Verdana"/>
        </w:rPr>
      </w:pPr>
    </w:p>
    <w:p w14:paraId="773A53A8" w14:textId="77777777" w:rsidR="000C5147" w:rsidRDefault="000C5147" w:rsidP="00CF5D12">
      <w:pPr>
        <w:spacing w:after="0" w:line="240" w:lineRule="auto"/>
        <w:jc w:val="both"/>
        <w:rPr>
          <w:rFonts w:ascii="Verdana" w:hAnsi="Verdana"/>
        </w:rPr>
      </w:pPr>
    </w:p>
    <w:p w14:paraId="37AC61E6" w14:textId="77777777" w:rsidR="000C5147" w:rsidRDefault="000C5147" w:rsidP="00CF5D12">
      <w:pPr>
        <w:spacing w:after="0" w:line="240" w:lineRule="auto"/>
        <w:jc w:val="both"/>
        <w:rPr>
          <w:rFonts w:ascii="Verdana" w:hAnsi="Verdana"/>
        </w:rPr>
      </w:pPr>
    </w:p>
    <w:p w14:paraId="57B547FA" w14:textId="77777777" w:rsidR="000C5147" w:rsidRDefault="000C5147" w:rsidP="00CF5D12">
      <w:pPr>
        <w:spacing w:after="0" w:line="240" w:lineRule="auto"/>
        <w:jc w:val="both"/>
        <w:rPr>
          <w:rFonts w:ascii="Verdana" w:hAnsi="Verdana"/>
        </w:rPr>
      </w:pPr>
    </w:p>
    <w:p w14:paraId="23710D03" w14:textId="77777777" w:rsidR="000C5147" w:rsidRDefault="000C5147" w:rsidP="00CF5D12">
      <w:pPr>
        <w:spacing w:after="0" w:line="240" w:lineRule="auto"/>
        <w:jc w:val="both"/>
        <w:rPr>
          <w:rFonts w:ascii="Verdana" w:hAnsi="Verdana"/>
        </w:rPr>
      </w:pPr>
    </w:p>
    <w:p w14:paraId="630E6B22" w14:textId="77777777" w:rsidR="000C5147" w:rsidRDefault="000C5147" w:rsidP="00CF5D12">
      <w:pPr>
        <w:spacing w:after="0" w:line="240" w:lineRule="auto"/>
        <w:jc w:val="both"/>
        <w:rPr>
          <w:rFonts w:ascii="Verdana" w:hAnsi="Verdana"/>
        </w:rPr>
      </w:pPr>
    </w:p>
    <w:p w14:paraId="60119A35" w14:textId="77777777" w:rsidR="000C5147" w:rsidRDefault="000C5147" w:rsidP="00CF5D12">
      <w:pPr>
        <w:spacing w:after="0" w:line="240" w:lineRule="auto"/>
        <w:jc w:val="both"/>
        <w:rPr>
          <w:rFonts w:ascii="Verdana" w:hAnsi="Verdana"/>
        </w:rPr>
      </w:pPr>
    </w:p>
    <w:p w14:paraId="59DC980C" w14:textId="77777777" w:rsidR="000C5147" w:rsidRDefault="000C5147" w:rsidP="00CF5D12">
      <w:pPr>
        <w:spacing w:after="0" w:line="240" w:lineRule="auto"/>
        <w:jc w:val="both"/>
        <w:rPr>
          <w:rFonts w:ascii="Verdana" w:hAnsi="Verdana"/>
        </w:rPr>
      </w:pPr>
    </w:p>
    <w:p w14:paraId="6DA165C4" w14:textId="77777777" w:rsidR="000C5147" w:rsidRDefault="000C5147" w:rsidP="00CF5D12">
      <w:pPr>
        <w:spacing w:after="0" w:line="240" w:lineRule="auto"/>
        <w:jc w:val="both"/>
        <w:rPr>
          <w:rFonts w:ascii="Verdana" w:hAnsi="Verdana"/>
        </w:rPr>
      </w:pPr>
    </w:p>
    <w:p w14:paraId="59883BAA" w14:textId="77777777" w:rsidR="000C5147" w:rsidRDefault="000C5147" w:rsidP="00CF5D12">
      <w:pPr>
        <w:spacing w:after="0" w:line="240" w:lineRule="auto"/>
        <w:jc w:val="both"/>
        <w:rPr>
          <w:rFonts w:ascii="Verdana" w:hAnsi="Verdana"/>
        </w:rPr>
      </w:pPr>
    </w:p>
    <w:p w14:paraId="10653109" w14:textId="77777777" w:rsidR="000C5147" w:rsidRDefault="000C5147" w:rsidP="00CF5D12">
      <w:pPr>
        <w:spacing w:after="0" w:line="240" w:lineRule="auto"/>
        <w:jc w:val="both"/>
        <w:rPr>
          <w:rFonts w:ascii="Verdana" w:hAnsi="Verdana"/>
        </w:rPr>
      </w:pPr>
    </w:p>
    <w:p w14:paraId="2C01FFA6" w14:textId="77777777" w:rsidR="000C5147" w:rsidRDefault="000C5147" w:rsidP="00CF5D12">
      <w:pPr>
        <w:spacing w:after="0" w:line="240" w:lineRule="auto"/>
        <w:jc w:val="both"/>
        <w:rPr>
          <w:rFonts w:ascii="Verdana" w:hAnsi="Verdana"/>
        </w:rPr>
      </w:pPr>
    </w:p>
    <w:p w14:paraId="78BA23FC" w14:textId="77777777" w:rsidR="000C5147" w:rsidRDefault="000C5147" w:rsidP="00CF5D12">
      <w:pPr>
        <w:spacing w:after="0" w:line="240" w:lineRule="auto"/>
        <w:jc w:val="both"/>
        <w:rPr>
          <w:rFonts w:ascii="Verdana" w:hAnsi="Verdana"/>
        </w:rPr>
      </w:pPr>
    </w:p>
    <w:p w14:paraId="5918A307" w14:textId="77777777" w:rsidR="000C5147" w:rsidRDefault="000C5147" w:rsidP="00CF5D12">
      <w:pPr>
        <w:spacing w:after="0" w:line="240" w:lineRule="auto"/>
        <w:jc w:val="both"/>
        <w:rPr>
          <w:rFonts w:ascii="Verdana" w:hAnsi="Verdana"/>
        </w:rPr>
      </w:pPr>
    </w:p>
    <w:p w14:paraId="4592B561" w14:textId="77777777" w:rsidR="000C5147" w:rsidRDefault="000C5147" w:rsidP="00CF5D12">
      <w:pPr>
        <w:spacing w:after="0" w:line="240" w:lineRule="auto"/>
        <w:jc w:val="both"/>
        <w:rPr>
          <w:rFonts w:ascii="Verdana" w:hAnsi="Verdana"/>
        </w:rPr>
      </w:pPr>
    </w:p>
    <w:p w14:paraId="4B7D0F21" w14:textId="62817C04" w:rsidR="00CF5D12" w:rsidRPr="008E4F36" w:rsidRDefault="00CF5D12" w:rsidP="00CF5D12">
      <w:pPr>
        <w:spacing w:after="0" w:line="240" w:lineRule="auto"/>
        <w:jc w:val="both"/>
        <w:rPr>
          <w:rFonts w:ascii="Verdana" w:hAnsi="Verdana"/>
        </w:rPr>
      </w:pPr>
      <w:r w:rsidRPr="008E4F36">
        <w:rPr>
          <w:rFonts w:ascii="Verdana" w:hAnsi="Verdana"/>
        </w:rPr>
        <w:lastRenderedPageBreak/>
        <w:t xml:space="preserve">Bogotá D.C., </w:t>
      </w:r>
      <w:r w:rsidR="0086265D">
        <w:rPr>
          <w:rFonts w:ascii="Verdana" w:hAnsi="Verdana"/>
        </w:rPr>
        <w:t>23 de agosto de 2025</w:t>
      </w:r>
    </w:p>
    <w:p w14:paraId="17BA30BE" w14:textId="77777777" w:rsidR="00CF5D12" w:rsidRDefault="00CF5D12" w:rsidP="00CF5D12">
      <w:pPr>
        <w:spacing w:after="0" w:line="240" w:lineRule="auto"/>
        <w:jc w:val="both"/>
        <w:rPr>
          <w:rFonts w:ascii="Verdana" w:eastAsia="Calibri" w:hAnsi="Verdana" w:cs="Arial"/>
          <w:lang w:eastAsia="es-ES"/>
        </w:rPr>
      </w:pPr>
      <w:bookmarkStart w:id="5" w:name="_Hlk197462763"/>
      <w:bookmarkStart w:id="6" w:name="_Hlk197529996"/>
    </w:p>
    <w:p w14:paraId="44FFAFF8" w14:textId="25B8B62A" w:rsidR="0086265D" w:rsidRDefault="0086265D" w:rsidP="0086265D">
      <w:pPr>
        <w:spacing w:after="0" w:line="240" w:lineRule="auto"/>
        <w:jc w:val="right"/>
        <w:rPr>
          <w:rFonts w:ascii="Verdana" w:eastAsia="Calibri" w:hAnsi="Verdana" w:cs="Arial"/>
          <w:lang w:eastAsia="es-ES"/>
        </w:rPr>
      </w:pPr>
      <w:r w:rsidRPr="0086265D">
        <w:rPr>
          <w:rFonts w:ascii="Verdana" w:eastAsia="Calibri" w:hAnsi="Verdana" w:cs="Arial"/>
          <w:lang w:eastAsia="es-ES"/>
        </w:rPr>
        <w:drawing>
          <wp:inline distT="0" distB="0" distL="0" distR="0" wp14:anchorId="3A31322A" wp14:editId="42CDAF02">
            <wp:extent cx="2245259" cy="667357"/>
            <wp:effectExtent l="0" t="0" r="3175" b="0"/>
            <wp:docPr id="45052606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526068" name="Imagen 1" descr="Texto&#10;&#10;El contenido generado por IA puede ser incorrecto."/>
                    <pic:cNvPicPr/>
                  </pic:nvPicPr>
                  <pic:blipFill>
                    <a:blip r:embed="rId10"/>
                    <a:stretch>
                      <a:fillRect/>
                    </a:stretch>
                  </pic:blipFill>
                  <pic:spPr>
                    <a:xfrm>
                      <a:off x="0" y="0"/>
                      <a:ext cx="2259675" cy="671642"/>
                    </a:xfrm>
                    <a:prstGeom prst="rect">
                      <a:avLst/>
                    </a:prstGeom>
                  </pic:spPr>
                </pic:pic>
              </a:graphicData>
            </a:graphic>
          </wp:inline>
        </w:drawing>
      </w:r>
    </w:p>
    <w:p w14:paraId="5CECB500" w14:textId="74964C72" w:rsidR="00CF5D12" w:rsidRPr="008E4F36" w:rsidRDefault="00CF5D12" w:rsidP="00CF5D12">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p>
    <w:p w14:paraId="7FE8A1E1" w14:textId="77777777" w:rsidR="00CF5D12" w:rsidRDefault="00CF5D12" w:rsidP="00CF5D12">
      <w:pPr>
        <w:spacing w:after="0" w:line="240" w:lineRule="auto"/>
        <w:jc w:val="both"/>
        <w:rPr>
          <w:rFonts w:ascii="Verdana" w:eastAsia="Calibri" w:hAnsi="Verdana" w:cs="Arial"/>
          <w:b/>
          <w:lang w:eastAsia="es-ES_tradnl"/>
        </w:rPr>
      </w:pPr>
      <w:r>
        <w:rPr>
          <w:rFonts w:ascii="Verdana" w:eastAsia="Calibri" w:hAnsi="Verdana" w:cs="Arial"/>
          <w:b/>
          <w:lang w:eastAsia="es-ES_tradnl"/>
        </w:rPr>
        <w:t>Ó</w:t>
      </w:r>
      <w:r w:rsidRPr="00653421">
        <w:rPr>
          <w:rFonts w:ascii="Verdana" w:eastAsia="Calibri" w:hAnsi="Verdana" w:cs="Arial"/>
          <w:b/>
          <w:lang w:eastAsia="es-ES_tradnl"/>
        </w:rPr>
        <w:t>scar Fabi</w:t>
      </w:r>
      <w:r>
        <w:rPr>
          <w:rFonts w:ascii="Verdana" w:eastAsia="Calibri" w:hAnsi="Verdana" w:cs="Arial"/>
          <w:b/>
          <w:lang w:eastAsia="es-ES_tradnl"/>
        </w:rPr>
        <w:t>á</w:t>
      </w:r>
      <w:r w:rsidRPr="00653421">
        <w:rPr>
          <w:rFonts w:ascii="Verdana" w:eastAsia="Calibri" w:hAnsi="Verdana" w:cs="Arial"/>
          <w:b/>
          <w:lang w:eastAsia="es-ES_tradnl"/>
        </w:rPr>
        <w:t>n</w:t>
      </w:r>
      <w:r>
        <w:rPr>
          <w:rFonts w:ascii="Verdana" w:eastAsia="Calibri" w:hAnsi="Verdana" w:cs="Arial"/>
          <w:b/>
          <w:lang w:eastAsia="es-ES_tradnl"/>
        </w:rPr>
        <w:t xml:space="preserve"> </w:t>
      </w:r>
      <w:r w:rsidRPr="00653421">
        <w:rPr>
          <w:rFonts w:ascii="Verdana" w:eastAsia="Calibri" w:hAnsi="Verdana" w:cs="Arial"/>
          <w:b/>
          <w:lang w:eastAsia="es-ES_tradnl"/>
        </w:rPr>
        <w:t>L</w:t>
      </w:r>
      <w:r>
        <w:rPr>
          <w:rFonts w:ascii="Verdana" w:eastAsia="Calibri" w:hAnsi="Verdana" w:cs="Arial"/>
          <w:b/>
          <w:lang w:eastAsia="es-ES_tradnl"/>
        </w:rPr>
        <w:t>ó</w:t>
      </w:r>
      <w:r w:rsidRPr="00653421">
        <w:rPr>
          <w:rFonts w:ascii="Verdana" w:eastAsia="Calibri" w:hAnsi="Verdana" w:cs="Arial"/>
          <w:b/>
          <w:lang w:eastAsia="es-ES_tradnl"/>
        </w:rPr>
        <w:t>pez Sierra</w:t>
      </w:r>
    </w:p>
    <w:p w14:paraId="1A972FA0" w14:textId="77777777" w:rsidR="00CF5D12" w:rsidRDefault="00CF5D12" w:rsidP="00CF5D12">
      <w:pPr>
        <w:spacing w:after="0" w:line="240" w:lineRule="auto"/>
        <w:jc w:val="both"/>
        <w:rPr>
          <w:rFonts w:ascii="Verdana" w:eastAsia="Calibri" w:hAnsi="Verdana" w:cs="Arial"/>
          <w:b/>
          <w:lang w:eastAsia="es-ES_tradnl"/>
        </w:rPr>
      </w:pPr>
      <w:hyperlink r:id="rId11" w:history="1">
        <w:r w:rsidRPr="00664FA4">
          <w:rPr>
            <w:rStyle w:val="Hipervnculo"/>
            <w:rFonts w:ascii="Verdana" w:eastAsia="Calibri" w:hAnsi="Verdana" w:cs="Arial"/>
            <w:b/>
            <w:lang w:eastAsia="es-ES_tradnl"/>
          </w:rPr>
          <w:t>oscarfabianlopezsierra@gmail.com</w:t>
        </w:r>
      </w:hyperlink>
    </w:p>
    <w:p w14:paraId="350ABC68" w14:textId="45A35F4D" w:rsidR="00CF5D12" w:rsidRPr="00624A4C" w:rsidRDefault="00CF5D12" w:rsidP="00CF5D12">
      <w:pPr>
        <w:spacing w:after="0" w:line="240" w:lineRule="auto"/>
        <w:jc w:val="both"/>
        <w:rPr>
          <w:rFonts w:ascii="Verdana" w:eastAsia="Calibri" w:hAnsi="Verdana" w:cs="Arial"/>
          <w:lang w:eastAsia="es-ES"/>
        </w:rPr>
      </w:pPr>
      <w:r w:rsidRPr="08C51FD1">
        <w:rPr>
          <w:rFonts w:ascii="Verdana" w:eastAsia="Calibri" w:hAnsi="Verdana" w:cs="Arial"/>
          <w:lang w:eastAsia="es-ES"/>
        </w:rPr>
        <w:t>Tunja</w:t>
      </w:r>
      <w:r w:rsidR="637A5736" w:rsidRPr="08C51FD1">
        <w:rPr>
          <w:rFonts w:ascii="Verdana" w:eastAsia="Calibri" w:hAnsi="Verdana" w:cs="Arial"/>
          <w:lang w:eastAsia="es-ES"/>
        </w:rPr>
        <w:t>,</w:t>
      </w:r>
      <w:r w:rsidRPr="08C51FD1">
        <w:rPr>
          <w:rFonts w:ascii="Verdana" w:eastAsia="Calibri" w:hAnsi="Verdana" w:cs="Arial"/>
          <w:lang w:eastAsia="es-ES"/>
        </w:rPr>
        <w:t xml:space="preserve"> Boyacá</w:t>
      </w:r>
    </w:p>
    <w:p w14:paraId="77EAACDB" w14:textId="77777777" w:rsidR="00CF5D12" w:rsidRPr="005B4C57" w:rsidRDefault="00CF5D12" w:rsidP="00CF5D12">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CF5D12" w:rsidRPr="002842E0" w14:paraId="78552E33" w14:textId="77777777" w:rsidTr="00CD2426">
        <w:trPr>
          <w:trHeight w:val="162"/>
        </w:trPr>
        <w:tc>
          <w:tcPr>
            <w:tcW w:w="3119" w:type="dxa"/>
          </w:tcPr>
          <w:p w14:paraId="00F64DEA" w14:textId="77777777" w:rsidR="00CF5D12" w:rsidRPr="005B4C57" w:rsidRDefault="00CF5D12" w:rsidP="00CD2426">
            <w:pPr>
              <w:jc w:val="both"/>
              <w:rPr>
                <w:rFonts w:ascii="Verdana" w:eastAsia="Calibri" w:hAnsi="Verdana" w:cs="Arial"/>
                <w:b/>
                <w:bCs/>
                <w:color w:val="7030A0"/>
                <w:lang w:val="it-CH" w:eastAsia="es-ES_tradnl"/>
              </w:rPr>
            </w:pPr>
          </w:p>
        </w:tc>
        <w:tc>
          <w:tcPr>
            <w:tcW w:w="5670" w:type="dxa"/>
          </w:tcPr>
          <w:p w14:paraId="0417C355" w14:textId="77777777" w:rsidR="00CF5D12" w:rsidRPr="00801462" w:rsidRDefault="00CF5D12" w:rsidP="00CD2426">
            <w:pPr>
              <w:jc w:val="both"/>
              <w:rPr>
                <w:rFonts w:ascii="Verdana" w:eastAsia="Calibri" w:hAnsi="Verdana" w:cs="Arial"/>
                <w:b/>
                <w:bCs/>
                <w:lang w:eastAsia="es-ES"/>
              </w:rPr>
            </w:pPr>
            <w:r w:rsidRPr="00801462">
              <w:rPr>
                <w:rFonts w:ascii="Verdana" w:eastAsia="Calibri" w:hAnsi="Verdana" w:cs="Arial"/>
                <w:b/>
                <w:bCs/>
                <w:lang w:eastAsia="es-ES"/>
              </w:rPr>
              <w:t xml:space="preserve">Concepto C- </w:t>
            </w:r>
            <w:r>
              <w:rPr>
                <w:rFonts w:ascii="Verdana" w:eastAsia="Calibri" w:hAnsi="Verdana" w:cs="Arial"/>
                <w:b/>
                <w:bCs/>
                <w:lang w:eastAsia="es-ES"/>
              </w:rPr>
              <w:t>986</w:t>
            </w:r>
            <w:r w:rsidRPr="00801462">
              <w:rPr>
                <w:rFonts w:ascii="Verdana" w:eastAsia="Calibri" w:hAnsi="Verdana" w:cs="Arial"/>
                <w:b/>
                <w:bCs/>
                <w:lang w:eastAsia="es-ES"/>
              </w:rPr>
              <w:t xml:space="preserve"> de 2025</w:t>
            </w:r>
          </w:p>
          <w:p w14:paraId="1EAD45A3" w14:textId="77777777" w:rsidR="00CF5D12" w:rsidRPr="00801462" w:rsidRDefault="00CF5D12" w:rsidP="00CD2426">
            <w:pPr>
              <w:jc w:val="both"/>
              <w:rPr>
                <w:rFonts w:ascii="Verdana" w:eastAsia="Calibri" w:hAnsi="Verdana" w:cs="Arial"/>
                <w:b/>
                <w:bCs/>
                <w:color w:val="7030A0"/>
                <w:lang w:eastAsia="es-ES"/>
              </w:rPr>
            </w:pPr>
          </w:p>
        </w:tc>
      </w:tr>
      <w:tr w:rsidR="00CF5D12" w:rsidRPr="002842E0" w14:paraId="294F61C6" w14:textId="77777777" w:rsidTr="00CD2426">
        <w:trPr>
          <w:trHeight w:val="884"/>
        </w:trPr>
        <w:tc>
          <w:tcPr>
            <w:tcW w:w="3119" w:type="dxa"/>
          </w:tcPr>
          <w:p w14:paraId="76DA4CFA" w14:textId="77777777" w:rsidR="00CF5D12" w:rsidRPr="00801462" w:rsidRDefault="00CF5D12" w:rsidP="00CD2426">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2FC81160" w14:textId="77777777" w:rsidR="00CF5D12" w:rsidRPr="005E4C47" w:rsidRDefault="00CF5D12" w:rsidP="00CD2426">
            <w:pPr>
              <w:jc w:val="both"/>
              <w:rPr>
                <w:rFonts w:ascii="Verdana" w:eastAsia="Calibri" w:hAnsi="Verdana" w:cs="Arial"/>
                <w:lang w:eastAsia="es-ES"/>
              </w:rPr>
            </w:pPr>
            <w:r w:rsidRPr="00284B9D">
              <w:rPr>
                <w:rFonts w:ascii="Verdana" w:hAnsi="Verdana" w:cs="Arial"/>
                <w:lang w:val="es-MX" w:eastAsia="es-ES_tradnl"/>
              </w:rPr>
              <w:t xml:space="preserve">LEY DE GARANTÍAS ELECTORALES </w:t>
            </w:r>
            <w:r w:rsidRPr="00284B9D">
              <w:rPr>
                <w:rFonts w:ascii="Verdana" w:hAnsi="Verdana" w:cs="Arial"/>
                <w:bCs/>
                <w:lang w:val="es-MX" w:eastAsia="es-ES_tradnl"/>
              </w:rPr>
              <w:t>‒</w:t>
            </w:r>
            <w:r w:rsidRPr="00284B9D">
              <w:rPr>
                <w:rFonts w:ascii="Verdana" w:hAnsi="Verdana" w:cs="Arial"/>
                <w:lang w:val="es-MX" w:eastAsia="es-ES_tradnl"/>
              </w:rPr>
              <w:t xml:space="preserve"> Finalidad / LEY DE GARANTÍAS ELECTORALES </w:t>
            </w:r>
            <w:r w:rsidRPr="00284B9D">
              <w:rPr>
                <w:rFonts w:ascii="Verdana" w:hAnsi="Verdana" w:cs="Arial"/>
                <w:bCs/>
                <w:lang w:val="es-MX" w:eastAsia="es-ES_tradnl"/>
              </w:rPr>
              <w:t>‒</w:t>
            </w:r>
            <w:r w:rsidRPr="00284B9D">
              <w:rPr>
                <w:rFonts w:ascii="Verdana" w:hAnsi="Verdana" w:cs="Arial"/>
                <w:lang w:val="es-MX" w:eastAsia="es-ES_tradnl"/>
              </w:rPr>
              <w:t xml:space="preserve"> Tipos de restricciones </w:t>
            </w:r>
            <w:r w:rsidRPr="00284B9D">
              <w:rPr>
                <w:rFonts w:ascii="Verdana" w:hAnsi="Verdana" w:cs="Arial"/>
                <w:bCs/>
                <w:lang w:val="es-MX" w:eastAsia="es-ES_tradnl"/>
              </w:rPr>
              <w:t>‒</w:t>
            </w:r>
            <w:r w:rsidRPr="00284B9D">
              <w:rPr>
                <w:rFonts w:ascii="Verdana" w:hAnsi="Verdana" w:cs="Arial"/>
                <w:lang w:val="es-MX" w:eastAsia="es-ES_tradnl"/>
              </w:rPr>
              <w:t xml:space="preserve"> Ámbito temporal – celebración- límite / LEY DE GARANTÍAS ELECTORALES – Contratos y convenios interadministrativos – Criterio orgánico / CONTRATOS Y CONVENIOS INTERADMINISTRATIVOS – Definición – Criterio orgánico / CONTRATOS Y CONVENIOS INTERADMINISTRATIVOS – Circular Externa Única – Auto de suspensión –numeral 16.2.</w:t>
            </w:r>
            <w:r>
              <w:rPr>
                <w:rFonts w:ascii="Verdana" w:hAnsi="Verdana" w:cs="Arial"/>
                <w:lang w:val="es-MX" w:eastAsia="es-ES_tradnl"/>
              </w:rPr>
              <w:t xml:space="preserve"> / </w:t>
            </w:r>
            <w:r w:rsidRPr="00376467">
              <w:rPr>
                <w:rFonts w:ascii="Verdana" w:eastAsia="Times New Roman" w:hAnsi="Verdana" w:cs="Arial"/>
                <w:lang w:eastAsia="es-ES_tradnl"/>
              </w:rPr>
              <w:t>DECRETO 092 DE 2017 – Finalidad – Clases de contratos / CONTRATACIÓN CON ESAL – Contrato de colaboración – Objeto – Alcance / CONTRATACIÓN CON ESAL – Contrato de colaboración – Objeto – Alcance /</w:t>
            </w:r>
            <w:r>
              <w:rPr>
                <w:rFonts w:ascii="Verdana" w:eastAsia="Times New Roman" w:hAnsi="Verdana" w:cs="Arial"/>
                <w:lang w:eastAsia="es-ES_tradnl"/>
              </w:rPr>
              <w:t xml:space="preserve"> DECRETO 092 DE 2017 – </w:t>
            </w:r>
            <w:r w:rsidRPr="00376467">
              <w:rPr>
                <w:rFonts w:ascii="Verdana" w:eastAsia="Times New Roman" w:hAnsi="Verdana" w:cs="Arial"/>
                <w:lang w:eastAsia="es-ES_tradnl"/>
              </w:rPr>
              <w:t>C</w:t>
            </w:r>
            <w:r>
              <w:rPr>
                <w:rFonts w:ascii="Verdana" w:eastAsia="Times New Roman" w:hAnsi="Verdana" w:cs="Arial"/>
                <w:lang w:eastAsia="es-ES_tradnl"/>
              </w:rPr>
              <w:t>onvenios de asociación / LEY DE GARANTÍAS - Aplicación en contratos de colaboración y convenios de asociación</w:t>
            </w:r>
          </w:p>
        </w:tc>
      </w:tr>
      <w:tr w:rsidR="00CF5D12" w:rsidRPr="002842E0" w14:paraId="078D0EAF" w14:textId="77777777" w:rsidTr="00CD2426">
        <w:tc>
          <w:tcPr>
            <w:tcW w:w="3119" w:type="dxa"/>
          </w:tcPr>
          <w:p w14:paraId="6566B0DC" w14:textId="77777777" w:rsidR="00CF5D12" w:rsidRPr="00801462" w:rsidRDefault="00CF5D12" w:rsidP="00CD2426">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2F9BD026" w14:textId="77777777" w:rsidR="00CF5D12" w:rsidRPr="00801462" w:rsidRDefault="00CF5D12" w:rsidP="00CD2426">
            <w:pPr>
              <w:jc w:val="both"/>
              <w:rPr>
                <w:rFonts w:ascii="Verdana" w:eastAsia="Calibri" w:hAnsi="Verdana" w:cs="Arial"/>
                <w:lang w:eastAsia="es-ES_tradnl"/>
              </w:rPr>
            </w:pPr>
            <w:r w:rsidRPr="00801462">
              <w:rPr>
                <w:rFonts w:ascii="Verdana" w:eastAsia="Calibri" w:hAnsi="Verdana" w:cs="Arial"/>
                <w:lang w:eastAsia="es-ES_tradnl"/>
              </w:rPr>
              <w:t xml:space="preserve">Respuesta a consulta con radicado </w:t>
            </w:r>
            <w:r w:rsidRPr="00653421">
              <w:rPr>
                <w:rFonts w:ascii="Verdana" w:eastAsia="Calibri" w:hAnsi="Verdana" w:cs="Arial"/>
                <w:lang w:eastAsia="es-ES_tradnl"/>
              </w:rPr>
              <w:t>1_2025_07_21_007415</w:t>
            </w:r>
          </w:p>
        </w:tc>
      </w:tr>
    </w:tbl>
    <w:p w14:paraId="497910FD" w14:textId="77777777" w:rsidR="00CF5D12" w:rsidRDefault="00CF5D12" w:rsidP="00CF5D12">
      <w:pPr>
        <w:spacing w:after="0" w:line="276" w:lineRule="auto"/>
        <w:jc w:val="both"/>
        <w:rPr>
          <w:rFonts w:ascii="Verdana" w:eastAsia="Calibri" w:hAnsi="Verdana" w:cs="Arial"/>
          <w:lang w:eastAsia="es-ES_tradnl"/>
        </w:rPr>
      </w:pPr>
    </w:p>
    <w:p w14:paraId="448D8357" w14:textId="77777777" w:rsidR="00CF5D12" w:rsidRPr="008E4F36" w:rsidRDefault="00CF5D12" w:rsidP="00CF5D12">
      <w:pPr>
        <w:spacing w:after="0" w:line="276" w:lineRule="auto"/>
        <w:jc w:val="both"/>
        <w:rPr>
          <w:rFonts w:ascii="Verdana" w:eastAsia="Calibri" w:hAnsi="Verdana" w:cs="Arial"/>
          <w:lang w:eastAsia="es-ES"/>
        </w:rPr>
      </w:pPr>
      <w:r w:rsidRPr="008E4F36">
        <w:rPr>
          <w:rFonts w:ascii="Verdana" w:eastAsia="Calibri" w:hAnsi="Verdana" w:cs="Arial"/>
          <w:lang w:eastAsia="es-ES"/>
        </w:rPr>
        <w:t>Estimad</w:t>
      </w:r>
      <w:r>
        <w:rPr>
          <w:rFonts w:ascii="Verdana" w:eastAsia="Calibri" w:hAnsi="Verdana" w:cs="Arial"/>
          <w:lang w:eastAsia="es-ES"/>
        </w:rPr>
        <w:t xml:space="preserve">o </w:t>
      </w:r>
      <w:r w:rsidRPr="008E4F36">
        <w:rPr>
          <w:rFonts w:ascii="Verdana" w:eastAsia="Calibri" w:hAnsi="Verdana" w:cs="Arial"/>
          <w:lang w:eastAsia="es-ES"/>
        </w:rPr>
        <w:t>señor</w:t>
      </w:r>
      <w:r>
        <w:rPr>
          <w:rFonts w:ascii="Verdana" w:eastAsia="Calibri" w:hAnsi="Verdana" w:cs="Arial"/>
          <w:lang w:eastAsia="es-ES"/>
        </w:rPr>
        <w:t xml:space="preserve"> López</w:t>
      </w:r>
      <w:r w:rsidRPr="008E4F36">
        <w:rPr>
          <w:rFonts w:ascii="Verdana" w:eastAsia="Calibri" w:hAnsi="Verdana" w:cs="Arial"/>
          <w:lang w:eastAsia="es-ES"/>
        </w:rPr>
        <w:t xml:space="preserve">: </w:t>
      </w:r>
    </w:p>
    <w:p w14:paraId="03F47AC0" w14:textId="77777777" w:rsidR="00CF5D12" w:rsidRDefault="00CF5D12" w:rsidP="00CF5D12">
      <w:pPr>
        <w:tabs>
          <w:tab w:val="left" w:pos="3768"/>
        </w:tabs>
        <w:spacing w:after="0" w:line="240" w:lineRule="auto"/>
        <w:jc w:val="both"/>
        <w:rPr>
          <w:rFonts w:ascii="Verdana" w:eastAsia="Calibri" w:hAnsi="Verdana" w:cs="Arial"/>
          <w:lang w:eastAsia="es-ES"/>
        </w:rPr>
      </w:pPr>
    </w:p>
    <w:p w14:paraId="5515B891" w14:textId="77777777" w:rsidR="00CF5D12" w:rsidRPr="00DE0B78" w:rsidRDefault="00CF5D12" w:rsidP="00CF5D12">
      <w:pPr>
        <w:tabs>
          <w:tab w:val="left" w:pos="3768"/>
        </w:tabs>
        <w:spacing w:after="0" w:line="276" w:lineRule="auto"/>
        <w:jc w:val="both"/>
        <w:rPr>
          <w:rFonts w:ascii="Verdana" w:eastAsia="Calibri" w:hAnsi="Verdana" w:cs="Arial"/>
          <w:lang w:eastAsia="es-ES"/>
        </w:rPr>
      </w:pPr>
      <w:r w:rsidRPr="00DE0B78">
        <w:rPr>
          <w:rFonts w:ascii="Verdana" w:eastAsia="Calibri" w:hAnsi="Verdana" w:cs="Arial"/>
          <w:lang w:eastAsia="es-ES"/>
        </w:rPr>
        <w:t>En ejercicio de la competencia otorgada por los artículos 3, numeral 5º, y 11, numeral 8º, del Decreto Ley 4170 de 2011,</w:t>
      </w:r>
      <w:r w:rsidRPr="00DE0B78">
        <w:rPr>
          <w:rFonts w:ascii="Verdana" w:eastAsia="Arial MT" w:hAnsi="Verdana" w:cs="Arial MT"/>
          <w:lang w:eastAsia="es-ES"/>
        </w:rPr>
        <w:t xml:space="preserve"> </w:t>
      </w:r>
      <w:r w:rsidRPr="00DE0B78">
        <w:rPr>
          <w:rFonts w:ascii="Verdana" w:hAnsi="Verdana" w:cs="Arial"/>
        </w:rPr>
        <w:t xml:space="preserve">así como lo establecido en el artículo 4 de la Resolución 1707 de 2018 expedida por esta Entidad, </w:t>
      </w:r>
      <w:r w:rsidRPr="00DE0B78">
        <w:rPr>
          <w:rFonts w:ascii="Verdana" w:eastAsia="Calibri" w:hAnsi="Verdana" w:cs="Arial"/>
          <w:lang w:eastAsia="es-ES"/>
        </w:rPr>
        <w:t>la Agencia Nacional de Contratació</w:t>
      </w:r>
      <w:r>
        <w:rPr>
          <w:rFonts w:ascii="Verdana" w:eastAsia="Calibri" w:hAnsi="Verdana" w:cs="Arial"/>
          <w:lang w:eastAsia="es-ES"/>
        </w:rPr>
        <w:t>n</w:t>
      </w:r>
      <w:r w:rsidRPr="00DE0B78">
        <w:rPr>
          <w:rFonts w:ascii="Verdana" w:eastAsia="Calibri" w:hAnsi="Verdana" w:cs="Arial"/>
          <w:lang w:eastAsia="es-ES"/>
        </w:rPr>
        <w:t xml:space="preserve"> Pública – Colombia Compra Eficiente– responde su solicitud de consulta de fecha </w:t>
      </w:r>
      <w:r>
        <w:rPr>
          <w:rFonts w:ascii="Verdana" w:eastAsia="Calibri" w:hAnsi="Verdana" w:cs="Arial"/>
          <w:lang w:eastAsia="es-ES"/>
        </w:rPr>
        <w:t>21</w:t>
      </w:r>
      <w:r w:rsidRPr="00DE0B78">
        <w:rPr>
          <w:rFonts w:ascii="Verdana" w:eastAsia="Calibri" w:hAnsi="Verdana" w:cs="Arial"/>
          <w:lang w:eastAsia="es-ES"/>
        </w:rPr>
        <w:t xml:space="preserve"> de julio de 2025, en la cual manifiesta lo siguiente: </w:t>
      </w:r>
    </w:p>
    <w:p w14:paraId="3D5681F2" w14:textId="77777777" w:rsidR="00CF5D12" w:rsidRPr="00DE0B78" w:rsidRDefault="00CF5D12" w:rsidP="00CF5D12">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09F3813F" w14:textId="67BFA615" w:rsidR="00CF5D12" w:rsidRDefault="00CF5D12" w:rsidP="000C5147">
      <w:pPr>
        <w:spacing w:after="0" w:line="240" w:lineRule="auto"/>
        <w:ind w:left="709" w:right="709"/>
        <w:jc w:val="both"/>
        <w:rPr>
          <w:rFonts w:ascii="Verdana" w:eastAsia="Century Gothic" w:hAnsi="Verdana" w:cs="Century Gothic"/>
          <w:sz w:val="20"/>
          <w:szCs w:val="20"/>
        </w:rPr>
      </w:pPr>
      <w:bookmarkStart w:id="7" w:name="_Hlk192699624"/>
      <w:bookmarkStart w:id="8" w:name="_Hlk199394899"/>
      <w:r>
        <w:rPr>
          <w:rFonts w:ascii="Verdana" w:eastAsia="Century Gothic" w:hAnsi="Verdana" w:cs="Century Gothic"/>
          <w:sz w:val="20"/>
          <w:szCs w:val="20"/>
        </w:rPr>
        <w:t xml:space="preserve">“(…) </w:t>
      </w:r>
      <w:bookmarkEnd w:id="7"/>
      <w:bookmarkEnd w:id="8"/>
      <w:r w:rsidRPr="00653421">
        <w:rPr>
          <w:rFonts w:ascii="Verdana" w:eastAsia="Century Gothic" w:hAnsi="Verdana" w:cs="Century Gothic"/>
          <w:sz w:val="20"/>
          <w:szCs w:val="20"/>
        </w:rPr>
        <w:t xml:space="preserve">En virtud de la Ley 996 de 2005. </w:t>
      </w:r>
    </w:p>
    <w:p w14:paraId="5DB2142B" w14:textId="77777777" w:rsidR="00CF5D12" w:rsidRDefault="00CF5D12" w:rsidP="00CF5D12">
      <w:pPr>
        <w:spacing w:after="0" w:line="240" w:lineRule="auto"/>
        <w:ind w:left="709" w:right="709"/>
        <w:jc w:val="both"/>
        <w:rPr>
          <w:rFonts w:ascii="Verdana" w:eastAsia="Century Gothic" w:hAnsi="Verdana" w:cs="Century Gothic"/>
          <w:sz w:val="20"/>
          <w:szCs w:val="20"/>
        </w:rPr>
      </w:pPr>
      <w:r w:rsidRPr="00653421">
        <w:rPr>
          <w:rFonts w:ascii="Verdana" w:eastAsia="Century Gothic" w:hAnsi="Verdana" w:cs="Century Gothic"/>
          <w:sz w:val="20"/>
          <w:szCs w:val="20"/>
        </w:rPr>
        <w:lastRenderedPageBreak/>
        <w:t xml:space="preserve">1) Qué implica y a quiénes aplica la restricción sobre la firma y celebración de convenios administrativos, según el </w:t>
      </w:r>
      <w:proofErr w:type="spellStart"/>
      <w:r w:rsidRPr="00653421">
        <w:rPr>
          <w:rFonts w:ascii="Verdana" w:eastAsia="Century Gothic" w:hAnsi="Verdana" w:cs="Century Gothic"/>
          <w:sz w:val="20"/>
          <w:szCs w:val="20"/>
        </w:rPr>
        <w:t>articulo</w:t>
      </w:r>
      <w:proofErr w:type="spellEnd"/>
      <w:r w:rsidRPr="00653421">
        <w:rPr>
          <w:rFonts w:ascii="Verdana" w:eastAsia="Century Gothic" w:hAnsi="Verdana" w:cs="Century Gothic"/>
          <w:sz w:val="20"/>
          <w:szCs w:val="20"/>
        </w:rPr>
        <w:t xml:space="preserve"> </w:t>
      </w:r>
      <w:r>
        <w:rPr>
          <w:rFonts w:ascii="Verdana" w:eastAsia="Century Gothic" w:hAnsi="Verdana" w:cs="Century Gothic"/>
          <w:sz w:val="20"/>
          <w:szCs w:val="20"/>
        </w:rPr>
        <w:t xml:space="preserve">(sic) </w:t>
      </w:r>
      <w:r w:rsidRPr="00653421">
        <w:rPr>
          <w:rFonts w:ascii="Verdana" w:eastAsia="Century Gothic" w:hAnsi="Verdana" w:cs="Century Gothic"/>
          <w:sz w:val="20"/>
          <w:szCs w:val="20"/>
        </w:rPr>
        <w:t xml:space="preserve">38 de la referida Ley? </w:t>
      </w:r>
    </w:p>
    <w:p w14:paraId="13BC9E00" w14:textId="77777777" w:rsidR="00CF5D12" w:rsidRDefault="00CF5D12" w:rsidP="00CF5D12">
      <w:pPr>
        <w:spacing w:after="0" w:line="240" w:lineRule="auto"/>
        <w:ind w:left="709" w:right="709"/>
        <w:jc w:val="both"/>
        <w:rPr>
          <w:rFonts w:ascii="Verdana" w:eastAsia="Century Gothic" w:hAnsi="Verdana" w:cs="Century Gothic"/>
          <w:sz w:val="20"/>
          <w:szCs w:val="20"/>
        </w:rPr>
      </w:pPr>
    </w:p>
    <w:p w14:paraId="46061A73" w14:textId="77777777" w:rsidR="00CF5D12" w:rsidRDefault="00CF5D12" w:rsidP="00CF5D12">
      <w:pPr>
        <w:spacing w:after="0" w:line="240" w:lineRule="auto"/>
        <w:ind w:left="709" w:right="709"/>
        <w:jc w:val="both"/>
        <w:rPr>
          <w:rFonts w:ascii="Verdana" w:eastAsia="Century Gothic" w:hAnsi="Verdana" w:cs="Century Gothic"/>
          <w:sz w:val="20"/>
          <w:szCs w:val="20"/>
        </w:rPr>
      </w:pPr>
      <w:r w:rsidRPr="00653421">
        <w:rPr>
          <w:rFonts w:ascii="Verdana" w:eastAsia="Century Gothic" w:hAnsi="Verdana" w:cs="Century Gothic"/>
          <w:sz w:val="20"/>
          <w:szCs w:val="20"/>
        </w:rPr>
        <w:t xml:space="preserve">2) </w:t>
      </w:r>
      <w:proofErr w:type="gramStart"/>
      <w:r w:rsidRPr="00653421">
        <w:rPr>
          <w:rFonts w:ascii="Verdana" w:eastAsia="Century Gothic" w:hAnsi="Verdana" w:cs="Century Gothic"/>
          <w:sz w:val="20"/>
          <w:szCs w:val="20"/>
        </w:rPr>
        <w:t>El termino</w:t>
      </w:r>
      <w:r>
        <w:rPr>
          <w:rFonts w:ascii="Verdana" w:eastAsia="Century Gothic" w:hAnsi="Verdana" w:cs="Century Gothic"/>
          <w:sz w:val="20"/>
          <w:szCs w:val="20"/>
        </w:rPr>
        <w:t xml:space="preserve"> (sic)</w:t>
      </w:r>
      <w:r w:rsidRPr="00653421">
        <w:rPr>
          <w:rFonts w:ascii="Verdana" w:eastAsia="Century Gothic" w:hAnsi="Verdana" w:cs="Century Gothic"/>
          <w:sz w:val="20"/>
          <w:szCs w:val="20"/>
        </w:rPr>
        <w:t xml:space="preserve"> convenio, también cobija a la tipología "contrato", INTERADMINISTRATIVO, en razón al contexto de la Ley 80 de 1993?</w:t>
      </w:r>
      <w:proofErr w:type="gramEnd"/>
      <w:r w:rsidRPr="00653421">
        <w:rPr>
          <w:rFonts w:ascii="Verdana" w:eastAsia="Century Gothic" w:hAnsi="Verdana" w:cs="Century Gothic"/>
          <w:sz w:val="20"/>
          <w:szCs w:val="20"/>
        </w:rPr>
        <w:t xml:space="preserve"> </w:t>
      </w:r>
    </w:p>
    <w:p w14:paraId="73318D4F" w14:textId="77777777" w:rsidR="00CF5D12" w:rsidRDefault="00CF5D12" w:rsidP="00CF5D12">
      <w:pPr>
        <w:spacing w:after="0" w:line="240" w:lineRule="auto"/>
        <w:ind w:left="709" w:right="709"/>
        <w:jc w:val="both"/>
        <w:rPr>
          <w:rFonts w:ascii="Verdana" w:eastAsia="Century Gothic" w:hAnsi="Verdana" w:cs="Century Gothic"/>
          <w:sz w:val="20"/>
          <w:szCs w:val="20"/>
        </w:rPr>
      </w:pPr>
    </w:p>
    <w:p w14:paraId="4F07003E" w14:textId="77777777" w:rsidR="00CF5D12" w:rsidRPr="008A3F6C" w:rsidRDefault="00CF5D12" w:rsidP="00CF5D12">
      <w:pPr>
        <w:spacing w:after="0" w:line="240" w:lineRule="auto"/>
        <w:ind w:left="709" w:right="709"/>
        <w:jc w:val="both"/>
        <w:rPr>
          <w:rFonts w:ascii="Verdana" w:hAnsi="Verdana"/>
          <w:sz w:val="20"/>
          <w:szCs w:val="20"/>
        </w:rPr>
      </w:pPr>
      <w:r w:rsidRPr="00653421">
        <w:rPr>
          <w:rFonts w:ascii="Verdana" w:eastAsia="Century Gothic" w:hAnsi="Verdana" w:cs="Century Gothic"/>
          <w:sz w:val="20"/>
          <w:szCs w:val="20"/>
        </w:rPr>
        <w:t xml:space="preserve">3) Queda prohibida también la contratación bajo el modelo de Contrato de Asociación de Interés </w:t>
      </w:r>
      <w:proofErr w:type="spellStart"/>
      <w:r w:rsidRPr="00653421">
        <w:rPr>
          <w:rFonts w:ascii="Verdana" w:eastAsia="Century Gothic" w:hAnsi="Verdana" w:cs="Century Gothic"/>
          <w:sz w:val="20"/>
          <w:szCs w:val="20"/>
        </w:rPr>
        <w:t>Publico</w:t>
      </w:r>
      <w:proofErr w:type="spellEnd"/>
      <w:r w:rsidRPr="00653421">
        <w:rPr>
          <w:rFonts w:ascii="Verdana" w:eastAsia="Century Gothic" w:hAnsi="Verdana" w:cs="Century Gothic"/>
          <w:sz w:val="20"/>
          <w:szCs w:val="20"/>
        </w:rPr>
        <w:t xml:space="preserve"> y Convenio del que trata el Decreto 092 de 2017?:</w:t>
      </w:r>
      <w:r>
        <w:rPr>
          <w:rFonts w:ascii="Verdana" w:hAnsi="Verdana"/>
          <w:sz w:val="20"/>
          <w:szCs w:val="20"/>
        </w:rPr>
        <w:t xml:space="preserve"> (…)”</w:t>
      </w:r>
      <w:r w:rsidRPr="008A3F6C">
        <w:rPr>
          <w:rFonts w:ascii="Verdana" w:hAnsi="Verdana"/>
          <w:sz w:val="20"/>
          <w:szCs w:val="20"/>
        </w:rPr>
        <w:t>.</w:t>
      </w:r>
    </w:p>
    <w:p w14:paraId="5AA11DC4" w14:textId="77777777" w:rsidR="00CF5D12" w:rsidRPr="008A3F6C" w:rsidRDefault="00CF5D12" w:rsidP="00CF5D12">
      <w:pPr>
        <w:spacing w:after="0" w:line="240" w:lineRule="auto"/>
        <w:ind w:left="709" w:right="709"/>
        <w:jc w:val="both"/>
        <w:rPr>
          <w:rFonts w:ascii="Verdana" w:hAnsi="Verdana"/>
          <w:b/>
          <w:bCs/>
          <w:sz w:val="20"/>
          <w:szCs w:val="20"/>
        </w:rPr>
      </w:pPr>
    </w:p>
    <w:p w14:paraId="71FFE0D6" w14:textId="77777777" w:rsidR="00CF5D12" w:rsidRDefault="00CF5D12" w:rsidP="00CF5D12">
      <w:pPr>
        <w:spacing w:after="120"/>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0615C85" w14:textId="77777777" w:rsidR="00CF5D12" w:rsidRDefault="00CF5D12" w:rsidP="00CF5D12">
      <w:pPr>
        <w:spacing w:after="120"/>
        <w:ind w:firstLine="709"/>
        <w:jc w:val="both"/>
        <w:rPr>
          <w:rFonts w:ascii="Verdana" w:eastAsia="Calibri" w:hAnsi="Verdana" w:cs="Arial"/>
          <w:color w:val="000000"/>
          <w:lang w:eastAsia="es-ES"/>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sidRPr="0002705E">
        <w:rPr>
          <w:rFonts w:ascii="Verdana" w:eastAsia="Calibri" w:hAnsi="Verdana" w:cs="Arial"/>
          <w:color w:val="000000"/>
          <w:lang w:eastAsia="es-ES"/>
        </w:rPr>
        <w:t>los problemas jurídicos de su consulta.</w:t>
      </w:r>
      <w:r w:rsidRPr="008E4F36">
        <w:rPr>
          <w:rFonts w:ascii="Verdana" w:eastAsia="Calibri" w:hAnsi="Verdana" w:cs="Arial"/>
          <w:color w:val="000000"/>
          <w:lang w:eastAsia="es-ES"/>
        </w:rPr>
        <w:t xml:space="preserve">  </w:t>
      </w:r>
    </w:p>
    <w:p w14:paraId="322707A6" w14:textId="77777777" w:rsidR="00CF5D12" w:rsidRPr="00376467" w:rsidRDefault="00CF5D12" w:rsidP="00B34DAD">
      <w:pPr>
        <w:spacing w:after="0" w:line="240" w:lineRule="auto"/>
        <w:ind w:firstLine="709"/>
        <w:jc w:val="both"/>
        <w:rPr>
          <w:rFonts w:ascii="Verdana" w:eastAsia="Calibri" w:hAnsi="Verdana" w:cs="Arial"/>
          <w:color w:val="000000"/>
          <w:szCs w:val="24"/>
          <w:lang w:eastAsia="es-ES_tradnl"/>
        </w:rPr>
      </w:pPr>
    </w:p>
    <w:p w14:paraId="1E5D4107" w14:textId="77777777" w:rsidR="00CF5D12" w:rsidRDefault="00CF5D12" w:rsidP="00CF5D1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7A94639C" w14:textId="77777777" w:rsidR="00CF5D12" w:rsidRDefault="00CF5D12" w:rsidP="00CF5D12">
      <w:pPr>
        <w:spacing w:after="0" w:line="240" w:lineRule="auto"/>
        <w:jc w:val="both"/>
        <w:rPr>
          <w:rFonts w:ascii="Verdana" w:eastAsia="Calibri" w:hAnsi="Verdana" w:cs="Arial"/>
          <w:color w:val="000000"/>
          <w:highlight w:val="yellow"/>
          <w:lang w:eastAsia="es-ES"/>
        </w:rPr>
      </w:pPr>
    </w:p>
    <w:p w14:paraId="0AE6AEB7" w14:textId="4EC96923" w:rsidR="000C5147" w:rsidRDefault="00CF5D12" w:rsidP="000C5147">
      <w:pPr>
        <w:spacing w:after="120"/>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los siguientes problemas jurídicos: </w:t>
      </w:r>
      <w:r>
        <w:rPr>
          <w:rFonts w:ascii="Verdana" w:eastAsia="Calibri" w:hAnsi="Verdana" w:cs="Arial"/>
          <w:color w:val="000000"/>
          <w:lang w:eastAsia="es-ES"/>
        </w:rPr>
        <w:t xml:space="preserve">i) ¿Cuál es el alcance y aplicación del parágrafo contenido en el artículo 38 de la Ley 996 de 2005? </w:t>
      </w:r>
      <w:proofErr w:type="spellStart"/>
      <w:r>
        <w:rPr>
          <w:rFonts w:ascii="Verdana" w:eastAsia="Calibri" w:hAnsi="Verdana" w:cs="Arial"/>
          <w:color w:val="000000"/>
          <w:lang w:eastAsia="es-ES"/>
        </w:rPr>
        <w:t>ii</w:t>
      </w:r>
      <w:proofErr w:type="spellEnd"/>
      <w:r>
        <w:rPr>
          <w:rFonts w:ascii="Verdana" w:eastAsia="Calibri" w:hAnsi="Verdana" w:cs="Arial"/>
          <w:color w:val="000000"/>
          <w:lang w:eastAsia="es-ES"/>
        </w:rPr>
        <w:t xml:space="preserve">) ¿El parágrafo del artículo 38 de la ley 996 de 2025 también se aplica para la celebración de los contratos interadministrativos? </w:t>
      </w:r>
      <w:proofErr w:type="spellStart"/>
      <w:r>
        <w:rPr>
          <w:rFonts w:ascii="Verdana" w:eastAsia="Calibri" w:hAnsi="Verdana" w:cs="Arial"/>
          <w:color w:val="000000"/>
          <w:lang w:eastAsia="es-ES"/>
        </w:rPr>
        <w:t>iii</w:t>
      </w:r>
      <w:proofErr w:type="spellEnd"/>
      <w:r>
        <w:rPr>
          <w:rFonts w:ascii="Verdana" w:eastAsia="Calibri" w:hAnsi="Verdana" w:cs="Arial"/>
          <w:color w:val="000000"/>
          <w:lang w:eastAsia="es-ES"/>
        </w:rPr>
        <w:t xml:space="preserve">) ¿La aplicación de la Ley 996 de 2005 se extiende a los </w:t>
      </w:r>
      <w:r w:rsidRPr="00377ED6">
        <w:rPr>
          <w:rFonts w:ascii="Verdana" w:eastAsia="Century Gothic" w:hAnsi="Verdana" w:cs="Century Gothic"/>
        </w:rPr>
        <w:t xml:space="preserve">contratos </w:t>
      </w:r>
      <w:r>
        <w:rPr>
          <w:rFonts w:ascii="Verdana" w:eastAsia="Century Gothic" w:hAnsi="Verdana" w:cs="Century Gothic"/>
        </w:rPr>
        <w:t xml:space="preserve">definidos en el </w:t>
      </w:r>
      <w:r w:rsidRPr="00377ED6">
        <w:rPr>
          <w:rFonts w:ascii="Verdana" w:eastAsia="Century Gothic" w:hAnsi="Verdana" w:cs="Century Gothic"/>
        </w:rPr>
        <w:t xml:space="preserve">355 de la Constitución Política y de los convenios de asociación del </w:t>
      </w:r>
      <w:r>
        <w:rPr>
          <w:rFonts w:ascii="Verdana" w:eastAsia="Century Gothic" w:hAnsi="Verdana" w:cs="Century Gothic"/>
        </w:rPr>
        <w:t>artículo 5 del Decreto 092 de 2017?</w:t>
      </w:r>
      <w:r>
        <w:rPr>
          <w:rFonts w:ascii="Verdana" w:eastAsia="Calibri" w:hAnsi="Verdana" w:cs="Arial"/>
          <w:color w:val="000000"/>
          <w:lang w:eastAsia="es-ES"/>
        </w:rPr>
        <w:t xml:space="preserve"> </w:t>
      </w:r>
    </w:p>
    <w:p w14:paraId="0793CF40" w14:textId="77777777" w:rsidR="000C5147" w:rsidRDefault="000C5147" w:rsidP="000C5147">
      <w:pPr>
        <w:spacing w:after="120"/>
        <w:jc w:val="both"/>
        <w:rPr>
          <w:rFonts w:ascii="Verdana" w:eastAsia="Calibri" w:hAnsi="Verdana" w:cs="Arial"/>
          <w:color w:val="000000"/>
          <w:lang w:eastAsia="es-ES"/>
        </w:rPr>
      </w:pPr>
    </w:p>
    <w:p w14:paraId="46406D2E" w14:textId="77777777" w:rsidR="000C5147" w:rsidRPr="000C5147" w:rsidRDefault="000C5147" w:rsidP="000C5147">
      <w:pPr>
        <w:spacing w:after="120"/>
        <w:jc w:val="both"/>
        <w:rPr>
          <w:rFonts w:ascii="Verdana" w:eastAsia="Calibri" w:hAnsi="Verdana" w:cs="Arial"/>
          <w:color w:val="000000"/>
          <w:lang w:eastAsia="es-ES"/>
        </w:rPr>
      </w:pPr>
    </w:p>
    <w:p w14:paraId="04EDAD55" w14:textId="63B9605D" w:rsidR="00CF5D12" w:rsidRDefault="00CF5D12" w:rsidP="00CF5D12">
      <w:pPr>
        <w:spacing w:after="0" w:line="276" w:lineRule="auto"/>
        <w:jc w:val="both"/>
        <w:rPr>
          <w:rFonts w:ascii="Verdana" w:eastAsia="Century Gothic" w:hAnsi="Verdana" w:cs="Century Gothic"/>
          <w:b/>
          <w:bCs/>
        </w:rPr>
      </w:pPr>
      <w:r w:rsidRPr="008E4F36">
        <w:rPr>
          <w:rFonts w:ascii="Verdana" w:eastAsia="Century Gothic" w:hAnsi="Verdana" w:cs="Century Gothic"/>
          <w:b/>
          <w:bCs/>
        </w:rPr>
        <w:lastRenderedPageBreak/>
        <w:t>2. Respuesta:</w:t>
      </w:r>
    </w:p>
    <w:p w14:paraId="2D1F4649" w14:textId="77777777" w:rsidR="00CF5D12" w:rsidRPr="008E4F36" w:rsidRDefault="00CF5D12" w:rsidP="00CF5D12">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CF5D12" w:rsidRPr="008E4F36" w14:paraId="78708F8E" w14:textId="77777777" w:rsidTr="007654C4">
        <w:tc>
          <w:tcPr>
            <w:tcW w:w="8828" w:type="dxa"/>
            <w:tcBorders>
              <w:top w:val="dotted" w:sz="4" w:space="0" w:color="auto"/>
              <w:left w:val="dotted" w:sz="4" w:space="0" w:color="auto"/>
              <w:bottom w:val="dotted" w:sz="4" w:space="0" w:color="auto"/>
              <w:right w:val="dotted" w:sz="4" w:space="0" w:color="auto"/>
            </w:tcBorders>
          </w:tcPr>
          <w:p w14:paraId="23D81F09" w14:textId="77777777" w:rsidR="00CF5D12" w:rsidRDefault="00CF5D12" w:rsidP="00BF0E13">
            <w:pPr>
              <w:shd w:val="clear" w:color="auto" w:fill="FFFFFF" w:themeFill="background1"/>
              <w:spacing w:after="120" w:line="276" w:lineRule="auto"/>
              <w:jc w:val="both"/>
              <w:rPr>
                <w:rFonts w:ascii="Verdana" w:eastAsia="Times New Roman" w:hAnsi="Verdana" w:cs="Arial"/>
                <w:bCs/>
                <w:lang w:eastAsia="es-CO"/>
              </w:rPr>
            </w:pPr>
            <w:r>
              <w:rPr>
                <w:rFonts w:ascii="Verdana" w:eastAsia="Times New Roman" w:hAnsi="Verdana" w:cs="Arial"/>
                <w:bCs/>
                <w:lang w:eastAsia="es-CO"/>
              </w:rPr>
              <w:t>i) L</w:t>
            </w:r>
            <w:r w:rsidRPr="003E638E">
              <w:rPr>
                <w:rFonts w:ascii="Verdana" w:eastAsia="Times New Roman" w:hAnsi="Verdana" w:cs="Arial"/>
                <w:bCs/>
                <w:lang w:eastAsia="es-CO"/>
              </w:rPr>
              <w:t>a Ley 996 de 2005</w:t>
            </w:r>
            <w:r>
              <w:rPr>
                <w:rFonts w:ascii="Verdana" w:eastAsia="Times New Roman" w:hAnsi="Verdana" w:cs="Arial"/>
                <w:bCs/>
                <w:lang w:eastAsia="es-CO"/>
              </w:rPr>
              <w:t xml:space="preserve"> </w:t>
            </w:r>
            <w:r w:rsidRPr="003E638E">
              <w:rPr>
                <w:rFonts w:ascii="Verdana" w:eastAsia="Times New Roman" w:hAnsi="Verdana" w:cs="Arial"/>
                <w:bCs/>
                <w:lang w:eastAsia="es-CO"/>
              </w:rPr>
              <w:t>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r>
              <w:rPr>
                <w:rFonts w:ascii="Verdana" w:eastAsia="Times New Roman" w:hAnsi="Verdana" w:cs="Arial"/>
                <w:bCs/>
                <w:lang w:eastAsia="es-CO"/>
              </w:rPr>
              <w:t xml:space="preserve"> </w:t>
            </w:r>
          </w:p>
          <w:p w14:paraId="352B5ECF" w14:textId="77777777" w:rsidR="00CF5D12" w:rsidRDefault="00CF5D12" w:rsidP="00BF0E13">
            <w:pPr>
              <w:spacing w:after="12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 xml:space="preserve">La Ley de garantías </w:t>
            </w:r>
            <w:r w:rsidRPr="003E638E">
              <w:rPr>
                <w:rFonts w:ascii="Verdana" w:eastAsia="Arial" w:hAnsi="Verdana" w:cs="Arial"/>
                <w:lang w:val="es-ES" w:eastAsia="es-ES" w:bidi="es-ES"/>
              </w:rPr>
              <w:t xml:space="preserve">establece dos (2) tipos de restricciones en materia de contratación, las cuales coinciden parcialmente. </w:t>
            </w:r>
            <w:r w:rsidRPr="003E638E">
              <w:rPr>
                <w:rFonts w:ascii="Verdana" w:eastAsia="Arial" w:hAnsi="Verdana" w:cs="Arial"/>
                <w:i/>
                <w:iCs/>
                <w:lang w:val="es-ES" w:eastAsia="es-ES" w:bidi="es-ES"/>
              </w:rPr>
              <w:t>En primer lugar</w:t>
            </w:r>
            <w:r w:rsidRPr="003E638E">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5BE0EA10" w14:textId="77777777" w:rsidR="00CF5D12" w:rsidRPr="003E638E" w:rsidRDefault="00CF5D12" w:rsidP="00BF0E13">
            <w:pPr>
              <w:spacing w:after="120" w:line="276" w:lineRule="auto"/>
              <w:ind w:firstLine="709"/>
              <w:jc w:val="both"/>
              <w:rPr>
                <w:rFonts w:ascii="Verdana" w:eastAsia="Arial" w:hAnsi="Verdana" w:cs="Arial"/>
                <w:lang w:val="es-ES" w:eastAsia="es-ES" w:bidi="es-ES"/>
              </w:rPr>
            </w:pPr>
            <w:r w:rsidRPr="003E638E">
              <w:rPr>
                <w:rFonts w:ascii="Verdana" w:eastAsia="Arial" w:hAnsi="Verdana" w:cs="Arial"/>
                <w:i/>
                <w:iCs/>
                <w:lang w:val="es-ES" w:eastAsia="es-ES" w:bidi="es-ES"/>
              </w:rPr>
              <w:t>En segundo lugar</w:t>
            </w:r>
            <w:r w:rsidRPr="003E638E">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5E8050DC" w14:textId="77777777" w:rsidR="00CF5D12" w:rsidRDefault="00CF5D12" w:rsidP="00BF0E13">
            <w:pPr>
              <w:shd w:val="clear" w:color="auto" w:fill="FFFFFF"/>
              <w:spacing w:after="120" w:line="276" w:lineRule="auto"/>
              <w:ind w:firstLine="709"/>
              <w:jc w:val="both"/>
              <w:rPr>
                <w:rFonts w:ascii="Verdana" w:eastAsia="Times New Roman" w:hAnsi="Verdana" w:cs="Arial"/>
                <w:bCs/>
                <w:iCs/>
                <w:lang w:eastAsia="x-none"/>
              </w:rPr>
            </w:pPr>
            <w:r>
              <w:rPr>
                <w:rFonts w:ascii="Verdana" w:eastAsia="Calibri" w:hAnsi="Verdana" w:cs="Arial"/>
                <w:bCs/>
                <w:lang w:val="es-ES_tradnl"/>
              </w:rPr>
              <w:t xml:space="preserve">Para dar respuesta al primer problema jurídico, </w:t>
            </w:r>
            <w:r w:rsidRPr="003776B6">
              <w:rPr>
                <w:rFonts w:ascii="Verdana" w:eastAsia="Calibri" w:hAnsi="Verdana" w:cs="Arial"/>
                <w:bCs/>
                <w:lang w:val="es-ES_tradnl"/>
              </w:rPr>
              <w:t xml:space="preserve">es preciso indicar que el parágrafo del artículo 38 de la Ley 996 de 2005 dispone que </w:t>
            </w:r>
            <w:r w:rsidRPr="00BF0E13">
              <w:rPr>
                <w:rFonts w:ascii="Verdana" w:eastAsia="Calibri" w:hAnsi="Verdana" w:cs="Arial"/>
                <w:lang w:val="es-ES_tradnl"/>
              </w:rPr>
              <w:t xml:space="preserve">“[l]os Gobernadores, </w:t>
            </w:r>
            <w:proofErr w:type="gramStart"/>
            <w:r w:rsidRPr="00BF0E13">
              <w:rPr>
                <w:rFonts w:ascii="Verdana" w:eastAsia="Calibri" w:hAnsi="Verdana" w:cs="Arial"/>
                <w:lang w:val="es-ES_tradnl"/>
              </w:rPr>
              <w:t>Alcaldes</w:t>
            </w:r>
            <w:proofErr w:type="gramEnd"/>
            <w:r w:rsidRPr="00BF0E13">
              <w:rPr>
                <w:rFonts w:ascii="Verdana" w:eastAsia="Calibri" w:hAnsi="Verdana" w:cs="Arial"/>
                <w:lang w:val="es-ES_tradnl"/>
              </w:rPr>
              <w:t xml:space="preserve"> Municipales y/o Distritales, </w:t>
            </w:r>
            <w:proofErr w:type="gramStart"/>
            <w:r w:rsidRPr="00BF0E13">
              <w:rPr>
                <w:rFonts w:ascii="Verdana" w:eastAsia="Calibri" w:hAnsi="Verdana" w:cs="Arial"/>
                <w:lang w:val="es-ES_tradnl"/>
              </w:rPr>
              <w:t>Secretarios</w:t>
            </w:r>
            <w:proofErr w:type="gramEnd"/>
            <w:r w:rsidRPr="00BF0E13">
              <w:rPr>
                <w:rFonts w:ascii="Verdana" w:eastAsia="Calibri" w:hAnsi="Verdana" w:cs="Arial"/>
                <w:lang w:val="es-ES_tradnl"/>
              </w:rPr>
              <w:t>, Gerentes y directores de Entidades Descentralizadas del orden Municipal, Departamental o Distrital, dentro de los cuatro (4) meses anteriores a las elecciones, no podrán celebrar convenios interadministrativos para la ejecución de recursos públicos”</w:t>
            </w:r>
            <w:r w:rsidRPr="00F62FE0">
              <w:rPr>
                <w:rFonts w:ascii="Verdana" w:eastAsia="Calibri" w:hAnsi="Verdana" w:cs="Arial"/>
                <w:bCs/>
                <w:lang w:val="es-ES_tradnl"/>
              </w:rPr>
              <w:t xml:space="preserve"> (Énfasis resaltado)</w:t>
            </w:r>
            <w:r>
              <w:rPr>
                <w:rFonts w:ascii="Verdana" w:eastAsia="Calibri" w:hAnsi="Verdana" w:cs="Arial"/>
                <w:bCs/>
                <w:lang w:val="es-ES_tradnl"/>
              </w:rPr>
              <w:t>.</w:t>
            </w:r>
            <w:r w:rsidRPr="003776B6">
              <w:rPr>
                <w:rFonts w:ascii="Verdana" w:eastAsia="Calibri" w:hAnsi="Verdana" w:cs="Arial"/>
                <w:bCs/>
                <w:lang w:val="es-ES_tradnl"/>
              </w:rPr>
              <w:t xml:space="preserve"> Los convenios o contratos</w:t>
            </w:r>
            <w:r w:rsidRPr="003776B6">
              <w:rPr>
                <w:rFonts w:ascii="Verdana" w:eastAsia="Times New Roman" w:hAnsi="Verdana" w:cs="Arial"/>
                <w:bCs/>
                <w:iCs/>
                <w:lang w:eastAsia="x-none"/>
              </w:rPr>
              <w:t xml:space="preserve"> interadministrativos que se restringen en el parágrafo del artículo 38 de la Ley</w:t>
            </w:r>
            <w:r w:rsidRPr="00990FC7">
              <w:rPr>
                <w:rFonts w:ascii="Arial" w:eastAsia="Times New Roman" w:hAnsi="Arial" w:cs="Arial"/>
                <w:bCs/>
                <w:iCs/>
                <w:lang w:eastAsia="x-none"/>
              </w:rPr>
              <w:t xml:space="preserve"> </w:t>
            </w:r>
            <w:r w:rsidRPr="003776B6">
              <w:rPr>
                <w:rFonts w:ascii="Verdana" w:eastAsia="Times New Roman" w:hAnsi="Verdana" w:cs="Arial"/>
                <w:bCs/>
                <w:iCs/>
                <w:lang w:eastAsia="x-none"/>
              </w:rPr>
              <w:t>996 de 2005, son únicamente aquellos en que se dispone la ejecución de recursos públicos, para evitar que mediante la suscripción de estos se comprometa el erario con fines políticos o partidistas</w:t>
            </w:r>
            <w:r>
              <w:rPr>
                <w:rFonts w:ascii="Verdana" w:eastAsia="Times New Roman" w:hAnsi="Verdana" w:cs="Arial"/>
                <w:bCs/>
                <w:iCs/>
                <w:lang w:eastAsia="x-none"/>
              </w:rPr>
              <w:t>.</w:t>
            </w:r>
          </w:p>
          <w:p w14:paraId="7BAAFB15" w14:textId="77777777" w:rsidR="00CF5D12" w:rsidRDefault="00CF5D12" w:rsidP="00BF0E13">
            <w:pPr>
              <w:pStyle w:val="Textoindependiente"/>
              <w:spacing w:after="120" w:line="276" w:lineRule="auto"/>
              <w:ind w:firstLine="709"/>
              <w:jc w:val="both"/>
              <w:rPr>
                <w:rFonts w:ascii="Verdana" w:eastAsia="Calibri" w:hAnsi="Verdana"/>
              </w:rPr>
            </w:pPr>
            <w:proofErr w:type="spellStart"/>
            <w:r w:rsidRPr="4BBFEA33">
              <w:rPr>
                <w:rFonts w:ascii="Verdana" w:eastAsia="Calibri" w:hAnsi="Verdana"/>
              </w:rPr>
              <w:lastRenderedPageBreak/>
              <w:t>ii</w:t>
            </w:r>
            <w:proofErr w:type="spellEnd"/>
            <w:r w:rsidRPr="4BBFEA33">
              <w:rPr>
                <w:rFonts w:ascii="Verdana" w:eastAsia="Calibri" w:hAnsi="Verdana"/>
              </w:rPr>
              <w:t xml:space="preserve">) Ahora bien, respecto del segundo problema jurídico, el Decreto 1082 de 2015 califica a los convenios o contratos interadministrativos como aquella contratación entre entidades estatales. </w:t>
            </w:r>
          </w:p>
          <w:p w14:paraId="696F5BCC" w14:textId="77777777" w:rsidR="00CF5D12" w:rsidRPr="00701F45" w:rsidRDefault="00CF5D12" w:rsidP="00BF0E13">
            <w:pPr>
              <w:pStyle w:val="Textoindependiente"/>
              <w:spacing w:after="120" w:line="276" w:lineRule="auto"/>
              <w:ind w:firstLine="709"/>
              <w:jc w:val="both"/>
              <w:rPr>
                <w:rFonts w:ascii="Verdana" w:hAnsi="Verdana"/>
              </w:rPr>
            </w:pPr>
            <w:r w:rsidRPr="000F0F39">
              <w:rPr>
                <w:rFonts w:ascii="Verdana" w:hAnsi="Verdana"/>
              </w:rPr>
              <w:t>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w:t>
            </w:r>
          </w:p>
          <w:p w14:paraId="70219505" w14:textId="77777777" w:rsidR="00CF5D12" w:rsidRDefault="00CF5D12" w:rsidP="00BF0E13">
            <w:pPr>
              <w:pStyle w:val="Textoindependiente"/>
              <w:spacing w:after="120" w:line="276" w:lineRule="auto"/>
              <w:ind w:firstLine="709"/>
              <w:jc w:val="both"/>
              <w:rPr>
                <w:rFonts w:ascii="Verdana" w:eastAsia="Calibri" w:hAnsi="Verdana"/>
                <w:lang w:val="es-MX"/>
              </w:rPr>
            </w:pPr>
            <w:r w:rsidRPr="00701F45">
              <w:rPr>
                <w:rFonts w:ascii="Verdana" w:hAnsi="Verdana"/>
              </w:rPr>
              <w:t xml:space="preserve">Sin perjuicio de lo expuesto, conviene señalar que, mediante auto de 4 de octubre del 2024, el Consejo de Estado, Sección Tercera, decretó medida de suspensión provisional parcial del </w:t>
            </w:r>
            <w:r w:rsidRPr="005F73B4">
              <w:rPr>
                <w:rFonts w:ascii="Verdana" w:hAnsi="Verdana"/>
              </w:rPr>
              <w:t>numeral 16.2 de la Circular Externa Única de 2022 expedida por la Agencia Nacional de Contratación Pública -Colombia Compra Eficiente</w:t>
            </w:r>
            <w:r>
              <w:rPr>
                <w:rFonts w:ascii="Verdana" w:hAnsi="Verdana"/>
              </w:rPr>
              <w:t>. Sin embargo, a</w:t>
            </w:r>
            <w:r w:rsidRPr="005F73B4">
              <w:rPr>
                <w:rFonts w:ascii="Verdana" w:hAnsi="Verdana"/>
                <w:lang w:val="es-MX" w:eastAsia="es-ES" w:bidi="es-ES"/>
              </w:rPr>
              <w:t xml:space="preserve"> juicio de esta Entidad, señalar que la Ley de Garantías Electorales no aplica para el caso de los contratos interadministrativos deja sin efecto el propósito buscado por la norma, que no es otro que </w:t>
            </w:r>
            <w:r w:rsidRPr="005F73B4">
              <w:rPr>
                <w:rFonts w:ascii="Verdana" w:eastAsia="Times New Roman" w:hAnsi="Verdana"/>
                <w:lang w:val="es-MX" w:eastAsia="es-CO"/>
              </w:rPr>
              <w:t xml:space="preserve">evitar cualquier tipo de arbitrariedad, de ventaja injustificada, de uso irregular de los recursos del Estado en las campañas políticas, o que </w:t>
            </w:r>
            <w:r w:rsidRPr="005F73B4">
              <w:rPr>
                <w:rFonts w:ascii="Verdana" w:eastAsia="Calibri" w:hAnsi="Verdana"/>
                <w:lang w:val="es-MX"/>
              </w:rPr>
              <w:t>los recursos del Estado se ejecuten para lograr apoyos indebidos mediante la suscripción de contratos y/o convenios, que para efectos de la Ley de Garantías tienen la misma connotación y propósitos.</w:t>
            </w:r>
          </w:p>
          <w:p w14:paraId="79E86EC4" w14:textId="32CBEA21" w:rsidR="00CF5D12" w:rsidRPr="00701F45" w:rsidRDefault="00CF5D12" w:rsidP="00BF0E13">
            <w:pPr>
              <w:pStyle w:val="Textoindependiente"/>
              <w:spacing w:after="120" w:line="276" w:lineRule="auto"/>
              <w:ind w:firstLine="709"/>
              <w:jc w:val="both"/>
              <w:rPr>
                <w:rFonts w:ascii="Verdana" w:hAnsi="Verdana"/>
              </w:rPr>
            </w:pPr>
            <w:proofErr w:type="spellStart"/>
            <w:r>
              <w:rPr>
                <w:rFonts w:ascii="Verdana" w:eastAsia="Times New Roman" w:hAnsi="Verdana"/>
                <w:bCs/>
                <w:lang w:eastAsia="es-CO"/>
              </w:rPr>
              <w:t>iii</w:t>
            </w:r>
            <w:proofErr w:type="spellEnd"/>
            <w:r>
              <w:rPr>
                <w:rFonts w:ascii="Verdana" w:eastAsia="Times New Roman" w:hAnsi="Verdana"/>
                <w:bCs/>
                <w:lang w:eastAsia="es-CO"/>
              </w:rPr>
              <w:t xml:space="preserve">) Por último, respecto de los </w:t>
            </w:r>
            <w:r w:rsidRPr="00A90DCC">
              <w:rPr>
                <w:rFonts w:ascii="Verdana" w:eastAsia="Times New Roman" w:hAnsi="Verdana"/>
                <w:bCs/>
                <w:lang w:eastAsia="es-CO"/>
              </w:rPr>
              <w:t xml:space="preserve">contratos del artículo 355 de la Constitución Política y los convenios de asociación </w:t>
            </w:r>
            <w:r w:rsidRPr="00A90DCC">
              <w:rPr>
                <w:rFonts w:ascii="Verdana" w:eastAsia="Calibri" w:hAnsi="Verdana"/>
              </w:rPr>
              <w:t>del artículo 96 de la Ley 489 de 19</w:t>
            </w:r>
            <w:r w:rsidRPr="00377ED6">
              <w:rPr>
                <w:rFonts w:ascii="Verdana" w:eastAsia="Calibri" w:hAnsi="Verdana"/>
              </w:rPr>
              <w:t>98</w:t>
            </w:r>
            <w:r>
              <w:rPr>
                <w:rFonts w:ascii="Verdana" w:eastAsia="Calibri" w:hAnsi="Verdana"/>
              </w:rPr>
              <w:t xml:space="preserve">, es necesario indicar que el Decreto 092 de 2017 </w:t>
            </w:r>
            <w:r w:rsidRPr="00377ED6">
              <w:rPr>
                <w:rFonts w:ascii="Verdana" w:eastAsia="Calibri" w:hAnsi="Verdana"/>
              </w:rPr>
              <w:t xml:space="preserve">dispone </w:t>
            </w:r>
            <w:r>
              <w:rPr>
                <w:rFonts w:ascii="Verdana" w:eastAsia="Calibri" w:hAnsi="Verdana"/>
              </w:rPr>
              <w:t xml:space="preserve">las </w:t>
            </w:r>
            <w:r w:rsidRPr="00377ED6">
              <w:rPr>
                <w:rFonts w:ascii="Verdana" w:eastAsia="Calibri" w:hAnsi="Verdana"/>
              </w:rPr>
              <w:t xml:space="preserve">reglas para las contrataciones que realicen las entidades estatales con las ESAL. </w:t>
            </w:r>
            <w:r>
              <w:rPr>
                <w:rFonts w:ascii="Verdana" w:eastAsia="Calibri" w:hAnsi="Verdana"/>
              </w:rPr>
              <w:t xml:space="preserve">Para la celebración de los </w:t>
            </w:r>
            <w:r w:rsidRPr="00701F45">
              <w:rPr>
                <w:rFonts w:ascii="Verdana" w:eastAsia="Calibri" w:hAnsi="Verdana"/>
              </w:rPr>
              <w:t>contratos del artículo 355 de la Constitución Política</w:t>
            </w:r>
            <w:r>
              <w:rPr>
                <w:rFonts w:ascii="Verdana" w:eastAsia="Calibri" w:hAnsi="Verdana"/>
              </w:rPr>
              <w:t xml:space="preserve">, </w:t>
            </w:r>
            <w:r w:rsidRPr="00377ED6">
              <w:rPr>
                <w:rFonts w:ascii="Verdana" w:eastAsia="Calibri" w:hAnsi="Verdana"/>
              </w:rPr>
              <w:t>según lo establece el artículo 3 del Decreto 092 de 2017, por regla general, la entidad debe adelantar un proceso competitivo para seleccionar la entidad sin ánimo de lucro contratista</w:t>
            </w:r>
            <w:r>
              <w:rPr>
                <w:rFonts w:ascii="Verdana" w:eastAsia="Calibri" w:hAnsi="Verdana"/>
              </w:rPr>
              <w:t xml:space="preserve">. </w:t>
            </w:r>
          </w:p>
          <w:p w14:paraId="494D7A4F" w14:textId="77777777" w:rsidR="00F71D28" w:rsidRDefault="00CF5D12" w:rsidP="00BF0E13">
            <w:pPr>
              <w:shd w:val="clear" w:color="auto" w:fill="FFFFFF"/>
              <w:spacing w:after="120" w:line="276" w:lineRule="auto"/>
              <w:ind w:firstLine="709"/>
              <w:jc w:val="both"/>
              <w:rPr>
                <w:rFonts w:ascii="Verdana" w:eastAsia="Calibri" w:hAnsi="Verdana" w:cs="Arial"/>
                <w:color w:val="000000" w:themeColor="text1"/>
              </w:rPr>
            </w:pPr>
            <w:r w:rsidRPr="00377ED6">
              <w:rPr>
                <w:rFonts w:ascii="Verdana" w:eastAsia="Calibri" w:hAnsi="Verdana" w:cs="Arial"/>
                <w:bCs/>
                <w:lang w:val="es-ES_tradnl"/>
              </w:rPr>
              <w:t xml:space="preserve">De otro lado, </w:t>
            </w:r>
            <w:r>
              <w:rPr>
                <w:rFonts w:ascii="Verdana" w:eastAsia="Calibri" w:hAnsi="Verdana" w:cs="Arial"/>
                <w:bCs/>
                <w:lang w:val="es-ES_tradnl"/>
              </w:rPr>
              <w:t xml:space="preserve">en </w:t>
            </w:r>
            <w:r w:rsidRPr="005B5A3D">
              <w:rPr>
                <w:rFonts w:ascii="Verdana" w:eastAsia="Calibri" w:hAnsi="Verdana" w:cs="Arial"/>
                <w:bCs/>
                <w:lang w:val="es-ES_tradnl"/>
              </w:rPr>
              <w:t>los convenios de asociación</w:t>
            </w:r>
            <w:r>
              <w:rPr>
                <w:rFonts w:ascii="Verdana" w:eastAsia="Calibri" w:hAnsi="Verdana" w:cs="Arial"/>
                <w:bCs/>
                <w:lang w:val="es-ES_tradnl"/>
              </w:rPr>
              <w:t xml:space="preserve">, </w:t>
            </w:r>
            <w:r w:rsidRPr="00377ED6">
              <w:rPr>
                <w:rFonts w:ascii="Verdana" w:eastAsia="Calibri" w:hAnsi="Verdana" w:cs="Arial"/>
                <w:bCs/>
                <w:lang w:val="es-ES_tradnl"/>
              </w:rPr>
              <w:t xml:space="preserve">la entidad deberá adelantar un proceso competitivo, </w:t>
            </w:r>
            <w:r w:rsidRPr="005B5A3D">
              <w:rPr>
                <w:rFonts w:ascii="Verdana" w:eastAsia="Calibri" w:hAnsi="Verdana" w:cs="Arial"/>
                <w:bCs/>
                <w:lang w:val="es-ES_tradnl"/>
              </w:rPr>
              <w:t xml:space="preserve">salvo cuando la ESAL comprometa recursos en dinero para la ejecución de estas actividades, en una proporción no inferior </w:t>
            </w:r>
            <w:r w:rsidRPr="005B5A3D">
              <w:rPr>
                <w:rFonts w:ascii="Verdana" w:eastAsia="Calibri" w:hAnsi="Verdana" w:cs="Arial"/>
                <w:bCs/>
                <w:lang w:val="es-ES_tradnl"/>
              </w:rPr>
              <w:lastRenderedPageBreak/>
              <w:t>al 30% del valor total del convenio.</w:t>
            </w:r>
            <w:r>
              <w:rPr>
                <w:rFonts w:ascii="Verdana" w:eastAsia="Calibri" w:hAnsi="Verdana" w:cs="Arial"/>
                <w:color w:val="000000" w:themeColor="text1"/>
              </w:rPr>
              <w:t>De esta manera</w:t>
            </w:r>
            <w:r w:rsidRPr="00377ED6">
              <w:rPr>
                <w:rFonts w:ascii="Verdana" w:eastAsia="Calibri" w:hAnsi="Verdana" w:cs="Arial"/>
                <w:color w:val="000000" w:themeColor="text1"/>
              </w:rPr>
              <w:t xml:space="preserve">, si se pretende realizar un </w:t>
            </w:r>
            <w:r w:rsidRPr="005B5A3D">
              <w:rPr>
                <w:rFonts w:ascii="Verdana" w:eastAsia="Calibri" w:hAnsi="Verdana" w:cs="Arial"/>
                <w:color w:val="000000" w:themeColor="text1"/>
              </w:rPr>
              <w:t>convenio de asociación</w:t>
            </w:r>
            <w:r w:rsidRPr="00377ED6">
              <w:rPr>
                <w:rFonts w:ascii="Verdana" w:eastAsia="Calibri" w:hAnsi="Verdana" w:cs="Arial"/>
                <w:color w:val="000000" w:themeColor="text1"/>
              </w:rPr>
              <w:t xml:space="preserve"> con ESAL de reconocida idoneidad para el cumplimiento de las funciones que la ley les asigna a las entidades públicas, deberá aplicarse lo dispuesto en el artículo 5 del Decreto 092 de 2017. </w:t>
            </w:r>
          </w:p>
          <w:p w14:paraId="23330C6E" w14:textId="3991C939" w:rsidR="00BF0E13" w:rsidRPr="000C5147" w:rsidRDefault="00CF5D12" w:rsidP="000C5147">
            <w:pPr>
              <w:shd w:val="clear" w:color="auto" w:fill="FFFFFF"/>
              <w:spacing w:after="120" w:line="276" w:lineRule="auto"/>
              <w:ind w:firstLine="709"/>
              <w:jc w:val="both"/>
              <w:rPr>
                <w:rFonts w:ascii="Verdana" w:eastAsia="Calibri" w:hAnsi="Verdana" w:cs="Arial"/>
                <w:color w:val="000000"/>
              </w:rPr>
            </w:pPr>
            <w:r>
              <w:rPr>
                <w:rFonts w:ascii="Verdana" w:eastAsia="Calibri" w:hAnsi="Verdana" w:cs="Arial"/>
                <w:color w:val="000000" w:themeColor="text1"/>
              </w:rPr>
              <w:t>Por lo tanto</w:t>
            </w:r>
            <w:r w:rsidRPr="00377ED6">
              <w:rPr>
                <w:rFonts w:ascii="Verdana" w:eastAsia="Calibri" w:hAnsi="Verdana" w:cs="Arial"/>
                <w:color w:val="000000" w:themeColor="text1"/>
              </w:rPr>
              <w:t xml:space="preserve">, deben estar sujetos a competencia, salvo en aquellos casos en que una entidad sin ánimo de lucro comprometa recursos en dinero por un valor igual o superior al 30% del valor total del convenio, y siempre que la entidad estatal verifique previamente que no existe ninguna otra entidad sin ánimo de lucro que ofrezca aportes iguales o superiores al 30%. </w:t>
            </w:r>
            <w:r w:rsidR="00362AEC">
              <w:rPr>
                <w:rFonts w:ascii="Verdana" w:eastAsia="Calibri" w:hAnsi="Verdana" w:cs="Arial"/>
                <w:color w:val="000000" w:themeColor="text1"/>
              </w:rPr>
              <w:t xml:space="preserve">En ese orden, en vigencia de la </w:t>
            </w:r>
            <w:r w:rsidRPr="00377ED6">
              <w:rPr>
                <w:rFonts w:ascii="Verdana" w:eastAsia="Calibri" w:hAnsi="Verdana" w:cs="Arial"/>
                <w:color w:val="000000"/>
              </w:rPr>
              <w:t>restricci</w:t>
            </w:r>
            <w:r w:rsidR="00362AEC">
              <w:rPr>
                <w:rFonts w:ascii="Verdana" w:eastAsia="Calibri" w:hAnsi="Verdana" w:cs="Arial"/>
                <w:color w:val="000000"/>
              </w:rPr>
              <w:t>ón</w:t>
            </w:r>
            <w:r w:rsidRPr="00377ED6">
              <w:rPr>
                <w:rFonts w:ascii="Verdana" w:eastAsia="Calibri" w:hAnsi="Verdana" w:cs="Arial"/>
                <w:color w:val="000000"/>
              </w:rPr>
              <w:t xml:space="preserve"> prevista en el artículo 33 de la Ley de Garantías</w:t>
            </w:r>
            <w:r w:rsidR="00362AEC">
              <w:rPr>
                <w:rFonts w:ascii="Verdana" w:eastAsia="Calibri" w:hAnsi="Verdana" w:cs="Arial"/>
                <w:color w:val="000000"/>
              </w:rPr>
              <w:t xml:space="preserve"> Electorales, </w:t>
            </w:r>
            <w:r w:rsidR="00FB3568">
              <w:rPr>
                <w:rFonts w:ascii="Verdana" w:eastAsia="Calibri" w:hAnsi="Verdana" w:cs="Arial"/>
                <w:color w:val="000000"/>
              </w:rPr>
              <w:t xml:space="preserve">según el artículo 5 del Decreto 092 de 2017, solo podrán celebrarse convenios </w:t>
            </w:r>
            <w:r w:rsidR="00FB24A7">
              <w:rPr>
                <w:rFonts w:ascii="Verdana" w:eastAsia="Calibri" w:hAnsi="Verdana" w:cs="Arial"/>
                <w:color w:val="000000"/>
              </w:rPr>
              <w:t xml:space="preserve">previo desarrollo de proceso competitivo. </w:t>
            </w:r>
          </w:p>
        </w:tc>
      </w:tr>
    </w:tbl>
    <w:p w14:paraId="11403240" w14:textId="77777777" w:rsidR="00CF5D12" w:rsidRDefault="00CF5D12" w:rsidP="00CF5D12">
      <w:pPr>
        <w:tabs>
          <w:tab w:val="left" w:pos="142"/>
          <w:tab w:val="left" w:pos="284"/>
        </w:tabs>
        <w:spacing w:after="0" w:line="276" w:lineRule="auto"/>
        <w:jc w:val="both"/>
        <w:rPr>
          <w:rFonts w:ascii="Verdana" w:eastAsia="Century Gothic" w:hAnsi="Verdana" w:cs="Century Gothic"/>
          <w:b/>
          <w:bCs/>
        </w:rPr>
      </w:pPr>
    </w:p>
    <w:p w14:paraId="66D477DF" w14:textId="77777777" w:rsidR="00CF5D12" w:rsidRPr="008E4F36" w:rsidRDefault="00CF5D12" w:rsidP="00CF5D12">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00078FD1" w14:textId="77777777" w:rsidR="00CF5D12" w:rsidRDefault="00CF5D12" w:rsidP="00CF5D12">
      <w:pPr>
        <w:pStyle w:val="Prrafodelista"/>
        <w:tabs>
          <w:tab w:val="left" w:pos="142"/>
          <w:tab w:val="left" w:pos="284"/>
        </w:tabs>
        <w:spacing w:after="0" w:line="276" w:lineRule="auto"/>
        <w:ind w:left="0"/>
        <w:contextualSpacing w:val="0"/>
        <w:jc w:val="both"/>
        <w:rPr>
          <w:rFonts w:ascii="Verdana" w:eastAsia="Calibri" w:hAnsi="Verdana" w:cs="Arial"/>
        </w:rPr>
      </w:pPr>
    </w:p>
    <w:p w14:paraId="3D24E452" w14:textId="77777777" w:rsidR="00CF5D12" w:rsidRDefault="00CF5D12" w:rsidP="00CF5D12">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4B57FBC0" w14:textId="77777777" w:rsidR="00CF5D12" w:rsidRDefault="00CF5D12" w:rsidP="00CF5D12">
      <w:pPr>
        <w:pStyle w:val="Prrafodelista"/>
        <w:tabs>
          <w:tab w:val="left" w:pos="142"/>
          <w:tab w:val="left" w:pos="284"/>
        </w:tabs>
        <w:spacing w:after="0" w:line="240" w:lineRule="auto"/>
        <w:ind w:left="0"/>
        <w:contextualSpacing w:val="0"/>
        <w:jc w:val="both"/>
        <w:rPr>
          <w:rFonts w:ascii="Verdana" w:eastAsia="Calibri" w:hAnsi="Verdana" w:cs="Arial"/>
        </w:rPr>
      </w:pPr>
    </w:p>
    <w:p w14:paraId="0961D3B0" w14:textId="77777777" w:rsidR="00CF5D12" w:rsidRPr="00676106" w:rsidRDefault="00CF5D12" w:rsidP="00CE169D">
      <w:pPr>
        <w:tabs>
          <w:tab w:val="left" w:pos="426"/>
        </w:tabs>
        <w:spacing w:after="120"/>
        <w:jc w:val="both"/>
        <w:rPr>
          <w:rFonts w:ascii="Verdana" w:eastAsia="Times New Roman" w:hAnsi="Verdana" w:cs="Arial"/>
          <w:bCs/>
          <w:lang w:eastAsia="es-CO"/>
        </w:rPr>
      </w:pPr>
      <w:bookmarkStart w:id="9" w:name="_Hlk206702961"/>
      <w:r>
        <w:rPr>
          <w:rFonts w:ascii="Verdana" w:eastAsia="Calibri" w:hAnsi="Verdana" w:cs="Arial"/>
          <w:bCs/>
        </w:rPr>
        <w:t>i) E</w:t>
      </w:r>
      <w:r w:rsidRPr="00676106">
        <w:rPr>
          <w:rFonts w:ascii="Verdana" w:eastAsia="Calibri" w:hAnsi="Verdana" w:cs="Arial"/>
          <w:bCs/>
        </w:rPr>
        <w:t>l ordenamiento jurídico colombiano contempla previsiones claras para evitar la obtención de beneficios personales en asuntos propios de la administración pública</w:t>
      </w:r>
      <w:r w:rsidRPr="00676106">
        <w:rPr>
          <w:rFonts w:ascii="Verdana" w:eastAsia="Calibri" w:hAnsi="Verdana" w:cs="Arial"/>
          <w:bCs/>
          <w:i/>
          <w:iCs/>
        </w:rPr>
        <w:t xml:space="preserve">. </w:t>
      </w:r>
      <w:r w:rsidRPr="00676106">
        <w:rPr>
          <w:rFonts w:ascii="Verdana" w:eastAsia="Calibri" w:hAnsi="Verdana" w:cs="Arial"/>
          <w:bCs/>
        </w:rPr>
        <w:t>Por ejemplo, el artículo 127 de la Constitución Política establece una prohibición contractual a los servidores públicos y en cuanto a aspectos políticos establece restricciones a ciertos empleados del Estado, incluso en época no electoral</w:t>
      </w:r>
      <w:r w:rsidRPr="00676106">
        <w:rPr>
          <w:rStyle w:val="Refdenotaalpie"/>
          <w:rFonts w:ascii="Verdana" w:eastAsia="Calibri" w:hAnsi="Verdana" w:cs="Arial"/>
          <w:bCs/>
        </w:rPr>
        <w:footnoteReference w:id="1"/>
      </w:r>
      <w:r w:rsidRPr="00676106">
        <w:rPr>
          <w:rFonts w:ascii="Verdana" w:eastAsia="Calibri" w:hAnsi="Verdana" w:cs="Arial"/>
          <w:bCs/>
        </w:rPr>
        <w:t xml:space="preserve">. </w:t>
      </w:r>
    </w:p>
    <w:p w14:paraId="0902BFBD" w14:textId="77777777" w:rsidR="00CF5D12" w:rsidRDefault="00CF5D12" w:rsidP="00CF5D12">
      <w:pPr>
        <w:tabs>
          <w:tab w:val="left" w:pos="426"/>
        </w:tabs>
        <w:spacing w:after="120"/>
        <w:ind w:firstLine="709"/>
        <w:jc w:val="both"/>
        <w:rPr>
          <w:rFonts w:ascii="Verdana" w:eastAsia="Calibri" w:hAnsi="Verdana" w:cs="Arial"/>
          <w:noProof/>
          <w:lang w:val="es-ES_tradnl"/>
        </w:rPr>
      </w:pPr>
      <w:r w:rsidRPr="003E638E">
        <w:rPr>
          <w:rFonts w:ascii="Verdana" w:eastAsia="Times New Roman" w:hAnsi="Verdana" w:cs="Arial"/>
          <w:bCs/>
          <w:lang w:eastAsia="es-CO"/>
        </w:rPr>
        <w:t xml:space="preserve">En el mismo sentido, la Ley 996 de 2005, conocida como </w:t>
      </w:r>
      <w:r>
        <w:rPr>
          <w:rFonts w:ascii="Verdana" w:eastAsia="Times New Roman" w:hAnsi="Verdana" w:cs="Arial"/>
          <w:bCs/>
          <w:lang w:eastAsia="es-CO"/>
        </w:rPr>
        <w:t>“</w:t>
      </w:r>
      <w:r w:rsidRPr="003E638E">
        <w:rPr>
          <w:rFonts w:ascii="Verdana" w:eastAsia="Times New Roman" w:hAnsi="Verdana" w:cs="Arial"/>
          <w:bCs/>
          <w:lang w:eastAsia="es-CO"/>
        </w:rPr>
        <w:t>Ley de Garantías Electorales</w:t>
      </w:r>
      <w:r>
        <w:rPr>
          <w:rFonts w:ascii="Verdana" w:eastAsia="Times New Roman" w:hAnsi="Verdana" w:cs="Arial"/>
          <w:bCs/>
          <w:lang w:eastAsia="es-CO"/>
        </w:rPr>
        <w:t>”</w:t>
      </w:r>
      <w:r w:rsidRPr="003E638E">
        <w:rPr>
          <w:rFonts w:ascii="Verdana" w:eastAsia="Times New Roman" w:hAnsi="Verdana" w:cs="Arial"/>
          <w:bCs/>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3E638E">
        <w:rPr>
          <w:rStyle w:val="Refdenotaalpie"/>
          <w:rFonts w:ascii="Verdana" w:eastAsia="Times New Roman" w:hAnsi="Verdana" w:cs="Arial"/>
          <w:bCs/>
          <w:lang w:eastAsia="es-CO"/>
        </w:rPr>
        <w:footnoteReference w:id="2"/>
      </w:r>
      <w:r w:rsidRPr="003E638E">
        <w:rPr>
          <w:rFonts w:ascii="Verdana" w:eastAsia="Times New Roman" w:hAnsi="Verdana" w:cs="Arial"/>
          <w:bCs/>
          <w:lang w:eastAsia="es-CO"/>
        </w:rPr>
        <w:t xml:space="preserve">. En esta medida, introduce limitaciones para realizar nombramientos, postulaciones, </w:t>
      </w:r>
      <w:r w:rsidRPr="003E638E">
        <w:rPr>
          <w:rFonts w:ascii="Verdana" w:eastAsia="Times New Roman" w:hAnsi="Verdana" w:cs="Arial"/>
          <w:bCs/>
          <w:lang w:eastAsia="es-CO"/>
        </w:rPr>
        <w:lastRenderedPageBreak/>
        <w:t>contrataciones o cualquier otro tipo de actividad que implique destinación de recursos públicos bajo el devenir propio de las entidades estatales.</w:t>
      </w:r>
      <w:r w:rsidRPr="003E638E">
        <w:rPr>
          <w:rFonts w:ascii="Verdana" w:eastAsia="Calibri" w:hAnsi="Verdana" w:cs="Arial"/>
          <w:noProof/>
          <w:lang w:val="es-ES_tradnl"/>
        </w:rPr>
        <w:t xml:space="preserve"> </w:t>
      </w:r>
    </w:p>
    <w:p w14:paraId="49825CFF" w14:textId="77777777" w:rsidR="00CF5D12" w:rsidRPr="003E638E" w:rsidRDefault="00CF5D12" w:rsidP="00CF5D12">
      <w:pPr>
        <w:tabs>
          <w:tab w:val="left" w:pos="426"/>
        </w:tabs>
        <w:spacing w:after="120"/>
        <w:ind w:firstLine="709"/>
        <w:jc w:val="both"/>
        <w:rPr>
          <w:rFonts w:ascii="Verdana" w:eastAsia="Times New Roman" w:hAnsi="Verdana" w:cs="Arial"/>
          <w:bCs/>
          <w:lang w:eastAsia="es-CO"/>
        </w:rPr>
      </w:pPr>
      <w:r w:rsidRPr="003E638E">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29368A57" w14:textId="77777777" w:rsidR="00CF5D12" w:rsidRPr="00990FC7" w:rsidRDefault="00CF5D12" w:rsidP="00CF5D12">
      <w:pPr>
        <w:spacing w:after="0"/>
        <w:ind w:right="709"/>
        <w:rPr>
          <w:rFonts w:ascii="Arial" w:eastAsia="Times New Roman" w:hAnsi="Arial" w:cs="Arial"/>
          <w:sz w:val="21"/>
          <w:szCs w:val="21"/>
          <w:lang w:val="es-ES" w:eastAsia="es-CO"/>
        </w:rPr>
      </w:pPr>
    </w:p>
    <w:p w14:paraId="2C65EE12" w14:textId="77777777" w:rsidR="00CF5D12" w:rsidRPr="003E638E" w:rsidRDefault="00CF5D12" w:rsidP="00CF5D12">
      <w:pPr>
        <w:spacing w:after="0" w:line="240" w:lineRule="auto"/>
        <w:ind w:left="709" w:right="709"/>
        <w:jc w:val="both"/>
        <w:rPr>
          <w:rFonts w:ascii="Verdana" w:eastAsia="Times New Roman" w:hAnsi="Verdana" w:cs="Arial"/>
          <w:bCs/>
          <w:sz w:val="20"/>
          <w:szCs w:val="20"/>
          <w:lang w:eastAsia="es-CO"/>
        </w:rPr>
      </w:pPr>
      <w:r w:rsidRPr="003E638E">
        <w:rPr>
          <w:rFonts w:ascii="Verdana" w:eastAsia="Times New Roman" w:hAnsi="Verdana" w:cs="Arial"/>
          <w:sz w:val="20"/>
          <w:szCs w:val="20"/>
          <w:lang w:val="es-ES" w:eastAsia="es-CO"/>
        </w:rPr>
        <w:t xml:space="preserve">[…] </w:t>
      </w:r>
      <w:r w:rsidRPr="003E638E">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5D6AE06F" w14:textId="77777777" w:rsidR="00CF5D12" w:rsidRPr="003E638E" w:rsidRDefault="00CF5D12" w:rsidP="00CF5D12">
      <w:pPr>
        <w:spacing w:after="120" w:line="240" w:lineRule="auto"/>
        <w:ind w:left="709" w:right="709"/>
        <w:jc w:val="both"/>
        <w:rPr>
          <w:rFonts w:ascii="Verdana" w:eastAsia="Times New Roman" w:hAnsi="Verdana" w:cs="Arial"/>
          <w:bCs/>
          <w:sz w:val="20"/>
          <w:szCs w:val="20"/>
          <w:lang w:eastAsia="es-CO"/>
        </w:rPr>
      </w:pPr>
      <w:r w:rsidRPr="003E638E">
        <w:rPr>
          <w:rFonts w:ascii="Verdana" w:eastAsia="Times New Roman" w:hAnsi="Verdana" w:cs="Arial"/>
          <w:bCs/>
          <w:sz w:val="20"/>
          <w:szCs w:val="20"/>
          <w:lang w:eastAsia="es-CO"/>
        </w:rPr>
        <w:t xml:space="preserve">[…] </w:t>
      </w:r>
    </w:p>
    <w:p w14:paraId="6830EF7E" w14:textId="77777777" w:rsidR="00CF5D12" w:rsidRPr="003E638E" w:rsidRDefault="00CF5D12" w:rsidP="00CF5D12">
      <w:pPr>
        <w:spacing w:after="0" w:line="240" w:lineRule="auto"/>
        <w:ind w:left="709" w:right="709"/>
        <w:jc w:val="both"/>
        <w:rPr>
          <w:rFonts w:ascii="Verdana" w:eastAsia="Times New Roman" w:hAnsi="Verdana" w:cs="Arial"/>
          <w:bCs/>
          <w:sz w:val="20"/>
          <w:szCs w:val="20"/>
          <w:lang w:eastAsia="es-CO"/>
        </w:rPr>
      </w:pPr>
      <w:r w:rsidRPr="003E638E">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3E638E">
        <w:rPr>
          <w:rStyle w:val="Refdenotaalpie"/>
          <w:rFonts w:ascii="Verdana" w:hAnsi="Verdana" w:cs="Arial"/>
          <w:sz w:val="20"/>
          <w:szCs w:val="20"/>
        </w:rPr>
        <w:footnoteReference w:id="3"/>
      </w:r>
    </w:p>
    <w:p w14:paraId="3860A790" w14:textId="77777777" w:rsidR="00CF5D12" w:rsidRPr="003E638E" w:rsidRDefault="00CF5D12" w:rsidP="00CF5D12">
      <w:pPr>
        <w:spacing w:after="0"/>
        <w:ind w:left="709" w:right="709"/>
        <w:jc w:val="both"/>
        <w:rPr>
          <w:rFonts w:ascii="Verdana" w:eastAsia="Times New Roman" w:hAnsi="Verdana" w:cs="Arial"/>
          <w:bCs/>
          <w:sz w:val="21"/>
          <w:szCs w:val="21"/>
          <w:lang w:eastAsia="es-CO"/>
        </w:rPr>
      </w:pPr>
    </w:p>
    <w:p w14:paraId="6F0923A4" w14:textId="77777777" w:rsidR="00CF5D12" w:rsidRPr="003E638E" w:rsidRDefault="00CF5D12" w:rsidP="00CF5D12">
      <w:pPr>
        <w:spacing w:after="0"/>
        <w:ind w:firstLine="709"/>
        <w:jc w:val="both"/>
        <w:rPr>
          <w:rFonts w:ascii="Verdana" w:eastAsia="Times New Roman" w:hAnsi="Verdana" w:cs="Arial"/>
          <w:bCs/>
          <w:lang w:eastAsia="es-CO"/>
        </w:rPr>
      </w:pPr>
      <w:bookmarkStart w:id="10" w:name="_Hlk78818186"/>
      <w:r w:rsidRPr="003E638E">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0"/>
      <w:r w:rsidRPr="003E638E">
        <w:rPr>
          <w:rFonts w:ascii="Verdana" w:eastAsia="Times New Roman" w:hAnsi="Verdana" w:cs="Arial"/>
          <w:bCs/>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4CA92CBC" w14:textId="77777777" w:rsidR="00CF5D12" w:rsidRPr="003E638E" w:rsidRDefault="00CF5D12" w:rsidP="00CF5D12">
      <w:pPr>
        <w:spacing w:after="0"/>
        <w:ind w:firstLine="709"/>
        <w:jc w:val="both"/>
        <w:rPr>
          <w:rFonts w:ascii="Verdana" w:eastAsia="Times New Roman" w:hAnsi="Verdana" w:cs="Arial"/>
          <w:bCs/>
          <w:lang w:eastAsia="es-CO"/>
        </w:rPr>
      </w:pPr>
    </w:p>
    <w:p w14:paraId="11260057" w14:textId="77777777" w:rsidR="00CF5D12" w:rsidRPr="003E638E" w:rsidRDefault="00CF5D12" w:rsidP="00CF5D12">
      <w:pPr>
        <w:spacing w:after="120" w:line="240" w:lineRule="auto"/>
        <w:ind w:left="709" w:right="709"/>
        <w:jc w:val="both"/>
        <w:rPr>
          <w:rFonts w:ascii="Verdana" w:eastAsia="Times New Roman" w:hAnsi="Verdana" w:cs="Arial"/>
          <w:bCs/>
          <w:sz w:val="20"/>
          <w:szCs w:val="20"/>
          <w:lang w:eastAsia="es-CO"/>
        </w:rPr>
      </w:pPr>
      <w:r w:rsidRPr="003E638E">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3E638E">
        <w:rPr>
          <w:rFonts w:ascii="Verdana" w:eastAsia="Times New Roman" w:hAnsi="Verdana" w:cs="Arial"/>
          <w:bCs/>
          <w:sz w:val="20"/>
          <w:szCs w:val="20"/>
          <w:lang w:eastAsia="es-CO"/>
        </w:rPr>
        <w:t>legis</w:t>
      </w:r>
      <w:proofErr w:type="spellEnd"/>
      <w:r w:rsidRPr="003E638E">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9E7CD7D" w14:textId="77777777" w:rsidR="00CF5D12" w:rsidRPr="003E638E" w:rsidRDefault="00CF5D12" w:rsidP="00CF5D12">
      <w:pPr>
        <w:spacing w:after="0" w:line="240" w:lineRule="auto"/>
        <w:ind w:left="709" w:right="709"/>
        <w:jc w:val="both"/>
        <w:rPr>
          <w:rFonts w:ascii="Verdana" w:eastAsia="Times New Roman" w:hAnsi="Verdana" w:cs="Arial"/>
          <w:bCs/>
          <w:sz w:val="20"/>
          <w:szCs w:val="20"/>
          <w:lang w:eastAsia="es-CO"/>
        </w:rPr>
      </w:pPr>
      <w:r w:rsidRPr="003E638E">
        <w:rPr>
          <w:rFonts w:ascii="Verdana" w:eastAsia="Times New Roman" w:hAnsi="Verdana" w:cs="Arial"/>
          <w:bCs/>
          <w:sz w:val="20"/>
          <w:szCs w:val="20"/>
          <w:lang w:eastAsia="es-CO"/>
        </w:rPr>
        <w:lastRenderedPageBreak/>
        <w:t>La jurisprudencia de la Corte Constitucional</w:t>
      </w:r>
      <w:r w:rsidRPr="003E638E">
        <w:rPr>
          <w:rStyle w:val="Refdenotaalpie"/>
          <w:rFonts w:ascii="Verdana" w:eastAsia="Times New Roman" w:hAnsi="Verdana" w:cs="Arial"/>
          <w:bCs/>
          <w:sz w:val="20"/>
          <w:szCs w:val="20"/>
          <w:lang w:eastAsia="es-CO"/>
        </w:rPr>
        <w:footnoteReference w:id="4"/>
      </w:r>
      <w:r w:rsidRPr="003E638E">
        <w:rPr>
          <w:rFonts w:ascii="Verdana" w:eastAsia="Times New Roman" w:hAnsi="Verdana" w:cs="Arial"/>
          <w:bCs/>
          <w:sz w:val="20"/>
          <w:szCs w:val="20"/>
          <w:lang w:eastAsia="es-CO"/>
        </w:rPr>
        <w:t> y del Consejo de Estado</w:t>
      </w:r>
      <w:r w:rsidRPr="003E638E">
        <w:rPr>
          <w:rStyle w:val="Refdenotaalpie"/>
          <w:rFonts w:ascii="Verdana" w:eastAsia="Times New Roman" w:hAnsi="Verdana" w:cs="Arial"/>
          <w:bCs/>
          <w:sz w:val="20"/>
          <w:szCs w:val="20"/>
          <w:lang w:eastAsia="es-CO"/>
        </w:rPr>
        <w:footnoteReference w:id="5"/>
      </w:r>
      <w:r w:rsidRPr="003E638E">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3E638E">
        <w:rPr>
          <w:rStyle w:val="Refdenotaalpie"/>
          <w:rFonts w:ascii="Verdana" w:eastAsia="Times New Roman" w:hAnsi="Verdana" w:cs="Arial"/>
          <w:bCs/>
          <w:sz w:val="20"/>
          <w:szCs w:val="20"/>
          <w:lang w:eastAsia="es-CO"/>
        </w:rPr>
        <w:footnoteReference w:id="6"/>
      </w:r>
      <w:r w:rsidRPr="003E638E">
        <w:rPr>
          <w:rFonts w:ascii="Verdana" w:eastAsia="Times New Roman" w:hAnsi="Verdana" w:cs="Arial"/>
          <w:bCs/>
          <w:sz w:val="20"/>
          <w:szCs w:val="20"/>
          <w:lang w:eastAsia="es-CO"/>
        </w:rPr>
        <w:t>.</w:t>
      </w:r>
    </w:p>
    <w:p w14:paraId="4CC323FA" w14:textId="77777777" w:rsidR="00CF5D12" w:rsidRPr="00990FC7" w:rsidRDefault="00CF5D12" w:rsidP="00CF5D12">
      <w:pPr>
        <w:spacing w:after="0"/>
        <w:ind w:right="709"/>
        <w:rPr>
          <w:rFonts w:ascii="Arial" w:eastAsia="Times New Roman" w:hAnsi="Arial" w:cs="Arial"/>
          <w:bCs/>
          <w:sz w:val="21"/>
          <w:szCs w:val="21"/>
          <w:lang w:eastAsia="es-CO"/>
        </w:rPr>
      </w:pPr>
    </w:p>
    <w:p w14:paraId="7548197D" w14:textId="77777777" w:rsidR="00CF5D12" w:rsidRPr="003E638E" w:rsidRDefault="00CF5D12" w:rsidP="00CF5D12">
      <w:pPr>
        <w:spacing w:after="120"/>
        <w:jc w:val="both"/>
        <w:rPr>
          <w:rFonts w:ascii="Verdana" w:eastAsia="Arial" w:hAnsi="Verdana" w:cs="Arial"/>
          <w:lang w:val="es-ES" w:eastAsia="es-ES" w:bidi="es-ES"/>
        </w:rPr>
      </w:pPr>
      <w:r w:rsidRPr="00990FC7">
        <w:rPr>
          <w:rFonts w:ascii="Arial" w:eastAsia="Times New Roman" w:hAnsi="Arial" w:cs="Arial"/>
          <w:bCs/>
          <w:lang w:eastAsia="es-CO"/>
        </w:rPr>
        <w:tab/>
      </w:r>
      <w:r w:rsidRPr="003E638E">
        <w:rPr>
          <w:rFonts w:ascii="Verdana" w:eastAsia="Times New Roman" w:hAnsi="Verdana" w:cs="Arial"/>
          <w:bCs/>
          <w:lang w:eastAsia="es-CO"/>
        </w:rPr>
        <w:t>De</w:t>
      </w:r>
      <w:r w:rsidRPr="003E638E">
        <w:rPr>
          <w:rFonts w:ascii="Verdana" w:eastAsia="Arial" w:hAnsi="Verdana" w:cs="Arial"/>
          <w:lang w:val="es-ES" w:eastAsia="es-ES" w:bidi="es-ES"/>
        </w:rPr>
        <w:t xml:space="preserve"> conformidad con lo anterior, </w:t>
      </w:r>
      <w:bookmarkStart w:id="11" w:name="_Hlk77236098"/>
      <w:r w:rsidRPr="003E638E">
        <w:rPr>
          <w:rFonts w:ascii="Verdana" w:eastAsia="Arial" w:hAnsi="Verdana"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1"/>
    </w:p>
    <w:p w14:paraId="6A06D149" w14:textId="77777777" w:rsidR="00CF5D12" w:rsidRPr="003E638E" w:rsidRDefault="00CF5D12" w:rsidP="00CF5D12">
      <w:pPr>
        <w:spacing w:after="120"/>
        <w:ind w:firstLine="708"/>
        <w:jc w:val="both"/>
        <w:rPr>
          <w:rFonts w:ascii="Verdana" w:eastAsia="Calibri" w:hAnsi="Verdana" w:cs="Arial"/>
        </w:rPr>
      </w:pPr>
      <w:r w:rsidRPr="003E638E">
        <w:rPr>
          <w:rFonts w:ascii="Verdana" w:eastAsia="Calibri" w:hAnsi="Verdana" w:cs="Arial"/>
        </w:rPr>
        <w:t xml:space="preserve">Por un lado, el artículo 33 de la Ley 996 de 2005 prohíbe </w:t>
      </w:r>
      <w:r>
        <w:rPr>
          <w:rFonts w:ascii="Verdana" w:eastAsia="Calibri" w:hAnsi="Verdana" w:cs="Arial"/>
          <w:bCs/>
        </w:rPr>
        <w:t>“(…)</w:t>
      </w:r>
      <w:r w:rsidRPr="003E638E">
        <w:rPr>
          <w:rFonts w:ascii="Verdana" w:eastAsia="Calibri" w:hAnsi="Verdana" w:cs="Arial"/>
          <w:bCs/>
        </w:rPr>
        <w:t xml:space="preserve"> </w:t>
      </w:r>
      <w:r w:rsidRPr="003E638E">
        <w:rPr>
          <w:rFonts w:ascii="Verdana" w:eastAsia="Calibri" w:hAnsi="Verdana" w:cs="Arial"/>
        </w:rPr>
        <w:t>la contratación directa por parte de todos los entes del Estado</w:t>
      </w:r>
      <w:r>
        <w:rPr>
          <w:rFonts w:ascii="Verdana" w:eastAsia="Calibri" w:hAnsi="Verdana" w:cs="Arial"/>
        </w:rPr>
        <w:t>”</w:t>
      </w:r>
      <w:r w:rsidRPr="003E638E">
        <w:rPr>
          <w:rFonts w:ascii="Verdana" w:eastAsia="Calibri" w:hAnsi="Verdana" w:cs="Arial"/>
        </w:rPr>
        <w:t xml:space="preserve"> durante los cuatro (4) meses anteriores a las elecciones presidenciales, salvo </w:t>
      </w:r>
      <w:r>
        <w:rPr>
          <w:rFonts w:ascii="Verdana" w:eastAsia="Calibri" w:hAnsi="Verdana" w:cs="Arial"/>
          <w:bCs/>
        </w:rPr>
        <w:t>“(…) l</w:t>
      </w:r>
      <w:r w:rsidRPr="003E638E">
        <w:rPr>
          <w:rFonts w:ascii="Verdana" w:eastAsia="Calibri" w:hAnsi="Verdana" w:cs="Arial"/>
        </w:rPr>
        <w:t xml:space="preserve">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sidRPr="003E638E">
        <w:rPr>
          <w:rFonts w:ascii="Verdana" w:eastAsia="Calibri" w:hAnsi="Verdana" w:cs="Arial"/>
        </w:rPr>
        <w:lastRenderedPageBreak/>
        <w:t>acciones terroristas, desastres naturales o casos de fuerza mayor, y los que deban realizar las entidades sanitarias y hospitalarias</w:t>
      </w:r>
      <w:r>
        <w:rPr>
          <w:rFonts w:ascii="Verdana" w:eastAsia="Calibri" w:hAnsi="Verdana" w:cs="Arial"/>
        </w:rPr>
        <w:t>”</w:t>
      </w:r>
      <w:r w:rsidRPr="003E638E">
        <w:rPr>
          <w:rFonts w:ascii="Verdana" w:eastAsia="Calibri" w:hAnsi="Verdana" w:cs="Arial"/>
          <w:bCs/>
          <w:vertAlign w:val="superscript"/>
        </w:rPr>
        <w:footnoteReference w:id="7"/>
      </w:r>
      <w:r w:rsidRPr="003E638E">
        <w:rPr>
          <w:rFonts w:ascii="Verdana" w:eastAsia="Calibri" w:hAnsi="Verdana" w:cs="Arial"/>
        </w:rPr>
        <w:t>.</w:t>
      </w:r>
    </w:p>
    <w:p w14:paraId="2297C78C" w14:textId="77777777" w:rsidR="00CF5D12" w:rsidRPr="005B5A3D" w:rsidRDefault="00CF5D12" w:rsidP="00CF5D12">
      <w:pPr>
        <w:widowControl w:val="0"/>
        <w:autoSpaceDE w:val="0"/>
        <w:autoSpaceDN w:val="0"/>
        <w:spacing w:after="0"/>
        <w:ind w:right="113" w:firstLine="708"/>
        <w:jc w:val="both"/>
        <w:rPr>
          <w:rFonts w:ascii="Verdana" w:eastAsia="Arial" w:hAnsi="Verdana" w:cs="Arial"/>
          <w:lang w:val="es-ES" w:eastAsia="es-ES" w:bidi="es-ES"/>
        </w:rPr>
      </w:pPr>
      <w:r w:rsidRPr="003E638E">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bCs/>
        </w:rPr>
        <w:t xml:space="preserve">“(…) </w:t>
      </w:r>
      <w:r w:rsidRPr="003E638E">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rPr>
        <w:t>”</w:t>
      </w:r>
      <w:r w:rsidRPr="003E638E">
        <w:rPr>
          <w:rFonts w:ascii="Verdana" w:eastAsia="Calibri" w:hAnsi="Verdana" w:cs="Arial"/>
          <w:bCs/>
          <w:vertAlign w:val="superscript"/>
        </w:rPr>
        <w:footnoteReference w:id="8"/>
      </w:r>
      <w:r w:rsidRPr="003E638E">
        <w:rPr>
          <w:rFonts w:ascii="Verdana" w:eastAsia="Calibri" w:hAnsi="Verdana" w:cs="Arial"/>
        </w:rPr>
        <w:t>.</w:t>
      </w:r>
      <w:r w:rsidRPr="003E638E">
        <w:rPr>
          <w:rFonts w:ascii="Verdana" w:eastAsia="Arial" w:hAnsi="Verdana" w:cs="Arial"/>
          <w:lang w:val="es-ES" w:eastAsia="es-ES" w:bidi="es-ES"/>
        </w:rPr>
        <w:t xml:space="preserve"> La Sala de Consulta y Servicio Civil del Consejo de Estado ha aclarado la distinción en la aplicación de las prohibiciones de la Ley 996 de 2005, dependiendo del tipo de elección </w:t>
      </w:r>
      <w:r>
        <w:rPr>
          <w:rFonts w:ascii="Verdana" w:eastAsia="Arial" w:hAnsi="Verdana" w:cs="Arial"/>
          <w:lang w:val="es-ES" w:eastAsia="es-ES" w:bidi="es-ES"/>
        </w:rPr>
        <w:t xml:space="preserve">de </w:t>
      </w:r>
      <w:r w:rsidRPr="003E638E">
        <w:rPr>
          <w:rFonts w:ascii="Verdana" w:eastAsia="Arial" w:hAnsi="Verdana" w:cs="Arial"/>
          <w:lang w:val="es-ES" w:eastAsia="es-ES" w:bidi="es-ES"/>
        </w:rPr>
        <w:t>que se trate. Al respecto, considera que:</w:t>
      </w:r>
    </w:p>
    <w:p w14:paraId="33CEFA29" w14:textId="77777777" w:rsidR="00CF5D12" w:rsidRPr="003E638E" w:rsidRDefault="00CF5D12" w:rsidP="00CF5D1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3E638E">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4" w:name="_Hlk76109421"/>
      <w:r w:rsidRPr="003E638E">
        <w:rPr>
          <w:rFonts w:ascii="Verdana" w:eastAsia="Arial" w:hAnsi="Verdana" w:cs="Arial"/>
          <w:sz w:val="20"/>
          <w:szCs w:val="20"/>
          <w:lang w:val="es-ES" w:eastAsia="es-ES" w:bidi="es-ES"/>
        </w:rPr>
        <w:t>se integran parcialmente</w:t>
      </w:r>
      <w:bookmarkEnd w:id="14"/>
      <w:r w:rsidRPr="003E638E">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3E638E">
        <w:rPr>
          <w:rFonts w:ascii="Verdana" w:eastAsia="Arial" w:hAnsi="Verdana" w:cs="Arial"/>
          <w:bCs/>
          <w:sz w:val="20"/>
          <w:szCs w:val="20"/>
          <w:lang w:val="es-ES" w:eastAsia="es-ES" w:bidi="es-ES"/>
        </w:rPr>
        <w:t xml:space="preserve">En cambio, para elecciones en general, excluyendo las correspondientes a </w:t>
      </w:r>
      <w:proofErr w:type="gramStart"/>
      <w:r w:rsidRPr="003E638E">
        <w:rPr>
          <w:rFonts w:ascii="Verdana" w:eastAsia="Arial" w:hAnsi="Verdana" w:cs="Arial"/>
          <w:bCs/>
          <w:sz w:val="20"/>
          <w:szCs w:val="20"/>
          <w:lang w:val="es-ES" w:eastAsia="es-ES" w:bidi="es-ES"/>
        </w:rPr>
        <w:t>Presidente</w:t>
      </w:r>
      <w:proofErr w:type="gramEnd"/>
      <w:r w:rsidRPr="003E638E">
        <w:rPr>
          <w:rFonts w:ascii="Verdana" w:eastAsia="Arial" w:hAnsi="Verdana" w:cs="Arial"/>
          <w:bCs/>
          <w:sz w:val="20"/>
          <w:szCs w:val="20"/>
          <w:lang w:val="es-ES" w:eastAsia="es-ES" w:bidi="es-ES"/>
        </w:rPr>
        <w:t xml:space="preserve"> de la República, a las autoridades territoriales allí mencionadas sólo se aplican las restricciones </w:t>
      </w:r>
      <w:r w:rsidRPr="003E638E">
        <w:rPr>
          <w:rFonts w:ascii="Verdana" w:eastAsia="Arial" w:hAnsi="Verdana" w:cs="Arial"/>
          <w:bCs/>
          <w:sz w:val="20"/>
          <w:szCs w:val="20"/>
          <w:lang w:val="es-ES" w:eastAsia="es-ES" w:bidi="es-ES"/>
        </w:rPr>
        <w:lastRenderedPageBreak/>
        <w:t>contenidas en el parágrafo del artículo 38</w:t>
      </w:r>
      <w:r w:rsidRPr="003E638E">
        <w:rPr>
          <w:rFonts w:ascii="Verdana" w:eastAsia="Arial" w:hAnsi="Verdana" w:cs="Arial"/>
          <w:sz w:val="20"/>
          <w:szCs w:val="20"/>
          <w:lang w:val="es-ES" w:eastAsia="es-ES" w:bidi="es-ES"/>
        </w:rPr>
        <w:t>.</w:t>
      </w:r>
      <w:r w:rsidRPr="003E638E">
        <w:rPr>
          <w:rFonts w:ascii="Verdana" w:eastAsia="Arial" w:hAnsi="Verdana" w:cs="Arial"/>
          <w:sz w:val="20"/>
          <w:szCs w:val="20"/>
          <w:vertAlign w:val="superscript"/>
          <w:lang w:val="es-ES" w:eastAsia="es-ES" w:bidi="es-ES"/>
        </w:rPr>
        <w:footnoteReference w:id="9"/>
      </w:r>
    </w:p>
    <w:p w14:paraId="265FC87E" w14:textId="77777777" w:rsidR="00CF5D12" w:rsidRPr="003E638E" w:rsidRDefault="00CF5D12" w:rsidP="00CF5D12">
      <w:pPr>
        <w:widowControl w:val="0"/>
        <w:autoSpaceDE w:val="0"/>
        <w:autoSpaceDN w:val="0"/>
        <w:spacing w:before="8" w:after="0"/>
        <w:jc w:val="both"/>
        <w:rPr>
          <w:rFonts w:ascii="Verdana" w:eastAsia="Arial" w:hAnsi="Verdana" w:cs="Arial"/>
          <w:sz w:val="20"/>
          <w:szCs w:val="20"/>
          <w:lang w:val="es-ES" w:eastAsia="es-ES" w:bidi="es-ES"/>
        </w:rPr>
      </w:pPr>
    </w:p>
    <w:p w14:paraId="439B5C32" w14:textId="77777777" w:rsidR="00CF5D12" w:rsidRDefault="00CF5D12" w:rsidP="00CF5D12">
      <w:pPr>
        <w:spacing w:after="120"/>
        <w:ind w:firstLine="709"/>
        <w:jc w:val="both"/>
        <w:rPr>
          <w:rFonts w:ascii="Verdana" w:eastAsia="Arial" w:hAnsi="Verdana" w:cs="Arial"/>
          <w:lang w:val="es-ES" w:eastAsia="es-ES" w:bidi="es-ES"/>
        </w:rPr>
      </w:pPr>
      <w:r w:rsidRPr="003E638E">
        <w:rPr>
          <w:rFonts w:ascii="Verdana" w:eastAsia="Arial" w:hAnsi="Verdana" w:cs="Arial"/>
          <w:lang w:val="es-ES" w:eastAsia="es-ES" w:bidi="es-ES"/>
        </w:rPr>
        <w:t xml:space="preserve">De conformidad con lo anterior, </w:t>
      </w:r>
      <w:bookmarkStart w:id="15" w:name="_Hlk77236420"/>
      <w:bookmarkStart w:id="16" w:name="_Hlk78818435"/>
      <w:bookmarkStart w:id="17" w:name="_Hlk75780333"/>
      <w:r w:rsidRPr="003E638E">
        <w:rPr>
          <w:rFonts w:ascii="Verdana" w:eastAsia="Arial" w:hAnsi="Verdana" w:cs="Arial"/>
          <w:lang w:val="es-ES" w:eastAsia="es-ES" w:bidi="es-ES"/>
        </w:rPr>
        <w:t xml:space="preserve">la Ley 996 de 2005 establece dos (2) tipos de restricciones en materia de contratación, las cuales coinciden parcialmente. </w:t>
      </w:r>
      <w:r w:rsidRPr="003E638E">
        <w:rPr>
          <w:rFonts w:ascii="Verdana" w:eastAsia="Arial" w:hAnsi="Verdana" w:cs="Arial"/>
          <w:i/>
          <w:iCs/>
          <w:lang w:val="es-ES" w:eastAsia="es-ES" w:bidi="es-ES"/>
        </w:rPr>
        <w:t>En primer lugar</w:t>
      </w:r>
      <w:r w:rsidRPr="003E638E">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3A2CBC83" w14:textId="77777777" w:rsidR="00CF5D12" w:rsidRPr="003E638E" w:rsidRDefault="00CF5D12" w:rsidP="00CF5D12">
      <w:pPr>
        <w:spacing w:after="120"/>
        <w:ind w:firstLine="709"/>
        <w:jc w:val="both"/>
        <w:rPr>
          <w:rFonts w:ascii="Verdana" w:eastAsia="Arial" w:hAnsi="Verdana" w:cs="Arial"/>
          <w:lang w:val="es-ES" w:eastAsia="es-ES" w:bidi="es-ES"/>
        </w:rPr>
      </w:pPr>
      <w:r w:rsidRPr="003E638E">
        <w:rPr>
          <w:rFonts w:ascii="Verdana" w:eastAsia="Arial" w:hAnsi="Verdana" w:cs="Arial"/>
          <w:i/>
          <w:iCs/>
          <w:lang w:val="es-ES" w:eastAsia="es-ES" w:bidi="es-ES"/>
        </w:rPr>
        <w:t>En segundo lugar</w:t>
      </w:r>
      <w:r w:rsidRPr="003E638E">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5"/>
    </w:p>
    <w:bookmarkEnd w:id="16"/>
    <w:p w14:paraId="6148B8F7" w14:textId="77777777" w:rsidR="00CF5D12" w:rsidRPr="003E638E" w:rsidRDefault="00CF5D12" w:rsidP="00CF5D12">
      <w:pPr>
        <w:spacing w:after="120"/>
        <w:ind w:firstLine="709"/>
        <w:jc w:val="both"/>
        <w:rPr>
          <w:rFonts w:ascii="Verdana" w:eastAsia="Arial" w:hAnsi="Verdana" w:cs="Arial"/>
          <w:lang w:val="es-ES" w:eastAsia="es-ES" w:bidi="es-ES"/>
        </w:rPr>
      </w:pPr>
      <w:r w:rsidRPr="003E638E">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3E638E">
        <w:rPr>
          <w:rFonts w:ascii="Verdana" w:eastAsia="Arial" w:hAnsi="Verdana" w:cs="Arial"/>
          <w:lang w:val="es-ES" w:eastAsia="es-ES" w:bidi="es-ES"/>
        </w:rPr>
        <w:t>Presidente</w:t>
      </w:r>
      <w:proofErr w:type="gramEnd"/>
      <w:r w:rsidRPr="003E638E">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3E638E">
        <w:rPr>
          <w:rFonts w:ascii="Verdana" w:eastAsia="Arial" w:hAnsi="Verdana" w:cs="Arial"/>
          <w:lang w:val="es-ES" w:eastAsia="es-ES" w:bidi="es-ES"/>
        </w:rPr>
        <w:t>Presidente</w:t>
      </w:r>
      <w:proofErr w:type="gramEnd"/>
      <w:r w:rsidRPr="003E638E">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3DECD198" w14:textId="77777777" w:rsidR="00CF5D12" w:rsidRPr="003776B6" w:rsidRDefault="00CF5D12" w:rsidP="00CF5D12">
      <w:pPr>
        <w:tabs>
          <w:tab w:val="left" w:pos="426"/>
        </w:tabs>
        <w:spacing w:after="120"/>
        <w:ind w:firstLine="425"/>
        <w:jc w:val="both"/>
        <w:rPr>
          <w:rFonts w:ascii="Verdana" w:eastAsia="Times New Roman" w:hAnsi="Verdana" w:cs="Arial"/>
          <w:bCs/>
          <w:iCs/>
          <w:lang w:eastAsia="x-none"/>
        </w:rPr>
      </w:pPr>
      <w:bookmarkStart w:id="18" w:name="_Hlk88210558"/>
      <w:bookmarkStart w:id="19" w:name="_Hlk75784645"/>
      <w:bookmarkEnd w:id="17"/>
      <w:r>
        <w:rPr>
          <w:rFonts w:ascii="Verdana" w:eastAsia="Calibri" w:hAnsi="Verdana" w:cs="Arial"/>
          <w:bCs/>
          <w:lang w:val="es-ES_tradnl"/>
        </w:rPr>
        <w:t xml:space="preserve">   Para dar respuesta al primer problema jurídico, </w:t>
      </w:r>
      <w:r w:rsidRPr="003776B6">
        <w:rPr>
          <w:rFonts w:ascii="Verdana" w:eastAsia="Calibri" w:hAnsi="Verdana" w:cs="Arial"/>
          <w:bCs/>
          <w:lang w:val="es-ES_tradnl"/>
        </w:rPr>
        <w:t xml:space="preserve">es preciso indicar que el parágrafo del artículo 38 de la Ley 996 de 2005 dispone que </w:t>
      </w:r>
      <w:r w:rsidRPr="00F62FE0">
        <w:rPr>
          <w:rFonts w:ascii="Verdana" w:eastAsia="Calibri" w:hAnsi="Verdana" w:cs="Arial"/>
          <w:bCs/>
          <w:u w:val="single"/>
          <w:lang w:val="es-ES_tradnl"/>
        </w:rPr>
        <w:t xml:space="preserve">“[l]os Gobernadores, </w:t>
      </w:r>
      <w:proofErr w:type="gramStart"/>
      <w:r w:rsidRPr="00F62FE0">
        <w:rPr>
          <w:rFonts w:ascii="Verdana" w:eastAsia="Calibri" w:hAnsi="Verdana" w:cs="Arial"/>
          <w:bCs/>
          <w:u w:val="single"/>
          <w:lang w:val="es-ES_tradnl"/>
        </w:rPr>
        <w:t>Alcaldes</w:t>
      </w:r>
      <w:proofErr w:type="gramEnd"/>
      <w:r w:rsidRPr="00F62FE0">
        <w:rPr>
          <w:rFonts w:ascii="Verdana" w:eastAsia="Calibri" w:hAnsi="Verdana" w:cs="Arial"/>
          <w:bCs/>
          <w:u w:val="single"/>
          <w:lang w:val="es-ES_tradnl"/>
        </w:rPr>
        <w:t xml:space="preserve"> Municipales y/o Distritales, </w:t>
      </w:r>
      <w:proofErr w:type="gramStart"/>
      <w:r w:rsidRPr="00F62FE0">
        <w:rPr>
          <w:rFonts w:ascii="Verdana" w:eastAsia="Calibri" w:hAnsi="Verdana" w:cs="Arial"/>
          <w:bCs/>
          <w:u w:val="single"/>
          <w:lang w:val="es-ES_tradnl"/>
        </w:rPr>
        <w:t>Secretarios</w:t>
      </w:r>
      <w:proofErr w:type="gramEnd"/>
      <w:r w:rsidRPr="00F62FE0">
        <w:rPr>
          <w:rFonts w:ascii="Verdana" w:eastAsia="Calibri" w:hAnsi="Verdana" w:cs="Arial"/>
          <w:bCs/>
          <w:u w:val="single"/>
          <w:lang w:val="es-ES_tradnl"/>
        </w:rPr>
        <w:t>, Gerentes y directores de Entidades Descentralizadas del orden Municipal, Departamental o Distrital, dentro de los cuatro (4) meses anteriores a las elecciones, no podrán celebrar convenios interadministrativos para la ejecución de recursos públicos”</w:t>
      </w:r>
      <w:r w:rsidRPr="00F62FE0">
        <w:rPr>
          <w:rFonts w:ascii="Verdana" w:eastAsia="Calibri" w:hAnsi="Verdana" w:cs="Arial"/>
          <w:bCs/>
          <w:lang w:val="es-ES_tradnl"/>
        </w:rPr>
        <w:t xml:space="preserve"> (Énfasis resaltado)</w:t>
      </w:r>
      <w:r>
        <w:rPr>
          <w:rFonts w:ascii="Verdana" w:eastAsia="Calibri" w:hAnsi="Verdana" w:cs="Arial"/>
          <w:bCs/>
          <w:lang w:val="es-ES_tradnl"/>
        </w:rPr>
        <w:t>.</w:t>
      </w:r>
      <w:r w:rsidRPr="003776B6">
        <w:rPr>
          <w:rFonts w:ascii="Verdana" w:eastAsia="Calibri" w:hAnsi="Verdana" w:cs="Arial"/>
          <w:bCs/>
          <w:lang w:val="es-ES_tradnl"/>
        </w:rPr>
        <w:t xml:space="preserve"> </w:t>
      </w:r>
      <w:bookmarkEnd w:id="18"/>
      <w:r w:rsidRPr="003776B6">
        <w:rPr>
          <w:rFonts w:ascii="Verdana" w:eastAsia="Calibri" w:hAnsi="Verdana" w:cs="Arial"/>
          <w:bCs/>
          <w:lang w:val="es-ES_tradnl"/>
        </w:rPr>
        <w:t>Los convenios o contratos</w:t>
      </w:r>
      <w:r w:rsidRPr="003776B6">
        <w:rPr>
          <w:rFonts w:ascii="Verdana" w:eastAsia="Times New Roman" w:hAnsi="Verdana" w:cs="Arial"/>
          <w:bCs/>
          <w:iCs/>
          <w:lang w:eastAsia="x-none"/>
        </w:rPr>
        <w:t xml:space="preserve"> interadministrativos que se restringen en el parágrafo del artículo 38 de la Ley</w:t>
      </w:r>
      <w:r w:rsidRPr="00990FC7">
        <w:rPr>
          <w:rFonts w:ascii="Arial" w:eastAsia="Times New Roman" w:hAnsi="Arial" w:cs="Arial"/>
          <w:bCs/>
          <w:iCs/>
          <w:lang w:eastAsia="x-none"/>
        </w:rPr>
        <w:t xml:space="preserve"> </w:t>
      </w:r>
      <w:r w:rsidRPr="003776B6">
        <w:rPr>
          <w:rFonts w:ascii="Verdana" w:eastAsia="Times New Roman" w:hAnsi="Verdana" w:cs="Arial"/>
          <w:bCs/>
          <w:iCs/>
          <w:lang w:eastAsia="x-none"/>
        </w:rPr>
        <w:t xml:space="preserve">996 de 2005, son únicamente aquellos en que se dispone la ejecución de recursos públicos, para evitar que </w:t>
      </w:r>
      <w:r w:rsidRPr="003776B6">
        <w:rPr>
          <w:rFonts w:ascii="Verdana" w:eastAsia="Times New Roman" w:hAnsi="Verdana" w:cs="Arial"/>
          <w:bCs/>
          <w:iCs/>
          <w:lang w:eastAsia="x-none"/>
        </w:rPr>
        <w:lastRenderedPageBreak/>
        <w:t>mediante la suscripción de estos se comprometa el erario con fines políticos o partidistas</w:t>
      </w:r>
      <w:r w:rsidRPr="003776B6">
        <w:rPr>
          <w:rStyle w:val="Refdenotaalpie"/>
          <w:rFonts w:ascii="Verdana" w:eastAsia="Times New Roman" w:hAnsi="Verdana" w:cs="Arial"/>
          <w:bCs/>
          <w:iCs/>
          <w:lang w:eastAsia="x-none"/>
        </w:rPr>
        <w:footnoteReference w:id="10"/>
      </w:r>
      <w:r w:rsidRPr="003776B6">
        <w:rPr>
          <w:rFonts w:ascii="Verdana" w:eastAsia="Times New Roman" w:hAnsi="Verdana" w:cs="Arial"/>
          <w:bCs/>
          <w:iCs/>
          <w:lang w:eastAsia="x-none"/>
        </w:rPr>
        <w:t>.</w:t>
      </w:r>
      <w:r w:rsidRPr="003776B6">
        <w:rPr>
          <w:rFonts w:ascii="Verdana" w:hAnsi="Verdana" w:cs="Arial"/>
        </w:rPr>
        <w:t xml:space="preserve"> </w:t>
      </w:r>
    </w:p>
    <w:p w14:paraId="41318358" w14:textId="77777777" w:rsidR="00CF5D12" w:rsidRPr="003E638E" w:rsidRDefault="00CF5D12" w:rsidP="00CF5D12">
      <w:pPr>
        <w:spacing w:after="120"/>
        <w:ind w:firstLine="709"/>
        <w:jc w:val="both"/>
        <w:rPr>
          <w:rFonts w:ascii="Verdana" w:eastAsia="Arial" w:hAnsi="Verdana" w:cs="Arial"/>
          <w:lang w:val="es-ES" w:eastAsia="es-ES" w:bidi="es-ES"/>
        </w:rPr>
      </w:pPr>
      <w:r>
        <w:rPr>
          <w:rFonts w:ascii="Verdana" w:eastAsia="Calibri" w:hAnsi="Verdana"/>
          <w:bCs/>
          <w:lang w:val="es-ES_tradnl"/>
        </w:rPr>
        <w:t xml:space="preserve">En ese sentido las entidades indicadas en el parágrafo del artículo 38 de la ley 996 de 2005 tienen prohibido celebrar convenios y contratos interadministrativos en cualquier </w:t>
      </w:r>
      <w:r w:rsidRPr="003E638E">
        <w:rPr>
          <w:rFonts w:ascii="Verdana" w:eastAsia="Arial" w:hAnsi="Verdana" w:cs="Arial"/>
          <w:lang w:val="es-ES" w:eastAsia="es-ES" w:bidi="es-ES"/>
        </w:rPr>
        <w:t>tipo de contienda electoral, dentro de los cuatro (4) meses anteriores a la respectiva jornada de votaciones.</w:t>
      </w:r>
    </w:p>
    <w:p w14:paraId="2388999E" w14:textId="77777777" w:rsidR="00CF5D12" w:rsidRDefault="00CF5D12" w:rsidP="00CF5D12">
      <w:pPr>
        <w:pStyle w:val="Textoindependiente"/>
        <w:spacing w:after="120" w:line="259" w:lineRule="auto"/>
        <w:ind w:firstLine="709"/>
        <w:jc w:val="both"/>
        <w:rPr>
          <w:rFonts w:ascii="Verdana" w:eastAsia="Calibri" w:hAnsi="Verdana"/>
        </w:rPr>
      </w:pPr>
      <w:bookmarkStart w:id="20" w:name="_Hlk78820161"/>
      <w:proofErr w:type="spellStart"/>
      <w:r w:rsidRPr="4BBFEA33">
        <w:rPr>
          <w:rFonts w:ascii="Verdana" w:eastAsia="Calibri" w:hAnsi="Verdana"/>
        </w:rPr>
        <w:t>ii</w:t>
      </w:r>
      <w:proofErr w:type="spellEnd"/>
      <w:r w:rsidRPr="4BBFEA33">
        <w:rPr>
          <w:rFonts w:ascii="Verdana" w:eastAsia="Calibri" w:hAnsi="Verdana"/>
        </w:rPr>
        <w:t xml:space="preserve">) Ahora bien, respecto del segundo problema jurídico resulta necesario conocer el alcance de la prohibición consagrada en el parágrafo del artículo 38 de la Ley de Garantías Electorales, por lo que es conviene precisar la tipología de convenios o contratos interadministrativos. </w:t>
      </w:r>
    </w:p>
    <w:p w14:paraId="4A7A0349" w14:textId="77777777" w:rsidR="00CF5D12" w:rsidRPr="000F0F39" w:rsidRDefault="00CF5D12" w:rsidP="00CF5D12">
      <w:pPr>
        <w:pStyle w:val="Textoindependiente"/>
        <w:spacing w:after="120" w:line="259" w:lineRule="auto"/>
        <w:ind w:firstLine="709"/>
        <w:jc w:val="both"/>
        <w:rPr>
          <w:rFonts w:ascii="Verdana" w:eastAsia="Calibri" w:hAnsi="Verdana"/>
        </w:rPr>
      </w:pPr>
      <w:r w:rsidRPr="4BBFEA33">
        <w:rPr>
          <w:rFonts w:ascii="Verdana" w:eastAsia="Calibri" w:hAnsi="Verdana"/>
        </w:rPr>
        <w:t>El Decreto 1082 de 2015 califica a los convenios o contratos interadministrativos como aquella contratación entre entidades estatales</w:t>
      </w:r>
      <w:r w:rsidRPr="4BBFEA33">
        <w:rPr>
          <w:rFonts w:eastAsia="Calibri"/>
          <w:vertAlign w:val="superscript"/>
        </w:rPr>
        <w:footnoteReference w:id="11"/>
      </w:r>
      <w:r w:rsidRPr="4BBFEA33">
        <w:rPr>
          <w:rFonts w:ascii="Verdana" w:eastAsia="Calibri" w:hAnsi="Verdana"/>
          <w:vertAlign w:val="superscript"/>
        </w:rPr>
        <w:t>.</w:t>
      </w:r>
      <w:r w:rsidRPr="4BBFEA33">
        <w:rPr>
          <w:rFonts w:ascii="Verdana" w:eastAsia="Calibri" w:hAnsi="Verdana"/>
        </w:rPr>
        <w:t xml:space="preserve">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45DCECE6" w14:textId="77777777" w:rsidR="00CF5D12" w:rsidRPr="000F0F39" w:rsidRDefault="00CF5D12" w:rsidP="00CF5D12">
      <w:pPr>
        <w:pStyle w:val="Textoindependiente"/>
        <w:spacing w:after="120" w:line="259" w:lineRule="auto"/>
        <w:ind w:firstLine="709"/>
        <w:jc w:val="both"/>
        <w:rPr>
          <w:rFonts w:ascii="Verdana" w:eastAsia="Calibri" w:hAnsi="Verdana"/>
        </w:rPr>
      </w:pPr>
      <w:bookmarkStart w:id="21" w:name="_Hlk78820654"/>
      <w:bookmarkEnd w:id="20"/>
      <w:r w:rsidRPr="4BBFEA33">
        <w:rPr>
          <w:rFonts w:ascii="Verdana" w:eastAsia="Calibri" w:hAnsi="Verdana"/>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21"/>
    <w:p w14:paraId="4779042D" w14:textId="77777777" w:rsidR="00CF5D12" w:rsidRPr="000F0F39" w:rsidRDefault="00CF5D12" w:rsidP="00CF5D12">
      <w:pPr>
        <w:pStyle w:val="Textoindependiente"/>
        <w:spacing w:after="120" w:line="259" w:lineRule="auto"/>
        <w:ind w:firstLine="709"/>
        <w:jc w:val="both"/>
        <w:rPr>
          <w:rFonts w:ascii="Verdana" w:eastAsia="Calibri" w:hAnsi="Verdana"/>
        </w:rPr>
      </w:pPr>
      <w:r w:rsidRPr="4BBFEA33">
        <w:rPr>
          <w:rFonts w:ascii="Verdana" w:eastAsia="Calibri" w:hAnsi="Verdana"/>
        </w:rPr>
        <w:t xml:space="preserve">Así mismo, los contratos o convenios interadministrativos no están determinados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w:t>
      </w:r>
      <w:r w:rsidRPr="4BBFEA33">
        <w:rPr>
          <w:rFonts w:ascii="Verdana" w:eastAsia="Calibri" w:hAnsi="Verdana"/>
        </w:rPr>
        <w:lastRenderedPageBreak/>
        <w:t>las excepciones previstas en dicha ley, deba adelantarse un procedimiento con pluralidad de oferentes</w:t>
      </w:r>
      <w:r w:rsidRPr="4BBFEA33">
        <w:rPr>
          <w:rFonts w:ascii="Verdana" w:eastAsia="Calibri" w:hAnsi="Verdana"/>
          <w:vertAlign w:val="superscript"/>
        </w:rPr>
        <w:footnoteReference w:id="12"/>
      </w:r>
      <w:r w:rsidRPr="4BBFEA33">
        <w:rPr>
          <w:rFonts w:ascii="Verdana" w:eastAsia="Calibri" w:hAnsi="Verdana"/>
        </w:rPr>
        <w:t>. Nótese que, en este caso, lo que cambia es la modalidad de selección y no la naturaleza de contrato interadministrativo.</w:t>
      </w:r>
    </w:p>
    <w:p w14:paraId="08A21D46" w14:textId="77777777" w:rsidR="00CF5D12" w:rsidRPr="001A2C68" w:rsidRDefault="00CF5D12" w:rsidP="00CF5D12">
      <w:pPr>
        <w:pStyle w:val="Textoindependiente"/>
        <w:spacing w:after="120" w:line="259" w:lineRule="auto"/>
        <w:ind w:firstLine="709"/>
        <w:jc w:val="both"/>
        <w:rPr>
          <w:rFonts w:ascii="Verdana" w:hAnsi="Verdana"/>
        </w:rPr>
      </w:pPr>
      <w:r w:rsidRPr="000F0F39">
        <w:rPr>
          <w:rFonts w:ascii="Verdana" w:hAnsi="Verdana"/>
        </w:rPr>
        <w:t>La Corte Constitucional expresó en la Sentencia C–671 de 2015</w:t>
      </w:r>
      <w:r>
        <w:rPr>
          <w:rStyle w:val="Refdenotaalpie"/>
          <w:rFonts w:ascii="Verdana" w:hAnsi="Verdana"/>
        </w:rPr>
        <w:footnoteReference w:id="13"/>
      </w:r>
      <w:r w:rsidRPr="000F0F39">
        <w:rPr>
          <w:rFonts w:ascii="Verdana" w:hAnsi="Verdana"/>
        </w:rPr>
        <w:t xml:space="preserve">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0F0F39">
        <w:rPr>
          <w:rFonts w:ascii="Verdana" w:hAnsi="Verdana"/>
          <w:spacing w:val="-13"/>
        </w:rPr>
        <w:t xml:space="preserve"> </w:t>
      </w:r>
      <w:r w:rsidRPr="000F0F39">
        <w:rPr>
          <w:rFonts w:ascii="Verdana" w:hAnsi="Verdana"/>
        </w:rPr>
        <w:t>que:</w:t>
      </w:r>
    </w:p>
    <w:p w14:paraId="4E49C19F" w14:textId="77777777" w:rsidR="00CF5D12" w:rsidRPr="000F0F39" w:rsidRDefault="00CF5D12" w:rsidP="00CF5D12">
      <w:pPr>
        <w:spacing w:after="0" w:line="240" w:lineRule="auto"/>
        <w:ind w:left="709" w:right="709"/>
        <w:jc w:val="both"/>
        <w:rPr>
          <w:rFonts w:ascii="Verdana" w:hAnsi="Verdana" w:cs="Arial"/>
          <w:sz w:val="20"/>
          <w:szCs w:val="20"/>
        </w:rPr>
      </w:pPr>
      <w:r>
        <w:rPr>
          <w:rFonts w:ascii="Verdana" w:hAnsi="Verdana" w:cs="Arial"/>
          <w:sz w:val="20"/>
          <w:szCs w:val="20"/>
        </w:rPr>
        <w:t xml:space="preserve">“(…) </w:t>
      </w:r>
      <w:r w:rsidRPr="000F0F39">
        <w:rPr>
          <w:rFonts w:ascii="Verdana" w:hAnsi="Verdana" w:cs="Arial"/>
          <w:sz w:val="20"/>
          <w:szCs w:val="20"/>
        </w:rPr>
        <w:t>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0F0F39">
        <w:rPr>
          <w:rFonts w:ascii="Verdana" w:hAnsi="Verdana" w:cs="Arial"/>
          <w:sz w:val="20"/>
          <w:szCs w:val="20"/>
        </w:rPr>
        <w:t>ii</w:t>
      </w:r>
      <w:proofErr w:type="spellEnd"/>
      <w:r w:rsidRPr="000F0F39">
        <w:rPr>
          <w:rFonts w:ascii="Verdana" w:hAnsi="Verdana" w:cs="Arial"/>
          <w:sz w:val="20"/>
          <w:szCs w:val="20"/>
        </w:rPr>
        <w:t>) tienen como fuente la autonomía contractual; (</w:t>
      </w:r>
      <w:proofErr w:type="spellStart"/>
      <w:r w:rsidRPr="000F0F39">
        <w:rPr>
          <w:rFonts w:ascii="Verdana" w:hAnsi="Verdana" w:cs="Arial"/>
          <w:sz w:val="20"/>
          <w:szCs w:val="20"/>
        </w:rPr>
        <w:t>iii</w:t>
      </w:r>
      <w:proofErr w:type="spellEnd"/>
      <w:r w:rsidRPr="000F0F39">
        <w:rPr>
          <w:rFonts w:ascii="Verdana" w:hAnsi="Verdana" w:cs="Arial"/>
          <w:sz w:val="20"/>
          <w:szCs w:val="20"/>
        </w:rPr>
        <w:t>) son contratos nominados puesto que están mencionados en la ley; (</w:t>
      </w:r>
      <w:proofErr w:type="spellStart"/>
      <w:r w:rsidRPr="000F0F39">
        <w:rPr>
          <w:rFonts w:ascii="Verdana" w:hAnsi="Verdana" w:cs="Arial"/>
          <w:sz w:val="20"/>
          <w:szCs w:val="20"/>
        </w:rPr>
        <w:t>iv</w:t>
      </w:r>
      <w:proofErr w:type="spellEnd"/>
      <w:r w:rsidRPr="000F0F39">
        <w:rPr>
          <w:rFonts w:ascii="Verdana" w:hAnsi="Verdana" w:cs="Arial"/>
          <w:sz w:val="20"/>
          <w:szCs w:val="20"/>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0F0F39">
        <w:rPr>
          <w:rFonts w:ascii="Verdana" w:hAnsi="Verdana" w:cs="Arial"/>
          <w:sz w:val="20"/>
          <w:szCs w:val="20"/>
        </w:rPr>
        <w:t>vii</w:t>
      </w:r>
      <w:proofErr w:type="spellEnd"/>
      <w:r w:rsidRPr="000F0F39">
        <w:rPr>
          <w:rFonts w:ascii="Verdana" w:hAnsi="Verdana" w:cs="Arial"/>
          <w:sz w:val="20"/>
          <w:szCs w:val="20"/>
        </w:rPr>
        <w:t>) persiguen  una finalidad común a través de la realización de intereses compartidos entre las entidades vinculadas; (</w:t>
      </w:r>
      <w:proofErr w:type="spellStart"/>
      <w:r w:rsidRPr="000F0F39">
        <w:rPr>
          <w:rFonts w:ascii="Verdana" w:hAnsi="Verdana" w:cs="Arial"/>
          <w:sz w:val="20"/>
          <w:szCs w:val="20"/>
        </w:rPr>
        <w:t>viii</w:t>
      </w:r>
      <w:proofErr w:type="spellEnd"/>
      <w:r w:rsidRPr="000F0F39">
        <w:rPr>
          <w:rFonts w:ascii="Verdana" w:hAnsi="Verdana" w:cs="Arial"/>
          <w:sz w:val="20"/>
          <w:szCs w:val="20"/>
        </w:rPr>
        <w:t>) la acción mediante la cual se deben ventilar las diferencias que sobre el particular surjan es la de controversias contractuales</w:t>
      </w:r>
      <w:r>
        <w:rPr>
          <w:rFonts w:ascii="Verdana" w:hAnsi="Verdana" w:cs="Arial"/>
          <w:sz w:val="20"/>
          <w:szCs w:val="20"/>
        </w:rPr>
        <w:t xml:space="preserve"> (…)”</w:t>
      </w:r>
      <w:r w:rsidRPr="000F0F39">
        <w:rPr>
          <w:rStyle w:val="Refdenotaalpie"/>
          <w:rFonts w:ascii="Verdana" w:hAnsi="Verdana" w:cs="Arial"/>
          <w:sz w:val="20"/>
          <w:szCs w:val="20"/>
        </w:rPr>
        <w:footnoteReference w:id="14"/>
      </w:r>
      <w:r>
        <w:rPr>
          <w:rFonts w:ascii="Verdana" w:hAnsi="Verdana" w:cs="Arial"/>
          <w:sz w:val="20"/>
          <w:szCs w:val="20"/>
        </w:rPr>
        <w:t>.</w:t>
      </w:r>
    </w:p>
    <w:p w14:paraId="7E95DDA1" w14:textId="77777777" w:rsidR="00CF5D12" w:rsidRPr="00990FC7" w:rsidRDefault="00CF5D12" w:rsidP="00CF5D12">
      <w:pPr>
        <w:spacing w:after="0"/>
        <w:ind w:left="709" w:right="709"/>
        <w:rPr>
          <w:rFonts w:ascii="Arial" w:hAnsi="Arial" w:cs="Arial"/>
        </w:rPr>
      </w:pPr>
    </w:p>
    <w:p w14:paraId="566466C4" w14:textId="77777777" w:rsidR="00CF5D12" w:rsidRPr="000F0F39" w:rsidRDefault="00CF5D12" w:rsidP="00CF5D12">
      <w:pPr>
        <w:pStyle w:val="Textoindependiente"/>
        <w:spacing w:after="120" w:line="259" w:lineRule="auto"/>
        <w:ind w:firstLine="709"/>
        <w:jc w:val="both"/>
        <w:rPr>
          <w:rFonts w:ascii="Verdana" w:hAnsi="Verdana"/>
        </w:rPr>
      </w:pPr>
      <w:r w:rsidRPr="000F0F39">
        <w:rPr>
          <w:rFonts w:ascii="Verdana" w:hAnsi="Verdana"/>
        </w:rPr>
        <w:t xml:space="preserve">En ese sentido, los convenios interadministrativos se caracterizan por los sujetos que intervienen y por la modalidad de selección que la ley permite aplicar para su celebración, ya que comporta un grado de excepcionalidad frente a las </w:t>
      </w:r>
      <w:r w:rsidRPr="000F0F39">
        <w:rPr>
          <w:rFonts w:ascii="Verdana" w:hAnsi="Verdana"/>
        </w:rPr>
        <w:lastRenderedPageBreak/>
        <w:t>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64C76204" w14:textId="77777777" w:rsidR="00CF5D12" w:rsidRPr="000F0F39" w:rsidRDefault="00CF5D12" w:rsidP="00CF5D12">
      <w:pPr>
        <w:pStyle w:val="Textoindependiente"/>
        <w:spacing w:after="120" w:line="259" w:lineRule="auto"/>
        <w:ind w:firstLine="709"/>
        <w:jc w:val="both"/>
        <w:rPr>
          <w:rFonts w:ascii="Verdana" w:hAnsi="Verdana"/>
        </w:rPr>
      </w:pPr>
      <w:r w:rsidRPr="000F0F39">
        <w:rPr>
          <w:rFonts w:ascii="Verdana" w:hAnsi="Verdana"/>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0F0F39">
        <w:rPr>
          <w:rFonts w:ascii="Verdana" w:hAnsi="Verdana"/>
          <w:spacing w:val="-3"/>
        </w:rPr>
        <w:t xml:space="preserve"> </w:t>
      </w:r>
      <w:r w:rsidRPr="000F0F39">
        <w:rPr>
          <w:rFonts w:ascii="Verdana" w:hAnsi="Verdana"/>
        </w:rPr>
        <w:t>estatales.</w:t>
      </w:r>
    </w:p>
    <w:p w14:paraId="5008141C" w14:textId="77777777" w:rsidR="00CF5D12" w:rsidRPr="000F0F39" w:rsidRDefault="00CF5D12" w:rsidP="00CF5D12">
      <w:pPr>
        <w:pStyle w:val="Textoindependiente"/>
        <w:spacing w:after="120" w:line="259" w:lineRule="auto"/>
        <w:ind w:firstLine="709"/>
        <w:jc w:val="both"/>
        <w:rPr>
          <w:rFonts w:ascii="Verdana" w:hAnsi="Verdana"/>
        </w:rPr>
      </w:pPr>
      <w:r w:rsidRPr="000F0F39">
        <w:rPr>
          <w:rFonts w:ascii="Verdana" w:hAnsi="Verdana"/>
        </w:rPr>
        <w:t xml:space="preserve">Además, es necesario tener en cuenta que para que un contrato o convenio interadministrativo exista, debe cumplir con los siguientes elementos: </w:t>
      </w:r>
      <w:r>
        <w:rPr>
          <w:rFonts w:ascii="Verdana" w:hAnsi="Verdana"/>
        </w:rPr>
        <w:t xml:space="preserve">i) un </w:t>
      </w:r>
      <w:r w:rsidRPr="000F0F39">
        <w:rPr>
          <w:rFonts w:ascii="Verdana" w:hAnsi="Verdana"/>
        </w:rPr>
        <w:t xml:space="preserve">acuerdo sobre el objeto y la contraprestación, y </w:t>
      </w:r>
      <w:proofErr w:type="spellStart"/>
      <w:r>
        <w:rPr>
          <w:rFonts w:ascii="Verdana" w:hAnsi="Verdana"/>
        </w:rPr>
        <w:t>ii</w:t>
      </w:r>
      <w:proofErr w:type="spellEnd"/>
      <w:r>
        <w:rPr>
          <w:rFonts w:ascii="Verdana" w:hAnsi="Verdana"/>
        </w:rPr>
        <w:t xml:space="preserve">) </w:t>
      </w:r>
      <w:r w:rsidRPr="000F0F39">
        <w:rPr>
          <w:rFonts w:ascii="Verdana" w:hAnsi="Verdana"/>
        </w:rPr>
        <w:t>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p>
    <w:p w14:paraId="60F85C26" w14:textId="77777777" w:rsidR="00CF5D12" w:rsidRPr="000F0F39" w:rsidRDefault="00CF5D12" w:rsidP="00CF5D12">
      <w:pPr>
        <w:pStyle w:val="Textoindependiente"/>
        <w:spacing w:after="120" w:line="259" w:lineRule="auto"/>
        <w:ind w:firstLine="709"/>
        <w:jc w:val="both"/>
        <w:rPr>
          <w:rFonts w:ascii="Verdana" w:hAnsi="Verdana"/>
        </w:rPr>
      </w:pPr>
      <w:r w:rsidRPr="000F0F39">
        <w:rPr>
          <w:rFonts w:ascii="Verdana" w:hAnsi="Verdana"/>
        </w:rPr>
        <w:t xml:space="preserve">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w:t>
      </w:r>
      <w:r w:rsidRPr="000F0F39">
        <w:rPr>
          <w:rFonts w:ascii="Verdana" w:hAnsi="Verdana"/>
        </w:rPr>
        <w:lastRenderedPageBreak/>
        <w:t>que se trata de figuras equivalentes.</w:t>
      </w:r>
    </w:p>
    <w:p w14:paraId="32F3FFD0" w14:textId="77777777" w:rsidR="00CF5D12" w:rsidRPr="000F0F39" w:rsidRDefault="00CF5D12" w:rsidP="00CF5D12">
      <w:pPr>
        <w:pStyle w:val="Textoindependiente"/>
        <w:spacing w:after="120" w:line="259" w:lineRule="auto"/>
        <w:ind w:firstLine="709"/>
        <w:jc w:val="both"/>
        <w:rPr>
          <w:rFonts w:ascii="Verdana" w:eastAsia="Calibri" w:hAnsi="Verdana"/>
          <w:bCs/>
          <w:lang w:val="es-CO"/>
        </w:rPr>
      </w:pPr>
      <w:r w:rsidRPr="000F0F39">
        <w:rPr>
          <w:rFonts w:ascii="Verdana" w:hAnsi="Verdana"/>
        </w:rPr>
        <w:t xml:space="preserve">Por tanto, aunque el artículo 95 de la Ley 489 de 1998 dispone que </w:t>
      </w:r>
      <w:r>
        <w:rPr>
          <w:rFonts w:ascii="Verdana" w:hAnsi="Verdana"/>
        </w:rPr>
        <w:t>“</w:t>
      </w:r>
      <w:r w:rsidRPr="000F0F39">
        <w:rPr>
          <w:rFonts w:ascii="Verdana" w:hAnsi="Verdana"/>
        </w:rPr>
        <w:t>Las entidades públicas podrán asociarse con el fin de cooperar en el cumplimiento de funciones administrativas o de prestar conjuntamente servicios que se hallen a su cargo, mediante la celebración de convenios interadministrativos</w:t>
      </w:r>
      <w:r>
        <w:rPr>
          <w:rFonts w:ascii="Verdana" w:hAnsi="Verdana"/>
        </w:rPr>
        <w:t>”</w:t>
      </w:r>
      <w:r w:rsidRPr="000F0F39">
        <w:rPr>
          <w:rFonts w:ascii="Verdana" w:hAnsi="Verdana"/>
        </w:rPr>
        <w:t xml:space="preserve">, esto no significa que dichos acuerdos estén exceptuados del Estatuto General de Contratación de la Administración Pública por no tener carácter contractual. Por ello, la jurisprudencia considera que </w:t>
      </w:r>
      <w:r>
        <w:rPr>
          <w:rFonts w:ascii="Verdana" w:hAnsi="Verdana"/>
        </w:rPr>
        <w:t>“</w:t>
      </w:r>
      <w:r w:rsidRPr="000F0F39">
        <w:rPr>
          <w:rFonts w:ascii="Verdana" w:hAnsi="Verdana"/>
        </w:rPr>
        <w:t>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Pr>
          <w:rFonts w:ascii="Verdana" w:hAnsi="Verdana"/>
          <w:spacing w:val="-4"/>
        </w:rPr>
        <w:t>"</w:t>
      </w:r>
      <w:r w:rsidRPr="000F0F39">
        <w:rPr>
          <w:rStyle w:val="Refdenotaalpie"/>
          <w:rFonts w:ascii="Verdana" w:hAnsi="Verdana"/>
        </w:rPr>
        <w:footnoteReference w:id="15"/>
      </w:r>
      <w:r w:rsidRPr="000F0F39">
        <w:rPr>
          <w:rFonts w:ascii="Verdana" w:hAnsi="Verdana"/>
        </w:rPr>
        <w:t>.</w:t>
      </w:r>
      <w:bookmarkStart w:id="22" w:name="_Hlk77171241"/>
    </w:p>
    <w:p w14:paraId="55A99884" w14:textId="77777777" w:rsidR="00CF5D12" w:rsidRPr="000F0F39" w:rsidRDefault="00CF5D12" w:rsidP="00CF5D12">
      <w:pPr>
        <w:pStyle w:val="Textoindependiente"/>
        <w:spacing w:after="120" w:line="259" w:lineRule="auto"/>
        <w:ind w:firstLine="709"/>
        <w:jc w:val="both"/>
        <w:rPr>
          <w:rFonts w:ascii="Verdana" w:hAnsi="Verdana"/>
        </w:rPr>
      </w:pPr>
      <w:r w:rsidRPr="000F0F39">
        <w:rPr>
          <w:rFonts w:ascii="Verdana" w:hAnsi="Verdana"/>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664CE481" w14:textId="77777777" w:rsidR="00CF5D12" w:rsidRPr="000F0F39" w:rsidRDefault="00CF5D12" w:rsidP="00CF5D12">
      <w:pPr>
        <w:pStyle w:val="Textoindependiente"/>
        <w:ind w:firstLine="709"/>
        <w:jc w:val="both"/>
        <w:rPr>
          <w:rFonts w:ascii="Verdana" w:hAnsi="Verdana"/>
          <w:sz w:val="20"/>
          <w:szCs w:val="20"/>
        </w:rPr>
      </w:pPr>
    </w:p>
    <w:p w14:paraId="2EE71FED" w14:textId="77777777" w:rsidR="00CF5D12" w:rsidRPr="000F0F39" w:rsidRDefault="00CF5D12" w:rsidP="00CF5D12">
      <w:pPr>
        <w:spacing w:after="120" w:line="240" w:lineRule="auto"/>
        <w:ind w:left="709" w:right="709"/>
        <w:jc w:val="both"/>
        <w:rPr>
          <w:rFonts w:ascii="Verdana" w:hAnsi="Verdana" w:cs="Arial"/>
          <w:sz w:val="20"/>
          <w:szCs w:val="20"/>
          <w:lang w:val="es-ES_tradnl"/>
        </w:rPr>
      </w:pPr>
      <w:r w:rsidRPr="000F0F39">
        <w:rPr>
          <w:rFonts w:ascii="Verdana" w:hAnsi="Verdana" w:cs="Arial"/>
          <w:sz w:val="20"/>
          <w:szCs w:val="20"/>
          <w:lang w:val="es-ES_tradnl"/>
        </w:rPr>
        <w:t>La Sala de Consulta y Servicio Civil</w:t>
      </w:r>
      <w:r w:rsidRPr="000F0F39">
        <w:rPr>
          <w:rStyle w:val="Refdenotaalpie"/>
          <w:rFonts w:ascii="Verdana" w:hAnsi="Verdana" w:cs="Arial"/>
          <w:sz w:val="20"/>
          <w:szCs w:val="20"/>
          <w:lang w:val="es-ES_tradnl"/>
        </w:rPr>
        <w:footnoteReference w:id="16"/>
      </w:r>
      <w:r w:rsidRPr="000F0F39">
        <w:rPr>
          <w:rFonts w:ascii="Verdana" w:hAnsi="Verdana" w:cs="Arial"/>
          <w:sz w:val="20"/>
          <w:szCs w:val="20"/>
          <w:lang w:val="es-ES_tradnl"/>
        </w:rPr>
        <w:t xml:space="preserve"> de esta Corporación se ha referido a los </w:t>
      </w:r>
      <w:r w:rsidRPr="000F0F39">
        <w:rPr>
          <w:rFonts w:ascii="Verdana" w:hAnsi="Verdana" w:cs="Arial"/>
          <w:i/>
          <w:sz w:val="20"/>
          <w:szCs w:val="20"/>
          <w:lang w:val="es-ES_tradnl"/>
        </w:rPr>
        <w:t>“convenios interadministrativos”</w:t>
      </w:r>
      <w:r w:rsidRPr="000F0F39">
        <w:rPr>
          <w:rFonts w:ascii="Verdana" w:hAnsi="Verdana" w:cs="Arial"/>
          <w:sz w:val="20"/>
          <w:szCs w:val="20"/>
          <w:lang w:val="es-ES_tradnl"/>
        </w:rPr>
        <w:t xml:space="preserve"> a los cuales alude el artículo 95 de la Ley 489 de 1998, calificándolos de </w:t>
      </w:r>
      <w:r w:rsidRPr="000F0F39">
        <w:rPr>
          <w:rFonts w:ascii="Verdana" w:hAnsi="Verdana" w:cs="Arial"/>
          <w:i/>
          <w:sz w:val="20"/>
          <w:szCs w:val="20"/>
          <w:lang w:val="es-ES_tradnl"/>
        </w:rPr>
        <w:t xml:space="preserve">“puros” </w:t>
      </w:r>
      <w:r w:rsidRPr="000F0F39">
        <w:rPr>
          <w:rFonts w:ascii="Verdana" w:hAnsi="Verdana" w:cs="Arial"/>
          <w:sz w:val="20"/>
          <w:szCs w:val="20"/>
          <w:lang w:val="es-ES_tradnl"/>
        </w:rPr>
        <w:t xml:space="preserve">y entendiendo que estos, además de perseguir la finalidad de cooperación antes indicada, no implican intereses contrapuestos ni tampoco se circunscriben a un </w:t>
      </w:r>
      <w:r w:rsidRPr="000F0F39">
        <w:rPr>
          <w:rFonts w:ascii="Verdana" w:hAnsi="Verdana" w:cs="Arial"/>
          <w:i/>
          <w:sz w:val="20"/>
          <w:szCs w:val="20"/>
          <w:lang w:val="es-ES_tradnl"/>
        </w:rPr>
        <w:t>“intercambio patrimonial”</w:t>
      </w:r>
      <w:r w:rsidRPr="000F0F39">
        <w:rPr>
          <w:rFonts w:ascii="Verdana" w:hAnsi="Verdana" w:cs="Arial"/>
          <w:sz w:val="20"/>
          <w:szCs w:val="20"/>
          <w:lang w:val="es-ES_tradnl"/>
        </w:rPr>
        <w:t>. Sin perjuicio de lo anterior, en otra oportunidad, la misma Sala</w:t>
      </w:r>
      <w:r w:rsidRPr="000F0F39">
        <w:rPr>
          <w:rStyle w:val="Refdenotaalpie"/>
          <w:rFonts w:ascii="Verdana" w:hAnsi="Verdana" w:cs="Arial"/>
          <w:sz w:val="20"/>
          <w:szCs w:val="20"/>
          <w:lang w:val="es-ES_tradnl"/>
        </w:rPr>
        <w:footnoteReference w:id="17"/>
      </w:r>
      <w:r w:rsidRPr="000F0F39">
        <w:rPr>
          <w:rFonts w:ascii="Verdana" w:hAnsi="Verdana" w:cs="Arial"/>
          <w:sz w:val="20"/>
          <w:szCs w:val="20"/>
          <w:lang w:val="es-ES_tradnl"/>
        </w:rPr>
        <w:t xml:space="preserve"> había indicado que, si bien en dichos convenios no se daba un </w:t>
      </w:r>
      <w:r w:rsidRPr="000F0F39">
        <w:rPr>
          <w:rFonts w:ascii="Verdana" w:hAnsi="Verdana" w:cs="Arial"/>
          <w:i/>
          <w:sz w:val="20"/>
          <w:szCs w:val="20"/>
          <w:lang w:val="es-ES_tradnl"/>
        </w:rPr>
        <w:t>“verdadero intercambio de bienes o servicios (contrato conmutativo)”</w:t>
      </w:r>
      <w:r w:rsidRPr="000F0F39">
        <w:rPr>
          <w:rFonts w:ascii="Verdana" w:hAnsi="Verdana" w:cs="Arial"/>
          <w:sz w:val="20"/>
          <w:szCs w:val="20"/>
          <w:lang w:val="es-ES_tradnl"/>
        </w:rPr>
        <w:t>, ello no impedía que se conviniera una remuneración a cargo de alguna(s) entidad(es).</w:t>
      </w:r>
    </w:p>
    <w:p w14:paraId="73C0929F" w14:textId="77777777" w:rsidR="00CF5D12" w:rsidRPr="000F0F39" w:rsidRDefault="00CF5D12" w:rsidP="00CF5D12">
      <w:pPr>
        <w:pStyle w:val="Textoindependiente"/>
        <w:ind w:left="709" w:right="709"/>
        <w:jc w:val="both"/>
        <w:rPr>
          <w:rFonts w:ascii="Verdana" w:hAnsi="Verdana"/>
          <w:sz w:val="20"/>
          <w:szCs w:val="20"/>
        </w:rPr>
      </w:pPr>
      <w:r w:rsidRPr="000F0F39">
        <w:rPr>
          <w:rFonts w:ascii="Verdana" w:hAnsi="Verdana"/>
          <w:sz w:val="20"/>
          <w:szCs w:val="20"/>
          <w:lang w:val="es-ES_tradnl"/>
        </w:rPr>
        <w:t xml:space="preserve">Lo expuesto evidencia que, en general, las interpretaciones en torno a los </w:t>
      </w:r>
      <w:r w:rsidRPr="000F0F39">
        <w:rPr>
          <w:rFonts w:ascii="Verdana" w:hAnsi="Verdana"/>
          <w:i/>
          <w:sz w:val="20"/>
          <w:szCs w:val="20"/>
          <w:lang w:val="es-ES_tradnl"/>
        </w:rPr>
        <w:t>“convenios interadministrativos”</w:t>
      </w:r>
      <w:r w:rsidRPr="000F0F39">
        <w:rPr>
          <w:rFonts w:ascii="Verdana" w:hAnsi="Verdana"/>
          <w:sz w:val="20"/>
          <w:szCs w:val="20"/>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w:t>
      </w:r>
      <w:r w:rsidRPr="000F0F39">
        <w:rPr>
          <w:rFonts w:ascii="Verdana" w:hAnsi="Verdana"/>
          <w:sz w:val="20"/>
          <w:szCs w:val="20"/>
          <w:lang w:val="es-ES_tradnl"/>
        </w:rPr>
        <w:lastRenderedPageBreak/>
        <w:t>convenios con las de los contratos estatales sometidos al EGCAP, las cuales tienen por objeto prestaciones patrimoniales</w:t>
      </w:r>
      <w:r w:rsidRPr="000F0F39">
        <w:rPr>
          <w:rStyle w:val="Refdenotaalpie"/>
          <w:rFonts w:ascii="Verdana" w:hAnsi="Verdana"/>
          <w:sz w:val="20"/>
          <w:szCs w:val="20"/>
          <w:lang w:val="es-ES_tradnl"/>
        </w:rPr>
        <w:footnoteReference w:id="18"/>
      </w:r>
      <w:r w:rsidRPr="000F0F39">
        <w:rPr>
          <w:rStyle w:val="Refdenotaalpie"/>
          <w:rFonts w:ascii="Verdana" w:hAnsi="Verdana"/>
          <w:sz w:val="20"/>
          <w:szCs w:val="20"/>
          <w:lang w:val="es-ES_tradnl"/>
        </w:rPr>
        <w:footnoteReference w:id="19"/>
      </w:r>
      <w:r w:rsidRPr="000F0F39">
        <w:rPr>
          <w:rFonts w:ascii="Verdana" w:hAnsi="Verdana"/>
          <w:sz w:val="20"/>
          <w:szCs w:val="20"/>
          <w:lang w:val="es-ES_tradnl"/>
        </w:rPr>
        <w:t>.</w:t>
      </w:r>
    </w:p>
    <w:p w14:paraId="3DC5E190" w14:textId="77777777" w:rsidR="00CF5D12" w:rsidRPr="00990FC7" w:rsidRDefault="00CF5D12" w:rsidP="00CF5D12">
      <w:pPr>
        <w:pStyle w:val="Textoindependiente"/>
      </w:pPr>
    </w:p>
    <w:p w14:paraId="6B6B1844" w14:textId="77777777" w:rsidR="00CF5D12" w:rsidRPr="000F0F39" w:rsidRDefault="00CF5D12" w:rsidP="00CF5D12">
      <w:pPr>
        <w:pStyle w:val="Textoindependiente"/>
        <w:spacing w:after="120" w:line="259" w:lineRule="auto"/>
        <w:jc w:val="both"/>
        <w:rPr>
          <w:rFonts w:ascii="Verdana" w:hAnsi="Verdana"/>
        </w:rPr>
      </w:pPr>
      <w:r w:rsidRPr="00990FC7">
        <w:tab/>
      </w:r>
      <w:r w:rsidRPr="000F0F39">
        <w:rPr>
          <w:rFonts w:ascii="Verdana" w:hAnsi="Verdana"/>
        </w:rPr>
        <w:t>Sin perjuicio de lo indicado, vale la pena reiterar que el legislador y el ordenamiento jurídico, en general, en distintas ocasiones utiliza de forma indistinta los conceptos de contrato o convenio para referirse a la misma institución jurídica</w:t>
      </w:r>
      <w:r w:rsidRPr="000F0F39">
        <w:rPr>
          <w:rStyle w:val="Refdenotaalpie"/>
          <w:rFonts w:ascii="Verdana" w:hAnsi="Verdana"/>
        </w:rPr>
        <w:footnoteReference w:id="20"/>
      </w:r>
      <w:r w:rsidRPr="000F0F39">
        <w:rPr>
          <w:rFonts w:ascii="Verdana" w:hAnsi="Verdana"/>
        </w:rPr>
        <w:t xml:space="preserve">. Incluso </w:t>
      </w:r>
      <w:r>
        <w:rPr>
          <w:rFonts w:ascii="Verdana" w:hAnsi="Verdana"/>
        </w:rPr>
        <w:t>es necesario indicar,</w:t>
      </w:r>
      <w:r w:rsidRPr="000F0F39">
        <w:rPr>
          <w:rFonts w:ascii="Verdana" w:hAnsi="Verdana"/>
        </w:rPr>
        <w:t xml:space="preserve"> como la Corte Constitucional fundamenta la posibilidad de celebrar convenios interadministrativos de forma directa, con fundamento en la causal establecida en la Ley 1150 de 2007 respecto a los contratos interadministrativos</w:t>
      </w:r>
      <w:r w:rsidRPr="000F0F39">
        <w:rPr>
          <w:rStyle w:val="Refdenotaalpie"/>
          <w:rFonts w:ascii="Verdana" w:hAnsi="Verdana"/>
        </w:rPr>
        <w:footnoteReference w:id="21"/>
      </w:r>
      <w:r w:rsidRPr="000F0F39">
        <w:rPr>
          <w:rFonts w:ascii="Verdana" w:hAnsi="Verdana"/>
        </w:rPr>
        <w:t>.</w:t>
      </w:r>
    </w:p>
    <w:p w14:paraId="068EE96F" w14:textId="77777777" w:rsidR="00CF5D12" w:rsidRPr="000F0F39" w:rsidRDefault="00CF5D12" w:rsidP="00CF5D12">
      <w:pPr>
        <w:pStyle w:val="Textoindependiente"/>
        <w:spacing w:after="120" w:line="259" w:lineRule="auto"/>
        <w:jc w:val="both"/>
        <w:rPr>
          <w:rFonts w:ascii="Verdana" w:hAnsi="Verdana"/>
        </w:rPr>
      </w:pPr>
      <w:r w:rsidRPr="000F0F39">
        <w:rPr>
          <w:rFonts w:ascii="Verdana" w:hAnsi="Verdana"/>
        </w:rPr>
        <w:tab/>
        <w:t xml:space="preserve">En desarrollo de lo anterior, </w:t>
      </w:r>
      <w:r>
        <w:rPr>
          <w:rFonts w:ascii="Verdana" w:hAnsi="Verdana"/>
        </w:rPr>
        <w:t>resulta necesario</w:t>
      </w:r>
      <w:r w:rsidRPr="000F0F39">
        <w:rPr>
          <w:rFonts w:ascii="Verdana" w:hAnsi="Verdana"/>
        </w:rPr>
        <w:t xml:space="preserve"> destacar que la Circular Externa Única de Colombia Compra Eficiente</w:t>
      </w:r>
      <w:r>
        <w:rPr>
          <w:rStyle w:val="Refdenotaalpie"/>
          <w:rFonts w:ascii="Verdana" w:hAnsi="Verdana"/>
        </w:rPr>
        <w:footnoteReference w:id="22"/>
      </w:r>
      <w:r w:rsidRPr="000F0F39">
        <w:rPr>
          <w:rFonts w:ascii="Verdana" w:hAnsi="Verdana"/>
        </w:rPr>
        <w:t>,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339DFD33" w14:textId="77777777" w:rsidR="00CF5D12" w:rsidRPr="00990FC7" w:rsidRDefault="00CF5D12" w:rsidP="00CF5D12">
      <w:pPr>
        <w:pStyle w:val="Textoindependiente"/>
      </w:pPr>
    </w:p>
    <w:p w14:paraId="4F075801" w14:textId="77777777" w:rsidR="00CF5D12" w:rsidRPr="005A5B79" w:rsidRDefault="00CF5D12" w:rsidP="00CF5D12">
      <w:pPr>
        <w:spacing w:after="120" w:line="240" w:lineRule="auto"/>
        <w:ind w:left="709" w:right="709"/>
        <w:jc w:val="both"/>
        <w:rPr>
          <w:rFonts w:ascii="Verdana" w:hAnsi="Verdana" w:cs="Arial"/>
          <w:sz w:val="20"/>
          <w:szCs w:val="20"/>
        </w:rPr>
      </w:pPr>
      <w:r>
        <w:rPr>
          <w:rFonts w:ascii="Verdana" w:hAnsi="Verdana" w:cs="Arial"/>
          <w:sz w:val="20"/>
          <w:szCs w:val="20"/>
          <w:lang w:val="es-ES_tradnl"/>
        </w:rPr>
        <w:lastRenderedPageBreak/>
        <w:t xml:space="preserve">16.2 (…) </w:t>
      </w:r>
      <w:r w:rsidRPr="005A5B79">
        <w:rPr>
          <w:rFonts w:ascii="Verdana" w:hAnsi="Verdana" w:cs="Arial"/>
          <w:sz w:val="20"/>
          <w:szCs w:val="20"/>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5A5B79">
        <w:rPr>
          <w:rFonts w:ascii="Verdana" w:hAnsi="Verdana" w:cs="Arial"/>
          <w:sz w:val="20"/>
          <w:szCs w:val="20"/>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67C80D54" w14:textId="77777777" w:rsidR="00CF5D12" w:rsidRPr="005A5B79" w:rsidRDefault="00CF5D12" w:rsidP="00CF5D12">
      <w:pPr>
        <w:spacing w:after="120" w:line="240" w:lineRule="auto"/>
        <w:ind w:left="709" w:right="709"/>
        <w:jc w:val="both"/>
        <w:rPr>
          <w:rFonts w:ascii="Verdana" w:hAnsi="Verdana" w:cs="Arial"/>
          <w:sz w:val="20"/>
          <w:szCs w:val="20"/>
        </w:rPr>
      </w:pPr>
      <w:r w:rsidRPr="005A5B79">
        <w:rPr>
          <w:rFonts w:ascii="Verdana" w:hAnsi="Verdana" w:cs="Arial"/>
          <w:sz w:val="20"/>
          <w:szCs w:val="20"/>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00B45019" w14:textId="77777777" w:rsidR="00CF5D12" w:rsidRPr="005A5B79" w:rsidRDefault="00CF5D12" w:rsidP="00CF5D12">
      <w:pPr>
        <w:spacing w:after="0" w:line="240" w:lineRule="auto"/>
        <w:ind w:left="709" w:right="709"/>
        <w:jc w:val="both"/>
        <w:rPr>
          <w:rFonts w:ascii="Verdana" w:hAnsi="Verdana"/>
          <w:sz w:val="20"/>
          <w:szCs w:val="20"/>
        </w:rPr>
      </w:pPr>
      <w:r w:rsidRPr="005A5B79">
        <w:rPr>
          <w:rFonts w:ascii="Verdana" w:hAnsi="Verdana" w:cs="Arial"/>
          <w:sz w:val="20"/>
          <w:szCs w:val="20"/>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207176DF" w14:textId="77777777" w:rsidR="00CF5D12" w:rsidRPr="00990FC7" w:rsidRDefault="00CF5D12" w:rsidP="00CF5D12">
      <w:pPr>
        <w:pStyle w:val="Textoindependiente"/>
      </w:pPr>
    </w:p>
    <w:p w14:paraId="3BEA0DCC" w14:textId="77777777" w:rsidR="00CF5D12" w:rsidRDefault="00CF5D12" w:rsidP="00CF5D12">
      <w:pPr>
        <w:spacing w:after="120"/>
        <w:ind w:firstLine="709"/>
        <w:jc w:val="both"/>
        <w:rPr>
          <w:rFonts w:ascii="Verdana" w:eastAsia="Arial" w:hAnsi="Verdana" w:cs="Arial"/>
          <w:lang w:val="es-MX" w:eastAsia="es-ES" w:bidi="es-ES"/>
        </w:rPr>
      </w:pPr>
      <w:r w:rsidRPr="005F73B4">
        <w:rPr>
          <w:rFonts w:ascii="Verdana" w:eastAsia="Arial" w:hAnsi="Verdana" w:cs="Arial"/>
          <w:lang w:val="es-ES" w:eastAsia="es-ES" w:bidi="es-ES"/>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5F73B4">
        <w:rPr>
          <w:rFonts w:ascii="Verdana" w:eastAsia="Arial" w:hAnsi="Verdana" w:cs="Arial"/>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1D2026B6" w14:textId="77777777" w:rsidR="00CF5D12" w:rsidRPr="00C75E29" w:rsidRDefault="00CF5D12" w:rsidP="00CF5D12">
      <w:pPr>
        <w:spacing w:after="0" w:line="276" w:lineRule="auto"/>
        <w:ind w:firstLine="709"/>
        <w:jc w:val="both"/>
        <w:rPr>
          <w:rFonts w:ascii="Verdana" w:hAnsi="Verdana"/>
        </w:rPr>
      </w:pPr>
      <w:r>
        <w:rPr>
          <w:rFonts w:ascii="Verdana" w:eastAsia="Arial" w:hAnsi="Verdana" w:cs="Arial"/>
          <w:lang w:val="es-MX" w:eastAsia="es-ES" w:bidi="es-ES"/>
        </w:rPr>
        <w:t>Sin perjuicio de lo expuesto</w:t>
      </w:r>
      <w:r w:rsidRPr="005F73B4">
        <w:rPr>
          <w:rFonts w:ascii="Verdana" w:eastAsia="Arial" w:hAnsi="Verdana" w:cs="Arial"/>
          <w:lang w:val="es-MX" w:eastAsia="es-ES" w:bidi="es-ES"/>
        </w:rPr>
        <w:t xml:space="preserve">, conviene señalar que, mediante auto de 4 de octubre del 2024, el Consejo de Estado, Sección Tercera, decretó medida de suspensión provisional parcial del </w:t>
      </w:r>
      <w:r w:rsidRPr="005F73B4">
        <w:rPr>
          <w:rFonts w:ascii="Verdana" w:hAnsi="Verdana"/>
        </w:rPr>
        <w:t xml:space="preserve">numeral 16.2 de la Circular Externa Única de 2022 expedida por la Agencia Nacional de Contratación Pública -Colombia </w:t>
      </w:r>
      <w:r w:rsidRPr="005F73B4">
        <w:rPr>
          <w:rFonts w:ascii="Verdana" w:hAnsi="Verdana"/>
        </w:rPr>
        <w:lastRenderedPageBreak/>
        <w:t>Compra Eficiente-, concretamente, respecto de los siguientes apartes normativos</w:t>
      </w:r>
      <w:r w:rsidRPr="005F73B4">
        <w:rPr>
          <w:rFonts w:ascii="Verdana" w:hAnsi="Verdana"/>
          <w:vertAlign w:val="superscript"/>
        </w:rPr>
        <w:footnoteReference w:id="23"/>
      </w:r>
      <w:r w:rsidRPr="005F73B4">
        <w:rPr>
          <w:rFonts w:ascii="Verdana" w:hAnsi="Verdana"/>
        </w:rPr>
        <w:t>:</w:t>
      </w:r>
      <w:r w:rsidRPr="00C75E29">
        <w:rPr>
          <w:rFonts w:ascii="Verdana" w:hAnsi="Verdana"/>
        </w:rPr>
        <w:t xml:space="preserve"> </w:t>
      </w:r>
    </w:p>
    <w:p w14:paraId="7579DCF2" w14:textId="77777777" w:rsidR="00CF5D12" w:rsidRPr="00C75E29" w:rsidRDefault="00CF5D12" w:rsidP="00CF5D12">
      <w:pPr>
        <w:spacing w:after="0" w:line="276" w:lineRule="auto"/>
        <w:ind w:firstLine="709"/>
        <w:jc w:val="both"/>
        <w:rPr>
          <w:rFonts w:ascii="Verdana" w:hAnsi="Verdana"/>
        </w:rPr>
      </w:pPr>
    </w:p>
    <w:p w14:paraId="5F1E1F08" w14:textId="77777777" w:rsidR="00CF5D12" w:rsidRPr="005F73B4" w:rsidRDefault="00CF5D12" w:rsidP="00CF5D12">
      <w:pPr>
        <w:spacing w:after="0" w:line="240" w:lineRule="auto"/>
        <w:ind w:left="709" w:right="709"/>
        <w:jc w:val="both"/>
        <w:rPr>
          <w:rFonts w:ascii="Verdana" w:eastAsia="Calibri" w:hAnsi="Verdana" w:cs="Arial"/>
          <w:sz w:val="20"/>
          <w:szCs w:val="20"/>
        </w:rPr>
      </w:pPr>
      <w:r w:rsidRPr="005F73B4">
        <w:rPr>
          <w:rFonts w:ascii="Verdana" w:eastAsia="Calibri" w:hAnsi="Verdana" w:cs="Arial"/>
          <w:sz w:val="20"/>
          <w:szCs w:val="20"/>
          <w:lang w:val="es-MX"/>
        </w:rPr>
        <w:t>i)</w:t>
      </w:r>
      <w:r w:rsidRPr="005F73B4">
        <w:rPr>
          <w:rFonts w:ascii="Verdana" w:eastAsia="Calibri"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21995E22" w14:textId="77777777" w:rsidR="00CF5D12" w:rsidRPr="005F73B4" w:rsidRDefault="00CF5D12" w:rsidP="00CF5D12">
      <w:pPr>
        <w:spacing w:after="0" w:line="240" w:lineRule="auto"/>
        <w:ind w:left="709" w:right="709"/>
        <w:jc w:val="both"/>
        <w:rPr>
          <w:rFonts w:ascii="Verdana" w:eastAsia="Calibri" w:hAnsi="Verdana" w:cs="Arial"/>
          <w:sz w:val="20"/>
          <w:szCs w:val="20"/>
        </w:rPr>
      </w:pPr>
    </w:p>
    <w:p w14:paraId="13BD0B3B" w14:textId="77777777" w:rsidR="00CF5D12" w:rsidRPr="005F73B4" w:rsidRDefault="00CF5D12" w:rsidP="00CF5D12">
      <w:pPr>
        <w:spacing w:after="0" w:line="240" w:lineRule="auto"/>
        <w:ind w:left="709" w:right="709"/>
        <w:jc w:val="both"/>
        <w:rPr>
          <w:rFonts w:ascii="Verdana" w:hAnsi="Verdana"/>
          <w:sz w:val="20"/>
          <w:szCs w:val="20"/>
        </w:rPr>
      </w:pPr>
      <w:proofErr w:type="spellStart"/>
      <w:r w:rsidRPr="005F73B4">
        <w:rPr>
          <w:rFonts w:ascii="Verdana" w:hAnsi="Verdana"/>
          <w:sz w:val="20"/>
          <w:szCs w:val="20"/>
        </w:rPr>
        <w:t>ii</w:t>
      </w:r>
      <w:proofErr w:type="spellEnd"/>
      <w:r w:rsidRPr="005F73B4">
        <w:rPr>
          <w:rFonts w:ascii="Verdana" w:hAnsi="Verdana"/>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566497D8" w14:textId="77777777" w:rsidR="00CF5D12" w:rsidRPr="005F73B4" w:rsidRDefault="00CF5D12" w:rsidP="00CF5D12">
      <w:pPr>
        <w:spacing w:after="0" w:line="276" w:lineRule="auto"/>
        <w:ind w:left="709" w:right="709"/>
        <w:jc w:val="both"/>
        <w:rPr>
          <w:rFonts w:ascii="Verdana" w:hAnsi="Verdana"/>
        </w:rPr>
      </w:pPr>
    </w:p>
    <w:p w14:paraId="6C222942" w14:textId="77777777" w:rsidR="00CF5D12" w:rsidRPr="005F73B4" w:rsidRDefault="00CF5D12" w:rsidP="00CF5D12">
      <w:pPr>
        <w:spacing w:after="120"/>
        <w:ind w:firstLine="709"/>
        <w:jc w:val="both"/>
        <w:rPr>
          <w:rFonts w:ascii="Verdana" w:eastAsia="Arial" w:hAnsi="Verdana" w:cs="Arial"/>
          <w:i/>
          <w:iCs/>
          <w:lang w:val="es-MX" w:eastAsia="es-ES" w:bidi="es-ES"/>
        </w:rPr>
      </w:pPr>
      <w:r w:rsidRPr="005F73B4">
        <w:rPr>
          <w:rFonts w:ascii="Verdana" w:eastAsia="Arial" w:hAnsi="Verdana" w:cs="Arial"/>
          <w:lang w:val="es-MX" w:eastAsia="es-ES" w:bidi="es-ES"/>
        </w:rPr>
        <w:t xml:space="preserve">De conformidad con los argumentos de dicha providencia, se parte de la distinción entre los conceptos </w:t>
      </w:r>
      <w:r w:rsidRPr="005F73B4">
        <w:rPr>
          <w:rFonts w:ascii="Verdana" w:eastAsia="Arial" w:hAnsi="Verdana" w:cs="Arial"/>
          <w:lang w:eastAsia="es-ES" w:bidi="es-ES"/>
        </w:rPr>
        <w:t xml:space="preserve">de “convenio” y “contrato” interadministrativos, </w:t>
      </w:r>
      <w:r>
        <w:rPr>
          <w:rFonts w:ascii="Verdana" w:eastAsia="Arial" w:hAnsi="Verdana" w:cs="Arial"/>
          <w:lang w:eastAsia="es-ES" w:bidi="es-ES"/>
        </w:rPr>
        <w:t>diferenciándolos en cuanto a</w:t>
      </w:r>
      <w:r w:rsidRPr="005F73B4">
        <w:rPr>
          <w:rFonts w:ascii="Verdana" w:eastAsia="Arial" w:hAnsi="Verdana" w:cs="Arial"/>
          <w:lang w:eastAsia="es-ES" w:bidi="es-ES"/>
        </w:rPr>
        <w:t xml:space="preserve"> su naturaleza, contenido y alcance</w:t>
      </w:r>
      <w:r>
        <w:rPr>
          <w:rFonts w:ascii="Verdana" w:eastAsia="Arial" w:hAnsi="Verdana" w:cs="Arial"/>
          <w:lang w:eastAsia="es-ES" w:bidi="es-ES"/>
        </w:rPr>
        <w:t xml:space="preserve">. Esta distinción </w:t>
      </w:r>
      <w:r w:rsidRPr="005F73B4">
        <w:rPr>
          <w:rFonts w:ascii="Verdana" w:eastAsia="Arial" w:hAnsi="Verdana" w:cs="Arial"/>
          <w:lang w:eastAsia="es-ES" w:bidi="es-ES"/>
        </w:rPr>
        <w:t xml:space="preserve">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5F73B4">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5F73B4">
        <w:rPr>
          <w:rFonts w:ascii="Verdana" w:eastAsia="Arial" w:hAnsi="Verdana" w:cs="Arial"/>
          <w:lang w:eastAsia="es-ES" w:bidi="es-ES"/>
        </w:rPr>
        <w:t xml:space="preserve">Por tal motivo, para efectos de decretar la medida de suspensión provisional de los apartes señalados del numeral </w:t>
      </w:r>
      <w:bookmarkStart w:id="23" w:name="_Hlk192497089"/>
      <w:r w:rsidRPr="005F73B4">
        <w:rPr>
          <w:rFonts w:ascii="Verdana" w:eastAsia="Arial" w:hAnsi="Verdana" w:cs="Arial"/>
          <w:lang w:eastAsia="es-ES" w:bidi="es-ES"/>
        </w:rPr>
        <w:t>16.2 de la Circular Externa Única</w:t>
      </w:r>
      <w:bookmarkEnd w:id="23"/>
      <w:r w:rsidRPr="005F73B4">
        <w:rPr>
          <w:rFonts w:ascii="Verdana" w:eastAsia="Arial" w:hAnsi="Verdana" w:cs="Arial"/>
          <w:lang w:eastAsia="es-ES" w:bidi="es-ES"/>
        </w:rPr>
        <w:t xml:space="preserve">, argumentó que </w:t>
      </w:r>
      <w:r w:rsidRPr="005F73B4">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7595C97A" w14:textId="77777777" w:rsidR="00CF5D12" w:rsidRPr="005F73B4" w:rsidRDefault="00CF5D12" w:rsidP="00CF5D12">
      <w:pPr>
        <w:spacing w:after="120"/>
        <w:ind w:firstLine="709"/>
        <w:jc w:val="both"/>
        <w:rPr>
          <w:rFonts w:ascii="Verdana" w:eastAsia="Calibri" w:hAnsi="Verdana" w:cs="Arial"/>
          <w:lang w:val="es-MX"/>
        </w:rPr>
      </w:pPr>
      <w:r w:rsidRPr="005F73B4">
        <w:rPr>
          <w:rFonts w:ascii="Verdana" w:eastAsia="Arial" w:hAnsi="Verdana" w:cs="Arial"/>
          <w:lang w:val="es-MX" w:eastAsia="es-ES" w:bidi="es-ES"/>
        </w:rPr>
        <w:t xml:space="preserve">Bajo este contexto, esta Agencia </w:t>
      </w:r>
      <w:r>
        <w:rPr>
          <w:rFonts w:ascii="Verdana" w:eastAsia="Arial" w:hAnsi="Verdana" w:cs="Arial"/>
          <w:lang w:val="es-MX" w:eastAsia="es-ES" w:bidi="es-ES"/>
        </w:rPr>
        <w:t>considera necesario manifestar</w:t>
      </w:r>
      <w:r w:rsidRPr="005F73B4">
        <w:rPr>
          <w:rFonts w:ascii="Verdana" w:eastAsia="Arial" w:hAnsi="Verdana" w:cs="Arial"/>
          <w:lang w:val="es-MX" w:eastAsia="es-ES" w:bidi="es-ES"/>
        </w:rPr>
        <w:t xml:space="preserve"> que, si bien respeta y acata las decisiones proferidas por el Consejo de Estado, como es el caso del auto de suspensión provisional parcial del numeral </w:t>
      </w:r>
      <w:r w:rsidRPr="005F73B4">
        <w:rPr>
          <w:rFonts w:ascii="Verdana" w:eastAsia="Arial" w:hAnsi="Verdana" w:cs="Arial"/>
          <w:lang w:eastAsia="es-ES" w:bidi="es-ES"/>
        </w:rPr>
        <w:t xml:space="preserve">16.2 de la </w:t>
      </w:r>
      <w:r w:rsidRPr="005F73B4">
        <w:rPr>
          <w:rFonts w:ascii="Verdana" w:eastAsia="Arial" w:hAnsi="Verdana" w:cs="Arial"/>
          <w:lang w:eastAsia="es-ES" w:bidi="es-ES"/>
        </w:rPr>
        <w:lastRenderedPageBreak/>
        <w:t>Circular Externa Única</w:t>
      </w:r>
      <w:r w:rsidRPr="005F73B4">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5F73B4">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5F73B4">
        <w:rPr>
          <w:rFonts w:ascii="Verdana" w:eastAsia="Calibri" w:hAnsi="Verdana" w:cs="Arial"/>
          <w:lang w:val="es-MX"/>
        </w:rPr>
        <w:t xml:space="preserve">los recursos del Estado se ejecuten para lograr apoyos indebidos mediante la suscripción de contratos y/o convenios, que para efectos de la Ley de Garantías tienen la misma connotación y propósitos. </w:t>
      </w:r>
    </w:p>
    <w:p w14:paraId="0E5F3AF2" w14:textId="77777777" w:rsidR="00CF5D12" w:rsidRPr="005F73B4" w:rsidRDefault="00CF5D12" w:rsidP="00CF5D12">
      <w:pPr>
        <w:spacing w:after="120"/>
        <w:ind w:firstLine="709"/>
        <w:jc w:val="both"/>
        <w:rPr>
          <w:rFonts w:ascii="Verdana" w:eastAsia="Arial" w:hAnsi="Verdana" w:cs="Arial"/>
          <w:lang w:val="es-MX" w:eastAsia="es-ES" w:bidi="es-ES"/>
        </w:rPr>
      </w:pPr>
      <w:r w:rsidRPr="005F73B4">
        <w:rPr>
          <w:rFonts w:ascii="Verdana" w:eastAsia="Calibri" w:hAnsi="Verdana" w:cs="Arial"/>
        </w:rPr>
        <w:t xml:space="preserve">Conforme </w:t>
      </w:r>
      <w:r>
        <w:rPr>
          <w:rFonts w:ascii="Verdana" w:eastAsia="Calibri" w:hAnsi="Verdana" w:cs="Arial"/>
        </w:rPr>
        <w:t>con</w:t>
      </w:r>
      <w:r w:rsidRPr="005F73B4">
        <w:rPr>
          <w:rFonts w:ascii="Verdana" w:eastAsia="Calibri" w:hAnsi="Verdana" w:cs="Arial"/>
        </w:rPr>
        <w:t xml:space="preserve">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5F73B4">
        <w:rPr>
          <w:rFonts w:ascii="Verdana" w:eastAsia="Arial" w:hAnsi="Verdana" w:cs="Arial"/>
          <w:lang w:eastAsia="es-ES" w:bidi="es-ES"/>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cosas, </w:t>
      </w:r>
      <w:r w:rsidRPr="005F73B4">
        <w:rPr>
          <w:rFonts w:ascii="Verdana" w:eastAsia="Calibri" w:hAnsi="Verdana" w:cs="Arial"/>
          <w:lang w:val="es-MX"/>
        </w:rPr>
        <w:t xml:space="preserve">a la fecha, se espera la decisión final respecto a la declaratoria de nulidad del numeral 16.2 de la Circular Externa Única que adopte el Consejo de Estado. </w:t>
      </w:r>
    </w:p>
    <w:bookmarkEnd w:id="22"/>
    <w:p w14:paraId="7664FF7F" w14:textId="77777777" w:rsidR="00CF5D12" w:rsidRPr="005A5B79" w:rsidRDefault="00CF5D12" w:rsidP="00CF5D12">
      <w:pPr>
        <w:tabs>
          <w:tab w:val="left" w:pos="426"/>
        </w:tabs>
        <w:spacing w:after="120"/>
        <w:ind w:firstLine="709"/>
        <w:jc w:val="both"/>
        <w:rPr>
          <w:rFonts w:ascii="Verdana" w:eastAsia="Times New Roman" w:hAnsi="Verdana" w:cs="Arial"/>
          <w:bCs/>
          <w:lang w:eastAsia="es-CO"/>
        </w:rPr>
      </w:pPr>
      <w:r w:rsidRPr="005A5B79">
        <w:rPr>
          <w:rFonts w:ascii="Verdana" w:eastAsia="Times New Roman" w:hAnsi="Verdana" w:cs="Arial"/>
          <w:bCs/>
          <w:lang w:eastAsia="es-CO"/>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5A5B79">
        <w:rPr>
          <w:rFonts w:ascii="Verdana" w:eastAsia="Times New Roman" w:hAnsi="Verdana" w:cs="Arial"/>
          <w:bCs/>
          <w:i/>
          <w:iCs/>
          <w:lang w:eastAsia="es-CO"/>
        </w:rPr>
        <w:t>ibidem</w:t>
      </w:r>
      <w:r w:rsidRPr="005A5B79">
        <w:rPr>
          <w:rFonts w:ascii="Verdana" w:eastAsia="Times New Roman" w:hAnsi="Verdana" w:cs="Arial"/>
          <w:bCs/>
          <w:lang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5A5B79">
        <w:rPr>
          <w:rStyle w:val="Refdenotaalpie"/>
          <w:rFonts w:ascii="Verdana" w:hAnsi="Verdana" w:cs="Arial"/>
          <w:bCs/>
          <w:lang w:eastAsia="es-CO"/>
        </w:rPr>
        <w:footnoteReference w:id="24"/>
      </w:r>
      <w:r w:rsidRPr="005A5B79">
        <w:rPr>
          <w:rFonts w:ascii="Verdana" w:eastAsia="Times New Roman" w:hAnsi="Verdana" w:cs="Arial"/>
          <w:bCs/>
          <w:lang w:eastAsia="es-CO"/>
        </w:rPr>
        <w:t xml:space="preserve">. </w:t>
      </w:r>
    </w:p>
    <w:p w14:paraId="1BAAA413" w14:textId="77777777" w:rsidR="00CF5D12" w:rsidRPr="00C466DF" w:rsidRDefault="00CF5D12" w:rsidP="00CF5D12">
      <w:pPr>
        <w:pStyle w:val="Textoindependiente"/>
        <w:spacing w:after="120" w:line="259" w:lineRule="auto"/>
        <w:ind w:firstLine="709"/>
        <w:jc w:val="both"/>
        <w:rPr>
          <w:rFonts w:ascii="Verdana" w:eastAsia="Calibri" w:hAnsi="Verdana"/>
          <w:lang w:val="es-CO"/>
        </w:rPr>
      </w:pPr>
      <w:r w:rsidRPr="005A5B79">
        <w:rPr>
          <w:rFonts w:ascii="Verdana" w:eastAsia="Times New Roman" w:hAnsi="Verdana"/>
          <w:bCs/>
          <w:lang w:eastAsia="es-CO"/>
        </w:rPr>
        <w:t>En todo caso</w:t>
      </w:r>
      <w:bookmarkStart w:id="24" w:name="_Hlk77154098"/>
      <w:r w:rsidRPr="005A5B79">
        <w:rPr>
          <w:rFonts w:ascii="Verdana" w:hAnsi="Verdana"/>
        </w:rPr>
        <w:t xml:space="preserve">, es importante resaltar que la Sala de Consulta y Servicio Civil del Consejo de Estado se ha pronunciado en el sentido de que </w:t>
      </w:r>
      <w:bookmarkStart w:id="25" w:name="_Hlk78820889"/>
      <w:r w:rsidRPr="005A5B79">
        <w:rPr>
          <w:rFonts w:ascii="Verdana" w:hAnsi="Verdana"/>
        </w:rPr>
        <w:t xml:space="preserve">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w:t>
      </w:r>
      <w:r w:rsidRPr="005A5B79">
        <w:rPr>
          <w:rFonts w:ascii="Verdana" w:hAnsi="Verdana"/>
        </w:rPr>
        <w:lastRenderedPageBreak/>
        <w:t>tienen los ciudadanos al acceso y oportuna administración de justicia</w:t>
      </w:r>
      <w:bookmarkEnd w:id="25"/>
      <w:r w:rsidRPr="005A5B79">
        <w:rPr>
          <w:rStyle w:val="Refdenotaalpie"/>
          <w:rFonts w:ascii="Verdana" w:hAnsi="Verdana"/>
        </w:rPr>
        <w:footnoteReference w:id="25"/>
      </w:r>
      <w:r w:rsidRPr="005A5B79">
        <w:rPr>
          <w:rFonts w:ascii="Verdana" w:eastAsia="Calibri" w:hAnsi="Verdana"/>
          <w:lang w:val="es-CO"/>
        </w:rPr>
        <w:t>.</w:t>
      </w:r>
      <w:bookmarkEnd w:id="19"/>
      <w:bookmarkEnd w:id="24"/>
    </w:p>
    <w:p w14:paraId="7C6526F8" w14:textId="77777777" w:rsidR="00CF5D12" w:rsidRPr="00A90DCC" w:rsidRDefault="00CF5D12" w:rsidP="00CF5D12">
      <w:pPr>
        <w:spacing w:before="120" w:after="120" w:line="276" w:lineRule="auto"/>
        <w:ind w:firstLine="709"/>
        <w:jc w:val="both"/>
        <w:rPr>
          <w:rFonts w:ascii="Verdana" w:eastAsia="Calibri" w:hAnsi="Verdana" w:cs="Arial"/>
          <w:lang w:val="es-ES"/>
        </w:rPr>
      </w:pPr>
      <w:proofErr w:type="spellStart"/>
      <w:r w:rsidRPr="00A90DCC">
        <w:rPr>
          <w:rFonts w:ascii="Verdana" w:eastAsia="Times New Roman" w:hAnsi="Verdana" w:cs="Arial"/>
          <w:bCs/>
          <w:lang w:eastAsia="es-CO"/>
        </w:rPr>
        <w:t>iii</w:t>
      </w:r>
      <w:proofErr w:type="spellEnd"/>
      <w:r w:rsidRPr="00A90DCC">
        <w:rPr>
          <w:rFonts w:ascii="Verdana" w:eastAsia="Times New Roman" w:hAnsi="Verdana" w:cs="Arial"/>
          <w:bCs/>
          <w:lang w:eastAsia="es-CO"/>
        </w:rPr>
        <w:t>) Por último, para dar respuesta al tercer problema jurídico</w:t>
      </w:r>
      <w:r>
        <w:rPr>
          <w:rFonts w:ascii="Verdana" w:eastAsia="Times New Roman" w:hAnsi="Verdana" w:cs="Arial"/>
          <w:bCs/>
          <w:lang w:eastAsia="es-CO"/>
        </w:rPr>
        <w:t>,</w:t>
      </w:r>
      <w:r w:rsidRPr="00A90DCC">
        <w:rPr>
          <w:rFonts w:ascii="Verdana" w:eastAsia="Times New Roman" w:hAnsi="Verdana" w:cs="Arial"/>
          <w:bCs/>
          <w:lang w:eastAsia="es-CO"/>
        </w:rPr>
        <w:t xml:space="preserve"> es necesario poner en contexto los contratos del artículo 355 de la Constitución Política y los convenios de asociación </w:t>
      </w:r>
      <w:r w:rsidRPr="00A90DCC">
        <w:rPr>
          <w:rFonts w:ascii="Verdana" w:eastAsia="Calibri" w:hAnsi="Verdana" w:cs="Arial"/>
          <w:lang w:val="es-ES"/>
        </w:rPr>
        <w:t>del artículo 96 de la Ley 489 de 19</w:t>
      </w:r>
      <w:r w:rsidRPr="00377ED6">
        <w:rPr>
          <w:rFonts w:ascii="Verdana" w:eastAsia="Calibri" w:hAnsi="Verdana" w:cs="Arial"/>
          <w:lang w:val="es-ES"/>
        </w:rPr>
        <w:t>98</w:t>
      </w:r>
      <w:r>
        <w:rPr>
          <w:rFonts w:ascii="Verdana" w:eastAsia="Calibri" w:hAnsi="Verdana" w:cs="Arial"/>
          <w:lang w:val="es-ES"/>
        </w:rPr>
        <w:t>, con el fin de determinar si a este tipo de negocios jurídicos le es aplicable la Ley 996 de 2005.</w:t>
      </w:r>
      <w:r w:rsidRPr="00377ED6">
        <w:rPr>
          <w:rFonts w:ascii="Verdana" w:eastAsia="Calibri" w:hAnsi="Verdana" w:cs="Arial"/>
          <w:lang w:val="es-ES"/>
        </w:rPr>
        <w:t xml:space="preserve"> </w:t>
      </w:r>
    </w:p>
    <w:p w14:paraId="4F94EF87" w14:textId="77777777" w:rsidR="00CF5D12" w:rsidRPr="00377ED6" w:rsidRDefault="00CF5D12" w:rsidP="00CF5D12">
      <w:pPr>
        <w:spacing w:before="120" w:after="120" w:line="276" w:lineRule="auto"/>
        <w:ind w:firstLine="709"/>
        <w:jc w:val="both"/>
        <w:rPr>
          <w:rFonts w:ascii="Verdana" w:eastAsia="Calibri" w:hAnsi="Verdana" w:cs="Arial"/>
          <w:lang w:val="es-ES"/>
        </w:rPr>
      </w:pPr>
      <w:bookmarkStart w:id="26" w:name="_Hlk38819155"/>
      <w:r w:rsidRPr="00377ED6">
        <w:rPr>
          <w:rFonts w:ascii="Verdana" w:eastAsia="Calibri" w:hAnsi="Verdana" w:cs="Arial"/>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bookmarkEnd w:id="26"/>
    </w:p>
    <w:p w14:paraId="1FB5FC91" w14:textId="77777777" w:rsidR="00CF5D12" w:rsidRDefault="00CF5D12" w:rsidP="00CF5D12">
      <w:pPr>
        <w:spacing w:before="120" w:after="120" w:line="276" w:lineRule="auto"/>
        <w:ind w:firstLine="709"/>
        <w:jc w:val="both"/>
        <w:rPr>
          <w:rFonts w:ascii="Verdana" w:eastAsia="Calibri" w:hAnsi="Verdana" w:cs="Arial"/>
          <w:lang w:val="es-ES"/>
        </w:rPr>
      </w:pPr>
      <w:bookmarkStart w:id="27" w:name="_Hlk95756032"/>
      <w:r w:rsidRPr="00377ED6">
        <w:rPr>
          <w:rFonts w:ascii="Verdana" w:eastAsia="Calibri" w:hAnsi="Verdana" w:cs="Arial"/>
          <w:lang w:val="es-ES"/>
        </w:rPr>
        <w:t xml:space="preserve">Los </w:t>
      </w:r>
      <w:r w:rsidRPr="00377ED6">
        <w:rPr>
          <w:rFonts w:ascii="Verdana" w:eastAsia="Calibri" w:hAnsi="Verdana" w:cs="Arial"/>
          <w:i/>
          <w:iCs/>
          <w:lang w:val="es-ES"/>
        </w:rPr>
        <w:t>contratos del artículo 355 de la Constitución Política</w:t>
      </w:r>
      <w:r w:rsidRPr="00377ED6">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23A6F715" w14:textId="77777777" w:rsidR="00CF5D12" w:rsidRPr="00551180" w:rsidRDefault="00CF5D12" w:rsidP="00CF5D12">
      <w:pPr>
        <w:spacing w:before="120" w:line="276" w:lineRule="auto"/>
        <w:ind w:firstLine="708"/>
        <w:jc w:val="both"/>
        <w:rPr>
          <w:rFonts w:ascii="Verdana" w:eastAsia="Calibri" w:hAnsi="Verdana" w:cs="Arial"/>
          <w:lang w:val="es-ES"/>
        </w:rPr>
      </w:pPr>
      <w:r w:rsidRPr="5F8BC1B5">
        <w:rPr>
          <w:rFonts w:ascii="Verdana" w:eastAsia="Calibri" w:hAnsi="Verdana" w:cs="Arial"/>
          <w:lang w:val="es-ES"/>
        </w:rPr>
        <w:t xml:space="preserve">Ahora bien, por disposición del artículo 4 del Decreto </w:t>
      </w:r>
      <w:r>
        <w:rPr>
          <w:rFonts w:ascii="Verdana" w:eastAsia="Calibri" w:hAnsi="Verdana" w:cs="Arial"/>
          <w:lang w:val="es-ES"/>
        </w:rPr>
        <w:t>0</w:t>
      </w:r>
      <w:r w:rsidRPr="5F8BC1B5">
        <w:rPr>
          <w:rFonts w:ascii="Verdana" w:eastAsia="Calibri" w:hAnsi="Verdana" w:cs="Arial"/>
          <w:lang w:val="es-ES"/>
        </w:rPr>
        <w:t xml:space="preserve">92 de 2017, las entidades estatales deberán adelantar procesos competitivos cuando en el </w:t>
      </w:r>
      <w:r w:rsidRPr="5F8BC1B5">
        <w:rPr>
          <w:rFonts w:ascii="Verdana" w:eastAsia="Calibri" w:hAnsi="Verdana" w:cs="Arial"/>
          <w:lang w:val="es-ES"/>
        </w:rPr>
        <w:lastRenderedPageBreak/>
        <w:t>marco de planeación se evidencie que el programa o actividad que se requiere desarrollar es ofrecido por más de una ESAL. Para tales casos el referido artículo establece que, en el desarrollo de los respectivos procedimientos, la entidad estatal deberá garantizar las siguientes fases: (i) definición y publicación de los indicadores de idoneidad, experiencia, eficacia, eficiencia, economía y de manejo del Riesgo y los criterios de ponderación para comparar las ofertas; (</w:t>
      </w:r>
      <w:proofErr w:type="spellStart"/>
      <w:r w:rsidRPr="5F8BC1B5">
        <w:rPr>
          <w:rFonts w:ascii="Verdana" w:eastAsia="Calibri" w:hAnsi="Verdana" w:cs="Arial"/>
          <w:lang w:val="es-ES"/>
        </w:rPr>
        <w:t>ii</w:t>
      </w:r>
      <w:proofErr w:type="spellEnd"/>
      <w:r w:rsidRPr="5F8BC1B5">
        <w:rPr>
          <w:rFonts w:ascii="Verdana" w:eastAsia="Calibri" w:hAnsi="Verdana" w:cs="Arial"/>
          <w:lang w:val="es-ES"/>
        </w:rPr>
        <w:t>) definición de un plazo razonable para que las entidades privadas sin ánimo de lucro de reconocida idoneidad presenten a la Entidad Estatal sus ofertas y los documentos que acrediten su idoneidad, y (</w:t>
      </w:r>
      <w:proofErr w:type="spellStart"/>
      <w:r w:rsidRPr="5F8BC1B5">
        <w:rPr>
          <w:rFonts w:ascii="Verdana" w:eastAsia="Calibri" w:hAnsi="Verdana" w:cs="Arial"/>
          <w:lang w:val="es-ES"/>
        </w:rPr>
        <w:t>iii</w:t>
      </w:r>
      <w:proofErr w:type="spellEnd"/>
      <w:r w:rsidRPr="5F8BC1B5">
        <w:rPr>
          <w:rFonts w:ascii="Verdana" w:eastAsia="Calibri" w:hAnsi="Verdana" w:cs="Arial"/>
          <w:lang w:val="es-ES"/>
        </w:rPr>
        <w:t xml:space="preserve">) evaluación de las ofertas por parte de la Entidad Estatal teniendo en cuenta los criterios definidos para el efecto. </w:t>
      </w:r>
    </w:p>
    <w:bookmarkEnd w:id="27"/>
    <w:p w14:paraId="5761A124" w14:textId="77777777" w:rsidR="00CF5D12" w:rsidRPr="00377ED6" w:rsidRDefault="00CF5D12" w:rsidP="00CF5D12">
      <w:pPr>
        <w:spacing w:before="120" w:after="120" w:line="276" w:lineRule="auto"/>
        <w:ind w:firstLine="709"/>
        <w:jc w:val="both"/>
        <w:rPr>
          <w:rFonts w:ascii="Verdana" w:eastAsia="Calibri" w:hAnsi="Verdana" w:cs="Arial"/>
          <w:bCs/>
          <w:lang w:val="es-ES_tradnl"/>
        </w:rPr>
      </w:pPr>
      <w:r w:rsidRPr="00377ED6">
        <w:rPr>
          <w:rFonts w:ascii="Verdana" w:eastAsia="Calibri" w:hAnsi="Verdana" w:cs="Arial"/>
          <w:bCs/>
          <w:lang w:val="es-ES_tradnl"/>
        </w:rPr>
        <w:t xml:space="preserve">De otro lado, los </w:t>
      </w:r>
      <w:r w:rsidRPr="00377ED6">
        <w:rPr>
          <w:rFonts w:ascii="Verdana" w:eastAsia="Calibri" w:hAnsi="Verdana" w:cs="Arial"/>
          <w:bCs/>
          <w:i/>
          <w:lang w:val="es-ES_tradnl"/>
        </w:rPr>
        <w:t>convenios de asociación</w:t>
      </w:r>
      <w:r w:rsidRPr="00377ED6">
        <w:rPr>
          <w:rFonts w:ascii="Verdana" w:eastAsia="Calibri" w:hAnsi="Verdana" w:cs="Arial"/>
          <w:bCs/>
          <w:lang w:val="es-ES_tradnl"/>
        </w:rPr>
        <w:t xml:space="preserve"> “[t]</w:t>
      </w:r>
      <w:proofErr w:type="spellStart"/>
      <w:r w:rsidRPr="00377ED6">
        <w:rPr>
          <w:rFonts w:ascii="Verdana" w:eastAsia="Calibri" w:hAnsi="Verdana" w:cs="Arial"/>
          <w:bCs/>
          <w:lang w:val="es-ES_tradnl"/>
        </w:rPr>
        <w:t>ienen</w:t>
      </w:r>
      <w:proofErr w:type="spellEnd"/>
      <w:r w:rsidRPr="00377ED6">
        <w:rPr>
          <w:rFonts w:ascii="Verdana" w:eastAsia="Calibri" w:hAnsi="Verdana"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377ED6">
        <w:rPr>
          <w:rFonts w:ascii="Verdana" w:hAnsi="Verdana" w:cs="Arial"/>
          <w:vertAlign w:val="superscript"/>
        </w:rPr>
        <w:footnoteReference w:id="26"/>
      </w:r>
      <w:r w:rsidRPr="00377ED6">
        <w:rPr>
          <w:rFonts w:ascii="Verdana" w:eastAsia="Calibri" w:hAnsi="Verdana" w:cs="Arial"/>
          <w:bCs/>
          <w:lang w:val="es-ES_tradnl"/>
        </w:rPr>
        <w:t xml:space="preserve">. En estos convenios existen aportes dirigidos, especialmente, a lograr la ejecución del convenio. De todos modos, la entidad deberá adelantar un proceso competitivo, </w:t>
      </w:r>
      <w:r w:rsidRPr="00337DB1">
        <w:rPr>
          <w:rFonts w:ascii="Verdana" w:eastAsia="Calibri" w:hAnsi="Verdana" w:cs="Arial"/>
          <w:bCs/>
          <w:u w:val="single"/>
          <w:lang w:val="es-ES_tradnl"/>
        </w:rPr>
        <w:t>salvo cuando la ESAL comprometa recursos en dinero para la ejecución de estas actividades, en una proporción no inferior al 30% del valor total del convenio.</w:t>
      </w:r>
      <w:r>
        <w:rPr>
          <w:rFonts w:ascii="Verdana" w:eastAsia="Calibri" w:hAnsi="Verdana" w:cs="Arial"/>
          <w:bCs/>
          <w:lang w:val="es-ES_tradnl"/>
        </w:rPr>
        <w:t xml:space="preserve"> (Énfasis resaltado).</w:t>
      </w:r>
      <w:r w:rsidRPr="00377ED6">
        <w:rPr>
          <w:rFonts w:ascii="Verdana" w:eastAsia="Calibri" w:hAnsi="Verdana" w:cs="Arial"/>
          <w:bCs/>
          <w:lang w:val="es-ES_tradnl"/>
        </w:rPr>
        <w:t xml:space="preserve"> El convenio de asociación no es conmutativo, </w:t>
      </w:r>
      <w:proofErr w:type="gramStart"/>
      <w:r w:rsidRPr="00377ED6">
        <w:rPr>
          <w:rFonts w:ascii="Verdana" w:eastAsia="Calibri" w:hAnsi="Verdana" w:cs="Arial"/>
          <w:bCs/>
          <w:lang w:val="es-ES_tradnl"/>
        </w:rPr>
        <w:t>y</w:t>
      </w:r>
      <w:proofErr w:type="gramEnd"/>
      <w:r w:rsidRPr="00377ED6">
        <w:rPr>
          <w:rFonts w:ascii="Verdana" w:eastAsia="Calibri" w:hAnsi="Verdana" w:cs="Arial"/>
          <w:bCs/>
          <w:lang w:val="es-ES_tradnl"/>
        </w:rPr>
        <w:t xml:space="preserve"> por tanto, la entidad no instruye al contratista para desarrollar los programas o actividades previstas, sino que se asocia con él para el cumplimiento de objetivos comunes</w:t>
      </w:r>
      <w:r w:rsidRPr="00377ED6">
        <w:rPr>
          <w:rFonts w:ascii="Verdana" w:hAnsi="Verdana" w:cs="Arial"/>
          <w:vertAlign w:val="superscript"/>
        </w:rPr>
        <w:footnoteReference w:id="27"/>
      </w:r>
      <w:r w:rsidRPr="00377ED6">
        <w:rPr>
          <w:rFonts w:ascii="Verdana" w:eastAsia="Calibri" w:hAnsi="Verdana" w:cs="Arial"/>
          <w:bCs/>
          <w:lang w:val="es-ES_tradnl"/>
        </w:rPr>
        <w:t>.</w:t>
      </w:r>
    </w:p>
    <w:p w14:paraId="576FCAFA" w14:textId="77777777" w:rsidR="00CF5D12" w:rsidRPr="00377ED6" w:rsidRDefault="00CF5D12" w:rsidP="00CF5D12">
      <w:pPr>
        <w:spacing w:before="120" w:after="120" w:line="276" w:lineRule="auto"/>
        <w:ind w:firstLine="709"/>
        <w:jc w:val="both"/>
        <w:rPr>
          <w:rFonts w:ascii="Verdana" w:eastAsia="Calibri" w:hAnsi="Verdana" w:cs="Arial"/>
          <w:bCs/>
        </w:rPr>
      </w:pPr>
      <w:r w:rsidRPr="00377ED6">
        <w:rPr>
          <w:rFonts w:ascii="Verdana" w:eastAsia="Calibri" w:hAnsi="Verdana"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377ED6">
        <w:rPr>
          <w:rFonts w:ascii="Verdana" w:eastAsia="Calibri" w:hAnsi="Verdana" w:cs="Arial"/>
          <w:bCs/>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w:t>
      </w:r>
      <w:r w:rsidRPr="00377ED6">
        <w:rPr>
          <w:rFonts w:ascii="Verdana" w:eastAsia="Calibri" w:hAnsi="Verdana" w:cs="Arial"/>
          <w:bCs/>
        </w:rPr>
        <w:lastRenderedPageBreak/>
        <w:t>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76CABE0C" w14:textId="77777777" w:rsidR="00CF5D12" w:rsidRPr="00377ED6" w:rsidRDefault="00CF5D12" w:rsidP="00CF5D12">
      <w:pPr>
        <w:spacing w:before="120" w:after="120" w:line="276" w:lineRule="auto"/>
        <w:ind w:firstLine="709"/>
        <w:jc w:val="both"/>
        <w:rPr>
          <w:rFonts w:ascii="Verdana" w:hAnsi="Verdana"/>
        </w:rPr>
      </w:pPr>
      <w:r w:rsidRPr="00377ED6">
        <w:rPr>
          <w:rFonts w:ascii="Verdana" w:hAnsi="Verdana" w:cs="Arial"/>
          <w:color w:val="000000" w:themeColor="text1"/>
        </w:rPr>
        <w:t xml:space="preserve">La noción “seleccionar de forma objetiva”, contenida en la disposición </w:t>
      </w:r>
      <w:r w:rsidRPr="00377ED6">
        <w:rPr>
          <w:rFonts w:ascii="Verdana" w:hAnsi="Verdana" w:cs="Arial"/>
          <w:i/>
          <w:iCs/>
          <w:color w:val="000000" w:themeColor="text1"/>
        </w:rPr>
        <w:t xml:space="preserve">sub examine </w:t>
      </w:r>
      <w:r w:rsidRPr="00377ED6">
        <w:rPr>
          <w:rFonts w:ascii="Verdana" w:hAnsi="Verdana" w:cs="Arial"/>
          <w:color w:val="000000" w:themeColor="text1"/>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5AE9BB68" w14:textId="77777777" w:rsidR="00CF5D12" w:rsidRPr="00377ED6" w:rsidRDefault="00CF5D12" w:rsidP="00CF5D12">
      <w:pPr>
        <w:spacing w:after="0" w:line="276" w:lineRule="auto"/>
        <w:ind w:firstLine="708"/>
        <w:jc w:val="both"/>
        <w:rPr>
          <w:rFonts w:ascii="Verdana" w:hAnsi="Verdana" w:cs="Arial"/>
          <w:color w:val="000000" w:themeColor="text1"/>
          <w:lang w:val="es-MX"/>
        </w:rPr>
      </w:pPr>
      <w:r w:rsidRPr="00377ED6">
        <w:rPr>
          <w:rFonts w:ascii="Verdana" w:hAnsi="Verdana" w:cs="Arial"/>
          <w:color w:val="000000" w:themeColor="text1"/>
          <w:lang w:val="es-MX"/>
        </w:rPr>
        <w:t>Es importante aclarar que los negocios jurídicos que regula el Decreto 092 de 2017 “[…] son esencialmente distintos a los contratos para la adquisición y aprovisionamiento de bienes, obras o servicios regulados por el estatuto de contratación y</w:t>
      </w:r>
      <w:r>
        <w:rPr>
          <w:rFonts w:ascii="Verdana" w:hAnsi="Verdana" w:cs="Arial"/>
          <w:color w:val="000000" w:themeColor="text1"/>
          <w:lang w:val="es-MX"/>
        </w:rPr>
        <w:t xml:space="preserve"> </w:t>
      </w:r>
      <w:r w:rsidRPr="00377ED6">
        <w:rPr>
          <w:rFonts w:ascii="Verdana" w:hAnsi="Verdana" w:cs="Arial"/>
          <w:color w:val="000000" w:themeColor="text1"/>
          <w:lang w:val="es-MX"/>
        </w:rPr>
        <w:t>[como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377ED6">
        <w:rPr>
          <w:rFonts w:ascii="Verdana" w:hAnsi="Verdana" w:cs="Arial"/>
          <w:color w:val="000000" w:themeColor="text1"/>
          <w:vertAlign w:val="superscript"/>
          <w:lang w:val="es-MX"/>
        </w:rPr>
        <w:footnoteReference w:id="28"/>
      </w:r>
      <w:r w:rsidRPr="00377ED6">
        <w:rPr>
          <w:rFonts w:ascii="Verdana" w:hAnsi="Verdana" w:cs="Arial"/>
          <w:color w:val="000000" w:themeColor="text1"/>
          <w:lang w:val="es-MX"/>
        </w:rPr>
        <w:t>. Así lo consideró la Sala de Consulta y Servicio Civil del Consejo de Estado:</w:t>
      </w:r>
    </w:p>
    <w:p w14:paraId="53C77818" w14:textId="77777777" w:rsidR="00CF5D12" w:rsidRPr="00377ED6" w:rsidRDefault="00CF5D12" w:rsidP="00CF5D12">
      <w:pPr>
        <w:spacing w:after="0" w:line="276" w:lineRule="auto"/>
        <w:jc w:val="both"/>
        <w:rPr>
          <w:rFonts w:ascii="Verdana" w:hAnsi="Verdana" w:cs="Arial"/>
          <w:color w:val="000000" w:themeColor="text1"/>
          <w:lang w:val="es-MX"/>
        </w:rPr>
      </w:pPr>
    </w:p>
    <w:p w14:paraId="26571F77" w14:textId="77777777" w:rsidR="00CF5D12" w:rsidRPr="003E7CD1" w:rsidRDefault="00CF5D12" w:rsidP="00CF5D12">
      <w:pPr>
        <w:spacing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 xml:space="preserve">“Como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w:t>
      </w:r>
      <w:proofErr w:type="gramStart"/>
      <w:r w:rsidRPr="003E7CD1">
        <w:rPr>
          <w:rFonts w:ascii="Verdana" w:eastAsia="Calibri" w:hAnsi="Verdana" w:cs="Arial"/>
          <w:color w:val="000000" w:themeColor="text1"/>
          <w:sz w:val="20"/>
          <w:szCs w:val="20"/>
        </w:rPr>
        <w:t>y</w:t>
      </w:r>
      <w:proofErr w:type="gramEnd"/>
      <w:r w:rsidRPr="003E7CD1">
        <w:rPr>
          <w:rFonts w:ascii="Verdana" w:eastAsia="Calibri" w:hAnsi="Verdana" w:cs="Arial"/>
          <w:color w:val="000000" w:themeColor="text1"/>
          <w:sz w:val="20"/>
          <w:szCs w:val="20"/>
        </w:rPr>
        <w:t xml:space="preserve"> por lo tanto, se tipifican dentro de cualquiera de las modalidades de contratación de la ley </w:t>
      </w:r>
      <w:r w:rsidRPr="003E7CD1">
        <w:rPr>
          <w:rFonts w:ascii="Verdana" w:eastAsia="Calibri" w:hAnsi="Verdana" w:cs="Arial"/>
          <w:color w:val="000000" w:themeColor="text1"/>
          <w:sz w:val="20"/>
          <w:szCs w:val="20"/>
        </w:rPr>
        <w:lastRenderedPageBreak/>
        <w:t>80 de 1.993, debiendo sujetarse a los procedimientos allí previstos, en especial los de escogencia del contratista.</w:t>
      </w:r>
    </w:p>
    <w:p w14:paraId="775EDD89" w14:textId="77777777" w:rsidR="00CF5D12" w:rsidRPr="003E7CD1" w:rsidRDefault="00CF5D12" w:rsidP="00CF5D12">
      <w:pPr>
        <w:spacing w:after="0" w:line="240" w:lineRule="auto"/>
        <w:ind w:left="708"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r w:rsidRPr="003E7CD1">
        <w:rPr>
          <w:rFonts w:ascii="Verdana" w:hAnsi="Verdana" w:cs="Arial"/>
          <w:color w:val="000000" w:themeColor="text1"/>
          <w:sz w:val="20"/>
          <w:szCs w:val="20"/>
          <w:vertAlign w:val="superscript"/>
        </w:rPr>
        <w:t xml:space="preserve"> </w:t>
      </w:r>
      <w:r w:rsidRPr="003E7CD1">
        <w:rPr>
          <w:rFonts w:ascii="Verdana" w:hAnsi="Verdana" w:cs="Arial"/>
          <w:color w:val="000000" w:themeColor="text1"/>
          <w:sz w:val="20"/>
          <w:szCs w:val="20"/>
          <w:vertAlign w:val="superscript"/>
        </w:rPr>
        <w:footnoteReference w:id="29"/>
      </w:r>
      <w:r w:rsidRPr="003E7CD1">
        <w:rPr>
          <w:rFonts w:ascii="Verdana" w:eastAsia="Calibri" w:hAnsi="Verdana" w:cs="Arial"/>
          <w:color w:val="000000" w:themeColor="text1"/>
          <w:sz w:val="20"/>
          <w:szCs w:val="20"/>
        </w:rPr>
        <w:t>.</w:t>
      </w:r>
    </w:p>
    <w:p w14:paraId="0D65D1A6" w14:textId="77777777" w:rsidR="00CF5D12" w:rsidRPr="00377ED6" w:rsidRDefault="00CF5D12" w:rsidP="00CF5D12">
      <w:pPr>
        <w:spacing w:after="0" w:line="276" w:lineRule="auto"/>
        <w:ind w:firstLine="708"/>
        <w:jc w:val="both"/>
        <w:rPr>
          <w:rFonts w:ascii="Verdana" w:eastAsia="Calibri" w:hAnsi="Verdana" w:cs="Arial"/>
          <w:color w:val="000000" w:themeColor="text1"/>
        </w:rPr>
      </w:pPr>
      <w:bookmarkStart w:id="28" w:name="_Hlk95756200"/>
    </w:p>
    <w:p w14:paraId="162890F8" w14:textId="77777777" w:rsidR="00CF5D12" w:rsidRPr="00377ED6" w:rsidRDefault="00CF5D12" w:rsidP="00CF5D12">
      <w:pPr>
        <w:spacing w:after="0" w:line="276" w:lineRule="auto"/>
        <w:ind w:firstLine="708"/>
        <w:jc w:val="both"/>
        <w:rPr>
          <w:rFonts w:ascii="Verdana" w:eastAsia="Calibri" w:hAnsi="Verdana" w:cs="Arial"/>
          <w:color w:val="000000" w:themeColor="text1"/>
        </w:rPr>
      </w:pPr>
      <w:r w:rsidRPr="00377ED6">
        <w:rPr>
          <w:rFonts w:ascii="Verdana" w:eastAsia="Calibri" w:hAnsi="Verdana"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28"/>
      <w:r w:rsidRPr="00377ED6">
        <w:rPr>
          <w:rFonts w:ascii="Verdana" w:eastAsia="Calibri" w:hAnsi="Verdana" w:cs="Arial"/>
          <w:color w:val="000000" w:themeColor="text1"/>
        </w:rPr>
        <w:t>Así lo reconoció la Corte Constitucional en la sentencia C-287 del 18 de abril de 2012, en la que sostuvo lo siguiente:</w:t>
      </w:r>
    </w:p>
    <w:p w14:paraId="2D4E2E65" w14:textId="77777777" w:rsidR="00CF5D12" w:rsidRPr="00377ED6" w:rsidRDefault="00CF5D12" w:rsidP="003F4941">
      <w:pPr>
        <w:spacing w:after="0" w:line="240" w:lineRule="auto"/>
        <w:ind w:firstLine="709"/>
        <w:jc w:val="both"/>
        <w:rPr>
          <w:rFonts w:ascii="Verdana" w:eastAsia="Calibri" w:hAnsi="Verdana" w:cs="Arial"/>
          <w:color w:val="000000" w:themeColor="text1"/>
        </w:rPr>
      </w:pPr>
    </w:p>
    <w:p w14:paraId="2B56AA4A" w14:textId="77777777" w:rsidR="00CF5D12" w:rsidRPr="003E7CD1" w:rsidRDefault="00CF5D12" w:rsidP="00CF5D12">
      <w:pPr>
        <w:spacing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36CFAB4E" w14:textId="77777777" w:rsidR="00CF5D12" w:rsidRPr="003E7CD1" w:rsidRDefault="00CF5D12" w:rsidP="00CF5D12">
      <w:pPr>
        <w:spacing w:after="0"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i/>
          <w:iCs/>
          <w:color w:val="000000" w:themeColor="text1"/>
          <w:sz w:val="20"/>
          <w:szCs w:val="20"/>
        </w:rPr>
        <w:t xml:space="preserve">Sin embargo, el hecho que no persigan una finalidad </w:t>
      </w:r>
      <w:proofErr w:type="gramStart"/>
      <w:r w:rsidRPr="003E7CD1">
        <w:rPr>
          <w:rFonts w:ascii="Verdana" w:eastAsia="Calibri" w:hAnsi="Verdana" w:cs="Arial"/>
          <w:i/>
          <w:iCs/>
          <w:color w:val="000000" w:themeColor="text1"/>
          <w:sz w:val="20"/>
          <w:szCs w:val="20"/>
        </w:rPr>
        <w:t>lucrativa,</w:t>
      </w:r>
      <w:proofErr w:type="gramEnd"/>
      <w:r w:rsidRPr="003E7CD1">
        <w:rPr>
          <w:rFonts w:ascii="Verdana" w:eastAsia="Calibri" w:hAnsi="Verdana" w:cs="Arial"/>
          <w:i/>
          <w:iCs/>
          <w:color w:val="000000" w:themeColor="text1"/>
          <w:sz w:val="20"/>
          <w:szCs w:val="20"/>
        </w:rPr>
        <w:t xml:space="preserve"> no significa que no desarrollen actividades que generen utilidades, lo que pasa es </w:t>
      </w:r>
      <w:proofErr w:type="gramStart"/>
      <w:r w:rsidRPr="003E7CD1">
        <w:rPr>
          <w:rFonts w:ascii="Verdana" w:eastAsia="Calibri" w:hAnsi="Verdana" w:cs="Arial"/>
          <w:i/>
          <w:iCs/>
          <w:color w:val="000000" w:themeColor="text1"/>
          <w:sz w:val="20"/>
          <w:szCs w:val="20"/>
        </w:rPr>
        <w:t>que</w:t>
      </w:r>
      <w:proofErr w:type="gramEnd"/>
      <w:r w:rsidRPr="003E7CD1">
        <w:rPr>
          <w:rFonts w:ascii="Verdana" w:eastAsia="Calibri" w:hAnsi="Verdana" w:cs="Arial"/>
          <w:i/>
          <w:iCs/>
          <w:color w:val="000000" w:themeColor="text1"/>
          <w:sz w:val="20"/>
          <w:szCs w:val="20"/>
        </w:rPr>
        <w:t xml:space="preserve"> a diferencia de las sociedades, el lucro o ganancia obtenida no se reparte entre sus </w:t>
      </w:r>
      <w:proofErr w:type="gramStart"/>
      <w:r w:rsidRPr="003E7CD1">
        <w:rPr>
          <w:rFonts w:ascii="Verdana" w:eastAsia="Calibri" w:hAnsi="Verdana" w:cs="Arial"/>
          <w:i/>
          <w:iCs/>
          <w:color w:val="000000" w:themeColor="text1"/>
          <w:sz w:val="20"/>
          <w:szCs w:val="20"/>
        </w:rPr>
        <w:t>miembros</w:t>
      </w:r>
      <w:proofErr w:type="gramEnd"/>
      <w:r w:rsidRPr="003E7CD1">
        <w:rPr>
          <w:rFonts w:ascii="Verdana" w:eastAsia="Calibri" w:hAnsi="Verdana" w:cs="Arial"/>
          <w:i/>
          <w:iCs/>
          <w:color w:val="000000" w:themeColor="text1"/>
          <w:sz w:val="20"/>
          <w:szCs w:val="20"/>
        </w:rPr>
        <w:t xml:space="preserve"> sino que se integra al patrimonio de la asociación para la obtención del fin deseado</w:t>
      </w:r>
      <w:r w:rsidRPr="003E7CD1">
        <w:rPr>
          <w:rFonts w:ascii="Verdana" w:eastAsia="Calibri" w:hAnsi="Verdana" w:cs="Arial"/>
          <w:color w:val="000000" w:themeColor="text1"/>
          <w:sz w:val="20"/>
          <w:szCs w:val="20"/>
        </w:rPr>
        <w:t xml:space="preserve">.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3E7CD1">
        <w:rPr>
          <w:rFonts w:ascii="Verdana" w:eastAsia="Calibri" w:hAnsi="Verdana" w:cs="Arial"/>
          <w:color w:val="000000" w:themeColor="text1"/>
          <w:sz w:val="20"/>
          <w:szCs w:val="20"/>
        </w:rPr>
        <w:t>del mismo</w:t>
      </w:r>
      <w:proofErr w:type="gramEnd"/>
      <w:r w:rsidRPr="003E7CD1">
        <w:rPr>
          <w:rFonts w:ascii="Verdana" w:eastAsia="Calibri" w:hAnsi="Verdana" w:cs="Arial"/>
          <w:color w:val="000000" w:themeColor="text1"/>
          <w:sz w:val="20"/>
          <w:szCs w:val="20"/>
        </w:rPr>
        <w:t xml:space="preserve"> en el momento de su disolución o liquidación”. (Cursivas propias)</w:t>
      </w:r>
    </w:p>
    <w:p w14:paraId="57EBA1AE" w14:textId="77777777" w:rsidR="00CF5D12" w:rsidRPr="00377ED6" w:rsidRDefault="00CF5D12" w:rsidP="00CF5D12">
      <w:pPr>
        <w:spacing w:after="0" w:line="276" w:lineRule="auto"/>
        <w:ind w:firstLine="709"/>
        <w:jc w:val="both"/>
        <w:rPr>
          <w:rFonts w:ascii="Verdana" w:eastAsia="Calibri" w:hAnsi="Verdana" w:cs="Arial"/>
          <w:color w:val="000000" w:themeColor="text1"/>
        </w:rPr>
      </w:pPr>
    </w:p>
    <w:p w14:paraId="05A681F5" w14:textId="77777777" w:rsidR="00CF5D12" w:rsidRPr="00377ED6" w:rsidRDefault="00CF5D12" w:rsidP="00CF5D12">
      <w:pPr>
        <w:spacing w:after="120" w:line="276" w:lineRule="auto"/>
        <w:ind w:firstLine="709"/>
        <w:jc w:val="both"/>
        <w:rPr>
          <w:rFonts w:ascii="Verdana" w:eastAsia="Calibri" w:hAnsi="Verdana" w:cs="Arial"/>
          <w:color w:val="000000" w:themeColor="text1"/>
        </w:rPr>
      </w:pPr>
      <w:r w:rsidRPr="00377ED6">
        <w:rPr>
          <w:rFonts w:ascii="Verdana" w:eastAsia="Calibri" w:hAnsi="Verdana" w:cs="Arial"/>
          <w:color w:val="000000" w:themeColor="text1"/>
        </w:rPr>
        <w:t xml:space="preserve">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w:t>
      </w:r>
      <w:r w:rsidRPr="00377ED6">
        <w:rPr>
          <w:rFonts w:ascii="Verdana" w:eastAsia="Calibri" w:hAnsi="Verdana" w:cs="Arial"/>
          <w:color w:val="000000" w:themeColor="text1"/>
        </w:rPr>
        <w:lastRenderedPageBreak/>
        <w:t>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5FD43D23" w14:textId="77777777" w:rsidR="00CF5D12" w:rsidRPr="00377ED6" w:rsidRDefault="00CF5D12" w:rsidP="00CF5D12">
      <w:pPr>
        <w:spacing w:line="276" w:lineRule="auto"/>
        <w:ind w:firstLine="709"/>
        <w:jc w:val="both"/>
        <w:rPr>
          <w:rFonts w:ascii="Verdana" w:eastAsia="Calibri" w:hAnsi="Verdana" w:cs="Arial"/>
          <w:color w:val="000000" w:themeColor="text1"/>
        </w:rPr>
      </w:pPr>
      <w:r w:rsidRPr="00377ED6">
        <w:rPr>
          <w:rFonts w:ascii="Verdana" w:hAnsi="Verdana" w:cs="Arial"/>
          <w:color w:val="000000" w:themeColor="text1"/>
        </w:rPr>
        <w:t xml:space="preserve">Es importante tener en cuenta que la contratación con entidades sin ánimo de lucro se rige por el Decreto 092 de 2017, salvo lo que ha sido objeto de suspensión provisional por parte del Consejo de Estado. Por lo tanto, las entidades públicas que desean celebrar </w:t>
      </w:r>
      <w:r w:rsidRPr="00377ED6">
        <w:rPr>
          <w:rFonts w:ascii="Verdana" w:hAnsi="Verdana" w:cs="Arial"/>
          <w:i/>
          <w:iCs/>
          <w:color w:val="000000" w:themeColor="text1"/>
        </w:rPr>
        <w:t>contratos del artículo 355 de la Constitución Política</w:t>
      </w:r>
      <w:r w:rsidRPr="00377ED6">
        <w:rPr>
          <w:rFonts w:ascii="Verdana" w:hAnsi="Verdana" w:cs="Arial"/>
          <w:color w:val="000000" w:themeColor="text1"/>
        </w:rPr>
        <w:t xml:space="preserve"> deberán contratar con ESAL de reconocida idoneidad realizando un proceso competitivo, y teniendo en cuenta lo siguiente: i) no debe condicionarse el proceso de contratación a la inexistencia de oferta en el mercado de bienes y servicios; </w:t>
      </w:r>
      <w:proofErr w:type="spellStart"/>
      <w:r w:rsidRPr="00377ED6">
        <w:rPr>
          <w:rFonts w:ascii="Verdana" w:hAnsi="Verdana" w:cs="Arial"/>
          <w:color w:val="000000" w:themeColor="text1"/>
        </w:rPr>
        <w:t>ii</w:t>
      </w:r>
      <w:proofErr w:type="spellEnd"/>
      <w:r w:rsidRPr="00377ED6">
        <w:rPr>
          <w:rFonts w:ascii="Verdana" w:hAnsi="Verdana"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377ED6">
        <w:rPr>
          <w:rFonts w:ascii="Verdana" w:hAnsi="Verdana" w:cs="Arial"/>
          <w:color w:val="000000" w:themeColor="text1"/>
        </w:rPr>
        <w:t>iii</w:t>
      </w:r>
      <w:proofErr w:type="spellEnd"/>
      <w:r w:rsidRPr="00377ED6">
        <w:rPr>
          <w:rFonts w:ascii="Verdana" w:hAnsi="Verdana" w:cs="Arial"/>
          <w:color w:val="000000" w:themeColor="text1"/>
        </w:rPr>
        <w:t xml:space="preserve">) el objeto del contrato debe estar acorde con el plan nacional o seccional de desarrollo; </w:t>
      </w:r>
      <w:proofErr w:type="spellStart"/>
      <w:r w:rsidRPr="00377ED6">
        <w:rPr>
          <w:rFonts w:ascii="Verdana" w:hAnsi="Verdana" w:cs="Arial"/>
          <w:color w:val="000000" w:themeColor="text1"/>
        </w:rPr>
        <w:t>iv</w:t>
      </w:r>
      <w:proofErr w:type="spellEnd"/>
      <w:r w:rsidRPr="00377ED6">
        <w:rPr>
          <w:rFonts w:ascii="Verdana" w:hAnsi="Verdana"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377ED6">
        <w:rPr>
          <w:rFonts w:ascii="Verdana" w:hAnsi="Verdana" w:cs="Arial"/>
          <w:color w:val="000000" w:themeColor="text1"/>
        </w:rPr>
        <w:t>iii</w:t>
      </w:r>
      <w:proofErr w:type="spellEnd"/>
      <w:r w:rsidRPr="00377ED6">
        <w:rPr>
          <w:rFonts w:ascii="Verdana" w:hAnsi="Verdana"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14:paraId="1616668A" w14:textId="0692FA2D" w:rsidR="00CF5D12" w:rsidRDefault="00CF5D12" w:rsidP="008A6A02">
      <w:pPr>
        <w:spacing w:after="0" w:line="276" w:lineRule="auto"/>
        <w:ind w:firstLine="709"/>
        <w:jc w:val="both"/>
        <w:rPr>
          <w:rFonts w:ascii="Verdana" w:eastAsia="Calibri" w:hAnsi="Verdana" w:cs="Arial"/>
          <w:color w:val="000000"/>
        </w:rPr>
      </w:pPr>
      <w:r>
        <w:rPr>
          <w:rFonts w:ascii="Verdana" w:eastAsia="Calibri" w:hAnsi="Verdana" w:cs="Arial"/>
          <w:color w:val="000000" w:themeColor="text1"/>
        </w:rPr>
        <w:t>De esta manera</w:t>
      </w:r>
      <w:r w:rsidRPr="00377ED6">
        <w:rPr>
          <w:rFonts w:ascii="Verdana" w:eastAsia="Calibri" w:hAnsi="Verdana" w:cs="Arial"/>
          <w:color w:val="000000" w:themeColor="text1"/>
        </w:rPr>
        <w:t xml:space="preserve">, si se pretende realizar un </w:t>
      </w:r>
      <w:r w:rsidRPr="00377ED6">
        <w:rPr>
          <w:rFonts w:ascii="Verdana" w:eastAsia="Calibri" w:hAnsi="Verdana" w:cs="Arial"/>
          <w:i/>
          <w:iCs/>
          <w:color w:val="000000" w:themeColor="text1"/>
        </w:rPr>
        <w:t>convenio de asociación</w:t>
      </w:r>
      <w:r w:rsidRPr="00377ED6">
        <w:rPr>
          <w:rFonts w:ascii="Verdana" w:eastAsia="Calibri" w:hAnsi="Verdana" w:cs="Arial"/>
          <w:color w:val="000000" w:themeColor="text1"/>
        </w:rPr>
        <w:t xml:space="preserve"> con ESAL de reconocida idoneidad para el cumplimiento de las funciones que la ley les asigna a las entidades públicas, deberá aplicarse lo dispuesto en el artículo 5 del Decreto 092 de 2017. </w:t>
      </w:r>
      <w:r>
        <w:rPr>
          <w:rFonts w:ascii="Verdana" w:eastAsia="Calibri" w:hAnsi="Verdana" w:cs="Arial"/>
          <w:color w:val="000000" w:themeColor="text1"/>
        </w:rPr>
        <w:t>Por lo tanto</w:t>
      </w:r>
      <w:r w:rsidRPr="00377ED6">
        <w:rPr>
          <w:rFonts w:ascii="Verdana" w:eastAsia="Calibri" w:hAnsi="Verdana" w:cs="Arial"/>
          <w:color w:val="000000" w:themeColor="text1"/>
        </w:rPr>
        <w:t xml:space="preserve">, deben estar sujetos a competencia, salvo en aquellos casos en que una entidad sin ánimo de lucro comprometa recursos en dinero por un valor igual o superior al 30% del valor total del </w:t>
      </w:r>
      <w:r w:rsidRPr="00377ED6">
        <w:rPr>
          <w:rFonts w:ascii="Verdana" w:eastAsia="Calibri" w:hAnsi="Verdana" w:cs="Arial"/>
          <w:color w:val="000000" w:themeColor="text1"/>
        </w:rPr>
        <w:lastRenderedPageBreak/>
        <w:t>convenio</w:t>
      </w:r>
      <w:r w:rsidRPr="00377ED6">
        <w:rPr>
          <w:rFonts w:ascii="Verdana" w:hAnsi="Verdana" w:cs="Arial"/>
          <w:color w:val="000000" w:themeColor="text1"/>
          <w:vertAlign w:val="superscript"/>
        </w:rPr>
        <w:footnoteReference w:id="30"/>
      </w:r>
      <w:r w:rsidRPr="00377ED6">
        <w:rPr>
          <w:rFonts w:ascii="Verdana" w:eastAsia="Calibri" w:hAnsi="Verdana" w:cs="Arial"/>
          <w:color w:val="000000" w:themeColor="text1"/>
        </w:rPr>
        <w:t xml:space="preserve">, y siempre que la entidad estatal verifique previamente que no existe ninguna otra entidad sin ánimo de lucro que ofrezca aportes iguales o superiores al 30%. </w:t>
      </w:r>
      <w:r w:rsidR="008A6A02">
        <w:rPr>
          <w:rFonts w:ascii="Verdana" w:eastAsia="Calibri" w:hAnsi="Verdana" w:cs="Arial"/>
          <w:color w:val="000000" w:themeColor="text1"/>
        </w:rPr>
        <w:t xml:space="preserve">En ese orden, en vigencia de la </w:t>
      </w:r>
      <w:r w:rsidR="008A6A02" w:rsidRPr="00377ED6">
        <w:rPr>
          <w:rFonts w:ascii="Verdana" w:eastAsia="Calibri" w:hAnsi="Verdana" w:cs="Arial"/>
          <w:color w:val="000000"/>
        </w:rPr>
        <w:t>restricci</w:t>
      </w:r>
      <w:r w:rsidR="008A6A02">
        <w:rPr>
          <w:rFonts w:ascii="Verdana" w:eastAsia="Calibri" w:hAnsi="Verdana" w:cs="Arial"/>
          <w:color w:val="000000"/>
        </w:rPr>
        <w:t>ón</w:t>
      </w:r>
      <w:r w:rsidR="008A6A02" w:rsidRPr="00377ED6">
        <w:rPr>
          <w:rFonts w:ascii="Verdana" w:eastAsia="Calibri" w:hAnsi="Verdana" w:cs="Arial"/>
          <w:color w:val="000000"/>
        </w:rPr>
        <w:t xml:space="preserve"> prevista en el artículo 33 de la Ley de Garantías</w:t>
      </w:r>
      <w:r w:rsidR="008A6A02">
        <w:rPr>
          <w:rFonts w:ascii="Verdana" w:eastAsia="Calibri" w:hAnsi="Verdana" w:cs="Arial"/>
          <w:color w:val="000000"/>
        </w:rPr>
        <w:t xml:space="preserve"> Electorales, según el artículo 5 del Decreto 092 de 2017, solo podrán celebrarse convenios previo desarrollo de proceso competitivo.</w:t>
      </w:r>
    </w:p>
    <w:p w14:paraId="3A1F3840" w14:textId="77777777" w:rsidR="008A6A02" w:rsidRPr="005237A8" w:rsidRDefault="008A6A02" w:rsidP="008A6A02">
      <w:pPr>
        <w:spacing w:after="0" w:line="276" w:lineRule="auto"/>
        <w:ind w:firstLine="709"/>
        <w:jc w:val="both"/>
        <w:rPr>
          <w:rFonts w:ascii="Verdana" w:eastAsia="Calibri" w:hAnsi="Verdana" w:cs="Arial"/>
          <w:color w:val="000000" w:themeColor="text1"/>
        </w:rPr>
      </w:pPr>
    </w:p>
    <w:p w14:paraId="74687D18" w14:textId="77777777" w:rsidR="00CF5D12" w:rsidRDefault="00CF5D12" w:rsidP="00CF5D12">
      <w:pPr>
        <w:spacing w:after="0" w:line="276" w:lineRule="auto"/>
        <w:ind w:firstLine="709"/>
        <w:jc w:val="both"/>
        <w:rPr>
          <w:rFonts w:ascii="Verdana" w:eastAsia="Calibri" w:hAnsi="Verdana" w:cs="Arial"/>
          <w:color w:val="000000" w:themeColor="text1"/>
        </w:rPr>
      </w:pPr>
      <w:r w:rsidRPr="005E4C47">
        <w:rPr>
          <w:rFonts w:ascii="Verdana" w:eastAsia="Calibri" w:hAnsi="Verdana" w:cs="Arial"/>
          <w:color w:val="000000" w:themeColor="text1"/>
        </w:rPr>
        <w:t xml:space="preserve">Por último,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bookmarkStart w:id="29" w:name="_Hlk92353042"/>
      <w:bookmarkStart w:id="30" w:name="_Hlk122360145"/>
      <w:bookmarkStart w:id="31" w:name="_Hlk204854194"/>
      <w:bookmarkEnd w:id="9"/>
    </w:p>
    <w:p w14:paraId="314903BD" w14:textId="77777777" w:rsidR="003F4941" w:rsidRPr="005B5A3D" w:rsidRDefault="003F4941" w:rsidP="00CF5D12">
      <w:pPr>
        <w:spacing w:after="0" w:line="276" w:lineRule="auto"/>
        <w:ind w:firstLine="709"/>
        <w:jc w:val="both"/>
        <w:rPr>
          <w:rFonts w:ascii="Verdana" w:eastAsia="Calibri" w:hAnsi="Verdana" w:cs="Arial"/>
          <w:color w:val="000000" w:themeColor="text1"/>
        </w:rPr>
      </w:pPr>
    </w:p>
    <w:bookmarkEnd w:id="29"/>
    <w:bookmarkEnd w:id="30"/>
    <w:p w14:paraId="6793EE10" w14:textId="77777777" w:rsidR="00CF5D12" w:rsidRPr="001F283D" w:rsidRDefault="00CF5D12" w:rsidP="00CF5D12">
      <w:pPr>
        <w:tabs>
          <w:tab w:val="left" w:pos="142"/>
          <w:tab w:val="left" w:pos="284"/>
        </w:tabs>
        <w:spacing w:after="0" w:line="240"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31"/>
    <w:p w14:paraId="3120CED4" w14:textId="77777777" w:rsidR="00CF5D12" w:rsidRPr="00593A5F" w:rsidRDefault="00CF5D12" w:rsidP="00CF5D1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F5D12" w:rsidRPr="002407CE" w14:paraId="2A0BB3E2" w14:textId="77777777" w:rsidTr="00CD2426">
        <w:trPr>
          <w:trHeight w:val="870"/>
          <w:jc w:val="center"/>
        </w:trPr>
        <w:tc>
          <w:tcPr>
            <w:tcW w:w="8647" w:type="dxa"/>
          </w:tcPr>
          <w:p w14:paraId="52AB6DE3" w14:textId="77777777" w:rsidR="00CF5D12"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Pr>
                <w:rFonts w:ascii="Verdana" w:hAnsi="Verdana" w:cs="Arial"/>
                <w:color w:val="000000" w:themeColor="text1"/>
                <w:sz w:val="22"/>
                <w:szCs w:val="22"/>
              </w:rPr>
              <w:t xml:space="preserve">Constitución Política. Artículo 127, 355. </w:t>
            </w:r>
          </w:p>
          <w:p w14:paraId="15A37343" w14:textId="77777777" w:rsidR="00CF5D12"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Pr>
                <w:rFonts w:ascii="Verdana" w:hAnsi="Verdana" w:cs="Arial"/>
                <w:color w:val="000000" w:themeColor="text1"/>
                <w:sz w:val="22"/>
                <w:szCs w:val="22"/>
              </w:rPr>
              <w:t xml:space="preserve">Ley 1150 de 2007. Artículo 2. </w:t>
            </w:r>
          </w:p>
          <w:p w14:paraId="3A8983FE" w14:textId="77777777" w:rsidR="00CF5D12"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Pr>
                <w:rFonts w:ascii="Verdana" w:hAnsi="Verdana" w:cs="Arial"/>
                <w:color w:val="000000" w:themeColor="text1"/>
                <w:sz w:val="22"/>
                <w:szCs w:val="22"/>
              </w:rPr>
              <w:t>Ley 996 de 2005. Artículo 33, 38 parágrafo.</w:t>
            </w:r>
          </w:p>
          <w:p w14:paraId="48997905" w14:textId="77777777" w:rsidR="00CF5D12"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C73DB5">
              <w:rPr>
                <w:rFonts w:ascii="Verdana" w:hAnsi="Verdana" w:cs="Arial"/>
                <w:color w:val="000000" w:themeColor="text1"/>
                <w:sz w:val="22"/>
                <w:szCs w:val="22"/>
              </w:rPr>
              <w:t>Decreto 1082 de 2015</w:t>
            </w:r>
            <w:r>
              <w:rPr>
                <w:rFonts w:ascii="Verdana" w:hAnsi="Verdana" w:cs="Arial"/>
                <w:color w:val="000000" w:themeColor="text1"/>
                <w:sz w:val="22"/>
                <w:szCs w:val="22"/>
              </w:rPr>
              <w:t xml:space="preserve">. </w:t>
            </w:r>
            <w:r w:rsidRPr="00C73DB5">
              <w:rPr>
                <w:rFonts w:ascii="Verdana" w:hAnsi="Verdana" w:cs="Arial"/>
                <w:color w:val="000000" w:themeColor="text1"/>
                <w:sz w:val="22"/>
                <w:szCs w:val="22"/>
              </w:rPr>
              <w:t>Artículo 2.2.1.2.1.4.4.</w:t>
            </w:r>
          </w:p>
          <w:p w14:paraId="42C4952D" w14:textId="77777777" w:rsidR="00CF5D12" w:rsidRPr="005E4C47"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Pr>
                <w:rFonts w:ascii="Verdana" w:hAnsi="Verdana" w:cs="Arial"/>
                <w:color w:val="000000" w:themeColor="text1"/>
                <w:sz w:val="22"/>
                <w:szCs w:val="22"/>
              </w:rPr>
              <w:t>Ley 489 de 1998. Artículo 95, 96.</w:t>
            </w:r>
          </w:p>
          <w:p w14:paraId="0A9BA975" w14:textId="77777777" w:rsidR="00CF5D12" w:rsidRPr="004A114F"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CC63E8">
              <w:rPr>
                <w:rFonts w:ascii="Verdana" w:hAnsi="Verdana" w:cs="Arial"/>
                <w:color w:val="000000" w:themeColor="text1"/>
                <w:sz w:val="22"/>
                <w:szCs w:val="22"/>
              </w:rPr>
              <w:t>Consejo de Estado</w:t>
            </w:r>
            <w:r>
              <w:rPr>
                <w:rFonts w:ascii="Verdana" w:hAnsi="Verdana" w:cs="Arial"/>
                <w:color w:val="000000" w:themeColor="text1"/>
                <w:sz w:val="22"/>
                <w:szCs w:val="22"/>
              </w:rPr>
              <w:t>.</w:t>
            </w:r>
            <w:r w:rsidRPr="00CC63E8">
              <w:rPr>
                <w:rFonts w:ascii="Verdana" w:hAnsi="Verdana" w:cs="Arial"/>
                <w:color w:val="000000" w:themeColor="text1"/>
                <w:sz w:val="22"/>
                <w:szCs w:val="22"/>
              </w:rPr>
              <w:t xml:space="preserve"> Sala de lo Contencioso Administrativo</w:t>
            </w:r>
            <w:r>
              <w:rPr>
                <w:rFonts w:ascii="Verdana" w:hAnsi="Verdana" w:cs="Arial"/>
                <w:color w:val="000000" w:themeColor="text1"/>
                <w:sz w:val="22"/>
                <w:szCs w:val="22"/>
              </w:rPr>
              <w:t>.</w:t>
            </w:r>
            <w:r w:rsidRPr="00CC63E8">
              <w:rPr>
                <w:rFonts w:ascii="Verdana" w:hAnsi="Verdana" w:cs="Arial"/>
                <w:color w:val="000000" w:themeColor="text1"/>
                <w:sz w:val="22"/>
                <w:szCs w:val="22"/>
              </w:rPr>
              <w:t xml:space="preserve"> Sección Primera. Sentencia de 3 de marzo de 2005</w:t>
            </w:r>
            <w:r>
              <w:rPr>
                <w:rFonts w:ascii="Verdana" w:hAnsi="Verdana" w:cs="Arial"/>
                <w:color w:val="000000" w:themeColor="text1"/>
                <w:sz w:val="22"/>
                <w:szCs w:val="22"/>
              </w:rPr>
              <w:t>. E</w:t>
            </w:r>
            <w:r w:rsidRPr="00CC63E8">
              <w:rPr>
                <w:rFonts w:ascii="Verdana" w:hAnsi="Verdana" w:cs="Arial"/>
                <w:color w:val="000000" w:themeColor="text1"/>
                <w:sz w:val="22"/>
                <w:szCs w:val="22"/>
              </w:rPr>
              <w:t>xpediente</w:t>
            </w:r>
            <w:r>
              <w:rPr>
                <w:rFonts w:ascii="Verdana" w:hAnsi="Verdana" w:cs="Arial"/>
                <w:color w:val="000000" w:themeColor="text1"/>
                <w:sz w:val="22"/>
                <w:szCs w:val="22"/>
              </w:rPr>
              <w:t xml:space="preserve">: </w:t>
            </w:r>
            <w:r w:rsidRPr="00CC63E8">
              <w:rPr>
                <w:rFonts w:ascii="Verdana" w:hAnsi="Verdana" w:cs="Arial"/>
                <w:color w:val="000000" w:themeColor="text1"/>
                <w:sz w:val="22"/>
                <w:szCs w:val="22"/>
              </w:rPr>
              <w:t>2004-00823-01(PI).</w:t>
            </w:r>
            <w:r>
              <w:rPr>
                <w:rFonts w:ascii="Verdana" w:hAnsi="Verdana" w:cs="Arial"/>
                <w:color w:val="000000" w:themeColor="text1"/>
                <w:sz w:val="22"/>
                <w:szCs w:val="22"/>
              </w:rPr>
              <w:t xml:space="preserve"> Radicado:</w:t>
            </w:r>
            <w:r w:rsidRPr="00CC63E8">
              <w:rPr>
                <w:rFonts w:ascii="Verdana" w:hAnsi="Verdana" w:cs="Arial"/>
                <w:color w:val="000000" w:themeColor="text1"/>
                <w:sz w:val="22"/>
                <w:szCs w:val="22"/>
              </w:rPr>
              <w:t xml:space="preserve"> </w:t>
            </w:r>
            <w:r w:rsidRPr="00AB5E84">
              <w:rPr>
                <w:rFonts w:ascii="Verdana" w:hAnsi="Verdana" w:cs="Arial"/>
                <w:color w:val="000000" w:themeColor="text1"/>
                <w:sz w:val="22"/>
                <w:szCs w:val="22"/>
              </w:rPr>
              <w:t>25001-23-15-000-2004-00823-01 (PI). C.P: Camilo Arciniegas Andrad</w:t>
            </w:r>
            <w:r>
              <w:rPr>
                <w:rFonts w:ascii="Verdana" w:hAnsi="Verdana" w:cs="Arial"/>
                <w:color w:val="000000" w:themeColor="text1"/>
                <w:sz w:val="22"/>
                <w:szCs w:val="22"/>
              </w:rPr>
              <w:t>e.</w:t>
            </w:r>
          </w:p>
          <w:p w14:paraId="10C09345" w14:textId="77777777" w:rsidR="00CF5D12"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Pr>
                <w:rFonts w:ascii="Verdana" w:hAnsi="Verdana" w:cs="Arial"/>
                <w:color w:val="000000" w:themeColor="text1"/>
                <w:sz w:val="22"/>
                <w:szCs w:val="22"/>
              </w:rPr>
              <w:t xml:space="preserve">Consejo de Estado. Sala de lo Contencioso Administrativo. Sección </w:t>
            </w:r>
            <w:r w:rsidRPr="00CC63E8">
              <w:rPr>
                <w:rFonts w:ascii="Verdana" w:hAnsi="Verdana" w:cs="Arial"/>
                <w:color w:val="000000" w:themeColor="text1"/>
                <w:sz w:val="22"/>
                <w:szCs w:val="22"/>
              </w:rPr>
              <w:t>Tercera. Sentencia de 22 de enero de 2002</w:t>
            </w:r>
            <w:r>
              <w:rPr>
                <w:rFonts w:ascii="Verdana" w:hAnsi="Verdana" w:cs="Arial"/>
                <w:color w:val="000000" w:themeColor="text1"/>
                <w:sz w:val="22"/>
                <w:szCs w:val="22"/>
              </w:rPr>
              <w:t>. E</w:t>
            </w:r>
            <w:r w:rsidRPr="00CC63E8">
              <w:rPr>
                <w:rFonts w:ascii="Verdana" w:hAnsi="Verdana" w:cs="Arial"/>
                <w:color w:val="000000" w:themeColor="text1"/>
                <w:sz w:val="22"/>
                <w:szCs w:val="22"/>
              </w:rPr>
              <w:t>xpediente</w:t>
            </w:r>
            <w:r>
              <w:rPr>
                <w:rFonts w:ascii="Verdana" w:hAnsi="Verdana" w:cs="Arial"/>
                <w:color w:val="000000" w:themeColor="text1"/>
                <w:sz w:val="22"/>
                <w:szCs w:val="22"/>
              </w:rPr>
              <w:t xml:space="preserve">: </w:t>
            </w:r>
            <w:r w:rsidRPr="00CC63E8">
              <w:rPr>
                <w:rFonts w:ascii="Verdana" w:hAnsi="Verdana" w:cs="Arial"/>
                <w:color w:val="000000" w:themeColor="text1"/>
                <w:sz w:val="22"/>
                <w:szCs w:val="22"/>
              </w:rPr>
              <w:t>2001-0148-01</w:t>
            </w:r>
            <w:r>
              <w:rPr>
                <w:rFonts w:ascii="Verdana" w:hAnsi="Verdana" w:cs="Arial"/>
                <w:color w:val="000000" w:themeColor="text1"/>
                <w:sz w:val="22"/>
                <w:szCs w:val="22"/>
              </w:rPr>
              <w:t>.</w:t>
            </w:r>
          </w:p>
          <w:p w14:paraId="46DE8686" w14:textId="77777777" w:rsidR="00CF5D12"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Pr>
                <w:rFonts w:ascii="Verdana" w:hAnsi="Verdana" w:cs="Arial"/>
                <w:color w:val="000000" w:themeColor="text1"/>
                <w:sz w:val="22"/>
                <w:szCs w:val="22"/>
              </w:rPr>
              <w:t xml:space="preserve">Consejo de Estado. Sala de lo Contencioso Administrativo. </w:t>
            </w:r>
            <w:r w:rsidRPr="00CC63E8">
              <w:rPr>
                <w:rFonts w:ascii="Verdana" w:hAnsi="Verdana" w:cs="Arial"/>
                <w:color w:val="000000" w:themeColor="text1"/>
                <w:sz w:val="22"/>
                <w:szCs w:val="22"/>
              </w:rPr>
              <w:t>Sección Tercera. Sentencia de 20 de noviembre de 2001</w:t>
            </w:r>
            <w:r>
              <w:rPr>
                <w:rFonts w:ascii="Verdana" w:hAnsi="Verdana" w:cs="Arial"/>
                <w:color w:val="000000" w:themeColor="text1"/>
                <w:sz w:val="22"/>
                <w:szCs w:val="22"/>
              </w:rPr>
              <w:t>. E</w:t>
            </w:r>
            <w:r w:rsidRPr="00CC63E8">
              <w:rPr>
                <w:rFonts w:ascii="Verdana" w:hAnsi="Verdana" w:cs="Arial"/>
                <w:color w:val="000000" w:themeColor="text1"/>
                <w:sz w:val="22"/>
                <w:szCs w:val="22"/>
              </w:rPr>
              <w:t>xpediente</w:t>
            </w:r>
            <w:r>
              <w:rPr>
                <w:rFonts w:ascii="Verdana" w:hAnsi="Verdana" w:cs="Arial"/>
                <w:color w:val="000000" w:themeColor="text1"/>
                <w:sz w:val="22"/>
                <w:szCs w:val="22"/>
              </w:rPr>
              <w:t>:</w:t>
            </w:r>
            <w:r w:rsidRPr="00CC63E8">
              <w:rPr>
                <w:rFonts w:ascii="Verdana" w:hAnsi="Verdana" w:cs="Arial"/>
                <w:color w:val="000000" w:themeColor="text1"/>
                <w:sz w:val="22"/>
                <w:szCs w:val="22"/>
              </w:rPr>
              <w:t xml:space="preserve"> 2001-0130-01(PI).</w:t>
            </w:r>
          </w:p>
          <w:p w14:paraId="61DB8EF4" w14:textId="77777777" w:rsidR="00CF5D12"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CC63E8">
              <w:rPr>
                <w:rFonts w:ascii="Verdana" w:hAnsi="Verdana" w:cs="Arial"/>
                <w:color w:val="000000" w:themeColor="text1"/>
                <w:sz w:val="22"/>
                <w:szCs w:val="22"/>
              </w:rPr>
              <w:lastRenderedPageBreak/>
              <w:t>Consejo de Estado, Sala de Consulta y Servicio Civil de fecha 24 de julio de 2013, radicado 2166</w:t>
            </w:r>
            <w:r>
              <w:rPr>
                <w:rFonts w:ascii="Verdana" w:hAnsi="Verdana" w:cs="Arial"/>
                <w:color w:val="000000" w:themeColor="text1"/>
                <w:sz w:val="22"/>
                <w:szCs w:val="22"/>
              </w:rPr>
              <w:t>.</w:t>
            </w:r>
            <w:r w:rsidRPr="00CC63E8">
              <w:rPr>
                <w:rFonts w:ascii="Verdana" w:hAnsi="Verdana" w:cs="Arial"/>
                <w:color w:val="000000" w:themeColor="text1"/>
                <w:sz w:val="22"/>
                <w:szCs w:val="22"/>
              </w:rPr>
              <w:t xml:space="preserve"> Consejero Ponente: Álvaro </w:t>
            </w:r>
            <w:proofErr w:type="spellStart"/>
            <w:r w:rsidRPr="00CC63E8">
              <w:rPr>
                <w:rFonts w:ascii="Verdana" w:hAnsi="Verdana" w:cs="Arial"/>
                <w:color w:val="000000" w:themeColor="text1"/>
                <w:sz w:val="22"/>
                <w:szCs w:val="22"/>
              </w:rPr>
              <w:t>Namén</w:t>
            </w:r>
            <w:proofErr w:type="spellEnd"/>
            <w:r w:rsidRPr="00CC63E8">
              <w:rPr>
                <w:rFonts w:ascii="Verdana" w:hAnsi="Verdana" w:cs="Arial"/>
                <w:color w:val="000000" w:themeColor="text1"/>
                <w:sz w:val="22"/>
                <w:szCs w:val="22"/>
              </w:rPr>
              <w:t xml:space="preserve"> Vargas.  </w:t>
            </w:r>
          </w:p>
          <w:p w14:paraId="3F082366" w14:textId="77777777" w:rsidR="00CF5D12"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C73DB5">
              <w:rPr>
                <w:rFonts w:ascii="Verdana" w:hAnsi="Verdana" w:cs="Arial"/>
                <w:color w:val="000000" w:themeColor="text1"/>
                <w:sz w:val="22"/>
                <w:szCs w:val="22"/>
              </w:rPr>
              <w:t xml:space="preserve">Consejo de Estado. Sala de Consulta y Servicio Civil. Concepto del 17 de febrero de 2015. C.P. William Zambrano Cetina. </w:t>
            </w:r>
            <w:r>
              <w:rPr>
                <w:rFonts w:ascii="Verdana" w:hAnsi="Verdana" w:cs="Arial"/>
                <w:color w:val="000000" w:themeColor="text1"/>
                <w:sz w:val="22"/>
                <w:szCs w:val="22"/>
              </w:rPr>
              <w:t>Expediente:</w:t>
            </w:r>
            <w:r w:rsidRPr="00C73DB5">
              <w:rPr>
                <w:rFonts w:ascii="Verdana" w:hAnsi="Verdana" w:cs="Arial"/>
                <w:color w:val="000000" w:themeColor="text1"/>
                <w:sz w:val="22"/>
                <w:szCs w:val="22"/>
              </w:rPr>
              <w:t xml:space="preserve"> 11001-03-06-000-2015-00164-00</w:t>
            </w:r>
            <w:r>
              <w:rPr>
                <w:rFonts w:ascii="Verdana" w:hAnsi="Verdana" w:cs="Arial"/>
                <w:color w:val="000000" w:themeColor="text1"/>
                <w:sz w:val="22"/>
                <w:szCs w:val="22"/>
              </w:rPr>
              <w:t xml:space="preserve"> </w:t>
            </w:r>
            <w:r w:rsidRPr="00C73DB5">
              <w:rPr>
                <w:rFonts w:ascii="Verdana" w:hAnsi="Verdana" w:cs="Arial"/>
                <w:color w:val="000000" w:themeColor="text1"/>
                <w:sz w:val="22"/>
                <w:szCs w:val="22"/>
              </w:rPr>
              <w:t>(2269).</w:t>
            </w:r>
          </w:p>
          <w:p w14:paraId="3642C417" w14:textId="77777777" w:rsidR="00CF5D12"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C73DB5">
              <w:rPr>
                <w:rFonts w:ascii="Verdana" w:hAnsi="Verdana" w:cs="Arial"/>
                <w:color w:val="000000" w:themeColor="text1"/>
                <w:sz w:val="22"/>
                <w:szCs w:val="22"/>
              </w:rPr>
              <w:t>Consejo de Estado. Sala de Consulta y Servicio Civil. Concepto de 20 de febrero de</w:t>
            </w:r>
            <w:r>
              <w:rPr>
                <w:rFonts w:ascii="Verdana" w:hAnsi="Verdana" w:cs="Arial"/>
                <w:color w:val="000000" w:themeColor="text1"/>
                <w:sz w:val="22"/>
                <w:szCs w:val="22"/>
              </w:rPr>
              <w:t xml:space="preserve"> </w:t>
            </w:r>
            <w:r w:rsidRPr="00C73DB5">
              <w:rPr>
                <w:rFonts w:ascii="Verdana" w:hAnsi="Verdana" w:cs="Arial"/>
                <w:color w:val="000000" w:themeColor="text1"/>
                <w:sz w:val="22"/>
                <w:szCs w:val="22"/>
              </w:rPr>
              <w:t xml:space="preserve">2006. </w:t>
            </w:r>
            <w:r>
              <w:rPr>
                <w:rFonts w:ascii="Verdana" w:hAnsi="Verdana" w:cs="Arial"/>
                <w:color w:val="000000" w:themeColor="text1"/>
                <w:sz w:val="22"/>
                <w:szCs w:val="22"/>
              </w:rPr>
              <w:t>Expediente:</w:t>
            </w:r>
            <w:r w:rsidRPr="00C73DB5">
              <w:rPr>
                <w:rFonts w:ascii="Verdana" w:hAnsi="Verdana" w:cs="Arial"/>
                <w:color w:val="000000" w:themeColor="text1"/>
                <w:sz w:val="22"/>
                <w:szCs w:val="22"/>
              </w:rPr>
              <w:t xml:space="preserve"> 11001-03-06-000-2006-00023-00</w:t>
            </w:r>
            <w:r>
              <w:rPr>
                <w:rFonts w:ascii="Verdana" w:hAnsi="Verdana" w:cs="Arial"/>
                <w:color w:val="000000" w:themeColor="text1"/>
                <w:sz w:val="22"/>
                <w:szCs w:val="22"/>
              </w:rPr>
              <w:t xml:space="preserve"> </w:t>
            </w:r>
            <w:r w:rsidRPr="00C73DB5">
              <w:rPr>
                <w:rFonts w:ascii="Verdana" w:hAnsi="Verdana" w:cs="Arial"/>
                <w:color w:val="000000" w:themeColor="text1"/>
                <w:sz w:val="22"/>
                <w:szCs w:val="22"/>
              </w:rPr>
              <w:t>(1724). Consejero Ponente: Flavio Augusto Rodríguez Arce.</w:t>
            </w:r>
          </w:p>
          <w:p w14:paraId="3A697D7F" w14:textId="77777777" w:rsidR="00CF5D12"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CE6AF1">
              <w:rPr>
                <w:rFonts w:ascii="Verdana" w:hAnsi="Verdana" w:cs="Arial"/>
                <w:color w:val="000000" w:themeColor="text1"/>
                <w:sz w:val="22"/>
                <w:szCs w:val="22"/>
              </w:rPr>
              <w:t>Consejo de Estado. Sala de lo Contenciosos Administrativo. Sección Tercera. Sentencia del 23 de junio de 2010. Radicación No. 66001-23-31-000-1998-00261-01</w:t>
            </w:r>
            <w:r>
              <w:rPr>
                <w:rFonts w:ascii="Verdana" w:hAnsi="Verdana" w:cs="Arial"/>
                <w:color w:val="000000" w:themeColor="text1"/>
                <w:sz w:val="22"/>
                <w:szCs w:val="22"/>
              </w:rPr>
              <w:t xml:space="preserve"> </w:t>
            </w:r>
            <w:r w:rsidRPr="00CE6AF1">
              <w:rPr>
                <w:rFonts w:ascii="Verdana" w:hAnsi="Verdana" w:cs="Arial"/>
                <w:color w:val="000000" w:themeColor="text1"/>
                <w:sz w:val="22"/>
                <w:szCs w:val="22"/>
              </w:rPr>
              <w:t>(17860). Consejero Ponente: Mauricio Fajardo Gómez.</w:t>
            </w:r>
          </w:p>
          <w:p w14:paraId="7C00547D" w14:textId="77777777" w:rsidR="00CF5D12"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CE6AF1">
              <w:rPr>
                <w:rFonts w:ascii="Verdana" w:hAnsi="Verdana" w:cs="Arial"/>
                <w:color w:val="000000" w:themeColor="text1"/>
                <w:sz w:val="22"/>
                <w:szCs w:val="22"/>
              </w:rPr>
              <w:t xml:space="preserve">Consejo de Estado. Sala de lo Contencioso Administrativo. Sección Tercera. Subsección C. Sentencia del 11 de diciembre de 2019. </w:t>
            </w:r>
            <w:r>
              <w:rPr>
                <w:rFonts w:ascii="Verdana" w:hAnsi="Verdana" w:cs="Arial"/>
                <w:color w:val="000000" w:themeColor="text1"/>
                <w:sz w:val="22"/>
                <w:szCs w:val="22"/>
              </w:rPr>
              <w:t xml:space="preserve">Radicado: </w:t>
            </w:r>
            <w:r w:rsidRPr="00CE6AF1">
              <w:rPr>
                <w:rFonts w:ascii="Verdana" w:hAnsi="Verdana" w:cs="Arial"/>
                <w:color w:val="000000" w:themeColor="text1"/>
                <w:sz w:val="22"/>
                <w:szCs w:val="22"/>
              </w:rPr>
              <w:t>52001-23-31-000-2000-03316-01</w:t>
            </w:r>
            <w:r>
              <w:rPr>
                <w:rFonts w:ascii="Verdana" w:hAnsi="Verdana" w:cs="Arial"/>
                <w:color w:val="000000" w:themeColor="text1"/>
                <w:sz w:val="22"/>
                <w:szCs w:val="22"/>
              </w:rPr>
              <w:t xml:space="preserve"> (</w:t>
            </w:r>
            <w:r w:rsidRPr="00CE6AF1">
              <w:rPr>
                <w:rFonts w:ascii="Verdana" w:hAnsi="Verdana" w:cs="Arial"/>
                <w:color w:val="000000" w:themeColor="text1"/>
                <w:sz w:val="22"/>
                <w:szCs w:val="22"/>
              </w:rPr>
              <w:t>46</w:t>
            </w:r>
            <w:r>
              <w:rPr>
                <w:rFonts w:ascii="Verdana" w:hAnsi="Verdana" w:cs="Arial"/>
                <w:color w:val="000000" w:themeColor="text1"/>
                <w:sz w:val="22"/>
                <w:szCs w:val="22"/>
              </w:rPr>
              <w:t>.</w:t>
            </w:r>
            <w:r w:rsidRPr="00CE6AF1">
              <w:rPr>
                <w:rFonts w:ascii="Verdana" w:hAnsi="Verdana" w:cs="Arial"/>
                <w:color w:val="000000" w:themeColor="text1"/>
                <w:sz w:val="22"/>
                <w:szCs w:val="22"/>
              </w:rPr>
              <w:t>986</w:t>
            </w:r>
            <w:r>
              <w:rPr>
                <w:rFonts w:ascii="Verdana" w:hAnsi="Verdana" w:cs="Arial"/>
                <w:color w:val="000000" w:themeColor="text1"/>
                <w:sz w:val="22"/>
                <w:szCs w:val="22"/>
              </w:rPr>
              <w:t>)</w:t>
            </w:r>
            <w:r w:rsidRPr="00CE6AF1">
              <w:rPr>
                <w:rFonts w:ascii="Verdana" w:hAnsi="Verdana" w:cs="Arial"/>
                <w:color w:val="000000" w:themeColor="text1"/>
                <w:sz w:val="22"/>
                <w:szCs w:val="22"/>
              </w:rPr>
              <w:t>. C.P. Jaime Enrique Rodríguez Navas.</w:t>
            </w:r>
          </w:p>
          <w:p w14:paraId="33B63A12" w14:textId="77777777" w:rsidR="00CF5D12"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AB5E84">
              <w:rPr>
                <w:rFonts w:ascii="Verdana" w:hAnsi="Verdana" w:cs="Arial"/>
                <w:color w:val="000000" w:themeColor="text1"/>
                <w:sz w:val="22"/>
                <w:szCs w:val="22"/>
              </w:rPr>
              <w:t xml:space="preserve">Consejo de Estado. Sala de Consulta y Servicio Civil. Concepto 26 de julio de 2016. Radicado: 11001-03-06-000-2015-00102-00 (2.257). M.P. Álvaro </w:t>
            </w:r>
            <w:proofErr w:type="spellStart"/>
            <w:r w:rsidRPr="00AB5E84">
              <w:rPr>
                <w:rFonts w:ascii="Verdana" w:hAnsi="Verdana" w:cs="Arial"/>
                <w:color w:val="000000" w:themeColor="text1"/>
                <w:sz w:val="22"/>
                <w:szCs w:val="22"/>
              </w:rPr>
              <w:t>Namén</w:t>
            </w:r>
            <w:proofErr w:type="spellEnd"/>
            <w:r w:rsidRPr="00AB5E84">
              <w:rPr>
                <w:rFonts w:ascii="Verdana" w:hAnsi="Verdana" w:cs="Arial"/>
                <w:color w:val="000000" w:themeColor="text1"/>
                <w:sz w:val="22"/>
                <w:szCs w:val="22"/>
              </w:rPr>
              <w:t xml:space="preserve"> Vargas</w:t>
            </w:r>
            <w:r>
              <w:rPr>
                <w:rFonts w:ascii="Verdana" w:hAnsi="Verdana" w:cs="Arial"/>
                <w:color w:val="000000" w:themeColor="text1"/>
                <w:sz w:val="22"/>
                <w:szCs w:val="22"/>
              </w:rPr>
              <w:t xml:space="preserve">. </w:t>
            </w:r>
          </w:p>
          <w:p w14:paraId="70DE8559" w14:textId="77777777" w:rsidR="00CF5D12" w:rsidRPr="00B36C54"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B36C54">
              <w:rPr>
                <w:rFonts w:ascii="Verdana" w:hAnsi="Verdana" w:cs="Arial"/>
                <w:color w:val="000000" w:themeColor="text1"/>
                <w:sz w:val="22"/>
                <w:szCs w:val="22"/>
              </w:rPr>
              <w:t>Consejo de Estado, Sala de lo Contencioso Administrativo, Sección Tercera. Subsección B. Auto del 4 de octubre de 2024. Radicado</w:t>
            </w:r>
            <w:r>
              <w:rPr>
                <w:rFonts w:ascii="Verdana" w:hAnsi="Verdana" w:cs="Arial"/>
                <w:color w:val="000000" w:themeColor="text1"/>
                <w:sz w:val="22"/>
                <w:szCs w:val="22"/>
              </w:rPr>
              <w:t>:</w:t>
            </w:r>
            <w:r w:rsidRPr="00B36C54">
              <w:rPr>
                <w:rFonts w:ascii="Verdana" w:hAnsi="Verdana" w:cs="Arial"/>
                <w:color w:val="000000" w:themeColor="text1"/>
                <w:sz w:val="22"/>
                <w:szCs w:val="22"/>
              </w:rPr>
              <w:t xml:space="preserve"> 70.313. </w:t>
            </w:r>
            <w:r>
              <w:rPr>
                <w:rFonts w:ascii="Verdana" w:hAnsi="Verdana" w:cs="Arial"/>
                <w:color w:val="000000" w:themeColor="text1"/>
                <w:sz w:val="22"/>
                <w:szCs w:val="22"/>
              </w:rPr>
              <w:t>C.P</w:t>
            </w:r>
            <w:r w:rsidRPr="00B36C54">
              <w:rPr>
                <w:rFonts w:ascii="Verdana" w:hAnsi="Verdana" w:cs="Arial"/>
                <w:color w:val="000000" w:themeColor="text1"/>
                <w:sz w:val="22"/>
                <w:szCs w:val="22"/>
              </w:rPr>
              <w:t>: Fredy Ibarra Martínez.</w:t>
            </w:r>
          </w:p>
          <w:p w14:paraId="23AEAC1B" w14:textId="77777777" w:rsidR="00CF5D12" w:rsidRPr="00B36C54"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B36C54">
              <w:rPr>
                <w:rFonts w:ascii="Verdana" w:hAnsi="Verdana" w:cs="Arial"/>
                <w:color w:val="000000" w:themeColor="text1"/>
                <w:sz w:val="22"/>
                <w:szCs w:val="22"/>
              </w:rPr>
              <w:t>Consejo de Estado. Sala de Consulta y Servicio Civil. Concepto del 15 de noviembre de 2007. Expediente número 1863. Consejero Ponente: Luis Fernando Álvarez Jaramillo.</w:t>
            </w:r>
          </w:p>
          <w:p w14:paraId="7F0D5C8D" w14:textId="77777777" w:rsidR="00CF5D12" w:rsidRPr="00B36C54"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B36C54">
              <w:rPr>
                <w:rFonts w:ascii="Verdana" w:hAnsi="Verdana" w:cs="Arial"/>
                <w:color w:val="000000" w:themeColor="text1"/>
                <w:sz w:val="22"/>
                <w:szCs w:val="22"/>
              </w:rPr>
              <w:t>Consejo de Estado. Sala de Servicio y Consulta Civil. Concepto del 24 de febrero de 2005. Radicado:1626, C.P. Gloria Duque Hernández</w:t>
            </w:r>
            <w:r>
              <w:rPr>
                <w:rFonts w:ascii="Verdana" w:hAnsi="Verdana" w:cs="Arial"/>
                <w:color w:val="000000" w:themeColor="text1"/>
              </w:rPr>
              <w:t>.</w:t>
            </w:r>
          </w:p>
          <w:p w14:paraId="3EA477C5" w14:textId="77777777" w:rsidR="00CF5D12" w:rsidRPr="00CC63E8"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CC63E8">
              <w:rPr>
                <w:rFonts w:ascii="Verdana" w:hAnsi="Verdana" w:cs="Arial"/>
                <w:color w:val="000000" w:themeColor="text1"/>
                <w:sz w:val="22"/>
                <w:szCs w:val="22"/>
              </w:rPr>
              <w:t>Corte Constitucional, Sentencia C- 1153 de 2005, M.P. Marco Gerardo Monroy Cabra.</w:t>
            </w:r>
          </w:p>
          <w:p w14:paraId="4693A5CB" w14:textId="77777777" w:rsidR="00CF5D12"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CC63E8">
              <w:rPr>
                <w:rFonts w:ascii="Verdana" w:hAnsi="Verdana" w:cs="Arial"/>
                <w:color w:val="000000" w:themeColor="text1"/>
                <w:sz w:val="22"/>
                <w:szCs w:val="22"/>
              </w:rPr>
              <w:t>Corte Constitucional. Sentencia C-233 de 4 de abril de 2002. M.P: Álvaro Tafur Galvis</w:t>
            </w:r>
            <w:r>
              <w:rPr>
                <w:rFonts w:ascii="Verdana" w:hAnsi="Verdana" w:cs="Arial"/>
                <w:color w:val="000000" w:themeColor="text1"/>
                <w:sz w:val="22"/>
                <w:szCs w:val="22"/>
              </w:rPr>
              <w:t xml:space="preserve">. </w:t>
            </w:r>
          </w:p>
          <w:p w14:paraId="294C45CC" w14:textId="77777777" w:rsidR="00CF5D12" w:rsidRPr="00CC63E8"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CC63E8">
              <w:rPr>
                <w:rFonts w:ascii="Verdana" w:hAnsi="Verdana" w:cs="Arial"/>
                <w:color w:val="000000" w:themeColor="text1"/>
                <w:sz w:val="22"/>
                <w:szCs w:val="22"/>
              </w:rPr>
              <w:t xml:space="preserve">Corte Constitucional. Sentencia C-551 de 9 de julio de 2003. M.P: Eduardo Montealegre </w:t>
            </w:r>
            <w:proofErr w:type="spellStart"/>
            <w:r w:rsidRPr="00CC63E8">
              <w:rPr>
                <w:rFonts w:ascii="Verdana" w:hAnsi="Verdana" w:cs="Arial"/>
                <w:color w:val="000000" w:themeColor="text1"/>
                <w:sz w:val="22"/>
                <w:szCs w:val="22"/>
              </w:rPr>
              <w:t>Lynnet</w:t>
            </w:r>
            <w:proofErr w:type="spellEnd"/>
            <w:r>
              <w:rPr>
                <w:rFonts w:ascii="Verdana" w:hAnsi="Verdana" w:cs="Arial"/>
                <w:color w:val="000000" w:themeColor="text1"/>
                <w:sz w:val="22"/>
                <w:szCs w:val="22"/>
              </w:rPr>
              <w:t>.</w:t>
            </w:r>
          </w:p>
          <w:p w14:paraId="6E1E6FE9" w14:textId="77777777" w:rsidR="00CF5D12"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CC63E8">
              <w:rPr>
                <w:rFonts w:ascii="Verdana" w:hAnsi="Verdana" w:cs="Arial"/>
                <w:color w:val="000000" w:themeColor="text1"/>
                <w:sz w:val="22"/>
                <w:szCs w:val="22"/>
              </w:rPr>
              <w:t xml:space="preserve">Corte Constitucional. Sentencia C-353 de 20 de mayo de 2009. M.P: Jorge Iván Palacio </w:t>
            </w:r>
            <w:proofErr w:type="spellStart"/>
            <w:r w:rsidRPr="00CC63E8">
              <w:rPr>
                <w:rFonts w:ascii="Verdana" w:hAnsi="Verdana" w:cs="Arial"/>
                <w:color w:val="000000" w:themeColor="text1"/>
                <w:sz w:val="22"/>
                <w:szCs w:val="22"/>
              </w:rPr>
              <w:t>Palacio</w:t>
            </w:r>
            <w:proofErr w:type="spellEnd"/>
            <w:r>
              <w:rPr>
                <w:rFonts w:ascii="Verdana" w:hAnsi="Verdana" w:cs="Arial"/>
                <w:color w:val="000000" w:themeColor="text1"/>
                <w:sz w:val="22"/>
                <w:szCs w:val="22"/>
              </w:rPr>
              <w:t>.</w:t>
            </w:r>
            <w:r w:rsidRPr="00CC63E8">
              <w:rPr>
                <w:rFonts w:ascii="Verdana" w:hAnsi="Verdana" w:cs="Arial"/>
                <w:color w:val="000000" w:themeColor="text1"/>
                <w:sz w:val="22"/>
                <w:szCs w:val="22"/>
              </w:rPr>
              <w:t xml:space="preserve"> </w:t>
            </w:r>
          </w:p>
          <w:p w14:paraId="20B81E74" w14:textId="77777777" w:rsidR="00CF5D12" w:rsidRPr="00CC63E8"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CC63E8">
              <w:rPr>
                <w:rFonts w:ascii="Verdana" w:hAnsi="Verdana" w:cs="Arial"/>
                <w:color w:val="000000" w:themeColor="text1"/>
                <w:sz w:val="22"/>
                <w:szCs w:val="22"/>
              </w:rPr>
              <w:lastRenderedPageBreak/>
              <w:t>Corte Constitucional. Sentencia C-541 de 30 de junio de 2010. M.P: Gabriel Eduardo Mendoza Martelo.</w:t>
            </w:r>
          </w:p>
          <w:p w14:paraId="527515B1" w14:textId="77777777" w:rsidR="00CF5D12" w:rsidRPr="00C73DB5"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Pr>
                <w:rFonts w:ascii="Verdana" w:hAnsi="Verdana" w:cs="Arial"/>
                <w:color w:val="000000" w:themeColor="text1"/>
                <w:sz w:val="22"/>
                <w:szCs w:val="22"/>
              </w:rPr>
              <w:t xml:space="preserve">Corte Constitucional. Sentencia C-671 de 2015. MP: Alberto Rojas Ríos. </w:t>
            </w:r>
          </w:p>
          <w:p w14:paraId="70CE0110" w14:textId="77777777" w:rsidR="00CF5D12" w:rsidRPr="00CC63E8" w:rsidRDefault="00CF5D12" w:rsidP="00CD2426">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Pr>
                <w:rFonts w:ascii="Verdana" w:hAnsi="Verdana" w:cs="Arial"/>
                <w:color w:val="000000" w:themeColor="text1"/>
                <w:sz w:val="22"/>
                <w:szCs w:val="22"/>
              </w:rPr>
              <w:t xml:space="preserve">Circular única Externa de Colombia Compra Eficiente. En </w:t>
            </w:r>
            <w:hyperlink r:id="rId12" w:history="1">
              <w:r w:rsidRPr="00B36C54">
                <w:rPr>
                  <w:rStyle w:val="Hipervnculo"/>
                  <w:rFonts w:ascii="Verdana" w:hAnsi="Verdana" w:cs="Arial"/>
                  <w:sz w:val="22"/>
                  <w:szCs w:val="22"/>
                </w:rPr>
                <w:t>circular_externa_unica_version_3_vf49.pdf</w:t>
              </w:r>
            </w:hyperlink>
          </w:p>
        </w:tc>
      </w:tr>
    </w:tbl>
    <w:p w14:paraId="1E009C53" w14:textId="77777777" w:rsidR="00CF5D12" w:rsidRPr="00277E26" w:rsidRDefault="00CF5D12" w:rsidP="00CF5D12">
      <w:pPr>
        <w:widowControl w:val="0"/>
        <w:autoSpaceDE w:val="0"/>
        <w:autoSpaceDN w:val="0"/>
        <w:spacing w:after="0" w:line="276" w:lineRule="auto"/>
        <w:jc w:val="both"/>
        <w:rPr>
          <w:rFonts w:ascii="Verdana" w:hAnsi="Verdana" w:cs="Arial"/>
        </w:rPr>
      </w:pPr>
    </w:p>
    <w:p w14:paraId="1879F0F9" w14:textId="77777777" w:rsidR="00CF5D12" w:rsidRPr="001F283D" w:rsidRDefault="00CF5D12" w:rsidP="00CF5D12">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191E4B9D" w14:textId="77777777" w:rsidR="00CF5D12" w:rsidRDefault="00CF5D12" w:rsidP="00CF5D12">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3A4780A1" w14:textId="77777777" w:rsidR="00CF5D12" w:rsidRPr="005B5A3D" w:rsidRDefault="00CF5D12" w:rsidP="00CF5D12">
      <w:pPr>
        <w:widowControl w:val="0"/>
        <w:autoSpaceDE w:val="0"/>
        <w:autoSpaceDN w:val="0"/>
        <w:spacing w:after="120" w:line="276" w:lineRule="auto"/>
        <w:jc w:val="both"/>
        <w:rPr>
          <w:rFonts w:ascii="Verdana" w:hAnsi="Verdana" w:cs="Arial"/>
          <w:shd w:val="clear" w:color="auto" w:fill="FFFFFF"/>
          <w:lang w:val="es-ES"/>
        </w:rPr>
      </w:pPr>
      <w:r w:rsidRPr="005B5A3D">
        <w:rPr>
          <w:rFonts w:ascii="Verdana" w:hAnsi="Verdana" w:cs="Arial"/>
          <w:shd w:val="clear" w:color="auto" w:fill="FFFFFF"/>
        </w:rPr>
        <w:t xml:space="preserve">Esta Subdirección se ha pronunciado sobre </w:t>
      </w:r>
      <w:r w:rsidRPr="005B5A3D">
        <w:rPr>
          <w:rFonts w:ascii="Verdana" w:hAnsi="Verdana" w:cs="Arial"/>
          <w:shd w:val="clear" w:color="auto" w:fill="FFFFFF"/>
          <w:lang w:val="es-ES"/>
        </w:rPr>
        <w:t xml:space="preserve">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entro otros. </w:t>
      </w:r>
    </w:p>
    <w:p w14:paraId="641E7BF9" w14:textId="77777777" w:rsidR="00CF5D12" w:rsidRPr="00AB70DD" w:rsidRDefault="00CF5D12" w:rsidP="00CF5D12">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5B5A3D">
        <w:rPr>
          <w:rFonts w:ascii="Verdana" w:hAnsi="Verdana" w:cs="Arial"/>
          <w:shd w:val="clear" w:color="auto" w:fill="FFFFFF"/>
          <w:lang w:val="es-ES"/>
        </w:rPr>
        <w:t>Por su parte, esta Subdirección se ha pronunciado sobre el 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w:t>
      </w:r>
      <w:r w:rsidRPr="00377ED6">
        <w:rPr>
          <w:rFonts w:ascii="Verdana" w:hAnsi="Verdana" w:cs="Arial"/>
          <w:shd w:val="clear" w:color="auto" w:fill="FFFFFF"/>
          <w:lang w:val="es-ES"/>
        </w:rPr>
        <w:t xml:space="preserve">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C-537 del 27 de septiembre de 2021,  C-021 del 22 de febrero de 2022, C-236 del 27 de abril de 2022, C-273 del 6 de mayo de 2022, C-274 del 6 de mayo de 2022, C-291 del 18 de mayo de 2022, C-331 del 24 de mayo de 2022, C-477 del 26 de julio de 2022, C-550 del 31 de agosto de 2022, </w:t>
      </w:r>
      <w:r w:rsidRPr="00377ED6">
        <w:rPr>
          <w:rFonts w:ascii="Verdana" w:hAnsi="Verdana" w:cs="Arial"/>
          <w:shd w:val="clear" w:color="auto" w:fill="FFFFFF"/>
          <w:lang w:val="es-ES"/>
        </w:rPr>
        <w:lastRenderedPageBreak/>
        <w:t>C-560 del 7 de septiembre de 2022, C-624 del 28 de septiembre de 2022, C-771 del 30 de diciembre de 2022, C-853 del 9 de diciembre de 2022, C-351 del 6 de octubre de 2023, C-054 del 24 de abril de 2024, C-064 del 24 de abril de 2024, C-080 del 7 de mayo de 2024</w:t>
      </w:r>
      <w:r>
        <w:rPr>
          <w:rFonts w:ascii="Verdana" w:hAnsi="Verdana" w:cs="Arial"/>
          <w:shd w:val="clear" w:color="auto" w:fill="FFFFFF"/>
          <w:lang w:val="es-ES"/>
        </w:rPr>
        <w:t xml:space="preserve">, </w:t>
      </w:r>
      <w:r w:rsidRPr="00377ED6">
        <w:rPr>
          <w:rFonts w:ascii="Verdana" w:hAnsi="Verdana" w:cs="Arial"/>
          <w:shd w:val="clear" w:color="auto" w:fill="FFFFFF"/>
          <w:lang w:val="es-ES"/>
        </w:rPr>
        <w:t>C-281 del 29 de octubre de 2024</w:t>
      </w:r>
      <w:r>
        <w:rPr>
          <w:rFonts w:ascii="Verdana" w:hAnsi="Verdana" w:cs="Arial"/>
          <w:shd w:val="clear" w:color="auto" w:fill="FFFFFF"/>
          <w:lang w:val="es-ES"/>
        </w:rPr>
        <w:t xml:space="preserve">, C- 1019 del 31 de diciembre de 2024, del entre otros. </w:t>
      </w:r>
      <w:r w:rsidRPr="005E4C47">
        <w:rPr>
          <w:rFonts w:ascii="Verdana" w:hAnsi="Verdana" w:cs="Arial"/>
          <w:shd w:val="clear" w:color="auto" w:fill="FFFFFF"/>
          <w:lang w:val="es-ES"/>
        </w:rPr>
        <w:t xml:space="preserve">Estos y otros </w:t>
      </w:r>
      <w:r w:rsidRPr="005E4C47">
        <w:rPr>
          <w:rFonts w:ascii="Verdana" w:hAnsi="Verdana"/>
        </w:rPr>
        <w:t>conceptos se encuentran disponibles para consulta en el Sistema de relatoría</w:t>
      </w:r>
      <w:r w:rsidRPr="004060A6">
        <w:rPr>
          <w:rFonts w:ascii="Verdana" w:hAnsi="Verdana"/>
        </w:rPr>
        <w:t xml:space="preserve"> de la Agencia, al cual se puede acceder a través del siguiente enlace:</w:t>
      </w:r>
      <w:r w:rsidRPr="00AB70DD">
        <w:rPr>
          <w:rFonts w:ascii="Verdana" w:hAnsi="Verdana" w:cs="Arial"/>
          <w:shd w:val="clear" w:color="auto" w:fill="FFFFFF"/>
        </w:rPr>
        <w:t xml:space="preserve"> </w:t>
      </w:r>
      <w:hyperlink r:id="rId13" w:history="1">
        <w:r w:rsidRPr="00AB70DD">
          <w:rPr>
            <w:rFonts w:ascii="Verdana" w:hAnsi="Verdana" w:cs="Arial"/>
            <w:color w:val="0563C1" w:themeColor="hyperlink"/>
            <w:u w:val="single"/>
            <w:shd w:val="clear" w:color="auto" w:fill="FFFFFF"/>
          </w:rPr>
          <w:t>https://relatoria.colombiacompra.gov.co/busqueda/conceptos</w:t>
        </w:r>
      </w:hyperlink>
      <w:r w:rsidRPr="00AB70DD">
        <w:rPr>
          <w:rFonts w:ascii="Verdana" w:hAnsi="Verdana" w:cs="Arial"/>
          <w:shd w:val="clear" w:color="auto" w:fill="FFFFFF"/>
        </w:rPr>
        <w:t>.</w:t>
      </w:r>
      <w:r w:rsidRPr="00AB70DD">
        <w:rPr>
          <w:rFonts w:ascii="Verdana" w:hAnsi="Verdana" w:cs="Arial"/>
          <w:color w:val="FF0000"/>
          <w:shd w:val="clear" w:color="auto" w:fill="FFFFFF"/>
        </w:rPr>
        <w:t xml:space="preserve"> </w:t>
      </w:r>
      <w:r w:rsidRPr="00AB70DD">
        <w:rPr>
          <w:rFonts w:ascii="Verdana" w:hAnsi="Verdana" w:cs="Arial"/>
          <w:color w:val="000000" w:themeColor="text1"/>
          <w:shd w:val="clear" w:color="auto" w:fill="FFFFFF"/>
        </w:rPr>
        <w:t>  </w:t>
      </w:r>
    </w:p>
    <w:p w14:paraId="0086F759" w14:textId="77777777" w:rsidR="00CF5D12" w:rsidRPr="00237766" w:rsidRDefault="00CF5D12" w:rsidP="00CF5D12">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4CBB66C" w14:textId="77777777" w:rsidR="00CF5D12" w:rsidRPr="008E4F36" w:rsidRDefault="00CF5D12" w:rsidP="00CF5D12">
      <w:pPr>
        <w:pStyle w:val="Prrafodelista"/>
        <w:numPr>
          <w:ilvl w:val="0"/>
          <w:numId w:val="15"/>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262223B4" w14:textId="77777777" w:rsidR="00CF5D12" w:rsidRPr="008E4F36" w:rsidRDefault="00CF5D12" w:rsidP="00CF5D12">
      <w:pPr>
        <w:pStyle w:val="Prrafodelista"/>
        <w:numPr>
          <w:ilvl w:val="0"/>
          <w:numId w:val="15"/>
        </w:numPr>
        <w:spacing w:after="0" w:line="276" w:lineRule="auto"/>
        <w:contextualSpacing w:val="0"/>
        <w:jc w:val="both"/>
        <w:rPr>
          <w:rFonts w:ascii="Verdana" w:hAnsi="Verdana"/>
        </w:rPr>
      </w:pPr>
      <w:r w:rsidRPr="008E4F36">
        <w:rPr>
          <w:rFonts w:ascii="Verdana" w:hAnsi="Verdana"/>
        </w:rPr>
        <w:t>Línea en Bogotá (Mesa de servicio): +57 601 7456788</w:t>
      </w:r>
    </w:p>
    <w:p w14:paraId="06C086DD" w14:textId="77777777" w:rsidR="00CF5D12" w:rsidRPr="008E4F36" w:rsidRDefault="00CF5D12" w:rsidP="00CF5D12">
      <w:pPr>
        <w:pStyle w:val="Prrafodelista"/>
        <w:numPr>
          <w:ilvl w:val="0"/>
          <w:numId w:val="15"/>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230270ED" w14:textId="77777777" w:rsidR="00CF5D12" w:rsidRPr="008E4F36" w:rsidRDefault="00CF5D12" w:rsidP="00CF5D12">
      <w:pPr>
        <w:pStyle w:val="Prrafodelista"/>
        <w:numPr>
          <w:ilvl w:val="0"/>
          <w:numId w:val="15"/>
        </w:numPr>
        <w:spacing w:after="0" w:line="276" w:lineRule="auto"/>
        <w:contextualSpacing w:val="0"/>
        <w:jc w:val="both"/>
        <w:rPr>
          <w:rFonts w:ascii="Verdana" w:hAnsi="Verdana"/>
        </w:rPr>
      </w:pPr>
      <w:r w:rsidRPr="008E4F36">
        <w:rPr>
          <w:rFonts w:ascii="Verdana" w:hAnsi="Verdana"/>
        </w:rPr>
        <w:t xml:space="preserve">Página web: </w:t>
      </w:r>
      <w:hyperlink r:id="rId14" w:history="1">
        <w:r w:rsidRPr="008E4F36">
          <w:rPr>
            <w:rStyle w:val="Hipervnculo"/>
            <w:rFonts w:ascii="Verdana" w:hAnsi="Verdana"/>
          </w:rPr>
          <w:t>www.colombiacompra.gov.co</w:t>
        </w:r>
      </w:hyperlink>
    </w:p>
    <w:p w14:paraId="2FB3071F" w14:textId="77777777" w:rsidR="00CF5D12" w:rsidRPr="008E4F36" w:rsidRDefault="00CF5D12" w:rsidP="00CF5D12">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0224EDA2" w14:textId="77777777" w:rsidR="00CF5D12" w:rsidRPr="008E4F36" w:rsidRDefault="00CF5D12" w:rsidP="00CF5D12">
      <w:pPr>
        <w:spacing w:after="0" w:line="276" w:lineRule="auto"/>
        <w:jc w:val="both"/>
        <w:rPr>
          <w:rFonts w:ascii="Verdana" w:hAnsi="Verdana"/>
        </w:rPr>
      </w:pPr>
    </w:p>
    <w:p w14:paraId="5DBD0A42" w14:textId="77777777" w:rsidR="00CF5D12" w:rsidRPr="008E4F36" w:rsidRDefault="00CF5D12" w:rsidP="00CF5D12">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383F7ED7" w14:textId="77777777" w:rsidR="00CF5D12" w:rsidRPr="008E4F36" w:rsidRDefault="00CF5D12" w:rsidP="00CF5D12">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76F1C80F" w14:textId="77777777" w:rsidR="00CF5D12" w:rsidRPr="008E4F36" w:rsidRDefault="00CF5D12" w:rsidP="00CF5D12">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11507794" w14:textId="77777777" w:rsidR="000C5147" w:rsidRDefault="000C5147" w:rsidP="00CF5D12">
      <w:pPr>
        <w:spacing w:before="120" w:after="0" w:line="276" w:lineRule="auto"/>
        <w:jc w:val="both"/>
        <w:rPr>
          <w:rFonts w:ascii="Verdana" w:hAnsi="Verdana"/>
        </w:rPr>
      </w:pPr>
    </w:p>
    <w:p w14:paraId="4B631336" w14:textId="2DB1993D" w:rsidR="00CF5D12" w:rsidRPr="00FB6C33" w:rsidRDefault="00CF5D12" w:rsidP="00CF5D12">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2E4D815" w14:textId="77777777" w:rsidR="00CF5D12" w:rsidRPr="008E4F36" w:rsidRDefault="00CF5D12" w:rsidP="00CF5D12">
      <w:pPr>
        <w:spacing w:after="0" w:line="276" w:lineRule="auto"/>
        <w:jc w:val="both"/>
        <w:rPr>
          <w:rFonts w:ascii="Verdana" w:eastAsia="Calibri" w:hAnsi="Verdana" w:cs="Times New Roman"/>
        </w:rPr>
      </w:pPr>
    </w:p>
    <w:p w14:paraId="104272D3" w14:textId="77777777" w:rsidR="00CF5D12" w:rsidRDefault="00CF5D12" w:rsidP="00CF5D12">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603BD048" w14:textId="77777777" w:rsidR="00CF5D12" w:rsidRDefault="00CF5D12" w:rsidP="00CF5D12">
      <w:pPr>
        <w:spacing w:after="0" w:line="256" w:lineRule="auto"/>
        <w:rPr>
          <w:rFonts w:eastAsia="Times New Roman" w:cs="Arial"/>
          <w:sz w:val="24"/>
          <w:szCs w:val="24"/>
        </w:rPr>
      </w:pPr>
    </w:p>
    <w:p w14:paraId="74B4F6F0" w14:textId="54B855B8" w:rsidR="00CF5D12" w:rsidRPr="0086265D" w:rsidRDefault="0086265D" w:rsidP="0086265D">
      <w:pPr>
        <w:spacing w:after="0" w:line="256" w:lineRule="auto"/>
        <w:jc w:val="center"/>
        <w:rPr>
          <w:rFonts w:ascii="Verdana" w:eastAsia="Calibri" w:hAnsi="Verdana" w:cs="Times New Roman"/>
        </w:rPr>
      </w:pPr>
      <w:r w:rsidRPr="0065791A">
        <w:rPr>
          <w:rFonts w:ascii="Century Gothic" w:hAnsi="Century Gothic"/>
          <w:noProof/>
        </w:rPr>
        <w:lastRenderedPageBreak/>
        <w:drawing>
          <wp:inline distT="0" distB="0" distL="0" distR="0" wp14:anchorId="51FE65E3" wp14:editId="2797A4E3">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5"/>
                    <a:stretch>
                      <a:fillRect/>
                    </a:stretch>
                  </pic:blipFill>
                  <pic:spPr>
                    <a:xfrm>
                      <a:off x="0" y="0"/>
                      <a:ext cx="3962953" cy="1867161"/>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CF5D12" w:rsidRPr="008E4F36" w14:paraId="50AC01F3" w14:textId="77777777" w:rsidTr="00CD2426">
        <w:trPr>
          <w:trHeight w:val="315"/>
        </w:trPr>
        <w:tc>
          <w:tcPr>
            <w:tcW w:w="893" w:type="dxa"/>
            <w:vAlign w:val="center"/>
            <w:hideMark/>
          </w:tcPr>
          <w:p w14:paraId="5D723AA4" w14:textId="77777777" w:rsidR="00CF5D12" w:rsidRPr="008E4F36" w:rsidRDefault="00CF5D12" w:rsidP="00CD2426">
            <w:pPr>
              <w:contextualSpacing/>
              <w:rPr>
                <w:rFonts w:ascii="Verdana" w:hAnsi="Verdana" w:cs="Arial"/>
                <w:sz w:val="16"/>
                <w:szCs w:val="16"/>
                <w:lang w:eastAsia="es-ES"/>
              </w:rPr>
            </w:pPr>
            <w:r w:rsidRPr="008E4F36">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02407D53" w14:textId="77777777" w:rsidR="00CF5D12" w:rsidRPr="008E4F36" w:rsidRDefault="00CF5D12" w:rsidP="00CD2426">
            <w:pPr>
              <w:contextualSpacing/>
              <w:rPr>
                <w:rStyle w:val="normaltextrun"/>
                <w:rFonts w:ascii="Verdana" w:hAnsi="Verdana"/>
                <w:sz w:val="16"/>
                <w:szCs w:val="16"/>
              </w:rPr>
            </w:pPr>
            <w:r w:rsidRPr="008E4F36">
              <w:rPr>
                <w:rStyle w:val="normaltextrun"/>
                <w:rFonts w:ascii="Verdana" w:hAnsi="Verdana"/>
                <w:sz w:val="16"/>
                <w:szCs w:val="16"/>
              </w:rPr>
              <w:t xml:space="preserve">Esperanza Contreras P </w:t>
            </w:r>
          </w:p>
          <w:p w14:paraId="7F148129" w14:textId="77777777" w:rsidR="00CF5D12" w:rsidRPr="008E4F36" w:rsidRDefault="00CF5D12" w:rsidP="00CD2426">
            <w:pPr>
              <w:contextualSpacing/>
              <w:rPr>
                <w:rFonts w:ascii="Verdana" w:eastAsia="Arial" w:hAnsi="Verdana" w:cs="Arial"/>
                <w:sz w:val="16"/>
                <w:szCs w:val="16"/>
              </w:rPr>
            </w:pPr>
            <w:r w:rsidRPr="008E4F36">
              <w:rPr>
                <w:rStyle w:val="normaltextrun"/>
                <w:rFonts w:ascii="Verdana" w:hAnsi="Verdana" w:cs="Arial"/>
                <w:sz w:val="16"/>
                <w:szCs w:val="16"/>
              </w:rPr>
              <w:t>Contratista de la Subdirección de Gestión Contractual</w:t>
            </w:r>
            <w:r w:rsidRPr="008E4F36">
              <w:rPr>
                <w:rStyle w:val="eop"/>
                <w:rFonts w:ascii="Verdana" w:hAnsi="Verdana" w:cs="Arial"/>
                <w:sz w:val="16"/>
                <w:szCs w:val="16"/>
              </w:rPr>
              <w:t> </w:t>
            </w:r>
          </w:p>
        </w:tc>
      </w:tr>
      <w:tr w:rsidR="00CF5D12" w:rsidRPr="008E4F36" w14:paraId="4082535C" w14:textId="77777777" w:rsidTr="00CD2426">
        <w:trPr>
          <w:trHeight w:val="330"/>
        </w:trPr>
        <w:tc>
          <w:tcPr>
            <w:tcW w:w="893" w:type="dxa"/>
            <w:vAlign w:val="center"/>
            <w:hideMark/>
          </w:tcPr>
          <w:p w14:paraId="71D3A203" w14:textId="77777777" w:rsidR="00CF5D12" w:rsidRPr="008E4F36" w:rsidRDefault="00CF5D12" w:rsidP="00CD2426">
            <w:pPr>
              <w:contextualSpacing/>
              <w:rPr>
                <w:rFonts w:ascii="Verdana" w:hAnsi="Verdana" w:cs="Arial"/>
                <w:sz w:val="16"/>
                <w:szCs w:val="16"/>
                <w:lang w:eastAsia="es-ES"/>
              </w:rPr>
            </w:pPr>
            <w:r w:rsidRPr="008E4F36">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5EFB4C04" w14:textId="77777777" w:rsidR="00CF5D12" w:rsidRPr="00707947" w:rsidRDefault="00CF5D12" w:rsidP="00CD2426">
            <w:pPr>
              <w:pStyle w:val="paragraph"/>
              <w:spacing w:before="0" w:beforeAutospacing="0" w:after="0" w:afterAutospacing="0"/>
              <w:contextualSpacing/>
              <w:textAlignment w:val="baseline"/>
              <w:rPr>
                <w:rStyle w:val="normaltextrun"/>
                <w:rFonts w:ascii="Verdana" w:hAnsi="Verdana"/>
                <w:sz w:val="16"/>
                <w:szCs w:val="16"/>
              </w:rPr>
            </w:pPr>
            <w:r w:rsidRPr="00707947">
              <w:rPr>
                <w:rStyle w:val="normaltextrun"/>
                <w:rFonts w:ascii="Verdana" w:hAnsi="Verdana"/>
                <w:sz w:val="16"/>
                <w:szCs w:val="16"/>
              </w:rPr>
              <w:t>Alejandro Sarmiento Cantillo</w:t>
            </w:r>
          </w:p>
          <w:p w14:paraId="69A02A44" w14:textId="77777777" w:rsidR="00CF5D12" w:rsidRPr="008E4F36" w:rsidRDefault="00CF5D12" w:rsidP="00CD2426">
            <w:pPr>
              <w:pStyle w:val="paragraph"/>
              <w:spacing w:before="0" w:beforeAutospacing="0" w:after="0" w:afterAutospacing="0"/>
              <w:contextualSpacing/>
              <w:textAlignment w:val="baseline"/>
              <w:rPr>
                <w:rFonts w:ascii="Verdana" w:hAnsi="Verdana" w:cs="Segoe UI"/>
                <w:sz w:val="16"/>
                <w:szCs w:val="16"/>
              </w:rPr>
            </w:pPr>
            <w:r w:rsidRPr="00707947">
              <w:rPr>
                <w:rFonts w:ascii="Verdana" w:eastAsia="Calibri" w:hAnsi="Verdana"/>
                <w:sz w:val="16"/>
                <w:szCs w:val="16"/>
              </w:rPr>
              <w:t>Gestor T1-15 de la Subdirección de Gestión Contractual </w:t>
            </w:r>
          </w:p>
        </w:tc>
      </w:tr>
      <w:tr w:rsidR="00CF5D12" w:rsidRPr="008E4F36" w14:paraId="718D47C1" w14:textId="77777777" w:rsidTr="00CD2426">
        <w:trPr>
          <w:trHeight w:val="300"/>
        </w:trPr>
        <w:tc>
          <w:tcPr>
            <w:tcW w:w="893" w:type="dxa"/>
            <w:vAlign w:val="center"/>
          </w:tcPr>
          <w:p w14:paraId="62C4D666" w14:textId="77777777" w:rsidR="00CF5D12" w:rsidRPr="008E4F36" w:rsidRDefault="00CF5D12" w:rsidP="00CD2426">
            <w:pPr>
              <w:contextualSpacing/>
              <w:rPr>
                <w:rFonts w:ascii="Verdana" w:hAnsi="Verdana" w:cs="Arial"/>
                <w:sz w:val="16"/>
                <w:szCs w:val="16"/>
                <w:lang w:eastAsia="es-ES"/>
              </w:rPr>
            </w:pPr>
            <w:r w:rsidRPr="008E4F36">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3461E910" w14:textId="77777777" w:rsidR="00CF5D12" w:rsidRPr="008E4F36" w:rsidRDefault="00CF5D12" w:rsidP="00CD2426">
            <w:pPr>
              <w:contextualSpacing/>
              <w:rPr>
                <w:rFonts w:ascii="Verdana" w:eastAsia="Calibri" w:hAnsi="Verdana" w:cs="Arial"/>
                <w:sz w:val="16"/>
                <w:szCs w:val="16"/>
                <w:lang w:eastAsia="es-ES"/>
              </w:rPr>
            </w:pPr>
            <w:r>
              <w:rPr>
                <w:rFonts w:ascii="Verdana" w:eastAsia="Calibri" w:hAnsi="Verdana" w:cs="Arial"/>
                <w:sz w:val="16"/>
                <w:szCs w:val="16"/>
                <w:lang w:eastAsia="es-ES"/>
              </w:rPr>
              <w:t xml:space="preserve">Carolina Quintero </w:t>
            </w:r>
            <w:proofErr w:type="spellStart"/>
            <w:r>
              <w:rPr>
                <w:rFonts w:ascii="Verdana" w:eastAsia="Calibri" w:hAnsi="Verdana" w:cs="Arial"/>
                <w:sz w:val="16"/>
                <w:szCs w:val="16"/>
                <w:lang w:eastAsia="es-ES"/>
              </w:rPr>
              <w:t>Gacharná</w:t>
            </w:r>
            <w:proofErr w:type="spellEnd"/>
          </w:p>
          <w:p w14:paraId="2B36D4C5" w14:textId="77777777" w:rsidR="00CF5D12" w:rsidRPr="008E4F36" w:rsidRDefault="00CF5D12" w:rsidP="00CD2426">
            <w:pPr>
              <w:contextualSpacing/>
              <w:rPr>
                <w:rFonts w:ascii="Verdana" w:eastAsia="Calibri" w:hAnsi="Verdana" w:cs="Arial"/>
                <w:sz w:val="16"/>
                <w:szCs w:val="16"/>
                <w:lang w:eastAsia="es-ES"/>
              </w:rPr>
            </w:pPr>
            <w:r w:rsidRPr="008E4F36">
              <w:rPr>
                <w:rFonts w:ascii="Verdana" w:eastAsia="Calibri" w:hAnsi="Verdana" w:cs="Arial"/>
                <w:sz w:val="16"/>
                <w:szCs w:val="16"/>
                <w:lang w:eastAsia="es-ES"/>
              </w:rPr>
              <w:t>Subdirectora de Gestión Contractual</w:t>
            </w:r>
            <w:r>
              <w:rPr>
                <w:rFonts w:ascii="Verdana" w:eastAsia="Calibri" w:hAnsi="Verdana" w:cs="Arial"/>
                <w:sz w:val="16"/>
                <w:szCs w:val="16"/>
                <w:lang w:eastAsia="es-ES"/>
              </w:rPr>
              <w:t xml:space="preserve"> </w:t>
            </w:r>
            <w:r w:rsidRPr="008E4F36">
              <w:rPr>
                <w:rFonts w:ascii="Verdana" w:eastAsia="Calibri" w:hAnsi="Verdana" w:cs="Arial"/>
                <w:sz w:val="16"/>
                <w:szCs w:val="16"/>
                <w:lang w:eastAsia="es-ES"/>
              </w:rPr>
              <w:t>ANCP – CCE</w:t>
            </w:r>
          </w:p>
        </w:tc>
      </w:tr>
      <w:bookmarkEnd w:id="5"/>
      <w:bookmarkEnd w:id="6"/>
    </w:tbl>
    <w:p w14:paraId="5406AE2C" w14:textId="77777777" w:rsidR="00CF5D12" w:rsidRPr="008E4F36" w:rsidRDefault="00CF5D12" w:rsidP="00CF5D12">
      <w:pPr>
        <w:spacing w:after="0"/>
        <w:rPr>
          <w:rFonts w:ascii="Verdana" w:hAnsi="Verdana"/>
        </w:rPr>
      </w:pPr>
    </w:p>
    <w:bookmarkEnd w:id="0"/>
    <w:bookmarkEnd w:id="1"/>
    <w:bookmarkEnd w:id="2"/>
    <w:bookmarkEnd w:id="3"/>
    <w:bookmarkEnd w:id="4"/>
    <w:p w14:paraId="3900974D" w14:textId="77777777" w:rsidR="003D5B0D" w:rsidRPr="001414DE" w:rsidRDefault="003D5B0D" w:rsidP="001414DE"/>
    <w:sectPr w:rsidR="003D5B0D" w:rsidRPr="001414DE"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87F42" w14:textId="77777777" w:rsidR="00853465" w:rsidRDefault="00853465" w:rsidP="004A1847">
      <w:pPr>
        <w:spacing w:after="0" w:line="240" w:lineRule="auto"/>
      </w:pPr>
      <w:r>
        <w:separator/>
      </w:r>
    </w:p>
  </w:endnote>
  <w:endnote w:type="continuationSeparator" w:id="0">
    <w:p w14:paraId="22CBDEDF" w14:textId="77777777" w:rsidR="00853465" w:rsidRDefault="0085346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08377" w14:textId="77777777" w:rsidR="00853465" w:rsidRDefault="00853465" w:rsidP="004A1847">
      <w:pPr>
        <w:spacing w:after="0" w:line="240" w:lineRule="auto"/>
      </w:pPr>
      <w:r>
        <w:separator/>
      </w:r>
    </w:p>
  </w:footnote>
  <w:footnote w:type="continuationSeparator" w:id="0">
    <w:p w14:paraId="24946328" w14:textId="77777777" w:rsidR="00853465" w:rsidRDefault="00853465" w:rsidP="004A1847">
      <w:pPr>
        <w:spacing w:after="0" w:line="240" w:lineRule="auto"/>
      </w:pPr>
      <w:r>
        <w:continuationSeparator/>
      </w:r>
    </w:p>
  </w:footnote>
  <w:footnote w:id="1">
    <w:p w14:paraId="2AA461F7" w14:textId="77777777" w:rsidR="00CF5D12" w:rsidRPr="00676106" w:rsidRDefault="00CF5D12" w:rsidP="00CF5D12">
      <w:pPr>
        <w:pStyle w:val="Textonotapie"/>
        <w:ind w:firstLine="709"/>
        <w:jc w:val="both"/>
        <w:rPr>
          <w:rFonts w:ascii="Verdana" w:hAnsi="Verdana" w:cs="Arial"/>
          <w:sz w:val="14"/>
          <w:szCs w:val="14"/>
        </w:rPr>
      </w:pPr>
      <w:r w:rsidRPr="00676106">
        <w:rPr>
          <w:rStyle w:val="Refdenotaalpie"/>
          <w:rFonts w:ascii="Verdana" w:hAnsi="Verdana" w:cs="Arial"/>
          <w:sz w:val="14"/>
          <w:szCs w:val="14"/>
        </w:rPr>
        <w:footnoteRef/>
      </w:r>
      <w:r w:rsidRPr="00676106">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F4F1CF7" w14:textId="77777777" w:rsidR="00CF5D12" w:rsidRDefault="00CF5D12" w:rsidP="00CF5D12">
      <w:pPr>
        <w:pStyle w:val="Textonotapie"/>
        <w:ind w:firstLine="709"/>
        <w:jc w:val="both"/>
        <w:rPr>
          <w:rFonts w:ascii="Verdana" w:hAnsi="Verdana" w:cs="Arial"/>
          <w:sz w:val="14"/>
          <w:szCs w:val="14"/>
        </w:rPr>
      </w:pPr>
      <w:r w:rsidRPr="00676106">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19172093" w14:textId="77777777" w:rsidR="00CF5D12" w:rsidRPr="00676106" w:rsidRDefault="00CF5D12" w:rsidP="00CF5D12">
      <w:pPr>
        <w:pStyle w:val="Textonotapie"/>
        <w:ind w:firstLine="709"/>
        <w:jc w:val="both"/>
        <w:rPr>
          <w:rFonts w:ascii="Verdana" w:hAnsi="Verdana" w:cs="Arial"/>
          <w:sz w:val="14"/>
          <w:szCs w:val="14"/>
        </w:rPr>
      </w:pPr>
    </w:p>
  </w:footnote>
  <w:footnote w:id="2">
    <w:p w14:paraId="27497029" w14:textId="77777777" w:rsidR="00CF5D12" w:rsidRDefault="00CF5D12" w:rsidP="00CF5D12">
      <w:pPr>
        <w:pStyle w:val="Textonotapie"/>
        <w:ind w:firstLine="709"/>
        <w:rPr>
          <w:rFonts w:ascii="Verdana" w:hAnsi="Verdana" w:cs="Arial"/>
          <w:sz w:val="14"/>
          <w:szCs w:val="14"/>
        </w:rPr>
      </w:pPr>
      <w:r w:rsidRPr="003E638E">
        <w:rPr>
          <w:rStyle w:val="Refdenotaalpie"/>
          <w:rFonts w:ascii="Verdana" w:hAnsi="Verdana" w:cs="Arial"/>
          <w:sz w:val="14"/>
          <w:szCs w:val="14"/>
        </w:rPr>
        <w:footnoteRef/>
      </w:r>
      <w:r w:rsidRPr="003E638E">
        <w:rPr>
          <w:rFonts w:ascii="Verdana" w:hAnsi="Verdana" w:cs="Arial"/>
          <w:sz w:val="14"/>
          <w:szCs w:val="14"/>
        </w:rPr>
        <w:t xml:space="preserve"> Gaceta del Congreso de la República No. 71 del 2005.</w:t>
      </w:r>
    </w:p>
    <w:p w14:paraId="476096AE" w14:textId="77777777" w:rsidR="00CF5D12" w:rsidRPr="003E638E" w:rsidRDefault="00CF5D12" w:rsidP="00CF5D12">
      <w:pPr>
        <w:pStyle w:val="Textonotapie"/>
        <w:ind w:firstLine="709"/>
        <w:rPr>
          <w:rFonts w:ascii="Verdana" w:hAnsi="Verdana" w:cs="Arial"/>
          <w:sz w:val="14"/>
          <w:szCs w:val="14"/>
        </w:rPr>
      </w:pPr>
    </w:p>
  </w:footnote>
  <w:footnote w:id="3">
    <w:p w14:paraId="5F817D7B" w14:textId="77777777" w:rsidR="00CF5D12" w:rsidRDefault="00CF5D12" w:rsidP="00CF5D12">
      <w:pPr>
        <w:pStyle w:val="Textonotapie"/>
        <w:ind w:firstLine="709"/>
        <w:rPr>
          <w:rFonts w:ascii="Verdana" w:hAnsi="Verdana" w:cs="Arial"/>
          <w:sz w:val="14"/>
          <w:szCs w:val="14"/>
        </w:rPr>
      </w:pPr>
      <w:r w:rsidRPr="003E638E">
        <w:rPr>
          <w:rStyle w:val="Refdenotaalpie"/>
          <w:rFonts w:ascii="Verdana" w:hAnsi="Verdana" w:cs="Arial"/>
          <w:sz w:val="14"/>
          <w:szCs w:val="14"/>
        </w:rPr>
        <w:footnoteRef/>
      </w:r>
      <w:r w:rsidRPr="003E638E">
        <w:rPr>
          <w:rFonts w:ascii="Verdana" w:hAnsi="Verdana" w:cs="Arial"/>
          <w:sz w:val="14"/>
          <w:szCs w:val="14"/>
        </w:rPr>
        <w:t xml:space="preserve"> Corte Constitucional, Sentencia C- 1153 de 2005, M.P. Marco Gerardo Monroy Cabra.</w:t>
      </w:r>
    </w:p>
    <w:p w14:paraId="05B7C396" w14:textId="77777777" w:rsidR="00CF5D12" w:rsidRPr="003E638E" w:rsidRDefault="00CF5D12" w:rsidP="00CF5D12">
      <w:pPr>
        <w:pStyle w:val="Textonotapie"/>
        <w:ind w:firstLine="709"/>
        <w:rPr>
          <w:rFonts w:ascii="Verdana" w:hAnsi="Verdana" w:cs="Arial"/>
          <w:sz w:val="14"/>
          <w:szCs w:val="14"/>
        </w:rPr>
      </w:pPr>
    </w:p>
  </w:footnote>
  <w:footnote w:id="4">
    <w:p w14:paraId="75D6F42E" w14:textId="77777777" w:rsidR="00CF5D12" w:rsidRPr="00507686" w:rsidRDefault="00CF5D12" w:rsidP="00CF5D12">
      <w:pPr>
        <w:pStyle w:val="Textonotapie"/>
        <w:ind w:firstLine="709"/>
        <w:jc w:val="both"/>
        <w:rPr>
          <w:rFonts w:ascii="Verdana" w:hAnsi="Verdana" w:cs="Arial"/>
          <w:sz w:val="14"/>
          <w:szCs w:val="14"/>
          <w:lang w:val="es-CO"/>
        </w:rPr>
      </w:pPr>
      <w:r w:rsidRPr="003E638E">
        <w:rPr>
          <w:rStyle w:val="Refdenotaalpie"/>
          <w:rFonts w:ascii="Verdana" w:hAnsi="Verdana" w:cs="Arial"/>
          <w:sz w:val="14"/>
          <w:szCs w:val="14"/>
        </w:rPr>
        <w:footnoteRef/>
      </w:r>
      <w:r w:rsidRPr="003E638E">
        <w:rPr>
          <w:rFonts w:ascii="Verdana" w:hAnsi="Verdana" w:cs="Arial"/>
          <w:sz w:val="14"/>
          <w:szCs w:val="14"/>
        </w:rPr>
        <w:t xml:space="preserve"> </w:t>
      </w:r>
      <w:r w:rsidRPr="00507686">
        <w:rPr>
          <w:rFonts w:ascii="Verdana" w:hAnsi="Verdana" w:cs="Arial"/>
          <w:sz w:val="14"/>
          <w:szCs w:val="14"/>
          <w:lang w:val="es-CO"/>
        </w:rPr>
        <w:t>Corte Constitucional. Sentencias: C-233 de 4 de abril de 2002. M.P: Álvaro Tafur Galvis; C-551 de 9 de julio de 2003</w:t>
      </w:r>
      <w:r>
        <w:rPr>
          <w:rFonts w:ascii="Verdana" w:hAnsi="Verdana" w:cs="Arial"/>
          <w:sz w:val="14"/>
          <w:szCs w:val="14"/>
          <w:lang w:val="es-CO"/>
        </w:rPr>
        <w:t xml:space="preserve">. M.P: Eduardo Montealegre </w:t>
      </w:r>
      <w:proofErr w:type="spellStart"/>
      <w:r>
        <w:rPr>
          <w:rFonts w:ascii="Verdana" w:hAnsi="Verdana" w:cs="Arial"/>
          <w:sz w:val="14"/>
          <w:szCs w:val="14"/>
          <w:lang w:val="es-CO"/>
        </w:rPr>
        <w:t>Lynnet</w:t>
      </w:r>
      <w:proofErr w:type="spellEnd"/>
      <w:r w:rsidRPr="00507686">
        <w:rPr>
          <w:rFonts w:ascii="Verdana" w:hAnsi="Verdana" w:cs="Arial"/>
          <w:sz w:val="14"/>
          <w:szCs w:val="14"/>
          <w:lang w:val="es-CO"/>
        </w:rPr>
        <w:t>; C-353 de 20 de mayo de 2009</w:t>
      </w:r>
      <w:r>
        <w:rPr>
          <w:rFonts w:ascii="Verdana" w:hAnsi="Verdana" w:cs="Arial"/>
          <w:sz w:val="14"/>
          <w:szCs w:val="14"/>
          <w:lang w:val="es-CO"/>
        </w:rPr>
        <w:t xml:space="preserve">. M.P: Jorge Iván Palacio </w:t>
      </w:r>
      <w:proofErr w:type="spellStart"/>
      <w:r>
        <w:rPr>
          <w:rFonts w:ascii="Verdana" w:hAnsi="Verdana" w:cs="Arial"/>
          <w:sz w:val="14"/>
          <w:szCs w:val="14"/>
          <w:lang w:val="es-CO"/>
        </w:rPr>
        <w:t>Palacio</w:t>
      </w:r>
      <w:proofErr w:type="spellEnd"/>
      <w:r>
        <w:rPr>
          <w:rFonts w:ascii="Verdana" w:hAnsi="Verdana" w:cs="Arial"/>
          <w:sz w:val="14"/>
          <w:szCs w:val="14"/>
          <w:lang w:val="es-CO"/>
        </w:rPr>
        <w:t xml:space="preserve">; </w:t>
      </w:r>
      <w:r w:rsidRPr="00507686">
        <w:rPr>
          <w:rFonts w:ascii="Verdana" w:hAnsi="Verdana" w:cs="Arial"/>
          <w:sz w:val="14"/>
          <w:szCs w:val="14"/>
          <w:lang w:val="es-CO"/>
        </w:rPr>
        <w:t>C-541 de 30 de junio de 2010</w:t>
      </w:r>
      <w:r>
        <w:rPr>
          <w:rFonts w:ascii="Verdana" w:hAnsi="Verdana" w:cs="Arial"/>
          <w:sz w:val="14"/>
          <w:szCs w:val="14"/>
          <w:lang w:val="es-CO"/>
        </w:rPr>
        <w:t>. M.P: Gabriel Eduardo Mendoza Martelo</w:t>
      </w:r>
      <w:r w:rsidRPr="00507686">
        <w:rPr>
          <w:rFonts w:ascii="Verdana" w:hAnsi="Verdana" w:cs="Arial"/>
          <w:sz w:val="14"/>
          <w:szCs w:val="14"/>
          <w:lang w:val="es-CO"/>
        </w:rPr>
        <w:t>; entre otras.</w:t>
      </w:r>
    </w:p>
    <w:p w14:paraId="52628CBC" w14:textId="77777777" w:rsidR="00CF5D12" w:rsidRPr="003E638E" w:rsidRDefault="00CF5D12" w:rsidP="00CF5D12">
      <w:pPr>
        <w:pStyle w:val="Textonotapie"/>
        <w:ind w:firstLine="709"/>
        <w:jc w:val="both"/>
        <w:rPr>
          <w:rFonts w:ascii="Verdana" w:hAnsi="Verdana" w:cs="Arial"/>
          <w:sz w:val="14"/>
          <w:szCs w:val="14"/>
        </w:rPr>
      </w:pPr>
    </w:p>
  </w:footnote>
  <w:footnote w:id="5">
    <w:p w14:paraId="29BDE43C" w14:textId="77777777" w:rsidR="00CF5D12" w:rsidRDefault="00CF5D12" w:rsidP="00CF5D12">
      <w:pPr>
        <w:pStyle w:val="Textonotapie"/>
        <w:ind w:firstLine="709"/>
        <w:jc w:val="both"/>
        <w:rPr>
          <w:rFonts w:ascii="Verdana" w:hAnsi="Verdana" w:cs="Arial"/>
          <w:sz w:val="14"/>
          <w:szCs w:val="14"/>
          <w:lang w:val="es-CO"/>
        </w:rPr>
      </w:pPr>
      <w:r w:rsidRPr="003E638E">
        <w:rPr>
          <w:rStyle w:val="Refdenotaalpie"/>
          <w:rFonts w:ascii="Verdana" w:hAnsi="Verdana" w:cs="Arial"/>
          <w:sz w:val="14"/>
          <w:szCs w:val="14"/>
        </w:rPr>
        <w:footnoteRef/>
      </w:r>
      <w:r w:rsidRPr="003E638E">
        <w:rPr>
          <w:rFonts w:ascii="Verdana" w:hAnsi="Verdana" w:cs="Arial"/>
          <w:sz w:val="14"/>
          <w:szCs w:val="14"/>
          <w:lang w:val="es-CO"/>
        </w:rPr>
        <w:t xml:space="preserve"> Consejo de Estado</w:t>
      </w:r>
      <w:r>
        <w:rPr>
          <w:rFonts w:ascii="Verdana" w:hAnsi="Verdana" w:cs="Arial"/>
          <w:sz w:val="14"/>
          <w:szCs w:val="14"/>
          <w:lang w:val="es-CO"/>
        </w:rPr>
        <w:t>.</w:t>
      </w:r>
      <w:r w:rsidRPr="003E638E">
        <w:rPr>
          <w:rFonts w:ascii="Verdana" w:hAnsi="Verdana" w:cs="Arial"/>
          <w:sz w:val="14"/>
          <w:szCs w:val="14"/>
          <w:lang w:val="es-CO"/>
        </w:rPr>
        <w:t xml:space="preserve"> Sala de lo Contencioso Administrativo</w:t>
      </w:r>
      <w:r>
        <w:rPr>
          <w:rFonts w:ascii="Verdana" w:hAnsi="Verdana" w:cs="Arial"/>
          <w:sz w:val="14"/>
          <w:szCs w:val="14"/>
          <w:lang w:val="es-CO"/>
        </w:rPr>
        <w:t>.</w:t>
      </w:r>
      <w:r w:rsidRPr="003E638E">
        <w:rPr>
          <w:rFonts w:ascii="Verdana" w:hAnsi="Verdana" w:cs="Arial"/>
          <w:sz w:val="14"/>
          <w:szCs w:val="14"/>
          <w:lang w:val="es-CO"/>
        </w:rPr>
        <w:t xml:space="preserve"> Sección Primera. Sentencia de 3 de marzo de 2005</w:t>
      </w:r>
      <w:r>
        <w:rPr>
          <w:rFonts w:ascii="Verdana" w:hAnsi="Verdana" w:cs="Arial"/>
          <w:sz w:val="14"/>
          <w:szCs w:val="14"/>
          <w:lang w:val="es-CO"/>
        </w:rPr>
        <w:t xml:space="preserve">. Radicado: </w:t>
      </w:r>
      <w:r w:rsidRPr="00CE6AF1">
        <w:rPr>
          <w:rFonts w:ascii="Verdana" w:hAnsi="Verdana" w:cs="Arial"/>
          <w:sz w:val="14"/>
          <w:szCs w:val="14"/>
          <w:lang w:val="es-CO"/>
        </w:rPr>
        <w:t>25001-23-15-000-2004-00823-01</w:t>
      </w:r>
      <w:r>
        <w:rPr>
          <w:rFonts w:ascii="Verdana" w:hAnsi="Verdana" w:cs="Arial"/>
          <w:sz w:val="14"/>
          <w:szCs w:val="14"/>
          <w:lang w:val="es-CO"/>
        </w:rPr>
        <w:t xml:space="preserve"> </w:t>
      </w:r>
      <w:r w:rsidRPr="003E638E">
        <w:rPr>
          <w:rFonts w:ascii="Verdana" w:hAnsi="Verdana" w:cs="Arial"/>
          <w:sz w:val="14"/>
          <w:szCs w:val="14"/>
          <w:lang w:val="es-CO"/>
        </w:rPr>
        <w:t>(PI).</w:t>
      </w:r>
      <w:r>
        <w:rPr>
          <w:rFonts w:ascii="Verdana" w:hAnsi="Verdana" w:cs="Arial"/>
          <w:sz w:val="14"/>
          <w:szCs w:val="14"/>
          <w:lang w:val="es-CO"/>
        </w:rPr>
        <w:t xml:space="preserve"> C.P: Camilo Arciniegas Andrade.</w:t>
      </w:r>
      <w:r w:rsidRPr="003E638E">
        <w:rPr>
          <w:rFonts w:ascii="Verdana" w:hAnsi="Verdana" w:cs="Arial"/>
          <w:sz w:val="14"/>
          <w:szCs w:val="14"/>
          <w:lang w:val="es-CO"/>
        </w:rPr>
        <w:t xml:space="preserve"> Ver también, </w:t>
      </w:r>
      <w:r>
        <w:rPr>
          <w:rFonts w:ascii="Verdana" w:hAnsi="Verdana" w:cs="Arial"/>
          <w:sz w:val="14"/>
          <w:szCs w:val="14"/>
          <w:lang w:val="es-CO"/>
        </w:rPr>
        <w:t xml:space="preserve">Consejo de Estado. Sala de lo Contencioso Administrativo. </w:t>
      </w:r>
      <w:r w:rsidRPr="003E638E">
        <w:rPr>
          <w:rFonts w:ascii="Verdana" w:hAnsi="Verdana" w:cs="Arial"/>
          <w:sz w:val="14"/>
          <w:szCs w:val="14"/>
          <w:lang w:val="es-CO"/>
        </w:rPr>
        <w:t>Sección Tercera. Sentencia de 22 de enero de 2002</w:t>
      </w:r>
      <w:r>
        <w:rPr>
          <w:rFonts w:ascii="Verdana" w:hAnsi="Verdana" w:cs="Arial"/>
          <w:sz w:val="14"/>
          <w:szCs w:val="14"/>
          <w:lang w:val="es-CO"/>
        </w:rPr>
        <w:t>. Radicado:</w:t>
      </w:r>
      <w:r w:rsidRPr="003E638E">
        <w:rPr>
          <w:rFonts w:ascii="Verdana" w:hAnsi="Verdana" w:cs="Arial"/>
          <w:sz w:val="14"/>
          <w:szCs w:val="14"/>
          <w:lang w:val="es-CO"/>
        </w:rPr>
        <w:t xml:space="preserve"> 2001-0148-01 y, </w:t>
      </w:r>
      <w:r>
        <w:rPr>
          <w:rFonts w:ascii="Verdana" w:hAnsi="Verdana" w:cs="Arial"/>
          <w:sz w:val="14"/>
          <w:szCs w:val="14"/>
          <w:lang w:val="es-CO"/>
        </w:rPr>
        <w:t xml:space="preserve">Consejo de Estado. Sala de lo Contencioso Administrativo. </w:t>
      </w:r>
      <w:r w:rsidRPr="003E638E">
        <w:rPr>
          <w:rFonts w:ascii="Verdana" w:hAnsi="Verdana" w:cs="Arial"/>
          <w:sz w:val="14"/>
          <w:szCs w:val="14"/>
          <w:lang w:val="es-CO"/>
        </w:rPr>
        <w:t>Sección Tercera. Sentencia de 20 de noviembre de 2001</w:t>
      </w:r>
      <w:r>
        <w:rPr>
          <w:rFonts w:ascii="Verdana" w:hAnsi="Verdana" w:cs="Arial"/>
          <w:sz w:val="14"/>
          <w:szCs w:val="14"/>
          <w:lang w:val="es-CO"/>
        </w:rPr>
        <w:t>. Radicado:</w:t>
      </w:r>
      <w:r w:rsidRPr="003E638E">
        <w:rPr>
          <w:rFonts w:ascii="Verdana" w:hAnsi="Verdana" w:cs="Arial"/>
          <w:sz w:val="14"/>
          <w:szCs w:val="14"/>
          <w:lang w:val="es-CO"/>
        </w:rPr>
        <w:t xml:space="preserve"> 2001-0130-01(PI), entre otras.</w:t>
      </w:r>
    </w:p>
    <w:p w14:paraId="74E9A6C3" w14:textId="77777777" w:rsidR="00CF5D12" w:rsidRPr="003E638E" w:rsidRDefault="00CF5D12" w:rsidP="00CF5D12">
      <w:pPr>
        <w:pStyle w:val="Textonotapie"/>
        <w:ind w:firstLine="709"/>
        <w:jc w:val="both"/>
        <w:rPr>
          <w:rFonts w:ascii="Verdana" w:hAnsi="Verdana" w:cs="Arial"/>
          <w:sz w:val="14"/>
          <w:szCs w:val="14"/>
          <w:lang w:val="es-CO"/>
        </w:rPr>
      </w:pPr>
    </w:p>
  </w:footnote>
  <w:footnote w:id="6">
    <w:p w14:paraId="42AF864B" w14:textId="77777777" w:rsidR="00CF5D12" w:rsidRDefault="00CF5D12" w:rsidP="00CF5D12">
      <w:pPr>
        <w:pStyle w:val="Textonotapie"/>
        <w:ind w:firstLine="709"/>
        <w:jc w:val="both"/>
        <w:rPr>
          <w:rFonts w:ascii="Verdana" w:hAnsi="Verdana" w:cs="Arial"/>
          <w:sz w:val="14"/>
          <w:szCs w:val="14"/>
        </w:rPr>
      </w:pPr>
      <w:r w:rsidRPr="003E638E">
        <w:rPr>
          <w:rStyle w:val="Refdenotaalpie"/>
          <w:rFonts w:ascii="Verdana" w:hAnsi="Verdana" w:cs="Arial"/>
          <w:sz w:val="14"/>
          <w:szCs w:val="14"/>
        </w:rPr>
        <w:footnoteRef/>
      </w:r>
      <w:r w:rsidRPr="003E638E">
        <w:rPr>
          <w:rFonts w:ascii="Verdana" w:hAnsi="Verdana" w:cs="Arial"/>
          <w:sz w:val="14"/>
          <w:szCs w:val="14"/>
        </w:rPr>
        <w:t xml:space="preserve"> Consejo de Estado, Sala de Consulta y Servicio Civil de fecha 24 de julio de 2013, radicado 2166, </w:t>
      </w:r>
      <w:proofErr w:type="gramStart"/>
      <w:r w:rsidRPr="003E638E">
        <w:rPr>
          <w:rFonts w:ascii="Verdana" w:hAnsi="Verdana" w:cs="Arial"/>
          <w:sz w:val="14"/>
          <w:szCs w:val="14"/>
        </w:rPr>
        <w:t>Consejero</w:t>
      </w:r>
      <w:proofErr w:type="gramEnd"/>
      <w:r w:rsidRPr="003E638E">
        <w:rPr>
          <w:rFonts w:ascii="Verdana" w:hAnsi="Verdana" w:cs="Arial"/>
          <w:sz w:val="14"/>
          <w:szCs w:val="14"/>
        </w:rPr>
        <w:t xml:space="preserve"> Ponente: Álvaro </w:t>
      </w:r>
      <w:proofErr w:type="spellStart"/>
      <w:r w:rsidRPr="003E638E">
        <w:rPr>
          <w:rFonts w:ascii="Verdana" w:hAnsi="Verdana" w:cs="Arial"/>
          <w:sz w:val="14"/>
          <w:szCs w:val="14"/>
        </w:rPr>
        <w:t>Namén</w:t>
      </w:r>
      <w:proofErr w:type="spellEnd"/>
      <w:r w:rsidRPr="003E638E">
        <w:rPr>
          <w:rFonts w:ascii="Verdana" w:hAnsi="Verdana" w:cs="Arial"/>
          <w:sz w:val="14"/>
          <w:szCs w:val="14"/>
        </w:rPr>
        <w:t xml:space="preserve"> Vargas.  </w:t>
      </w:r>
    </w:p>
    <w:p w14:paraId="62BFC409" w14:textId="77777777" w:rsidR="00CF5D12" w:rsidRPr="003E638E" w:rsidRDefault="00CF5D12" w:rsidP="00CF5D12">
      <w:pPr>
        <w:pStyle w:val="Textonotapie"/>
        <w:ind w:firstLine="709"/>
        <w:jc w:val="both"/>
        <w:rPr>
          <w:rFonts w:ascii="Verdana" w:hAnsi="Verdana" w:cs="Arial"/>
          <w:sz w:val="14"/>
          <w:szCs w:val="14"/>
        </w:rPr>
      </w:pPr>
    </w:p>
  </w:footnote>
  <w:footnote w:id="7">
    <w:p w14:paraId="71D07079" w14:textId="77777777" w:rsidR="00CF5D12" w:rsidRDefault="00CF5D12" w:rsidP="00CF5D12">
      <w:pPr>
        <w:spacing w:after="0" w:line="240" w:lineRule="auto"/>
        <w:ind w:firstLine="709"/>
        <w:jc w:val="both"/>
        <w:rPr>
          <w:rFonts w:ascii="Verdana" w:eastAsia="Times New Roman" w:hAnsi="Verdana" w:cs="Arial"/>
          <w:sz w:val="14"/>
          <w:szCs w:val="14"/>
        </w:rPr>
      </w:pPr>
      <w:r w:rsidRPr="003E638E">
        <w:rPr>
          <w:rStyle w:val="Refdenotaalpie"/>
          <w:rFonts w:ascii="Verdana" w:hAnsi="Verdana" w:cs="Arial"/>
          <w:sz w:val="14"/>
          <w:szCs w:val="14"/>
        </w:rPr>
        <w:footnoteRef/>
      </w:r>
      <w:r w:rsidRPr="003E638E">
        <w:rPr>
          <w:rFonts w:ascii="Verdana" w:hAnsi="Verdana" w:cs="Arial"/>
          <w:sz w:val="14"/>
          <w:szCs w:val="14"/>
        </w:rPr>
        <w:t xml:space="preserve"> </w:t>
      </w:r>
      <w:bookmarkStart w:id="12" w:name="33"/>
      <w:r w:rsidRPr="003E638E">
        <w:rPr>
          <w:rFonts w:ascii="Verdana" w:eastAsia="Times New Roman" w:hAnsi="Verdana" w:cs="Arial"/>
          <w:sz w:val="14"/>
          <w:szCs w:val="14"/>
        </w:rPr>
        <w:t>Artículo 33. Restricciones a la contratación pública.</w:t>
      </w:r>
      <w:bookmarkEnd w:id="12"/>
      <w:r w:rsidRPr="003E638E">
        <w:rPr>
          <w:rFonts w:ascii="Verdana" w:eastAsia="Times New Roman" w:hAnsi="Verdana" w:cs="Arial"/>
          <w:sz w:val="14"/>
          <w:szCs w:val="14"/>
        </w:rPr>
        <w:t> Durante los cuatro (4) meses anteriores a la elección presidencial y hasta la realización de la elección en la segunda vuelta, si fuere el caso, queda prohibida la contratación directa por parte de todos los entes del Estado.</w:t>
      </w:r>
    </w:p>
    <w:p w14:paraId="6477BEAD" w14:textId="77777777" w:rsidR="00CF5D12" w:rsidRPr="003E638E" w:rsidRDefault="00CF5D12" w:rsidP="00CF5D12">
      <w:pPr>
        <w:spacing w:after="0" w:line="240" w:lineRule="auto"/>
        <w:ind w:firstLine="709"/>
        <w:jc w:val="both"/>
        <w:rPr>
          <w:rFonts w:ascii="Verdana" w:eastAsia="Times New Roman" w:hAnsi="Verdana" w:cs="Arial"/>
          <w:sz w:val="14"/>
          <w:szCs w:val="14"/>
        </w:rPr>
      </w:pPr>
    </w:p>
    <w:p w14:paraId="60DAE244" w14:textId="77777777" w:rsidR="00CF5D12" w:rsidRDefault="00CF5D12" w:rsidP="00CF5D12">
      <w:pPr>
        <w:spacing w:after="0" w:line="240" w:lineRule="auto"/>
        <w:ind w:firstLine="709"/>
        <w:jc w:val="both"/>
        <w:rPr>
          <w:rFonts w:ascii="Verdana" w:eastAsia="Times New Roman" w:hAnsi="Verdana" w:cs="Arial"/>
          <w:sz w:val="14"/>
          <w:szCs w:val="14"/>
        </w:rPr>
      </w:pPr>
      <w:r w:rsidRPr="003E638E">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827285D" w14:textId="77777777" w:rsidR="00CF5D12" w:rsidRPr="003E638E" w:rsidRDefault="00CF5D12" w:rsidP="00CF5D12">
      <w:pPr>
        <w:spacing w:after="0" w:line="240" w:lineRule="auto"/>
        <w:ind w:firstLine="709"/>
        <w:jc w:val="both"/>
        <w:rPr>
          <w:rFonts w:ascii="Verdana" w:eastAsia="Times New Roman" w:hAnsi="Verdana" w:cs="Arial"/>
          <w:sz w:val="14"/>
          <w:szCs w:val="14"/>
        </w:rPr>
      </w:pPr>
    </w:p>
  </w:footnote>
  <w:footnote w:id="8">
    <w:p w14:paraId="21445393" w14:textId="77777777" w:rsidR="00CF5D12" w:rsidRPr="003E638E" w:rsidRDefault="00CF5D12" w:rsidP="00CF5D12">
      <w:pPr>
        <w:pStyle w:val="NormalWeb"/>
        <w:spacing w:before="0" w:beforeAutospacing="0" w:after="0" w:afterAutospacing="0"/>
        <w:ind w:firstLine="709"/>
        <w:jc w:val="both"/>
        <w:rPr>
          <w:rFonts w:ascii="Verdana" w:hAnsi="Verdana" w:cs="Arial"/>
          <w:sz w:val="14"/>
          <w:szCs w:val="14"/>
          <w:lang w:val="es-MX"/>
        </w:rPr>
      </w:pPr>
      <w:r w:rsidRPr="003E638E">
        <w:rPr>
          <w:rStyle w:val="Refdenotaalpie"/>
          <w:rFonts w:ascii="Verdana" w:hAnsi="Verdana" w:cs="Arial"/>
          <w:sz w:val="14"/>
          <w:szCs w:val="14"/>
        </w:rPr>
        <w:footnoteRef/>
      </w:r>
      <w:r w:rsidRPr="003E638E">
        <w:rPr>
          <w:rFonts w:ascii="Verdana" w:hAnsi="Verdana" w:cs="Arial"/>
          <w:sz w:val="14"/>
          <w:szCs w:val="14"/>
        </w:rPr>
        <w:t xml:space="preserve"> </w:t>
      </w:r>
      <w:bookmarkStart w:id="13" w:name="38"/>
      <w:r w:rsidRPr="003E638E">
        <w:rPr>
          <w:rFonts w:ascii="Verdana" w:eastAsia="Calibri" w:hAnsi="Verdana" w:cs="Arial"/>
          <w:bCs/>
          <w:color w:val="000000"/>
          <w:sz w:val="14"/>
          <w:szCs w:val="14"/>
        </w:rPr>
        <w:t>«</w:t>
      </w:r>
      <w:r w:rsidRPr="003E638E">
        <w:rPr>
          <w:rFonts w:ascii="Verdana" w:hAnsi="Verdana" w:cs="Arial"/>
          <w:sz w:val="14"/>
          <w:szCs w:val="14"/>
          <w:lang w:val="es-MX"/>
        </w:rPr>
        <w:t>Artículo 38. Prohibiciones para los servidores públicos. A los empleados del Estado les está prohibido:</w:t>
      </w:r>
      <w:bookmarkEnd w:id="13"/>
    </w:p>
    <w:p w14:paraId="5546F56F" w14:textId="77777777" w:rsidR="00CF5D12" w:rsidRPr="003E638E" w:rsidRDefault="00CF5D12" w:rsidP="00CF5D12">
      <w:pPr>
        <w:pStyle w:val="NormalWeb"/>
        <w:spacing w:before="0" w:beforeAutospacing="0" w:after="0" w:afterAutospacing="0"/>
        <w:ind w:firstLine="709"/>
        <w:jc w:val="both"/>
        <w:rPr>
          <w:rFonts w:ascii="Verdana" w:hAnsi="Verdana" w:cs="Arial"/>
          <w:sz w:val="14"/>
          <w:szCs w:val="14"/>
          <w:lang w:val="es-MX"/>
        </w:rPr>
      </w:pPr>
      <w:r w:rsidRPr="003E638E">
        <w:rPr>
          <w:rFonts w:ascii="Verdana" w:hAnsi="Verdana" w:cs="Arial"/>
          <w:sz w:val="14"/>
          <w:szCs w:val="14"/>
          <w:lang w:val="es-MX"/>
        </w:rPr>
        <w:t>[…]</w:t>
      </w:r>
    </w:p>
    <w:p w14:paraId="1E4284A9" w14:textId="77777777" w:rsidR="00CF5D12" w:rsidRDefault="00CF5D12" w:rsidP="00CF5D12">
      <w:pPr>
        <w:pStyle w:val="NormalWeb"/>
        <w:spacing w:before="0" w:beforeAutospacing="0" w:after="0" w:afterAutospacing="0"/>
        <w:ind w:firstLine="709"/>
        <w:jc w:val="both"/>
        <w:rPr>
          <w:rFonts w:ascii="Verdana" w:hAnsi="Verdana" w:cs="Arial"/>
          <w:sz w:val="14"/>
          <w:szCs w:val="14"/>
          <w:lang w:val="es-MX"/>
        </w:rPr>
      </w:pPr>
      <w:r w:rsidRPr="003E638E">
        <w:rPr>
          <w:rStyle w:val="baj"/>
          <w:rFonts w:ascii="Verdana" w:hAnsi="Verdana" w:cs="Arial"/>
          <w:sz w:val="14"/>
          <w:szCs w:val="14"/>
          <w:lang w:val="es-MX"/>
        </w:rPr>
        <w:t>Parágrafo.</w:t>
      </w:r>
      <w:r w:rsidRPr="003E638E">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78E7F8FE" w14:textId="77777777" w:rsidR="00CF5D12" w:rsidRPr="003E638E" w:rsidRDefault="00CF5D12" w:rsidP="00CF5D12">
      <w:pPr>
        <w:pStyle w:val="NormalWeb"/>
        <w:spacing w:before="0" w:beforeAutospacing="0" w:after="0" w:afterAutospacing="0"/>
        <w:ind w:firstLine="709"/>
        <w:jc w:val="both"/>
        <w:rPr>
          <w:rFonts w:ascii="Verdana" w:hAnsi="Verdana" w:cs="Arial"/>
          <w:sz w:val="14"/>
          <w:szCs w:val="14"/>
          <w:lang w:val="es-MX"/>
        </w:rPr>
      </w:pPr>
    </w:p>
  </w:footnote>
  <w:footnote w:id="9">
    <w:p w14:paraId="764831EA" w14:textId="77777777" w:rsidR="00CF5D12" w:rsidRPr="003E638E" w:rsidRDefault="00CF5D12" w:rsidP="00CF5D12">
      <w:pPr>
        <w:spacing w:after="0" w:line="240" w:lineRule="auto"/>
        <w:ind w:left="100" w:right="244" w:firstLine="709"/>
        <w:jc w:val="both"/>
        <w:rPr>
          <w:rFonts w:ascii="Verdana" w:hAnsi="Verdana" w:cs="Arial"/>
          <w:sz w:val="14"/>
          <w:szCs w:val="14"/>
          <w:lang w:val="es-ES"/>
        </w:rPr>
      </w:pPr>
      <w:r w:rsidRPr="003E638E">
        <w:rPr>
          <w:rStyle w:val="Refdenotaalpie"/>
          <w:rFonts w:ascii="Verdana" w:hAnsi="Verdana" w:cs="Arial"/>
          <w:sz w:val="14"/>
          <w:szCs w:val="14"/>
        </w:rPr>
        <w:footnoteRef/>
      </w:r>
      <w:r w:rsidRPr="003E638E">
        <w:rPr>
          <w:rFonts w:ascii="Verdana" w:hAnsi="Verdana" w:cs="Arial"/>
          <w:sz w:val="14"/>
          <w:szCs w:val="14"/>
        </w:rPr>
        <w:t xml:space="preserve"> Consejo de Estado. Sala de Consulta y Servicio Civil. Concepto del 17 de febrero de 2015. C.P. William Zambrano Cetina. </w:t>
      </w:r>
      <w:r>
        <w:rPr>
          <w:rFonts w:ascii="Verdana" w:hAnsi="Verdana" w:cs="Arial"/>
          <w:sz w:val="14"/>
          <w:szCs w:val="14"/>
        </w:rPr>
        <w:t>Radicado:</w:t>
      </w:r>
      <w:r w:rsidRPr="003E638E">
        <w:rPr>
          <w:rFonts w:ascii="Verdana" w:hAnsi="Verdana" w:cs="Arial"/>
          <w:sz w:val="14"/>
          <w:szCs w:val="14"/>
        </w:rPr>
        <w:t xml:space="preserve"> 11001-03-06-000-2015-00164-00</w:t>
      </w:r>
      <w:r>
        <w:rPr>
          <w:rFonts w:ascii="Verdana" w:hAnsi="Verdana" w:cs="Arial"/>
          <w:sz w:val="14"/>
          <w:szCs w:val="14"/>
        </w:rPr>
        <w:t xml:space="preserve"> </w:t>
      </w:r>
      <w:r w:rsidRPr="003E638E">
        <w:rPr>
          <w:rFonts w:ascii="Verdana" w:hAnsi="Verdana" w:cs="Arial"/>
          <w:sz w:val="14"/>
          <w:szCs w:val="14"/>
        </w:rPr>
        <w:t>(2269).</w:t>
      </w:r>
    </w:p>
  </w:footnote>
  <w:footnote w:id="10">
    <w:p w14:paraId="4AAFD1C6" w14:textId="77777777" w:rsidR="00CF5D12" w:rsidRDefault="00CF5D12" w:rsidP="00CF5D12">
      <w:pPr>
        <w:pStyle w:val="Textonotapie"/>
        <w:ind w:firstLine="709"/>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Consejo de Estado. Sala de Consulta y Servicio Civil. Concepto de 20 de febrero de2006. Radica</w:t>
      </w:r>
      <w:r>
        <w:rPr>
          <w:rFonts w:ascii="Verdana" w:hAnsi="Verdana" w:cs="Arial"/>
          <w:sz w:val="14"/>
          <w:szCs w:val="14"/>
        </w:rPr>
        <w:t>do:</w:t>
      </w:r>
      <w:r w:rsidRPr="000F0F39">
        <w:rPr>
          <w:rFonts w:ascii="Verdana" w:hAnsi="Verdana" w:cs="Arial"/>
          <w:sz w:val="14"/>
          <w:szCs w:val="14"/>
        </w:rPr>
        <w:t xml:space="preserve"> 11001-03-06-000-2006-00023-00(1724). Consejero Ponente: Flavio Augusto Rodríguez Arce.</w:t>
      </w:r>
    </w:p>
    <w:p w14:paraId="560F64D5" w14:textId="77777777" w:rsidR="00CF5D12" w:rsidRPr="000F0F39" w:rsidRDefault="00CF5D12" w:rsidP="00CF5D12">
      <w:pPr>
        <w:pStyle w:val="Textonotapie"/>
        <w:ind w:firstLine="709"/>
        <w:jc w:val="both"/>
        <w:rPr>
          <w:rFonts w:ascii="Verdana" w:hAnsi="Verdana" w:cs="Arial"/>
          <w:sz w:val="14"/>
          <w:szCs w:val="14"/>
        </w:rPr>
      </w:pPr>
    </w:p>
  </w:footnote>
  <w:footnote w:id="11">
    <w:p w14:paraId="279C194B" w14:textId="77777777" w:rsidR="00CF5D12" w:rsidRDefault="00CF5D12" w:rsidP="00CF5D12">
      <w:pPr>
        <w:spacing w:after="0" w:line="240" w:lineRule="auto"/>
        <w:ind w:firstLine="709"/>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Decreto 1082 de 2015: «Artículo 2.2.1.2.1.4.4. Convenios o contratos interadministrativos. La modalidad de selección para la contratación entre Entidades Estatales es la contratación directa; </w:t>
      </w:r>
      <w:proofErr w:type="gramStart"/>
      <w:r w:rsidRPr="000F0F39">
        <w:rPr>
          <w:rFonts w:ascii="Verdana" w:hAnsi="Verdana" w:cs="Arial"/>
          <w:sz w:val="14"/>
          <w:szCs w:val="14"/>
        </w:rPr>
        <w:t>y</w:t>
      </w:r>
      <w:proofErr w:type="gramEnd"/>
      <w:r w:rsidRPr="000F0F39">
        <w:rPr>
          <w:rFonts w:ascii="Verdana" w:hAnsi="Verdana" w:cs="Arial"/>
          <w:sz w:val="14"/>
          <w:szCs w:val="14"/>
        </w:rPr>
        <w:t xml:space="preserve"> en consecuencia, le es aplicable lo establecido en el artículo 2.2.1.2.1.4.1 del presente decreto.</w:t>
      </w:r>
    </w:p>
    <w:p w14:paraId="2A832AE3" w14:textId="77777777" w:rsidR="00CF5D12" w:rsidRPr="000F0F39" w:rsidRDefault="00CF5D12" w:rsidP="00CF5D12">
      <w:pPr>
        <w:spacing w:after="0" w:line="240" w:lineRule="auto"/>
        <w:ind w:firstLine="709"/>
        <w:jc w:val="both"/>
        <w:rPr>
          <w:rFonts w:ascii="Verdana" w:hAnsi="Verdana" w:cs="Arial"/>
          <w:sz w:val="14"/>
          <w:szCs w:val="14"/>
        </w:rPr>
      </w:pPr>
    </w:p>
    <w:p w14:paraId="05111BBD" w14:textId="77777777" w:rsidR="00CF5D12" w:rsidRDefault="00CF5D12" w:rsidP="00CF5D12">
      <w:pPr>
        <w:spacing w:after="0" w:line="240" w:lineRule="auto"/>
        <w:ind w:firstLine="709"/>
        <w:jc w:val="both"/>
        <w:rPr>
          <w:rFonts w:ascii="Verdana" w:hAnsi="Verdana" w:cs="Arial"/>
          <w:sz w:val="14"/>
          <w:szCs w:val="14"/>
        </w:rPr>
      </w:pPr>
      <w:r w:rsidRPr="000F0F39">
        <w:rPr>
          <w:rFonts w:ascii="Verdana" w:hAnsi="Verdana" w:cs="Arial"/>
          <w:sz w:val="14"/>
          <w:szCs w:val="14"/>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0F0F39">
        <w:rPr>
          <w:rFonts w:ascii="Verdana" w:hAnsi="Verdana" w:cs="Arial"/>
          <w:spacing w:val="-1"/>
          <w:sz w:val="14"/>
          <w:szCs w:val="14"/>
        </w:rPr>
        <w:t xml:space="preserve"> </w:t>
      </w:r>
      <w:r w:rsidRPr="000F0F39">
        <w:rPr>
          <w:rFonts w:ascii="Verdana" w:hAnsi="Verdana" w:cs="Arial"/>
          <w:sz w:val="14"/>
          <w:szCs w:val="14"/>
        </w:rPr>
        <w:t>Estatales.</w:t>
      </w:r>
    </w:p>
    <w:p w14:paraId="7C61C9E5" w14:textId="77777777" w:rsidR="00CF5D12" w:rsidRPr="000F0F39" w:rsidRDefault="00CF5D12" w:rsidP="00CF5D12">
      <w:pPr>
        <w:spacing w:after="0" w:line="240" w:lineRule="auto"/>
        <w:ind w:firstLine="709"/>
        <w:jc w:val="both"/>
        <w:rPr>
          <w:rFonts w:ascii="Verdana" w:hAnsi="Verdana" w:cs="Arial"/>
          <w:sz w:val="14"/>
          <w:szCs w:val="14"/>
        </w:rPr>
      </w:pPr>
    </w:p>
  </w:footnote>
  <w:footnote w:id="12">
    <w:p w14:paraId="4E8B44C9" w14:textId="77777777" w:rsidR="00CF5D12" w:rsidRPr="000F0F39" w:rsidRDefault="00CF5D12" w:rsidP="00CF5D12">
      <w:pPr>
        <w:spacing w:after="0" w:line="240" w:lineRule="auto"/>
        <w:ind w:firstLine="709"/>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0F0F39">
        <w:rPr>
          <w:rFonts w:ascii="Verdana" w:hAnsi="Verdana" w:cs="Arial"/>
          <w:spacing w:val="-6"/>
          <w:sz w:val="14"/>
          <w:szCs w:val="14"/>
        </w:rPr>
        <w:t xml:space="preserve"> </w:t>
      </w:r>
      <w:r w:rsidRPr="000F0F39">
        <w:rPr>
          <w:rFonts w:ascii="Verdana" w:hAnsi="Verdana" w:cs="Arial"/>
          <w:sz w:val="14"/>
          <w:szCs w:val="14"/>
        </w:rPr>
        <w:t>artículo.</w:t>
      </w:r>
    </w:p>
  </w:footnote>
  <w:footnote w:id="13">
    <w:p w14:paraId="4FDAB0C1" w14:textId="77777777" w:rsidR="00CF5D12" w:rsidRDefault="00CF5D12" w:rsidP="00CF5D12">
      <w:pPr>
        <w:pStyle w:val="Textonotapie"/>
        <w:rPr>
          <w:rFonts w:ascii="Verdana" w:hAnsi="Verdana"/>
          <w:sz w:val="14"/>
          <w:szCs w:val="14"/>
        </w:rPr>
      </w:pPr>
    </w:p>
    <w:p w14:paraId="13BBBEDF" w14:textId="77777777" w:rsidR="00CF5D12" w:rsidRDefault="00CF5D12" w:rsidP="00CF5D12">
      <w:pPr>
        <w:pStyle w:val="Textonotapie"/>
        <w:ind w:firstLine="709"/>
        <w:rPr>
          <w:rFonts w:ascii="Verdana" w:hAnsi="Verdana"/>
          <w:sz w:val="14"/>
          <w:szCs w:val="14"/>
          <w:lang w:val="es-CO"/>
        </w:rPr>
      </w:pPr>
      <w:r w:rsidRPr="00C73DB5">
        <w:rPr>
          <w:rStyle w:val="Refdenotaalpie"/>
          <w:rFonts w:ascii="Verdana" w:hAnsi="Verdana"/>
          <w:sz w:val="14"/>
          <w:szCs w:val="14"/>
        </w:rPr>
        <w:footnoteRef/>
      </w:r>
      <w:r w:rsidRPr="00C73DB5">
        <w:rPr>
          <w:rFonts w:ascii="Verdana" w:hAnsi="Verdana"/>
          <w:sz w:val="14"/>
          <w:szCs w:val="14"/>
        </w:rPr>
        <w:t xml:space="preserve"> </w:t>
      </w:r>
      <w:r>
        <w:rPr>
          <w:rFonts w:ascii="Verdana" w:hAnsi="Verdana"/>
          <w:sz w:val="14"/>
          <w:szCs w:val="14"/>
        </w:rPr>
        <w:t xml:space="preserve">Corte Constitucional. Sentencia C-671 de 2015. </w:t>
      </w:r>
      <w:r w:rsidRPr="00C73DB5">
        <w:rPr>
          <w:rFonts w:ascii="Verdana" w:hAnsi="Verdana"/>
          <w:sz w:val="14"/>
          <w:szCs w:val="14"/>
          <w:lang w:val="es-ES"/>
        </w:rPr>
        <w:t xml:space="preserve">M.P: </w:t>
      </w:r>
      <w:r w:rsidRPr="00C73DB5">
        <w:rPr>
          <w:rFonts w:ascii="Verdana" w:hAnsi="Verdana"/>
          <w:sz w:val="14"/>
          <w:szCs w:val="14"/>
          <w:lang w:val="es-CO"/>
        </w:rPr>
        <w:t>Alberto Rojas Ríos</w:t>
      </w:r>
      <w:r>
        <w:rPr>
          <w:rFonts w:ascii="Verdana" w:hAnsi="Verdana"/>
          <w:sz w:val="14"/>
          <w:szCs w:val="14"/>
          <w:lang w:val="es-CO"/>
        </w:rPr>
        <w:t>.</w:t>
      </w:r>
    </w:p>
    <w:p w14:paraId="6B4769C5" w14:textId="77777777" w:rsidR="000C5147" w:rsidRPr="00C73DB5" w:rsidRDefault="000C5147" w:rsidP="00CF5D12">
      <w:pPr>
        <w:pStyle w:val="Textonotapie"/>
        <w:ind w:firstLine="709"/>
        <w:rPr>
          <w:rFonts w:ascii="Verdana" w:hAnsi="Verdana"/>
          <w:sz w:val="14"/>
          <w:szCs w:val="14"/>
          <w:lang w:val="es-ES"/>
        </w:rPr>
      </w:pPr>
    </w:p>
  </w:footnote>
  <w:footnote w:id="14">
    <w:p w14:paraId="249633ED" w14:textId="77777777" w:rsidR="00CF5D12" w:rsidRPr="000F0F39" w:rsidRDefault="00CF5D12" w:rsidP="00CF5D12">
      <w:pPr>
        <w:spacing w:after="0" w:line="240" w:lineRule="auto"/>
        <w:ind w:right="454" w:firstLine="709"/>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position w:val="7"/>
          <w:sz w:val="14"/>
          <w:szCs w:val="14"/>
        </w:rPr>
        <w:t xml:space="preserve"> </w:t>
      </w:r>
      <w:r w:rsidRPr="000F0F39">
        <w:rPr>
          <w:rFonts w:ascii="Verdana" w:hAnsi="Verdana" w:cs="Arial"/>
          <w:sz w:val="14"/>
          <w:szCs w:val="14"/>
        </w:rPr>
        <w:t xml:space="preserve">Consejo de Estado. </w:t>
      </w:r>
      <w:r>
        <w:rPr>
          <w:rFonts w:ascii="Verdana" w:hAnsi="Verdana" w:cs="Arial"/>
          <w:sz w:val="14"/>
          <w:szCs w:val="14"/>
        </w:rPr>
        <w:t xml:space="preserve">Sala de lo Contenciosos Administrativo. </w:t>
      </w:r>
      <w:r w:rsidRPr="000F0F39">
        <w:rPr>
          <w:rFonts w:ascii="Verdana" w:hAnsi="Verdana" w:cs="Arial"/>
          <w:sz w:val="14"/>
          <w:szCs w:val="14"/>
        </w:rPr>
        <w:t>Sección Tercera. Sentencia del 23 de junio de</w:t>
      </w:r>
      <w:r>
        <w:rPr>
          <w:rFonts w:ascii="Verdana" w:hAnsi="Verdana" w:cs="Arial"/>
          <w:sz w:val="14"/>
          <w:szCs w:val="14"/>
        </w:rPr>
        <w:t xml:space="preserve"> </w:t>
      </w:r>
      <w:r w:rsidRPr="000F0F39">
        <w:rPr>
          <w:rFonts w:ascii="Verdana" w:hAnsi="Verdana" w:cs="Arial"/>
          <w:sz w:val="14"/>
          <w:szCs w:val="14"/>
        </w:rPr>
        <w:t>2010. Radicación No. 66001-23-31-000-1998-00261-01(17.860). Consejero Ponente: Mauricio Fajardo Gómez.</w:t>
      </w:r>
    </w:p>
  </w:footnote>
  <w:footnote w:id="15">
    <w:p w14:paraId="3152C671" w14:textId="77777777" w:rsidR="00CF5D12" w:rsidRDefault="00CF5D12" w:rsidP="00CF5D12">
      <w:pPr>
        <w:spacing w:after="0" w:line="240" w:lineRule="auto"/>
        <w:ind w:firstLine="709"/>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Consejo de Estado. </w:t>
      </w:r>
      <w:r>
        <w:rPr>
          <w:rFonts w:ascii="Verdana" w:hAnsi="Verdana" w:cs="Arial"/>
          <w:sz w:val="14"/>
          <w:szCs w:val="14"/>
        </w:rPr>
        <w:t xml:space="preserve">Sala de lo Contencioso Administrativo. </w:t>
      </w:r>
      <w:r w:rsidRPr="000F0F39">
        <w:rPr>
          <w:rFonts w:ascii="Verdana" w:hAnsi="Verdana" w:cs="Arial"/>
          <w:sz w:val="14"/>
          <w:szCs w:val="14"/>
        </w:rPr>
        <w:t xml:space="preserve">Sección Tercera. Subsección C. Sentencia del 11 de diciembre de 2019. </w:t>
      </w:r>
      <w:proofErr w:type="spellStart"/>
      <w:r w:rsidRPr="000F0F39">
        <w:rPr>
          <w:rFonts w:ascii="Verdana" w:hAnsi="Verdana" w:cs="Arial"/>
          <w:sz w:val="14"/>
          <w:szCs w:val="14"/>
        </w:rPr>
        <w:t>Exp</w:t>
      </w:r>
      <w:proofErr w:type="spellEnd"/>
      <w:r w:rsidRPr="000F0F39">
        <w:rPr>
          <w:rFonts w:ascii="Verdana" w:hAnsi="Verdana" w:cs="Arial"/>
          <w:sz w:val="14"/>
          <w:szCs w:val="14"/>
        </w:rPr>
        <w:t>. 46.986. C.P. Jaime Enrique Rodríguez Navas.</w:t>
      </w:r>
    </w:p>
    <w:p w14:paraId="4F93B17F" w14:textId="77777777" w:rsidR="00CF5D12" w:rsidRPr="000F0F39" w:rsidRDefault="00CF5D12" w:rsidP="00CF5D12">
      <w:pPr>
        <w:spacing w:after="0" w:line="240" w:lineRule="auto"/>
        <w:ind w:firstLine="709"/>
        <w:jc w:val="both"/>
        <w:rPr>
          <w:rFonts w:ascii="Verdana" w:hAnsi="Verdana" w:cs="Arial"/>
          <w:sz w:val="14"/>
          <w:szCs w:val="14"/>
        </w:rPr>
      </w:pPr>
    </w:p>
  </w:footnote>
  <w:footnote w:id="16">
    <w:p w14:paraId="700D23CF" w14:textId="77777777" w:rsidR="00CF5D12" w:rsidRDefault="00CF5D12" w:rsidP="00CF5D12">
      <w:pPr>
        <w:pStyle w:val="Textonotapie"/>
        <w:ind w:firstLine="708"/>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[Referencia propia de la cita] «CE. SCSC. Concepto de 1 de noviembre de 2016 [Rad. 11001-03-06-000-2016-00125-00(2305)]. MP. Germán Alberto Bula Escobar.</w:t>
      </w:r>
    </w:p>
    <w:p w14:paraId="4323B1C3" w14:textId="77777777" w:rsidR="00CF5D12" w:rsidRPr="000F0F39" w:rsidRDefault="00CF5D12" w:rsidP="00CF5D12">
      <w:pPr>
        <w:pStyle w:val="Textonotapie"/>
        <w:ind w:firstLine="708"/>
        <w:jc w:val="both"/>
        <w:rPr>
          <w:rFonts w:ascii="Verdana" w:hAnsi="Verdana" w:cs="Arial"/>
          <w:sz w:val="14"/>
          <w:szCs w:val="14"/>
        </w:rPr>
      </w:pPr>
    </w:p>
  </w:footnote>
  <w:footnote w:id="17">
    <w:p w14:paraId="4B675F87" w14:textId="77777777" w:rsidR="00CF5D12" w:rsidRDefault="00CF5D12" w:rsidP="00CF5D12">
      <w:pPr>
        <w:pStyle w:val="Textonotapie"/>
        <w:ind w:firstLine="708"/>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[Referencia propia de la cita] CE. SCSC. Concepto de 30 de abril de 2008 </w:t>
      </w:r>
      <w:r>
        <w:rPr>
          <w:rFonts w:ascii="Verdana" w:hAnsi="Verdana" w:cs="Arial"/>
          <w:sz w:val="14"/>
          <w:szCs w:val="14"/>
        </w:rPr>
        <w:t>(</w:t>
      </w:r>
      <w:r w:rsidRPr="000F0F39">
        <w:rPr>
          <w:rFonts w:ascii="Verdana" w:hAnsi="Verdana" w:cs="Arial"/>
          <w:sz w:val="14"/>
          <w:szCs w:val="14"/>
        </w:rPr>
        <w:t>Rad. 11001-03-06-000-2008-00013-00(1881)</w:t>
      </w:r>
      <w:r>
        <w:rPr>
          <w:rFonts w:ascii="Verdana" w:hAnsi="Verdana" w:cs="Arial"/>
          <w:sz w:val="14"/>
          <w:szCs w:val="14"/>
        </w:rPr>
        <w:t>)</w:t>
      </w:r>
      <w:r w:rsidRPr="000F0F39">
        <w:rPr>
          <w:rFonts w:ascii="Verdana" w:hAnsi="Verdana" w:cs="Arial"/>
          <w:sz w:val="14"/>
          <w:szCs w:val="14"/>
        </w:rPr>
        <w:t xml:space="preserve">. MP. Enrique José Arboleda Perdomo. En esta oportunidad, la Sala indicó que el contenido </w:t>
      </w:r>
      <w:r w:rsidRPr="000F0F39">
        <w:rPr>
          <w:rFonts w:ascii="Verdana" w:hAnsi="Verdana" w:cs="Arial"/>
          <w:i/>
          <w:sz w:val="14"/>
          <w:szCs w:val="14"/>
        </w:rPr>
        <w:t>“obligacional”</w:t>
      </w:r>
      <w:r w:rsidRPr="000F0F39">
        <w:rPr>
          <w:rFonts w:ascii="Verdana" w:hAnsi="Verdana" w:cs="Arial"/>
          <w:sz w:val="14"/>
          <w:szCs w:val="14"/>
        </w:rPr>
        <w:t xml:space="preserve"> de los convenios se estructura definiendo el resultado querido por las partes y los medios que cada entidad despliega para la obtención del respectivo objeto.</w:t>
      </w:r>
    </w:p>
    <w:p w14:paraId="57C8A824" w14:textId="77777777" w:rsidR="00CF5D12" w:rsidRPr="000F0F39" w:rsidRDefault="00CF5D12" w:rsidP="00CF5D12">
      <w:pPr>
        <w:pStyle w:val="Textonotapie"/>
        <w:ind w:firstLine="708"/>
        <w:jc w:val="both"/>
        <w:rPr>
          <w:rFonts w:ascii="Verdana" w:hAnsi="Verdana" w:cs="Arial"/>
          <w:sz w:val="14"/>
          <w:szCs w:val="14"/>
        </w:rPr>
      </w:pPr>
    </w:p>
  </w:footnote>
  <w:footnote w:id="18">
    <w:p w14:paraId="47E74EB6" w14:textId="77777777" w:rsidR="00CF5D12" w:rsidRDefault="00CF5D12" w:rsidP="00CF5D12">
      <w:pPr>
        <w:pStyle w:val="Textonotapie"/>
        <w:ind w:firstLine="708"/>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[Referencia propia de la cita] La normativa vigente del EGCAP </w:t>
      </w:r>
      <w:r w:rsidRPr="000F0F39">
        <w:rPr>
          <w:rFonts w:ascii="Verdana" w:hAnsi="Verdana" w:cs="Arial"/>
          <w:i/>
          <w:sz w:val="14"/>
          <w:szCs w:val="14"/>
        </w:rPr>
        <w:t>[literal c) del numeral 4. del artículo 2 de la Ley 1150/07]</w:t>
      </w:r>
      <w:r w:rsidRPr="000F0F39">
        <w:rPr>
          <w:rFonts w:ascii="Verdana" w:hAnsi="Verdana" w:cs="Arial"/>
          <w:sz w:val="14"/>
          <w:szCs w:val="14"/>
        </w:rPr>
        <w:t xml:space="preserve"> se refiere a </w:t>
      </w:r>
      <w:r w:rsidRPr="000F0F39">
        <w:rPr>
          <w:rFonts w:ascii="Verdana" w:hAnsi="Verdana" w:cs="Arial"/>
          <w:i/>
          <w:sz w:val="14"/>
          <w:szCs w:val="14"/>
        </w:rPr>
        <w:t>“contratos interadministrativos”</w:t>
      </w:r>
      <w:r w:rsidRPr="000F0F39">
        <w:rPr>
          <w:rFonts w:ascii="Verdana" w:hAnsi="Verdana" w:cs="Arial"/>
          <w:sz w:val="14"/>
          <w:szCs w:val="14"/>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0FC36999" w14:textId="77777777" w:rsidR="00CF5D12" w:rsidRPr="000F0F39" w:rsidRDefault="00CF5D12" w:rsidP="00CF5D12">
      <w:pPr>
        <w:pStyle w:val="Textonotapie"/>
        <w:ind w:firstLine="708"/>
        <w:jc w:val="both"/>
        <w:rPr>
          <w:rFonts w:ascii="Verdana" w:hAnsi="Verdana" w:cs="Arial"/>
          <w:sz w:val="14"/>
          <w:szCs w:val="14"/>
        </w:rPr>
      </w:pPr>
    </w:p>
  </w:footnote>
  <w:footnote w:id="19">
    <w:p w14:paraId="56B6BF03" w14:textId="77777777" w:rsidR="00CF5D12" w:rsidRDefault="00CF5D12" w:rsidP="00CF5D12">
      <w:pPr>
        <w:pStyle w:val="Textonotapie"/>
        <w:ind w:firstLine="708"/>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r>
        <w:rPr>
          <w:rFonts w:ascii="Verdana" w:hAnsi="Verdana" w:cs="Arial"/>
          <w:sz w:val="14"/>
          <w:szCs w:val="14"/>
        </w:rPr>
        <w:t xml:space="preserve">Radicado: </w:t>
      </w:r>
      <w:r w:rsidRPr="00AB5E84">
        <w:rPr>
          <w:rFonts w:ascii="Verdana" w:hAnsi="Verdana" w:cs="Arial"/>
          <w:sz w:val="14"/>
          <w:szCs w:val="14"/>
        </w:rPr>
        <w:t>11001-03-06-000-2015-00102-00</w:t>
      </w:r>
      <w:r w:rsidRPr="000F0F39">
        <w:rPr>
          <w:rFonts w:ascii="Verdana" w:hAnsi="Verdana" w:cs="Arial"/>
          <w:sz w:val="14"/>
          <w:szCs w:val="14"/>
        </w:rPr>
        <w:t xml:space="preserve"> </w:t>
      </w:r>
      <w:r>
        <w:rPr>
          <w:rFonts w:ascii="Verdana" w:hAnsi="Verdana" w:cs="Arial"/>
          <w:sz w:val="14"/>
          <w:szCs w:val="14"/>
        </w:rPr>
        <w:t>(</w:t>
      </w:r>
      <w:r w:rsidRPr="000F0F39">
        <w:rPr>
          <w:rFonts w:ascii="Verdana" w:hAnsi="Verdana" w:cs="Arial"/>
          <w:sz w:val="14"/>
          <w:szCs w:val="14"/>
        </w:rPr>
        <w:t>2.257</w:t>
      </w:r>
      <w:r>
        <w:rPr>
          <w:rFonts w:ascii="Verdana" w:hAnsi="Verdana" w:cs="Arial"/>
          <w:sz w:val="14"/>
          <w:szCs w:val="14"/>
        </w:rPr>
        <w:t>)</w:t>
      </w:r>
      <w:r w:rsidRPr="000F0F39">
        <w:rPr>
          <w:rFonts w:ascii="Verdana" w:hAnsi="Verdana" w:cs="Arial"/>
          <w:sz w:val="14"/>
          <w:szCs w:val="14"/>
        </w:rPr>
        <w:t xml:space="preserve">. M.P. Álvaro </w:t>
      </w:r>
      <w:proofErr w:type="spellStart"/>
      <w:r w:rsidRPr="000F0F39">
        <w:rPr>
          <w:rFonts w:ascii="Verdana" w:hAnsi="Verdana" w:cs="Arial"/>
          <w:sz w:val="14"/>
          <w:szCs w:val="14"/>
        </w:rPr>
        <w:t>Namén</w:t>
      </w:r>
      <w:proofErr w:type="spellEnd"/>
      <w:r w:rsidRPr="000F0F39">
        <w:rPr>
          <w:rFonts w:ascii="Verdana" w:hAnsi="Verdana" w:cs="Arial"/>
          <w:sz w:val="14"/>
          <w:szCs w:val="14"/>
        </w:rPr>
        <w:t xml:space="preserve"> Vargas).</w:t>
      </w:r>
    </w:p>
    <w:p w14:paraId="3BCACB47" w14:textId="77777777" w:rsidR="00CF5D12" w:rsidRPr="000F0F39" w:rsidRDefault="00CF5D12" w:rsidP="00CF5D12">
      <w:pPr>
        <w:pStyle w:val="Textonotapie"/>
        <w:ind w:firstLine="708"/>
        <w:jc w:val="both"/>
        <w:rPr>
          <w:rFonts w:ascii="Verdana" w:hAnsi="Verdana" w:cs="Arial"/>
          <w:sz w:val="14"/>
          <w:szCs w:val="14"/>
        </w:rPr>
      </w:pPr>
    </w:p>
  </w:footnote>
  <w:footnote w:id="20">
    <w:p w14:paraId="6DE53FED" w14:textId="77777777" w:rsidR="00CF5D12" w:rsidRDefault="00CF5D12" w:rsidP="00CF5D12">
      <w:pPr>
        <w:pStyle w:val="Textonotapie"/>
        <w:ind w:firstLine="708"/>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Es lo que sucede, por ejemplo, con el Decreto 092 de 2017, que en su desarrollo hace referencia tanto a los «contratos» como a los </w:t>
      </w:r>
      <w:r>
        <w:rPr>
          <w:rFonts w:ascii="Verdana" w:hAnsi="Verdana" w:cs="Arial"/>
          <w:sz w:val="14"/>
          <w:szCs w:val="14"/>
        </w:rPr>
        <w:t>“</w:t>
      </w:r>
      <w:r w:rsidRPr="000F0F39">
        <w:rPr>
          <w:rFonts w:ascii="Verdana" w:hAnsi="Verdana" w:cs="Arial"/>
          <w:sz w:val="14"/>
          <w:szCs w:val="14"/>
        </w:rPr>
        <w:t>convenios</w:t>
      </w:r>
      <w:r>
        <w:rPr>
          <w:rFonts w:ascii="Verdana" w:hAnsi="Verdana" w:cs="Arial"/>
          <w:sz w:val="14"/>
          <w:szCs w:val="14"/>
        </w:rPr>
        <w:t>”</w:t>
      </w:r>
      <w:r w:rsidRPr="000F0F39">
        <w:rPr>
          <w:rFonts w:ascii="Verdana" w:hAnsi="Verdana" w:cs="Arial"/>
          <w:sz w:val="14"/>
          <w:szCs w:val="14"/>
        </w:rPr>
        <w:t xml:space="preserve">. </w:t>
      </w:r>
    </w:p>
    <w:p w14:paraId="0ED25ED6" w14:textId="77777777" w:rsidR="00CF5D12" w:rsidRPr="000F0F39" w:rsidRDefault="00CF5D12" w:rsidP="00CF5D12">
      <w:pPr>
        <w:pStyle w:val="Textonotapie"/>
        <w:ind w:firstLine="708"/>
        <w:jc w:val="both"/>
        <w:rPr>
          <w:rFonts w:ascii="Verdana" w:hAnsi="Verdana" w:cs="Arial"/>
          <w:sz w:val="14"/>
          <w:szCs w:val="14"/>
        </w:rPr>
      </w:pPr>
    </w:p>
  </w:footnote>
  <w:footnote w:id="21">
    <w:p w14:paraId="378CF569" w14:textId="77777777" w:rsidR="00CF5D12" w:rsidRDefault="00CF5D12" w:rsidP="00CF5D12">
      <w:pPr>
        <w:pStyle w:val="Textonotapie"/>
        <w:ind w:firstLine="708"/>
        <w:jc w:val="both"/>
        <w:rPr>
          <w:rFonts w:ascii="Verdana" w:hAnsi="Verdana" w:cs="Arial"/>
          <w:sz w:val="14"/>
          <w:szCs w:val="14"/>
        </w:rPr>
      </w:pPr>
      <w:r w:rsidRPr="000F0F39">
        <w:rPr>
          <w:rStyle w:val="Refdenotaalpie"/>
          <w:rFonts w:ascii="Verdana" w:hAnsi="Verdana" w:cs="Arial"/>
          <w:sz w:val="14"/>
          <w:szCs w:val="14"/>
        </w:rPr>
        <w:footnoteRef/>
      </w:r>
      <w:r w:rsidRPr="000F0F39">
        <w:rPr>
          <w:rFonts w:ascii="Verdana" w:hAnsi="Verdana" w:cs="Arial"/>
          <w:sz w:val="14"/>
          <w:szCs w:val="14"/>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p w14:paraId="35AF836E" w14:textId="77777777" w:rsidR="00CF5D12" w:rsidRPr="000F0F39" w:rsidRDefault="00CF5D12" w:rsidP="00CF5D12">
      <w:pPr>
        <w:pStyle w:val="Textonotapie"/>
        <w:ind w:firstLine="708"/>
        <w:jc w:val="both"/>
        <w:rPr>
          <w:rFonts w:ascii="Verdana" w:hAnsi="Verdana" w:cs="Arial"/>
          <w:sz w:val="14"/>
          <w:szCs w:val="14"/>
          <w:lang w:val="es-CO"/>
        </w:rPr>
      </w:pPr>
    </w:p>
  </w:footnote>
  <w:footnote w:id="22">
    <w:p w14:paraId="2951D4F9" w14:textId="77777777" w:rsidR="00CF5D12" w:rsidRPr="00B36C54" w:rsidRDefault="00CF5D12" w:rsidP="00CF5D12">
      <w:pPr>
        <w:pStyle w:val="Textonotapie"/>
        <w:ind w:firstLine="709"/>
        <w:jc w:val="both"/>
        <w:rPr>
          <w:rFonts w:ascii="Verdana" w:hAnsi="Verdana"/>
          <w:sz w:val="14"/>
          <w:szCs w:val="14"/>
        </w:rPr>
      </w:pPr>
      <w:r w:rsidRPr="00B36C54">
        <w:rPr>
          <w:rStyle w:val="Refdenotaalpie"/>
          <w:rFonts w:ascii="Verdana" w:hAnsi="Verdana"/>
          <w:sz w:val="14"/>
          <w:szCs w:val="14"/>
        </w:rPr>
        <w:footnoteRef/>
      </w:r>
      <w:r w:rsidRPr="00B36C54">
        <w:rPr>
          <w:rFonts w:ascii="Verdana" w:hAnsi="Verdana"/>
          <w:sz w:val="14"/>
          <w:szCs w:val="14"/>
        </w:rPr>
        <w:t xml:space="preserve"> En </w:t>
      </w:r>
      <w:hyperlink r:id="rId1" w:history="1">
        <w:r w:rsidRPr="00B36C54">
          <w:rPr>
            <w:rStyle w:val="Hipervnculo"/>
            <w:rFonts w:ascii="Verdana" w:hAnsi="Verdana"/>
            <w:sz w:val="14"/>
            <w:szCs w:val="14"/>
            <w:lang w:val="es-CO"/>
          </w:rPr>
          <w:t>circular_externa_unica_version_3_vf49.pdf</w:t>
        </w:r>
      </w:hyperlink>
    </w:p>
  </w:footnote>
  <w:footnote w:id="23">
    <w:p w14:paraId="43642F45" w14:textId="77777777" w:rsidR="00CF5D12" w:rsidRPr="00301D9D" w:rsidRDefault="00CF5D12" w:rsidP="00CF5D12">
      <w:pPr>
        <w:pStyle w:val="Textonotapie"/>
        <w:ind w:firstLine="709"/>
        <w:contextualSpacing/>
        <w:jc w:val="both"/>
        <w:rPr>
          <w:rFonts w:ascii="Verdana" w:hAnsi="Verdana"/>
          <w:sz w:val="14"/>
          <w:szCs w:val="14"/>
          <w:lang w:val="pt-BR"/>
        </w:rPr>
      </w:pPr>
      <w:r w:rsidRPr="00301D9D">
        <w:rPr>
          <w:rStyle w:val="Refdenotaalpie"/>
          <w:rFonts w:ascii="Verdana" w:hAnsi="Verdana"/>
          <w:sz w:val="14"/>
          <w:szCs w:val="14"/>
        </w:rPr>
        <w:footnoteRef/>
      </w:r>
      <w:r w:rsidRPr="00301D9D">
        <w:rPr>
          <w:rFonts w:ascii="Verdana" w:hAnsi="Verdana"/>
          <w:sz w:val="14"/>
          <w:szCs w:val="14"/>
          <w:lang w:val="pt-BR"/>
        </w:rPr>
        <w:t xml:space="preserve"> </w:t>
      </w:r>
      <w:r w:rsidRPr="00B36C54">
        <w:rPr>
          <w:rFonts w:ascii="Verdana" w:hAnsi="Verdana" w:cs="Arial"/>
          <w:sz w:val="14"/>
          <w:szCs w:val="14"/>
          <w:lang w:val="es-CO"/>
        </w:rPr>
        <w:t>Consejo de Estado, Sala de lo Contencioso Administrativo, Sección Tercera. Subsección B. Auto del 4 de octubre de 2024. Radicado: 70.313. C.P: Fredy Ibarra Martínez</w:t>
      </w:r>
      <w:r w:rsidRPr="00301D9D">
        <w:rPr>
          <w:rFonts w:ascii="Verdana" w:hAnsi="Verdana" w:cs="Arial"/>
          <w:sz w:val="14"/>
          <w:szCs w:val="14"/>
          <w:lang w:val="pt-BR"/>
        </w:rPr>
        <w:t>.</w:t>
      </w:r>
    </w:p>
  </w:footnote>
  <w:footnote w:id="24">
    <w:p w14:paraId="75764999" w14:textId="77777777" w:rsidR="00CF5D12" w:rsidRPr="005A5B79" w:rsidRDefault="00CF5D12" w:rsidP="00CF5D12">
      <w:pPr>
        <w:pStyle w:val="Textonotapie"/>
        <w:ind w:firstLine="708"/>
        <w:jc w:val="both"/>
        <w:rPr>
          <w:rFonts w:ascii="Verdana" w:hAnsi="Verdana" w:cs="Arial"/>
          <w:sz w:val="14"/>
          <w:szCs w:val="14"/>
        </w:rPr>
      </w:pPr>
      <w:r w:rsidRPr="005A5B79">
        <w:rPr>
          <w:rStyle w:val="Refdenotaalpie"/>
          <w:rFonts w:ascii="Verdana" w:hAnsi="Verdana" w:cs="Arial"/>
          <w:sz w:val="14"/>
          <w:szCs w:val="14"/>
        </w:rPr>
        <w:footnoteRef/>
      </w:r>
      <w:r w:rsidRPr="005A5B79">
        <w:rPr>
          <w:rFonts w:ascii="Verdana" w:hAnsi="Verdana" w:cs="Arial"/>
          <w:sz w:val="14"/>
          <w:szCs w:val="14"/>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25">
    <w:p w14:paraId="55F26320" w14:textId="77777777" w:rsidR="00CF5D12" w:rsidRDefault="00CF5D12" w:rsidP="00CF5D12">
      <w:pPr>
        <w:pStyle w:val="Textonotapie"/>
        <w:ind w:firstLine="709"/>
        <w:jc w:val="both"/>
        <w:rPr>
          <w:rFonts w:ascii="Verdana" w:hAnsi="Verdana" w:cs="Arial"/>
          <w:sz w:val="14"/>
          <w:szCs w:val="14"/>
        </w:rPr>
      </w:pPr>
      <w:r w:rsidRPr="005A5B79">
        <w:rPr>
          <w:rStyle w:val="Refdenotaalpie"/>
          <w:rFonts w:ascii="Verdana" w:hAnsi="Verdana" w:cs="Arial"/>
          <w:sz w:val="14"/>
          <w:szCs w:val="14"/>
        </w:rPr>
        <w:footnoteRef/>
      </w:r>
      <w:r w:rsidRPr="005A5B79">
        <w:rPr>
          <w:rFonts w:ascii="Verdana" w:hAnsi="Verdana" w:cs="Arial"/>
          <w:sz w:val="14"/>
          <w:szCs w:val="14"/>
        </w:rPr>
        <w:t xml:space="preserve"> Consejo de Estado. Sala de Consulta y Servicio Civil. Concepto del 15 de noviembre de 2007. Expediente número 1863. Consejero Ponente: Luis Fernando Álvarez Jaramillo.</w:t>
      </w:r>
    </w:p>
    <w:p w14:paraId="4ED195DF" w14:textId="77777777" w:rsidR="00CF5D12" w:rsidRPr="005A5B79" w:rsidRDefault="00CF5D12" w:rsidP="00CF5D12">
      <w:pPr>
        <w:pStyle w:val="Textonotapie"/>
        <w:ind w:firstLine="709"/>
        <w:jc w:val="both"/>
        <w:rPr>
          <w:rFonts w:ascii="Verdana" w:hAnsi="Verdana" w:cs="Arial"/>
          <w:sz w:val="14"/>
          <w:szCs w:val="14"/>
        </w:rPr>
      </w:pPr>
    </w:p>
  </w:footnote>
  <w:footnote w:id="26">
    <w:p w14:paraId="596F5E48" w14:textId="77777777" w:rsidR="00CF5D12" w:rsidRPr="00337DB1" w:rsidRDefault="00CF5D12" w:rsidP="00CF5D12">
      <w:pPr>
        <w:pStyle w:val="Textonotapie"/>
        <w:ind w:firstLine="708"/>
        <w:jc w:val="both"/>
        <w:rPr>
          <w:rFonts w:ascii="Verdana" w:hAnsi="Verdana" w:cs="Arial"/>
          <w:sz w:val="14"/>
          <w:szCs w:val="14"/>
        </w:rPr>
      </w:pPr>
      <w:r w:rsidRPr="00337DB1">
        <w:rPr>
          <w:rStyle w:val="Refdenotaalpie"/>
          <w:rFonts w:ascii="Verdana" w:hAnsi="Verdana" w:cs="Arial"/>
          <w:sz w:val="14"/>
          <w:szCs w:val="14"/>
        </w:rPr>
        <w:footnoteRef/>
      </w:r>
      <w:r w:rsidRPr="00337DB1">
        <w:rPr>
          <w:rFonts w:ascii="Verdana" w:hAnsi="Verdana" w:cs="Arial"/>
          <w:sz w:val="14"/>
          <w:szCs w:val="14"/>
        </w:rPr>
        <w:t xml:space="preserve"> Concepto del 3 de septiembre de 2019, con radicado No. 2201913000006512.</w:t>
      </w:r>
    </w:p>
    <w:p w14:paraId="2080DAEE" w14:textId="77777777" w:rsidR="00CF5D12" w:rsidRPr="00337DB1" w:rsidRDefault="00CF5D12" w:rsidP="00CF5D12">
      <w:pPr>
        <w:pStyle w:val="Textonotapie"/>
        <w:ind w:firstLine="708"/>
        <w:jc w:val="both"/>
        <w:rPr>
          <w:rFonts w:ascii="Verdana" w:hAnsi="Verdana" w:cs="Arial"/>
          <w:sz w:val="14"/>
          <w:szCs w:val="14"/>
        </w:rPr>
      </w:pPr>
    </w:p>
  </w:footnote>
  <w:footnote w:id="27">
    <w:p w14:paraId="0A5BB016" w14:textId="77777777" w:rsidR="00CF5D12" w:rsidRPr="00337DB1" w:rsidRDefault="00CF5D12" w:rsidP="00CF5D12">
      <w:pPr>
        <w:pStyle w:val="Textonotapie"/>
        <w:ind w:firstLine="708"/>
        <w:jc w:val="both"/>
        <w:rPr>
          <w:rFonts w:ascii="Verdana" w:hAnsi="Verdana" w:cs="Arial"/>
          <w:sz w:val="14"/>
          <w:szCs w:val="14"/>
        </w:rPr>
      </w:pPr>
      <w:r w:rsidRPr="00337DB1">
        <w:rPr>
          <w:rStyle w:val="Refdenotaalpie"/>
          <w:rFonts w:ascii="Verdana" w:hAnsi="Verdana" w:cs="Arial"/>
          <w:sz w:val="14"/>
          <w:szCs w:val="14"/>
        </w:rPr>
        <w:footnoteRef/>
      </w:r>
      <w:r w:rsidRPr="00337DB1">
        <w:rPr>
          <w:rFonts w:ascii="Verdana" w:hAnsi="Verdana" w:cs="Arial"/>
          <w:sz w:val="14"/>
          <w:szCs w:val="14"/>
        </w:rPr>
        <w:t xml:space="preserve"> Sobre la naturaleza de los convenios de asociación, se reitera lo expuesto en el concepto del 19 de noviembre de 2019, con radicado No. 2201913000008611.</w:t>
      </w:r>
    </w:p>
  </w:footnote>
  <w:footnote w:id="28">
    <w:p w14:paraId="7A7EE460" w14:textId="77777777" w:rsidR="00CF5D12" w:rsidRDefault="00CF5D12" w:rsidP="00CF5D12">
      <w:pPr>
        <w:pStyle w:val="Textonotapie"/>
        <w:ind w:firstLine="708"/>
        <w:jc w:val="both"/>
        <w:rPr>
          <w:rFonts w:ascii="Verdana" w:hAnsi="Verdana" w:cs="Arial"/>
          <w:color w:val="000000" w:themeColor="text1"/>
          <w:sz w:val="14"/>
          <w:szCs w:val="14"/>
        </w:rPr>
      </w:pPr>
      <w:r w:rsidRPr="00337DB1">
        <w:rPr>
          <w:rStyle w:val="Refdenotaalpie"/>
          <w:rFonts w:ascii="Verdana" w:hAnsi="Verdana" w:cs="Arial"/>
          <w:color w:val="000000" w:themeColor="text1"/>
          <w:sz w:val="14"/>
          <w:szCs w:val="14"/>
        </w:rPr>
        <w:footnoteRef/>
      </w:r>
      <w:r w:rsidRPr="00337DB1">
        <w:rPr>
          <w:rFonts w:ascii="Verdana" w:hAnsi="Verdana" w:cs="Arial"/>
          <w:color w:val="000000" w:themeColor="text1"/>
          <w:sz w:val="14"/>
          <w:szCs w:val="14"/>
        </w:rPr>
        <w:t xml:space="preserve"> Cfr. Concepto del 21 de agosto de 2019, dictado dentro del radicado No. 2201913000006047.</w:t>
      </w:r>
    </w:p>
    <w:p w14:paraId="710C3367" w14:textId="77777777" w:rsidR="00CF5D12" w:rsidRPr="00337DB1" w:rsidRDefault="00CF5D12" w:rsidP="00CF5D12">
      <w:pPr>
        <w:pStyle w:val="Textonotapie"/>
        <w:ind w:firstLine="708"/>
        <w:jc w:val="both"/>
        <w:rPr>
          <w:rFonts w:ascii="Verdana" w:hAnsi="Verdana" w:cs="Arial"/>
          <w:color w:val="000000" w:themeColor="text1"/>
          <w:sz w:val="14"/>
          <w:szCs w:val="14"/>
        </w:rPr>
      </w:pPr>
    </w:p>
  </w:footnote>
  <w:footnote w:id="29">
    <w:p w14:paraId="7C1CF26C" w14:textId="77777777" w:rsidR="00CF5D12" w:rsidRPr="00337DB1" w:rsidRDefault="00CF5D12" w:rsidP="00CF5D12">
      <w:pPr>
        <w:pStyle w:val="Textonotapie"/>
        <w:ind w:firstLine="708"/>
        <w:jc w:val="both"/>
        <w:rPr>
          <w:rFonts w:ascii="Verdana" w:hAnsi="Verdana" w:cs="Arial"/>
          <w:color w:val="000000" w:themeColor="text1"/>
          <w:sz w:val="14"/>
          <w:szCs w:val="14"/>
          <w:lang w:val="es-ES"/>
        </w:rPr>
      </w:pPr>
      <w:r w:rsidRPr="00337DB1">
        <w:rPr>
          <w:rStyle w:val="Refdenotaalpie"/>
          <w:rFonts w:ascii="Verdana" w:hAnsi="Verdana" w:cs="Arial"/>
          <w:color w:val="000000" w:themeColor="text1"/>
          <w:sz w:val="14"/>
          <w:szCs w:val="14"/>
        </w:rPr>
        <w:footnoteRef/>
      </w:r>
      <w:r w:rsidRPr="00337DB1">
        <w:rPr>
          <w:rFonts w:ascii="Verdana" w:hAnsi="Verdana" w:cs="Arial"/>
          <w:color w:val="000000" w:themeColor="text1"/>
          <w:sz w:val="14"/>
          <w:szCs w:val="14"/>
        </w:rPr>
        <w:t xml:space="preserve"> Concepto del 24 de febrero de 2005</w:t>
      </w:r>
      <w:r>
        <w:rPr>
          <w:rFonts w:ascii="Verdana" w:hAnsi="Verdana" w:cs="Arial"/>
          <w:color w:val="000000" w:themeColor="text1"/>
          <w:sz w:val="14"/>
          <w:szCs w:val="14"/>
        </w:rPr>
        <w:t>. Radicado:</w:t>
      </w:r>
      <w:r w:rsidRPr="00337DB1">
        <w:rPr>
          <w:rFonts w:ascii="Verdana" w:hAnsi="Verdana" w:cs="Arial"/>
          <w:color w:val="000000" w:themeColor="text1"/>
          <w:sz w:val="14"/>
          <w:szCs w:val="14"/>
        </w:rPr>
        <w:t>1626, C.P. Gloria Duque Hernández</w:t>
      </w:r>
      <w:r>
        <w:rPr>
          <w:rFonts w:ascii="Verdana" w:hAnsi="Verdana" w:cs="Arial"/>
          <w:color w:val="000000" w:themeColor="text1"/>
          <w:sz w:val="14"/>
          <w:szCs w:val="14"/>
        </w:rPr>
        <w:t>.</w:t>
      </w:r>
    </w:p>
  </w:footnote>
  <w:footnote w:id="30">
    <w:p w14:paraId="7D8D0ABF" w14:textId="77777777" w:rsidR="00CF5D12" w:rsidRPr="00CC63E8" w:rsidRDefault="00CF5D12" w:rsidP="00CF5D12">
      <w:pPr>
        <w:pStyle w:val="Textonotapie"/>
        <w:ind w:firstLine="708"/>
        <w:jc w:val="both"/>
        <w:rPr>
          <w:rFonts w:ascii="Verdana" w:hAnsi="Verdana" w:cs="Arial"/>
          <w:color w:val="000000" w:themeColor="text1"/>
          <w:sz w:val="14"/>
          <w:szCs w:val="14"/>
        </w:rPr>
      </w:pPr>
      <w:r w:rsidRPr="00CC63E8">
        <w:rPr>
          <w:rStyle w:val="Refdenotaalpie"/>
          <w:rFonts w:ascii="Verdana" w:hAnsi="Verdana" w:cs="Arial"/>
          <w:color w:val="000000" w:themeColor="text1"/>
          <w:sz w:val="14"/>
          <w:szCs w:val="14"/>
        </w:rPr>
        <w:footnoteRef/>
      </w:r>
      <w:r w:rsidRPr="00CC63E8">
        <w:rPr>
          <w:rFonts w:ascii="Verdana" w:hAnsi="Verdana" w:cs="Arial"/>
          <w:color w:val="000000" w:themeColor="text1"/>
          <w:sz w:val="14"/>
          <w:szCs w:val="14"/>
        </w:rPr>
        <w:t xml:space="preserve"> Decreto </w:t>
      </w:r>
      <w:r>
        <w:rPr>
          <w:rFonts w:ascii="Verdana" w:hAnsi="Verdana" w:cs="Arial"/>
          <w:color w:val="000000" w:themeColor="text1"/>
          <w:sz w:val="14"/>
          <w:szCs w:val="14"/>
        </w:rPr>
        <w:t>092 de 2017,</w:t>
      </w:r>
      <w:r w:rsidRPr="00CC63E8">
        <w:rPr>
          <w:rFonts w:ascii="Verdana" w:hAnsi="Verdana" w:cs="Arial"/>
          <w:color w:val="000000" w:themeColor="text1"/>
          <w:sz w:val="14"/>
          <w:szCs w:val="14"/>
        </w:rPr>
        <w:t xml:space="preserve">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7"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5147"/>
    <w:rsid w:val="000D0334"/>
    <w:rsid w:val="000E36C1"/>
    <w:rsid w:val="000F6486"/>
    <w:rsid w:val="00125105"/>
    <w:rsid w:val="00127233"/>
    <w:rsid w:val="001414DE"/>
    <w:rsid w:val="001511A0"/>
    <w:rsid w:val="001E4177"/>
    <w:rsid w:val="001F7DC6"/>
    <w:rsid w:val="002421BB"/>
    <w:rsid w:val="0025796E"/>
    <w:rsid w:val="002677ED"/>
    <w:rsid w:val="002707A2"/>
    <w:rsid w:val="002951A0"/>
    <w:rsid w:val="002962BC"/>
    <w:rsid w:val="002A093D"/>
    <w:rsid w:val="002A0DD0"/>
    <w:rsid w:val="002A49AC"/>
    <w:rsid w:val="002A64FD"/>
    <w:rsid w:val="002C7A84"/>
    <w:rsid w:val="002E4FD9"/>
    <w:rsid w:val="00322A85"/>
    <w:rsid w:val="00324168"/>
    <w:rsid w:val="003448F4"/>
    <w:rsid w:val="00351C33"/>
    <w:rsid w:val="00362281"/>
    <w:rsid w:val="00362AEC"/>
    <w:rsid w:val="00374F5E"/>
    <w:rsid w:val="00377E3E"/>
    <w:rsid w:val="003A779E"/>
    <w:rsid w:val="003D0F4D"/>
    <w:rsid w:val="003D5B0D"/>
    <w:rsid w:val="003E0499"/>
    <w:rsid w:val="003F3941"/>
    <w:rsid w:val="003F4941"/>
    <w:rsid w:val="00406575"/>
    <w:rsid w:val="00414C74"/>
    <w:rsid w:val="00426263"/>
    <w:rsid w:val="0042722E"/>
    <w:rsid w:val="0044528D"/>
    <w:rsid w:val="004A1847"/>
    <w:rsid w:val="004A305D"/>
    <w:rsid w:val="004F21C4"/>
    <w:rsid w:val="004F685F"/>
    <w:rsid w:val="005566E8"/>
    <w:rsid w:val="00574867"/>
    <w:rsid w:val="00575E6A"/>
    <w:rsid w:val="00591460"/>
    <w:rsid w:val="005B3816"/>
    <w:rsid w:val="005C0493"/>
    <w:rsid w:val="005C3777"/>
    <w:rsid w:val="005C5CDC"/>
    <w:rsid w:val="005D476C"/>
    <w:rsid w:val="005F6552"/>
    <w:rsid w:val="006162CB"/>
    <w:rsid w:val="006219F8"/>
    <w:rsid w:val="00665D70"/>
    <w:rsid w:val="006900D9"/>
    <w:rsid w:val="007025F5"/>
    <w:rsid w:val="00706C16"/>
    <w:rsid w:val="00756841"/>
    <w:rsid w:val="007649AB"/>
    <w:rsid w:val="007654C4"/>
    <w:rsid w:val="00771D0C"/>
    <w:rsid w:val="007833AC"/>
    <w:rsid w:val="00794F56"/>
    <w:rsid w:val="007B268C"/>
    <w:rsid w:val="007B7171"/>
    <w:rsid w:val="007C0C0F"/>
    <w:rsid w:val="007C3DC2"/>
    <w:rsid w:val="007D437E"/>
    <w:rsid w:val="007E5497"/>
    <w:rsid w:val="00806F5F"/>
    <w:rsid w:val="00820278"/>
    <w:rsid w:val="00853465"/>
    <w:rsid w:val="0086265D"/>
    <w:rsid w:val="00867F95"/>
    <w:rsid w:val="008843B6"/>
    <w:rsid w:val="00891928"/>
    <w:rsid w:val="008A446D"/>
    <w:rsid w:val="008A6A02"/>
    <w:rsid w:val="008D180B"/>
    <w:rsid w:val="008F0EA7"/>
    <w:rsid w:val="00903287"/>
    <w:rsid w:val="00922436"/>
    <w:rsid w:val="00923EEF"/>
    <w:rsid w:val="009419F9"/>
    <w:rsid w:val="0095685E"/>
    <w:rsid w:val="00961B09"/>
    <w:rsid w:val="00965334"/>
    <w:rsid w:val="0097093E"/>
    <w:rsid w:val="00986AC5"/>
    <w:rsid w:val="0099160B"/>
    <w:rsid w:val="009A0DFA"/>
    <w:rsid w:val="009B2D26"/>
    <w:rsid w:val="009C71FA"/>
    <w:rsid w:val="009C72E7"/>
    <w:rsid w:val="009D3058"/>
    <w:rsid w:val="009F3A13"/>
    <w:rsid w:val="00A06AC9"/>
    <w:rsid w:val="00A122D3"/>
    <w:rsid w:val="00A14228"/>
    <w:rsid w:val="00A17F13"/>
    <w:rsid w:val="00A20739"/>
    <w:rsid w:val="00A33C78"/>
    <w:rsid w:val="00AB0ADB"/>
    <w:rsid w:val="00B01B1A"/>
    <w:rsid w:val="00B34DAD"/>
    <w:rsid w:val="00B66319"/>
    <w:rsid w:val="00B72CD3"/>
    <w:rsid w:val="00B72FFF"/>
    <w:rsid w:val="00BC3D36"/>
    <w:rsid w:val="00BD7F72"/>
    <w:rsid w:val="00BF0E13"/>
    <w:rsid w:val="00C04FB3"/>
    <w:rsid w:val="00C330EB"/>
    <w:rsid w:val="00C41061"/>
    <w:rsid w:val="00C44695"/>
    <w:rsid w:val="00C754BE"/>
    <w:rsid w:val="00C76B1C"/>
    <w:rsid w:val="00C84105"/>
    <w:rsid w:val="00C85E88"/>
    <w:rsid w:val="00CB6357"/>
    <w:rsid w:val="00CC1B26"/>
    <w:rsid w:val="00CC769A"/>
    <w:rsid w:val="00CC7FF6"/>
    <w:rsid w:val="00CD3737"/>
    <w:rsid w:val="00CE169D"/>
    <w:rsid w:val="00CF5D12"/>
    <w:rsid w:val="00D423A2"/>
    <w:rsid w:val="00D520D8"/>
    <w:rsid w:val="00D63AC2"/>
    <w:rsid w:val="00D7383B"/>
    <w:rsid w:val="00D84633"/>
    <w:rsid w:val="00D93BC5"/>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0174"/>
    <w:rsid w:val="00ED4718"/>
    <w:rsid w:val="00ED7384"/>
    <w:rsid w:val="00EE1AA8"/>
    <w:rsid w:val="00F1190E"/>
    <w:rsid w:val="00F31EDC"/>
    <w:rsid w:val="00F462B3"/>
    <w:rsid w:val="00F5664F"/>
    <w:rsid w:val="00F666C4"/>
    <w:rsid w:val="00F71D28"/>
    <w:rsid w:val="00F76AFC"/>
    <w:rsid w:val="00F96773"/>
    <w:rsid w:val="00FA47C0"/>
    <w:rsid w:val="00FB24A7"/>
    <w:rsid w:val="00FB3568"/>
    <w:rsid w:val="00FB5DD1"/>
    <w:rsid w:val="00FC2B5D"/>
    <w:rsid w:val="00FF1449"/>
    <w:rsid w:val="08C51FD1"/>
    <w:rsid w:val="165E9519"/>
    <w:rsid w:val="382536D9"/>
    <w:rsid w:val="4BBFEA33"/>
    <w:rsid w:val="637A5736"/>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F5D1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CF5D12"/>
    <w:rPr>
      <w:rFonts w:ascii="Geomanist Light" w:hAnsi="Geomanist Light"/>
      <w:lang w:val="es-ES"/>
    </w:rPr>
  </w:style>
  <w:style w:type="character" w:customStyle="1" w:styleId="NormalWebCar">
    <w:name w:val="Normal (Web) Car"/>
    <w:link w:val="NormalWeb"/>
    <w:uiPriority w:val="99"/>
    <w:locked/>
    <w:rsid w:val="00CF5D12"/>
    <w:rPr>
      <w:rFonts w:ascii="Times New Roman" w:eastAsia="Times New Roman" w:hAnsi="Times New Roman" w:cs="Times New Roman"/>
      <w:sz w:val="24"/>
      <w:szCs w:val="24"/>
      <w:lang w:eastAsia="es-CO"/>
    </w:rPr>
  </w:style>
  <w:style w:type="character" w:customStyle="1" w:styleId="baj">
    <w:name w:val="b_aj"/>
    <w:basedOn w:val="Fuentedeprrafopredeter"/>
    <w:rsid w:val="00CF5D12"/>
  </w:style>
  <w:style w:type="paragraph" w:styleId="Textoindependiente">
    <w:name w:val="Body Text"/>
    <w:basedOn w:val="Normal"/>
    <w:link w:val="TextoindependienteCar"/>
    <w:uiPriority w:val="1"/>
    <w:qFormat/>
    <w:rsid w:val="00CF5D12"/>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F5D12"/>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wp-content/uploads/2024/08/circular_externa_unica_version_3_vf49.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scarfabianlopezsierra@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circular_externa_unica_version_3_vf4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26FD5BB-DBC9-4789-8D80-518FF14BC10F}"/>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33</Pages>
  <Words>11772</Words>
  <Characters>64747</Characters>
  <Application>Microsoft Office Word</Application>
  <DocSecurity>0</DocSecurity>
  <Lines>539</Lines>
  <Paragraphs>152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76367</CharactersWithSpaces>
  <SharedDoc>false</SharedDoc>
  <HLinks>
    <vt:vector size="30" baseType="variant">
      <vt:variant>
        <vt:i4>6029407</vt:i4>
      </vt:variant>
      <vt:variant>
        <vt:i4>9</vt:i4>
      </vt:variant>
      <vt:variant>
        <vt:i4>0</vt:i4>
      </vt:variant>
      <vt:variant>
        <vt:i4>5</vt:i4>
      </vt:variant>
      <vt:variant>
        <vt:lpwstr>http://www.colombiacompra.gov.co/</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786475</vt:i4>
      </vt:variant>
      <vt:variant>
        <vt:i4>3</vt:i4>
      </vt:variant>
      <vt:variant>
        <vt:i4>0</vt:i4>
      </vt:variant>
      <vt:variant>
        <vt:i4>5</vt:i4>
      </vt:variant>
      <vt:variant>
        <vt:lpwstr>https://www.colombiacompra.gov.co/wp-content/uploads/2024/08/circular_externa_unica_version_3_vf49.pdf</vt:lpwstr>
      </vt:variant>
      <vt:variant>
        <vt:lpwstr/>
      </vt:variant>
      <vt:variant>
        <vt:i4>1114152</vt:i4>
      </vt:variant>
      <vt:variant>
        <vt:i4>0</vt:i4>
      </vt:variant>
      <vt:variant>
        <vt:i4>0</vt:i4>
      </vt:variant>
      <vt:variant>
        <vt:i4>5</vt:i4>
      </vt:variant>
      <vt:variant>
        <vt:lpwstr>mailto:oscarfabianlopezsierra@gmail.com</vt:lpwstr>
      </vt:variant>
      <vt:variant>
        <vt:lpwstr/>
      </vt:variant>
      <vt:variant>
        <vt:i4>786475</vt:i4>
      </vt:variant>
      <vt:variant>
        <vt:i4>0</vt:i4>
      </vt:variant>
      <vt:variant>
        <vt:i4>0</vt:i4>
      </vt:variant>
      <vt:variant>
        <vt:i4>5</vt:i4>
      </vt:variant>
      <vt:variant>
        <vt:lpwstr>https://www.colombiacompra.gov.co/wp-content/uploads/2024/08/circular_externa_unica_version_3_vf49.pdf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6</cp:revision>
  <cp:lastPrinted>2023-01-10T21:18:00Z</cp:lastPrinted>
  <dcterms:created xsi:type="dcterms:W3CDTF">2025-08-22T23:03:00Z</dcterms:created>
  <dcterms:modified xsi:type="dcterms:W3CDTF">2025-08-26T00:32:00Z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