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A7B91" w14:textId="77777777" w:rsidR="005B1B43" w:rsidRPr="005B1B43" w:rsidRDefault="005B1B43" w:rsidP="005B1B43">
      <w:pPr>
        <w:spacing w:after="0" w:line="240" w:lineRule="auto"/>
        <w:jc w:val="both"/>
        <w:rPr>
          <w:rFonts w:ascii="Verdana" w:eastAsia="Times New Roman" w:hAnsi="Verdana" w:cs="Arial"/>
          <w:b/>
          <w:color w:val="000000"/>
          <w:lang w:val="es-ES"/>
        </w:rPr>
      </w:pPr>
      <w:r w:rsidRPr="005B1B43">
        <w:rPr>
          <w:rFonts w:ascii="Verdana" w:eastAsia="Times New Roman" w:hAnsi="Verdana" w:cs="Arial"/>
          <w:b/>
          <w:color w:val="000000"/>
          <w:lang w:val="es-ES"/>
        </w:rPr>
        <w:t xml:space="preserve">PERSONAS EN CONDICIÓN DE DISCAPACIDAD </w:t>
      </w:r>
      <w:r w:rsidRPr="005B1B43">
        <w:rPr>
          <w:rFonts w:ascii="Verdana" w:eastAsia="Times New Roman" w:hAnsi="Verdana" w:cs="Arial"/>
          <w:b/>
          <w:bCs/>
          <w:color w:val="000000"/>
          <w:lang w:val="es-ES"/>
        </w:rPr>
        <w:t>–</w:t>
      </w:r>
      <w:r w:rsidRPr="005B1B43">
        <w:rPr>
          <w:rFonts w:ascii="Verdana" w:eastAsia="Times New Roman" w:hAnsi="Verdana" w:cs="Arial"/>
          <w:b/>
          <w:color w:val="000000"/>
          <w:lang w:val="es-ES"/>
        </w:rPr>
        <w:t xml:space="preserve"> Decreto 392 de 2018 </w:t>
      </w:r>
      <w:r w:rsidRPr="005B1B43">
        <w:rPr>
          <w:rFonts w:ascii="Verdana" w:eastAsia="Times New Roman" w:hAnsi="Verdana" w:cs="Arial"/>
          <w:b/>
          <w:bCs/>
          <w:color w:val="000000"/>
          <w:lang w:val="es-ES"/>
        </w:rPr>
        <w:t>–</w:t>
      </w:r>
      <w:r w:rsidRPr="005B1B43">
        <w:rPr>
          <w:rFonts w:ascii="Verdana" w:eastAsia="Times New Roman" w:hAnsi="Verdana" w:cs="Arial"/>
          <w:b/>
          <w:color w:val="000000"/>
          <w:lang w:val="es-ES"/>
        </w:rPr>
        <w:t xml:space="preserve"> Desarrollo normativo</w:t>
      </w:r>
    </w:p>
    <w:p w14:paraId="4AF32D1C" w14:textId="77777777" w:rsidR="005B1B43" w:rsidRPr="005B1B43" w:rsidRDefault="005B1B43" w:rsidP="005B1B43">
      <w:pPr>
        <w:spacing w:after="0" w:line="240" w:lineRule="auto"/>
        <w:jc w:val="both"/>
        <w:rPr>
          <w:rFonts w:ascii="Verdana" w:eastAsia="Times New Roman" w:hAnsi="Verdana" w:cs="Arial"/>
          <w:b/>
          <w:color w:val="000000"/>
          <w:sz w:val="20"/>
          <w:szCs w:val="20"/>
          <w:lang w:val="es-ES"/>
        </w:rPr>
      </w:pPr>
    </w:p>
    <w:p w14:paraId="6E16774A"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r w:rsidRPr="005B1B43">
        <w:rPr>
          <w:rFonts w:ascii="Verdana" w:eastAsia="Times New Roman" w:hAnsi="Verdana" w:cs="Arial"/>
          <w:bCs/>
          <w:color w:val="000000"/>
          <w:sz w:val="20"/>
          <w:szCs w:val="20"/>
          <w:lang w:val="es-ES"/>
        </w:rPr>
        <w:t>En aras de garantizar el derecho al trabajo en términos de igualdad de oportunidades para las personas en condición de discapacidad, el artículo 13 de Ley 1618 de 2013 estableció acciones afirmativas en el marco del sistema de compras públicas y ordenó al Gobierno Nacional expedir el decreto reglamentario que determinara una puntuación adicional y un sistema de preferencias en los procesos de contratación estatal</w:t>
      </w:r>
      <w:r w:rsidRPr="005B1B43">
        <w:rPr>
          <w:rFonts w:ascii="Verdana" w:eastAsia="Times New Roman" w:hAnsi="Verdana" w:cs="Arial"/>
          <w:color w:val="000000"/>
          <w:sz w:val="20"/>
          <w:szCs w:val="20"/>
          <w:lang w:val="es-ES"/>
        </w:rPr>
        <w:t>.</w:t>
      </w:r>
    </w:p>
    <w:p w14:paraId="6EEB5634"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p>
    <w:p w14:paraId="555700B3" w14:textId="77777777" w:rsidR="005B1B43" w:rsidRPr="005B1B43" w:rsidRDefault="005B1B43" w:rsidP="005B1B43">
      <w:pPr>
        <w:spacing w:after="0" w:line="240" w:lineRule="auto"/>
        <w:jc w:val="both"/>
        <w:rPr>
          <w:rFonts w:ascii="Verdana" w:eastAsia="Times New Roman" w:hAnsi="Verdana" w:cs="Arial"/>
          <w:b/>
          <w:bCs/>
          <w:color w:val="000000"/>
          <w:sz w:val="20"/>
          <w:szCs w:val="20"/>
          <w:lang w:val="es-ES"/>
        </w:rPr>
      </w:pPr>
      <w:r w:rsidRPr="005B1B43">
        <w:rPr>
          <w:rFonts w:ascii="Verdana" w:eastAsia="Times New Roman" w:hAnsi="Verdana" w:cs="Arial"/>
          <w:color w:val="000000"/>
          <w:sz w:val="20"/>
          <w:szCs w:val="20"/>
          <w:lang w:val="es-ES"/>
        </w:rPr>
        <w:t xml:space="preserve">En cumplimiento de lo anterior, el Gobierno Nacional, ejerciendo su facultad reglamentaria, expidió el Decreto 392 del 2018 […]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w:t>
      </w:r>
    </w:p>
    <w:p w14:paraId="05C2BDF4"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p>
    <w:p w14:paraId="1AFDF4D6" w14:textId="77777777" w:rsidR="005B1B43" w:rsidRPr="005B1B43" w:rsidRDefault="005B1B43" w:rsidP="005B1B43">
      <w:pPr>
        <w:spacing w:after="0" w:line="240" w:lineRule="auto"/>
        <w:jc w:val="both"/>
        <w:rPr>
          <w:rFonts w:ascii="Verdana" w:eastAsia="Times New Roman" w:hAnsi="Verdana" w:cs="Arial"/>
          <w:b/>
          <w:color w:val="000000"/>
          <w:lang w:val="es-ES" w:eastAsia="es-ES_tradnl"/>
        </w:rPr>
      </w:pPr>
      <w:r w:rsidRPr="005B1B43">
        <w:rPr>
          <w:rFonts w:ascii="Verdana" w:eastAsia="Times New Roman" w:hAnsi="Verdana" w:cs="Arial"/>
          <w:b/>
          <w:color w:val="000000"/>
          <w:lang w:val="es-ES" w:eastAsia="es-ES_tradnl"/>
        </w:rPr>
        <w:t xml:space="preserve">DECRETO 392 DE 2018 </w:t>
      </w:r>
      <w:r w:rsidRPr="005B1B43">
        <w:rPr>
          <w:rFonts w:ascii="Verdana" w:eastAsia="Times New Roman" w:hAnsi="Verdana" w:cs="Arial"/>
          <w:b/>
          <w:bCs/>
          <w:color w:val="000000"/>
          <w:lang w:val="es-ES" w:eastAsia="es-ES_tradnl"/>
        </w:rPr>
        <w:t>–</w:t>
      </w:r>
      <w:r w:rsidRPr="005B1B43">
        <w:rPr>
          <w:rFonts w:ascii="Verdana" w:eastAsia="Times New Roman" w:hAnsi="Verdana" w:cs="Arial"/>
          <w:b/>
          <w:color w:val="000000"/>
          <w:lang w:val="es-ES" w:eastAsia="es-ES_tradnl"/>
        </w:rPr>
        <w:t xml:space="preserve"> Personas en condición de discapacidad </w:t>
      </w:r>
      <w:r w:rsidRPr="005B1B43">
        <w:rPr>
          <w:rFonts w:ascii="Verdana" w:eastAsia="Times New Roman" w:hAnsi="Verdana" w:cs="Arial"/>
          <w:b/>
          <w:bCs/>
          <w:color w:val="000000"/>
          <w:lang w:val="es-ES" w:eastAsia="es-ES_tradnl"/>
        </w:rPr>
        <w:t>–</w:t>
      </w:r>
      <w:r w:rsidRPr="005B1B43">
        <w:rPr>
          <w:rFonts w:ascii="Verdana" w:eastAsia="Times New Roman" w:hAnsi="Verdana" w:cs="Arial"/>
          <w:b/>
          <w:color w:val="000000"/>
          <w:lang w:val="es-ES" w:eastAsia="es-ES_tradnl"/>
        </w:rPr>
        <w:t xml:space="preserve"> Proponente plural </w:t>
      </w:r>
    </w:p>
    <w:p w14:paraId="1BA67C41" w14:textId="77777777" w:rsidR="005B1B43" w:rsidRPr="005B1B43" w:rsidRDefault="005B1B43" w:rsidP="005B1B43">
      <w:pPr>
        <w:spacing w:after="0" w:line="240" w:lineRule="auto"/>
        <w:jc w:val="both"/>
        <w:rPr>
          <w:rFonts w:ascii="Verdana" w:eastAsia="Times New Roman" w:hAnsi="Verdana" w:cs="Arial"/>
          <w:b/>
          <w:color w:val="000000"/>
          <w:lang w:val="es-ES" w:eastAsia="es-ES_tradnl"/>
        </w:rPr>
      </w:pPr>
    </w:p>
    <w:p w14:paraId="5CF97A2A"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r w:rsidRPr="005B1B43">
        <w:rPr>
          <w:rFonts w:ascii="Verdana" w:eastAsia="Times New Roman" w:hAnsi="Verdana" w:cs="Arial"/>
          <w:color w:val="000000"/>
          <w:sz w:val="20"/>
          <w:szCs w:val="20"/>
          <w:lang w:val="es-ES"/>
        </w:rPr>
        <w:t>Es necesario precisar que el parágrafo del artículo 2.2.1.2.4.6 del Decreto 1082 de 2019, adicionado por el artículo primero del Decreto 392 de 2018, prescribió un requisito adicional para el caso de proponentes plurales como los consorcios, las sociedades o las promesas de sociedad futura. En estos escenarios, para que la oferta presentada obtenga el puntaje adicional por vinculación de trabajadores con discapacidad, deberá tomarse en cuenta la acreditación del integrante que aporte como mínimo el cuarenta por ciento (40%) de la experiencia requerida en el proceso de contratación.</w:t>
      </w:r>
    </w:p>
    <w:p w14:paraId="69D09212"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p>
    <w:p w14:paraId="01809D33"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r w:rsidRPr="005B1B43">
        <w:rPr>
          <w:rFonts w:ascii="Verdana" w:eastAsia="Times New Roman" w:hAnsi="Verdana" w:cs="Arial"/>
          <w:color w:val="000000"/>
          <w:sz w:val="20"/>
          <w:szCs w:val="20"/>
          <w:lang w:val="es-ES"/>
        </w:rPr>
        <w:t>[…]</w:t>
      </w:r>
    </w:p>
    <w:p w14:paraId="3E1B6D24"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r w:rsidRPr="005B1B43">
        <w:rPr>
          <w:rFonts w:ascii="Verdana" w:eastAsia="Times New Roman" w:hAnsi="Verdana" w:cs="Arial"/>
          <w:color w:val="000000"/>
          <w:sz w:val="20"/>
          <w:szCs w:val="20"/>
          <w:lang w:val="es-ES"/>
        </w:rPr>
        <w:t xml:space="preserve">Esto significa que el cumplimiento de los requisitos establecidos en el Decreto 392 de 2019 lo acredita el integrante de la estructura plural que aporte más </w:t>
      </w:r>
      <w:proofErr w:type="spellStart"/>
      <w:r w:rsidRPr="005B1B43">
        <w:rPr>
          <w:rFonts w:ascii="Verdana" w:eastAsia="Times New Roman" w:hAnsi="Verdana" w:cs="Arial"/>
          <w:color w:val="000000"/>
          <w:sz w:val="20"/>
          <w:szCs w:val="20"/>
          <w:lang w:val="es-ES"/>
        </w:rPr>
        <w:t>del</w:t>
      </w:r>
      <w:proofErr w:type="spellEnd"/>
      <w:r w:rsidRPr="005B1B43">
        <w:rPr>
          <w:rFonts w:ascii="Verdana" w:eastAsia="Times New Roman" w:hAnsi="Verdana" w:cs="Arial"/>
          <w:color w:val="000000"/>
          <w:sz w:val="20"/>
          <w:szCs w:val="20"/>
          <w:lang w:val="es-ES"/>
        </w:rPr>
        <w:t xml:space="preserve">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3D36E016"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p>
    <w:p w14:paraId="7D3F8168" w14:textId="77777777" w:rsidR="005B1B43" w:rsidRPr="005B1B43" w:rsidRDefault="005B1B43" w:rsidP="005B1B43">
      <w:pPr>
        <w:widowControl w:val="0"/>
        <w:autoSpaceDE w:val="0"/>
        <w:autoSpaceDN w:val="0"/>
        <w:spacing w:after="0" w:line="240" w:lineRule="auto"/>
        <w:ind w:right="303"/>
        <w:jc w:val="both"/>
        <w:rPr>
          <w:rFonts w:ascii="Verdana" w:eastAsia="Times New Roman" w:hAnsi="Verdana" w:cs="Arial"/>
          <w:b/>
          <w:bCs/>
          <w:color w:val="000000"/>
          <w:lang w:val="es-ES"/>
        </w:rPr>
      </w:pPr>
      <w:r w:rsidRPr="005B1B43">
        <w:rPr>
          <w:rFonts w:ascii="Verdana" w:eastAsia="Times New Roman" w:hAnsi="Verdana" w:cs="Arial"/>
          <w:b/>
          <w:bCs/>
          <w:color w:val="000000"/>
          <w:lang w:val="es-ES"/>
        </w:rPr>
        <w:t>SELECCIÓN OBJETIVA – Ley 1150 de 2007 – Alcance – Requisitos habilitantes</w:t>
      </w:r>
    </w:p>
    <w:p w14:paraId="085475AF" w14:textId="77777777" w:rsidR="005B1B43" w:rsidRPr="005B1B43" w:rsidRDefault="005B1B43" w:rsidP="005B1B43">
      <w:pPr>
        <w:widowControl w:val="0"/>
        <w:autoSpaceDE w:val="0"/>
        <w:autoSpaceDN w:val="0"/>
        <w:spacing w:after="0" w:line="240" w:lineRule="auto"/>
        <w:ind w:right="303"/>
        <w:jc w:val="both"/>
        <w:rPr>
          <w:rFonts w:ascii="Verdana" w:eastAsia="Times New Roman" w:hAnsi="Verdana" w:cs="Arial"/>
          <w:color w:val="000000"/>
          <w:sz w:val="20"/>
          <w:szCs w:val="20"/>
          <w:lang w:val="es-ES"/>
        </w:rPr>
      </w:pPr>
    </w:p>
    <w:p w14:paraId="2B337AA4"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r w:rsidRPr="005B1B43">
        <w:rPr>
          <w:rFonts w:ascii="Verdana" w:eastAsia="Times New Roman" w:hAnsi="Verdana" w:cs="Arial"/>
          <w:color w:val="000000"/>
          <w:sz w:val="20"/>
          <w:szCs w:val="20"/>
          <w:lang w:val="es-ES"/>
        </w:rPr>
        <w:t xml:space="preserve">En aras de conferir alcance a la normativa estudiada, resulta pertinente remitirse a la Ley 1150 de 2007, cuyo artículo quinto señala que la selección objetiva en los términos de contratación </w:t>
      </w:r>
      <w:proofErr w:type="gramStart"/>
      <w:r w:rsidRPr="005B1B43">
        <w:rPr>
          <w:rFonts w:ascii="Verdana" w:eastAsia="Times New Roman" w:hAnsi="Verdana" w:cs="Arial"/>
          <w:color w:val="000000"/>
          <w:sz w:val="20"/>
          <w:szCs w:val="20"/>
          <w:lang w:val="es-ES"/>
        </w:rPr>
        <w:t>estatal,</w:t>
      </w:r>
      <w:proofErr w:type="gramEnd"/>
      <w:r w:rsidRPr="005B1B43">
        <w:rPr>
          <w:rFonts w:ascii="Verdana" w:eastAsia="Times New Roman" w:hAnsi="Verdana" w:cs="Arial"/>
          <w:color w:val="000000"/>
          <w:sz w:val="20"/>
          <w:szCs w:val="20"/>
          <w:lang w:val="es-ES"/>
        </w:rPr>
        <w:t xml:space="preserve"> es aquella escogencia realizada sin acudir a “factores de afecto o de interés y, en general, cualquier clase de motivación subjetiva”. Este criterio de </w:t>
      </w:r>
      <w:proofErr w:type="gramStart"/>
      <w:r w:rsidRPr="005B1B43">
        <w:rPr>
          <w:rFonts w:ascii="Verdana" w:eastAsia="Times New Roman" w:hAnsi="Verdana" w:cs="Arial"/>
          <w:color w:val="000000"/>
          <w:sz w:val="20"/>
          <w:szCs w:val="20"/>
          <w:lang w:val="es-ES"/>
        </w:rPr>
        <w:t>objetividad,</w:t>
      </w:r>
      <w:proofErr w:type="gramEnd"/>
      <w:r w:rsidRPr="005B1B43">
        <w:rPr>
          <w:rFonts w:ascii="Verdana" w:eastAsia="Times New Roman" w:hAnsi="Verdana" w:cs="Arial"/>
          <w:color w:val="000000"/>
          <w:sz w:val="20"/>
          <w:szCs w:val="20"/>
          <w:lang w:val="es-ES"/>
        </w:rPr>
        <w:t xml:space="preserve"> debe ser observado por las entidades estatales y plasmado dentro de los pliegos de condiciones o sus equivalentes, los cuales regirán los procesos de selección.</w:t>
      </w:r>
    </w:p>
    <w:p w14:paraId="70F4A4AA"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r w:rsidRPr="005B1B43">
        <w:rPr>
          <w:rFonts w:ascii="Verdana" w:eastAsia="Times New Roman" w:hAnsi="Verdana" w:cs="Arial"/>
          <w:color w:val="000000"/>
          <w:sz w:val="20"/>
          <w:szCs w:val="20"/>
          <w:lang w:val="es-ES"/>
        </w:rPr>
        <w:lastRenderedPageBreak/>
        <w:t xml:space="preserve">Para tal efecto, la Agencia Nacional de Contratación Pública – Colombia Compra Eficiente, ha señalado que el “numeral 1º del artículo referido establece que en los procesos de selección de contratistas serán objeto de verificación, como requisitos habilitantes, entre otros, los siguientes: i) la capacidad jurídica; </w:t>
      </w:r>
      <w:proofErr w:type="spellStart"/>
      <w:r w:rsidRPr="005B1B43">
        <w:rPr>
          <w:rFonts w:ascii="Verdana" w:eastAsia="Times New Roman" w:hAnsi="Verdana" w:cs="Arial"/>
          <w:color w:val="000000"/>
          <w:sz w:val="20"/>
          <w:szCs w:val="20"/>
          <w:lang w:val="es-ES"/>
        </w:rPr>
        <w:t>ii</w:t>
      </w:r>
      <w:proofErr w:type="spellEnd"/>
      <w:r w:rsidRPr="005B1B43">
        <w:rPr>
          <w:rFonts w:ascii="Verdana" w:eastAsia="Times New Roman" w:hAnsi="Verdana" w:cs="Arial"/>
          <w:color w:val="000000"/>
          <w:sz w:val="20"/>
          <w:szCs w:val="20"/>
          <w:lang w:val="es-ES"/>
        </w:rPr>
        <w:t xml:space="preserve">) la experiencia; </w:t>
      </w:r>
      <w:proofErr w:type="spellStart"/>
      <w:r w:rsidRPr="005B1B43">
        <w:rPr>
          <w:rFonts w:ascii="Verdana" w:eastAsia="Times New Roman" w:hAnsi="Verdana" w:cs="Arial"/>
          <w:color w:val="000000"/>
          <w:sz w:val="20"/>
          <w:szCs w:val="20"/>
          <w:lang w:val="es-ES"/>
        </w:rPr>
        <w:t>iii</w:t>
      </w:r>
      <w:proofErr w:type="spellEnd"/>
      <w:r w:rsidRPr="005B1B43">
        <w:rPr>
          <w:rFonts w:ascii="Verdana" w:eastAsia="Times New Roman" w:hAnsi="Verdana" w:cs="Arial"/>
          <w:color w:val="000000"/>
          <w:sz w:val="20"/>
          <w:szCs w:val="20"/>
          <w:lang w:val="es-ES"/>
        </w:rPr>
        <w:t xml:space="preserve">) la capacidad financiera y </w:t>
      </w:r>
      <w:proofErr w:type="spellStart"/>
      <w:r w:rsidRPr="005B1B43">
        <w:rPr>
          <w:rFonts w:ascii="Verdana" w:eastAsia="Times New Roman" w:hAnsi="Verdana" w:cs="Arial"/>
          <w:color w:val="000000"/>
          <w:sz w:val="20"/>
          <w:szCs w:val="20"/>
          <w:lang w:val="es-ES"/>
        </w:rPr>
        <w:t>iv</w:t>
      </w:r>
      <w:proofErr w:type="spellEnd"/>
      <w:r w:rsidRPr="005B1B43">
        <w:rPr>
          <w:rFonts w:ascii="Verdana" w:eastAsia="Times New Roman" w:hAnsi="Verdana" w:cs="Arial"/>
          <w:color w:val="000000"/>
          <w:sz w:val="20"/>
          <w:szCs w:val="20"/>
          <w:lang w:val="es-ES"/>
        </w:rPr>
        <w:t>) la capacidad de organización”.</w:t>
      </w:r>
    </w:p>
    <w:p w14:paraId="745E0BB6" w14:textId="77777777" w:rsidR="005B1B43" w:rsidRPr="005B1B43" w:rsidRDefault="005B1B43" w:rsidP="005B1B43">
      <w:pPr>
        <w:spacing w:after="0" w:line="240" w:lineRule="auto"/>
        <w:jc w:val="both"/>
        <w:rPr>
          <w:rFonts w:ascii="Verdana" w:eastAsia="Times New Roman" w:hAnsi="Verdana" w:cs="Arial"/>
          <w:b/>
          <w:color w:val="000000"/>
        </w:rPr>
      </w:pPr>
    </w:p>
    <w:p w14:paraId="56F42BFE" w14:textId="77777777" w:rsidR="005B1B43" w:rsidRPr="005B1B43" w:rsidRDefault="005B1B43" w:rsidP="005B1B43">
      <w:pPr>
        <w:spacing w:after="0" w:line="240" w:lineRule="auto"/>
        <w:jc w:val="both"/>
        <w:rPr>
          <w:rFonts w:ascii="Verdana" w:eastAsia="Times New Roman" w:hAnsi="Verdana" w:cs="Arial"/>
          <w:b/>
          <w:color w:val="000000"/>
        </w:rPr>
      </w:pPr>
      <w:r w:rsidRPr="005B1B43">
        <w:rPr>
          <w:rFonts w:ascii="Verdana" w:eastAsia="Times New Roman" w:hAnsi="Verdana" w:cs="Arial"/>
          <w:b/>
          <w:color w:val="000000"/>
        </w:rPr>
        <w:t xml:space="preserve">DECRETO 392 DE 2018 </w:t>
      </w:r>
      <w:r w:rsidRPr="005B1B43">
        <w:rPr>
          <w:rFonts w:ascii="Verdana" w:eastAsia="Times New Roman" w:hAnsi="Verdana" w:cs="Arial"/>
          <w:b/>
          <w:bCs/>
          <w:color w:val="000000"/>
          <w:lang w:val="es-ES"/>
        </w:rPr>
        <w:t>–</w:t>
      </w:r>
      <w:r w:rsidRPr="005B1B43">
        <w:rPr>
          <w:rFonts w:ascii="Verdana" w:eastAsia="Times New Roman" w:hAnsi="Verdana" w:cs="Arial"/>
          <w:b/>
          <w:color w:val="000000"/>
        </w:rPr>
        <w:t xml:space="preserve"> Estructuras plurales </w:t>
      </w:r>
      <w:r w:rsidRPr="005B1B43">
        <w:rPr>
          <w:rFonts w:ascii="Verdana" w:eastAsia="Times New Roman" w:hAnsi="Verdana" w:cs="Arial"/>
          <w:b/>
          <w:bCs/>
          <w:color w:val="000000"/>
          <w:lang w:val="es-ES"/>
        </w:rPr>
        <w:t>–</w:t>
      </w:r>
      <w:r w:rsidRPr="005B1B43">
        <w:rPr>
          <w:rFonts w:ascii="Verdana" w:eastAsia="Times New Roman" w:hAnsi="Verdana" w:cs="Arial"/>
          <w:b/>
          <w:color w:val="000000"/>
        </w:rPr>
        <w:t xml:space="preserve"> Acreditación de experiencia </w:t>
      </w:r>
    </w:p>
    <w:p w14:paraId="7048983F" w14:textId="77777777" w:rsidR="005B1B43" w:rsidRPr="005B1B43" w:rsidRDefault="005B1B43" w:rsidP="005B1B43">
      <w:pPr>
        <w:spacing w:after="0" w:line="240" w:lineRule="auto"/>
        <w:jc w:val="both"/>
        <w:rPr>
          <w:rFonts w:ascii="Verdana" w:eastAsia="Times New Roman" w:hAnsi="Verdana" w:cs="Arial"/>
          <w:bCs/>
          <w:color w:val="000000"/>
          <w:sz w:val="20"/>
          <w:szCs w:val="20"/>
        </w:rPr>
      </w:pPr>
    </w:p>
    <w:p w14:paraId="2C059516" w14:textId="77777777" w:rsidR="005B1B43" w:rsidRPr="005B1B43" w:rsidRDefault="005B1B43" w:rsidP="005B1B43">
      <w:pPr>
        <w:spacing w:after="0" w:line="240" w:lineRule="auto"/>
        <w:jc w:val="both"/>
        <w:rPr>
          <w:rFonts w:ascii="Verdana" w:eastAsia="Times New Roman" w:hAnsi="Verdana" w:cs="Arial"/>
          <w:color w:val="000000"/>
          <w:sz w:val="20"/>
          <w:szCs w:val="20"/>
          <w:lang w:val="es-ES_tradnl"/>
        </w:rPr>
      </w:pPr>
      <w:r w:rsidRPr="005B1B43">
        <w:rPr>
          <w:rFonts w:ascii="Verdana" w:eastAsia="Times New Roman" w:hAnsi="Verdana" w:cs="Arial"/>
          <w:bCs/>
          <w:color w:val="000000"/>
          <w:sz w:val="20"/>
          <w:szCs w:val="20"/>
          <w:lang w:val="es-ES"/>
        </w:rPr>
        <w:t xml:space="preserve">A través de la interpretación en conjunto de la normativa aplicable, es posible concluir que: i) las condiciones generales y/o específicas de acreditación de experiencia y asignación de incentivos deben estar consignadas en el </w:t>
      </w:r>
      <w:r w:rsidRPr="005B1B43">
        <w:rPr>
          <w:rFonts w:ascii="Verdana" w:eastAsia="Times New Roman" w:hAnsi="Verdana" w:cs="Arial"/>
          <w:bCs/>
          <w:color w:val="000000"/>
          <w:sz w:val="20"/>
          <w:szCs w:val="20"/>
          <w:lang w:val="es-ES_tradnl"/>
        </w:rPr>
        <w:t>pliego proferido por la entidad para el respectivo proceso de selección, dentro de los requisitos habilitantes</w:t>
      </w:r>
      <w:r w:rsidRPr="005B1B43">
        <w:rPr>
          <w:rFonts w:ascii="Verdana" w:eastAsia="Times New Roman" w:hAnsi="Verdana" w:cs="Arial"/>
          <w:bCs/>
          <w:color w:val="000000"/>
          <w:sz w:val="20"/>
          <w:szCs w:val="20"/>
          <w:lang w:val="es-ES"/>
        </w:rPr>
        <w:t xml:space="preserve">; y, </w:t>
      </w:r>
      <w:proofErr w:type="spellStart"/>
      <w:r w:rsidRPr="005B1B43">
        <w:rPr>
          <w:rFonts w:ascii="Verdana" w:eastAsia="Times New Roman" w:hAnsi="Verdana" w:cs="Arial"/>
          <w:bCs/>
          <w:color w:val="000000"/>
          <w:sz w:val="20"/>
          <w:szCs w:val="20"/>
          <w:lang w:val="es-ES"/>
        </w:rPr>
        <w:t>ii</w:t>
      </w:r>
      <w:proofErr w:type="spellEnd"/>
      <w:r w:rsidRPr="005B1B43">
        <w:rPr>
          <w:rFonts w:ascii="Verdana" w:eastAsia="Times New Roman" w:hAnsi="Verdana" w:cs="Arial"/>
          <w:bCs/>
          <w:color w:val="000000"/>
          <w:sz w:val="20"/>
          <w:szCs w:val="20"/>
          <w:lang w:val="es-ES"/>
        </w:rPr>
        <w:t>)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5B1B43">
        <w:rPr>
          <w:rFonts w:ascii="Verdana" w:eastAsia="Times New Roman" w:hAnsi="Verdana" w:cs="Arial"/>
          <w:color w:val="000000"/>
          <w:sz w:val="20"/>
          <w:szCs w:val="20"/>
        </w:rPr>
        <w:t>.</w:t>
      </w:r>
    </w:p>
    <w:p w14:paraId="6D352B8E" w14:textId="77777777" w:rsidR="005B1B43" w:rsidRPr="005B1B43" w:rsidRDefault="005B1B43" w:rsidP="005B1B43">
      <w:pPr>
        <w:spacing w:after="0" w:line="240" w:lineRule="auto"/>
        <w:jc w:val="both"/>
        <w:rPr>
          <w:rFonts w:ascii="Verdana" w:eastAsia="Times New Roman" w:hAnsi="Verdana" w:cs="Arial"/>
          <w:color w:val="000000"/>
          <w:sz w:val="20"/>
          <w:szCs w:val="20"/>
          <w:lang w:val="es-ES"/>
        </w:rPr>
      </w:pPr>
    </w:p>
    <w:p w14:paraId="2BD4DA20" w14:textId="77777777" w:rsidR="005B1B43" w:rsidRPr="005B1B43" w:rsidRDefault="005B1B43" w:rsidP="005B1B43">
      <w:pPr>
        <w:spacing w:after="0" w:line="240" w:lineRule="auto"/>
        <w:contextualSpacing/>
        <w:jc w:val="both"/>
        <w:rPr>
          <w:rFonts w:ascii="Verdana" w:eastAsia="Times New Roman" w:hAnsi="Verdana" w:cs="Arial"/>
          <w:b/>
          <w:noProof/>
          <w:sz w:val="20"/>
          <w:szCs w:val="20"/>
          <w:lang w:val="es-ES" w:eastAsia="es-ES_tradnl"/>
        </w:rPr>
      </w:pPr>
    </w:p>
    <w:p w14:paraId="1FC0DB10"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44A0BBB2"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654D6F0F"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66AA72A8"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33FD7990"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1E2D5DAF"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4D6FCA48"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54AFFF7A"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7EE8C48E"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42C9889A"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488A5017"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7D2F5B84"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1CD6DD01"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79E92130"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7FAB269E"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63F58916"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5D98FD69"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513E9EFA"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6A65C3FF"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5D1CEC0B"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39985D1B"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253898FF"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07522D5B"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5C5A73B5"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1515D474" w14:textId="77777777" w:rsidR="005B1B43" w:rsidRPr="005B1B43" w:rsidRDefault="005B1B43" w:rsidP="005B1B43">
      <w:pPr>
        <w:spacing w:after="0" w:line="240" w:lineRule="auto"/>
        <w:jc w:val="both"/>
        <w:rPr>
          <w:rFonts w:ascii="Verdana" w:eastAsia="Times New Roman" w:hAnsi="Verdana" w:cs="Arial"/>
          <w:noProof/>
          <w:lang w:val="es-ES_tradnl" w:eastAsia="es-ES_tradnl"/>
        </w:rPr>
      </w:pPr>
    </w:p>
    <w:p w14:paraId="018416A0" w14:textId="77777777" w:rsidR="005B1B43" w:rsidRPr="005B1B43" w:rsidRDefault="005B1B43" w:rsidP="005B1B43">
      <w:pPr>
        <w:spacing w:after="0"/>
        <w:rPr>
          <w:rFonts w:ascii="Verdana" w:eastAsia="Times New Roman" w:hAnsi="Verdana" w:cs="Times New Roman"/>
        </w:rPr>
      </w:pPr>
      <w:r w:rsidRPr="005B1B43">
        <w:rPr>
          <w:rFonts w:ascii="Verdana" w:eastAsia="Times New Roman" w:hAnsi="Verdana" w:cs="Times New Roman"/>
        </w:rPr>
        <w:lastRenderedPageBreak/>
        <w:t>Bogotá D.C., [Día] [</w:t>
      </w:r>
      <w:proofErr w:type="spellStart"/>
      <w:r w:rsidRPr="005B1B43">
        <w:rPr>
          <w:rFonts w:ascii="Verdana" w:eastAsia="Times New Roman" w:hAnsi="Verdana" w:cs="Times New Roman"/>
        </w:rPr>
        <w:t>Mes.NombreCapitalizado</w:t>
      </w:r>
      <w:proofErr w:type="spellEnd"/>
      <w:r w:rsidRPr="005B1B43">
        <w:rPr>
          <w:rFonts w:ascii="Verdana" w:eastAsia="Times New Roman" w:hAnsi="Verdana" w:cs="Times New Roman"/>
        </w:rPr>
        <w:t>] [Año]</w:t>
      </w:r>
      <w:r w:rsidRPr="005B1B43">
        <w:rPr>
          <w:rFonts w:ascii="Verdana" w:eastAsia="Times New Roman" w:hAnsi="Verdana" w:cs="Times New Roman"/>
        </w:rPr>
        <w:tab/>
      </w:r>
    </w:p>
    <w:p w14:paraId="4364993E" w14:textId="77777777" w:rsidR="005B1B43" w:rsidRPr="005B1B43" w:rsidRDefault="005B1B43" w:rsidP="005B1B43">
      <w:pPr>
        <w:spacing w:after="0"/>
        <w:rPr>
          <w:rFonts w:ascii="Verdana" w:eastAsia="Times New Roman" w:hAnsi="Verdana" w:cs="Times New Roman"/>
        </w:rPr>
      </w:pPr>
    </w:p>
    <w:p w14:paraId="0557C44F" w14:textId="77777777" w:rsidR="005B1B43" w:rsidRPr="005B1B43" w:rsidRDefault="005B1B43" w:rsidP="005B1B43">
      <w:pPr>
        <w:spacing w:after="0" w:line="240" w:lineRule="auto"/>
        <w:jc w:val="both"/>
        <w:rPr>
          <w:rFonts w:ascii="Verdana" w:eastAsia="Times New Roman" w:hAnsi="Verdana" w:cs="Arial"/>
          <w:noProof/>
          <w:lang w:eastAsia="es-ES_tradnl"/>
        </w:rPr>
      </w:pPr>
    </w:p>
    <w:p w14:paraId="4ED1F025" w14:textId="4AAE6089" w:rsidR="005B1B43" w:rsidRPr="005B1B43" w:rsidRDefault="00934D08" w:rsidP="005B1B43">
      <w:pPr>
        <w:spacing w:after="0" w:line="240" w:lineRule="auto"/>
        <w:rPr>
          <w:rFonts w:ascii="Verdana" w:eastAsia="Times New Roman" w:hAnsi="Verdana" w:cs="Arial"/>
          <w:noProof/>
          <w:lang w:val="es-ES_tradnl" w:eastAsia="es-ES_tradnl"/>
        </w:rPr>
      </w:pPr>
      <w:r w:rsidRPr="006002BB">
        <w:rPr>
          <w:rFonts w:ascii="Verdana" w:eastAsia="Times New Roman" w:hAnsi="Verdana" w:cs="Arial"/>
          <w:noProof/>
          <w:lang w:val="es-ES_tradnl" w:eastAsia="es-ES_tradnl"/>
        </w:rPr>
        <w:drawing>
          <wp:anchor distT="0" distB="0" distL="114300" distR="114300" simplePos="0" relativeHeight="251657216" behindDoc="0" locked="0" layoutInCell="1" allowOverlap="1" wp14:anchorId="38C9A746" wp14:editId="22C6B5BD">
            <wp:simplePos x="0" y="0"/>
            <wp:positionH relativeFrom="margin">
              <wp:posOffset>2894965</wp:posOffset>
            </wp:positionH>
            <wp:positionV relativeFrom="paragraph">
              <wp:posOffset>10795</wp:posOffset>
            </wp:positionV>
            <wp:extent cx="2714625" cy="874395"/>
            <wp:effectExtent l="0" t="0" r="9525" b="1905"/>
            <wp:wrapSquare wrapText="bothSides"/>
            <wp:docPr id="189803463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3463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14625" cy="874395"/>
                    </a:xfrm>
                    <a:prstGeom prst="rect">
                      <a:avLst/>
                    </a:prstGeom>
                  </pic:spPr>
                </pic:pic>
              </a:graphicData>
            </a:graphic>
            <wp14:sizeRelH relativeFrom="margin">
              <wp14:pctWidth>0</wp14:pctWidth>
            </wp14:sizeRelH>
            <wp14:sizeRelV relativeFrom="margin">
              <wp14:pctHeight>0</wp14:pctHeight>
            </wp14:sizeRelV>
          </wp:anchor>
        </w:drawing>
      </w:r>
    </w:p>
    <w:p w14:paraId="66F6894A" w14:textId="77777777" w:rsidR="005B1B43" w:rsidRPr="005B1B43" w:rsidRDefault="005B1B43" w:rsidP="005B1B43">
      <w:pPr>
        <w:spacing w:after="0" w:line="240" w:lineRule="auto"/>
        <w:jc w:val="both"/>
        <w:rPr>
          <w:rFonts w:ascii="Verdana" w:eastAsia="Times New Roman" w:hAnsi="Verdana" w:cs="Arial"/>
          <w:lang w:val="es-ES" w:eastAsia="es-ES_tradnl"/>
        </w:rPr>
      </w:pPr>
      <w:r w:rsidRPr="005B1B43">
        <w:rPr>
          <w:rFonts w:ascii="Verdana" w:eastAsia="Times New Roman" w:hAnsi="Verdana" w:cs="Arial"/>
          <w:lang w:val="es-ES" w:eastAsia="es-ES_tradnl"/>
        </w:rPr>
        <w:t>Señor</w:t>
      </w:r>
    </w:p>
    <w:p w14:paraId="1AFDD186" w14:textId="77777777" w:rsidR="005B1B43" w:rsidRPr="005B1B43" w:rsidRDefault="005B1B43" w:rsidP="005B1B43">
      <w:pPr>
        <w:spacing w:after="0" w:line="240" w:lineRule="auto"/>
        <w:jc w:val="both"/>
        <w:rPr>
          <w:rFonts w:ascii="Verdana" w:eastAsia="Times New Roman" w:hAnsi="Verdana" w:cs="Arial"/>
          <w:b/>
          <w:bCs/>
          <w:lang w:val="es-ES" w:eastAsia="es-ES_tradnl"/>
        </w:rPr>
      </w:pPr>
      <w:r w:rsidRPr="005B1B43">
        <w:rPr>
          <w:rFonts w:ascii="Verdana" w:eastAsia="Times New Roman" w:hAnsi="Verdana" w:cs="Arial"/>
          <w:b/>
          <w:bCs/>
          <w:lang w:val="es-ES" w:eastAsia="es-ES_tradnl"/>
        </w:rPr>
        <w:t>Fernando José Gutiérrez Ibáñez</w:t>
      </w:r>
    </w:p>
    <w:p w14:paraId="165BBBE7" w14:textId="77777777" w:rsidR="005B1B43" w:rsidRPr="005B1B43" w:rsidRDefault="005B1B43" w:rsidP="005B1B43">
      <w:pPr>
        <w:spacing w:after="0" w:line="240" w:lineRule="auto"/>
        <w:jc w:val="both"/>
        <w:rPr>
          <w:rFonts w:ascii="Verdana" w:eastAsia="Times New Roman" w:hAnsi="Verdana" w:cs="Arial"/>
          <w:lang w:val="es-ES" w:eastAsia="es-ES_tradnl"/>
        </w:rPr>
      </w:pPr>
      <w:hyperlink r:id="rId11" w:history="1">
        <w:r w:rsidRPr="005B1B43">
          <w:rPr>
            <w:rFonts w:ascii="Verdana" w:eastAsia="Times New Roman" w:hAnsi="Verdana" w:cs="Arial"/>
            <w:color w:val="0000FF"/>
            <w:u w:val="single"/>
            <w:lang w:val="es-ES" w:eastAsia="es-ES_tradnl"/>
          </w:rPr>
          <w:t>Fernandog213@hotmail.com</w:t>
        </w:r>
      </w:hyperlink>
      <w:r w:rsidRPr="005B1B43">
        <w:rPr>
          <w:rFonts w:ascii="Verdana" w:eastAsia="Times New Roman" w:hAnsi="Verdana" w:cs="Arial"/>
          <w:lang w:val="es-ES" w:eastAsia="es-ES_tradnl"/>
        </w:rPr>
        <w:t xml:space="preserve"> </w:t>
      </w:r>
    </w:p>
    <w:p w14:paraId="58444590" w14:textId="77777777" w:rsidR="005B1B43" w:rsidRPr="005B1B43" w:rsidRDefault="005B1B43" w:rsidP="005B1B43">
      <w:pPr>
        <w:spacing w:after="0" w:line="240" w:lineRule="auto"/>
        <w:jc w:val="both"/>
        <w:rPr>
          <w:rFonts w:ascii="Verdana" w:eastAsia="Times New Roman" w:hAnsi="Verdana" w:cs="Arial"/>
          <w:lang w:val="es-ES_tradnl" w:eastAsia="es-ES_tradnl"/>
        </w:rPr>
      </w:pPr>
      <w:r w:rsidRPr="005B1B43">
        <w:rPr>
          <w:rFonts w:ascii="Verdana" w:eastAsia="Times New Roman" w:hAnsi="Verdana" w:cs="Arial"/>
          <w:lang w:val="es-ES" w:eastAsia="es-ES_tradnl"/>
        </w:rPr>
        <w:t xml:space="preserve">Valledupar, Cesar </w:t>
      </w:r>
    </w:p>
    <w:p w14:paraId="4E2D8B70" w14:textId="77777777" w:rsidR="005B1B43" w:rsidRPr="005B1B43" w:rsidRDefault="005B1B43" w:rsidP="005B1B43">
      <w:pPr>
        <w:spacing w:after="0" w:line="240" w:lineRule="auto"/>
        <w:rPr>
          <w:rFonts w:ascii="Verdana" w:eastAsia="Times New Roman" w:hAnsi="Verdana" w:cs="Arial"/>
          <w:lang w:val="es-ES_tradnl" w:eastAsia="es-ES_tradnl"/>
        </w:rPr>
      </w:pPr>
    </w:p>
    <w:p w14:paraId="444B37A1" w14:textId="10EF62CF" w:rsidR="005B1B43" w:rsidRPr="005B1B43" w:rsidRDefault="005B1B43" w:rsidP="006002BB">
      <w:pPr>
        <w:spacing w:after="0" w:line="240" w:lineRule="auto"/>
        <w:jc w:val="right"/>
        <w:rPr>
          <w:rFonts w:ascii="Verdana" w:eastAsia="Times New Roman" w:hAnsi="Verdana" w:cs="Arial"/>
          <w:lang w:val="es-ES_tradnl" w:eastAsia="es-ES_tradnl"/>
        </w:rPr>
      </w:pPr>
    </w:p>
    <w:p w14:paraId="14A20391" w14:textId="0D14C41E" w:rsidR="005B1B43" w:rsidRPr="005B1B43" w:rsidRDefault="005B1B43" w:rsidP="005B1B43">
      <w:pPr>
        <w:spacing w:after="0" w:line="240" w:lineRule="auto"/>
        <w:ind w:left="2694"/>
        <w:rPr>
          <w:rFonts w:ascii="Verdana" w:eastAsia="Times New Roman" w:hAnsi="Verdana" w:cs="Arial"/>
          <w:b/>
          <w:bCs/>
          <w:lang w:val="es-ES" w:eastAsia="es-ES_tradnl"/>
        </w:rPr>
      </w:pPr>
      <w:r w:rsidRPr="005B1B43">
        <w:rPr>
          <w:rFonts w:ascii="Verdana" w:eastAsia="Times New Roman" w:hAnsi="Verdana" w:cs="Arial"/>
          <w:b/>
          <w:bCs/>
          <w:lang w:val="es-ES" w:eastAsia="es-ES_tradnl"/>
        </w:rPr>
        <w:t>Concepto C-</w:t>
      </w:r>
      <w:r w:rsidR="00AC1547">
        <w:rPr>
          <w:rFonts w:ascii="Verdana" w:eastAsia="Times New Roman" w:hAnsi="Verdana" w:cs="Arial"/>
          <w:b/>
          <w:bCs/>
          <w:lang w:val="es-ES" w:eastAsia="es-ES_tradnl"/>
        </w:rPr>
        <w:t xml:space="preserve"> 987</w:t>
      </w:r>
      <w:r w:rsidRPr="005B1B43">
        <w:rPr>
          <w:rFonts w:ascii="Verdana" w:eastAsia="Times New Roman" w:hAnsi="Verdana" w:cs="Arial"/>
          <w:b/>
          <w:bCs/>
          <w:lang w:val="es-ES" w:eastAsia="es-ES_tradnl"/>
        </w:rPr>
        <w:t xml:space="preserve"> de 2025</w:t>
      </w:r>
    </w:p>
    <w:p w14:paraId="266F909E" w14:textId="77777777" w:rsidR="005B1B43" w:rsidRPr="005B1B43" w:rsidRDefault="005B1B43" w:rsidP="005B1B43">
      <w:pPr>
        <w:spacing w:after="0" w:line="240" w:lineRule="auto"/>
        <w:jc w:val="both"/>
        <w:rPr>
          <w:rFonts w:ascii="Verdana" w:eastAsia="Times New Roman" w:hAnsi="Verdana" w:cs="Arial"/>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5B1B43" w:rsidRPr="005B1B43" w14:paraId="36736BFF" w14:textId="77777777" w:rsidTr="00496544">
        <w:tc>
          <w:tcPr>
            <w:tcW w:w="2694" w:type="dxa"/>
          </w:tcPr>
          <w:p w14:paraId="210BC70E" w14:textId="77777777" w:rsidR="005B1B43" w:rsidRPr="005B1B43" w:rsidRDefault="005B1B43" w:rsidP="005B1B43">
            <w:pPr>
              <w:rPr>
                <w:rFonts w:ascii="Verdana" w:hAnsi="Verdana" w:cs="Arial"/>
                <w:lang w:val="es-ES_tradnl" w:eastAsia="es-ES_tradnl"/>
              </w:rPr>
            </w:pPr>
            <w:r w:rsidRPr="005B1B43">
              <w:rPr>
                <w:rFonts w:ascii="Verdana" w:hAnsi="Verdana" w:cs="Arial"/>
                <w:b/>
                <w:lang w:val="es-ES_tradnl" w:eastAsia="es-ES_tradnl"/>
              </w:rPr>
              <w:t>Temas:</w:t>
            </w:r>
          </w:p>
        </w:tc>
        <w:tc>
          <w:tcPr>
            <w:tcW w:w="6095" w:type="dxa"/>
          </w:tcPr>
          <w:p w14:paraId="62D9236C" w14:textId="77777777" w:rsidR="005B1B43" w:rsidRDefault="005B1B43" w:rsidP="00261DBD">
            <w:pPr>
              <w:jc w:val="both"/>
              <w:rPr>
                <w:rFonts w:ascii="Verdana" w:hAnsi="Verdana" w:cs="Arial"/>
                <w:lang w:eastAsia="es-ES_tradnl"/>
              </w:rPr>
            </w:pPr>
            <w:r w:rsidRPr="005B1B43">
              <w:rPr>
                <w:rFonts w:ascii="Verdana" w:hAnsi="Verdana" w:cs="Arial"/>
                <w:lang w:eastAsia="es-ES_tradnl"/>
              </w:rPr>
              <w:t>PERSONAS EN CONDICIÓN DE DISCAPACIDAD – Decreto 392 de 2018 – Desarrollo normativo / DECRETO 392 DE 2018 − Personas en condición de discapacidad − Proponente plural / SELECCIÓN OBJETIVA – Ley 1150 de 2007 – Alcance – Requisitos habilitantes</w:t>
            </w:r>
            <w:r w:rsidR="00261DBD">
              <w:rPr>
                <w:rFonts w:ascii="Verdana" w:hAnsi="Verdana" w:cs="Arial"/>
                <w:lang w:eastAsia="es-ES_tradnl"/>
              </w:rPr>
              <w:t xml:space="preserve"> </w:t>
            </w:r>
          </w:p>
          <w:p w14:paraId="42223C63" w14:textId="341CCE61" w:rsidR="00261DBD" w:rsidRPr="005B1B43" w:rsidRDefault="00261DBD" w:rsidP="00261DBD">
            <w:pPr>
              <w:jc w:val="both"/>
              <w:rPr>
                <w:rFonts w:ascii="Verdana" w:hAnsi="Verdana" w:cs="Arial"/>
                <w:lang w:val="es-ES_tradnl" w:eastAsia="es-ES_tradnl"/>
              </w:rPr>
            </w:pPr>
          </w:p>
        </w:tc>
      </w:tr>
      <w:tr w:rsidR="005B1B43" w:rsidRPr="005B1B43" w14:paraId="1A0B7BD8" w14:textId="77777777" w:rsidTr="00496544">
        <w:tc>
          <w:tcPr>
            <w:tcW w:w="2694" w:type="dxa"/>
          </w:tcPr>
          <w:p w14:paraId="0502DACD" w14:textId="77777777" w:rsidR="005B1B43" w:rsidRPr="005B1B43" w:rsidRDefault="005B1B43" w:rsidP="005B1B43">
            <w:pPr>
              <w:rPr>
                <w:rFonts w:ascii="Verdana" w:hAnsi="Verdana" w:cs="Arial"/>
                <w:b/>
                <w:lang w:val="es-ES" w:eastAsia="es-ES_tradnl"/>
              </w:rPr>
            </w:pPr>
            <w:r w:rsidRPr="005B1B43">
              <w:rPr>
                <w:rFonts w:ascii="Verdana" w:hAnsi="Verdana" w:cs="Arial"/>
                <w:b/>
                <w:lang w:val="es-ES" w:eastAsia="es-ES_tradnl"/>
              </w:rPr>
              <w:t>Radicación:</w:t>
            </w:r>
          </w:p>
        </w:tc>
        <w:tc>
          <w:tcPr>
            <w:tcW w:w="6095" w:type="dxa"/>
          </w:tcPr>
          <w:p w14:paraId="599090AF" w14:textId="77777777" w:rsidR="005B1B43" w:rsidRPr="005B1B43" w:rsidRDefault="005B1B43" w:rsidP="005B1B43">
            <w:pPr>
              <w:jc w:val="both"/>
              <w:rPr>
                <w:rFonts w:ascii="Verdana" w:hAnsi="Verdana" w:cs="Arial"/>
                <w:lang w:val="es-ES" w:eastAsia="es-ES_tradnl"/>
              </w:rPr>
            </w:pPr>
            <w:r w:rsidRPr="005B1B43">
              <w:rPr>
                <w:rFonts w:ascii="Verdana" w:hAnsi="Verdana" w:cs="Arial"/>
                <w:lang w:val="es-ES" w:eastAsia="es-ES_tradnl"/>
              </w:rPr>
              <w:t>Respuesta a consulta radicado No. 1_2025_07_19_007406</w:t>
            </w:r>
          </w:p>
        </w:tc>
      </w:tr>
    </w:tbl>
    <w:p w14:paraId="459AC105" w14:textId="77777777" w:rsidR="005B1B43" w:rsidRPr="005B1B43" w:rsidRDefault="005B1B43" w:rsidP="005B1B43">
      <w:pPr>
        <w:spacing w:after="0" w:line="240" w:lineRule="auto"/>
        <w:jc w:val="both"/>
        <w:rPr>
          <w:rFonts w:ascii="Verdana" w:eastAsia="Times New Roman" w:hAnsi="Verdana" w:cs="Arial"/>
          <w:lang w:val="es-ES_tradnl" w:eastAsia="es-ES_tradnl"/>
        </w:rPr>
      </w:pPr>
    </w:p>
    <w:p w14:paraId="5CEBB575" w14:textId="77777777" w:rsidR="005B1B43" w:rsidRPr="005B1B43" w:rsidRDefault="005B1B43" w:rsidP="005B1B43">
      <w:pPr>
        <w:spacing w:after="0" w:line="240" w:lineRule="auto"/>
        <w:jc w:val="both"/>
        <w:rPr>
          <w:rFonts w:ascii="Verdana" w:eastAsia="Times New Roman" w:hAnsi="Verdana" w:cs="Arial"/>
          <w:lang w:val="es-ES_tradnl" w:eastAsia="es-ES_tradnl"/>
        </w:rPr>
      </w:pPr>
    </w:p>
    <w:p w14:paraId="599D1EC5" w14:textId="77777777" w:rsidR="005B1B43" w:rsidRPr="005B1B43" w:rsidRDefault="005B1B43" w:rsidP="005B1B43">
      <w:pPr>
        <w:spacing w:after="0" w:line="276" w:lineRule="auto"/>
        <w:contextualSpacing/>
        <w:jc w:val="both"/>
        <w:rPr>
          <w:rFonts w:ascii="Verdana" w:eastAsia="Times New Roman" w:hAnsi="Verdana" w:cs="Arial"/>
          <w:bCs/>
          <w:lang w:val="es-ES_tradnl" w:eastAsia="es-ES_tradnl"/>
        </w:rPr>
      </w:pPr>
      <w:r w:rsidRPr="005B1B43">
        <w:rPr>
          <w:rFonts w:ascii="Verdana" w:eastAsia="Times New Roman" w:hAnsi="Verdana" w:cs="Arial"/>
          <w:lang w:val="es-ES_tradnl" w:eastAsia="es-ES_tradnl"/>
        </w:rPr>
        <w:t>Estimado señor Gutiérrez</w:t>
      </w:r>
      <w:r w:rsidRPr="005B1B43">
        <w:rPr>
          <w:rFonts w:ascii="Verdana" w:eastAsia="Times New Roman" w:hAnsi="Verdana" w:cs="Arial"/>
          <w:bCs/>
          <w:lang w:val="es-ES_tradnl" w:eastAsia="es-ES_tradnl"/>
        </w:rPr>
        <w:t>:</w:t>
      </w:r>
    </w:p>
    <w:p w14:paraId="7BB26087" w14:textId="77777777" w:rsidR="005B1B43" w:rsidRPr="005B1B43" w:rsidRDefault="005B1B43" w:rsidP="005B1B43">
      <w:pPr>
        <w:spacing w:after="0" w:line="276" w:lineRule="auto"/>
        <w:contextualSpacing/>
        <w:jc w:val="both"/>
        <w:rPr>
          <w:rFonts w:ascii="Verdana" w:eastAsia="Times New Roman" w:hAnsi="Verdana" w:cs="Arial"/>
          <w:lang w:val="es-ES_tradnl" w:eastAsia="es-ES_tradnl"/>
        </w:rPr>
      </w:pPr>
    </w:p>
    <w:p w14:paraId="052E09A4" w14:textId="77777777" w:rsidR="005B1B43" w:rsidRPr="005B1B43" w:rsidRDefault="005B1B43" w:rsidP="005B1B43">
      <w:pPr>
        <w:spacing w:after="0" w:line="276" w:lineRule="auto"/>
        <w:contextualSpacing/>
        <w:jc w:val="both"/>
        <w:rPr>
          <w:rFonts w:ascii="Verdana" w:eastAsia="Times New Roman" w:hAnsi="Verdana" w:cs="Arial"/>
          <w:lang w:val="es-ES" w:eastAsia="es-ES_tradnl"/>
        </w:rPr>
      </w:pPr>
      <w:r w:rsidRPr="005B1B43">
        <w:rPr>
          <w:rFonts w:ascii="Verdana" w:eastAsia="Times New Roman"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19 de julio de 2025, en la cual manifiesta lo siguiente:</w:t>
      </w:r>
    </w:p>
    <w:p w14:paraId="52348FF3" w14:textId="77777777" w:rsidR="005B1B43" w:rsidRPr="005B1B43" w:rsidRDefault="005B1B43" w:rsidP="005B1B43">
      <w:pPr>
        <w:spacing w:after="0" w:line="276" w:lineRule="auto"/>
        <w:contextualSpacing/>
        <w:jc w:val="both"/>
        <w:rPr>
          <w:rFonts w:ascii="Verdana" w:eastAsia="Times New Roman" w:hAnsi="Verdana" w:cs="Arial"/>
          <w:b/>
          <w:szCs w:val="24"/>
          <w:lang w:val="es-ES_tradnl" w:eastAsia="es-ES_tradnl"/>
        </w:rPr>
      </w:pPr>
    </w:p>
    <w:p w14:paraId="45834008" w14:textId="77777777" w:rsidR="005B1B43" w:rsidRPr="005B1B43" w:rsidRDefault="005B1B43" w:rsidP="005B1B43">
      <w:pPr>
        <w:spacing w:after="0" w:line="240" w:lineRule="auto"/>
        <w:ind w:left="709" w:right="709"/>
        <w:contextualSpacing/>
        <w:jc w:val="both"/>
        <w:rPr>
          <w:rFonts w:ascii="Verdana" w:eastAsia="Times New Roman" w:hAnsi="Verdana" w:cs="Arial"/>
          <w:sz w:val="21"/>
          <w:szCs w:val="21"/>
          <w:lang w:eastAsia="es-ES_tradnl"/>
        </w:rPr>
      </w:pPr>
      <w:r w:rsidRPr="005B1B43">
        <w:rPr>
          <w:rFonts w:ascii="Verdana" w:eastAsia="Times New Roman" w:hAnsi="Verdana" w:cs="Arial"/>
          <w:sz w:val="21"/>
          <w:szCs w:val="21"/>
          <w:lang w:eastAsia="es-ES_tradnl"/>
        </w:rPr>
        <w:t xml:space="preserve">“Concepto sobre si en una propuesta en una licitación pública de obra infraestructura transporte versión 4 en los formatos que otorgan puntaje  como discapacitado o mujeres un proponente plural, los formatos correspondientes de cada uno los presenta por cada uno de los consorciados es decir en el discapacitado si son 3 los consorciados los tres presentan lo del ministerio y el formato correspondiente de discapacitado en el de mujeres los tres presentan el formato de mujeres con todos sus soportes, pero los pliegos exigen que sea solo uno de los consorciados, en caso particular como seria la evaluación en ese caso? ¿Y si algunos de los tres no cumplen con el requisito se </w:t>
      </w:r>
      <w:r w:rsidRPr="005B1B43">
        <w:rPr>
          <w:rFonts w:ascii="Verdana" w:eastAsia="Times New Roman" w:hAnsi="Verdana" w:cs="Arial"/>
          <w:sz w:val="21"/>
          <w:szCs w:val="21"/>
          <w:lang w:eastAsia="es-ES_tradnl"/>
        </w:rPr>
        <w:lastRenderedPageBreak/>
        <w:t>podría entender subsanado con el otro o no tendría validez si es solo uno el que debe valer?” (SIC)</w:t>
      </w:r>
    </w:p>
    <w:p w14:paraId="573C5C2E" w14:textId="77777777" w:rsidR="005B1B43" w:rsidRPr="005B1B43" w:rsidRDefault="005B1B43" w:rsidP="005B1B43">
      <w:pPr>
        <w:spacing w:after="0" w:line="240" w:lineRule="auto"/>
        <w:ind w:left="709" w:right="709"/>
        <w:contextualSpacing/>
        <w:jc w:val="both"/>
        <w:rPr>
          <w:rFonts w:ascii="Verdana" w:eastAsia="Times New Roman" w:hAnsi="Verdana" w:cs="Arial"/>
          <w:sz w:val="21"/>
          <w:szCs w:val="21"/>
          <w:lang w:eastAsia="es-ES_tradnl"/>
        </w:rPr>
      </w:pPr>
      <w:r w:rsidRPr="005B1B43">
        <w:rPr>
          <w:rFonts w:ascii="Verdana" w:eastAsia="Times New Roman" w:hAnsi="Verdana" w:cs="Arial"/>
          <w:sz w:val="21"/>
          <w:szCs w:val="21"/>
          <w:lang w:eastAsia="es-ES_tradnl"/>
        </w:rPr>
        <w:t>”.</w:t>
      </w:r>
    </w:p>
    <w:p w14:paraId="41A9326B" w14:textId="77777777" w:rsidR="005B1B43" w:rsidRPr="005B1B43" w:rsidRDefault="005B1B43" w:rsidP="005B1B43">
      <w:pPr>
        <w:spacing w:after="0" w:line="240" w:lineRule="auto"/>
        <w:ind w:left="709" w:right="709"/>
        <w:contextualSpacing/>
        <w:jc w:val="both"/>
        <w:rPr>
          <w:rFonts w:ascii="Verdana" w:eastAsia="Times New Roman" w:hAnsi="Verdana" w:cs="Arial"/>
          <w:sz w:val="21"/>
          <w:szCs w:val="21"/>
          <w:lang w:eastAsia="es-ES_tradnl"/>
        </w:rPr>
      </w:pPr>
    </w:p>
    <w:p w14:paraId="13000751" w14:textId="77777777" w:rsidR="005B1B43" w:rsidRPr="005B1B43" w:rsidRDefault="005B1B43" w:rsidP="005B1B43">
      <w:pPr>
        <w:spacing w:after="120" w:line="276" w:lineRule="auto"/>
        <w:ind w:firstLine="709"/>
        <w:jc w:val="both"/>
        <w:rPr>
          <w:rFonts w:ascii="Verdana" w:eastAsia="Times New Roman" w:hAnsi="Verdana" w:cs="Arial"/>
          <w:color w:val="000000"/>
          <w:szCs w:val="24"/>
          <w:lang w:val="es-ES_tradnl" w:eastAsia="es-ES_tradnl"/>
        </w:rPr>
      </w:pPr>
      <w:r w:rsidRPr="005B1B43">
        <w:rPr>
          <w:rFonts w:ascii="Verdana" w:eastAsia="Times New Roman"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1B43">
        <w:rPr>
          <w:rFonts w:ascii="Verdana" w:eastAsia="Times New Roman" w:hAnsi="Verdana" w:cs="Arial"/>
          <w:color w:val="000000"/>
          <w:szCs w:val="24"/>
          <w:lang w:val="es-ES_tradnl" w:eastAsia="es-ES_tradnl"/>
        </w:rPr>
        <w:tab/>
      </w:r>
    </w:p>
    <w:p w14:paraId="03257D1B" w14:textId="77777777" w:rsidR="005B1B43" w:rsidRPr="005B1B43" w:rsidRDefault="005B1B43" w:rsidP="005B1B43">
      <w:pPr>
        <w:spacing w:after="0" w:line="276" w:lineRule="auto"/>
        <w:ind w:firstLine="709"/>
        <w:jc w:val="both"/>
        <w:rPr>
          <w:rFonts w:ascii="Verdana" w:eastAsia="Times New Roman" w:hAnsi="Verdana" w:cs="Arial"/>
          <w:lang w:val="es-ES" w:eastAsia="es-ES"/>
        </w:rPr>
      </w:pPr>
      <w:r w:rsidRPr="005B1B43">
        <w:rPr>
          <w:rFonts w:ascii="Verdana" w:eastAsia="Times New Roman"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la vinculación de personas en condición de discapacidad en los procesos de compras pública.  </w:t>
      </w:r>
    </w:p>
    <w:p w14:paraId="503D1DA5" w14:textId="77777777" w:rsidR="005B1B43" w:rsidRPr="005B1B43" w:rsidRDefault="005B1B43" w:rsidP="005B1B43">
      <w:pPr>
        <w:spacing w:after="0" w:line="276" w:lineRule="auto"/>
        <w:contextualSpacing/>
        <w:jc w:val="both"/>
        <w:rPr>
          <w:rFonts w:ascii="Verdana" w:eastAsia="Times New Roman" w:hAnsi="Verdana" w:cs="Arial"/>
          <w:szCs w:val="24"/>
          <w:lang w:val="es-ES_tradnl" w:eastAsia="es-ES_tradnl"/>
        </w:rPr>
      </w:pPr>
    </w:p>
    <w:p w14:paraId="53A71C8F" w14:textId="77777777" w:rsidR="005B1B43" w:rsidRPr="005B1B43" w:rsidRDefault="005B1B43" w:rsidP="005B1B43">
      <w:pPr>
        <w:tabs>
          <w:tab w:val="left" w:pos="0"/>
          <w:tab w:val="left" w:pos="284"/>
        </w:tabs>
        <w:spacing w:after="0" w:line="276" w:lineRule="auto"/>
        <w:contextualSpacing/>
        <w:jc w:val="both"/>
        <w:rPr>
          <w:rFonts w:ascii="Verdana" w:eastAsia="Times New Roman" w:hAnsi="Verdana" w:cs="Arial"/>
          <w:b/>
          <w:lang w:val="es-ES_tradnl"/>
        </w:rPr>
      </w:pPr>
      <w:r w:rsidRPr="005B1B43">
        <w:rPr>
          <w:rFonts w:ascii="Verdana" w:eastAsia="Times New Roman" w:hAnsi="Verdana" w:cs="Arial"/>
          <w:b/>
          <w:lang w:val="es-ES_tradnl"/>
        </w:rPr>
        <w:t>1. Problema planteado:</w:t>
      </w:r>
    </w:p>
    <w:p w14:paraId="4CFF6DB8" w14:textId="77777777" w:rsidR="005B1B43" w:rsidRPr="005B1B43" w:rsidRDefault="005B1B43" w:rsidP="005B1B43">
      <w:pPr>
        <w:tabs>
          <w:tab w:val="left" w:pos="0"/>
          <w:tab w:val="left" w:pos="284"/>
        </w:tabs>
        <w:spacing w:after="0" w:line="276" w:lineRule="auto"/>
        <w:contextualSpacing/>
        <w:jc w:val="both"/>
        <w:rPr>
          <w:rFonts w:ascii="Verdana" w:eastAsia="Times New Roman" w:hAnsi="Verdana" w:cs="Arial"/>
          <w:b/>
          <w:lang w:val="es-ES_tradnl"/>
        </w:rPr>
      </w:pPr>
    </w:p>
    <w:p w14:paraId="7E210887" w14:textId="77777777" w:rsidR="005B1B43" w:rsidRPr="005B1B43" w:rsidRDefault="005B1B43" w:rsidP="005B1B43">
      <w:pPr>
        <w:spacing w:after="0" w:line="276" w:lineRule="auto"/>
        <w:jc w:val="both"/>
        <w:rPr>
          <w:rFonts w:ascii="Verdana" w:eastAsia="Times New Roman" w:hAnsi="Verdana" w:cs="Century Gothic"/>
        </w:rPr>
      </w:pPr>
      <w:r w:rsidRPr="005B1B43">
        <w:rPr>
          <w:rFonts w:ascii="Verdana" w:eastAsia="Times New Roman" w:hAnsi="Verdana" w:cs="Century Gothic"/>
        </w:rPr>
        <w:t xml:space="preserve">De acuerdo con el contenido de su solicitud, esta Agencia resolverá el siguiente problema jurídico: ¿Tratándose de proponentes plurales en los procesos de contratación, quien o quienes deben acreditar la vinculación de personas en condición de discapacidad para obtener el uno por ciento (1%) del total de los puntos establecidos en el pliego de condiciones). </w:t>
      </w:r>
    </w:p>
    <w:p w14:paraId="54511755" w14:textId="77777777" w:rsidR="005B1B43" w:rsidRPr="005B1B43" w:rsidRDefault="005B1B43" w:rsidP="005B1B43">
      <w:pPr>
        <w:spacing w:after="0" w:line="276" w:lineRule="auto"/>
        <w:ind w:firstLine="709"/>
        <w:jc w:val="both"/>
        <w:rPr>
          <w:rFonts w:ascii="Verdana" w:eastAsia="Times New Roman" w:hAnsi="Verdana" w:cs="Arial"/>
          <w:lang w:val="es-ES" w:eastAsia="es-ES_tradnl"/>
        </w:rPr>
      </w:pPr>
    </w:p>
    <w:p w14:paraId="45F8EE1F" w14:textId="77777777" w:rsidR="005B1B43" w:rsidRPr="005B1B43" w:rsidRDefault="005B1B43" w:rsidP="005B1B43">
      <w:pPr>
        <w:tabs>
          <w:tab w:val="left" w:pos="142"/>
          <w:tab w:val="left" w:pos="284"/>
        </w:tabs>
        <w:spacing w:after="0" w:line="276" w:lineRule="auto"/>
        <w:jc w:val="both"/>
        <w:rPr>
          <w:rFonts w:ascii="Verdana" w:eastAsia="Times New Roman" w:hAnsi="Verdana" w:cs="Century Gothic"/>
          <w:b/>
          <w:bCs/>
        </w:rPr>
      </w:pPr>
      <w:r w:rsidRPr="005B1B43">
        <w:rPr>
          <w:rFonts w:ascii="Verdana" w:eastAsia="Times New Roman" w:hAnsi="Verdana" w:cs="Century Gothic"/>
          <w:b/>
          <w:bCs/>
        </w:rPr>
        <w:t>2. Respuesta:</w:t>
      </w:r>
    </w:p>
    <w:p w14:paraId="79D3F7B8" w14:textId="77777777" w:rsidR="005B1B43" w:rsidRPr="005B1B43" w:rsidRDefault="005B1B43" w:rsidP="005B1B43">
      <w:pPr>
        <w:tabs>
          <w:tab w:val="left" w:pos="142"/>
          <w:tab w:val="left" w:pos="284"/>
        </w:tabs>
        <w:spacing w:after="0" w:line="276" w:lineRule="auto"/>
        <w:jc w:val="both"/>
        <w:rPr>
          <w:rFonts w:ascii="Verdana" w:eastAsia="Times New Roman"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B1B43" w:rsidRPr="005B1B43" w14:paraId="303B3060" w14:textId="77777777" w:rsidTr="00496544">
        <w:tc>
          <w:tcPr>
            <w:tcW w:w="8828" w:type="dxa"/>
          </w:tcPr>
          <w:p w14:paraId="53D35397" w14:textId="77777777" w:rsidR="005B1B43" w:rsidRPr="005B1B43" w:rsidRDefault="005B1B43" w:rsidP="005B1B43">
            <w:pPr>
              <w:spacing w:after="120" w:line="276" w:lineRule="auto"/>
              <w:jc w:val="both"/>
              <w:rPr>
                <w:rFonts w:ascii="Verdana" w:hAnsi="Verdana" w:cs="Arial"/>
                <w:szCs w:val="24"/>
                <w:lang w:val="es-ES" w:eastAsia="es-ES_tradnl"/>
              </w:rPr>
            </w:pPr>
            <w:r w:rsidRPr="005B1B43">
              <w:rPr>
                <w:rFonts w:ascii="Verdana" w:hAnsi="Verdana" w:cs="Arial"/>
                <w:szCs w:val="24"/>
                <w:lang w:val="es-ES" w:eastAsia="es-ES_tradnl"/>
              </w:rPr>
              <w:t xml:space="preserve">De acuerdo con el artículo 2.2.1.2.4.2.6. del Decreto 1082 de 2015 “Para efectos de lo señalado en el presente artículo, si la oferta es presentada por </w:t>
            </w:r>
            <w:r w:rsidRPr="005B1B43">
              <w:rPr>
                <w:rFonts w:ascii="Verdana" w:hAnsi="Verdana" w:cs="Arial"/>
                <w:i/>
                <w:iCs/>
                <w:szCs w:val="24"/>
                <w:u w:val="single"/>
                <w:lang w:val="es-ES" w:eastAsia="es-ES_tradnl"/>
              </w:rPr>
              <w:t xml:space="preserve">(Proponentes plurales) </w:t>
            </w:r>
            <w:r w:rsidRPr="005B1B43">
              <w:rPr>
                <w:rFonts w:ascii="Verdana" w:hAnsi="Verdana" w:cs="Arial"/>
                <w:szCs w:val="24"/>
                <w:lang w:val="es-ES" w:eastAsia="es-ES_tradnl"/>
              </w:rPr>
              <w:t>Subraya fuera del texto original</w:t>
            </w:r>
            <w:r w:rsidRPr="005B1B43">
              <w:rPr>
                <w:rFonts w:ascii="Verdana" w:hAnsi="Verdana" w:cs="Arial"/>
                <w:i/>
                <w:iCs/>
                <w:szCs w:val="24"/>
                <w:lang w:val="es-ES" w:eastAsia="es-ES_tradnl"/>
              </w:rPr>
              <w:t>; un</w:t>
            </w:r>
            <w:r w:rsidRPr="005B1B43">
              <w:rPr>
                <w:rFonts w:ascii="Verdana" w:hAnsi="Verdana" w:cs="Arial"/>
                <w:szCs w:val="24"/>
                <w:lang w:val="es-ES" w:eastAsia="es-ES_tradnl"/>
              </w:rPr>
              <w:t xml:space="preserve"> consorcio, unión temporal o promesa de sociedad futura, se tendrá en cuenta la planta de </w:t>
            </w:r>
            <w:r w:rsidRPr="005B1B43">
              <w:rPr>
                <w:rFonts w:ascii="Verdana" w:hAnsi="Verdana" w:cs="Arial"/>
                <w:szCs w:val="24"/>
                <w:lang w:val="es-ES" w:eastAsia="es-ES_tradnl"/>
              </w:rPr>
              <w:lastRenderedPageBreak/>
              <w:t xml:space="preserve">personal del integrante del proponente plural que aporte como mínimo el cuarenta por ciento (40%) de la experiencia requerida para la respectiva contratación”. </w:t>
            </w:r>
          </w:p>
          <w:p w14:paraId="6D3AAA89" w14:textId="5CCE0014" w:rsidR="005B1B43" w:rsidRPr="005B1B43" w:rsidRDefault="005B1B43" w:rsidP="005B1B43">
            <w:pPr>
              <w:spacing w:after="120" w:line="276" w:lineRule="auto"/>
              <w:jc w:val="both"/>
              <w:rPr>
                <w:rFonts w:ascii="Verdana" w:hAnsi="Verdana" w:cs="Arial"/>
                <w:color w:val="000000"/>
                <w:szCs w:val="24"/>
                <w:lang w:eastAsia="es-MX"/>
              </w:rPr>
            </w:pPr>
            <w:r w:rsidRPr="005B1B43">
              <w:rPr>
                <w:rFonts w:ascii="Verdana" w:hAnsi="Verdana" w:cs="Arial"/>
                <w:color w:val="000000"/>
                <w:szCs w:val="24"/>
                <w:lang w:eastAsia="es-MX"/>
              </w:rPr>
              <w:t xml:space="preserve">En ese orden, el 40% al que hace referencia el artículo no implica un requisito extra para optar por el puntaje adicional, sino una instrucción frente a cuál de los integrantes del proponente plural estará habitado para demostrar el número de trabajadores con discapacidad. </w:t>
            </w:r>
          </w:p>
          <w:p w14:paraId="7EAD2C12" w14:textId="77777777" w:rsidR="005B1B43" w:rsidRPr="005B1B43" w:rsidRDefault="005B1B43" w:rsidP="005B1B43">
            <w:pPr>
              <w:spacing w:after="120" w:line="276" w:lineRule="auto"/>
              <w:jc w:val="both"/>
              <w:rPr>
                <w:rFonts w:ascii="Verdana" w:hAnsi="Verdana" w:cs="Arial"/>
                <w:color w:val="000000"/>
                <w:lang w:val="es-ES" w:eastAsia="es-ES_tradnl"/>
              </w:rPr>
            </w:pPr>
            <w:r w:rsidRPr="005B1B43">
              <w:rPr>
                <w:rFonts w:ascii="Verdana" w:hAnsi="Verdana" w:cs="Arial"/>
                <w:color w:val="000000"/>
                <w:lang w:val="es-MX" w:eastAsia="es-ES_tradnl"/>
              </w:rPr>
              <w:t xml:space="preserve">Así las cosas, en los procesos contractuales se otorgaría el uno por ciento (1%) al </w:t>
            </w:r>
            <w:r w:rsidRPr="005B1B43">
              <w:rPr>
                <w:rFonts w:ascii="Verdana" w:hAnsi="Verdana" w:cs="Arial"/>
                <w:szCs w:val="24"/>
                <w:lang w:val="es-ES" w:eastAsia="es-ES_tradnl"/>
              </w:rPr>
              <w:t>proponente plural que aporte como mínimo el cuarenta por ciento (40%) de la experiencia</w:t>
            </w:r>
            <w:r w:rsidRPr="005B1B43">
              <w:rPr>
                <w:rFonts w:ascii="Verdana" w:hAnsi="Verdana" w:cs="Arial"/>
                <w:color w:val="000000"/>
                <w:lang w:val="es-MX" w:eastAsia="es-ES_tradnl"/>
              </w:rPr>
              <w:t xml:space="preserve">, y este acredite: i) el número total de trabajadores vinculados a la planta de personal; y, </w:t>
            </w:r>
            <w:proofErr w:type="spellStart"/>
            <w:r w:rsidRPr="005B1B43">
              <w:rPr>
                <w:rFonts w:ascii="Verdana" w:hAnsi="Verdana" w:cs="Arial"/>
                <w:color w:val="000000"/>
                <w:lang w:val="es-MX" w:eastAsia="es-ES_tradnl"/>
              </w:rPr>
              <w:t>ii</w:t>
            </w:r>
            <w:proofErr w:type="spellEnd"/>
            <w:r w:rsidRPr="005B1B43">
              <w:rPr>
                <w:rFonts w:ascii="Verdana" w:hAnsi="Verdana" w:cs="Arial"/>
                <w:color w:val="000000"/>
                <w:lang w:val="es-MX" w:eastAsia="es-ES_tradnl"/>
              </w:rPr>
              <w:t xml:space="preserve">) la vinculación de, por lo menos, el </w:t>
            </w:r>
            <w:r w:rsidRPr="005B1B43">
              <w:rPr>
                <w:rFonts w:ascii="Verdana" w:hAnsi="Verdana" w:cs="Arial"/>
                <w:color w:val="000000"/>
                <w:lang w:val="es-ES_tradnl"/>
              </w:rPr>
              <w:t>número</w:t>
            </w:r>
            <w:r w:rsidRPr="005B1B43">
              <w:rPr>
                <w:rFonts w:ascii="Verdana" w:hAnsi="Verdana" w:cs="Arial"/>
                <w:color w:val="000000"/>
                <w:lang w:val="es-MX" w:eastAsia="es-ES_tradnl"/>
              </w:rPr>
              <w:t xml:space="preserve"> mínimo exigido de trabajadores con discapacidad de acuerdo con los siguientes criterios. </w:t>
            </w:r>
            <w:r w:rsidRPr="005B1B43">
              <w:rPr>
                <w:rFonts w:ascii="Verdana" w:hAnsi="Verdana" w:cs="Arial"/>
                <w:color w:val="000000"/>
                <w:lang w:val="es-ES" w:eastAsia="es-ES_tradnl"/>
              </w:rPr>
              <w:t xml:space="preserve"> </w:t>
            </w:r>
          </w:p>
          <w:p w14:paraId="5480BABB" w14:textId="77777777" w:rsidR="005B1B43" w:rsidRPr="005B1B43" w:rsidRDefault="005B1B43" w:rsidP="005B1B43">
            <w:pPr>
              <w:spacing w:after="120" w:line="276" w:lineRule="auto"/>
              <w:jc w:val="both"/>
              <w:rPr>
                <w:rFonts w:ascii="Verdana" w:hAnsi="Verdana" w:cs="Arial"/>
                <w:color w:val="000000"/>
                <w:lang w:val="es-ES" w:eastAsia="es-ES_tradnl"/>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5B1B43" w:rsidRPr="005B1B43" w14:paraId="71C79FA4" w14:textId="77777777" w:rsidTr="00496544">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9886C13" w14:textId="77777777" w:rsidR="005B1B43" w:rsidRPr="005B1B43" w:rsidRDefault="005B1B43" w:rsidP="005B1B43">
                  <w:pPr>
                    <w:spacing w:after="0" w:line="240" w:lineRule="auto"/>
                    <w:jc w:val="center"/>
                    <w:rPr>
                      <w:rFonts w:ascii="Verdana" w:eastAsia="Times New Roman" w:hAnsi="Verdana" w:cs="Arial"/>
                      <w:b/>
                      <w:bCs/>
                      <w:color w:val="000000"/>
                      <w:sz w:val="20"/>
                      <w:szCs w:val="20"/>
                      <w:lang w:val="es-MX" w:eastAsia="es-CO"/>
                    </w:rPr>
                  </w:pPr>
                  <w:r w:rsidRPr="005B1B43">
                    <w:rPr>
                      <w:rFonts w:ascii="Verdana" w:eastAsia="Times New Roman" w:hAnsi="Verdana" w:cs="Arial"/>
                      <w:b/>
                      <w:bCs/>
                      <w:color w:val="000000"/>
                      <w:sz w:val="20"/>
                      <w:szCs w:val="20"/>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1A7146E" w14:textId="77777777" w:rsidR="005B1B43" w:rsidRPr="005B1B43" w:rsidRDefault="005B1B43" w:rsidP="005B1B43">
                  <w:pPr>
                    <w:spacing w:after="0" w:line="240" w:lineRule="auto"/>
                    <w:jc w:val="center"/>
                    <w:rPr>
                      <w:rFonts w:ascii="Verdana" w:eastAsia="Times New Roman" w:hAnsi="Verdana" w:cs="Arial"/>
                      <w:b/>
                      <w:bCs/>
                      <w:color w:val="000000"/>
                      <w:sz w:val="20"/>
                      <w:szCs w:val="20"/>
                      <w:lang w:val="es-MX" w:eastAsia="es-CO"/>
                    </w:rPr>
                  </w:pPr>
                  <w:r w:rsidRPr="005B1B43">
                    <w:rPr>
                      <w:rFonts w:ascii="Verdana" w:eastAsia="Times New Roman" w:hAnsi="Verdana" w:cs="Arial"/>
                      <w:b/>
                      <w:bCs/>
                      <w:color w:val="000000"/>
                      <w:sz w:val="20"/>
                      <w:szCs w:val="20"/>
                      <w:lang w:val="es-MX" w:eastAsia="es-CO"/>
                    </w:rPr>
                    <w:t>Número mínimo de trabajadores con discapacidad exigido </w:t>
                  </w:r>
                </w:p>
              </w:tc>
            </w:tr>
            <w:tr w:rsidR="005B1B43" w:rsidRPr="005B1B43" w14:paraId="6072D46B" w14:textId="77777777" w:rsidTr="0049654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244550F"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27FEB4D"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1 </w:t>
                  </w:r>
                </w:p>
              </w:tc>
            </w:tr>
            <w:tr w:rsidR="005B1B43" w:rsidRPr="005B1B43" w14:paraId="391B2950" w14:textId="77777777" w:rsidTr="0049654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04BF8D8"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96467D"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2 </w:t>
                  </w:r>
                </w:p>
              </w:tc>
            </w:tr>
            <w:tr w:rsidR="005B1B43" w:rsidRPr="005B1B43" w14:paraId="35B3DCBF" w14:textId="77777777" w:rsidTr="0049654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20CBE4C"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1DED5A74"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3 </w:t>
                  </w:r>
                </w:p>
              </w:tc>
            </w:tr>
            <w:tr w:rsidR="005B1B43" w:rsidRPr="005B1B43" w14:paraId="67EDEADD" w14:textId="77777777" w:rsidTr="00496544">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028659A"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8CE9319"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4 </w:t>
                  </w:r>
                </w:p>
              </w:tc>
            </w:tr>
            <w:tr w:rsidR="005B1B43" w:rsidRPr="005B1B43" w14:paraId="2E83923C" w14:textId="77777777" w:rsidTr="00496544">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D5816C0"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76D7DE5"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5 </w:t>
                  </w:r>
                </w:p>
              </w:tc>
            </w:tr>
          </w:tbl>
          <w:p w14:paraId="088DCBB0" w14:textId="77777777" w:rsidR="005B1B43" w:rsidRPr="005B1B43" w:rsidRDefault="005B1B43" w:rsidP="005B1B43">
            <w:pPr>
              <w:spacing w:after="120" w:line="276" w:lineRule="auto"/>
              <w:jc w:val="both"/>
              <w:rPr>
                <w:rFonts w:ascii="Verdana" w:hAnsi="Verdana" w:cs="Arial"/>
                <w:color w:val="000000"/>
                <w:lang w:val="es-ES" w:eastAsia="es-ES_tradnl"/>
              </w:rPr>
            </w:pPr>
          </w:p>
          <w:p w14:paraId="42CBC1C8" w14:textId="77777777" w:rsidR="005B1B43" w:rsidRPr="005B1B43" w:rsidRDefault="005B1B43" w:rsidP="005B1B43">
            <w:pPr>
              <w:spacing w:after="120" w:line="276" w:lineRule="auto"/>
              <w:jc w:val="both"/>
              <w:rPr>
                <w:rFonts w:ascii="Verdana" w:hAnsi="Verdana" w:cs="Arial"/>
                <w:color w:val="000000"/>
                <w:lang w:val="es-MX" w:eastAsia="es-ES_tradnl"/>
              </w:rPr>
            </w:pPr>
            <w:r w:rsidRPr="005B1B43">
              <w:rPr>
                <w:rFonts w:ascii="Verdana" w:hAnsi="Verdana" w:cs="Arial"/>
                <w:color w:val="000000"/>
                <w:lang w:val="es-MX" w:eastAsia="es-ES_tradnl"/>
              </w:rPr>
              <w:t>Se debe acreditar el número mínimo de personas con discapacidad en su planta de personal, de conformidad con lo señalado en el certificado expedido por el Ministerio de Trabajo, el cual deberá estar vigente a la fecha de cierre del proceso de selección.</w:t>
            </w:r>
          </w:p>
          <w:p w14:paraId="1DD5DAE4" w14:textId="77777777" w:rsidR="005B1B43" w:rsidRPr="005B1B43" w:rsidRDefault="005B1B43" w:rsidP="005B1B43">
            <w:pPr>
              <w:spacing w:after="120" w:line="276" w:lineRule="auto"/>
              <w:jc w:val="both"/>
              <w:rPr>
                <w:rFonts w:ascii="Verdana" w:hAnsi="Verdana" w:cs="Arial"/>
                <w:color w:val="000000"/>
                <w:szCs w:val="24"/>
                <w:lang w:eastAsia="es-MX"/>
              </w:rPr>
            </w:pPr>
          </w:p>
        </w:tc>
      </w:tr>
    </w:tbl>
    <w:p w14:paraId="69BB9AA7" w14:textId="77777777" w:rsidR="005B1B43" w:rsidRPr="005B1B43" w:rsidRDefault="005B1B43" w:rsidP="005B1B43">
      <w:pPr>
        <w:spacing w:after="0" w:line="276" w:lineRule="auto"/>
        <w:contextualSpacing/>
        <w:jc w:val="both"/>
        <w:rPr>
          <w:rFonts w:ascii="Verdana" w:eastAsia="Times New Roman" w:hAnsi="Verdana" w:cs="Arial"/>
          <w:lang w:eastAsia="es-ES_tradnl"/>
        </w:rPr>
      </w:pPr>
    </w:p>
    <w:p w14:paraId="5D28F952" w14:textId="77777777" w:rsidR="005B1B43" w:rsidRPr="005B1B43" w:rsidRDefault="005B1B43" w:rsidP="005B1B43">
      <w:pPr>
        <w:tabs>
          <w:tab w:val="left" w:pos="142"/>
          <w:tab w:val="left" w:pos="284"/>
        </w:tabs>
        <w:spacing w:after="0" w:line="276" w:lineRule="auto"/>
        <w:jc w:val="both"/>
        <w:rPr>
          <w:rFonts w:ascii="Verdana" w:eastAsia="Times New Roman" w:hAnsi="Verdana" w:cs="Century Gothic"/>
          <w:b/>
          <w:bCs/>
        </w:rPr>
      </w:pPr>
      <w:r w:rsidRPr="005B1B43">
        <w:rPr>
          <w:rFonts w:ascii="Verdana" w:eastAsia="Times New Roman" w:hAnsi="Verdana" w:cs="Century Gothic"/>
          <w:b/>
          <w:bCs/>
        </w:rPr>
        <w:t>3. Razones de la respuesta:</w:t>
      </w:r>
    </w:p>
    <w:p w14:paraId="07F193E9" w14:textId="77777777" w:rsidR="005B1B43" w:rsidRPr="005B1B43" w:rsidRDefault="005B1B43" w:rsidP="005B1B43">
      <w:pPr>
        <w:spacing w:after="0" w:line="276" w:lineRule="auto"/>
        <w:jc w:val="both"/>
        <w:rPr>
          <w:rFonts w:ascii="Verdana" w:eastAsia="Times New Roman" w:hAnsi="Verdana" w:cs="Arial"/>
          <w:color w:val="7030A0"/>
          <w:lang w:val="es-ES"/>
        </w:rPr>
      </w:pPr>
    </w:p>
    <w:p w14:paraId="59C4124E" w14:textId="77777777" w:rsidR="005B1B43" w:rsidRPr="005B1B43" w:rsidRDefault="005B1B43" w:rsidP="005B1B43">
      <w:pPr>
        <w:spacing w:after="0" w:line="276" w:lineRule="auto"/>
        <w:jc w:val="both"/>
        <w:rPr>
          <w:rFonts w:ascii="Verdana" w:eastAsia="Times New Roman" w:hAnsi="Verdana" w:cs="Arial"/>
          <w:lang w:val="es-ES"/>
        </w:rPr>
      </w:pPr>
      <w:r w:rsidRPr="005B1B43">
        <w:rPr>
          <w:rFonts w:ascii="Verdana" w:eastAsia="Times New Roman" w:hAnsi="Verdana" w:cs="Arial"/>
          <w:lang w:val="es-ES"/>
        </w:rPr>
        <w:t xml:space="preserve">Lo anterior se sustenta en las siguientes consideraciones: </w:t>
      </w:r>
    </w:p>
    <w:p w14:paraId="51FF312C" w14:textId="77777777" w:rsidR="005B1B43" w:rsidRPr="005B1B43" w:rsidRDefault="005B1B43" w:rsidP="005B1B43">
      <w:pPr>
        <w:tabs>
          <w:tab w:val="left" w:pos="426"/>
        </w:tabs>
        <w:spacing w:after="0" w:line="276" w:lineRule="auto"/>
        <w:jc w:val="both"/>
        <w:rPr>
          <w:rFonts w:ascii="Verdana" w:eastAsia="Times New Roman" w:hAnsi="Verdana" w:cs="Arial"/>
          <w:b/>
          <w:color w:val="000000"/>
          <w:lang w:val="es-ES" w:eastAsia="es-ES_tradnl"/>
        </w:rPr>
      </w:pPr>
    </w:p>
    <w:p w14:paraId="460E41F8" w14:textId="77777777" w:rsidR="005B1B43" w:rsidRPr="005B1B43" w:rsidRDefault="005B1B43" w:rsidP="005B1B43">
      <w:pPr>
        <w:spacing w:after="0" w:line="276" w:lineRule="auto"/>
        <w:jc w:val="both"/>
        <w:rPr>
          <w:rFonts w:ascii="Verdana" w:eastAsia="Times New Roman" w:hAnsi="Verdana" w:cs="Arial"/>
          <w:color w:val="000000"/>
          <w:lang w:val="es-MX" w:eastAsia="es-ES_tradnl"/>
        </w:rPr>
      </w:pPr>
      <w:r w:rsidRPr="005B1B43">
        <w:rPr>
          <w:rFonts w:ascii="Verdana" w:eastAsia="Times New Roman" w:hAnsi="Verdana" w:cs="Arial"/>
          <w:color w:val="000000"/>
          <w:lang w:val="es-MX" w:eastAsia="es-ES_tradnl"/>
        </w:rPr>
        <w:t xml:space="preserve">Con el propósito de hacer posible la igualdad real y efectiva de las personas en condición de discapacidad, el legislador expidió la Ley 1618 de 2013. Esta norma </w:t>
      </w:r>
      <w:r w:rsidRPr="005B1B43">
        <w:rPr>
          <w:rFonts w:ascii="Verdana" w:eastAsia="Times New Roman" w:hAnsi="Verdana" w:cs="Arial"/>
          <w:color w:val="000000"/>
          <w:lang w:val="es-MX" w:eastAsia="es-ES_tradnl"/>
        </w:rPr>
        <w:lastRenderedPageBreak/>
        <w:t xml:space="preserve">establece disposiciones para garantizar el pleno ejercicio de los derechos de las mencionadas personas, mediante la adopción de medidas de equidad y de acciones afirmativas que promuevan su inclusión en diferentes ámbitos de la economía y la sociedad. </w:t>
      </w:r>
    </w:p>
    <w:p w14:paraId="2C05B0E5" w14:textId="77777777" w:rsidR="005B1B43" w:rsidRPr="005B1B43" w:rsidRDefault="005B1B43" w:rsidP="005B1B43">
      <w:pPr>
        <w:spacing w:before="120" w:after="0" w:line="276" w:lineRule="auto"/>
        <w:ind w:firstLine="709"/>
        <w:jc w:val="both"/>
        <w:rPr>
          <w:rFonts w:ascii="Verdana" w:eastAsia="Times New Roman" w:hAnsi="Verdana" w:cs="Arial"/>
          <w:color w:val="000000"/>
          <w:lang w:val="es-MX"/>
        </w:rPr>
      </w:pPr>
      <w:r w:rsidRPr="005B1B43">
        <w:rPr>
          <w:rFonts w:ascii="Verdana" w:eastAsia="Times New Roman" w:hAnsi="Verdana" w:cs="Arial"/>
          <w:color w:val="000000"/>
          <w:lang w:val="es-MX" w:eastAsia="es-ES_tradnl"/>
        </w:rPr>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5B1B43">
        <w:rPr>
          <w:rFonts w:ascii="Verdana" w:eastAsia="Times New Roman" w:hAnsi="Verdana" w:cs="Arial"/>
          <w:color w:val="000000"/>
          <w:lang w:val="es-MX"/>
        </w:rPr>
        <w:t xml:space="preserve"> de preferencias en los procesos de contratación estatal. El artículo en mención prescribe lo siguiente: </w:t>
      </w:r>
    </w:p>
    <w:p w14:paraId="716006F2" w14:textId="77777777" w:rsidR="005B1B43" w:rsidRPr="005B1B43" w:rsidRDefault="005B1B43" w:rsidP="005B1B43">
      <w:pPr>
        <w:tabs>
          <w:tab w:val="left" w:pos="426"/>
        </w:tabs>
        <w:spacing w:after="0" w:line="276" w:lineRule="auto"/>
        <w:jc w:val="both"/>
        <w:rPr>
          <w:rFonts w:ascii="Verdana" w:eastAsia="Times New Roman" w:hAnsi="Verdana" w:cs="Arial"/>
          <w:color w:val="000000"/>
          <w:lang w:val="es-MX"/>
        </w:rPr>
      </w:pPr>
    </w:p>
    <w:p w14:paraId="0BF7763E" w14:textId="77777777" w:rsidR="005B1B43" w:rsidRPr="005B1B43" w:rsidRDefault="005B1B43" w:rsidP="005B1B43">
      <w:pPr>
        <w:spacing w:after="120" w:line="240" w:lineRule="auto"/>
        <w:ind w:left="709" w:right="709"/>
        <w:jc w:val="both"/>
        <w:rPr>
          <w:rFonts w:ascii="Verdana" w:eastAsia="Times New Roman" w:hAnsi="Verdana" w:cs="Arial"/>
          <w:color w:val="000000"/>
          <w:sz w:val="20"/>
          <w:szCs w:val="20"/>
          <w:lang w:val="es-MX"/>
        </w:rPr>
      </w:pPr>
      <w:r w:rsidRPr="005B1B43">
        <w:rPr>
          <w:rFonts w:ascii="Verdana" w:eastAsia="Times New Roman" w:hAnsi="Verdana" w:cs="Arial"/>
          <w:color w:val="000000"/>
          <w:sz w:val="20"/>
          <w:szCs w:val="20"/>
          <w:lang w:val="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F7FD39C" w14:textId="77777777" w:rsidR="005B1B43" w:rsidRPr="005B1B43" w:rsidRDefault="005B1B43" w:rsidP="005B1B43">
      <w:pPr>
        <w:spacing w:after="120" w:line="240" w:lineRule="auto"/>
        <w:ind w:left="709" w:right="709"/>
        <w:jc w:val="both"/>
        <w:rPr>
          <w:rFonts w:ascii="Verdana" w:eastAsia="Times New Roman" w:hAnsi="Verdana" w:cs="Arial"/>
          <w:color w:val="000000"/>
          <w:sz w:val="20"/>
          <w:szCs w:val="20"/>
          <w:lang w:val="es-MX"/>
        </w:rPr>
      </w:pPr>
      <w:r w:rsidRPr="005B1B43">
        <w:rPr>
          <w:rFonts w:ascii="Verdana" w:eastAsia="Times New Roman" w:hAnsi="Verdana" w:cs="Arial"/>
          <w:color w:val="000000"/>
          <w:sz w:val="20"/>
          <w:szCs w:val="20"/>
          <w:lang w:val="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55E5CC28" w14:textId="77777777" w:rsidR="005B1B43" w:rsidRPr="005B1B43" w:rsidRDefault="005B1B43" w:rsidP="005B1B43">
      <w:pPr>
        <w:spacing w:after="120" w:line="240" w:lineRule="auto"/>
        <w:ind w:left="709" w:right="709"/>
        <w:jc w:val="both"/>
        <w:rPr>
          <w:rFonts w:ascii="Verdana" w:eastAsia="Times New Roman" w:hAnsi="Verdana" w:cs="Arial"/>
          <w:color w:val="000000"/>
          <w:sz w:val="20"/>
          <w:szCs w:val="20"/>
          <w:lang w:val="es-MX"/>
        </w:rPr>
      </w:pPr>
      <w:r w:rsidRPr="005B1B43">
        <w:rPr>
          <w:rFonts w:ascii="Verdana" w:eastAsia="Times New Roman" w:hAnsi="Verdana" w:cs="Arial"/>
          <w:color w:val="000000"/>
          <w:sz w:val="20"/>
          <w:szCs w:val="20"/>
          <w:lang w:val="es-MX"/>
        </w:rPr>
        <w:t>[…]</w:t>
      </w:r>
    </w:p>
    <w:p w14:paraId="6BD5F51E" w14:textId="77777777" w:rsidR="005B1B43" w:rsidRPr="005B1B43" w:rsidRDefault="005B1B43" w:rsidP="005B1B43">
      <w:pPr>
        <w:spacing w:after="0" w:line="240" w:lineRule="auto"/>
        <w:ind w:left="708" w:right="709"/>
        <w:jc w:val="both"/>
        <w:rPr>
          <w:rFonts w:ascii="Verdana" w:eastAsia="Times New Roman" w:hAnsi="Verdana" w:cs="Arial"/>
          <w:color w:val="000000"/>
          <w:sz w:val="21"/>
          <w:szCs w:val="21"/>
          <w:lang w:val="es-MX"/>
        </w:rPr>
      </w:pPr>
      <w:r w:rsidRPr="005B1B43">
        <w:rPr>
          <w:rFonts w:ascii="Verdana" w:eastAsia="Times New Roman" w:hAnsi="Verdana" w:cs="Arial"/>
          <w:color w:val="000000"/>
          <w:sz w:val="20"/>
          <w:szCs w:val="20"/>
          <w:lang w:val="es-MX"/>
        </w:rPr>
        <w:t xml:space="preserve">8. Los </w:t>
      </w:r>
      <w:proofErr w:type="gramStart"/>
      <w:r w:rsidRPr="005B1B43">
        <w:rPr>
          <w:rFonts w:ascii="Verdana" w:eastAsia="Times New Roman" w:hAnsi="Verdana" w:cs="Arial"/>
          <w:color w:val="000000"/>
          <w:sz w:val="20"/>
          <w:szCs w:val="20"/>
          <w:lang w:val="es-MX"/>
        </w:rPr>
        <w:t>gobiernos nacional</w:t>
      </w:r>
      <w:proofErr w:type="gramEnd"/>
      <w:r w:rsidRPr="005B1B43">
        <w:rPr>
          <w:rFonts w:ascii="Verdana" w:eastAsia="Times New Roman" w:hAnsi="Verdana" w:cs="Arial"/>
          <w:color w:val="000000"/>
          <w:sz w:val="20"/>
          <w:szCs w:val="20"/>
          <w:lang w:val="es-MX"/>
        </w:rPr>
        <w:t>, departamentales, distritales y municipales, deberán fijar mediante decreto reglamentario, en los procesos de selección de los contratistas y proveedores, un sistema de preferencias a favor de las personas con discapacidad.</w:t>
      </w:r>
    </w:p>
    <w:p w14:paraId="0A2970E5" w14:textId="77777777" w:rsidR="005B1B43" w:rsidRPr="005B1B43" w:rsidRDefault="005B1B43" w:rsidP="005B1B43">
      <w:pPr>
        <w:tabs>
          <w:tab w:val="left" w:pos="426"/>
        </w:tabs>
        <w:spacing w:after="0" w:line="240" w:lineRule="auto"/>
        <w:jc w:val="both"/>
        <w:rPr>
          <w:rFonts w:ascii="Verdana" w:eastAsia="Times New Roman" w:hAnsi="Verdana" w:cs="Times New Roman"/>
          <w:color w:val="000000"/>
          <w:sz w:val="19"/>
          <w:szCs w:val="19"/>
          <w:lang w:val="es-MX" w:eastAsia="es-ES_tradnl"/>
        </w:rPr>
      </w:pPr>
    </w:p>
    <w:p w14:paraId="72DCB15E" w14:textId="77777777" w:rsidR="005B1B43" w:rsidRPr="005B1B43" w:rsidRDefault="005B1B43" w:rsidP="005B1B43">
      <w:pPr>
        <w:tabs>
          <w:tab w:val="left" w:pos="426"/>
        </w:tabs>
        <w:spacing w:after="0" w:line="276" w:lineRule="auto"/>
        <w:ind w:firstLine="709"/>
        <w:jc w:val="both"/>
        <w:rPr>
          <w:rFonts w:ascii="Verdana" w:eastAsia="Times New Roman" w:hAnsi="Verdana" w:cs="Arial"/>
          <w:color w:val="000000"/>
          <w:lang w:val="es-MX" w:eastAsia="es-ES_tradnl"/>
        </w:rPr>
      </w:pPr>
      <w:r w:rsidRPr="005B1B43">
        <w:rPr>
          <w:rFonts w:ascii="Verdana" w:eastAsia="Times New Roman" w:hAnsi="Verdana" w:cs="Arial"/>
          <w:color w:val="000000"/>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w:t>
      </w:r>
      <w:r w:rsidRPr="005B1B43">
        <w:rPr>
          <w:rFonts w:ascii="Verdana" w:eastAsia="Times New Roman" w:hAnsi="Verdana" w:cs="Arial"/>
          <w:color w:val="000000"/>
          <w:lang w:val="es-MX" w:eastAsia="es-ES_tradnl"/>
        </w:rPr>
        <w:lastRenderedPageBreak/>
        <w:t xml:space="preserve">tuvieran vinculados a trabajadores con discapacidad, de acuerdo con los requisitos previstos en el mismo. Dicha norma señala: </w:t>
      </w:r>
    </w:p>
    <w:p w14:paraId="178D5B7C" w14:textId="77777777" w:rsidR="005B1B43" w:rsidRPr="005B1B43" w:rsidRDefault="005B1B43" w:rsidP="005B1B43">
      <w:pPr>
        <w:tabs>
          <w:tab w:val="left" w:pos="426"/>
        </w:tabs>
        <w:spacing w:after="0" w:line="276" w:lineRule="auto"/>
        <w:ind w:firstLine="709"/>
        <w:jc w:val="both"/>
        <w:rPr>
          <w:rFonts w:ascii="Verdana" w:eastAsia="Times New Roman" w:hAnsi="Verdana" w:cs="Arial"/>
          <w:bCs/>
          <w:color w:val="000000"/>
          <w:lang w:val="es-MX"/>
        </w:rPr>
      </w:pPr>
    </w:p>
    <w:p w14:paraId="24FB7319" w14:textId="77777777" w:rsidR="005B1B43" w:rsidRPr="005B1B43" w:rsidRDefault="005B1B43" w:rsidP="005B1B43">
      <w:pPr>
        <w:spacing w:after="120" w:line="240" w:lineRule="auto"/>
        <w:ind w:left="709" w:right="709"/>
        <w:jc w:val="both"/>
        <w:rPr>
          <w:rFonts w:ascii="Verdana" w:eastAsia="Times New Roman" w:hAnsi="Verdana" w:cs="Arial"/>
          <w:i/>
          <w:iCs/>
          <w:color w:val="000000"/>
          <w:sz w:val="20"/>
          <w:szCs w:val="20"/>
          <w:lang w:val="es-MX"/>
        </w:rPr>
      </w:pPr>
      <w:r w:rsidRPr="005B1B43">
        <w:rPr>
          <w:rFonts w:ascii="Verdana" w:eastAsia="Times New Roman" w:hAnsi="Verdana" w:cs="Arial"/>
          <w:bCs/>
          <w:color w:val="000000"/>
          <w:sz w:val="20"/>
          <w:szCs w:val="20"/>
          <w:lang w:val="es-MX" w:eastAsia="es-CO"/>
        </w:rPr>
        <w:t>Artículo 2.2.1.2.4.2.6. Puntaje adicional para proponentes con trabajadores con discapacidad</w:t>
      </w:r>
      <w:r w:rsidRPr="005B1B43">
        <w:rPr>
          <w:rFonts w:ascii="Verdana" w:eastAsia="Times New Roman" w:hAnsi="Verdana" w:cs="Arial"/>
          <w:color w:val="000000"/>
          <w:sz w:val="20"/>
          <w:szCs w:val="20"/>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5D7B51C2" w14:textId="77777777" w:rsidR="005B1B43" w:rsidRPr="005B1B43" w:rsidRDefault="005B1B43" w:rsidP="005B1B43">
      <w:pPr>
        <w:spacing w:after="120" w:line="240" w:lineRule="auto"/>
        <w:ind w:left="709" w:right="709"/>
        <w:jc w:val="both"/>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5EFC6AD9" w14:textId="77777777" w:rsidR="005B1B43" w:rsidRPr="005B1B43" w:rsidRDefault="005B1B43" w:rsidP="005B1B43">
      <w:pPr>
        <w:spacing w:after="120" w:line="240" w:lineRule="auto"/>
        <w:ind w:left="709" w:right="709"/>
        <w:jc w:val="both"/>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5B1B43" w:rsidRPr="005B1B43" w14:paraId="446691A1" w14:textId="77777777" w:rsidTr="00496544">
        <w:trPr>
          <w:trHeight w:val="210"/>
          <w:tblCellSpacing w:w="0" w:type="dxa"/>
          <w:jc w:val="center"/>
        </w:trPr>
        <w:tc>
          <w:tcPr>
            <w:tcW w:w="3394" w:type="dxa"/>
            <w:tcBorders>
              <w:top w:val="outset" w:sz="6" w:space="0" w:color="auto"/>
              <w:bottom w:val="outset" w:sz="6" w:space="0" w:color="auto"/>
              <w:right w:val="outset" w:sz="6" w:space="0" w:color="auto"/>
            </w:tcBorders>
            <w:vAlign w:val="center"/>
            <w:hideMark/>
          </w:tcPr>
          <w:p w14:paraId="149BEBD7" w14:textId="77777777" w:rsidR="005B1B43" w:rsidRPr="005B1B43" w:rsidRDefault="005B1B43" w:rsidP="005B1B43">
            <w:pPr>
              <w:spacing w:after="0" w:line="240" w:lineRule="auto"/>
              <w:jc w:val="center"/>
              <w:rPr>
                <w:rFonts w:ascii="Verdana" w:eastAsia="Times New Roman" w:hAnsi="Verdana" w:cs="Arial"/>
                <w:b/>
                <w:bCs/>
                <w:color w:val="000000"/>
                <w:sz w:val="20"/>
                <w:szCs w:val="20"/>
                <w:lang w:val="es-MX" w:eastAsia="es-CO"/>
              </w:rPr>
            </w:pPr>
            <w:bookmarkStart w:id="0" w:name="_Hlk204851605"/>
            <w:r w:rsidRPr="005B1B43">
              <w:rPr>
                <w:rFonts w:ascii="Verdana" w:eastAsia="Times New Roman" w:hAnsi="Verdana" w:cs="Arial"/>
                <w:b/>
                <w:bCs/>
                <w:color w:val="000000"/>
                <w:sz w:val="20"/>
                <w:szCs w:val="20"/>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tcBorders>
            <w:vAlign w:val="center"/>
            <w:hideMark/>
          </w:tcPr>
          <w:p w14:paraId="3CB344E3" w14:textId="77777777" w:rsidR="005B1B43" w:rsidRPr="005B1B43" w:rsidRDefault="005B1B43" w:rsidP="005B1B43">
            <w:pPr>
              <w:spacing w:after="0" w:line="240" w:lineRule="auto"/>
              <w:jc w:val="center"/>
              <w:rPr>
                <w:rFonts w:ascii="Verdana" w:eastAsia="Times New Roman" w:hAnsi="Verdana" w:cs="Arial"/>
                <w:b/>
                <w:bCs/>
                <w:color w:val="000000"/>
                <w:sz w:val="20"/>
                <w:szCs w:val="20"/>
                <w:lang w:val="es-MX" w:eastAsia="es-CO"/>
              </w:rPr>
            </w:pPr>
            <w:r w:rsidRPr="005B1B43">
              <w:rPr>
                <w:rFonts w:ascii="Verdana" w:eastAsia="Times New Roman" w:hAnsi="Verdana" w:cs="Arial"/>
                <w:b/>
                <w:bCs/>
                <w:color w:val="000000"/>
                <w:sz w:val="20"/>
                <w:szCs w:val="20"/>
                <w:lang w:val="es-MX" w:eastAsia="es-CO"/>
              </w:rPr>
              <w:t>Número mínimo de trabajadores con discapacidad exigido </w:t>
            </w:r>
          </w:p>
        </w:tc>
      </w:tr>
      <w:tr w:rsidR="005B1B43" w:rsidRPr="005B1B43" w14:paraId="6F16354C" w14:textId="77777777" w:rsidTr="00496544">
        <w:trPr>
          <w:trHeight w:val="105"/>
          <w:tblCellSpacing w:w="0" w:type="dxa"/>
          <w:jc w:val="center"/>
        </w:trPr>
        <w:tc>
          <w:tcPr>
            <w:tcW w:w="3394" w:type="dxa"/>
            <w:tcBorders>
              <w:top w:val="outset" w:sz="6" w:space="0" w:color="auto"/>
              <w:bottom w:val="outset" w:sz="6" w:space="0" w:color="auto"/>
              <w:right w:val="outset" w:sz="6" w:space="0" w:color="auto"/>
            </w:tcBorders>
            <w:vAlign w:val="center"/>
            <w:hideMark/>
          </w:tcPr>
          <w:p w14:paraId="2DEDAD2C"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1 y 30 </w:t>
            </w:r>
          </w:p>
        </w:tc>
        <w:tc>
          <w:tcPr>
            <w:tcW w:w="2742" w:type="dxa"/>
            <w:tcBorders>
              <w:top w:val="outset" w:sz="6" w:space="0" w:color="auto"/>
              <w:left w:val="outset" w:sz="6" w:space="0" w:color="auto"/>
              <w:bottom w:val="outset" w:sz="6" w:space="0" w:color="auto"/>
            </w:tcBorders>
            <w:vAlign w:val="center"/>
            <w:hideMark/>
          </w:tcPr>
          <w:p w14:paraId="1219491A"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1 </w:t>
            </w:r>
          </w:p>
        </w:tc>
      </w:tr>
      <w:tr w:rsidR="005B1B43" w:rsidRPr="005B1B43" w14:paraId="0787B038" w14:textId="77777777" w:rsidTr="00496544">
        <w:trPr>
          <w:trHeight w:val="105"/>
          <w:tblCellSpacing w:w="0" w:type="dxa"/>
          <w:jc w:val="center"/>
        </w:trPr>
        <w:tc>
          <w:tcPr>
            <w:tcW w:w="3394" w:type="dxa"/>
            <w:tcBorders>
              <w:top w:val="outset" w:sz="6" w:space="0" w:color="auto"/>
              <w:bottom w:val="outset" w:sz="6" w:space="0" w:color="auto"/>
              <w:right w:val="outset" w:sz="6" w:space="0" w:color="auto"/>
            </w:tcBorders>
            <w:vAlign w:val="center"/>
            <w:hideMark/>
          </w:tcPr>
          <w:p w14:paraId="4207900F"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31 y 100 </w:t>
            </w:r>
          </w:p>
        </w:tc>
        <w:tc>
          <w:tcPr>
            <w:tcW w:w="2742" w:type="dxa"/>
            <w:tcBorders>
              <w:top w:val="outset" w:sz="6" w:space="0" w:color="auto"/>
              <w:left w:val="outset" w:sz="6" w:space="0" w:color="auto"/>
              <w:bottom w:val="outset" w:sz="6" w:space="0" w:color="auto"/>
            </w:tcBorders>
            <w:vAlign w:val="center"/>
            <w:hideMark/>
          </w:tcPr>
          <w:p w14:paraId="372E5535"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2 </w:t>
            </w:r>
          </w:p>
        </w:tc>
      </w:tr>
      <w:tr w:rsidR="005B1B43" w:rsidRPr="005B1B43" w14:paraId="27739339" w14:textId="77777777" w:rsidTr="00496544">
        <w:trPr>
          <w:trHeight w:val="105"/>
          <w:tblCellSpacing w:w="0" w:type="dxa"/>
          <w:jc w:val="center"/>
        </w:trPr>
        <w:tc>
          <w:tcPr>
            <w:tcW w:w="3394" w:type="dxa"/>
            <w:tcBorders>
              <w:top w:val="outset" w:sz="6" w:space="0" w:color="auto"/>
              <w:bottom w:val="outset" w:sz="6" w:space="0" w:color="auto"/>
              <w:right w:val="outset" w:sz="6" w:space="0" w:color="auto"/>
            </w:tcBorders>
            <w:vAlign w:val="center"/>
            <w:hideMark/>
          </w:tcPr>
          <w:p w14:paraId="7B7FFF46"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101 y 150 </w:t>
            </w:r>
          </w:p>
        </w:tc>
        <w:tc>
          <w:tcPr>
            <w:tcW w:w="2742" w:type="dxa"/>
            <w:tcBorders>
              <w:top w:val="outset" w:sz="6" w:space="0" w:color="auto"/>
              <w:left w:val="outset" w:sz="6" w:space="0" w:color="auto"/>
              <w:bottom w:val="outset" w:sz="6" w:space="0" w:color="auto"/>
            </w:tcBorders>
            <w:vAlign w:val="center"/>
            <w:hideMark/>
          </w:tcPr>
          <w:p w14:paraId="787123B3"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3 </w:t>
            </w:r>
          </w:p>
        </w:tc>
      </w:tr>
      <w:tr w:rsidR="005B1B43" w:rsidRPr="005B1B43" w14:paraId="0C1A08FB" w14:textId="77777777" w:rsidTr="00496544">
        <w:trPr>
          <w:trHeight w:val="105"/>
          <w:tblCellSpacing w:w="0" w:type="dxa"/>
          <w:jc w:val="center"/>
        </w:trPr>
        <w:tc>
          <w:tcPr>
            <w:tcW w:w="3394" w:type="dxa"/>
            <w:tcBorders>
              <w:top w:val="outset" w:sz="6" w:space="0" w:color="auto"/>
              <w:bottom w:val="outset" w:sz="6" w:space="0" w:color="auto"/>
              <w:right w:val="outset" w:sz="6" w:space="0" w:color="auto"/>
            </w:tcBorders>
            <w:vAlign w:val="center"/>
            <w:hideMark/>
          </w:tcPr>
          <w:p w14:paraId="17E3BBAA"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Entre 151 y 200 </w:t>
            </w:r>
          </w:p>
        </w:tc>
        <w:tc>
          <w:tcPr>
            <w:tcW w:w="2742" w:type="dxa"/>
            <w:tcBorders>
              <w:top w:val="outset" w:sz="6" w:space="0" w:color="auto"/>
              <w:left w:val="outset" w:sz="6" w:space="0" w:color="auto"/>
              <w:bottom w:val="outset" w:sz="6" w:space="0" w:color="auto"/>
            </w:tcBorders>
            <w:vAlign w:val="center"/>
            <w:hideMark/>
          </w:tcPr>
          <w:p w14:paraId="16A326F3"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4 </w:t>
            </w:r>
          </w:p>
        </w:tc>
      </w:tr>
      <w:tr w:rsidR="005B1B43" w:rsidRPr="005B1B43" w14:paraId="3532CD73" w14:textId="77777777" w:rsidTr="00496544">
        <w:trPr>
          <w:trHeight w:val="99"/>
          <w:tblCellSpacing w:w="0" w:type="dxa"/>
          <w:jc w:val="center"/>
        </w:trPr>
        <w:tc>
          <w:tcPr>
            <w:tcW w:w="3394" w:type="dxa"/>
            <w:tcBorders>
              <w:top w:val="outset" w:sz="6" w:space="0" w:color="auto"/>
              <w:bottom w:val="outset" w:sz="6" w:space="0" w:color="auto"/>
              <w:right w:val="outset" w:sz="6" w:space="0" w:color="auto"/>
            </w:tcBorders>
            <w:vAlign w:val="center"/>
            <w:hideMark/>
          </w:tcPr>
          <w:p w14:paraId="5DD72A59" w14:textId="77777777" w:rsidR="005B1B43" w:rsidRPr="005B1B43" w:rsidRDefault="005B1B43" w:rsidP="005B1B43">
            <w:pPr>
              <w:spacing w:after="0" w:line="240" w:lineRule="auto"/>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Más de 200 </w:t>
            </w:r>
          </w:p>
        </w:tc>
        <w:tc>
          <w:tcPr>
            <w:tcW w:w="2742" w:type="dxa"/>
            <w:tcBorders>
              <w:top w:val="outset" w:sz="6" w:space="0" w:color="auto"/>
              <w:left w:val="outset" w:sz="6" w:space="0" w:color="auto"/>
              <w:bottom w:val="outset" w:sz="6" w:space="0" w:color="auto"/>
            </w:tcBorders>
            <w:vAlign w:val="center"/>
            <w:hideMark/>
          </w:tcPr>
          <w:p w14:paraId="228075C5" w14:textId="77777777" w:rsidR="005B1B43" w:rsidRPr="005B1B43" w:rsidRDefault="005B1B43" w:rsidP="005B1B43">
            <w:pPr>
              <w:spacing w:after="0" w:line="240" w:lineRule="auto"/>
              <w:jc w:val="center"/>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5 </w:t>
            </w:r>
          </w:p>
        </w:tc>
      </w:tr>
      <w:bookmarkEnd w:id="0"/>
    </w:tbl>
    <w:p w14:paraId="7900882B" w14:textId="77777777" w:rsidR="005B1B43" w:rsidRPr="005B1B43" w:rsidRDefault="005B1B43" w:rsidP="005B1B43">
      <w:pPr>
        <w:tabs>
          <w:tab w:val="left" w:pos="426"/>
        </w:tabs>
        <w:spacing w:after="0" w:line="240" w:lineRule="auto"/>
        <w:ind w:left="697" w:right="709"/>
        <w:jc w:val="both"/>
        <w:rPr>
          <w:rFonts w:ascii="Verdana" w:eastAsia="Times New Roman" w:hAnsi="Verdana" w:cs="Arial"/>
          <w:color w:val="000000"/>
          <w:sz w:val="20"/>
          <w:szCs w:val="20"/>
          <w:lang w:val="es-MX" w:eastAsia="es-CO"/>
        </w:rPr>
      </w:pPr>
    </w:p>
    <w:p w14:paraId="2474E032" w14:textId="77777777" w:rsidR="005B1B43" w:rsidRPr="005B1B43" w:rsidRDefault="005B1B43" w:rsidP="005B1B43">
      <w:pPr>
        <w:tabs>
          <w:tab w:val="left" w:pos="426"/>
        </w:tabs>
        <w:spacing w:after="0" w:line="240" w:lineRule="auto"/>
        <w:ind w:left="697" w:right="709"/>
        <w:jc w:val="both"/>
        <w:rPr>
          <w:rFonts w:ascii="Verdana" w:eastAsia="Times New Roman" w:hAnsi="Verdana" w:cs="Arial"/>
          <w:color w:val="000000"/>
          <w:sz w:val="20"/>
          <w:szCs w:val="20"/>
          <w:lang w:val="es-MX" w:eastAsia="es-CO"/>
        </w:rPr>
      </w:pPr>
      <w:r w:rsidRPr="005B1B43">
        <w:rPr>
          <w:rFonts w:ascii="Verdana" w:eastAsia="Times New Roman" w:hAnsi="Verdana" w:cs="Arial"/>
          <w:color w:val="000000"/>
          <w:sz w:val="20"/>
          <w:szCs w:val="20"/>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32C99A55" w14:textId="77777777" w:rsidR="005B1B43" w:rsidRPr="005B1B43" w:rsidRDefault="005B1B43" w:rsidP="005B1B43">
      <w:pPr>
        <w:tabs>
          <w:tab w:val="left" w:pos="426"/>
        </w:tabs>
        <w:spacing w:after="0" w:line="276" w:lineRule="auto"/>
        <w:jc w:val="both"/>
        <w:rPr>
          <w:rFonts w:ascii="Verdana" w:eastAsia="Times New Roman" w:hAnsi="Verdana" w:cs="Times New Roman"/>
          <w:color w:val="000000"/>
          <w:lang w:val="es-MX" w:eastAsia="es-ES_tradnl"/>
        </w:rPr>
      </w:pPr>
    </w:p>
    <w:p w14:paraId="7B32833F" w14:textId="77777777" w:rsidR="005B1B43" w:rsidRPr="005B1B43" w:rsidRDefault="005B1B43" w:rsidP="005B1B43">
      <w:pPr>
        <w:spacing w:after="120" w:line="276" w:lineRule="auto"/>
        <w:ind w:firstLine="708"/>
        <w:jc w:val="both"/>
        <w:rPr>
          <w:rFonts w:ascii="Verdana" w:eastAsia="Times New Roman" w:hAnsi="Verdana" w:cs="Arial"/>
          <w:color w:val="000000"/>
          <w:lang w:val="es-ES" w:eastAsia="es-ES_tradnl"/>
        </w:rPr>
      </w:pPr>
      <w:r w:rsidRPr="005B1B43">
        <w:rPr>
          <w:rFonts w:ascii="Verdana" w:eastAsia="Times New Roman" w:hAnsi="Verdana" w:cs="Arial"/>
          <w:color w:val="000000"/>
          <w:lang w:val="es-MX" w:eastAsia="es-ES_tradnl"/>
        </w:rPr>
        <w:t xml:space="preserve">La normativa antes mencionada determinó que en los referidos procesos se otorgaría el uno por ciento (1%) de los puntos establecidos en el pliego de condiciones a aquellos proponentes que acreditaran: i) el número total de trabajadores vinculados a la planta de personal; y, </w:t>
      </w:r>
      <w:proofErr w:type="spellStart"/>
      <w:r w:rsidRPr="005B1B43">
        <w:rPr>
          <w:rFonts w:ascii="Verdana" w:eastAsia="Times New Roman" w:hAnsi="Verdana" w:cs="Arial"/>
          <w:color w:val="000000"/>
          <w:lang w:val="es-MX" w:eastAsia="es-ES_tradnl"/>
        </w:rPr>
        <w:t>ii</w:t>
      </w:r>
      <w:proofErr w:type="spellEnd"/>
      <w:r w:rsidRPr="005B1B43">
        <w:rPr>
          <w:rFonts w:ascii="Verdana" w:eastAsia="Times New Roman" w:hAnsi="Verdana" w:cs="Arial"/>
          <w:color w:val="000000"/>
          <w:lang w:val="es-MX" w:eastAsia="es-ES_tradnl"/>
        </w:rPr>
        <w:t xml:space="preserve">) la vinculación de, por lo menos, el </w:t>
      </w:r>
      <w:r w:rsidRPr="005B1B43">
        <w:rPr>
          <w:rFonts w:ascii="Verdana" w:eastAsia="Times New Roman" w:hAnsi="Verdana" w:cs="Arial"/>
          <w:color w:val="000000"/>
          <w:lang w:val="es-ES_tradnl"/>
        </w:rPr>
        <w:t>número</w:t>
      </w:r>
      <w:r w:rsidRPr="005B1B43">
        <w:rPr>
          <w:rFonts w:ascii="Verdana" w:eastAsia="Times New Roman" w:hAnsi="Verdana" w:cs="Arial"/>
          <w:color w:val="000000"/>
          <w:lang w:val="es-MX" w:eastAsia="es-ES_tradnl"/>
        </w:rPr>
        <w:t xml:space="preserve"> mínimo exigido de trabajadores con discapacidad</w:t>
      </w:r>
      <w:r w:rsidRPr="005B1B43">
        <w:rPr>
          <w:rFonts w:ascii="Verdana" w:eastAsia="Times New Roman" w:hAnsi="Verdana" w:cs="Arial"/>
          <w:color w:val="000000"/>
          <w:lang w:val="es-ES" w:eastAsia="es-ES_tradnl"/>
        </w:rPr>
        <w:t xml:space="preserve">.  </w:t>
      </w:r>
    </w:p>
    <w:p w14:paraId="5BE1F5F4" w14:textId="77777777" w:rsidR="005B1B43" w:rsidRPr="005B1B43" w:rsidRDefault="005B1B43" w:rsidP="005B1B43">
      <w:pPr>
        <w:spacing w:after="120" w:line="276" w:lineRule="auto"/>
        <w:ind w:firstLine="708"/>
        <w:jc w:val="both"/>
        <w:rPr>
          <w:rFonts w:ascii="Verdana" w:eastAsia="Times New Roman" w:hAnsi="Verdana" w:cs="Arial"/>
          <w:color w:val="000000"/>
          <w:lang w:val="es-ES_tradnl"/>
        </w:rPr>
      </w:pPr>
      <w:r w:rsidRPr="005B1B43">
        <w:rPr>
          <w:rFonts w:ascii="Verdana" w:eastAsia="Times New Roman" w:hAnsi="Verdana" w:cs="Arial"/>
          <w:color w:val="000000"/>
          <w:lang w:val="es-ES" w:eastAsia="en-GB"/>
        </w:rPr>
        <w:lastRenderedPageBreak/>
        <w:t xml:space="preserve">Delimitado el marco normativo que regula el incentivo contractual otorgable a los oferentes que emplean en su planta de trabajadores a personas con discapacidad, es necesario </w:t>
      </w:r>
      <w:r w:rsidRPr="005B1B43">
        <w:rPr>
          <w:rFonts w:ascii="Verdana" w:eastAsia="Times New Roman" w:hAnsi="Verdana" w:cs="Arial"/>
          <w:color w:val="000000"/>
          <w:lang w:val="es-ES_tradnl"/>
        </w:rPr>
        <w:t>examinar cuáles son las condiciones que los proponentes u oferentes deben cumplir para acceder a los estímulos estudiados.</w:t>
      </w:r>
    </w:p>
    <w:p w14:paraId="06A58B67" w14:textId="77777777" w:rsidR="005B1B43" w:rsidRPr="005B1B43" w:rsidRDefault="005B1B43" w:rsidP="005B1B43">
      <w:pPr>
        <w:spacing w:after="120" w:line="276" w:lineRule="auto"/>
        <w:ind w:firstLine="709"/>
        <w:jc w:val="both"/>
        <w:rPr>
          <w:rFonts w:ascii="Verdana" w:eastAsia="Times New Roman" w:hAnsi="Verdana" w:cs="Arial"/>
          <w:color w:val="000000"/>
          <w:lang w:val="es-ES_tradnl"/>
        </w:rPr>
      </w:pPr>
      <w:r w:rsidRPr="005B1B43">
        <w:rPr>
          <w:rFonts w:ascii="Verdana" w:eastAsia="Times New Roman" w:hAnsi="Verdana" w:cs="Arial"/>
          <w:color w:val="000000"/>
          <w:lang w:val="es-ES_tradnl"/>
        </w:rPr>
        <w:t xml:space="preserve">Como se mencionó,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17E1A844" w14:textId="77777777" w:rsidR="005B1B43" w:rsidRPr="005B1B43" w:rsidRDefault="005B1B43" w:rsidP="005B1B43">
      <w:pPr>
        <w:spacing w:after="120" w:line="276" w:lineRule="auto"/>
        <w:ind w:firstLine="709"/>
        <w:jc w:val="both"/>
        <w:rPr>
          <w:rFonts w:ascii="Verdana" w:eastAsia="Times New Roman" w:hAnsi="Verdana" w:cs="Arial"/>
          <w:color w:val="000000"/>
          <w:lang w:val="es-ES_tradnl"/>
        </w:rPr>
      </w:pPr>
      <w:r w:rsidRPr="005B1B43">
        <w:rPr>
          <w:rFonts w:ascii="Verdana" w:eastAsia="Times New Roman" w:hAnsi="Verdana" w:cs="Arial"/>
          <w:color w:val="000000"/>
          <w:lang w:val="es-ES_tradn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En segundo lugar, para acreditar que se cumple con el número mínimo de trabajadores con discapacidad exigido, se empleará un certificado expedido por el Ministerio de Trabajo, el cual debe estar vigente al cierre del respectivo proceso.</w:t>
      </w:r>
    </w:p>
    <w:p w14:paraId="4700F4DF" w14:textId="77777777" w:rsidR="005B1B43" w:rsidRPr="005B1B43" w:rsidRDefault="005B1B43" w:rsidP="005B1B43">
      <w:pPr>
        <w:spacing w:after="120" w:line="276" w:lineRule="auto"/>
        <w:ind w:firstLine="709"/>
        <w:jc w:val="both"/>
        <w:rPr>
          <w:rFonts w:ascii="Verdana" w:eastAsia="Times New Roman" w:hAnsi="Verdana" w:cs="Arial"/>
          <w:color w:val="000000"/>
          <w:lang w:val="es-ES_tradnl"/>
        </w:rPr>
      </w:pPr>
      <w:r w:rsidRPr="005B1B43">
        <w:rPr>
          <w:rFonts w:ascii="Verdana" w:eastAsia="Times New Roman" w:hAnsi="Verdana" w:cs="Arial"/>
          <w:color w:val="000000"/>
          <w:lang w:val="es-ES_tradnl"/>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0ABEE362" w14:textId="77777777" w:rsidR="005B1B43" w:rsidRPr="005B1B43" w:rsidRDefault="005B1B43" w:rsidP="005B1B43">
      <w:pPr>
        <w:spacing w:after="0" w:line="276" w:lineRule="auto"/>
        <w:ind w:firstLine="709"/>
        <w:jc w:val="both"/>
        <w:rPr>
          <w:rFonts w:ascii="Verdana" w:eastAsia="Times New Roman" w:hAnsi="Verdana" w:cs="Arial"/>
          <w:color w:val="000000"/>
          <w:lang w:val="es-ES"/>
        </w:rPr>
      </w:pPr>
      <w:r w:rsidRPr="005B1B43">
        <w:rPr>
          <w:rFonts w:ascii="Verdana" w:eastAsia="Times New Roman" w:hAnsi="Verdana" w:cs="Arial"/>
          <w:color w:val="000000"/>
          <w:lang w:val="es-ES" w:eastAsia="en-GB"/>
        </w:rPr>
        <w:t>Ahora bien, el parágrafo del artículo 2.2.1.2.4.6 del Decreto 1082 de 2019, adicionado por el artículo primero del Decreto 392</w:t>
      </w:r>
      <w:r w:rsidRPr="005B1B43">
        <w:rPr>
          <w:rFonts w:ascii="Verdana" w:eastAsia="Times New Roman" w:hAnsi="Verdana" w:cs="Arial"/>
          <w:color w:val="000000"/>
          <w:lang w:val="es-ES"/>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dependencia ya ha mencionado en anteriores oportunidades que: </w:t>
      </w:r>
    </w:p>
    <w:p w14:paraId="5825EE4F" w14:textId="77777777" w:rsidR="005B1B43" w:rsidRPr="005B1B43" w:rsidRDefault="005B1B43" w:rsidP="005B1B43">
      <w:pPr>
        <w:spacing w:after="0" w:line="276" w:lineRule="auto"/>
        <w:ind w:firstLine="709"/>
        <w:jc w:val="both"/>
        <w:rPr>
          <w:rFonts w:ascii="Verdana" w:eastAsia="Times New Roman" w:hAnsi="Verdana" w:cs="Arial"/>
          <w:color w:val="000000"/>
          <w:lang w:val="es-ES" w:eastAsia="en-GB"/>
        </w:rPr>
      </w:pPr>
    </w:p>
    <w:p w14:paraId="42342005" w14:textId="77777777" w:rsidR="005B1B43" w:rsidRPr="005B1B43" w:rsidRDefault="005B1B43" w:rsidP="005B1B43">
      <w:pPr>
        <w:shd w:val="clear" w:color="auto" w:fill="FFFFFF"/>
        <w:spacing w:after="0" w:line="240" w:lineRule="auto"/>
        <w:ind w:left="709" w:right="709"/>
        <w:jc w:val="both"/>
        <w:rPr>
          <w:rFonts w:ascii="Verdana" w:eastAsia="Times New Roman" w:hAnsi="Verdana" w:cs="Arial"/>
          <w:color w:val="000000"/>
          <w:sz w:val="21"/>
          <w:szCs w:val="21"/>
          <w:lang w:val="es-ES"/>
        </w:rPr>
      </w:pPr>
      <w:r w:rsidRPr="005B1B43">
        <w:rPr>
          <w:rFonts w:ascii="Verdana" w:eastAsia="Times New Roman" w:hAnsi="Verdana" w:cs="Arial"/>
          <w:color w:val="000000"/>
          <w:sz w:val="21"/>
          <w:szCs w:val="21"/>
          <w:lang w:val="es-ES"/>
        </w:rPr>
        <w:t xml:space="preserve">[…] cuando el numeral 1 señala “la planta de personal del proponente o sus integrantes”, esta debe ser entendida de acuerdo con el tipo de proponente que se presente al proceso de selección. Así, “proponente” </w:t>
      </w:r>
      <w:r w:rsidRPr="005B1B43">
        <w:rPr>
          <w:rFonts w:ascii="Verdana" w:eastAsia="Times New Roman" w:hAnsi="Verdana" w:cs="Arial"/>
          <w:color w:val="000000"/>
          <w:sz w:val="21"/>
          <w:szCs w:val="21"/>
          <w:lang w:val="es-ES"/>
        </w:rPr>
        <w:lastRenderedPageBreak/>
        <w:t>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5B1B43">
        <w:rPr>
          <w:rFonts w:ascii="Verdana" w:eastAsia="Times New Roman" w:hAnsi="Verdana" w:cs="Arial"/>
          <w:color w:val="000000"/>
          <w:sz w:val="21"/>
          <w:szCs w:val="21"/>
          <w:vertAlign w:val="superscript"/>
          <w:lang w:val="es-ES"/>
        </w:rPr>
        <w:footnoteReference w:id="1"/>
      </w:r>
    </w:p>
    <w:p w14:paraId="64BD390E" w14:textId="77777777" w:rsidR="005B1B43" w:rsidRPr="005B1B43" w:rsidRDefault="005B1B43" w:rsidP="005B1B43">
      <w:pPr>
        <w:spacing w:after="0" w:line="276" w:lineRule="auto"/>
        <w:ind w:left="720"/>
        <w:contextualSpacing/>
        <w:jc w:val="both"/>
        <w:rPr>
          <w:rFonts w:ascii="Verdana" w:eastAsia="Times New Roman" w:hAnsi="Verdana" w:cs="Arial"/>
          <w:szCs w:val="24"/>
          <w:lang w:val="es-ES" w:eastAsia="es-ES_tradnl"/>
        </w:rPr>
      </w:pPr>
    </w:p>
    <w:p w14:paraId="4A42B4BD" w14:textId="77777777" w:rsidR="005B1B43" w:rsidRPr="005B1B43" w:rsidRDefault="005B1B43" w:rsidP="005B1B43">
      <w:pPr>
        <w:spacing w:after="120" w:line="276" w:lineRule="auto"/>
        <w:ind w:firstLine="708"/>
        <w:jc w:val="both"/>
        <w:rPr>
          <w:rFonts w:ascii="Verdana" w:eastAsia="Times New Roman" w:hAnsi="Verdana" w:cs="Arial"/>
          <w:color w:val="000000"/>
          <w:szCs w:val="24"/>
          <w:lang w:eastAsia="es-MX"/>
        </w:rPr>
      </w:pPr>
      <w:r w:rsidRPr="005B1B43">
        <w:rPr>
          <w:rFonts w:ascii="Verdana" w:eastAsia="Times New Roman" w:hAnsi="Verdana" w:cs="Arial"/>
          <w:color w:val="000000"/>
          <w:szCs w:val="24"/>
          <w:lang w:eastAsia="es-MX"/>
        </w:rPr>
        <w:t xml:space="preserve">Esto significa </w:t>
      </w:r>
      <w:proofErr w:type="gramStart"/>
      <w:r w:rsidRPr="005B1B43">
        <w:rPr>
          <w:rFonts w:ascii="Verdana" w:eastAsia="Times New Roman" w:hAnsi="Verdana" w:cs="Arial"/>
          <w:color w:val="000000"/>
          <w:szCs w:val="24"/>
          <w:lang w:eastAsia="es-MX"/>
        </w:rPr>
        <w:t>que</w:t>
      </w:r>
      <w:proofErr w:type="gramEnd"/>
      <w:r w:rsidRPr="005B1B43">
        <w:rPr>
          <w:rFonts w:ascii="Verdana" w:eastAsia="Times New Roman" w:hAnsi="Verdana" w:cs="Arial"/>
          <w:color w:val="000000"/>
          <w:szCs w:val="24"/>
          <w:lang w:eastAsia="es-MX"/>
        </w:rPr>
        <w:t xml:space="preserve"> en caso de tratarse de una estructura plural, los requisitos de puntaje adicional deberán ser acreditados por el integrante cuyo aporte a la experiencia requerida sea de más </w:t>
      </w:r>
      <w:proofErr w:type="spellStart"/>
      <w:r w:rsidRPr="005B1B43">
        <w:rPr>
          <w:rFonts w:ascii="Verdana" w:eastAsia="Times New Roman" w:hAnsi="Verdana" w:cs="Arial"/>
          <w:color w:val="000000"/>
          <w:szCs w:val="24"/>
          <w:lang w:eastAsia="es-MX"/>
        </w:rPr>
        <w:t>del</w:t>
      </w:r>
      <w:proofErr w:type="spellEnd"/>
      <w:r w:rsidRPr="005B1B43">
        <w:rPr>
          <w:rFonts w:ascii="Verdana" w:eastAsia="Times New Roman" w:hAnsi="Verdana" w:cs="Arial"/>
          <w:color w:val="000000"/>
          <w:szCs w:val="24"/>
          <w:lang w:eastAsia="es-MX"/>
        </w:rPr>
        <w:t xml:space="preserve"> cuarenta por ciento (40%). </w:t>
      </w:r>
    </w:p>
    <w:p w14:paraId="7C1C8AA7" w14:textId="77777777" w:rsidR="005B1B43" w:rsidRPr="005B1B43" w:rsidRDefault="005B1B43" w:rsidP="005B1B43">
      <w:pPr>
        <w:spacing w:after="120" w:line="276" w:lineRule="auto"/>
        <w:ind w:firstLine="708"/>
        <w:jc w:val="both"/>
        <w:rPr>
          <w:rFonts w:ascii="Verdana" w:eastAsia="Times New Roman" w:hAnsi="Verdana" w:cs="Arial"/>
          <w:color w:val="000000"/>
          <w:szCs w:val="24"/>
          <w:lang w:eastAsia="es-MX"/>
        </w:rPr>
      </w:pPr>
      <w:r w:rsidRPr="005B1B43">
        <w:rPr>
          <w:rFonts w:ascii="Verdana" w:eastAsia="Times New Roman" w:hAnsi="Verdana" w:cs="Arial"/>
          <w:color w:val="000000"/>
          <w:szCs w:val="24"/>
          <w:lang w:eastAsia="es-MX"/>
        </w:rPr>
        <w:t>En ese orden, el 40% al que hacer referencia el artículo no implica un requisito extra para optar por el puntaje adicional, sino una instrucción frente a cuál de los integrantes del proponente plural estará habitado para demostrar el número de trabajadores con discapacidad. Al margen de si se subsana o no la experiencia requerida, es el integrante del proponente plural que aporte más del 40% quien deberá demostrar los requisitos para optar por el puntaje adicional. Así, lo que no es susceptible de ser subsanado será el número mínimo de trabajadores de que trata el artículo 2.2.1.2.4.2.6.</w:t>
      </w:r>
    </w:p>
    <w:p w14:paraId="6E001A42" w14:textId="77777777" w:rsidR="005B1B43" w:rsidRPr="005B1B43" w:rsidRDefault="005B1B43" w:rsidP="005B1B43">
      <w:pPr>
        <w:spacing w:after="120" w:line="276" w:lineRule="auto"/>
        <w:ind w:firstLine="709"/>
        <w:jc w:val="both"/>
        <w:rPr>
          <w:rFonts w:ascii="Verdana" w:eastAsia="Times New Roman" w:hAnsi="Verdana" w:cs="Arial"/>
          <w:color w:val="000000"/>
          <w:lang w:val="es-ES" w:eastAsia="es-ES_tradnl"/>
        </w:rPr>
      </w:pPr>
      <w:r w:rsidRPr="005B1B43">
        <w:rPr>
          <w:rFonts w:ascii="Verdana" w:eastAsia="Times New Roman" w:hAnsi="Verdana" w:cs="Arial"/>
          <w:color w:val="000000"/>
          <w:lang w:val="es-ES" w:eastAsia="es-ES_tradnl"/>
        </w:rPr>
        <w:t>En esta instancia resulta relevante mencionar que la experiencia de una estructura plural es una materia distinta de la conformación y participación de sus integrantes. El primer concepto da cuenta de la experiencia que puede acreditar un proponente plural en un proceso de selección; mientras que el segundo concepto se refiere a la participación que tiene cada uno de los integrantes en la estructura. En este entendido, a través del “Manual para determinar y verificar los requisitos habilitantes en los Procesos de Contratación” esta Agencia precisó que el oferente plural materializa su experiencia a través de la sumatoria de la experiencia individualmente acreditada por cada uno de sus integrantes, no siendo necesario tener en cuenta el porcentaje de participación del integrante individual dentro de la estructura plural.</w:t>
      </w:r>
    </w:p>
    <w:p w14:paraId="14FC3DE8" w14:textId="77777777" w:rsidR="005B1B43" w:rsidRPr="005B1B43" w:rsidRDefault="005B1B43" w:rsidP="005B1B43">
      <w:pPr>
        <w:spacing w:after="120" w:line="276" w:lineRule="auto"/>
        <w:ind w:firstLine="709"/>
        <w:jc w:val="both"/>
        <w:rPr>
          <w:rFonts w:ascii="Verdana" w:eastAsia="Times New Roman" w:hAnsi="Verdana" w:cs="Arial"/>
          <w:color w:val="000000"/>
          <w:sz w:val="21"/>
          <w:szCs w:val="21"/>
          <w:lang w:val="es-ES"/>
        </w:rPr>
      </w:pPr>
      <w:proofErr w:type="gramStart"/>
      <w:r w:rsidRPr="005B1B43">
        <w:rPr>
          <w:rFonts w:ascii="Verdana" w:eastAsia="Times New Roman" w:hAnsi="Verdana" w:cs="Arial"/>
          <w:color w:val="000000"/>
          <w:lang w:val="es-ES" w:eastAsia="es-ES_tradnl"/>
        </w:rPr>
        <w:t>Así</w:t>
      </w:r>
      <w:proofErr w:type="gramEnd"/>
      <w:r w:rsidRPr="005B1B43">
        <w:rPr>
          <w:rFonts w:ascii="Verdana" w:eastAsia="Times New Roman" w:hAnsi="Verdana" w:cs="Arial"/>
          <w:color w:val="000000"/>
          <w:lang w:val="es-ES"/>
        </w:rPr>
        <w:t xml:space="preserve"> por ejemplo, si tres miembros conforman una unión temporal y dos de los integrantes aportan cuarenta y cinco por ciento (45%) de la experiencia requerida y un tercer integrante aporta un diez por ciento (10%), se podrá tomar la planta de personal de cualquiera de los integrantes que aportan el cuarenta y cinco (45%) de la experiencia requerida, para efectos del puntaje adicional que </w:t>
      </w:r>
      <w:r w:rsidRPr="005B1B43">
        <w:rPr>
          <w:rFonts w:ascii="Verdana" w:eastAsia="Times New Roman" w:hAnsi="Verdana" w:cs="Arial"/>
          <w:color w:val="000000"/>
          <w:lang w:val="es-ES"/>
        </w:rPr>
        <w:lastRenderedPageBreak/>
        <w:t>se analiza, y no la planta de personal de quien aporta el diez por ciento de dicha experiencia (10%).</w:t>
      </w:r>
      <w:r w:rsidRPr="005B1B43">
        <w:rPr>
          <w:rFonts w:ascii="Verdana" w:eastAsia="Times New Roman" w:hAnsi="Verdana" w:cs="Arial"/>
          <w:color w:val="000000"/>
          <w:vertAlign w:val="superscript"/>
          <w:lang w:val="es-ES"/>
        </w:rPr>
        <w:footnoteReference w:id="2"/>
      </w:r>
    </w:p>
    <w:p w14:paraId="2BDF9E5C" w14:textId="77777777" w:rsidR="005B1B43" w:rsidRPr="005B1B43" w:rsidRDefault="005B1B43" w:rsidP="005B1B43">
      <w:pPr>
        <w:spacing w:after="120" w:line="276" w:lineRule="auto"/>
        <w:ind w:firstLine="709"/>
        <w:jc w:val="both"/>
        <w:rPr>
          <w:rFonts w:ascii="Verdana" w:eastAsia="Times New Roman" w:hAnsi="Verdana" w:cs="Arial"/>
          <w:color w:val="000000"/>
          <w:lang w:val="es-ES" w:eastAsia="es-ES_tradnl"/>
        </w:rPr>
      </w:pPr>
      <w:r w:rsidRPr="005B1B43">
        <w:rPr>
          <w:rFonts w:ascii="Verdana" w:eastAsia="Times New Roman" w:hAnsi="Verdana" w:cs="Arial"/>
          <w:color w:val="000000"/>
          <w:lang w:val="es-ES" w:eastAsia="es-ES_tradnl"/>
        </w:rPr>
        <w:t>Frente a la experiencia, se trata de uno de los requisitos habilitantes para fungir como proponente y contratista del Estado. Este factor indica que la persona natural, jurídica o estructura plural cuenta con los requisitos mínimos de idoneidad y es apta, en términos técnicos, para ejecutar el objeto contractual a desarrollar</w:t>
      </w:r>
      <w:r w:rsidRPr="005B1B43">
        <w:rPr>
          <w:rFonts w:ascii="Verdana" w:eastAsia="Times New Roman" w:hAnsi="Verdana" w:cs="Arial"/>
          <w:color w:val="000000"/>
          <w:vertAlign w:val="superscript"/>
          <w:lang w:val="es-ES" w:eastAsia="es-ES_tradnl"/>
        </w:rPr>
        <w:footnoteReference w:id="3"/>
      </w:r>
      <w:r w:rsidRPr="005B1B43">
        <w:rPr>
          <w:rFonts w:ascii="Verdana" w:eastAsia="Times New Roman" w:hAnsi="Verdana" w:cs="Arial"/>
          <w:color w:val="000000"/>
          <w:lang w:val="es-ES" w:eastAsia="es-ES_tradnl"/>
        </w:rPr>
        <w:t>. El</w:t>
      </w:r>
      <w:r w:rsidRPr="005B1B43">
        <w:rPr>
          <w:rFonts w:ascii="Verdana" w:eastAsia="Times New Roman" w:hAnsi="Verdana" w:cs="Arial"/>
          <w:color w:val="000000"/>
          <w:lang w:val="es-ES"/>
        </w:rPr>
        <w:t xml:space="preserve"> artículo 2.2.1.1.1.5.3 del Decreto 1082 de 2015 señala que la experiencia se encuentra conformada por “[…] aquellos contratos celebrados por el interesado para cada uno de los bienes, obras y servicios que ofrecerá a las Entidades Estatales, identificados con el Clasificador de Bienes y Servicios en el tercer nivel y su valor expresado en SMLMV”</w:t>
      </w:r>
      <w:r w:rsidRPr="005B1B43">
        <w:rPr>
          <w:rFonts w:ascii="Verdana" w:eastAsia="Times New Roman" w:hAnsi="Verdana" w:cs="Arial"/>
          <w:color w:val="000000"/>
          <w:vertAlign w:val="superscript"/>
          <w:lang w:val="es-ES"/>
        </w:rPr>
        <w:footnoteReference w:id="4"/>
      </w:r>
      <w:r w:rsidRPr="005B1B43">
        <w:rPr>
          <w:rFonts w:ascii="Verdana" w:eastAsia="Times New Roman" w:hAnsi="Verdana" w:cs="Arial"/>
          <w:color w:val="000000"/>
          <w:lang w:val="es-ES"/>
        </w:rPr>
        <w:t xml:space="preserve">. Así mismo, el referido decreto indica en su artículo 2.2.1.1.1.6.2 que corresponde a las entidades estatales </w:t>
      </w:r>
      <w:r w:rsidRPr="005B1B43">
        <w:rPr>
          <w:rFonts w:ascii="Verdana" w:eastAsia="Times New Roman" w:hAnsi="Verdana" w:cs="Arial"/>
          <w:color w:val="000000"/>
          <w:lang w:val="es-ES" w:eastAsia="es-ES_tradnl"/>
        </w:rPr>
        <w:t>“[…]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a lo que agrega que “La Entidad Estatal no debe limitarse a la aplicación mecánica de fórmulas financieras para verificar los requisitos habilitantes”. En concordancia con esto, el artículo 2.2.1.1.2.1.3 del Decreto 1082 de 2015, establece que uno de los componentes de los pliegos de condiciones es “Las reglas aplicables a la presentación de las ofertas, su evaluación y a la adjudicación del contrato”.</w:t>
      </w:r>
    </w:p>
    <w:p w14:paraId="3CCB084A" w14:textId="77777777" w:rsidR="005B1B43" w:rsidRPr="005B1B43" w:rsidRDefault="005B1B43" w:rsidP="005B1B43">
      <w:pPr>
        <w:spacing w:after="120" w:line="276" w:lineRule="auto"/>
        <w:ind w:firstLine="709"/>
        <w:jc w:val="both"/>
        <w:rPr>
          <w:rFonts w:ascii="Verdana" w:eastAsia="Times New Roman" w:hAnsi="Verdana" w:cs="Arial"/>
          <w:color w:val="000000"/>
          <w:lang w:val="es-ES_tradnl"/>
        </w:rPr>
      </w:pPr>
      <w:r w:rsidRPr="005B1B43">
        <w:rPr>
          <w:rFonts w:ascii="Verdana" w:eastAsia="Times New Roman" w:hAnsi="Verdana" w:cs="Arial"/>
          <w:color w:val="000000"/>
          <w:lang w:val="es-ES" w:eastAsia="es-ES_tradnl"/>
        </w:rPr>
        <w:t xml:space="preserve">Conforme a tales artículos, es posible concluir que: i) las condiciones generales y/o específicas de acreditación de experiencia y asignación de incentivos deben estar </w:t>
      </w:r>
      <w:r w:rsidRPr="005B1B43">
        <w:rPr>
          <w:rFonts w:ascii="Verdana" w:eastAsia="Times New Roman" w:hAnsi="Verdana" w:cs="Arial"/>
          <w:color w:val="000000"/>
          <w:lang w:val="es-ES" w:eastAsia="en-GB"/>
        </w:rPr>
        <w:t xml:space="preserve">consignadas en el </w:t>
      </w:r>
      <w:r w:rsidRPr="005B1B43">
        <w:rPr>
          <w:rFonts w:ascii="Verdana" w:eastAsia="Times New Roman" w:hAnsi="Verdana" w:cs="Arial"/>
          <w:color w:val="000000"/>
          <w:lang w:val="es-ES_tradnl"/>
        </w:rPr>
        <w:t xml:space="preserve">pliego de condiciones del respectivo </w:t>
      </w:r>
      <w:r w:rsidRPr="005B1B43">
        <w:rPr>
          <w:rFonts w:ascii="Verdana" w:eastAsia="Times New Roman" w:hAnsi="Verdana" w:cs="Arial"/>
          <w:color w:val="000000"/>
          <w:lang w:val="es-ES_tradnl"/>
        </w:rPr>
        <w:lastRenderedPageBreak/>
        <w:t>proceso de selección</w:t>
      </w:r>
      <w:r w:rsidRPr="005B1B43">
        <w:rPr>
          <w:rFonts w:ascii="Verdana" w:eastAsia="Times New Roman" w:hAnsi="Verdana" w:cs="Arial"/>
          <w:color w:val="000000"/>
          <w:lang w:val="es-ES" w:eastAsia="es-ES_tradnl"/>
        </w:rPr>
        <w:t xml:space="preserve">; y, </w:t>
      </w:r>
      <w:proofErr w:type="spellStart"/>
      <w:r w:rsidRPr="005B1B43">
        <w:rPr>
          <w:rFonts w:ascii="Verdana" w:eastAsia="Times New Roman" w:hAnsi="Verdana" w:cs="Arial"/>
          <w:color w:val="000000"/>
          <w:lang w:val="es-ES" w:eastAsia="es-ES_tradnl"/>
        </w:rPr>
        <w:t>ii</w:t>
      </w:r>
      <w:proofErr w:type="spellEnd"/>
      <w:r w:rsidRPr="005B1B43">
        <w:rPr>
          <w:rFonts w:ascii="Verdana" w:eastAsia="Times New Roman" w:hAnsi="Verdana" w:cs="Arial"/>
          <w:color w:val="000000"/>
          <w:lang w:val="es-ES" w:eastAsia="es-ES_tradnl"/>
        </w:rPr>
        <w:t>) en cuanto a la experiencia, esta se acreditará mediante los contratos celebrados por el interesado para cada uno de los bienes, obras o servicios que se ofrecerán a las entidades estatales, identificados por el clasificador de bienes y servicios en el tercer nivel y su valor expresado en SMLMV.</w:t>
      </w:r>
      <w:r w:rsidRPr="005B1B43">
        <w:rPr>
          <w:rFonts w:ascii="Verdana" w:eastAsia="Times New Roman" w:hAnsi="Verdana" w:cs="Arial"/>
          <w:color w:val="000000"/>
          <w:lang w:val="es-ES_tradnl"/>
        </w:rPr>
        <w:t xml:space="preserve"> </w:t>
      </w:r>
    </w:p>
    <w:p w14:paraId="5409C2B1" w14:textId="77777777" w:rsidR="005B1B43" w:rsidRPr="005B1B43" w:rsidRDefault="005B1B43" w:rsidP="005B1B43">
      <w:pPr>
        <w:spacing w:after="120" w:line="276" w:lineRule="auto"/>
        <w:ind w:firstLine="709"/>
        <w:jc w:val="both"/>
        <w:rPr>
          <w:rFonts w:ascii="Verdana" w:eastAsia="Times New Roman" w:hAnsi="Verdana" w:cs="Arial"/>
          <w:color w:val="000000"/>
          <w:lang w:val="es-ES" w:eastAsia="en-GB"/>
        </w:rPr>
      </w:pPr>
      <w:r w:rsidRPr="005B1B43">
        <w:rPr>
          <w:rFonts w:ascii="Verdana" w:eastAsia="Times New Roman" w:hAnsi="Verdana" w:cs="Arial"/>
          <w:color w:val="000000"/>
          <w:lang w:val="es-ES" w:eastAsia="en-GB"/>
        </w:rPr>
        <w:t xml:space="preserve">Tratándose de proponentes plurales, lo que establece el parágrafo del artículo 2.2.1.2.4.6 </w:t>
      </w:r>
      <w:proofErr w:type="spellStart"/>
      <w:r w:rsidRPr="005B1B43">
        <w:rPr>
          <w:rFonts w:ascii="Verdana" w:eastAsia="Times New Roman" w:hAnsi="Verdana" w:cs="Arial"/>
          <w:i/>
          <w:iCs/>
          <w:color w:val="000000"/>
          <w:lang w:val="es-ES" w:eastAsia="en-GB"/>
        </w:rPr>
        <w:t>Ibídem</w:t>
      </w:r>
      <w:proofErr w:type="spellEnd"/>
      <w:r w:rsidRPr="005B1B43">
        <w:rPr>
          <w:rFonts w:ascii="Verdana" w:eastAsia="Times New Roman" w:hAnsi="Verdana" w:cs="Arial"/>
          <w:i/>
          <w:iCs/>
          <w:color w:val="000000"/>
          <w:lang w:val="es-ES" w:eastAsia="en-GB"/>
        </w:rPr>
        <w:t xml:space="preserve">, </w:t>
      </w:r>
      <w:r w:rsidRPr="005B1B43">
        <w:rPr>
          <w:rFonts w:ascii="Verdana" w:eastAsia="Times New Roman" w:hAnsi="Verdana" w:cs="Arial"/>
          <w:color w:val="000000"/>
          <w:lang w:val="es-ES" w:eastAsia="en-GB"/>
        </w:rPr>
        <w:t>es que, en estos casos, la vinculación de personas con discapacidad, que virtualmente le otorga al proponente plural el puntaje adicional, deba verificarse respecto del miembro del proponente plural que acredite un mínimo del cuarenta por ciento de la experiencia requerida. En otras palabras, conforme a la regla del aludido parágrafo, para otorgar el puntaje adicional, uno de los miembros del proponente plural debe acreditar el cuarenta por ciento del valor en SMMLV en los que esté tasado el requisito de experiencia.</w:t>
      </w:r>
    </w:p>
    <w:p w14:paraId="157EE8E7" w14:textId="77777777" w:rsidR="005B1B43" w:rsidRPr="005B1B43" w:rsidRDefault="005B1B43" w:rsidP="005B1B43">
      <w:pPr>
        <w:spacing w:after="120" w:line="276" w:lineRule="auto"/>
        <w:ind w:firstLine="709"/>
        <w:jc w:val="both"/>
        <w:rPr>
          <w:rFonts w:ascii="Verdana" w:eastAsia="Times New Roman" w:hAnsi="Verdana" w:cs="Arial"/>
          <w:color w:val="000000"/>
          <w:lang w:val="es-ES_tradnl"/>
        </w:rPr>
      </w:pPr>
      <w:r w:rsidRPr="005B1B43">
        <w:rPr>
          <w:rFonts w:ascii="Verdana" w:eastAsia="Times New Roman" w:hAnsi="Verdana" w:cs="Arial"/>
          <w:color w:val="000000"/>
          <w:lang w:val="es-ES" w:eastAsia="en-GB"/>
        </w:rPr>
        <w:t xml:space="preserve">En ese sentido, independientemente de que el proponente utilice uno o varios contratos para acreditar el requisito de experiencia, para acceder al puntaje adicional por vinculación de personas con discapacidad, los proponentes plurales deben contar con un miembro que aporte al menos el cuarenta por ciento de la experiencia, porcentaje que debe calcularse respecto del valor en SMMLV en los que esté tasado el requisito de experiencia. </w:t>
      </w:r>
      <w:bookmarkStart w:id="1" w:name="_Hlk65592060"/>
      <w:r w:rsidRPr="005B1B43">
        <w:rPr>
          <w:rFonts w:ascii="Verdana" w:eastAsia="Times New Roman" w:hAnsi="Verdana" w:cs="Arial"/>
          <w:color w:val="000000"/>
          <w:lang w:val="es-ES" w:eastAsia="en-GB"/>
        </w:rPr>
        <w:t xml:space="preserve">Para obtener el puntaje adicional, a dicho miembro le corresponderá </w:t>
      </w:r>
      <w:r w:rsidRPr="005B1B43">
        <w:rPr>
          <w:rFonts w:ascii="Verdana" w:eastAsia="Times New Roman" w:hAnsi="Verdana" w:cs="Arial"/>
          <w:color w:val="000000"/>
          <w:lang w:val="es-ES_tradnl"/>
        </w:rPr>
        <w:t>acreditar que su planta de personal contiene el número de trabajadores con discapacidad requerido, atendiendo al rango determinado en el numeral segundo del artículo 2.2.1.2.4.2.6 del Decreto 1082 de 2015, adicionado por el Decreto 392 de 2018.</w:t>
      </w:r>
      <w:bookmarkEnd w:id="1"/>
      <w:r w:rsidRPr="005B1B43">
        <w:rPr>
          <w:rFonts w:ascii="Verdana" w:eastAsia="Times New Roman" w:hAnsi="Verdana" w:cs="Arial"/>
          <w:color w:val="000000"/>
          <w:lang w:val="es-ES_tradnl"/>
        </w:rPr>
        <w:t xml:space="preserve"> </w:t>
      </w:r>
    </w:p>
    <w:p w14:paraId="40B9AF46" w14:textId="77777777" w:rsidR="005B1B43" w:rsidRPr="005B1B43" w:rsidRDefault="005B1B43" w:rsidP="005B1B43">
      <w:pPr>
        <w:spacing w:after="0" w:line="276" w:lineRule="auto"/>
        <w:ind w:left="720"/>
        <w:contextualSpacing/>
        <w:jc w:val="both"/>
        <w:rPr>
          <w:rFonts w:ascii="Verdana" w:eastAsia="Times New Roman" w:hAnsi="Verdana" w:cs="Arial"/>
          <w:szCs w:val="24"/>
          <w:lang w:val="es-ES" w:eastAsia="es-ES_tradnl"/>
        </w:rPr>
      </w:pPr>
    </w:p>
    <w:p w14:paraId="2E85E39A" w14:textId="77777777" w:rsidR="005B1B43" w:rsidRPr="005B1B43" w:rsidRDefault="005B1B43" w:rsidP="005B1B43">
      <w:pPr>
        <w:tabs>
          <w:tab w:val="left" w:pos="142"/>
          <w:tab w:val="left" w:pos="284"/>
        </w:tabs>
        <w:spacing w:after="0" w:line="276" w:lineRule="auto"/>
        <w:jc w:val="both"/>
        <w:rPr>
          <w:rFonts w:ascii="Verdana" w:eastAsia="Times New Roman" w:hAnsi="Verdana" w:cs="Century Gothic"/>
          <w:b/>
          <w:bCs/>
        </w:rPr>
      </w:pPr>
      <w:r w:rsidRPr="005B1B43">
        <w:rPr>
          <w:rFonts w:ascii="Verdana" w:eastAsia="Times New Roman" w:hAnsi="Verdana" w:cs="Century Gothic"/>
          <w:b/>
          <w:bCs/>
        </w:rPr>
        <w:t>4. Referencias normativas, jurisprudenciales y otras fuentes:</w:t>
      </w:r>
    </w:p>
    <w:p w14:paraId="6179563F" w14:textId="77777777" w:rsidR="005B1B43" w:rsidRPr="005B1B43" w:rsidRDefault="005B1B43" w:rsidP="005B1B43">
      <w:pPr>
        <w:widowControl w:val="0"/>
        <w:autoSpaceDE w:val="0"/>
        <w:autoSpaceDN w:val="0"/>
        <w:spacing w:after="0" w:line="276" w:lineRule="auto"/>
        <w:jc w:val="both"/>
        <w:rPr>
          <w:rFonts w:ascii="Verdana" w:eastAsia="Times New Roman" w:hAnsi="Verdana" w:cs="Aria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1B43" w:rsidRPr="005B1B43" w14:paraId="121F7431" w14:textId="77777777" w:rsidTr="00496544">
        <w:trPr>
          <w:trHeight w:val="870"/>
        </w:trPr>
        <w:tc>
          <w:tcPr>
            <w:tcW w:w="8647" w:type="dxa"/>
          </w:tcPr>
          <w:p w14:paraId="06EE9DC9" w14:textId="77777777" w:rsidR="005B1B43" w:rsidRPr="005B1B43" w:rsidRDefault="005B1B43" w:rsidP="005B1B43">
            <w:pPr>
              <w:widowControl w:val="0"/>
              <w:numPr>
                <w:ilvl w:val="0"/>
                <w:numId w:val="16"/>
              </w:numPr>
              <w:autoSpaceDE w:val="0"/>
              <w:autoSpaceDN w:val="0"/>
              <w:spacing w:after="120" w:line="276" w:lineRule="auto"/>
              <w:contextualSpacing/>
              <w:jc w:val="both"/>
              <w:rPr>
                <w:rFonts w:ascii="Verdana" w:hAnsi="Verdana" w:cs="Arial"/>
              </w:rPr>
            </w:pPr>
            <w:r w:rsidRPr="005B1B43">
              <w:rPr>
                <w:rFonts w:ascii="Verdana" w:hAnsi="Verdana" w:cs="Arial"/>
              </w:rPr>
              <w:t>Ley 1618 de 2013, artículo 13.</w:t>
            </w:r>
          </w:p>
          <w:p w14:paraId="0B27D4E8" w14:textId="77777777" w:rsidR="005B1B43" w:rsidRPr="005B1B43" w:rsidRDefault="005B1B43" w:rsidP="005B1B43">
            <w:pPr>
              <w:widowControl w:val="0"/>
              <w:numPr>
                <w:ilvl w:val="0"/>
                <w:numId w:val="16"/>
              </w:numPr>
              <w:autoSpaceDE w:val="0"/>
              <w:autoSpaceDN w:val="0"/>
              <w:spacing w:after="120" w:line="276" w:lineRule="auto"/>
              <w:contextualSpacing/>
              <w:jc w:val="both"/>
              <w:rPr>
                <w:rFonts w:ascii="Verdana" w:hAnsi="Verdana" w:cs="Arial"/>
              </w:rPr>
            </w:pPr>
            <w:r w:rsidRPr="005B1B43">
              <w:rPr>
                <w:rFonts w:ascii="Verdana" w:hAnsi="Verdana" w:cs="Arial"/>
              </w:rPr>
              <w:t>Decreto 1082 de 2015, artículos 2.2.1.2.4.2.6. y siguientes.</w:t>
            </w:r>
          </w:p>
        </w:tc>
      </w:tr>
    </w:tbl>
    <w:p w14:paraId="5BB94035" w14:textId="77777777" w:rsidR="005B1B43" w:rsidRPr="005B1B43" w:rsidRDefault="005B1B43" w:rsidP="005B1B43">
      <w:pPr>
        <w:tabs>
          <w:tab w:val="left" w:pos="142"/>
          <w:tab w:val="left" w:pos="284"/>
        </w:tabs>
        <w:spacing w:after="0" w:line="276" w:lineRule="auto"/>
        <w:jc w:val="both"/>
        <w:rPr>
          <w:rFonts w:ascii="Verdana" w:eastAsia="Times New Roman" w:hAnsi="Verdana" w:cs="Century Gothic"/>
          <w:b/>
          <w:bCs/>
        </w:rPr>
      </w:pPr>
    </w:p>
    <w:p w14:paraId="6CE12B3C" w14:textId="77777777" w:rsidR="005B1B43" w:rsidRPr="005B1B43" w:rsidRDefault="005B1B43" w:rsidP="005B1B43">
      <w:pPr>
        <w:tabs>
          <w:tab w:val="left" w:pos="142"/>
          <w:tab w:val="left" w:pos="284"/>
        </w:tabs>
        <w:spacing w:after="0" w:line="276" w:lineRule="auto"/>
        <w:jc w:val="both"/>
        <w:rPr>
          <w:rFonts w:ascii="Verdana" w:eastAsia="Times New Roman" w:hAnsi="Verdana" w:cs="Century Gothic"/>
          <w:b/>
          <w:bCs/>
        </w:rPr>
      </w:pPr>
      <w:r w:rsidRPr="005B1B43">
        <w:rPr>
          <w:rFonts w:ascii="Verdana" w:eastAsia="Times New Roman" w:hAnsi="Verdana" w:cs="Century Gothic"/>
          <w:b/>
          <w:bCs/>
        </w:rPr>
        <w:t>5. Doctrina de la Agencia Nacional de Contratación Pública:</w:t>
      </w:r>
    </w:p>
    <w:p w14:paraId="154491EA" w14:textId="77777777" w:rsidR="005B1B43" w:rsidRPr="005B1B43" w:rsidRDefault="005B1B43" w:rsidP="005B1B43">
      <w:pPr>
        <w:spacing w:after="0" w:line="276" w:lineRule="auto"/>
        <w:ind w:firstLine="709"/>
        <w:jc w:val="both"/>
        <w:rPr>
          <w:rFonts w:ascii="Verdana" w:eastAsia="Times New Roman" w:hAnsi="Verdana" w:cs="Arial"/>
          <w:szCs w:val="24"/>
          <w:lang w:val="es-ES" w:eastAsia="es-ES_tradnl"/>
        </w:rPr>
      </w:pPr>
    </w:p>
    <w:p w14:paraId="029E6DE4" w14:textId="77777777" w:rsidR="005B1B43" w:rsidRPr="005B1B43" w:rsidRDefault="005B1B43" w:rsidP="005B1B43">
      <w:pPr>
        <w:widowControl w:val="0"/>
        <w:autoSpaceDE w:val="0"/>
        <w:autoSpaceDN w:val="0"/>
        <w:spacing w:after="0" w:line="276" w:lineRule="auto"/>
        <w:jc w:val="both"/>
        <w:rPr>
          <w:rFonts w:ascii="Verdana" w:eastAsia="Times New Roman" w:hAnsi="Verdana" w:cs="Arial"/>
          <w:color w:val="000000"/>
          <w:shd w:val="clear" w:color="auto" w:fill="FFFFFF"/>
          <w:lang w:val="es-ES"/>
        </w:rPr>
      </w:pPr>
      <w:r w:rsidRPr="005B1B43">
        <w:rPr>
          <w:rFonts w:ascii="Verdana" w:eastAsia="Times New Roman" w:hAnsi="Verdana" w:cs="Arial"/>
          <w:lang w:val="es-ES_tradnl" w:eastAsia="es-ES_tradnl"/>
        </w:rPr>
        <w:t xml:space="preserve">Sobre el puntaje para personas con discapacidad, se pronunció esta Subdirección en los conceptos con radicado No. 4201912000004631 de 10 de julio de 2019, 4201913000005084 del 23 de julio de 2019, 201913000004446 del 13 de agosto de 2019, 4201912000005689 del 16 de septiembre de 2019, </w:t>
      </w:r>
      <w:r w:rsidRPr="005B1B43">
        <w:rPr>
          <w:rFonts w:ascii="Verdana" w:eastAsia="Times New Roman" w:hAnsi="Verdana" w:cs="Arial"/>
          <w:lang w:val="es-ES_tradnl" w:eastAsia="es-ES_tradnl"/>
        </w:rPr>
        <w:lastRenderedPageBreak/>
        <w:t xml:space="preserve">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 C-071 del 7 de febrero de 2022, C-885 del 27 de diciembre de 2022 , C-295 del 20 de agosto de 2024 y C-627 del 01 de julio de 2025. </w:t>
      </w:r>
      <w:r w:rsidRPr="005B1B43">
        <w:rPr>
          <w:rFonts w:ascii="Verdana" w:eastAsia="Times New Roman" w:hAnsi="Verdana" w:cs="Arial"/>
          <w:lang w:val="es-ES" w:eastAsia="es-ES_tradnl"/>
        </w:rPr>
        <w:t>Estos</w:t>
      </w:r>
      <w:r w:rsidRPr="005B1B43">
        <w:rPr>
          <w:rFonts w:ascii="Verdana" w:eastAsia="Times New Roman" w:hAnsi="Verdana" w:cs="Times New Roman"/>
        </w:rPr>
        <w:t xml:space="preserve"> y otros conceptos se encuentran disponibles para consulta en el Sistema de relatoría de la Agencia, al cual se puede acceder a través del siguiente enlace:</w:t>
      </w:r>
      <w:r w:rsidRPr="005B1B43">
        <w:rPr>
          <w:rFonts w:ascii="Verdana" w:eastAsia="Times New Roman" w:hAnsi="Verdana" w:cs="Arial"/>
          <w:shd w:val="clear" w:color="auto" w:fill="FFFFFF"/>
          <w:lang w:val="es-ES"/>
        </w:rPr>
        <w:t xml:space="preserve"> </w:t>
      </w:r>
      <w:hyperlink r:id="rId12" w:history="1">
        <w:r w:rsidRPr="005B1B43">
          <w:rPr>
            <w:rFonts w:ascii="Verdana" w:eastAsia="Times New Roman" w:hAnsi="Verdana" w:cs="Arial"/>
            <w:color w:val="0000FF"/>
            <w:u w:val="single"/>
            <w:shd w:val="clear" w:color="auto" w:fill="FFFFFF"/>
            <w:lang w:val="es-ES"/>
          </w:rPr>
          <w:t>https://relatoria.colombiacompra.gov.co/busqueda/conceptos</w:t>
        </w:r>
      </w:hyperlink>
    </w:p>
    <w:p w14:paraId="12EA79EE" w14:textId="77777777" w:rsidR="005B1B43" w:rsidRPr="005B1B43" w:rsidRDefault="005B1B43" w:rsidP="005B1B43">
      <w:pPr>
        <w:widowControl w:val="0"/>
        <w:autoSpaceDE w:val="0"/>
        <w:autoSpaceDN w:val="0"/>
        <w:spacing w:after="0" w:line="276" w:lineRule="auto"/>
        <w:jc w:val="both"/>
        <w:rPr>
          <w:rFonts w:ascii="Verdana" w:eastAsia="Times New Roman" w:hAnsi="Verdana" w:cs="Arial"/>
          <w:color w:val="000000"/>
          <w:shd w:val="clear" w:color="auto" w:fill="FFFFFF"/>
          <w:lang w:val="es-ES"/>
        </w:rPr>
      </w:pPr>
    </w:p>
    <w:p w14:paraId="4854587C" w14:textId="77777777" w:rsidR="005B1B43" w:rsidRPr="005B1B43" w:rsidRDefault="005B1B43" w:rsidP="005B1B43">
      <w:pPr>
        <w:widowControl w:val="0"/>
        <w:autoSpaceDE w:val="0"/>
        <w:autoSpaceDN w:val="0"/>
        <w:spacing w:after="0" w:line="276" w:lineRule="auto"/>
        <w:jc w:val="both"/>
        <w:rPr>
          <w:rFonts w:ascii="Verdana" w:eastAsia="Times New Roman" w:hAnsi="Verdana" w:cs="Arial"/>
          <w:kern w:val="2"/>
          <w:shd w:val="clear" w:color="auto" w:fill="FFFFFF"/>
          <w:lang w:val="es-ES_tradnl"/>
        </w:rPr>
      </w:pPr>
      <w:r w:rsidRPr="005B1B43">
        <w:rPr>
          <w:rFonts w:ascii="Verdana" w:eastAsia="Times New Roman" w:hAnsi="Verdana" w:cs="Arial"/>
          <w:kern w:val="2"/>
          <w:shd w:val="clear" w:color="auto" w:fill="FFFFFF"/>
          <w:lang w:val="es-ES_tradnl"/>
        </w:rPr>
        <w:t>La</w:t>
      </w:r>
      <w:r w:rsidRPr="005B1B43">
        <w:rPr>
          <w:rFonts w:ascii="Verdana" w:eastAsia="Times New Roman" w:hAnsi="Verdana" w:cs="Arial"/>
          <w:b/>
          <w:bCs/>
          <w:kern w:val="2"/>
          <w:shd w:val="clear" w:color="auto" w:fill="FFFFFF"/>
          <w:lang w:val="es-ES_tradnl"/>
        </w:rPr>
        <w:t xml:space="preserve"> Agencia Nacional de Contratación Pública - Colombia Compra Eficiente</w:t>
      </w:r>
      <w:r w:rsidRPr="005B1B43">
        <w:rPr>
          <w:rFonts w:ascii="Verdana" w:eastAsia="Times New Roman" w:hAnsi="Verdana" w:cs="Arial"/>
          <w:kern w:val="2"/>
          <w:shd w:val="clear" w:color="auto" w:fill="FFFFFF"/>
          <w:lang w:val="es-ES_tradnl"/>
        </w:rPr>
        <w:t> recomienda a todas las entidades públicas, independientemente de su naturaleza, que gestionan recursos públicos, la aplicación de los </w:t>
      </w:r>
      <w:r w:rsidRPr="005B1B43">
        <w:rPr>
          <w:rFonts w:ascii="Verdana" w:eastAsia="Times New Roman" w:hAnsi="Verdana" w:cs="Arial"/>
          <w:b/>
          <w:bCs/>
          <w:kern w:val="2"/>
          <w:shd w:val="clear" w:color="auto" w:fill="FFFFFF"/>
          <w:lang w:val="es-ES_tradnl"/>
        </w:rPr>
        <w:t>Documentos Tipo</w:t>
      </w:r>
      <w:r w:rsidRPr="005B1B43">
        <w:rPr>
          <w:rFonts w:ascii="Verdana" w:eastAsia="Times New Roman" w:hAnsi="Verdana" w:cs="Arial"/>
          <w:kern w:val="2"/>
          <w:shd w:val="clear" w:color="auto" w:fill="FFFFFF"/>
          <w:lang w:val="es-ES_tradnl"/>
        </w:rPr>
        <w:t>. Esta recomendación es válida tanto para su uso obligatorio, cuando así lo establezca la normatividad vigente, como para su implementación como una buena práctica. El objetivo es garantizar la </w:t>
      </w:r>
      <w:r w:rsidRPr="005B1B43">
        <w:rPr>
          <w:rFonts w:ascii="Verdana" w:eastAsia="Times New Roman" w:hAnsi="Verdana" w:cs="Arial"/>
          <w:b/>
          <w:bCs/>
          <w:kern w:val="2"/>
          <w:shd w:val="clear" w:color="auto" w:fill="FFFFFF"/>
          <w:lang w:val="es-ES_tradnl"/>
        </w:rPr>
        <w:t>transparencia</w:t>
      </w:r>
      <w:r w:rsidRPr="005B1B43">
        <w:rPr>
          <w:rFonts w:ascii="Verdana" w:eastAsia="Times New Roman" w:hAnsi="Verdana" w:cs="Arial"/>
          <w:kern w:val="2"/>
          <w:shd w:val="clear" w:color="auto" w:fill="FFFFFF"/>
          <w:lang w:val="es-ES_tradnl"/>
        </w:rPr>
        <w:t> y promover un proceso de </w:t>
      </w:r>
      <w:r w:rsidRPr="005B1B43">
        <w:rPr>
          <w:rFonts w:ascii="Verdana" w:eastAsia="Times New Roman" w:hAnsi="Verdana" w:cs="Arial"/>
          <w:b/>
          <w:bCs/>
          <w:kern w:val="2"/>
          <w:shd w:val="clear" w:color="auto" w:fill="FFFFFF"/>
          <w:lang w:val="es-ES_tradnl"/>
        </w:rPr>
        <w:t>selección objetiva</w:t>
      </w:r>
      <w:r w:rsidRPr="005B1B43">
        <w:rPr>
          <w:rFonts w:ascii="Verdana" w:eastAsia="Times New Roman" w:hAnsi="Verdana" w:cs="Arial"/>
          <w:kern w:val="2"/>
          <w:shd w:val="clear" w:color="auto" w:fill="FFFFFF"/>
          <w:lang w:val="es-ES_tradnl"/>
        </w:rPr>
        <w:t> en la contratación pública, contribuyendo así a mejorar la eficiencia, la competencia y la confianza en el manejo de los recursos del Estado.</w:t>
      </w:r>
    </w:p>
    <w:p w14:paraId="66D3604A" w14:textId="77777777" w:rsidR="005B1B43" w:rsidRPr="005B1B43" w:rsidRDefault="005B1B43" w:rsidP="005B1B43">
      <w:pPr>
        <w:spacing w:after="0" w:line="276" w:lineRule="auto"/>
        <w:jc w:val="both"/>
        <w:rPr>
          <w:rFonts w:ascii="Verdana" w:eastAsia="Times New Roman" w:hAnsi="Verdana" w:cs="Times New Roman"/>
          <w:lang w:val="es-ES_tradnl"/>
        </w:rPr>
      </w:pPr>
    </w:p>
    <w:p w14:paraId="5621EF84" w14:textId="77777777" w:rsidR="005B1B43" w:rsidRPr="005B1B43" w:rsidRDefault="005B1B43" w:rsidP="005B1B43">
      <w:pPr>
        <w:spacing w:after="0" w:line="276" w:lineRule="auto"/>
        <w:jc w:val="both"/>
        <w:rPr>
          <w:rFonts w:ascii="Verdana" w:eastAsia="Times New Roman" w:hAnsi="Verdana" w:cs="Times New Roman"/>
        </w:rPr>
      </w:pPr>
    </w:p>
    <w:p w14:paraId="6EEE85B9" w14:textId="77777777" w:rsidR="005B1B43" w:rsidRPr="005B1B43" w:rsidRDefault="005B1B43" w:rsidP="005B1B43">
      <w:pPr>
        <w:spacing w:after="0" w:line="276" w:lineRule="auto"/>
        <w:jc w:val="both"/>
        <w:rPr>
          <w:rFonts w:ascii="Verdana" w:eastAsia="Times New Roman" w:hAnsi="Verdana" w:cs="Times New Roman"/>
        </w:rPr>
      </w:pPr>
      <w:r w:rsidRPr="005B1B43">
        <w:rPr>
          <w:rFonts w:ascii="Verdana" w:eastAsia="Times New Roman" w:hAnsi="Verdana" w:cs="Times New Roman"/>
        </w:rPr>
        <w:t>También le contamos que ya se encuentra disponible la </w:t>
      </w:r>
      <w:r w:rsidRPr="005B1B43">
        <w:rPr>
          <w:rFonts w:ascii="Verdana" w:eastAsia="Times New Roman" w:hAnsi="Verdana" w:cs="Times New Roman"/>
          <w:b/>
          <w:bCs/>
        </w:rPr>
        <w:t>Guía de lineamientos de transparencia y selección objetiva para el departamento de La Guajira – Objetivo sexto constitucional de la Sentencia T-302 del 2017. </w:t>
      </w:r>
      <w:r w:rsidRPr="005B1B43">
        <w:rPr>
          <w:rFonts w:ascii="Verdana" w:eastAsia="Times New Roman"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B1B43">
        <w:rPr>
          <w:rFonts w:ascii="Verdana" w:eastAsia="Times New Roman" w:hAnsi="Verdana" w:cs="Times New Roman"/>
        </w:rPr>
        <w:t>Wayúu</w:t>
      </w:r>
      <w:proofErr w:type="spellEnd"/>
      <w:r w:rsidRPr="005B1B43">
        <w:rPr>
          <w:rFonts w:ascii="Verdana" w:eastAsia="Times New Roman" w:hAnsi="Verdana" w:cs="Times New Roman"/>
        </w:rPr>
        <w:t xml:space="preserve">. </w:t>
      </w:r>
      <w:r w:rsidRPr="005B1B43">
        <w:rPr>
          <w:rFonts w:ascii="Verdana" w:eastAsia="Times New Roman" w:hAnsi="Verdana" w:cs="Times New Roman"/>
        </w:rPr>
        <w:lastRenderedPageBreak/>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5B1B43">
          <w:rPr>
            <w:rFonts w:ascii="Verdana" w:eastAsia="Times New Roman" w:hAnsi="Verdana" w:cs="Times New Roman"/>
            <w:color w:val="0000FF"/>
            <w:u w:val="single"/>
          </w:rPr>
          <w:t>Guía de lineamientos de transparencia y selección objetiva para el departamento de La Guajira – Objetivo sexto constitucional de la Sentencia T-302 del 2017</w:t>
        </w:r>
      </w:hyperlink>
    </w:p>
    <w:p w14:paraId="4F8D0431" w14:textId="77777777" w:rsidR="005B1B43" w:rsidRPr="005B1B43" w:rsidRDefault="005B1B43" w:rsidP="005B1B43">
      <w:pPr>
        <w:spacing w:after="0" w:line="240" w:lineRule="auto"/>
        <w:jc w:val="both"/>
        <w:rPr>
          <w:rFonts w:ascii="Verdana" w:eastAsia="Times New Roman" w:hAnsi="Verdana" w:cs="Times New Roman"/>
        </w:rPr>
      </w:pPr>
    </w:p>
    <w:p w14:paraId="6FE69A8C" w14:textId="77777777" w:rsidR="005B1B43" w:rsidRPr="005B1B43" w:rsidRDefault="005B1B43" w:rsidP="005B1B43">
      <w:pPr>
        <w:spacing w:after="0" w:line="240" w:lineRule="auto"/>
        <w:jc w:val="both"/>
        <w:rPr>
          <w:rFonts w:ascii="Verdana" w:eastAsia="Times New Roman" w:hAnsi="Verdana" w:cs="Times New Roman"/>
        </w:rPr>
      </w:pPr>
      <w:r w:rsidRPr="005B1B43">
        <w:rPr>
          <w:rFonts w:ascii="Verdana" w:eastAsia="Times New Roman" w:hAnsi="Verdana" w:cs="Times New Roman"/>
        </w:rPr>
        <w:t xml:space="preserve">Por último, lo invitamos a seguirnos en las redes sociales en las cuales se difunde información institucional: </w:t>
      </w:r>
    </w:p>
    <w:p w14:paraId="7CC3E963" w14:textId="77777777" w:rsidR="005B1B43" w:rsidRPr="005B1B43" w:rsidRDefault="005B1B43" w:rsidP="005B1B43">
      <w:pPr>
        <w:spacing w:after="0" w:line="240" w:lineRule="auto"/>
        <w:jc w:val="both"/>
        <w:rPr>
          <w:rFonts w:ascii="Verdana" w:eastAsia="Times New Roman" w:hAnsi="Verdana" w:cs="Times New Roman"/>
        </w:rPr>
      </w:pPr>
    </w:p>
    <w:p w14:paraId="02DD76FA" w14:textId="77777777" w:rsidR="005B1B43" w:rsidRPr="005B1B43" w:rsidRDefault="005B1B43" w:rsidP="005B1B43">
      <w:pPr>
        <w:spacing w:after="0" w:line="240" w:lineRule="auto"/>
        <w:jc w:val="both"/>
        <w:rPr>
          <w:rFonts w:ascii="Verdana" w:eastAsia="Times New Roman" w:hAnsi="Verdana" w:cs="Times New Roman"/>
        </w:rPr>
      </w:pPr>
      <w:r w:rsidRPr="005B1B43">
        <w:rPr>
          <w:rFonts w:ascii="Verdana" w:eastAsia="Times New Roman" w:hAnsi="Verdana" w:cs="Times New Roman"/>
        </w:rPr>
        <w:t xml:space="preserve">Twitter: </w:t>
      </w:r>
      <w:r w:rsidRPr="005B1B43">
        <w:rPr>
          <w:rFonts w:ascii="Verdana" w:eastAsia="Times New Roman" w:hAnsi="Verdana" w:cs="Times New Roman"/>
          <w:color w:val="4472C4"/>
          <w:u w:val="single"/>
        </w:rPr>
        <w:t>@colombiacompra</w:t>
      </w:r>
      <w:r w:rsidRPr="005B1B43">
        <w:rPr>
          <w:rFonts w:ascii="Verdana" w:eastAsia="Times New Roman" w:hAnsi="Verdana" w:cs="Times New Roman"/>
          <w:color w:val="4472C4"/>
        </w:rPr>
        <w:t xml:space="preserve"> </w:t>
      </w:r>
    </w:p>
    <w:p w14:paraId="0529F99D" w14:textId="77777777" w:rsidR="005B1B43" w:rsidRPr="005B1B43" w:rsidRDefault="005B1B43" w:rsidP="005B1B43">
      <w:pPr>
        <w:spacing w:after="0" w:line="240" w:lineRule="auto"/>
        <w:jc w:val="both"/>
        <w:rPr>
          <w:rFonts w:ascii="Verdana" w:eastAsia="Times New Roman" w:hAnsi="Verdana" w:cs="Times New Roman"/>
        </w:rPr>
      </w:pPr>
      <w:r w:rsidRPr="005B1B43">
        <w:rPr>
          <w:rFonts w:ascii="Verdana" w:eastAsia="Times New Roman" w:hAnsi="Verdana" w:cs="Times New Roman"/>
        </w:rPr>
        <w:t xml:space="preserve">Facebook: </w:t>
      </w:r>
      <w:proofErr w:type="spellStart"/>
      <w:r w:rsidRPr="005B1B43">
        <w:rPr>
          <w:rFonts w:ascii="Verdana" w:eastAsia="Times New Roman" w:hAnsi="Verdana" w:cs="Times New Roman"/>
          <w:color w:val="4472C4"/>
          <w:u w:val="single"/>
        </w:rPr>
        <w:t>ColombiaCompraEficiente</w:t>
      </w:r>
      <w:proofErr w:type="spellEnd"/>
    </w:p>
    <w:p w14:paraId="3659B6A2" w14:textId="77777777" w:rsidR="005B1B43" w:rsidRPr="005B1B43" w:rsidRDefault="005B1B43" w:rsidP="005B1B43">
      <w:pPr>
        <w:spacing w:after="0" w:line="240" w:lineRule="auto"/>
        <w:jc w:val="both"/>
        <w:rPr>
          <w:rFonts w:ascii="Verdana" w:eastAsia="Times New Roman" w:hAnsi="Verdana" w:cs="Times New Roman"/>
        </w:rPr>
      </w:pPr>
      <w:r w:rsidRPr="005B1B43">
        <w:rPr>
          <w:rFonts w:ascii="Verdana" w:eastAsia="Times New Roman" w:hAnsi="Verdana" w:cs="Times New Roman"/>
        </w:rPr>
        <w:t xml:space="preserve">LinkedIn: </w:t>
      </w:r>
      <w:r w:rsidRPr="005B1B43">
        <w:rPr>
          <w:rFonts w:ascii="Verdana" w:eastAsia="Times New Roman" w:hAnsi="Verdana" w:cs="Times New Roman"/>
          <w:color w:val="4472C4"/>
          <w:u w:val="single"/>
        </w:rPr>
        <w:t>Agencia Nacional de Contratación Pública - Colombia Compra Eficiente</w:t>
      </w:r>
      <w:r w:rsidRPr="005B1B43">
        <w:rPr>
          <w:rFonts w:ascii="Verdana" w:eastAsia="Times New Roman" w:hAnsi="Verdana" w:cs="Times New Roman"/>
          <w:color w:val="4472C4"/>
        </w:rPr>
        <w:t xml:space="preserve"> </w:t>
      </w:r>
      <w:r w:rsidRPr="005B1B43">
        <w:rPr>
          <w:rFonts w:ascii="Verdana" w:eastAsia="Times New Roman" w:hAnsi="Verdana" w:cs="Times New Roman"/>
        </w:rPr>
        <w:t xml:space="preserve">Instagram: </w:t>
      </w:r>
      <w:r w:rsidRPr="005B1B43">
        <w:rPr>
          <w:rFonts w:ascii="Verdana" w:eastAsia="Times New Roman" w:hAnsi="Verdana" w:cs="Times New Roman"/>
          <w:color w:val="4472C4"/>
          <w:u w:val="single"/>
        </w:rPr>
        <w:t>@colombiacompraeficiente_cce</w:t>
      </w:r>
    </w:p>
    <w:p w14:paraId="2AC030F9" w14:textId="77777777" w:rsidR="005B1B43" w:rsidRPr="005B1B43" w:rsidRDefault="005B1B43" w:rsidP="005B1B43">
      <w:pPr>
        <w:widowControl w:val="0"/>
        <w:autoSpaceDE w:val="0"/>
        <w:autoSpaceDN w:val="0"/>
        <w:spacing w:after="0" w:line="276" w:lineRule="auto"/>
        <w:jc w:val="both"/>
        <w:rPr>
          <w:rFonts w:ascii="Verdana" w:eastAsia="Times New Roman" w:hAnsi="Verdana" w:cs="Times New Roman"/>
        </w:rPr>
      </w:pPr>
    </w:p>
    <w:p w14:paraId="2A2379A1" w14:textId="77777777" w:rsidR="005B1B43" w:rsidRPr="005B1B43" w:rsidRDefault="005B1B43" w:rsidP="005B1B43">
      <w:pPr>
        <w:widowControl w:val="0"/>
        <w:autoSpaceDE w:val="0"/>
        <w:autoSpaceDN w:val="0"/>
        <w:spacing w:after="0" w:line="276" w:lineRule="auto"/>
        <w:jc w:val="both"/>
        <w:rPr>
          <w:rFonts w:ascii="Verdana" w:eastAsia="Times New Roman" w:hAnsi="Verdana" w:cs="Arial"/>
          <w:lang w:val="es-ES_tradnl"/>
        </w:rPr>
      </w:pPr>
      <w:r w:rsidRPr="005B1B43">
        <w:rPr>
          <w:rFonts w:ascii="Verdana" w:eastAsia="Times New Roman" w:hAnsi="Verdana" w:cs="Arial"/>
        </w:rPr>
        <w:t xml:space="preserve">Este concepto tiene el alcance previsto en el artículo 28 del Código de Procedimiento Administrativo y de lo Contencioso Administrativo </w:t>
      </w:r>
      <w:r w:rsidRPr="005B1B43">
        <w:rPr>
          <w:rFonts w:ascii="Verdana" w:eastAsia="Times New Roman" w:hAnsi="Verdana" w:cs="Arial"/>
          <w:lang w:val="es-ES_tradnl"/>
        </w:rPr>
        <w:t>y las expresiones aquí utilizadas con mayúscula inicial deben ser entendidas con el significado que les otorga el artículo 2.2.1.1.1.3.1. del Decreto 1082 de 2015.</w:t>
      </w:r>
    </w:p>
    <w:p w14:paraId="2DFDDFAB" w14:textId="77777777" w:rsidR="005B1B43" w:rsidRPr="005B1B43" w:rsidRDefault="005B1B43" w:rsidP="005B1B43">
      <w:pPr>
        <w:spacing w:after="0" w:line="276" w:lineRule="auto"/>
        <w:ind w:firstLine="709"/>
        <w:jc w:val="both"/>
        <w:rPr>
          <w:rFonts w:ascii="Verdana" w:eastAsia="Times New Roman" w:hAnsi="Verdana" w:cs="Arial"/>
          <w:szCs w:val="24"/>
          <w:lang w:val="es-ES_tradnl" w:eastAsia="es-ES_tradnl"/>
        </w:rPr>
      </w:pPr>
    </w:p>
    <w:p w14:paraId="7F7A7637" w14:textId="77777777" w:rsidR="005B1B43" w:rsidRPr="005B1B43" w:rsidRDefault="005B1B43" w:rsidP="005B1B43">
      <w:pPr>
        <w:spacing w:after="0" w:line="276" w:lineRule="auto"/>
        <w:jc w:val="both"/>
        <w:rPr>
          <w:rFonts w:ascii="Verdana" w:eastAsia="Times New Roman" w:hAnsi="Verdana" w:cs="Arial"/>
          <w:lang w:val="es-ES_tradnl" w:eastAsia="es-CO"/>
        </w:rPr>
      </w:pPr>
      <w:bookmarkStart w:id="2" w:name="_Hlk117695077"/>
      <w:r w:rsidRPr="005B1B43">
        <w:rPr>
          <w:rFonts w:ascii="Verdana" w:eastAsia="Times New Roman" w:hAnsi="Verdana" w:cs="Arial"/>
          <w:lang w:val="es-ES_tradnl" w:eastAsia="es-CO"/>
        </w:rPr>
        <w:t>Atentamente,</w:t>
      </w:r>
    </w:p>
    <w:p w14:paraId="181606AE" w14:textId="77777777" w:rsidR="005B1B43" w:rsidRPr="005B1B43" w:rsidRDefault="005B1B43" w:rsidP="005B1B43">
      <w:pPr>
        <w:spacing w:after="0" w:line="276" w:lineRule="auto"/>
        <w:jc w:val="both"/>
        <w:rPr>
          <w:rFonts w:ascii="Verdana" w:eastAsia="Times New Roman" w:hAnsi="Verdana" w:cs="Arial"/>
          <w:lang w:val="es-ES_tradnl" w:eastAsia="es-CO"/>
        </w:rPr>
      </w:pPr>
    </w:p>
    <w:p w14:paraId="200B0DDD" w14:textId="44AA1C9A" w:rsidR="005B1B43" w:rsidRPr="005B1B43" w:rsidRDefault="00EC7A1B" w:rsidP="00A23C1B">
      <w:pPr>
        <w:spacing w:after="0" w:line="276" w:lineRule="auto"/>
        <w:jc w:val="center"/>
        <w:rPr>
          <w:rFonts w:ascii="Verdana" w:eastAsia="Times New Roman" w:hAnsi="Verdana" w:cs="Arial"/>
          <w:lang w:val="es-ES_tradnl" w:eastAsia="es-CO"/>
        </w:rPr>
      </w:pPr>
      <w:r w:rsidRPr="00EC7A1B">
        <w:rPr>
          <w:rFonts w:ascii="Century Gothic" w:eastAsia="Aptos" w:hAnsi="Century Gothic" w:cs="Arial"/>
          <w:noProof/>
          <w:kern w:val="2"/>
          <w14:ligatures w14:val="standardContextual"/>
        </w:rPr>
        <w:drawing>
          <wp:inline distT="0" distB="0" distL="0" distR="0" wp14:anchorId="4D180C39" wp14:editId="2E99BD1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631FAA27" w14:textId="77777777" w:rsidR="005B1B43" w:rsidRPr="005B1B43" w:rsidRDefault="005B1B43" w:rsidP="005B1B43">
      <w:pPr>
        <w:spacing w:after="0" w:line="276" w:lineRule="auto"/>
        <w:jc w:val="both"/>
        <w:rPr>
          <w:rFonts w:ascii="Verdana" w:eastAsia="Times New Roman" w:hAnsi="Verdana" w:cs="Arial"/>
          <w:lang w:val="es-ES_tradnl" w:eastAsia="es-CO"/>
        </w:rPr>
      </w:pPr>
    </w:p>
    <w:bookmarkEnd w:id="2"/>
    <w:p w14:paraId="50CF9653" w14:textId="77777777" w:rsidR="005B1B43" w:rsidRPr="005B1B43" w:rsidRDefault="005B1B43" w:rsidP="005B1B43">
      <w:pPr>
        <w:spacing w:after="18" w:line="240" w:lineRule="auto"/>
        <w:jc w:val="center"/>
        <w:rPr>
          <w:rFonts w:ascii="Verdana" w:eastAsia="Times New Roman" w:hAnsi="Verdana" w:cs="Arial"/>
          <w:sz w:val="24"/>
          <w:szCs w:val="24"/>
          <w:lang w:eastAsia="es-CO"/>
        </w:rPr>
      </w:pPr>
    </w:p>
    <w:tbl>
      <w:tblPr>
        <w:tblStyle w:val="Tablaconcuadrcula1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B1B43" w:rsidRPr="005B1B43" w14:paraId="1E602155" w14:textId="77777777" w:rsidTr="60CD6777">
        <w:trPr>
          <w:trHeight w:val="286"/>
        </w:trPr>
        <w:tc>
          <w:tcPr>
            <w:tcW w:w="893" w:type="dxa"/>
            <w:vAlign w:val="center"/>
            <w:hideMark/>
          </w:tcPr>
          <w:p w14:paraId="46C6C72B" w14:textId="77777777" w:rsidR="005B1B43" w:rsidRPr="005B1B43" w:rsidRDefault="005B1B43" w:rsidP="005B1B43">
            <w:pPr>
              <w:rPr>
                <w:rFonts w:ascii="Verdana" w:hAnsi="Verdana" w:cs="Arial"/>
                <w:sz w:val="14"/>
                <w:szCs w:val="14"/>
                <w:lang w:eastAsia="es-ES"/>
              </w:rPr>
            </w:pPr>
            <w:r w:rsidRPr="005B1B43">
              <w:rPr>
                <w:rFonts w:ascii="Verdana" w:hAnsi="Verdana" w:cs="Arial"/>
                <w:sz w:val="16"/>
                <w:szCs w:val="16"/>
                <w:lang w:eastAsia="es-ES"/>
              </w:rPr>
              <w:t>Elaboró:</w:t>
            </w:r>
          </w:p>
        </w:tc>
        <w:tc>
          <w:tcPr>
            <w:tcW w:w="4777" w:type="dxa"/>
            <w:vAlign w:val="center"/>
            <w:hideMark/>
          </w:tcPr>
          <w:p w14:paraId="52D38E5E" w14:textId="77777777" w:rsidR="005B1B43" w:rsidRPr="005B1B43" w:rsidRDefault="005B1B43" w:rsidP="60CD6777">
            <w:pPr>
              <w:rPr>
                <w:rFonts w:ascii="Verdana" w:hAnsi="Verdana" w:cs="Arial"/>
                <w:sz w:val="16"/>
                <w:szCs w:val="16"/>
                <w:lang w:val="es-ES" w:eastAsia="es-ES"/>
              </w:rPr>
            </w:pPr>
            <w:proofErr w:type="spellStart"/>
            <w:r w:rsidRPr="60CD6777">
              <w:rPr>
                <w:rFonts w:ascii="Verdana" w:hAnsi="Verdana" w:cs="Arial"/>
                <w:sz w:val="16"/>
                <w:szCs w:val="16"/>
                <w:lang w:val="es-ES" w:eastAsia="es-ES"/>
              </w:rPr>
              <w:t>Hector</w:t>
            </w:r>
            <w:proofErr w:type="spellEnd"/>
            <w:r w:rsidRPr="60CD6777">
              <w:rPr>
                <w:rFonts w:ascii="Verdana" w:hAnsi="Verdana" w:cs="Arial"/>
                <w:sz w:val="16"/>
                <w:szCs w:val="16"/>
                <w:lang w:val="es-ES" w:eastAsia="es-ES"/>
              </w:rPr>
              <w:t xml:space="preserve"> Luis Quiñones </w:t>
            </w:r>
            <w:proofErr w:type="spellStart"/>
            <w:r w:rsidRPr="60CD6777">
              <w:rPr>
                <w:rFonts w:ascii="Verdana" w:hAnsi="Verdana" w:cs="Arial"/>
                <w:sz w:val="16"/>
                <w:szCs w:val="16"/>
                <w:lang w:val="es-ES" w:eastAsia="es-ES"/>
              </w:rPr>
              <w:t>Quiñones</w:t>
            </w:r>
            <w:proofErr w:type="spellEnd"/>
          </w:p>
          <w:p w14:paraId="19098C82" w14:textId="77777777" w:rsidR="005B1B43" w:rsidRPr="005B1B43" w:rsidRDefault="005B1B43" w:rsidP="005B1B43">
            <w:pPr>
              <w:rPr>
                <w:rFonts w:ascii="Verdana" w:hAnsi="Verdana" w:cs="Arial"/>
                <w:sz w:val="14"/>
                <w:szCs w:val="14"/>
                <w:lang w:eastAsia="es-ES"/>
              </w:rPr>
            </w:pPr>
            <w:r w:rsidRPr="005B1B43">
              <w:rPr>
                <w:rFonts w:ascii="Verdana" w:hAnsi="Verdana" w:cs="Arial"/>
                <w:sz w:val="16"/>
                <w:szCs w:val="16"/>
                <w:lang w:eastAsia="es-ES"/>
              </w:rPr>
              <w:t>Analista T2-02 de la Subdirección de Gestión Contractual</w:t>
            </w:r>
          </w:p>
        </w:tc>
      </w:tr>
      <w:tr w:rsidR="005B1B43" w:rsidRPr="005B1B43" w14:paraId="73498916" w14:textId="77777777" w:rsidTr="60CD6777">
        <w:trPr>
          <w:trHeight w:val="299"/>
        </w:trPr>
        <w:tc>
          <w:tcPr>
            <w:tcW w:w="893" w:type="dxa"/>
            <w:vAlign w:val="center"/>
            <w:hideMark/>
          </w:tcPr>
          <w:p w14:paraId="68EB8601" w14:textId="77777777" w:rsidR="005B1B43" w:rsidRPr="005B1B43" w:rsidRDefault="005B1B43" w:rsidP="005B1B43">
            <w:pPr>
              <w:rPr>
                <w:rFonts w:ascii="Verdana" w:hAnsi="Verdana" w:cs="Arial"/>
                <w:sz w:val="14"/>
                <w:szCs w:val="14"/>
                <w:lang w:eastAsia="es-ES"/>
              </w:rPr>
            </w:pPr>
            <w:r w:rsidRPr="005B1B43">
              <w:rPr>
                <w:rFonts w:ascii="Verdana" w:hAnsi="Verdana" w:cs="Arial"/>
                <w:sz w:val="16"/>
                <w:szCs w:val="16"/>
                <w:lang w:eastAsia="es-ES"/>
              </w:rPr>
              <w:t>Revisó:</w:t>
            </w:r>
          </w:p>
        </w:tc>
        <w:tc>
          <w:tcPr>
            <w:tcW w:w="4777" w:type="dxa"/>
            <w:vAlign w:val="center"/>
            <w:hideMark/>
          </w:tcPr>
          <w:p w14:paraId="2E80C32F" w14:textId="77777777" w:rsidR="005B1B43" w:rsidRPr="005B1B43" w:rsidRDefault="005B1B43" w:rsidP="005B1B43">
            <w:pPr>
              <w:rPr>
                <w:rFonts w:ascii="Verdana" w:hAnsi="Verdana" w:cs="Arial"/>
                <w:sz w:val="16"/>
                <w:szCs w:val="16"/>
                <w:lang w:val="es-ES" w:eastAsia="es-ES"/>
              </w:rPr>
            </w:pPr>
            <w:r w:rsidRPr="005B1B43">
              <w:rPr>
                <w:rFonts w:ascii="Verdana" w:hAnsi="Verdana" w:cs="Arial"/>
                <w:sz w:val="16"/>
                <w:szCs w:val="16"/>
                <w:lang w:val="es-ES" w:eastAsia="es-ES"/>
              </w:rPr>
              <w:t xml:space="preserve">Juan David Cárdenas </w:t>
            </w:r>
          </w:p>
          <w:p w14:paraId="1CCCAE5B" w14:textId="77777777" w:rsidR="005B1B43" w:rsidRPr="005B1B43" w:rsidRDefault="005B1B43" w:rsidP="005B1B43">
            <w:pPr>
              <w:rPr>
                <w:rFonts w:ascii="Verdana" w:hAnsi="Verdana" w:cs="Arial"/>
                <w:sz w:val="14"/>
                <w:szCs w:val="14"/>
                <w:lang w:eastAsia="es-ES"/>
              </w:rPr>
            </w:pPr>
            <w:r w:rsidRPr="005B1B43">
              <w:rPr>
                <w:rFonts w:ascii="Verdana" w:hAnsi="Verdana" w:cs="Arial"/>
                <w:sz w:val="16"/>
                <w:szCs w:val="16"/>
                <w:lang w:eastAsia="es-ES"/>
              </w:rPr>
              <w:t>Contratista de la Subdirección de Gestión Contractual</w:t>
            </w:r>
          </w:p>
        </w:tc>
      </w:tr>
      <w:tr w:rsidR="005B1B43" w:rsidRPr="005B1B43" w14:paraId="53A47692" w14:textId="77777777" w:rsidTr="60CD6777">
        <w:trPr>
          <w:trHeight w:val="272"/>
        </w:trPr>
        <w:tc>
          <w:tcPr>
            <w:tcW w:w="893" w:type="dxa"/>
            <w:vAlign w:val="center"/>
            <w:hideMark/>
          </w:tcPr>
          <w:p w14:paraId="671CFB63" w14:textId="77777777" w:rsidR="005B1B43" w:rsidRPr="005B1B43" w:rsidRDefault="005B1B43" w:rsidP="005B1B43">
            <w:pPr>
              <w:rPr>
                <w:rFonts w:ascii="Verdana" w:hAnsi="Verdana" w:cs="Arial"/>
                <w:sz w:val="14"/>
                <w:szCs w:val="14"/>
                <w:lang w:eastAsia="es-ES"/>
              </w:rPr>
            </w:pPr>
            <w:r w:rsidRPr="005B1B43">
              <w:rPr>
                <w:rFonts w:ascii="Verdana" w:hAnsi="Verdana" w:cs="Arial"/>
                <w:sz w:val="16"/>
                <w:szCs w:val="16"/>
                <w:lang w:eastAsia="es-ES"/>
              </w:rPr>
              <w:t>Aprobó:</w:t>
            </w:r>
          </w:p>
        </w:tc>
        <w:tc>
          <w:tcPr>
            <w:tcW w:w="4777" w:type="dxa"/>
            <w:vAlign w:val="center"/>
            <w:hideMark/>
          </w:tcPr>
          <w:p w14:paraId="5DE50278" w14:textId="77777777" w:rsidR="005B1B43" w:rsidRPr="005B1B43" w:rsidRDefault="005B1B43" w:rsidP="005B1B43">
            <w:pPr>
              <w:rPr>
                <w:rFonts w:ascii="Verdana" w:hAnsi="Verdana" w:cs="Arial"/>
                <w:sz w:val="16"/>
                <w:szCs w:val="16"/>
                <w:lang w:eastAsia="es-ES"/>
              </w:rPr>
            </w:pPr>
            <w:r w:rsidRPr="005B1B43">
              <w:rPr>
                <w:rFonts w:ascii="Verdana" w:hAnsi="Verdana" w:cs="Arial"/>
                <w:sz w:val="16"/>
                <w:szCs w:val="16"/>
                <w:lang w:eastAsia="es-ES"/>
              </w:rPr>
              <w:t xml:space="preserve">Carolina Quintero </w:t>
            </w:r>
            <w:proofErr w:type="spellStart"/>
            <w:r w:rsidRPr="005B1B43">
              <w:rPr>
                <w:rFonts w:ascii="Verdana" w:hAnsi="Verdana" w:cs="Arial"/>
                <w:sz w:val="16"/>
                <w:szCs w:val="16"/>
                <w:lang w:eastAsia="es-ES"/>
              </w:rPr>
              <w:t>Gacharná</w:t>
            </w:r>
            <w:proofErr w:type="spellEnd"/>
          </w:p>
          <w:p w14:paraId="359C98F3" w14:textId="77777777" w:rsidR="005B1B43" w:rsidRPr="005B1B43" w:rsidRDefault="005B1B43" w:rsidP="005B1B43">
            <w:pPr>
              <w:rPr>
                <w:rFonts w:ascii="Verdana" w:hAnsi="Verdana" w:cs="Arial"/>
                <w:sz w:val="14"/>
                <w:szCs w:val="14"/>
                <w:lang w:eastAsia="es-ES"/>
              </w:rPr>
            </w:pPr>
            <w:r w:rsidRPr="005B1B43">
              <w:rPr>
                <w:rFonts w:ascii="Verdana" w:hAnsi="Verdana" w:cs="Arial"/>
                <w:sz w:val="16"/>
                <w:szCs w:val="16"/>
                <w:lang w:eastAsia="es-ES"/>
              </w:rPr>
              <w:t>Subdirectora de Gestión Contractual ANCP – CCE</w:t>
            </w:r>
          </w:p>
        </w:tc>
      </w:tr>
    </w:tbl>
    <w:p w14:paraId="6765A623" w14:textId="77777777" w:rsidR="005B1B43" w:rsidRPr="005B1B43" w:rsidRDefault="005B1B43" w:rsidP="005B1B43">
      <w:pPr>
        <w:spacing w:after="0" w:line="276" w:lineRule="auto"/>
        <w:jc w:val="both"/>
        <w:rPr>
          <w:rFonts w:ascii="Verdana" w:eastAsia="Times New Roman" w:hAnsi="Verdana" w:cs="Arial"/>
          <w:lang w:val="es-ES_tradnl"/>
        </w:rPr>
      </w:pPr>
    </w:p>
    <w:p w14:paraId="41A38A85" w14:textId="77777777" w:rsidR="005B1B43" w:rsidRPr="005B1B43" w:rsidRDefault="005B1B43" w:rsidP="005B1B43">
      <w:pPr>
        <w:spacing w:after="0" w:line="240" w:lineRule="auto"/>
        <w:rPr>
          <w:rFonts w:ascii="Verdana" w:eastAsia="Times New Roman" w:hAnsi="Verdana" w:cs="Arial"/>
          <w:sz w:val="24"/>
          <w:szCs w:val="24"/>
          <w:lang w:eastAsia="es-ES_tradnl"/>
        </w:rPr>
      </w:pPr>
    </w:p>
    <w:p w14:paraId="3A05E92F" w14:textId="77777777" w:rsidR="005B1B43" w:rsidRPr="005B1B43" w:rsidRDefault="005B1B43" w:rsidP="005B1B43">
      <w:pPr>
        <w:rPr>
          <w:rFonts w:ascii="Verdana" w:eastAsia="Times New Roman" w:hAnsi="Verdana" w:cs="Times New Roman"/>
        </w:rPr>
      </w:pPr>
    </w:p>
    <w:p w14:paraId="0FCF73E3" w14:textId="77777777" w:rsidR="005B1B43" w:rsidRPr="005B1B43" w:rsidRDefault="005B1B43" w:rsidP="005B1B43">
      <w:pPr>
        <w:rPr>
          <w:rFonts w:ascii="Calibri" w:eastAsia="Times New Roman" w:hAnsi="Calibri" w:cs="Times New Roman"/>
        </w:rPr>
      </w:pPr>
    </w:p>
    <w:p w14:paraId="249D8DB4" w14:textId="77777777" w:rsidR="005B1B43" w:rsidRPr="005B1B43" w:rsidRDefault="005B1B43" w:rsidP="005B1B43">
      <w:pPr>
        <w:rPr>
          <w:rFonts w:ascii="Calibri" w:eastAsia="Times New Roman" w:hAnsi="Calibri" w:cs="Times New Roman"/>
        </w:rPr>
      </w:pPr>
    </w:p>
    <w:p w14:paraId="3900974D" w14:textId="77777777" w:rsidR="003D5B0D" w:rsidRPr="005B1B43" w:rsidRDefault="003D5B0D" w:rsidP="00C76B1C">
      <w:pPr>
        <w:spacing w:after="0" w:line="240" w:lineRule="auto"/>
        <w:textAlignment w:val="baseline"/>
        <w:rPr>
          <w:rFonts w:ascii="Verdana" w:eastAsia="Times New Roman" w:hAnsi="Verdana" w:cs="Segoe UI"/>
          <w:b/>
          <w:bCs/>
          <w:color w:val="46589C"/>
          <w:lang w:eastAsia="es-CO"/>
        </w:rPr>
      </w:pPr>
    </w:p>
    <w:sectPr w:rsidR="003D5B0D" w:rsidRPr="005B1B4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E1931" w14:textId="77777777" w:rsidR="00ED7384" w:rsidRDefault="00ED7384" w:rsidP="004A1847">
      <w:pPr>
        <w:spacing w:after="0" w:line="240" w:lineRule="auto"/>
      </w:pPr>
      <w:r>
        <w:separator/>
      </w:r>
    </w:p>
  </w:endnote>
  <w:endnote w:type="continuationSeparator" w:id="0">
    <w:p w14:paraId="68209838"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A4A3C" w14:textId="77777777" w:rsidR="00ED7384" w:rsidRDefault="00ED7384" w:rsidP="004A1847">
      <w:pPr>
        <w:spacing w:after="0" w:line="240" w:lineRule="auto"/>
      </w:pPr>
      <w:r>
        <w:separator/>
      </w:r>
    </w:p>
  </w:footnote>
  <w:footnote w:type="continuationSeparator" w:id="0">
    <w:p w14:paraId="39D52267" w14:textId="77777777" w:rsidR="00ED7384" w:rsidRDefault="00ED7384" w:rsidP="004A1847">
      <w:pPr>
        <w:spacing w:after="0" w:line="240" w:lineRule="auto"/>
      </w:pPr>
      <w:r>
        <w:continuationSeparator/>
      </w:r>
    </w:p>
  </w:footnote>
  <w:footnote w:id="1">
    <w:p w14:paraId="4B51FBBF" w14:textId="77777777" w:rsidR="005B1B43" w:rsidRDefault="005B1B43" w:rsidP="005B1B43">
      <w:pPr>
        <w:pStyle w:val="Textonotapie"/>
        <w:ind w:firstLine="709"/>
        <w:jc w:val="both"/>
      </w:pPr>
      <w:r w:rsidRPr="00E864E2">
        <w:rPr>
          <w:rFonts w:ascii="Verdana" w:hAnsi="Verdana" w:cs="Arial"/>
          <w:sz w:val="16"/>
          <w:szCs w:val="16"/>
          <w:vertAlign w:val="superscript"/>
        </w:rPr>
        <w:footnoteRef/>
      </w:r>
      <w:r w:rsidRPr="00E864E2">
        <w:rPr>
          <w:rFonts w:ascii="Verdana" w:hAnsi="Verdana" w:cs="Arial"/>
          <w:sz w:val="16"/>
          <w:szCs w:val="16"/>
        </w:rPr>
        <w:t xml:space="preserve"> </w:t>
      </w:r>
      <w:r w:rsidRPr="00E864E2">
        <w:rPr>
          <w:rFonts w:ascii="Verdana" w:hAnsi="Verdana" w:cs="Arial"/>
          <w:sz w:val="16"/>
          <w:szCs w:val="16"/>
          <w:lang w:val="es-ES"/>
        </w:rPr>
        <w:t xml:space="preserve">Agencia Nacional de Contratación Pública – Colombia Compra Eficiente, </w:t>
      </w:r>
      <w:r w:rsidRPr="00E864E2">
        <w:rPr>
          <w:rFonts w:ascii="Verdana" w:hAnsi="Verdana" w:cs="Arial"/>
          <w:sz w:val="16"/>
          <w:szCs w:val="16"/>
        </w:rPr>
        <w:t>Concepto C – 629 de 2020.</w:t>
      </w:r>
      <w:r w:rsidRPr="00E864E2">
        <w:rPr>
          <w:rFonts w:ascii="Verdana" w:hAnsi="Verdana" w:cs="Arial"/>
          <w:sz w:val="16"/>
          <w:szCs w:val="16"/>
          <w:lang w:val="es-ES"/>
        </w:rPr>
        <w:t xml:space="preserve"> </w:t>
      </w:r>
    </w:p>
  </w:footnote>
  <w:footnote w:id="2">
    <w:p w14:paraId="2333A18F" w14:textId="77777777" w:rsidR="005B1B43" w:rsidRPr="00E864E2" w:rsidRDefault="005B1B43" w:rsidP="005B1B43">
      <w:pPr>
        <w:pStyle w:val="Textonotapie"/>
        <w:ind w:firstLine="709"/>
        <w:jc w:val="both"/>
        <w:rPr>
          <w:rFonts w:ascii="Verdana" w:hAnsi="Verdana" w:cs="Arial"/>
          <w:sz w:val="16"/>
          <w:szCs w:val="16"/>
          <w:lang w:val="es-ES"/>
        </w:rPr>
      </w:pPr>
      <w:r w:rsidRPr="00E864E2">
        <w:rPr>
          <w:rFonts w:ascii="Verdana" w:hAnsi="Verdana" w:cs="Arial"/>
          <w:sz w:val="16"/>
          <w:szCs w:val="16"/>
          <w:vertAlign w:val="superscript"/>
        </w:rPr>
        <w:footnoteRef/>
      </w:r>
      <w:r w:rsidRPr="00E864E2">
        <w:rPr>
          <w:rFonts w:ascii="Verdana" w:hAnsi="Verdana" w:cs="Arial"/>
          <w:sz w:val="16"/>
          <w:szCs w:val="16"/>
        </w:rPr>
        <w:t xml:space="preserve"> </w:t>
      </w:r>
      <w:r w:rsidRPr="00E864E2">
        <w:rPr>
          <w:rFonts w:ascii="Verdana" w:hAnsi="Verdana" w:cs="Arial"/>
          <w:i/>
          <w:iCs/>
          <w:sz w:val="16"/>
          <w:szCs w:val="16"/>
        </w:rPr>
        <w:t>Ibidem.</w:t>
      </w:r>
      <w:r w:rsidRPr="00E864E2">
        <w:rPr>
          <w:rFonts w:ascii="Verdana" w:hAnsi="Verdana" w:cs="Arial"/>
          <w:i/>
          <w:iCs/>
          <w:sz w:val="16"/>
          <w:szCs w:val="16"/>
          <w:lang w:val="es-ES"/>
        </w:rPr>
        <w:t xml:space="preserve"> </w:t>
      </w:r>
    </w:p>
    <w:p w14:paraId="0EC9B641" w14:textId="77777777" w:rsidR="005B1B43" w:rsidRDefault="005B1B43" w:rsidP="005B1B43">
      <w:pPr>
        <w:pStyle w:val="Textonotapie"/>
        <w:ind w:firstLine="709"/>
        <w:jc w:val="both"/>
      </w:pPr>
    </w:p>
  </w:footnote>
  <w:footnote w:id="3">
    <w:p w14:paraId="6B61A424" w14:textId="77777777" w:rsidR="005B1B43" w:rsidRPr="00E864E2" w:rsidRDefault="005B1B43" w:rsidP="005B1B43">
      <w:pPr>
        <w:pStyle w:val="Textonotapie"/>
        <w:ind w:firstLine="709"/>
        <w:jc w:val="both"/>
        <w:rPr>
          <w:rFonts w:ascii="Verdana" w:hAnsi="Verdana" w:cs="Arial"/>
          <w:sz w:val="16"/>
          <w:szCs w:val="16"/>
          <w:lang w:val="es-ES"/>
        </w:rPr>
      </w:pPr>
      <w:r w:rsidRPr="00E864E2">
        <w:rPr>
          <w:rFonts w:ascii="Verdana" w:hAnsi="Verdana" w:cs="Arial"/>
          <w:sz w:val="16"/>
          <w:szCs w:val="16"/>
          <w:vertAlign w:val="superscript"/>
        </w:rPr>
        <w:footnoteRef/>
      </w:r>
      <w:r w:rsidRPr="00E864E2">
        <w:rPr>
          <w:rFonts w:ascii="Verdana" w:hAnsi="Verdana" w:cs="Arial"/>
          <w:sz w:val="16"/>
          <w:szCs w:val="16"/>
        </w:rPr>
        <w:t xml:space="preserve"> Cfr. </w:t>
      </w:r>
      <w:r w:rsidRPr="00E864E2">
        <w:rPr>
          <w:rFonts w:ascii="Verdana" w:hAnsi="Verdana" w:cs="Arial"/>
          <w:sz w:val="16"/>
          <w:szCs w:val="16"/>
          <w:lang w:val="es-ES"/>
        </w:rPr>
        <w:t>Agencia Nacional de Contratación Pública – Colombia Compra Eficiente, Concepto C – 002 del 12 de febrero de 2020.</w:t>
      </w:r>
    </w:p>
    <w:p w14:paraId="1BE2F2B0" w14:textId="77777777" w:rsidR="005B1B43" w:rsidRDefault="005B1B43" w:rsidP="005B1B43">
      <w:pPr>
        <w:pStyle w:val="Textonotapie"/>
        <w:ind w:firstLine="709"/>
        <w:jc w:val="both"/>
      </w:pPr>
    </w:p>
  </w:footnote>
  <w:footnote w:id="4">
    <w:p w14:paraId="6C851C48" w14:textId="77777777" w:rsidR="005B1B43" w:rsidRPr="00E864E2" w:rsidRDefault="005B1B43" w:rsidP="005B1B43">
      <w:pPr>
        <w:pStyle w:val="Textonotapie"/>
        <w:ind w:firstLine="567"/>
        <w:jc w:val="both"/>
        <w:rPr>
          <w:rFonts w:ascii="Verdana" w:hAnsi="Verdana" w:cs="Arial"/>
          <w:sz w:val="16"/>
          <w:szCs w:val="16"/>
        </w:rPr>
      </w:pPr>
      <w:r w:rsidRPr="00E864E2">
        <w:rPr>
          <w:rFonts w:ascii="Verdana" w:hAnsi="Verdana" w:cs="Arial"/>
          <w:sz w:val="16"/>
          <w:szCs w:val="16"/>
          <w:vertAlign w:val="superscript"/>
        </w:rPr>
        <w:footnoteRef/>
      </w:r>
      <w:r w:rsidRPr="00E864E2">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w:t>
      </w:r>
    </w:p>
    <w:p w14:paraId="499AE7E6" w14:textId="77777777" w:rsidR="005B1B43" w:rsidRPr="00E864E2" w:rsidRDefault="005B1B43" w:rsidP="005B1B43">
      <w:pPr>
        <w:pStyle w:val="Textonotapie"/>
        <w:ind w:firstLine="567"/>
        <w:jc w:val="both"/>
        <w:rPr>
          <w:rFonts w:ascii="Verdana" w:hAnsi="Verdana" w:cs="Arial"/>
          <w:sz w:val="16"/>
          <w:szCs w:val="16"/>
        </w:rPr>
      </w:pPr>
      <w:r w:rsidRPr="00E864E2">
        <w:rPr>
          <w:rFonts w:ascii="Verdana" w:hAnsi="Verdana" w:cs="Arial"/>
          <w:sz w:val="16"/>
          <w:szCs w:val="16"/>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E864E2">
        <w:rPr>
          <w:rFonts w:ascii="Verdana" w:hAnsi="Verdana" w:cs="Arial"/>
          <w:sz w:val="16"/>
          <w:szCs w:val="16"/>
        </w:rPr>
        <w:t>smmlv</w:t>
      </w:r>
      <w:proofErr w:type="spellEnd"/>
      <w:r w:rsidRPr="00E864E2">
        <w:rPr>
          <w:rFonts w:ascii="Verdana" w:hAnsi="Verdana" w:cs="Arial"/>
          <w:sz w:val="16"/>
          <w:szCs w:val="16"/>
        </w:rPr>
        <w:t xml:space="preserve">. </w:t>
      </w:r>
    </w:p>
    <w:p w14:paraId="56BF3234" w14:textId="77777777" w:rsidR="005B1B43" w:rsidRPr="00E864E2" w:rsidRDefault="005B1B43" w:rsidP="005B1B43">
      <w:pPr>
        <w:pStyle w:val="Textonotapie"/>
        <w:ind w:firstLine="567"/>
        <w:jc w:val="both"/>
        <w:rPr>
          <w:rFonts w:ascii="Verdana" w:hAnsi="Verdana" w:cs="Arial"/>
          <w:sz w:val="16"/>
          <w:szCs w:val="16"/>
        </w:rPr>
      </w:pPr>
      <w:r w:rsidRPr="00E864E2">
        <w:rPr>
          <w:rFonts w:ascii="Verdana" w:hAnsi="Verdana" w:cs="Arial"/>
          <w:sz w:val="16"/>
          <w:szCs w:val="16"/>
        </w:rPr>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E864E2">
        <w:rPr>
          <w:rFonts w:ascii="Verdana" w:hAnsi="Verdana" w:cs="Arial"/>
          <w:sz w:val="16"/>
          <w:szCs w:val="16"/>
        </w:rPr>
        <w:t>smmlv</w:t>
      </w:r>
      <w:proofErr w:type="spellEnd"/>
      <w:r w:rsidRPr="00E864E2">
        <w:rPr>
          <w:rFonts w:ascii="Verdana" w:hAnsi="Verdana" w:cs="Arial"/>
          <w:sz w:val="16"/>
          <w:szCs w:val="16"/>
        </w:rPr>
        <w:t xml:space="preserve"> […]”.</w:t>
      </w:r>
    </w:p>
    <w:p w14:paraId="7FF5D1F3" w14:textId="77777777" w:rsidR="005B1B43" w:rsidRDefault="005B1B43" w:rsidP="005B1B43">
      <w:pPr>
        <w:pStyle w:val="Textonotapie"/>
        <w:ind w:firstLine="567"/>
        <w:jc w:val="both"/>
      </w:pPr>
      <w:r w:rsidRPr="00E864E2">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4990740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C37"/>
    <w:rsid w:val="000D0334"/>
    <w:rsid w:val="000F6486"/>
    <w:rsid w:val="00125105"/>
    <w:rsid w:val="00127233"/>
    <w:rsid w:val="001511A0"/>
    <w:rsid w:val="001877C3"/>
    <w:rsid w:val="001E4177"/>
    <w:rsid w:val="001F7DC6"/>
    <w:rsid w:val="00203CF2"/>
    <w:rsid w:val="002421BB"/>
    <w:rsid w:val="0025796E"/>
    <w:rsid w:val="00261DBD"/>
    <w:rsid w:val="002707A2"/>
    <w:rsid w:val="002951A0"/>
    <w:rsid w:val="002962BC"/>
    <w:rsid w:val="002A093D"/>
    <w:rsid w:val="002A0DD0"/>
    <w:rsid w:val="002A49AC"/>
    <w:rsid w:val="002A64FD"/>
    <w:rsid w:val="002C7A84"/>
    <w:rsid w:val="002E20AC"/>
    <w:rsid w:val="002E4FD9"/>
    <w:rsid w:val="00322A85"/>
    <w:rsid w:val="00324168"/>
    <w:rsid w:val="003448F4"/>
    <w:rsid w:val="00374F5E"/>
    <w:rsid w:val="00377E3E"/>
    <w:rsid w:val="003A779E"/>
    <w:rsid w:val="003B0DB5"/>
    <w:rsid w:val="003D0F4D"/>
    <w:rsid w:val="003D5B0D"/>
    <w:rsid w:val="003E0499"/>
    <w:rsid w:val="003F3941"/>
    <w:rsid w:val="00406575"/>
    <w:rsid w:val="00414C74"/>
    <w:rsid w:val="0042722E"/>
    <w:rsid w:val="0044528D"/>
    <w:rsid w:val="004A1847"/>
    <w:rsid w:val="004A305D"/>
    <w:rsid w:val="004B0340"/>
    <w:rsid w:val="004F21C4"/>
    <w:rsid w:val="004F685F"/>
    <w:rsid w:val="005566E8"/>
    <w:rsid w:val="00574867"/>
    <w:rsid w:val="00591460"/>
    <w:rsid w:val="005B1B43"/>
    <w:rsid w:val="005B3816"/>
    <w:rsid w:val="005C3777"/>
    <w:rsid w:val="005C5CDC"/>
    <w:rsid w:val="005D476C"/>
    <w:rsid w:val="006002BB"/>
    <w:rsid w:val="006219F8"/>
    <w:rsid w:val="00665D70"/>
    <w:rsid w:val="006900D9"/>
    <w:rsid w:val="006C7644"/>
    <w:rsid w:val="00706C16"/>
    <w:rsid w:val="00756841"/>
    <w:rsid w:val="007649AB"/>
    <w:rsid w:val="00771D0C"/>
    <w:rsid w:val="007833AC"/>
    <w:rsid w:val="007B268C"/>
    <w:rsid w:val="007B7171"/>
    <w:rsid w:val="007C0C0F"/>
    <w:rsid w:val="007C3DC2"/>
    <w:rsid w:val="007E01A2"/>
    <w:rsid w:val="007E5497"/>
    <w:rsid w:val="00803A53"/>
    <w:rsid w:val="00806F5F"/>
    <w:rsid w:val="00820278"/>
    <w:rsid w:val="00867F95"/>
    <w:rsid w:val="008843B6"/>
    <w:rsid w:val="00891928"/>
    <w:rsid w:val="008A446D"/>
    <w:rsid w:val="008D180B"/>
    <w:rsid w:val="008F0EA7"/>
    <w:rsid w:val="00923EEF"/>
    <w:rsid w:val="00934D08"/>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23C1B"/>
    <w:rsid w:val="00A33C78"/>
    <w:rsid w:val="00AB0ADB"/>
    <w:rsid w:val="00AC1547"/>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4415D"/>
    <w:rsid w:val="00D520D8"/>
    <w:rsid w:val="00D63AC2"/>
    <w:rsid w:val="00D7383B"/>
    <w:rsid w:val="00D8587F"/>
    <w:rsid w:val="00DA231B"/>
    <w:rsid w:val="00DC39FC"/>
    <w:rsid w:val="00DF5254"/>
    <w:rsid w:val="00E16408"/>
    <w:rsid w:val="00E20894"/>
    <w:rsid w:val="00E245AB"/>
    <w:rsid w:val="00E2764C"/>
    <w:rsid w:val="00E27F2E"/>
    <w:rsid w:val="00E50AFE"/>
    <w:rsid w:val="00E71EC6"/>
    <w:rsid w:val="00E75C92"/>
    <w:rsid w:val="00E771DC"/>
    <w:rsid w:val="00E8772A"/>
    <w:rsid w:val="00E90F6B"/>
    <w:rsid w:val="00E92C27"/>
    <w:rsid w:val="00EA0E3D"/>
    <w:rsid w:val="00EC38A7"/>
    <w:rsid w:val="00EC7A1B"/>
    <w:rsid w:val="00ED7384"/>
    <w:rsid w:val="00EE1AA8"/>
    <w:rsid w:val="00F06CFF"/>
    <w:rsid w:val="00F31EDC"/>
    <w:rsid w:val="00F462B3"/>
    <w:rsid w:val="00F55B64"/>
    <w:rsid w:val="00F5664F"/>
    <w:rsid w:val="00F666C4"/>
    <w:rsid w:val="00F76AFC"/>
    <w:rsid w:val="00FA47C0"/>
    <w:rsid w:val="00FB5DD1"/>
    <w:rsid w:val="00FC2B5D"/>
    <w:rsid w:val="00FF1449"/>
    <w:rsid w:val="165E9519"/>
    <w:rsid w:val="382536D9"/>
    <w:rsid w:val="60CD6777"/>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5B1B4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B1B43"/>
    <w:pPr>
      <w:spacing w:after="0" w:line="240" w:lineRule="auto"/>
      <w:jc w:val="both"/>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rnandog213@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BCB89C0-B345-4D7E-85F2-129D208AD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4237</Words>
  <Characters>23307</Characters>
  <Application>Microsoft Office Word</Application>
  <DocSecurity>0</DocSecurity>
  <Lines>194</Lines>
  <Paragraphs>54</Paragraphs>
  <ScaleCrop>false</ScaleCrop>
  <Company/>
  <LinksUpToDate>false</LinksUpToDate>
  <CharactersWithSpaces>27490</CharactersWithSpaces>
  <SharedDoc>false</SharedDoc>
  <HLinks>
    <vt:vector size="18" baseType="variant">
      <vt:variant>
        <vt:i4>3276900</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5177395</vt:i4>
      </vt:variant>
      <vt:variant>
        <vt:i4>0</vt:i4>
      </vt:variant>
      <vt:variant>
        <vt:i4>0</vt:i4>
      </vt:variant>
      <vt:variant>
        <vt:i4>5</vt:i4>
      </vt:variant>
      <vt:variant>
        <vt:lpwstr>mailto:Fernandog213@hotmail.com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2025-09-02T15:28:00Z</dcterms:created>
  <dcterms:modified xsi:type="dcterms:W3CDTF">2025-09-02T15:28:00Z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