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E0B06" w14:textId="77777777" w:rsidR="00E14685" w:rsidRPr="00FD1765" w:rsidRDefault="00E14685" w:rsidP="00E14685">
      <w:pPr>
        <w:spacing w:before="120" w:after="120" w:line="276" w:lineRule="auto"/>
        <w:rPr>
          <w:rFonts w:ascii="Verdana" w:eastAsia="Calibri" w:hAnsi="Verdana" w:cs="Arial"/>
          <w:b/>
          <w:bCs/>
          <w:lang w:val="es-ES" w:eastAsia="es-ES"/>
        </w:rPr>
      </w:pPr>
      <w:r w:rsidRPr="00FD1765">
        <w:rPr>
          <w:rFonts w:ascii="Verdana" w:eastAsia="Calibri" w:hAnsi="Verdana" w:cs="Arial"/>
          <w:b/>
          <w:bCs/>
          <w:lang w:val="es-ES" w:eastAsia="es-ES"/>
        </w:rPr>
        <w:t>INHABILIDADES</w:t>
      </w:r>
      <w:r>
        <w:rPr>
          <w:rFonts w:ascii="Verdana" w:eastAsia="Calibri" w:hAnsi="Verdana" w:cs="Arial"/>
          <w:b/>
          <w:bCs/>
          <w:lang w:val="es-ES" w:eastAsia="es-ES"/>
        </w:rPr>
        <w:t xml:space="preserve"> </w:t>
      </w:r>
      <w:r w:rsidRPr="00FD1765">
        <w:rPr>
          <w:rFonts w:ascii="Verdana" w:eastAsia="Calibri" w:hAnsi="Verdana" w:cs="Arial"/>
          <w:b/>
          <w:bCs/>
          <w:lang w:val="es-ES" w:eastAsia="es-ES"/>
        </w:rPr>
        <w:t>E</w:t>
      </w:r>
      <w:r>
        <w:rPr>
          <w:rFonts w:ascii="Verdana" w:eastAsia="Calibri" w:hAnsi="Verdana" w:cs="Arial"/>
          <w:b/>
          <w:bCs/>
          <w:lang w:val="es-ES" w:eastAsia="es-ES"/>
        </w:rPr>
        <w:t xml:space="preserve"> </w:t>
      </w:r>
      <w:r w:rsidRPr="00FD1765">
        <w:rPr>
          <w:rFonts w:ascii="Verdana" w:eastAsia="Calibri" w:hAnsi="Verdana" w:cs="Arial"/>
          <w:b/>
          <w:bCs/>
          <w:lang w:val="es-ES" w:eastAsia="es-ES"/>
        </w:rPr>
        <w:t>INCOMPATIBILIDADES –</w:t>
      </w:r>
      <w:r>
        <w:rPr>
          <w:rFonts w:ascii="Verdana" w:eastAsia="Calibri" w:hAnsi="Verdana" w:cs="Arial"/>
          <w:b/>
          <w:bCs/>
          <w:lang w:val="es-ES" w:eastAsia="es-ES"/>
        </w:rPr>
        <w:t xml:space="preserve"> </w:t>
      </w:r>
      <w:r w:rsidRPr="00FD1765">
        <w:rPr>
          <w:rFonts w:ascii="Verdana" w:eastAsia="Calibri" w:hAnsi="Verdana" w:cs="Arial"/>
          <w:b/>
          <w:bCs/>
          <w:lang w:val="es-ES" w:eastAsia="es-ES"/>
        </w:rPr>
        <w:t>Límites a la capacidad –</w:t>
      </w:r>
      <w:r>
        <w:rPr>
          <w:rFonts w:ascii="Verdana" w:eastAsia="Calibri" w:hAnsi="Verdana" w:cs="Arial"/>
          <w:b/>
          <w:bCs/>
          <w:lang w:val="es-ES" w:eastAsia="es-ES"/>
        </w:rPr>
        <w:t xml:space="preserve"> </w:t>
      </w:r>
      <w:r w:rsidRPr="00FD1765">
        <w:rPr>
          <w:rFonts w:ascii="Verdana" w:eastAsia="Calibri" w:hAnsi="Verdana" w:cs="Arial"/>
          <w:b/>
          <w:bCs/>
          <w:lang w:val="es-ES" w:eastAsia="es-ES"/>
        </w:rPr>
        <w:t xml:space="preserve">Régimen </w:t>
      </w:r>
    </w:p>
    <w:p w14:paraId="72F9D173" w14:textId="77777777" w:rsidR="00E14685" w:rsidRPr="00FD1765" w:rsidRDefault="00E14685" w:rsidP="00E14685">
      <w:pPr>
        <w:spacing w:after="0" w:line="240" w:lineRule="auto"/>
        <w:jc w:val="both"/>
        <w:rPr>
          <w:rFonts w:ascii="Verdana" w:eastAsia="Calibri" w:hAnsi="Verdana" w:cs="Arial"/>
          <w:sz w:val="20"/>
          <w:szCs w:val="20"/>
          <w:lang w:val="es-ES"/>
        </w:rPr>
      </w:pPr>
      <w:r w:rsidRPr="00FD1765">
        <w:rPr>
          <w:rFonts w:ascii="Verdana" w:eastAsia="Calibri" w:hAnsi="Verdana" w:cs="Arial"/>
          <w:sz w:val="20"/>
          <w:szCs w:val="20"/>
          <w:lang w:val="es-ES"/>
        </w:rPr>
        <w:t>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p>
    <w:p w14:paraId="74E514BF" w14:textId="77777777" w:rsidR="00E14685" w:rsidRPr="00FD1765" w:rsidRDefault="00E14685" w:rsidP="00E14685">
      <w:pPr>
        <w:spacing w:after="0" w:line="240" w:lineRule="auto"/>
        <w:jc w:val="both"/>
        <w:rPr>
          <w:rFonts w:ascii="Verdana" w:eastAsia="Calibri" w:hAnsi="Verdana" w:cs="Arial"/>
          <w:sz w:val="20"/>
          <w:szCs w:val="20"/>
          <w:lang w:val="es-ES"/>
        </w:rPr>
      </w:pPr>
    </w:p>
    <w:p w14:paraId="1359D9DA" w14:textId="77777777" w:rsidR="00E14685" w:rsidRPr="00FD1765" w:rsidRDefault="00E14685" w:rsidP="00E14685">
      <w:pPr>
        <w:spacing w:after="0" w:line="240" w:lineRule="auto"/>
        <w:jc w:val="both"/>
        <w:rPr>
          <w:rFonts w:ascii="Verdana" w:eastAsia="Calibri" w:hAnsi="Verdana" w:cs="Arial"/>
          <w:sz w:val="20"/>
          <w:szCs w:val="20"/>
          <w:lang w:val="es-ES"/>
        </w:rPr>
      </w:pPr>
      <w:r w:rsidRPr="00FD1765">
        <w:rPr>
          <w:rFonts w:ascii="Verdana" w:eastAsia="Calibri" w:hAnsi="Verdana" w:cs="Arial"/>
          <w:sz w:val="20"/>
          <w:szCs w:val="20"/>
          <w:lang w:val="es-ES"/>
        </w:rPr>
        <w:t>La consagración de limitaciones que afectan la capacidad jurídica para contratar desarrolla los principios de la función administrativa consagrados en el artículo 209 de la Constitución Política, con especial énfasis el de moralidad.</w:t>
      </w:r>
    </w:p>
    <w:p w14:paraId="79073A69" w14:textId="77777777" w:rsidR="00E14685" w:rsidRPr="00FD1765" w:rsidRDefault="00E14685" w:rsidP="00E14685">
      <w:pPr>
        <w:spacing w:after="120" w:line="240" w:lineRule="auto"/>
        <w:jc w:val="both"/>
        <w:rPr>
          <w:rFonts w:ascii="Verdana" w:eastAsia="Calibri" w:hAnsi="Verdana" w:cs="Arial"/>
          <w:sz w:val="20"/>
          <w:szCs w:val="20"/>
          <w:lang w:val="es-ES"/>
        </w:rPr>
      </w:pPr>
    </w:p>
    <w:p w14:paraId="2558D385" w14:textId="0D03516C" w:rsidR="00E14685" w:rsidRPr="00FD1765" w:rsidRDefault="00E14685" w:rsidP="00E14685">
      <w:pPr>
        <w:spacing w:before="120" w:after="120" w:line="276" w:lineRule="auto"/>
        <w:jc w:val="both"/>
        <w:rPr>
          <w:rFonts w:ascii="Verdana" w:eastAsia="Calibri" w:hAnsi="Verdana" w:cs="Arial"/>
          <w:b/>
          <w:bCs/>
          <w:lang w:val="es-ES" w:eastAsia="es-ES"/>
        </w:rPr>
      </w:pPr>
      <w:r w:rsidRPr="00FD1765">
        <w:rPr>
          <w:rFonts w:ascii="Verdana" w:eastAsia="Calibri" w:hAnsi="Verdana" w:cs="Arial"/>
          <w:b/>
          <w:bCs/>
          <w:lang w:val="es-ES" w:eastAsia="es-ES"/>
        </w:rPr>
        <w:t>INHABILIDADES   E   INCOMPATIBILIDADES   –</w:t>
      </w:r>
      <w:r w:rsidR="006E6546">
        <w:rPr>
          <w:rFonts w:ascii="Verdana" w:eastAsia="Calibri" w:hAnsi="Verdana" w:cs="Arial"/>
          <w:b/>
          <w:bCs/>
          <w:lang w:val="es-ES" w:eastAsia="es-ES"/>
        </w:rPr>
        <w:t xml:space="preserve"> </w:t>
      </w:r>
      <w:r w:rsidRPr="00FD1765">
        <w:rPr>
          <w:rFonts w:ascii="Verdana" w:eastAsia="Calibri" w:hAnsi="Verdana" w:cs="Arial"/>
          <w:b/>
          <w:bCs/>
          <w:lang w:val="es-ES" w:eastAsia="es-ES"/>
        </w:rPr>
        <w:t xml:space="preserve">Concepto </w:t>
      </w:r>
    </w:p>
    <w:p w14:paraId="5BB75514" w14:textId="77777777" w:rsidR="00E14685" w:rsidRPr="00FD1765" w:rsidRDefault="00E14685" w:rsidP="00E14685">
      <w:pPr>
        <w:spacing w:after="0" w:line="240" w:lineRule="auto"/>
        <w:jc w:val="both"/>
        <w:rPr>
          <w:rFonts w:ascii="Verdana" w:eastAsia="Calibri" w:hAnsi="Verdana" w:cs="Arial"/>
          <w:sz w:val="20"/>
          <w:szCs w:val="20"/>
          <w:lang w:val="es-ES"/>
        </w:rPr>
      </w:pPr>
      <w:r w:rsidRPr="00FD1765">
        <w:rPr>
          <w:rFonts w:ascii="Verdana" w:eastAsia="Calibri" w:hAnsi="Verdana" w:cs="Arial"/>
          <w:sz w:val="20"/>
          <w:szCs w:val="20"/>
          <w:lang w:val="es-ES"/>
        </w:rPr>
        <w:t>[…] 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consagradas por el ordenamiento jurídico.</w:t>
      </w:r>
    </w:p>
    <w:p w14:paraId="2347D036" w14:textId="77777777" w:rsidR="00E14685" w:rsidRPr="00FD1765" w:rsidRDefault="00E14685" w:rsidP="00E14685">
      <w:pPr>
        <w:spacing w:after="0" w:line="240" w:lineRule="auto"/>
        <w:jc w:val="both"/>
        <w:rPr>
          <w:rFonts w:ascii="Verdana" w:eastAsia="Calibri" w:hAnsi="Verdana" w:cs="Arial"/>
          <w:sz w:val="20"/>
          <w:szCs w:val="20"/>
          <w:lang w:val="es-ES"/>
        </w:rPr>
      </w:pPr>
      <w:r w:rsidRPr="00FD1765">
        <w:rPr>
          <w:rFonts w:ascii="Verdana" w:eastAsia="Calibri" w:hAnsi="Verdana" w:cs="Arial"/>
          <w:sz w:val="20"/>
          <w:szCs w:val="20"/>
          <w:lang w:val="es-ES"/>
        </w:rPr>
        <w:t>[…]</w:t>
      </w:r>
    </w:p>
    <w:p w14:paraId="150B6955" w14:textId="77777777" w:rsidR="00E14685" w:rsidRPr="00FD1765" w:rsidRDefault="00E14685" w:rsidP="00E14685">
      <w:pPr>
        <w:spacing w:after="0" w:line="240" w:lineRule="auto"/>
        <w:jc w:val="both"/>
        <w:rPr>
          <w:rFonts w:ascii="Verdana" w:eastAsia="Calibri" w:hAnsi="Verdana" w:cs="Arial"/>
          <w:sz w:val="20"/>
          <w:szCs w:val="20"/>
          <w:lang w:val="es-ES"/>
        </w:rPr>
      </w:pPr>
      <w:r w:rsidRPr="00FD1765">
        <w:rPr>
          <w:rFonts w:ascii="Verdana" w:eastAsia="Calibri" w:hAnsi="Verdana" w:cs="Arial"/>
          <w:sz w:val="20"/>
          <w:szCs w:val="20"/>
          <w:lang w:val="es-ES"/>
        </w:rPr>
        <w:t>Se puede afirmar que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w:t>
      </w:r>
    </w:p>
    <w:p w14:paraId="71D4A0D1" w14:textId="77777777" w:rsidR="00E14685" w:rsidRPr="00FD1765" w:rsidRDefault="00E14685" w:rsidP="00E14685">
      <w:pPr>
        <w:spacing w:after="0" w:line="240" w:lineRule="auto"/>
        <w:jc w:val="both"/>
        <w:rPr>
          <w:rFonts w:ascii="Verdana" w:eastAsia="Calibri" w:hAnsi="Verdana" w:cs="Arial"/>
          <w:sz w:val="20"/>
          <w:szCs w:val="20"/>
          <w:lang w:val="es-ES"/>
        </w:rPr>
      </w:pPr>
    </w:p>
    <w:p w14:paraId="052A61F3" w14:textId="77777777" w:rsidR="00E14685" w:rsidRPr="00FD1765" w:rsidRDefault="00E14685" w:rsidP="00E14685">
      <w:pPr>
        <w:spacing w:before="120" w:after="120" w:line="276" w:lineRule="auto"/>
        <w:jc w:val="both"/>
        <w:rPr>
          <w:rFonts w:ascii="Verdana" w:eastAsia="Calibri" w:hAnsi="Verdana" w:cs="Arial"/>
          <w:b/>
          <w:bCs/>
          <w:lang w:val="es-ES" w:eastAsia="es-ES"/>
        </w:rPr>
      </w:pPr>
      <w:r w:rsidRPr="00FD1765">
        <w:rPr>
          <w:rFonts w:ascii="Verdana" w:eastAsia="Calibri" w:hAnsi="Verdana" w:cs="Arial"/>
          <w:b/>
          <w:bCs/>
          <w:lang w:val="es-ES" w:eastAsia="es-ES"/>
        </w:rPr>
        <w:t>INHABILIDADES E INCOMPATIBILIDADES – Interpretación restrictiva</w:t>
      </w:r>
    </w:p>
    <w:p w14:paraId="45FC49AB" w14:textId="77777777" w:rsidR="00E14685" w:rsidRDefault="00E14685" w:rsidP="00E14685">
      <w:pPr>
        <w:spacing w:after="0" w:line="240" w:lineRule="auto"/>
        <w:jc w:val="both"/>
        <w:rPr>
          <w:rFonts w:ascii="Verdana" w:eastAsia="Calibri" w:hAnsi="Verdana" w:cs="Arial"/>
          <w:sz w:val="20"/>
          <w:szCs w:val="20"/>
          <w:lang w:val="es-ES"/>
        </w:rPr>
      </w:pPr>
      <w:r w:rsidRPr="00FD1765">
        <w:rPr>
          <w:rFonts w:ascii="Verdana" w:eastAsia="Calibri" w:hAnsi="Verdana" w:cs="Arial"/>
          <w:sz w:val="20"/>
          <w:szCs w:val="20"/>
          <w:lang w:val="es-ES"/>
        </w:rPr>
        <w:t>[…]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restrictiva , pues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w:t>
      </w:r>
    </w:p>
    <w:p w14:paraId="7AA30D45" w14:textId="77777777" w:rsidR="00E14685" w:rsidRDefault="00E14685" w:rsidP="00E14685">
      <w:pPr>
        <w:spacing w:after="0" w:line="240" w:lineRule="auto"/>
        <w:jc w:val="both"/>
        <w:rPr>
          <w:rFonts w:ascii="Verdana" w:eastAsia="Calibri" w:hAnsi="Verdana" w:cs="Arial"/>
          <w:sz w:val="20"/>
          <w:szCs w:val="20"/>
          <w:lang w:val="es-ES"/>
        </w:rPr>
      </w:pPr>
      <w:r>
        <w:rPr>
          <w:rFonts w:ascii="Verdana" w:eastAsia="Calibri" w:hAnsi="Verdana" w:cs="Arial"/>
          <w:sz w:val="20"/>
          <w:szCs w:val="20"/>
          <w:lang w:val="es-ES"/>
        </w:rPr>
        <w:t>[…]</w:t>
      </w:r>
    </w:p>
    <w:p w14:paraId="5C40FC56" w14:textId="77777777" w:rsidR="00E14685" w:rsidRPr="00CC5F8C" w:rsidRDefault="00E14685" w:rsidP="00E14685">
      <w:pPr>
        <w:spacing w:after="0" w:line="240" w:lineRule="auto"/>
        <w:jc w:val="both"/>
        <w:rPr>
          <w:rFonts w:ascii="Verdana" w:eastAsia="Calibri" w:hAnsi="Verdana" w:cs="Arial"/>
          <w:sz w:val="20"/>
          <w:szCs w:val="20"/>
          <w:lang w:val="es-ES"/>
        </w:rPr>
      </w:pPr>
      <w:r>
        <w:rPr>
          <w:rFonts w:ascii="Verdana" w:eastAsia="Calibri" w:hAnsi="Verdana" w:cs="Arial"/>
          <w:sz w:val="20"/>
          <w:szCs w:val="20"/>
          <w:lang w:val="es-ES"/>
        </w:rPr>
        <w:t xml:space="preserve">[…] </w:t>
      </w:r>
      <w:r w:rsidRPr="00CC5F8C">
        <w:rPr>
          <w:rFonts w:ascii="Verdana" w:eastAsia="Calibri" w:hAnsi="Verdana" w:cs="Arial"/>
          <w:sz w:val="20"/>
          <w:szCs w:val="20"/>
          <w:lang w:val="es-ES"/>
        </w:rPr>
        <w:t>el Consejo de Estado ha acogido también este criterio, considerando –como expresa la Sala de Consulta y Servicio Civil– que “La interpretación restrictiva de las normas que establecen inhabilidades constituye una aplicación del principio del Estado de Derecho</w:t>
      </w:r>
      <w:r>
        <w:rPr>
          <w:rFonts w:ascii="Verdana" w:eastAsia="Calibri" w:hAnsi="Verdana" w:cs="Arial"/>
          <w:sz w:val="20"/>
          <w:szCs w:val="20"/>
          <w:lang w:val="es-ES"/>
        </w:rPr>
        <w:t>”</w:t>
      </w:r>
      <w:r w:rsidRPr="00CC5F8C">
        <w:rPr>
          <w:rFonts w:ascii="Verdana" w:eastAsia="Calibri" w:hAnsi="Verdana" w:cs="Arial"/>
          <w:sz w:val="20"/>
          <w:szCs w:val="20"/>
          <w:lang w:val="es-ES"/>
        </w:rPr>
        <w:t xml:space="preserve"> previsto en el artículo 6º de la Constitución, según el cual “Los particulares sólo son responsables ante las autoridades por infringir la Constitución y las leyes” lo que se traduce en que pueden hacer todo aquello que no les esté expresamente prohibido</w:t>
      </w:r>
      <w:r>
        <w:rPr>
          <w:rFonts w:ascii="Verdana" w:eastAsia="Calibri" w:hAnsi="Verdana" w:cs="Arial"/>
          <w:sz w:val="20"/>
          <w:szCs w:val="20"/>
          <w:lang w:val="es-ES"/>
        </w:rPr>
        <w:t>”.</w:t>
      </w:r>
    </w:p>
    <w:p w14:paraId="441D5B37" w14:textId="77777777" w:rsidR="00E14685" w:rsidRDefault="00E14685" w:rsidP="00E14685">
      <w:pPr>
        <w:spacing w:after="0" w:line="240" w:lineRule="auto"/>
        <w:rPr>
          <w:rFonts w:ascii="Verdana" w:eastAsia="Geomanist Light" w:hAnsi="Verdana" w:cs="Arial"/>
          <w:color w:val="000000" w:themeColor="text1"/>
          <w:lang w:val="es-MX"/>
        </w:rPr>
      </w:pPr>
    </w:p>
    <w:p w14:paraId="35411D01" w14:textId="77777777" w:rsidR="00E14685" w:rsidRDefault="00E14685" w:rsidP="00E14685">
      <w:pPr>
        <w:spacing w:after="0" w:line="240" w:lineRule="auto"/>
        <w:rPr>
          <w:rFonts w:ascii="Verdana" w:eastAsia="Geomanist Light" w:hAnsi="Verdana" w:cs="Arial"/>
          <w:lang w:val="es-MX"/>
        </w:rPr>
      </w:pPr>
    </w:p>
    <w:p w14:paraId="1E0288E8" w14:textId="77777777" w:rsidR="00E14685" w:rsidRDefault="00E14685" w:rsidP="00E14685">
      <w:pPr>
        <w:rPr>
          <w:rFonts w:ascii="Verdana" w:eastAsia="Geomanist Light" w:hAnsi="Verdana" w:cs="Arial"/>
          <w:lang w:val="es-MX"/>
        </w:rPr>
      </w:pPr>
    </w:p>
    <w:p w14:paraId="624AE214" w14:textId="18650C35" w:rsidR="00E14685" w:rsidRPr="00EA7EA8" w:rsidRDefault="00E14685" w:rsidP="0065682A">
      <w:pPr>
        <w:spacing w:after="0" w:line="240" w:lineRule="auto"/>
        <w:rPr>
          <w:rFonts w:ascii="Verdana" w:eastAsia="Geomanist Light" w:hAnsi="Verdana" w:cs="Arial"/>
          <w:lang w:val="es-MX"/>
        </w:rPr>
      </w:pPr>
      <w:r w:rsidRPr="00EA7EA8">
        <w:rPr>
          <w:rFonts w:ascii="Verdana" w:eastAsia="Geomanist Light" w:hAnsi="Verdana" w:cs="Arial"/>
          <w:lang w:val="es-MX"/>
        </w:rPr>
        <w:lastRenderedPageBreak/>
        <w:t>Bogotá D.C., [Día] de [</w:t>
      </w:r>
      <w:proofErr w:type="spellStart"/>
      <w:r w:rsidRPr="00EA7EA8">
        <w:rPr>
          <w:rFonts w:ascii="Verdana" w:eastAsia="Geomanist Light" w:hAnsi="Verdana" w:cs="Arial"/>
          <w:lang w:val="es-MX"/>
        </w:rPr>
        <w:t>Mes.NombreCapitalizado</w:t>
      </w:r>
      <w:proofErr w:type="spellEnd"/>
      <w:r w:rsidRPr="00EA7EA8">
        <w:rPr>
          <w:rFonts w:ascii="Verdana" w:eastAsia="Geomanist Light" w:hAnsi="Verdana" w:cs="Arial"/>
          <w:lang w:val="es-MX"/>
        </w:rPr>
        <w:t>] de [Año]</w:t>
      </w:r>
    </w:p>
    <w:p w14:paraId="6DD00323" w14:textId="779202C0" w:rsidR="00E14685" w:rsidRPr="00EA7EA8" w:rsidRDefault="006A7273" w:rsidP="0065682A">
      <w:pPr>
        <w:spacing w:after="0" w:line="240" w:lineRule="auto"/>
        <w:jc w:val="both"/>
        <w:rPr>
          <w:rFonts w:ascii="Verdana" w:eastAsia="Calibri" w:hAnsi="Verdana" w:cs="Arial"/>
          <w:lang w:val="es-ES"/>
        </w:rPr>
      </w:pPr>
      <w:r w:rsidRPr="006A7273">
        <w:rPr>
          <w:rFonts w:ascii="Verdana" w:eastAsia="Calibri" w:hAnsi="Verdana" w:cs="Arial"/>
          <w:noProof/>
          <w:lang w:val="es-ES" w:eastAsia="es-ES"/>
        </w:rPr>
        <w:drawing>
          <wp:anchor distT="0" distB="0" distL="114300" distR="114300" simplePos="0" relativeHeight="251658240" behindDoc="1" locked="0" layoutInCell="1" allowOverlap="1" wp14:anchorId="7CBEB908" wp14:editId="3D9E35CF">
            <wp:simplePos x="0" y="0"/>
            <wp:positionH relativeFrom="margin">
              <wp:align>right</wp:align>
            </wp:positionH>
            <wp:positionV relativeFrom="paragraph">
              <wp:posOffset>74930</wp:posOffset>
            </wp:positionV>
            <wp:extent cx="2611755" cy="842645"/>
            <wp:effectExtent l="0" t="0" r="0" b="0"/>
            <wp:wrapSquare wrapText="bothSides"/>
            <wp:docPr id="189103108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031084"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2611755" cy="842645"/>
                    </a:xfrm>
                    <a:prstGeom prst="rect">
                      <a:avLst/>
                    </a:prstGeom>
                  </pic:spPr>
                </pic:pic>
              </a:graphicData>
            </a:graphic>
            <wp14:sizeRelH relativeFrom="page">
              <wp14:pctWidth>0</wp14:pctWidth>
            </wp14:sizeRelH>
            <wp14:sizeRelV relativeFrom="page">
              <wp14:pctHeight>0</wp14:pctHeight>
            </wp14:sizeRelV>
          </wp:anchor>
        </w:drawing>
      </w:r>
    </w:p>
    <w:p w14:paraId="601548CE" w14:textId="363887BE" w:rsidR="00E14685" w:rsidRDefault="00E14685" w:rsidP="0065682A">
      <w:pPr>
        <w:spacing w:after="0" w:line="240" w:lineRule="auto"/>
        <w:jc w:val="both"/>
        <w:rPr>
          <w:rFonts w:ascii="Verdana" w:eastAsia="Calibri" w:hAnsi="Verdana" w:cs="Arial"/>
          <w:lang w:val="es-ES" w:eastAsia="es-ES"/>
        </w:rPr>
      </w:pPr>
      <w:r w:rsidRPr="00EA7EA8">
        <w:rPr>
          <w:rFonts w:ascii="Verdana" w:eastAsia="Calibri" w:hAnsi="Verdana" w:cs="Arial"/>
          <w:lang w:val="es-ES" w:eastAsia="es-ES"/>
        </w:rPr>
        <w:t>Señor</w:t>
      </w:r>
    </w:p>
    <w:p w14:paraId="24F1DC79" w14:textId="21DBBD44" w:rsidR="00870614" w:rsidRDefault="00870614" w:rsidP="0065682A">
      <w:pPr>
        <w:spacing w:after="0" w:line="240" w:lineRule="auto"/>
        <w:jc w:val="both"/>
        <w:rPr>
          <w:rFonts w:ascii="Verdana" w:eastAsia="Calibri" w:hAnsi="Verdana" w:cs="Arial"/>
          <w:b/>
          <w:bCs/>
          <w:lang w:val="es-ES" w:eastAsia="es-ES"/>
        </w:rPr>
      </w:pPr>
      <w:r w:rsidRPr="00870614">
        <w:rPr>
          <w:rFonts w:ascii="Verdana" w:eastAsia="Calibri" w:hAnsi="Verdana" w:cs="Arial"/>
          <w:b/>
          <w:bCs/>
          <w:lang w:val="es-ES" w:eastAsia="es-ES"/>
        </w:rPr>
        <w:t>Gustavo Enrique Gil Garay</w:t>
      </w:r>
    </w:p>
    <w:p w14:paraId="5A3DC6FA" w14:textId="2A39DB52" w:rsidR="00E14685" w:rsidRPr="00EA7EA8" w:rsidRDefault="00E14685" w:rsidP="0065682A">
      <w:pPr>
        <w:spacing w:after="0" w:line="240" w:lineRule="auto"/>
        <w:rPr>
          <w:rFonts w:ascii="Verdana" w:eastAsia="Calibri" w:hAnsi="Verdana" w:cs="Arial"/>
          <w:b/>
          <w:bCs/>
          <w:lang w:val="es-ES" w:eastAsia="es-ES"/>
        </w:rPr>
      </w:pPr>
      <w:r w:rsidRPr="00EA7EA8">
        <w:rPr>
          <w:rFonts w:ascii="Verdana" w:eastAsia="Calibri" w:hAnsi="Verdana" w:cs="Arial"/>
          <w:lang w:val="es-ES" w:eastAsia="es-ES"/>
        </w:rPr>
        <w:t>Bogotá</w:t>
      </w:r>
      <w:r>
        <w:rPr>
          <w:rFonts w:ascii="Verdana" w:eastAsia="Calibri" w:hAnsi="Verdana" w:cs="Arial"/>
          <w:lang w:val="es-ES" w:eastAsia="es-ES"/>
        </w:rPr>
        <w:t xml:space="preserve"> D.C.</w:t>
      </w:r>
      <w:r w:rsidRPr="00780323">
        <w:rPr>
          <w:rFonts w:ascii="Verdana" w:eastAsia="Calibri" w:hAnsi="Verdana" w:cs="Arial"/>
          <w:lang w:val="es-ES" w:eastAsia="es-ES"/>
        </w:rPr>
        <w:t>,</w:t>
      </w:r>
      <w:r w:rsidRPr="00EA7EA8">
        <w:rPr>
          <w:rFonts w:ascii="Verdana" w:eastAsia="Calibri" w:hAnsi="Verdana" w:cs="Arial"/>
          <w:lang w:val="es-ES" w:eastAsia="es-ES"/>
        </w:rPr>
        <w:t xml:space="preserve"> Cundinamarca</w:t>
      </w:r>
      <w:r w:rsidR="006A7273" w:rsidRPr="006A7273">
        <w:rPr>
          <w:noProof/>
        </w:rPr>
        <w:t xml:space="preserve"> </w:t>
      </w:r>
    </w:p>
    <w:p w14:paraId="0F0756F0" w14:textId="77777777" w:rsidR="00E14685" w:rsidRPr="00EA7EA8" w:rsidRDefault="00E14685" w:rsidP="0065682A">
      <w:pPr>
        <w:spacing w:after="0" w:line="240" w:lineRule="auto"/>
        <w:rPr>
          <w:rFonts w:ascii="Verdana" w:eastAsia="Calibri" w:hAnsi="Verdana" w:cs="Arial"/>
          <w:b/>
          <w:bCs/>
          <w:lang w:val="es-ES_tradnl" w:eastAsia="es-ES_tradnl"/>
        </w:rPr>
      </w:pPr>
    </w:p>
    <w:p w14:paraId="279F012B" w14:textId="77777777" w:rsidR="00E14685" w:rsidRPr="00EA7EA8" w:rsidRDefault="00E14685" w:rsidP="0065682A">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14685" w:rsidRPr="00EA7EA8" w14:paraId="3A5FC126" w14:textId="77777777" w:rsidTr="00A82D8D">
        <w:trPr>
          <w:trHeight w:val="190"/>
        </w:trPr>
        <w:tc>
          <w:tcPr>
            <w:tcW w:w="2689" w:type="dxa"/>
          </w:tcPr>
          <w:p w14:paraId="19FC8925" w14:textId="77777777" w:rsidR="00E14685" w:rsidRPr="00EA7EA8" w:rsidRDefault="00E14685" w:rsidP="0065682A">
            <w:pPr>
              <w:jc w:val="both"/>
              <w:rPr>
                <w:rFonts w:ascii="Verdana" w:eastAsia="Calibri" w:hAnsi="Verdana" w:cs="Arial"/>
                <w:b/>
                <w:bCs/>
                <w:lang w:val="es-ES_tradnl" w:eastAsia="es-ES_tradnl"/>
              </w:rPr>
            </w:pPr>
          </w:p>
        </w:tc>
        <w:tc>
          <w:tcPr>
            <w:tcW w:w="6100" w:type="dxa"/>
          </w:tcPr>
          <w:p w14:paraId="0825FE9A" w14:textId="77777777" w:rsidR="00E14685" w:rsidRPr="00780323" w:rsidRDefault="00E14685" w:rsidP="0065682A">
            <w:pPr>
              <w:jc w:val="both"/>
              <w:rPr>
                <w:rFonts w:ascii="Verdana" w:eastAsia="Calibri" w:hAnsi="Verdana" w:cs="Arial"/>
                <w:b/>
                <w:bCs/>
                <w:lang w:val="es-ES" w:eastAsia="es-ES"/>
              </w:rPr>
            </w:pPr>
            <w:r w:rsidRPr="00EA7EA8">
              <w:rPr>
                <w:rFonts w:ascii="Verdana" w:eastAsia="Calibri" w:hAnsi="Verdana" w:cs="Arial"/>
                <w:b/>
                <w:bCs/>
                <w:lang w:val="es-ES" w:eastAsia="es-ES"/>
              </w:rPr>
              <w:t xml:space="preserve">Concepto C- </w:t>
            </w:r>
            <w:r>
              <w:rPr>
                <w:rFonts w:ascii="Verdana" w:eastAsia="Calibri" w:hAnsi="Verdana" w:cs="Arial"/>
                <w:b/>
                <w:bCs/>
                <w:lang w:val="es-ES" w:eastAsia="es-ES"/>
              </w:rPr>
              <w:t xml:space="preserve">989 </w:t>
            </w:r>
            <w:r w:rsidRPr="00EA7EA8">
              <w:rPr>
                <w:rFonts w:ascii="Verdana" w:eastAsia="Calibri" w:hAnsi="Verdana" w:cs="Arial"/>
                <w:b/>
                <w:bCs/>
                <w:lang w:val="es-ES" w:eastAsia="es-ES"/>
              </w:rPr>
              <w:t>de 202</w:t>
            </w:r>
            <w:r>
              <w:rPr>
                <w:rFonts w:ascii="Verdana" w:eastAsia="Calibri" w:hAnsi="Verdana" w:cs="Arial"/>
                <w:b/>
                <w:bCs/>
                <w:lang w:val="es-ES" w:eastAsia="es-ES"/>
              </w:rPr>
              <w:t>5</w:t>
            </w:r>
          </w:p>
          <w:p w14:paraId="34A5093A" w14:textId="77777777" w:rsidR="00E14685" w:rsidRPr="00EA7EA8" w:rsidRDefault="00E14685" w:rsidP="0065682A">
            <w:pPr>
              <w:jc w:val="both"/>
              <w:rPr>
                <w:rFonts w:ascii="Verdana" w:eastAsia="Calibri" w:hAnsi="Verdana" w:cs="Arial"/>
                <w:b/>
                <w:bCs/>
                <w:lang w:val="es-ES" w:eastAsia="es-ES"/>
              </w:rPr>
            </w:pPr>
          </w:p>
        </w:tc>
      </w:tr>
      <w:tr w:rsidR="00E14685" w:rsidRPr="00EA7EA8" w14:paraId="050E0F3B" w14:textId="77777777" w:rsidTr="00A82D8D">
        <w:trPr>
          <w:trHeight w:val="884"/>
        </w:trPr>
        <w:tc>
          <w:tcPr>
            <w:tcW w:w="2689" w:type="dxa"/>
          </w:tcPr>
          <w:p w14:paraId="0681A8CC" w14:textId="77777777" w:rsidR="00E14685" w:rsidRPr="00EA7EA8" w:rsidRDefault="00E14685" w:rsidP="0065682A">
            <w:pPr>
              <w:jc w:val="both"/>
              <w:rPr>
                <w:rFonts w:ascii="Verdana" w:eastAsia="Calibri" w:hAnsi="Verdana" w:cs="Arial"/>
                <w:lang w:val="es-ES_tradnl" w:eastAsia="es-ES_tradnl"/>
              </w:rPr>
            </w:pPr>
            <w:r w:rsidRPr="00EA7EA8">
              <w:rPr>
                <w:rFonts w:ascii="Verdana" w:eastAsia="Calibri" w:hAnsi="Verdana" w:cs="Arial"/>
                <w:b/>
                <w:lang w:val="es-ES_tradnl" w:eastAsia="es-ES_tradnl"/>
              </w:rPr>
              <w:t>Temas:</w:t>
            </w:r>
            <w:r w:rsidRPr="00EA7EA8">
              <w:rPr>
                <w:rFonts w:ascii="Verdana" w:eastAsia="Calibri" w:hAnsi="Verdana" w:cs="Arial"/>
                <w:lang w:val="es-ES_tradnl" w:eastAsia="es-ES_tradnl"/>
              </w:rPr>
              <w:t xml:space="preserve">                   </w:t>
            </w:r>
          </w:p>
        </w:tc>
        <w:tc>
          <w:tcPr>
            <w:tcW w:w="6100" w:type="dxa"/>
          </w:tcPr>
          <w:p w14:paraId="3735535B" w14:textId="77777777" w:rsidR="00E14685" w:rsidRDefault="00E14685" w:rsidP="0065682A">
            <w:pPr>
              <w:jc w:val="both"/>
              <w:rPr>
                <w:rFonts w:ascii="Verdana" w:eastAsia="Calibri" w:hAnsi="Verdana" w:cs="Arial"/>
                <w:lang w:val="es-ES" w:eastAsia="es-ES"/>
              </w:rPr>
            </w:pPr>
            <w:r w:rsidRPr="00303DB7">
              <w:rPr>
                <w:rFonts w:ascii="Verdana" w:eastAsia="Calibri" w:hAnsi="Verdana" w:cs="Arial"/>
                <w:lang w:val="es-ES" w:eastAsia="es-ES"/>
              </w:rPr>
              <w:t>INHABILIDADES</w:t>
            </w:r>
            <w:r>
              <w:rPr>
                <w:rFonts w:ascii="Verdana" w:eastAsia="Calibri" w:hAnsi="Verdana" w:cs="Arial"/>
                <w:lang w:val="es-ES" w:eastAsia="es-ES"/>
              </w:rPr>
              <w:t xml:space="preserve"> </w:t>
            </w:r>
            <w:r w:rsidRPr="00303DB7">
              <w:rPr>
                <w:rFonts w:ascii="Verdana" w:eastAsia="Calibri" w:hAnsi="Verdana" w:cs="Arial"/>
                <w:lang w:val="es-ES" w:eastAsia="es-ES"/>
              </w:rPr>
              <w:t>E</w:t>
            </w:r>
            <w:r>
              <w:rPr>
                <w:rFonts w:ascii="Verdana" w:eastAsia="Calibri" w:hAnsi="Verdana" w:cs="Arial"/>
                <w:lang w:val="es-ES" w:eastAsia="es-ES"/>
              </w:rPr>
              <w:t xml:space="preserve"> </w:t>
            </w:r>
            <w:r w:rsidRPr="00303DB7">
              <w:rPr>
                <w:rFonts w:ascii="Verdana" w:eastAsia="Calibri" w:hAnsi="Verdana" w:cs="Arial"/>
                <w:lang w:val="es-ES" w:eastAsia="es-ES"/>
              </w:rPr>
              <w:t xml:space="preserve">INCOMPATIBILIDADES – </w:t>
            </w:r>
            <w:r w:rsidRPr="00303DB7">
              <w:rPr>
                <w:rFonts w:ascii="Verdana" w:eastAsia="Calibri" w:hAnsi="Verdana" w:cs="Arial"/>
                <w:lang w:val="es-ES" w:eastAsia="es-ES"/>
              </w:rPr>
              <w:tab/>
              <w:t>Límites a la capacidad – Régimen / INHABILIDADES</w:t>
            </w:r>
            <w:r>
              <w:rPr>
                <w:rFonts w:ascii="Verdana" w:eastAsia="Calibri" w:hAnsi="Verdana" w:cs="Arial"/>
                <w:lang w:val="es-ES" w:eastAsia="es-ES"/>
              </w:rPr>
              <w:t xml:space="preserve"> </w:t>
            </w:r>
            <w:r w:rsidRPr="00303DB7">
              <w:rPr>
                <w:rFonts w:ascii="Verdana" w:eastAsia="Calibri" w:hAnsi="Verdana" w:cs="Arial"/>
                <w:lang w:val="es-ES" w:eastAsia="es-ES"/>
              </w:rPr>
              <w:t>E   INCOMPATIBILIDADES</w:t>
            </w:r>
            <w:r>
              <w:rPr>
                <w:rFonts w:ascii="Verdana" w:eastAsia="Calibri" w:hAnsi="Verdana" w:cs="Arial"/>
                <w:lang w:val="es-ES" w:eastAsia="es-ES"/>
              </w:rPr>
              <w:t xml:space="preserve"> </w:t>
            </w:r>
            <w:r w:rsidRPr="00303DB7">
              <w:rPr>
                <w:rFonts w:ascii="Verdana" w:eastAsia="Calibri" w:hAnsi="Verdana" w:cs="Arial"/>
                <w:lang w:val="es-ES" w:eastAsia="es-ES"/>
              </w:rPr>
              <w:t>–</w:t>
            </w:r>
            <w:r>
              <w:rPr>
                <w:rFonts w:ascii="Verdana" w:eastAsia="Calibri" w:hAnsi="Verdana" w:cs="Arial"/>
                <w:lang w:val="es-ES" w:eastAsia="es-ES"/>
              </w:rPr>
              <w:t xml:space="preserve"> </w:t>
            </w:r>
            <w:r w:rsidRPr="00303DB7">
              <w:rPr>
                <w:rFonts w:ascii="Verdana" w:eastAsia="Calibri" w:hAnsi="Verdana" w:cs="Arial"/>
                <w:lang w:val="es-ES" w:eastAsia="es-ES"/>
              </w:rPr>
              <w:t>Concepto / INHABILIDADES E INCOMPATIBILIDADES – Interpretación restrictiva</w:t>
            </w:r>
            <w:r w:rsidRPr="00EA7EA8">
              <w:rPr>
                <w:rFonts w:ascii="Verdana" w:eastAsia="Calibri" w:hAnsi="Verdana" w:cs="Arial"/>
                <w:lang w:val="es-ES" w:eastAsia="es-ES"/>
              </w:rPr>
              <w:t xml:space="preserve"> </w:t>
            </w:r>
          </w:p>
          <w:p w14:paraId="13CB9B35" w14:textId="77777777" w:rsidR="00E14685" w:rsidRPr="00EA7EA8" w:rsidRDefault="00E14685" w:rsidP="0065682A">
            <w:pPr>
              <w:jc w:val="both"/>
              <w:rPr>
                <w:rFonts w:ascii="Verdana" w:eastAsia="Calibri" w:hAnsi="Verdana" w:cs="Arial"/>
                <w:lang w:val="es-ES" w:eastAsia="es-ES"/>
              </w:rPr>
            </w:pPr>
          </w:p>
        </w:tc>
      </w:tr>
      <w:tr w:rsidR="00E14685" w:rsidRPr="00EA7EA8" w14:paraId="376510AB" w14:textId="77777777" w:rsidTr="00A82D8D">
        <w:tc>
          <w:tcPr>
            <w:tcW w:w="2689" w:type="dxa"/>
          </w:tcPr>
          <w:p w14:paraId="076B0F26" w14:textId="77777777" w:rsidR="00E14685" w:rsidRPr="00EA7EA8" w:rsidRDefault="00E14685" w:rsidP="0065682A">
            <w:pPr>
              <w:jc w:val="both"/>
              <w:rPr>
                <w:rFonts w:ascii="Verdana" w:eastAsia="Calibri" w:hAnsi="Verdana" w:cs="Arial"/>
                <w:b/>
                <w:lang w:val="es-ES_tradnl" w:eastAsia="es-ES_tradnl"/>
              </w:rPr>
            </w:pPr>
            <w:r w:rsidRPr="00EA7EA8">
              <w:rPr>
                <w:rFonts w:ascii="Verdana" w:eastAsia="Calibri" w:hAnsi="Verdana" w:cs="Arial"/>
                <w:b/>
                <w:lang w:val="es-ES_tradnl" w:eastAsia="es-ES_tradnl"/>
              </w:rPr>
              <w:t>Radicación:</w:t>
            </w:r>
            <w:r w:rsidRPr="00EA7EA8">
              <w:rPr>
                <w:rFonts w:ascii="Verdana" w:eastAsia="Calibri" w:hAnsi="Verdana" w:cs="Arial"/>
                <w:lang w:val="es-ES_tradnl" w:eastAsia="es-ES_tradnl"/>
              </w:rPr>
              <w:t xml:space="preserve">               </w:t>
            </w:r>
          </w:p>
        </w:tc>
        <w:tc>
          <w:tcPr>
            <w:tcW w:w="6100" w:type="dxa"/>
          </w:tcPr>
          <w:p w14:paraId="3130C793" w14:textId="77777777" w:rsidR="00E14685" w:rsidRPr="00EA7EA8" w:rsidRDefault="00E14685" w:rsidP="0065682A">
            <w:pPr>
              <w:jc w:val="both"/>
              <w:rPr>
                <w:rFonts w:ascii="Verdana" w:eastAsia="Calibri" w:hAnsi="Verdana" w:cs="Arial"/>
                <w:lang w:val="es-ES_tradnl" w:eastAsia="es-ES_tradnl"/>
              </w:rPr>
            </w:pPr>
            <w:r w:rsidRPr="006E6546">
              <w:rPr>
                <w:rFonts w:ascii="Verdana" w:eastAsia="Calibri" w:hAnsi="Verdana" w:cs="Arial"/>
                <w:lang w:val="es-ES_tradnl" w:eastAsia="es-ES_tradnl"/>
              </w:rPr>
              <w:t xml:space="preserve">Respuesta a consulta con radicado No. </w:t>
            </w:r>
            <w:r w:rsidRPr="006E6546">
              <w:rPr>
                <w:rFonts w:ascii="Verdana" w:hAnsi="Verdana" w:cs="Segoe UI"/>
                <w:shd w:val="clear" w:color="auto" w:fill="FFFFFF"/>
              </w:rPr>
              <w:t>1_2025_07_08_006859</w:t>
            </w:r>
          </w:p>
        </w:tc>
      </w:tr>
    </w:tbl>
    <w:p w14:paraId="3B3D47CA" w14:textId="77777777" w:rsidR="00E14685" w:rsidRPr="00EA7EA8" w:rsidRDefault="00E14685" w:rsidP="0065682A">
      <w:pPr>
        <w:spacing w:after="0" w:line="276" w:lineRule="auto"/>
        <w:jc w:val="both"/>
        <w:rPr>
          <w:rFonts w:ascii="Verdana" w:eastAsia="Calibri" w:hAnsi="Verdana" w:cs="Arial"/>
          <w:lang w:val="es-ES_tradnl" w:eastAsia="es-ES_tradnl"/>
        </w:rPr>
      </w:pPr>
    </w:p>
    <w:p w14:paraId="38F7D7CA" w14:textId="77777777" w:rsidR="00E14685" w:rsidRPr="00EA7EA8" w:rsidRDefault="00E14685" w:rsidP="0065682A">
      <w:pPr>
        <w:spacing w:after="0" w:line="276" w:lineRule="auto"/>
        <w:jc w:val="both"/>
        <w:rPr>
          <w:rFonts w:ascii="Verdana" w:eastAsia="Calibri" w:hAnsi="Verdana" w:cs="Arial"/>
          <w:lang w:val="es-ES_tradnl" w:eastAsia="es-ES_tradnl"/>
        </w:rPr>
      </w:pPr>
    </w:p>
    <w:p w14:paraId="171E3E32" w14:textId="77777777" w:rsidR="00E14685" w:rsidRPr="00EA7EA8" w:rsidRDefault="00E14685" w:rsidP="00E14685">
      <w:pPr>
        <w:spacing w:after="0" w:line="276" w:lineRule="auto"/>
        <w:jc w:val="both"/>
        <w:rPr>
          <w:rFonts w:ascii="Verdana" w:eastAsia="Calibri" w:hAnsi="Verdana" w:cs="Arial"/>
          <w:lang w:val="es-ES" w:eastAsia="es-ES"/>
        </w:rPr>
      </w:pPr>
      <w:r w:rsidRPr="00EA7EA8">
        <w:rPr>
          <w:rFonts w:ascii="Verdana" w:eastAsia="Calibri" w:hAnsi="Verdana" w:cs="Arial"/>
          <w:lang w:val="es-ES" w:eastAsia="es-ES"/>
        </w:rPr>
        <w:t xml:space="preserve">Estimado señor </w:t>
      </w:r>
      <w:r>
        <w:rPr>
          <w:rFonts w:ascii="Verdana" w:eastAsia="Calibri" w:hAnsi="Verdana" w:cs="Arial"/>
          <w:lang w:val="es-ES" w:eastAsia="es-ES"/>
        </w:rPr>
        <w:t>Carrascal</w:t>
      </w:r>
      <w:r w:rsidRPr="00EA7EA8">
        <w:rPr>
          <w:rFonts w:ascii="Verdana" w:eastAsia="Calibri" w:hAnsi="Verdana" w:cs="Arial"/>
          <w:lang w:val="es-ES" w:eastAsia="es-ES"/>
        </w:rPr>
        <w:t xml:space="preserve">: </w:t>
      </w:r>
    </w:p>
    <w:p w14:paraId="7E44C785" w14:textId="77777777" w:rsidR="00E14685" w:rsidRPr="00EA7EA8" w:rsidRDefault="00E14685" w:rsidP="00E14685">
      <w:pPr>
        <w:tabs>
          <w:tab w:val="left" w:pos="3768"/>
        </w:tabs>
        <w:spacing w:after="0" w:line="276" w:lineRule="auto"/>
        <w:jc w:val="both"/>
        <w:rPr>
          <w:rFonts w:ascii="Verdana" w:eastAsia="Calibri" w:hAnsi="Verdana" w:cs="Arial"/>
          <w:lang w:val="es-ES" w:eastAsia="es-ES"/>
        </w:rPr>
      </w:pPr>
      <w:r w:rsidRPr="00EA7EA8">
        <w:rPr>
          <w:rFonts w:ascii="Verdana" w:eastAsia="Calibri" w:hAnsi="Verdana" w:cs="Arial"/>
          <w:lang w:val="es-ES" w:eastAsia="es-ES"/>
        </w:rPr>
        <w:tab/>
      </w:r>
    </w:p>
    <w:p w14:paraId="2FA744D6" w14:textId="77777777" w:rsidR="00E14685" w:rsidRPr="00EA7EA8" w:rsidRDefault="00E14685" w:rsidP="00E14685">
      <w:pPr>
        <w:spacing w:after="0" w:line="276" w:lineRule="auto"/>
        <w:jc w:val="both"/>
        <w:rPr>
          <w:rFonts w:ascii="Verdana" w:eastAsia="Calibri" w:hAnsi="Verdana" w:cs="Arial"/>
          <w:lang w:val="es-ES" w:eastAsia="es-ES"/>
        </w:rPr>
      </w:pPr>
      <w:r w:rsidRPr="00EA7EA8">
        <w:rPr>
          <w:rFonts w:ascii="Verdana" w:eastAsia="Calibri" w:hAnsi="Verdana" w:cs="Arial"/>
          <w:lang w:val="es-ES" w:eastAsia="es-ES"/>
        </w:rPr>
        <w:t>En ejercicio de la competencia otorgada por los artículos 3, numeral 5º, y 11, numeral 8º, del Decreto Ley 4170 de 2011,</w:t>
      </w:r>
      <w:r w:rsidRPr="00EA7EA8">
        <w:rPr>
          <w:rFonts w:ascii="Verdana" w:eastAsia="Arial MT" w:hAnsi="Verdana" w:cs="Arial MT"/>
          <w:lang w:val="es-ES" w:eastAsia="es-ES"/>
        </w:rPr>
        <w:t xml:space="preserve"> </w:t>
      </w:r>
      <w:r w:rsidRPr="00EA7EA8">
        <w:rPr>
          <w:rFonts w:ascii="Verdana" w:hAnsi="Verdana" w:cs="Arial"/>
        </w:rPr>
        <w:t xml:space="preserve">así como lo establecido en el artículo 4 de la Resolución 1707 de 2018 expedida por esta Entidad, </w:t>
      </w:r>
      <w:r w:rsidRPr="00EA7EA8">
        <w:rPr>
          <w:rFonts w:ascii="Verdana" w:eastAsia="Calibri" w:hAnsi="Verdana" w:cs="Arial"/>
          <w:lang w:val="es-ES" w:eastAsia="es-ES"/>
        </w:rPr>
        <w:t xml:space="preserve">la Agencia Nacional de Contratación Pública – Colombia Compra Eficiente– responde su solicitud de consulta de fecha </w:t>
      </w:r>
      <w:r w:rsidRPr="00ED1294">
        <w:rPr>
          <w:rFonts w:ascii="Verdana" w:eastAsia="Calibri" w:hAnsi="Verdana" w:cs="Arial"/>
          <w:lang w:val="es-ES" w:eastAsia="es-ES"/>
        </w:rPr>
        <w:t>8 de julio de 2025</w:t>
      </w:r>
      <w:r w:rsidRPr="00EA7EA8">
        <w:rPr>
          <w:rFonts w:ascii="Verdana" w:eastAsia="Calibri" w:hAnsi="Verdana" w:cs="Arial"/>
          <w:lang w:val="es-ES" w:eastAsia="es-ES"/>
        </w:rPr>
        <w:t xml:space="preserve">, en la cual manifiesta lo siguiente: </w:t>
      </w:r>
    </w:p>
    <w:p w14:paraId="3F08819C" w14:textId="77777777" w:rsidR="00E14685" w:rsidRPr="00EA7EA8" w:rsidRDefault="00E14685" w:rsidP="00E14685">
      <w:pPr>
        <w:spacing w:after="0" w:line="276" w:lineRule="auto"/>
        <w:jc w:val="both"/>
      </w:pPr>
    </w:p>
    <w:p w14:paraId="44611C88" w14:textId="77777777" w:rsidR="00E14685" w:rsidRPr="00482743" w:rsidRDefault="00E14685" w:rsidP="00E14685">
      <w:pPr>
        <w:spacing w:after="0" w:line="240" w:lineRule="auto"/>
        <w:ind w:left="709" w:right="709"/>
        <w:jc w:val="both"/>
        <w:rPr>
          <w:rFonts w:ascii="Verdana" w:hAnsi="Verdana" w:cs="Arial"/>
          <w:sz w:val="20"/>
          <w:szCs w:val="20"/>
          <w:shd w:val="clear" w:color="auto" w:fill="FFFFFF"/>
        </w:rPr>
      </w:pPr>
      <w:bookmarkStart w:id="0" w:name="_Hlk95313578"/>
      <w:r w:rsidRPr="0062317C">
        <w:rPr>
          <w:rFonts w:ascii="Verdana" w:eastAsia="Century Gothic" w:hAnsi="Verdana" w:cs="Century Gothic"/>
          <w:sz w:val="20"/>
          <w:szCs w:val="20"/>
          <w:lang w:val="es-ES"/>
        </w:rPr>
        <w:t>“</w:t>
      </w:r>
      <w:proofErr w:type="gramStart"/>
      <w:r>
        <w:rPr>
          <w:rFonts w:ascii="Verdana" w:hAnsi="Verdana" w:cs="Arial"/>
          <w:sz w:val="20"/>
          <w:szCs w:val="20"/>
          <w:shd w:val="clear" w:color="auto" w:fill="FFFFFF"/>
        </w:rPr>
        <w:t>…</w:t>
      </w:r>
      <w:r w:rsidRPr="00482743">
        <w:rPr>
          <w:rFonts w:ascii="Verdana" w:hAnsi="Verdana" w:cs="Arial"/>
          <w:sz w:val="20"/>
          <w:szCs w:val="20"/>
          <w:shd w:val="clear" w:color="auto" w:fill="FFFFFF"/>
        </w:rPr>
        <w:t>¿</w:t>
      </w:r>
      <w:proofErr w:type="gramEnd"/>
      <w:r w:rsidRPr="00482743">
        <w:rPr>
          <w:rFonts w:ascii="Verdana" w:hAnsi="Verdana" w:cs="Arial"/>
          <w:sz w:val="20"/>
          <w:szCs w:val="20"/>
          <w:shd w:val="clear" w:color="auto" w:fill="FFFFFF"/>
        </w:rPr>
        <w:t>Las inhabilidades para contratar con el Estado, que recaen sobre una</w:t>
      </w:r>
    </w:p>
    <w:p w14:paraId="5C906598" w14:textId="77777777" w:rsidR="00E14685" w:rsidRDefault="00E14685" w:rsidP="00E14685">
      <w:pPr>
        <w:spacing w:after="0" w:line="240" w:lineRule="auto"/>
        <w:ind w:left="709" w:right="709"/>
        <w:jc w:val="both"/>
        <w:rPr>
          <w:rFonts w:ascii="Verdana" w:hAnsi="Verdana" w:cs="Arial"/>
          <w:sz w:val="20"/>
          <w:szCs w:val="20"/>
          <w:shd w:val="clear" w:color="auto" w:fill="FFFFFF"/>
        </w:rPr>
      </w:pPr>
      <w:r w:rsidRPr="00482743">
        <w:rPr>
          <w:rFonts w:ascii="Verdana" w:hAnsi="Verdana" w:cs="Arial"/>
          <w:sz w:val="20"/>
          <w:szCs w:val="20"/>
          <w:shd w:val="clear" w:color="auto" w:fill="FFFFFF"/>
        </w:rPr>
        <w:t>determinada persona jurídica, son extensibles a otras sociedades de las cuales,</w:t>
      </w:r>
      <w:r>
        <w:rPr>
          <w:rFonts w:ascii="Verdana" w:hAnsi="Verdana" w:cs="Arial"/>
          <w:sz w:val="20"/>
          <w:szCs w:val="20"/>
          <w:shd w:val="clear" w:color="auto" w:fill="FFFFFF"/>
        </w:rPr>
        <w:t xml:space="preserve"> </w:t>
      </w:r>
      <w:r w:rsidRPr="00482743">
        <w:rPr>
          <w:rFonts w:ascii="Verdana" w:hAnsi="Verdana" w:cs="Arial"/>
          <w:sz w:val="20"/>
          <w:szCs w:val="20"/>
          <w:shd w:val="clear" w:color="auto" w:fill="FFFFFF"/>
        </w:rPr>
        <w:t xml:space="preserve">la primera es socia, accionista o </w:t>
      </w:r>
      <w:proofErr w:type="gramStart"/>
      <w:r w:rsidRPr="00482743">
        <w:rPr>
          <w:rFonts w:ascii="Verdana" w:hAnsi="Verdana" w:cs="Arial"/>
          <w:sz w:val="20"/>
          <w:szCs w:val="20"/>
          <w:shd w:val="clear" w:color="auto" w:fill="FFFFFF"/>
        </w:rPr>
        <w:t>constituyente?</w:t>
      </w:r>
      <w:r>
        <w:rPr>
          <w:rFonts w:ascii="Verdana" w:hAnsi="Verdana" w:cs="Arial"/>
          <w:sz w:val="20"/>
          <w:szCs w:val="20"/>
          <w:shd w:val="clear" w:color="auto" w:fill="FFFFFF"/>
        </w:rPr>
        <w:t>.</w:t>
      </w:r>
      <w:proofErr w:type="gramEnd"/>
    </w:p>
    <w:p w14:paraId="2A967068" w14:textId="77777777" w:rsidR="00E14685" w:rsidRDefault="00E14685" w:rsidP="00E14685">
      <w:pPr>
        <w:spacing w:after="0" w:line="240" w:lineRule="auto"/>
        <w:ind w:left="709" w:right="709"/>
        <w:jc w:val="both"/>
        <w:rPr>
          <w:rFonts w:ascii="Verdana" w:hAnsi="Verdana" w:cs="Arial"/>
          <w:sz w:val="20"/>
          <w:szCs w:val="20"/>
          <w:shd w:val="clear" w:color="auto" w:fill="FFFFFF"/>
        </w:rPr>
      </w:pPr>
    </w:p>
    <w:p w14:paraId="686306BE" w14:textId="77777777" w:rsidR="00E14685" w:rsidRPr="00482743" w:rsidRDefault="00E14685" w:rsidP="00E14685">
      <w:pPr>
        <w:spacing w:after="0" w:line="240" w:lineRule="auto"/>
        <w:ind w:left="709" w:right="709"/>
        <w:jc w:val="both"/>
        <w:rPr>
          <w:rFonts w:ascii="Verdana" w:hAnsi="Verdana" w:cs="Arial"/>
          <w:sz w:val="20"/>
          <w:szCs w:val="20"/>
          <w:shd w:val="clear" w:color="auto" w:fill="FFFFFF"/>
        </w:rPr>
      </w:pPr>
      <w:r w:rsidRPr="00482743">
        <w:rPr>
          <w:rFonts w:ascii="Verdana" w:hAnsi="Verdana" w:cs="Arial"/>
          <w:sz w:val="20"/>
          <w:szCs w:val="20"/>
          <w:shd w:val="clear" w:color="auto" w:fill="FFFFFF"/>
        </w:rPr>
        <w:t>¿Una sociedad sobre la cual recae una inhabilidad, puede transferir su</w:t>
      </w:r>
    </w:p>
    <w:p w14:paraId="3A06935F" w14:textId="77777777" w:rsidR="00E14685" w:rsidRPr="00482743" w:rsidRDefault="00E14685" w:rsidP="00E14685">
      <w:pPr>
        <w:spacing w:after="0" w:line="240" w:lineRule="auto"/>
        <w:ind w:left="709" w:right="709"/>
        <w:jc w:val="both"/>
        <w:rPr>
          <w:rFonts w:ascii="Verdana" w:hAnsi="Verdana" w:cs="Arial"/>
          <w:sz w:val="20"/>
          <w:szCs w:val="20"/>
          <w:shd w:val="clear" w:color="auto" w:fill="FFFFFF"/>
        </w:rPr>
      </w:pPr>
      <w:r w:rsidRPr="00482743">
        <w:rPr>
          <w:rFonts w:ascii="Verdana" w:hAnsi="Verdana" w:cs="Arial"/>
          <w:sz w:val="20"/>
          <w:szCs w:val="20"/>
          <w:shd w:val="clear" w:color="auto" w:fill="FFFFFF"/>
        </w:rPr>
        <w:t>experiencia en contratación, a una nueva sociedad, de la cual es socia,</w:t>
      </w:r>
    </w:p>
    <w:p w14:paraId="29507004" w14:textId="77777777" w:rsidR="00E14685" w:rsidRDefault="00E14685" w:rsidP="00E14685">
      <w:pPr>
        <w:spacing w:after="0" w:line="240" w:lineRule="auto"/>
        <w:ind w:left="709" w:right="709"/>
        <w:jc w:val="both"/>
        <w:rPr>
          <w:rFonts w:ascii="Verdana" w:hAnsi="Verdana" w:cs="Arial"/>
          <w:sz w:val="20"/>
          <w:szCs w:val="20"/>
          <w:shd w:val="clear" w:color="auto" w:fill="FFFFFF"/>
        </w:rPr>
      </w:pPr>
      <w:r w:rsidRPr="00482743">
        <w:rPr>
          <w:rFonts w:ascii="Verdana" w:hAnsi="Verdana" w:cs="Arial"/>
          <w:sz w:val="20"/>
          <w:szCs w:val="20"/>
          <w:shd w:val="clear" w:color="auto" w:fill="FFFFFF"/>
        </w:rPr>
        <w:t>accionista o constituyente? Lo anterior en virtud de la parte final del numeral 2.5</w:t>
      </w:r>
      <w:r>
        <w:rPr>
          <w:rFonts w:ascii="Verdana" w:hAnsi="Verdana" w:cs="Arial"/>
          <w:sz w:val="20"/>
          <w:szCs w:val="20"/>
          <w:shd w:val="clear" w:color="auto" w:fill="FFFFFF"/>
        </w:rPr>
        <w:t xml:space="preserve"> </w:t>
      </w:r>
      <w:r w:rsidRPr="00482743">
        <w:rPr>
          <w:rFonts w:ascii="Verdana" w:hAnsi="Verdana" w:cs="Arial"/>
          <w:sz w:val="20"/>
          <w:szCs w:val="20"/>
          <w:shd w:val="clear" w:color="auto" w:fill="FFFFFF"/>
        </w:rPr>
        <w:t>del artículo 2.2.1.1.1.5.2. del Decreto 1082 de 2015.</w:t>
      </w:r>
    </w:p>
    <w:p w14:paraId="0DE60E64" w14:textId="77777777" w:rsidR="00E14685" w:rsidRDefault="00E14685" w:rsidP="00E14685">
      <w:pPr>
        <w:spacing w:after="0" w:line="240" w:lineRule="auto"/>
        <w:ind w:left="709" w:right="709"/>
        <w:jc w:val="both"/>
        <w:rPr>
          <w:rFonts w:ascii="Verdana" w:hAnsi="Verdana" w:cs="Arial"/>
          <w:sz w:val="20"/>
          <w:szCs w:val="20"/>
          <w:shd w:val="clear" w:color="auto" w:fill="FFFFFF"/>
        </w:rPr>
      </w:pPr>
    </w:p>
    <w:p w14:paraId="4DC2CA00" w14:textId="77777777" w:rsidR="00E14685" w:rsidRDefault="00E14685" w:rsidP="00E14685">
      <w:pPr>
        <w:spacing w:after="0" w:line="240" w:lineRule="auto"/>
        <w:ind w:left="709" w:right="709"/>
        <w:jc w:val="both"/>
        <w:rPr>
          <w:rFonts w:ascii="Verdana" w:hAnsi="Verdana" w:cs="Arial"/>
          <w:sz w:val="20"/>
          <w:szCs w:val="20"/>
          <w:shd w:val="clear" w:color="auto" w:fill="FFFFFF"/>
        </w:rPr>
      </w:pPr>
      <w:r>
        <w:rPr>
          <w:rFonts w:ascii="Verdana" w:hAnsi="Verdana" w:cs="Arial"/>
          <w:sz w:val="20"/>
          <w:szCs w:val="20"/>
          <w:shd w:val="clear" w:color="auto" w:fill="FFFFFF"/>
        </w:rPr>
        <w:t>¿L</w:t>
      </w:r>
      <w:r w:rsidRPr="00482743">
        <w:rPr>
          <w:rFonts w:ascii="Verdana" w:hAnsi="Verdana" w:cs="Arial"/>
          <w:sz w:val="20"/>
          <w:szCs w:val="20"/>
          <w:shd w:val="clear" w:color="auto" w:fill="FFFFFF"/>
        </w:rPr>
        <w:t>a inhabilidad generada por la sanción de caducidad, impuesta a una persona</w:t>
      </w:r>
      <w:r>
        <w:rPr>
          <w:rFonts w:ascii="Verdana" w:hAnsi="Verdana" w:cs="Arial"/>
          <w:sz w:val="20"/>
          <w:szCs w:val="20"/>
          <w:shd w:val="clear" w:color="auto" w:fill="FFFFFF"/>
        </w:rPr>
        <w:t xml:space="preserve"> </w:t>
      </w:r>
      <w:r w:rsidRPr="00482743">
        <w:rPr>
          <w:rFonts w:ascii="Verdana" w:hAnsi="Verdana" w:cs="Arial"/>
          <w:sz w:val="20"/>
          <w:szCs w:val="20"/>
          <w:shd w:val="clear" w:color="auto" w:fill="FFFFFF"/>
        </w:rPr>
        <w:t>jurídica en un proceso administrativo sancionatorio ¿afecta la habilitación de una</w:t>
      </w:r>
      <w:r>
        <w:rPr>
          <w:rFonts w:ascii="Verdana" w:hAnsi="Verdana" w:cs="Arial"/>
          <w:sz w:val="20"/>
          <w:szCs w:val="20"/>
          <w:shd w:val="clear" w:color="auto" w:fill="FFFFFF"/>
        </w:rPr>
        <w:t xml:space="preserve"> </w:t>
      </w:r>
      <w:r w:rsidRPr="00482743">
        <w:rPr>
          <w:rFonts w:ascii="Verdana" w:hAnsi="Verdana" w:cs="Arial"/>
          <w:sz w:val="20"/>
          <w:szCs w:val="20"/>
          <w:shd w:val="clear" w:color="auto" w:fill="FFFFFF"/>
        </w:rPr>
        <w:t>nueva sociedad para contratar con el Estado, cuando dicha persona jurídica</w:t>
      </w:r>
      <w:r>
        <w:rPr>
          <w:rFonts w:ascii="Verdana" w:hAnsi="Verdana" w:cs="Arial"/>
          <w:sz w:val="20"/>
          <w:szCs w:val="20"/>
          <w:shd w:val="clear" w:color="auto" w:fill="FFFFFF"/>
        </w:rPr>
        <w:t xml:space="preserve"> </w:t>
      </w:r>
      <w:r w:rsidRPr="00482743">
        <w:rPr>
          <w:rFonts w:ascii="Verdana" w:hAnsi="Verdana" w:cs="Arial"/>
          <w:sz w:val="20"/>
          <w:szCs w:val="20"/>
          <w:shd w:val="clear" w:color="auto" w:fill="FFFFFF"/>
        </w:rPr>
        <w:t>participó como socia fundadora (constituyente), pero posteriormente se retiró</w:t>
      </w:r>
      <w:r>
        <w:rPr>
          <w:rFonts w:ascii="Verdana" w:hAnsi="Verdana" w:cs="Arial"/>
          <w:sz w:val="20"/>
          <w:szCs w:val="20"/>
          <w:shd w:val="clear" w:color="auto" w:fill="FFFFFF"/>
        </w:rPr>
        <w:t xml:space="preserve"> </w:t>
      </w:r>
      <w:r w:rsidRPr="00482743">
        <w:rPr>
          <w:rFonts w:ascii="Verdana" w:hAnsi="Verdana" w:cs="Arial"/>
          <w:sz w:val="20"/>
          <w:szCs w:val="20"/>
          <w:shd w:val="clear" w:color="auto" w:fill="FFFFFF"/>
        </w:rPr>
        <w:t>mediante la cesión total de sus acciones?</w:t>
      </w:r>
    </w:p>
    <w:p w14:paraId="44CC3A44" w14:textId="77777777" w:rsidR="00E14685" w:rsidRDefault="00E14685" w:rsidP="00E14685">
      <w:pPr>
        <w:spacing w:after="0" w:line="240" w:lineRule="auto"/>
        <w:ind w:left="709" w:right="709"/>
        <w:jc w:val="both"/>
        <w:rPr>
          <w:rFonts w:ascii="Verdana" w:hAnsi="Verdana" w:cs="Arial"/>
          <w:sz w:val="20"/>
          <w:szCs w:val="20"/>
          <w:shd w:val="clear" w:color="auto" w:fill="FFFFFF"/>
        </w:rPr>
      </w:pPr>
    </w:p>
    <w:p w14:paraId="69E41B7E" w14:textId="77777777" w:rsidR="00E14685" w:rsidRPr="006B7DA9" w:rsidRDefault="00E14685" w:rsidP="00E14685">
      <w:pPr>
        <w:spacing w:after="0" w:line="240" w:lineRule="auto"/>
        <w:ind w:left="709" w:right="709"/>
        <w:jc w:val="both"/>
        <w:rPr>
          <w:rFonts w:ascii="Verdana" w:hAnsi="Verdana" w:cs="Arial"/>
          <w:sz w:val="20"/>
          <w:szCs w:val="20"/>
          <w:shd w:val="clear" w:color="auto" w:fill="FFFFFF"/>
        </w:rPr>
      </w:pPr>
      <w:r w:rsidRPr="00482743">
        <w:rPr>
          <w:rFonts w:ascii="Verdana" w:hAnsi="Verdana" w:cs="Arial"/>
          <w:sz w:val="20"/>
          <w:szCs w:val="20"/>
          <w:shd w:val="clear" w:color="auto" w:fill="FFFFFF"/>
        </w:rPr>
        <w:t>¿Es jurídicamente viable considerar que la inhabilidad por caducidad impuesta</w:t>
      </w:r>
      <w:r>
        <w:rPr>
          <w:rFonts w:ascii="Verdana" w:hAnsi="Verdana" w:cs="Arial"/>
          <w:sz w:val="20"/>
          <w:szCs w:val="20"/>
          <w:shd w:val="clear" w:color="auto" w:fill="FFFFFF"/>
        </w:rPr>
        <w:t xml:space="preserve"> </w:t>
      </w:r>
      <w:r w:rsidRPr="00482743">
        <w:rPr>
          <w:rFonts w:ascii="Verdana" w:hAnsi="Verdana" w:cs="Arial"/>
          <w:sz w:val="20"/>
          <w:szCs w:val="20"/>
          <w:shd w:val="clear" w:color="auto" w:fill="FFFFFF"/>
        </w:rPr>
        <w:t xml:space="preserve">a una persona jurídica no produce efectos sobre una nueva </w:t>
      </w:r>
      <w:r w:rsidRPr="00482743">
        <w:rPr>
          <w:rFonts w:ascii="Verdana" w:hAnsi="Verdana" w:cs="Arial"/>
          <w:sz w:val="20"/>
          <w:szCs w:val="20"/>
          <w:shd w:val="clear" w:color="auto" w:fill="FFFFFF"/>
        </w:rPr>
        <w:lastRenderedPageBreak/>
        <w:t>sociedad en la que</w:t>
      </w:r>
      <w:r>
        <w:rPr>
          <w:rFonts w:ascii="Verdana" w:hAnsi="Verdana" w:cs="Arial"/>
          <w:sz w:val="20"/>
          <w:szCs w:val="20"/>
          <w:shd w:val="clear" w:color="auto" w:fill="FFFFFF"/>
        </w:rPr>
        <w:t xml:space="preserve"> </w:t>
      </w:r>
      <w:r w:rsidRPr="00482743">
        <w:rPr>
          <w:rFonts w:ascii="Verdana" w:hAnsi="Verdana" w:cs="Arial"/>
          <w:sz w:val="20"/>
          <w:szCs w:val="20"/>
          <w:shd w:val="clear" w:color="auto" w:fill="FFFFFF"/>
        </w:rPr>
        <w:t>aquella intervino como socia fundadora, pero de la cual se ha desvinculado</w:t>
      </w:r>
      <w:r>
        <w:rPr>
          <w:rFonts w:ascii="Verdana" w:hAnsi="Verdana" w:cs="Arial"/>
          <w:sz w:val="20"/>
          <w:szCs w:val="20"/>
          <w:shd w:val="clear" w:color="auto" w:fill="FFFFFF"/>
        </w:rPr>
        <w:t xml:space="preserve"> </w:t>
      </w:r>
      <w:r w:rsidRPr="00482743">
        <w:rPr>
          <w:rFonts w:ascii="Verdana" w:hAnsi="Verdana" w:cs="Arial"/>
          <w:sz w:val="20"/>
          <w:szCs w:val="20"/>
          <w:shd w:val="clear" w:color="auto" w:fill="FFFFFF"/>
        </w:rPr>
        <w:t>completamente mediante la cesión de su participación, o por el contrario puede</w:t>
      </w:r>
      <w:r>
        <w:rPr>
          <w:rFonts w:ascii="Verdana" w:hAnsi="Verdana" w:cs="Arial"/>
          <w:sz w:val="20"/>
          <w:szCs w:val="20"/>
          <w:shd w:val="clear" w:color="auto" w:fill="FFFFFF"/>
        </w:rPr>
        <w:t xml:space="preserve"> </w:t>
      </w:r>
      <w:r w:rsidRPr="00482743">
        <w:rPr>
          <w:rFonts w:ascii="Verdana" w:hAnsi="Verdana" w:cs="Arial"/>
          <w:sz w:val="20"/>
          <w:szCs w:val="20"/>
          <w:shd w:val="clear" w:color="auto" w:fill="FFFFFF"/>
        </w:rPr>
        <w:t>interpretarse que dicha inhabilidad se extiende a la nueva persona jurídica?</w:t>
      </w:r>
      <w:r w:rsidRPr="0062317C">
        <w:rPr>
          <w:rFonts w:ascii="Verdana" w:eastAsia="Century Gothic" w:hAnsi="Verdana" w:cs="Century Gothic"/>
          <w:sz w:val="20"/>
          <w:szCs w:val="20"/>
          <w:lang w:val="es-ES"/>
        </w:rPr>
        <w:t>”</w:t>
      </w:r>
      <w:bookmarkEnd w:id="0"/>
      <w:r w:rsidRPr="0062317C">
        <w:rPr>
          <w:rFonts w:ascii="Verdana" w:eastAsia="Century Gothic" w:hAnsi="Verdana" w:cs="Century Gothic"/>
          <w:sz w:val="20"/>
          <w:szCs w:val="20"/>
          <w:lang w:val="es-ES"/>
        </w:rPr>
        <w:t>.</w:t>
      </w:r>
    </w:p>
    <w:p w14:paraId="6EFF93FA" w14:textId="77777777" w:rsidR="00E14685" w:rsidRDefault="00E14685" w:rsidP="00E14685">
      <w:pPr>
        <w:spacing w:after="0" w:line="276" w:lineRule="auto"/>
        <w:ind w:firstLine="709"/>
        <w:jc w:val="both"/>
        <w:rPr>
          <w:rFonts w:ascii="Verdana" w:eastAsia="Calibri" w:hAnsi="Verdana" w:cs="Arial"/>
          <w:lang w:val="es-ES" w:eastAsia="es-ES"/>
        </w:rPr>
      </w:pPr>
    </w:p>
    <w:p w14:paraId="5DDCCA8A" w14:textId="77777777" w:rsidR="00E14685" w:rsidRPr="00EA7EA8" w:rsidRDefault="00E14685" w:rsidP="00E14685">
      <w:pPr>
        <w:spacing w:after="120" w:line="276" w:lineRule="auto"/>
        <w:ind w:firstLine="709"/>
        <w:jc w:val="both"/>
        <w:rPr>
          <w:rFonts w:ascii="Verdana" w:eastAsia="Calibri" w:hAnsi="Verdana" w:cs="Arial"/>
          <w:szCs w:val="24"/>
          <w:lang w:val="es-ES_tradnl" w:eastAsia="es-ES_tradnl"/>
        </w:rPr>
      </w:pPr>
      <w:r w:rsidRPr="00EA7EA8">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lang w:val="es-ES" w:eastAsia="es-ES"/>
        </w:rPr>
        <w:t xml:space="preserve">la Agencia Nacional de Contratación Pública – </w:t>
      </w:r>
      <w:r w:rsidRPr="00EA7EA8">
        <w:rPr>
          <w:rFonts w:ascii="Verdana" w:eastAsia="Calibri" w:hAnsi="Verdana" w:cs="Arial"/>
          <w:lang w:val="es-ES" w:eastAsia="es-ES"/>
        </w:rPr>
        <w:t>Colombia</w:t>
      </w:r>
      <w:r>
        <w:rPr>
          <w:rFonts w:ascii="Verdana" w:eastAsia="Calibri" w:hAnsi="Verdana" w:cs="Arial"/>
          <w:lang w:val="es-ES" w:eastAsia="es-ES"/>
        </w:rPr>
        <w:t xml:space="preserve"> </w:t>
      </w:r>
      <w:r w:rsidRPr="00EA7EA8">
        <w:rPr>
          <w:rFonts w:ascii="Verdana" w:eastAsia="Calibri" w:hAnsi="Verdana" w:cs="Arial"/>
          <w:lang w:val="es-ES" w:eastAsia="es-ES"/>
        </w:rPr>
        <w:t xml:space="preserve">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A7EA8">
        <w:rPr>
          <w:rFonts w:ascii="Verdana" w:eastAsia="Calibri" w:hAnsi="Verdana" w:cs="Arial"/>
          <w:szCs w:val="24"/>
          <w:lang w:val="es-ES_tradnl" w:eastAsia="es-ES_tradnl"/>
        </w:rPr>
        <w:tab/>
      </w:r>
    </w:p>
    <w:p w14:paraId="7A52FF8C" w14:textId="77777777" w:rsidR="00E14685" w:rsidRPr="00EA7EA8" w:rsidRDefault="00E14685" w:rsidP="00E14685">
      <w:pPr>
        <w:spacing w:after="0" w:line="276" w:lineRule="auto"/>
        <w:ind w:firstLine="709"/>
        <w:jc w:val="both"/>
        <w:rPr>
          <w:rFonts w:ascii="Verdana" w:eastAsia="Calibri" w:hAnsi="Verdana" w:cs="Arial"/>
          <w:lang w:val="es-ES" w:eastAsia="es-ES"/>
        </w:rPr>
      </w:pPr>
      <w:r w:rsidRPr="00EA7EA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D22A1E2" w14:textId="77777777" w:rsidR="00E14685" w:rsidRPr="00EA7EA8" w:rsidRDefault="00E14685" w:rsidP="00E14685">
      <w:pPr>
        <w:spacing w:after="0" w:line="276" w:lineRule="auto"/>
        <w:ind w:firstLine="709"/>
        <w:jc w:val="both"/>
        <w:rPr>
          <w:rFonts w:ascii="Verdana" w:eastAsia="Calibri" w:hAnsi="Verdana" w:cs="Arial"/>
          <w:lang w:val="es-ES" w:eastAsia="es-ES"/>
        </w:rPr>
      </w:pPr>
    </w:p>
    <w:p w14:paraId="14A9370B" w14:textId="77777777" w:rsidR="00E14685" w:rsidRPr="00EA7EA8" w:rsidRDefault="00E14685" w:rsidP="00E1468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EA7EA8">
        <w:rPr>
          <w:rFonts w:ascii="Verdana" w:eastAsia="Century Gothic" w:hAnsi="Verdana" w:cs="Century Gothic"/>
          <w:b/>
          <w:bCs/>
        </w:rPr>
        <w:t>Problema planteado:</w:t>
      </w:r>
    </w:p>
    <w:p w14:paraId="3AB14F9A" w14:textId="77777777" w:rsidR="00E14685" w:rsidRPr="00EA7EA8" w:rsidRDefault="00E14685" w:rsidP="00E14685">
      <w:pPr>
        <w:tabs>
          <w:tab w:val="left" w:pos="426"/>
        </w:tabs>
        <w:spacing w:after="0" w:line="276" w:lineRule="auto"/>
        <w:jc w:val="both"/>
        <w:rPr>
          <w:rFonts w:ascii="Verdana" w:eastAsia="Century Gothic" w:hAnsi="Verdana" w:cs="Century Gothic"/>
          <w:lang w:val="es-ES"/>
        </w:rPr>
      </w:pPr>
    </w:p>
    <w:p w14:paraId="50057FE7" w14:textId="17D95933" w:rsidR="00070C1E" w:rsidRDefault="00E14685" w:rsidP="00E14685">
      <w:pPr>
        <w:spacing w:after="0" w:line="276" w:lineRule="auto"/>
        <w:jc w:val="both"/>
        <w:rPr>
          <w:rFonts w:ascii="Verdana" w:eastAsia="Century Gothic" w:hAnsi="Verdana" w:cs="Century Gothic"/>
        </w:rPr>
      </w:pPr>
      <w:r w:rsidRPr="00EA7EA8">
        <w:rPr>
          <w:rFonts w:ascii="Verdana" w:eastAsia="Century Gothic" w:hAnsi="Verdana" w:cs="Century Gothic"/>
        </w:rPr>
        <w:t xml:space="preserve">De acuerdo con el contenido de su solicitud, esta Agencia resolverá el siguiente problema jurídico: </w:t>
      </w:r>
      <w:r w:rsidRPr="006B7DA9">
        <w:rPr>
          <w:rFonts w:ascii="Verdana" w:eastAsia="Century Gothic" w:hAnsi="Verdana" w:cs="Century Gothic"/>
        </w:rPr>
        <w:t>¿Es jurídicamente procedente extender los efectos de una inhabilidad para contratar con el Estado, impuesta a una persona jurídica</w:t>
      </w:r>
      <w:r>
        <w:rPr>
          <w:rFonts w:ascii="Verdana" w:eastAsia="Century Gothic" w:hAnsi="Verdana" w:cs="Century Gothic"/>
        </w:rPr>
        <w:t xml:space="preserve"> por una caducidad</w:t>
      </w:r>
      <w:r w:rsidRPr="006B7DA9">
        <w:rPr>
          <w:rFonts w:ascii="Verdana" w:eastAsia="Century Gothic" w:hAnsi="Verdana" w:cs="Century Gothic"/>
        </w:rPr>
        <w:t>, a otras sociedades en las que aquella intervenga como socia, accionista o constituyente, o incluso a nuevas sociedades a las que transfiera su experiencia contractual, aun cuando posteriormente se haya desvinculado totalmente de ellas mediante la cesión de su participación?</w:t>
      </w:r>
    </w:p>
    <w:p w14:paraId="0D1679F6" w14:textId="77777777" w:rsidR="00070C1E" w:rsidRPr="00070C1E" w:rsidRDefault="00070C1E" w:rsidP="00E14685">
      <w:pPr>
        <w:spacing w:after="0" w:line="276" w:lineRule="auto"/>
        <w:jc w:val="both"/>
        <w:rPr>
          <w:rFonts w:ascii="Verdana" w:eastAsia="Century Gothic" w:hAnsi="Verdana" w:cs="Century Gothic"/>
        </w:rPr>
      </w:pPr>
    </w:p>
    <w:p w14:paraId="7AFD0CC8" w14:textId="77777777" w:rsidR="00E14685" w:rsidRPr="00EA7EA8" w:rsidRDefault="00E14685" w:rsidP="00E1468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A7EA8">
        <w:rPr>
          <w:rFonts w:ascii="Verdana" w:eastAsia="Century Gothic" w:hAnsi="Verdana" w:cs="Century Gothic"/>
          <w:b/>
          <w:bCs/>
        </w:rPr>
        <w:t>Respuesta:</w:t>
      </w:r>
    </w:p>
    <w:p w14:paraId="58E0457F" w14:textId="77777777" w:rsidR="00E14685" w:rsidRPr="00EA7EA8" w:rsidRDefault="00E14685" w:rsidP="00E14685">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14685" w:rsidRPr="00EA7EA8" w14:paraId="52EA4411" w14:textId="77777777" w:rsidTr="00A82D8D">
        <w:tc>
          <w:tcPr>
            <w:tcW w:w="8828" w:type="dxa"/>
          </w:tcPr>
          <w:p w14:paraId="2ED70842" w14:textId="17BC5352" w:rsidR="00E14685" w:rsidRDefault="00E14685" w:rsidP="00A82D8D">
            <w:pPr>
              <w:spacing w:after="120" w:line="276" w:lineRule="auto"/>
              <w:jc w:val="both"/>
              <w:rPr>
                <w:rFonts w:ascii="Verdana" w:eastAsia="Calibri" w:hAnsi="Verdana" w:cs="Arial"/>
              </w:rPr>
            </w:pPr>
            <w:r>
              <w:rPr>
                <w:rFonts w:ascii="Verdana" w:eastAsia="Calibri" w:hAnsi="Verdana" w:cs="Arial"/>
                <w:lang w:val="es-ES"/>
              </w:rPr>
              <w:lastRenderedPageBreak/>
              <w:t>En primer lugar, debe indicarse que l</w:t>
            </w:r>
            <w:r w:rsidRPr="009A31A0">
              <w:rPr>
                <w:rFonts w:ascii="Verdana" w:eastAsia="Calibri" w:hAnsi="Verdana" w:cs="Arial"/>
              </w:rPr>
              <w:t>as inhabilidades en la contratación estatal son de interpretación restrictiv</w:t>
            </w:r>
            <w:r>
              <w:rPr>
                <w:rFonts w:ascii="Verdana" w:eastAsia="Calibri" w:hAnsi="Verdana" w:cs="Arial"/>
              </w:rPr>
              <w:t>a</w:t>
            </w:r>
            <w:r w:rsidRPr="009A31A0">
              <w:rPr>
                <w:rFonts w:ascii="Verdana" w:eastAsia="Calibri" w:hAnsi="Verdana" w:cs="Arial"/>
              </w:rPr>
              <w:t xml:space="preserve">, lo que significa que solo pueden extenderse a las situaciones expresamente contempladas en la ley. </w:t>
            </w:r>
            <w:r>
              <w:rPr>
                <w:rFonts w:ascii="Verdana" w:eastAsia="Calibri" w:hAnsi="Verdana" w:cs="Arial"/>
              </w:rPr>
              <w:t>Para el caso preciso</w:t>
            </w:r>
            <w:r w:rsidRPr="009A31A0">
              <w:rPr>
                <w:rFonts w:ascii="Verdana" w:eastAsia="Calibri" w:hAnsi="Verdana" w:cs="Arial"/>
              </w:rPr>
              <w:t xml:space="preserve">, el literal i) del numeral 1 del artículo 8 de la Ley 80 de 1993 establece que </w:t>
            </w:r>
            <w:r w:rsidRPr="0065682A">
              <w:rPr>
                <w:rFonts w:ascii="Verdana" w:eastAsia="Calibri" w:hAnsi="Verdana" w:cs="Arial"/>
                <w:i/>
              </w:rPr>
              <w:t>la inhabilidad por caducidad afecta a los socios de sociedades de personas a las cuales se haya declarado la caducidad, así como a las sociedades de personas de las que aquellos formen parte con posterioridad a dicha declaratoria.</w:t>
            </w:r>
            <w:r w:rsidRPr="009A31A0">
              <w:rPr>
                <w:rFonts w:ascii="Verdana" w:eastAsia="Calibri" w:hAnsi="Verdana" w:cs="Arial"/>
              </w:rPr>
              <w:t xml:space="preserve"> </w:t>
            </w:r>
            <w:r>
              <w:rPr>
                <w:rFonts w:ascii="Verdana" w:eastAsia="Calibri" w:hAnsi="Verdana" w:cs="Arial"/>
              </w:rPr>
              <w:t>Conforme a ello, esta inhabilidad n</w:t>
            </w:r>
            <w:r w:rsidRPr="00AD4D10">
              <w:rPr>
                <w:rFonts w:ascii="Verdana" w:eastAsia="Calibri" w:hAnsi="Verdana" w:cs="Arial"/>
              </w:rPr>
              <w:t>o se extiende automáticamente a otras sociedades en las que esa persona jurídica sea socia, accionista o constituyente</w:t>
            </w:r>
            <w:r>
              <w:rPr>
                <w:rFonts w:ascii="Verdana" w:eastAsia="Calibri" w:hAnsi="Verdana" w:cs="Arial"/>
              </w:rPr>
              <w:t xml:space="preserve">, </w:t>
            </w:r>
            <w:r w:rsidR="006E5610">
              <w:rPr>
                <w:rFonts w:ascii="Verdana" w:eastAsia="Calibri" w:hAnsi="Verdana" w:cs="Arial"/>
              </w:rPr>
              <w:t xml:space="preserve">pues se deben cumplir con los supuestos de hecho que consagra la norma, y </w:t>
            </w:r>
            <w:r>
              <w:rPr>
                <w:rFonts w:ascii="Verdana" w:eastAsia="Calibri" w:hAnsi="Verdana" w:cs="Arial"/>
              </w:rPr>
              <w:t xml:space="preserve">en todo caso debe hacerse un estudio del caso preciso para poder determinar si procede o no la aplicación de dicha </w:t>
            </w:r>
            <w:r w:rsidR="006E5610">
              <w:rPr>
                <w:rFonts w:ascii="Verdana" w:eastAsia="Calibri" w:hAnsi="Verdana" w:cs="Arial"/>
              </w:rPr>
              <w:t>inhabilidad</w:t>
            </w:r>
            <w:r>
              <w:rPr>
                <w:rFonts w:ascii="Verdana" w:eastAsia="Calibri" w:hAnsi="Verdana" w:cs="Arial"/>
              </w:rPr>
              <w:t xml:space="preserve">. </w:t>
            </w:r>
          </w:p>
          <w:p w14:paraId="4E2E498E" w14:textId="4B189605" w:rsidR="006E5610" w:rsidRPr="00AD4D10" w:rsidRDefault="00E14685" w:rsidP="006E5610">
            <w:pPr>
              <w:spacing w:after="120" w:line="276" w:lineRule="auto"/>
              <w:jc w:val="both"/>
              <w:rPr>
                <w:rFonts w:ascii="Verdana" w:eastAsia="Calibri" w:hAnsi="Verdana" w:cs="Arial"/>
              </w:rPr>
            </w:pPr>
            <w:r>
              <w:rPr>
                <w:rFonts w:ascii="Verdana" w:eastAsia="Calibri" w:hAnsi="Verdana" w:cs="Arial"/>
              </w:rPr>
              <w:t xml:space="preserve">    Ahora bien, e</w:t>
            </w:r>
            <w:r w:rsidRPr="00274E10">
              <w:rPr>
                <w:rFonts w:ascii="Verdana" w:eastAsia="Calibri" w:hAnsi="Verdana" w:cs="Arial"/>
              </w:rPr>
              <w:t xml:space="preserve">l numeral 2.5 del artículo 2.2.1.1.1.5.2 del Decreto 1082 de 2015 permite </w:t>
            </w:r>
            <w:r w:rsidR="006E5610">
              <w:rPr>
                <w:rFonts w:ascii="Verdana" w:eastAsia="Calibri" w:hAnsi="Verdana" w:cs="Arial"/>
              </w:rPr>
              <w:t xml:space="preserve">a </w:t>
            </w:r>
            <w:r w:rsidRPr="00274E10">
              <w:rPr>
                <w:rFonts w:ascii="Verdana" w:eastAsia="Calibri" w:hAnsi="Verdana" w:cs="Arial"/>
              </w:rPr>
              <w:t xml:space="preserve">las sociedades con menos de tres </w:t>
            </w:r>
            <w:r w:rsidR="006E5610">
              <w:rPr>
                <w:rFonts w:ascii="Verdana" w:eastAsia="Calibri" w:hAnsi="Verdana" w:cs="Arial"/>
              </w:rPr>
              <w:t>(3)</w:t>
            </w:r>
            <w:r w:rsidRPr="00274E10">
              <w:rPr>
                <w:rFonts w:ascii="Verdana" w:eastAsia="Calibri" w:hAnsi="Verdana" w:cs="Arial"/>
              </w:rPr>
              <w:t xml:space="preserve"> años de constituidas acredite la experiencia de sus accionistas, socios o constituyentes en el RUP. Sin embargo, esta</w:t>
            </w:r>
            <w:r w:rsidR="006E5610">
              <w:rPr>
                <w:rFonts w:ascii="Verdana" w:eastAsia="Calibri" w:hAnsi="Verdana" w:cs="Arial"/>
              </w:rPr>
              <w:t xml:space="preserve"> norma nada hab</w:t>
            </w:r>
            <w:r w:rsidR="00AF0FD6">
              <w:rPr>
                <w:rFonts w:ascii="Verdana" w:eastAsia="Calibri" w:hAnsi="Verdana" w:cs="Arial"/>
              </w:rPr>
              <w:t>la</w:t>
            </w:r>
            <w:r w:rsidR="006E5610">
              <w:rPr>
                <w:rFonts w:ascii="Verdana" w:eastAsia="Calibri" w:hAnsi="Verdana" w:cs="Arial"/>
              </w:rPr>
              <w:t xml:space="preserve"> sobre la extensión de las inhabilidades del socio, accionista o constituyente a la persona </w:t>
            </w:r>
            <w:proofErr w:type="spellStart"/>
            <w:r w:rsidR="006E5610">
              <w:rPr>
                <w:rFonts w:ascii="Verdana" w:eastAsia="Calibri" w:hAnsi="Verdana" w:cs="Arial"/>
              </w:rPr>
              <w:t>juridica</w:t>
            </w:r>
            <w:proofErr w:type="spellEnd"/>
            <w:r w:rsidR="006E5610">
              <w:rPr>
                <w:rFonts w:ascii="Verdana" w:eastAsia="Calibri" w:hAnsi="Verdana" w:cs="Arial"/>
              </w:rPr>
              <w:t xml:space="preserve"> a la que se le aporta la experiencia. </w:t>
            </w:r>
          </w:p>
          <w:p w14:paraId="4E9F5E1C" w14:textId="77777777" w:rsidR="00E14685" w:rsidRPr="008B47F5" w:rsidRDefault="00E14685" w:rsidP="00A82D8D">
            <w:pPr>
              <w:spacing w:after="120" w:line="276" w:lineRule="auto"/>
              <w:ind w:firstLine="709"/>
              <w:jc w:val="both"/>
              <w:rPr>
                <w:rFonts w:ascii="Verdana" w:eastAsia="Batang" w:hAnsi="Verdana" w:cs="Arial"/>
              </w:rPr>
            </w:pPr>
            <w:r>
              <w:rPr>
                <w:rFonts w:ascii="Verdana" w:eastAsia="Batang" w:hAnsi="Verdana" w:cs="Arial"/>
              </w:rPr>
              <w:t>Finalmente, se reitera que l</w:t>
            </w:r>
            <w:r w:rsidRPr="00274E10">
              <w:rPr>
                <w:rFonts w:ascii="Verdana" w:eastAsia="Batang" w:hAnsi="Verdana" w:cs="Arial"/>
              </w:rPr>
              <w:t>a interpretación de las normas sobre inhabilidades es restrictiva, lo que implica que su aplicación debe limitarse a los supuestos expresamente previstos en la ley. En este sentido, si la persona jurídica sancionada se desvincula totalmente de la nueva sociedad, mediante la cesión de su participación, y la sociedad no cumple con los requisitos para ser considerada una sociedad de personas (como las sociedades colectivas, en comandita simple, limitadas o unipersonales), la inhabilidad podría no ser extensible. No obstante, las entidades contratantes deben analizar cada caso concreto para determinar si la desvinculación es suficiente para excluir la extensión de la inhabilidad</w:t>
            </w:r>
            <w:r>
              <w:rPr>
                <w:rFonts w:ascii="Verdana" w:eastAsia="Batang" w:hAnsi="Verdana" w:cs="Arial"/>
              </w:rPr>
              <w:t xml:space="preserve">. </w:t>
            </w:r>
          </w:p>
        </w:tc>
      </w:tr>
    </w:tbl>
    <w:p w14:paraId="00422F99" w14:textId="77777777" w:rsidR="00E14685" w:rsidRPr="00EA7EA8" w:rsidRDefault="00E14685" w:rsidP="00E14685">
      <w:pPr>
        <w:tabs>
          <w:tab w:val="left" w:pos="142"/>
          <w:tab w:val="left" w:pos="284"/>
        </w:tabs>
        <w:spacing w:after="0" w:line="276" w:lineRule="auto"/>
        <w:jc w:val="both"/>
        <w:rPr>
          <w:rFonts w:ascii="Verdana" w:eastAsia="Century Gothic" w:hAnsi="Verdana" w:cs="Century Gothic"/>
          <w:b/>
          <w:bCs/>
          <w:lang w:val="es-ES"/>
        </w:rPr>
      </w:pPr>
    </w:p>
    <w:p w14:paraId="0628B7E2" w14:textId="77777777" w:rsidR="00E14685" w:rsidRPr="00EA7EA8" w:rsidRDefault="00E14685" w:rsidP="00E1468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A7EA8">
        <w:rPr>
          <w:rFonts w:ascii="Verdana" w:eastAsia="Century Gothic" w:hAnsi="Verdana" w:cs="Century Gothic"/>
          <w:b/>
          <w:bCs/>
        </w:rPr>
        <w:t>Razones de la respuesta:</w:t>
      </w:r>
    </w:p>
    <w:p w14:paraId="63230E86" w14:textId="77777777" w:rsidR="00E14685" w:rsidRPr="00EA7EA8" w:rsidRDefault="00E14685" w:rsidP="00E14685">
      <w:pPr>
        <w:spacing w:after="0" w:line="276" w:lineRule="auto"/>
        <w:jc w:val="both"/>
        <w:rPr>
          <w:rFonts w:ascii="Verdana" w:eastAsia="Calibri" w:hAnsi="Verdana" w:cs="Arial"/>
          <w:lang w:val="es-ES"/>
        </w:rPr>
      </w:pPr>
    </w:p>
    <w:p w14:paraId="52F12672" w14:textId="77777777" w:rsidR="00E14685" w:rsidRPr="00EA7EA8" w:rsidRDefault="00E14685" w:rsidP="00E14685">
      <w:pPr>
        <w:spacing w:after="0" w:line="276" w:lineRule="auto"/>
        <w:jc w:val="both"/>
        <w:rPr>
          <w:rFonts w:ascii="Verdana" w:eastAsia="Calibri" w:hAnsi="Verdana" w:cs="Arial"/>
          <w:lang w:val="es-ES"/>
        </w:rPr>
      </w:pPr>
      <w:r w:rsidRPr="00EA7EA8">
        <w:rPr>
          <w:rFonts w:ascii="Verdana" w:eastAsia="Calibri" w:hAnsi="Verdana" w:cs="Arial"/>
          <w:lang w:val="es-ES"/>
        </w:rPr>
        <w:t xml:space="preserve">Lo anterior se sustenta en las siguientes consideraciones: </w:t>
      </w:r>
    </w:p>
    <w:p w14:paraId="085CCF77" w14:textId="77777777" w:rsidR="00E14685" w:rsidRPr="00EA7EA8" w:rsidRDefault="00E14685" w:rsidP="00E14685">
      <w:pPr>
        <w:spacing w:after="0" w:line="276" w:lineRule="auto"/>
        <w:jc w:val="both"/>
        <w:rPr>
          <w:rFonts w:ascii="Verdana" w:eastAsia="Calibri" w:hAnsi="Verdana" w:cs="Arial"/>
        </w:rPr>
      </w:pPr>
      <w:r w:rsidRPr="00EA7EA8">
        <w:rPr>
          <w:rFonts w:ascii="Verdana" w:eastAsia="Calibri" w:hAnsi="Verdana" w:cs="Arial"/>
        </w:rPr>
        <w:t xml:space="preserve"> </w:t>
      </w:r>
    </w:p>
    <w:p w14:paraId="6B8FB8DB" w14:textId="77777777" w:rsidR="00E14685" w:rsidRDefault="00E14685" w:rsidP="0065682A">
      <w:pPr>
        <w:widowControl w:val="0"/>
        <w:autoSpaceDE w:val="0"/>
        <w:autoSpaceDN w:val="0"/>
        <w:spacing w:after="120" w:line="276" w:lineRule="auto"/>
        <w:jc w:val="both"/>
        <w:rPr>
          <w:rFonts w:ascii="Verdana" w:hAnsi="Verdana" w:cs="Arial"/>
        </w:rPr>
      </w:pPr>
      <w:r>
        <w:rPr>
          <w:rFonts w:ascii="Verdana" w:hAnsi="Verdana" w:cs="Arial"/>
        </w:rPr>
        <w:t>Inicialmente</w:t>
      </w:r>
      <w:r w:rsidRPr="00ED1294">
        <w:rPr>
          <w:rFonts w:ascii="Verdana" w:hAnsi="Verdana" w:cs="Arial"/>
        </w:rPr>
        <w:t xml:space="preserve">, debe advertirse que, el régimen de inhabilidades para contratar con el Estado es un conjunto de restricciones establecidas por el constituyente o por el legislador que afectan directamente la capacidad de las personas para </w:t>
      </w:r>
      <w:r w:rsidRPr="00ED1294">
        <w:rPr>
          <w:rFonts w:ascii="Verdana" w:hAnsi="Verdana" w:cs="Arial"/>
        </w:rPr>
        <w:lastRenderedPageBreak/>
        <w:t>establecer relaciones contractuales con el Estado, que pueden resultar de condenas, sanciones o situaciones previamente consagradas por el ordenamiento jurídico.</w:t>
      </w:r>
    </w:p>
    <w:p w14:paraId="1DDAD725" w14:textId="54E13916" w:rsidR="00E14685" w:rsidRDefault="00F50291" w:rsidP="0065682A">
      <w:pPr>
        <w:spacing w:after="120" w:line="276" w:lineRule="auto"/>
        <w:ind w:firstLine="360"/>
        <w:jc w:val="both"/>
        <w:rPr>
          <w:rFonts w:ascii="Verdana" w:hAnsi="Verdana" w:cs="Arial"/>
        </w:rPr>
      </w:pPr>
      <w:r>
        <w:rPr>
          <w:rFonts w:ascii="Verdana" w:hAnsi="Verdana" w:cs="Arial"/>
        </w:rPr>
        <w:tab/>
      </w:r>
      <w:r w:rsidR="00E14685" w:rsidRPr="00ED1294">
        <w:rPr>
          <w:rFonts w:ascii="Verdana" w:hAnsi="Verdana" w:cs="Arial"/>
        </w:rPr>
        <w:t>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00E14685">
        <w:rPr>
          <w:rStyle w:val="Refdenotaalpie"/>
          <w:rFonts w:ascii="Verdana" w:hAnsi="Verdana" w:cs="Arial"/>
        </w:rPr>
        <w:footnoteReference w:id="2"/>
      </w:r>
      <w:r w:rsidR="00E14685" w:rsidRPr="00ED1294">
        <w:rPr>
          <w:rFonts w:ascii="Verdana" w:hAnsi="Verdana" w:cs="Arial"/>
        </w:rPr>
        <w:t>.</w:t>
      </w:r>
    </w:p>
    <w:p w14:paraId="12726873" w14:textId="044286B1" w:rsidR="00E14685" w:rsidRPr="00ED1294" w:rsidRDefault="00F50291" w:rsidP="00E14685">
      <w:pPr>
        <w:spacing w:after="0" w:line="276" w:lineRule="auto"/>
        <w:ind w:firstLine="360"/>
        <w:jc w:val="both"/>
        <w:rPr>
          <w:rFonts w:ascii="Verdana" w:hAnsi="Verdana" w:cs="Arial"/>
        </w:rPr>
      </w:pPr>
      <w:r>
        <w:rPr>
          <w:rFonts w:ascii="Verdana" w:hAnsi="Verdana" w:cs="Arial"/>
        </w:rPr>
        <w:tab/>
      </w:r>
      <w:r w:rsidR="00E14685" w:rsidRPr="00ED1294">
        <w:rPr>
          <w:rFonts w:ascii="Verdana" w:hAnsi="Verdana" w:cs="Arial"/>
        </w:rPr>
        <w:t>La consagración de limitaciones que afectan la capacidad jurídica para contratar desarrolla los principios de la función administrativa consagrados en el artículo 209 de la Constitución Política, con especial énfasis el de moralidad. Así lo entiende el Consejo de Estado:</w:t>
      </w:r>
    </w:p>
    <w:p w14:paraId="4A1DB933" w14:textId="77777777" w:rsidR="00E14685" w:rsidRPr="0043497D" w:rsidRDefault="00E14685" w:rsidP="00E14685">
      <w:pPr>
        <w:pStyle w:val="Prrafodelista"/>
        <w:spacing w:after="0" w:line="276" w:lineRule="auto"/>
        <w:jc w:val="both"/>
        <w:rPr>
          <w:rFonts w:ascii="Verdana" w:hAnsi="Verdana" w:cs="Arial"/>
        </w:rPr>
      </w:pPr>
    </w:p>
    <w:p w14:paraId="7156C6EC" w14:textId="77777777" w:rsidR="00E14685" w:rsidRPr="00E234D0" w:rsidRDefault="00E14685" w:rsidP="0065682A">
      <w:pPr>
        <w:pStyle w:val="Prrafodelista"/>
        <w:spacing w:after="0" w:line="240" w:lineRule="auto"/>
        <w:ind w:left="709" w:right="709"/>
        <w:jc w:val="both"/>
        <w:rPr>
          <w:rFonts w:ascii="Verdana" w:hAnsi="Verdana" w:cs="Arial"/>
          <w:sz w:val="20"/>
          <w:szCs w:val="20"/>
        </w:rPr>
      </w:pPr>
      <w:r w:rsidRPr="00E234D0">
        <w:rPr>
          <w:rFonts w:ascii="Verdana" w:hAnsi="Verdana" w:cs="Arial"/>
          <w:sz w:val="20"/>
          <w:szCs w:val="20"/>
        </w:rPr>
        <w:t>“De manera primordial en esta reflexión debe advertirse que la consagración legal de las incompatibilidades e inhabilidades</w:t>
      </w:r>
      <w:r w:rsidRPr="00E234D0">
        <w:rPr>
          <w:sz w:val="20"/>
          <w:szCs w:val="20"/>
        </w:rPr>
        <w:t xml:space="preserve"> </w:t>
      </w:r>
      <w:r w:rsidRPr="00E234D0">
        <w:rPr>
          <w:rFonts w:ascii="Verdana" w:hAnsi="Verdana" w:cs="Arial"/>
          <w:sz w:val="20"/>
          <w:szCs w:val="20"/>
        </w:rPr>
        <w:t>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291A2D11" w14:textId="77777777" w:rsidR="00E14685" w:rsidRPr="00E234D0" w:rsidRDefault="00E14685" w:rsidP="0065682A">
      <w:pPr>
        <w:pStyle w:val="Prrafodelista"/>
        <w:spacing w:after="0" w:line="240" w:lineRule="auto"/>
        <w:ind w:left="709" w:right="709"/>
        <w:jc w:val="both"/>
        <w:rPr>
          <w:rFonts w:ascii="Verdana" w:hAnsi="Verdana" w:cs="Arial"/>
          <w:sz w:val="20"/>
          <w:szCs w:val="20"/>
        </w:rPr>
      </w:pPr>
    </w:p>
    <w:p w14:paraId="6C3FBD37" w14:textId="77777777" w:rsidR="00E14685" w:rsidRDefault="00E14685" w:rsidP="0065682A">
      <w:pPr>
        <w:pStyle w:val="Prrafodelista"/>
        <w:spacing w:after="0" w:line="240" w:lineRule="auto"/>
        <w:ind w:left="709" w:right="709"/>
        <w:jc w:val="both"/>
        <w:rPr>
          <w:rFonts w:ascii="Verdana" w:hAnsi="Verdana" w:cs="Arial"/>
          <w:sz w:val="20"/>
          <w:szCs w:val="20"/>
        </w:rPr>
      </w:pPr>
      <w:r w:rsidRPr="00E234D0">
        <w:rPr>
          <w:rFonts w:ascii="Verdana" w:hAnsi="Verdana" w:cs="Arial"/>
          <w:sz w:val="20"/>
          <w:szCs w:val="20"/>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E234D0">
        <w:rPr>
          <w:rStyle w:val="Refdenotaalpie"/>
          <w:rFonts w:ascii="Verdana" w:hAnsi="Verdana" w:cs="Arial"/>
          <w:sz w:val="20"/>
          <w:szCs w:val="20"/>
        </w:rPr>
        <w:footnoteReference w:id="3"/>
      </w:r>
    </w:p>
    <w:p w14:paraId="644AD13A" w14:textId="77777777" w:rsidR="00E14685" w:rsidRPr="00E234D0" w:rsidRDefault="00E14685" w:rsidP="00E14685">
      <w:pPr>
        <w:pStyle w:val="Prrafodelista"/>
        <w:spacing w:after="0" w:line="240" w:lineRule="auto"/>
        <w:ind w:left="1491" w:right="357"/>
        <w:jc w:val="both"/>
        <w:rPr>
          <w:rFonts w:ascii="Verdana" w:hAnsi="Verdana" w:cs="Arial"/>
          <w:sz w:val="20"/>
          <w:szCs w:val="20"/>
        </w:rPr>
      </w:pPr>
    </w:p>
    <w:p w14:paraId="25498DCA" w14:textId="77777777" w:rsidR="00E14685" w:rsidRDefault="00E14685" w:rsidP="0065682A">
      <w:pPr>
        <w:spacing w:after="120" w:line="276" w:lineRule="auto"/>
        <w:ind w:firstLine="708"/>
        <w:jc w:val="both"/>
        <w:rPr>
          <w:rFonts w:ascii="Verdana" w:hAnsi="Verdana" w:cs="Arial"/>
        </w:rPr>
      </w:pPr>
      <w:r w:rsidRPr="00ED1294">
        <w:rPr>
          <w:rFonts w:ascii="Verdana" w:hAnsi="Verdana" w:cs="Arial"/>
        </w:rPr>
        <w:lastRenderedPageBreak/>
        <w:t>Se puede afirmar que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w:t>
      </w:r>
    </w:p>
    <w:p w14:paraId="26327FE4" w14:textId="0BCCA3F9" w:rsidR="00E14685" w:rsidRDefault="00F50291" w:rsidP="0065682A">
      <w:pPr>
        <w:spacing w:after="120" w:line="276" w:lineRule="auto"/>
        <w:ind w:firstLine="360"/>
        <w:jc w:val="both"/>
        <w:rPr>
          <w:rFonts w:ascii="Verdana" w:hAnsi="Verdana" w:cs="Arial"/>
        </w:rPr>
      </w:pPr>
      <w:r>
        <w:rPr>
          <w:rFonts w:ascii="Verdana" w:hAnsi="Verdana" w:cs="Arial"/>
        </w:rPr>
        <w:tab/>
      </w:r>
      <w:r w:rsidR="00E14685" w:rsidRPr="00ED1294">
        <w:rPr>
          <w:rFonts w:ascii="Verdana" w:hAnsi="Verdana" w:cs="Arial"/>
        </w:rPr>
        <w:t>Además, la Corte Constitucional señala que, el legislador tiene la competencia para determinar qué hechos o situaciones generan inhabilidad para contratar, pues este régimen es un aspecto propio del Estatuto General de Contratación de la Administración Pública – en adelante EGCAP –, cuya expedición compete al Congreso de la República a la luz del artículo 150 de la Constitución Política, y que en esta materia rige el principio de legalidad.</w:t>
      </w:r>
      <w:r w:rsidR="00E14685">
        <w:rPr>
          <w:rStyle w:val="Refdenotaalpie"/>
          <w:rFonts w:ascii="Verdana" w:hAnsi="Verdana" w:cs="Arial"/>
        </w:rPr>
        <w:footnoteReference w:id="4"/>
      </w:r>
    </w:p>
    <w:p w14:paraId="79A39AAA" w14:textId="097A54B2" w:rsidR="00E14685" w:rsidRDefault="00F50291" w:rsidP="0065682A">
      <w:pPr>
        <w:spacing w:after="120" w:line="276" w:lineRule="auto"/>
        <w:ind w:firstLine="360"/>
        <w:jc w:val="both"/>
        <w:rPr>
          <w:rFonts w:ascii="Verdana" w:hAnsi="Verdana" w:cs="Arial"/>
        </w:rPr>
      </w:pPr>
      <w:r>
        <w:rPr>
          <w:rFonts w:ascii="Verdana" w:hAnsi="Verdana" w:cs="Arial"/>
        </w:rPr>
        <w:tab/>
      </w:r>
      <w:r w:rsidR="00E14685" w:rsidRPr="00ED1294">
        <w:rPr>
          <w:rFonts w:ascii="Verdana" w:hAnsi="Verdana" w:cs="Arial"/>
        </w:rPr>
        <w:t xml:space="preserve">Ahora bien, conviene también distinguir las fuentes de las inhabilidades, las cuales han sido clasificadas en dos (2) grupos: i) inhabilidades- sanción y </w:t>
      </w:r>
      <w:proofErr w:type="spellStart"/>
      <w:r w:rsidR="00E14685" w:rsidRPr="00ED1294">
        <w:rPr>
          <w:rFonts w:ascii="Verdana" w:hAnsi="Verdana" w:cs="Arial"/>
        </w:rPr>
        <w:t>ii</w:t>
      </w:r>
      <w:proofErr w:type="spellEnd"/>
      <w:r w:rsidR="00E14685" w:rsidRPr="00ED1294">
        <w:rPr>
          <w:rFonts w:ascii="Verdana" w:hAnsi="Verdana" w:cs="Arial"/>
        </w:rPr>
        <w:t xml:space="preserve">) inhabilidades-requisito. En el </w:t>
      </w:r>
      <w:r w:rsidR="00E14685" w:rsidRPr="00ED1294">
        <w:rPr>
          <w:rFonts w:ascii="Verdana" w:hAnsi="Verdana" w:cs="Arial"/>
          <w:i/>
          <w:iCs/>
        </w:rPr>
        <w:t>primer grupo</w:t>
      </w:r>
      <w:r w:rsidR="00E14685" w:rsidRPr="00ED1294">
        <w:rPr>
          <w:rFonts w:ascii="Verdana" w:hAnsi="Verdana" w:cs="Arial"/>
        </w:rPr>
        <w:t xml:space="preserve"> se encuentran las inhabilidades que surgen como consecuencia de un proceso sancionatorio, en los ámbitos penal, disciplinario, contravencional o de pérdida de investidura. En el </w:t>
      </w:r>
      <w:r w:rsidR="00E14685" w:rsidRPr="00ED1294">
        <w:rPr>
          <w:rFonts w:ascii="Verdana" w:hAnsi="Verdana" w:cs="Arial"/>
          <w:i/>
          <w:iCs/>
        </w:rPr>
        <w:t>segundo grupo</w:t>
      </w:r>
      <w:r w:rsidR="00E14685" w:rsidRPr="00ED1294">
        <w:rPr>
          <w:rFonts w:ascii="Verdana" w:hAnsi="Verdana" w:cs="Arial"/>
        </w:rPr>
        <w:t xml:space="preserve"> están aquellas que no devienen de un proceso sancionatorio, sino de condiciones propias de la persona y garantizan la moralidad, la imparcialidad, la eficacia y la transparencia</w:t>
      </w:r>
      <w:r w:rsidR="00E14685">
        <w:rPr>
          <w:rStyle w:val="Refdenotaalpie"/>
          <w:rFonts w:ascii="Verdana" w:hAnsi="Verdana" w:cs="Arial"/>
        </w:rPr>
        <w:footnoteReference w:id="5"/>
      </w:r>
      <w:r w:rsidR="00E14685" w:rsidRPr="00ED1294">
        <w:rPr>
          <w:rFonts w:ascii="Verdana" w:hAnsi="Verdana" w:cs="Arial"/>
        </w:rPr>
        <w:t>.</w:t>
      </w:r>
    </w:p>
    <w:p w14:paraId="5D281B0C" w14:textId="54B3FFF4" w:rsidR="00E14685" w:rsidRDefault="00F50291" w:rsidP="0065682A">
      <w:pPr>
        <w:spacing w:after="120" w:line="276" w:lineRule="auto"/>
        <w:ind w:firstLine="360"/>
        <w:jc w:val="both"/>
        <w:rPr>
          <w:rFonts w:ascii="Verdana" w:hAnsi="Verdana" w:cs="Arial"/>
        </w:rPr>
      </w:pPr>
      <w:r>
        <w:rPr>
          <w:rFonts w:ascii="Verdana" w:hAnsi="Verdana" w:cs="Arial"/>
        </w:rPr>
        <w:tab/>
      </w:r>
      <w:r w:rsidR="00E14685">
        <w:rPr>
          <w:rFonts w:ascii="Verdana" w:hAnsi="Verdana" w:cs="Arial"/>
        </w:rPr>
        <w:t>Seguidamente</w:t>
      </w:r>
      <w:r w:rsidR="00E14685" w:rsidRPr="00ED1294">
        <w:rPr>
          <w:rFonts w:ascii="Verdana" w:hAnsi="Verdana" w:cs="Arial"/>
        </w:rPr>
        <w:t xml:space="preserve">,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00E14685" w:rsidRPr="00ED1294">
        <w:rPr>
          <w:rFonts w:ascii="Verdana" w:hAnsi="Verdana" w:cs="Arial"/>
          <w:i/>
          <w:iCs/>
        </w:rPr>
        <w:t>restrictiva</w:t>
      </w:r>
      <w:r w:rsidR="00E14685">
        <w:rPr>
          <w:rStyle w:val="Refdenotaalpie"/>
          <w:rFonts w:ascii="Verdana" w:hAnsi="Verdana" w:cs="Arial"/>
        </w:rPr>
        <w:footnoteReference w:id="6"/>
      </w:r>
      <w:r w:rsidR="00E14685" w:rsidRPr="00ED1294">
        <w:rPr>
          <w:rFonts w:ascii="Verdana" w:hAnsi="Verdana" w:cs="Arial"/>
        </w:rPr>
        <w:t>, pues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w:t>
      </w:r>
    </w:p>
    <w:p w14:paraId="00F59D06" w14:textId="1EA28E7A" w:rsidR="00E14685" w:rsidRDefault="00F50291" w:rsidP="0065682A">
      <w:pPr>
        <w:spacing w:after="120" w:line="276" w:lineRule="auto"/>
        <w:ind w:firstLine="360"/>
        <w:jc w:val="both"/>
        <w:rPr>
          <w:rFonts w:ascii="Verdana" w:hAnsi="Verdana" w:cs="Arial"/>
        </w:rPr>
      </w:pPr>
      <w:r>
        <w:rPr>
          <w:rFonts w:ascii="Verdana" w:hAnsi="Verdana" w:cs="Arial"/>
        </w:rPr>
        <w:tab/>
      </w:r>
      <w:r w:rsidR="00E14685" w:rsidRPr="00ED1294">
        <w:rPr>
          <w:rFonts w:ascii="Verdana" w:hAnsi="Verdana" w:cs="Arial"/>
        </w:rPr>
        <w:t xml:space="preserve">En efecto, el máximo tribunal constitucional ha indicado que, al precisar el sentido de este tipo de normas, “[…] el intérprete de las disposiciones legislativas en la materia ha de ceñirse en la mayor medida posible al tenor </w:t>
      </w:r>
      <w:r w:rsidR="00E14685" w:rsidRPr="00ED1294">
        <w:rPr>
          <w:rFonts w:ascii="Verdana" w:hAnsi="Verdana" w:cs="Arial"/>
        </w:rPr>
        <w:lastRenderedPageBreak/>
        <w:t>literal y gramatical de los enunciados normativos, sin que pueda acudir prima facie a criterios interpretativos tales como la analogía, la interpretación extensiva para ampliar el alcance de las causales legalmente fijadas”</w:t>
      </w:r>
      <w:r w:rsidR="00E14685">
        <w:rPr>
          <w:rStyle w:val="Refdenotaalpie"/>
          <w:rFonts w:ascii="Verdana" w:hAnsi="Verdana" w:cs="Arial"/>
        </w:rPr>
        <w:footnoteReference w:id="7"/>
      </w:r>
      <w:r w:rsidR="00E14685" w:rsidRPr="00ED1294">
        <w:rPr>
          <w:rFonts w:ascii="Verdana" w:hAnsi="Verdana" w:cs="Arial"/>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00E14685">
        <w:rPr>
          <w:rStyle w:val="Refdenotaalpie"/>
          <w:rFonts w:ascii="Verdana" w:hAnsi="Verdana" w:cs="Arial"/>
        </w:rPr>
        <w:footnoteReference w:id="8"/>
      </w:r>
      <w:r w:rsidR="00E14685" w:rsidRPr="00ED1294">
        <w:rPr>
          <w:rFonts w:ascii="Verdana" w:hAnsi="Verdana" w:cs="Arial"/>
        </w:rPr>
        <w:t>.</w:t>
      </w:r>
    </w:p>
    <w:p w14:paraId="2B884479" w14:textId="77777777" w:rsidR="00E14685" w:rsidRDefault="00E14685" w:rsidP="0065682A">
      <w:pPr>
        <w:spacing w:after="120" w:line="276" w:lineRule="auto"/>
        <w:ind w:firstLine="708"/>
        <w:jc w:val="both"/>
        <w:rPr>
          <w:rFonts w:ascii="Verdana" w:hAnsi="Verdana" w:cs="Arial"/>
        </w:rPr>
      </w:pPr>
      <w:r w:rsidRPr="00ED1294">
        <w:rPr>
          <w:rFonts w:ascii="Verdana" w:hAnsi="Verdana" w:cs="Arial"/>
        </w:rPr>
        <w:t xml:space="preserve">Como se aprecia, el principio pro </w:t>
      </w:r>
      <w:proofErr w:type="spellStart"/>
      <w:r w:rsidRPr="00ED1294">
        <w:rPr>
          <w:rFonts w:ascii="Verdana" w:hAnsi="Verdana" w:cs="Arial"/>
        </w:rPr>
        <w:t>libertate</w:t>
      </w:r>
      <w:proofErr w:type="spellEnd"/>
      <w:r w:rsidRPr="00ED1294">
        <w:rPr>
          <w:rFonts w:ascii="Verdana" w:hAnsi="Verdana" w:cs="Arial"/>
        </w:rPr>
        <w:t xml:space="preserve"> es el que debe dirigir la interpretación de las disposiciones normativas que consagran restricciones de derechos, como sucede con las causales de inhabilidad e incompatibilidad en la contratación estatal. Por lo tanto, no es posible llevar a cabo la interpretación extensiva de estas, debiendo preferirse aquella que menos limita el derecho de las personas, salvaguardando el interés general en la contratación pública de manera que implique el menor sacrificio posible al derecho de igualdad.</w:t>
      </w:r>
    </w:p>
    <w:p w14:paraId="133BF2A5" w14:textId="5130ECDB" w:rsidR="00E14685" w:rsidRDefault="00E14685" w:rsidP="00E14685">
      <w:pPr>
        <w:spacing w:after="120" w:line="276" w:lineRule="auto"/>
        <w:jc w:val="both"/>
        <w:rPr>
          <w:rFonts w:ascii="Verdana" w:eastAsia="Calibri" w:hAnsi="Verdana" w:cs="Arial"/>
        </w:rPr>
      </w:pPr>
      <w:r>
        <w:rPr>
          <w:rFonts w:ascii="Verdana" w:hAnsi="Verdana" w:cs="Arial"/>
        </w:rPr>
        <w:tab/>
        <w:t xml:space="preserve">Frente a la consulta precisa, es necesario remitirnos a lo establecido </w:t>
      </w:r>
      <w:r w:rsidRPr="009A31A0">
        <w:rPr>
          <w:rFonts w:ascii="Verdana" w:eastAsia="Calibri" w:hAnsi="Verdana" w:cs="Arial"/>
        </w:rPr>
        <w:t xml:space="preserve">el literal i) del numeral 1 del artículo 8 de la Ley 80 de 1993 </w:t>
      </w:r>
      <w:r>
        <w:rPr>
          <w:rFonts w:ascii="Verdana" w:eastAsia="Calibri" w:hAnsi="Verdana" w:cs="Arial"/>
        </w:rPr>
        <w:t xml:space="preserve">que </w:t>
      </w:r>
      <w:r w:rsidRPr="009A31A0">
        <w:rPr>
          <w:rFonts w:ascii="Verdana" w:eastAsia="Calibri" w:hAnsi="Verdana" w:cs="Arial"/>
        </w:rPr>
        <w:t xml:space="preserve">establece que </w:t>
      </w:r>
      <w:r w:rsidRPr="0065682A">
        <w:rPr>
          <w:rFonts w:ascii="Verdana" w:eastAsia="Calibri" w:hAnsi="Verdana" w:cs="Arial"/>
          <w:i/>
        </w:rPr>
        <w:t>la inhabilidad por caducidad afecta a los socios de sociedades de personas a las cuales se haya declarado la caducidad, así como a las sociedades de personas de las que aquellos formen parte con posterioridad a dicha declaratoria</w:t>
      </w:r>
      <w:r w:rsidRPr="009A31A0">
        <w:rPr>
          <w:rFonts w:ascii="Verdana" w:eastAsia="Calibri" w:hAnsi="Verdana" w:cs="Arial"/>
        </w:rPr>
        <w:t xml:space="preserve">. </w:t>
      </w:r>
      <w:r>
        <w:rPr>
          <w:rFonts w:ascii="Verdana" w:eastAsia="Calibri" w:hAnsi="Verdana" w:cs="Arial"/>
        </w:rPr>
        <w:t>Conforme a ello, esta inhabilidad n</w:t>
      </w:r>
      <w:r w:rsidRPr="00AD4D10">
        <w:rPr>
          <w:rFonts w:ascii="Verdana" w:eastAsia="Calibri" w:hAnsi="Verdana" w:cs="Arial"/>
        </w:rPr>
        <w:t>o se extiende automáticamente a otras sociedades en las que esa persona jurídica sea socia, accionista o constituyente</w:t>
      </w:r>
      <w:r>
        <w:rPr>
          <w:rFonts w:ascii="Verdana" w:eastAsia="Calibri" w:hAnsi="Verdana" w:cs="Arial"/>
        </w:rPr>
        <w:t xml:space="preserve">, </w:t>
      </w:r>
      <w:r w:rsidR="004C11AE">
        <w:rPr>
          <w:rFonts w:ascii="Verdana" w:eastAsia="Calibri" w:hAnsi="Verdana" w:cs="Arial"/>
        </w:rPr>
        <w:t xml:space="preserve">pues se deben cumplir con los supuestos de hecho que consagra la norma, que </w:t>
      </w:r>
      <w:r>
        <w:rPr>
          <w:rFonts w:ascii="Verdana" w:eastAsia="Calibri" w:hAnsi="Verdana" w:cs="Arial"/>
        </w:rPr>
        <w:t xml:space="preserve">en todo caso debe hacerse un estudio del caso preciso para poder determinar si procede o no la aplicación de dicha </w:t>
      </w:r>
      <w:proofErr w:type="spellStart"/>
      <w:r>
        <w:rPr>
          <w:rFonts w:ascii="Verdana" w:eastAsia="Calibri" w:hAnsi="Verdana" w:cs="Arial"/>
        </w:rPr>
        <w:t>inhabildiad</w:t>
      </w:r>
      <w:proofErr w:type="spellEnd"/>
      <w:r>
        <w:rPr>
          <w:rFonts w:ascii="Verdana" w:eastAsia="Calibri" w:hAnsi="Verdana" w:cs="Arial"/>
        </w:rPr>
        <w:t xml:space="preserve">. </w:t>
      </w:r>
    </w:p>
    <w:p w14:paraId="7DD86C8B" w14:textId="34921C07" w:rsidR="00E14685" w:rsidRPr="00AD4D10" w:rsidRDefault="00E14685" w:rsidP="00E14685">
      <w:pPr>
        <w:spacing w:after="120" w:line="276" w:lineRule="auto"/>
        <w:jc w:val="both"/>
        <w:rPr>
          <w:rFonts w:ascii="Verdana" w:eastAsia="Calibri" w:hAnsi="Verdana" w:cs="Arial"/>
        </w:rPr>
      </w:pPr>
      <w:r>
        <w:rPr>
          <w:rFonts w:ascii="Verdana" w:eastAsia="Calibri" w:hAnsi="Verdana" w:cs="Arial"/>
        </w:rPr>
        <w:t xml:space="preserve">    Ahora bien, e</w:t>
      </w:r>
      <w:r w:rsidRPr="00274E10">
        <w:rPr>
          <w:rFonts w:ascii="Verdana" w:eastAsia="Calibri" w:hAnsi="Verdana" w:cs="Arial"/>
        </w:rPr>
        <w:t xml:space="preserve">l numeral 2.5 del artículo 2.2.1.1.1.5.2 del Decreto 1082 de 2015 permite </w:t>
      </w:r>
      <w:r w:rsidR="00296EAC">
        <w:rPr>
          <w:rFonts w:ascii="Verdana" w:eastAsia="Calibri" w:hAnsi="Verdana" w:cs="Arial"/>
        </w:rPr>
        <w:t>a</w:t>
      </w:r>
      <w:r w:rsidR="00296EAC" w:rsidRPr="00274E10">
        <w:rPr>
          <w:rFonts w:ascii="Verdana" w:eastAsia="Calibri" w:hAnsi="Verdana" w:cs="Arial"/>
        </w:rPr>
        <w:t xml:space="preserve"> </w:t>
      </w:r>
      <w:r w:rsidRPr="00274E10">
        <w:rPr>
          <w:rFonts w:ascii="Verdana" w:eastAsia="Calibri" w:hAnsi="Verdana" w:cs="Arial"/>
        </w:rPr>
        <w:t xml:space="preserve">las sociedades con menos de tres </w:t>
      </w:r>
      <w:r w:rsidR="00296EAC">
        <w:rPr>
          <w:rFonts w:ascii="Verdana" w:eastAsia="Calibri" w:hAnsi="Verdana" w:cs="Arial"/>
        </w:rPr>
        <w:t>(3)</w:t>
      </w:r>
      <w:r w:rsidRPr="00274E10">
        <w:rPr>
          <w:rFonts w:ascii="Verdana" w:eastAsia="Calibri" w:hAnsi="Verdana" w:cs="Arial"/>
        </w:rPr>
        <w:t xml:space="preserve"> años de</w:t>
      </w:r>
      <w:r>
        <w:rPr>
          <w:rFonts w:ascii="Verdana" w:eastAsia="Calibri" w:hAnsi="Verdana" w:cs="Arial"/>
        </w:rPr>
        <w:t xml:space="preserve"> </w:t>
      </w:r>
      <w:r w:rsidRPr="00274E10">
        <w:rPr>
          <w:rFonts w:ascii="Verdana" w:eastAsia="Calibri" w:hAnsi="Verdana" w:cs="Arial"/>
        </w:rPr>
        <w:t xml:space="preserve">constituidas acredite la experiencia de sus accionistas, socios o constituyentes en el RUP. Sin embargo, esta posibilidad está limitada a los casos específicos regulados por la norma y no implica que una sociedad sancionada pueda </w:t>
      </w:r>
      <w:r w:rsidR="00330023">
        <w:rPr>
          <w:rFonts w:ascii="Verdana" w:eastAsia="Calibri" w:hAnsi="Verdana" w:cs="Arial"/>
        </w:rPr>
        <w:t>o no</w:t>
      </w:r>
      <w:r w:rsidRPr="00274E10">
        <w:rPr>
          <w:rFonts w:ascii="Verdana" w:eastAsia="Calibri" w:hAnsi="Verdana" w:cs="Arial"/>
        </w:rPr>
        <w:t xml:space="preserve"> transferir su </w:t>
      </w:r>
      <w:r w:rsidRPr="00274E10">
        <w:rPr>
          <w:rFonts w:ascii="Verdana" w:eastAsia="Calibri" w:hAnsi="Verdana" w:cs="Arial"/>
        </w:rPr>
        <w:lastRenderedPageBreak/>
        <w:t>experiencia a otra sociedad en la que participe como socia o accionista. La experiencia es considerada personalísima e inherente a la persona que la ha obtenido, y su transferencia está permitida únicamente en los casos excepcionales previstos en la regulación</w:t>
      </w:r>
      <w:r>
        <w:rPr>
          <w:rFonts w:ascii="Verdana" w:eastAsia="Calibri" w:hAnsi="Verdana" w:cs="Arial"/>
        </w:rPr>
        <w:t xml:space="preserve">, por lo que cada caso concreto deberá estudiarse a la luz de lo establecido en la normatividad vigente. </w:t>
      </w:r>
    </w:p>
    <w:p w14:paraId="72C91112" w14:textId="77777777" w:rsidR="00E14685" w:rsidRDefault="00E14685" w:rsidP="00E14685">
      <w:pPr>
        <w:widowControl w:val="0"/>
        <w:autoSpaceDE w:val="0"/>
        <w:autoSpaceDN w:val="0"/>
        <w:spacing w:after="0" w:line="276" w:lineRule="auto"/>
        <w:ind w:firstLine="708"/>
        <w:jc w:val="both"/>
        <w:rPr>
          <w:rFonts w:ascii="Verdana" w:eastAsia="Batang" w:hAnsi="Verdana" w:cs="Arial"/>
        </w:rPr>
      </w:pPr>
      <w:r>
        <w:rPr>
          <w:rFonts w:ascii="Verdana" w:eastAsia="Batang" w:hAnsi="Verdana" w:cs="Arial"/>
        </w:rPr>
        <w:t>Finalmente, se reitera que l</w:t>
      </w:r>
      <w:r w:rsidRPr="00274E10">
        <w:rPr>
          <w:rFonts w:ascii="Verdana" w:eastAsia="Batang" w:hAnsi="Verdana" w:cs="Arial"/>
        </w:rPr>
        <w:t>a interpretación de las normas sobre inhabilidades es restrictiva, lo que implica que su aplicación debe limitarse a los supuestos expresamente previstos en la ley. En este sentido, si la persona jurídica sancionada se desvincula totalmente de la nueva sociedad, mediante la cesión de su participación, y la sociedad no cumple con los requisitos para ser considerada una sociedad de personas (como las sociedades colectivas, en comandita simple, limitadas o unipersonales), la inhabilidad podría no ser extensible. No obstante, las entidades contratantes deben analizar cada caso concreto para determinar si la desvinculación es suficiente para excluir la extensión de la inhabilidad</w:t>
      </w:r>
      <w:r>
        <w:rPr>
          <w:rFonts w:ascii="Verdana" w:eastAsia="Batang" w:hAnsi="Verdana" w:cs="Arial"/>
        </w:rPr>
        <w:t>.</w:t>
      </w:r>
    </w:p>
    <w:p w14:paraId="26A0D40E" w14:textId="77777777" w:rsidR="00E14685" w:rsidRPr="00593A5F" w:rsidRDefault="00E14685" w:rsidP="00E14685">
      <w:pPr>
        <w:widowControl w:val="0"/>
        <w:autoSpaceDE w:val="0"/>
        <w:autoSpaceDN w:val="0"/>
        <w:spacing w:after="0" w:line="276" w:lineRule="auto"/>
        <w:jc w:val="both"/>
        <w:rPr>
          <w:rFonts w:ascii="Verdana" w:hAnsi="Verdana" w:cs="Arial"/>
        </w:rPr>
      </w:pPr>
    </w:p>
    <w:p w14:paraId="02F3E1F3" w14:textId="77777777" w:rsidR="00E14685" w:rsidRPr="00593A5F" w:rsidRDefault="00E14685" w:rsidP="00E1468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612FD7FB" w14:textId="77777777" w:rsidR="00E14685" w:rsidRPr="00593A5F" w:rsidRDefault="00E14685" w:rsidP="00E1468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14685" w:rsidRPr="0065682A" w14:paraId="5BF4B892" w14:textId="77777777" w:rsidTr="00A82D8D">
        <w:trPr>
          <w:trHeight w:val="870"/>
        </w:trPr>
        <w:tc>
          <w:tcPr>
            <w:tcW w:w="8647" w:type="dxa"/>
          </w:tcPr>
          <w:p w14:paraId="037D9494" w14:textId="77777777" w:rsidR="00E14685" w:rsidRPr="005C5984" w:rsidRDefault="00E14685" w:rsidP="00A82D8D">
            <w:pPr>
              <w:pStyle w:val="Prrafodelista"/>
              <w:widowControl w:val="0"/>
              <w:numPr>
                <w:ilvl w:val="0"/>
                <w:numId w:val="17"/>
              </w:numPr>
              <w:autoSpaceDE w:val="0"/>
              <w:autoSpaceDN w:val="0"/>
              <w:spacing w:after="120" w:line="276" w:lineRule="auto"/>
              <w:jc w:val="both"/>
              <w:rPr>
                <w:rFonts w:ascii="Verdana" w:hAnsi="Verdana" w:cs="Arial"/>
              </w:rPr>
            </w:pPr>
            <w:r w:rsidRPr="005C5984">
              <w:rPr>
                <w:rFonts w:ascii="Verdana" w:hAnsi="Verdana" w:cs="Arial"/>
              </w:rPr>
              <w:t>Constitución Política</w:t>
            </w:r>
            <w:r>
              <w:rPr>
                <w:rFonts w:ascii="Verdana" w:hAnsi="Verdana" w:cs="Arial"/>
              </w:rPr>
              <w:t>.</w:t>
            </w:r>
            <w:r w:rsidRPr="005C5984">
              <w:rPr>
                <w:rFonts w:ascii="Verdana" w:hAnsi="Verdana" w:cs="Arial"/>
              </w:rPr>
              <w:t xml:space="preserve"> artículo 209</w:t>
            </w:r>
            <w:r>
              <w:rPr>
                <w:rFonts w:ascii="Verdana" w:hAnsi="Verdana" w:cs="Arial"/>
              </w:rPr>
              <w:t>.</w:t>
            </w:r>
          </w:p>
          <w:p w14:paraId="03B99476" w14:textId="77777777" w:rsidR="00E14685" w:rsidRPr="005C5984" w:rsidRDefault="00E14685" w:rsidP="00A82D8D">
            <w:pPr>
              <w:pStyle w:val="Prrafodelista"/>
              <w:widowControl w:val="0"/>
              <w:numPr>
                <w:ilvl w:val="0"/>
                <w:numId w:val="17"/>
              </w:numPr>
              <w:autoSpaceDE w:val="0"/>
              <w:autoSpaceDN w:val="0"/>
              <w:spacing w:after="120" w:line="276" w:lineRule="auto"/>
              <w:jc w:val="both"/>
              <w:rPr>
                <w:rFonts w:ascii="Verdana" w:hAnsi="Verdana" w:cs="Arial"/>
              </w:rPr>
            </w:pPr>
            <w:r w:rsidRPr="005C5984">
              <w:rPr>
                <w:rFonts w:ascii="Verdana" w:hAnsi="Verdana" w:cs="Arial"/>
              </w:rPr>
              <w:t>Ley 80 de 1993</w:t>
            </w:r>
            <w:r>
              <w:rPr>
                <w:rFonts w:ascii="Verdana" w:hAnsi="Verdana" w:cs="Arial"/>
              </w:rPr>
              <w:t>:</w:t>
            </w:r>
            <w:r w:rsidRPr="005C5984">
              <w:rPr>
                <w:rFonts w:ascii="Verdana" w:hAnsi="Verdana" w:cs="Arial"/>
              </w:rPr>
              <w:t xml:space="preserve"> artículo</w:t>
            </w:r>
            <w:r>
              <w:rPr>
                <w:rFonts w:ascii="Verdana" w:hAnsi="Verdana" w:cs="Arial"/>
              </w:rPr>
              <w:t xml:space="preserve">s 8 y </w:t>
            </w:r>
            <w:r w:rsidRPr="005C5984">
              <w:rPr>
                <w:rFonts w:ascii="Verdana" w:hAnsi="Verdana" w:cs="Arial"/>
              </w:rPr>
              <w:t>9.</w:t>
            </w:r>
          </w:p>
          <w:p w14:paraId="01812A2B" w14:textId="77777777" w:rsidR="00E14685" w:rsidRDefault="00E14685" w:rsidP="00A82D8D">
            <w:pPr>
              <w:pStyle w:val="Prrafodelista"/>
              <w:widowControl w:val="0"/>
              <w:numPr>
                <w:ilvl w:val="0"/>
                <w:numId w:val="17"/>
              </w:numPr>
              <w:autoSpaceDE w:val="0"/>
              <w:autoSpaceDN w:val="0"/>
              <w:spacing w:after="120" w:line="276" w:lineRule="auto"/>
              <w:jc w:val="both"/>
              <w:rPr>
                <w:rFonts w:ascii="Verdana" w:hAnsi="Verdana" w:cs="Arial"/>
              </w:rPr>
            </w:pPr>
            <w:r w:rsidRPr="005C5984">
              <w:rPr>
                <w:rFonts w:ascii="Verdana" w:hAnsi="Verdana" w:cs="Arial"/>
              </w:rPr>
              <w:t>Ley 1474 de 2011</w:t>
            </w:r>
            <w:r>
              <w:rPr>
                <w:rFonts w:ascii="Verdana" w:hAnsi="Verdana" w:cs="Arial"/>
              </w:rPr>
              <w:t>:</w:t>
            </w:r>
            <w:r w:rsidRPr="005C5984">
              <w:rPr>
                <w:rFonts w:ascii="Verdana" w:hAnsi="Verdana" w:cs="Arial"/>
              </w:rPr>
              <w:t xml:space="preserve"> artículo 5</w:t>
            </w:r>
            <w:r>
              <w:rPr>
                <w:rFonts w:ascii="Verdana" w:hAnsi="Verdana" w:cs="Arial"/>
              </w:rPr>
              <w:t>.</w:t>
            </w:r>
          </w:p>
          <w:p w14:paraId="533B690B" w14:textId="77777777" w:rsidR="00E14685" w:rsidRPr="005C5984" w:rsidRDefault="00E14685" w:rsidP="00A82D8D">
            <w:pPr>
              <w:pStyle w:val="Prrafodelista"/>
              <w:widowControl w:val="0"/>
              <w:numPr>
                <w:ilvl w:val="0"/>
                <w:numId w:val="17"/>
              </w:numPr>
              <w:autoSpaceDE w:val="0"/>
              <w:autoSpaceDN w:val="0"/>
              <w:spacing w:after="120" w:line="276" w:lineRule="auto"/>
              <w:jc w:val="both"/>
              <w:rPr>
                <w:rFonts w:ascii="Verdana" w:hAnsi="Verdana" w:cs="Arial"/>
              </w:rPr>
            </w:pPr>
            <w:r>
              <w:rPr>
                <w:rFonts w:ascii="Verdana" w:hAnsi="Verdana" w:cs="Arial"/>
              </w:rPr>
              <w:t xml:space="preserve">Decreto 1082 de 2015 </w:t>
            </w:r>
            <w:r w:rsidRPr="00274E10">
              <w:rPr>
                <w:rFonts w:ascii="Verdana" w:eastAsia="Calibri" w:hAnsi="Verdana" w:cs="Arial"/>
              </w:rPr>
              <w:t>artículo 2.2.1.1.1.5.2</w:t>
            </w:r>
            <w:r>
              <w:rPr>
                <w:rFonts w:ascii="Verdana" w:eastAsia="Calibri" w:hAnsi="Verdana" w:cs="Arial"/>
              </w:rPr>
              <w:t>.</w:t>
            </w:r>
          </w:p>
          <w:p w14:paraId="2939B865" w14:textId="77777777" w:rsidR="00E14685" w:rsidRPr="005C5984" w:rsidRDefault="00E14685" w:rsidP="00A82D8D">
            <w:pPr>
              <w:pStyle w:val="Prrafodelista"/>
              <w:widowControl w:val="0"/>
              <w:numPr>
                <w:ilvl w:val="0"/>
                <w:numId w:val="17"/>
              </w:numPr>
              <w:autoSpaceDE w:val="0"/>
              <w:autoSpaceDN w:val="0"/>
              <w:spacing w:after="120" w:line="276" w:lineRule="auto"/>
              <w:jc w:val="both"/>
              <w:rPr>
                <w:rFonts w:ascii="Verdana" w:hAnsi="Verdana" w:cs="Arial"/>
              </w:rPr>
            </w:pPr>
            <w:r w:rsidRPr="005C5984">
              <w:rPr>
                <w:rFonts w:ascii="Verdana" w:hAnsi="Verdana" w:cs="Arial"/>
              </w:rPr>
              <w:t>Corte Constitucional. Sentencia T-1039 de 2006</w:t>
            </w:r>
          </w:p>
          <w:p w14:paraId="2663C120" w14:textId="77777777" w:rsidR="00E14685" w:rsidRPr="00445C26" w:rsidRDefault="00E14685" w:rsidP="00A82D8D">
            <w:pPr>
              <w:pStyle w:val="Prrafodelista"/>
              <w:widowControl w:val="0"/>
              <w:numPr>
                <w:ilvl w:val="0"/>
                <w:numId w:val="17"/>
              </w:numPr>
              <w:autoSpaceDE w:val="0"/>
              <w:autoSpaceDN w:val="0"/>
              <w:spacing w:line="276" w:lineRule="auto"/>
              <w:jc w:val="both"/>
              <w:rPr>
                <w:rFonts w:ascii="Verdana" w:hAnsi="Verdana" w:cs="Arial"/>
              </w:rPr>
            </w:pPr>
            <w:r w:rsidRPr="005C5984">
              <w:rPr>
                <w:rFonts w:ascii="Verdana" w:hAnsi="Verdana" w:cs="Arial"/>
              </w:rPr>
              <w:t>Corte Constitucional. Sentencia C-780 de 2001. M.P. Jaime Córdoba Triviño</w:t>
            </w:r>
          </w:p>
        </w:tc>
      </w:tr>
    </w:tbl>
    <w:p w14:paraId="5659B1F9" w14:textId="77777777" w:rsidR="00E14685" w:rsidRPr="00EA7EA8" w:rsidRDefault="00E14685" w:rsidP="00E14685">
      <w:pPr>
        <w:widowControl w:val="0"/>
        <w:autoSpaceDE w:val="0"/>
        <w:autoSpaceDN w:val="0"/>
        <w:spacing w:after="0" w:line="276" w:lineRule="auto"/>
        <w:jc w:val="both"/>
        <w:rPr>
          <w:rFonts w:ascii="Verdana" w:hAnsi="Verdana" w:cs="Arial"/>
        </w:rPr>
      </w:pPr>
    </w:p>
    <w:p w14:paraId="4A0D7DBD" w14:textId="77777777" w:rsidR="00E14685" w:rsidRPr="00EA7EA8" w:rsidRDefault="00E14685" w:rsidP="00E1468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A7EA8">
        <w:rPr>
          <w:rFonts w:ascii="Verdana" w:eastAsia="Century Gothic" w:hAnsi="Verdana" w:cs="Century Gothic"/>
          <w:b/>
          <w:bCs/>
        </w:rPr>
        <w:t>Doctrina de la Agencia Nacional de Contratación Pública:</w:t>
      </w:r>
    </w:p>
    <w:p w14:paraId="029DA52A" w14:textId="77777777" w:rsidR="00E14685" w:rsidRPr="00EA7EA8" w:rsidRDefault="00E14685" w:rsidP="00E14685">
      <w:pPr>
        <w:widowControl w:val="0"/>
        <w:autoSpaceDE w:val="0"/>
        <w:autoSpaceDN w:val="0"/>
        <w:spacing w:after="0" w:line="276" w:lineRule="auto"/>
        <w:jc w:val="both"/>
        <w:rPr>
          <w:rFonts w:ascii="Verdana" w:hAnsi="Verdana" w:cs="Arial"/>
        </w:rPr>
      </w:pPr>
    </w:p>
    <w:p w14:paraId="74D5E624" w14:textId="77777777" w:rsidR="00E14685" w:rsidRPr="00445C26" w:rsidRDefault="00E14685" w:rsidP="00E14685">
      <w:pPr>
        <w:widowControl w:val="0"/>
        <w:autoSpaceDE w:val="0"/>
        <w:autoSpaceDN w:val="0"/>
        <w:spacing w:after="0" w:line="276" w:lineRule="auto"/>
        <w:jc w:val="both"/>
        <w:rPr>
          <w:rStyle w:val="normaltextrun"/>
          <w:rFonts w:ascii="Verdana" w:hAnsi="Verdana" w:cs="Arial"/>
          <w:shd w:val="clear" w:color="auto" w:fill="FFFFFF"/>
          <w:lang w:val="es-ES"/>
        </w:rPr>
      </w:pPr>
      <w:r>
        <w:rPr>
          <w:rFonts w:ascii="Verdana" w:hAnsi="Verdana" w:cs="Arial"/>
        </w:rPr>
        <w:t xml:space="preserve">Sobre el ámbito de las inhabilidades e incompatibilidades en la contratación pública, se pronunció esta Subdirección en los conceptos </w:t>
      </w:r>
      <w:r w:rsidRPr="00B34B2C">
        <w:rPr>
          <w:rStyle w:val="normaltextrun"/>
          <w:rFonts w:ascii="Verdana" w:hAnsi="Verdana" w:cs="Arial"/>
          <w:shd w:val="clear" w:color="auto" w:fill="FFFFFF"/>
          <w:lang w:val="es-ES"/>
        </w:rPr>
        <w:t>C-090 del 24 de febrero de 2020, C-125 del 3 de marzo de 2020, C-157 del 17 de marzo de 2020, C-273 del 21 de mayo de 2020, C-402 del 26 de junio de 2020, C-386 del 24 de julio de 2020, C-701 del 6 de enero de 2021, C-004 del 12 de febrero de 2021, C-210 del 12 de mayo de 2021, C-275 del 11 de junio de 2021, C-449 del 31 de agosto de 2021, C-028 del 28 de febrero de 2022, C-318 del</w:t>
      </w:r>
      <w:r>
        <w:rPr>
          <w:rStyle w:val="normaltextrun"/>
          <w:rFonts w:ascii="Verdana" w:hAnsi="Verdana" w:cs="Arial"/>
          <w:shd w:val="clear" w:color="auto" w:fill="FFFFFF"/>
          <w:lang w:val="es-ES"/>
        </w:rPr>
        <w:t xml:space="preserve"> </w:t>
      </w:r>
      <w:r w:rsidRPr="00B34B2C">
        <w:rPr>
          <w:rStyle w:val="normaltextrun"/>
          <w:rFonts w:ascii="Verdana" w:hAnsi="Verdana" w:cs="Arial"/>
          <w:shd w:val="clear" w:color="auto" w:fill="FFFFFF"/>
          <w:lang w:val="es-ES"/>
        </w:rPr>
        <w:t xml:space="preserve">18 de mayo de 2022, C-252 del 30 de mayo de 2022, C-619 del 27 de septiembre de 2022, C-731 de 10 de noviembre de 2022, C-059 de 13 de junio de 2023, C-289 del 15 </w:t>
      </w:r>
      <w:r w:rsidRPr="00B34B2C">
        <w:rPr>
          <w:rStyle w:val="normaltextrun"/>
          <w:rFonts w:ascii="Verdana" w:hAnsi="Verdana" w:cs="Arial"/>
          <w:shd w:val="clear" w:color="auto" w:fill="FFFFFF"/>
          <w:lang w:val="es-ES"/>
        </w:rPr>
        <w:lastRenderedPageBreak/>
        <w:t>de agosto de 2023</w:t>
      </w:r>
      <w:r>
        <w:rPr>
          <w:rStyle w:val="normaltextrun"/>
          <w:rFonts w:ascii="Verdana" w:hAnsi="Verdana" w:cs="Arial"/>
          <w:shd w:val="clear" w:color="auto" w:fill="FFFFFF"/>
          <w:lang w:val="es-ES"/>
        </w:rPr>
        <w:t xml:space="preserve">, C-827 de 2025, C-916 de 2025, </w:t>
      </w:r>
      <w:r>
        <w:rPr>
          <w:rStyle w:val="normaltextrun"/>
          <w:rFonts w:ascii="Verdana" w:hAnsi="Verdana" w:cs="Arial"/>
          <w:color w:val="000000" w:themeColor="text1"/>
          <w:shd w:val="clear" w:color="auto" w:fill="FFFFFF"/>
          <w:lang w:val="es-ES"/>
        </w:rPr>
        <w:t xml:space="preserve">, </w:t>
      </w:r>
      <w:r w:rsidRPr="00E84F1D">
        <w:rPr>
          <w:rStyle w:val="normaltextrun"/>
          <w:rFonts w:ascii="Verdana" w:hAnsi="Verdana" w:cs="Arial"/>
          <w:color w:val="000000" w:themeColor="text1"/>
          <w:shd w:val="clear" w:color="auto" w:fill="FFFFFF"/>
          <w:lang w:val="es-ES"/>
        </w:rPr>
        <w:t>entre otros. Es</w:t>
      </w:r>
      <w:r w:rsidRPr="00E84F1D">
        <w:rPr>
          <w:rFonts w:ascii="Verdana" w:hAnsi="Verdana"/>
          <w:color w:val="000000" w:themeColor="text1"/>
        </w:rPr>
        <w:t xml:space="preserve">tos y otros </w:t>
      </w:r>
      <w:r w:rsidRPr="00A1554D">
        <w:rPr>
          <w:rFonts w:ascii="Verdana" w:hAnsi="Verdana"/>
        </w:rPr>
        <w:t xml:space="preserve">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1" w:history="1">
        <w:r w:rsidRPr="00A1554D">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lang w:val="es-ES"/>
        </w:rPr>
        <w:t xml:space="preserve">. </w:t>
      </w:r>
    </w:p>
    <w:p w14:paraId="4CEAE186" w14:textId="77777777" w:rsidR="00E14685" w:rsidRDefault="00E14685" w:rsidP="00E14685">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9DAB88E" w14:textId="77777777" w:rsidR="00E14685" w:rsidRPr="001B29FE" w:rsidRDefault="00E14685" w:rsidP="00E14685">
      <w:pPr>
        <w:widowControl w:val="0"/>
        <w:autoSpaceDE w:val="0"/>
        <w:autoSpaceDN w:val="0"/>
        <w:spacing w:after="0" w:line="276" w:lineRule="auto"/>
        <w:jc w:val="both"/>
        <w:rPr>
          <w:rFonts w:ascii="Verdana" w:hAnsi="Verdana"/>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2"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rsidRPr="001B29FE">
        <w:rPr>
          <w:rFonts w:ascii="Verdana" w:hAnsi="Verdana"/>
        </w:rPr>
        <w:t>.</w:t>
      </w:r>
    </w:p>
    <w:p w14:paraId="06E7087D" w14:textId="77777777" w:rsidR="00E14685" w:rsidRPr="001B29FE" w:rsidRDefault="00E14685" w:rsidP="00E14685">
      <w:pPr>
        <w:widowControl w:val="0"/>
        <w:autoSpaceDE w:val="0"/>
        <w:autoSpaceDN w:val="0"/>
        <w:spacing w:after="0" w:line="276" w:lineRule="auto"/>
        <w:jc w:val="both"/>
        <w:rPr>
          <w:rFonts w:ascii="Verdana" w:hAnsi="Verdana"/>
        </w:rPr>
      </w:pPr>
    </w:p>
    <w:p w14:paraId="683D6246" w14:textId="77777777" w:rsidR="00E14685" w:rsidRPr="00505CD6" w:rsidRDefault="00E14685" w:rsidP="00E14685">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15F0007B" w14:textId="77777777" w:rsidR="00E14685" w:rsidRPr="00505CD6" w:rsidRDefault="00E14685" w:rsidP="00E14685">
      <w:pPr>
        <w:widowControl w:val="0"/>
        <w:autoSpaceDE w:val="0"/>
        <w:autoSpaceDN w:val="0"/>
        <w:spacing w:after="0" w:line="276" w:lineRule="auto"/>
        <w:jc w:val="both"/>
        <w:rPr>
          <w:rFonts w:ascii="Verdana" w:hAnsi="Verdana" w:cs="Arial"/>
        </w:rPr>
      </w:pPr>
    </w:p>
    <w:p w14:paraId="334F3B7C" w14:textId="77777777" w:rsidR="00E14685" w:rsidRDefault="00E14685" w:rsidP="00E14685">
      <w:pPr>
        <w:spacing w:after="0" w:line="276" w:lineRule="auto"/>
        <w:jc w:val="both"/>
        <w:rPr>
          <w:rFonts w:ascii="Verdana" w:hAnsi="Verdana"/>
          <w:noProof/>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01A9E4DC" w14:textId="73C9AC98" w:rsidR="00E14685" w:rsidRPr="00AC6E46" w:rsidRDefault="006A7273" w:rsidP="00E14685">
      <w:pPr>
        <w:spacing w:line="276" w:lineRule="auto"/>
        <w:jc w:val="center"/>
        <w:rPr>
          <w:rFonts w:ascii="Verdana" w:hAnsi="Verdana"/>
          <w:noProof/>
        </w:rPr>
      </w:pPr>
      <w:r>
        <w:rPr>
          <w:rFonts w:ascii="Verdana" w:hAnsi="Verdana"/>
          <w:noProof/>
        </w:rPr>
        <w:drawing>
          <wp:inline distT="0" distB="0" distL="0" distR="0" wp14:anchorId="1AEF4539" wp14:editId="11FFCD1E">
            <wp:extent cx="3639058" cy="1343212"/>
            <wp:effectExtent l="0" t="0" r="0" b="0"/>
            <wp:docPr id="83288537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885379" name="Imagen 1"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14685" w:rsidRPr="00593A5F" w14:paraId="3451B36C" w14:textId="77777777" w:rsidTr="00A82D8D">
        <w:trPr>
          <w:trHeight w:val="315"/>
        </w:trPr>
        <w:tc>
          <w:tcPr>
            <w:tcW w:w="893" w:type="dxa"/>
            <w:vAlign w:val="center"/>
            <w:hideMark/>
          </w:tcPr>
          <w:p w14:paraId="6DBD731B" w14:textId="77777777" w:rsidR="00E14685" w:rsidRPr="003751C7" w:rsidRDefault="00E14685" w:rsidP="00A82D8D">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7F5D2F1" w14:textId="77777777" w:rsidR="00E14685" w:rsidRPr="007911EE" w:rsidRDefault="00E14685" w:rsidP="00A82D8D">
            <w:pPr>
              <w:contextualSpacing/>
              <w:rPr>
                <w:rFonts w:ascii="Verdana" w:hAnsi="Verdana"/>
                <w:sz w:val="16"/>
                <w:szCs w:val="16"/>
              </w:rPr>
            </w:pPr>
            <w:r>
              <w:rPr>
                <w:rFonts w:ascii="Verdana" w:hAnsi="Verdana"/>
                <w:sz w:val="16"/>
                <w:szCs w:val="16"/>
              </w:rPr>
              <w:t>Gloria Elizabeth Arango Builes</w:t>
            </w:r>
          </w:p>
          <w:p w14:paraId="4CAA176E" w14:textId="77777777" w:rsidR="00E14685" w:rsidRPr="007911EE" w:rsidRDefault="00E14685" w:rsidP="00A82D8D">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E14685" w:rsidRPr="00593A5F" w14:paraId="554592FA" w14:textId="77777777" w:rsidTr="00A82D8D">
        <w:trPr>
          <w:trHeight w:val="330"/>
        </w:trPr>
        <w:tc>
          <w:tcPr>
            <w:tcW w:w="893" w:type="dxa"/>
            <w:vAlign w:val="center"/>
            <w:hideMark/>
          </w:tcPr>
          <w:p w14:paraId="3D5D159E" w14:textId="77777777" w:rsidR="00E14685" w:rsidRPr="003751C7" w:rsidRDefault="00E14685" w:rsidP="00A82D8D">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7133101" w14:textId="77777777" w:rsidR="00E14685" w:rsidRDefault="00E14685" w:rsidP="00A82D8D">
            <w:pPr>
              <w:spacing w:line="276" w:lineRule="auto"/>
              <w:contextualSpacing/>
              <w:jc w:val="both"/>
              <w:rPr>
                <w:rFonts w:ascii="Verdana" w:hAnsi="Verdana"/>
                <w:sz w:val="16"/>
                <w:szCs w:val="16"/>
              </w:rPr>
            </w:pPr>
            <w:r>
              <w:rPr>
                <w:rFonts w:ascii="Verdana" w:hAnsi="Verdana"/>
                <w:sz w:val="16"/>
                <w:szCs w:val="16"/>
              </w:rPr>
              <w:t>Diana Lucía Saavedra Castañeda</w:t>
            </w:r>
          </w:p>
          <w:p w14:paraId="764BCEB3" w14:textId="77777777" w:rsidR="00E14685" w:rsidRPr="007911EE" w:rsidRDefault="00E14685" w:rsidP="00A82D8D">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Contratita </w:t>
            </w:r>
            <w:r w:rsidRPr="00CD7324">
              <w:rPr>
                <w:rStyle w:val="normaltextrun"/>
                <w:rFonts w:ascii="Verdana" w:eastAsia="Arial" w:hAnsi="Verdana"/>
                <w:sz w:val="16"/>
                <w:szCs w:val="16"/>
              </w:rPr>
              <w:t>de la</w:t>
            </w:r>
            <w:r w:rsidRPr="007911EE">
              <w:rPr>
                <w:rStyle w:val="normaltextrun"/>
                <w:rFonts w:ascii="Verdana" w:eastAsia="Arial" w:hAnsi="Verdana" w:cs="Arial"/>
                <w:sz w:val="16"/>
                <w:szCs w:val="16"/>
              </w:rPr>
              <w:t xml:space="preserve"> Subdirección de Gestión Contractual</w:t>
            </w:r>
          </w:p>
        </w:tc>
      </w:tr>
      <w:tr w:rsidR="00E14685" w:rsidRPr="00593A5F" w14:paraId="6828F8AD" w14:textId="77777777" w:rsidTr="00A82D8D">
        <w:trPr>
          <w:trHeight w:val="330"/>
        </w:trPr>
        <w:tc>
          <w:tcPr>
            <w:tcW w:w="893" w:type="dxa"/>
            <w:vAlign w:val="center"/>
          </w:tcPr>
          <w:p w14:paraId="692454AA" w14:textId="77777777" w:rsidR="00E14685" w:rsidRPr="003751C7" w:rsidRDefault="00E14685" w:rsidP="00A82D8D">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1D0E16A" w14:textId="77777777" w:rsidR="00E14685" w:rsidRPr="00EB1CF7" w:rsidRDefault="00E14685" w:rsidP="00A82D8D">
            <w:pPr>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Carolina Quintero </w:t>
            </w:r>
            <w:proofErr w:type="spellStart"/>
            <w:r>
              <w:rPr>
                <w:rFonts w:ascii="Verdana" w:eastAsia="Calibri" w:hAnsi="Verdana" w:cs="Arial"/>
                <w:sz w:val="16"/>
                <w:szCs w:val="16"/>
                <w:lang w:val="pt-BR" w:eastAsia="es-ES"/>
              </w:rPr>
              <w:t>Gacharná</w:t>
            </w:r>
            <w:proofErr w:type="spellEnd"/>
          </w:p>
          <w:p w14:paraId="35646950" w14:textId="77777777" w:rsidR="00E14685" w:rsidRDefault="00E14685" w:rsidP="00A82D8D">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Gestión Contratual</w:t>
            </w:r>
            <w:r>
              <w:rPr>
                <w:rFonts w:ascii="Verdana" w:eastAsia="Calibri" w:hAnsi="Verdana" w:cs="Arial"/>
                <w:sz w:val="16"/>
                <w:szCs w:val="16"/>
                <w:lang w:val="pt-BR" w:eastAsia="es-ES"/>
              </w:rPr>
              <w:t xml:space="preserve"> -</w:t>
            </w:r>
            <w:r w:rsidRPr="00EB1CF7">
              <w:rPr>
                <w:rFonts w:ascii="Verdana" w:eastAsia="Calibri" w:hAnsi="Verdana" w:cs="Arial"/>
                <w:sz w:val="16"/>
                <w:szCs w:val="16"/>
                <w:lang w:val="pt-BR" w:eastAsia="es-ES"/>
              </w:rPr>
              <w:t xml:space="preserve"> ANCP – CCE</w:t>
            </w:r>
          </w:p>
        </w:tc>
      </w:tr>
    </w:tbl>
    <w:p w14:paraId="06D90428" w14:textId="77777777" w:rsidR="00E14685" w:rsidRPr="00EA6F8B" w:rsidRDefault="00E14685" w:rsidP="00E14685"/>
    <w:p w14:paraId="4E8116F2" w14:textId="77777777" w:rsidR="00E14685" w:rsidRPr="00EA7EA8" w:rsidRDefault="00E14685" w:rsidP="00E14685"/>
    <w:p w14:paraId="495A2665" w14:textId="77777777" w:rsidR="00E14685" w:rsidRPr="00A43CCC" w:rsidRDefault="00E14685" w:rsidP="00E14685"/>
    <w:p w14:paraId="3900974D" w14:textId="77777777" w:rsidR="003D5B0D" w:rsidRPr="00E14685" w:rsidRDefault="003D5B0D" w:rsidP="00E14685"/>
    <w:sectPr w:rsidR="003D5B0D" w:rsidRPr="00E14685"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3DF55" w14:textId="77777777" w:rsidR="00364EF6" w:rsidRDefault="00364EF6" w:rsidP="004A1847">
      <w:pPr>
        <w:spacing w:after="0" w:line="240" w:lineRule="auto"/>
      </w:pPr>
      <w:r>
        <w:separator/>
      </w:r>
    </w:p>
  </w:endnote>
  <w:endnote w:type="continuationSeparator" w:id="0">
    <w:p w14:paraId="4670CE45" w14:textId="77777777" w:rsidR="00364EF6" w:rsidRDefault="00364EF6" w:rsidP="004A1847">
      <w:pPr>
        <w:spacing w:after="0" w:line="240" w:lineRule="auto"/>
      </w:pPr>
      <w:r>
        <w:continuationSeparator/>
      </w:r>
    </w:p>
  </w:endnote>
  <w:endnote w:type="continuationNotice" w:id="1">
    <w:p w14:paraId="2ACE7631" w14:textId="77777777" w:rsidR="00364EF6" w:rsidRDefault="00364E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9F89E" w14:textId="77777777" w:rsidR="00364EF6" w:rsidRDefault="00364EF6" w:rsidP="004A1847">
      <w:pPr>
        <w:spacing w:after="0" w:line="240" w:lineRule="auto"/>
      </w:pPr>
      <w:r>
        <w:separator/>
      </w:r>
    </w:p>
  </w:footnote>
  <w:footnote w:type="continuationSeparator" w:id="0">
    <w:p w14:paraId="0748EACC" w14:textId="77777777" w:rsidR="00364EF6" w:rsidRDefault="00364EF6" w:rsidP="004A1847">
      <w:pPr>
        <w:spacing w:after="0" w:line="240" w:lineRule="auto"/>
      </w:pPr>
      <w:r>
        <w:continuationSeparator/>
      </w:r>
    </w:p>
  </w:footnote>
  <w:footnote w:type="continuationNotice" w:id="1">
    <w:p w14:paraId="0AC1A428" w14:textId="77777777" w:rsidR="00364EF6" w:rsidRDefault="00364EF6">
      <w:pPr>
        <w:spacing w:after="0" w:line="240" w:lineRule="auto"/>
      </w:pPr>
    </w:p>
  </w:footnote>
  <w:footnote w:id="2">
    <w:p w14:paraId="6B060B29" w14:textId="77777777" w:rsidR="00E14685" w:rsidRPr="0065682A" w:rsidRDefault="00E14685" w:rsidP="0065682A">
      <w:pPr>
        <w:pStyle w:val="Textonotapie"/>
        <w:ind w:firstLine="708"/>
        <w:jc w:val="both"/>
        <w:rPr>
          <w:rFonts w:ascii="Verdana" w:hAnsi="Verdana"/>
          <w:sz w:val="16"/>
          <w:szCs w:val="16"/>
        </w:rPr>
      </w:pPr>
      <w:r w:rsidRPr="0065682A">
        <w:rPr>
          <w:rStyle w:val="Refdenotaalpie"/>
          <w:rFonts w:ascii="Verdana" w:hAnsi="Verdana"/>
          <w:sz w:val="16"/>
          <w:szCs w:val="16"/>
        </w:rPr>
        <w:footnoteRef/>
      </w:r>
      <w:r w:rsidRPr="0065682A">
        <w:rPr>
          <w:rFonts w:ascii="Verdana" w:hAnsi="Verdana"/>
          <w:sz w:val="16"/>
          <w:szCs w:val="16"/>
        </w:rPr>
        <w:t xml:space="preserve"> Corte Constitucional. Sentencia C-1016 de 2012. M.P. Jorge Iván Palacio.</w:t>
      </w:r>
    </w:p>
  </w:footnote>
  <w:footnote w:id="3">
    <w:p w14:paraId="61E714A9" w14:textId="77777777" w:rsidR="00E14685" w:rsidRPr="0065682A" w:rsidRDefault="00E14685" w:rsidP="0065682A">
      <w:pPr>
        <w:pStyle w:val="Textonotapie"/>
        <w:ind w:firstLine="708"/>
        <w:jc w:val="both"/>
        <w:rPr>
          <w:rFonts w:ascii="Verdana" w:hAnsi="Verdana"/>
          <w:sz w:val="16"/>
          <w:szCs w:val="16"/>
        </w:rPr>
      </w:pPr>
      <w:r w:rsidRPr="0065682A">
        <w:rPr>
          <w:rStyle w:val="Refdenotaalpie"/>
          <w:rFonts w:ascii="Verdana" w:hAnsi="Verdana"/>
          <w:sz w:val="16"/>
          <w:szCs w:val="16"/>
        </w:rPr>
        <w:footnoteRef/>
      </w:r>
      <w:r w:rsidRPr="0065682A">
        <w:rPr>
          <w:rFonts w:ascii="Verdana" w:hAnsi="Verdana"/>
          <w:sz w:val="16"/>
          <w:szCs w:val="16"/>
        </w:rPr>
        <w:t xml:space="preserve"> Consejo De Estado. Sección Tercera. Subsección A. Sentencia del 13 de noviembre de 2013. Rad. 25.646. C.P. Mauricio Fajardo Gómez.</w:t>
      </w:r>
    </w:p>
  </w:footnote>
  <w:footnote w:id="4">
    <w:p w14:paraId="79107F77" w14:textId="77777777" w:rsidR="00E14685" w:rsidRPr="0065682A" w:rsidRDefault="00E14685" w:rsidP="0065682A">
      <w:pPr>
        <w:pStyle w:val="Textonotapie"/>
        <w:ind w:firstLine="708"/>
        <w:jc w:val="both"/>
        <w:rPr>
          <w:rFonts w:ascii="Verdana" w:hAnsi="Verdana"/>
          <w:sz w:val="16"/>
          <w:szCs w:val="16"/>
        </w:rPr>
      </w:pPr>
      <w:r w:rsidRPr="0065682A">
        <w:rPr>
          <w:rStyle w:val="Refdenotaalpie"/>
          <w:rFonts w:ascii="Verdana" w:hAnsi="Verdana"/>
          <w:sz w:val="16"/>
          <w:szCs w:val="16"/>
        </w:rPr>
        <w:footnoteRef/>
      </w:r>
      <w:r w:rsidRPr="0065682A">
        <w:rPr>
          <w:rFonts w:ascii="Verdana" w:hAnsi="Verdana"/>
          <w:sz w:val="16"/>
          <w:szCs w:val="16"/>
        </w:rPr>
        <w:t xml:space="preserve"> Ibídem.</w:t>
      </w:r>
    </w:p>
  </w:footnote>
  <w:footnote w:id="5">
    <w:p w14:paraId="08F703E7" w14:textId="77777777" w:rsidR="00E14685" w:rsidRPr="0065682A" w:rsidRDefault="00E14685" w:rsidP="0065682A">
      <w:pPr>
        <w:pStyle w:val="Textonotapie"/>
        <w:ind w:firstLine="708"/>
        <w:jc w:val="both"/>
        <w:rPr>
          <w:rFonts w:ascii="Verdana" w:hAnsi="Verdana"/>
          <w:sz w:val="16"/>
          <w:szCs w:val="16"/>
        </w:rPr>
      </w:pPr>
      <w:r w:rsidRPr="0065682A">
        <w:rPr>
          <w:rStyle w:val="Refdenotaalpie"/>
          <w:rFonts w:ascii="Verdana" w:hAnsi="Verdana"/>
          <w:sz w:val="16"/>
          <w:szCs w:val="16"/>
        </w:rPr>
        <w:footnoteRef/>
      </w:r>
      <w:r w:rsidRPr="0065682A">
        <w:rPr>
          <w:rFonts w:ascii="Verdana" w:hAnsi="Verdana"/>
          <w:sz w:val="16"/>
          <w:szCs w:val="16"/>
        </w:rPr>
        <w:t xml:space="preserve"> Corte Constitucional. Sentencia C-780 de 2001. M.P. Jaime Córdoba Triviño.</w:t>
      </w:r>
    </w:p>
  </w:footnote>
  <w:footnote w:id="6">
    <w:p w14:paraId="075D5837" w14:textId="77777777" w:rsidR="00E14685" w:rsidRPr="0065682A" w:rsidRDefault="00E14685" w:rsidP="0065682A">
      <w:pPr>
        <w:pStyle w:val="Textonotapie"/>
        <w:ind w:firstLine="708"/>
        <w:jc w:val="both"/>
        <w:rPr>
          <w:rFonts w:ascii="Verdana" w:hAnsi="Verdana"/>
          <w:sz w:val="16"/>
          <w:szCs w:val="16"/>
        </w:rPr>
      </w:pPr>
      <w:r w:rsidRPr="0065682A">
        <w:rPr>
          <w:rStyle w:val="Refdenotaalpie"/>
          <w:rFonts w:ascii="Verdana" w:hAnsi="Verdana"/>
          <w:sz w:val="16"/>
          <w:szCs w:val="16"/>
        </w:rPr>
        <w:footnoteRef/>
      </w:r>
      <w:r w:rsidRPr="0065682A">
        <w:rPr>
          <w:rFonts w:ascii="Verdana" w:hAnsi="Verdana"/>
          <w:sz w:val="16"/>
          <w:szCs w:val="16"/>
        </w:rPr>
        <w:t xml:space="preserve"> Ibídem. Página 69.</w:t>
      </w:r>
    </w:p>
  </w:footnote>
  <w:footnote w:id="7">
    <w:p w14:paraId="230DD84D" w14:textId="77777777" w:rsidR="00E14685" w:rsidRPr="0065682A" w:rsidRDefault="00E14685" w:rsidP="0065682A">
      <w:pPr>
        <w:pStyle w:val="Textonotapie"/>
        <w:ind w:firstLine="708"/>
        <w:jc w:val="both"/>
        <w:rPr>
          <w:rFonts w:ascii="Verdana" w:hAnsi="Verdana"/>
          <w:sz w:val="16"/>
          <w:szCs w:val="16"/>
        </w:rPr>
      </w:pPr>
      <w:r w:rsidRPr="0065682A">
        <w:rPr>
          <w:rStyle w:val="Refdenotaalpie"/>
          <w:rFonts w:ascii="Verdana" w:hAnsi="Verdana"/>
          <w:sz w:val="16"/>
          <w:szCs w:val="16"/>
        </w:rPr>
        <w:footnoteRef/>
      </w:r>
      <w:r w:rsidRPr="0065682A">
        <w:rPr>
          <w:rFonts w:ascii="Verdana" w:hAnsi="Verdana"/>
          <w:sz w:val="16"/>
          <w:szCs w:val="16"/>
        </w:rPr>
        <w:t xml:space="preserve"> Corte Constitucional. Sentencia T-1039 de 2006. </w:t>
      </w:r>
      <w:r w:rsidRPr="0065682A">
        <w:rPr>
          <w:rFonts w:ascii="Verdana" w:hAnsi="Verdana"/>
          <w:sz w:val="16"/>
          <w:szCs w:val="16"/>
          <w:lang w:val="it-IT"/>
        </w:rPr>
        <w:t xml:space="preserve">Magistrado Ponente: Humberto Sierra Porto. </w:t>
      </w:r>
      <w:r w:rsidRPr="0065682A">
        <w:rPr>
          <w:rFonts w:ascii="Verdana" w:hAnsi="Verdana"/>
          <w:sz w:val="16"/>
          <w:szCs w:val="16"/>
        </w:rPr>
        <w:t>La Corte ha mantenido este criterio en las sentencias: C-903 de 2008. Magistrado Ponente: Jaime Araujo Rentería; C-101 de 2018. Magistrada Ponente Gloria Stella Ortiz Delgado; entre otras.</w:t>
      </w:r>
    </w:p>
  </w:footnote>
  <w:footnote w:id="8">
    <w:p w14:paraId="652FBCCA" w14:textId="77777777" w:rsidR="00E14685" w:rsidRPr="0065682A" w:rsidRDefault="00E14685" w:rsidP="0065682A">
      <w:pPr>
        <w:pStyle w:val="Textonotapie"/>
        <w:ind w:firstLine="708"/>
        <w:jc w:val="both"/>
        <w:rPr>
          <w:rFonts w:ascii="Verdana" w:hAnsi="Verdana"/>
          <w:sz w:val="16"/>
          <w:szCs w:val="16"/>
        </w:rPr>
      </w:pPr>
      <w:r w:rsidRPr="0065682A">
        <w:rPr>
          <w:rStyle w:val="Refdenotaalpie"/>
          <w:rFonts w:ascii="Verdana" w:hAnsi="Verdana"/>
          <w:sz w:val="16"/>
          <w:szCs w:val="16"/>
        </w:rPr>
        <w:footnoteRef/>
      </w:r>
      <w:r w:rsidRPr="0065682A">
        <w:rPr>
          <w:rFonts w:ascii="Verdana" w:hAnsi="Verdana"/>
          <w:sz w:val="16"/>
          <w:szCs w:val="16"/>
        </w:rPr>
        <w:t xml:space="preserve"> Consejo de Estado. Sala de Consulta y Servicio Civil. Concepto del 30 de abril de 2015. Expediente:</w:t>
      </w:r>
    </w:p>
    <w:p w14:paraId="736A81C6" w14:textId="77777777" w:rsidR="00E14685" w:rsidRPr="0065682A" w:rsidRDefault="00E14685" w:rsidP="0065682A">
      <w:pPr>
        <w:pStyle w:val="Textonotapie"/>
        <w:jc w:val="both"/>
        <w:rPr>
          <w:rFonts w:ascii="Verdana" w:hAnsi="Verdana"/>
          <w:sz w:val="16"/>
          <w:szCs w:val="16"/>
        </w:rPr>
      </w:pPr>
      <w:r w:rsidRPr="0065682A">
        <w:rPr>
          <w:rFonts w:ascii="Verdana" w:hAnsi="Verdana"/>
          <w:sz w:val="16"/>
          <w:szCs w:val="16"/>
        </w:rPr>
        <w:t>2.251. Consejero Ponente: Álvaro Namén Vargas.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5FDD"/>
    <w:rsid w:val="00061B2A"/>
    <w:rsid w:val="00064DC0"/>
    <w:rsid w:val="00070C1E"/>
    <w:rsid w:val="000719C9"/>
    <w:rsid w:val="00082362"/>
    <w:rsid w:val="000A683E"/>
    <w:rsid w:val="000B19B9"/>
    <w:rsid w:val="000D0334"/>
    <w:rsid w:val="000D1586"/>
    <w:rsid w:val="000F6486"/>
    <w:rsid w:val="00125105"/>
    <w:rsid w:val="00127233"/>
    <w:rsid w:val="00143342"/>
    <w:rsid w:val="001511A0"/>
    <w:rsid w:val="00174B00"/>
    <w:rsid w:val="00182433"/>
    <w:rsid w:val="001938E6"/>
    <w:rsid w:val="001D29C4"/>
    <w:rsid w:val="001E4177"/>
    <w:rsid w:val="001F23C9"/>
    <w:rsid w:val="001F7DC6"/>
    <w:rsid w:val="00224241"/>
    <w:rsid w:val="002421BB"/>
    <w:rsid w:val="0025796E"/>
    <w:rsid w:val="002707A2"/>
    <w:rsid w:val="0029023B"/>
    <w:rsid w:val="002951A0"/>
    <w:rsid w:val="002962BC"/>
    <w:rsid w:val="00296EAC"/>
    <w:rsid w:val="002A093D"/>
    <w:rsid w:val="002A0DD0"/>
    <w:rsid w:val="002A49AC"/>
    <w:rsid w:val="002A64FD"/>
    <w:rsid w:val="002C7A84"/>
    <w:rsid w:val="002E4FD9"/>
    <w:rsid w:val="002F75CC"/>
    <w:rsid w:val="00322A85"/>
    <w:rsid w:val="00324168"/>
    <w:rsid w:val="00324FC5"/>
    <w:rsid w:val="00330023"/>
    <w:rsid w:val="003448F4"/>
    <w:rsid w:val="00364EF6"/>
    <w:rsid w:val="00374F5E"/>
    <w:rsid w:val="00377E3E"/>
    <w:rsid w:val="003A779E"/>
    <w:rsid w:val="003D0F4D"/>
    <w:rsid w:val="003D5B0D"/>
    <w:rsid w:val="003E0499"/>
    <w:rsid w:val="003F3941"/>
    <w:rsid w:val="003F4ED8"/>
    <w:rsid w:val="003F7931"/>
    <w:rsid w:val="00406575"/>
    <w:rsid w:val="00414C74"/>
    <w:rsid w:val="0042722E"/>
    <w:rsid w:val="0044528D"/>
    <w:rsid w:val="004A1847"/>
    <w:rsid w:val="004A305D"/>
    <w:rsid w:val="004C11AE"/>
    <w:rsid w:val="004D761A"/>
    <w:rsid w:val="004E0C3D"/>
    <w:rsid w:val="004F21C4"/>
    <w:rsid w:val="004F685F"/>
    <w:rsid w:val="00555611"/>
    <w:rsid w:val="005566E8"/>
    <w:rsid w:val="00574867"/>
    <w:rsid w:val="00591460"/>
    <w:rsid w:val="005B3816"/>
    <w:rsid w:val="005C3777"/>
    <w:rsid w:val="005C5CDC"/>
    <w:rsid w:val="005D476C"/>
    <w:rsid w:val="00615AAB"/>
    <w:rsid w:val="006219F8"/>
    <w:rsid w:val="00623B55"/>
    <w:rsid w:val="0065682A"/>
    <w:rsid w:val="00665D70"/>
    <w:rsid w:val="00666967"/>
    <w:rsid w:val="00676465"/>
    <w:rsid w:val="00681B46"/>
    <w:rsid w:val="006900D9"/>
    <w:rsid w:val="006A7273"/>
    <w:rsid w:val="006E5610"/>
    <w:rsid w:val="006E6546"/>
    <w:rsid w:val="007042A8"/>
    <w:rsid w:val="00706C16"/>
    <w:rsid w:val="00726B59"/>
    <w:rsid w:val="00732AC9"/>
    <w:rsid w:val="00735E43"/>
    <w:rsid w:val="0074175F"/>
    <w:rsid w:val="00756841"/>
    <w:rsid w:val="007649AB"/>
    <w:rsid w:val="00771D0C"/>
    <w:rsid w:val="007833AC"/>
    <w:rsid w:val="007B268C"/>
    <w:rsid w:val="007B7171"/>
    <w:rsid w:val="007C0C0F"/>
    <w:rsid w:val="007C3DC2"/>
    <w:rsid w:val="007D03DA"/>
    <w:rsid w:val="007E5497"/>
    <w:rsid w:val="007F4348"/>
    <w:rsid w:val="00806F5F"/>
    <w:rsid w:val="00820278"/>
    <w:rsid w:val="0086538B"/>
    <w:rsid w:val="00867F95"/>
    <w:rsid w:val="00870614"/>
    <w:rsid w:val="008843B6"/>
    <w:rsid w:val="00891928"/>
    <w:rsid w:val="008A446D"/>
    <w:rsid w:val="008B1606"/>
    <w:rsid w:val="008D180B"/>
    <w:rsid w:val="008F0EA7"/>
    <w:rsid w:val="00923EEF"/>
    <w:rsid w:val="009419F9"/>
    <w:rsid w:val="00942CFC"/>
    <w:rsid w:val="0095685E"/>
    <w:rsid w:val="00961B09"/>
    <w:rsid w:val="00965334"/>
    <w:rsid w:val="0097093E"/>
    <w:rsid w:val="00983AC1"/>
    <w:rsid w:val="00986AC5"/>
    <w:rsid w:val="009A0DFA"/>
    <w:rsid w:val="009B2D26"/>
    <w:rsid w:val="009C71FA"/>
    <w:rsid w:val="009C72E7"/>
    <w:rsid w:val="009D3058"/>
    <w:rsid w:val="009F3A13"/>
    <w:rsid w:val="00A122D3"/>
    <w:rsid w:val="00A17F13"/>
    <w:rsid w:val="00A20739"/>
    <w:rsid w:val="00A33C78"/>
    <w:rsid w:val="00A57B28"/>
    <w:rsid w:val="00A9046C"/>
    <w:rsid w:val="00AB0ADB"/>
    <w:rsid w:val="00AC2837"/>
    <w:rsid w:val="00AF0FD6"/>
    <w:rsid w:val="00AF1A75"/>
    <w:rsid w:val="00B01B1A"/>
    <w:rsid w:val="00B1293E"/>
    <w:rsid w:val="00B2277C"/>
    <w:rsid w:val="00B345A4"/>
    <w:rsid w:val="00B40243"/>
    <w:rsid w:val="00B66319"/>
    <w:rsid w:val="00B72CD3"/>
    <w:rsid w:val="00B72FFF"/>
    <w:rsid w:val="00BA65C5"/>
    <w:rsid w:val="00BC3D36"/>
    <w:rsid w:val="00BD7F72"/>
    <w:rsid w:val="00BE44CF"/>
    <w:rsid w:val="00C04FB3"/>
    <w:rsid w:val="00C3013E"/>
    <w:rsid w:val="00C330EB"/>
    <w:rsid w:val="00C41061"/>
    <w:rsid w:val="00C5371E"/>
    <w:rsid w:val="00C65A85"/>
    <w:rsid w:val="00C754BE"/>
    <w:rsid w:val="00C76B1C"/>
    <w:rsid w:val="00C91F58"/>
    <w:rsid w:val="00CB6357"/>
    <w:rsid w:val="00CC1B26"/>
    <w:rsid w:val="00CF016D"/>
    <w:rsid w:val="00D423A2"/>
    <w:rsid w:val="00D520D8"/>
    <w:rsid w:val="00D63AC2"/>
    <w:rsid w:val="00D7383B"/>
    <w:rsid w:val="00D85119"/>
    <w:rsid w:val="00DA231B"/>
    <w:rsid w:val="00DA2583"/>
    <w:rsid w:val="00DC39FC"/>
    <w:rsid w:val="00DF5254"/>
    <w:rsid w:val="00E14685"/>
    <w:rsid w:val="00E16408"/>
    <w:rsid w:val="00E20894"/>
    <w:rsid w:val="00E245AB"/>
    <w:rsid w:val="00E2764C"/>
    <w:rsid w:val="00E27F2E"/>
    <w:rsid w:val="00E50AFE"/>
    <w:rsid w:val="00E75C92"/>
    <w:rsid w:val="00E771DC"/>
    <w:rsid w:val="00E8772A"/>
    <w:rsid w:val="00E90F6B"/>
    <w:rsid w:val="00E92C27"/>
    <w:rsid w:val="00E96E9E"/>
    <w:rsid w:val="00EA0E3D"/>
    <w:rsid w:val="00EC38A7"/>
    <w:rsid w:val="00ED7384"/>
    <w:rsid w:val="00EE1AA8"/>
    <w:rsid w:val="00F1003E"/>
    <w:rsid w:val="00F227D8"/>
    <w:rsid w:val="00F31EDC"/>
    <w:rsid w:val="00F462B3"/>
    <w:rsid w:val="00F50291"/>
    <w:rsid w:val="00F5664F"/>
    <w:rsid w:val="00F666C4"/>
    <w:rsid w:val="00F76AFC"/>
    <w:rsid w:val="00FA47C0"/>
    <w:rsid w:val="00FA6042"/>
    <w:rsid w:val="00FB4186"/>
    <w:rsid w:val="00FB5DD1"/>
    <w:rsid w:val="00FC2B5D"/>
    <w:rsid w:val="00FD1198"/>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1468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14685"/>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9B6761-C860-4892-B988-6E97945691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purl.org/dc/terms/"/>
    <ds:schemaRef ds:uri="9d85dbaf-23eb-4e57-a637-93dcacc8b1a1"/>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schemas.microsoft.com/office/2006/metadata/properties"/>
    <ds:schemaRef ds:uri="a6cb9e4b-f1d1-4245-83ec-6cad768d538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3166</Words>
  <Characters>17419</Characters>
  <Application>Microsoft Office Word</Application>
  <DocSecurity>0</DocSecurity>
  <Lines>145</Lines>
  <Paragraphs>41</Paragraphs>
  <ScaleCrop>false</ScaleCrop>
  <Company/>
  <LinksUpToDate>false</LinksUpToDate>
  <CharactersWithSpaces>20544</CharactersWithSpaces>
  <SharedDoc>false</SharedDoc>
  <HLinks>
    <vt:vector size="12" baseType="variant">
      <vt:variant>
        <vt:i4>7733357</vt:i4>
      </vt:variant>
      <vt:variant>
        <vt:i4>3</vt:i4>
      </vt:variant>
      <vt:variant>
        <vt:i4>0</vt:i4>
      </vt:variant>
      <vt:variant>
        <vt:i4>5</vt:i4>
      </vt:variant>
      <vt:variant>
        <vt:lpwstr>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2025-08-20T14:18:00Z</dcterms:created>
  <dcterms:modified xsi:type="dcterms:W3CDTF">2025-08-20T14:18:00Z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