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6308C" w14:textId="77777777" w:rsidR="001F596B" w:rsidRPr="001F596B" w:rsidRDefault="001F596B" w:rsidP="001F596B">
      <w:pPr>
        <w:jc w:val="both"/>
        <w:rPr>
          <w:rFonts w:ascii="Verdana" w:hAnsi="Verdana" w:cs="Arial"/>
          <w:b/>
          <w:color w:val="000000" w:themeColor="text1"/>
          <w:lang w:val="es-ES_tradnl"/>
        </w:rPr>
      </w:pPr>
      <w:bookmarkStart w:id="0" w:name="_Hlk143780582"/>
      <w:r w:rsidRPr="001F596B">
        <w:rPr>
          <w:rFonts w:ascii="Verdana" w:hAnsi="Verdana" w:cs="Arial"/>
          <w:b/>
          <w:color w:val="000000" w:themeColor="text1"/>
          <w:lang w:val="es-ES_tradnl"/>
        </w:rPr>
        <w:t xml:space="preserve">LEY DE GARANTÍAS ELECTORALES ‒ Finalidad </w:t>
      </w:r>
    </w:p>
    <w:p w14:paraId="5F2EB7C3" w14:textId="038B4760" w:rsidR="001F596B" w:rsidRDefault="001F596B" w:rsidP="001F596B">
      <w:pPr>
        <w:tabs>
          <w:tab w:val="left" w:pos="426"/>
        </w:tabs>
        <w:spacing w:after="120" w:line="276" w:lineRule="auto"/>
        <w:jc w:val="both"/>
        <w:rPr>
          <w:rFonts w:ascii="Verdana" w:eastAsia="Calibri" w:hAnsi="Verdana" w:cs="Arial"/>
          <w:lang w:val="es-ES_tradnl"/>
        </w:rPr>
      </w:pPr>
      <w:r>
        <w:rPr>
          <w:rFonts w:ascii="Verdana" w:eastAsia="Times New Roman" w:hAnsi="Verdana" w:cs="Arial"/>
          <w:lang w:val="es-MX" w:eastAsia="es-CO"/>
        </w:rPr>
        <w:t>L</w:t>
      </w:r>
      <w:r w:rsidRPr="00E2397D">
        <w:rPr>
          <w:rFonts w:ascii="Verdana" w:eastAsia="Times New Roman" w:hAnsi="Verdana" w:cs="Arial"/>
          <w:lang w:val="es-MX" w:eastAsia="es-CO"/>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p>
    <w:p w14:paraId="0B3CEF3C" w14:textId="745CB40E" w:rsidR="001F596B" w:rsidRPr="001F596B" w:rsidRDefault="001F596B" w:rsidP="001F596B">
      <w:pPr>
        <w:jc w:val="both"/>
        <w:rPr>
          <w:rFonts w:ascii="Verdana" w:hAnsi="Verdana" w:cs="Arial"/>
          <w:b/>
          <w:color w:val="000000" w:themeColor="text1"/>
          <w:lang w:val="es-ES_tradnl"/>
        </w:rPr>
      </w:pPr>
      <w:r w:rsidRPr="001F596B">
        <w:rPr>
          <w:rFonts w:ascii="Verdana" w:hAnsi="Verdana" w:cs="Arial"/>
          <w:b/>
          <w:color w:val="000000" w:themeColor="text1"/>
          <w:lang w:val="es-ES_tradnl"/>
        </w:rPr>
        <w:t xml:space="preserve">LEY DE GARANTÍAS ELECTORALES ‒ Tipos de restricciones </w:t>
      </w:r>
    </w:p>
    <w:p w14:paraId="5F60F79B" w14:textId="30A34B44" w:rsidR="001F596B" w:rsidRDefault="001F596B" w:rsidP="001F596B">
      <w:pPr>
        <w:spacing w:after="0"/>
        <w:jc w:val="both"/>
        <w:rPr>
          <w:rFonts w:ascii="Verdana" w:hAnsi="Verdana"/>
        </w:rPr>
      </w:pPr>
      <w:r w:rsidRPr="00B3605D">
        <w:rPr>
          <w:rFonts w:ascii="Verdana" w:eastAsia="Times New Roman" w:hAnsi="Verdana" w:cs="Open Sans"/>
          <w:lang w:eastAsia="es-CO"/>
        </w:rPr>
        <w:t xml:space="preserve">Como se puede observar, el artículo 33 de la Ley 996 de 2205 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Así, su ámbito de prohibición está delimitado por la expresión “</w:t>
      </w:r>
      <w:r w:rsidRPr="006A640E">
        <w:rPr>
          <w:rFonts w:ascii="Verdana" w:eastAsia="Times New Roman" w:hAnsi="Verdana" w:cs="Open Sans"/>
          <w:lang w:eastAsia="es-CO"/>
        </w:rPr>
        <w:t>queda prohibida la contratación directa</w:t>
      </w:r>
      <w:r>
        <w:rPr>
          <w:rFonts w:ascii="Verdana" w:eastAsia="Times New Roman" w:hAnsi="Verdana" w:cs="Open Sans"/>
          <w:lang w:eastAsia="es-CO"/>
        </w:rPr>
        <w:t xml:space="preserve">” y </w:t>
      </w:r>
      <w:r w:rsidRPr="006A640E">
        <w:rPr>
          <w:rFonts w:ascii="Verdana" w:eastAsia="Times New Roman" w:hAnsi="Verdana" w:cs="Open Sans"/>
          <w:lang w:eastAsia="es-CO"/>
        </w:rPr>
        <w:t>para los efectos de la Ley de 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Pr>
          <w:rFonts w:ascii="Verdana" w:eastAsia="Times New Roman" w:hAnsi="Verdana" w:cs="Open Sans"/>
          <w:lang w:eastAsia="es-CO"/>
        </w:rPr>
        <w:t>“</w:t>
      </w:r>
      <w:r w:rsidRPr="006A640E">
        <w:rPr>
          <w:rFonts w:ascii="Verdana" w:eastAsia="Times New Roman" w:hAnsi="Verdana" w:cs="Open Sans"/>
          <w:lang w:eastAsia="es-CO"/>
        </w:rPr>
        <w:t>contratación directa</w:t>
      </w:r>
      <w:r>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de contratación utilizado por las entidades estatales 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Fonts w:ascii="Verdana" w:eastAsia="Times New Roman" w:hAnsi="Verdana" w:cs="Open Sans"/>
          <w:lang w:eastAsia="es-CO"/>
        </w:rPr>
        <w:t>; por s</w:t>
      </w:r>
      <w:r w:rsidRPr="00D44FF2">
        <w:rPr>
          <w:rFonts w:ascii="Verdana" w:eastAsia="Times New Roman" w:hAnsi="Verdana" w:cs="Open Sans"/>
          <w:lang w:eastAsia="es-CO"/>
        </w:rPr>
        <w:t xml:space="preserve">u parte, </w:t>
      </w:r>
      <w:r w:rsidRPr="00D44FF2">
        <w:rPr>
          <w:rFonts w:ascii="Verdana" w:hAnsi="Verdana"/>
        </w:rPr>
        <w:t xml:space="preserve">los destinatarios de la prohibición están expresamente señalados como </w:t>
      </w:r>
      <w:r>
        <w:rPr>
          <w:rFonts w:ascii="Verdana" w:hAnsi="Verdana"/>
        </w:rPr>
        <w:t>“</w:t>
      </w:r>
      <w:r w:rsidRPr="00D44FF2">
        <w:rPr>
          <w:rFonts w:ascii="Verdana" w:hAnsi="Verdana"/>
        </w:rPr>
        <w:t>todos los entes del Estado</w:t>
      </w:r>
      <w:r>
        <w:rPr>
          <w:rFonts w:ascii="Verdana" w:hAnsi="Verdana"/>
        </w:rPr>
        <w:t>”</w:t>
      </w:r>
      <w:r w:rsidRPr="00D44FF2">
        <w:rPr>
          <w:rFonts w:ascii="Verdana" w:hAnsi="Verdana"/>
        </w:rPr>
        <w:t>, expresión que contempla a los diferentes organismos o entidades autorizadas por la ley para suscribir contratos.</w:t>
      </w:r>
      <w:r>
        <w:rPr>
          <w:rFonts w:ascii="Verdana" w:hAnsi="Verdana"/>
        </w:rPr>
        <w:t xml:space="preserve"> […]</w:t>
      </w:r>
    </w:p>
    <w:p w14:paraId="03358A8E" w14:textId="77777777" w:rsidR="001F596B" w:rsidRDefault="001F596B" w:rsidP="001F596B">
      <w:pPr>
        <w:spacing w:after="120" w:line="276" w:lineRule="auto"/>
        <w:jc w:val="both"/>
        <w:rPr>
          <w:rFonts w:ascii="Verdana" w:hAnsi="Verdana"/>
        </w:rPr>
      </w:pPr>
    </w:p>
    <w:p w14:paraId="7B462D6E" w14:textId="4B0BFDD8" w:rsidR="001F596B" w:rsidRPr="00775AB1" w:rsidRDefault="001F596B" w:rsidP="001F596B">
      <w:pPr>
        <w:spacing w:after="120" w:line="276" w:lineRule="auto"/>
        <w:jc w:val="both"/>
        <w:rPr>
          <w:rFonts w:ascii="Verdana" w:eastAsia="Times New Roman" w:hAnsi="Verdana" w:cs="Arial"/>
          <w:lang w:val="es-MX" w:eastAsia="es-CO"/>
        </w:rPr>
      </w:pPr>
      <w:r>
        <w:rPr>
          <w:rFonts w:ascii="Verdana" w:hAnsi="Verdana"/>
        </w:rPr>
        <w:t xml:space="preserve">[…] </w:t>
      </w:r>
      <w:r w:rsidRPr="00E2397D">
        <w:rPr>
          <w:rFonts w:ascii="Verdana" w:eastAsia="Arial" w:hAnsi="Verdana" w:cs="Arial"/>
          <w:lang w:val="es-MX" w:eastAsia="es-ES" w:bidi="es-ES"/>
        </w:rPr>
        <w:t>s</w:t>
      </w:r>
      <w:proofErr w:type="spellStart"/>
      <w:r w:rsidRPr="00E2397D">
        <w:rPr>
          <w:rFonts w:ascii="Verdana" w:eastAsia="Times New Roman" w:hAnsi="Verdana" w:cs="Arial"/>
          <w:lang w:eastAsia="es-CO"/>
        </w:rPr>
        <w:t>e</w:t>
      </w:r>
      <w:proofErr w:type="spellEnd"/>
      <w:r w:rsidRPr="00E2397D">
        <w:rPr>
          <w:rFonts w:ascii="Verdana" w:eastAsia="Times New Roman" w:hAnsi="Verdana" w:cs="Arial"/>
          <w:lang w:eastAsia="es-CO"/>
        </w:rPr>
        <w:t xml:space="preserve"> observa entonces que </w:t>
      </w:r>
      <w:r w:rsidRPr="00E2397D">
        <w:rPr>
          <w:rFonts w:ascii="Verdana" w:eastAsia="Times New Roman" w:hAnsi="Verdana" w:cs="Arial"/>
          <w:lang w:val="es-MX" w:eastAsia="es-CO"/>
        </w:rPr>
        <w:t xml:space="preserve">el parágrafo del artículo 38 de la Ley 996 de 2005 prohíbe a los </w:t>
      </w:r>
      <w:proofErr w:type="gramStart"/>
      <w:r w:rsidRPr="00E2397D">
        <w:rPr>
          <w:rFonts w:ascii="Verdana" w:eastAsia="Times New Roman" w:hAnsi="Verdana" w:cs="Arial"/>
          <w:lang w:val="es-MX" w:eastAsia="es-CO"/>
        </w:rPr>
        <w:t>Alcaldes</w:t>
      </w:r>
      <w:proofErr w:type="gramEnd"/>
      <w:r w:rsidRPr="00E2397D">
        <w:rPr>
          <w:rFonts w:ascii="Verdana" w:eastAsia="Times New Roman" w:hAnsi="Verdana" w:cs="Arial"/>
          <w:lang w:val="es-MX" w:eastAsia="es-CO"/>
        </w:rPr>
        <w:t xml:space="preserve">, Gobernadores, </w:t>
      </w:r>
      <w:proofErr w:type="gramStart"/>
      <w:r w:rsidRPr="00E2397D">
        <w:rPr>
          <w:rFonts w:ascii="Verdana" w:eastAsia="Times New Roman" w:hAnsi="Verdana" w:cs="Arial"/>
          <w:lang w:val="es-MX" w:eastAsia="es-CO"/>
        </w:rPr>
        <w:t>Secretarios</w:t>
      </w:r>
      <w:proofErr w:type="gramEnd"/>
      <w:r w:rsidRPr="00E2397D">
        <w:rPr>
          <w:rFonts w:ascii="Verdana" w:eastAsia="Times New Roman" w:hAnsi="Verdana" w:cs="Arial"/>
          <w:lang w:val="es-MX" w:eastAsia="es-CO"/>
        </w:rPr>
        <w:t xml:space="preserve">, Gerentes y </w:t>
      </w:r>
      <w:proofErr w:type="gramStart"/>
      <w:r w:rsidRPr="00E2397D">
        <w:rPr>
          <w:rFonts w:ascii="Verdana" w:eastAsia="Times New Roman" w:hAnsi="Verdana" w:cs="Arial"/>
          <w:lang w:val="es-MX" w:eastAsia="es-CO"/>
        </w:rPr>
        <w:t>Directores</w:t>
      </w:r>
      <w:proofErr w:type="gramEnd"/>
      <w:r w:rsidRPr="00E2397D">
        <w:rPr>
          <w:rFonts w:ascii="Verdana" w:eastAsia="Times New Roman" w:hAnsi="Verdana" w:cs="Arial"/>
          <w:lang w:val="es-MX" w:eastAsia="es-CO"/>
        </w:rPr>
        <w:t xml:space="preserve">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0DCDF100" w14:textId="77777777" w:rsidR="001F596B" w:rsidRDefault="001F596B" w:rsidP="001F596B">
      <w:pPr>
        <w:spacing w:after="0"/>
        <w:jc w:val="both"/>
        <w:rPr>
          <w:rFonts w:ascii="Verdana" w:hAnsi="Verdana"/>
        </w:rPr>
      </w:pPr>
    </w:p>
    <w:p w14:paraId="159CCB3A" w14:textId="77777777" w:rsidR="001F596B" w:rsidRDefault="001F596B" w:rsidP="00E245AB">
      <w:pPr>
        <w:spacing w:after="0"/>
        <w:rPr>
          <w:rFonts w:ascii="Verdana" w:hAnsi="Verdana"/>
        </w:rPr>
      </w:pPr>
    </w:p>
    <w:p w14:paraId="3FE2184B" w14:textId="02F91630" w:rsidR="00E245AB" w:rsidRPr="0044528D" w:rsidRDefault="00E245AB" w:rsidP="00E245AB">
      <w:pPr>
        <w:spacing w:after="0"/>
        <w:rPr>
          <w:rFonts w:ascii="Verdana" w:hAnsi="Verdana"/>
        </w:rPr>
      </w:pPr>
      <w:r w:rsidRPr="0044528D">
        <w:rPr>
          <w:rFonts w:ascii="Verdana" w:hAnsi="Verdana"/>
        </w:rPr>
        <w:lastRenderedPageBreak/>
        <w:t xml:space="preserve">Bogotá D.C., </w:t>
      </w:r>
      <w:r w:rsidR="007E15E9">
        <w:rPr>
          <w:rFonts w:ascii="Verdana" w:hAnsi="Verdana"/>
        </w:rPr>
        <w:t>28</w:t>
      </w:r>
      <w:r w:rsidR="00891928" w:rsidRPr="0044528D">
        <w:rPr>
          <w:rFonts w:ascii="Verdana" w:hAnsi="Verdana"/>
        </w:rPr>
        <w:t xml:space="preserve"> </w:t>
      </w:r>
      <w:proofErr w:type="gramStart"/>
      <w:r w:rsidR="007E15E9">
        <w:rPr>
          <w:rFonts w:ascii="Verdana" w:hAnsi="Verdana"/>
        </w:rPr>
        <w:t>Agosto</w:t>
      </w:r>
      <w:proofErr w:type="gramEnd"/>
      <w:r w:rsidR="001511A0" w:rsidRPr="001511A0">
        <w:rPr>
          <w:rFonts w:ascii="Verdana" w:hAnsi="Verdana"/>
        </w:rPr>
        <w:t xml:space="preserve"> </w:t>
      </w:r>
      <w:r w:rsidR="007E15E9">
        <w:rPr>
          <w:rFonts w:ascii="Verdana" w:hAnsi="Verdana"/>
        </w:rPr>
        <w:t>2025</w:t>
      </w:r>
      <w:r w:rsidR="00891928" w:rsidRPr="0044528D">
        <w:rPr>
          <w:rFonts w:ascii="Verdana" w:hAnsi="Verdana"/>
        </w:rPr>
        <w:tab/>
      </w:r>
    </w:p>
    <w:p w14:paraId="5FCADBF9" w14:textId="4714EF12" w:rsidR="00E245AB" w:rsidRPr="0044528D" w:rsidRDefault="00E245AB" w:rsidP="00E245AB">
      <w:pPr>
        <w:spacing w:after="0"/>
        <w:rPr>
          <w:rFonts w:ascii="Verdana" w:hAnsi="Verdana"/>
        </w:rPr>
      </w:pPr>
    </w:p>
    <w:p w14:paraId="0465BA6D" w14:textId="1F706AF3" w:rsidR="00E245AB" w:rsidRPr="0044528D" w:rsidRDefault="0006720F" w:rsidP="00E245AB">
      <w:pPr>
        <w:spacing w:after="0"/>
        <w:rPr>
          <w:rFonts w:ascii="Verdana" w:hAnsi="Verdana"/>
        </w:rPr>
      </w:pPr>
      <w:r>
        <w:rPr>
          <w:rFonts w:ascii="Verdana" w:hAnsi="Verdana"/>
          <w:noProof/>
        </w:rPr>
        <w:drawing>
          <wp:anchor distT="0" distB="0" distL="114300" distR="114300" simplePos="0" relativeHeight="251658240" behindDoc="0" locked="0" layoutInCell="1" allowOverlap="1" wp14:anchorId="6C1C15E9" wp14:editId="2F8E5719">
            <wp:simplePos x="0" y="0"/>
            <wp:positionH relativeFrom="column">
              <wp:posOffset>3537365</wp:posOffset>
            </wp:positionH>
            <wp:positionV relativeFrom="paragraph">
              <wp:posOffset>112168</wp:posOffset>
            </wp:positionV>
            <wp:extent cx="2514729" cy="78744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514729" cy="787440"/>
                    </a:xfrm>
                    <a:prstGeom prst="rect">
                      <a:avLst/>
                    </a:prstGeom>
                  </pic:spPr>
                </pic:pic>
              </a:graphicData>
            </a:graphic>
            <wp14:sizeRelH relativeFrom="page">
              <wp14:pctWidth>0</wp14:pctWidth>
            </wp14:sizeRelH>
            <wp14:sizeRelV relativeFrom="page">
              <wp14:pctHeight>0</wp14:pctHeight>
            </wp14:sizeRelV>
          </wp:anchor>
        </w:drawing>
      </w:r>
    </w:p>
    <w:bookmarkEnd w:id="0"/>
    <w:p w14:paraId="5F7C8559" w14:textId="77777777" w:rsidR="0010156D" w:rsidRDefault="0010156D" w:rsidP="0010156D">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4714A13E" w14:textId="77777777" w:rsidR="0010156D" w:rsidRPr="00C53B42" w:rsidRDefault="0010156D" w:rsidP="0010156D">
      <w:pPr>
        <w:spacing w:after="0" w:line="240" w:lineRule="auto"/>
        <w:rPr>
          <w:rFonts w:ascii="Verdana" w:eastAsia="Calibri" w:hAnsi="Verdana" w:cs="Arial"/>
          <w:b/>
          <w:lang w:val="es-ES" w:eastAsia="es-ES"/>
        </w:rPr>
      </w:pPr>
      <w:r>
        <w:rPr>
          <w:rFonts w:ascii="Verdana" w:eastAsia="Calibri" w:hAnsi="Verdana" w:cs="Arial"/>
          <w:b/>
          <w:lang w:val="es-ES" w:eastAsia="es-ES"/>
        </w:rPr>
        <w:t xml:space="preserve">Katherine Echeverry </w:t>
      </w:r>
      <w:proofErr w:type="spellStart"/>
      <w:r>
        <w:rPr>
          <w:rFonts w:ascii="Verdana" w:eastAsia="Calibri" w:hAnsi="Verdana" w:cs="Arial"/>
          <w:b/>
          <w:lang w:val="es-ES" w:eastAsia="es-ES"/>
        </w:rPr>
        <w:t>Martinez</w:t>
      </w:r>
      <w:proofErr w:type="spellEnd"/>
    </w:p>
    <w:p w14:paraId="7D7A8F4D" w14:textId="77777777" w:rsidR="0010156D" w:rsidRPr="00C53B42" w:rsidRDefault="0010156D" w:rsidP="0010156D">
      <w:pPr>
        <w:spacing w:after="0" w:line="240" w:lineRule="auto"/>
        <w:rPr>
          <w:rFonts w:ascii="Verdana" w:hAnsi="Verdana" w:cs="ArialMT"/>
        </w:rPr>
      </w:pPr>
      <w:hyperlink r:id="rId11" w:history="1">
        <w:r w:rsidRPr="00026B29">
          <w:rPr>
            <w:rStyle w:val="Hipervnculo"/>
            <w:rFonts w:ascii="Verdana" w:hAnsi="Verdana" w:cs="ArialMT"/>
          </w:rPr>
          <w:t>katherine.echeverrymartinez@gmail.com</w:t>
        </w:r>
      </w:hyperlink>
      <w:r w:rsidRPr="00C53B42">
        <w:rPr>
          <w:rFonts w:ascii="Verdana" w:hAnsi="Verdana" w:cs="ArialMT"/>
        </w:rPr>
        <w:t xml:space="preserve">  </w:t>
      </w:r>
    </w:p>
    <w:p w14:paraId="61D87D9F" w14:textId="77777777" w:rsidR="0010156D" w:rsidRPr="00C53B42" w:rsidRDefault="0010156D" w:rsidP="0010156D">
      <w:pPr>
        <w:spacing w:after="0" w:line="240" w:lineRule="auto"/>
        <w:rPr>
          <w:rFonts w:ascii="Verdana" w:hAnsi="Verdana" w:cs="ArialMT"/>
        </w:rPr>
      </w:pPr>
      <w:r>
        <w:rPr>
          <w:rFonts w:ascii="Verdana" w:eastAsia="Calibri" w:hAnsi="Verdana" w:cs="Arial"/>
          <w:lang w:val="es-ES" w:eastAsia="es-ES"/>
        </w:rPr>
        <w:t>Funza, Cundinamarca</w:t>
      </w:r>
    </w:p>
    <w:p w14:paraId="49583851" w14:textId="77777777" w:rsidR="0010156D" w:rsidRPr="00C53B42" w:rsidRDefault="0010156D" w:rsidP="0010156D">
      <w:pPr>
        <w:spacing w:after="0" w:line="240" w:lineRule="auto"/>
        <w:rPr>
          <w:rFonts w:ascii="Verdana" w:eastAsia="Calibri" w:hAnsi="Verdana" w:cs="Arial"/>
          <w:b/>
          <w:bCs/>
          <w:color w:val="000000"/>
          <w:lang w:val="es-ES_tradnl" w:eastAsia="es-ES_tradnl"/>
        </w:rPr>
      </w:pPr>
    </w:p>
    <w:p w14:paraId="5875696B" w14:textId="77777777" w:rsidR="0010156D" w:rsidRPr="00C53B42" w:rsidRDefault="0010156D" w:rsidP="0010156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75"/>
        <w:gridCol w:w="6614"/>
      </w:tblGrid>
      <w:tr w:rsidR="0010156D" w:rsidRPr="00C53B42" w14:paraId="384622CB" w14:textId="77777777" w:rsidTr="485EFC16">
        <w:trPr>
          <w:trHeight w:val="218"/>
        </w:trPr>
        <w:tc>
          <w:tcPr>
            <w:tcW w:w="2175" w:type="dxa"/>
          </w:tcPr>
          <w:p w14:paraId="2B5A2097" w14:textId="77777777" w:rsidR="0010156D" w:rsidRPr="00C53B42" w:rsidRDefault="0010156D" w:rsidP="00E640F8">
            <w:pPr>
              <w:jc w:val="both"/>
              <w:rPr>
                <w:rFonts w:ascii="Verdana" w:eastAsia="Calibri" w:hAnsi="Verdana" w:cs="Arial"/>
                <w:b/>
                <w:bCs/>
                <w:color w:val="7030A0"/>
                <w:lang w:val="es-ES_tradnl" w:eastAsia="es-ES_tradnl"/>
              </w:rPr>
            </w:pPr>
          </w:p>
        </w:tc>
        <w:tc>
          <w:tcPr>
            <w:tcW w:w="6614" w:type="dxa"/>
            <w:hideMark/>
          </w:tcPr>
          <w:p w14:paraId="3BA0F7DA" w14:textId="77777777" w:rsidR="0010156D" w:rsidRPr="00C53B42" w:rsidRDefault="0010156D" w:rsidP="00E640F8">
            <w:pPr>
              <w:jc w:val="both"/>
              <w:rPr>
                <w:rFonts w:ascii="Verdana" w:eastAsia="Calibri" w:hAnsi="Verdana" w:cs="Arial"/>
                <w:b/>
                <w:bCs/>
                <w:lang w:val="es-ES" w:eastAsia="es-ES"/>
              </w:rPr>
            </w:pPr>
            <w:r w:rsidRPr="00C53B42">
              <w:rPr>
                <w:rFonts w:ascii="Verdana" w:eastAsia="Calibri" w:hAnsi="Verdana" w:cs="Arial"/>
                <w:b/>
                <w:bCs/>
                <w:lang w:val="es-ES" w:eastAsia="es-ES"/>
              </w:rPr>
              <w:t>Concepto C-9</w:t>
            </w:r>
            <w:r>
              <w:rPr>
                <w:rFonts w:ascii="Verdana" w:eastAsia="Calibri" w:hAnsi="Verdana" w:cs="Arial"/>
                <w:b/>
                <w:bCs/>
                <w:lang w:val="es-ES" w:eastAsia="es-ES"/>
              </w:rPr>
              <w:t>91</w:t>
            </w:r>
            <w:r w:rsidRPr="00C53B42">
              <w:rPr>
                <w:rFonts w:ascii="Verdana" w:eastAsia="Calibri" w:hAnsi="Verdana" w:cs="Arial"/>
                <w:b/>
                <w:bCs/>
                <w:lang w:val="es-ES" w:eastAsia="es-ES"/>
              </w:rPr>
              <w:t xml:space="preserve"> de 2025</w:t>
            </w:r>
          </w:p>
          <w:p w14:paraId="29514C79" w14:textId="77777777" w:rsidR="0010156D" w:rsidRPr="00C53B42" w:rsidRDefault="0010156D" w:rsidP="00E640F8">
            <w:pPr>
              <w:jc w:val="both"/>
              <w:rPr>
                <w:rFonts w:ascii="Verdana" w:eastAsia="Calibri" w:hAnsi="Verdana" w:cs="Arial"/>
                <w:b/>
                <w:bCs/>
                <w:lang w:val="es-ES" w:eastAsia="es-ES"/>
              </w:rPr>
            </w:pPr>
          </w:p>
          <w:p w14:paraId="2EEF957A" w14:textId="77777777" w:rsidR="0010156D" w:rsidRPr="00C53B42" w:rsidRDefault="0010156D" w:rsidP="00E640F8">
            <w:pPr>
              <w:jc w:val="both"/>
              <w:rPr>
                <w:rFonts w:ascii="Verdana" w:eastAsia="Calibri" w:hAnsi="Verdana" w:cs="Arial"/>
                <w:b/>
                <w:bCs/>
                <w:lang w:val="es-ES" w:eastAsia="es-ES"/>
              </w:rPr>
            </w:pPr>
          </w:p>
        </w:tc>
      </w:tr>
      <w:tr w:rsidR="0010156D" w:rsidRPr="00C53B42" w14:paraId="604DC045" w14:textId="77777777" w:rsidTr="485EFC16">
        <w:trPr>
          <w:trHeight w:val="884"/>
        </w:trPr>
        <w:tc>
          <w:tcPr>
            <w:tcW w:w="2175" w:type="dxa"/>
            <w:hideMark/>
          </w:tcPr>
          <w:p w14:paraId="75B1856F" w14:textId="77777777" w:rsidR="0010156D" w:rsidRPr="00C53B42" w:rsidRDefault="0010156D" w:rsidP="00E640F8">
            <w:pPr>
              <w:jc w:val="both"/>
              <w:rPr>
                <w:rFonts w:ascii="Verdana" w:eastAsia="Calibri" w:hAnsi="Verdana" w:cs="Arial"/>
                <w:color w:val="000000"/>
                <w:lang w:val="es-ES_tradnl" w:eastAsia="es-ES_tradnl"/>
              </w:rPr>
            </w:pPr>
            <w:r w:rsidRPr="00C53B42">
              <w:rPr>
                <w:rFonts w:ascii="Verdana" w:eastAsia="Calibri" w:hAnsi="Verdana" w:cs="Arial"/>
                <w:b/>
                <w:color w:val="000000"/>
                <w:lang w:val="es-ES_tradnl" w:eastAsia="es-ES_tradnl"/>
              </w:rPr>
              <w:t>Temas:</w:t>
            </w:r>
            <w:r w:rsidRPr="00C53B42">
              <w:rPr>
                <w:rFonts w:ascii="Verdana" w:eastAsia="Calibri" w:hAnsi="Verdana" w:cs="Arial"/>
                <w:color w:val="000000"/>
                <w:lang w:val="es-ES_tradnl" w:eastAsia="es-ES_tradnl"/>
              </w:rPr>
              <w:t xml:space="preserve">                   </w:t>
            </w:r>
          </w:p>
        </w:tc>
        <w:tc>
          <w:tcPr>
            <w:tcW w:w="6614" w:type="dxa"/>
            <w:hideMark/>
          </w:tcPr>
          <w:p w14:paraId="3658DC4D" w14:textId="77777777" w:rsidR="0010156D" w:rsidRDefault="0010156D" w:rsidP="00E640F8">
            <w:pPr>
              <w:jc w:val="both"/>
              <w:rPr>
                <w:rFonts w:ascii="Verdana" w:hAnsi="Verdana" w:cs="Arial"/>
                <w:bCs/>
                <w:color w:val="000000" w:themeColor="text1"/>
                <w:lang w:val="es-ES_tradnl"/>
              </w:rPr>
            </w:pPr>
            <w:r w:rsidRPr="00C53B42">
              <w:rPr>
                <w:rFonts w:ascii="Verdana" w:hAnsi="Verdana" w:cs="Arial"/>
                <w:bCs/>
                <w:color w:val="000000" w:themeColor="text1"/>
                <w:lang w:val="es-ES_tradnl"/>
              </w:rPr>
              <w:t xml:space="preserve">LEY DE GARANTÍAS ELECTORALES ‒ Finalidad / LEY DE GARANTÍAS ELECTORALES ‒ Tipos de restricciones </w:t>
            </w:r>
          </w:p>
          <w:p w14:paraId="0A083BE2" w14:textId="77777777" w:rsidR="0010156D" w:rsidRDefault="0010156D" w:rsidP="00E640F8">
            <w:pPr>
              <w:jc w:val="both"/>
              <w:rPr>
                <w:rFonts w:ascii="Verdana" w:hAnsi="Verdana" w:cs="Arial"/>
                <w:bCs/>
                <w:color w:val="000000" w:themeColor="text1"/>
                <w:lang w:val="es-ES_tradnl"/>
              </w:rPr>
            </w:pPr>
          </w:p>
          <w:p w14:paraId="78EE12A2" w14:textId="77777777" w:rsidR="0010156D" w:rsidRPr="00C53B42" w:rsidRDefault="0010156D" w:rsidP="00E640F8">
            <w:pPr>
              <w:jc w:val="both"/>
              <w:rPr>
                <w:rFonts w:ascii="Verdana" w:eastAsia="Calibri" w:hAnsi="Verdana" w:cs="Arial"/>
                <w:lang w:val="es-ES" w:eastAsia="es-ES"/>
              </w:rPr>
            </w:pPr>
          </w:p>
        </w:tc>
      </w:tr>
      <w:tr w:rsidR="0010156D" w14:paraId="050F7D59" w14:textId="77777777" w:rsidTr="485EFC16">
        <w:tc>
          <w:tcPr>
            <w:tcW w:w="2175" w:type="dxa"/>
            <w:hideMark/>
          </w:tcPr>
          <w:p w14:paraId="21D5F4CE" w14:textId="77777777" w:rsidR="0010156D" w:rsidRPr="00C53B42" w:rsidRDefault="0010156D" w:rsidP="00E640F8">
            <w:pPr>
              <w:jc w:val="both"/>
              <w:rPr>
                <w:rFonts w:ascii="Verdana" w:eastAsia="Calibri" w:hAnsi="Verdana" w:cs="Arial"/>
                <w:b/>
                <w:color w:val="7030A0"/>
                <w:lang w:val="es-ES_tradnl" w:eastAsia="es-ES_tradnl"/>
              </w:rPr>
            </w:pPr>
            <w:r w:rsidRPr="00C53B42">
              <w:rPr>
                <w:rFonts w:ascii="Verdana" w:eastAsia="Calibri" w:hAnsi="Verdana" w:cs="Arial"/>
                <w:b/>
                <w:lang w:val="es-ES_tradnl" w:eastAsia="es-ES_tradnl"/>
              </w:rPr>
              <w:t>Radicación:</w:t>
            </w:r>
            <w:r w:rsidRPr="00C53B42">
              <w:rPr>
                <w:rFonts w:ascii="Verdana" w:eastAsia="Calibri" w:hAnsi="Verdana" w:cs="Arial"/>
                <w:lang w:val="es-ES_tradnl" w:eastAsia="es-ES_tradnl"/>
              </w:rPr>
              <w:t xml:space="preserve">               </w:t>
            </w:r>
          </w:p>
        </w:tc>
        <w:tc>
          <w:tcPr>
            <w:tcW w:w="6614" w:type="dxa"/>
          </w:tcPr>
          <w:p w14:paraId="281D3F3B" w14:textId="77777777" w:rsidR="0010156D" w:rsidRPr="00C53B42" w:rsidRDefault="0010156D" w:rsidP="00E640F8">
            <w:pPr>
              <w:jc w:val="both"/>
              <w:rPr>
                <w:rFonts w:ascii="Verdana" w:eastAsia="Calibri" w:hAnsi="Verdana" w:cs="Arial"/>
                <w:lang w:val="es-ES_tradnl" w:eastAsia="es-ES_tradnl"/>
              </w:rPr>
            </w:pPr>
            <w:r w:rsidRPr="00C53B42">
              <w:rPr>
                <w:rFonts w:ascii="Verdana" w:eastAsia="Calibri" w:hAnsi="Verdana" w:cs="Arial"/>
                <w:lang w:val="es-ES_tradnl" w:eastAsia="es-ES_tradnl"/>
              </w:rPr>
              <w:t xml:space="preserve">Respuesta a consulta con radicado No. </w:t>
            </w:r>
            <w:r w:rsidRPr="00697A9E">
              <w:rPr>
                <w:rFonts w:ascii="Verdana" w:eastAsia="Calibri" w:hAnsi="Verdana" w:cs="Arial"/>
                <w:lang w:val="es-ES_tradnl" w:eastAsia="es-ES_tradnl"/>
              </w:rPr>
              <w:t>1_2025_07_18_007404</w:t>
            </w:r>
          </w:p>
        </w:tc>
      </w:tr>
    </w:tbl>
    <w:p w14:paraId="3E487AAD" w14:textId="77777777" w:rsidR="0010156D" w:rsidRDefault="0010156D" w:rsidP="0010156D">
      <w:pPr>
        <w:spacing w:after="0" w:line="240" w:lineRule="auto"/>
        <w:jc w:val="both"/>
        <w:rPr>
          <w:rFonts w:ascii="Verdana" w:eastAsia="Calibri" w:hAnsi="Verdana" w:cs="Arial"/>
          <w:color w:val="000000"/>
          <w:lang w:val="es-ES_tradnl" w:eastAsia="es-ES_tradnl"/>
        </w:rPr>
      </w:pPr>
    </w:p>
    <w:p w14:paraId="7D97134A" w14:textId="77777777" w:rsidR="0010156D" w:rsidRDefault="0010156D" w:rsidP="0010156D">
      <w:pPr>
        <w:spacing w:after="0" w:line="240" w:lineRule="auto"/>
        <w:jc w:val="both"/>
        <w:rPr>
          <w:rFonts w:ascii="Verdana" w:eastAsia="Calibri" w:hAnsi="Verdana" w:cs="Arial"/>
          <w:color w:val="000000"/>
          <w:lang w:val="es-ES_tradnl" w:eastAsia="es-ES_tradnl"/>
        </w:rPr>
      </w:pPr>
    </w:p>
    <w:p w14:paraId="27CBF2EC" w14:textId="77777777" w:rsidR="0010156D" w:rsidRDefault="0010156D" w:rsidP="0010156D">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Estimada señora Echeverry,</w:t>
      </w:r>
    </w:p>
    <w:p w14:paraId="56331715" w14:textId="77777777" w:rsidR="0010156D" w:rsidRDefault="0010156D" w:rsidP="0010156D">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109682F" w14:textId="77777777" w:rsidR="0010156D" w:rsidRDefault="0010156D" w:rsidP="0010156D">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 consulta del 18 de julio de 2025, en la cual manifiesta lo siguiente: </w:t>
      </w:r>
    </w:p>
    <w:p w14:paraId="60EE8799" w14:textId="77777777" w:rsidR="0010156D" w:rsidRDefault="0010156D" w:rsidP="0010156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9D4DF16" w14:textId="77777777" w:rsidR="0010156D" w:rsidRDefault="0010156D" w:rsidP="0010156D">
      <w:pPr>
        <w:autoSpaceDE w:val="0"/>
        <w:autoSpaceDN w:val="0"/>
        <w:adjustRightInd w:val="0"/>
        <w:spacing w:after="0" w:line="276" w:lineRule="auto"/>
        <w:ind w:left="851" w:right="616"/>
        <w:jc w:val="both"/>
        <w:rPr>
          <w:rFonts w:ascii="Verdana" w:eastAsia="Century Gothic" w:hAnsi="Verdana" w:cs="Century Gothic"/>
          <w:sz w:val="20"/>
          <w:szCs w:val="20"/>
          <w:lang w:val="es-ES"/>
        </w:rPr>
      </w:pPr>
      <w:r>
        <w:rPr>
          <w:rFonts w:ascii="Verdana" w:eastAsia="Century Gothic" w:hAnsi="Verdana" w:cs="Century Gothic"/>
          <w:sz w:val="20"/>
          <w:szCs w:val="20"/>
          <w:lang w:val="es-ES"/>
        </w:rPr>
        <w:t>“</w:t>
      </w:r>
      <w:r w:rsidRPr="00697A9E">
        <w:rPr>
          <w:rFonts w:ascii="Verdana" w:eastAsia="Century Gothic" w:hAnsi="Verdana" w:cs="Century Gothic"/>
          <w:sz w:val="20"/>
          <w:szCs w:val="20"/>
          <w:lang w:val="es-ES"/>
        </w:rPr>
        <w:t>Solicito muy amablemente me asesoren sobre ley de garantías vigencia 2025 para</w:t>
      </w:r>
      <w:r>
        <w:rPr>
          <w:rFonts w:ascii="Verdana" w:eastAsia="Century Gothic" w:hAnsi="Verdana" w:cs="Century Gothic"/>
          <w:sz w:val="20"/>
          <w:szCs w:val="20"/>
          <w:lang w:val="es-ES"/>
        </w:rPr>
        <w:t xml:space="preserve"> </w:t>
      </w:r>
      <w:r w:rsidRPr="00697A9E">
        <w:rPr>
          <w:rFonts w:ascii="Verdana" w:eastAsia="Century Gothic" w:hAnsi="Verdana" w:cs="Century Gothic"/>
          <w:sz w:val="20"/>
          <w:szCs w:val="20"/>
          <w:lang w:val="es-ES"/>
        </w:rPr>
        <w:t>una entidad como una personería municipal.:</w:t>
      </w:r>
      <w:r>
        <w:rPr>
          <w:rFonts w:ascii="Verdana" w:eastAsia="Century Gothic" w:hAnsi="Verdana" w:cs="Century Gothic"/>
          <w:sz w:val="20"/>
          <w:szCs w:val="20"/>
          <w:lang w:val="es-ES"/>
        </w:rPr>
        <w:t>”</w:t>
      </w:r>
    </w:p>
    <w:p w14:paraId="367F2084" w14:textId="77777777" w:rsidR="0010156D" w:rsidRPr="00924340" w:rsidRDefault="0010156D" w:rsidP="0010156D">
      <w:pPr>
        <w:autoSpaceDE w:val="0"/>
        <w:autoSpaceDN w:val="0"/>
        <w:adjustRightInd w:val="0"/>
        <w:spacing w:after="0" w:line="276" w:lineRule="auto"/>
        <w:ind w:left="851" w:right="616"/>
        <w:jc w:val="both"/>
        <w:rPr>
          <w:rFonts w:ascii="Verdana" w:eastAsia="Century Gothic" w:hAnsi="Verdana" w:cs="Century Gothic"/>
          <w:b/>
        </w:rPr>
      </w:pPr>
    </w:p>
    <w:p w14:paraId="460F3368" w14:textId="77777777" w:rsidR="0010156D" w:rsidRDefault="0010156D" w:rsidP="0010156D">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Pr>
          <w:rFonts w:ascii="Verdana" w:eastAsia="Calibri" w:hAnsi="Verdana" w:cs="Arial"/>
          <w:color w:val="000000"/>
          <w:lang w:val="es-ES" w:eastAsia="es-ES"/>
        </w:rPr>
        <w:lastRenderedPageBreak/>
        <w:t xml:space="preserve">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5033F33F" w14:textId="77777777" w:rsidR="0010156D" w:rsidRDefault="0010156D" w:rsidP="0010156D">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7407A940" w14:textId="77777777" w:rsidR="0010156D" w:rsidRDefault="0010156D" w:rsidP="0010156D">
      <w:pPr>
        <w:spacing w:after="0" w:line="276" w:lineRule="auto"/>
        <w:ind w:firstLine="709"/>
        <w:jc w:val="both"/>
        <w:rPr>
          <w:rFonts w:ascii="Verdana" w:eastAsia="Calibri" w:hAnsi="Verdana" w:cs="Arial"/>
          <w:color w:val="000000"/>
          <w:lang w:val="es-ES" w:eastAsia="es-ES"/>
        </w:rPr>
      </w:pPr>
    </w:p>
    <w:p w14:paraId="64F4F5A2" w14:textId="77777777" w:rsidR="0010156D" w:rsidRDefault="0010156D" w:rsidP="0010156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24802B95" w14:textId="77777777" w:rsidR="0010156D" w:rsidRDefault="0010156D" w:rsidP="0010156D">
      <w:pPr>
        <w:tabs>
          <w:tab w:val="left" w:pos="426"/>
        </w:tabs>
        <w:spacing w:after="0" w:line="276" w:lineRule="auto"/>
        <w:jc w:val="both"/>
        <w:rPr>
          <w:rFonts w:ascii="Verdana" w:eastAsia="Century Gothic" w:hAnsi="Verdana" w:cs="Century Gothic"/>
          <w:lang w:val="es-ES"/>
        </w:rPr>
      </w:pPr>
    </w:p>
    <w:p w14:paraId="6414C3E6" w14:textId="77777777" w:rsidR="0010156D" w:rsidRDefault="0010156D" w:rsidP="0010156D">
      <w:pPr>
        <w:spacing w:after="0" w:line="276" w:lineRule="auto"/>
        <w:jc w:val="both"/>
        <w:rPr>
          <w:rFonts w:ascii="Verdana" w:eastAsia="Century Gothic" w:hAnsi="Verdana" w:cs="Century Gothic"/>
        </w:rPr>
      </w:pPr>
      <w:r>
        <w:rPr>
          <w:rFonts w:ascii="Verdana" w:eastAsia="Century Gothic" w:hAnsi="Verdana" w:cs="Century Gothic"/>
        </w:rPr>
        <w:t>De acuerdo con el contenido de su solicitud, esta Agencia resolverá el siguiente problema jurídico: ¿cuáles son las restricciones de la Ley de Garantías Electorales para una entidad pública de orden municipal?</w:t>
      </w:r>
    </w:p>
    <w:p w14:paraId="0BAC476B" w14:textId="77777777" w:rsidR="0010156D" w:rsidRDefault="0010156D" w:rsidP="0010156D">
      <w:pPr>
        <w:spacing w:after="0" w:line="276" w:lineRule="auto"/>
        <w:jc w:val="both"/>
        <w:rPr>
          <w:rFonts w:ascii="Verdana" w:eastAsia="Calibri" w:hAnsi="Verdana" w:cs="Arial"/>
          <w:color w:val="7030A0"/>
          <w:lang w:val="es-ES"/>
        </w:rPr>
      </w:pPr>
    </w:p>
    <w:p w14:paraId="6B3C86D2" w14:textId="77777777" w:rsidR="0010156D" w:rsidRDefault="0010156D" w:rsidP="0010156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0C0D13EA" w14:textId="77777777" w:rsidR="0010156D" w:rsidRDefault="0010156D" w:rsidP="0010156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0156D" w:rsidRPr="00DE5508" w14:paraId="7A11139C" w14:textId="77777777" w:rsidTr="00E640F8">
        <w:tc>
          <w:tcPr>
            <w:tcW w:w="8828" w:type="dxa"/>
            <w:tcBorders>
              <w:top w:val="dotted" w:sz="4" w:space="0" w:color="auto"/>
              <w:left w:val="dotted" w:sz="4" w:space="0" w:color="auto"/>
              <w:bottom w:val="dotted" w:sz="4" w:space="0" w:color="auto"/>
              <w:right w:val="dotted" w:sz="4" w:space="0" w:color="auto"/>
            </w:tcBorders>
          </w:tcPr>
          <w:p w14:paraId="6CC1A197" w14:textId="3FD33894" w:rsidR="0010156D" w:rsidRPr="00DE5508" w:rsidRDefault="0010156D" w:rsidP="00E640F8">
            <w:pPr>
              <w:spacing w:after="120" w:line="276" w:lineRule="auto"/>
              <w:jc w:val="both"/>
              <w:rPr>
                <w:rFonts w:ascii="Verdana" w:eastAsia="Times New Roman" w:hAnsi="Verdana" w:cs="Open Sans"/>
                <w:lang w:eastAsia="es-CO"/>
              </w:rPr>
            </w:pPr>
            <w:r w:rsidRPr="00DE5508">
              <w:rPr>
                <w:rFonts w:ascii="Verdana" w:eastAsia="Times New Roman" w:hAnsi="Verdana" w:cs="Open Sans"/>
                <w:lang w:eastAsia="es-CO"/>
              </w:rPr>
              <w:t xml:space="preserve">El artículo 33 de la Ley 996 de 2205 prohíbe la contratación directa por parte de todos los entes estatales durante los cuatro meses anteriores a las elecciones presidenciales y dispone las excepciones a dicha prohibición. Así, su ámbito de prohibición está delimitado por la expresión “queda prohibida la contratación directa” y para los efectos de la Ley de Garantías Electorales y, en particular, para la prohibición o restricción temporal contenida en su artículo 33, “contratación directa” </w:t>
            </w:r>
            <w:r w:rsidR="541D656F" w:rsidRPr="485EFC16">
              <w:rPr>
                <w:rFonts w:ascii="Verdana" w:eastAsia="Times New Roman" w:hAnsi="Verdana" w:cs="Open Sans"/>
                <w:lang w:eastAsia="es-CO"/>
              </w:rPr>
              <w:t>se refiere a</w:t>
            </w:r>
            <w:r w:rsidRPr="00DE5508">
              <w:rPr>
                <w:rFonts w:ascii="Verdana" w:eastAsia="Times New Roman" w:hAnsi="Verdana" w:cs="Open Sans"/>
                <w:lang w:eastAsia="es-CO"/>
              </w:rPr>
              <w:t xml:space="preserve"> cualquier sistema de selección o procedimiento de contratación utilizado por las entidades estatales que no incluya la convocatoria pública en alguna de sus etapas, ni permita la participación de una pluralidad de oferentes. Por su parte, </w:t>
            </w:r>
            <w:r w:rsidRPr="00DE5508">
              <w:rPr>
                <w:rFonts w:ascii="Verdana" w:hAnsi="Verdana"/>
              </w:rPr>
              <w:t>los destinatarios de la prohibición están expresamente señalados como “todos los entes del Estado”, expresión que contempla a los diferentes organismos o entidades autorizadas por la ley para suscribir contratos, incluyendo los de orden municipal.</w:t>
            </w:r>
          </w:p>
          <w:p w14:paraId="2E7FDE2F" w14:textId="77777777" w:rsidR="001D3F31" w:rsidRDefault="0010156D" w:rsidP="00796F2E">
            <w:pPr>
              <w:pStyle w:val="Prrafodelista"/>
              <w:spacing w:line="276" w:lineRule="auto"/>
              <w:ind w:left="29" w:firstLine="709"/>
              <w:jc w:val="both"/>
              <w:rPr>
                <w:rFonts w:ascii="Verdana" w:eastAsia="Times New Roman" w:hAnsi="Verdana" w:cs="Open Sans"/>
                <w:lang w:eastAsia="es-CO"/>
              </w:rPr>
            </w:pPr>
            <w:r w:rsidRPr="00DE5508">
              <w:rPr>
                <w:rFonts w:ascii="Verdana" w:eastAsia="Times New Roman" w:hAnsi="Verdana" w:cs="Open Sans"/>
                <w:lang w:eastAsia="es-CO"/>
              </w:rPr>
              <w:t>De lo anterior se desprende que la restricción aplica, sin perjuicio de las excepciones establecidas en la misma ley, para celebrar cualquier contrato de forma directa, esto es, sin que exista un proceso abierto y competitivo.</w:t>
            </w:r>
            <w:r w:rsidR="001D3F31">
              <w:rPr>
                <w:rFonts w:ascii="Verdana" w:eastAsia="Times New Roman" w:hAnsi="Verdana" w:cs="Open Sans"/>
                <w:lang w:eastAsia="es-CO"/>
              </w:rPr>
              <w:t xml:space="preserve"> </w:t>
            </w:r>
          </w:p>
          <w:p w14:paraId="158DFA02" w14:textId="2C03F2A1" w:rsidR="0010156D" w:rsidRPr="00DE5508" w:rsidRDefault="0010156D" w:rsidP="00796F2E">
            <w:pPr>
              <w:pStyle w:val="Prrafodelista"/>
              <w:spacing w:line="276" w:lineRule="auto"/>
              <w:ind w:left="29" w:firstLine="709"/>
              <w:jc w:val="both"/>
              <w:rPr>
                <w:rFonts w:ascii="Verdana" w:eastAsia="Times New Roman" w:hAnsi="Verdana" w:cs="Open Sans"/>
                <w:lang w:eastAsia="es-CO"/>
              </w:rPr>
            </w:pPr>
            <w:r w:rsidRPr="00DE5508">
              <w:rPr>
                <w:rFonts w:ascii="Verdana" w:eastAsia="Times New Roman" w:hAnsi="Verdana" w:cs="Arial"/>
                <w:lang w:val="es-MX" w:eastAsia="es-CO"/>
              </w:rPr>
              <w:t xml:space="preserve">Adicionalmente, el parágrafo del artículo 38 de la Ley 996 de 2005 prohíbe a los </w:t>
            </w:r>
            <w:proofErr w:type="gramStart"/>
            <w:r w:rsidRPr="00DE5508">
              <w:rPr>
                <w:rFonts w:ascii="Verdana" w:eastAsia="Times New Roman" w:hAnsi="Verdana" w:cs="Arial"/>
                <w:lang w:val="es-MX" w:eastAsia="es-CO"/>
              </w:rPr>
              <w:t>Alcaldes</w:t>
            </w:r>
            <w:proofErr w:type="gramEnd"/>
            <w:r w:rsidRPr="00DE5508">
              <w:rPr>
                <w:rFonts w:ascii="Verdana" w:eastAsia="Times New Roman" w:hAnsi="Verdana" w:cs="Arial"/>
                <w:lang w:val="es-MX" w:eastAsia="es-CO"/>
              </w:rPr>
              <w:t xml:space="preserve">, Gobernadores, </w:t>
            </w:r>
            <w:proofErr w:type="gramStart"/>
            <w:r w:rsidRPr="00DE5508">
              <w:rPr>
                <w:rFonts w:ascii="Verdana" w:eastAsia="Times New Roman" w:hAnsi="Verdana" w:cs="Arial"/>
                <w:lang w:val="es-MX" w:eastAsia="es-CO"/>
              </w:rPr>
              <w:t>Secretarios</w:t>
            </w:r>
            <w:proofErr w:type="gramEnd"/>
            <w:r w:rsidRPr="00DE5508">
              <w:rPr>
                <w:rFonts w:ascii="Verdana" w:eastAsia="Times New Roman" w:hAnsi="Verdana" w:cs="Arial"/>
                <w:lang w:val="es-MX" w:eastAsia="es-CO"/>
              </w:rPr>
              <w:t xml:space="preserve">, Gerentes y </w:t>
            </w:r>
            <w:proofErr w:type="gramStart"/>
            <w:r w:rsidRPr="00DE5508">
              <w:rPr>
                <w:rFonts w:ascii="Verdana" w:eastAsia="Times New Roman" w:hAnsi="Verdana" w:cs="Arial"/>
                <w:lang w:val="es-MX" w:eastAsia="es-CO"/>
              </w:rPr>
              <w:t>Directores</w:t>
            </w:r>
            <w:proofErr w:type="gramEnd"/>
            <w:r w:rsidRPr="00DE5508">
              <w:rPr>
                <w:rFonts w:ascii="Verdana" w:eastAsia="Times New Roman" w:hAnsi="Verdana" w:cs="Arial"/>
                <w:lang w:val="es-MX" w:eastAsia="es-CO"/>
              </w:rPr>
              <w:t xml:space="preserve"> de las entidades descentralizadas del orden municipal, departamental o distrital celebrar </w:t>
            </w:r>
            <w:r w:rsidRPr="00DE5508">
              <w:rPr>
                <w:rFonts w:ascii="Verdana" w:eastAsia="Times New Roman" w:hAnsi="Verdana" w:cs="Arial"/>
                <w:i/>
                <w:lang w:val="es-MX" w:eastAsia="es-CO"/>
              </w:rPr>
              <w:t>convenios interadministrativos</w:t>
            </w:r>
            <w:r w:rsidRPr="00DE5508">
              <w:rPr>
                <w:rFonts w:ascii="Verdana" w:eastAsia="Times New Roman" w:hAnsi="Verdana" w:cs="Arial"/>
                <w:lang w:val="es-MX" w:eastAsia="es-CO"/>
              </w:rPr>
              <w:t xml:space="preserve"> para la ejecución de recursos públicos. </w:t>
            </w:r>
            <w:r w:rsidRPr="00DE5508">
              <w:rPr>
                <w:rFonts w:ascii="Verdana" w:eastAsia="Times New Roman" w:hAnsi="Verdana" w:cs="Arial"/>
                <w:lang w:val="es-MX" w:eastAsia="es-CO"/>
              </w:rPr>
              <w:lastRenderedPageBreak/>
              <w:t xml:space="preserve">En este sentido, si una o ambas partes de la relación contractual es una entidad de aquellas descritas en el parágrafo </w:t>
            </w:r>
            <w:r w:rsidRPr="00DE5508">
              <w:rPr>
                <w:rFonts w:ascii="Verdana" w:eastAsia="Times New Roman" w:hAnsi="Verdana" w:cs="Arial"/>
                <w:i/>
                <w:lang w:val="es-MX" w:eastAsia="es-CO"/>
              </w:rPr>
              <w:t>ibidem</w:t>
            </w:r>
            <w:r w:rsidRPr="00DE5508">
              <w:rPr>
                <w:rFonts w:ascii="Verdana" w:eastAsia="Times New Roman" w:hAnsi="Verdana" w:cs="Arial"/>
                <w:lang w:val="es-MX" w:eastAsia="es-CO"/>
              </w:rPr>
              <w:t xml:space="preserve">, no podrá celebrar tales </w:t>
            </w:r>
            <w:r w:rsidRPr="00DE5508">
              <w:rPr>
                <w:rFonts w:ascii="Verdana" w:eastAsia="Times New Roman" w:hAnsi="Verdana" w:cs="Arial"/>
                <w:i/>
                <w:lang w:val="es-MX" w:eastAsia="es-CO"/>
              </w:rPr>
              <w:t>convenios</w:t>
            </w:r>
            <w:r w:rsidRPr="00DE5508">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w:t>
            </w:r>
          </w:p>
          <w:p w14:paraId="02BCE790" w14:textId="77777777" w:rsidR="0010156D" w:rsidRPr="00DE5508" w:rsidRDefault="0010156D" w:rsidP="00E640F8">
            <w:pPr>
              <w:pStyle w:val="Prrafodelista"/>
              <w:spacing w:line="276" w:lineRule="auto"/>
              <w:ind w:left="0" w:firstLine="709"/>
              <w:jc w:val="both"/>
              <w:rPr>
                <w:rFonts w:ascii="Verdana" w:eastAsia="Times New Roman" w:hAnsi="Verdana" w:cs="Arial"/>
                <w:lang w:val="es-MX" w:eastAsia="es-CO"/>
              </w:rPr>
            </w:pPr>
            <w:r w:rsidRPr="00DE5508">
              <w:rPr>
                <w:rFonts w:ascii="Verdana" w:eastAsia="Times New Roman" w:hAnsi="Verdana" w:cs="Arial"/>
                <w:lang w:val="es-MX" w:eastAsia="es-CO"/>
              </w:rPr>
              <w:t>Por lo que, la prohibición a la celebración de convenios interadministrativos es aplicable si una de las entidades que va a suscribir el convenio interadministrativo es del orden municipal y está descrita en el parágrafo del artículo 38 de la Ley 996 de 2005.</w:t>
            </w:r>
          </w:p>
          <w:p w14:paraId="240C21B5" w14:textId="77777777" w:rsidR="0010156D" w:rsidRPr="00DE5508" w:rsidRDefault="0010156D" w:rsidP="00E640F8">
            <w:pPr>
              <w:autoSpaceDE w:val="0"/>
              <w:autoSpaceDN w:val="0"/>
              <w:adjustRightInd w:val="0"/>
              <w:spacing w:line="276" w:lineRule="auto"/>
              <w:ind w:firstLine="738"/>
              <w:jc w:val="both"/>
              <w:rPr>
                <w:rFonts w:ascii="Verdana" w:hAnsi="Verdana" w:cs="BCDHEE+Verdana"/>
                <w:color w:val="000000"/>
              </w:rPr>
            </w:pPr>
            <w:r w:rsidRPr="00DE5508">
              <w:rPr>
                <w:rFonts w:ascii="Verdana" w:hAnsi="Verdana" w:cs="BCDHEE+Verdana"/>
                <w:color w:val="000000"/>
              </w:rPr>
              <w:t>Finalmente, sobre las fechas en que aplica</w:t>
            </w:r>
            <w:r>
              <w:rPr>
                <w:rFonts w:ascii="Verdana" w:hAnsi="Verdana" w:cs="BCDHEE+Verdana"/>
                <w:color w:val="000000"/>
              </w:rPr>
              <w:t>n las restricciones de</w:t>
            </w:r>
            <w:r w:rsidRPr="00DE5508">
              <w:rPr>
                <w:rFonts w:ascii="Verdana" w:hAnsi="Verdana" w:cs="BCDHEE+Verdana"/>
                <w:color w:val="000000"/>
              </w:rPr>
              <w:t xml:space="preserve"> la Ley de garantías, se debe tener en cuenta que el Consejo Nacional Electoral mediante Resolución No. 2581 del 5 de marzo de 2025 fijó el calendario electoral para las elecciones al Congreso de la República que serán el 8 de marzo de 2026, en esa medida, de acuerdo con el artículo 38 de la Ley 996 de 2005, la restricción iniciaría el 8 de noviembre de 2025, es decir, 4 meses antes de la fecha de las elecciones, y las restricciones que se aplican son que prohíbe a los gobernadores, alcaldes municipales o distritales, secretarios, gerentes y directores de entidades descentralizadas del orden municipal, departamental o distrital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p>
          <w:p w14:paraId="0075DE8C" w14:textId="77777777" w:rsidR="0010156D" w:rsidRPr="00DE5508" w:rsidRDefault="0010156D" w:rsidP="00E640F8">
            <w:pPr>
              <w:pStyle w:val="Prrafodelista"/>
              <w:spacing w:line="276" w:lineRule="auto"/>
              <w:ind w:left="0" w:firstLine="709"/>
              <w:jc w:val="both"/>
              <w:rPr>
                <w:rFonts w:ascii="Verdana" w:eastAsia="Times New Roman" w:hAnsi="Verdana" w:cs="Arial"/>
                <w:lang w:val="es-MX" w:eastAsia="es-CO"/>
              </w:rPr>
            </w:pPr>
            <w:r w:rsidRPr="00DE5508">
              <w:rPr>
                <w:rFonts w:ascii="Verdana" w:hAnsi="Verdana" w:cs="BCDHEE+Verdana"/>
                <w:color w:val="000000"/>
                <w:lang w:val="es-CO"/>
              </w:rPr>
              <w:t>Para las elecciones presidenciales, el Consejo Nacional Electoral mediante Resolución No. 2580 del 5 de marzo de 2025 fijó el calendario electoral para las elecciones de Presidente y Vicepresidente de la República en primera vuelta que se celebrarán el 31 de mayo de 2026, por lo que las restricciones a aplicar son las del artículo 33 de la Ley 996 de 2005 que dispone que dentro de los 4 meses anteriores a la elección presidencial, es decir desde el 31 de enero de 2026 y hasta el momento de la celebración de la segunda vuelta, si fuere el caso, queda prohibida la contratación directa por parte de todos los entes del Estado,</w:t>
            </w:r>
          </w:p>
          <w:p w14:paraId="44E75768" w14:textId="77777777" w:rsidR="0010156D" w:rsidRPr="00DE5508" w:rsidRDefault="0010156D" w:rsidP="00E640F8">
            <w:pPr>
              <w:widowControl w:val="0"/>
              <w:autoSpaceDE w:val="0"/>
              <w:autoSpaceDN w:val="0"/>
              <w:spacing w:line="276" w:lineRule="auto"/>
              <w:ind w:right="176" w:firstLine="708"/>
              <w:jc w:val="both"/>
              <w:rPr>
                <w:rFonts w:ascii="Verdana" w:hAnsi="Verdana"/>
              </w:rPr>
            </w:pPr>
            <w:r w:rsidRPr="00DE5508">
              <w:rPr>
                <w:rFonts w:ascii="Verdana" w:hAnsi="Verdana"/>
              </w:rPr>
              <w:t xml:space="preserve">Dentro de este marco, corresponde a cada entidad pública, en ejercicio de su competencia y previa valoración de los elementos fácticos y jurídicos, así como de las disposiciones legales mencionadas, determinar su gestión contractual durante la aplicación de las restricciones de la Ley de Garantías Electorales. Al tratarse de un análisis que debe realizarse en el procedimiento </w:t>
            </w:r>
            <w:r w:rsidRPr="00DE5508">
              <w:rPr>
                <w:rFonts w:ascii="Verdana" w:hAnsi="Verdana"/>
              </w:rPr>
              <w:lastRenderedPageBreak/>
              <w:t>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7C2A4360" w14:textId="77777777" w:rsidR="0010156D" w:rsidRPr="00DE5508" w:rsidRDefault="0010156D" w:rsidP="0010156D">
      <w:pPr>
        <w:tabs>
          <w:tab w:val="left" w:pos="142"/>
          <w:tab w:val="left" w:pos="284"/>
        </w:tabs>
        <w:spacing w:after="0" w:line="276" w:lineRule="auto"/>
        <w:jc w:val="both"/>
        <w:rPr>
          <w:rFonts w:ascii="Verdana" w:eastAsia="Century Gothic" w:hAnsi="Verdana" w:cs="Century Gothic"/>
          <w:b/>
          <w:bCs/>
          <w:lang w:val="es-ES"/>
        </w:rPr>
      </w:pPr>
    </w:p>
    <w:p w14:paraId="7C67B5E1" w14:textId="77777777" w:rsidR="0010156D" w:rsidRDefault="0010156D" w:rsidP="0010156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31B96A41" w14:textId="77777777" w:rsidR="0010156D" w:rsidRDefault="0010156D" w:rsidP="0010156D">
      <w:pPr>
        <w:spacing w:after="0" w:line="276" w:lineRule="auto"/>
        <w:jc w:val="both"/>
        <w:rPr>
          <w:rFonts w:ascii="Verdana" w:eastAsia="Calibri" w:hAnsi="Verdana" w:cs="Arial"/>
          <w:color w:val="7030A0"/>
          <w:lang w:val="es-ES"/>
        </w:rPr>
      </w:pPr>
    </w:p>
    <w:p w14:paraId="312E20A6" w14:textId="77777777" w:rsidR="0010156D" w:rsidRDefault="0010156D" w:rsidP="0010156D">
      <w:pPr>
        <w:spacing w:after="0" w:line="276" w:lineRule="auto"/>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51A73C65" w14:textId="77777777" w:rsidR="0010156D" w:rsidRDefault="0010156D" w:rsidP="0010156D">
      <w:pPr>
        <w:widowControl w:val="0"/>
        <w:autoSpaceDE w:val="0"/>
        <w:autoSpaceDN w:val="0"/>
        <w:spacing w:after="0" w:line="276" w:lineRule="auto"/>
        <w:ind w:right="176"/>
        <w:jc w:val="both"/>
        <w:rPr>
          <w:rFonts w:ascii="Verdana" w:eastAsia="Calibri" w:hAnsi="Verdana" w:cs="Arial"/>
          <w:lang w:val="es-ES"/>
        </w:rPr>
      </w:pPr>
    </w:p>
    <w:p w14:paraId="17C4E275" w14:textId="77777777" w:rsidR="0010156D" w:rsidRDefault="0010156D" w:rsidP="0010156D">
      <w:pPr>
        <w:tabs>
          <w:tab w:val="left" w:pos="426"/>
        </w:tabs>
        <w:spacing w:after="120" w:line="276" w:lineRule="auto"/>
        <w:jc w:val="both"/>
        <w:rPr>
          <w:rFonts w:ascii="Verdana" w:eastAsia="Calibri" w:hAnsi="Verdana" w:cs="Arial"/>
          <w:lang w:val="es-ES_tradnl"/>
        </w:rPr>
      </w:pPr>
      <w:r>
        <w:rPr>
          <w:rFonts w:ascii="Verdana" w:eastAsia="Times New Roman" w:hAnsi="Verdana" w:cs="Arial"/>
          <w:lang w:val="es-MX" w:eastAsia="es-CO"/>
        </w:rPr>
        <w:t>L</w:t>
      </w:r>
      <w:r w:rsidRPr="00E2397D">
        <w:rPr>
          <w:rFonts w:ascii="Verdana" w:eastAsia="Times New Roman" w:hAnsi="Verdana" w:cs="Arial"/>
          <w:lang w:val="es-MX" w:eastAsia="es-CO"/>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2"/>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p>
    <w:p w14:paraId="77306E54" w14:textId="77777777" w:rsidR="0010156D" w:rsidRPr="006B14B5" w:rsidRDefault="0010156D" w:rsidP="0010156D">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180585D4" w14:textId="77777777" w:rsidR="0010156D" w:rsidRPr="00E2397D" w:rsidRDefault="0010156D" w:rsidP="0010156D">
      <w:pPr>
        <w:spacing w:after="0" w:line="276" w:lineRule="auto"/>
        <w:ind w:right="709"/>
        <w:contextualSpacing/>
        <w:jc w:val="both"/>
        <w:rPr>
          <w:rFonts w:ascii="Verdana" w:eastAsia="Times New Roman" w:hAnsi="Verdana" w:cs="Arial"/>
          <w:lang w:val="es-ES" w:eastAsia="es-CO"/>
        </w:rPr>
      </w:pPr>
    </w:p>
    <w:p w14:paraId="26EBCC7E" w14:textId="77777777" w:rsidR="0010156D" w:rsidRPr="00E2397D" w:rsidRDefault="0010156D" w:rsidP="0010156D">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3F10B346" w14:textId="77777777" w:rsidR="0010156D" w:rsidRPr="00E2397D" w:rsidRDefault="0010156D" w:rsidP="0010156D">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7EBA526D" w14:textId="77777777" w:rsidR="0010156D" w:rsidRPr="00E2397D" w:rsidRDefault="0010156D" w:rsidP="0010156D">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w:t>
      </w:r>
      <w:r w:rsidRPr="00E2397D">
        <w:rPr>
          <w:rFonts w:ascii="Verdana" w:eastAsia="Times New Roman" w:hAnsi="Verdana" w:cs="Arial"/>
          <w:sz w:val="20"/>
          <w:szCs w:val="20"/>
          <w:lang w:val="es-MX" w:eastAsia="es-CO"/>
        </w:rPr>
        <w:lastRenderedPageBreak/>
        <w:t>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3"/>
      </w:r>
    </w:p>
    <w:p w14:paraId="4CF9232C" w14:textId="77777777" w:rsidR="0010156D" w:rsidRPr="00E2397D" w:rsidRDefault="0010156D" w:rsidP="0010156D">
      <w:pPr>
        <w:spacing w:after="0" w:line="276" w:lineRule="auto"/>
        <w:ind w:firstLine="709"/>
        <w:jc w:val="both"/>
        <w:rPr>
          <w:rFonts w:ascii="Verdana" w:eastAsia="Times New Roman" w:hAnsi="Verdana" w:cs="Arial"/>
          <w:lang w:val="es-MX" w:eastAsia="es-CO"/>
        </w:rPr>
      </w:pPr>
    </w:p>
    <w:p w14:paraId="0CC72754" w14:textId="77777777" w:rsidR="0010156D" w:rsidRPr="00E2397D" w:rsidRDefault="0010156D" w:rsidP="0010156D">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4F3C7AE9" w14:textId="77777777" w:rsidR="0010156D" w:rsidRPr="00886C02" w:rsidRDefault="0010156D" w:rsidP="0010156D">
      <w:pPr>
        <w:spacing w:after="0" w:line="276" w:lineRule="auto"/>
        <w:ind w:firstLine="709"/>
        <w:jc w:val="both"/>
        <w:rPr>
          <w:rFonts w:ascii="Verdana" w:eastAsia="Times New Roman" w:hAnsi="Verdana" w:cs="Arial"/>
          <w:lang w:val="es-MX" w:eastAsia="es-CO"/>
        </w:rPr>
      </w:pPr>
    </w:p>
    <w:p w14:paraId="5E441BBA" w14:textId="77777777" w:rsidR="0010156D" w:rsidRPr="00E2397D" w:rsidRDefault="0010156D" w:rsidP="0010156D">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2397D">
        <w:rPr>
          <w:rFonts w:ascii="Verdana" w:eastAsia="Times New Roman" w:hAnsi="Verdana" w:cs="Arial"/>
          <w:sz w:val="20"/>
          <w:szCs w:val="20"/>
          <w:lang w:val="es-MX" w:eastAsia="es-CO"/>
        </w:rPr>
        <w:t>legis</w:t>
      </w:r>
      <w:proofErr w:type="spellEnd"/>
      <w:r w:rsidRPr="00E2397D">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5E89BAA" w14:textId="77777777" w:rsidR="0010156D" w:rsidRPr="00E2397D" w:rsidRDefault="0010156D" w:rsidP="0010156D">
      <w:pPr>
        <w:spacing w:after="0" w:line="240" w:lineRule="auto"/>
        <w:ind w:right="709"/>
        <w:contextualSpacing/>
        <w:jc w:val="both"/>
        <w:rPr>
          <w:rFonts w:ascii="Verdana" w:eastAsia="Times New Roman" w:hAnsi="Verdana" w:cs="Arial"/>
          <w:lang w:val="es-MX" w:eastAsia="es-CO"/>
        </w:rPr>
      </w:pPr>
    </w:p>
    <w:p w14:paraId="77A8B494" w14:textId="77777777" w:rsidR="0010156D" w:rsidRPr="00E2397D" w:rsidRDefault="0010156D" w:rsidP="0010156D">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4"/>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w:t>
      </w:r>
      <w:r w:rsidRPr="00E2397D">
        <w:rPr>
          <w:rFonts w:ascii="Verdana" w:eastAsia="Times New Roman" w:hAnsi="Verdana" w:cs="Arial"/>
          <w:sz w:val="20"/>
          <w:szCs w:val="20"/>
          <w:lang w:val="es-MX" w:eastAsia="es-CO"/>
        </w:rPr>
        <w:lastRenderedPageBreak/>
        <w:t>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w:t>
      </w:r>
    </w:p>
    <w:p w14:paraId="1E247A4B" w14:textId="77777777" w:rsidR="0010156D" w:rsidRPr="00E2397D" w:rsidRDefault="0010156D" w:rsidP="0010156D">
      <w:pPr>
        <w:spacing w:after="0" w:line="276" w:lineRule="auto"/>
        <w:jc w:val="both"/>
        <w:rPr>
          <w:rFonts w:ascii="Verdana" w:eastAsia="Calibri" w:hAnsi="Verdana" w:cs="Arial"/>
          <w:bCs/>
          <w:lang w:val="es-ES_tradnl"/>
        </w:rPr>
      </w:pPr>
    </w:p>
    <w:p w14:paraId="787451B4" w14:textId="77777777" w:rsidR="0010156D" w:rsidRPr="00B3605D" w:rsidRDefault="0010156D" w:rsidP="0010156D">
      <w:pPr>
        <w:spacing w:after="120" w:line="276" w:lineRule="auto"/>
        <w:ind w:firstLine="709"/>
        <w:jc w:val="both"/>
        <w:rPr>
          <w:rFonts w:ascii="Verdana" w:eastAsia="Arial" w:hAnsi="Verdana" w:cs="Arial"/>
          <w:lang w:val="es-ES" w:eastAsia="es-ES" w:bidi="es-ES"/>
        </w:rPr>
      </w:pPr>
      <w:r w:rsidRPr="00B3605D">
        <w:rPr>
          <w:rFonts w:ascii="Verdana" w:eastAsia="Times New Roman" w:hAnsi="Verdana" w:cs="Arial"/>
          <w:lang w:val="es-MX" w:eastAsia="es-CO"/>
        </w:rPr>
        <w:t>De</w:t>
      </w:r>
      <w:r w:rsidRPr="00B3605D">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216F6B04" w14:textId="77777777" w:rsidR="0010156D" w:rsidRDefault="0010156D" w:rsidP="0010156D">
      <w:pPr>
        <w:spacing w:after="0" w:line="276" w:lineRule="auto"/>
        <w:ind w:firstLine="709"/>
        <w:jc w:val="both"/>
        <w:rPr>
          <w:rFonts w:ascii="Verdana" w:eastAsia="Arial" w:hAnsi="Verdana" w:cs="Arial"/>
          <w:lang w:val="es-ES" w:eastAsia="es-ES" w:bidi="es-ES"/>
        </w:rPr>
      </w:pPr>
      <w:r w:rsidRPr="00B3605D">
        <w:rPr>
          <w:rFonts w:ascii="Verdana" w:eastAsia="Calibri" w:hAnsi="Verdana" w:cs="Arial"/>
          <w:lang w:val="es-ES"/>
        </w:rPr>
        <w:t xml:space="preserve">Las restricciones consagradas en la mencionada Ley se dirigen a dos tipos de campañas electorales: </w:t>
      </w:r>
      <w:r w:rsidRPr="00B3605D">
        <w:rPr>
          <w:rFonts w:ascii="Verdana" w:eastAsia="Arial" w:hAnsi="Verdana" w:cs="Arial"/>
          <w:lang w:val="es-ES" w:eastAsia="es-ES" w:bidi="es-ES"/>
        </w:rPr>
        <w:t>las presidenciales y las demás que se adelanten para la elección de los demás cargos de elección popular, tanto a nivel nacional como territorial:</w:t>
      </w:r>
    </w:p>
    <w:p w14:paraId="4A693F69" w14:textId="77777777" w:rsidR="0010156D" w:rsidRDefault="0010156D" w:rsidP="0010156D">
      <w:pPr>
        <w:spacing w:after="0" w:line="276" w:lineRule="auto"/>
        <w:ind w:firstLine="709"/>
        <w:jc w:val="both"/>
        <w:rPr>
          <w:rFonts w:ascii="Verdana" w:eastAsia="Arial" w:hAnsi="Verdana" w:cs="Arial"/>
          <w:lang w:val="es-ES" w:eastAsia="es-ES" w:bidi="es-ES"/>
        </w:rPr>
      </w:pPr>
    </w:p>
    <w:p w14:paraId="42B27982" w14:textId="77777777" w:rsidR="0010156D" w:rsidRPr="00A545DE" w:rsidRDefault="0010156D" w:rsidP="0010156D">
      <w:pPr>
        <w:pStyle w:val="Prrafodelista"/>
        <w:numPr>
          <w:ilvl w:val="0"/>
          <w:numId w:val="18"/>
        </w:numPr>
        <w:spacing w:after="0" w:line="276" w:lineRule="auto"/>
        <w:jc w:val="both"/>
        <w:rPr>
          <w:rFonts w:ascii="Verdana" w:eastAsia="Arial" w:hAnsi="Verdana" w:cs="Arial"/>
          <w:lang w:eastAsia="es-ES" w:bidi="es-ES"/>
        </w:rPr>
      </w:pPr>
      <w:r>
        <w:rPr>
          <w:rFonts w:ascii="Verdana" w:eastAsia="Arial" w:hAnsi="Verdana" w:cs="Arial"/>
          <w:lang w:eastAsia="es-ES" w:bidi="es-ES"/>
        </w:rPr>
        <w:t>Restricción a la contratación directa</w:t>
      </w:r>
    </w:p>
    <w:p w14:paraId="53EC4C50" w14:textId="77777777" w:rsidR="0010156D" w:rsidRPr="00A545DE" w:rsidRDefault="0010156D" w:rsidP="0010156D">
      <w:pPr>
        <w:pStyle w:val="Prrafodelista"/>
        <w:spacing w:after="0" w:line="276" w:lineRule="auto"/>
        <w:ind w:left="1080"/>
        <w:jc w:val="both"/>
        <w:rPr>
          <w:rFonts w:ascii="Verdana" w:eastAsia="Arial" w:hAnsi="Verdana" w:cs="Arial"/>
          <w:lang w:eastAsia="es-ES" w:bidi="es-ES"/>
        </w:rPr>
      </w:pPr>
    </w:p>
    <w:p w14:paraId="2B387BF8" w14:textId="77777777" w:rsidR="0010156D" w:rsidRPr="00FC54ED" w:rsidRDefault="0010156D" w:rsidP="0010156D">
      <w:pPr>
        <w:spacing w:after="0" w:line="240" w:lineRule="auto"/>
        <w:ind w:left="708" w:right="703"/>
        <w:jc w:val="both"/>
        <w:rPr>
          <w:rFonts w:ascii="Verdana" w:eastAsia="Times New Roman" w:hAnsi="Verdana" w:cs="Open Sans"/>
          <w:sz w:val="20"/>
          <w:szCs w:val="20"/>
          <w:lang w:eastAsia="es-CO"/>
        </w:rPr>
      </w:pPr>
      <w:bookmarkStart w:id="1" w:name="33"/>
      <w:r>
        <w:rPr>
          <w:rFonts w:ascii="Verdana" w:eastAsia="Times New Roman" w:hAnsi="Verdana" w:cs="Open Sans"/>
          <w:b/>
          <w:bCs/>
          <w:sz w:val="20"/>
          <w:szCs w:val="20"/>
          <w:lang w:eastAsia="es-CO"/>
        </w:rPr>
        <w:t>“</w:t>
      </w:r>
      <w:r w:rsidRPr="00FC54ED">
        <w:rPr>
          <w:rFonts w:ascii="Verdana" w:eastAsia="Times New Roman" w:hAnsi="Verdana" w:cs="Open Sans"/>
          <w:b/>
          <w:bCs/>
          <w:sz w:val="20"/>
          <w:szCs w:val="20"/>
          <w:lang w:eastAsia="es-CO"/>
        </w:rPr>
        <w:t>ARTÍCULO 33. RESTRICCIONES A LA CONTRATACIÓN PÚBLICA.</w:t>
      </w:r>
      <w:bookmarkEnd w:id="1"/>
      <w:r w:rsidRPr="00FC54ED">
        <w:rPr>
          <w:rFonts w:ascii="Verdana" w:eastAsia="Times New Roman" w:hAnsi="Verdana" w:cs="Open Sans"/>
          <w:sz w:val="20"/>
          <w:szCs w:val="20"/>
          <w:lang w:eastAsia="es-CO"/>
        </w:rPr>
        <w:t>  Durante los cuatro (4) meses anteriores a la elección presidencial y hasta la realización de la elección en la segunda vuelta, si fuere el caso, queda prohibida la contratación directa por parte de todos los entes del Estado.</w:t>
      </w:r>
    </w:p>
    <w:p w14:paraId="30F8A9F1" w14:textId="77777777" w:rsidR="0010156D" w:rsidRPr="00FC54ED" w:rsidRDefault="0010156D" w:rsidP="0010156D">
      <w:pPr>
        <w:spacing w:after="0" w:line="240" w:lineRule="auto"/>
        <w:ind w:left="708" w:right="703"/>
        <w:jc w:val="both"/>
        <w:rPr>
          <w:rFonts w:ascii="Verdana" w:eastAsia="Times New Roman" w:hAnsi="Verdana" w:cs="Open Sans"/>
          <w:sz w:val="20"/>
          <w:szCs w:val="20"/>
          <w:lang w:eastAsia="es-CO"/>
        </w:rPr>
      </w:pPr>
    </w:p>
    <w:p w14:paraId="4E9C5C04" w14:textId="77777777" w:rsidR="0010156D" w:rsidRPr="00B3605D" w:rsidRDefault="0010156D" w:rsidP="0010156D">
      <w:pPr>
        <w:spacing w:after="0" w:line="240" w:lineRule="auto"/>
        <w:ind w:left="708" w:right="703"/>
        <w:jc w:val="both"/>
        <w:rPr>
          <w:rFonts w:ascii="Verdana" w:eastAsia="Times New Roman" w:hAnsi="Verdana" w:cs="Open Sans"/>
          <w:sz w:val="20"/>
          <w:szCs w:val="20"/>
          <w:lang w:eastAsia="es-CO"/>
        </w:rPr>
      </w:pPr>
      <w:r w:rsidRPr="00FC54ED">
        <w:rPr>
          <w:rFonts w:ascii="Verdana" w:eastAsia="Times New Roman" w:hAnsi="Verdana" w:cs="Open Sans"/>
          <w:sz w:val="20"/>
          <w:szCs w:val="20"/>
          <w:lang w:eastAsia="es-CO"/>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Times New Roman" w:hAnsi="Verdana" w:cs="Open Sans"/>
          <w:sz w:val="20"/>
          <w:szCs w:val="20"/>
          <w:lang w:eastAsia="es-CO"/>
        </w:rPr>
        <w:t>”</w:t>
      </w:r>
      <w:r w:rsidRPr="00FC54ED">
        <w:rPr>
          <w:rFonts w:ascii="Verdana" w:eastAsia="Times New Roman" w:hAnsi="Verdana" w:cs="Open Sans"/>
          <w:sz w:val="20"/>
          <w:szCs w:val="20"/>
          <w:lang w:eastAsia="es-CO"/>
        </w:rPr>
        <w:t>.</w:t>
      </w:r>
    </w:p>
    <w:p w14:paraId="5F82DAA5" w14:textId="77777777" w:rsidR="0010156D" w:rsidRDefault="0010156D" w:rsidP="0010156D">
      <w:pPr>
        <w:spacing w:after="0" w:line="276" w:lineRule="auto"/>
        <w:ind w:right="618" w:firstLine="708"/>
        <w:jc w:val="both"/>
        <w:rPr>
          <w:rFonts w:ascii="Verdana" w:eastAsia="Times New Roman" w:hAnsi="Verdana" w:cs="Open Sans"/>
          <w:lang w:eastAsia="es-CO"/>
        </w:rPr>
      </w:pPr>
    </w:p>
    <w:p w14:paraId="3A0AD9F0" w14:textId="77777777" w:rsidR="0010156D" w:rsidRDefault="0010156D" w:rsidP="0010156D">
      <w:pPr>
        <w:spacing w:after="120" w:line="276" w:lineRule="auto"/>
        <w:ind w:firstLine="708"/>
        <w:jc w:val="both"/>
        <w:rPr>
          <w:rFonts w:ascii="Verdana" w:hAnsi="Verdana"/>
        </w:rPr>
      </w:pPr>
      <w:r w:rsidRPr="00B3605D">
        <w:rPr>
          <w:rFonts w:ascii="Verdana" w:eastAsia="Times New Roman" w:hAnsi="Verdana" w:cs="Open Sans"/>
          <w:lang w:eastAsia="es-CO"/>
        </w:rPr>
        <w:t xml:space="preserve">Como se puede observar, el artículo 33 de la Ley 996 de 2205 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Así, su ámbito de prohibición está delimitado por la expresión “</w:t>
      </w:r>
      <w:r w:rsidRPr="006A640E">
        <w:rPr>
          <w:rFonts w:ascii="Verdana" w:eastAsia="Times New Roman" w:hAnsi="Verdana" w:cs="Open Sans"/>
          <w:lang w:eastAsia="es-CO"/>
        </w:rPr>
        <w:t>queda prohibida la contratación directa</w:t>
      </w:r>
      <w:r>
        <w:rPr>
          <w:rFonts w:ascii="Verdana" w:eastAsia="Times New Roman" w:hAnsi="Verdana" w:cs="Open Sans"/>
          <w:lang w:eastAsia="es-CO"/>
        </w:rPr>
        <w:t xml:space="preserve">” y </w:t>
      </w:r>
      <w:r w:rsidRPr="006A640E">
        <w:rPr>
          <w:rFonts w:ascii="Verdana" w:eastAsia="Times New Roman" w:hAnsi="Verdana" w:cs="Open Sans"/>
          <w:lang w:eastAsia="es-CO"/>
        </w:rPr>
        <w:t>para los efectos de la Ley de 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Pr>
          <w:rFonts w:ascii="Verdana" w:eastAsia="Times New Roman" w:hAnsi="Verdana" w:cs="Open Sans"/>
          <w:lang w:eastAsia="es-CO"/>
        </w:rPr>
        <w:t>“</w:t>
      </w:r>
      <w:r w:rsidRPr="006A640E">
        <w:rPr>
          <w:rFonts w:ascii="Verdana" w:eastAsia="Times New Roman" w:hAnsi="Verdana" w:cs="Open Sans"/>
          <w:lang w:eastAsia="es-CO"/>
        </w:rPr>
        <w:t>contratación directa</w:t>
      </w:r>
      <w:r>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de contratación utilizado por las entidades estatales </w:t>
      </w:r>
      <w:r w:rsidRPr="006A640E">
        <w:rPr>
          <w:rFonts w:ascii="Verdana" w:eastAsia="Times New Roman" w:hAnsi="Verdana" w:cs="Open Sans"/>
          <w:lang w:eastAsia="es-CO"/>
        </w:rPr>
        <w:lastRenderedPageBreak/>
        <w:t>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Style w:val="Refdenotaalpie"/>
          <w:rFonts w:ascii="Verdana" w:eastAsia="Times New Roman" w:hAnsi="Verdana" w:cs="Open Sans"/>
          <w:lang w:eastAsia="es-CO"/>
        </w:rPr>
        <w:footnoteReference w:id="7"/>
      </w:r>
      <w:r>
        <w:rPr>
          <w:rFonts w:ascii="Verdana" w:eastAsia="Times New Roman" w:hAnsi="Verdana" w:cs="Open Sans"/>
          <w:lang w:eastAsia="es-CO"/>
        </w:rPr>
        <w:t>; por s</w:t>
      </w:r>
      <w:r w:rsidRPr="00D44FF2">
        <w:rPr>
          <w:rFonts w:ascii="Verdana" w:eastAsia="Times New Roman" w:hAnsi="Verdana" w:cs="Open Sans"/>
          <w:lang w:eastAsia="es-CO"/>
        </w:rPr>
        <w:t xml:space="preserve">u parte, </w:t>
      </w:r>
      <w:r w:rsidRPr="00D44FF2">
        <w:rPr>
          <w:rFonts w:ascii="Verdana" w:hAnsi="Verdana"/>
        </w:rPr>
        <w:t xml:space="preserve">los destinatarios de la prohibición están expresamente señalados como </w:t>
      </w:r>
      <w:r>
        <w:rPr>
          <w:rFonts w:ascii="Verdana" w:hAnsi="Verdana"/>
        </w:rPr>
        <w:t>“</w:t>
      </w:r>
      <w:r w:rsidRPr="00D44FF2">
        <w:rPr>
          <w:rFonts w:ascii="Verdana" w:hAnsi="Verdana"/>
        </w:rPr>
        <w:t>todos los entes del Estado</w:t>
      </w:r>
      <w:r>
        <w:rPr>
          <w:rFonts w:ascii="Verdana" w:hAnsi="Verdana"/>
        </w:rPr>
        <w:t>”</w:t>
      </w:r>
      <w:r w:rsidRPr="00D44FF2">
        <w:rPr>
          <w:rFonts w:ascii="Verdana" w:hAnsi="Verdana"/>
        </w:rPr>
        <w:t xml:space="preserve">, expresión que contempla a los diferentes organismos o entidades autorizadas por la ley para suscribir contratos. En efecto, tal como lo ha sostenido el Consejo de Estado, el vocablo </w:t>
      </w:r>
      <w:r>
        <w:rPr>
          <w:rFonts w:ascii="Verdana" w:hAnsi="Verdana"/>
        </w:rPr>
        <w:t>“</w:t>
      </w:r>
      <w:r w:rsidRPr="00D44FF2">
        <w:rPr>
          <w:rFonts w:ascii="Verdana" w:hAnsi="Verdana"/>
        </w:rPr>
        <w:t>todos</w:t>
      </w:r>
      <w:r>
        <w:rPr>
          <w:rFonts w:ascii="Verdana" w:hAnsi="Verdana"/>
        </w:rPr>
        <w:t>”</w:t>
      </w:r>
      <w:r w:rsidRPr="00D44FF2">
        <w:rPr>
          <w:rFonts w:ascii="Verdana" w:hAnsi="Verdana"/>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3483C37F" w14:textId="32D4139F" w:rsidR="0010156D" w:rsidRDefault="0010156D" w:rsidP="0010156D">
      <w:pPr>
        <w:spacing w:after="120" w:line="276" w:lineRule="auto"/>
        <w:ind w:firstLine="708"/>
        <w:jc w:val="both"/>
        <w:rPr>
          <w:rFonts w:ascii="Verdana" w:eastAsia="Times New Roman" w:hAnsi="Verdana" w:cs="Open Sans"/>
          <w:lang w:eastAsia="es-CO"/>
        </w:rPr>
      </w:pPr>
      <w:r w:rsidRPr="00A545DE">
        <w:rPr>
          <w:rFonts w:ascii="Verdana" w:eastAsia="Times New Roman" w:hAnsi="Verdana" w:cs="Open Sans"/>
          <w:lang w:eastAsia="es-CO"/>
        </w:rPr>
        <w:t>De lo anterior se desprende que la restricción aplica, sin perjuicio de las excepciones establecidas en la misma ley, para celebrar cualquier contrato de</w:t>
      </w:r>
      <w:r w:rsidRPr="006A640E">
        <w:rPr>
          <w:rFonts w:ascii="Verdana" w:eastAsia="Times New Roman" w:hAnsi="Verdana" w:cs="Open Sans"/>
          <w:lang w:eastAsia="es-CO"/>
        </w:rPr>
        <w:t xml:space="preserve"> forma</w:t>
      </w:r>
      <w:r>
        <w:rPr>
          <w:rFonts w:ascii="Verdana" w:eastAsia="Times New Roman" w:hAnsi="Verdana" w:cs="Open Sans"/>
          <w:lang w:eastAsia="es-CO"/>
        </w:rPr>
        <w:t xml:space="preserve"> </w:t>
      </w:r>
      <w:r w:rsidRPr="006A640E">
        <w:rPr>
          <w:rFonts w:ascii="Verdana" w:eastAsia="Times New Roman" w:hAnsi="Verdana" w:cs="Open Sans"/>
          <w:lang w:eastAsia="es-CO"/>
        </w:rPr>
        <w:t>directa</w:t>
      </w:r>
      <w:r>
        <w:rPr>
          <w:rFonts w:ascii="Verdana" w:eastAsia="Times New Roman" w:hAnsi="Verdana" w:cs="Open Sans"/>
          <w:lang w:eastAsia="es-CO"/>
        </w:rPr>
        <w:t xml:space="preserve">, esto es, </w:t>
      </w:r>
      <w:r w:rsidRPr="006A640E">
        <w:rPr>
          <w:rFonts w:ascii="Verdana" w:eastAsia="Times New Roman" w:hAnsi="Verdana" w:cs="Open Sans"/>
          <w:lang w:eastAsia="es-CO"/>
        </w:rPr>
        <w:t>sin que exista un proceso abierto y competitivo. Por tanto, no son</w:t>
      </w:r>
      <w:r>
        <w:rPr>
          <w:rFonts w:ascii="Verdana" w:eastAsia="Times New Roman" w:hAnsi="Verdana" w:cs="Open Sans"/>
          <w:lang w:eastAsia="es-CO"/>
        </w:rPr>
        <w:t xml:space="preserve"> </w:t>
      </w:r>
      <w:r w:rsidRPr="006A640E">
        <w:rPr>
          <w:rFonts w:ascii="Verdana" w:eastAsia="Times New Roman" w:hAnsi="Verdana" w:cs="Open Sans"/>
          <w:lang w:eastAsia="es-CO"/>
        </w:rPr>
        <w:t>materia de la prohibición las demás modalidades de selección previstas en la Ley</w:t>
      </w:r>
      <w:r>
        <w:rPr>
          <w:rFonts w:ascii="Verdana" w:eastAsia="Times New Roman" w:hAnsi="Verdana" w:cs="Open Sans"/>
          <w:lang w:eastAsia="es-CO"/>
        </w:rPr>
        <w:t xml:space="preserve"> </w:t>
      </w:r>
      <w:r w:rsidRPr="006A640E">
        <w:rPr>
          <w:rFonts w:ascii="Verdana" w:eastAsia="Times New Roman" w:hAnsi="Verdana" w:cs="Open Sans"/>
          <w:lang w:eastAsia="es-CO"/>
        </w:rPr>
        <w:t>1150 de 2007, es decir, la licitación pública, el concurso de méritos, la selección</w:t>
      </w:r>
      <w:r>
        <w:rPr>
          <w:rFonts w:ascii="Verdana" w:eastAsia="Times New Roman" w:hAnsi="Verdana" w:cs="Open Sans"/>
          <w:lang w:eastAsia="es-CO"/>
        </w:rPr>
        <w:t xml:space="preserve"> </w:t>
      </w:r>
      <w:r w:rsidRPr="006A640E">
        <w:rPr>
          <w:rFonts w:ascii="Verdana" w:eastAsia="Times New Roman" w:hAnsi="Verdana" w:cs="Open Sans"/>
          <w:lang w:eastAsia="es-CO"/>
        </w:rPr>
        <w:t>abreviada y la contratación de mínima cuantía, razón por la cual en el período</w:t>
      </w:r>
      <w:r>
        <w:rPr>
          <w:rFonts w:ascii="Verdana" w:eastAsia="Times New Roman" w:hAnsi="Verdana" w:cs="Open Sans"/>
          <w:lang w:eastAsia="es-CO"/>
        </w:rPr>
        <w:t xml:space="preserve"> </w:t>
      </w:r>
      <w:r w:rsidRPr="006A640E">
        <w:rPr>
          <w:rFonts w:ascii="Verdana" w:eastAsia="Times New Roman" w:hAnsi="Verdana" w:cs="Open Sans"/>
          <w:lang w:eastAsia="es-CO"/>
        </w:rPr>
        <w:t>preelectoral de que trata la disposición las entidades públicas pueden seguir</w:t>
      </w:r>
      <w:r>
        <w:rPr>
          <w:rFonts w:ascii="Verdana" w:eastAsia="Times New Roman" w:hAnsi="Verdana" w:cs="Open Sans"/>
          <w:lang w:eastAsia="es-CO"/>
        </w:rPr>
        <w:t xml:space="preserve"> </w:t>
      </w:r>
      <w:r w:rsidRPr="006A640E">
        <w:rPr>
          <w:rFonts w:ascii="Verdana" w:eastAsia="Times New Roman" w:hAnsi="Verdana" w:cs="Open Sans"/>
          <w:lang w:eastAsia="es-CO"/>
        </w:rPr>
        <w:t>contratando bajo estos sistemas.</w:t>
      </w:r>
    </w:p>
    <w:p w14:paraId="3DEF9F0D" w14:textId="77777777" w:rsidR="0010156D" w:rsidRDefault="0010156D" w:rsidP="0010156D">
      <w:pPr>
        <w:spacing w:after="0" w:line="276" w:lineRule="auto"/>
        <w:ind w:firstLine="708"/>
        <w:jc w:val="both"/>
        <w:rPr>
          <w:rFonts w:ascii="Verdana" w:hAnsi="Verdana"/>
        </w:rPr>
      </w:pPr>
      <w:r w:rsidRPr="006A640E">
        <w:rPr>
          <w:rFonts w:ascii="Verdana" w:hAnsi="Verdana"/>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6A640E">
        <w:rPr>
          <w:rFonts w:ascii="Verdana" w:hAnsi="Verdana"/>
        </w:rPr>
        <w:t>ii</w:t>
      </w:r>
      <w:proofErr w:type="spellEnd"/>
      <w:r w:rsidRPr="006A640E">
        <w:rPr>
          <w:rFonts w:ascii="Verdana" w:hAnsi="Verdana"/>
        </w:rPr>
        <w:t xml:space="preserve">) los contratos de crédito público; </w:t>
      </w:r>
      <w:proofErr w:type="spellStart"/>
      <w:r w:rsidRPr="006A640E">
        <w:rPr>
          <w:rFonts w:ascii="Verdana" w:hAnsi="Verdana"/>
        </w:rPr>
        <w:t>iii</w:t>
      </w:r>
      <w:proofErr w:type="spellEnd"/>
      <w:r w:rsidRPr="006A640E">
        <w:rPr>
          <w:rFonts w:ascii="Verdana" w:hAnsi="Verdana"/>
        </w:rPr>
        <w:t xml:space="preserve">) los requeridos para cubrir las emergencias educativas, sanitarias y desastres; </w:t>
      </w:r>
      <w:proofErr w:type="spellStart"/>
      <w:r w:rsidRPr="006A640E">
        <w:rPr>
          <w:rFonts w:ascii="Verdana" w:hAnsi="Verdana"/>
        </w:rPr>
        <w:t>iv</w:t>
      </w:r>
      <w:proofErr w:type="spellEnd"/>
      <w:r w:rsidRPr="006A640E">
        <w:rPr>
          <w:rFonts w:ascii="Verdana" w:hAnsi="Verdana"/>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CB58D3E" w14:textId="77777777" w:rsidR="0010156D" w:rsidRDefault="0010156D" w:rsidP="0010156D">
      <w:pPr>
        <w:spacing w:after="0" w:line="276" w:lineRule="auto"/>
        <w:ind w:firstLine="708"/>
        <w:jc w:val="both"/>
        <w:rPr>
          <w:rFonts w:ascii="Verdana" w:hAnsi="Verdana"/>
        </w:rPr>
      </w:pPr>
    </w:p>
    <w:p w14:paraId="4BF83CFE" w14:textId="77777777" w:rsidR="0010156D" w:rsidRPr="00A545DE" w:rsidRDefault="0010156D" w:rsidP="0010156D">
      <w:pPr>
        <w:pStyle w:val="Prrafodelista"/>
        <w:numPr>
          <w:ilvl w:val="0"/>
          <w:numId w:val="18"/>
        </w:numPr>
        <w:spacing w:after="0" w:line="276" w:lineRule="auto"/>
        <w:contextualSpacing w:val="0"/>
        <w:jc w:val="both"/>
        <w:rPr>
          <w:rFonts w:ascii="Verdana" w:eastAsia="Times New Roman" w:hAnsi="Verdana" w:cs="Open Sans"/>
          <w:lang w:eastAsia="es-CO"/>
        </w:rPr>
      </w:pPr>
      <w:r>
        <w:rPr>
          <w:rFonts w:ascii="Verdana" w:eastAsia="Times New Roman" w:hAnsi="Verdana" w:cs="Open Sans"/>
          <w:lang w:eastAsia="es-CO"/>
        </w:rPr>
        <w:t>Restricción a Convenios interadministrativos:</w:t>
      </w:r>
    </w:p>
    <w:p w14:paraId="0D48C254" w14:textId="77777777" w:rsidR="0010156D" w:rsidRDefault="0010156D" w:rsidP="0010156D">
      <w:pPr>
        <w:spacing w:after="0" w:line="270" w:lineRule="atLeast"/>
        <w:jc w:val="both"/>
        <w:rPr>
          <w:rFonts w:ascii="Verdana" w:eastAsia="Times New Roman" w:hAnsi="Verdana" w:cs="Open Sans"/>
          <w:lang w:eastAsia="es-CO"/>
        </w:rPr>
      </w:pPr>
    </w:p>
    <w:p w14:paraId="3B53D321" w14:textId="77777777" w:rsidR="0010156D" w:rsidRPr="00D61E29" w:rsidRDefault="0010156D" w:rsidP="0010156D">
      <w:pPr>
        <w:spacing w:after="0" w:line="270" w:lineRule="atLeast"/>
        <w:jc w:val="both"/>
        <w:rPr>
          <w:rFonts w:ascii="Verdana" w:eastAsia="Times New Roman" w:hAnsi="Verdana" w:cs="Open Sans"/>
          <w:lang w:eastAsia="es-CO"/>
        </w:rPr>
      </w:pPr>
      <w:r w:rsidRPr="00D61E29">
        <w:rPr>
          <w:rFonts w:ascii="Verdana" w:eastAsia="Times New Roman" w:hAnsi="Verdana" w:cs="Open Sans"/>
          <w:lang w:eastAsia="es-CO"/>
        </w:rPr>
        <w:t xml:space="preserve">Adicionalmente, el parágrafo del artículo 38 </w:t>
      </w:r>
      <w:r w:rsidRPr="00D61E29">
        <w:rPr>
          <w:rFonts w:ascii="Verdana" w:eastAsia="Calibri" w:hAnsi="Verdana" w:cs="Arial"/>
        </w:rPr>
        <w:t>prevé una restricción, aplicable respecto de cualquier tipo de contienda electoral, como sigue:</w:t>
      </w:r>
    </w:p>
    <w:p w14:paraId="19D75ED3" w14:textId="77777777" w:rsidR="0010156D" w:rsidRDefault="0010156D" w:rsidP="0010156D">
      <w:pPr>
        <w:pStyle w:val="NormalWeb"/>
        <w:spacing w:before="0" w:beforeAutospacing="0" w:after="0" w:afterAutospacing="0" w:line="270" w:lineRule="atLeast"/>
        <w:ind w:left="709" w:right="616"/>
        <w:jc w:val="both"/>
        <w:rPr>
          <w:rStyle w:val="baj"/>
          <w:rFonts w:ascii="Verdana" w:hAnsi="Verdana" w:cs="Open Sans"/>
          <w:b/>
          <w:bCs/>
          <w:sz w:val="20"/>
          <w:szCs w:val="20"/>
        </w:rPr>
      </w:pPr>
    </w:p>
    <w:p w14:paraId="765D8337" w14:textId="77777777" w:rsidR="0010156D" w:rsidRPr="00D61E29" w:rsidRDefault="0010156D" w:rsidP="0010156D">
      <w:pPr>
        <w:pStyle w:val="NormalWeb"/>
        <w:spacing w:before="0" w:beforeAutospacing="0" w:after="0" w:afterAutospacing="0"/>
        <w:ind w:left="709" w:right="709"/>
        <w:jc w:val="both"/>
        <w:rPr>
          <w:rFonts w:ascii="Verdana" w:hAnsi="Verdana" w:cs="Open Sans"/>
          <w:sz w:val="20"/>
          <w:szCs w:val="20"/>
        </w:rPr>
      </w:pPr>
      <w:r>
        <w:rPr>
          <w:rStyle w:val="baj"/>
          <w:rFonts w:ascii="Verdana" w:hAnsi="Verdana" w:cs="Open Sans"/>
          <w:b/>
          <w:bCs/>
          <w:sz w:val="20"/>
          <w:szCs w:val="20"/>
        </w:rPr>
        <w:t>“</w:t>
      </w:r>
      <w:r w:rsidRPr="00D61E29">
        <w:rPr>
          <w:rStyle w:val="baj"/>
          <w:rFonts w:ascii="Verdana" w:hAnsi="Verdana" w:cs="Open Sans"/>
          <w:b/>
          <w:bCs/>
          <w:sz w:val="20"/>
          <w:szCs w:val="20"/>
        </w:rPr>
        <w:t>PARÁGRAFO.</w:t>
      </w:r>
      <w:r w:rsidRPr="00D61E29">
        <w:rPr>
          <w:rFonts w:ascii="Verdana" w:hAnsi="Verdana" w:cs="Open Sans"/>
          <w:sz w:val="20"/>
          <w:szCs w:val="20"/>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7C7FC884" w14:textId="77777777" w:rsidR="0010156D" w:rsidRPr="00D61E29" w:rsidRDefault="0010156D" w:rsidP="0010156D">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 xml:space="preserve">Tampoco podrán inaugurar obras públicas o </w:t>
      </w:r>
      <w:proofErr w:type="gramStart"/>
      <w:r w:rsidRPr="00D61E29">
        <w:rPr>
          <w:rFonts w:ascii="Verdana" w:hAnsi="Verdana" w:cs="Open Sans"/>
          <w:sz w:val="20"/>
          <w:szCs w:val="20"/>
        </w:rPr>
        <w:t>dar inicio a</w:t>
      </w:r>
      <w:proofErr w:type="gramEnd"/>
      <w:r w:rsidRPr="00D61E29">
        <w:rPr>
          <w:rFonts w:ascii="Verdana" w:hAnsi="Verdana" w:cs="Open Sans"/>
          <w:sz w:val="20"/>
          <w:szCs w:val="20"/>
        </w:rPr>
        <w:t xml:space="preserve"> programas de carácter social en reuniones o eventos en los que participen candidatos a la Presidencia y Vicepresidencia de la República, el Congreso de la República, gobernaciones departamentales, asambleas departamentales, alcaldías y concejos municipales o distritales. Tampoco podrán hacerlo cuando participen voceros de los candidatos.</w:t>
      </w:r>
    </w:p>
    <w:p w14:paraId="4D3C73C0" w14:textId="77777777" w:rsidR="0010156D" w:rsidRPr="00D61E29" w:rsidRDefault="0010156D" w:rsidP="0010156D">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No podrán autorizar la utilización de inmuebles o bienes muebles de carácter público para actividades proselitistas, ni para facilitar el alojamiento, ni el transporte de electores de candidatos a cargos de elección popular. Tampoco podrán hacerlo cuando participen voceros de los candidatos.</w:t>
      </w:r>
    </w:p>
    <w:p w14:paraId="23317A13" w14:textId="77777777" w:rsidR="0010156D" w:rsidRPr="00D61E29" w:rsidRDefault="0010156D" w:rsidP="0010156D">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La nómina del respectivo ente territorial o entidad no se podrá modificar dentro de los cuatro (4) meses anteriores a las elecciones a cargos de elección popular, salvo que se trate de provisión de cargos por faltas definitivas, con ocasión de muerte o renuncia irrevocable del cargo correspondiente debidamente aceptada, y en los casos de aplicación de las normas de carrera administrativa.</w:t>
      </w:r>
    </w:p>
    <w:p w14:paraId="3C24DEE7" w14:textId="77777777" w:rsidR="0010156D" w:rsidRDefault="0010156D" w:rsidP="0010156D">
      <w:pPr>
        <w:widowControl w:val="0"/>
        <w:autoSpaceDE w:val="0"/>
        <w:autoSpaceDN w:val="0"/>
        <w:spacing w:after="0" w:line="276" w:lineRule="auto"/>
        <w:ind w:right="113"/>
        <w:contextualSpacing/>
        <w:jc w:val="both"/>
      </w:pPr>
    </w:p>
    <w:p w14:paraId="0ED373F6" w14:textId="7414E277" w:rsidR="0010156D" w:rsidRPr="00775AB1" w:rsidRDefault="0010156D" w:rsidP="0010156D">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proofErr w:type="spellStart"/>
      <w:r w:rsidRPr="00E2397D">
        <w:rPr>
          <w:rFonts w:ascii="Verdana" w:eastAsia="Times New Roman" w:hAnsi="Verdana" w:cs="Arial"/>
          <w:lang w:eastAsia="es-CO"/>
        </w:rPr>
        <w:t>e</w:t>
      </w:r>
      <w:proofErr w:type="spellEnd"/>
      <w:r w:rsidRPr="00E2397D">
        <w:rPr>
          <w:rFonts w:ascii="Verdana" w:eastAsia="Times New Roman" w:hAnsi="Verdana" w:cs="Arial"/>
          <w:lang w:eastAsia="es-CO"/>
        </w:rPr>
        <w:t xml:space="preserve"> observa entonces </w:t>
      </w:r>
      <w:bookmarkStart w:id="2" w:name="_Hlk207205098"/>
      <w:r w:rsidRPr="00E2397D">
        <w:rPr>
          <w:rFonts w:ascii="Verdana" w:eastAsia="Times New Roman" w:hAnsi="Verdana" w:cs="Arial"/>
          <w:lang w:eastAsia="es-CO"/>
        </w:rPr>
        <w:t xml:space="preserve">que </w:t>
      </w:r>
      <w:r w:rsidRPr="00E2397D">
        <w:rPr>
          <w:rFonts w:ascii="Verdana" w:eastAsia="Times New Roman" w:hAnsi="Verdana" w:cs="Arial"/>
          <w:lang w:val="es-MX" w:eastAsia="es-CO"/>
        </w:rPr>
        <w:t xml:space="preserve">el parágrafo del artículo 38 de la Ley 996 de 2005 prohíbe a los </w:t>
      </w:r>
      <w:proofErr w:type="gramStart"/>
      <w:r w:rsidRPr="00E2397D">
        <w:rPr>
          <w:rFonts w:ascii="Verdana" w:eastAsia="Times New Roman" w:hAnsi="Verdana" w:cs="Arial"/>
          <w:lang w:val="es-MX" w:eastAsia="es-CO"/>
        </w:rPr>
        <w:t>Alcaldes</w:t>
      </w:r>
      <w:proofErr w:type="gramEnd"/>
      <w:r w:rsidRPr="00E2397D">
        <w:rPr>
          <w:rFonts w:ascii="Verdana" w:eastAsia="Times New Roman" w:hAnsi="Verdana" w:cs="Arial"/>
          <w:lang w:val="es-MX" w:eastAsia="es-CO"/>
        </w:rPr>
        <w:t xml:space="preserve">, Gobernadores, </w:t>
      </w:r>
      <w:proofErr w:type="gramStart"/>
      <w:r w:rsidRPr="00E2397D">
        <w:rPr>
          <w:rFonts w:ascii="Verdana" w:eastAsia="Times New Roman" w:hAnsi="Verdana" w:cs="Arial"/>
          <w:lang w:val="es-MX" w:eastAsia="es-CO"/>
        </w:rPr>
        <w:t>Secretarios</w:t>
      </w:r>
      <w:proofErr w:type="gramEnd"/>
      <w:r w:rsidRPr="00E2397D">
        <w:rPr>
          <w:rFonts w:ascii="Verdana" w:eastAsia="Times New Roman" w:hAnsi="Verdana" w:cs="Arial"/>
          <w:lang w:val="es-MX" w:eastAsia="es-CO"/>
        </w:rPr>
        <w:t xml:space="preserve">, Gerentes y </w:t>
      </w:r>
      <w:proofErr w:type="gramStart"/>
      <w:r w:rsidRPr="00E2397D">
        <w:rPr>
          <w:rFonts w:ascii="Verdana" w:eastAsia="Times New Roman" w:hAnsi="Verdana" w:cs="Arial"/>
          <w:lang w:val="es-MX" w:eastAsia="es-CO"/>
        </w:rPr>
        <w:t>Directores</w:t>
      </w:r>
      <w:proofErr w:type="gramEnd"/>
      <w:r w:rsidRPr="00E2397D">
        <w:rPr>
          <w:rFonts w:ascii="Verdana" w:eastAsia="Times New Roman" w:hAnsi="Verdana" w:cs="Arial"/>
          <w:lang w:val="es-MX" w:eastAsia="es-CO"/>
        </w:rPr>
        <w:t xml:space="preserve">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bookmarkEnd w:id="2"/>
    </w:p>
    <w:p w14:paraId="611451C6" w14:textId="77777777" w:rsidR="0010156D" w:rsidRPr="00D61E29" w:rsidRDefault="0010156D" w:rsidP="0010156D">
      <w:pPr>
        <w:widowControl w:val="0"/>
        <w:autoSpaceDE w:val="0"/>
        <w:autoSpaceDN w:val="0"/>
        <w:spacing w:after="0" w:line="276" w:lineRule="auto"/>
        <w:ind w:firstLine="708"/>
        <w:contextualSpacing/>
        <w:jc w:val="both"/>
        <w:rPr>
          <w:rFonts w:ascii="Verdana" w:eastAsia="Arial" w:hAnsi="Verdana" w:cs="Arial"/>
          <w:lang w:val="es-ES" w:eastAsia="es-ES" w:bidi="es-ES"/>
        </w:rPr>
      </w:pPr>
      <w:r w:rsidRPr="00D61E29">
        <w:rPr>
          <w:rFonts w:ascii="Verdana" w:eastAsia="Arial" w:hAnsi="Verdana" w:cs="Arial"/>
          <w:lang w:val="es-ES" w:eastAsia="es-ES" w:bidi="es-ES"/>
        </w:rPr>
        <w:t xml:space="preserve">La Sala de Consulta y Servicio Civil del Consejo de Estado ha aclarado la </w:t>
      </w:r>
      <w:r w:rsidRPr="00D61E29">
        <w:rPr>
          <w:rFonts w:ascii="Verdana" w:eastAsia="Arial" w:hAnsi="Verdana" w:cs="Arial"/>
          <w:lang w:val="es-ES" w:eastAsia="es-ES" w:bidi="es-ES"/>
        </w:rPr>
        <w:lastRenderedPageBreak/>
        <w:t>distinción en la aplicación de las prohibiciones de la Ley 996 de 2005, dependiendo del tipo de elección que se trate. Al respecto, considera:</w:t>
      </w:r>
    </w:p>
    <w:p w14:paraId="6391F59D" w14:textId="77777777" w:rsidR="0010156D" w:rsidRPr="00D61E29" w:rsidRDefault="0010156D" w:rsidP="0010156D">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71887C52" w14:textId="77777777" w:rsidR="0010156D" w:rsidRPr="00D61E29" w:rsidRDefault="0010156D" w:rsidP="0010156D">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D61E29">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D61E29">
        <w:rPr>
          <w:rFonts w:ascii="Verdana" w:eastAsia="Arial" w:hAnsi="Verdana" w:cs="Arial"/>
          <w:sz w:val="20"/>
          <w:szCs w:val="20"/>
          <w:lang w:eastAsia="es-ES" w:bidi="es-ES"/>
        </w:rPr>
        <w:t>Presidente</w:t>
      </w:r>
      <w:proofErr w:type="gramEnd"/>
      <w:r w:rsidRPr="00D61E29">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D61E29">
        <w:rPr>
          <w:rFonts w:ascii="Verdana" w:eastAsia="Arial" w:hAnsi="Verdana" w:cs="Arial"/>
          <w:sz w:val="20"/>
          <w:szCs w:val="20"/>
          <w:vertAlign w:val="superscript"/>
          <w:lang w:eastAsia="es-ES" w:bidi="es-ES"/>
        </w:rPr>
        <w:footnoteReference w:id="8"/>
      </w:r>
    </w:p>
    <w:p w14:paraId="1C165266" w14:textId="77777777" w:rsidR="0010156D" w:rsidRPr="00D61E29" w:rsidRDefault="0010156D" w:rsidP="0010156D">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6E1CB9B7" w14:textId="77777777" w:rsidR="0010156D" w:rsidRPr="00B3605D" w:rsidRDefault="0010156D" w:rsidP="0010156D">
      <w:pPr>
        <w:tabs>
          <w:tab w:val="left" w:pos="8080"/>
        </w:tabs>
        <w:spacing w:after="0" w:line="276" w:lineRule="auto"/>
        <w:ind w:firstLine="709"/>
        <w:jc w:val="both"/>
        <w:rPr>
          <w:rFonts w:ascii="Verdana" w:hAnsi="Verdana"/>
        </w:rPr>
      </w:pPr>
      <w:r>
        <w:rPr>
          <w:rFonts w:ascii="Verdana" w:eastAsia="Times New Roman" w:hAnsi="Verdana" w:cs="Arial"/>
          <w:lang w:val="es-ES" w:eastAsia="es-ES_tradnl"/>
        </w:rPr>
        <w:t xml:space="preserve">Adicionalmente, en relación con las modificaciones contractuales </w:t>
      </w:r>
      <w:r w:rsidRPr="00B3605D">
        <w:rPr>
          <w:rFonts w:ascii="Verdana" w:eastAsia="Times New Roman" w:hAnsi="Verdana" w:cs="Open Sans"/>
          <w:lang w:eastAsia="es-CO"/>
        </w:rPr>
        <w:t>se resalta el numeral 16.5 de la Circular Externa Única</w:t>
      </w:r>
      <w:r w:rsidRPr="00B3605D">
        <w:rPr>
          <w:rStyle w:val="Refdenotaalpie"/>
          <w:rFonts w:ascii="Verdana" w:eastAsia="Times New Roman" w:hAnsi="Verdana" w:cs="Open Sans"/>
          <w:lang w:eastAsia="es-CO"/>
        </w:rPr>
        <w:footnoteReference w:id="9"/>
      </w:r>
      <w:r w:rsidRPr="00B3605D">
        <w:rPr>
          <w:rFonts w:ascii="Verdana" w:eastAsia="Times New Roman" w:hAnsi="Verdana" w:cs="Open Sans"/>
          <w:lang w:eastAsia="es-CO"/>
        </w:rPr>
        <w:t xml:space="preserve"> de la </w:t>
      </w:r>
      <w:r w:rsidRPr="00B3605D">
        <w:rPr>
          <w:rFonts w:ascii="Verdana" w:hAnsi="Verdana"/>
        </w:rPr>
        <w:t>Agencia Nacional de Contratación Pública -Colombia Compra Eficiente, como sigue:</w:t>
      </w:r>
    </w:p>
    <w:p w14:paraId="5F0DA38E" w14:textId="77777777" w:rsidR="0010156D" w:rsidRPr="00C05384" w:rsidRDefault="0010156D" w:rsidP="0010156D">
      <w:pPr>
        <w:spacing w:after="0" w:line="276" w:lineRule="auto"/>
        <w:ind w:left="708" w:right="616"/>
        <w:jc w:val="both"/>
        <w:rPr>
          <w:rFonts w:ascii="Verdana" w:hAnsi="Verdana"/>
        </w:rPr>
      </w:pPr>
    </w:p>
    <w:p w14:paraId="29486504" w14:textId="77777777" w:rsidR="0010156D" w:rsidRPr="00B3605D" w:rsidRDefault="0010156D" w:rsidP="0010156D">
      <w:pPr>
        <w:spacing w:after="0" w:line="240" w:lineRule="auto"/>
        <w:ind w:left="709" w:right="709"/>
        <w:jc w:val="both"/>
        <w:rPr>
          <w:rFonts w:ascii="Verdana" w:hAnsi="Verdana"/>
          <w:sz w:val="20"/>
          <w:szCs w:val="20"/>
        </w:rPr>
      </w:pPr>
      <w:r w:rsidRPr="00B3605D">
        <w:rPr>
          <w:rFonts w:ascii="Verdana" w:hAnsi="Verdana"/>
          <w:sz w:val="20"/>
          <w:szCs w:val="20"/>
        </w:rPr>
        <w:t xml:space="preserve">La Ley de Garantías no establece restricciones para las prórrogas, modificaciones o adiciones, y la cesión de los contratos suscritos antes del periodo electoral, siempre que tales prórrogas, modificaciones, adiciones y cesiones cumplan los principios de planeación, transparencia y responsabilidad. </w:t>
      </w:r>
    </w:p>
    <w:p w14:paraId="5958098B" w14:textId="77777777" w:rsidR="0010156D" w:rsidRDefault="0010156D" w:rsidP="0010156D">
      <w:pPr>
        <w:spacing w:after="0" w:line="240" w:lineRule="auto"/>
        <w:ind w:left="709" w:right="709"/>
        <w:jc w:val="both"/>
        <w:rPr>
          <w:rFonts w:ascii="Verdana" w:hAnsi="Verdana"/>
          <w:sz w:val="20"/>
          <w:szCs w:val="20"/>
        </w:rPr>
      </w:pPr>
      <w:r w:rsidRPr="00B3605D">
        <w:rPr>
          <w:rFonts w:ascii="Verdana" w:hAnsi="Verdana"/>
          <w:sz w:val="20"/>
          <w:szCs w:val="20"/>
        </w:rPr>
        <w:t>En este sentido,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p w14:paraId="2172F117" w14:textId="77777777" w:rsidR="0010156D" w:rsidRPr="00FC54ED" w:rsidRDefault="0010156D" w:rsidP="0010156D">
      <w:pPr>
        <w:spacing w:after="0" w:line="240" w:lineRule="auto"/>
        <w:ind w:left="709" w:right="709"/>
        <w:jc w:val="both"/>
        <w:rPr>
          <w:rFonts w:ascii="Verdana" w:eastAsia="Times New Roman" w:hAnsi="Verdana" w:cs="Open Sans"/>
          <w:sz w:val="20"/>
          <w:szCs w:val="20"/>
          <w:lang w:eastAsia="es-CO"/>
        </w:rPr>
      </w:pPr>
    </w:p>
    <w:p w14:paraId="5197BFCB" w14:textId="77777777" w:rsidR="0010156D" w:rsidRDefault="0010156D" w:rsidP="0010156D">
      <w:pPr>
        <w:spacing w:after="120" w:line="276" w:lineRule="auto"/>
        <w:ind w:firstLine="708"/>
        <w:jc w:val="both"/>
        <w:rPr>
          <w:rFonts w:ascii="Verdana" w:eastAsia="Times New Roman" w:hAnsi="Verdana" w:cs="Arial"/>
          <w:bCs/>
          <w:lang w:val="es-MX" w:eastAsia="es-CO"/>
        </w:rPr>
      </w:pPr>
      <w:r w:rsidRPr="00B3605D">
        <w:rPr>
          <w:rFonts w:ascii="Verdana" w:eastAsia="Arial" w:hAnsi="Verdana" w:cs="Arial"/>
          <w:lang w:val="es-ES" w:eastAsia="es-ES" w:bidi="es-ES"/>
        </w:rPr>
        <w:t xml:space="preserve">En conclusión, </w:t>
      </w:r>
      <w:r w:rsidRPr="00B3605D">
        <w:rPr>
          <w:rFonts w:ascii="Verdana" w:eastAsia="Times New Roman" w:hAnsi="Verdana" w:cs="Arial"/>
          <w:bCs/>
          <w:lang w:val="es-MX" w:eastAsia="es-CO"/>
        </w:rPr>
        <w:t xml:space="preserve">como en otras oportunidades </w:t>
      </w:r>
      <w:r w:rsidRPr="00894384">
        <w:rPr>
          <w:rFonts w:ascii="Verdana" w:eastAsia="Times New Roman" w:hAnsi="Verdana" w:cs="Arial"/>
          <w:bCs/>
          <w:lang w:val="es-MX" w:eastAsia="es-CO"/>
        </w:rPr>
        <w:t xml:space="preserve">lo ha manifestado esta Agencia, las prórrogas, modificaciones o adiciones de los contratos suscritos antes de la entrada en vigencia de las prohibiciones anotadas, así como la cesión de los mismos, pueden tener lugar en el período de aplicación de la Ley de </w:t>
      </w:r>
      <w:r w:rsidRPr="00894384">
        <w:rPr>
          <w:rFonts w:ascii="Verdana" w:eastAsia="Times New Roman" w:hAnsi="Verdana" w:cs="Arial"/>
          <w:bCs/>
          <w:lang w:val="es-MX" w:eastAsia="es-CO"/>
        </w:rPr>
        <w:lastRenderedPageBreak/>
        <w:t>Garantías, sin que ello haga nugatoria la restricción de la contratación directa y siempre que cumplan</w:t>
      </w:r>
      <w:r>
        <w:rPr>
          <w:rFonts w:ascii="Verdana" w:eastAsia="Times New Roman" w:hAnsi="Verdana" w:cs="Arial"/>
          <w:bCs/>
          <w:lang w:val="es-MX" w:eastAsia="es-CO"/>
        </w:rPr>
        <w:t xml:space="preserve"> las disposiciones que rigen dichas actuaciones así como</w:t>
      </w:r>
      <w:r w:rsidRPr="00894384">
        <w:rPr>
          <w:rFonts w:ascii="Verdana" w:eastAsia="Times New Roman" w:hAnsi="Verdana" w:cs="Arial"/>
          <w:bCs/>
          <w:lang w:val="es-MX" w:eastAsia="es-CO"/>
        </w:rPr>
        <w:t xml:space="preserve"> los principios de planeación, transparencia y responsabilidad. </w:t>
      </w:r>
    </w:p>
    <w:p w14:paraId="45A5B0AD" w14:textId="77777777" w:rsidR="0010156D" w:rsidRPr="00947721" w:rsidRDefault="0010156D" w:rsidP="0010156D">
      <w:pPr>
        <w:autoSpaceDE w:val="0"/>
        <w:autoSpaceDN w:val="0"/>
        <w:adjustRightInd w:val="0"/>
        <w:spacing w:after="0" w:line="240" w:lineRule="auto"/>
        <w:ind w:firstLine="708"/>
        <w:jc w:val="both"/>
        <w:rPr>
          <w:rFonts w:ascii="Verdana" w:hAnsi="Verdana" w:cs="BCDHEE+Verdana"/>
          <w:color w:val="000000"/>
        </w:rPr>
      </w:pPr>
      <w:r w:rsidRPr="00947721">
        <w:rPr>
          <w:rFonts w:ascii="Verdana" w:hAnsi="Verdana" w:cs="BCDHEE+Verdana"/>
          <w:color w:val="000000"/>
        </w:rPr>
        <w:t xml:space="preserve">Finalmente, sobre las fechas en que aplica la Ley de garantías, se debe tener en cuenta que el Consejo Nacional Electoral mediante Resolución No. 2581 del 5 de marzo de 2025 fijó el calendario electoral para las elecciones al Congreso de la República que serán el 8 de marzo de 2026, en esa medida, de acuerdo con el artículo 38 de la Ley 996 de 2005, la restricción iniciaría el 8 de noviembre de 2025, es decir, 4 meses antes de la fecha de las elecciones, y las restricciones que se aplican son que prohíbe a los gobernadores, alcaldes municipales o distritales, secretarios, gerentes y directores de entidades descentralizadas del orden municipal, departamental o distrital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p>
    <w:p w14:paraId="0077C633" w14:textId="77777777" w:rsidR="0010156D" w:rsidRPr="005D7599" w:rsidRDefault="0010156D" w:rsidP="0010156D">
      <w:pPr>
        <w:spacing w:after="120" w:line="276" w:lineRule="auto"/>
        <w:ind w:firstLine="708"/>
        <w:jc w:val="both"/>
        <w:rPr>
          <w:rFonts w:ascii="Verdana" w:eastAsia="Times New Roman" w:hAnsi="Verdana" w:cs="Arial"/>
          <w:bCs/>
          <w:lang w:val="es-ES" w:eastAsia="es-CO"/>
        </w:rPr>
      </w:pPr>
      <w:r w:rsidRPr="00DE5508">
        <w:rPr>
          <w:rFonts w:ascii="Verdana" w:hAnsi="Verdana" w:cs="BCDHEE+Verdana"/>
          <w:color w:val="000000"/>
        </w:rPr>
        <w:t>Para las elecciones presidenciales, el Consejo Nacional Electoral mediante Resolución No. 2580 del 5 de marzo de 2025 fijó el calendario electoral para las elecciones de Presidente y Vicepresidente de la República en primera vuelta que se celebrarán el 31 de mayo de 2026, por lo que las restricciones a aplicar son las del artículo 33 de la Ley 996 de 2005 que dispone que dentro de los 4 meses anteriores a la elección presidencial, es decir desde el 31 de enero de 2026 y hasta el momento de la celebración de la segunda vuelta, si fuere el caso, queda prohibida la contratación directa por parte de todos los entes del Estado</w:t>
      </w:r>
      <w:r>
        <w:rPr>
          <w:rFonts w:ascii="BCDHEE+Verdana" w:hAnsi="BCDHEE+Verdana" w:cs="BCDHEE+Verdana"/>
          <w:color w:val="000000"/>
        </w:rPr>
        <w:t>.</w:t>
      </w:r>
    </w:p>
    <w:p w14:paraId="0DFB54D8" w14:textId="77777777" w:rsidR="0010156D" w:rsidRPr="00E61635" w:rsidRDefault="0010156D" w:rsidP="0010156D">
      <w:pPr>
        <w:widowControl w:val="0"/>
        <w:autoSpaceDE w:val="0"/>
        <w:autoSpaceDN w:val="0"/>
        <w:spacing w:after="0" w:line="276" w:lineRule="auto"/>
        <w:ind w:right="176" w:firstLine="708"/>
        <w:jc w:val="both"/>
        <w:rPr>
          <w:rFonts w:ascii="Verdana" w:hAnsi="Verdana"/>
        </w:rPr>
      </w:pPr>
      <w:r w:rsidRPr="00E61635">
        <w:rPr>
          <w:rFonts w:ascii="Verdana" w:hAnsi="Verdana"/>
        </w:rPr>
        <w:t xml:space="preserve">Dentro de este marco, corresponde a cada </w:t>
      </w:r>
      <w:r w:rsidRPr="005F3B31">
        <w:rPr>
          <w:rFonts w:ascii="Verdana" w:hAnsi="Verdana"/>
        </w:rPr>
        <w:t>entidad pública</w:t>
      </w:r>
      <w:r w:rsidRPr="00E61635">
        <w:rPr>
          <w:rFonts w:ascii="Verdana" w:hAnsi="Verdana"/>
        </w:rPr>
        <w:t>, en ejercicio de su competencia y previa valoración de los elementos fácticos y jurídicos, así como de las disposiciones legales mencionadas,</w:t>
      </w:r>
      <w:r>
        <w:rPr>
          <w:rFonts w:ascii="Verdana" w:hAnsi="Verdana"/>
        </w:rPr>
        <w:t xml:space="preserve"> determinar su gestión contractual durante la aplicación de las restricciones de la Ley de Garantías Electorales. </w:t>
      </w:r>
      <w:r w:rsidRPr="00E6163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DF28C6D" w14:textId="77777777" w:rsidR="0010156D" w:rsidRDefault="0010156D" w:rsidP="0010156D">
      <w:pPr>
        <w:widowControl w:val="0"/>
        <w:autoSpaceDE w:val="0"/>
        <w:autoSpaceDN w:val="0"/>
        <w:spacing w:after="0" w:line="276" w:lineRule="auto"/>
        <w:jc w:val="both"/>
        <w:rPr>
          <w:rFonts w:ascii="Verdana" w:hAnsi="Verdana" w:cs="Arial"/>
        </w:rPr>
      </w:pPr>
    </w:p>
    <w:p w14:paraId="5D023283" w14:textId="77777777" w:rsidR="0010156D" w:rsidRDefault="0010156D" w:rsidP="0010156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3858A607" w14:textId="77777777" w:rsidR="0010156D" w:rsidRDefault="0010156D" w:rsidP="0010156D">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10156D" w14:paraId="42DFFB18" w14:textId="77777777" w:rsidTr="00E640F8">
        <w:trPr>
          <w:trHeight w:val="870"/>
        </w:trPr>
        <w:tc>
          <w:tcPr>
            <w:tcW w:w="8647" w:type="dxa"/>
            <w:tcBorders>
              <w:top w:val="dotted" w:sz="4" w:space="0" w:color="auto"/>
              <w:left w:val="dotted" w:sz="4" w:space="0" w:color="auto"/>
              <w:bottom w:val="dotted" w:sz="4" w:space="0" w:color="auto"/>
              <w:right w:val="dotted" w:sz="4" w:space="0" w:color="auto"/>
            </w:tcBorders>
            <w:hideMark/>
          </w:tcPr>
          <w:p w14:paraId="3BE63D99" w14:textId="77777777" w:rsidR="0010156D" w:rsidRPr="00B3605D" w:rsidRDefault="0010156D" w:rsidP="0010156D">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DF1048">
              <w:rPr>
                <w:rFonts w:ascii="Verdana" w:eastAsia="Arial MT" w:hAnsi="Verdana" w:cs="Arial"/>
                <w:bCs/>
                <w:lang w:val="es-ES" w:eastAsia="es-ES" w:bidi="es-ES"/>
              </w:rPr>
              <w:lastRenderedPageBreak/>
              <w:t>Ley 996 de 2005: artículos 33 y 38 parágrafo.</w:t>
            </w:r>
          </w:p>
          <w:p w14:paraId="0AD5F55F" w14:textId="77777777" w:rsidR="0010156D" w:rsidRPr="00274DBA" w:rsidRDefault="0010156D" w:rsidP="0010156D">
            <w:pPr>
              <w:widowControl w:val="0"/>
              <w:numPr>
                <w:ilvl w:val="0"/>
                <w:numId w:val="17"/>
              </w:numPr>
              <w:autoSpaceDE w:val="0"/>
              <w:autoSpaceDN w:val="0"/>
              <w:spacing w:after="120" w:line="276" w:lineRule="auto"/>
              <w:jc w:val="both"/>
              <w:rPr>
                <w:rFonts w:ascii="Verdana" w:eastAsia="Calibri" w:hAnsi="Verdana" w:cs="Arial"/>
                <w:lang w:val="es-ES"/>
              </w:rPr>
            </w:pPr>
            <w:r w:rsidRPr="00274DBA">
              <w:rPr>
                <w:rFonts w:ascii="Verdana" w:eastAsia="Calibri" w:hAnsi="Verdana" w:cs="Arial"/>
                <w:lang w:val="pt-BR"/>
              </w:rPr>
              <w:t xml:space="preserve">Corte Constitucional. Sentencia C -1153 de 2005. </w:t>
            </w:r>
            <w:r w:rsidRPr="00274DBA">
              <w:rPr>
                <w:rFonts w:ascii="Verdana" w:eastAsia="Calibri" w:hAnsi="Verdana" w:cs="Arial"/>
                <w:lang w:val="es-ES"/>
              </w:rPr>
              <w:t xml:space="preserve">M.P. Marco Gerardo Monroy Cabra. </w:t>
            </w:r>
          </w:p>
          <w:p w14:paraId="4D32E85F" w14:textId="77777777" w:rsidR="0010156D" w:rsidRDefault="0010156D" w:rsidP="0010156D">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B3605D">
              <w:rPr>
                <w:rFonts w:ascii="Verdana" w:eastAsia="Arial MT" w:hAnsi="Verdana" w:cs="Arial"/>
                <w:lang w:val="es-ES" w:eastAsia="es-ES" w:bidi="es-ES"/>
              </w:rPr>
              <w:t xml:space="preserve">Consejo de Estado, Sala de Consulta y Servicio Civil de fecha 24 de julio de 2013, Rad. 2166, C. P. Álvaro </w:t>
            </w:r>
            <w:proofErr w:type="spellStart"/>
            <w:r w:rsidRPr="00B3605D">
              <w:rPr>
                <w:rFonts w:ascii="Verdana" w:eastAsia="Arial MT" w:hAnsi="Verdana" w:cs="Arial"/>
                <w:lang w:val="es-ES" w:eastAsia="es-ES" w:bidi="es-ES"/>
              </w:rPr>
              <w:t>Namén</w:t>
            </w:r>
            <w:proofErr w:type="spellEnd"/>
            <w:r w:rsidRPr="00B3605D">
              <w:rPr>
                <w:rFonts w:ascii="Verdana" w:eastAsia="Arial MT" w:hAnsi="Verdana" w:cs="Arial"/>
                <w:lang w:val="es-ES" w:eastAsia="es-ES" w:bidi="es-ES"/>
              </w:rPr>
              <w:t xml:space="preserve"> Vargas.  </w:t>
            </w:r>
          </w:p>
          <w:p w14:paraId="35095A75" w14:textId="77777777" w:rsidR="0010156D" w:rsidRPr="006A640E" w:rsidRDefault="0010156D" w:rsidP="0010156D">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AB6AC3">
              <w:rPr>
                <w:rFonts w:ascii="Verdana" w:eastAsia="Calibri" w:hAnsi="Verdana" w:cs="Arial"/>
              </w:rPr>
              <w:t xml:space="preserve">Agencia Nacional de Contratación Pública – </w:t>
            </w:r>
            <w:r w:rsidRPr="00E12AA8">
              <w:rPr>
                <w:rFonts w:ascii="Verdana" w:hAnsi="Verdana"/>
              </w:rPr>
              <w:t>Colombia Compra Eficiente. Circular Externa Única. Numeral 16.5.</w:t>
            </w:r>
          </w:p>
        </w:tc>
      </w:tr>
    </w:tbl>
    <w:p w14:paraId="25B0913A" w14:textId="77777777" w:rsidR="0010156D" w:rsidRDefault="0010156D" w:rsidP="0010156D">
      <w:pPr>
        <w:widowControl w:val="0"/>
        <w:autoSpaceDE w:val="0"/>
        <w:autoSpaceDN w:val="0"/>
        <w:spacing w:after="0" w:line="276" w:lineRule="auto"/>
        <w:jc w:val="both"/>
        <w:rPr>
          <w:rFonts w:ascii="Verdana" w:hAnsi="Verdana" w:cs="Arial"/>
        </w:rPr>
      </w:pPr>
    </w:p>
    <w:p w14:paraId="01C018D1" w14:textId="77777777" w:rsidR="0010156D" w:rsidRDefault="0010156D" w:rsidP="0010156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4184CCFD" w14:textId="77777777" w:rsidR="0010156D" w:rsidRDefault="0010156D" w:rsidP="0010156D">
      <w:pPr>
        <w:widowControl w:val="0"/>
        <w:autoSpaceDE w:val="0"/>
        <w:autoSpaceDN w:val="0"/>
        <w:spacing w:after="0" w:line="276" w:lineRule="auto"/>
        <w:jc w:val="both"/>
        <w:rPr>
          <w:rFonts w:ascii="Verdana" w:hAnsi="Verdana" w:cs="Arial"/>
        </w:rPr>
      </w:pPr>
    </w:p>
    <w:p w14:paraId="1EB8CF32" w14:textId="77777777" w:rsidR="0010156D" w:rsidRPr="00FE3C84" w:rsidRDefault="0010156D" w:rsidP="0010156D">
      <w:pPr>
        <w:widowControl w:val="0"/>
        <w:autoSpaceDE w:val="0"/>
        <w:autoSpaceDN w:val="0"/>
        <w:spacing w:after="0" w:line="276" w:lineRule="auto"/>
        <w:jc w:val="both"/>
        <w:rPr>
          <w:rStyle w:val="normaltextrun"/>
          <w:rFonts w:ascii="Verdana" w:hAnsi="Verdana"/>
          <w:color w:val="FF0000"/>
          <w:shd w:val="clear" w:color="auto" w:fill="FFFFFF"/>
          <w:lang w:val="es-ES"/>
        </w:rPr>
      </w:pPr>
      <w:r>
        <w:rPr>
          <w:rStyle w:val="normaltextrun"/>
          <w:rFonts w:ascii="Verdana" w:hAnsi="Verdana" w:cs="Arial"/>
          <w:shd w:val="clear" w:color="auto" w:fill="FFFFFF"/>
          <w:lang w:val="es-ES"/>
        </w:rPr>
        <w:t>Sobre la aplicación de la Ley de Garantías Electorales</w:t>
      </w:r>
      <w:r w:rsidRPr="00AD7D4E">
        <w:rPr>
          <w:rStyle w:val="normaltextrun"/>
          <w:rFonts w:ascii="Verdana" w:hAnsi="Verdana" w:cs="Arial"/>
          <w:shd w:val="clear" w:color="auto" w:fill="FFFFFF"/>
          <w:lang w:val="es-ES"/>
        </w:rPr>
        <w:t>, esta Subdirección se ha pronunciado en los conceptos</w:t>
      </w:r>
      <w:r>
        <w:rPr>
          <w:rStyle w:val="normaltextrun"/>
          <w:rFonts w:ascii="Verdana" w:hAnsi="Verdana" w:cs="Arial"/>
          <w:shd w:val="clear" w:color="auto" w:fill="FFFFFF"/>
          <w:lang w:val="es-ES"/>
        </w:rPr>
        <w:t xml:space="preserve"> </w:t>
      </w:r>
      <w:r w:rsidRPr="00CF7C16">
        <w:rPr>
          <w:rFonts w:ascii="Verdana" w:hAnsi="Verdana" w:cs="Arial"/>
          <w:shd w:val="clear" w:color="auto" w:fill="FFFFFF"/>
          <w:lang w:val="es-ES"/>
        </w:rPr>
        <w:t xml:space="preserve">C-636 del 16 de noviembre de 2021, 681 del 7 de diciembre de 2021, C-686 del 21 de diciembre de 2021, C-697 del 3 de enero de 2022, </w:t>
      </w:r>
      <w:r>
        <w:rPr>
          <w:rStyle w:val="normaltextrun"/>
          <w:rFonts w:ascii="Verdana" w:hAnsi="Verdana" w:cs="Arial"/>
          <w:shd w:val="clear" w:color="auto" w:fill="FFFFFF"/>
          <w:lang w:val="es-ES"/>
        </w:rPr>
        <w:t xml:space="preserve">C-329 del 24 de mayo de 2022, </w:t>
      </w:r>
      <w:r w:rsidRPr="00CF7C16">
        <w:rPr>
          <w:rFonts w:ascii="Verdana" w:hAnsi="Verdana" w:cs="Arial"/>
          <w:shd w:val="clear" w:color="auto" w:fill="FFFFFF"/>
          <w:lang w:val="es-ES"/>
        </w:rPr>
        <w:t>C-180 del 21 de marzo de 2025, C-317 del 25 de abril de 2025, C-510 del 4 de junio de 2025,</w:t>
      </w:r>
      <w:r>
        <w:rPr>
          <w:rFonts w:ascii="Verdana" w:hAnsi="Verdana" w:cs="Arial"/>
          <w:shd w:val="clear" w:color="auto" w:fill="FFFFFF"/>
          <w:lang w:val="es-ES"/>
        </w:rPr>
        <w:t xml:space="preserve"> C-856 del 11 de agosto de 2025,</w:t>
      </w:r>
      <w:r w:rsidRPr="00CF7C16">
        <w:rPr>
          <w:rFonts w:ascii="Verdana" w:hAnsi="Verdana" w:cs="Arial"/>
          <w:shd w:val="clear" w:color="auto" w:fill="FFFFFF"/>
          <w:lang w:val="es-ES"/>
        </w:rPr>
        <w:t xml:space="preserve"> entre otros.</w:t>
      </w:r>
      <w:proofErr w:type="gramStart"/>
      <w:r>
        <w:rPr>
          <w:rStyle w:val="normaltextrun"/>
          <w:rFonts w:ascii="Verdana" w:hAnsi="Verdana" w:cs="Arial"/>
          <w:shd w:val="clear" w:color="auto" w:fill="FFFFFF"/>
          <w:lang w:val="es-ES"/>
        </w:rPr>
        <w:t>, .</w:t>
      </w:r>
      <w:proofErr w:type="gramEnd"/>
      <w:r>
        <w:rPr>
          <w:rStyle w:val="normaltextrun"/>
          <w:rFonts w:ascii="Verdana" w:hAnsi="Verdana" w:cs="Arial"/>
          <w:shd w:val="clear" w:color="auto" w:fill="FFFFFF"/>
          <w:lang w:val="es-ES"/>
        </w:rPr>
        <w:t xml:space="preserve"> Es</w:t>
      </w:r>
      <w:r>
        <w:rPr>
          <w:rFonts w:ascii="Verdana" w:hAnsi="Verdana"/>
        </w:rPr>
        <w:t>tos y otros conceptos se encuentran 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2" w:history="1">
        <w:r w:rsidRPr="00B778BC">
          <w:rPr>
            <w:rStyle w:val="Hipervnculo"/>
            <w:rFonts w:ascii="Verdana" w:hAnsi="Verdana" w:cs="Arial"/>
            <w:shd w:val="clear" w:color="auto" w:fill="FFFFFF"/>
            <w:lang w:val="es-ES"/>
          </w:rPr>
          <w:t>https://relatoria.colombiacompra.gov.co/busqueda/conceptos</w:t>
        </w:r>
      </w:hyperlink>
      <w:r w:rsidRPr="00B778BC">
        <w:rPr>
          <w:rStyle w:val="normaltextrun"/>
          <w:rFonts w:ascii="Verdana" w:hAnsi="Verdana" w:cs="Arial"/>
          <w:color w:val="FF0000"/>
          <w:shd w:val="clear" w:color="auto" w:fill="FFFFFF"/>
          <w:lang w:val="es-ES"/>
        </w:rPr>
        <w:t xml:space="preserve">. </w:t>
      </w:r>
    </w:p>
    <w:p w14:paraId="32F16E02" w14:textId="77777777" w:rsidR="0010156D" w:rsidRDefault="0010156D" w:rsidP="0010156D">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3160915" w14:textId="77777777" w:rsidR="0010156D" w:rsidRPr="005D0607" w:rsidRDefault="0010156D" w:rsidP="0010156D">
      <w:pPr>
        <w:shd w:val="clear" w:color="auto" w:fill="FFFFFF"/>
        <w:spacing w:after="0" w:line="276" w:lineRule="auto"/>
        <w:jc w:val="both"/>
        <w:textAlignment w:val="baseline"/>
        <w:rPr>
          <w:rFonts w:ascii="Verdana" w:hAnsi="Verdana"/>
          <w:color w:val="467886"/>
          <w:u w:val="single"/>
          <w:bdr w:val="none" w:sz="0" w:space="0" w:color="auto" w:frame="1"/>
        </w:rPr>
      </w:pPr>
      <w:r>
        <w:rPr>
          <w:rFonts w:ascii="Verdana" w:hAnsi="Verdana"/>
          <w:color w:val="000000"/>
          <w:bdr w:val="none" w:sz="0" w:space="0" w:color="auto" w:frame="1"/>
        </w:rPr>
        <w:t>Le contamos que ya se encuentra disponible la </w:t>
      </w:r>
      <w:r>
        <w:rPr>
          <w:rFonts w:ascii="Verdana" w:hAnsi="Verdana"/>
          <w:b/>
          <w:bCs/>
          <w:color w:val="000000"/>
          <w:bdr w:val="none" w:sz="0" w:space="0" w:color="auto" w:frame="1"/>
        </w:rPr>
        <w:t>Guía de lineamientos de transparencia y selección objetiva para el departamento de La Guajira – Objetivo sexto constitucional de la Sentencia T-302 del 2017. </w:t>
      </w:r>
      <w:r>
        <w:rPr>
          <w:rFonts w:ascii="Verdana" w:hAnsi="Verdana"/>
          <w:color w:val="000000"/>
          <w:bdr w:val="none" w:sz="0" w:space="0" w:color="auto" w:frame="1"/>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Pr>
          <w:rFonts w:ascii="Verdana" w:hAnsi="Verdana"/>
          <w:color w:val="000000"/>
          <w:bdr w:val="none" w:sz="0" w:space="0" w:color="auto" w:frame="1"/>
        </w:rPr>
        <w:t>Wayúu</w:t>
      </w:r>
      <w:proofErr w:type="spellEnd"/>
      <w:r>
        <w:rPr>
          <w:rFonts w:ascii="Verdana" w:hAnsi="Verdana"/>
          <w:color w:val="000000"/>
          <w:bdr w:val="none" w:sz="0" w:space="0" w:color="auto" w:frame="1"/>
        </w:rPr>
        <w:t xml:space="preserve">. </w:t>
      </w:r>
      <w:r w:rsidRPr="00B778BC">
        <w:rPr>
          <w:rFonts w:ascii="Verdana" w:hAnsi="Verdana"/>
          <w:color w:val="000000"/>
          <w:bdr w:val="none" w:sz="0" w:space="0" w:color="auto" w:frame="1"/>
        </w:rPr>
        <w:t>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B778BC">
          <w:rPr>
            <w:rStyle w:val="Hipervnculo"/>
            <w:rFonts w:ascii="Verdana" w:hAnsi="Verdana"/>
            <w:color w:val="467886"/>
            <w:bdr w:val="none" w:sz="0" w:space="0" w:color="auto" w:frame="1"/>
          </w:rPr>
          <w:t>Guía de lineamientos de transparencia y selección objetiva para el departamento de La Guajira – Objetivo sexto constitucional de la Sentencia T-302 del 2017</w:t>
        </w:r>
      </w:hyperlink>
      <w:r w:rsidRPr="00B778BC">
        <w:rPr>
          <w:rFonts w:ascii="Verdana" w:hAnsi="Verdana"/>
          <w:color w:val="467886"/>
          <w:u w:val="single"/>
          <w:bdr w:val="none" w:sz="0" w:space="0" w:color="auto" w:frame="1"/>
        </w:rPr>
        <w:t>"</w:t>
      </w:r>
    </w:p>
    <w:p w14:paraId="2F6759F9" w14:textId="77777777" w:rsidR="0010156D" w:rsidRDefault="0010156D" w:rsidP="0010156D">
      <w:pPr>
        <w:spacing w:after="0" w:line="276" w:lineRule="auto"/>
        <w:jc w:val="both"/>
        <w:rPr>
          <w:rFonts w:ascii="Verdana" w:hAnsi="Verdana"/>
        </w:rPr>
      </w:pPr>
    </w:p>
    <w:p w14:paraId="2AF37C4D" w14:textId="77777777" w:rsidR="0010156D" w:rsidRDefault="0010156D" w:rsidP="0010156D">
      <w:pPr>
        <w:spacing w:after="0" w:line="276" w:lineRule="auto"/>
        <w:jc w:val="both"/>
        <w:rPr>
          <w:rFonts w:ascii="Verdana" w:hAnsi="Verdana"/>
        </w:rPr>
      </w:pPr>
      <w:r>
        <w:rPr>
          <w:rFonts w:ascii="Verdana" w:hAnsi="Verdana"/>
        </w:rPr>
        <w:t xml:space="preserve">Por último, lo invitamos a seguirnos en las redes sociales en las cuales se difunde información institucional: </w:t>
      </w:r>
    </w:p>
    <w:p w14:paraId="59F45D74" w14:textId="77777777" w:rsidR="0010156D" w:rsidRDefault="0010156D" w:rsidP="0010156D">
      <w:pPr>
        <w:spacing w:after="0" w:line="276" w:lineRule="auto"/>
        <w:jc w:val="both"/>
        <w:rPr>
          <w:rFonts w:ascii="Verdana" w:hAnsi="Verdana"/>
        </w:rPr>
      </w:pPr>
    </w:p>
    <w:p w14:paraId="0EB20FEC" w14:textId="77777777" w:rsidR="0010156D" w:rsidRDefault="0010156D" w:rsidP="0010156D">
      <w:pPr>
        <w:spacing w:after="0" w:line="276" w:lineRule="auto"/>
        <w:jc w:val="both"/>
        <w:rPr>
          <w:rFonts w:ascii="Verdana" w:hAnsi="Verdana"/>
        </w:rPr>
      </w:pPr>
      <w:r>
        <w:rPr>
          <w:rFonts w:ascii="Verdana" w:hAnsi="Verdana"/>
        </w:rPr>
        <w:t xml:space="preserve">Twitter: </w:t>
      </w:r>
      <w:r>
        <w:rPr>
          <w:rStyle w:val="Hipervnculo"/>
          <w:rFonts w:ascii="Verdana" w:hAnsi="Verdana"/>
          <w:color w:val="4472C4" w:themeColor="accent1"/>
        </w:rPr>
        <w:t>@colombiacompra</w:t>
      </w:r>
      <w:r>
        <w:rPr>
          <w:rFonts w:ascii="Verdana" w:hAnsi="Verdana"/>
          <w:color w:val="4472C4" w:themeColor="accent1"/>
        </w:rPr>
        <w:t xml:space="preserve"> </w:t>
      </w:r>
    </w:p>
    <w:p w14:paraId="60198FF9" w14:textId="77777777" w:rsidR="0010156D" w:rsidRDefault="0010156D" w:rsidP="0010156D">
      <w:pPr>
        <w:spacing w:after="0" w:line="276" w:lineRule="auto"/>
        <w:jc w:val="both"/>
        <w:rPr>
          <w:rFonts w:ascii="Verdana" w:hAnsi="Verdana"/>
        </w:rPr>
      </w:pPr>
      <w:r>
        <w:rPr>
          <w:rFonts w:ascii="Verdana" w:hAnsi="Verdana"/>
        </w:rPr>
        <w:lastRenderedPageBreak/>
        <w:t xml:space="preserve">Facebook: </w:t>
      </w:r>
      <w:proofErr w:type="spellStart"/>
      <w:r>
        <w:rPr>
          <w:rStyle w:val="Hipervnculo"/>
          <w:rFonts w:ascii="Verdana" w:hAnsi="Verdana"/>
          <w:color w:val="4472C4" w:themeColor="accent1"/>
        </w:rPr>
        <w:t>ColombiaCompraEficiente</w:t>
      </w:r>
      <w:proofErr w:type="spellEnd"/>
    </w:p>
    <w:p w14:paraId="4FB528FC" w14:textId="77777777" w:rsidR="0010156D" w:rsidRDefault="0010156D" w:rsidP="0010156D">
      <w:pPr>
        <w:spacing w:after="0" w:line="276" w:lineRule="auto"/>
        <w:jc w:val="both"/>
        <w:rPr>
          <w:rFonts w:ascii="Verdana" w:hAnsi="Verdana"/>
        </w:rPr>
      </w:pPr>
      <w:r>
        <w:rPr>
          <w:rFonts w:ascii="Verdana" w:hAnsi="Verdana"/>
        </w:rPr>
        <w:t xml:space="preserve">LinkedIn: </w:t>
      </w:r>
      <w:r>
        <w:rPr>
          <w:rStyle w:val="Hipervnculo"/>
          <w:rFonts w:ascii="Verdana" w:hAnsi="Verdana"/>
          <w:color w:val="4472C4" w:themeColor="accent1"/>
        </w:rPr>
        <w:t>Agencia Nacional de Contratación Pública - Colombia Compra Eficiente</w:t>
      </w:r>
      <w:r>
        <w:rPr>
          <w:rFonts w:ascii="Verdana" w:hAnsi="Verdana"/>
          <w:color w:val="4472C4" w:themeColor="accent1"/>
        </w:rPr>
        <w:t xml:space="preserve"> </w:t>
      </w:r>
      <w:r>
        <w:rPr>
          <w:rFonts w:ascii="Verdana" w:hAnsi="Verdana"/>
        </w:rPr>
        <w:t xml:space="preserve">Instagram: </w:t>
      </w:r>
      <w:r>
        <w:rPr>
          <w:rStyle w:val="Hipervnculo"/>
          <w:rFonts w:ascii="Verdana" w:hAnsi="Verdana"/>
          <w:color w:val="4472C4" w:themeColor="accent1"/>
        </w:rPr>
        <w:t>@colombiacompraeficiente_cce</w:t>
      </w:r>
    </w:p>
    <w:p w14:paraId="73F22A1B" w14:textId="77777777" w:rsidR="0010156D" w:rsidRDefault="0010156D" w:rsidP="0010156D">
      <w:pPr>
        <w:widowControl w:val="0"/>
        <w:autoSpaceDE w:val="0"/>
        <w:autoSpaceDN w:val="0"/>
        <w:spacing w:after="0" w:line="276" w:lineRule="auto"/>
        <w:jc w:val="both"/>
        <w:rPr>
          <w:rFonts w:ascii="Verdana" w:hAnsi="Verdana" w:cs="Arial"/>
        </w:rPr>
      </w:pPr>
    </w:p>
    <w:p w14:paraId="2C46307E" w14:textId="77777777" w:rsidR="0010156D" w:rsidRDefault="0010156D" w:rsidP="0010156D">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y las expresiones aquí utilizadas con mayúscula inicial deben ser entendidas con el significado que les otorga el artículo 2.2.1.1.1.3.1. del Decreto 1082 de 2015.</w:t>
      </w:r>
    </w:p>
    <w:p w14:paraId="1BBF0DCB" w14:textId="77777777" w:rsidR="0010156D" w:rsidRDefault="0010156D" w:rsidP="0010156D">
      <w:pPr>
        <w:widowControl w:val="0"/>
        <w:autoSpaceDE w:val="0"/>
        <w:autoSpaceDN w:val="0"/>
        <w:spacing w:after="0" w:line="276" w:lineRule="auto"/>
        <w:jc w:val="both"/>
        <w:rPr>
          <w:rFonts w:ascii="Verdana" w:hAnsi="Verdana" w:cs="Arial"/>
        </w:rPr>
      </w:pPr>
    </w:p>
    <w:p w14:paraId="0B80EB2F" w14:textId="77777777" w:rsidR="0010156D" w:rsidRDefault="0010156D" w:rsidP="0010156D">
      <w:pPr>
        <w:spacing w:after="0" w:line="276" w:lineRule="auto"/>
        <w:rPr>
          <w:rFonts w:ascii="Verdana" w:hAnsi="Verdana" w:cs="Arial"/>
          <w:lang w:eastAsia="es-CO"/>
        </w:rPr>
      </w:pPr>
      <w:r>
        <w:rPr>
          <w:rFonts w:ascii="Verdana" w:eastAsia="Times New Roman" w:hAnsi="Verdana" w:cs="Arial"/>
          <w:lang w:eastAsia="es-CO"/>
        </w:rPr>
        <w:t>Atentamente,</w:t>
      </w:r>
      <w:r>
        <w:rPr>
          <w:rFonts w:ascii="Verdana" w:hAnsi="Verdana" w:cs="Arial"/>
          <w:lang w:eastAsia="es-CO"/>
        </w:rPr>
        <w:t xml:space="preserve"> </w:t>
      </w:r>
    </w:p>
    <w:p w14:paraId="6BCB13A8" w14:textId="3F95AD04" w:rsidR="0010156D" w:rsidRDefault="00C320BD" w:rsidP="0010156D">
      <w:pPr>
        <w:spacing w:line="276" w:lineRule="auto"/>
        <w:jc w:val="center"/>
        <w:rPr>
          <w:rFonts w:ascii="Verdana" w:hAnsi="Verdana" w:cs="Arial"/>
          <w:color w:val="000000"/>
          <w:lang w:val="es-ES_tradnl" w:eastAsia="es-CO"/>
        </w:rPr>
      </w:pPr>
      <w:r>
        <w:rPr>
          <w:noProof/>
        </w:rPr>
        <w:drawing>
          <wp:inline distT="0" distB="0" distL="0" distR="0" wp14:anchorId="6C1B4612" wp14:editId="6D5C15A6">
            <wp:extent cx="3768725" cy="1399540"/>
            <wp:effectExtent l="0" t="0" r="3175" b="0"/>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0156D" w14:paraId="7BC8F0E2" w14:textId="77777777" w:rsidTr="00E640F8">
        <w:trPr>
          <w:trHeight w:val="315"/>
        </w:trPr>
        <w:tc>
          <w:tcPr>
            <w:tcW w:w="893" w:type="dxa"/>
            <w:vAlign w:val="center"/>
            <w:hideMark/>
          </w:tcPr>
          <w:p w14:paraId="68BE0CF7" w14:textId="77777777" w:rsidR="0010156D" w:rsidRDefault="0010156D" w:rsidP="00E640F8">
            <w:pPr>
              <w:spacing w:after="255"/>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E044029" w14:textId="77777777" w:rsidR="0010156D" w:rsidRDefault="0010156D" w:rsidP="00E640F8">
            <w:pPr>
              <w:spacing w:after="255"/>
              <w:contextualSpacing/>
              <w:rPr>
                <w:rFonts w:ascii="Verdana" w:eastAsia="Arial" w:hAnsi="Verdana" w:cs="Arial"/>
                <w:sz w:val="16"/>
                <w:szCs w:val="16"/>
              </w:rPr>
            </w:pPr>
            <w:r>
              <w:rPr>
                <w:rStyle w:val="normaltextrun"/>
                <w:rFonts w:ascii="Verdana" w:hAnsi="Verdana"/>
                <w:sz w:val="16"/>
                <w:szCs w:val="16"/>
              </w:rPr>
              <w:t xml:space="preserve">Catalina Cubides </w:t>
            </w:r>
            <w:proofErr w:type="spellStart"/>
            <w:r>
              <w:rPr>
                <w:rStyle w:val="normaltextrun"/>
                <w:rFonts w:ascii="Verdana" w:hAnsi="Verdana"/>
                <w:sz w:val="16"/>
                <w:szCs w:val="16"/>
              </w:rPr>
              <w:t>Estupiñan</w:t>
            </w:r>
            <w:proofErr w:type="spellEnd"/>
          </w:p>
          <w:p w14:paraId="641E5C54" w14:textId="77777777" w:rsidR="0010156D" w:rsidRDefault="0010156D" w:rsidP="00E640F8">
            <w:pPr>
              <w:spacing w:after="255"/>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10156D" w14:paraId="58FF5518" w14:textId="77777777" w:rsidTr="00E640F8">
        <w:trPr>
          <w:trHeight w:val="330"/>
        </w:trPr>
        <w:tc>
          <w:tcPr>
            <w:tcW w:w="893" w:type="dxa"/>
            <w:vAlign w:val="center"/>
            <w:hideMark/>
          </w:tcPr>
          <w:p w14:paraId="66CDFD4B" w14:textId="77777777" w:rsidR="0010156D" w:rsidRDefault="0010156D" w:rsidP="00E640F8">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77B155E" w14:textId="77777777" w:rsidR="0010156D" w:rsidRDefault="0010156D" w:rsidP="00E640F8">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 xml:space="preserve">Juan Carlos González Vásquez </w:t>
            </w:r>
          </w:p>
          <w:p w14:paraId="17EF78F0" w14:textId="77777777" w:rsidR="0010156D" w:rsidRDefault="0010156D" w:rsidP="00E640F8">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10156D" w14:paraId="755B1642" w14:textId="77777777" w:rsidTr="00E640F8">
        <w:trPr>
          <w:trHeight w:val="300"/>
        </w:trPr>
        <w:tc>
          <w:tcPr>
            <w:tcW w:w="893" w:type="dxa"/>
            <w:vAlign w:val="center"/>
            <w:hideMark/>
          </w:tcPr>
          <w:p w14:paraId="5670659D" w14:textId="77777777" w:rsidR="0010156D" w:rsidRDefault="0010156D" w:rsidP="00E640F8">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0F72774" w14:textId="77777777" w:rsidR="0010156D" w:rsidRDefault="0010156D" w:rsidP="00E640F8">
            <w:pPr>
              <w:spacing w:after="255"/>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14B16ACE" w14:textId="77777777" w:rsidR="0010156D" w:rsidRDefault="0010156D" w:rsidP="00E640F8">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w:t>
            </w:r>
            <w:proofErr w:type="spellStart"/>
            <w:r>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ANCP – CCE</w:t>
            </w:r>
          </w:p>
        </w:tc>
      </w:tr>
    </w:tbl>
    <w:p w14:paraId="4271CF5F" w14:textId="77777777" w:rsidR="0010156D" w:rsidRPr="001249F1" w:rsidRDefault="0010156D" w:rsidP="0010156D"/>
    <w:p w14:paraId="3900974D" w14:textId="77777777" w:rsidR="003D5B0D" w:rsidRPr="0044528D" w:rsidRDefault="003D5B0D" w:rsidP="0010156D">
      <w:pPr>
        <w:spacing w:after="0"/>
        <w:rPr>
          <w:rFonts w:ascii="Verdana" w:eastAsia="Times New Roman" w:hAnsi="Verdana" w:cs="Segoe UI"/>
          <w:b/>
          <w:bCs/>
          <w:color w:val="46589C"/>
          <w:lang w:val="es-ES" w:eastAsia="es-CO"/>
        </w:rPr>
      </w:pPr>
    </w:p>
    <w:sectPr w:rsidR="003D5B0D"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2F738" w14:textId="77777777" w:rsidR="00FB7CEF" w:rsidRDefault="00FB7CEF" w:rsidP="004A1847">
      <w:pPr>
        <w:spacing w:after="0" w:line="240" w:lineRule="auto"/>
      </w:pPr>
      <w:r>
        <w:separator/>
      </w:r>
    </w:p>
  </w:endnote>
  <w:endnote w:type="continuationSeparator" w:id="0">
    <w:p w14:paraId="55AB56EB" w14:textId="77777777" w:rsidR="00FB7CEF" w:rsidRDefault="00FB7CEF" w:rsidP="004A1847">
      <w:pPr>
        <w:spacing w:after="0" w:line="240" w:lineRule="auto"/>
      </w:pPr>
      <w:r>
        <w:continuationSeparator/>
      </w:r>
    </w:p>
  </w:endnote>
  <w:endnote w:type="continuationNotice" w:id="1">
    <w:p w14:paraId="0BB94969" w14:textId="77777777" w:rsidR="00FB7CEF" w:rsidRDefault="00FB7C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CDHEE+Verdana">
    <w:altName w:val="Verdan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8085D" w14:textId="77777777" w:rsidR="00FB7CEF" w:rsidRDefault="00FB7CEF" w:rsidP="004A1847">
      <w:pPr>
        <w:spacing w:after="0" w:line="240" w:lineRule="auto"/>
      </w:pPr>
      <w:r>
        <w:separator/>
      </w:r>
    </w:p>
  </w:footnote>
  <w:footnote w:type="continuationSeparator" w:id="0">
    <w:p w14:paraId="4208C6F3" w14:textId="77777777" w:rsidR="00FB7CEF" w:rsidRDefault="00FB7CEF" w:rsidP="004A1847">
      <w:pPr>
        <w:spacing w:after="0" w:line="240" w:lineRule="auto"/>
      </w:pPr>
      <w:r>
        <w:continuationSeparator/>
      </w:r>
    </w:p>
  </w:footnote>
  <w:footnote w:type="continuationNotice" w:id="1">
    <w:p w14:paraId="5A11EFB5" w14:textId="77777777" w:rsidR="00FB7CEF" w:rsidRDefault="00FB7CEF">
      <w:pPr>
        <w:spacing w:after="0" w:line="240" w:lineRule="auto"/>
      </w:pPr>
    </w:p>
  </w:footnote>
  <w:footnote w:id="2">
    <w:p w14:paraId="7331F39A" w14:textId="77777777" w:rsidR="0010156D" w:rsidRPr="00C05384" w:rsidRDefault="0010156D" w:rsidP="0010156D">
      <w:pPr>
        <w:pStyle w:val="Textonotapie"/>
        <w:ind w:firstLine="709"/>
        <w:jc w:val="both"/>
        <w:rPr>
          <w:rFonts w:ascii="Verdana" w:hAnsi="Verdana" w:cs="Arial"/>
          <w:sz w:val="16"/>
          <w:szCs w:val="16"/>
        </w:rPr>
      </w:pPr>
    </w:p>
    <w:p w14:paraId="5E5B4EA2" w14:textId="77777777" w:rsidR="0010156D" w:rsidRPr="00C05384" w:rsidRDefault="0010156D" w:rsidP="0010156D">
      <w:pPr>
        <w:pStyle w:val="Textonotapie"/>
        <w:ind w:firstLine="709"/>
        <w:jc w:val="both"/>
        <w:rPr>
          <w:rFonts w:ascii="Verdana" w:hAnsi="Verdana" w:cs="Arial"/>
          <w:sz w:val="16"/>
          <w:szCs w:val="16"/>
        </w:rPr>
      </w:pPr>
      <w:r w:rsidRPr="00C05384">
        <w:rPr>
          <w:rStyle w:val="Refdenotaalpie"/>
          <w:rFonts w:ascii="Verdana" w:hAnsi="Verdana" w:cs="Arial"/>
          <w:sz w:val="16"/>
          <w:szCs w:val="16"/>
        </w:rPr>
        <w:footnoteRef/>
      </w:r>
      <w:r w:rsidRPr="00C05384">
        <w:rPr>
          <w:rFonts w:ascii="Verdana" w:hAnsi="Verdana" w:cs="Arial"/>
          <w:sz w:val="16"/>
          <w:szCs w:val="16"/>
        </w:rPr>
        <w:t xml:space="preserve"> Gaceta del Congreso de la República No. 71 del 2005.</w:t>
      </w:r>
    </w:p>
    <w:p w14:paraId="6FE48812" w14:textId="77777777" w:rsidR="0010156D" w:rsidRPr="00C05384" w:rsidRDefault="0010156D" w:rsidP="0010156D">
      <w:pPr>
        <w:pStyle w:val="Textonotapie"/>
        <w:ind w:firstLine="709"/>
        <w:jc w:val="both"/>
        <w:rPr>
          <w:rFonts w:ascii="Verdana" w:hAnsi="Verdana" w:cs="Arial"/>
          <w:sz w:val="16"/>
          <w:szCs w:val="16"/>
        </w:rPr>
      </w:pPr>
    </w:p>
  </w:footnote>
  <w:footnote w:id="3">
    <w:p w14:paraId="2D4517F8" w14:textId="77777777" w:rsidR="0010156D" w:rsidRPr="00C05384" w:rsidRDefault="0010156D" w:rsidP="0010156D">
      <w:pPr>
        <w:pStyle w:val="Textonotapie"/>
        <w:ind w:firstLine="709"/>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 C- 1153 de 2005, M.P. Marco Gerardo </w:t>
      </w:r>
      <w:proofErr w:type="spellStart"/>
      <w:r w:rsidRPr="00C05384">
        <w:rPr>
          <w:rFonts w:ascii="Verdana" w:hAnsi="Verdana" w:cs="Arial"/>
          <w:sz w:val="16"/>
          <w:szCs w:val="16"/>
          <w:lang w:val="pt-BR"/>
        </w:rPr>
        <w:t>Monroy</w:t>
      </w:r>
      <w:proofErr w:type="spellEnd"/>
      <w:r w:rsidRPr="00C05384">
        <w:rPr>
          <w:rFonts w:ascii="Verdana" w:hAnsi="Verdana" w:cs="Arial"/>
          <w:sz w:val="16"/>
          <w:szCs w:val="16"/>
          <w:lang w:val="pt-BR"/>
        </w:rPr>
        <w:t xml:space="preserve"> Cabra.</w:t>
      </w:r>
    </w:p>
  </w:footnote>
  <w:footnote w:id="4">
    <w:p w14:paraId="4EB561A1" w14:textId="77777777" w:rsidR="0010156D" w:rsidRPr="00C05384" w:rsidRDefault="0010156D" w:rsidP="0010156D">
      <w:pPr>
        <w:pStyle w:val="Textonotapie"/>
        <w:ind w:firstLine="709"/>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Sentencias: C-233 de 4 de abril de 2002, expediente: D-3704; C-551 de 9 de </w:t>
      </w:r>
      <w:proofErr w:type="spellStart"/>
      <w:r w:rsidRPr="00C05384">
        <w:rPr>
          <w:rFonts w:ascii="Verdana" w:hAnsi="Verdana" w:cs="Arial"/>
          <w:sz w:val="16"/>
          <w:szCs w:val="16"/>
          <w:lang w:val="pt-BR"/>
        </w:rPr>
        <w:t>julio</w:t>
      </w:r>
      <w:proofErr w:type="spellEnd"/>
      <w:r w:rsidRPr="00C05384">
        <w:rPr>
          <w:rFonts w:ascii="Verdana" w:hAnsi="Verdana" w:cs="Arial"/>
          <w:sz w:val="16"/>
          <w:szCs w:val="16"/>
          <w:lang w:val="pt-BR"/>
        </w:rPr>
        <w:t xml:space="preserve"> de 2003, expediente: CRF-001 de 9 de </w:t>
      </w:r>
      <w:proofErr w:type="spellStart"/>
      <w:r w:rsidRPr="00C05384">
        <w:rPr>
          <w:rFonts w:ascii="Verdana" w:hAnsi="Verdana" w:cs="Arial"/>
          <w:sz w:val="16"/>
          <w:szCs w:val="16"/>
          <w:lang w:val="pt-BR"/>
        </w:rPr>
        <w:t>julio</w:t>
      </w:r>
      <w:proofErr w:type="spellEnd"/>
      <w:r w:rsidRPr="00C05384">
        <w:rPr>
          <w:rFonts w:ascii="Verdana" w:hAnsi="Verdana" w:cs="Arial"/>
          <w:sz w:val="16"/>
          <w:szCs w:val="16"/>
          <w:lang w:val="pt-BR"/>
        </w:rPr>
        <w:t xml:space="preserve"> de 2003; C-652 de 5 de agosto de 2003, expediente: D-4330; C-353 de 20 de </w:t>
      </w:r>
      <w:proofErr w:type="spellStart"/>
      <w:r w:rsidRPr="00C05384">
        <w:rPr>
          <w:rFonts w:ascii="Verdana" w:hAnsi="Verdana" w:cs="Arial"/>
          <w:sz w:val="16"/>
          <w:szCs w:val="16"/>
          <w:lang w:val="pt-BR"/>
        </w:rPr>
        <w:t>mayo</w:t>
      </w:r>
      <w:proofErr w:type="spellEnd"/>
      <w:r w:rsidRPr="00C05384">
        <w:rPr>
          <w:rFonts w:ascii="Verdana" w:hAnsi="Verdana" w:cs="Arial"/>
          <w:sz w:val="16"/>
          <w:szCs w:val="16"/>
          <w:lang w:val="pt-BR"/>
        </w:rPr>
        <w:t xml:space="preserve"> de 2009, expediente: D-7518, C-541 de 30 de </w:t>
      </w:r>
      <w:proofErr w:type="spellStart"/>
      <w:r w:rsidRPr="00C05384">
        <w:rPr>
          <w:rFonts w:ascii="Verdana" w:hAnsi="Verdana" w:cs="Arial"/>
          <w:sz w:val="16"/>
          <w:szCs w:val="16"/>
          <w:lang w:val="pt-BR"/>
        </w:rPr>
        <w:t>junio</w:t>
      </w:r>
      <w:proofErr w:type="spellEnd"/>
      <w:r w:rsidRPr="00C05384">
        <w:rPr>
          <w:rFonts w:ascii="Verdana" w:hAnsi="Verdana" w:cs="Arial"/>
          <w:sz w:val="16"/>
          <w:szCs w:val="16"/>
          <w:lang w:val="pt-BR"/>
        </w:rPr>
        <w:t xml:space="preserve"> de 2010, expediente: DD7966; entre </w:t>
      </w:r>
      <w:proofErr w:type="spellStart"/>
      <w:r w:rsidRPr="00C05384">
        <w:rPr>
          <w:rFonts w:ascii="Verdana" w:hAnsi="Verdana" w:cs="Arial"/>
          <w:sz w:val="16"/>
          <w:szCs w:val="16"/>
          <w:lang w:val="pt-BR"/>
        </w:rPr>
        <w:t>otras</w:t>
      </w:r>
      <w:proofErr w:type="spellEnd"/>
      <w:r w:rsidRPr="00C05384">
        <w:rPr>
          <w:rFonts w:ascii="Verdana" w:hAnsi="Verdana" w:cs="Arial"/>
          <w:sz w:val="16"/>
          <w:szCs w:val="16"/>
          <w:lang w:val="pt-BR"/>
        </w:rPr>
        <w:t>.</w:t>
      </w:r>
    </w:p>
  </w:footnote>
  <w:footnote w:id="5">
    <w:p w14:paraId="1F6F43D8" w14:textId="77777777" w:rsidR="0010156D" w:rsidRPr="00C05384" w:rsidRDefault="0010156D" w:rsidP="0010156D">
      <w:pPr>
        <w:pStyle w:val="Textonotapie"/>
        <w:ind w:firstLine="709"/>
        <w:jc w:val="both"/>
        <w:rPr>
          <w:rFonts w:ascii="Verdana" w:hAnsi="Verdana" w:cs="Arial"/>
          <w:sz w:val="16"/>
          <w:szCs w:val="16"/>
          <w:lang w:val="es-CO"/>
        </w:rPr>
      </w:pPr>
      <w:r w:rsidRPr="00C05384">
        <w:rPr>
          <w:rStyle w:val="Refdenotaalpie"/>
          <w:rFonts w:ascii="Verdana" w:hAnsi="Verdana" w:cs="Arial"/>
          <w:sz w:val="16"/>
          <w:szCs w:val="16"/>
        </w:rPr>
        <w:footnoteRef/>
      </w:r>
      <w:r w:rsidRPr="00C05384">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0A8A6D98" w14:textId="77777777" w:rsidR="0010156D" w:rsidRPr="00C05384" w:rsidRDefault="0010156D" w:rsidP="0010156D">
      <w:pPr>
        <w:pStyle w:val="Textonotapie"/>
        <w:ind w:firstLine="709"/>
        <w:jc w:val="both"/>
        <w:rPr>
          <w:rFonts w:ascii="Verdana" w:hAnsi="Verdana" w:cs="Arial"/>
          <w:sz w:val="16"/>
          <w:szCs w:val="16"/>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de fecha 24 de julio de 2013, Rad. 2166, C. P. Álvaro </w:t>
      </w:r>
      <w:proofErr w:type="spellStart"/>
      <w:r w:rsidRPr="00C05384">
        <w:rPr>
          <w:rFonts w:ascii="Verdana" w:hAnsi="Verdana" w:cs="Arial"/>
          <w:sz w:val="16"/>
          <w:szCs w:val="16"/>
        </w:rPr>
        <w:t>Namén</w:t>
      </w:r>
      <w:proofErr w:type="spellEnd"/>
      <w:r w:rsidRPr="00C05384">
        <w:rPr>
          <w:rFonts w:ascii="Verdana" w:hAnsi="Verdana" w:cs="Arial"/>
          <w:sz w:val="16"/>
          <w:szCs w:val="16"/>
        </w:rPr>
        <w:t xml:space="preserve"> Vargas.  </w:t>
      </w:r>
    </w:p>
  </w:footnote>
  <w:footnote w:id="7">
    <w:p w14:paraId="7B9B1590" w14:textId="77777777" w:rsidR="0010156D" w:rsidRPr="00C05384" w:rsidRDefault="0010156D" w:rsidP="0010156D">
      <w:pPr>
        <w:pStyle w:val="Textonotapie"/>
        <w:ind w:firstLine="709"/>
        <w:jc w:val="both"/>
        <w:rPr>
          <w:rFonts w:ascii="Verdana" w:hAnsi="Verdana"/>
          <w:sz w:val="16"/>
          <w:szCs w:val="16"/>
          <w:lang w:val="es-ES"/>
        </w:rPr>
      </w:pPr>
      <w:r w:rsidRPr="00C05384">
        <w:rPr>
          <w:rStyle w:val="Refdenotaalpie"/>
          <w:rFonts w:ascii="Verdana" w:hAnsi="Verdana"/>
          <w:sz w:val="16"/>
          <w:szCs w:val="16"/>
        </w:rPr>
        <w:footnoteRef/>
      </w:r>
      <w:r w:rsidRPr="00C05384">
        <w:rPr>
          <w:rFonts w:ascii="Verdana" w:hAnsi="Verdana"/>
          <w:sz w:val="16"/>
          <w:szCs w:val="16"/>
        </w:rPr>
        <w:t xml:space="preserve"> Consejo de Estado. Sala de Consulta y Servicio Civil. Concepto del 08 de mayo de 2018. </w:t>
      </w:r>
      <w:proofErr w:type="spellStart"/>
      <w:r w:rsidRPr="00C05384">
        <w:rPr>
          <w:rFonts w:ascii="Verdana" w:hAnsi="Verdana"/>
          <w:sz w:val="16"/>
          <w:szCs w:val="16"/>
        </w:rPr>
        <w:t>Exp</w:t>
      </w:r>
      <w:proofErr w:type="spellEnd"/>
      <w:r w:rsidRPr="00C05384">
        <w:rPr>
          <w:rFonts w:ascii="Verdana" w:hAnsi="Verdana"/>
          <w:sz w:val="16"/>
          <w:szCs w:val="16"/>
        </w:rPr>
        <w:t xml:space="preserve">. 2.382. C.P. Álvaro </w:t>
      </w:r>
      <w:proofErr w:type="spellStart"/>
      <w:r w:rsidRPr="00C05384">
        <w:rPr>
          <w:rFonts w:ascii="Verdana" w:hAnsi="Verdana"/>
          <w:sz w:val="16"/>
          <w:szCs w:val="16"/>
        </w:rPr>
        <w:t>Namén</w:t>
      </w:r>
      <w:proofErr w:type="spellEnd"/>
      <w:r w:rsidRPr="00C05384">
        <w:rPr>
          <w:rFonts w:ascii="Verdana" w:hAnsi="Verdana"/>
          <w:sz w:val="16"/>
          <w:szCs w:val="16"/>
        </w:rPr>
        <w:t xml:space="preserve"> Vargas.</w:t>
      </w:r>
    </w:p>
  </w:footnote>
  <w:footnote w:id="8">
    <w:p w14:paraId="02177323" w14:textId="77777777" w:rsidR="0010156D" w:rsidRPr="00C05384" w:rsidRDefault="0010156D" w:rsidP="0010156D">
      <w:pPr>
        <w:spacing w:after="0" w:line="240" w:lineRule="auto"/>
        <w:ind w:left="100" w:right="244" w:firstLine="709"/>
        <w:jc w:val="both"/>
        <w:rPr>
          <w:rFonts w:ascii="Verdana" w:hAnsi="Verdana" w:cs="Arial"/>
          <w:sz w:val="16"/>
          <w:szCs w:val="16"/>
          <w:lang w:val="es-ES"/>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9">
    <w:p w14:paraId="58A8C1A8" w14:textId="77777777" w:rsidR="0010156D" w:rsidRPr="00C05384" w:rsidRDefault="0010156D" w:rsidP="0010156D">
      <w:pPr>
        <w:pStyle w:val="Textonotapie"/>
        <w:ind w:firstLine="709"/>
        <w:jc w:val="both"/>
        <w:rPr>
          <w:rFonts w:ascii="Verdana" w:hAnsi="Verdana"/>
          <w:sz w:val="16"/>
          <w:szCs w:val="16"/>
          <w:lang w:val="es-ES"/>
        </w:rPr>
      </w:pPr>
      <w:r w:rsidRPr="00C05384">
        <w:rPr>
          <w:rStyle w:val="Refdenotaalpie"/>
          <w:rFonts w:ascii="Verdana" w:hAnsi="Verdana"/>
          <w:sz w:val="16"/>
          <w:szCs w:val="16"/>
        </w:rPr>
        <w:footnoteRef/>
      </w:r>
      <w:r w:rsidRPr="00C05384">
        <w:rPr>
          <w:rFonts w:ascii="Verdana" w:hAnsi="Verdana"/>
          <w:sz w:val="16"/>
          <w:szCs w:val="16"/>
        </w:rPr>
        <w:t xml:space="preserve"> </w:t>
      </w:r>
      <w:hyperlink r:id="rId1" w:history="1">
        <w:r w:rsidRPr="00C05384">
          <w:rPr>
            <w:rStyle w:val="Hipervnculo"/>
            <w:rFonts w:ascii="Verdana" w:hAnsi="Verdana"/>
            <w:sz w:val="16"/>
            <w:szCs w:val="16"/>
          </w:rPr>
          <w:t>https://www.colombiacompra.gov.co/wp-content/uploads/2024/08/circular_externa_unica_version_3_vf49-1.pdf</w:t>
        </w:r>
      </w:hyperlink>
      <w:r w:rsidRPr="00C05384">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AE4259"/>
    <w:multiLevelType w:val="hybridMultilevel"/>
    <w:tmpl w:val="87BCDB0A"/>
    <w:lvl w:ilvl="0" w:tplc="DFE0476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80891029">
    <w:abstractNumId w:val="7"/>
  </w:num>
  <w:num w:numId="2" w16cid:durableId="1021857902">
    <w:abstractNumId w:val="2"/>
  </w:num>
  <w:num w:numId="3" w16cid:durableId="1347513624">
    <w:abstractNumId w:val="5"/>
  </w:num>
  <w:num w:numId="4" w16cid:durableId="18702164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1757701">
    <w:abstractNumId w:val="2"/>
  </w:num>
  <w:num w:numId="6" w16cid:durableId="1110323663">
    <w:abstractNumId w:val="14"/>
  </w:num>
  <w:num w:numId="7" w16cid:durableId="1259365657">
    <w:abstractNumId w:val="6"/>
  </w:num>
  <w:num w:numId="8" w16cid:durableId="1045178562">
    <w:abstractNumId w:val="13"/>
  </w:num>
  <w:num w:numId="9" w16cid:durableId="170417650">
    <w:abstractNumId w:val="8"/>
  </w:num>
  <w:num w:numId="10" w16cid:durableId="1303652996">
    <w:abstractNumId w:val="12"/>
  </w:num>
  <w:num w:numId="11" w16cid:durableId="1781144688">
    <w:abstractNumId w:val="9"/>
  </w:num>
  <w:num w:numId="12" w16cid:durableId="616714172">
    <w:abstractNumId w:val="1"/>
  </w:num>
  <w:num w:numId="13" w16cid:durableId="123157129">
    <w:abstractNumId w:val="4"/>
  </w:num>
  <w:num w:numId="14" w16cid:durableId="1294367354">
    <w:abstractNumId w:val="15"/>
  </w:num>
  <w:num w:numId="15" w16cid:durableId="648175332">
    <w:abstractNumId w:val="11"/>
  </w:num>
  <w:num w:numId="16" w16cid:durableId="195574905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6453289">
    <w:abstractNumId w:val="3"/>
  </w:num>
  <w:num w:numId="18" w16cid:durableId="3734305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720F"/>
    <w:rsid w:val="00082362"/>
    <w:rsid w:val="000A683E"/>
    <w:rsid w:val="000B19B9"/>
    <w:rsid w:val="000C0251"/>
    <w:rsid w:val="000D0334"/>
    <w:rsid w:val="000F6486"/>
    <w:rsid w:val="0010156D"/>
    <w:rsid w:val="00125105"/>
    <w:rsid w:val="00127233"/>
    <w:rsid w:val="001511A0"/>
    <w:rsid w:val="001D3F31"/>
    <w:rsid w:val="001E4177"/>
    <w:rsid w:val="001F596B"/>
    <w:rsid w:val="001F7DC6"/>
    <w:rsid w:val="00205B5D"/>
    <w:rsid w:val="00221096"/>
    <w:rsid w:val="00235EB1"/>
    <w:rsid w:val="002421BB"/>
    <w:rsid w:val="0025796E"/>
    <w:rsid w:val="002707A2"/>
    <w:rsid w:val="002951A0"/>
    <w:rsid w:val="002962BC"/>
    <w:rsid w:val="002A093D"/>
    <w:rsid w:val="002A0DD0"/>
    <w:rsid w:val="002A49AC"/>
    <w:rsid w:val="002A64FD"/>
    <w:rsid w:val="002C7A84"/>
    <w:rsid w:val="002E4FD9"/>
    <w:rsid w:val="002F1B93"/>
    <w:rsid w:val="00322A85"/>
    <w:rsid w:val="00324168"/>
    <w:rsid w:val="003313BB"/>
    <w:rsid w:val="003448F4"/>
    <w:rsid w:val="003571C9"/>
    <w:rsid w:val="00374F5E"/>
    <w:rsid w:val="00377E3E"/>
    <w:rsid w:val="003A779E"/>
    <w:rsid w:val="003D0F4D"/>
    <w:rsid w:val="003D5B0D"/>
    <w:rsid w:val="003E0499"/>
    <w:rsid w:val="003F3941"/>
    <w:rsid w:val="00406575"/>
    <w:rsid w:val="00414C74"/>
    <w:rsid w:val="0042722E"/>
    <w:rsid w:val="0044528D"/>
    <w:rsid w:val="00462E9B"/>
    <w:rsid w:val="004A1847"/>
    <w:rsid w:val="004A305D"/>
    <w:rsid w:val="004F21C4"/>
    <w:rsid w:val="004F685F"/>
    <w:rsid w:val="005566E8"/>
    <w:rsid w:val="00574867"/>
    <w:rsid w:val="00591460"/>
    <w:rsid w:val="005B3816"/>
    <w:rsid w:val="005C3777"/>
    <w:rsid w:val="005C5CDC"/>
    <w:rsid w:val="005D476C"/>
    <w:rsid w:val="006219F8"/>
    <w:rsid w:val="00665D70"/>
    <w:rsid w:val="006900D9"/>
    <w:rsid w:val="006C641C"/>
    <w:rsid w:val="00706C16"/>
    <w:rsid w:val="00756841"/>
    <w:rsid w:val="007649AB"/>
    <w:rsid w:val="00771D0C"/>
    <w:rsid w:val="00781AB1"/>
    <w:rsid w:val="007833AC"/>
    <w:rsid w:val="00796F2E"/>
    <w:rsid w:val="007B268C"/>
    <w:rsid w:val="007B7171"/>
    <w:rsid w:val="007C0C0F"/>
    <w:rsid w:val="007C3DC2"/>
    <w:rsid w:val="007E15E9"/>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E2C8B"/>
    <w:rsid w:val="009F3A13"/>
    <w:rsid w:val="00A122D3"/>
    <w:rsid w:val="00A17F13"/>
    <w:rsid w:val="00A20739"/>
    <w:rsid w:val="00A33C78"/>
    <w:rsid w:val="00AB0ADB"/>
    <w:rsid w:val="00AF29A0"/>
    <w:rsid w:val="00B01B1A"/>
    <w:rsid w:val="00B469B1"/>
    <w:rsid w:val="00B66319"/>
    <w:rsid w:val="00B72CD3"/>
    <w:rsid w:val="00B72FFF"/>
    <w:rsid w:val="00B82330"/>
    <w:rsid w:val="00BC3D36"/>
    <w:rsid w:val="00BD7F72"/>
    <w:rsid w:val="00C04FB3"/>
    <w:rsid w:val="00C320BD"/>
    <w:rsid w:val="00C330EB"/>
    <w:rsid w:val="00C41061"/>
    <w:rsid w:val="00C53B2A"/>
    <w:rsid w:val="00C754BE"/>
    <w:rsid w:val="00C76B1C"/>
    <w:rsid w:val="00CB6357"/>
    <w:rsid w:val="00CC1B26"/>
    <w:rsid w:val="00D1215B"/>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A3708"/>
    <w:rsid w:val="00EB5552"/>
    <w:rsid w:val="00EC38A7"/>
    <w:rsid w:val="00ED7384"/>
    <w:rsid w:val="00EE1AA8"/>
    <w:rsid w:val="00F31EDC"/>
    <w:rsid w:val="00F462B3"/>
    <w:rsid w:val="00F5664F"/>
    <w:rsid w:val="00F666C4"/>
    <w:rsid w:val="00F76AFC"/>
    <w:rsid w:val="00FA47C0"/>
    <w:rsid w:val="00FB5DD1"/>
    <w:rsid w:val="00FB7CEF"/>
    <w:rsid w:val="00FC2B5D"/>
    <w:rsid w:val="00FF1449"/>
    <w:rsid w:val="0D6F3812"/>
    <w:rsid w:val="165E9519"/>
    <w:rsid w:val="1E91DC5E"/>
    <w:rsid w:val="1F00378D"/>
    <w:rsid w:val="382536D9"/>
    <w:rsid w:val="4534E60F"/>
    <w:rsid w:val="485EFC16"/>
    <w:rsid w:val="4F5C4B5A"/>
    <w:rsid w:val="541D656F"/>
    <w:rsid w:val="55207ACE"/>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0156D"/>
    <w:rPr>
      <w:rFonts w:ascii="Geomanist Light" w:hAnsi="Geomanist Light"/>
      <w:lang w:val="es-ES"/>
    </w:rPr>
  </w:style>
  <w:style w:type="paragraph" w:customStyle="1" w:styleId="Appelnotedebasde">
    <w:name w:val="Appel note de bas de..."/>
    <w:basedOn w:val="Normal"/>
    <w:link w:val="Refdenotaalpie"/>
    <w:uiPriority w:val="99"/>
    <w:rsid w:val="0010156D"/>
    <w:pPr>
      <w:spacing w:line="240" w:lineRule="exact"/>
    </w:pPr>
    <w:rPr>
      <w:vertAlign w:val="superscript"/>
    </w:rPr>
  </w:style>
  <w:style w:type="character" w:customStyle="1" w:styleId="baj">
    <w:name w:val="b_aj"/>
    <w:basedOn w:val="Fuentedeprrafopredeter"/>
    <w:rsid w:val="0010156D"/>
  </w:style>
  <w:style w:type="paragraph" w:styleId="Textocomentario">
    <w:name w:val="annotation text"/>
    <w:basedOn w:val="Normal"/>
    <w:link w:val="TextocomentarioCar"/>
    <w:uiPriority w:val="99"/>
    <w:semiHidden/>
    <w:unhideWhenUsed/>
    <w:rsid w:val="00462E9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62E9B"/>
    <w:rPr>
      <w:sz w:val="20"/>
      <w:szCs w:val="20"/>
    </w:rPr>
  </w:style>
  <w:style w:type="character" w:styleId="Refdecomentario">
    <w:name w:val="annotation reference"/>
    <w:basedOn w:val="Fuentedeprrafopredeter"/>
    <w:uiPriority w:val="99"/>
    <w:semiHidden/>
    <w:unhideWhenUsed/>
    <w:rsid w:val="00462E9B"/>
    <w:rPr>
      <w:sz w:val="16"/>
      <w:szCs w:val="16"/>
    </w:rPr>
  </w:style>
  <w:style w:type="paragraph" w:styleId="Asuntodelcomentario">
    <w:name w:val="annotation subject"/>
    <w:basedOn w:val="Textocomentario"/>
    <w:next w:val="Textocomentario"/>
    <w:link w:val="AsuntodelcomentarioCar"/>
    <w:uiPriority w:val="99"/>
    <w:semiHidden/>
    <w:unhideWhenUsed/>
    <w:rsid w:val="002F1B93"/>
    <w:rPr>
      <w:b/>
      <w:bCs/>
    </w:rPr>
  </w:style>
  <w:style w:type="character" w:customStyle="1" w:styleId="AsuntodelcomentarioCar">
    <w:name w:val="Asunto del comentario Car"/>
    <w:basedOn w:val="TextocomentarioCar"/>
    <w:link w:val="Asuntodelcomentario"/>
    <w:uiPriority w:val="99"/>
    <w:semiHidden/>
    <w:rsid w:val="002F1B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talina.cubides%40colombiacompra.gov.co%7C7cfff6dece924643582c08dd97bfed90%7C7b09041e245149d08cb179d5e3d8c1be%7C0%7C0%7C638833572789617407%7CUnknown%7CTWFpbGZsb3d8eyJFbXB0eU1hcGkiOnRydWUsIlYiOiIwLjAuMDAwMCIsIlAiOiJXaW4zMiIsIkFOIjoiTWFpbCIsIldUIjoyfQ%3D%3D%7C0%7C%7C%7C&amp;sdata=9uKHGs1CT3BZvajf54ettWU83zMQL5yVTuUSLWeSBxw%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therine.echeverrymartinez@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wp-content/uploads/2024/08/circular_externa_unica_version_3_vf49-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ebbc79d-423d-4cb2-b33e-d3110c1c174b"/>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54090426-4AC6-4B75-ABD0-3A56D08B94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4533</Words>
  <Characters>24932</Characters>
  <Application>Microsoft Office Word</Application>
  <DocSecurity>0</DocSecurity>
  <Lines>207</Lines>
  <Paragraphs>58</Paragraphs>
  <ScaleCrop>false</ScaleCrop>
  <Company/>
  <LinksUpToDate>false</LinksUpToDate>
  <CharactersWithSpaces>29407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2</cp:revision>
  <cp:lastPrinted>2023-01-10T21:18:00Z</cp:lastPrinted>
  <dcterms:created xsi:type="dcterms:W3CDTF">2025-09-02T23:49:00Z</dcterms:created>
  <dcterms:modified xsi:type="dcterms:W3CDTF">2025-09-02T23:49:00Z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