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D4BDE" w14:textId="77777777" w:rsidR="00623E6F" w:rsidRDefault="00623E6F" w:rsidP="00623E6F">
      <w:pPr>
        <w:spacing w:after="0" w:line="240" w:lineRule="auto"/>
        <w:jc w:val="both"/>
        <w:rPr>
          <w:rFonts w:ascii="Verdana" w:eastAsia="Geomanist Light" w:hAnsi="Verdana" w:cs="Arial"/>
          <w:b/>
          <w:bCs/>
          <w:color w:val="000000" w:themeColor="text1"/>
        </w:rPr>
      </w:pPr>
      <w:r w:rsidRPr="00997991">
        <w:rPr>
          <w:rFonts w:ascii="Verdana" w:eastAsia="Geomanist Light" w:hAnsi="Verdana" w:cs="Arial"/>
          <w:b/>
          <w:bCs/>
          <w:color w:val="000000" w:themeColor="text1"/>
        </w:rPr>
        <w:t xml:space="preserve">SUPERVISIÓN E INTERVENTORÍA – </w:t>
      </w:r>
      <w:r w:rsidRPr="00997991">
        <w:rPr>
          <w:rFonts w:ascii="Verdana" w:eastAsia="Calibri" w:hAnsi="Verdana" w:cs="Arial"/>
          <w:b/>
          <w:bCs/>
          <w:color w:val="000000" w:themeColor="text1"/>
          <w:lang w:val="es-ES" w:eastAsia="es-ES"/>
        </w:rPr>
        <w:t>Concepto – Finalidad</w:t>
      </w:r>
    </w:p>
    <w:p w14:paraId="5434723E" w14:textId="77777777" w:rsidR="00623E6F" w:rsidRPr="00997991" w:rsidRDefault="00623E6F" w:rsidP="00623E6F">
      <w:pPr>
        <w:spacing w:after="0" w:line="240" w:lineRule="auto"/>
        <w:jc w:val="both"/>
        <w:rPr>
          <w:rFonts w:ascii="Verdana" w:eastAsia="Geomanist Light" w:hAnsi="Verdana" w:cs="Arial"/>
          <w:color w:val="000000" w:themeColor="text1"/>
        </w:rPr>
      </w:pPr>
      <w:r w:rsidRPr="00997991">
        <w:rPr>
          <w:rFonts w:ascii="Verdana" w:eastAsia="Geomanist Light" w:hAnsi="Verdana" w:cs="Arial"/>
          <w:b/>
          <w:bCs/>
          <w:color w:val="000000" w:themeColor="text1"/>
        </w:rPr>
        <w:t> </w:t>
      </w:r>
      <w:r w:rsidRPr="00997991">
        <w:rPr>
          <w:rFonts w:ascii="Verdana" w:eastAsia="Geomanist Light" w:hAnsi="Verdana" w:cs="Arial"/>
          <w:color w:val="000000" w:themeColor="text1"/>
        </w:rPr>
        <w:t> </w:t>
      </w:r>
    </w:p>
    <w:p w14:paraId="7B0F9241" w14:textId="77777777" w:rsidR="00623E6F" w:rsidRPr="00997991" w:rsidRDefault="00623E6F" w:rsidP="00623E6F">
      <w:pPr>
        <w:spacing w:after="0" w:line="240" w:lineRule="auto"/>
        <w:jc w:val="both"/>
        <w:rPr>
          <w:rFonts w:ascii="Verdana" w:eastAsia="Geomanist Light" w:hAnsi="Verdana" w:cs="Arial"/>
          <w:color w:val="000000" w:themeColor="text1"/>
          <w:sz w:val="20"/>
          <w:szCs w:val="20"/>
        </w:rPr>
      </w:pPr>
      <w:r w:rsidRPr="00997991">
        <w:rPr>
          <w:rFonts w:ascii="Verdana" w:eastAsia="Geomanist Light" w:hAnsi="Verdana" w:cs="Arial"/>
          <w:color w:val="000000" w:themeColor="text1"/>
          <w:sz w:val="20"/>
          <w:szCs w:val="20"/>
        </w:rPr>
        <w:t>[…]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w:t>
      </w:r>
    </w:p>
    <w:p w14:paraId="1F6AD0BC" w14:textId="77777777" w:rsidR="00623E6F" w:rsidRDefault="00623E6F" w:rsidP="00623E6F">
      <w:pPr>
        <w:spacing w:after="0" w:line="240" w:lineRule="auto"/>
        <w:rPr>
          <w:rFonts w:ascii="Verdana" w:eastAsia="Geomanist Light" w:hAnsi="Verdana" w:cs="Arial"/>
          <w:color w:val="000000" w:themeColor="text1"/>
          <w:lang w:val="es-MX"/>
        </w:rPr>
      </w:pPr>
    </w:p>
    <w:p w14:paraId="5FD67F5B" w14:textId="77777777" w:rsidR="00623E6F" w:rsidRDefault="00623E6F" w:rsidP="00623E6F">
      <w:pPr>
        <w:spacing w:after="0" w:line="240" w:lineRule="auto"/>
        <w:rPr>
          <w:rFonts w:ascii="Verdana" w:eastAsia="Geomanist Light" w:hAnsi="Verdana" w:cs="Arial"/>
          <w:color w:val="000000" w:themeColor="text1"/>
          <w:lang w:val="es-MX"/>
        </w:rPr>
      </w:pPr>
    </w:p>
    <w:p w14:paraId="42E0B5B4" w14:textId="77777777" w:rsidR="00623E6F" w:rsidRDefault="00623E6F" w:rsidP="00623E6F">
      <w:pPr>
        <w:spacing w:after="0" w:line="240" w:lineRule="auto"/>
        <w:rPr>
          <w:rFonts w:ascii="Verdana" w:eastAsia="Geomanist Light" w:hAnsi="Verdana" w:cs="Arial"/>
          <w:color w:val="000000" w:themeColor="text1"/>
        </w:rPr>
      </w:pPr>
      <w:r w:rsidRPr="00997991">
        <w:rPr>
          <w:rFonts w:ascii="Verdana" w:eastAsia="Geomanist Light" w:hAnsi="Verdana" w:cs="Arial"/>
          <w:b/>
          <w:bCs/>
          <w:color w:val="000000" w:themeColor="text1"/>
        </w:rPr>
        <w:t>SUPERVISIÓN DEL CONTRATO – Características</w:t>
      </w:r>
      <w:r w:rsidRPr="00997991">
        <w:rPr>
          <w:rFonts w:ascii="Verdana" w:eastAsia="Geomanist Light" w:hAnsi="Verdana" w:cs="Arial"/>
          <w:color w:val="000000" w:themeColor="text1"/>
        </w:rPr>
        <w:t> </w:t>
      </w:r>
    </w:p>
    <w:p w14:paraId="41A78698" w14:textId="77777777" w:rsidR="00623E6F" w:rsidRPr="00997991" w:rsidRDefault="00623E6F" w:rsidP="00623E6F">
      <w:pPr>
        <w:spacing w:after="0" w:line="240" w:lineRule="auto"/>
        <w:rPr>
          <w:rFonts w:ascii="Verdana" w:eastAsia="Geomanist Light" w:hAnsi="Verdana" w:cs="Arial"/>
          <w:color w:val="000000" w:themeColor="text1"/>
        </w:rPr>
      </w:pPr>
    </w:p>
    <w:p w14:paraId="52E344A4" w14:textId="77777777" w:rsidR="00623E6F" w:rsidRPr="00997991" w:rsidRDefault="00623E6F" w:rsidP="00623E6F">
      <w:pPr>
        <w:spacing w:after="0" w:line="240" w:lineRule="auto"/>
        <w:jc w:val="both"/>
        <w:rPr>
          <w:rFonts w:ascii="Verdana" w:eastAsia="Geomanist Light" w:hAnsi="Verdana" w:cs="Arial"/>
          <w:color w:val="000000" w:themeColor="text1"/>
          <w:sz w:val="20"/>
          <w:szCs w:val="20"/>
        </w:rPr>
      </w:pPr>
      <w:r w:rsidRPr="00997991">
        <w:rPr>
          <w:rFonts w:ascii="Verdana" w:eastAsia="Geomanist Light" w:hAnsi="Verdana" w:cs="Arial"/>
          <w:color w:val="000000" w:themeColor="text1"/>
          <w:sz w:val="20"/>
          <w:szCs w:val="20"/>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w:t>
      </w:r>
      <w:proofErr w:type="spellStart"/>
      <w:r w:rsidRPr="00997991">
        <w:rPr>
          <w:rFonts w:ascii="Verdana" w:eastAsia="Geomanist Light" w:hAnsi="Verdana" w:cs="Arial"/>
          <w:color w:val="000000" w:themeColor="text1"/>
          <w:sz w:val="20"/>
          <w:szCs w:val="20"/>
        </w:rPr>
        <w:t>ii</w:t>
      </w:r>
      <w:proofErr w:type="spellEnd"/>
      <w:r w:rsidRPr="00997991">
        <w:rPr>
          <w:rFonts w:ascii="Verdana" w:eastAsia="Geomanist Light" w:hAnsi="Verdana" w:cs="Arial"/>
          <w:color w:val="000000" w:themeColor="text1"/>
          <w:sz w:val="20"/>
          <w:szCs w:val="20"/>
        </w:rPr>
        <w:t xml:space="preserve">) no requiere conocimientos tan especializados como la interventoría; </w:t>
      </w:r>
      <w:proofErr w:type="spellStart"/>
      <w:r w:rsidRPr="00997991">
        <w:rPr>
          <w:rFonts w:ascii="Verdana" w:eastAsia="Geomanist Light" w:hAnsi="Verdana" w:cs="Arial"/>
          <w:color w:val="000000" w:themeColor="text1"/>
          <w:sz w:val="20"/>
          <w:szCs w:val="20"/>
        </w:rPr>
        <w:t>iii</w:t>
      </w:r>
      <w:proofErr w:type="spellEnd"/>
      <w:r w:rsidRPr="00997991">
        <w:rPr>
          <w:rFonts w:ascii="Verdana" w:eastAsia="Geomanist Light" w:hAnsi="Verdana" w:cs="Arial"/>
          <w:color w:val="000000" w:themeColor="text1"/>
          <w:sz w:val="20"/>
          <w:szCs w:val="20"/>
        </w:rPr>
        <w:t xml:space="preserve">) se ejerce por la Entidad Estatal por conducto de la designación de servidores públicos idóneos para cumplir la función; </w:t>
      </w:r>
      <w:proofErr w:type="spellStart"/>
      <w:r w:rsidRPr="00997991">
        <w:rPr>
          <w:rFonts w:ascii="Verdana" w:eastAsia="Geomanist Light" w:hAnsi="Verdana" w:cs="Arial"/>
          <w:color w:val="000000" w:themeColor="text1"/>
          <w:sz w:val="20"/>
          <w:szCs w:val="20"/>
        </w:rPr>
        <w:t>iv</w:t>
      </w:r>
      <w:proofErr w:type="spellEnd"/>
      <w:r w:rsidRPr="00997991">
        <w:rPr>
          <w:rFonts w:ascii="Verdana" w:eastAsia="Geomanist Light" w:hAnsi="Verdana" w:cs="Arial"/>
          <w:color w:val="000000" w:themeColor="text1"/>
          <w:sz w:val="20"/>
          <w:szCs w:val="20"/>
        </w:rPr>
        <w:t>) puede recibir apoyo de personal contratado para tal fin mediante contratos de prestación de servicios; y v) le es inseparable el seguimiento técnico, administrativo, financiero, contable y jurídico del contrato vigilado. </w:t>
      </w:r>
    </w:p>
    <w:p w14:paraId="73CD3618" w14:textId="77777777" w:rsidR="00623E6F" w:rsidRDefault="00623E6F" w:rsidP="00623E6F">
      <w:pPr>
        <w:spacing w:after="0" w:line="240" w:lineRule="auto"/>
        <w:rPr>
          <w:rFonts w:ascii="Verdana" w:eastAsia="Geomanist Light" w:hAnsi="Verdana" w:cs="Arial"/>
          <w:color w:val="000000" w:themeColor="text1"/>
          <w:lang w:val="es-MX"/>
        </w:rPr>
      </w:pPr>
    </w:p>
    <w:p w14:paraId="22A133DA" w14:textId="77777777" w:rsidR="00623E6F" w:rsidRDefault="00623E6F" w:rsidP="00623E6F">
      <w:pPr>
        <w:spacing w:after="0" w:line="240" w:lineRule="auto"/>
        <w:rPr>
          <w:rFonts w:ascii="Verdana" w:eastAsia="Geomanist Light" w:hAnsi="Verdana" w:cs="Arial"/>
          <w:color w:val="000000" w:themeColor="text1"/>
          <w:lang w:val="es-MX"/>
        </w:rPr>
      </w:pPr>
    </w:p>
    <w:p w14:paraId="1D4EF2DC" w14:textId="77777777" w:rsidR="00623E6F" w:rsidRPr="007712EE" w:rsidRDefault="00623E6F" w:rsidP="00623E6F">
      <w:pPr>
        <w:spacing w:after="0" w:line="240" w:lineRule="auto"/>
        <w:rPr>
          <w:rFonts w:ascii="Verdana" w:eastAsia="Geomanist Light" w:hAnsi="Verdana" w:cs="Arial"/>
          <w:b/>
          <w:bCs/>
          <w:color w:val="000000" w:themeColor="text1"/>
          <w:lang w:val="es-MX"/>
        </w:rPr>
      </w:pPr>
      <w:r w:rsidRPr="007712EE">
        <w:rPr>
          <w:rFonts w:ascii="Verdana" w:eastAsia="Calibri" w:hAnsi="Verdana" w:cs="Arial"/>
          <w:b/>
          <w:bCs/>
          <w:color w:val="000000" w:themeColor="text1"/>
          <w:lang w:val="es-ES" w:eastAsia="es-ES"/>
        </w:rPr>
        <w:t>INTERVENTORÍA – Artículo 83, parágrafo 1° – Necesidad – Contratos con valor superior a menor cuantía</w:t>
      </w:r>
    </w:p>
    <w:p w14:paraId="78C7B264" w14:textId="77777777" w:rsidR="00623E6F" w:rsidRDefault="00623E6F" w:rsidP="00623E6F">
      <w:pPr>
        <w:spacing w:after="0" w:line="240" w:lineRule="auto"/>
        <w:rPr>
          <w:rFonts w:ascii="Verdana" w:eastAsia="Geomanist Light" w:hAnsi="Verdana" w:cs="Arial"/>
          <w:color w:val="000000" w:themeColor="text1"/>
          <w:lang w:val="es-MX"/>
        </w:rPr>
      </w:pPr>
    </w:p>
    <w:p w14:paraId="2013A9AE" w14:textId="77777777" w:rsidR="00623E6F" w:rsidRPr="007712EE" w:rsidRDefault="00623E6F" w:rsidP="00623E6F">
      <w:pPr>
        <w:spacing w:after="0" w:line="240" w:lineRule="auto"/>
        <w:jc w:val="both"/>
        <w:rPr>
          <w:rFonts w:ascii="Verdana" w:eastAsia="Geomanist Light" w:hAnsi="Verdana" w:cs="Arial"/>
          <w:color w:val="000000" w:themeColor="text1"/>
          <w:sz w:val="20"/>
          <w:szCs w:val="20"/>
          <w:lang w:val="es-MX"/>
        </w:rPr>
      </w:pPr>
      <w:r w:rsidRPr="007712EE">
        <w:rPr>
          <w:rFonts w:ascii="Verdana" w:eastAsia="Geomanist Light" w:hAnsi="Verdana" w:cs="Arial"/>
          <w:color w:val="000000" w:themeColor="text1"/>
          <w:sz w:val="20"/>
          <w:szCs w:val="20"/>
        </w:rPr>
        <w:t xml:space="preserve">De este modo, 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w:t>
      </w:r>
      <w:proofErr w:type="spellStart"/>
      <w:r w:rsidRPr="007712EE">
        <w:rPr>
          <w:rFonts w:ascii="Verdana" w:eastAsia="Geomanist Light" w:hAnsi="Verdana" w:cs="Arial"/>
          <w:color w:val="000000" w:themeColor="text1"/>
          <w:sz w:val="20"/>
          <w:szCs w:val="20"/>
        </w:rPr>
        <w:t>ii</w:t>
      </w:r>
      <w:proofErr w:type="spellEnd"/>
      <w:r w:rsidRPr="007712EE">
        <w:rPr>
          <w:rFonts w:ascii="Verdana" w:eastAsia="Geomanist Light" w:hAnsi="Verdana" w:cs="Arial"/>
          <w:color w:val="000000" w:themeColor="text1"/>
          <w:sz w:val="20"/>
          <w:szCs w:val="20"/>
        </w:rPr>
        <w:t xml:space="preserve">) es un mecanismo de vigilancia que exige, en su ejecución, la utilización de conocimientos especializados; </w:t>
      </w:r>
      <w:proofErr w:type="spellStart"/>
      <w:r w:rsidRPr="007712EE">
        <w:rPr>
          <w:rFonts w:ascii="Verdana" w:eastAsia="Geomanist Light" w:hAnsi="Verdana" w:cs="Arial"/>
          <w:color w:val="000000" w:themeColor="text1"/>
          <w:sz w:val="20"/>
          <w:szCs w:val="20"/>
        </w:rPr>
        <w:t>iii</w:t>
      </w:r>
      <w:proofErr w:type="spellEnd"/>
      <w:r w:rsidRPr="007712EE">
        <w:rPr>
          <w:rFonts w:ascii="Verdana" w:eastAsia="Geomanist Light" w:hAnsi="Verdana" w:cs="Arial"/>
          <w:color w:val="000000" w:themeColor="text1"/>
          <w:sz w:val="20"/>
          <w:szCs w:val="20"/>
        </w:rPr>
        <w:t xml:space="preserve">) por lo anterior, la entidad contrata un experto, por regla general, mediante la modalidad de selección de concurso de méritos, al tratarse la interventoría de una especie del contrato de consultoría –art. 32, numeral 2, inciso 2, Ley 80 de 1993 ‒, de manera que la interventoría es realizada por “una persona natural o jurídica contratada para tal fin por la Entidad Estatal” –art. 83, Ley 1474–; </w:t>
      </w:r>
      <w:proofErr w:type="spellStart"/>
      <w:r w:rsidRPr="007712EE">
        <w:rPr>
          <w:rFonts w:ascii="Verdana" w:eastAsia="Geomanist Light" w:hAnsi="Verdana" w:cs="Arial"/>
          <w:color w:val="000000" w:themeColor="text1"/>
          <w:sz w:val="20"/>
          <w:szCs w:val="20"/>
        </w:rPr>
        <w:t>iv</w:t>
      </w:r>
      <w:proofErr w:type="spellEnd"/>
      <w:r w:rsidRPr="007712EE">
        <w:rPr>
          <w:rFonts w:ascii="Verdana" w:eastAsia="Geomanist Light" w:hAnsi="Verdana" w:cs="Arial"/>
          <w:color w:val="000000" w:themeColor="text1"/>
          <w:sz w:val="20"/>
          <w:szCs w:val="20"/>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y finalmente, vi) el contrato de interventoría será supervisado directamente por la entidad –art. 23, inciso 4–.</w:t>
      </w:r>
    </w:p>
    <w:p w14:paraId="2D613BB9" w14:textId="77777777" w:rsidR="00623E6F" w:rsidRDefault="00623E6F" w:rsidP="00623E6F">
      <w:pPr>
        <w:spacing w:after="0" w:line="240" w:lineRule="auto"/>
        <w:rPr>
          <w:rFonts w:ascii="Verdana" w:eastAsia="Geomanist Light" w:hAnsi="Verdana" w:cs="Arial"/>
          <w:color w:val="000000" w:themeColor="text1"/>
          <w:lang w:val="es-MX"/>
        </w:rPr>
      </w:pPr>
    </w:p>
    <w:p w14:paraId="063CF4F0" w14:textId="77777777" w:rsidR="00623E6F" w:rsidRDefault="00623E6F" w:rsidP="00623E6F">
      <w:pPr>
        <w:spacing w:after="0" w:line="240" w:lineRule="auto"/>
        <w:rPr>
          <w:rFonts w:ascii="Verdana" w:eastAsia="Geomanist Light" w:hAnsi="Verdana" w:cs="Arial"/>
          <w:color w:val="000000" w:themeColor="text1"/>
          <w:lang w:val="es-MX"/>
        </w:rPr>
      </w:pPr>
    </w:p>
    <w:p w14:paraId="6B8D4EA9" w14:textId="77777777" w:rsidR="00623E6F" w:rsidRDefault="00623E6F" w:rsidP="00623E6F">
      <w:pPr>
        <w:spacing w:after="0" w:line="240" w:lineRule="auto"/>
        <w:rPr>
          <w:rFonts w:ascii="Verdana" w:eastAsia="Geomanist Light" w:hAnsi="Verdana" w:cs="Arial"/>
          <w:color w:val="000000" w:themeColor="text1"/>
          <w:lang w:val="es-MX"/>
        </w:rPr>
      </w:pPr>
    </w:p>
    <w:p w14:paraId="270FA16E" w14:textId="77777777" w:rsidR="00623E6F" w:rsidRPr="007712EE" w:rsidRDefault="00623E6F" w:rsidP="00623E6F">
      <w:pPr>
        <w:spacing w:after="0" w:line="240" w:lineRule="auto"/>
        <w:rPr>
          <w:rFonts w:ascii="Verdana" w:eastAsia="Geomanist Light" w:hAnsi="Verdana" w:cs="Arial"/>
          <w:b/>
          <w:bCs/>
          <w:color w:val="000000" w:themeColor="text1"/>
          <w:lang w:val="es-MX"/>
        </w:rPr>
      </w:pPr>
      <w:r w:rsidRPr="007712EE">
        <w:rPr>
          <w:rFonts w:ascii="Verdana" w:eastAsia="Calibri" w:hAnsi="Verdana" w:cs="Arial"/>
          <w:b/>
          <w:bCs/>
          <w:color w:val="000000" w:themeColor="text1"/>
          <w:lang w:val="es-ES" w:eastAsia="es-ES"/>
        </w:rPr>
        <w:t>INTERVENTORÍA – Contratos interadministrativos</w:t>
      </w:r>
    </w:p>
    <w:p w14:paraId="1DB0D281" w14:textId="77777777" w:rsidR="00623E6F" w:rsidRDefault="00623E6F" w:rsidP="00623E6F">
      <w:pPr>
        <w:spacing w:after="0" w:line="240" w:lineRule="auto"/>
        <w:rPr>
          <w:rFonts w:ascii="Verdana" w:eastAsia="Geomanist Light" w:hAnsi="Verdana" w:cs="Arial"/>
          <w:color w:val="000000" w:themeColor="text1"/>
        </w:rPr>
      </w:pPr>
    </w:p>
    <w:p w14:paraId="238854AA" w14:textId="77777777" w:rsidR="00623E6F" w:rsidRPr="007712EE" w:rsidRDefault="00623E6F" w:rsidP="00623E6F">
      <w:pPr>
        <w:spacing w:after="0" w:line="240" w:lineRule="auto"/>
        <w:jc w:val="both"/>
        <w:rPr>
          <w:rFonts w:ascii="Verdana" w:eastAsia="Geomanist Light" w:hAnsi="Verdana" w:cs="Arial"/>
          <w:color w:val="000000" w:themeColor="text1"/>
          <w:sz w:val="20"/>
          <w:szCs w:val="20"/>
          <w:lang w:val="es-MX"/>
        </w:rPr>
      </w:pPr>
      <w:r w:rsidRPr="007712EE">
        <w:rPr>
          <w:rFonts w:ascii="Verdana" w:eastAsia="Geomanist Light" w:hAnsi="Verdana" w:cs="Arial"/>
          <w:color w:val="000000" w:themeColor="text1"/>
          <w:sz w:val="20"/>
          <w:szCs w:val="20"/>
        </w:rPr>
        <w:t xml:space="preserve">Las obligaciones del interventor se derivan de dos fuentes: i) las disposiciones normativas de carácter legal o reglamentario y </w:t>
      </w:r>
      <w:proofErr w:type="spellStart"/>
      <w:r w:rsidRPr="007712EE">
        <w:rPr>
          <w:rFonts w:ascii="Verdana" w:eastAsia="Geomanist Light" w:hAnsi="Verdana" w:cs="Arial"/>
          <w:color w:val="000000" w:themeColor="text1"/>
          <w:sz w:val="20"/>
          <w:szCs w:val="20"/>
        </w:rPr>
        <w:t>ii</w:t>
      </w:r>
      <w:proofErr w:type="spellEnd"/>
      <w:r w:rsidRPr="007712EE">
        <w:rPr>
          <w:rFonts w:ascii="Verdana" w:eastAsia="Geomanist Light" w:hAnsi="Verdana" w:cs="Arial"/>
          <w:color w:val="000000" w:themeColor="text1"/>
          <w:sz w:val="20"/>
          <w:szCs w:val="20"/>
        </w:rPr>
        <w:t xml:space="preserve">) el contrato –lo que incluye no solo la minuta, sino también el pliego de condiciones, o el documento equivalente, y sus anexos–. En efecto, la Ley 1474 de 2011 es el principal cuerpo normativo en el que se encuentran consagrados los deberes de los interventores. Estas obligaciones, con fundamento en los artículos 83 –inciso 3– y 84 de dicha Ley, se sintetizan en el ejercicio de una adecuada inspección del cumplimiento del contrato objeto de interventoría. Por ello, como indica el referido artículo 84, “Los interventores y supervisores 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 Esto no obsta para que las partes, en ejercicio de su autonomía de la voluntad, puedan estipular en el contrato –con la debida justificación– obligaciones conexas, que el interventor también deberá cumplir, e incluso contemplar que el plazo de ejecución del contrato de interventoría vaya por un término adicional a la liquidación del contrato objeto de seguimiento, para que vigile el cumplimiento de las obligaciones </w:t>
      </w:r>
      <w:proofErr w:type="spellStart"/>
      <w:r w:rsidRPr="007712EE">
        <w:rPr>
          <w:rFonts w:ascii="Verdana" w:eastAsia="Geomanist Light" w:hAnsi="Verdana" w:cs="Arial"/>
          <w:color w:val="000000" w:themeColor="text1"/>
          <w:sz w:val="20"/>
          <w:szCs w:val="20"/>
        </w:rPr>
        <w:t>post-contractuales</w:t>
      </w:r>
      <w:proofErr w:type="spellEnd"/>
      <w:r w:rsidRPr="007712EE">
        <w:rPr>
          <w:rFonts w:ascii="Verdana" w:eastAsia="Geomanist Light" w:hAnsi="Verdana" w:cs="Arial"/>
          <w:color w:val="000000" w:themeColor="text1"/>
          <w:sz w:val="20"/>
          <w:szCs w:val="20"/>
        </w:rPr>
        <w:t xml:space="preserve"> que queden pendientes, salvaguardando el equilibrio económico del contrato de interventoría.</w:t>
      </w:r>
    </w:p>
    <w:p w14:paraId="4024C145" w14:textId="77777777" w:rsidR="00623E6F" w:rsidRDefault="00623E6F" w:rsidP="00623E6F">
      <w:pPr>
        <w:spacing w:after="0" w:line="240" w:lineRule="auto"/>
        <w:rPr>
          <w:rFonts w:ascii="Verdana" w:eastAsia="Geomanist Light" w:hAnsi="Verdana" w:cs="Arial"/>
          <w:color w:val="000000" w:themeColor="text1"/>
          <w:lang w:val="es-MX"/>
        </w:rPr>
      </w:pPr>
    </w:p>
    <w:p w14:paraId="5D1740CB" w14:textId="77777777" w:rsidR="00623E6F" w:rsidRDefault="00623E6F" w:rsidP="00623E6F">
      <w:pPr>
        <w:spacing w:after="0" w:line="240" w:lineRule="auto"/>
        <w:rPr>
          <w:rFonts w:ascii="Verdana" w:eastAsia="Geomanist Light" w:hAnsi="Verdana" w:cs="Arial"/>
          <w:color w:val="000000" w:themeColor="text1"/>
          <w:lang w:val="es-MX"/>
        </w:rPr>
      </w:pPr>
    </w:p>
    <w:p w14:paraId="601D8595" w14:textId="77777777" w:rsidR="00623E6F" w:rsidRDefault="00623E6F" w:rsidP="00623E6F">
      <w:pPr>
        <w:spacing w:after="0" w:line="240" w:lineRule="auto"/>
        <w:rPr>
          <w:rFonts w:ascii="Verdana" w:eastAsia="Geomanist Light" w:hAnsi="Verdana" w:cs="Arial"/>
          <w:color w:val="000000" w:themeColor="text1"/>
          <w:lang w:val="es-MX"/>
        </w:rPr>
      </w:pPr>
    </w:p>
    <w:p w14:paraId="679A9D29" w14:textId="77777777" w:rsidR="00623E6F" w:rsidRDefault="00623E6F" w:rsidP="00623E6F">
      <w:pPr>
        <w:spacing w:after="0" w:line="240" w:lineRule="auto"/>
        <w:rPr>
          <w:rFonts w:ascii="Verdana" w:eastAsia="Geomanist Light" w:hAnsi="Verdana" w:cs="Arial"/>
          <w:color w:val="000000" w:themeColor="text1"/>
          <w:lang w:val="es-MX"/>
        </w:rPr>
      </w:pPr>
    </w:p>
    <w:p w14:paraId="318C2DA6" w14:textId="77777777" w:rsidR="00623E6F" w:rsidRDefault="00623E6F" w:rsidP="00623E6F">
      <w:pPr>
        <w:spacing w:after="0" w:line="240" w:lineRule="auto"/>
        <w:rPr>
          <w:rFonts w:ascii="Verdana" w:eastAsia="Geomanist Light" w:hAnsi="Verdana" w:cs="Arial"/>
          <w:color w:val="000000" w:themeColor="text1"/>
          <w:lang w:val="es-MX"/>
        </w:rPr>
      </w:pPr>
    </w:p>
    <w:p w14:paraId="69C00787" w14:textId="77777777" w:rsidR="00623E6F" w:rsidRDefault="00623E6F" w:rsidP="00623E6F">
      <w:pPr>
        <w:spacing w:after="0" w:line="240" w:lineRule="auto"/>
        <w:rPr>
          <w:rFonts w:ascii="Verdana" w:eastAsia="Geomanist Light" w:hAnsi="Verdana" w:cs="Arial"/>
          <w:color w:val="000000" w:themeColor="text1"/>
          <w:lang w:val="es-MX"/>
        </w:rPr>
      </w:pPr>
    </w:p>
    <w:p w14:paraId="06EDB82A" w14:textId="77777777" w:rsidR="00623E6F" w:rsidRDefault="00623E6F" w:rsidP="00623E6F">
      <w:pPr>
        <w:spacing w:after="0" w:line="240" w:lineRule="auto"/>
        <w:rPr>
          <w:rFonts w:ascii="Verdana" w:eastAsia="Geomanist Light" w:hAnsi="Verdana" w:cs="Arial"/>
          <w:color w:val="000000" w:themeColor="text1"/>
          <w:lang w:val="es-MX"/>
        </w:rPr>
      </w:pPr>
    </w:p>
    <w:p w14:paraId="68BEC8DF" w14:textId="77777777" w:rsidR="00623E6F" w:rsidRDefault="00623E6F" w:rsidP="00623E6F">
      <w:pPr>
        <w:spacing w:after="0" w:line="240" w:lineRule="auto"/>
        <w:rPr>
          <w:rFonts w:ascii="Verdana" w:eastAsia="Geomanist Light" w:hAnsi="Verdana" w:cs="Arial"/>
          <w:color w:val="000000" w:themeColor="text1"/>
          <w:lang w:val="es-MX"/>
        </w:rPr>
      </w:pPr>
    </w:p>
    <w:p w14:paraId="7A2CF3E4" w14:textId="77777777" w:rsidR="00623E6F" w:rsidRDefault="00623E6F" w:rsidP="00623E6F">
      <w:pPr>
        <w:spacing w:after="0" w:line="240" w:lineRule="auto"/>
        <w:rPr>
          <w:rFonts w:ascii="Verdana" w:eastAsia="Geomanist Light" w:hAnsi="Verdana" w:cs="Arial"/>
          <w:color w:val="000000" w:themeColor="text1"/>
          <w:lang w:val="es-MX"/>
        </w:rPr>
      </w:pPr>
    </w:p>
    <w:p w14:paraId="29956CB6" w14:textId="77777777" w:rsidR="00623E6F" w:rsidRDefault="00623E6F" w:rsidP="00623E6F">
      <w:pPr>
        <w:spacing w:after="0" w:line="240" w:lineRule="auto"/>
        <w:rPr>
          <w:rFonts w:ascii="Verdana" w:eastAsia="Geomanist Light" w:hAnsi="Verdana" w:cs="Arial"/>
          <w:color w:val="000000" w:themeColor="text1"/>
          <w:lang w:val="es-MX"/>
        </w:rPr>
      </w:pPr>
    </w:p>
    <w:p w14:paraId="647857C2" w14:textId="77777777" w:rsidR="00623E6F" w:rsidRDefault="00623E6F" w:rsidP="00623E6F">
      <w:pPr>
        <w:spacing w:after="0" w:line="240" w:lineRule="auto"/>
        <w:rPr>
          <w:rFonts w:ascii="Verdana" w:eastAsia="Geomanist Light" w:hAnsi="Verdana" w:cs="Arial"/>
          <w:color w:val="000000" w:themeColor="text1"/>
          <w:lang w:val="es-MX"/>
        </w:rPr>
      </w:pPr>
    </w:p>
    <w:p w14:paraId="77CB9EEA" w14:textId="77777777" w:rsidR="00623E6F" w:rsidRDefault="00623E6F" w:rsidP="00623E6F">
      <w:pPr>
        <w:spacing w:after="0" w:line="240" w:lineRule="auto"/>
        <w:rPr>
          <w:rFonts w:ascii="Verdana" w:eastAsia="Geomanist Light" w:hAnsi="Verdana" w:cs="Arial"/>
          <w:color w:val="000000" w:themeColor="text1"/>
          <w:lang w:val="es-MX"/>
        </w:rPr>
      </w:pPr>
    </w:p>
    <w:p w14:paraId="599C775C" w14:textId="77777777" w:rsidR="00623E6F" w:rsidRDefault="00623E6F" w:rsidP="00623E6F">
      <w:pPr>
        <w:spacing w:after="0" w:line="240" w:lineRule="auto"/>
        <w:rPr>
          <w:rFonts w:ascii="Verdana" w:eastAsia="Geomanist Light" w:hAnsi="Verdana" w:cs="Arial"/>
          <w:color w:val="000000" w:themeColor="text1"/>
          <w:lang w:val="es-MX"/>
        </w:rPr>
      </w:pPr>
    </w:p>
    <w:p w14:paraId="629BE41B" w14:textId="77777777" w:rsidR="00623E6F" w:rsidRDefault="00623E6F" w:rsidP="00623E6F">
      <w:pPr>
        <w:spacing w:after="0" w:line="240" w:lineRule="auto"/>
        <w:rPr>
          <w:rFonts w:ascii="Verdana" w:eastAsia="Geomanist Light" w:hAnsi="Verdana" w:cs="Arial"/>
          <w:color w:val="000000" w:themeColor="text1"/>
          <w:lang w:val="es-MX"/>
        </w:rPr>
      </w:pPr>
    </w:p>
    <w:p w14:paraId="118AB7ED" w14:textId="77777777" w:rsidR="00623E6F" w:rsidRDefault="00623E6F" w:rsidP="00623E6F">
      <w:pPr>
        <w:spacing w:after="0" w:line="240" w:lineRule="auto"/>
        <w:rPr>
          <w:rFonts w:ascii="Verdana" w:eastAsia="Geomanist Light" w:hAnsi="Verdana" w:cs="Arial"/>
          <w:color w:val="000000" w:themeColor="text1"/>
          <w:lang w:val="es-MX"/>
        </w:rPr>
      </w:pPr>
    </w:p>
    <w:p w14:paraId="11BEC9F4" w14:textId="77777777" w:rsidR="00623E6F" w:rsidRDefault="00623E6F" w:rsidP="00623E6F">
      <w:pPr>
        <w:spacing w:after="0" w:line="240" w:lineRule="auto"/>
        <w:rPr>
          <w:rFonts w:ascii="Verdana" w:eastAsia="Geomanist Light" w:hAnsi="Verdana" w:cs="Arial"/>
          <w:color w:val="000000" w:themeColor="text1"/>
          <w:lang w:val="es-MX"/>
        </w:rPr>
      </w:pPr>
    </w:p>
    <w:p w14:paraId="5F565AB9" w14:textId="77777777" w:rsidR="00623E6F" w:rsidRDefault="00623E6F" w:rsidP="00623E6F">
      <w:pPr>
        <w:spacing w:after="0" w:line="240" w:lineRule="auto"/>
        <w:rPr>
          <w:rFonts w:ascii="Verdana" w:eastAsia="Geomanist Light" w:hAnsi="Verdana" w:cs="Arial"/>
          <w:color w:val="000000" w:themeColor="text1"/>
          <w:lang w:val="es-MX"/>
        </w:rPr>
      </w:pPr>
    </w:p>
    <w:p w14:paraId="0EE3572F" w14:textId="77777777" w:rsidR="00623E6F" w:rsidRDefault="00623E6F" w:rsidP="00623E6F">
      <w:pPr>
        <w:spacing w:after="0" w:line="240" w:lineRule="auto"/>
        <w:rPr>
          <w:rFonts w:ascii="Verdana" w:eastAsia="Geomanist Light" w:hAnsi="Verdana" w:cs="Arial"/>
          <w:color w:val="000000" w:themeColor="text1"/>
          <w:lang w:val="es-MX"/>
        </w:rPr>
      </w:pPr>
    </w:p>
    <w:p w14:paraId="42944FBC" w14:textId="77777777" w:rsidR="00623E6F" w:rsidRDefault="00623E6F" w:rsidP="00623E6F">
      <w:pPr>
        <w:spacing w:after="0" w:line="240" w:lineRule="auto"/>
        <w:rPr>
          <w:rFonts w:ascii="Verdana" w:eastAsia="Geomanist Light" w:hAnsi="Verdana" w:cs="Arial"/>
          <w:color w:val="000000" w:themeColor="text1"/>
          <w:lang w:val="es-MX"/>
        </w:rPr>
      </w:pPr>
    </w:p>
    <w:p w14:paraId="4EC3B8D6" w14:textId="77777777" w:rsidR="00623E6F" w:rsidRDefault="00623E6F" w:rsidP="00623E6F">
      <w:pPr>
        <w:spacing w:after="0" w:line="240" w:lineRule="auto"/>
        <w:rPr>
          <w:rFonts w:ascii="Verdana" w:eastAsia="Geomanist Light" w:hAnsi="Verdana" w:cs="Arial"/>
          <w:color w:val="000000" w:themeColor="text1"/>
          <w:lang w:val="es-MX"/>
        </w:rPr>
      </w:pPr>
    </w:p>
    <w:p w14:paraId="100F7B3D" w14:textId="77777777" w:rsidR="00623E6F" w:rsidRDefault="00623E6F" w:rsidP="00623E6F">
      <w:pPr>
        <w:spacing w:after="0" w:line="240" w:lineRule="auto"/>
        <w:rPr>
          <w:rFonts w:ascii="Verdana" w:eastAsia="Geomanist Light" w:hAnsi="Verdana" w:cs="Arial"/>
          <w:color w:val="000000" w:themeColor="text1"/>
          <w:lang w:val="es-MX"/>
        </w:rPr>
      </w:pPr>
    </w:p>
    <w:p w14:paraId="4596C5E7" w14:textId="37CEB556" w:rsidR="00623E6F" w:rsidRPr="00DA6712" w:rsidRDefault="00623E6F" w:rsidP="00623E6F">
      <w:pPr>
        <w:spacing w:after="0" w:line="240" w:lineRule="auto"/>
        <w:rPr>
          <w:rFonts w:ascii="Verdana" w:eastAsia="Geomanist Light" w:hAnsi="Verdana" w:cs="Arial"/>
          <w:color w:val="000000" w:themeColor="text1"/>
          <w:lang w:val="es-MX"/>
        </w:rPr>
      </w:pPr>
      <w:r w:rsidRPr="00DA6712">
        <w:rPr>
          <w:rFonts w:ascii="Verdana" w:eastAsia="Geomanist Light" w:hAnsi="Verdana" w:cs="Arial"/>
          <w:color w:val="000000" w:themeColor="text1"/>
          <w:lang w:val="es-MX"/>
        </w:rPr>
        <w:lastRenderedPageBreak/>
        <w:t>Bogotá D.C., [Día] de [</w:t>
      </w:r>
      <w:proofErr w:type="spellStart"/>
      <w:r w:rsidRPr="00DA6712">
        <w:rPr>
          <w:rFonts w:ascii="Verdana" w:eastAsia="Geomanist Light" w:hAnsi="Verdana" w:cs="Arial"/>
          <w:color w:val="000000" w:themeColor="text1"/>
          <w:lang w:val="es-MX"/>
        </w:rPr>
        <w:t>Mes.NombreCapitalizado</w:t>
      </w:r>
      <w:proofErr w:type="spellEnd"/>
      <w:r w:rsidRPr="00DA6712">
        <w:rPr>
          <w:rFonts w:ascii="Verdana" w:eastAsia="Geomanist Light" w:hAnsi="Verdana" w:cs="Arial"/>
          <w:color w:val="000000" w:themeColor="text1"/>
          <w:lang w:val="es-MX"/>
        </w:rPr>
        <w:t>] de [Año]</w:t>
      </w:r>
    </w:p>
    <w:p w14:paraId="443318CB" w14:textId="77777777" w:rsidR="00623E6F" w:rsidRDefault="00623E6F" w:rsidP="00623E6F">
      <w:pPr>
        <w:spacing w:after="0" w:line="240" w:lineRule="auto"/>
        <w:jc w:val="both"/>
        <w:rPr>
          <w:rFonts w:ascii="Verdana" w:eastAsia="Calibri" w:hAnsi="Verdana" w:cs="Arial"/>
          <w:color w:val="000000" w:themeColor="text1"/>
          <w:lang w:val="es-ES"/>
        </w:rPr>
      </w:pPr>
    </w:p>
    <w:p w14:paraId="774AF078" w14:textId="77777777" w:rsidR="00623E6F" w:rsidRDefault="00623E6F" w:rsidP="00623E6F">
      <w:pPr>
        <w:spacing w:after="0" w:line="240" w:lineRule="auto"/>
        <w:jc w:val="both"/>
        <w:rPr>
          <w:rFonts w:ascii="Verdana" w:eastAsia="Calibri" w:hAnsi="Verdana" w:cs="Arial"/>
          <w:color w:val="000000" w:themeColor="text1"/>
          <w:lang w:val="es-ES"/>
        </w:rPr>
      </w:pPr>
      <w:r w:rsidRPr="00997991">
        <w:rPr>
          <w:rFonts w:ascii="Verdana" w:eastAsia="Calibri" w:hAnsi="Verdana" w:cs="Arial"/>
          <w:color w:val="000000" w:themeColor="text1"/>
          <w:lang w:val="es-ES"/>
        </w:rPr>
        <w:drawing>
          <wp:anchor distT="0" distB="0" distL="114300" distR="114300" simplePos="0" relativeHeight="251659264" behindDoc="1" locked="0" layoutInCell="1" allowOverlap="1" wp14:anchorId="7BD16FBC" wp14:editId="2CB88139">
            <wp:simplePos x="0" y="0"/>
            <wp:positionH relativeFrom="column">
              <wp:posOffset>2667781</wp:posOffset>
            </wp:positionH>
            <wp:positionV relativeFrom="paragraph">
              <wp:posOffset>98565</wp:posOffset>
            </wp:positionV>
            <wp:extent cx="3400425" cy="1057275"/>
            <wp:effectExtent l="0" t="0" r="9525" b="9525"/>
            <wp:wrapTight wrapText="bothSides">
              <wp:wrapPolygon edited="0">
                <wp:start x="0" y="0"/>
                <wp:lineTo x="0" y="21405"/>
                <wp:lineTo x="21539" y="21405"/>
                <wp:lineTo x="21539" y="0"/>
                <wp:lineTo x="0" y="0"/>
              </wp:wrapPolygon>
            </wp:wrapTight>
            <wp:docPr id="175565791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657918" name="Imagen 1" descr="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3400425" cy="1057275"/>
                    </a:xfrm>
                    <a:prstGeom prst="rect">
                      <a:avLst/>
                    </a:prstGeom>
                  </pic:spPr>
                </pic:pic>
              </a:graphicData>
            </a:graphic>
          </wp:anchor>
        </w:drawing>
      </w:r>
    </w:p>
    <w:p w14:paraId="10F82BCD" w14:textId="77777777" w:rsidR="00623E6F" w:rsidRDefault="00623E6F" w:rsidP="00623E6F">
      <w:pPr>
        <w:spacing w:after="0" w:line="240" w:lineRule="auto"/>
        <w:jc w:val="both"/>
        <w:rPr>
          <w:rFonts w:ascii="Verdana" w:eastAsia="Calibri" w:hAnsi="Verdana" w:cs="Arial"/>
          <w:color w:val="000000" w:themeColor="text1"/>
          <w:lang w:val="es-ES"/>
        </w:rPr>
      </w:pPr>
    </w:p>
    <w:p w14:paraId="1BB502DC" w14:textId="77777777" w:rsidR="00623E6F" w:rsidRDefault="00623E6F" w:rsidP="00623E6F">
      <w:pPr>
        <w:spacing w:after="0" w:line="240" w:lineRule="auto"/>
        <w:jc w:val="both"/>
        <w:rPr>
          <w:rFonts w:ascii="Verdana" w:eastAsia="Calibri" w:hAnsi="Verdana" w:cs="Arial"/>
          <w:color w:val="000000" w:themeColor="text1"/>
          <w:lang w:val="es-ES"/>
        </w:rPr>
      </w:pPr>
    </w:p>
    <w:p w14:paraId="0A3B6BEC" w14:textId="77777777" w:rsidR="00623E6F" w:rsidRDefault="00623E6F" w:rsidP="00623E6F">
      <w:pPr>
        <w:spacing w:after="0" w:line="240" w:lineRule="auto"/>
        <w:jc w:val="both"/>
        <w:rPr>
          <w:rFonts w:ascii="Verdana" w:eastAsia="Calibri" w:hAnsi="Verdana" w:cs="Arial"/>
          <w:color w:val="000000" w:themeColor="text1"/>
          <w:lang w:val="es-ES"/>
        </w:rPr>
      </w:pPr>
    </w:p>
    <w:p w14:paraId="24A7E07A" w14:textId="77777777" w:rsidR="00623E6F" w:rsidRPr="00DA6712" w:rsidRDefault="00623E6F" w:rsidP="00623E6F">
      <w:pPr>
        <w:spacing w:after="0" w:line="240" w:lineRule="auto"/>
        <w:jc w:val="both"/>
        <w:rPr>
          <w:rFonts w:ascii="Verdana" w:eastAsia="Calibri" w:hAnsi="Verdana" w:cs="Arial"/>
          <w:color w:val="000000" w:themeColor="text1"/>
          <w:lang w:val="es-ES"/>
        </w:rPr>
      </w:pPr>
    </w:p>
    <w:p w14:paraId="575B7472" w14:textId="77777777" w:rsidR="00623E6F" w:rsidRPr="00DA6712" w:rsidRDefault="00623E6F" w:rsidP="00623E6F">
      <w:pPr>
        <w:spacing w:after="0" w:line="240" w:lineRule="auto"/>
        <w:jc w:val="both"/>
        <w:rPr>
          <w:rFonts w:ascii="Verdana" w:eastAsia="Calibri" w:hAnsi="Verdana" w:cs="Arial"/>
          <w:color w:val="000000" w:themeColor="text1"/>
          <w:lang w:val="es-ES" w:eastAsia="es-ES"/>
        </w:rPr>
      </w:pPr>
    </w:p>
    <w:p w14:paraId="6A8F283B" w14:textId="77777777" w:rsidR="00623E6F" w:rsidRDefault="00623E6F" w:rsidP="00623E6F">
      <w:pPr>
        <w:spacing w:after="0" w:line="240" w:lineRule="auto"/>
        <w:jc w:val="both"/>
        <w:rPr>
          <w:rFonts w:ascii="Verdana" w:eastAsia="Calibri" w:hAnsi="Verdana" w:cs="Arial"/>
          <w:color w:val="000000" w:themeColor="text1"/>
          <w:lang w:val="es-ES" w:eastAsia="es-ES"/>
        </w:rPr>
      </w:pPr>
    </w:p>
    <w:p w14:paraId="11075214" w14:textId="77777777" w:rsidR="00623E6F" w:rsidRPr="00DA6712" w:rsidRDefault="00623E6F" w:rsidP="00623E6F">
      <w:pPr>
        <w:spacing w:after="0" w:line="240" w:lineRule="auto"/>
        <w:jc w:val="both"/>
        <w:rPr>
          <w:rFonts w:ascii="Verdana" w:eastAsia="Calibri" w:hAnsi="Verdana" w:cs="Arial"/>
          <w:color w:val="000000" w:themeColor="text1"/>
          <w:lang w:val="es-ES" w:eastAsia="es-ES"/>
        </w:rPr>
      </w:pPr>
      <w:r w:rsidRPr="00DA6712">
        <w:rPr>
          <w:rFonts w:ascii="Verdana" w:eastAsia="Calibri" w:hAnsi="Verdana" w:cs="Arial"/>
          <w:color w:val="000000" w:themeColor="text1"/>
          <w:lang w:val="es-ES" w:eastAsia="es-ES"/>
        </w:rPr>
        <w:t>Señor</w:t>
      </w:r>
    </w:p>
    <w:p w14:paraId="60E4794B" w14:textId="77777777" w:rsidR="00623E6F" w:rsidRPr="00DA6712" w:rsidRDefault="00623E6F" w:rsidP="00623E6F">
      <w:pPr>
        <w:spacing w:after="0" w:line="240" w:lineRule="auto"/>
        <w:rPr>
          <w:rFonts w:ascii="Verdana" w:eastAsia="Calibri" w:hAnsi="Verdana" w:cs="Arial"/>
          <w:b/>
          <w:color w:val="000000" w:themeColor="text1"/>
          <w:lang w:val="es-ES_tradnl" w:eastAsia="es-ES_tradnl"/>
        </w:rPr>
      </w:pPr>
      <w:r w:rsidRPr="00DA6712">
        <w:rPr>
          <w:rFonts w:ascii="Verdana" w:eastAsia="Calibri" w:hAnsi="Verdana" w:cs="Arial"/>
          <w:b/>
          <w:color w:val="000000" w:themeColor="text1"/>
          <w:lang w:val="es-ES_tradnl" w:eastAsia="es-ES_tradnl"/>
        </w:rPr>
        <w:t xml:space="preserve">Andrés </w:t>
      </w:r>
      <w:r>
        <w:rPr>
          <w:rFonts w:ascii="Verdana" w:eastAsia="Calibri" w:hAnsi="Verdana" w:cs="Arial"/>
          <w:b/>
          <w:color w:val="000000" w:themeColor="text1"/>
          <w:lang w:val="es-ES_tradnl" w:eastAsia="es-ES_tradnl"/>
        </w:rPr>
        <w:t xml:space="preserve">Albornoz Ruiz </w:t>
      </w:r>
    </w:p>
    <w:p w14:paraId="380E1CA5" w14:textId="77777777" w:rsidR="00623E6F" w:rsidRDefault="00623E6F" w:rsidP="00623E6F">
      <w:pPr>
        <w:spacing w:after="0" w:line="240" w:lineRule="auto"/>
        <w:rPr>
          <w:rFonts w:ascii="Verdana" w:eastAsia="Calibri" w:hAnsi="Verdana" w:cs="Arial"/>
          <w:color w:val="000000" w:themeColor="text1"/>
          <w:u w:val="single"/>
          <w:lang w:eastAsia="es-ES"/>
        </w:rPr>
      </w:pPr>
      <w:hyperlink r:id="rId8" w:history="1">
        <w:r w:rsidRPr="0005616C">
          <w:rPr>
            <w:rStyle w:val="Hipervnculo"/>
            <w:rFonts w:ascii="Verdana" w:eastAsia="Calibri" w:hAnsi="Verdana" w:cs="Arial"/>
            <w:lang w:eastAsia="es-ES"/>
          </w:rPr>
          <w:t>andres.albornoz@minagricultura.gov.co</w:t>
        </w:r>
      </w:hyperlink>
    </w:p>
    <w:p w14:paraId="106DBD16" w14:textId="77777777" w:rsidR="00623E6F" w:rsidRDefault="00623E6F" w:rsidP="00623E6F">
      <w:pPr>
        <w:spacing w:after="0" w:line="240" w:lineRule="auto"/>
        <w:rPr>
          <w:rFonts w:ascii="Verdana" w:eastAsia="Calibri" w:hAnsi="Verdana" w:cs="Arial"/>
          <w:color w:val="000000" w:themeColor="text1"/>
          <w:lang w:eastAsia="es-ES"/>
        </w:rPr>
      </w:pPr>
      <w:r w:rsidRPr="00DA6712">
        <w:rPr>
          <w:rFonts w:ascii="Verdana" w:eastAsia="Calibri" w:hAnsi="Verdana" w:cs="Arial"/>
          <w:color w:val="000000" w:themeColor="text1"/>
          <w:lang w:eastAsia="es-ES"/>
        </w:rPr>
        <w:t>Ciudad</w:t>
      </w:r>
    </w:p>
    <w:p w14:paraId="5CFBB1FB" w14:textId="77777777" w:rsidR="00623E6F" w:rsidRPr="00DA6712" w:rsidRDefault="00623E6F" w:rsidP="00623E6F">
      <w:pPr>
        <w:spacing w:after="0" w:line="240" w:lineRule="auto"/>
        <w:rPr>
          <w:rFonts w:ascii="Verdana" w:eastAsia="Calibri" w:hAnsi="Verdana" w:cs="Arial"/>
          <w:b/>
          <w:bCs/>
          <w:color w:val="000000" w:themeColor="text1"/>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521"/>
      </w:tblGrid>
      <w:tr w:rsidR="00623E6F" w:rsidRPr="00DA6712" w14:paraId="1F5BF888" w14:textId="77777777" w:rsidTr="00EF5085">
        <w:trPr>
          <w:trHeight w:val="884"/>
        </w:trPr>
        <w:tc>
          <w:tcPr>
            <w:tcW w:w="2268" w:type="dxa"/>
          </w:tcPr>
          <w:p w14:paraId="3EE7E4D7" w14:textId="77777777" w:rsidR="00623E6F" w:rsidRDefault="00623E6F" w:rsidP="00EF5085">
            <w:pPr>
              <w:jc w:val="both"/>
              <w:rPr>
                <w:rFonts w:ascii="Verdana" w:eastAsia="Calibri" w:hAnsi="Verdana" w:cs="Arial"/>
                <w:b/>
                <w:bCs/>
                <w:color w:val="000000" w:themeColor="text1"/>
                <w:lang w:eastAsia="es-ES_tradnl"/>
              </w:rPr>
            </w:pPr>
          </w:p>
          <w:p w14:paraId="6142F335" w14:textId="77777777" w:rsidR="00623E6F" w:rsidRPr="00DA6712" w:rsidRDefault="00623E6F" w:rsidP="00EF5085">
            <w:pPr>
              <w:jc w:val="both"/>
              <w:rPr>
                <w:rFonts w:ascii="Verdana" w:eastAsia="Calibri" w:hAnsi="Verdana" w:cs="Arial"/>
                <w:b/>
                <w:bCs/>
                <w:color w:val="000000" w:themeColor="text1"/>
                <w:lang w:eastAsia="es-ES_tradnl"/>
              </w:rPr>
            </w:pPr>
          </w:p>
        </w:tc>
        <w:tc>
          <w:tcPr>
            <w:tcW w:w="6521" w:type="dxa"/>
          </w:tcPr>
          <w:p w14:paraId="60790FB2" w14:textId="77777777" w:rsidR="00623E6F" w:rsidRPr="00DA6712" w:rsidRDefault="00623E6F" w:rsidP="00EF5085">
            <w:pPr>
              <w:jc w:val="both"/>
              <w:rPr>
                <w:rFonts w:ascii="Verdana" w:eastAsia="Calibri" w:hAnsi="Verdana" w:cs="Arial"/>
                <w:b/>
                <w:bCs/>
                <w:color w:val="000000" w:themeColor="text1"/>
                <w:lang w:val="es-ES" w:eastAsia="es-ES"/>
              </w:rPr>
            </w:pPr>
            <w:r w:rsidRPr="00DA6712">
              <w:rPr>
                <w:rFonts w:ascii="Verdana" w:eastAsia="Calibri" w:hAnsi="Verdana" w:cs="Arial"/>
                <w:b/>
                <w:bCs/>
                <w:color w:val="000000" w:themeColor="text1"/>
                <w:lang w:val="es-ES" w:eastAsia="es-ES"/>
              </w:rPr>
              <w:t>Concepto C- 9</w:t>
            </w:r>
            <w:r>
              <w:rPr>
                <w:rFonts w:ascii="Verdana" w:eastAsia="Calibri" w:hAnsi="Verdana" w:cs="Arial"/>
                <w:b/>
                <w:bCs/>
                <w:color w:val="000000" w:themeColor="text1"/>
                <w:lang w:val="es-ES" w:eastAsia="es-ES"/>
              </w:rPr>
              <w:t>92</w:t>
            </w:r>
            <w:r w:rsidRPr="00DA6712">
              <w:rPr>
                <w:rFonts w:ascii="Verdana" w:eastAsia="Calibri" w:hAnsi="Verdana" w:cs="Arial"/>
                <w:b/>
                <w:bCs/>
                <w:color w:val="000000" w:themeColor="text1"/>
                <w:lang w:val="es-ES" w:eastAsia="es-ES"/>
              </w:rPr>
              <w:t xml:space="preserve"> de 2024</w:t>
            </w:r>
          </w:p>
        </w:tc>
      </w:tr>
      <w:tr w:rsidR="00623E6F" w:rsidRPr="00DA6712" w14:paraId="6E42F84A" w14:textId="77777777" w:rsidTr="00EF5085">
        <w:trPr>
          <w:trHeight w:val="884"/>
        </w:trPr>
        <w:tc>
          <w:tcPr>
            <w:tcW w:w="2268" w:type="dxa"/>
          </w:tcPr>
          <w:p w14:paraId="265A3D38" w14:textId="77777777" w:rsidR="00623E6F" w:rsidRPr="00DA6712" w:rsidRDefault="00623E6F" w:rsidP="00EF5085">
            <w:pPr>
              <w:jc w:val="both"/>
              <w:rPr>
                <w:rFonts w:ascii="Verdana" w:eastAsia="Calibri" w:hAnsi="Verdana" w:cs="Arial"/>
                <w:color w:val="000000" w:themeColor="text1"/>
                <w:lang w:val="es-ES_tradnl" w:eastAsia="es-ES_tradnl"/>
              </w:rPr>
            </w:pPr>
            <w:r w:rsidRPr="00DA6712">
              <w:rPr>
                <w:rFonts w:ascii="Verdana" w:eastAsia="Calibri" w:hAnsi="Verdana" w:cs="Arial"/>
                <w:b/>
                <w:color w:val="000000" w:themeColor="text1"/>
                <w:lang w:val="es-ES_tradnl" w:eastAsia="es-ES_tradnl"/>
              </w:rPr>
              <w:t>Temas:</w:t>
            </w:r>
            <w:r w:rsidRPr="00DA6712">
              <w:rPr>
                <w:rFonts w:ascii="Verdana" w:eastAsia="Calibri" w:hAnsi="Verdana" w:cs="Arial"/>
                <w:color w:val="000000" w:themeColor="text1"/>
                <w:lang w:val="es-ES_tradnl" w:eastAsia="es-ES_tradnl"/>
              </w:rPr>
              <w:t xml:space="preserve">                   </w:t>
            </w:r>
          </w:p>
        </w:tc>
        <w:tc>
          <w:tcPr>
            <w:tcW w:w="6521" w:type="dxa"/>
          </w:tcPr>
          <w:p w14:paraId="6EEB4F94" w14:textId="77777777" w:rsidR="00623E6F" w:rsidRDefault="00623E6F" w:rsidP="00EF5085">
            <w:pPr>
              <w:spacing w:line="276" w:lineRule="auto"/>
              <w:jc w:val="both"/>
              <w:rPr>
                <w:rFonts w:ascii="Verdana" w:eastAsia="Calibri" w:hAnsi="Verdana" w:cs="Arial"/>
                <w:color w:val="000000" w:themeColor="text1"/>
                <w:lang w:val="es-ES" w:eastAsia="es-ES"/>
              </w:rPr>
            </w:pPr>
            <w:r w:rsidRPr="00912093">
              <w:rPr>
                <w:rFonts w:ascii="Verdana" w:eastAsia="Calibri" w:hAnsi="Verdana" w:cs="Arial"/>
                <w:color w:val="000000" w:themeColor="text1"/>
                <w:lang w:val="es-ES" w:eastAsia="es-ES"/>
              </w:rPr>
              <w:t>SUPERVISIÓN E INTERVENTORÍA – Concepto – Finalidad / SUPERVISIÓN DEL CONTRATO – Características</w:t>
            </w:r>
            <w:r>
              <w:rPr>
                <w:rFonts w:ascii="Verdana" w:eastAsia="Calibri" w:hAnsi="Verdana" w:cs="Arial"/>
                <w:color w:val="000000" w:themeColor="text1"/>
                <w:lang w:val="es-ES" w:eastAsia="es-ES"/>
              </w:rPr>
              <w:t xml:space="preserve"> / INTERVENTORÍA – Artículo 83, parágrafo 1° – Necesidad – Contratos con valor superior a menor cuantía / INTERVENTORÍA – Contratos interadministrativos</w:t>
            </w:r>
          </w:p>
          <w:p w14:paraId="5458D07C" w14:textId="77777777" w:rsidR="00623E6F" w:rsidRPr="00DA6712" w:rsidRDefault="00623E6F" w:rsidP="00EF5085">
            <w:pPr>
              <w:spacing w:line="276" w:lineRule="auto"/>
              <w:jc w:val="both"/>
              <w:rPr>
                <w:rFonts w:ascii="Verdana" w:eastAsia="Calibri" w:hAnsi="Verdana" w:cs="Arial"/>
                <w:color w:val="000000" w:themeColor="text1"/>
                <w:lang w:val="es-ES" w:eastAsia="es-ES"/>
              </w:rPr>
            </w:pPr>
          </w:p>
        </w:tc>
      </w:tr>
      <w:tr w:rsidR="00623E6F" w:rsidRPr="00DA6712" w14:paraId="294C41DF" w14:textId="77777777" w:rsidTr="00EF5085">
        <w:tc>
          <w:tcPr>
            <w:tcW w:w="2268" w:type="dxa"/>
          </w:tcPr>
          <w:p w14:paraId="1A3C2785" w14:textId="77777777" w:rsidR="00623E6F" w:rsidRPr="00E55233" w:rsidRDefault="00623E6F" w:rsidP="00EF5085">
            <w:pPr>
              <w:jc w:val="both"/>
              <w:rPr>
                <w:rFonts w:ascii="Verdana" w:eastAsia="Calibri" w:hAnsi="Verdana" w:cs="Arial"/>
                <w:b/>
                <w:color w:val="000000" w:themeColor="text1"/>
                <w:lang w:val="es-ES_tradnl" w:eastAsia="es-ES_tradnl"/>
              </w:rPr>
            </w:pPr>
            <w:r w:rsidRPr="00E55233">
              <w:rPr>
                <w:rFonts w:ascii="Verdana" w:eastAsia="Calibri" w:hAnsi="Verdana" w:cs="Arial"/>
                <w:b/>
                <w:color w:val="000000" w:themeColor="text1"/>
                <w:lang w:val="es-ES_tradnl" w:eastAsia="es-ES_tradnl"/>
              </w:rPr>
              <w:t>Radicación:</w:t>
            </w:r>
            <w:r w:rsidRPr="00E55233">
              <w:rPr>
                <w:rFonts w:ascii="Verdana" w:eastAsia="Calibri" w:hAnsi="Verdana" w:cs="Arial"/>
                <w:color w:val="000000" w:themeColor="text1"/>
                <w:lang w:val="es-ES_tradnl" w:eastAsia="es-ES_tradnl"/>
              </w:rPr>
              <w:t xml:space="preserve">               </w:t>
            </w:r>
          </w:p>
        </w:tc>
        <w:tc>
          <w:tcPr>
            <w:tcW w:w="6521" w:type="dxa"/>
          </w:tcPr>
          <w:p w14:paraId="10C4DDE1" w14:textId="77777777" w:rsidR="00623E6F" w:rsidRPr="00E55233" w:rsidRDefault="00623E6F" w:rsidP="00EF5085">
            <w:pPr>
              <w:jc w:val="both"/>
              <w:rPr>
                <w:rFonts w:ascii="Verdana" w:eastAsia="Calibri" w:hAnsi="Verdana" w:cs="Arial"/>
                <w:color w:val="000000" w:themeColor="text1"/>
                <w:lang w:val="es-ES_tradnl" w:eastAsia="es-ES_tradnl"/>
              </w:rPr>
            </w:pPr>
            <w:r w:rsidRPr="00E55233">
              <w:rPr>
                <w:rFonts w:ascii="Verdana" w:eastAsia="Calibri" w:hAnsi="Verdana" w:cs="Arial"/>
                <w:color w:val="000000" w:themeColor="text1"/>
                <w:lang w:val="es-ES_tradnl" w:eastAsia="es-ES_tradnl"/>
              </w:rPr>
              <w:t xml:space="preserve">Respuesta a consulta con radicado No. </w:t>
            </w:r>
          </w:p>
          <w:p w14:paraId="6B80BBEE" w14:textId="77777777" w:rsidR="00623E6F" w:rsidRPr="00E55233" w:rsidRDefault="00623E6F" w:rsidP="00EF5085">
            <w:pPr>
              <w:jc w:val="both"/>
              <w:rPr>
                <w:rFonts w:ascii="Verdana" w:hAnsi="Verdana"/>
                <w:color w:val="000000"/>
              </w:rPr>
            </w:pPr>
            <w:r w:rsidRPr="00E55233">
              <w:rPr>
                <w:rFonts w:ascii="Verdana" w:hAnsi="Verdana"/>
                <w:color w:val="000000"/>
              </w:rPr>
              <w:t>P20241213012497</w:t>
            </w:r>
          </w:p>
          <w:p w14:paraId="44B68655" w14:textId="77777777" w:rsidR="00623E6F" w:rsidRPr="00E55233" w:rsidRDefault="00623E6F" w:rsidP="00EF5085">
            <w:pPr>
              <w:jc w:val="both"/>
              <w:rPr>
                <w:rFonts w:ascii="Verdana" w:hAnsi="Verdana" w:cs="Arial"/>
                <w:color w:val="000000"/>
              </w:rPr>
            </w:pPr>
          </w:p>
        </w:tc>
      </w:tr>
    </w:tbl>
    <w:p w14:paraId="6D87DD6D" w14:textId="77777777" w:rsidR="00623E6F" w:rsidRPr="00DA6712" w:rsidRDefault="00623E6F" w:rsidP="00623E6F">
      <w:pPr>
        <w:spacing w:after="0" w:line="240" w:lineRule="auto"/>
        <w:jc w:val="both"/>
        <w:rPr>
          <w:rFonts w:ascii="Verdana" w:eastAsia="Calibri" w:hAnsi="Verdana" w:cs="Arial"/>
          <w:color w:val="000000" w:themeColor="text1"/>
          <w:lang w:val="es-ES_tradnl" w:eastAsia="es-ES_tradnl"/>
        </w:rPr>
      </w:pPr>
    </w:p>
    <w:p w14:paraId="1046A180" w14:textId="77777777" w:rsidR="00623E6F" w:rsidRPr="00DA6712" w:rsidRDefault="00623E6F" w:rsidP="00623E6F">
      <w:pPr>
        <w:spacing w:after="0" w:line="276" w:lineRule="auto"/>
        <w:jc w:val="both"/>
        <w:rPr>
          <w:rFonts w:ascii="Verdana" w:eastAsia="Calibri" w:hAnsi="Verdana" w:cs="Arial"/>
          <w:color w:val="000000" w:themeColor="text1"/>
          <w:lang w:val="es-ES" w:eastAsia="es-ES"/>
        </w:rPr>
      </w:pPr>
      <w:r w:rsidRPr="00DA6712">
        <w:rPr>
          <w:rFonts w:ascii="Verdana" w:eastAsia="Calibri" w:hAnsi="Verdana" w:cs="Arial"/>
          <w:color w:val="000000" w:themeColor="text1"/>
          <w:lang w:val="es-ES" w:eastAsia="es-ES"/>
        </w:rPr>
        <w:t xml:space="preserve">Estimado señor </w:t>
      </w:r>
      <w:r>
        <w:rPr>
          <w:rFonts w:ascii="Verdana" w:eastAsia="Calibri" w:hAnsi="Verdana" w:cs="Arial"/>
          <w:color w:val="000000" w:themeColor="text1"/>
          <w:lang w:val="es-ES" w:eastAsia="es-ES"/>
        </w:rPr>
        <w:t>Albornoz</w:t>
      </w:r>
      <w:r w:rsidRPr="00DA6712">
        <w:rPr>
          <w:rFonts w:ascii="Verdana" w:eastAsia="Calibri" w:hAnsi="Verdana" w:cs="Arial"/>
          <w:color w:val="000000" w:themeColor="text1"/>
          <w:lang w:val="es-ES" w:eastAsia="es-ES"/>
        </w:rPr>
        <w:t xml:space="preserve">: </w:t>
      </w:r>
    </w:p>
    <w:p w14:paraId="00AE6B91" w14:textId="77777777" w:rsidR="00623E6F" w:rsidRPr="00DA6712" w:rsidRDefault="00623E6F" w:rsidP="00623E6F">
      <w:pPr>
        <w:tabs>
          <w:tab w:val="left" w:pos="3768"/>
        </w:tabs>
        <w:spacing w:after="0" w:line="276" w:lineRule="auto"/>
        <w:jc w:val="both"/>
        <w:rPr>
          <w:rFonts w:ascii="Verdana" w:eastAsia="Calibri" w:hAnsi="Verdana" w:cs="Arial"/>
          <w:color w:val="000000" w:themeColor="text1"/>
          <w:lang w:val="es-ES" w:eastAsia="es-ES"/>
        </w:rPr>
      </w:pPr>
      <w:r w:rsidRPr="00DA6712">
        <w:rPr>
          <w:rFonts w:ascii="Verdana" w:eastAsia="Calibri" w:hAnsi="Verdana" w:cs="Arial"/>
          <w:color w:val="000000" w:themeColor="text1"/>
          <w:lang w:val="es-ES" w:eastAsia="es-ES"/>
        </w:rPr>
        <w:tab/>
      </w:r>
    </w:p>
    <w:p w14:paraId="3E6158C4" w14:textId="77777777" w:rsidR="00623E6F" w:rsidRPr="00DA6712" w:rsidRDefault="00623E6F" w:rsidP="00623E6F">
      <w:pPr>
        <w:spacing w:after="0" w:line="276" w:lineRule="auto"/>
        <w:jc w:val="both"/>
        <w:rPr>
          <w:rFonts w:ascii="Verdana" w:eastAsia="Calibri" w:hAnsi="Verdana" w:cs="Arial"/>
          <w:color w:val="000000" w:themeColor="text1"/>
          <w:lang w:val="es-ES" w:eastAsia="es-ES"/>
        </w:rPr>
      </w:pPr>
      <w:r w:rsidRPr="00DA6712">
        <w:rPr>
          <w:rFonts w:ascii="Verdana" w:eastAsia="Calibri" w:hAnsi="Verdana" w:cs="Arial"/>
          <w:color w:val="000000" w:themeColor="text1"/>
          <w:lang w:val="es-ES" w:eastAsia="es-ES"/>
        </w:rPr>
        <w:t>En ejercicio de la competencia otorgada por los artículos 3, numeral 5º, y 11, numeral 8º, del Decreto Ley 4170 de 2011,</w:t>
      </w:r>
      <w:r w:rsidRPr="00DA6712">
        <w:rPr>
          <w:rFonts w:ascii="Verdana" w:eastAsia="Arial MT" w:hAnsi="Verdana" w:cs="Arial MT"/>
          <w:color w:val="000000" w:themeColor="text1"/>
          <w:lang w:val="es-ES" w:eastAsia="es-ES"/>
        </w:rPr>
        <w:t xml:space="preserve"> </w:t>
      </w:r>
      <w:r w:rsidRPr="00DA6712">
        <w:rPr>
          <w:rFonts w:ascii="Verdana" w:hAnsi="Verdana" w:cs="Arial"/>
          <w:color w:val="000000" w:themeColor="text1"/>
        </w:rPr>
        <w:t xml:space="preserve">así como lo establecido en el artículo 4 de la Resolución 1707 de 2018 expedida por esta Entidad, </w:t>
      </w:r>
      <w:r w:rsidRPr="00DA6712">
        <w:rPr>
          <w:rFonts w:ascii="Verdana" w:eastAsia="Calibri" w:hAnsi="Verdana" w:cs="Arial"/>
          <w:color w:val="000000" w:themeColor="text1"/>
          <w:lang w:val="es-ES" w:eastAsia="es-ES"/>
        </w:rPr>
        <w:t>la Agencia Nacional de Contratación Pública – Colombia Compra Eficiente– responde su solicitud de consulta de fecha</w:t>
      </w:r>
      <w:r>
        <w:rPr>
          <w:rFonts w:ascii="Verdana" w:eastAsia="Calibri" w:hAnsi="Verdana" w:cs="Arial"/>
          <w:color w:val="000000" w:themeColor="text1"/>
          <w:lang w:val="es-ES" w:eastAsia="es-ES"/>
        </w:rPr>
        <w:t xml:space="preserve"> 13</w:t>
      </w:r>
      <w:r w:rsidRPr="00DA6712">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diciembre</w:t>
      </w:r>
      <w:r w:rsidRPr="00DA6712">
        <w:rPr>
          <w:rFonts w:ascii="Verdana" w:eastAsia="Calibri" w:hAnsi="Verdana" w:cs="Arial"/>
          <w:color w:val="000000" w:themeColor="text1"/>
          <w:lang w:val="es-ES" w:eastAsia="es-ES"/>
        </w:rPr>
        <w:t xml:space="preserve"> de 2024, en la cual manifiesta lo siguiente: </w:t>
      </w:r>
    </w:p>
    <w:p w14:paraId="37972ECC" w14:textId="77777777" w:rsidR="00623E6F" w:rsidRDefault="00623E6F" w:rsidP="00623E6F">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p>
    <w:p w14:paraId="3DEB1403" w14:textId="77777777" w:rsidR="00623E6F" w:rsidRPr="0020355E" w:rsidRDefault="00623E6F" w:rsidP="00623E6F">
      <w:pPr>
        <w:spacing w:after="0" w:line="240" w:lineRule="auto"/>
        <w:ind w:left="709" w:right="709"/>
        <w:jc w:val="both"/>
        <w:rPr>
          <w:rFonts w:ascii="Verdana" w:eastAsia="Century Gothic" w:hAnsi="Verdana" w:cs="Century Gothic"/>
          <w:i/>
          <w:iCs/>
          <w:color w:val="000000" w:themeColor="text1"/>
          <w:sz w:val="20"/>
          <w:szCs w:val="20"/>
        </w:rPr>
      </w:pPr>
      <w:r w:rsidRPr="0020355E">
        <w:rPr>
          <w:rFonts w:ascii="Verdana" w:eastAsia="Century Gothic" w:hAnsi="Verdana" w:cs="Century Gothic"/>
          <w:i/>
          <w:iCs/>
          <w:color w:val="000000" w:themeColor="text1"/>
          <w:sz w:val="20"/>
          <w:szCs w:val="20"/>
          <w:lang w:val="es-ES"/>
        </w:rPr>
        <w:t>“</w:t>
      </w:r>
      <w:bookmarkEnd w:id="0"/>
      <w:r w:rsidRPr="0020355E">
        <w:rPr>
          <w:rFonts w:ascii="Verdana" w:eastAsia="Century Gothic" w:hAnsi="Verdana" w:cs="Century Gothic"/>
          <w:i/>
          <w:iCs/>
          <w:color w:val="000000" w:themeColor="text1"/>
          <w:sz w:val="20"/>
          <w:szCs w:val="20"/>
        </w:rPr>
        <w:t>1.</w:t>
      </w:r>
      <w:r>
        <w:rPr>
          <w:rFonts w:ascii="Verdana" w:eastAsia="Century Gothic" w:hAnsi="Verdana" w:cs="Century Gothic"/>
          <w:i/>
          <w:iCs/>
          <w:color w:val="000000" w:themeColor="text1"/>
          <w:sz w:val="20"/>
          <w:szCs w:val="20"/>
        </w:rPr>
        <w:t xml:space="preserve"> </w:t>
      </w:r>
      <w:r w:rsidRPr="0020355E">
        <w:rPr>
          <w:rFonts w:ascii="Verdana" w:eastAsia="Century Gothic" w:hAnsi="Verdana" w:cs="Century Gothic"/>
          <w:i/>
          <w:iCs/>
          <w:color w:val="000000" w:themeColor="text1"/>
          <w:sz w:val="20"/>
          <w:szCs w:val="20"/>
        </w:rPr>
        <w:t xml:space="preserve">Si de acuerdo con el parágrafo 1 del </w:t>
      </w:r>
      <w:proofErr w:type="spellStart"/>
      <w:r w:rsidRPr="0020355E">
        <w:rPr>
          <w:rFonts w:ascii="Verdana" w:eastAsia="Century Gothic" w:hAnsi="Verdana" w:cs="Century Gothic"/>
          <w:i/>
          <w:iCs/>
          <w:color w:val="000000" w:themeColor="text1"/>
          <w:sz w:val="20"/>
          <w:szCs w:val="20"/>
        </w:rPr>
        <w:t>articulo</w:t>
      </w:r>
      <w:proofErr w:type="spellEnd"/>
      <w:r w:rsidRPr="0020355E">
        <w:rPr>
          <w:rFonts w:ascii="Verdana" w:eastAsia="Century Gothic" w:hAnsi="Verdana" w:cs="Century Gothic"/>
          <w:i/>
          <w:iCs/>
          <w:color w:val="000000" w:themeColor="text1"/>
          <w:sz w:val="20"/>
          <w:szCs w:val="20"/>
        </w:rPr>
        <w:t xml:space="preserve"> 83 de la Ley 1474 de 2011, los Contratos y/o Convenios que superen el monto de la menor cuantía de la entidad, con independencia de la modalidad de selección, con complejidad y extensión técnica, ambiental, financiera, comercial, social y administrativa debidamente comprobada en sus estudios previos y que para su seguimiento y control requiera de conocimientos especializado se debe realizar mediante una interventoría o una Supervisión. </w:t>
      </w:r>
    </w:p>
    <w:p w14:paraId="7E6B9100" w14:textId="77777777" w:rsidR="00623E6F" w:rsidRDefault="00623E6F" w:rsidP="00623E6F">
      <w:pPr>
        <w:spacing w:after="0" w:line="240" w:lineRule="auto"/>
        <w:ind w:left="709" w:right="709"/>
        <w:jc w:val="both"/>
        <w:rPr>
          <w:rFonts w:ascii="Verdana" w:eastAsia="Century Gothic" w:hAnsi="Verdana" w:cs="Century Gothic"/>
          <w:i/>
          <w:iCs/>
          <w:color w:val="000000" w:themeColor="text1"/>
          <w:sz w:val="20"/>
          <w:szCs w:val="20"/>
        </w:rPr>
      </w:pPr>
    </w:p>
    <w:p w14:paraId="7FA6AC00" w14:textId="77777777" w:rsidR="00623E6F" w:rsidRDefault="00623E6F" w:rsidP="00623E6F">
      <w:pPr>
        <w:spacing w:after="0" w:line="240" w:lineRule="auto"/>
        <w:ind w:left="709" w:right="709"/>
        <w:jc w:val="both"/>
        <w:rPr>
          <w:rFonts w:ascii="Verdana" w:eastAsia="Century Gothic" w:hAnsi="Verdana" w:cs="Century Gothic"/>
          <w:i/>
          <w:iCs/>
          <w:color w:val="000000" w:themeColor="text1"/>
          <w:sz w:val="20"/>
          <w:szCs w:val="20"/>
        </w:rPr>
      </w:pPr>
      <w:r w:rsidRPr="0020355E">
        <w:rPr>
          <w:rFonts w:ascii="Verdana" w:eastAsia="Century Gothic" w:hAnsi="Verdana" w:cs="Century Gothic"/>
          <w:i/>
          <w:iCs/>
          <w:color w:val="000000" w:themeColor="text1"/>
          <w:sz w:val="20"/>
          <w:szCs w:val="20"/>
        </w:rPr>
        <w:t>2. Un contratista de una entidad pública puede ser designado como supervisor de un Contrato y/o Convenio”</w:t>
      </w:r>
      <w:r>
        <w:rPr>
          <w:rFonts w:ascii="Verdana" w:eastAsia="Century Gothic" w:hAnsi="Verdana" w:cs="Century Gothic"/>
          <w:i/>
          <w:iCs/>
          <w:color w:val="000000" w:themeColor="text1"/>
          <w:sz w:val="20"/>
          <w:szCs w:val="20"/>
        </w:rPr>
        <w:t>.</w:t>
      </w:r>
    </w:p>
    <w:p w14:paraId="382177B5" w14:textId="77777777" w:rsidR="00623E6F" w:rsidRPr="0020355E" w:rsidRDefault="00623E6F" w:rsidP="00623E6F">
      <w:pPr>
        <w:spacing w:after="0" w:line="240" w:lineRule="auto"/>
        <w:ind w:left="709" w:right="709"/>
        <w:jc w:val="both"/>
        <w:rPr>
          <w:rFonts w:ascii="Verdana" w:eastAsia="Century Gothic" w:hAnsi="Verdana" w:cs="Century Gothic"/>
          <w:i/>
          <w:iCs/>
          <w:color w:val="000000" w:themeColor="text1"/>
          <w:sz w:val="20"/>
          <w:szCs w:val="20"/>
          <w:lang w:val="es-ES"/>
        </w:rPr>
      </w:pPr>
    </w:p>
    <w:p w14:paraId="76FA3065" w14:textId="77777777" w:rsidR="00623E6F" w:rsidRPr="00DA6712" w:rsidRDefault="00623E6F" w:rsidP="00623E6F">
      <w:pPr>
        <w:spacing w:after="120" w:line="276" w:lineRule="auto"/>
        <w:ind w:firstLine="709"/>
        <w:jc w:val="both"/>
        <w:rPr>
          <w:rFonts w:ascii="Verdana" w:eastAsia="Calibri" w:hAnsi="Verdana" w:cs="Arial"/>
          <w:color w:val="000000" w:themeColor="text1"/>
          <w:szCs w:val="24"/>
          <w:lang w:val="es-ES_tradnl" w:eastAsia="es-ES_tradnl"/>
        </w:rPr>
      </w:pPr>
      <w:r w:rsidRPr="00DA6712">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A6712">
        <w:rPr>
          <w:rFonts w:ascii="Verdana" w:eastAsia="Calibri" w:hAnsi="Verdana" w:cs="Arial"/>
          <w:color w:val="000000" w:themeColor="text1"/>
          <w:szCs w:val="24"/>
          <w:lang w:val="es-ES_tradnl" w:eastAsia="es-ES_tradnl"/>
        </w:rPr>
        <w:tab/>
      </w:r>
    </w:p>
    <w:p w14:paraId="771F8421" w14:textId="77777777" w:rsidR="00623E6F" w:rsidRPr="00DA6712" w:rsidRDefault="00623E6F" w:rsidP="00623E6F">
      <w:pPr>
        <w:spacing w:after="0" w:line="276" w:lineRule="auto"/>
        <w:ind w:firstLine="709"/>
        <w:jc w:val="both"/>
        <w:rPr>
          <w:rFonts w:ascii="Verdana" w:eastAsia="Calibri" w:hAnsi="Verdana" w:cs="Arial"/>
          <w:color w:val="000000" w:themeColor="text1"/>
          <w:lang w:val="es-ES" w:eastAsia="es-ES"/>
        </w:rPr>
      </w:pPr>
      <w:r w:rsidRPr="00DA6712">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themeColor="text1"/>
          <w:lang w:val="es-ES" w:eastAsia="es-ES"/>
        </w:rPr>
        <w:t>l</w:t>
      </w:r>
      <w:r w:rsidRPr="00DA6712">
        <w:rPr>
          <w:rFonts w:ascii="Verdana" w:eastAsia="Calibri" w:hAnsi="Verdana" w:cs="Arial"/>
          <w:color w:val="000000" w:themeColor="text1"/>
          <w:lang w:val="es-ES" w:eastAsia="es-ES"/>
        </w:rPr>
        <w:t xml:space="preserve">os problemas jurídicos de su consulta. </w:t>
      </w:r>
    </w:p>
    <w:p w14:paraId="0F1CE67E" w14:textId="77777777" w:rsidR="00623E6F" w:rsidRPr="00DA6712" w:rsidRDefault="00623E6F" w:rsidP="00623E6F">
      <w:pPr>
        <w:spacing w:after="0" w:line="276" w:lineRule="auto"/>
        <w:ind w:firstLine="709"/>
        <w:jc w:val="both"/>
        <w:rPr>
          <w:rFonts w:ascii="Verdana" w:eastAsia="Calibri" w:hAnsi="Verdana" w:cs="Arial"/>
          <w:color w:val="000000" w:themeColor="text1"/>
          <w:lang w:val="es-ES" w:eastAsia="es-ES"/>
        </w:rPr>
      </w:pPr>
    </w:p>
    <w:p w14:paraId="62C33707" w14:textId="77777777" w:rsidR="00623E6F" w:rsidRPr="00DA6712" w:rsidRDefault="00623E6F" w:rsidP="00623E6F">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DA6712">
        <w:rPr>
          <w:rFonts w:ascii="Verdana" w:eastAsia="Century Gothic" w:hAnsi="Verdana" w:cs="Century Gothic"/>
          <w:b/>
          <w:bCs/>
          <w:color w:val="000000" w:themeColor="text1"/>
        </w:rPr>
        <w:t>Problema planteado:</w:t>
      </w:r>
    </w:p>
    <w:p w14:paraId="7622FDC7" w14:textId="77777777" w:rsidR="00623E6F" w:rsidRPr="00DA6712" w:rsidRDefault="00623E6F" w:rsidP="00623E6F">
      <w:pPr>
        <w:tabs>
          <w:tab w:val="left" w:pos="426"/>
        </w:tabs>
        <w:spacing w:after="0" w:line="276" w:lineRule="auto"/>
        <w:jc w:val="both"/>
        <w:rPr>
          <w:rFonts w:ascii="Verdana" w:eastAsia="Century Gothic" w:hAnsi="Verdana" w:cs="Century Gothic"/>
          <w:color w:val="000000" w:themeColor="text1"/>
          <w:lang w:val="es-ES"/>
        </w:rPr>
      </w:pPr>
    </w:p>
    <w:p w14:paraId="376EAD42" w14:textId="1E5E88AE" w:rsidR="00623E6F" w:rsidRPr="000D5C2E" w:rsidRDefault="00623E6F" w:rsidP="00623E6F">
      <w:pPr>
        <w:spacing w:after="0" w:line="276" w:lineRule="auto"/>
        <w:jc w:val="both"/>
        <w:rPr>
          <w:rFonts w:ascii="Verdana" w:eastAsia="Times New Roman" w:hAnsi="Verdana" w:cs="Times New Roman"/>
          <w:lang w:eastAsia="es-CO"/>
        </w:rPr>
      </w:pPr>
      <w:r w:rsidRPr="00B50B09">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los</w:t>
      </w:r>
      <w:r w:rsidRPr="00B50B09">
        <w:rPr>
          <w:rFonts w:ascii="Verdana" w:eastAsia="Century Gothic" w:hAnsi="Verdana" w:cs="Century Gothic"/>
          <w:color w:val="000000" w:themeColor="text1"/>
        </w:rPr>
        <w:t xml:space="preserve"> </w:t>
      </w:r>
      <w:r w:rsidRPr="00B50B09">
        <w:rPr>
          <w:rFonts w:ascii="Verdana" w:eastAsia="Century Gothic" w:hAnsi="Verdana" w:cs="Century Gothic"/>
          <w:color w:val="000000" w:themeColor="text1"/>
        </w:rPr>
        <w:t>siguiente</w:t>
      </w:r>
      <w:r>
        <w:rPr>
          <w:rFonts w:ascii="Verdana" w:eastAsia="Century Gothic" w:hAnsi="Verdana" w:cs="Century Gothic"/>
          <w:color w:val="000000" w:themeColor="text1"/>
        </w:rPr>
        <w:t>s</w:t>
      </w:r>
      <w:r w:rsidRPr="00B50B09">
        <w:rPr>
          <w:rFonts w:ascii="Verdana" w:eastAsia="Century Gothic" w:hAnsi="Verdana" w:cs="Century Gothic"/>
          <w:color w:val="000000" w:themeColor="text1"/>
        </w:rPr>
        <w:t xml:space="preserve"> problema</w:t>
      </w:r>
      <w:r>
        <w:rPr>
          <w:rFonts w:ascii="Verdana" w:eastAsia="Century Gothic" w:hAnsi="Verdana" w:cs="Century Gothic"/>
          <w:color w:val="000000" w:themeColor="text1"/>
        </w:rPr>
        <w:t>s</w:t>
      </w:r>
      <w:r w:rsidRPr="00B50B09">
        <w:rPr>
          <w:rFonts w:ascii="Verdana" w:eastAsia="Century Gothic" w:hAnsi="Verdana" w:cs="Century Gothic"/>
          <w:color w:val="000000" w:themeColor="text1"/>
        </w:rPr>
        <w:t xml:space="preserve"> jurídico: i)</w:t>
      </w:r>
      <w:r>
        <w:rPr>
          <w:rFonts w:ascii="Verdana" w:eastAsia="Century Gothic" w:hAnsi="Verdana" w:cs="Century Gothic"/>
          <w:color w:val="000000" w:themeColor="text1"/>
        </w:rPr>
        <w:t xml:space="preserve"> De acuerdo con el artículo 83 de la Ley 1474 de 2011</w:t>
      </w:r>
      <w:r w:rsidRPr="00B50B09">
        <w:rPr>
          <w:rFonts w:ascii="Verdana" w:eastAsia="Century Gothic" w:hAnsi="Verdana" w:cs="Century Gothic"/>
          <w:color w:val="000000" w:themeColor="text1"/>
        </w:rPr>
        <w:t xml:space="preserve"> ¿</w:t>
      </w:r>
      <w:r>
        <w:rPr>
          <w:rFonts w:ascii="Verdana" w:eastAsia="Century Gothic" w:hAnsi="Verdana" w:cs="Century Gothic"/>
          <w:color w:val="000000" w:themeColor="text1"/>
        </w:rPr>
        <w:t>el seguimiento a la ejecución de contrato o convenios interadministrativos debe realizarse mediante la figura de supervisión o interventoría</w:t>
      </w:r>
      <w:r w:rsidRPr="00B50B09">
        <w:rPr>
          <w:rFonts w:ascii="Verdana" w:eastAsia="Century Gothic" w:hAnsi="Verdana" w:cs="Century Gothic"/>
          <w:color w:val="000000" w:themeColor="text1"/>
        </w:rPr>
        <w:t xml:space="preserve">?; y </w:t>
      </w:r>
      <w:proofErr w:type="spellStart"/>
      <w:r w:rsidRPr="00B50B09">
        <w:rPr>
          <w:rFonts w:ascii="Verdana" w:eastAsia="Century Gothic" w:hAnsi="Verdana" w:cs="Century Gothic"/>
          <w:color w:val="000000" w:themeColor="text1"/>
        </w:rPr>
        <w:t>ii</w:t>
      </w:r>
      <w:proofErr w:type="spellEnd"/>
      <w:r w:rsidRPr="00B50B09">
        <w:rPr>
          <w:rFonts w:ascii="Verdana" w:eastAsia="Century Gothic" w:hAnsi="Verdana" w:cs="Century Gothic"/>
          <w:color w:val="000000" w:themeColor="text1"/>
        </w:rPr>
        <w:t xml:space="preserve">) </w:t>
      </w:r>
      <w:r w:rsidRPr="000D5C2E">
        <w:rPr>
          <w:rFonts w:ascii="Verdana" w:eastAsia="Times New Roman" w:hAnsi="Verdana" w:cs="Times New Roman"/>
          <w:lang w:eastAsia="es-CO"/>
        </w:rPr>
        <w:t>¿</w:t>
      </w:r>
      <w:r>
        <w:rPr>
          <w:rFonts w:ascii="Verdana" w:eastAsia="Times New Roman" w:hAnsi="Verdana" w:cs="Times New Roman"/>
          <w:lang w:eastAsia="es-CO"/>
        </w:rPr>
        <w:t>e</w:t>
      </w:r>
      <w:r w:rsidRPr="000D5C2E">
        <w:rPr>
          <w:rFonts w:ascii="Verdana" w:eastAsia="Times New Roman" w:hAnsi="Verdana" w:cs="Times New Roman"/>
          <w:lang w:eastAsia="es-CO"/>
        </w:rPr>
        <w:t>s jurídicamente viable designar a un contratista como supervisor de un contrato o convenio?</w:t>
      </w:r>
    </w:p>
    <w:p w14:paraId="2BF9A175" w14:textId="77777777" w:rsidR="00623E6F" w:rsidRPr="00DA6712" w:rsidRDefault="00623E6F" w:rsidP="00623E6F">
      <w:pPr>
        <w:spacing w:after="0" w:line="276" w:lineRule="auto"/>
        <w:jc w:val="both"/>
        <w:rPr>
          <w:rFonts w:ascii="Verdana" w:eastAsia="Calibri" w:hAnsi="Verdana" w:cs="Arial"/>
          <w:color w:val="000000" w:themeColor="text1"/>
          <w:lang w:val="es-ES"/>
        </w:rPr>
      </w:pPr>
    </w:p>
    <w:p w14:paraId="22B3CF3C" w14:textId="77777777" w:rsidR="00623E6F" w:rsidRPr="00DA6712" w:rsidRDefault="00623E6F" w:rsidP="00623E6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DA6712">
        <w:rPr>
          <w:rFonts w:ascii="Verdana" w:eastAsia="Century Gothic" w:hAnsi="Verdana" w:cs="Century Gothic"/>
          <w:b/>
          <w:bCs/>
          <w:color w:val="000000" w:themeColor="text1"/>
        </w:rPr>
        <w:t>Respuesta:</w:t>
      </w:r>
    </w:p>
    <w:p w14:paraId="67220072" w14:textId="77777777" w:rsidR="00623E6F" w:rsidRPr="00DA6712" w:rsidRDefault="00623E6F" w:rsidP="00623E6F">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23E6F" w:rsidRPr="00DA6712" w14:paraId="19F52D36" w14:textId="77777777" w:rsidTr="00EF5085">
        <w:tc>
          <w:tcPr>
            <w:tcW w:w="8828" w:type="dxa"/>
            <w:shd w:val="clear" w:color="auto" w:fill="auto"/>
          </w:tcPr>
          <w:p w14:paraId="1E77F27A" w14:textId="77777777" w:rsidR="00623E6F" w:rsidRDefault="00623E6F" w:rsidP="00EF5085">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 xml:space="preserve">En cuanto a la primera cuestión, es pertinente aclarar que, </w:t>
            </w:r>
            <w:r>
              <w:rPr>
                <w:rFonts w:ascii="Verdana" w:eastAsia="Times New Roman" w:hAnsi="Verdana" w:cs="Arial"/>
                <w:shd w:val="clear" w:color="auto" w:fill="FFFFFF"/>
              </w:rPr>
              <w:t xml:space="preserve">la necesidad de optar por realizar el seguimiento a la ejecución mediante supervisión o interventoría respecto de los contratos o convenios interadministrativos corresponde a las Entidades Estatales involucradas. En ese sentido, tratándose de contratos interadministrativos que superen la menor cuantía, </w:t>
            </w:r>
            <w:r>
              <w:rPr>
                <w:rFonts w:ascii="Verdana" w:eastAsia="Times New Roman" w:hAnsi="Verdana" w:cs="Arial"/>
                <w:shd w:val="clear" w:color="auto" w:fill="FFFFFF"/>
              </w:rPr>
              <w:lastRenderedPageBreak/>
              <w:t xml:space="preserve">corresponderá a la Entidad Estatal contratarte pronunciarse en el respectivo estudio previo sobre la necesidad de contar con interventoría, con arreglo a lo dispuesto en el artículo 83 de la Ley 1474 de 2011.   </w:t>
            </w:r>
          </w:p>
          <w:p w14:paraId="7A9DFCB9" w14:textId="77777777" w:rsidR="00623E6F" w:rsidRPr="00295E86" w:rsidRDefault="00623E6F" w:rsidP="00EF5085">
            <w:pPr>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De otra parte, respecto del segundo interrogante se debe indicar que, n</w:t>
            </w:r>
            <w:r w:rsidRPr="00195FBA">
              <w:rPr>
                <w:rFonts w:ascii="Verdana" w:eastAsia="Calibri" w:hAnsi="Verdana" w:cs="Arial"/>
                <w:color w:val="000000" w:themeColor="text1"/>
              </w:rPr>
              <w:t>o es jurídicamente viable designar a un contratista como supervisor de un contrato estatal, ya que la Ley 1474 de 2011 establece que la supervisión debe ser ejercida directamente por la entidad estatal, a través de servidores públicos designados, aunque puedan recibir apoyo técnico o administrativo de contratistas para tareas específicas. Esta postura ha sido reiterada por Colombia Compra Eficiente en la “Guía para el ejercicio de las funciones de Supervisión e Interventoría de los contratos del Estado”, donde se aclara que los contratistas solo pueden apoyar actividades específicas sin asumir directamente la supervisión.</w:t>
            </w:r>
            <w:r>
              <w:rPr>
                <w:rFonts w:ascii="Verdana" w:eastAsia="Calibri" w:hAnsi="Verdana" w:cs="Arial"/>
                <w:color w:val="000000" w:themeColor="text1"/>
              </w:rPr>
              <w:t xml:space="preserve"> </w:t>
            </w:r>
          </w:p>
        </w:tc>
      </w:tr>
    </w:tbl>
    <w:p w14:paraId="6DD42896" w14:textId="77777777" w:rsidR="00623E6F" w:rsidRPr="00DA6712" w:rsidRDefault="00623E6F" w:rsidP="00623E6F">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F25F6A1" w14:textId="77777777" w:rsidR="00623E6F" w:rsidRPr="00DA6712" w:rsidRDefault="00623E6F" w:rsidP="00623E6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DA6712">
        <w:rPr>
          <w:rFonts w:ascii="Verdana" w:eastAsia="Century Gothic" w:hAnsi="Verdana" w:cs="Century Gothic"/>
          <w:b/>
          <w:bCs/>
          <w:color w:val="000000" w:themeColor="text1"/>
        </w:rPr>
        <w:t>Razones de la respuesta:</w:t>
      </w:r>
    </w:p>
    <w:p w14:paraId="6E736D4E" w14:textId="77777777" w:rsidR="00623E6F" w:rsidRPr="00DA6712" w:rsidRDefault="00623E6F" w:rsidP="00623E6F">
      <w:pPr>
        <w:spacing w:after="0" w:line="276" w:lineRule="auto"/>
        <w:jc w:val="both"/>
        <w:rPr>
          <w:rFonts w:ascii="Verdana" w:eastAsia="Calibri" w:hAnsi="Verdana" w:cs="Arial"/>
          <w:color w:val="000000" w:themeColor="text1"/>
          <w:lang w:val="es-ES"/>
        </w:rPr>
      </w:pPr>
    </w:p>
    <w:p w14:paraId="5D353C0D" w14:textId="77777777" w:rsidR="00623E6F" w:rsidRPr="00DA6712" w:rsidRDefault="00623E6F" w:rsidP="00623E6F">
      <w:pPr>
        <w:spacing w:after="0" w:line="276" w:lineRule="auto"/>
        <w:jc w:val="both"/>
        <w:rPr>
          <w:rFonts w:ascii="Verdana" w:eastAsia="Calibri" w:hAnsi="Verdana" w:cs="Arial"/>
          <w:color w:val="000000" w:themeColor="text1"/>
          <w:lang w:val="es-ES"/>
        </w:rPr>
      </w:pPr>
      <w:r w:rsidRPr="00DA6712">
        <w:rPr>
          <w:rFonts w:ascii="Verdana" w:eastAsia="Calibri" w:hAnsi="Verdana" w:cs="Arial"/>
          <w:color w:val="000000" w:themeColor="text1"/>
          <w:lang w:val="es-ES"/>
        </w:rPr>
        <w:t xml:space="preserve">Lo anterior se sustenta en las siguientes consideraciones: </w:t>
      </w:r>
    </w:p>
    <w:p w14:paraId="5E4D9C28" w14:textId="77777777" w:rsidR="00623E6F" w:rsidRPr="00DA6712" w:rsidRDefault="00623E6F" w:rsidP="00623E6F">
      <w:pPr>
        <w:spacing w:after="0" w:line="276" w:lineRule="auto"/>
        <w:jc w:val="both"/>
        <w:rPr>
          <w:rFonts w:ascii="Verdana" w:eastAsia="Calibri" w:hAnsi="Verdana" w:cs="Arial"/>
          <w:color w:val="000000" w:themeColor="text1"/>
          <w:lang w:val="es-ES"/>
        </w:rPr>
      </w:pPr>
    </w:p>
    <w:p w14:paraId="626C97C6" w14:textId="77777777" w:rsidR="00623E6F" w:rsidRPr="005A1E4E" w:rsidRDefault="00623E6F" w:rsidP="00623E6F">
      <w:pPr>
        <w:spacing w:after="120" w:line="276" w:lineRule="auto"/>
        <w:jc w:val="both"/>
        <w:rPr>
          <w:rFonts w:ascii="Verdana" w:eastAsia="Times New Roman" w:hAnsi="Verdana" w:cs="Arial"/>
          <w:lang w:val="es-ES_tradnl" w:eastAsia="es-MX"/>
        </w:rPr>
      </w:pPr>
      <w:bookmarkStart w:id="1" w:name="_Hlk173311098"/>
      <w:bookmarkStart w:id="2" w:name="_Hlk182495957"/>
      <w:r w:rsidRPr="005A1E4E">
        <w:rPr>
          <w:rFonts w:ascii="Verdana" w:eastAsia="Times New Roman" w:hAnsi="Verdana" w:cs="Arial"/>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7B0780AF" w14:textId="77777777" w:rsidR="00623E6F" w:rsidRPr="005A1E4E" w:rsidRDefault="00623E6F" w:rsidP="00623E6F">
      <w:pPr>
        <w:spacing w:after="120" w:line="276" w:lineRule="auto"/>
        <w:ind w:firstLine="709"/>
        <w:jc w:val="both"/>
        <w:textAlignment w:val="baseline"/>
        <w:rPr>
          <w:rFonts w:ascii="Verdana" w:eastAsia="Times New Roman" w:hAnsi="Verdana" w:cs="Arial"/>
          <w:lang w:val="es-ES_tradnl" w:eastAsia="es-MX"/>
        </w:rPr>
      </w:pPr>
      <w:r w:rsidRPr="005A1E4E">
        <w:rPr>
          <w:rFonts w:ascii="Verdana" w:eastAsia="Times New Roman" w:hAnsi="Verdana" w:cs="Arial"/>
          <w:lang w:val="es-ES_tradnl" w:eastAsia="es-MX"/>
        </w:rPr>
        <w:t xml:space="preserve">Las </w:t>
      </w:r>
      <w:r>
        <w:rPr>
          <w:rFonts w:ascii="Verdana" w:eastAsia="Times New Roman" w:hAnsi="Verdana" w:cs="Arial"/>
          <w:lang w:val="es-ES_tradnl" w:eastAsia="es-MX"/>
        </w:rPr>
        <w:t>l</w:t>
      </w:r>
      <w:r w:rsidRPr="005A1E4E">
        <w:rPr>
          <w:rFonts w:ascii="Verdana" w:eastAsia="Times New Roman" w:hAnsi="Verdana" w:cs="Arial"/>
          <w:lang w:val="es-ES_tradnl" w:eastAsia="es-MX"/>
        </w:rPr>
        <w:t>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5A1E4E">
        <w:rPr>
          <w:rFonts w:ascii="Verdana" w:eastAsia="Times New Roman" w:hAnsi="Verdana" w:cs="Arial"/>
          <w:vertAlign w:val="superscript"/>
          <w:lang w:val="es-ES_tradnl" w:eastAsia="es-MX"/>
        </w:rPr>
        <w:footnoteReference w:id="1"/>
      </w:r>
      <w:r w:rsidRPr="005A1E4E">
        <w:rPr>
          <w:rFonts w:ascii="Verdana" w:eastAsia="Times New Roman" w:hAnsi="Verdana" w:cs="Arial"/>
          <w:lang w:val="es-ES_tradnl" w:eastAsia="es-MX"/>
        </w:rPr>
        <w:t xml:space="preserve">. También se establecen los límites de la responsabilidad del representante legal ante la delegación de sus </w:t>
      </w:r>
      <w:r w:rsidRPr="005A1E4E">
        <w:rPr>
          <w:rFonts w:ascii="Verdana" w:eastAsia="Times New Roman" w:hAnsi="Verdana" w:cs="Arial"/>
          <w:lang w:val="es-ES_tradnl" w:eastAsia="es-MX"/>
        </w:rPr>
        <w:lastRenderedPageBreak/>
        <w:t>funciones en materia contractual</w:t>
      </w:r>
      <w:r w:rsidRPr="005A1E4E">
        <w:rPr>
          <w:rFonts w:ascii="Verdana" w:eastAsia="Times New Roman" w:hAnsi="Verdana" w:cs="Arial"/>
          <w:vertAlign w:val="superscript"/>
          <w:lang w:val="es-ES_tradnl" w:eastAsia="es-MX"/>
        </w:rPr>
        <w:footnoteReference w:id="2"/>
      </w:r>
      <w:r w:rsidRPr="005A1E4E">
        <w:rPr>
          <w:rFonts w:ascii="Verdana" w:eastAsia="Times New Roman" w:hAnsi="Verdana" w:cs="Arial"/>
          <w:lang w:val="es-ES_tradnl" w:eastAsia="es-MX"/>
        </w:rPr>
        <w:t xml:space="preserve"> y se regula la supervisión y la interventoría de los contratos estatales</w:t>
      </w:r>
      <w:r w:rsidRPr="005A1E4E">
        <w:rPr>
          <w:rFonts w:ascii="Verdana" w:eastAsia="Times New Roman" w:hAnsi="Verdana" w:cs="Arial"/>
          <w:vertAlign w:val="superscript"/>
          <w:lang w:val="es-ES_tradnl" w:eastAsia="es-MX"/>
        </w:rPr>
        <w:footnoteReference w:id="3"/>
      </w:r>
      <w:r w:rsidRPr="005A1E4E">
        <w:rPr>
          <w:rFonts w:ascii="Verdana" w:eastAsia="Times New Roman" w:hAnsi="Verdana" w:cs="Arial"/>
          <w:lang w:val="es-ES_tradnl" w:eastAsia="es-MX"/>
        </w:rPr>
        <w:t>.</w:t>
      </w:r>
    </w:p>
    <w:p w14:paraId="69E0C025" w14:textId="77777777" w:rsidR="00623E6F" w:rsidRPr="005A1E4E" w:rsidRDefault="00623E6F" w:rsidP="00623E6F">
      <w:pPr>
        <w:spacing w:before="120" w:after="120" w:line="276" w:lineRule="auto"/>
        <w:ind w:firstLine="708"/>
        <w:contextualSpacing/>
        <w:jc w:val="both"/>
        <w:textAlignment w:val="baseline"/>
        <w:rPr>
          <w:rFonts w:ascii="Verdana" w:eastAsia="Times New Roman" w:hAnsi="Verdana" w:cs="Arial"/>
          <w:lang w:val="es-ES_tradnl" w:eastAsia="es-MX"/>
        </w:rPr>
      </w:pPr>
      <w:r w:rsidRPr="005A1E4E">
        <w:rPr>
          <w:rFonts w:ascii="Verdana" w:eastAsia="Times New Roman" w:hAnsi="Verdana" w:cs="Arial"/>
          <w:lang w:val="es-ES_tradnl"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6E382DF8" w14:textId="77777777" w:rsidR="00623E6F" w:rsidRPr="005A1E4E" w:rsidRDefault="00623E6F" w:rsidP="00623E6F">
      <w:pPr>
        <w:spacing w:after="0"/>
        <w:ind w:left="709"/>
        <w:contextualSpacing/>
        <w:jc w:val="both"/>
        <w:rPr>
          <w:rFonts w:ascii="Verdana" w:eastAsia="Times New Roman" w:hAnsi="Verdana" w:cs="Arial"/>
          <w:lang w:val="es-ES_tradnl" w:eastAsia="es-MX"/>
        </w:rPr>
      </w:pPr>
    </w:p>
    <w:p w14:paraId="7C487DD3" w14:textId="77777777" w:rsidR="00623E6F" w:rsidRPr="005A1E4E" w:rsidRDefault="00623E6F" w:rsidP="00623E6F">
      <w:pPr>
        <w:spacing w:after="0" w:line="240" w:lineRule="auto"/>
        <w:ind w:left="709" w:right="709"/>
        <w:jc w:val="both"/>
        <w:rPr>
          <w:rFonts w:ascii="Verdana" w:eastAsia="Times New Roman" w:hAnsi="Verdana" w:cs="Arial"/>
          <w:sz w:val="20"/>
          <w:szCs w:val="20"/>
          <w:lang w:val="es-ES_tradnl" w:eastAsia="es-MX"/>
        </w:rPr>
      </w:pPr>
      <w:bookmarkStart w:id="3" w:name="_Hlk178671999"/>
      <w:r w:rsidRPr="005A1E4E">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w:t>
      </w:r>
      <w:bookmarkEnd w:id="3"/>
      <w:r w:rsidRPr="005A1E4E">
        <w:rPr>
          <w:rFonts w:ascii="Verdana" w:eastAsia="Times New Roman"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5A1E4E">
        <w:rPr>
          <w:rFonts w:ascii="Verdana" w:eastAsia="Times New Roman" w:hAnsi="Verdana" w:cs="Arial"/>
          <w:sz w:val="20"/>
          <w:szCs w:val="20"/>
          <w:vertAlign w:val="superscript"/>
          <w:lang w:val="es-ES_tradnl" w:eastAsia="es-MX"/>
        </w:rPr>
        <w:footnoteReference w:id="4"/>
      </w:r>
      <w:r w:rsidRPr="005A1E4E">
        <w:rPr>
          <w:rFonts w:ascii="Verdana" w:eastAsia="Times New Roman" w:hAnsi="Verdana" w:cs="Arial"/>
          <w:sz w:val="20"/>
          <w:szCs w:val="20"/>
          <w:lang w:val="es-ES_tradnl" w:eastAsia="es-MX"/>
        </w:rPr>
        <w:t>.</w:t>
      </w:r>
    </w:p>
    <w:p w14:paraId="040FF5E0" w14:textId="77777777" w:rsidR="00623E6F" w:rsidRPr="005A1E4E" w:rsidRDefault="00623E6F" w:rsidP="00623E6F">
      <w:pPr>
        <w:spacing w:after="0" w:line="276" w:lineRule="auto"/>
        <w:ind w:firstLine="708"/>
        <w:contextualSpacing/>
        <w:jc w:val="both"/>
        <w:textAlignment w:val="baseline"/>
        <w:rPr>
          <w:rFonts w:ascii="Verdana" w:eastAsia="Times New Roman" w:hAnsi="Verdana" w:cs="Arial"/>
          <w:lang w:val="es-ES" w:eastAsia="es-MX"/>
        </w:rPr>
      </w:pPr>
      <w:r w:rsidRPr="005A1E4E">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73584D57" w14:textId="77777777" w:rsidR="00623E6F" w:rsidRPr="005A1E4E" w:rsidRDefault="00623E6F" w:rsidP="00623E6F">
      <w:pPr>
        <w:spacing w:after="0" w:line="276" w:lineRule="auto"/>
        <w:ind w:left="720"/>
        <w:contextualSpacing/>
        <w:jc w:val="both"/>
        <w:textAlignment w:val="baseline"/>
        <w:rPr>
          <w:rFonts w:ascii="Verdana" w:eastAsia="Times New Roman" w:hAnsi="Verdana" w:cs="Arial"/>
          <w:lang w:val="es-ES_tradnl" w:eastAsia="es-MX"/>
        </w:rPr>
      </w:pPr>
    </w:p>
    <w:p w14:paraId="1D9C00F0" w14:textId="77777777" w:rsidR="00623E6F" w:rsidRPr="005A1E4E" w:rsidRDefault="00623E6F" w:rsidP="00623E6F">
      <w:pPr>
        <w:spacing w:after="0" w:line="240" w:lineRule="auto"/>
        <w:ind w:left="709" w:right="709"/>
        <w:jc w:val="both"/>
        <w:textAlignment w:val="baseline"/>
        <w:rPr>
          <w:rFonts w:ascii="Verdana" w:eastAsia="Times New Roman" w:hAnsi="Verdana" w:cs="Arial"/>
          <w:sz w:val="20"/>
          <w:szCs w:val="20"/>
          <w:lang w:val="es-ES" w:eastAsia="es-MX"/>
        </w:rPr>
      </w:pPr>
      <w:r w:rsidRPr="005A1E4E">
        <w:rPr>
          <w:rFonts w:ascii="Verdana" w:eastAsia="Times New Roman" w:hAnsi="Verdana" w:cs="Arial"/>
          <w:sz w:val="20"/>
          <w:szCs w:val="20"/>
          <w:lang w:val="es-ES" w:eastAsia="es-MX"/>
        </w:rPr>
        <w:t xml:space="preserve">“La supervisión consistirá en el seguimiento técnico, administrativo, financiero, contable, y jurídico </w:t>
      </w:r>
      <w:proofErr w:type="gramStart"/>
      <w:r w:rsidRPr="005A1E4E">
        <w:rPr>
          <w:rFonts w:ascii="Verdana" w:eastAsia="Times New Roman" w:hAnsi="Verdana" w:cs="Arial"/>
          <w:sz w:val="20"/>
          <w:szCs w:val="20"/>
          <w:lang w:val="es-ES" w:eastAsia="es-MX"/>
        </w:rPr>
        <w:t>que</w:t>
      </w:r>
      <w:proofErr w:type="gramEnd"/>
      <w:r w:rsidRPr="005A1E4E">
        <w:rPr>
          <w:rFonts w:ascii="Verdana" w:eastAsia="Times New Roman" w:hAnsi="Verdana" w:cs="Arial"/>
          <w:sz w:val="20"/>
          <w:szCs w:val="20"/>
          <w:lang w:val="es-ES" w:eastAsia="es-MX"/>
        </w:rPr>
        <w:t xml:space="preserv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04DCB442" w14:textId="77777777" w:rsidR="00623E6F" w:rsidRPr="005A1E4E" w:rsidRDefault="00623E6F" w:rsidP="00623E6F">
      <w:pPr>
        <w:spacing w:after="0" w:line="240" w:lineRule="auto"/>
        <w:ind w:left="709" w:right="709"/>
        <w:jc w:val="both"/>
        <w:textAlignment w:val="baseline"/>
        <w:rPr>
          <w:rFonts w:ascii="Verdana" w:eastAsia="Times New Roman" w:hAnsi="Verdana" w:cs="Arial"/>
          <w:sz w:val="20"/>
          <w:szCs w:val="20"/>
          <w:lang w:val="es-ES" w:eastAsia="es-MX"/>
        </w:rPr>
      </w:pPr>
      <w:r w:rsidRPr="005A1E4E">
        <w:rPr>
          <w:rFonts w:ascii="Verdana" w:eastAsia="Times New Roman" w:hAnsi="Verdana" w:cs="Arial"/>
          <w:sz w:val="20"/>
          <w:szCs w:val="20"/>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5A1E4E">
        <w:rPr>
          <w:rFonts w:ascii="Verdana" w:eastAsia="Times New Roman" w:hAnsi="Verdana" w:cs="Arial"/>
          <w:sz w:val="20"/>
          <w:szCs w:val="20"/>
          <w:lang w:val="es-ES" w:eastAsia="es-MX"/>
        </w:rPr>
        <w:t>del mismo</w:t>
      </w:r>
      <w:proofErr w:type="gramEnd"/>
      <w:r w:rsidRPr="005A1E4E">
        <w:rPr>
          <w:rFonts w:ascii="Verdana" w:eastAsia="Times New Roman" w:hAnsi="Verdana" w:cs="Arial"/>
          <w:sz w:val="20"/>
          <w:szCs w:val="20"/>
          <w:lang w:val="es-ES" w:eastAsia="es-MX"/>
        </w:rPr>
        <w:t xml:space="preserve"> lo justifiquen. No obstante, lo </w:t>
      </w:r>
      <w:r w:rsidRPr="005A1E4E">
        <w:rPr>
          <w:rFonts w:ascii="Verdana" w:eastAsia="Times New Roman" w:hAnsi="Verdana" w:cs="Arial"/>
          <w:sz w:val="20"/>
          <w:szCs w:val="20"/>
          <w:lang w:val="es-ES" w:eastAsia="es-MX"/>
        </w:rPr>
        <w:lastRenderedPageBreak/>
        <w:t>anterior cuando la entidad lo encuentre justificado y acorde a la naturaleza del contrato principal, podrá contratar el seguimiento administrativo, técnico, financiero, contable, jurídico del objeto o contrato dentro de la interventoría”</w:t>
      </w:r>
      <w:r w:rsidRPr="005A1E4E">
        <w:rPr>
          <w:rFonts w:ascii="Verdana" w:eastAsia="Times New Roman" w:hAnsi="Verdana" w:cs="Arial"/>
          <w:sz w:val="20"/>
          <w:szCs w:val="20"/>
          <w:vertAlign w:val="superscript"/>
          <w:lang w:val="es-ES" w:eastAsia="es-MX"/>
        </w:rPr>
        <w:footnoteReference w:id="5"/>
      </w:r>
      <w:r w:rsidRPr="005A1E4E">
        <w:rPr>
          <w:rFonts w:ascii="Verdana" w:eastAsia="Times New Roman" w:hAnsi="Verdana" w:cs="Arial"/>
          <w:sz w:val="20"/>
          <w:szCs w:val="20"/>
          <w:lang w:val="es-ES" w:eastAsia="es-MX"/>
        </w:rPr>
        <w:t>.</w:t>
      </w:r>
    </w:p>
    <w:p w14:paraId="21FBFCE1" w14:textId="77777777" w:rsidR="00623E6F" w:rsidRPr="005A1E4E" w:rsidRDefault="00623E6F" w:rsidP="00623E6F">
      <w:pPr>
        <w:spacing w:after="0" w:line="276" w:lineRule="auto"/>
        <w:ind w:left="720"/>
        <w:contextualSpacing/>
        <w:jc w:val="both"/>
        <w:textAlignment w:val="baseline"/>
        <w:rPr>
          <w:rFonts w:ascii="Verdana" w:eastAsia="Times New Roman" w:hAnsi="Verdana" w:cs="Arial"/>
          <w:lang w:val="es-ES" w:eastAsia="es-MX"/>
        </w:rPr>
      </w:pPr>
    </w:p>
    <w:p w14:paraId="5B21005B" w14:textId="77777777" w:rsidR="00623E6F" w:rsidRPr="005A1E4E" w:rsidRDefault="00623E6F" w:rsidP="00623E6F">
      <w:pPr>
        <w:tabs>
          <w:tab w:val="left" w:pos="709"/>
        </w:tabs>
        <w:spacing w:before="120" w:after="120" w:line="276" w:lineRule="auto"/>
        <w:jc w:val="both"/>
        <w:rPr>
          <w:rFonts w:ascii="Verdana" w:eastAsia="Times New Roman" w:hAnsi="Verdana" w:cs="Arial"/>
          <w:shd w:val="clear" w:color="auto" w:fill="FFFFFF"/>
          <w:lang w:val="es-ES"/>
        </w:rPr>
      </w:pPr>
      <w:r>
        <w:rPr>
          <w:rFonts w:ascii="Verdana" w:eastAsia="Times New Roman" w:hAnsi="Verdana" w:cs="Arial"/>
          <w:bCs/>
          <w:lang w:val="es-ES"/>
        </w:rPr>
        <w:tab/>
      </w:r>
      <w:r w:rsidRPr="005A1E4E">
        <w:rPr>
          <w:rFonts w:ascii="Verdana" w:eastAsia="Times New Roman" w:hAnsi="Verdana" w:cs="Arial"/>
          <w:bCs/>
          <w:lang w:val="es-ES"/>
        </w:rPr>
        <w:t>Sin perjuicio de lo anterior, según lo expresado por esta Agencia en el concepto No. 4201913000008240 del 20 de diciembre de 2019,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5A1E4E">
        <w:rPr>
          <w:rFonts w:ascii="Verdana" w:eastAsia="Times New Roman" w:hAnsi="Verdana" w:cs="Arial"/>
          <w:bCs/>
          <w:vertAlign w:val="superscript"/>
          <w:lang w:val="es-ES"/>
        </w:rPr>
        <w:footnoteReference w:id="6"/>
      </w:r>
      <w:r w:rsidRPr="005A1E4E">
        <w:rPr>
          <w:rFonts w:ascii="Verdana" w:eastAsia="Times New Roman" w:hAnsi="Verdana" w:cs="Arial"/>
          <w:bCs/>
          <w:lang w:val="es-ES"/>
        </w:rPr>
        <w:t xml:space="preserve">–; </w:t>
      </w:r>
      <w:proofErr w:type="spellStart"/>
      <w:r w:rsidRPr="005A1E4E">
        <w:rPr>
          <w:rFonts w:ascii="Verdana" w:eastAsia="Times New Roman" w:hAnsi="Verdana" w:cs="Arial"/>
          <w:bCs/>
          <w:lang w:val="es-ES"/>
        </w:rPr>
        <w:t>ii</w:t>
      </w:r>
      <w:proofErr w:type="spellEnd"/>
      <w:r w:rsidRPr="005A1E4E">
        <w:rPr>
          <w:rFonts w:ascii="Verdana" w:eastAsia="Times New Roman" w:hAnsi="Verdana" w:cs="Arial"/>
          <w:bCs/>
          <w:lang w:val="es-ES"/>
        </w:rPr>
        <w:t xml:space="preserve">) no requiere conocimientos tan especializados como la interventoría; </w:t>
      </w:r>
      <w:proofErr w:type="spellStart"/>
      <w:r w:rsidRPr="005A1E4E">
        <w:rPr>
          <w:rFonts w:ascii="Verdana" w:eastAsia="Times New Roman" w:hAnsi="Verdana" w:cs="Arial"/>
          <w:bCs/>
          <w:lang w:val="es-ES"/>
        </w:rPr>
        <w:t>iii</w:t>
      </w:r>
      <w:proofErr w:type="spellEnd"/>
      <w:r w:rsidRPr="005A1E4E">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5A1E4E">
        <w:rPr>
          <w:rFonts w:ascii="Verdana" w:eastAsia="Times New Roman" w:hAnsi="Verdana" w:cs="Arial"/>
          <w:bCs/>
          <w:lang w:val="es-ES"/>
        </w:rPr>
        <w:t>iv</w:t>
      </w:r>
      <w:proofErr w:type="spellEnd"/>
      <w:r w:rsidRPr="005A1E4E">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1C177AE1" w14:textId="77777777" w:rsidR="00623E6F" w:rsidRPr="005A1E4E" w:rsidRDefault="00623E6F" w:rsidP="00623E6F">
      <w:pPr>
        <w:tabs>
          <w:tab w:val="left" w:pos="709"/>
        </w:tabs>
        <w:spacing w:before="120" w:after="120" w:line="276" w:lineRule="auto"/>
        <w:jc w:val="both"/>
        <w:rPr>
          <w:rFonts w:ascii="Verdana" w:eastAsia="Times New Roman" w:hAnsi="Verdana" w:cs="Arial"/>
          <w:bCs/>
          <w:lang w:val="es-ES"/>
        </w:rPr>
      </w:pPr>
      <w:r w:rsidRPr="005A1E4E">
        <w:rPr>
          <w:rFonts w:ascii="Verdana" w:eastAsia="Times New Roman" w:hAnsi="Verdana" w:cs="Arial"/>
          <w:bCs/>
          <w:lang w:val="es-ES"/>
        </w:rPr>
        <w:t xml:space="preserve"> </w:t>
      </w:r>
      <w:r>
        <w:rPr>
          <w:rFonts w:ascii="Verdana" w:eastAsia="Times New Roman" w:hAnsi="Verdana" w:cs="Arial"/>
          <w:bCs/>
          <w:lang w:val="es-ES"/>
        </w:rPr>
        <w:tab/>
      </w:r>
      <w:r w:rsidRPr="005A1E4E">
        <w:rPr>
          <w:rFonts w:ascii="Verdana" w:eastAsia="Times New Roman" w:hAnsi="Verdana" w:cs="Arial"/>
          <w:bCs/>
          <w:lang w:val="es-ES"/>
        </w:rPr>
        <w:t xml:space="preserve">Por otro lado, es pertinente señalar que esta Agencia ha considerado que del texto del artículo 83 de la Ley 1474 es posible inferir que la ley dispuso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4BD1B8B8" w14:textId="77777777" w:rsidR="00623E6F" w:rsidRPr="005A1E4E" w:rsidRDefault="00623E6F" w:rsidP="00623E6F">
      <w:pPr>
        <w:tabs>
          <w:tab w:val="left" w:pos="709"/>
        </w:tabs>
        <w:spacing w:after="120" w:line="276" w:lineRule="auto"/>
        <w:jc w:val="both"/>
        <w:rPr>
          <w:rFonts w:ascii="Verdana" w:eastAsia="Times New Roman" w:hAnsi="Verdana" w:cs="Arial"/>
          <w:bCs/>
          <w:lang w:val="es-ES"/>
        </w:rPr>
      </w:pPr>
      <w:r>
        <w:rPr>
          <w:rFonts w:ascii="Verdana" w:eastAsia="Times New Roman" w:hAnsi="Verdana" w:cs="Arial"/>
          <w:bCs/>
          <w:lang w:val="es-ES"/>
        </w:rPr>
        <w:tab/>
      </w:r>
      <w:r w:rsidRPr="005A1E4E">
        <w:rPr>
          <w:rFonts w:ascii="Verdana" w:eastAsia="Times New Roman" w:hAnsi="Verdana" w:cs="Arial"/>
          <w:bCs/>
          <w:lang w:val="es-ES"/>
        </w:rPr>
        <w:t xml:space="preserve">Lo anterior postura se soporta del trámite del proyecto de ley que se convirtió en la Ley 1474 de 2011, inicialmente, establecía que </w:t>
      </w:r>
      <w:r w:rsidRPr="000D5C2E">
        <w:rPr>
          <w:rFonts w:ascii="Verdana" w:eastAsia="Times New Roman" w:hAnsi="Verdana" w:cs="Arial"/>
          <w:bCs/>
          <w:i/>
          <w:iCs/>
          <w:lang w:val="es-ES"/>
        </w:rPr>
        <w:t>“la supervisión de los contratos seria ejercida por un funcionario de la misma entidad estatal, o por un contratista de prestación de servicios profesionales […]”</w:t>
      </w:r>
      <w:r w:rsidRPr="005A1E4E">
        <w:rPr>
          <w:rFonts w:ascii="Verdana" w:eastAsia="Times New Roman" w:hAnsi="Verdana" w:cs="Arial"/>
          <w:vertAlign w:val="superscript"/>
          <w:lang w:val="es-ES"/>
        </w:rPr>
        <w:footnoteReference w:id="7"/>
      </w:r>
      <w:r w:rsidRPr="005A1E4E">
        <w:rPr>
          <w:rFonts w:ascii="Verdana" w:eastAsia="Times New Roman" w:hAnsi="Verdana" w:cs="Arial"/>
          <w:bCs/>
          <w:lang w:val="es-ES"/>
        </w:rPr>
        <w:t>. Sin embargo, también lo es que esa postura fue modificada para el segundo debate legislativo</w:t>
      </w:r>
      <w:r w:rsidRPr="005A1E4E">
        <w:rPr>
          <w:rFonts w:ascii="Verdana" w:eastAsia="Times New Roman" w:hAnsi="Verdana" w:cs="Arial"/>
          <w:vertAlign w:val="superscript"/>
          <w:lang w:val="es-ES"/>
        </w:rPr>
        <w:footnoteReference w:id="8"/>
      </w:r>
      <w:r w:rsidRPr="005A1E4E">
        <w:rPr>
          <w:rFonts w:ascii="Verdana" w:eastAsia="Times New Roman" w:hAnsi="Verdana" w:cs="Arial"/>
          <w:bCs/>
          <w:lang w:val="es-ES"/>
        </w:rPr>
        <w:t xml:space="preserve"> y en la ponencia registrada para tercer debate</w:t>
      </w:r>
      <w:r w:rsidRPr="005A1E4E">
        <w:rPr>
          <w:rFonts w:ascii="Verdana" w:eastAsia="Times New Roman" w:hAnsi="Verdana" w:cs="Arial"/>
          <w:vertAlign w:val="superscript"/>
          <w:lang w:val="es-ES"/>
        </w:rPr>
        <w:footnoteReference w:id="9"/>
      </w:r>
      <w:r w:rsidRPr="005A1E4E">
        <w:rPr>
          <w:rFonts w:ascii="Verdana" w:eastAsia="Times New Roman" w:hAnsi="Verdana" w:cs="Arial"/>
          <w:bCs/>
          <w:lang w:val="es-ES"/>
        </w:rPr>
        <w:t xml:space="preserve">, en donde se estableció </w:t>
      </w:r>
      <w:r w:rsidRPr="000D5C2E">
        <w:rPr>
          <w:rFonts w:ascii="Verdana" w:eastAsia="Times New Roman" w:hAnsi="Verdana" w:cs="Arial"/>
          <w:bCs/>
          <w:i/>
          <w:iCs/>
          <w:lang w:val="es-ES"/>
        </w:rPr>
        <w:t xml:space="preserve">que “la </w:t>
      </w:r>
      <w:r w:rsidRPr="000D5C2E">
        <w:rPr>
          <w:rFonts w:ascii="Verdana" w:eastAsia="Times New Roman" w:hAnsi="Verdana" w:cs="Arial"/>
          <w:bCs/>
          <w:i/>
          <w:iCs/>
          <w:lang w:val="es-ES"/>
        </w:rPr>
        <w:lastRenderedPageBreak/>
        <w:t>supervisión de los contratos ser[</w:t>
      </w:r>
      <w:proofErr w:type="spellStart"/>
      <w:r w:rsidRPr="000D5C2E">
        <w:rPr>
          <w:rFonts w:ascii="Verdana" w:eastAsia="Times New Roman" w:hAnsi="Verdana" w:cs="Arial"/>
          <w:bCs/>
          <w:i/>
          <w:iCs/>
          <w:lang w:val="es-ES"/>
        </w:rPr>
        <w:t>ía</w:t>
      </w:r>
      <w:proofErr w:type="spellEnd"/>
      <w:r w:rsidRPr="000D5C2E">
        <w:rPr>
          <w:rFonts w:ascii="Verdana" w:eastAsia="Times New Roman" w:hAnsi="Verdana" w:cs="Arial"/>
          <w:bCs/>
          <w:i/>
          <w:iCs/>
          <w:lang w:val="es-ES"/>
        </w:rPr>
        <w:t>] ejercida por un funcionario de la misma entidad estatal”</w:t>
      </w:r>
      <w:r w:rsidRPr="005A1E4E">
        <w:rPr>
          <w:rFonts w:ascii="Verdana" w:eastAsia="Times New Roman" w:hAnsi="Verdana" w:cs="Arial"/>
          <w:bCs/>
          <w:lang w:val="es-ES"/>
        </w:rPr>
        <w:t>. Incluso, la versión que finalmente se aprobó en cuarto debate</w:t>
      </w:r>
      <w:r w:rsidRPr="005A1E4E">
        <w:rPr>
          <w:rFonts w:ascii="Verdana" w:eastAsia="Times New Roman" w:hAnsi="Verdana" w:cs="Arial"/>
          <w:vertAlign w:val="superscript"/>
          <w:lang w:val="es-ES"/>
        </w:rPr>
        <w:footnoteReference w:id="10"/>
      </w:r>
      <w:r w:rsidRPr="005A1E4E">
        <w:rPr>
          <w:rFonts w:ascii="Verdana" w:eastAsia="Times New Roman" w:hAnsi="Verdana" w:cs="Arial"/>
          <w:bCs/>
          <w:lang w:val="es-ES"/>
        </w:rPr>
        <w:t>, que fue acogida por ambas cámaras legislativas</w:t>
      </w:r>
      <w:r w:rsidRPr="005A1E4E">
        <w:rPr>
          <w:rFonts w:ascii="Verdana" w:eastAsia="Times New Roman" w:hAnsi="Verdana" w:cs="Arial"/>
          <w:vertAlign w:val="superscript"/>
          <w:lang w:val="es-ES"/>
        </w:rPr>
        <w:footnoteReference w:id="11"/>
      </w:r>
      <w:r w:rsidRPr="005A1E4E">
        <w:rPr>
          <w:rFonts w:ascii="Verdana" w:eastAsia="Times New Roman" w:hAnsi="Verdana" w:cs="Arial"/>
          <w:bCs/>
          <w:lang w:val="es-ES"/>
        </w:rPr>
        <w:t xml:space="preserve"> luego del correspondiente trámite de conciliación</w:t>
      </w:r>
      <w:r w:rsidRPr="005A1E4E">
        <w:rPr>
          <w:rFonts w:ascii="Verdana" w:eastAsia="Times New Roman" w:hAnsi="Verdana" w:cs="Arial"/>
          <w:vertAlign w:val="superscript"/>
          <w:lang w:val="es-ES"/>
        </w:rPr>
        <w:footnoteReference w:id="12"/>
      </w:r>
      <w:r w:rsidRPr="005A1E4E">
        <w:rPr>
          <w:rFonts w:ascii="Verdana" w:eastAsia="Times New Roman" w:hAnsi="Verdana" w:cs="Arial"/>
          <w:bCs/>
          <w:lang w:val="es-ES"/>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47A84069" w14:textId="77777777" w:rsidR="00623E6F" w:rsidRPr="005A1E4E" w:rsidRDefault="00623E6F" w:rsidP="00623E6F">
      <w:pPr>
        <w:tabs>
          <w:tab w:val="left" w:pos="709"/>
        </w:tabs>
        <w:spacing w:before="120" w:after="120" w:line="276" w:lineRule="auto"/>
        <w:contextualSpacing/>
        <w:jc w:val="both"/>
        <w:rPr>
          <w:rFonts w:ascii="Verdana" w:eastAsia="Times New Roman" w:hAnsi="Verdana" w:cs="Arial"/>
          <w:bCs/>
          <w:lang w:val="es-ES"/>
        </w:rPr>
      </w:pPr>
      <w:r>
        <w:rPr>
          <w:rFonts w:ascii="Verdana" w:eastAsia="Times New Roman" w:hAnsi="Verdana" w:cs="Arial"/>
          <w:bCs/>
          <w:lang w:val="es-ES"/>
        </w:rPr>
        <w:tab/>
      </w:r>
      <w:r w:rsidRPr="005A1E4E">
        <w:rPr>
          <w:rFonts w:ascii="Verdana" w:eastAsia="Times New Roman" w:hAnsi="Verdana" w:cs="Arial"/>
          <w:bCs/>
          <w:lang w:val="es-ES"/>
        </w:rPr>
        <w:t>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0D5C2E">
        <w:rPr>
          <w:rFonts w:ascii="Verdana" w:eastAsia="Times New Roman" w:hAnsi="Verdana" w:cs="Arial"/>
          <w:bCs/>
          <w:vertAlign w:val="superscript"/>
          <w:lang w:val="es-ES"/>
        </w:rPr>
        <w:footnoteReference w:id="13"/>
      </w:r>
      <w:r w:rsidRPr="005A1E4E">
        <w:rPr>
          <w:rFonts w:ascii="Verdana" w:eastAsia="Times New Roman" w:hAnsi="Verdana" w:cs="Arial"/>
          <w:bCs/>
          <w:lang w:val="es-ES"/>
        </w:rPr>
        <w:t>, en providencia del 12 de diciembre de 2014, consideró que la calidad de supervisor la tienen los funcionarios de la entidad y no los contratistas. Esto, en los siguientes términos:</w:t>
      </w:r>
    </w:p>
    <w:p w14:paraId="1CBBE69F" w14:textId="77777777" w:rsidR="00623E6F" w:rsidRPr="005A1E4E" w:rsidRDefault="00623E6F" w:rsidP="00623E6F">
      <w:pPr>
        <w:tabs>
          <w:tab w:val="left" w:pos="709"/>
        </w:tabs>
        <w:spacing w:before="120" w:after="120" w:line="276" w:lineRule="auto"/>
        <w:contextualSpacing/>
        <w:jc w:val="both"/>
        <w:rPr>
          <w:rFonts w:ascii="Verdana" w:eastAsia="Times New Roman" w:hAnsi="Verdana" w:cs="Arial"/>
          <w:bCs/>
          <w:lang w:val="es-ES"/>
        </w:rPr>
      </w:pPr>
    </w:p>
    <w:p w14:paraId="6F8B1981" w14:textId="77777777" w:rsidR="00623E6F" w:rsidRPr="005A1E4E" w:rsidRDefault="00623E6F" w:rsidP="00623E6F">
      <w:pPr>
        <w:spacing w:line="240" w:lineRule="auto"/>
        <w:ind w:left="709" w:right="709"/>
        <w:jc w:val="both"/>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 xml:space="preserve">“De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 </w:t>
      </w:r>
    </w:p>
    <w:p w14:paraId="465E6F76" w14:textId="77777777" w:rsidR="00623E6F" w:rsidRPr="005A1E4E" w:rsidRDefault="00623E6F" w:rsidP="00623E6F">
      <w:pPr>
        <w:spacing w:line="240" w:lineRule="auto"/>
        <w:ind w:left="709" w:right="709"/>
        <w:jc w:val="both"/>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w:t>
      </w:r>
    </w:p>
    <w:p w14:paraId="2FE6D69D" w14:textId="77777777" w:rsidR="00623E6F" w:rsidRPr="005A1E4E" w:rsidRDefault="00623E6F" w:rsidP="00623E6F">
      <w:pPr>
        <w:spacing w:line="240" w:lineRule="auto"/>
        <w:ind w:left="709" w:right="709"/>
        <w:jc w:val="both"/>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 xml:space="preserve">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w:t>
      </w:r>
      <w:r w:rsidRPr="005A1E4E">
        <w:rPr>
          <w:rFonts w:ascii="Verdana" w:eastAsia="Times New Roman" w:hAnsi="Verdana" w:cs="Arial"/>
          <w:color w:val="000000"/>
          <w:sz w:val="20"/>
          <w:szCs w:val="20"/>
          <w:lang w:val="es-MX"/>
        </w:rPr>
        <w:lastRenderedPageBreak/>
        <w:t xml:space="preserve">interventor se utilizaba indistintamente de la vinculación que este tuviera con la entidad pública. Actualmente, la cuestión se mantiene en similares condiciones, sólo </w:t>
      </w:r>
      <w:r w:rsidRPr="005A1E4E">
        <w:rPr>
          <w:rFonts w:ascii="Verdana" w:eastAsia="Times New Roman" w:hAnsi="Verdana" w:cs="Arial"/>
          <w:i/>
          <w:iCs/>
          <w:color w:val="000000"/>
          <w:sz w:val="20"/>
          <w:szCs w:val="20"/>
          <w:lang w:val="es-MX"/>
        </w:rPr>
        <w:t>que se considera supervisor al funcionario de la entidad pública que desarrolle la vigilancia de los contratos de esta última, sin perjuicio de que esa labor se pueda apoyar a través de contratos de prestación de servicios, pero no para asumir la supervisión</w:t>
      </w:r>
      <w:r w:rsidRPr="005A1E4E">
        <w:rPr>
          <w:rFonts w:ascii="Verdana" w:eastAsia="Times New Roman" w:hAnsi="Verdana" w:cs="Arial"/>
          <w:color w:val="000000"/>
          <w:sz w:val="20"/>
          <w:szCs w:val="20"/>
          <w:lang w:val="es-MX"/>
        </w:rPr>
        <w:t>, so pena de variar de una consultoría a otra tipología diferente y, por consiguiente, de eludir procesos de selección. Por su parte, se hablará de interventor cuando se trate de una vigilancia externa o contratada</w:t>
      </w:r>
      <w:r>
        <w:rPr>
          <w:rFonts w:ascii="Verdana" w:eastAsia="Times New Roman" w:hAnsi="Verdana" w:cs="Arial"/>
          <w:color w:val="000000"/>
          <w:sz w:val="20"/>
          <w:szCs w:val="20"/>
          <w:lang w:val="es-MX"/>
        </w:rPr>
        <w:t>”</w:t>
      </w:r>
      <w:r w:rsidRPr="005A1E4E">
        <w:rPr>
          <w:rFonts w:ascii="Verdana" w:eastAsia="Times New Roman" w:hAnsi="Verdana" w:cs="Arial"/>
          <w:color w:val="000000"/>
          <w:sz w:val="20"/>
          <w:szCs w:val="20"/>
          <w:vertAlign w:val="superscript"/>
          <w:lang w:val="es-MX"/>
        </w:rPr>
        <w:footnoteReference w:id="14"/>
      </w:r>
      <w:r w:rsidRPr="005A1E4E">
        <w:rPr>
          <w:rFonts w:ascii="Verdana" w:eastAsia="Times New Roman" w:hAnsi="Verdana" w:cs="Arial"/>
          <w:color w:val="000000"/>
          <w:sz w:val="20"/>
          <w:szCs w:val="20"/>
          <w:lang w:val="es-MX"/>
        </w:rPr>
        <w:t>.</w:t>
      </w:r>
    </w:p>
    <w:p w14:paraId="45C40938" w14:textId="77777777" w:rsidR="00623E6F" w:rsidRPr="005A1E4E" w:rsidRDefault="00623E6F" w:rsidP="00623E6F">
      <w:pPr>
        <w:spacing w:before="120" w:after="120" w:line="276" w:lineRule="auto"/>
        <w:ind w:firstLine="709"/>
        <w:jc w:val="both"/>
        <w:rPr>
          <w:rFonts w:ascii="Verdana" w:eastAsia="Times New Roman" w:hAnsi="Verdana" w:cs="Arial"/>
          <w:shd w:val="clear" w:color="auto" w:fill="FFFFFF"/>
          <w:lang w:val="es-ES"/>
        </w:rPr>
      </w:pPr>
      <w:r w:rsidRPr="005A1E4E">
        <w:rPr>
          <w:rFonts w:ascii="Verdana" w:eastAsia="Times New Roman" w:hAnsi="Verdana" w:cs="Arial"/>
          <w:shd w:val="clear" w:color="auto" w:fill="FFFFFF"/>
          <w:lang w:val="es-ES"/>
        </w:rPr>
        <w:t>En ese mismo sentido, como se expuso previamente, la “Guía para el ejercicio de las funciones de supervisión e interventoría de los contratos suscritos por las Entidades Estatales” consagró que la supervisión del contrato estatal corresponde al funcionario público de la entidad. 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 y el respectivo ordenador del gasto de la entidad.</w:t>
      </w:r>
    </w:p>
    <w:p w14:paraId="0CA28E6D" w14:textId="77777777" w:rsidR="00623E6F" w:rsidRPr="005A1E4E" w:rsidRDefault="00623E6F" w:rsidP="00623E6F">
      <w:pPr>
        <w:spacing w:before="120" w:line="276" w:lineRule="auto"/>
        <w:ind w:firstLine="708"/>
        <w:contextualSpacing/>
        <w:jc w:val="both"/>
        <w:rPr>
          <w:rFonts w:ascii="Verdana" w:eastAsia="Times New Roman" w:hAnsi="Verdana" w:cs="Arial"/>
          <w:shd w:val="clear" w:color="auto" w:fill="FFFFFF"/>
          <w:lang w:val="es-ES"/>
        </w:rPr>
      </w:pPr>
      <w:r w:rsidRPr="005A1E4E">
        <w:rPr>
          <w:rFonts w:ascii="Verdana" w:eastAsia="Times New Roman" w:hAnsi="Verdana" w:cs="Arial"/>
          <w:shd w:val="clear" w:color="auto" w:fill="FFFFFF"/>
          <w:lang w:val="es-ES"/>
        </w:rPr>
        <w:t xml:space="preserve">Además, la mencionada guía señala que tanto supervisores e interventores tienen la función general de ejercer el control y vigilancia sobre la ejecución contractual de los contratos respecto de los cuales ejercen sus correspondientes obligaciones. Dicha labor debe ir dirigida a verificar el cumplimiento de las condiciones pactadas, por lo que están facultados para solicitar informes, aclaraciones y explicaciones sobre el desarrollo de la ejecución </w:t>
      </w:r>
      <w:r w:rsidRPr="005A1E4E">
        <w:rPr>
          <w:rFonts w:ascii="Verdana" w:eastAsia="Times New Roman" w:hAnsi="Verdana" w:cs="Arial"/>
          <w:shd w:val="clear" w:color="auto" w:fill="FFFFFF"/>
          <w:lang w:val="es-ES"/>
        </w:rPr>
        <w:lastRenderedPageBreak/>
        <w:t xml:space="preserve">contractual, impartir instrucciones al contratista y hacer recomendaciones encaminadas a lograr la correcta ejecución del objeto contratado. De hecho, conforme a lo manifestado por esta Agencia en la mencionada Guía, los supervisores e intervenciones tienen funciones generales como: </w:t>
      </w:r>
    </w:p>
    <w:p w14:paraId="533EA059" w14:textId="77777777" w:rsidR="00623E6F" w:rsidRDefault="00623E6F" w:rsidP="00623E6F">
      <w:pPr>
        <w:spacing w:after="0" w:line="276" w:lineRule="auto"/>
        <w:ind w:left="709" w:right="709"/>
        <w:jc w:val="both"/>
        <w:rPr>
          <w:rFonts w:ascii="Verdana" w:eastAsia="Times New Roman" w:hAnsi="Verdana" w:cs="Arial"/>
          <w:color w:val="000000"/>
          <w:sz w:val="20"/>
          <w:szCs w:val="20"/>
          <w:lang w:val="es-MX"/>
        </w:rPr>
      </w:pPr>
    </w:p>
    <w:p w14:paraId="249A4B61" w14:textId="77777777" w:rsidR="00623E6F" w:rsidRPr="005A1E4E" w:rsidRDefault="00623E6F" w:rsidP="00623E6F">
      <w:pPr>
        <w:spacing w:after="0" w:line="240" w:lineRule="auto"/>
        <w:ind w:left="709" w:right="709"/>
        <w:jc w:val="both"/>
        <w:rPr>
          <w:rFonts w:ascii="Verdana" w:eastAsia="Times New Roman" w:hAnsi="Verdana" w:cs="Arial"/>
          <w:color w:val="000000"/>
          <w:sz w:val="20"/>
          <w:szCs w:val="20"/>
          <w:lang w:val="es-MX"/>
        </w:rPr>
      </w:pPr>
      <w:r>
        <w:rPr>
          <w:rFonts w:ascii="Verdana" w:eastAsia="Times New Roman" w:hAnsi="Verdana" w:cs="Arial"/>
          <w:color w:val="000000"/>
          <w:sz w:val="20"/>
          <w:szCs w:val="20"/>
          <w:lang w:val="es-MX"/>
        </w:rPr>
        <w:t>“</w:t>
      </w:r>
      <w:r w:rsidRPr="005A1E4E">
        <w:rPr>
          <w:rFonts w:ascii="Verdana" w:eastAsia="Times New Roman" w:hAnsi="Verdana" w:cs="Arial"/>
          <w:color w:val="000000"/>
          <w:sz w:val="20"/>
          <w:szCs w:val="20"/>
          <w:lang w:val="es-MX"/>
        </w:rPr>
        <w:t>Apoyar el logro de los objetivos contractuales.</w:t>
      </w:r>
    </w:p>
    <w:p w14:paraId="4E4A81EF" w14:textId="77777777" w:rsidR="00623E6F" w:rsidRDefault="00623E6F" w:rsidP="00623E6F">
      <w:pPr>
        <w:spacing w:after="0" w:line="240" w:lineRule="auto"/>
        <w:ind w:left="709" w:right="709"/>
        <w:jc w:val="both"/>
        <w:rPr>
          <w:rFonts w:ascii="Verdana" w:eastAsia="Times New Roman" w:hAnsi="Verdana" w:cs="Arial"/>
          <w:color w:val="000000"/>
          <w:sz w:val="20"/>
          <w:szCs w:val="20"/>
          <w:lang w:val="es-MX"/>
        </w:rPr>
      </w:pPr>
    </w:p>
    <w:p w14:paraId="1B67826C" w14:textId="77777777" w:rsidR="00623E6F" w:rsidRPr="005A1E4E" w:rsidRDefault="00623E6F" w:rsidP="00623E6F">
      <w:pPr>
        <w:spacing w:after="0" w:line="240" w:lineRule="auto"/>
        <w:ind w:left="709" w:right="709"/>
        <w:jc w:val="both"/>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Velar por el cumplimiento del contrato en términos de plazos, calidades, cantidades y adecuada ejecución de los recursos del contrato.</w:t>
      </w:r>
    </w:p>
    <w:p w14:paraId="6D031F7B" w14:textId="77777777" w:rsidR="00623E6F" w:rsidRDefault="00623E6F" w:rsidP="00623E6F">
      <w:pPr>
        <w:spacing w:after="0" w:line="240" w:lineRule="auto"/>
        <w:ind w:left="709" w:right="709"/>
        <w:jc w:val="both"/>
        <w:rPr>
          <w:rFonts w:ascii="Verdana" w:eastAsia="Times New Roman" w:hAnsi="Verdana" w:cs="Arial"/>
          <w:color w:val="000000"/>
          <w:sz w:val="20"/>
          <w:szCs w:val="20"/>
          <w:lang w:val="es-MX"/>
        </w:rPr>
      </w:pPr>
    </w:p>
    <w:p w14:paraId="2BDB9F01" w14:textId="77777777" w:rsidR="00623E6F" w:rsidRDefault="00623E6F" w:rsidP="00623E6F">
      <w:pPr>
        <w:spacing w:after="0" w:line="240" w:lineRule="auto"/>
        <w:ind w:left="709" w:right="709"/>
        <w:jc w:val="both"/>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Mantener en contacto a las partes del contrato.</w:t>
      </w:r>
    </w:p>
    <w:p w14:paraId="236FC3CE" w14:textId="77777777" w:rsidR="00623E6F" w:rsidRPr="005A1E4E" w:rsidRDefault="00623E6F" w:rsidP="00623E6F">
      <w:pPr>
        <w:spacing w:after="0" w:line="240" w:lineRule="auto"/>
        <w:ind w:left="709" w:right="709"/>
        <w:jc w:val="both"/>
        <w:rPr>
          <w:rFonts w:ascii="Verdana" w:eastAsia="Times New Roman" w:hAnsi="Verdana" w:cs="Arial"/>
          <w:color w:val="000000"/>
          <w:sz w:val="20"/>
          <w:szCs w:val="20"/>
          <w:lang w:val="es-MX"/>
        </w:rPr>
      </w:pPr>
    </w:p>
    <w:p w14:paraId="11B77288" w14:textId="77777777" w:rsidR="00623E6F" w:rsidRPr="005A1E4E" w:rsidRDefault="00623E6F" w:rsidP="00623E6F">
      <w:pPr>
        <w:spacing w:after="0" w:line="240" w:lineRule="auto"/>
        <w:ind w:left="709" w:right="709"/>
        <w:jc w:val="both"/>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 xml:space="preserve">Evitar la generación de controversias y propender por su rápida solución. </w:t>
      </w:r>
    </w:p>
    <w:p w14:paraId="45B183D4" w14:textId="77777777" w:rsidR="00623E6F" w:rsidRDefault="00623E6F" w:rsidP="00623E6F">
      <w:pPr>
        <w:spacing w:after="0" w:line="240" w:lineRule="auto"/>
        <w:ind w:left="709" w:right="709"/>
        <w:jc w:val="both"/>
        <w:rPr>
          <w:rFonts w:ascii="Verdana" w:eastAsia="Times New Roman" w:hAnsi="Verdana" w:cs="Arial"/>
          <w:color w:val="000000"/>
          <w:sz w:val="20"/>
          <w:szCs w:val="20"/>
          <w:lang w:val="es-MX"/>
        </w:rPr>
      </w:pPr>
    </w:p>
    <w:p w14:paraId="461B2D3D" w14:textId="77777777" w:rsidR="00623E6F" w:rsidRPr="005A1E4E" w:rsidRDefault="00623E6F" w:rsidP="00623E6F">
      <w:pPr>
        <w:spacing w:after="0" w:line="240" w:lineRule="auto"/>
        <w:ind w:left="709" w:right="709"/>
        <w:jc w:val="both"/>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Solicitar informes, llevar a cabo reuniones, integrar comités y desarrollar otras herramientas encaminadas a verificar la adecuada ejecución del contrato.</w:t>
      </w:r>
    </w:p>
    <w:p w14:paraId="1BA3531B" w14:textId="77777777" w:rsidR="00623E6F" w:rsidRPr="005A1E4E" w:rsidRDefault="00623E6F" w:rsidP="00623E6F">
      <w:pPr>
        <w:spacing w:after="0" w:line="240" w:lineRule="auto"/>
        <w:ind w:left="709" w:right="709"/>
        <w:jc w:val="both"/>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 xml:space="preserve">Llevar a cabo las labores de monitoreo y control de riesgos que se le asignen, en coordinación con el área responsable de cada riesgo incluido en el mapa correspondiente, así como la identificación y tratamiento de los riesgos que puedan surgir durante las diversas etapas del contrato. </w:t>
      </w:r>
    </w:p>
    <w:p w14:paraId="63B7F365" w14:textId="77777777" w:rsidR="00623E6F" w:rsidRDefault="00623E6F" w:rsidP="00623E6F">
      <w:pPr>
        <w:spacing w:after="0" w:line="240" w:lineRule="auto"/>
        <w:ind w:left="709" w:right="709"/>
        <w:jc w:val="both"/>
        <w:rPr>
          <w:rFonts w:ascii="Verdana" w:eastAsia="Times New Roman" w:hAnsi="Verdana" w:cs="Arial"/>
          <w:color w:val="000000"/>
          <w:sz w:val="20"/>
          <w:szCs w:val="20"/>
          <w:lang w:val="es-MX"/>
        </w:rPr>
      </w:pPr>
    </w:p>
    <w:p w14:paraId="23015990" w14:textId="77777777" w:rsidR="00623E6F" w:rsidRPr="005A1E4E" w:rsidRDefault="00623E6F" w:rsidP="00623E6F">
      <w:pPr>
        <w:spacing w:after="0" w:line="240" w:lineRule="auto"/>
        <w:ind w:left="709" w:right="709"/>
        <w:jc w:val="both"/>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Aprobar o rechazar por escrito, de forma oportuna y motivada la entrega de los bienes o servicios, cuando éstos no se ajustan a lo requerido en el contrato, especificaciones técnicas, condiciones y/o calidades acordadas.</w:t>
      </w:r>
    </w:p>
    <w:p w14:paraId="05D5A40F" w14:textId="77777777" w:rsidR="00623E6F" w:rsidRDefault="00623E6F" w:rsidP="00623E6F">
      <w:pPr>
        <w:spacing w:after="0" w:line="240" w:lineRule="auto"/>
        <w:ind w:left="709" w:right="709"/>
        <w:jc w:val="both"/>
        <w:rPr>
          <w:rFonts w:ascii="Verdana" w:eastAsia="Times New Roman" w:hAnsi="Verdana" w:cs="Arial"/>
          <w:color w:val="000000"/>
          <w:sz w:val="20"/>
          <w:szCs w:val="20"/>
          <w:lang w:val="es-MX"/>
        </w:rPr>
      </w:pPr>
    </w:p>
    <w:p w14:paraId="70039682" w14:textId="77777777" w:rsidR="00623E6F" w:rsidRPr="005A1E4E" w:rsidRDefault="00623E6F" w:rsidP="00623E6F">
      <w:pPr>
        <w:spacing w:after="0" w:line="240" w:lineRule="auto"/>
        <w:ind w:left="709" w:right="709"/>
        <w:jc w:val="both"/>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Suscribir las actas que se generen durante la ejecución del contrato para dejar documentadas diversas situaciones y entre las que se encuentran: actas de actas parciales de avance, actas parciales de recibo y actas de recibo final.</w:t>
      </w:r>
    </w:p>
    <w:p w14:paraId="54B1E8DE" w14:textId="77777777" w:rsidR="00623E6F" w:rsidRDefault="00623E6F" w:rsidP="00623E6F">
      <w:pPr>
        <w:spacing w:after="0" w:line="240" w:lineRule="auto"/>
        <w:ind w:left="709" w:right="709"/>
        <w:jc w:val="both"/>
        <w:rPr>
          <w:rFonts w:ascii="Verdana" w:eastAsia="Times New Roman" w:hAnsi="Verdana" w:cs="Arial"/>
          <w:color w:val="000000"/>
          <w:sz w:val="20"/>
          <w:szCs w:val="20"/>
          <w:lang w:val="es-MX"/>
        </w:rPr>
      </w:pPr>
    </w:p>
    <w:p w14:paraId="483F7F5D" w14:textId="77777777" w:rsidR="00623E6F" w:rsidRPr="005A1E4E" w:rsidRDefault="00623E6F" w:rsidP="00623E6F">
      <w:pPr>
        <w:spacing w:after="0" w:line="240" w:lineRule="auto"/>
        <w:ind w:left="709" w:right="709"/>
        <w:jc w:val="both"/>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 xml:space="preserve">Informar a la Entidad Estatal de hechos o circunstancias que puedan constituir actos de corrupción tipificados como conductas punibles, o que pongan en riesgo el cumplimiento del contrato; así como entregar los soportes necesarios para que la Entidad Estatal desarrolle las actividades correspondientes. </w:t>
      </w:r>
    </w:p>
    <w:p w14:paraId="4705F025" w14:textId="77777777" w:rsidR="00623E6F" w:rsidRDefault="00623E6F" w:rsidP="00623E6F">
      <w:pPr>
        <w:spacing w:after="0" w:line="240" w:lineRule="auto"/>
        <w:ind w:left="709" w:right="709"/>
        <w:jc w:val="both"/>
        <w:rPr>
          <w:rFonts w:ascii="Verdana" w:eastAsia="Times New Roman" w:hAnsi="Verdana" w:cs="Arial"/>
          <w:color w:val="000000"/>
          <w:sz w:val="20"/>
          <w:szCs w:val="20"/>
          <w:lang w:val="es-MX"/>
        </w:rPr>
      </w:pPr>
    </w:p>
    <w:p w14:paraId="49DAA1B8" w14:textId="77777777" w:rsidR="00623E6F" w:rsidRDefault="00623E6F" w:rsidP="00623E6F">
      <w:pPr>
        <w:spacing w:after="0" w:line="240" w:lineRule="auto"/>
        <w:ind w:left="709" w:right="709"/>
        <w:jc w:val="both"/>
        <w:rPr>
          <w:rFonts w:ascii="Verdana" w:eastAsia="Times New Roman" w:hAnsi="Verdana" w:cs="Arial"/>
          <w:color w:val="000000"/>
          <w:sz w:val="20"/>
          <w:szCs w:val="20"/>
          <w:lang w:val="es-MX"/>
        </w:rPr>
      </w:pPr>
      <w:r w:rsidRPr="005A1E4E">
        <w:rPr>
          <w:rFonts w:ascii="Verdana" w:eastAsia="Times New Roman" w:hAnsi="Verdana" w:cs="Arial"/>
          <w:color w:val="000000"/>
          <w:sz w:val="20"/>
          <w:szCs w:val="20"/>
          <w:lang w:val="es-MX"/>
        </w:rPr>
        <w:t>Informar a la Entidad Estatal cuando se presente incumplimiento contractual; así como entregar los soportes necesarios para que la Entidad Estatal desarrolle las actividades correspondientes</w:t>
      </w:r>
      <w:r>
        <w:rPr>
          <w:rFonts w:ascii="Verdana" w:eastAsia="Times New Roman" w:hAnsi="Verdana" w:cs="Arial"/>
          <w:color w:val="000000"/>
          <w:sz w:val="20"/>
          <w:szCs w:val="20"/>
          <w:lang w:val="es-MX"/>
        </w:rPr>
        <w:t>”</w:t>
      </w:r>
      <w:r w:rsidRPr="005A1E4E">
        <w:rPr>
          <w:rFonts w:ascii="Verdana" w:eastAsia="Times New Roman" w:hAnsi="Verdana" w:cs="Arial"/>
          <w:color w:val="000000"/>
          <w:sz w:val="20"/>
          <w:szCs w:val="20"/>
          <w:lang w:val="es-MX"/>
        </w:rPr>
        <w:t xml:space="preserve">. (Énfasis fuera de texto). </w:t>
      </w:r>
    </w:p>
    <w:p w14:paraId="637AE75C" w14:textId="77777777" w:rsidR="00623E6F" w:rsidRPr="005A1E4E" w:rsidRDefault="00623E6F" w:rsidP="00623E6F">
      <w:pPr>
        <w:spacing w:after="0" w:line="240" w:lineRule="auto"/>
        <w:ind w:left="709" w:right="709"/>
        <w:jc w:val="both"/>
        <w:rPr>
          <w:rFonts w:ascii="Verdana" w:eastAsia="Times New Roman" w:hAnsi="Verdana" w:cs="Arial"/>
          <w:color w:val="000000"/>
          <w:sz w:val="20"/>
          <w:szCs w:val="20"/>
          <w:lang w:val="es-MX"/>
        </w:rPr>
      </w:pPr>
    </w:p>
    <w:p w14:paraId="7D0A9440" w14:textId="77777777" w:rsidR="00623E6F" w:rsidRPr="005A1E4E" w:rsidRDefault="00623E6F" w:rsidP="00623E6F">
      <w:pPr>
        <w:spacing w:after="120" w:line="276" w:lineRule="auto"/>
        <w:ind w:firstLine="709"/>
        <w:jc w:val="both"/>
        <w:rPr>
          <w:rFonts w:ascii="Verdana" w:eastAsia="Times New Roman" w:hAnsi="Verdana" w:cs="Arial"/>
          <w:shd w:val="clear" w:color="auto" w:fill="FFFFFF"/>
          <w:lang w:val="es-ES"/>
        </w:rPr>
      </w:pPr>
      <w:r w:rsidRPr="005A1E4E">
        <w:rPr>
          <w:rFonts w:ascii="Verdana" w:eastAsia="Times New Roman" w:hAnsi="Verdana" w:cs="Arial"/>
          <w:shd w:val="clear" w:color="auto" w:fill="FFFFFF"/>
          <w:lang w:val="es-ES"/>
        </w:rPr>
        <w:t xml:space="preserve">Según se desprende del apartado en cita, el ejercicio de la vigilancia de la ejecución del contrato estatal conlleva la tarea de velar por el cumplimiento de los plazos, calidades, cantidades y adecuada ejecución de los recursos del contrato. Debido a esto, es a los supervisores y/o interventores a quienes </w:t>
      </w:r>
      <w:r w:rsidRPr="005A1E4E">
        <w:rPr>
          <w:rFonts w:ascii="Verdana" w:eastAsia="Times New Roman" w:hAnsi="Verdana" w:cs="Arial"/>
          <w:shd w:val="clear" w:color="auto" w:fill="FFFFFF"/>
          <w:lang w:val="es-ES"/>
        </w:rPr>
        <w:lastRenderedPageBreak/>
        <w:t>corresponde, en primera medida, verificar las entregas de bienes, obras o servicios realizadas por el contratista, determinando si las mismas se ajustan a las condiciones pactadas. Tales actividades propias de la custodia a la debida ejecución de los contratos estatales también implican el deber de supervisores e interventores de concurrir a la suscripción de documentos como actas parciales de avance, actas parciales de recibo y actas de recibo final.</w:t>
      </w:r>
    </w:p>
    <w:p w14:paraId="19E667AB" w14:textId="77777777" w:rsidR="00623E6F" w:rsidRDefault="00623E6F" w:rsidP="00623E6F">
      <w:pPr>
        <w:spacing w:before="120" w:after="120" w:line="276" w:lineRule="auto"/>
        <w:ind w:firstLine="709"/>
        <w:jc w:val="both"/>
        <w:rPr>
          <w:rFonts w:ascii="Verdana" w:eastAsia="Times New Roman" w:hAnsi="Verdana" w:cs="Arial"/>
          <w:shd w:val="clear" w:color="auto" w:fill="FFFFFF"/>
          <w:lang w:val="es-ES"/>
        </w:rPr>
      </w:pPr>
      <w:r w:rsidRPr="005A1E4E">
        <w:rPr>
          <w:rFonts w:ascii="Verdana" w:eastAsia="Times New Roman" w:hAnsi="Verdana" w:cs="Arial"/>
          <w:shd w:val="clear" w:color="auto" w:fill="FFFFFF"/>
          <w:lang w:val="es-ES"/>
        </w:rPr>
        <w:t>En ese sentido, puede colegirse que la supervisión es uno de los medios para que las entidades ejerzan la dirección, control y vigilancia de sus contratos, con el fin de lograr el objeto contractual. Por consiguiente, el supervisor, de acuerdo con lo señalado en la Ley 80 de 1993, tiene la obligación de desarrollar las actividades que impliquen la vigilancia y seguimiento del cumplimiento de los contratos, función que puede ser asignada a un empleado público siempre que se ajusten a las fijadas para el cargo.</w:t>
      </w:r>
    </w:p>
    <w:p w14:paraId="3723CDE2" w14:textId="77777777" w:rsidR="00623E6F" w:rsidRPr="004D597C" w:rsidRDefault="00623E6F" w:rsidP="00623E6F">
      <w:pPr>
        <w:ind w:firstLine="708"/>
        <w:jc w:val="both"/>
        <w:rPr>
          <w:rFonts w:ascii="Verdana" w:eastAsia="Times New Roman" w:hAnsi="Verdana" w:cs="Arial"/>
          <w:shd w:val="clear" w:color="auto" w:fill="FFFFFF"/>
        </w:rPr>
      </w:pPr>
      <w:r>
        <w:rPr>
          <w:rFonts w:ascii="Verdana" w:eastAsia="Times New Roman" w:hAnsi="Verdana" w:cs="Arial"/>
          <w:shd w:val="clear" w:color="auto" w:fill="FFFFFF"/>
          <w:lang w:val="es-ES"/>
        </w:rPr>
        <w:t>Otro mecanismo es el contrato de interventoría, el cual permite que, en los casos en los que</w:t>
      </w:r>
      <w:r w:rsidRPr="005251C8">
        <w:rPr>
          <w:rFonts w:ascii="Verdana" w:eastAsia="Times New Roman" w:hAnsi="Verdana" w:cs="Arial"/>
          <w:shd w:val="clear" w:color="auto" w:fill="FFFFFF"/>
        </w:rPr>
        <w:t xml:space="preserve"> el seguimiento del contrato suponga conocimiento</w:t>
      </w:r>
      <w:r>
        <w:rPr>
          <w:rFonts w:ascii="Verdana" w:eastAsia="Times New Roman" w:hAnsi="Verdana" w:cs="Arial"/>
          <w:shd w:val="clear" w:color="auto" w:fill="FFFFFF"/>
        </w:rPr>
        <w:t>s</w:t>
      </w:r>
      <w:r w:rsidRPr="005251C8">
        <w:rPr>
          <w:rFonts w:ascii="Verdana" w:eastAsia="Times New Roman" w:hAnsi="Verdana" w:cs="Arial"/>
          <w:shd w:val="clear" w:color="auto" w:fill="FFFFFF"/>
        </w:rPr>
        <w:t xml:space="preserve"> especializado</w:t>
      </w:r>
      <w:r>
        <w:rPr>
          <w:rFonts w:ascii="Verdana" w:eastAsia="Times New Roman" w:hAnsi="Verdana" w:cs="Arial"/>
          <w:shd w:val="clear" w:color="auto" w:fill="FFFFFF"/>
        </w:rPr>
        <w:t xml:space="preserve">s </w:t>
      </w:r>
      <w:r w:rsidRPr="005251C8">
        <w:rPr>
          <w:rFonts w:ascii="Verdana" w:eastAsia="Times New Roman" w:hAnsi="Verdana" w:cs="Arial"/>
          <w:shd w:val="clear" w:color="auto" w:fill="FFFFFF"/>
        </w:rPr>
        <w:t xml:space="preserve">o cuando la complejidad o la extensión </w:t>
      </w:r>
      <w:proofErr w:type="gramStart"/>
      <w:r w:rsidRPr="005251C8">
        <w:rPr>
          <w:rFonts w:ascii="Verdana" w:eastAsia="Times New Roman" w:hAnsi="Verdana" w:cs="Arial"/>
          <w:shd w:val="clear" w:color="auto" w:fill="FFFFFF"/>
        </w:rPr>
        <w:t>del mismo</w:t>
      </w:r>
      <w:proofErr w:type="gramEnd"/>
      <w:r w:rsidRPr="005251C8">
        <w:rPr>
          <w:rFonts w:ascii="Verdana" w:eastAsia="Times New Roman" w:hAnsi="Verdana" w:cs="Arial"/>
          <w:shd w:val="clear" w:color="auto" w:fill="FFFFFF"/>
        </w:rPr>
        <w:t xml:space="preserve"> lo justifiquen</w:t>
      </w:r>
      <w:r>
        <w:rPr>
          <w:rFonts w:ascii="Verdana" w:eastAsia="Times New Roman" w:hAnsi="Verdana" w:cs="Arial"/>
          <w:shd w:val="clear" w:color="auto" w:fill="FFFFFF"/>
        </w:rPr>
        <w:t>, la entidad contrate a un particular para realizar el seguimiento técnico e incluso el seguimiento a</w:t>
      </w:r>
      <w:r w:rsidRPr="00632D5F">
        <w:rPr>
          <w:rFonts w:ascii="Verdana" w:eastAsia="Times New Roman" w:hAnsi="Verdana" w:cs="Arial"/>
          <w:shd w:val="clear" w:color="auto" w:fill="FFFFFF"/>
        </w:rPr>
        <w:t>dministrativo, financiero, contable</w:t>
      </w:r>
      <w:r>
        <w:rPr>
          <w:rFonts w:ascii="Verdana" w:eastAsia="Times New Roman" w:hAnsi="Verdana" w:cs="Arial"/>
          <w:shd w:val="clear" w:color="auto" w:fill="FFFFFF"/>
        </w:rPr>
        <w:t xml:space="preserve"> y</w:t>
      </w:r>
      <w:r w:rsidRPr="00632D5F">
        <w:rPr>
          <w:rFonts w:ascii="Verdana" w:eastAsia="Times New Roman" w:hAnsi="Verdana" w:cs="Arial"/>
          <w:shd w:val="clear" w:color="auto" w:fill="FFFFFF"/>
        </w:rPr>
        <w:t xml:space="preserve"> jurídico</w:t>
      </w:r>
      <w:r>
        <w:rPr>
          <w:rFonts w:ascii="Verdana" w:eastAsia="Times New Roman" w:hAnsi="Verdana" w:cs="Arial"/>
          <w:shd w:val="clear" w:color="auto" w:fill="FFFFFF"/>
        </w:rPr>
        <w:t xml:space="preserve">. </w:t>
      </w:r>
      <w:r w:rsidRPr="00632D5F">
        <w:rPr>
          <w:rFonts w:ascii="Verdana" w:eastAsia="Times New Roman" w:hAnsi="Verdana" w:cs="Arial"/>
          <w:shd w:val="clear" w:color="auto" w:fill="FFFFFF"/>
        </w:rPr>
        <w:t> </w:t>
      </w:r>
      <w:r>
        <w:rPr>
          <w:rFonts w:ascii="Verdana" w:eastAsia="Times New Roman" w:hAnsi="Verdana" w:cs="Arial"/>
          <w:shd w:val="clear" w:color="auto" w:fill="FFFFFF"/>
        </w:rPr>
        <w:t>Ahora bien, conforme indica el tercer inciso del artículo 83 de la Ley 1474 de 2011, p</w:t>
      </w:r>
      <w:r w:rsidRPr="004D597C">
        <w:rPr>
          <w:rFonts w:ascii="Verdana" w:eastAsia="Times New Roman" w:hAnsi="Verdana" w:cs="Arial"/>
          <w:shd w:val="clear" w:color="auto" w:fill="FFFFFF"/>
        </w:rPr>
        <w:t>or regla general, no serán concurrentes las funciones de supervisión e interventoría</w:t>
      </w:r>
      <w:r>
        <w:rPr>
          <w:rFonts w:ascii="Verdana" w:eastAsia="Times New Roman" w:hAnsi="Verdana" w:cs="Arial"/>
          <w:shd w:val="clear" w:color="auto" w:fill="FFFFFF"/>
        </w:rPr>
        <w:t xml:space="preserve"> en un mismo contrato,</w:t>
      </w:r>
      <w:r w:rsidRPr="004D597C">
        <w:rPr>
          <w:rFonts w:ascii="Verdana" w:eastAsia="Times New Roman" w:hAnsi="Verdana" w:cs="Arial"/>
          <w:shd w:val="clear" w:color="auto" w:fill="FFFFFF"/>
        </w:rPr>
        <w:t xml:space="preserve"> </w:t>
      </w:r>
      <w:r>
        <w:rPr>
          <w:rFonts w:ascii="Verdana" w:eastAsia="Times New Roman" w:hAnsi="Verdana" w:cs="Arial"/>
          <w:shd w:val="clear" w:color="auto" w:fill="FFFFFF"/>
        </w:rPr>
        <w:t xml:space="preserve">no obstante, </w:t>
      </w:r>
      <w:r w:rsidRPr="004D597C">
        <w:rPr>
          <w:rFonts w:ascii="Verdana" w:eastAsia="Times New Roman" w:hAnsi="Verdana" w:cs="Arial"/>
          <w:shd w:val="clear" w:color="auto" w:fill="FFFFFF"/>
        </w:rPr>
        <w:t xml:space="preserve">la entidad </w:t>
      </w:r>
      <w:r>
        <w:rPr>
          <w:rFonts w:ascii="Verdana" w:eastAsia="Times New Roman" w:hAnsi="Verdana" w:cs="Arial"/>
          <w:shd w:val="clear" w:color="auto" w:fill="FFFFFF"/>
        </w:rPr>
        <w:t>tiene la potestad de</w:t>
      </w:r>
      <w:r w:rsidRPr="004D597C">
        <w:rPr>
          <w:rFonts w:ascii="Verdana" w:eastAsia="Times New Roman" w:hAnsi="Verdana" w:cs="Arial"/>
          <w:shd w:val="clear" w:color="auto" w:fill="FFFFFF"/>
        </w:rPr>
        <w:t xml:space="preserve"> dividir la vigilancia del contrato principal</w:t>
      </w:r>
      <w:r>
        <w:rPr>
          <w:rFonts w:ascii="Verdana" w:eastAsia="Times New Roman" w:hAnsi="Verdana" w:cs="Arial"/>
          <w:shd w:val="clear" w:color="auto" w:fill="FFFFFF"/>
        </w:rPr>
        <w:t xml:space="preserve"> a través de ambas figuras</w:t>
      </w:r>
      <w:r w:rsidRPr="004D597C">
        <w:rPr>
          <w:rFonts w:ascii="Verdana" w:eastAsia="Times New Roman" w:hAnsi="Verdana" w:cs="Arial"/>
          <w:shd w:val="clear" w:color="auto" w:fill="FFFFFF"/>
        </w:rPr>
        <w:t>, caso en el cual, en el contrato de interventoría</w:t>
      </w:r>
      <w:r>
        <w:rPr>
          <w:rFonts w:ascii="Verdana" w:eastAsia="Times New Roman" w:hAnsi="Verdana" w:cs="Arial"/>
          <w:shd w:val="clear" w:color="auto" w:fill="FFFFFF"/>
        </w:rPr>
        <w:t xml:space="preserve"> se deben</w:t>
      </w:r>
      <w:r w:rsidRPr="004D597C">
        <w:rPr>
          <w:rFonts w:ascii="Verdana" w:eastAsia="Times New Roman" w:hAnsi="Verdana" w:cs="Arial"/>
          <w:shd w:val="clear" w:color="auto" w:fill="FFFFFF"/>
        </w:rPr>
        <w:t xml:space="preserve"> indicar las actividades técnicas a cargo del interventor y las demás quedarán a cargo de la Entidad a través del supervisor. </w:t>
      </w:r>
    </w:p>
    <w:p w14:paraId="739E2ADE" w14:textId="77777777" w:rsidR="00623E6F" w:rsidRDefault="00623E6F" w:rsidP="00623E6F">
      <w:pPr>
        <w:spacing w:before="120" w:after="120" w:line="276" w:lineRule="auto"/>
        <w:ind w:firstLine="709"/>
        <w:jc w:val="both"/>
        <w:rPr>
          <w:rFonts w:ascii="Verdana" w:eastAsia="Times New Roman" w:hAnsi="Verdana" w:cs="Arial"/>
          <w:shd w:val="clear" w:color="auto" w:fill="FFFFFF"/>
        </w:rPr>
      </w:pPr>
      <w:r>
        <w:rPr>
          <w:rFonts w:ascii="Verdana" w:eastAsia="Times New Roman" w:hAnsi="Verdana" w:cs="Arial"/>
          <w:shd w:val="clear" w:color="auto" w:fill="FFFFFF"/>
          <w:lang w:val="es-ES"/>
        </w:rPr>
        <w:t xml:space="preserve">Sin perjuicio de lo anterior, en cuanto a lo dispuesto en el parágrafo 1° del artículo 83 de la Ley 1474 de 2011, conviene explicar que, lo allí dispuesto parte de la base de que, de conformidad con lo establecido en el inciso segundo del numeral 1 del artículo 32 de la Ley 80 de 1993, para el seguimiento de los contratos de obra adjudicados mediante licitación pública resulta obligatoria la contratación de interventoría, de manera tal que el seguimiento a la ejecución de estos contratos debe ser realizada por una persona independiente de la entidad contratante y el contratista. Partiendo de esta claridad, lo que establece el parágrafo 1° del artículo 83 es atribuir a las Entidades Estatales contratantes el deber de realizar un juicio de valor respecto de la necesidad contar con interventoría en todos los contratos cuyo valor supere la menor cuantía, </w:t>
      </w:r>
      <w:r w:rsidRPr="00CD04AF">
        <w:rPr>
          <w:rFonts w:ascii="Verdana" w:eastAsia="Times New Roman" w:hAnsi="Verdana" w:cs="Arial"/>
          <w:shd w:val="clear" w:color="auto" w:fill="FFFFFF"/>
        </w:rPr>
        <w:t>con independencia de la modalidad de selección</w:t>
      </w:r>
      <w:r>
        <w:rPr>
          <w:rFonts w:ascii="Verdana" w:eastAsia="Times New Roman" w:hAnsi="Verdana" w:cs="Arial"/>
          <w:shd w:val="clear" w:color="auto" w:fill="FFFFFF"/>
        </w:rPr>
        <w:t xml:space="preserve">. Dicho juicio de valor, que debe reflejarse en los estudios previos, debe además tomar en consideración </w:t>
      </w:r>
      <w:r w:rsidRPr="00564138">
        <w:rPr>
          <w:rFonts w:ascii="Verdana" w:eastAsia="Times New Roman" w:hAnsi="Verdana" w:cs="Arial"/>
          <w:shd w:val="clear" w:color="auto" w:fill="FFFFFF"/>
        </w:rPr>
        <w:t xml:space="preserve">la </w:t>
      </w:r>
      <w:r w:rsidRPr="00564138">
        <w:rPr>
          <w:rFonts w:ascii="Verdana" w:eastAsia="Times New Roman" w:hAnsi="Verdana" w:cs="Arial"/>
          <w:shd w:val="clear" w:color="auto" w:fill="FFFFFF"/>
        </w:rPr>
        <w:lastRenderedPageBreak/>
        <w:t xml:space="preserve">capacidad de la entidad para asumir o no la respectiva supervisión </w:t>
      </w:r>
      <w:r>
        <w:rPr>
          <w:rFonts w:ascii="Verdana" w:eastAsia="Times New Roman" w:hAnsi="Verdana" w:cs="Arial"/>
          <w:shd w:val="clear" w:color="auto" w:fill="FFFFFF"/>
        </w:rPr>
        <w:t>del respectivo</w:t>
      </w:r>
      <w:r w:rsidRPr="00564138">
        <w:rPr>
          <w:rFonts w:ascii="Verdana" w:eastAsia="Times New Roman" w:hAnsi="Verdana" w:cs="Arial"/>
          <w:shd w:val="clear" w:color="auto" w:fill="FFFFFF"/>
        </w:rPr>
        <w:t xml:space="preserve"> contrato</w:t>
      </w:r>
      <w:r>
        <w:rPr>
          <w:rFonts w:ascii="Verdana" w:eastAsia="Times New Roman" w:hAnsi="Verdana" w:cs="Arial"/>
          <w:shd w:val="clear" w:color="auto" w:fill="FFFFFF"/>
        </w:rPr>
        <w:t xml:space="preserve">. </w:t>
      </w:r>
    </w:p>
    <w:p w14:paraId="15DF89B3" w14:textId="77777777" w:rsidR="00623E6F" w:rsidRPr="005A1E4E" w:rsidRDefault="00623E6F" w:rsidP="00623E6F">
      <w:pPr>
        <w:spacing w:before="120" w:after="0" w:line="276" w:lineRule="auto"/>
        <w:ind w:firstLine="709"/>
        <w:jc w:val="both"/>
        <w:rPr>
          <w:rFonts w:ascii="Verdana" w:eastAsia="Times New Roman" w:hAnsi="Verdana" w:cs="Arial"/>
          <w:color w:val="000000"/>
          <w:lang w:val="es-ES_tradnl"/>
        </w:rPr>
      </w:pPr>
      <w:r>
        <w:rPr>
          <w:rFonts w:ascii="Verdana" w:eastAsia="Times New Roman" w:hAnsi="Verdana" w:cs="Arial"/>
          <w:shd w:val="clear" w:color="auto" w:fill="FFFFFF"/>
        </w:rPr>
        <w:t xml:space="preserve">Conforme a lo anterior, la necesidad de optar por realizar el seguimiento mediante supervisión o interventoría a los contratos o convenios interadministrativos, que, por regla general, tienden a celebrarse de manera directa–con sustento en el literal c) del numeral 4 del artículo 2 de la Ley 1150 de 2007–, corresponde a las Entidades Estatales. En ese sentido, tratándose de contratos o convenios interadministrativos que superen la menor cuantía, corresponderá a las Entidades Estatales pronunciarse en el respectivo estudio previo sobre la necesidad de contar con interventoría, con arreglo a lo dispuesto en el artículo 83 de la Ley 1474 de 2011.   </w:t>
      </w:r>
    </w:p>
    <w:bookmarkEnd w:id="1"/>
    <w:bookmarkEnd w:id="2"/>
    <w:p w14:paraId="3BB26607" w14:textId="77777777" w:rsidR="00623E6F" w:rsidRPr="005A1E4E" w:rsidRDefault="00623E6F" w:rsidP="00623E6F">
      <w:pPr>
        <w:widowControl w:val="0"/>
        <w:autoSpaceDE w:val="0"/>
        <w:autoSpaceDN w:val="0"/>
        <w:spacing w:after="0" w:line="276" w:lineRule="auto"/>
        <w:jc w:val="both"/>
        <w:rPr>
          <w:rFonts w:ascii="Verdana" w:hAnsi="Verdana" w:cs="Arial"/>
          <w:color w:val="000000" w:themeColor="text1"/>
          <w:lang w:val="es-ES_tradnl"/>
        </w:rPr>
      </w:pPr>
    </w:p>
    <w:p w14:paraId="4600F7C1" w14:textId="77777777" w:rsidR="00623E6F" w:rsidRPr="00DA6712" w:rsidRDefault="00623E6F" w:rsidP="00623E6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DA6712">
        <w:rPr>
          <w:rFonts w:ascii="Verdana" w:eastAsia="Century Gothic" w:hAnsi="Verdana" w:cs="Century Gothic"/>
          <w:b/>
          <w:bCs/>
          <w:color w:val="000000" w:themeColor="text1"/>
        </w:rPr>
        <w:t>Referencias normativas, jurisprudenciales y otras fuentes:</w:t>
      </w:r>
    </w:p>
    <w:p w14:paraId="2E2D7F75" w14:textId="77777777" w:rsidR="00623E6F" w:rsidRPr="00DA6712" w:rsidRDefault="00623E6F" w:rsidP="00623E6F">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23E6F" w:rsidRPr="00DA6712" w14:paraId="782FDCFB" w14:textId="77777777" w:rsidTr="00EF5085">
        <w:trPr>
          <w:trHeight w:val="870"/>
        </w:trPr>
        <w:tc>
          <w:tcPr>
            <w:tcW w:w="8647" w:type="dxa"/>
          </w:tcPr>
          <w:p w14:paraId="227F64E7" w14:textId="77777777" w:rsidR="00623E6F" w:rsidRPr="00912093" w:rsidRDefault="00623E6F" w:rsidP="00EF5085">
            <w:pPr>
              <w:pStyle w:val="Prrafodelista"/>
              <w:widowControl w:val="0"/>
              <w:numPr>
                <w:ilvl w:val="0"/>
                <w:numId w:val="2"/>
              </w:numPr>
              <w:autoSpaceDE w:val="0"/>
              <w:autoSpaceDN w:val="0"/>
              <w:spacing w:after="120" w:line="276" w:lineRule="auto"/>
              <w:jc w:val="both"/>
              <w:rPr>
                <w:rFonts w:ascii="Verdana" w:hAnsi="Verdana" w:cs="Arial"/>
                <w:color w:val="000000" w:themeColor="text1"/>
              </w:rPr>
            </w:pPr>
            <w:r w:rsidRPr="00912093">
              <w:rPr>
                <w:rFonts w:ascii="Verdana" w:hAnsi="Verdana" w:cs="Arial"/>
                <w:color w:val="000000" w:themeColor="text1"/>
              </w:rPr>
              <w:t>Ley 80 de 1993. Artículos 4, 5, 12, 14 y 26</w:t>
            </w:r>
          </w:p>
          <w:p w14:paraId="0C4EAAA4" w14:textId="77777777" w:rsidR="00623E6F" w:rsidRPr="00912093" w:rsidRDefault="00623E6F" w:rsidP="00EF5085">
            <w:pPr>
              <w:pStyle w:val="Prrafodelista"/>
              <w:widowControl w:val="0"/>
              <w:numPr>
                <w:ilvl w:val="0"/>
                <w:numId w:val="2"/>
              </w:numPr>
              <w:autoSpaceDE w:val="0"/>
              <w:autoSpaceDN w:val="0"/>
              <w:spacing w:after="120" w:line="276" w:lineRule="auto"/>
              <w:jc w:val="both"/>
              <w:rPr>
                <w:rFonts w:ascii="Verdana" w:hAnsi="Verdana" w:cs="Arial"/>
                <w:color w:val="000000" w:themeColor="text1"/>
              </w:rPr>
            </w:pPr>
            <w:r w:rsidRPr="00912093">
              <w:rPr>
                <w:rFonts w:ascii="Verdana" w:hAnsi="Verdana" w:cs="Arial"/>
                <w:color w:val="000000" w:themeColor="text1"/>
              </w:rPr>
              <w:t>Ley 1150 de 2007. Artículos 17 y 21</w:t>
            </w:r>
          </w:p>
          <w:p w14:paraId="40F51C50" w14:textId="77777777" w:rsidR="00623E6F" w:rsidRPr="00912093" w:rsidRDefault="00623E6F" w:rsidP="00EF5085">
            <w:pPr>
              <w:pStyle w:val="Prrafodelista"/>
              <w:widowControl w:val="0"/>
              <w:numPr>
                <w:ilvl w:val="0"/>
                <w:numId w:val="2"/>
              </w:numPr>
              <w:autoSpaceDE w:val="0"/>
              <w:autoSpaceDN w:val="0"/>
              <w:spacing w:after="120" w:line="276" w:lineRule="auto"/>
              <w:jc w:val="both"/>
              <w:rPr>
                <w:rFonts w:ascii="Verdana" w:hAnsi="Verdana" w:cs="Arial"/>
                <w:color w:val="000000" w:themeColor="text1"/>
              </w:rPr>
            </w:pPr>
            <w:r w:rsidRPr="00912093">
              <w:rPr>
                <w:rFonts w:ascii="Verdana" w:hAnsi="Verdana" w:cs="Arial"/>
                <w:color w:val="000000" w:themeColor="text1"/>
              </w:rPr>
              <w:t>Ley 1474 de 2011. Artículos 83, 84, 85 y 86</w:t>
            </w:r>
          </w:p>
          <w:p w14:paraId="164BEE86" w14:textId="77777777" w:rsidR="00623E6F" w:rsidRPr="00912093" w:rsidRDefault="00623E6F" w:rsidP="00EF5085">
            <w:pPr>
              <w:pStyle w:val="Prrafodelista"/>
              <w:widowControl w:val="0"/>
              <w:numPr>
                <w:ilvl w:val="0"/>
                <w:numId w:val="2"/>
              </w:numPr>
              <w:autoSpaceDE w:val="0"/>
              <w:autoSpaceDN w:val="0"/>
              <w:spacing w:line="276" w:lineRule="auto"/>
              <w:jc w:val="both"/>
              <w:rPr>
                <w:rFonts w:ascii="Verdana" w:hAnsi="Verdana" w:cs="Arial"/>
                <w:color w:val="000000" w:themeColor="text1"/>
              </w:rPr>
            </w:pPr>
            <w:r w:rsidRPr="00912093">
              <w:rPr>
                <w:rFonts w:ascii="Verdana" w:hAnsi="Verdana" w:cs="Arial"/>
                <w:color w:val="000000" w:themeColor="text1"/>
              </w:rPr>
              <w:t xml:space="preserve">Colombia Compra Eficiente, Guía para el ejercicio de las funciones de Supervisión e Interventoría de los contratos del Estado, disponible </w:t>
            </w:r>
            <w:hyperlink r:id="rId9" w:history="1">
              <w:r w:rsidRPr="00912093">
                <w:rPr>
                  <w:rStyle w:val="Hipervnculo"/>
                  <w:rFonts w:ascii="Verdana" w:hAnsi="Verdana" w:cs="Arial"/>
                </w:rPr>
                <w:t>aquí</w:t>
              </w:r>
            </w:hyperlink>
          </w:p>
          <w:p w14:paraId="7A0A4CC3" w14:textId="77777777" w:rsidR="00623E6F" w:rsidRPr="00DA6712" w:rsidRDefault="00623E6F" w:rsidP="00EF5085">
            <w:pPr>
              <w:pStyle w:val="Prrafodelista"/>
              <w:widowControl w:val="0"/>
              <w:numPr>
                <w:ilvl w:val="0"/>
                <w:numId w:val="2"/>
              </w:numPr>
              <w:autoSpaceDE w:val="0"/>
              <w:autoSpaceDN w:val="0"/>
              <w:spacing w:after="120" w:line="276" w:lineRule="auto"/>
              <w:contextualSpacing w:val="0"/>
              <w:jc w:val="both"/>
              <w:rPr>
                <w:rFonts w:ascii="Verdana" w:hAnsi="Verdana" w:cs="Arial"/>
                <w:color w:val="000000" w:themeColor="text1"/>
              </w:rPr>
            </w:pPr>
            <w:r w:rsidRPr="00912093">
              <w:rPr>
                <w:rFonts w:ascii="Verdana" w:hAnsi="Verdana" w:cs="Arial"/>
                <w:color w:val="000000" w:themeColor="text1"/>
              </w:rPr>
              <w:t xml:space="preserve">Consejo de Estado. Sección 3ª. Sentencia del 27 de noviembre de 2017. M.P. Jaime Orlando Santofimio. </w:t>
            </w:r>
            <w:proofErr w:type="spellStart"/>
            <w:r w:rsidRPr="00912093">
              <w:rPr>
                <w:rFonts w:ascii="Verdana" w:hAnsi="Verdana" w:cs="Arial"/>
                <w:color w:val="000000" w:themeColor="text1"/>
              </w:rPr>
              <w:t>Exp</w:t>
            </w:r>
            <w:proofErr w:type="spellEnd"/>
            <w:r w:rsidRPr="00912093">
              <w:rPr>
                <w:rFonts w:ascii="Verdana" w:hAnsi="Verdana" w:cs="Arial"/>
                <w:color w:val="000000" w:themeColor="text1"/>
              </w:rPr>
              <w:t>. 51.802</w:t>
            </w:r>
          </w:p>
        </w:tc>
      </w:tr>
    </w:tbl>
    <w:p w14:paraId="5F3D8B08" w14:textId="77777777" w:rsidR="00623E6F" w:rsidRPr="00DA6712" w:rsidRDefault="00623E6F" w:rsidP="00623E6F">
      <w:pPr>
        <w:widowControl w:val="0"/>
        <w:autoSpaceDE w:val="0"/>
        <w:autoSpaceDN w:val="0"/>
        <w:spacing w:after="0" w:line="276" w:lineRule="auto"/>
        <w:jc w:val="both"/>
        <w:rPr>
          <w:rFonts w:ascii="Verdana" w:hAnsi="Verdana" w:cs="Arial"/>
          <w:color w:val="000000" w:themeColor="text1"/>
        </w:rPr>
      </w:pPr>
    </w:p>
    <w:p w14:paraId="570BA9DE" w14:textId="77777777" w:rsidR="00623E6F" w:rsidRPr="00DA6712" w:rsidRDefault="00623E6F" w:rsidP="00623E6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DA6712">
        <w:rPr>
          <w:rFonts w:ascii="Verdana" w:eastAsia="Century Gothic" w:hAnsi="Verdana" w:cs="Century Gothic"/>
          <w:b/>
          <w:bCs/>
          <w:color w:val="000000" w:themeColor="text1"/>
        </w:rPr>
        <w:t>Doctrina de la Agencia Nacional de Contratación Pública:</w:t>
      </w:r>
    </w:p>
    <w:p w14:paraId="75807C11" w14:textId="77777777" w:rsidR="00623E6F" w:rsidRPr="00DA6712" w:rsidRDefault="00623E6F" w:rsidP="00623E6F">
      <w:pPr>
        <w:widowControl w:val="0"/>
        <w:autoSpaceDE w:val="0"/>
        <w:autoSpaceDN w:val="0"/>
        <w:spacing w:after="0" w:line="276" w:lineRule="auto"/>
        <w:jc w:val="both"/>
        <w:rPr>
          <w:rFonts w:ascii="Verdana" w:hAnsi="Verdana" w:cs="Arial"/>
          <w:color w:val="000000" w:themeColor="text1"/>
        </w:rPr>
      </w:pPr>
    </w:p>
    <w:p w14:paraId="5D2490E2" w14:textId="77777777" w:rsidR="00623E6F" w:rsidRPr="00E55233" w:rsidRDefault="00623E6F" w:rsidP="00623E6F">
      <w:pPr>
        <w:widowControl w:val="0"/>
        <w:autoSpaceDE w:val="0"/>
        <w:autoSpaceDN w:val="0"/>
        <w:spacing w:after="0" w:line="276" w:lineRule="auto"/>
        <w:jc w:val="both"/>
        <w:rPr>
          <w:rFonts w:ascii="Verdana" w:hAnsi="Verdana" w:cs="Arial"/>
          <w:color w:val="000000" w:themeColor="text1"/>
          <w:shd w:val="clear" w:color="auto" w:fill="FFFFFF"/>
          <w:lang w:val="es-ES"/>
        </w:rPr>
      </w:pPr>
      <w:r w:rsidRPr="00E55233">
        <w:rPr>
          <w:rFonts w:ascii="Verdana" w:hAnsi="Verdana" w:cs="Arial"/>
          <w:color w:val="000000" w:themeColor="text1"/>
          <w:shd w:val="clear" w:color="auto" w:fill="FFFFFF"/>
          <w:lang w:val="es-ES"/>
        </w:rPr>
        <w:t xml:space="preserve">Sobre la obligación de controlar y vigilar la ejecución de los contratos estatales, esta Subdirección se ha referido en los Conceptos </w:t>
      </w:r>
      <w:r w:rsidRPr="00E55233">
        <w:rPr>
          <w:rFonts w:ascii="Verdana" w:hAnsi="Verdana" w:cs="Arial"/>
          <w:color w:val="000000" w:themeColor="text1"/>
          <w:shd w:val="clear" w:color="auto" w:fill="FFFFFF"/>
          <w:lang w:val="es-ES_tradnl"/>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E55233">
        <w:rPr>
          <w:rFonts w:ascii="Verdana" w:hAnsi="Verdana" w:cs="Arial"/>
          <w:color w:val="000000" w:themeColor="text1"/>
          <w:shd w:val="clear" w:color="auto" w:fill="FFFFFF"/>
          <w:lang w:val="es-ES"/>
        </w:rPr>
        <w:t>,C-</w:t>
      </w:r>
      <w:r w:rsidRPr="00E55233">
        <w:rPr>
          <w:rFonts w:ascii="Verdana" w:hAnsi="Verdana" w:cs="Arial"/>
          <w:color w:val="000000" w:themeColor="text1"/>
          <w:shd w:val="clear" w:color="auto" w:fill="FFFFFF"/>
          <w:lang w:val="es-ES"/>
        </w:rPr>
        <w:lastRenderedPageBreak/>
        <w:t xml:space="preserve">600 del 7 de octubre de 2024,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0" w:history="1">
        <w:r w:rsidRPr="00E55233">
          <w:rPr>
            <w:rStyle w:val="Hipervnculo"/>
            <w:rFonts w:ascii="Verdana" w:hAnsi="Verdana" w:cs="Arial"/>
            <w:shd w:val="clear" w:color="auto" w:fill="FFFFFF"/>
            <w:lang w:val="es-ES"/>
          </w:rPr>
          <w:t>https://relatoria.colombiacompra.gov.co/</w:t>
        </w:r>
      </w:hyperlink>
      <w:r w:rsidRPr="00E55233">
        <w:rPr>
          <w:rFonts w:ascii="Verdana" w:hAnsi="Verdana" w:cs="Arial"/>
          <w:color w:val="000000" w:themeColor="text1"/>
          <w:shd w:val="clear" w:color="auto" w:fill="FFFFFF"/>
          <w:lang w:val="es-ES"/>
        </w:rPr>
        <w:t xml:space="preserve">. </w:t>
      </w:r>
    </w:p>
    <w:p w14:paraId="5ED71FEB" w14:textId="77777777" w:rsidR="00623E6F" w:rsidRPr="00DA6712" w:rsidRDefault="00623E6F" w:rsidP="00623E6F">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7DF050D6" w14:textId="77777777" w:rsidR="00623E6F" w:rsidRPr="00DA6712" w:rsidRDefault="00623E6F" w:rsidP="00623E6F">
      <w:pPr>
        <w:spacing w:after="0" w:line="240" w:lineRule="auto"/>
        <w:jc w:val="both"/>
        <w:rPr>
          <w:rFonts w:ascii="Verdana" w:hAnsi="Verdana"/>
          <w:color w:val="000000" w:themeColor="text1"/>
        </w:rPr>
      </w:pPr>
      <w:r w:rsidRPr="00DA6712">
        <w:rPr>
          <w:rFonts w:ascii="Verdana" w:hAnsi="Verdana"/>
          <w:color w:val="000000" w:themeColor="text1"/>
        </w:rPr>
        <w:t xml:space="preserve">Por último, lo invitamos a seguirnos en las redes sociales en las cuales se difunde información institucional: </w:t>
      </w:r>
    </w:p>
    <w:p w14:paraId="075A131D" w14:textId="77777777" w:rsidR="00623E6F" w:rsidRPr="00DA6712" w:rsidRDefault="00623E6F" w:rsidP="00623E6F">
      <w:pPr>
        <w:spacing w:after="0" w:line="240" w:lineRule="auto"/>
        <w:jc w:val="both"/>
        <w:rPr>
          <w:rFonts w:ascii="Verdana" w:hAnsi="Verdana"/>
          <w:color w:val="000000" w:themeColor="text1"/>
        </w:rPr>
      </w:pPr>
    </w:p>
    <w:p w14:paraId="259BEC45" w14:textId="77777777" w:rsidR="00623E6F" w:rsidRPr="00DA6712" w:rsidRDefault="00623E6F" w:rsidP="00623E6F">
      <w:pPr>
        <w:spacing w:after="0" w:line="240" w:lineRule="auto"/>
        <w:jc w:val="both"/>
        <w:rPr>
          <w:rFonts w:ascii="Verdana" w:hAnsi="Verdana"/>
          <w:color w:val="000000" w:themeColor="text1"/>
        </w:rPr>
      </w:pPr>
      <w:r w:rsidRPr="00DA6712">
        <w:rPr>
          <w:rFonts w:ascii="Verdana" w:hAnsi="Verdana"/>
          <w:color w:val="000000" w:themeColor="text1"/>
        </w:rPr>
        <w:t xml:space="preserve">Twitter: </w:t>
      </w:r>
      <w:r w:rsidRPr="00DA6712">
        <w:rPr>
          <w:rStyle w:val="Hipervnculo"/>
          <w:rFonts w:ascii="Verdana" w:hAnsi="Verdana"/>
          <w:color w:val="000000" w:themeColor="text1"/>
        </w:rPr>
        <w:t>@colombiacompra</w:t>
      </w:r>
      <w:r w:rsidRPr="00DA6712">
        <w:rPr>
          <w:rFonts w:ascii="Verdana" w:hAnsi="Verdana"/>
          <w:color w:val="000000" w:themeColor="text1"/>
        </w:rPr>
        <w:t xml:space="preserve"> </w:t>
      </w:r>
    </w:p>
    <w:p w14:paraId="69C3D766" w14:textId="77777777" w:rsidR="00623E6F" w:rsidRPr="00DA6712" w:rsidRDefault="00623E6F" w:rsidP="00623E6F">
      <w:pPr>
        <w:spacing w:after="0" w:line="240" w:lineRule="auto"/>
        <w:jc w:val="both"/>
        <w:rPr>
          <w:rFonts w:ascii="Verdana" w:hAnsi="Verdana"/>
          <w:color w:val="000000" w:themeColor="text1"/>
        </w:rPr>
      </w:pPr>
      <w:r w:rsidRPr="00DA6712">
        <w:rPr>
          <w:rFonts w:ascii="Verdana" w:hAnsi="Verdana"/>
          <w:color w:val="000000" w:themeColor="text1"/>
        </w:rPr>
        <w:t xml:space="preserve">Facebook: </w:t>
      </w:r>
      <w:proofErr w:type="spellStart"/>
      <w:r w:rsidRPr="00DA6712">
        <w:rPr>
          <w:rStyle w:val="Hipervnculo"/>
          <w:rFonts w:ascii="Verdana" w:hAnsi="Verdana"/>
          <w:color w:val="000000" w:themeColor="text1"/>
        </w:rPr>
        <w:t>ColombiaCompraEficiente</w:t>
      </w:r>
      <w:proofErr w:type="spellEnd"/>
    </w:p>
    <w:p w14:paraId="192B5713" w14:textId="77777777" w:rsidR="00623E6F" w:rsidRPr="00DA6712" w:rsidRDefault="00623E6F" w:rsidP="00623E6F">
      <w:pPr>
        <w:spacing w:after="0" w:line="240" w:lineRule="auto"/>
        <w:jc w:val="both"/>
        <w:rPr>
          <w:rFonts w:ascii="Verdana" w:hAnsi="Verdana"/>
          <w:color w:val="000000" w:themeColor="text1"/>
        </w:rPr>
      </w:pPr>
      <w:r w:rsidRPr="00DA6712">
        <w:rPr>
          <w:rFonts w:ascii="Verdana" w:hAnsi="Verdana"/>
          <w:color w:val="000000" w:themeColor="text1"/>
        </w:rPr>
        <w:t xml:space="preserve">LinkedIn: </w:t>
      </w:r>
      <w:r w:rsidRPr="00DA6712">
        <w:rPr>
          <w:rStyle w:val="Hipervnculo"/>
          <w:rFonts w:ascii="Verdana" w:hAnsi="Verdana"/>
          <w:color w:val="000000" w:themeColor="text1"/>
        </w:rPr>
        <w:t>Agencia Nacional de Contratación Pública - Colombia Compra Eficiente</w:t>
      </w:r>
      <w:r w:rsidRPr="00DA6712">
        <w:rPr>
          <w:rFonts w:ascii="Verdana" w:hAnsi="Verdana"/>
          <w:color w:val="000000" w:themeColor="text1"/>
        </w:rPr>
        <w:t xml:space="preserve"> Instagram: </w:t>
      </w:r>
      <w:r w:rsidRPr="00DA6712">
        <w:rPr>
          <w:rStyle w:val="Hipervnculo"/>
          <w:rFonts w:ascii="Verdana" w:hAnsi="Verdana"/>
          <w:color w:val="000000" w:themeColor="text1"/>
        </w:rPr>
        <w:t>@colombiacompraeficiente_cce</w:t>
      </w:r>
    </w:p>
    <w:p w14:paraId="2EB82069" w14:textId="77777777" w:rsidR="00623E6F" w:rsidRPr="00DA6712" w:rsidRDefault="00623E6F" w:rsidP="00623E6F">
      <w:pPr>
        <w:widowControl w:val="0"/>
        <w:autoSpaceDE w:val="0"/>
        <w:autoSpaceDN w:val="0"/>
        <w:spacing w:after="0" w:line="276" w:lineRule="auto"/>
        <w:jc w:val="both"/>
        <w:rPr>
          <w:rFonts w:ascii="Verdana" w:hAnsi="Verdana" w:cs="Arial"/>
          <w:color w:val="000000" w:themeColor="text1"/>
        </w:rPr>
      </w:pPr>
    </w:p>
    <w:p w14:paraId="30489D34" w14:textId="384485D3" w:rsidR="00623E6F" w:rsidRPr="00623E6F" w:rsidRDefault="00623E6F" w:rsidP="00623E6F">
      <w:pPr>
        <w:widowControl w:val="0"/>
        <w:autoSpaceDE w:val="0"/>
        <w:autoSpaceDN w:val="0"/>
        <w:spacing w:after="0" w:line="276" w:lineRule="auto"/>
        <w:jc w:val="both"/>
        <w:rPr>
          <w:rFonts w:ascii="Verdana" w:hAnsi="Verdana" w:cs="Arial"/>
          <w:color w:val="000000" w:themeColor="text1"/>
          <w:lang w:val="es-ES_tradnl"/>
        </w:rPr>
      </w:pPr>
      <w:r w:rsidRPr="00DA6712">
        <w:rPr>
          <w:rFonts w:ascii="Verdana" w:hAnsi="Verdana" w:cs="Arial"/>
          <w:color w:val="000000" w:themeColor="text1"/>
        </w:rPr>
        <w:t xml:space="preserve">Este concepto tiene el alcance previsto en el artículo 28 del Código de Procedimiento Administrativo y de lo Contencioso Administrativo </w:t>
      </w:r>
      <w:r w:rsidRPr="00DA6712">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5608132D" w14:textId="77777777" w:rsidR="00623E6F" w:rsidRDefault="00623E6F" w:rsidP="00623E6F">
      <w:pPr>
        <w:spacing w:after="0" w:line="240" w:lineRule="auto"/>
        <w:rPr>
          <w:rFonts w:ascii="Verdana" w:eastAsia="Times New Roman" w:hAnsi="Verdana" w:cs="Arial"/>
          <w:color w:val="000000" w:themeColor="text1"/>
          <w:lang w:eastAsia="es-CO"/>
        </w:rPr>
      </w:pPr>
    </w:p>
    <w:p w14:paraId="6CC3A5A3" w14:textId="2BAE3A87" w:rsidR="00623E6F" w:rsidRPr="00DA6712" w:rsidRDefault="00623E6F" w:rsidP="00623E6F">
      <w:pPr>
        <w:spacing w:after="0" w:line="240" w:lineRule="auto"/>
        <w:rPr>
          <w:rFonts w:ascii="Verdana" w:hAnsi="Verdana" w:cs="Arial"/>
          <w:color w:val="000000" w:themeColor="text1"/>
          <w:lang w:eastAsia="es-CO"/>
        </w:rPr>
      </w:pPr>
      <w:r w:rsidRPr="00DA6712">
        <w:rPr>
          <w:rFonts w:ascii="Verdana" w:eastAsia="Times New Roman" w:hAnsi="Verdana" w:cs="Arial"/>
          <w:color w:val="000000" w:themeColor="text1"/>
          <w:lang w:eastAsia="es-CO"/>
        </w:rPr>
        <w:t>Atentamente,</w:t>
      </w:r>
      <w:r w:rsidRPr="00DA6712">
        <w:rPr>
          <w:rFonts w:ascii="Verdana" w:hAnsi="Verdana" w:cs="Arial"/>
          <w:color w:val="000000" w:themeColor="text1"/>
          <w:lang w:eastAsia="es-CO"/>
        </w:rPr>
        <w:t xml:space="preserve"> </w:t>
      </w:r>
    </w:p>
    <w:p w14:paraId="28B63E93" w14:textId="77777777" w:rsidR="00623E6F" w:rsidRPr="00DA6712" w:rsidRDefault="00623E6F" w:rsidP="00623E6F">
      <w:pPr>
        <w:spacing w:line="276" w:lineRule="auto"/>
        <w:jc w:val="center"/>
        <w:rPr>
          <w:rFonts w:ascii="Verdana" w:hAnsi="Verdana" w:cs="Arial"/>
          <w:color w:val="000000" w:themeColor="text1"/>
          <w:lang w:val="es-ES_tradnl" w:eastAsia="es-CO"/>
        </w:rPr>
      </w:pPr>
      <w:r>
        <w:rPr>
          <w:noProof/>
        </w:rPr>
        <w:drawing>
          <wp:inline distT="0" distB="0" distL="0" distR="0" wp14:anchorId="3D424059" wp14:editId="31AB6B9A">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1"/>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23E6F" w:rsidRPr="00593A5F" w14:paraId="4DAD4560" w14:textId="77777777" w:rsidTr="00EF5085">
        <w:trPr>
          <w:trHeight w:val="315"/>
        </w:trPr>
        <w:tc>
          <w:tcPr>
            <w:tcW w:w="893" w:type="dxa"/>
            <w:vAlign w:val="center"/>
            <w:hideMark/>
          </w:tcPr>
          <w:p w14:paraId="728B57A7" w14:textId="77777777" w:rsidR="00623E6F" w:rsidRPr="004E6C40" w:rsidRDefault="00623E6F" w:rsidP="00EF5085">
            <w:pPr>
              <w:contextualSpacing/>
              <w:rPr>
                <w:rFonts w:ascii="Verdana" w:hAnsi="Verdana" w:cs="Arial"/>
                <w:sz w:val="16"/>
                <w:szCs w:val="16"/>
                <w:lang w:val="es-ES" w:eastAsia="es-ES"/>
              </w:rPr>
            </w:pPr>
            <w:r w:rsidRPr="004E6C4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6AEA218" w14:textId="77777777" w:rsidR="00623E6F" w:rsidRPr="004E6C40" w:rsidRDefault="00623E6F" w:rsidP="00EF5085">
            <w:pPr>
              <w:contextualSpacing/>
              <w:rPr>
                <w:rFonts w:ascii="Verdana" w:eastAsia="Arial" w:hAnsi="Verdana" w:cs="Arial"/>
                <w:sz w:val="16"/>
                <w:szCs w:val="16"/>
              </w:rPr>
            </w:pPr>
            <w:r w:rsidRPr="004E6C40">
              <w:rPr>
                <w:rFonts w:ascii="Verdana" w:eastAsia="Arial" w:hAnsi="Verdana" w:cs="Arial"/>
                <w:sz w:val="16"/>
                <w:szCs w:val="16"/>
              </w:rPr>
              <w:t xml:space="preserve">Andreina Cerpa Muñoz </w:t>
            </w:r>
          </w:p>
          <w:p w14:paraId="548D5972" w14:textId="77777777" w:rsidR="00623E6F" w:rsidRPr="004E6C40" w:rsidRDefault="00623E6F" w:rsidP="00EF5085">
            <w:pPr>
              <w:contextualSpacing/>
              <w:rPr>
                <w:rFonts w:ascii="Verdana" w:eastAsia="Arial" w:hAnsi="Verdana" w:cs="Arial"/>
                <w:sz w:val="16"/>
                <w:szCs w:val="16"/>
              </w:rPr>
            </w:pPr>
            <w:r w:rsidRPr="004E6C40">
              <w:rPr>
                <w:rStyle w:val="normaltextrun"/>
                <w:rFonts w:ascii="Verdana" w:eastAsia="Arial" w:hAnsi="Verdana" w:cs="Arial"/>
                <w:sz w:val="16"/>
                <w:szCs w:val="16"/>
              </w:rPr>
              <w:t>Analista T2 – 02 de la Subdirección de Gestión Contractual</w:t>
            </w:r>
          </w:p>
        </w:tc>
      </w:tr>
      <w:tr w:rsidR="00623E6F" w:rsidRPr="00593A5F" w14:paraId="654BCD4C" w14:textId="77777777" w:rsidTr="00EF5085">
        <w:trPr>
          <w:trHeight w:val="330"/>
        </w:trPr>
        <w:tc>
          <w:tcPr>
            <w:tcW w:w="893" w:type="dxa"/>
            <w:vAlign w:val="center"/>
            <w:hideMark/>
          </w:tcPr>
          <w:p w14:paraId="0B4B6159" w14:textId="77777777" w:rsidR="00623E6F" w:rsidRPr="004E6C40" w:rsidRDefault="00623E6F" w:rsidP="00EF5085">
            <w:pPr>
              <w:contextualSpacing/>
              <w:rPr>
                <w:rFonts w:ascii="Verdana" w:hAnsi="Verdana" w:cs="Arial"/>
                <w:sz w:val="16"/>
                <w:szCs w:val="16"/>
                <w:lang w:val="es-ES" w:eastAsia="es-ES"/>
              </w:rPr>
            </w:pPr>
            <w:r w:rsidRPr="004E6C4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5E25544" w14:textId="77777777" w:rsidR="00623E6F" w:rsidRPr="004E6C40" w:rsidRDefault="00623E6F" w:rsidP="00EF5085">
            <w:pPr>
              <w:pStyle w:val="paragraph"/>
              <w:spacing w:before="0" w:beforeAutospacing="0" w:after="0" w:afterAutospacing="0"/>
              <w:contextualSpacing/>
              <w:textAlignment w:val="baseline"/>
              <w:rPr>
                <w:rFonts w:ascii="Verdana" w:hAnsi="Verdana" w:cs="Segoe UI"/>
                <w:sz w:val="16"/>
                <w:szCs w:val="16"/>
              </w:rPr>
            </w:pPr>
            <w:r w:rsidRPr="004E6C40">
              <w:rPr>
                <w:rFonts w:ascii="Verdana" w:hAnsi="Verdana" w:cs="Segoe UI"/>
                <w:sz w:val="16"/>
                <w:szCs w:val="16"/>
              </w:rPr>
              <w:t xml:space="preserve">Alejandro Sarmiento Cantillo </w:t>
            </w:r>
          </w:p>
          <w:p w14:paraId="36EE0BE9" w14:textId="77777777" w:rsidR="00623E6F" w:rsidRPr="004E6C40" w:rsidRDefault="00623E6F" w:rsidP="00EF5085">
            <w:pPr>
              <w:pStyle w:val="paragraph"/>
              <w:spacing w:before="0" w:beforeAutospacing="0" w:after="0" w:afterAutospacing="0"/>
              <w:contextualSpacing/>
              <w:textAlignment w:val="baseline"/>
              <w:rPr>
                <w:rFonts w:ascii="Verdana" w:hAnsi="Verdana" w:cs="Segoe UI"/>
                <w:sz w:val="16"/>
                <w:szCs w:val="16"/>
              </w:rPr>
            </w:pPr>
            <w:r w:rsidRPr="004E6C40">
              <w:rPr>
                <w:rStyle w:val="normaltextrun"/>
                <w:rFonts w:ascii="Verdana" w:hAnsi="Verdana" w:cs="Arial"/>
                <w:sz w:val="16"/>
                <w:szCs w:val="16"/>
                <w:lang w:val="es-ES"/>
              </w:rPr>
              <w:t>Gestor T1 – 15 de la Subdirección de Gestión Contractual</w:t>
            </w:r>
            <w:r w:rsidRPr="004E6C40">
              <w:rPr>
                <w:rStyle w:val="eop"/>
                <w:rFonts w:ascii="Verdana" w:hAnsi="Verdana" w:cs="Arial"/>
                <w:sz w:val="16"/>
                <w:szCs w:val="16"/>
              </w:rPr>
              <w:t> </w:t>
            </w:r>
          </w:p>
        </w:tc>
      </w:tr>
      <w:tr w:rsidR="00623E6F" w:rsidRPr="00593A5F" w14:paraId="00A40047" w14:textId="77777777" w:rsidTr="00EF5085">
        <w:trPr>
          <w:trHeight w:val="300"/>
        </w:trPr>
        <w:tc>
          <w:tcPr>
            <w:tcW w:w="893" w:type="dxa"/>
            <w:vAlign w:val="center"/>
          </w:tcPr>
          <w:p w14:paraId="280FCCC7" w14:textId="77777777" w:rsidR="00623E6F" w:rsidRPr="004E6C40" w:rsidRDefault="00623E6F" w:rsidP="00EF5085">
            <w:pPr>
              <w:contextualSpacing/>
              <w:rPr>
                <w:rFonts w:ascii="Verdana" w:hAnsi="Verdana" w:cs="Arial"/>
                <w:sz w:val="16"/>
                <w:szCs w:val="16"/>
                <w:lang w:val="es-ES" w:eastAsia="es-ES"/>
              </w:rPr>
            </w:pPr>
            <w:r w:rsidRPr="004E6C4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12FC4EA" w14:textId="77777777" w:rsidR="00623E6F" w:rsidRPr="004E6C40" w:rsidRDefault="00623E6F" w:rsidP="00EF5085">
            <w:pPr>
              <w:contextualSpacing/>
              <w:rPr>
                <w:rFonts w:ascii="Verdana" w:eastAsia="Calibri" w:hAnsi="Verdana" w:cs="Arial"/>
                <w:sz w:val="16"/>
                <w:szCs w:val="16"/>
                <w:lang w:val="pt-BR" w:eastAsia="es-ES"/>
              </w:rPr>
            </w:pPr>
            <w:r w:rsidRPr="004E6C40">
              <w:rPr>
                <w:rFonts w:ascii="Verdana" w:eastAsia="Calibri" w:hAnsi="Verdana" w:cs="Arial"/>
                <w:sz w:val="16"/>
                <w:szCs w:val="16"/>
                <w:lang w:val="pt-BR" w:eastAsia="es-ES"/>
              </w:rPr>
              <w:t xml:space="preserve">Carolina Quintero </w:t>
            </w:r>
            <w:proofErr w:type="spellStart"/>
            <w:r w:rsidRPr="004E6C40">
              <w:rPr>
                <w:rFonts w:ascii="Verdana" w:eastAsia="Calibri" w:hAnsi="Verdana" w:cs="Arial"/>
                <w:sz w:val="16"/>
                <w:szCs w:val="16"/>
                <w:lang w:val="pt-BR" w:eastAsia="es-ES"/>
              </w:rPr>
              <w:t>Gacharná</w:t>
            </w:r>
            <w:proofErr w:type="spellEnd"/>
          </w:p>
          <w:p w14:paraId="20A1F796" w14:textId="77777777" w:rsidR="00623E6F" w:rsidRPr="004E6C40" w:rsidRDefault="00623E6F" w:rsidP="00EF5085">
            <w:pPr>
              <w:contextualSpacing/>
              <w:rPr>
                <w:rFonts w:ascii="Verdana" w:eastAsia="Calibri" w:hAnsi="Verdana" w:cs="Arial"/>
                <w:sz w:val="16"/>
                <w:szCs w:val="16"/>
                <w:lang w:val="pt-BR" w:eastAsia="es-ES"/>
              </w:rPr>
            </w:pPr>
            <w:r w:rsidRPr="004E6C40">
              <w:rPr>
                <w:rFonts w:ascii="Verdana" w:eastAsia="Calibri" w:hAnsi="Verdana" w:cs="Arial"/>
                <w:sz w:val="16"/>
                <w:szCs w:val="16"/>
                <w:lang w:eastAsia="es-ES"/>
              </w:rPr>
              <w:t>Subdirectora</w:t>
            </w:r>
            <w:r w:rsidRPr="004E6C40">
              <w:rPr>
                <w:rFonts w:ascii="Verdana" w:eastAsia="Calibri" w:hAnsi="Verdana" w:cs="Arial"/>
                <w:sz w:val="16"/>
                <w:szCs w:val="16"/>
                <w:lang w:val="pt-BR" w:eastAsia="es-ES"/>
              </w:rPr>
              <w:t xml:space="preserve"> de Gestión </w:t>
            </w:r>
            <w:proofErr w:type="spellStart"/>
            <w:r w:rsidRPr="004E6C40">
              <w:rPr>
                <w:rFonts w:ascii="Verdana" w:eastAsia="Calibri" w:hAnsi="Verdana" w:cs="Arial"/>
                <w:sz w:val="16"/>
                <w:szCs w:val="16"/>
                <w:lang w:val="pt-BR" w:eastAsia="es-ES"/>
              </w:rPr>
              <w:t>Contra</w:t>
            </w:r>
            <w:r>
              <w:rPr>
                <w:rFonts w:ascii="Verdana" w:eastAsia="Calibri" w:hAnsi="Verdana" w:cs="Arial"/>
                <w:sz w:val="16"/>
                <w:szCs w:val="16"/>
                <w:lang w:val="pt-BR" w:eastAsia="es-ES"/>
              </w:rPr>
              <w:t>c</w:t>
            </w:r>
            <w:r w:rsidRPr="004E6C40">
              <w:rPr>
                <w:rFonts w:ascii="Verdana" w:eastAsia="Calibri" w:hAnsi="Verdana" w:cs="Arial"/>
                <w:sz w:val="16"/>
                <w:szCs w:val="16"/>
                <w:lang w:val="pt-BR" w:eastAsia="es-ES"/>
              </w:rPr>
              <w:t>tual</w:t>
            </w:r>
            <w:proofErr w:type="spellEnd"/>
            <w:r w:rsidRPr="004E6C40">
              <w:rPr>
                <w:rFonts w:ascii="Verdana" w:eastAsia="Calibri" w:hAnsi="Verdana" w:cs="Arial"/>
                <w:sz w:val="16"/>
                <w:szCs w:val="16"/>
                <w:lang w:val="pt-BR" w:eastAsia="es-ES"/>
              </w:rPr>
              <w:t xml:space="preserve"> ANCP – CCE</w:t>
            </w:r>
          </w:p>
        </w:tc>
      </w:tr>
    </w:tbl>
    <w:p w14:paraId="5FEE3656" w14:textId="77777777" w:rsidR="000F5A42" w:rsidRDefault="000F5A42"/>
    <w:sectPr w:rsidR="000F5A42" w:rsidSect="00623E6F">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42E88" w14:textId="77777777" w:rsidR="002247F1" w:rsidRDefault="002247F1" w:rsidP="00623E6F">
      <w:pPr>
        <w:spacing w:after="0" w:line="240" w:lineRule="auto"/>
      </w:pPr>
      <w:r>
        <w:separator/>
      </w:r>
    </w:p>
  </w:endnote>
  <w:endnote w:type="continuationSeparator" w:id="0">
    <w:p w14:paraId="6B123203" w14:textId="77777777" w:rsidR="002247F1" w:rsidRDefault="002247F1" w:rsidP="00623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FD1A" w14:textId="77777777" w:rsidR="00000000" w:rsidRDefault="00000000">
    <w:pPr>
      <w:pStyle w:val="Piedepgina"/>
    </w:pPr>
  </w:p>
  <w:p w14:paraId="7BEA9314" w14:textId="77777777" w:rsidR="00000000"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1194ECA" w14:textId="77777777" w:rsidR="00000000"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2F08434" w14:textId="77777777" w:rsidR="00000000"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100CC398" w14:textId="77777777" w:rsidR="00000000"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r>
      <w:rPr>
        <w:rFonts w:ascii="Century Gothic" w:eastAsia="Geo" w:hAnsi="Century Gothic" w:cs="Geo"/>
        <w:bCs/>
        <w:color w:val="000000"/>
        <w:sz w:val="16"/>
        <w:szCs w:val="16"/>
        <w:lang w:eastAsia="es-CO"/>
      </w:rPr>
      <w:t xml:space="preserve">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F5018" w14:textId="77777777" w:rsidR="002247F1" w:rsidRDefault="002247F1" w:rsidP="00623E6F">
      <w:pPr>
        <w:spacing w:after="0" w:line="240" w:lineRule="auto"/>
      </w:pPr>
      <w:r>
        <w:separator/>
      </w:r>
    </w:p>
  </w:footnote>
  <w:footnote w:type="continuationSeparator" w:id="0">
    <w:p w14:paraId="229D6F38" w14:textId="77777777" w:rsidR="002247F1" w:rsidRDefault="002247F1" w:rsidP="00623E6F">
      <w:pPr>
        <w:spacing w:after="0" w:line="240" w:lineRule="auto"/>
      </w:pPr>
      <w:r>
        <w:continuationSeparator/>
      </w:r>
    </w:p>
  </w:footnote>
  <w:footnote w:id="1">
    <w:p w14:paraId="184BC18C" w14:textId="77777777" w:rsidR="00623E6F" w:rsidRPr="000D5C2E" w:rsidRDefault="00623E6F" w:rsidP="00623E6F">
      <w:pPr>
        <w:pStyle w:val="Textonotapie"/>
        <w:ind w:firstLine="708"/>
        <w:jc w:val="both"/>
        <w:rPr>
          <w:rFonts w:ascii="Verdana" w:hAnsi="Verdana"/>
          <w:sz w:val="16"/>
          <w:szCs w:val="16"/>
        </w:rPr>
      </w:pPr>
      <w:r w:rsidRPr="000D5C2E">
        <w:rPr>
          <w:rFonts w:ascii="Verdana" w:hAnsi="Verdana"/>
          <w:sz w:val="16"/>
          <w:szCs w:val="16"/>
          <w:vertAlign w:val="superscript"/>
        </w:rPr>
        <w:footnoteRef/>
      </w:r>
      <w:r w:rsidRPr="000D5C2E">
        <w:rPr>
          <w:rFonts w:ascii="Verdana" w:hAnsi="Verdana"/>
          <w:sz w:val="16"/>
          <w:szCs w:val="16"/>
        </w:rPr>
        <w:t xml:space="preserve"> Artículo 17 de la Ley 1150 de 2007</w:t>
      </w:r>
      <w:r>
        <w:rPr>
          <w:rFonts w:ascii="Verdana" w:hAnsi="Verdana"/>
          <w:sz w:val="16"/>
          <w:szCs w:val="16"/>
        </w:rPr>
        <w:t>.</w:t>
      </w:r>
    </w:p>
    <w:p w14:paraId="2D4CE017" w14:textId="77777777" w:rsidR="00623E6F" w:rsidRPr="000D5C2E" w:rsidRDefault="00623E6F" w:rsidP="00623E6F">
      <w:pPr>
        <w:pStyle w:val="Textonotapie"/>
        <w:ind w:firstLine="708"/>
        <w:jc w:val="both"/>
        <w:rPr>
          <w:sz w:val="16"/>
          <w:szCs w:val="16"/>
        </w:rPr>
      </w:pPr>
    </w:p>
  </w:footnote>
  <w:footnote w:id="2">
    <w:p w14:paraId="793DB016" w14:textId="77777777" w:rsidR="00623E6F" w:rsidRPr="000D5C2E" w:rsidRDefault="00623E6F" w:rsidP="00623E6F">
      <w:pPr>
        <w:pStyle w:val="Textonotapie"/>
        <w:ind w:firstLine="708"/>
        <w:jc w:val="both"/>
        <w:rPr>
          <w:rFonts w:ascii="Verdana" w:hAnsi="Verdana"/>
          <w:sz w:val="16"/>
          <w:szCs w:val="16"/>
        </w:rPr>
      </w:pPr>
      <w:r w:rsidRPr="000D5C2E">
        <w:rPr>
          <w:rFonts w:ascii="Verdana" w:hAnsi="Verdana"/>
          <w:sz w:val="16"/>
          <w:szCs w:val="16"/>
          <w:vertAlign w:val="superscript"/>
        </w:rPr>
        <w:footnoteRef/>
      </w:r>
      <w:r w:rsidRPr="000D5C2E">
        <w:rPr>
          <w:rFonts w:ascii="Verdana" w:hAnsi="Verdana"/>
          <w:sz w:val="16"/>
          <w:szCs w:val="16"/>
        </w:rPr>
        <w:t xml:space="preserve"> Artículo 21 de la Ley 1150 de 2007</w:t>
      </w:r>
      <w:r>
        <w:rPr>
          <w:rFonts w:ascii="Verdana" w:hAnsi="Verdana"/>
          <w:sz w:val="16"/>
          <w:szCs w:val="16"/>
        </w:rPr>
        <w:t>.</w:t>
      </w:r>
    </w:p>
    <w:p w14:paraId="4E99451C" w14:textId="77777777" w:rsidR="00623E6F" w:rsidRPr="000D5C2E" w:rsidRDefault="00623E6F" w:rsidP="00623E6F">
      <w:pPr>
        <w:pStyle w:val="Textonotapie"/>
        <w:ind w:firstLine="708"/>
        <w:jc w:val="both"/>
        <w:rPr>
          <w:sz w:val="16"/>
          <w:szCs w:val="16"/>
        </w:rPr>
      </w:pPr>
    </w:p>
  </w:footnote>
  <w:footnote w:id="3">
    <w:p w14:paraId="68FD2C98" w14:textId="77777777" w:rsidR="00623E6F" w:rsidRPr="000D5C2E" w:rsidRDefault="00623E6F" w:rsidP="00623E6F">
      <w:pPr>
        <w:pStyle w:val="Textonotapie"/>
        <w:ind w:firstLine="708"/>
        <w:jc w:val="both"/>
        <w:rPr>
          <w:sz w:val="16"/>
          <w:szCs w:val="16"/>
        </w:rPr>
      </w:pPr>
      <w:r w:rsidRPr="000D5C2E">
        <w:rPr>
          <w:rFonts w:ascii="Verdana" w:hAnsi="Verdana"/>
          <w:sz w:val="16"/>
          <w:szCs w:val="16"/>
          <w:vertAlign w:val="superscript"/>
        </w:rPr>
        <w:footnoteRef/>
      </w:r>
      <w:r w:rsidRPr="000D5C2E">
        <w:rPr>
          <w:rFonts w:ascii="Verdana" w:hAnsi="Verdana"/>
          <w:sz w:val="16"/>
          <w:szCs w:val="16"/>
        </w:rPr>
        <w:t xml:space="preserve"> Artículos 83 a 86 de la Ley 1474 de 2011</w:t>
      </w:r>
      <w:r>
        <w:rPr>
          <w:rFonts w:ascii="Verdana" w:hAnsi="Verdana"/>
          <w:sz w:val="16"/>
          <w:szCs w:val="16"/>
        </w:rPr>
        <w:t>.</w:t>
      </w:r>
    </w:p>
  </w:footnote>
  <w:footnote w:id="4">
    <w:p w14:paraId="53A4B2DC" w14:textId="77777777" w:rsidR="00623E6F" w:rsidRPr="000D5C2E" w:rsidRDefault="00623E6F" w:rsidP="00623E6F">
      <w:pPr>
        <w:pStyle w:val="Textonotapie"/>
        <w:ind w:firstLine="708"/>
        <w:jc w:val="both"/>
        <w:rPr>
          <w:rFonts w:ascii="Verdana" w:hAnsi="Verdana"/>
          <w:sz w:val="16"/>
          <w:szCs w:val="16"/>
        </w:rPr>
      </w:pPr>
      <w:r w:rsidRPr="000D5C2E">
        <w:rPr>
          <w:rFonts w:ascii="Verdana" w:hAnsi="Verdana"/>
          <w:sz w:val="16"/>
          <w:szCs w:val="16"/>
          <w:vertAlign w:val="superscript"/>
        </w:rPr>
        <w:footnoteRef/>
      </w:r>
      <w:r w:rsidRPr="000D5C2E">
        <w:rPr>
          <w:rFonts w:ascii="Verdana" w:hAnsi="Verdana"/>
          <w:sz w:val="16"/>
          <w:szCs w:val="16"/>
        </w:rPr>
        <w:t xml:space="preserve"> Consejo de Estado. Sección 3ª. Sentencia del 27 de noviembre de 2017. M.P. Jaime Orlando Santofimio. </w:t>
      </w:r>
      <w:proofErr w:type="spellStart"/>
      <w:r w:rsidRPr="000D5C2E">
        <w:rPr>
          <w:rFonts w:ascii="Verdana" w:hAnsi="Verdana"/>
          <w:sz w:val="16"/>
          <w:szCs w:val="16"/>
        </w:rPr>
        <w:t>Exp</w:t>
      </w:r>
      <w:proofErr w:type="spellEnd"/>
      <w:r w:rsidRPr="000D5C2E">
        <w:rPr>
          <w:rFonts w:ascii="Verdana" w:hAnsi="Verdana"/>
          <w:sz w:val="16"/>
          <w:szCs w:val="16"/>
        </w:rPr>
        <w:t>. 51.802</w:t>
      </w:r>
      <w:r>
        <w:rPr>
          <w:rFonts w:ascii="Verdana" w:hAnsi="Verdana"/>
          <w:sz w:val="16"/>
          <w:szCs w:val="16"/>
        </w:rPr>
        <w:t>.</w:t>
      </w:r>
    </w:p>
    <w:p w14:paraId="706E947C" w14:textId="77777777" w:rsidR="00623E6F" w:rsidRPr="000D5C2E" w:rsidRDefault="00623E6F" w:rsidP="00623E6F">
      <w:pPr>
        <w:pStyle w:val="Textonotapie"/>
        <w:ind w:firstLine="708"/>
        <w:jc w:val="both"/>
        <w:rPr>
          <w:sz w:val="16"/>
          <w:szCs w:val="16"/>
        </w:rPr>
      </w:pPr>
    </w:p>
  </w:footnote>
  <w:footnote w:id="5">
    <w:p w14:paraId="5D434ED5" w14:textId="77777777" w:rsidR="00623E6F" w:rsidRPr="000D5C2E" w:rsidRDefault="00623E6F" w:rsidP="00623E6F">
      <w:pPr>
        <w:pStyle w:val="Textonotapie"/>
        <w:ind w:firstLine="708"/>
        <w:jc w:val="both"/>
        <w:rPr>
          <w:sz w:val="16"/>
          <w:szCs w:val="16"/>
        </w:rPr>
      </w:pPr>
      <w:r w:rsidRPr="000D5C2E">
        <w:rPr>
          <w:rFonts w:ascii="Verdana" w:hAnsi="Verdana"/>
          <w:sz w:val="16"/>
          <w:szCs w:val="16"/>
          <w:vertAlign w:val="superscript"/>
        </w:rPr>
        <w:footnoteRef/>
      </w:r>
      <w:r w:rsidRPr="000D5C2E">
        <w:rPr>
          <w:rFonts w:ascii="Verdana" w:hAnsi="Verdana"/>
          <w:sz w:val="16"/>
          <w:szCs w:val="16"/>
        </w:rPr>
        <w:t xml:space="preserve"> Artículo 83 de la Ley 1474 de 2011</w:t>
      </w:r>
      <w:r>
        <w:rPr>
          <w:rFonts w:ascii="Verdana" w:hAnsi="Verdana"/>
          <w:sz w:val="16"/>
          <w:szCs w:val="16"/>
        </w:rPr>
        <w:t>.</w:t>
      </w:r>
    </w:p>
  </w:footnote>
  <w:footnote w:id="6">
    <w:p w14:paraId="7A342FE5" w14:textId="77777777" w:rsidR="00623E6F" w:rsidRPr="000D5C2E" w:rsidRDefault="00623E6F" w:rsidP="00623E6F">
      <w:pPr>
        <w:pStyle w:val="Textonotapie"/>
        <w:ind w:firstLine="708"/>
        <w:jc w:val="both"/>
        <w:rPr>
          <w:sz w:val="16"/>
          <w:szCs w:val="16"/>
        </w:rPr>
      </w:pPr>
      <w:r w:rsidRPr="000D5C2E">
        <w:rPr>
          <w:rFonts w:ascii="Verdana" w:hAnsi="Verdana"/>
          <w:sz w:val="16"/>
          <w:szCs w:val="16"/>
          <w:vertAlign w:val="superscript"/>
        </w:rPr>
        <w:footnoteRef/>
      </w:r>
      <w:r w:rsidRPr="000D5C2E">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7">
    <w:p w14:paraId="3F1E6152" w14:textId="77777777" w:rsidR="00623E6F" w:rsidRPr="000D5C2E" w:rsidRDefault="00623E6F" w:rsidP="00623E6F">
      <w:pPr>
        <w:pStyle w:val="Textonotapie"/>
        <w:ind w:firstLine="708"/>
        <w:jc w:val="both"/>
        <w:rPr>
          <w:rFonts w:ascii="Verdana" w:hAnsi="Verdana" w:cs="Arial"/>
          <w:color w:val="000000"/>
          <w:sz w:val="16"/>
          <w:szCs w:val="16"/>
        </w:rPr>
      </w:pPr>
      <w:r w:rsidRPr="000D5C2E">
        <w:rPr>
          <w:rFonts w:ascii="Verdana" w:hAnsi="Verdana" w:cs="Arial"/>
          <w:color w:val="000000"/>
          <w:sz w:val="16"/>
          <w:szCs w:val="16"/>
          <w:vertAlign w:val="superscript"/>
        </w:rPr>
        <w:footnoteRef/>
      </w:r>
      <w:r w:rsidRPr="000D5C2E">
        <w:rPr>
          <w:rFonts w:ascii="Verdana" w:hAnsi="Verdana" w:cs="Arial"/>
          <w:color w:val="000000"/>
          <w:sz w:val="16"/>
          <w:szCs w:val="16"/>
        </w:rPr>
        <w:t xml:space="preserve"> En las Gacetas Nos. 607 y 784 de 2010, en las páginas 12 y 24, respectivamente, se da cuenta de esto.</w:t>
      </w:r>
    </w:p>
    <w:p w14:paraId="0B886DD2" w14:textId="77777777" w:rsidR="00623E6F" w:rsidRPr="000D5C2E" w:rsidRDefault="00623E6F" w:rsidP="00623E6F">
      <w:pPr>
        <w:pStyle w:val="Textonotapie"/>
        <w:ind w:firstLine="708"/>
        <w:jc w:val="both"/>
        <w:rPr>
          <w:sz w:val="16"/>
          <w:szCs w:val="16"/>
        </w:rPr>
      </w:pPr>
    </w:p>
  </w:footnote>
  <w:footnote w:id="8">
    <w:p w14:paraId="0BE9BB67" w14:textId="77777777" w:rsidR="00623E6F" w:rsidRPr="000D5C2E" w:rsidRDefault="00623E6F" w:rsidP="00623E6F">
      <w:pPr>
        <w:pStyle w:val="Textonotapie"/>
        <w:ind w:firstLine="708"/>
        <w:jc w:val="both"/>
        <w:rPr>
          <w:rFonts w:ascii="Verdana" w:hAnsi="Verdana" w:cs="Arial"/>
          <w:color w:val="000000"/>
          <w:sz w:val="16"/>
          <w:szCs w:val="16"/>
        </w:rPr>
      </w:pPr>
      <w:r w:rsidRPr="000D5C2E">
        <w:rPr>
          <w:rFonts w:ascii="Verdana" w:hAnsi="Verdana" w:cs="Arial"/>
          <w:color w:val="000000"/>
          <w:sz w:val="16"/>
          <w:szCs w:val="16"/>
          <w:vertAlign w:val="superscript"/>
        </w:rPr>
        <w:footnoteRef/>
      </w:r>
      <w:r w:rsidRPr="000D5C2E">
        <w:rPr>
          <w:rFonts w:ascii="Verdana" w:hAnsi="Verdana" w:cs="Arial"/>
          <w:color w:val="000000"/>
          <w:sz w:val="16"/>
          <w:szCs w:val="16"/>
        </w:rPr>
        <w:t xml:space="preserve"> Ver las Gacetas Nos. 1002 y 1117 de 2010, en las páginas 44 y 13, respectivamente.</w:t>
      </w:r>
    </w:p>
    <w:p w14:paraId="20C7150B" w14:textId="77777777" w:rsidR="00623E6F" w:rsidRPr="000D5C2E" w:rsidRDefault="00623E6F" w:rsidP="00623E6F">
      <w:pPr>
        <w:pStyle w:val="Textonotapie"/>
        <w:ind w:firstLine="708"/>
        <w:jc w:val="both"/>
        <w:rPr>
          <w:sz w:val="16"/>
          <w:szCs w:val="16"/>
        </w:rPr>
      </w:pPr>
    </w:p>
  </w:footnote>
  <w:footnote w:id="9">
    <w:p w14:paraId="107F0A6F" w14:textId="77777777" w:rsidR="00623E6F" w:rsidRPr="000D5C2E" w:rsidRDefault="00623E6F" w:rsidP="00623E6F">
      <w:pPr>
        <w:pStyle w:val="Textonotapie"/>
        <w:ind w:firstLine="708"/>
        <w:jc w:val="both"/>
        <w:rPr>
          <w:rFonts w:ascii="Verdana" w:hAnsi="Verdana" w:cs="Arial"/>
          <w:color w:val="000000"/>
          <w:sz w:val="16"/>
          <w:szCs w:val="16"/>
        </w:rPr>
      </w:pPr>
      <w:r w:rsidRPr="000D5C2E">
        <w:rPr>
          <w:rFonts w:ascii="Verdana" w:hAnsi="Verdana" w:cs="Arial"/>
          <w:color w:val="000000"/>
          <w:sz w:val="16"/>
          <w:szCs w:val="16"/>
          <w:vertAlign w:val="superscript"/>
        </w:rPr>
        <w:footnoteRef/>
      </w:r>
      <w:r w:rsidRPr="000D5C2E">
        <w:rPr>
          <w:rFonts w:ascii="Verdana" w:hAnsi="Verdana" w:cs="Arial"/>
          <w:color w:val="000000"/>
          <w:sz w:val="16"/>
          <w:szCs w:val="16"/>
        </w:rPr>
        <w:t xml:space="preserve"> Ver la Gaceta No. 019 de 2011, en la página 17.</w:t>
      </w:r>
    </w:p>
    <w:p w14:paraId="74C00A14" w14:textId="77777777" w:rsidR="00623E6F" w:rsidRPr="000D5C2E" w:rsidRDefault="00623E6F" w:rsidP="00623E6F">
      <w:pPr>
        <w:pStyle w:val="Textonotapie"/>
        <w:ind w:firstLine="708"/>
        <w:jc w:val="both"/>
        <w:rPr>
          <w:sz w:val="16"/>
          <w:szCs w:val="16"/>
        </w:rPr>
      </w:pPr>
    </w:p>
  </w:footnote>
  <w:footnote w:id="10">
    <w:p w14:paraId="064FA598" w14:textId="77777777" w:rsidR="00623E6F" w:rsidRPr="00623E6F" w:rsidRDefault="00623E6F" w:rsidP="00623E6F">
      <w:pPr>
        <w:pStyle w:val="Textonotapie"/>
        <w:ind w:firstLine="708"/>
        <w:jc w:val="both"/>
        <w:rPr>
          <w:rFonts w:ascii="Verdana" w:hAnsi="Verdana" w:cs="Arial"/>
          <w:color w:val="000000"/>
          <w:sz w:val="12"/>
          <w:szCs w:val="12"/>
        </w:rPr>
      </w:pPr>
      <w:r w:rsidRPr="00623E6F">
        <w:rPr>
          <w:rFonts w:ascii="Verdana" w:hAnsi="Verdana" w:cs="Arial"/>
          <w:color w:val="000000"/>
          <w:sz w:val="12"/>
          <w:szCs w:val="12"/>
          <w:vertAlign w:val="superscript"/>
        </w:rPr>
        <w:footnoteRef/>
      </w:r>
      <w:r w:rsidRPr="00623E6F">
        <w:rPr>
          <w:rFonts w:ascii="Verdana" w:hAnsi="Verdana" w:cs="Arial"/>
          <w:color w:val="000000"/>
          <w:sz w:val="12"/>
          <w:szCs w:val="12"/>
        </w:rPr>
        <w:t xml:space="preserve"> Ver la Gaceta No. 128 de 2011, en la página 20.</w:t>
      </w:r>
    </w:p>
    <w:p w14:paraId="3890634E" w14:textId="77777777" w:rsidR="00623E6F" w:rsidRPr="00623E6F" w:rsidRDefault="00623E6F" w:rsidP="00623E6F">
      <w:pPr>
        <w:pStyle w:val="Textonotapie"/>
        <w:ind w:firstLine="708"/>
        <w:jc w:val="both"/>
        <w:rPr>
          <w:sz w:val="12"/>
          <w:szCs w:val="12"/>
        </w:rPr>
      </w:pPr>
    </w:p>
  </w:footnote>
  <w:footnote w:id="11">
    <w:p w14:paraId="163E6BD3" w14:textId="77777777" w:rsidR="00623E6F" w:rsidRPr="00623E6F" w:rsidRDefault="00623E6F" w:rsidP="00623E6F">
      <w:pPr>
        <w:pStyle w:val="Textonotapie"/>
        <w:ind w:firstLine="708"/>
        <w:jc w:val="both"/>
        <w:rPr>
          <w:sz w:val="12"/>
          <w:szCs w:val="12"/>
        </w:rPr>
      </w:pPr>
      <w:r w:rsidRPr="00623E6F">
        <w:rPr>
          <w:rFonts w:ascii="Verdana" w:hAnsi="Verdana" w:cs="Arial"/>
          <w:color w:val="000000"/>
          <w:sz w:val="12"/>
          <w:szCs w:val="12"/>
          <w:vertAlign w:val="superscript"/>
        </w:rPr>
        <w:footnoteRef/>
      </w:r>
      <w:r w:rsidRPr="00623E6F">
        <w:rPr>
          <w:rFonts w:ascii="Verdana" w:hAnsi="Verdana" w:cs="Arial"/>
          <w:color w:val="000000"/>
          <w:sz w:val="12"/>
          <w:szCs w:val="12"/>
        </w:rPr>
        <w:t xml:space="preserve"> Ver la Gaceta No. 258 de 2011, en la página 16.</w:t>
      </w:r>
    </w:p>
  </w:footnote>
  <w:footnote w:id="12">
    <w:p w14:paraId="73BB31E0" w14:textId="77777777" w:rsidR="00623E6F" w:rsidRPr="00623E6F" w:rsidRDefault="00623E6F" w:rsidP="00623E6F">
      <w:pPr>
        <w:pStyle w:val="Textonotapie"/>
        <w:ind w:firstLine="708"/>
        <w:jc w:val="both"/>
        <w:rPr>
          <w:rFonts w:ascii="Verdana" w:hAnsi="Verdana" w:cs="Arial"/>
          <w:color w:val="000000"/>
          <w:sz w:val="12"/>
          <w:szCs w:val="12"/>
        </w:rPr>
      </w:pPr>
      <w:r w:rsidRPr="00623E6F">
        <w:rPr>
          <w:rFonts w:ascii="Verdana" w:hAnsi="Verdana" w:cs="Arial"/>
          <w:color w:val="000000"/>
          <w:sz w:val="12"/>
          <w:szCs w:val="12"/>
          <w:vertAlign w:val="superscript"/>
        </w:rPr>
        <w:footnoteRef/>
      </w:r>
      <w:r w:rsidRPr="00623E6F">
        <w:rPr>
          <w:rFonts w:ascii="Verdana" w:hAnsi="Verdana" w:cs="Arial"/>
          <w:color w:val="000000"/>
          <w:sz w:val="12"/>
          <w:szCs w:val="12"/>
        </w:rPr>
        <w:t xml:space="preserve"> Ver las Gacetas Nos. 1002 y 1117 de 2010.</w:t>
      </w:r>
    </w:p>
    <w:p w14:paraId="6F754F5D" w14:textId="77777777" w:rsidR="00623E6F" w:rsidRPr="00623E6F" w:rsidRDefault="00623E6F" w:rsidP="00623E6F">
      <w:pPr>
        <w:pStyle w:val="Textonotapie"/>
        <w:ind w:firstLine="708"/>
        <w:jc w:val="both"/>
        <w:rPr>
          <w:sz w:val="12"/>
          <w:szCs w:val="12"/>
        </w:rPr>
      </w:pPr>
    </w:p>
  </w:footnote>
  <w:footnote w:id="13">
    <w:p w14:paraId="02729FB2" w14:textId="77777777" w:rsidR="00623E6F" w:rsidRPr="00623E6F" w:rsidRDefault="00623E6F" w:rsidP="00623E6F">
      <w:pPr>
        <w:pStyle w:val="Textonotapie"/>
        <w:ind w:firstLine="708"/>
        <w:jc w:val="both"/>
        <w:rPr>
          <w:sz w:val="12"/>
          <w:szCs w:val="12"/>
        </w:rPr>
      </w:pPr>
      <w:r w:rsidRPr="00623E6F">
        <w:rPr>
          <w:rFonts w:ascii="Verdana" w:hAnsi="Verdana" w:cs="Arial"/>
          <w:color w:val="000000"/>
          <w:sz w:val="12"/>
          <w:szCs w:val="12"/>
          <w:vertAlign w:val="superscript"/>
        </w:rPr>
        <w:footnoteRef/>
      </w:r>
      <w:r w:rsidRPr="00623E6F">
        <w:rPr>
          <w:rFonts w:ascii="Verdana" w:hAnsi="Verdana" w:cs="Arial"/>
          <w:color w:val="000000"/>
          <w:sz w:val="12"/>
          <w:szCs w:val="12"/>
        </w:rPr>
        <w:t xml:space="preserve"> Consejo de Estado, Sección Tercera, Subsección A. Radicado No. 27426. C.P. Ramiro Pazos Guerrero.</w:t>
      </w:r>
    </w:p>
  </w:footnote>
  <w:footnote w:id="14">
    <w:p w14:paraId="02651B5A" w14:textId="77777777" w:rsidR="00623E6F" w:rsidRPr="00623E6F" w:rsidRDefault="00623E6F" w:rsidP="00623E6F">
      <w:pPr>
        <w:pStyle w:val="Textonotapie"/>
        <w:ind w:firstLine="708"/>
        <w:jc w:val="both"/>
        <w:rPr>
          <w:sz w:val="12"/>
          <w:szCs w:val="12"/>
        </w:rPr>
      </w:pPr>
      <w:r w:rsidRPr="00623E6F">
        <w:rPr>
          <w:rFonts w:ascii="Verdana" w:hAnsi="Verdana" w:cs="Arial"/>
          <w:color w:val="000000"/>
          <w:sz w:val="12"/>
          <w:szCs w:val="12"/>
          <w:vertAlign w:val="superscript"/>
        </w:rPr>
        <w:footnoteRef/>
      </w:r>
      <w:r w:rsidRPr="00623E6F">
        <w:rPr>
          <w:rFonts w:ascii="Verdana" w:hAnsi="Verdana" w:cs="Arial"/>
          <w:color w:val="000000"/>
          <w:sz w:val="12"/>
          <w:szCs w:val="12"/>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w:t>
      </w:r>
      <w:proofErr w:type="gramStart"/>
      <w:r w:rsidRPr="00623E6F">
        <w:rPr>
          <w:rFonts w:ascii="Verdana" w:hAnsi="Verdana" w:cs="Arial"/>
          <w:color w:val="000000"/>
          <w:sz w:val="12"/>
          <w:szCs w:val="12"/>
        </w:rPr>
        <w:t>que</w:t>
      </w:r>
      <w:proofErr w:type="gramEnd"/>
      <w:r w:rsidRPr="00623E6F">
        <w:rPr>
          <w:rFonts w:ascii="Verdana" w:hAnsi="Verdana" w:cs="Arial"/>
          <w:color w:val="000000"/>
          <w:sz w:val="12"/>
          <w:szCs w:val="12"/>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623E6F">
        <w:rPr>
          <w:rFonts w:ascii="Verdana" w:hAnsi="Verdana" w:cs="Arial"/>
          <w:color w:val="000000"/>
          <w:sz w:val="12"/>
          <w:szCs w:val="12"/>
        </w:rPr>
        <w:t>del mismo</w:t>
      </w:r>
      <w:proofErr w:type="gramEnd"/>
      <w:r w:rsidRPr="00623E6F">
        <w:rPr>
          <w:rFonts w:ascii="Verdana" w:hAnsi="Verdana" w:cs="Arial"/>
          <w:color w:val="000000"/>
          <w:sz w:val="12"/>
          <w:szCs w:val="12"/>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 serán concurrentes en relación con un mismo contrato, las funciones de supervisión e interventoría. Sin embargo, la entidad puede dividir la vigilancia del contrato principal, caso en el </w:t>
      </w:r>
      <w:proofErr w:type="gramStart"/>
      <w:r w:rsidRPr="00623E6F">
        <w:rPr>
          <w:rFonts w:ascii="Verdana" w:hAnsi="Verdana" w:cs="Arial"/>
          <w:color w:val="000000"/>
          <w:sz w:val="12"/>
          <w:szCs w:val="12"/>
        </w:rPr>
        <w:t>cual</w:t>
      </w:r>
      <w:proofErr w:type="gramEnd"/>
      <w:r w:rsidRPr="00623E6F">
        <w:rPr>
          <w:rFonts w:ascii="Verdana" w:hAnsi="Verdana" w:cs="Arial"/>
          <w:color w:val="000000"/>
          <w:sz w:val="12"/>
          <w:szCs w:val="12"/>
        </w:rPr>
        <w:t xml:space="preserve"> en el contrato respectivo de interventoría, se deberán indicar las actividades técnicas a cargo del interventor y las demás quedarán a cargo de la Entidad a través del supervisor. // El contrato de Interventoría será supervisado directamente por la entidad estatal”.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6FB33" w14:textId="77777777" w:rsidR="00000000"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C570007" wp14:editId="70A8ED1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B9DC3A3" wp14:editId="0E6703F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16FCA83" w14:textId="77777777" w:rsidR="00000000" w:rsidRDefault="00000000">
    <w:pPr>
      <w:pStyle w:val="Encabezado"/>
    </w:pPr>
  </w:p>
  <w:p w14:paraId="38B8C0A8" w14:textId="77777777" w:rsidR="00000000" w:rsidRDefault="00000000" w:rsidP="004A305D">
    <w:pPr>
      <w:spacing w:after="0"/>
      <w:rPr>
        <w:rFonts w:ascii="Verdana" w:hAnsi="Verdana"/>
        <w:b/>
        <w:bCs/>
      </w:rPr>
    </w:pPr>
  </w:p>
  <w:p w14:paraId="22C3C84C" w14:textId="77777777" w:rsidR="00000000" w:rsidRDefault="00000000"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E6F"/>
    <w:rsid w:val="000F5A42"/>
    <w:rsid w:val="002247F1"/>
    <w:rsid w:val="00623E6F"/>
    <w:rsid w:val="00A12218"/>
    <w:rsid w:val="00A90678"/>
    <w:rsid w:val="00DC68B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A8114"/>
  <w15:chartTrackingRefBased/>
  <w15:docId w15:val="{A00BB11F-E89A-47F4-8FBD-3EBB190A5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E6F"/>
    <w:rPr>
      <w:kern w:val="0"/>
      <w14:ligatures w14:val="none"/>
    </w:rPr>
  </w:style>
  <w:style w:type="paragraph" w:styleId="Ttulo1">
    <w:name w:val="heading 1"/>
    <w:basedOn w:val="Normal"/>
    <w:next w:val="Normal"/>
    <w:link w:val="Ttulo1Car"/>
    <w:uiPriority w:val="9"/>
    <w:qFormat/>
    <w:rsid w:val="00623E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23E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23E6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23E6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23E6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23E6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23E6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23E6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23E6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23E6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23E6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23E6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23E6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23E6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23E6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23E6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23E6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23E6F"/>
    <w:rPr>
      <w:rFonts w:eastAsiaTheme="majorEastAsia" w:cstheme="majorBidi"/>
      <w:color w:val="272727" w:themeColor="text1" w:themeTint="D8"/>
    </w:rPr>
  </w:style>
  <w:style w:type="paragraph" w:styleId="Ttulo">
    <w:name w:val="Title"/>
    <w:basedOn w:val="Normal"/>
    <w:next w:val="Normal"/>
    <w:link w:val="TtuloCar"/>
    <w:uiPriority w:val="10"/>
    <w:qFormat/>
    <w:rsid w:val="00623E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23E6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23E6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23E6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23E6F"/>
    <w:pPr>
      <w:spacing w:before="160"/>
      <w:jc w:val="center"/>
    </w:pPr>
    <w:rPr>
      <w:i/>
      <w:iCs/>
      <w:color w:val="404040" w:themeColor="text1" w:themeTint="BF"/>
    </w:rPr>
  </w:style>
  <w:style w:type="character" w:customStyle="1" w:styleId="CitaCar">
    <w:name w:val="Cita Car"/>
    <w:basedOn w:val="Fuentedeprrafopredeter"/>
    <w:link w:val="Cita"/>
    <w:uiPriority w:val="29"/>
    <w:rsid w:val="00623E6F"/>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623E6F"/>
    <w:pPr>
      <w:ind w:left="720"/>
      <w:contextualSpacing/>
    </w:pPr>
  </w:style>
  <w:style w:type="character" w:styleId="nfasisintenso">
    <w:name w:val="Intense Emphasis"/>
    <w:basedOn w:val="Fuentedeprrafopredeter"/>
    <w:uiPriority w:val="21"/>
    <w:qFormat/>
    <w:rsid w:val="00623E6F"/>
    <w:rPr>
      <w:i/>
      <w:iCs/>
      <w:color w:val="0F4761" w:themeColor="accent1" w:themeShade="BF"/>
    </w:rPr>
  </w:style>
  <w:style w:type="paragraph" w:styleId="Citadestacada">
    <w:name w:val="Intense Quote"/>
    <w:basedOn w:val="Normal"/>
    <w:next w:val="Normal"/>
    <w:link w:val="CitadestacadaCar"/>
    <w:uiPriority w:val="30"/>
    <w:qFormat/>
    <w:rsid w:val="00623E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23E6F"/>
    <w:rPr>
      <w:i/>
      <w:iCs/>
      <w:color w:val="0F4761" w:themeColor="accent1" w:themeShade="BF"/>
    </w:rPr>
  </w:style>
  <w:style w:type="character" w:styleId="Referenciaintensa">
    <w:name w:val="Intense Reference"/>
    <w:basedOn w:val="Fuentedeprrafopredeter"/>
    <w:uiPriority w:val="32"/>
    <w:qFormat/>
    <w:rsid w:val="00623E6F"/>
    <w:rPr>
      <w:b/>
      <w:bCs/>
      <w:smallCaps/>
      <w:color w:val="0F4761" w:themeColor="accent1" w:themeShade="BF"/>
      <w:spacing w:val="5"/>
    </w:rPr>
  </w:style>
  <w:style w:type="paragraph" w:styleId="Encabezado">
    <w:name w:val="header"/>
    <w:basedOn w:val="Normal"/>
    <w:link w:val="EncabezadoCar"/>
    <w:uiPriority w:val="99"/>
    <w:unhideWhenUsed/>
    <w:rsid w:val="00623E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23E6F"/>
    <w:rPr>
      <w:kern w:val="0"/>
      <w14:ligatures w14:val="none"/>
    </w:rPr>
  </w:style>
  <w:style w:type="paragraph" w:styleId="Piedepgina">
    <w:name w:val="footer"/>
    <w:basedOn w:val="Normal"/>
    <w:link w:val="PiedepginaCar"/>
    <w:uiPriority w:val="99"/>
    <w:unhideWhenUsed/>
    <w:rsid w:val="00623E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23E6F"/>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3E6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3E6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23E6F"/>
    <w:rPr>
      <w:kern w:val="0"/>
      <w:sz w:val="20"/>
      <w:szCs w:val="20"/>
      <w14:ligatures w14:val="none"/>
    </w:rPr>
  </w:style>
  <w:style w:type="character" w:customStyle="1" w:styleId="normaltextrun">
    <w:name w:val="normaltextrun"/>
    <w:basedOn w:val="Fuentedeprrafopredeter"/>
    <w:rsid w:val="00623E6F"/>
  </w:style>
  <w:style w:type="table" w:styleId="Tablaconcuadrcula">
    <w:name w:val="Table Grid"/>
    <w:basedOn w:val="Tablanormal"/>
    <w:uiPriority w:val="39"/>
    <w:qFormat/>
    <w:rsid w:val="00623E6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23E6F"/>
    <w:rPr>
      <w:color w:val="0000FF"/>
      <w:u w:val="single"/>
    </w:rPr>
  </w:style>
  <w:style w:type="paragraph" w:customStyle="1" w:styleId="paragraph">
    <w:name w:val="paragraph"/>
    <w:basedOn w:val="Normal"/>
    <w:rsid w:val="00623E6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623E6F"/>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23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s.albornoz@minagricultura.gov.co"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elatoria.colombiacompra.gov.co/" TargetMode="External"/><Relationship Id="rId4" Type="http://schemas.openxmlformats.org/officeDocument/2006/relationships/webSettings" Target="webSettings.xml"/><Relationship Id="rId9"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73FFFC-A6F6-4D6B-B919-6C818EA5F5B2}"/>
</file>

<file path=customXml/itemProps2.xml><?xml version="1.0" encoding="utf-8"?>
<ds:datastoreItem xmlns:ds="http://schemas.openxmlformats.org/officeDocument/2006/customXml" ds:itemID="{680B8173-BFA8-4746-9937-FC6C2ADB4DCD}"/>
</file>

<file path=customXml/itemProps3.xml><?xml version="1.0" encoding="utf-8"?>
<ds:datastoreItem xmlns:ds="http://schemas.openxmlformats.org/officeDocument/2006/customXml" ds:itemID="{DBF05B40-7455-4886-BEB4-0195D3243248}"/>
</file>

<file path=docProps/app.xml><?xml version="1.0" encoding="utf-8"?>
<Properties xmlns="http://schemas.openxmlformats.org/officeDocument/2006/extended-properties" xmlns:vt="http://schemas.openxmlformats.org/officeDocument/2006/docPropsVTypes">
  <Template>Normal</Template>
  <TotalTime>3</TotalTime>
  <Pages>13</Pages>
  <Words>4521</Words>
  <Characters>24868</Characters>
  <Application>Microsoft Office Word</Application>
  <DocSecurity>0</DocSecurity>
  <Lines>207</Lines>
  <Paragraphs>58</Paragraphs>
  <ScaleCrop>false</ScaleCrop>
  <Company/>
  <LinksUpToDate>false</LinksUpToDate>
  <CharactersWithSpaces>29331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1</cp:revision>
  <dcterms:created xsi:type="dcterms:W3CDTF">2025-01-30T15:14:00Z</dcterms:created>
  <dcterms:modified xsi:type="dcterms:W3CDTF">2025-01-30T15:17:00Z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